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7F7B3B" w:rsidRDefault="00C05D9B" w:rsidP="7D59BA9C"/>
    <w:p w14:paraId="1C720C6D" w14:textId="77777777" w:rsidR="005403E3" w:rsidRPr="007F7B3B" w:rsidRDefault="005403E3" w:rsidP="7D59BA9C"/>
    <w:p w14:paraId="5E537D0D" w14:textId="77777777" w:rsidR="005403E3" w:rsidRPr="007F7B3B" w:rsidRDefault="005403E3" w:rsidP="00F91060">
      <w:pPr>
        <w:spacing w:after="120"/>
      </w:pPr>
    </w:p>
    <w:p w14:paraId="43F13231" w14:textId="4D040E03" w:rsidR="004B1E4E" w:rsidRPr="007F7B3B" w:rsidRDefault="0CDF5543" w:rsidP="00F91060">
      <w:pPr>
        <w:spacing w:after="120"/>
        <w:jc w:val="center"/>
        <w:rPr>
          <w:b/>
          <w:bCs/>
        </w:rPr>
      </w:pPr>
      <w:r w:rsidRPr="007F7B3B">
        <w:rPr>
          <w:b/>
          <w:bCs/>
        </w:rPr>
        <w:t>Egypt</w:t>
      </w:r>
      <w:r w:rsidR="004B1E4E" w:rsidRPr="007F7B3B">
        <w:rPr>
          <w:b/>
          <w:bCs/>
        </w:rPr>
        <w:t xml:space="preserve">’s Compliance with </w:t>
      </w:r>
      <w:r w:rsidR="00E3611B" w:rsidRPr="007F7B3B">
        <w:rPr>
          <w:b/>
          <w:bCs/>
        </w:rPr>
        <w:t>the Convention against Torture and Other Cruel Inhuman or Degrading Treatment or Punishment: the death penalty</w:t>
      </w:r>
    </w:p>
    <w:p w14:paraId="171F4CCF" w14:textId="77777777" w:rsidR="004B1E4E" w:rsidRPr="007F7B3B" w:rsidRDefault="004B1E4E" w:rsidP="00F91060">
      <w:pPr>
        <w:spacing w:after="120"/>
        <w:jc w:val="center"/>
      </w:pPr>
    </w:p>
    <w:p w14:paraId="26D24DDC" w14:textId="1693A345" w:rsidR="004B1E4E" w:rsidRPr="007F7B3B" w:rsidRDefault="004B1E4E" w:rsidP="00F91060">
      <w:pPr>
        <w:spacing w:after="120"/>
        <w:jc w:val="center"/>
        <w:rPr>
          <w:b/>
          <w:bCs/>
        </w:rPr>
      </w:pPr>
      <w:r w:rsidRPr="007F7B3B">
        <w:rPr>
          <w:b/>
          <w:bCs/>
        </w:rPr>
        <w:t xml:space="preserve">Submitted by </w:t>
      </w:r>
      <w:r w:rsidR="00AA7FCB" w:rsidRPr="007F7B3B">
        <w:rPr>
          <w:b/>
          <w:bCs/>
        </w:rPr>
        <w:t>T</w:t>
      </w:r>
      <w:r w:rsidRPr="007F7B3B">
        <w:rPr>
          <w:b/>
          <w:bCs/>
        </w:rPr>
        <w:t>he Advocates for Human Rights</w:t>
      </w:r>
      <w:r w:rsidR="00B8398D">
        <w:rPr>
          <w:b/>
          <w:bCs/>
        </w:rPr>
        <w:t>,</w:t>
      </w:r>
    </w:p>
    <w:p w14:paraId="6D01AE49" w14:textId="38EB5B9E" w:rsidR="004B1E4E" w:rsidRPr="007F7B3B" w:rsidRDefault="004B1E4E" w:rsidP="00F91060">
      <w:pPr>
        <w:spacing w:after="120"/>
        <w:jc w:val="center"/>
      </w:pPr>
      <w:r w:rsidRPr="007F7B3B">
        <w:t>a non-governmental organization in special consultative status with ECOSOC</w:t>
      </w:r>
      <w:r w:rsidR="00624A10" w:rsidRPr="007F7B3B">
        <w:t xml:space="preserve"> since 1996</w:t>
      </w:r>
      <w:r w:rsidR="00B8398D">
        <w:t>,</w:t>
      </w:r>
    </w:p>
    <w:p w14:paraId="74881DA7" w14:textId="3826962A" w:rsidR="004B1E4E" w:rsidRDefault="00355B8E" w:rsidP="00F91060">
      <w:pPr>
        <w:spacing w:after="120"/>
        <w:jc w:val="center"/>
        <w:rPr>
          <w:b/>
          <w:bCs/>
        </w:rPr>
      </w:pPr>
      <w:r w:rsidRPr="007F7B3B">
        <w:rPr>
          <w:b/>
          <w:bCs/>
        </w:rPr>
        <w:t>Reprieve</w:t>
      </w:r>
      <w:r w:rsidR="00B8398D">
        <w:rPr>
          <w:b/>
          <w:bCs/>
        </w:rPr>
        <w:t>,</w:t>
      </w:r>
    </w:p>
    <w:p w14:paraId="5E52A2FC" w14:textId="3B5B93F6" w:rsidR="006377B9" w:rsidRPr="007F7B3B" w:rsidRDefault="006377B9" w:rsidP="00F91060">
      <w:pPr>
        <w:spacing w:after="120"/>
        <w:jc w:val="center"/>
      </w:pPr>
      <w:r w:rsidRPr="006377B9">
        <w:t>a non-governmental organization in special consultative status with ECOSOC since 2018</w:t>
      </w:r>
      <w:r w:rsidR="00B8398D">
        <w:t>,</w:t>
      </w:r>
    </w:p>
    <w:p w14:paraId="05634CE9" w14:textId="447E16E6" w:rsidR="00355B8E" w:rsidRPr="007F7B3B" w:rsidRDefault="00355B8E" w:rsidP="00F91060">
      <w:pPr>
        <w:spacing w:after="120"/>
        <w:jc w:val="center"/>
      </w:pPr>
      <w:r w:rsidRPr="007F7B3B">
        <w:t>and</w:t>
      </w:r>
    </w:p>
    <w:p w14:paraId="460EA434" w14:textId="795D649B" w:rsidR="00355B8E" w:rsidRPr="007F7B3B" w:rsidRDefault="00355B8E" w:rsidP="00F91060">
      <w:pPr>
        <w:spacing w:after="120"/>
        <w:jc w:val="center"/>
        <w:rPr>
          <w:b/>
          <w:bCs/>
        </w:rPr>
      </w:pPr>
      <w:r w:rsidRPr="007F7B3B">
        <w:rPr>
          <w:b/>
          <w:bCs/>
        </w:rPr>
        <w:t>The World Coalition Against the Death Penalty</w:t>
      </w:r>
    </w:p>
    <w:p w14:paraId="24E688AE" w14:textId="256B5A69" w:rsidR="004B1E4E" w:rsidRPr="007F7B3B" w:rsidRDefault="004B1E4E" w:rsidP="00355B8E">
      <w:pPr>
        <w:jc w:val="center"/>
        <w:rPr>
          <w:b/>
          <w:bCs/>
        </w:rPr>
      </w:pPr>
      <w:r w:rsidRPr="007F7B3B">
        <w:rPr>
          <w:b/>
          <w:bCs/>
        </w:rPr>
        <w:t xml:space="preserve">for the </w:t>
      </w:r>
      <w:r w:rsidR="2BCDD459" w:rsidRPr="007F7B3B">
        <w:rPr>
          <w:b/>
          <w:bCs/>
        </w:rPr>
        <w:t>7</w:t>
      </w:r>
      <w:r w:rsidR="00611E1D" w:rsidRPr="007F7B3B">
        <w:rPr>
          <w:b/>
          <w:bCs/>
        </w:rPr>
        <w:t>8</w:t>
      </w:r>
      <w:r w:rsidR="2BCDD459" w:rsidRPr="007F7B3B">
        <w:rPr>
          <w:b/>
          <w:bCs/>
        </w:rPr>
        <w:t>th</w:t>
      </w:r>
      <w:r w:rsidR="0F9E285D" w:rsidRPr="007F7B3B">
        <w:rPr>
          <w:b/>
          <w:bCs/>
        </w:rPr>
        <w:t xml:space="preserve"> </w:t>
      </w:r>
      <w:r w:rsidRPr="007F7B3B">
        <w:rPr>
          <w:b/>
          <w:bCs/>
        </w:rPr>
        <w:t xml:space="preserve">Session of the </w:t>
      </w:r>
      <w:r w:rsidR="60303C3D" w:rsidRPr="007F7B3B">
        <w:rPr>
          <w:b/>
          <w:bCs/>
        </w:rPr>
        <w:t>Committee Against Torture</w:t>
      </w:r>
    </w:p>
    <w:p w14:paraId="42599716" w14:textId="7D1550A2" w:rsidR="00C214BA" w:rsidRPr="007F7B3B" w:rsidRDefault="009446D2" w:rsidP="009F7BF0">
      <w:pPr>
        <w:spacing w:after="120"/>
        <w:jc w:val="center"/>
        <w:rPr>
          <w:b/>
          <w:bCs/>
        </w:rPr>
      </w:pPr>
      <w:r w:rsidRPr="007F7B3B">
        <w:rPr>
          <w:b/>
          <w:bCs/>
        </w:rPr>
        <w:t>30 October</w:t>
      </w:r>
      <w:r w:rsidR="004B1E4E" w:rsidRPr="007F7B3B">
        <w:rPr>
          <w:b/>
          <w:bCs/>
        </w:rPr>
        <w:t>–</w:t>
      </w:r>
      <w:r w:rsidR="00C81823" w:rsidRPr="007F7B3B">
        <w:rPr>
          <w:b/>
          <w:bCs/>
        </w:rPr>
        <w:t>24 November</w:t>
      </w:r>
      <w:r w:rsidR="00340484" w:rsidRPr="007F7B3B">
        <w:rPr>
          <w:b/>
          <w:bCs/>
        </w:rPr>
        <w:t xml:space="preserve"> </w:t>
      </w:r>
      <w:r w:rsidR="00C81823" w:rsidRPr="007F7B3B">
        <w:rPr>
          <w:b/>
          <w:bCs/>
        </w:rPr>
        <w:t>2023</w:t>
      </w:r>
    </w:p>
    <w:p w14:paraId="69899961" w14:textId="14639834" w:rsidR="005132BB" w:rsidRPr="007F7B3B" w:rsidRDefault="00C214BA" w:rsidP="00F91060">
      <w:pPr>
        <w:spacing w:after="120"/>
        <w:jc w:val="center"/>
        <w:rPr>
          <w:b/>
          <w:bCs/>
        </w:rPr>
      </w:pPr>
      <w:r w:rsidRPr="007F7B3B">
        <w:rPr>
          <w:b/>
          <w:bCs/>
        </w:rPr>
        <w:t>Submitted</w:t>
      </w:r>
      <w:r w:rsidR="00164736" w:rsidRPr="007F7B3B">
        <w:rPr>
          <w:b/>
          <w:bCs/>
        </w:rPr>
        <w:t xml:space="preserve"> 2 October</w:t>
      </w:r>
      <w:r w:rsidR="332DF007" w:rsidRPr="007F7B3B">
        <w:rPr>
          <w:b/>
          <w:bCs/>
        </w:rPr>
        <w:t xml:space="preserve"> 2023</w:t>
      </w:r>
    </w:p>
    <w:p w14:paraId="7AE434B8" w14:textId="2167B942" w:rsidR="00F4107A" w:rsidRPr="007F7B3B" w:rsidRDefault="004B1E4E" w:rsidP="00F91060">
      <w:pPr>
        <w:spacing w:after="120"/>
        <w:jc w:val="both"/>
        <w:rPr>
          <w:b/>
          <w:bCs/>
        </w:rPr>
      </w:pPr>
      <w:r w:rsidRPr="007F7B3B">
        <w:rPr>
          <w:b/>
          <w:bCs/>
        </w:rPr>
        <w:t xml:space="preserve">The Advocates for Human Rights </w:t>
      </w:r>
      <w:r w:rsidRPr="007F7B3B">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r w:rsidR="00830774" w:rsidRPr="007F7B3B">
        <w:rPr>
          <w:b/>
          <w:bCs/>
        </w:rPr>
        <w:t xml:space="preserve">. </w:t>
      </w:r>
      <w:r w:rsidR="27553789" w:rsidRPr="007F7B3B">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r w:rsidR="009D668E" w:rsidRPr="007F7B3B">
        <w:t>.</w:t>
      </w:r>
    </w:p>
    <w:p w14:paraId="0D49DD1B" w14:textId="0929DEB3" w:rsidR="00BB40E1" w:rsidRPr="007F7B3B" w:rsidRDefault="00BB40E1" w:rsidP="00F91060">
      <w:pPr>
        <w:spacing w:after="120"/>
        <w:jc w:val="both"/>
      </w:pPr>
      <w:r w:rsidRPr="007F7B3B">
        <w:rPr>
          <w:b/>
          <w:bCs/>
        </w:rPr>
        <w:t>The World Coalition Against the Death Penalty</w:t>
      </w:r>
      <w:r w:rsidRPr="007F7B3B">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067CF2C8" w14:textId="1457E41A" w:rsidR="00BB40E1" w:rsidRPr="007F7B3B" w:rsidRDefault="00BB40E1" w:rsidP="00F91060">
      <w:pPr>
        <w:spacing w:after="120"/>
        <w:jc w:val="both"/>
      </w:pPr>
      <w:r w:rsidRPr="007F7B3B">
        <w:rPr>
          <w:b/>
          <w:bCs/>
        </w:rPr>
        <w:t>Reprieve</w:t>
      </w:r>
      <w:r w:rsidRPr="007F7B3B">
        <w:t xml:space="preserve"> is a charitable organization registered in the United Kingdom (No. 1114900), with special consultative status with the United Nations Economic and Social Council (ECOSOC). Reprieve provides free legal and investigative support to those who have been subjected to state</w:t>
      </w:r>
      <w:r w:rsidR="60A8AA36" w:rsidRPr="007F7B3B">
        <w:t xml:space="preserve"> </w:t>
      </w:r>
      <w:r w:rsidRPr="007F7B3B">
        <w:t xml:space="preserve">sponsored human rights abuses. Reprieve’s clients belong to some of the most vulnerable populations in the world, as it is in their cases that human rights are most swiftly </w:t>
      </w:r>
      <w:proofErr w:type="gramStart"/>
      <w:r w:rsidRPr="007F7B3B">
        <w:t>jettisoned</w:t>
      </w:r>
      <w:proofErr w:type="gramEnd"/>
      <w:r w:rsidRPr="007F7B3B">
        <w:t xml:space="preserve"> and the rule of law is cast aside. </w:t>
      </w:r>
      <w:proofErr w:type="gramStart"/>
      <w:r w:rsidRPr="007F7B3B">
        <w:t>In particular, Reprieve</w:t>
      </w:r>
      <w:proofErr w:type="gramEnd"/>
      <w:r w:rsidRPr="007F7B3B">
        <w:t xml:space="preserve"> protects the rights of those facing the death penalty and delivers justice to victims of arbitrary detention, torture, and extrajudicial execution.</w:t>
      </w:r>
    </w:p>
    <w:p w14:paraId="1FC77D31" w14:textId="77777777" w:rsidR="004B1E4E" w:rsidRPr="007F7B3B" w:rsidRDefault="004B1E4E" w:rsidP="00F91060">
      <w:pPr>
        <w:spacing w:after="120"/>
        <w:jc w:val="center"/>
        <w:rPr>
          <w:b/>
          <w:bCs/>
          <w:caps/>
        </w:rPr>
      </w:pPr>
      <w:r w:rsidRPr="007F7B3B">
        <w:br w:type="page"/>
      </w:r>
      <w:r w:rsidRPr="007F7B3B">
        <w:rPr>
          <w:b/>
          <w:bCs/>
          <w:caps/>
        </w:rPr>
        <w:lastRenderedPageBreak/>
        <w:t>Executive Summary</w:t>
      </w:r>
    </w:p>
    <w:p w14:paraId="1F6D099D" w14:textId="5AA7FBB0" w:rsidR="008478CF" w:rsidRPr="007F7B3B" w:rsidRDefault="2EBD64B7" w:rsidP="008478CF">
      <w:pPr>
        <w:numPr>
          <w:ilvl w:val="0"/>
          <w:numId w:val="40"/>
        </w:numPr>
        <w:spacing w:after="120"/>
        <w:ind w:left="360"/>
        <w:jc w:val="both"/>
        <w:rPr>
          <w:b/>
          <w:bCs/>
        </w:rPr>
      </w:pPr>
      <w:r w:rsidRPr="007F7B3B">
        <w:t xml:space="preserve">This report addresses Egypt’s compliance with its human rights obligations </w:t>
      </w:r>
      <w:r w:rsidR="000367E8" w:rsidRPr="007F7B3B">
        <w:t>regarding</w:t>
      </w:r>
      <w:r w:rsidRPr="007F7B3B">
        <w:t xml:space="preserve"> the death penalty. Egypt ranks in the top </w:t>
      </w:r>
      <w:r w:rsidR="000C3730" w:rsidRPr="007F7B3B">
        <w:t>five</w:t>
      </w:r>
      <w:r w:rsidRPr="007F7B3B">
        <w:t xml:space="preserve"> countries for executions.</w:t>
      </w:r>
      <w:r w:rsidRPr="007F7B3B">
        <w:rPr>
          <w:rStyle w:val="FootnoteReference"/>
        </w:rPr>
        <w:footnoteReference w:id="2"/>
      </w:r>
      <w:r w:rsidRPr="007F7B3B">
        <w:t xml:space="preserve"> </w:t>
      </w:r>
      <w:r w:rsidR="008478CF" w:rsidRPr="007F7B3B">
        <w:t xml:space="preserve">This report provides updates to the written information </w:t>
      </w:r>
      <w:r w:rsidR="000C3730" w:rsidRPr="007F7B3B">
        <w:t xml:space="preserve">the coauthors submitted </w:t>
      </w:r>
      <w:r w:rsidR="00C05918" w:rsidRPr="007F7B3B">
        <w:t xml:space="preserve">in January 2023 </w:t>
      </w:r>
      <w:r w:rsidR="000C3730" w:rsidRPr="007F7B3B">
        <w:t xml:space="preserve">at the List of Issues stage </w:t>
      </w:r>
      <w:r w:rsidR="008478CF" w:rsidRPr="007F7B3B">
        <w:t xml:space="preserve">(the January 2023 </w:t>
      </w:r>
      <w:r w:rsidR="00BB19AC" w:rsidRPr="007F7B3B">
        <w:t>Suggested LOI</w:t>
      </w:r>
      <w:r w:rsidR="008478CF" w:rsidRPr="007F7B3B">
        <w:t>)</w:t>
      </w:r>
      <w:bookmarkStart w:id="0" w:name="_Ref146706210"/>
      <w:r w:rsidR="009F7BF0">
        <w:t>,</w:t>
      </w:r>
      <w:r w:rsidR="008A7B42" w:rsidRPr="007F7B3B">
        <w:rPr>
          <w:rStyle w:val="FootnoteReference"/>
        </w:rPr>
        <w:footnoteReference w:id="3"/>
      </w:r>
      <w:bookmarkEnd w:id="0"/>
      <w:r w:rsidR="009F7BF0">
        <w:t xml:space="preserve"> and provides additional information on women sentenced to death</w:t>
      </w:r>
      <w:r w:rsidR="00DA5AED">
        <w:t xml:space="preserve"> in Egypt and the Egyptian Government’s misplaced reliance on “state sovereignty” in response to calls for the country to abolish the death penalty.</w:t>
      </w:r>
      <w:r w:rsidR="008478CF" w:rsidRPr="007F7B3B">
        <w:t xml:space="preserve"> </w:t>
      </w:r>
    </w:p>
    <w:p w14:paraId="0B52CBF1" w14:textId="5E27E034" w:rsidR="2EBD64B7" w:rsidRPr="007F7B3B" w:rsidRDefault="2EBD64B7" w:rsidP="00433139">
      <w:pPr>
        <w:numPr>
          <w:ilvl w:val="0"/>
          <w:numId w:val="40"/>
        </w:numPr>
        <w:spacing w:after="120"/>
        <w:ind w:left="360"/>
        <w:jc w:val="both"/>
      </w:pPr>
      <w:r w:rsidRPr="007F7B3B">
        <w:t>According to Reprieve, between January 2020 and March 2022, Egypt executed at least 230 people.</w:t>
      </w:r>
      <w:r w:rsidRPr="007F7B3B">
        <w:rPr>
          <w:rStyle w:val="FootnoteReference"/>
        </w:rPr>
        <w:footnoteReference w:id="4"/>
      </w:r>
      <w:r w:rsidRPr="007F7B3B">
        <w:t xml:space="preserve"> Reprieve reports that</w:t>
      </w:r>
      <w:r w:rsidR="000B7906" w:rsidRPr="007F7B3B">
        <w:t xml:space="preserve"> Egyptian courts have held</w:t>
      </w:r>
      <w:r w:rsidRPr="007F7B3B">
        <w:t xml:space="preserve"> at least 53 mass trials since 2011, in which 2,182 people were sentenced to death.</w:t>
      </w:r>
      <w:r w:rsidRPr="007F7B3B">
        <w:rPr>
          <w:rStyle w:val="FootnoteReference"/>
        </w:rPr>
        <w:footnoteReference w:id="5"/>
      </w:r>
      <w:r w:rsidRPr="007F7B3B">
        <w:t xml:space="preserve"> This high number of executions and death sentences is particularly concerning in light of evidence of due process violations, including the use of torture to extract confessions, inadequate access to counsel for people accused of capital crimes, a lack of transparency in court proceedings, and </w:t>
      </w:r>
      <w:r w:rsidR="0044687F" w:rsidRPr="007F7B3B">
        <w:t>insufficien</w:t>
      </w:r>
      <w:r w:rsidR="007E6152" w:rsidRPr="007F7B3B">
        <w:t>t</w:t>
      </w:r>
      <w:r w:rsidR="0044687F" w:rsidRPr="007F7B3B">
        <w:t xml:space="preserve"> </w:t>
      </w:r>
      <w:r w:rsidRPr="007F7B3B">
        <w:t>investigat</w:t>
      </w:r>
      <w:r w:rsidR="007E6152" w:rsidRPr="007F7B3B">
        <w:t>ions</w:t>
      </w:r>
      <w:r w:rsidRPr="007F7B3B">
        <w:t xml:space="preserve"> </w:t>
      </w:r>
      <w:r w:rsidR="007E6152" w:rsidRPr="007F7B3B">
        <w:t>of</w:t>
      </w:r>
      <w:r w:rsidR="00F83C1B" w:rsidRPr="007F7B3B">
        <w:t xml:space="preserve"> allegations of</w:t>
      </w:r>
      <w:r w:rsidR="007E6152" w:rsidRPr="007F7B3B">
        <w:t xml:space="preserve"> </w:t>
      </w:r>
      <w:r w:rsidR="00AD0BE2" w:rsidRPr="007F7B3B">
        <w:t xml:space="preserve">torture and other forms of </w:t>
      </w:r>
      <w:r w:rsidR="00DC3D7C" w:rsidRPr="007F7B3B">
        <w:t xml:space="preserve">cruel, </w:t>
      </w:r>
      <w:r w:rsidRPr="007F7B3B">
        <w:t xml:space="preserve">inhuman </w:t>
      </w:r>
      <w:r w:rsidR="00DC3D7C" w:rsidRPr="007F7B3B">
        <w:t xml:space="preserve">or degrading </w:t>
      </w:r>
      <w:r w:rsidRPr="007F7B3B">
        <w:t xml:space="preserve">treatment. </w:t>
      </w:r>
    </w:p>
    <w:p w14:paraId="3D754F32" w14:textId="183E9309" w:rsidR="0035422B" w:rsidRPr="007F7B3B" w:rsidRDefault="75153A4A" w:rsidP="00A97817">
      <w:pPr>
        <w:numPr>
          <w:ilvl w:val="0"/>
          <w:numId w:val="40"/>
        </w:numPr>
        <w:spacing w:after="120"/>
        <w:ind w:left="360"/>
        <w:jc w:val="both"/>
        <w:rPr>
          <w:b/>
          <w:bCs/>
        </w:rPr>
      </w:pPr>
      <w:r w:rsidRPr="007F7B3B">
        <w:t xml:space="preserve">Legal safeguards against torture are ineffective, and individuals accused of capital crimes are subjected to enforced disappearances, incommunicado detention, torture, and other forms of inhuman treatment. </w:t>
      </w:r>
      <w:r w:rsidR="00B471E1" w:rsidRPr="007F7B3B">
        <w:t xml:space="preserve">Authorities conducting mass trials </w:t>
      </w:r>
      <w:r w:rsidR="005B7B7E" w:rsidRPr="007F7B3B">
        <w:t xml:space="preserve">and trying civilians in military courts </w:t>
      </w:r>
      <w:r w:rsidR="00B471E1" w:rsidRPr="007F7B3B">
        <w:t>violate t</w:t>
      </w:r>
      <w:r w:rsidRPr="007F7B3B">
        <w:t>he constitutional rights to due process and adequate legal representation. Egypt has not taken concrete steps to reduce the number of crimes eligible for the death penalty, and the use of torture and other due process violations related to judicial proceedings render all death sentences arbitrary.</w:t>
      </w:r>
      <w:r w:rsidRPr="007F7B3B">
        <w:rPr>
          <w:rStyle w:val="FootnoteReference"/>
        </w:rPr>
        <w:footnoteReference w:id="6"/>
      </w:r>
      <w:r w:rsidR="002F1975" w:rsidRPr="007F7B3B">
        <w:t xml:space="preserve"> </w:t>
      </w:r>
    </w:p>
    <w:p w14:paraId="0A0919C6" w14:textId="009866F4" w:rsidR="75153A4A" w:rsidRPr="007F7B3B" w:rsidRDefault="002F1975" w:rsidP="00433139">
      <w:pPr>
        <w:numPr>
          <w:ilvl w:val="0"/>
          <w:numId w:val="40"/>
        </w:numPr>
        <w:spacing w:after="120"/>
        <w:ind w:left="360"/>
        <w:jc w:val="both"/>
        <w:rPr>
          <w:b/>
          <w:bCs/>
        </w:rPr>
      </w:pPr>
      <w:r w:rsidRPr="007F7B3B">
        <w:t xml:space="preserve">In addition to information about the number of executions occurring in 2021 discussed in paragraph 18 of the January 2023 </w:t>
      </w:r>
      <w:r w:rsidR="00551CDF" w:rsidRPr="007F7B3B">
        <w:t>Suggested LOI</w:t>
      </w:r>
      <w:r w:rsidRPr="007F7B3B">
        <w:t>, Egypt carried out 24 known executions in 2022.</w:t>
      </w:r>
      <w:r w:rsidRPr="007F7B3B">
        <w:rPr>
          <w:rStyle w:val="FootnoteReference"/>
        </w:rPr>
        <w:footnoteReference w:id="7"/>
      </w:r>
      <w:r w:rsidRPr="007F7B3B">
        <w:t xml:space="preserve"> Egypt imposed 538 recorded death sentences in 2022, an increase from an estimated 356 in 2021.</w:t>
      </w:r>
      <w:r w:rsidRPr="007F7B3B">
        <w:rPr>
          <w:rStyle w:val="FootnoteReference"/>
        </w:rPr>
        <w:footnoteReference w:id="8"/>
      </w:r>
      <w:r w:rsidR="00CA7020" w:rsidRPr="007F7B3B">
        <w:t xml:space="preserve"> In 2023, </w:t>
      </w:r>
      <w:r w:rsidR="00DE1248" w:rsidRPr="007F7B3B">
        <w:t xml:space="preserve">Egypt carried out executions as recently as </w:t>
      </w:r>
      <w:r w:rsidR="00423D8B" w:rsidRPr="007F7B3B">
        <w:t>June 14.</w:t>
      </w:r>
      <w:r w:rsidR="00423D8B" w:rsidRPr="007F7B3B">
        <w:rPr>
          <w:rStyle w:val="FootnoteReference"/>
        </w:rPr>
        <w:footnoteReference w:id="9"/>
      </w:r>
      <w:r w:rsidR="00423D8B" w:rsidRPr="007F7B3B">
        <w:t xml:space="preserve"> </w:t>
      </w:r>
    </w:p>
    <w:p w14:paraId="75B00959" w14:textId="4616C3BB" w:rsidR="008F2F99" w:rsidRPr="007F7B3B" w:rsidRDefault="24B40153" w:rsidP="002043F6">
      <w:pPr>
        <w:keepNext/>
        <w:spacing w:after="120"/>
        <w:jc w:val="center"/>
        <w:rPr>
          <w:b/>
          <w:bCs/>
        </w:rPr>
      </w:pPr>
      <w:r w:rsidRPr="007F7B3B">
        <w:rPr>
          <w:b/>
          <w:bCs/>
        </w:rPr>
        <w:lastRenderedPageBreak/>
        <w:t>Egypt</w:t>
      </w:r>
      <w:r w:rsidR="008F2F99" w:rsidRPr="007F7B3B">
        <w:rPr>
          <w:b/>
          <w:bCs/>
        </w:rPr>
        <w:t xml:space="preserve"> fails to uphold its obligations under the </w:t>
      </w:r>
      <w:r w:rsidR="26739C32" w:rsidRPr="007F7B3B">
        <w:rPr>
          <w:b/>
          <w:bCs/>
        </w:rPr>
        <w:t>under the Convention against Torture and Other Cruel, Inhuman or Degrading Treatment or Punishment</w:t>
      </w:r>
    </w:p>
    <w:p w14:paraId="12F0C1D7" w14:textId="7AA7225D" w:rsidR="54233894" w:rsidRPr="007F7B3B" w:rsidRDefault="54233894" w:rsidP="006A334B">
      <w:pPr>
        <w:keepNext/>
        <w:numPr>
          <w:ilvl w:val="0"/>
          <w:numId w:val="41"/>
        </w:numPr>
        <w:spacing w:after="120"/>
        <w:ind w:left="720" w:hanging="360"/>
        <w:jc w:val="both"/>
        <w:rPr>
          <w:b/>
          <w:bCs/>
        </w:rPr>
      </w:pPr>
      <w:r w:rsidRPr="007F7B3B">
        <w:rPr>
          <w:b/>
          <w:bCs/>
        </w:rPr>
        <w:t>E</w:t>
      </w:r>
      <w:r w:rsidR="4911EF81" w:rsidRPr="007F7B3B">
        <w:rPr>
          <w:b/>
          <w:bCs/>
        </w:rPr>
        <w:t xml:space="preserve">vidence obtained under torture is </w:t>
      </w:r>
      <w:r w:rsidR="4560CFE0" w:rsidRPr="007F7B3B">
        <w:rPr>
          <w:b/>
          <w:bCs/>
        </w:rPr>
        <w:t xml:space="preserve">used to obtain convictions and sentence people to death </w:t>
      </w:r>
      <w:r w:rsidR="2D53CB90" w:rsidRPr="007F7B3B">
        <w:rPr>
          <w:b/>
          <w:bCs/>
          <w:color w:val="000000" w:themeColor="text1"/>
        </w:rPr>
        <w:t>(List of Issues Paragraph 24).</w:t>
      </w:r>
    </w:p>
    <w:p w14:paraId="24E9D524" w14:textId="3B3E8F57" w:rsidR="2D53CB90" w:rsidRPr="007F7B3B" w:rsidRDefault="274B2978" w:rsidP="006A334B">
      <w:pPr>
        <w:numPr>
          <w:ilvl w:val="0"/>
          <w:numId w:val="40"/>
        </w:numPr>
        <w:spacing w:after="120"/>
        <w:ind w:left="360"/>
        <w:jc w:val="both"/>
        <w:rPr>
          <w:lang w:val="en-GB"/>
        </w:rPr>
      </w:pPr>
      <w:r w:rsidRPr="007F7B3B">
        <w:t>In its</w:t>
      </w:r>
      <w:r w:rsidR="6E19AA96" w:rsidRPr="007F7B3B">
        <w:t xml:space="preserve"> </w:t>
      </w:r>
      <w:r w:rsidR="003A749C" w:rsidRPr="007F7B3B">
        <w:t xml:space="preserve">June 2023 </w:t>
      </w:r>
      <w:r w:rsidR="6E19AA96" w:rsidRPr="007F7B3B">
        <w:t>List of Issues</w:t>
      </w:r>
      <w:r w:rsidRPr="007F7B3B">
        <w:t xml:space="preserve">, the Committee </w:t>
      </w:r>
      <w:r w:rsidR="209B8A86" w:rsidRPr="007F7B3B">
        <w:t xml:space="preserve">made note of </w:t>
      </w:r>
      <w:r w:rsidR="00EB0E76" w:rsidRPr="007F7B3B">
        <w:t>w</w:t>
      </w:r>
      <w:proofErr w:type="spellStart"/>
      <w:r w:rsidR="00EB0E76" w:rsidRPr="007F7B3B">
        <w:rPr>
          <w:lang w:val="en-GB"/>
        </w:rPr>
        <w:t>idespread</w:t>
      </w:r>
      <w:proofErr w:type="spellEnd"/>
      <w:r w:rsidR="03713824" w:rsidRPr="007F7B3B">
        <w:rPr>
          <w:lang w:val="en-GB"/>
        </w:rPr>
        <w:t xml:space="preserve"> allegations that </w:t>
      </w:r>
      <w:r w:rsidR="00E611C7" w:rsidRPr="007F7B3B">
        <w:rPr>
          <w:lang w:val="en-GB"/>
        </w:rPr>
        <w:t xml:space="preserve">people in detention </w:t>
      </w:r>
      <w:r w:rsidR="03713824" w:rsidRPr="007F7B3B">
        <w:rPr>
          <w:lang w:val="en-GB"/>
        </w:rPr>
        <w:t>are tortured to extract confessions or information for investigations</w:t>
      </w:r>
      <w:r w:rsidR="42161D55" w:rsidRPr="007F7B3B">
        <w:rPr>
          <w:lang w:val="en-GB"/>
        </w:rPr>
        <w:t xml:space="preserve"> and that judges may not be fully implementing the exclusionary rule to exclude evidence obtained under torture</w:t>
      </w:r>
      <w:r w:rsidR="000C60B4" w:rsidRPr="007F7B3B">
        <w:rPr>
          <w:lang w:val="en-GB"/>
        </w:rPr>
        <w:t xml:space="preserve"> during court proceedings</w:t>
      </w:r>
      <w:r w:rsidR="24108C71" w:rsidRPr="007F7B3B">
        <w:rPr>
          <w:lang w:val="en-GB"/>
        </w:rPr>
        <w:t>.</w:t>
      </w:r>
      <w:r w:rsidR="2D53CB90" w:rsidRPr="007F7B3B">
        <w:rPr>
          <w:rStyle w:val="FootnoteReference"/>
          <w:lang w:val="en-GB"/>
        </w:rPr>
        <w:footnoteReference w:id="10"/>
      </w:r>
      <w:r w:rsidR="495C70C2" w:rsidRPr="007F7B3B">
        <w:rPr>
          <w:lang w:val="en-GB"/>
        </w:rPr>
        <w:t xml:space="preserve"> </w:t>
      </w:r>
    </w:p>
    <w:p w14:paraId="78B04CFD" w14:textId="2BE2D8DB" w:rsidR="36CF9F6C" w:rsidRPr="007F7B3B" w:rsidRDefault="5D50446C" w:rsidP="00433139">
      <w:pPr>
        <w:numPr>
          <w:ilvl w:val="0"/>
          <w:numId w:val="40"/>
        </w:numPr>
        <w:spacing w:after="120"/>
        <w:ind w:left="360"/>
        <w:jc w:val="both"/>
        <w:rPr>
          <w:vertAlign w:val="superscript"/>
        </w:rPr>
      </w:pPr>
      <w:r w:rsidRPr="007F7B3B">
        <w:t xml:space="preserve">In its Fifth Periodic Report, Egypt asserts that </w:t>
      </w:r>
      <w:r w:rsidR="00527F99" w:rsidRPr="007F7B3B">
        <w:t xml:space="preserve">various parts of the Criminal Code address </w:t>
      </w:r>
      <w:proofErr w:type="gramStart"/>
      <w:r w:rsidRPr="007F7B3B">
        <w:t>all of</w:t>
      </w:r>
      <w:proofErr w:type="gramEnd"/>
      <w:r w:rsidRPr="007F7B3B">
        <w:t xml:space="preserve"> the forms of torture envisaged in article 1 of the Convention and that, in some cases, the Criminal Code expands the </w:t>
      </w:r>
      <w:r w:rsidR="00F56E2E" w:rsidRPr="007F7B3B">
        <w:t xml:space="preserve">definition </w:t>
      </w:r>
      <w:r w:rsidRPr="007F7B3B">
        <w:t xml:space="preserve">to include certain acts as torture which would not be considered torture </w:t>
      </w:r>
      <w:r w:rsidR="002A44E8" w:rsidRPr="007F7B3B">
        <w:t xml:space="preserve">under </w:t>
      </w:r>
      <w:r w:rsidRPr="007F7B3B">
        <w:t>article 1, paragraph 1, of the Convention.</w:t>
      </w:r>
      <w:r w:rsidR="36CF9F6C" w:rsidRPr="007F7B3B">
        <w:rPr>
          <w:rStyle w:val="FootnoteReference"/>
        </w:rPr>
        <w:footnoteReference w:id="11"/>
      </w:r>
    </w:p>
    <w:p w14:paraId="2B90FF1A" w14:textId="13E456D6" w:rsidR="36CF9F6C" w:rsidRPr="007F7B3B" w:rsidRDefault="36CF9F6C" w:rsidP="00433139">
      <w:pPr>
        <w:numPr>
          <w:ilvl w:val="0"/>
          <w:numId w:val="40"/>
        </w:numPr>
        <w:spacing w:after="120"/>
        <w:ind w:left="360"/>
        <w:jc w:val="both"/>
      </w:pPr>
      <w:r w:rsidRPr="007F7B3B">
        <w:t>E</w:t>
      </w:r>
      <w:r w:rsidR="53FD5CAE" w:rsidRPr="007F7B3B">
        <w:t>gypt</w:t>
      </w:r>
      <w:r w:rsidR="58323C8C" w:rsidRPr="007F7B3B">
        <w:t xml:space="preserve"> also</w:t>
      </w:r>
      <w:r w:rsidR="53FD5CAE" w:rsidRPr="007F7B3B">
        <w:t xml:space="preserve"> asserts that the inadmissibility of statements proven to have been extracted </w:t>
      </w:r>
      <w:proofErr w:type="gramStart"/>
      <w:r w:rsidR="53FD5CAE" w:rsidRPr="007F7B3B">
        <w:t>as a result of</w:t>
      </w:r>
      <w:proofErr w:type="gramEnd"/>
      <w:r w:rsidR="53FD5CAE" w:rsidRPr="007F7B3B">
        <w:t xml:space="preserve"> torture is a constitutional and legal norm. Article 55 of the Constitution deems </w:t>
      </w:r>
      <w:r w:rsidR="000A3409" w:rsidRPr="007F7B3B">
        <w:t xml:space="preserve">null and void </w:t>
      </w:r>
      <w:r w:rsidR="53FD5CAE" w:rsidRPr="007F7B3B">
        <w:t xml:space="preserve">any statement that is shown to have been made by a detainee </w:t>
      </w:r>
      <w:proofErr w:type="gramStart"/>
      <w:r w:rsidR="53FD5CAE" w:rsidRPr="007F7B3B">
        <w:t>as a consequence of</w:t>
      </w:r>
      <w:proofErr w:type="gramEnd"/>
      <w:r w:rsidR="53FD5CAE" w:rsidRPr="007F7B3B">
        <w:t xml:space="preserve"> torture, intimidation or coercion, physical or mental abuse, or the threat thereof</w:t>
      </w:r>
      <w:r w:rsidR="13AB05C5" w:rsidRPr="007F7B3B">
        <w:t>.</w:t>
      </w:r>
      <w:r w:rsidRPr="007F7B3B">
        <w:rPr>
          <w:rStyle w:val="FootnoteReference"/>
        </w:rPr>
        <w:footnoteReference w:id="12"/>
      </w:r>
      <w:r w:rsidR="1788C196" w:rsidRPr="007F7B3B">
        <w:t xml:space="preserve"> </w:t>
      </w:r>
      <w:r w:rsidR="53FD5CAE" w:rsidRPr="007F7B3B">
        <w:t xml:space="preserve">Article 302 of the Code of Criminal Procedure also makes </w:t>
      </w:r>
      <w:r w:rsidR="00CC0359" w:rsidRPr="007F7B3B">
        <w:t xml:space="preserve">inadmissible </w:t>
      </w:r>
      <w:r w:rsidR="53FD5CAE" w:rsidRPr="007F7B3B">
        <w:t>any statement given by an accused person or witness that is shown to have been extracted using coercion or threats.</w:t>
      </w:r>
      <w:r w:rsidRPr="007F7B3B">
        <w:rPr>
          <w:rStyle w:val="FootnoteReference"/>
        </w:rPr>
        <w:footnoteReference w:id="13"/>
      </w:r>
    </w:p>
    <w:p w14:paraId="41FF35C5" w14:textId="7C85F899" w:rsidR="00E0012E" w:rsidRPr="007F7B3B" w:rsidRDefault="2EBF2630" w:rsidP="00433139">
      <w:pPr>
        <w:numPr>
          <w:ilvl w:val="0"/>
          <w:numId w:val="40"/>
        </w:numPr>
        <w:spacing w:after="120"/>
        <w:ind w:left="360"/>
        <w:jc w:val="both"/>
        <w:rPr>
          <w:vertAlign w:val="superscript"/>
        </w:rPr>
      </w:pPr>
      <w:r w:rsidRPr="007F7B3B">
        <w:t xml:space="preserve">As discussed </w:t>
      </w:r>
      <w:r w:rsidR="5AE5CC78" w:rsidRPr="007F7B3B">
        <w:t xml:space="preserve">extensively </w:t>
      </w:r>
      <w:r w:rsidRPr="007F7B3B">
        <w:t>in the</w:t>
      </w:r>
      <w:r w:rsidR="00F91ABE" w:rsidRPr="007F7B3B">
        <w:t xml:space="preserve"> January 2023</w:t>
      </w:r>
      <w:r w:rsidRPr="007F7B3B">
        <w:t xml:space="preserve"> </w:t>
      </w:r>
      <w:r w:rsidR="00551CDF" w:rsidRPr="007F7B3B">
        <w:t>Suggested LOI</w:t>
      </w:r>
      <w:r w:rsidR="5E98E59C" w:rsidRPr="007F7B3B">
        <w:t xml:space="preserve">, </w:t>
      </w:r>
      <w:r w:rsidR="53FD5CAE" w:rsidRPr="007F7B3B">
        <w:t xml:space="preserve">Egyptian courts </w:t>
      </w:r>
      <w:r w:rsidR="7CD934AC" w:rsidRPr="007F7B3B">
        <w:t xml:space="preserve">continue to </w:t>
      </w:r>
      <w:r w:rsidR="53FD5CAE" w:rsidRPr="007F7B3B">
        <w:t>rely on reports of the N</w:t>
      </w:r>
      <w:r w:rsidR="57BCB441" w:rsidRPr="007F7B3B">
        <w:t xml:space="preserve">ational Security Agency </w:t>
      </w:r>
      <w:r w:rsidR="53FD5CAE" w:rsidRPr="007F7B3B">
        <w:t xml:space="preserve">and </w:t>
      </w:r>
      <w:r w:rsidR="00765AB3" w:rsidRPr="007F7B3B">
        <w:t xml:space="preserve">on other </w:t>
      </w:r>
      <w:r w:rsidR="53FD5CAE" w:rsidRPr="007F7B3B">
        <w:t>unreliable evidence, including confessions extracted through torture.</w:t>
      </w:r>
      <w:r w:rsidR="53FD5CAE" w:rsidRPr="007F7B3B">
        <w:rPr>
          <w:rStyle w:val="FootnoteReference"/>
        </w:rPr>
        <w:footnoteReference w:id="14"/>
      </w:r>
      <w:r w:rsidR="53FD5CAE" w:rsidRPr="007F7B3B">
        <w:t xml:space="preserve"> </w:t>
      </w:r>
    </w:p>
    <w:p w14:paraId="6E7EA9E5" w14:textId="52D164CB" w:rsidR="346F24B7" w:rsidRPr="007F7B3B" w:rsidRDefault="4FA4027B" w:rsidP="000A1B7F">
      <w:pPr>
        <w:numPr>
          <w:ilvl w:val="0"/>
          <w:numId w:val="40"/>
        </w:numPr>
        <w:spacing w:after="120"/>
        <w:ind w:left="360"/>
        <w:jc w:val="both"/>
        <w:rPr>
          <w:vertAlign w:val="superscript"/>
        </w:rPr>
      </w:pPr>
      <w:r w:rsidRPr="007F7B3B">
        <w:t>In addition to</w:t>
      </w:r>
      <w:r w:rsidR="00260FB6" w:rsidRPr="007F7B3B">
        <w:t xml:space="preserve"> cases</w:t>
      </w:r>
      <w:r w:rsidR="001F69F4" w:rsidRPr="007F7B3B">
        <w:t xml:space="preserve"> </w:t>
      </w:r>
      <w:r w:rsidR="00632FE4" w:rsidRPr="007F7B3B">
        <w:t>discussed</w:t>
      </w:r>
      <w:r w:rsidRPr="007F7B3B">
        <w:t xml:space="preserve"> in </w:t>
      </w:r>
      <w:r w:rsidR="00995416" w:rsidRPr="007F7B3B">
        <w:t>paragraphs 24</w:t>
      </w:r>
      <w:r w:rsidR="00260FB6" w:rsidRPr="007F7B3B">
        <w:t>–28 of the</w:t>
      </w:r>
      <w:r w:rsidR="00995416" w:rsidRPr="007F7B3B">
        <w:t xml:space="preserve"> </w:t>
      </w:r>
      <w:r w:rsidRPr="007F7B3B">
        <w:t xml:space="preserve">January 2023 </w:t>
      </w:r>
      <w:r w:rsidR="00551CDF" w:rsidRPr="007F7B3B">
        <w:t>Suggested LOI</w:t>
      </w:r>
      <w:r w:rsidRPr="007F7B3B">
        <w:t>,</w:t>
      </w:r>
      <w:r w:rsidR="00137C87" w:rsidRPr="007F7B3B">
        <w:t xml:space="preserve"> </w:t>
      </w:r>
      <w:r w:rsidR="00082633" w:rsidRPr="007F7B3B">
        <w:t>defend</w:t>
      </w:r>
      <w:r w:rsidR="009D46D3" w:rsidRPr="007F7B3B">
        <w:t>a</w:t>
      </w:r>
      <w:r w:rsidR="00082633" w:rsidRPr="007F7B3B">
        <w:t xml:space="preserve">nts alleged </w:t>
      </w:r>
      <w:r w:rsidR="009D46D3" w:rsidRPr="007F7B3B">
        <w:t xml:space="preserve">enforced disappearance and </w:t>
      </w:r>
      <w:r w:rsidR="00082633" w:rsidRPr="007F7B3B">
        <w:t xml:space="preserve">torture in </w:t>
      </w:r>
      <w:r w:rsidR="00C6761C" w:rsidRPr="007F7B3B">
        <w:t>seven ca</w:t>
      </w:r>
      <w:r w:rsidR="00810361" w:rsidRPr="007F7B3B">
        <w:t xml:space="preserve">pital cases </w:t>
      </w:r>
      <w:r w:rsidR="00E25032" w:rsidRPr="007F7B3B">
        <w:t xml:space="preserve">known as the </w:t>
      </w:r>
      <w:proofErr w:type="spellStart"/>
      <w:r w:rsidR="00F26691" w:rsidRPr="007F7B3B">
        <w:t>Hilwan</w:t>
      </w:r>
      <w:proofErr w:type="spellEnd"/>
      <w:r w:rsidR="00F26691" w:rsidRPr="007F7B3B">
        <w:t xml:space="preserve"> Microbus case</w:t>
      </w:r>
      <w:r w:rsidR="006E171C" w:rsidRPr="007F7B3B">
        <w:t>s</w:t>
      </w:r>
      <w:r w:rsidR="00F26691" w:rsidRPr="007F7B3B">
        <w:t xml:space="preserve"> and the </w:t>
      </w:r>
      <w:proofErr w:type="spellStart"/>
      <w:r w:rsidR="00F26691" w:rsidRPr="007F7B3B">
        <w:t>Ainad</w:t>
      </w:r>
      <w:proofErr w:type="spellEnd"/>
      <w:r w:rsidR="00F26691" w:rsidRPr="007F7B3B">
        <w:t xml:space="preserve"> Masr/Soldiers of Egypt case</w:t>
      </w:r>
      <w:r w:rsidR="006E171C" w:rsidRPr="007F7B3B">
        <w:t>s</w:t>
      </w:r>
      <w:r w:rsidR="00F26691" w:rsidRPr="007F7B3B">
        <w:t>. Despite alleg</w:t>
      </w:r>
      <w:r w:rsidR="00711DA4" w:rsidRPr="007F7B3B">
        <w:t>ations of</w:t>
      </w:r>
      <w:r w:rsidR="00F26691" w:rsidRPr="007F7B3B">
        <w:t xml:space="preserve"> torture and false confessions, </w:t>
      </w:r>
      <w:r w:rsidR="00CE5B7B" w:rsidRPr="007F7B3B">
        <w:t xml:space="preserve">Egypt </w:t>
      </w:r>
      <w:r w:rsidR="00137C87" w:rsidRPr="007F7B3B">
        <w:t xml:space="preserve">executed </w:t>
      </w:r>
      <w:r w:rsidR="00CE3C07" w:rsidRPr="007F7B3B">
        <w:t xml:space="preserve">four men </w:t>
      </w:r>
      <w:r w:rsidR="006E171C" w:rsidRPr="007F7B3B">
        <w:t xml:space="preserve">in the </w:t>
      </w:r>
      <w:proofErr w:type="spellStart"/>
      <w:r w:rsidR="006E171C" w:rsidRPr="007F7B3B">
        <w:t>Hilwan</w:t>
      </w:r>
      <w:proofErr w:type="spellEnd"/>
      <w:r w:rsidR="006E171C" w:rsidRPr="007F7B3B">
        <w:t xml:space="preserve"> Microbus case </w:t>
      </w:r>
      <w:r w:rsidR="00137C87" w:rsidRPr="007F7B3B">
        <w:t xml:space="preserve">on March </w:t>
      </w:r>
      <w:r w:rsidR="00562B1B" w:rsidRPr="007F7B3B">
        <w:t>8</w:t>
      </w:r>
      <w:r w:rsidR="005B417E" w:rsidRPr="007F7B3B">
        <w:t>, 2022,</w:t>
      </w:r>
      <w:r w:rsidR="00562B1B" w:rsidRPr="007F7B3B">
        <w:t xml:space="preserve"> </w:t>
      </w:r>
      <w:r w:rsidR="000A3229" w:rsidRPr="007F7B3B">
        <w:t>and three men</w:t>
      </w:r>
      <w:r w:rsidR="006E171C" w:rsidRPr="007F7B3B">
        <w:t xml:space="preserve"> in</w:t>
      </w:r>
      <w:r w:rsidR="000A3229" w:rsidRPr="007F7B3B">
        <w:t xml:space="preserve"> </w:t>
      </w:r>
      <w:r w:rsidR="006E171C" w:rsidRPr="007F7B3B">
        <w:t xml:space="preserve">the </w:t>
      </w:r>
      <w:proofErr w:type="spellStart"/>
      <w:r w:rsidR="006E171C" w:rsidRPr="007F7B3B">
        <w:t>Ajnad</w:t>
      </w:r>
      <w:proofErr w:type="spellEnd"/>
      <w:r w:rsidR="006E171C" w:rsidRPr="007F7B3B">
        <w:t xml:space="preserve"> Masr/Soldiers of Egypt case </w:t>
      </w:r>
      <w:r w:rsidR="000A3229" w:rsidRPr="007F7B3B">
        <w:t xml:space="preserve">on </w:t>
      </w:r>
      <w:r w:rsidR="00562B1B" w:rsidRPr="007F7B3B">
        <w:t>March 10, 2022</w:t>
      </w:r>
      <w:r w:rsidR="003D7BBF" w:rsidRPr="007F7B3B">
        <w:t>, all</w:t>
      </w:r>
      <w:r w:rsidR="006E171C" w:rsidRPr="007F7B3B">
        <w:t xml:space="preserve"> </w:t>
      </w:r>
      <w:r w:rsidR="00AB46CA" w:rsidRPr="007F7B3B">
        <w:t>f</w:t>
      </w:r>
      <w:r w:rsidR="000F30DB" w:rsidRPr="007F7B3B">
        <w:t xml:space="preserve">or terrorism-related </w:t>
      </w:r>
      <w:r w:rsidR="003D7BBF" w:rsidRPr="007F7B3B">
        <w:t>offenses</w:t>
      </w:r>
      <w:r w:rsidR="007F36A2" w:rsidRPr="007F7B3B">
        <w:t xml:space="preserve">. </w:t>
      </w:r>
      <w:r w:rsidR="0064041D" w:rsidRPr="007F7B3B">
        <w:t xml:space="preserve">The High Commissioner for Human Rights delivered a press release </w:t>
      </w:r>
      <w:r w:rsidR="00F855BF" w:rsidRPr="007F7B3B">
        <w:t>reiterating concerns about counterterrorism legislation in Egypt.</w:t>
      </w:r>
      <w:r w:rsidR="00CC7A91" w:rsidRPr="007F7B3B">
        <w:rPr>
          <w:rStyle w:val="FootnoteReference"/>
        </w:rPr>
        <w:footnoteReference w:id="15"/>
      </w:r>
      <w:r w:rsidR="0064041D" w:rsidRPr="007F7B3B">
        <w:t xml:space="preserve"> </w:t>
      </w:r>
    </w:p>
    <w:p w14:paraId="6777FD2A" w14:textId="2C7EF17B" w:rsidR="3C020C4C" w:rsidRPr="007F7B3B" w:rsidRDefault="3C020C4C" w:rsidP="000A1B7F">
      <w:pPr>
        <w:keepNext/>
        <w:numPr>
          <w:ilvl w:val="0"/>
          <w:numId w:val="41"/>
        </w:numPr>
        <w:spacing w:after="120"/>
        <w:ind w:left="720" w:hanging="360"/>
        <w:jc w:val="both"/>
        <w:rPr>
          <w:b/>
          <w:bCs/>
        </w:rPr>
      </w:pPr>
      <w:r w:rsidRPr="007F7B3B">
        <w:rPr>
          <w:b/>
          <w:bCs/>
          <w:color w:val="000000" w:themeColor="text1"/>
        </w:rPr>
        <w:lastRenderedPageBreak/>
        <w:t xml:space="preserve">Egypt continues to sentence people to death for crimes </w:t>
      </w:r>
      <w:r w:rsidR="00FD3868" w:rsidRPr="007F7B3B">
        <w:rPr>
          <w:b/>
          <w:bCs/>
          <w:color w:val="000000" w:themeColor="text1"/>
        </w:rPr>
        <w:t>that do not rise to the level of “</w:t>
      </w:r>
      <w:r w:rsidRPr="007F7B3B">
        <w:rPr>
          <w:b/>
          <w:bCs/>
          <w:color w:val="000000" w:themeColor="text1"/>
        </w:rPr>
        <w:t>most serious</w:t>
      </w:r>
      <w:r w:rsidR="00FD3868" w:rsidRPr="007F7B3B">
        <w:rPr>
          <w:b/>
          <w:bCs/>
          <w:color w:val="000000" w:themeColor="text1"/>
        </w:rPr>
        <w:t>”</w:t>
      </w:r>
      <w:r w:rsidRPr="007F7B3B">
        <w:rPr>
          <w:b/>
          <w:bCs/>
          <w:color w:val="000000" w:themeColor="text1"/>
        </w:rPr>
        <w:t xml:space="preserve"> (List of Issues Paragraph 25).</w:t>
      </w:r>
    </w:p>
    <w:p w14:paraId="78624F47" w14:textId="133E3405" w:rsidR="3E5D67CC" w:rsidRPr="007F7B3B" w:rsidRDefault="3E5D67CC" w:rsidP="00433139">
      <w:pPr>
        <w:numPr>
          <w:ilvl w:val="0"/>
          <w:numId w:val="40"/>
        </w:numPr>
        <w:spacing w:after="120"/>
        <w:ind w:left="360"/>
        <w:jc w:val="both"/>
        <w:rPr>
          <w:lang w:val="en-GB"/>
        </w:rPr>
      </w:pPr>
      <w:r w:rsidRPr="007F7B3B">
        <w:t xml:space="preserve">In its June 2023 List of Issues, the Committee </w:t>
      </w:r>
      <w:r w:rsidR="75F2B7FE" w:rsidRPr="007F7B3B">
        <w:t>requested t</w:t>
      </w:r>
      <w:r w:rsidR="537ABF68" w:rsidRPr="007F7B3B">
        <w:t>hat t</w:t>
      </w:r>
      <w:r w:rsidR="75F2B7FE" w:rsidRPr="007F7B3B">
        <w:t>he State provide evidence that the death penalty is imposed</w:t>
      </w:r>
      <w:r w:rsidR="00F0387F" w:rsidRPr="007F7B3B">
        <w:t xml:space="preserve"> only</w:t>
      </w:r>
      <w:r w:rsidR="75F2B7FE" w:rsidRPr="007F7B3B">
        <w:t xml:space="preserve"> for crimes involving </w:t>
      </w:r>
      <w:r w:rsidR="003976FB" w:rsidRPr="007F7B3B">
        <w:t xml:space="preserve">an </w:t>
      </w:r>
      <w:r w:rsidR="75F2B7FE" w:rsidRPr="007F7B3B">
        <w:t>in</w:t>
      </w:r>
      <w:r w:rsidR="7478C3A3" w:rsidRPr="007F7B3B">
        <w:t>tentional killing</w:t>
      </w:r>
      <w:r w:rsidR="2301B126" w:rsidRPr="007F7B3B">
        <w:t>, in line with international legal standards</w:t>
      </w:r>
      <w:r w:rsidRPr="007F7B3B">
        <w:rPr>
          <w:lang w:val="en-GB"/>
        </w:rPr>
        <w:t>.</w:t>
      </w:r>
      <w:r w:rsidRPr="007F7B3B">
        <w:rPr>
          <w:rStyle w:val="FootnoteReference"/>
          <w:lang w:val="en-GB"/>
        </w:rPr>
        <w:footnoteReference w:id="16"/>
      </w:r>
      <w:r w:rsidRPr="007F7B3B">
        <w:rPr>
          <w:lang w:val="en-GB"/>
        </w:rPr>
        <w:t xml:space="preserve"> </w:t>
      </w:r>
    </w:p>
    <w:p w14:paraId="4650A77C" w14:textId="089EA273" w:rsidR="1211642F" w:rsidRPr="007F7B3B" w:rsidRDefault="1211642F" w:rsidP="00EB259C">
      <w:pPr>
        <w:numPr>
          <w:ilvl w:val="0"/>
          <w:numId w:val="40"/>
        </w:numPr>
        <w:spacing w:after="120"/>
        <w:ind w:left="360"/>
        <w:jc w:val="both"/>
      </w:pPr>
      <w:r w:rsidRPr="007F7B3B">
        <w:t>As discussed</w:t>
      </w:r>
      <w:r w:rsidR="4BF4D54F" w:rsidRPr="007F7B3B">
        <w:t xml:space="preserve"> extensively</w:t>
      </w:r>
      <w:r w:rsidRPr="007F7B3B">
        <w:t xml:space="preserve"> in </w:t>
      </w:r>
      <w:r w:rsidR="70E6D503" w:rsidRPr="007F7B3B">
        <w:t xml:space="preserve">the </w:t>
      </w:r>
      <w:r w:rsidR="5F3877DF" w:rsidRPr="007F7B3B">
        <w:t xml:space="preserve">January 2023 </w:t>
      </w:r>
      <w:r w:rsidR="005E6C39" w:rsidRPr="007F7B3B">
        <w:t>Suggested LOI</w:t>
      </w:r>
      <w:r w:rsidR="21098BB6" w:rsidRPr="007F7B3B">
        <w:t>,</w:t>
      </w:r>
      <w:r w:rsidR="201BFC17" w:rsidRPr="007F7B3B">
        <w:t xml:space="preserve"> </w:t>
      </w:r>
      <w:r w:rsidRPr="007F7B3B">
        <w:t>Egyptian law still retains 104 offenses punishable by death.</w:t>
      </w:r>
      <w:r w:rsidRPr="007F7B3B">
        <w:rPr>
          <w:rStyle w:val="FootnoteReference"/>
        </w:rPr>
        <w:footnoteReference w:id="17"/>
      </w:r>
      <w:r w:rsidRPr="007F7B3B">
        <w:t xml:space="preserve"> </w:t>
      </w:r>
      <w:r w:rsidR="031233EC" w:rsidRPr="007F7B3B">
        <w:t>These</w:t>
      </w:r>
      <w:r w:rsidRPr="007F7B3B">
        <w:t xml:space="preserve"> include</w:t>
      </w:r>
      <w:r w:rsidR="2AD08783" w:rsidRPr="007F7B3B">
        <w:t xml:space="preserve"> </w:t>
      </w:r>
      <w:r w:rsidRPr="007F7B3B">
        <w:t>aggravated murder, premeditated killing by substances, and murder with intention to commit any misdemeanor,</w:t>
      </w:r>
      <w:r w:rsidRPr="007F7B3B">
        <w:rPr>
          <w:rStyle w:val="FootnoteReference"/>
        </w:rPr>
        <w:footnoteReference w:id="18"/>
      </w:r>
      <w:r w:rsidRPr="007F7B3B">
        <w:t xml:space="preserve"> as well as arson leading to death, perjury leading to death of a convicted person because of false testimony, and kidnapping a female accompanied with a felony of having sex with the female without her consent.</w:t>
      </w:r>
      <w:r w:rsidRPr="007F7B3B">
        <w:rPr>
          <w:rStyle w:val="FootnoteReference"/>
        </w:rPr>
        <w:footnoteReference w:id="19"/>
      </w:r>
      <w:r w:rsidRPr="007F7B3B">
        <w:t xml:space="preserve"> The death penalty is also an available penalty for a variety of gang-related offenses, including forming or leading a gang that intends to overthrow the government, that attacks a community, or that intentionally uses force to occupy any part of a public building.</w:t>
      </w:r>
      <w:r w:rsidRPr="007F7B3B">
        <w:rPr>
          <w:rStyle w:val="FootnoteReference"/>
        </w:rPr>
        <w:footnoteReference w:id="20"/>
      </w:r>
      <w:r w:rsidRPr="007F7B3B">
        <w:t xml:space="preserve"> Several terrorism-related crimes that result in death are subject to the death penalty, including intentionally resorting to terrorism to disturb public order, hijacking, resisting a law</w:t>
      </w:r>
      <w:r w:rsidR="00685C09" w:rsidRPr="007F7B3B">
        <w:t xml:space="preserve"> </w:t>
      </w:r>
      <w:r w:rsidRPr="007F7B3B">
        <w:t>enforcement officer, taking hostages, using or attempting to use explosives, wounding or beating a person, and deliberately killing a person without premeditation.</w:t>
      </w:r>
      <w:r w:rsidRPr="007F7B3B">
        <w:rPr>
          <w:rStyle w:val="FootnoteReference"/>
        </w:rPr>
        <w:footnoteReference w:id="21"/>
      </w:r>
    </w:p>
    <w:p w14:paraId="07479226" w14:textId="432AD07E" w:rsidR="1211642F" w:rsidRPr="007F7B3B" w:rsidRDefault="000A2CD7" w:rsidP="00EB259C">
      <w:pPr>
        <w:numPr>
          <w:ilvl w:val="0"/>
          <w:numId w:val="40"/>
        </w:numPr>
        <w:spacing w:after="120"/>
        <w:ind w:left="360"/>
        <w:jc w:val="both"/>
        <w:rPr>
          <w:b/>
          <w:bCs/>
        </w:rPr>
      </w:pPr>
      <w:r w:rsidRPr="007F7B3B">
        <w:t>A</w:t>
      </w:r>
      <w:r w:rsidR="00B759F5" w:rsidRPr="007F7B3B">
        <w:t xml:space="preserve">uthorities have applied </w:t>
      </w:r>
      <w:r w:rsidR="003976FB" w:rsidRPr="007F7B3B">
        <w:t xml:space="preserve">the </w:t>
      </w:r>
      <w:r w:rsidR="00A1158E" w:rsidRPr="007F7B3B">
        <w:t xml:space="preserve">death penalty </w:t>
      </w:r>
      <w:r w:rsidR="00B759F5" w:rsidRPr="007F7B3B">
        <w:t xml:space="preserve">to </w:t>
      </w:r>
      <w:r w:rsidR="00812B37" w:rsidRPr="007F7B3B">
        <w:t xml:space="preserve">human rights defenders </w:t>
      </w:r>
      <w:r w:rsidR="00A1158E" w:rsidRPr="007F7B3B">
        <w:t>for terrorism-related charges</w:t>
      </w:r>
      <w:r w:rsidR="00812B37" w:rsidRPr="007F7B3B">
        <w:t xml:space="preserve"> that did not result in an intentional killing. </w:t>
      </w:r>
      <w:r w:rsidR="0803C465" w:rsidRPr="007F7B3B">
        <w:t xml:space="preserve">Egyptian </w:t>
      </w:r>
      <w:r w:rsidR="00996529" w:rsidRPr="007F7B3B">
        <w:t xml:space="preserve">officials </w:t>
      </w:r>
      <w:r w:rsidR="006C7E74" w:rsidRPr="007F7B3B">
        <w:t>have</w:t>
      </w:r>
      <w:r w:rsidR="00EA49A5" w:rsidRPr="007F7B3B">
        <w:t xml:space="preserve"> also</w:t>
      </w:r>
      <w:r w:rsidR="006C7E74" w:rsidRPr="007F7B3B">
        <w:t xml:space="preserve"> add</w:t>
      </w:r>
      <w:r w:rsidR="004D3E1C" w:rsidRPr="007F7B3B">
        <w:t>ed</w:t>
      </w:r>
      <w:r w:rsidR="00FB0399" w:rsidRPr="007F7B3B">
        <w:t xml:space="preserve"> charges </w:t>
      </w:r>
      <w:r w:rsidR="0081742D" w:rsidRPr="007F7B3B">
        <w:t>that</w:t>
      </w:r>
      <w:r w:rsidR="004D3E1C" w:rsidRPr="007F7B3B">
        <w:t xml:space="preserve"> may carry </w:t>
      </w:r>
      <w:r w:rsidR="0803C465" w:rsidRPr="007F7B3B">
        <w:t>the death penalty or life imprisonment</w:t>
      </w:r>
      <w:r w:rsidR="00EB259C" w:rsidRPr="007F7B3B">
        <w:t xml:space="preserve"> </w:t>
      </w:r>
      <w:r w:rsidR="00612691" w:rsidRPr="007F7B3B">
        <w:t xml:space="preserve">to </w:t>
      </w:r>
      <w:r w:rsidR="00D8513A" w:rsidRPr="007F7B3B">
        <w:t>cases with other non-violent charges</w:t>
      </w:r>
      <w:r w:rsidR="004D228F" w:rsidRPr="007F7B3B">
        <w:t xml:space="preserve"> </w:t>
      </w:r>
      <w:r w:rsidR="0803C465" w:rsidRPr="007F7B3B">
        <w:t xml:space="preserve">in order to hold individuals beyond the two-year </w:t>
      </w:r>
      <w:r w:rsidR="0081742D" w:rsidRPr="007F7B3B">
        <w:t xml:space="preserve">pretrial detention </w:t>
      </w:r>
      <w:r w:rsidR="0803C465" w:rsidRPr="007F7B3B">
        <w:t xml:space="preserve">limit </w:t>
      </w:r>
      <w:r w:rsidR="00B05D97" w:rsidRPr="007F7B3B">
        <w:t>for persons accused of nonviolent crimes</w:t>
      </w:r>
      <w:r w:rsidR="0803C465" w:rsidRPr="007F7B3B">
        <w:t>.</w:t>
      </w:r>
      <w:r w:rsidR="1211642F" w:rsidRPr="007F7B3B">
        <w:rPr>
          <w:rStyle w:val="FootnoteReference"/>
        </w:rPr>
        <w:footnoteReference w:id="22"/>
      </w:r>
      <w:r w:rsidR="004A2975" w:rsidRPr="007F7B3B">
        <w:t xml:space="preserve"> Human rights groups reported that</w:t>
      </w:r>
      <w:r w:rsidR="003D2878" w:rsidRPr="007F7B3B">
        <w:t xml:space="preserve"> these instances</w:t>
      </w:r>
      <w:r w:rsidR="00844138" w:rsidRPr="007F7B3B">
        <w:t xml:space="preserve"> of</w:t>
      </w:r>
      <w:r w:rsidR="003D2878" w:rsidRPr="007F7B3B">
        <w:t xml:space="preserve"> death-eligible charges being added</w:t>
      </w:r>
      <w:r w:rsidR="00844138" w:rsidRPr="007F7B3B">
        <w:t xml:space="preserve"> to other charges</w:t>
      </w:r>
      <w:r w:rsidR="003D2878" w:rsidRPr="007F7B3B">
        <w:t xml:space="preserve"> occurred in politically-motivated </w:t>
      </w:r>
      <w:r w:rsidR="00193CFD" w:rsidRPr="007F7B3B">
        <w:t>cases or</w:t>
      </w:r>
      <w:r w:rsidR="003D2878" w:rsidRPr="007F7B3B">
        <w:t xml:space="preserve"> </w:t>
      </w:r>
      <w:r w:rsidR="004A2975" w:rsidRPr="007F7B3B">
        <w:t>cases related to freedom of expression</w:t>
      </w:r>
      <w:r w:rsidR="00193CFD" w:rsidRPr="007F7B3B">
        <w:t>.</w:t>
      </w:r>
      <w:r w:rsidR="004A28C9" w:rsidRPr="007F7B3B">
        <w:rPr>
          <w:rStyle w:val="FootnoteReference"/>
        </w:rPr>
        <w:footnoteReference w:id="23"/>
      </w:r>
      <w:r w:rsidR="004A2975" w:rsidRPr="007F7B3B">
        <w:t xml:space="preserve"> </w:t>
      </w:r>
      <w:r w:rsidR="004B214A" w:rsidRPr="007F7B3B">
        <w:t xml:space="preserve">A monitoring group reported that </w:t>
      </w:r>
      <w:r w:rsidR="00260BC9" w:rsidRPr="007F7B3B">
        <w:t>i</w:t>
      </w:r>
      <w:r w:rsidR="0803C465" w:rsidRPr="007F7B3B">
        <w:t>n the first half of 2022,</w:t>
      </w:r>
      <w:r w:rsidR="003D5AA4" w:rsidRPr="007F7B3B">
        <w:t xml:space="preserve"> </w:t>
      </w:r>
      <w:r w:rsidR="00260BC9" w:rsidRPr="007F7B3B">
        <w:t xml:space="preserve">only 2.7 percent of the 13,000 </w:t>
      </w:r>
      <w:r w:rsidR="00A90454" w:rsidRPr="007F7B3B">
        <w:t>decisions handling these type</w:t>
      </w:r>
      <w:r w:rsidR="008B1707" w:rsidRPr="007F7B3B">
        <w:t>s</w:t>
      </w:r>
      <w:r w:rsidR="00A90454" w:rsidRPr="007F7B3B">
        <w:t xml:space="preserve"> of cases </w:t>
      </w:r>
      <w:r w:rsidR="008B1707" w:rsidRPr="007F7B3B">
        <w:t xml:space="preserve">resulted in release from </w:t>
      </w:r>
      <w:r w:rsidR="00A90454" w:rsidRPr="007F7B3B">
        <w:t>pretrial det</w:t>
      </w:r>
      <w:r w:rsidR="00C413FC" w:rsidRPr="007F7B3B">
        <w:t>ention</w:t>
      </w:r>
      <w:r w:rsidR="0803C465" w:rsidRPr="007F7B3B">
        <w:t>.</w:t>
      </w:r>
      <w:r w:rsidR="1211642F" w:rsidRPr="007F7B3B">
        <w:rPr>
          <w:rStyle w:val="FootnoteReference"/>
        </w:rPr>
        <w:footnoteReference w:id="24"/>
      </w:r>
      <w:r w:rsidR="31C8F76F" w:rsidRPr="007F7B3B">
        <w:t xml:space="preserve"> </w:t>
      </w:r>
    </w:p>
    <w:p w14:paraId="19979403" w14:textId="3230769C" w:rsidR="1211642F" w:rsidRPr="007F7B3B" w:rsidRDefault="640E27D8" w:rsidP="00EB259C">
      <w:pPr>
        <w:numPr>
          <w:ilvl w:val="0"/>
          <w:numId w:val="40"/>
        </w:numPr>
        <w:spacing w:after="120"/>
        <w:ind w:left="360"/>
        <w:jc w:val="both"/>
      </w:pPr>
      <w:r w:rsidRPr="007F7B3B">
        <w:t>In a July 202</w:t>
      </w:r>
      <w:r w:rsidR="002527FC" w:rsidRPr="007F7B3B">
        <w:t>2</w:t>
      </w:r>
      <w:r w:rsidRPr="007F7B3B">
        <w:t xml:space="preserve"> statement, eight rights groups </w:t>
      </w:r>
      <w:r w:rsidR="00510372" w:rsidRPr="007F7B3B">
        <w:t xml:space="preserve">reported that </w:t>
      </w:r>
      <w:r w:rsidRPr="007F7B3B">
        <w:t xml:space="preserve">Egyptian officials </w:t>
      </w:r>
      <w:r w:rsidR="009A2E9A" w:rsidRPr="007F7B3B">
        <w:t xml:space="preserve">targeted </w:t>
      </w:r>
      <w:r w:rsidRPr="007F7B3B">
        <w:t xml:space="preserve">human rights defenders </w:t>
      </w:r>
      <w:proofErr w:type="gramStart"/>
      <w:r w:rsidRPr="007F7B3B">
        <w:t>on the basis of</w:t>
      </w:r>
      <w:proofErr w:type="gramEnd"/>
      <w:r w:rsidRPr="007F7B3B">
        <w:t xml:space="preserve"> false terrorism charges</w:t>
      </w:r>
      <w:r w:rsidR="1211642F" w:rsidRPr="007F7B3B">
        <w:rPr>
          <w:rStyle w:val="FootnoteReference"/>
        </w:rPr>
        <w:footnoteReference w:id="25"/>
      </w:r>
      <w:r w:rsidR="002F7D25" w:rsidRPr="007F7B3B">
        <w:t xml:space="preserve">—charges that </w:t>
      </w:r>
      <w:r w:rsidR="001B3AB8" w:rsidRPr="007F7B3B">
        <w:t xml:space="preserve">may result in a death </w:t>
      </w:r>
      <w:r w:rsidR="001B3AB8" w:rsidRPr="007F7B3B">
        <w:lastRenderedPageBreak/>
        <w:t>sentence under current law. The Confronting Terrorism Law No. 95 of 2015 law broadly defines terrorism as “any use of force or violence or threat or terrorizing that aims to: Disrupt general order or endanger the safety, interests or security of society; harm individual liberties or rights; harm national unity, peace, security, the environment or buildings or property; prevent or hinder public authorities, judicial bodies, government facilities, and others from carrying out all or part of their work and activity.”</w:t>
      </w:r>
      <w:r w:rsidR="001B3AB8" w:rsidRPr="007F7B3B">
        <w:rPr>
          <w:rStyle w:val="FootnoteReference"/>
        </w:rPr>
        <w:footnoteReference w:id="26"/>
      </w:r>
      <w:r w:rsidR="001B3AB8" w:rsidRPr="007F7B3B">
        <w:t xml:space="preserve"> </w:t>
      </w:r>
      <w:r w:rsidRPr="007F7B3B">
        <w:t xml:space="preserve"> </w:t>
      </w:r>
    </w:p>
    <w:p w14:paraId="48F9AF2B" w14:textId="5E2E6068" w:rsidR="0097739C" w:rsidRPr="007F7B3B" w:rsidRDefault="0097739C" w:rsidP="00B14382">
      <w:pPr>
        <w:keepNext/>
        <w:numPr>
          <w:ilvl w:val="0"/>
          <w:numId w:val="41"/>
        </w:numPr>
        <w:spacing w:after="120"/>
        <w:ind w:left="720" w:hanging="360"/>
        <w:jc w:val="both"/>
        <w:rPr>
          <w:b/>
          <w:bCs/>
        </w:rPr>
      </w:pPr>
      <w:r w:rsidRPr="007F7B3B">
        <w:rPr>
          <w:b/>
          <w:bCs/>
        </w:rPr>
        <w:t>Egypt continues to sentence women to death and execute them</w:t>
      </w:r>
      <w:r w:rsidR="001F742C" w:rsidRPr="007F7B3B">
        <w:rPr>
          <w:b/>
          <w:bCs/>
        </w:rPr>
        <w:t xml:space="preserve"> (List of Issues Paragraph 6)</w:t>
      </w:r>
      <w:r w:rsidR="00B14382" w:rsidRPr="007F7B3B">
        <w:rPr>
          <w:b/>
          <w:bCs/>
        </w:rPr>
        <w:t>.</w:t>
      </w:r>
    </w:p>
    <w:p w14:paraId="622C60D2" w14:textId="77777777" w:rsidR="00DD3CCC" w:rsidRPr="007F7B3B" w:rsidRDefault="00DD3CCC" w:rsidP="00DD3CCC">
      <w:pPr>
        <w:numPr>
          <w:ilvl w:val="0"/>
          <w:numId w:val="40"/>
        </w:numPr>
        <w:spacing w:after="120"/>
        <w:ind w:left="360"/>
        <w:jc w:val="both"/>
        <w:rPr>
          <w:b/>
          <w:bCs/>
        </w:rPr>
      </w:pPr>
      <w:r w:rsidRPr="007F7B3B">
        <w:t>The Cornell Center on the Death Penalty Worldwide has noted that in many countries, such as Egypt, laws calling for the death penalty for murder “are gender-neutral on paper,”</w:t>
      </w:r>
      <w:r w:rsidRPr="007F7B3B">
        <w:rPr>
          <w:rStyle w:val="FootnoteReference"/>
        </w:rPr>
        <w:footnoteReference w:id="27"/>
      </w:r>
      <w:r w:rsidRPr="007F7B3B">
        <w:t xml:space="preserve"> but under Egyptian law “a man who kills his wife and her lover upon discovering her infidelity will enjoy a reduced sentence,” while women discovering and then killing their husbands under similar circumstances will be sentenced to death.</w:t>
      </w:r>
      <w:r w:rsidRPr="007F7B3B">
        <w:rPr>
          <w:rStyle w:val="FootnoteReference"/>
        </w:rPr>
        <w:footnoteReference w:id="28"/>
      </w:r>
    </w:p>
    <w:p w14:paraId="75DDDA5B" w14:textId="4862A39A" w:rsidR="00CE14F9" w:rsidRPr="007F7B3B" w:rsidRDefault="0065268F" w:rsidP="00B14382">
      <w:pPr>
        <w:numPr>
          <w:ilvl w:val="0"/>
          <w:numId w:val="40"/>
        </w:numPr>
        <w:spacing w:after="120"/>
        <w:ind w:left="360"/>
        <w:jc w:val="both"/>
      </w:pPr>
      <w:r w:rsidRPr="007F7B3B">
        <w:t xml:space="preserve">According to the Egypt Death Penalty Index, which includes </w:t>
      </w:r>
      <w:r w:rsidR="00FE5F3B" w:rsidRPr="007F7B3B">
        <w:t xml:space="preserve">data on capital punishment between 25 January 2011 and December 2020, </w:t>
      </w:r>
      <w:r w:rsidR="00CA6667" w:rsidRPr="007F7B3B">
        <w:t>Egyptian authorities sentenced 168 women to death during that period.</w:t>
      </w:r>
      <w:r w:rsidR="00CA6667" w:rsidRPr="007F7B3B">
        <w:rPr>
          <w:rStyle w:val="FootnoteReference"/>
        </w:rPr>
        <w:footnoteReference w:id="29"/>
      </w:r>
      <w:r w:rsidR="004E7A3A" w:rsidRPr="007F7B3B">
        <w:t xml:space="preserve"> Of those, all but </w:t>
      </w:r>
      <w:r w:rsidR="00F4522B" w:rsidRPr="007F7B3B">
        <w:t>13</w:t>
      </w:r>
      <w:r w:rsidR="004E7A3A" w:rsidRPr="007F7B3B">
        <w:t xml:space="preserve"> were sentenced to death for murder</w:t>
      </w:r>
      <w:r w:rsidR="00626F21" w:rsidRPr="007F7B3B">
        <w:t xml:space="preserve"> (</w:t>
      </w:r>
      <w:r w:rsidR="00301D68" w:rsidRPr="007F7B3B">
        <w:t xml:space="preserve">7 for “storming government installations,” </w:t>
      </w:r>
      <w:r w:rsidR="00F4522B" w:rsidRPr="007F7B3B">
        <w:t>2</w:t>
      </w:r>
      <w:r w:rsidR="00626F21" w:rsidRPr="007F7B3B">
        <w:t xml:space="preserve"> for “terrorist acts</w:t>
      </w:r>
      <w:r w:rsidR="005B2191" w:rsidRPr="007F7B3B">
        <w:t>,</w:t>
      </w:r>
      <w:r w:rsidR="00626F21" w:rsidRPr="007F7B3B">
        <w:t>”</w:t>
      </w:r>
      <w:r w:rsidR="00F4522B" w:rsidRPr="007F7B3B">
        <w:t xml:space="preserve"> 2 for espionage,</w:t>
      </w:r>
      <w:r w:rsidR="005B2191" w:rsidRPr="007F7B3B">
        <w:t xml:space="preserve"> </w:t>
      </w:r>
      <w:r w:rsidR="00301D68" w:rsidRPr="007F7B3B">
        <w:t xml:space="preserve">1 for rape, and </w:t>
      </w:r>
      <w:r w:rsidR="005B2191" w:rsidRPr="007F7B3B">
        <w:t>1 for “terrorism toward religious minorities”</w:t>
      </w:r>
      <w:r w:rsidR="00301D68" w:rsidRPr="007F7B3B">
        <w:t>)</w:t>
      </w:r>
      <w:r w:rsidR="004E7A3A" w:rsidRPr="007F7B3B">
        <w:t xml:space="preserve">, and </w:t>
      </w:r>
      <w:r w:rsidR="00B60140" w:rsidRPr="007F7B3B">
        <w:t xml:space="preserve">authorities executed </w:t>
      </w:r>
      <w:r w:rsidR="00301D68" w:rsidRPr="007F7B3B">
        <w:t xml:space="preserve">at least </w:t>
      </w:r>
      <w:r w:rsidR="00626F21" w:rsidRPr="007F7B3B">
        <w:t>1</w:t>
      </w:r>
      <w:r w:rsidR="005B2191" w:rsidRPr="007F7B3B">
        <w:t>3</w:t>
      </w:r>
      <w:r w:rsidR="004E7A3A" w:rsidRPr="007F7B3B">
        <w:t xml:space="preserve"> </w:t>
      </w:r>
      <w:r w:rsidR="00B60140" w:rsidRPr="007F7B3B">
        <w:t>women during that period</w:t>
      </w:r>
      <w:r w:rsidR="00301D68" w:rsidRPr="007F7B3B">
        <w:t>.</w:t>
      </w:r>
      <w:r w:rsidR="00301D68" w:rsidRPr="007F7B3B">
        <w:rPr>
          <w:rStyle w:val="FootnoteReference"/>
        </w:rPr>
        <w:footnoteReference w:id="30"/>
      </w:r>
      <w:r w:rsidR="002661B3" w:rsidRPr="007F7B3B">
        <w:t xml:space="preserve"> According to Amnesty International, Egyptian courts sentenced </w:t>
      </w:r>
      <w:r w:rsidR="00CD1C40" w:rsidRPr="007F7B3B">
        <w:t>47 women to death in 2022</w:t>
      </w:r>
      <w:r w:rsidR="005730FE" w:rsidRPr="007F7B3B">
        <w:t>,</w:t>
      </w:r>
      <w:r w:rsidR="00CD1C40" w:rsidRPr="007F7B3B">
        <w:rPr>
          <w:rStyle w:val="FootnoteReference"/>
        </w:rPr>
        <w:footnoteReference w:id="31"/>
      </w:r>
      <w:r w:rsidR="00D24E1B" w:rsidRPr="007F7B3B">
        <w:t xml:space="preserve"> </w:t>
      </w:r>
      <w:r w:rsidR="005730FE" w:rsidRPr="007F7B3B">
        <w:t xml:space="preserve">and </w:t>
      </w:r>
      <w:r w:rsidR="00D24E1B" w:rsidRPr="007F7B3B">
        <w:t>Egyptian authorities executed at least 8 women in 2021.</w:t>
      </w:r>
      <w:r w:rsidR="00D24E1B" w:rsidRPr="007F7B3B">
        <w:rPr>
          <w:rStyle w:val="FootnoteReference"/>
        </w:rPr>
        <w:footnoteReference w:id="32"/>
      </w:r>
    </w:p>
    <w:p w14:paraId="0B3B36E0" w14:textId="77777777" w:rsidR="00095326" w:rsidRPr="007F7B3B" w:rsidRDefault="00095326" w:rsidP="00095326">
      <w:pPr>
        <w:numPr>
          <w:ilvl w:val="0"/>
          <w:numId w:val="40"/>
        </w:numPr>
        <w:spacing w:after="120"/>
        <w:ind w:left="360"/>
        <w:jc w:val="both"/>
      </w:pPr>
      <w:r w:rsidRPr="007F7B3B">
        <w:t>There is limited information about women who have been sentenced to death or executed in Egypt. Amnesty International explains that “Egyptian authorities do not publish statistics on executions or the number of prisoners on death row; nor do they inform families or lawyers in advance of executions.”</w:t>
      </w:r>
      <w:r w:rsidRPr="007F7B3B">
        <w:rPr>
          <w:rStyle w:val="FootnoteReference"/>
        </w:rPr>
        <w:footnoteReference w:id="33"/>
      </w:r>
    </w:p>
    <w:p w14:paraId="79B4D450" w14:textId="77777777" w:rsidR="00095326" w:rsidRPr="007F7B3B" w:rsidRDefault="00095326" w:rsidP="00095326">
      <w:pPr>
        <w:numPr>
          <w:ilvl w:val="0"/>
          <w:numId w:val="40"/>
        </w:numPr>
        <w:spacing w:after="120"/>
        <w:ind w:left="360"/>
        <w:jc w:val="both"/>
      </w:pPr>
      <w:r w:rsidRPr="007F7B3B">
        <w:t xml:space="preserve">After a woman is sentenced to death in Egypt, she is far more likely than a man to have her preliminary death sentence confirmed and to be executed. According to Reprieve, in the period between the January 2011 revolution and September 2018, individuals sentenced to death have been overwhelmingly male, but “women sentenced to death were executed during this period </w:t>
      </w:r>
      <w:r w:rsidRPr="007F7B3B">
        <w:lastRenderedPageBreak/>
        <w:t>at more than double the rate of men.”</w:t>
      </w:r>
      <w:r w:rsidRPr="007F7B3B">
        <w:rPr>
          <w:rStyle w:val="FootnoteReference"/>
        </w:rPr>
        <w:footnoteReference w:id="34"/>
      </w:r>
      <w:r w:rsidRPr="007F7B3B">
        <w:t xml:space="preserve"> Moreover, preliminary death sentences issued for women had an 82% confirmation rate, while death sentences issued for men were confirmed at just a 59% rate.</w:t>
      </w:r>
      <w:r w:rsidRPr="007F7B3B">
        <w:rPr>
          <w:rStyle w:val="FootnoteReference"/>
        </w:rPr>
        <w:footnoteReference w:id="35"/>
      </w:r>
    </w:p>
    <w:p w14:paraId="4D067977" w14:textId="77777777" w:rsidR="00EC7367" w:rsidRPr="007F7B3B" w:rsidRDefault="00131188" w:rsidP="003B04A9">
      <w:pPr>
        <w:numPr>
          <w:ilvl w:val="0"/>
          <w:numId w:val="40"/>
        </w:numPr>
        <w:spacing w:after="120"/>
        <w:ind w:left="360"/>
        <w:jc w:val="both"/>
        <w:rPr>
          <w:b/>
          <w:bCs/>
        </w:rPr>
      </w:pPr>
      <w:r w:rsidRPr="007F7B3B">
        <w:t xml:space="preserve">The Cornell Center also notes that, on a global scale, </w:t>
      </w:r>
      <w:r w:rsidR="00651ED6" w:rsidRPr="007F7B3B">
        <w:t>there are “qualitative difference[s] in homicides committed by men and women.”</w:t>
      </w:r>
      <w:r w:rsidR="00651ED6" w:rsidRPr="007F7B3B">
        <w:rPr>
          <w:rStyle w:val="FootnoteReference"/>
        </w:rPr>
        <w:footnoteReference w:id="36"/>
      </w:r>
      <w:r w:rsidR="004D7A5A" w:rsidRPr="007F7B3B">
        <w:t xml:space="preserve"> According to available data</w:t>
      </w:r>
      <w:r w:rsidR="00DD19D1" w:rsidRPr="007F7B3B">
        <w:t xml:space="preserve"> worldwide, including </w:t>
      </w:r>
      <w:r w:rsidR="007D1FDF" w:rsidRPr="007F7B3B">
        <w:t>in Egypt,</w:t>
      </w:r>
      <w:r w:rsidR="00DD19D1" w:rsidRPr="007F7B3B">
        <w:t xml:space="preserve"> “the majority of women on death row had been sentenced to death for killing their intimate partner or a family member.”</w:t>
      </w:r>
      <w:r w:rsidR="00DD19D1" w:rsidRPr="007F7B3B">
        <w:rPr>
          <w:rStyle w:val="FootnoteReference"/>
        </w:rPr>
        <w:footnoteReference w:id="37"/>
      </w:r>
      <w:r w:rsidR="00651ED6" w:rsidRPr="007F7B3B">
        <w:t xml:space="preserve"> </w:t>
      </w:r>
    </w:p>
    <w:p w14:paraId="7CA447B3" w14:textId="7EFBAAC0" w:rsidR="00B14382" w:rsidRPr="007F7B3B" w:rsidRDefault="00EC7367" w:rsidP="00EC7367">
      <w:pPr>
        <w:numPr>
          <w:ilvl w:val="0"/>
          <w:numId w:val="40"/>
        </w:numPr>
        <w:spacing w:after="120"/>
        <w:ind w:left="360"/>
        <w:jc w:val="both"/>
        <w:rPr>
          <w:b/>
          <w:bCs/>
        </w:rPr>
      </w:pPr>
      <w:r w:rsidRPr="007F7B3B">
        <w:t xml:space="preserve">There is limited information available about the circumstances of the crimes for which women have been sentenced to death in Egypt, but available information suggests that legal proceedings are not gender-sensitive and do not </w:t>
      </w:r>
      <w:proofErr w:type="gramStart"/>
      <w:r w:rsidRPr="007F7B3B">
        <w:t>take into account</w:t>
      </w:r>
      <w:proofErr w:type="gramEnd"/>
      <w:r w:rsidRPr="007F7B3B">
        <w:t xml:space="preserve"> an accused woman’s experiences of gender-based violence or the power dynamics between an accused woman and her male codefendants. One woman was executed in 2015 for killing her husband.</w:t>
      </w:r>
      <w:r w:rsidRPr="007F7B3B">
        <w:rPr>
          <w:rStyle w:val="FootnoteReference"/>
        </w:rPr>
        <w:footnoteReference w:id="38"/>
      </w:r>
      <w:r w:rsidRPr="007F7B3B">
        <w:t xml:space="preserve"> In June 2021, a woman was executed for her involvement in the killing of her 11-year-old son, even though her lover and an accomplice kidnapped the child and killed him.</w:t>
      </w:r>
      <w:r w:rsidRPr="007F7B3B">
        <w:rPr>
          <w:rStyle w:val="FootnoteReference"/>
        </w:rPr>
        <w:footnoteReference w:id="39"/>
      </w:r>
      <w:r w:rsidRPr="007F7B3B">
        <w:t xml:space="preserve"> A 20-year-old woman was accused of killing her husband five days after their wedding. According to reports, she had refused to marry the man because she was in a relationship with someone else. In July 2020, the criminal court referred the case to the Grand Mufti of Egypt to issue a religious opinion about whether a death sentence would be appropriate.</w:t>
      </w:r>
      <w:r w:rsidRPr="007F7B3B">
        <w:rPr>
          <w:rStyle w:val="FootnoteReference"/>
        </w:rPr>
        <w:footnoteReference w:id="40"/>
      </w:r>
      <w:r w:rsidRPr="007F7B3B">
        <w:t xml:space="preserve"> According to Hands Off Cain, Egyptian authorities executed two women in February 2018. The women were two of five relatives executed on the same day for the kidnapping and murder of a girl in 2013. The women were a 40-year-old housewife and a 19-year-old woman.</w:t>
      </w:r>
      <w:r w:rsidRPr="007F7B3B">
        <w:rPr>
          <w:rStyle w:val="FootnoteReference"/>
        </w:rPr>
        <w:footnoteReference w:id="41"/>
      </w:r>
      <w:r w:rsidR="005A32C9" w:rsidRPr="007F7B3B">
        <w:t xml:space="preserve"> </w:t>
      </w:r>
      <w:r w:rsidR="00B14382" w:rsidRPr="007F7B3B">
        <w:t>In February 2023, an Egyptian court sentenced 20-year-old N.K. to death for killing her mother</w:t>
      </w:r>
      <w:r w:rsidR="00DD71F5" w:rsidRPr="007F7B3B">
        <w:t>.</w:t>
      </w:r>
      <w:r w:rsidR="00DD71F5" w:rsidRPr="007F7B3B">
        <w:rPr>
          <w:rStyle w:val="FootnoteReference"/>
        </w:rPr>
        <w:footnoteReference w:id="42"/>
      </w:r>
      <w:r w:rsidR="00AD19E2" w:rsidRPr="007F7B3B">
        <w:t xml:space="preserve"> According to reports, she had done so with the help of her lover</w:t>
      </w:r>
      <w:r w:rsidR="00E720AC" w:rsidRPr="007F7B3B">
        <w:t xml:space="preserve"> with the aim of preventing the mother from exposing their relationship.</w:t>
      </w:r>
      <w:r w:rsidR="00AD19E2" w:rsidRPr="007F7B3B">
        <w:rPr>
          <w:rStyle w:val="FootnoteReference"/>
        </w:rPr>
        <w:footnoteReference w:id="43"/>
      </w:r>
      <w:r w:rsidR="005A32C9" w:rsidRPr="007F7B3B">
        <w:t xml:space="preserve"> It is unclear whether her codefendant was also sentenced to death. </w:t>
      </w:r>
    </w:p>
    <w:p w14:paraId="1A981718" w14:textId="0D66ED5E" w:rsidR="004D6179" w:rsidRPr="007F7B3B" w:rsidRDefault="00B96309" w:rsidP="00B06E98">
      <w:pPr>
        <w:numPr>
          <w:ilvl w:val="0"/>
          <w:numId w:val="40"/>
        </w:numPr>
        <w:spacing w:after="120"/>
        <w:ind w:left="360"/>
        <w:jc w:val="both"/>
        <w:rPr>
          <w:b/>
          <w:bCs/>
        </w:rPr>
      </w:pPr>
      <w:r w:rsidRPr="007F7B3B">
        <w:lastRenderedPageBreak/>
        <w:t xml:space="preserve">Despite limited information, evidence suggests that women in Egypt face the death penalty in part because judicial proceedings discriminate against women and do not </w:t>
      </w:r>
      <w:proofErr w:type="gramStart"/>
      <w:r w:rsidRPr="007F7B3B">
        <w:t>take into account</w:t>
      </w:r>
      <w:proofErr w:type="gramEnd"/>
      <w:r w:rsidRPr="007F7B3B">
        <w:t xml:space="preserve"> the circumstances of the alleged crime. In a groundbreaking study, the Cornell Center on the Death Penalty Worldwide investigated the contexts within which women are sentenced to death and executed. The study acknowledged, as is the case in Egypt, that “most women on death row have been sentenced to death for the crime of murder.” The report found that “[m]any of these crimes involve murders of close family members in a context of gender-based violence.” In some cases, the woman was forcibly married, as was the case of the 20-year-old woman described in the previous paragraph. In other cases, women may face “capital prosecution arising out of domestic abuse,” subjecting them to “gender discrimination on multiple levels.” For example, “evidence of abuse is difficult to gather,” and courts are often reluctant to recognize that a woman may have acted in self-defense. Moreover, courts rarely consider domestic abuse as a mitigating factor during sentencing.</w:t>
      </w:r>
      <w:r w:rsidRPr="007F7B3B">
        <w:rPr>
          <w:rStyle w:val="FootnoteReference"/>
        </w:rPr>
        <w:footnoteReference w:id="44"/>
      </w:r>
      <w:r w:rsidRPr="007F7B3B">
        <w:t xml:space="preserve"> And in cases with multiple co-defendants from the same family or in an intimate partner relationship, courts also fail to account for power dynamics and tactics of coercive control that may influence a woman’s participation in a crime. Finally, in the words of the former UN Special Rapporteur on Extrajudicial, Summary or Arbitrary Executions, courts also “judge women not just for their alleged offenses, but also for what are perceived to be their moral failings as women </w:t>
      </w:r>
      <w:proofErr w:type="gramStart"/>
      <w:r w:rsidRPr="007F7B3B">
        <w:t>. . . .</w:t>
      </w:r>
      <w:proofErr w:type="gramEnd"/>
      <w:r w:rsidRPr="007F7B3B">
        <w:t xml:space="preserve"> Nowhere are transgressions of the social norms of gender behavior punished more severely than in a capital trial.”</w:t>
      </w:r>
      <w:r w:rsidRPr="007F7B3B">
        <w:rPr>
          <w:rStyle w:val="FootnoteReference"/>
        </w:rPr>
        <w:footnoteReference w:id="45"/>
      </w:r>
    </w:p>
    <w:p w14:paraId="01DC4F81" w14:textId="7B973B31" w:rsidR="003A749C" w:rsidRPr="007F7B3B" w:rsidRDefault="69F88F69" w:rsidP="006A2317">
      <w:pPr>
        <w:keepNext/>
        <w:numPr>
          <w:ilvl w:val="0"/>
          <w:numId w:val="41"/>
        </w:numPr>
        <w:spacing w:after="120"/>
        <w:ind w:left="720" w:hanging="360"/>
        <w:jc w:val="both"/>
        <w:rPr>
          <w:b/>
          <w:bCs/>
        </w:rPr>
      </w:pPr>
      <w:r w:rsidRPr="007F7B3B">
        <w:rPr>
          <w:b/>
          <w:bCs/>
        </w:rPr>
        <w:t xml:space="preserve"> </w:t>
      </w:r>
      <w:r w:rsidR="00EA7D2E" w:rsidRPr="007F7B3B">
        <w:rPr>
          <w:b/>
          <w:bCs/>
          <w:color w:val="000000" w:themeColor="text1"/>
        </w:rPr>
        <w:t>Egypt continues to subject human rights defenders and political opponents to enforced disappearances, torture, and ill-treatment (List of Issues Paragraph 26).</w:t>
      </w:r>
    </w:p>
    <w:p w14:paraId="6376510C" w14:textId="7B825231" w:rsidR="003A749C" w:rsidRPr="007F7B3B" w:rsidRDefault="003A749C" w:rsidP="00433139">
      <w:pPr>
        <w:numPr>
          <w:ilvl w:val="0"/>
          <w:numId w:val="40"/>
        </w:numPr>
        <w:spacing w:after="120"/>
        <w:ind w:left="360"/>
        <w:jc w:val="both"/>
      </w:pPr>
      <w:r w:rsidRPr="007F7B3B">
        <w:t xml:space="preserve">In its June 2023 List of Issues, the Committee requested that the State </w:t>
      </w:r>
      <w:r w:rsidR="00010E8D" w:rsidRPr="007F7B3B">
        <w:t>“respond to the numerous allegations of threats, harassment, intimidation, assault, prolonged and illegal pretrial detention, arbitrary detention, prosecution and conviction on trumped up politically motivated charges of terrorism or disinformation, enforced disappearances, torture and ill-treatment and extrajudicial executions of human rights defenders, political opponents, civil society activists, journalists, lawyers, trade unionists, scholars, students, bloggers and artists who are critical of the Government.”</w:t>
      </w:r>
    </w:p>
    <w:p w14:paraId="51982C44" w14:textId="3C535B7A" w:rsidR="00010E8D" w:rsidRPr="007F7B3B" w:rsidRDefault="000A67F8" w:rsidP="00433139">
      <w:pPr>
        <w:numPr>
          <w:ilvl w:val="0"/>
          <w:numId w:val="40"/>
        </w:numPr>
        <w:spacing w:after="120"/>
        <w:ind w:left="360"/>
        <w:jc w:val="both"/>
      </w:pPr>
      <w:r w:rsidRPr="007F7B3B">
        <w:t xml:space="preserve">Egypt has a history of </w:t>
      </w:r>
      <w:r w:rsidR="0073323A" w:rsidRPr="007F7B3B">
        <w:t xml:space="preserve">arbitrarily </w:t>
      </w:r>
      <w:r w:rsidRPr="007F7B3B">
        <w:t>detaining</w:t>
      </w:r>
      <w:r w:rsidR="0049009F" w:rsidRPr="007F7B3B">
        <w:t xml:space="preserve">, </w:t>
      </w:r>
      <w:r w:rsidRPr="007F7B3B">
        <w:t>torturing</w:t>
      </w:r>
      <w:r w:rsidR="0049009F" w:rsidRPr="007F7B3B">
        <w:t>, and disappearing</w:t>
      </w:r>
      <w:r w:rsidRPr="007F7B3B">
        <w:t xml:space="preserve"> human rights defenders and political opponents. As discussed extensively in the January 2023 Report</w:t>
      </w:r>
      <w:r w:rsidR="00D70284" w:rsidRPr="007F7B3B">
        <w:t xml:space="preserve">, </w:t>
      </w:r>
      <w:r w:rsidR="000C3A9B" w:rsidRPr="007F7B3B">
        <w:t xml:space="preserve">hundreds of human rights defenders, lawyers, political opponents, </w:t>
      </w:r>
      <w:r w:rsidR="00835A59" w:rsidRPr="007F7B3B">
        <w:t xml:space="preserve">and </w:t>
      </w:r>
      <w:r w:rsidR="000C3A9B" w:rsidRPr="007F7B3B">
        <w:t xml:space="preserve">protesters remain detained while arrests of perceived critics and opponents continue, and </w:t>
      </w:r>
      <w:r w:rsidR="00835A59" w:rsidRPr="007F7B3B">
        <w:t>dozens of detained human rights activists, journalists and members of the opposition are being held in solitary confinement and physically abused.</w:t>
      </w:r>
      <w:r w:rsidR="00835A59" w:rsidRPr="007F7B3B">
        <w:rPr>
          <w:rStyle w:val="FootnoteReference"/>
        </w:rPr>
        <w:footnoteReference w:id="46"/>
      </w:r>
    </w:p>
    <w:p w14:paraId="3CEDAEB6" w14:textId="7132840F" w:rsidR="00581DB3" w:rsidRPr="007F7B3B" w:rsidRDefault="00835A59" w:rsidP="00433139">
      <w:pPr>
        <w:numPr>
          <w:ilvl w:val="0"/>
          <w:numId w:val="40"/>
        </w:numPr>
        <w:spacing w:after="120"/>
        <w:ind w:left="360"/>
        <w:jc w:val="both"/>
      </w:pPr>
      <w:r w:rsidRPr="007F7B3B">
        <w:t xml:space="preserve">Torture of detained human rights defenders and political opponents in Egypt has continued since the January 2023 </w:t>
      </w:r>
      <w:r w:rsidR="005E6C39" w:rsidRPr="007F7B3B">
        <w:t>Suggested LOI</w:t>
      </w:r>
      <w:r w:rsidRPr="007F7B3B">
        <w:t>.</w:t>
      </w:r>
      <w:r w:rsidR="007C10F7" w:rsidRPr="007F7B3B">
        <w:t xml:space="preserve"> </w:t>
      </w:r>
      <w:r w:rsidR="00BC4176" w:rsidRPr="007F7B3B">
        <w:t>A</w:t>
      </w:r>
      <w:r w:rsidR="007C10F7" w:rsidRPr="007F7B3B">
        <w:t xml:space="preserve"> March 20, 2023</w:t>
      </w:r>
      <w:r w:rsidR="006B7423" w:rsidRPr="007F7B3B">
        <w:t>,</w:t>
      </w:r>
      <w:r w:rsidR="007C10F7" w:rsidRPr="007F7B3B">
        <w:t xml:space="preserve"> leaked letter from </w:t>
      </w:r>
      <w:r w:rsidR="000A53BE" w:rsidRPr="007F7B3B">
        <w:t>S.-E. A.-H. S.</w:t>
      </w:r>
      <w:r w:rsidR="0005309D" w:rsidRPr="007F7B3B">
        <w:t>—</w:t>
      </w:r>
      <w:r w:rsidR="0005309D" w:rsidRPr="007F7B3B">
        <w:lastRenderedPageBreak/>
        <w:t xml:space="preserve">political activist, Deputy Minister of Islamic Endowment under the presidency of Mohamed Morsi, and father of prominent Egyptian rights defender Mohamed </w:t>
      </w:r>
      <w:proofErr w:type="spellStart"/>
      <w:r w:rsidR="0005309D" w:rsidRPr="007F7B3B">
        <w:t>Soltan</w:t>
      </w:r>
      <w:proofErr w:type="spellEnd"/>
      <w:r w:rsidR="00C92CF2" w:rsidRPr="007F7B3B">
        <w:t>—</w:t>
      </w:r>
      <w:r w:rsidR="007C10F7" w:rsidRPr="007F7B3B">
        <w:t xml:space="preserve"> stated that the authorities in </w:t>
      </w:r>
      <w:proofErr w:type="spellStart"/>
      <w:r w:rsidR="007C10F7" w:rsidRPr="007F7B3B">
        <w:t>Badr</w:t>
      </w:r>
      <w:proofErr w:type="spellEnd"/>
      <w:r w:rsidR="007C10F7" w:rsidRPr="007F7B3B">
        <w:t xml:space="preserve"> 1 prison, east of Cairo, have deprived him of adequate health care even though he </w:t>
      </w:r>
      <w:r w:rsidR="00252C5C" w:rsidRPr="007F7B3B">
        <w:t xml:space="preserve">has </w:t>
      </w:r>
      <w:r w:rsidR="007C10F7" w:rsidRPr="007F7B3B">
        <w:t xml:space="preserve">life-threatening heart and liver diseases </w:t>
      </w:r>
      <w:r w:rsidR="00252C5C" w:rsidRPr="007F7B3B">
        <w:t xml:space="preserve">as well as </w:t>
      </w:r>
      <w:r w:rsidR="007C10F7" w:rsidRPr="007F7B3B">
        <w:t>other complex medical conditions.</w:t>
      </w:r>
      <w:r w:rsidR="007C10F7" w:rsidRPr="007F7B3B">
        <w:rPr>
          <w:rStyle w:val="FootnoteReference"/>
        </w:rPr>
        <w:footnoteReference w:id="47"/>
      </w:r>
    </w:p>
    <w:p w14:paraId="4D36CFA2" w14:textId="2C8FB13D" w:rsidR="007C10F7" w:rsidRPr="007F7B3B" w:rsidRDefault="007C10F7" w:rsidP="00433139">
      <w:pPr>
        <w:numPr>
          <w:ilvl w:val="0"/>
          <w:numId w:val="40"/>
        </w:numPr>
        <w:spacing w:after="120"/>
        <w:ind w:left="360"/>
        <w:jc w:val="both"/>
      </w:pPr>
      <w:r w:rsidRPr="007F7B3B">
        <w:t xml:space="preserve">In </w:t>
      </w:r>
      <w:r w:rsidR="00C76760" w:rsidRPr="007F7B3B">
        <w:t xml:space="preserve">April 2023, </w:t>
      </w:r>
      <w:r w:rsidRPr="007F7B3B">
        <w:t xml:space="preserve">the </w:t>
      </w:r>
      <w:r w:rsidR="003E2520" w:rsidRPr="007F7B3B">
        <w:t xml:space="preserve">Geneva-based </w:t>
      </w:r>
      <w:r w:rsidRPr="007F7B3B">
        <w:t xml:space="preserve">Committee for Justice documented the torture of a detainee and mass violations of human rights at the Minya 1 penitentiary in southern Egypt, in the latest evidence of </w:t>
      </w:r>
      <w:r w:rsidR="009226E1" w:rsidRPr="007F7B3B">
        <w:t xml:space="preserve">human rights violations </w:t>
      </w:r>
      <w:r w:rsidRPr="007F7B3B">
        <w:t>against political prisoners and widespread cases of torture with impunity</w:t>
      </w:r>
      <w:r w:rsidR="005028A4" w:rsidRPr="007F7B3B">
        <w:t>.</w:t>
      </w:r>
      <w:r w:rsidR="00C76760" w:rsidRPr="007F7B3B">
        <w:rPr>
          <w:rStyle w:val="FootnoteReference"/>
        </w:rPr>
        <w:footnoteReference w:id="48"/>
      </w:r>
      <w:r w:rsidR="005028A4" w:rsidRPr="007F7B3B">
        <w:t xml:space="preserve"> </w:t>
      </w:r>
      <w:r w:rsidR="00C76760" w:rsidRPr="007F7B3B">
        <w:t xml:space="preserve">In August 2023, the Committee </w:t>
      </w:r>
      <w:r w:rsidR="009B3AF3" w:rsidRPr="007F7B3B">
        <w:t xml:space="preserve">for Justice </w:t>
      </w:r>
      <w:r w:rsidR="00C76760" w:rsidRPr="007F7B3B">
        <w:t xml:space="preserve">documented a new case of </w:t>
      </w:r>
      <w:r w:rsidR="00630329" w:rsidRPr="007F7B3B">
        <w:t xml:space="preserve">a </w:t>
      </w:r>
      <w:r w:rsidR="00C76760" w:rsidRPr="007F7B3B">
        <w:t xml:space="preserve">political detainee, Mahmoud Abd al-Rahim, </w:t>
      </w:r>
      <w:r w:rsidR="009B3AF3" w:rsidRPr="007F7B3B">
        <w:t xml:space="preserve">who died in detention </w:t>
      </w:r>
      <w:r w:rsidR="00C76760" w:rsidRPr="007F7B3B">
        <w:t xml:space="preserve">in </w:t>
      </w:r>
      <w:proofErr w:type="spellStart"/>
      <w:r w:rsidR="00C76760" w:rsidRPr="007F7B3B">
        <w:t>Gamasa</w:t>
      </w:r>
      <w:proofErr w:type="spellEnd"/>
      <w:r w:rsidR="00C76760" w:rsidRPr="007F7B3B">
        <w:t xml:space="preserve"> maximum security prison, </w:t>
      </w:r>
      <w:proofErr w:type="spellStart"/>
      <w:r w:rsidR="00C76760" w:rsidRPr="007F7B3B">
        <w:t>Dakahlia</w:t>
      </w:r>
      <w:proofErr w:type="spellEnd"/>
      <w:r w:rsidR="00C76760" w:rsidRPr="007F7B3B">
        <w:t xml:space="preserve"> Governorate, bringing the documented death cases inside Egyptian detention facilities since the beginning of 2023 to 24.</w:t>
      </w:r>
      <w:r w:rsidR="00EA7D2E" w:rsidRPr="007F7B3B">
        <w:rPr>
          <w:rStyle w:val="FootnoteReference"/>
        </w:rPr>
        <w:footnoteReference w:id="49"/>
      </w:r>
    </w:p>
    <w:p w14:paraId="6C15C2BB" w14:textId="1801571D" w:rsidR="00BC245F" w:rsidRPr="007F7B3B" w:rsidRDefault="00BC245F" w:rsidP="00BC245F">
      <w:pPr>
        <w:keepNext/>
        <w:numPr>
          <w:ilvl w:val="0"/>
          <w:numId w:val="41"/>
        </w:numPr>
        <w:spacing w:after="120"/>
        <w:ind w:left="720" w:hanging="360"/>
        <w:jc w:val="both"/>
        <w:rPr>
          <w:b/>
          <w:bCs/>
          <w:color w:val="000000" w:themeColor="text1"/>
        </w:rPr>
      </w:pPr>
      <w:r w:rsidRPr="007F7B3B">
        <w:rPr>
          <w:b/>
          <w:bCs/>
          <w:color w:val="000000" w:themeColor="text1"/>
        </w:rPr>
        <w:t xml:space="preserve">Egypt relies on </w:t>
      </w:r>
      <w:r w:rsidR="00CB08EB">
        <w:rPr>
          <w:b/>
          <w:bCs/>
          <w:color w:val="000000" w:themeColor="text1"/>
        </w:rPr>
        <w:t xml:space="preserve">misplaced </w:t>
      </w:r>
      <w:r w:rsidRPr="007F7B3B">
        <w:rPr>
          <w:b/>
          <w:bCs/>
          <w:color w:val="000000" w:themeColor="text1"/>
        </w:rPr>
        <w:t>assertions of “state sovereignty” to disregard its human rights obligations concerning the death penalty</w:t>
      </w:r>
      <w:r w:rsidR="005D0CE9" w:rsidRPr="007F7B3B">
        <w:rPr>
          <w:b/>
          <w:bCs/>
          <w:color w:val="000000" w:themeColor="text1"/>
        </w:rPr>
        <w:t xml:space="preserve"> (List of Issues Paragraph 25, Reply Paragraph 8</w:t>
      </w:r>
      <w:r w:rsidR="00305936" w:rsidRPr="007F7B3B">
        <w:rPr>
          <w:b/>
          <w:bCs/>
          <w:color w:val="000000" w:themeColor="text1"/>
        </w:rPr>
        <w:t>9)</w:t>
      </w:r>
      <w:r w:rsidRPr="007F7B3B">
        <w:rPr>
          <w:b/>
          <w:bCs/>
          <w:color w:val="000000" w:themeColor="text1"/>
        </w:rPr>
        <w:t>.</w:t>
      </w:r>
    </w:p>
    <w:p w14:paraId="66E1A8B1" w14:textId="79DD5A80" w:rsidR="00BC245F" w:rsidRPr="007F7B3B" w:rsidRDefault="00BC245F" w:rsidP="00433139">
      <w:pPr>
        <w:numPr>
          <w:ilvl w:val="0"/>
          <w:numId w:val="40"/>
        </w:numPr>
        <w:spacing w:after="120"/>
        <w:ind w:left="360"/>
        <w:jc w:val="both"/>
      </w:pPr>
      <w:r w:rsidRPr="007F7B3B">
        <w:t xml:space="preserve">At the UN General Assembly and the Human Rights Council, Egyptian authorities </w:t>
      </w:r>
      <w:r w:rsidR="000336AC" w:rsidRPr="007F7B3B">
        <w:t>have repeatedly spoken against resolutions calling for a moratorium on executions and a reduction in the use of the death penalty, asserting that the death penalty is a matter of “state sovereignty”</w:t>
      </w:r>
      <w:r w:rsidR="00F57D9F" w:rsidRPr="007F7B3B">
        <w:t xml:space="preserve"> or the “sovereign right” of states.</w:t>
      </w:r>
      <w:r w:rsidR="006E423B" w:rsidRPr="007F7B3B">
        <w:t xml:space="preserve"> Egypt has done so as well before this Committee, in responding to the Committee’s List of Issues. </w:t>
      </w:r>
      <w:r w:rsidR="005D0CE9" w:rsidRPr="007F7B3B">
        <w:t>In Paragraph 8</w:t>
      </w:r>
      <w:r w:rsidR="00E52349" w:rsidRPr="007F7B3B">
        <w:t>9</w:t>
      </w:r>
      <w:r w:rsidR="005D0CE9" w:rsidRPr="007F7B3B">
        <w:t xml:space="preserve"> of the </w:t>
      </w:r>
      <w:r w:rsidR="004E56D8" w:rsidRPr="007F7B3B">
        <w:t xml:space="preserve">State Party’s </w:t>
      </w:r>
      <w:r w:rsidR="005D0CE9" w:rsidRPr="007F7B3B">
        <w:t>Re</w:t>
      </w:r>
      <w:r w:rsidR="004E56D8" w:rsidRPr="007F7B3B">
        <w:t xml:space="preserve">ply to the List of Issues, the Egyptian Government </w:t>
      </w:r>
      <w:r w:rsidR="00253D84" w:rsidRPr="007F7B3B">
        <w:t xml:space="preserve">contends that the death penalty “falls within the </w:t>
      </w:r>
      <w:r w:rsidR="00F57D9F" w:rsidRPr="007F7B3B">
        <w:t>s</w:t>
      </w:r>
      <w:r w:rsidR="00253D84" w:rsidRPr="007F7B3B">
        <w:t>cope of state sovereignty.”</w:t>
      </w:r>
      <w:r w:rsidR="00603427" w:rsidRPr="007F7B3B">
        <w:t xml:space="preserve"> This paragraph is the only </w:t>
      </w:r>
      <w:r w:rsidR="008D24AE" w:rsidRPr="007F7B3B">
        <w:t>place in the 20-page document</w:t>
      </w:r>
      <w:r w:rsidR="0015424B" w:rsidRPr="007F7B3B">
        <w:t xml:space="preserve"> where the Egyptian Government references </w:t>
      </w:r>
      <w:r w:rsidR="008D24AE" w:rsidRPr="007F7B3B">
        <w:t>“state sovereignty.”</w:t>
      </w:r>
    </w:p>
    <w:p w14:paraId="579875D1" w14:textId="253D1599" w:rsidR="00253D84" w:rsidRPr="007F7B3B" w:rsidRDefault="00253D84" w:rsidP="00433139">
      <w:pPr>
        <w:numPr>
          <w:ilvl w:val="0"/>
          <w:numId w:val="40"/>
        </w:numPr>
        <w:spacing w:after="120"/>
        <w:ind w:left="360"/>
        <w:jc w:val="both"/>
      </w:pPr>
      <w:r w:rsidRPr="007F7B3B">
        <w:t xml:space="preserve">The Egyptian Government’s reliance on “state sovereignty” is misplaced and </w:t>
      </w:r>
      <w:r w:rsidR="00265F94" w:rsidRPr="007F7B3B">
        <w:t xml:space="preserve">threatens to undermine respect for human rights obligations. </w:t>
      </w:r>
      <w:r w:rsidR="00D23D14" w:rsidRPr="007F7B3B">
        <w:t>The UN Charter</w:t>
      </w:r>
      <w:r w:rsidR="00FF0713" w:rsidRPr="007F7B3B">
        <w:t xml:space="preserve"> recognizes the “principle of sovereign equality”—meaning the principle that all UN Member States are formally equal participants in the UN system, regardless of size or status.</w:t>
      </w:r>
      <w:r w:rsidR="00FF0713" w:rsidRPr="007F7B3B">
        <w:rPr>
          <w:rStyle w:val="FootnoteReference"/>
        </w:rPr>
        <w:footnoteReference w:id="50"/>
      </w:r>
      <w:r w:rsidR="000717EF" w:rsidRPr="007F7B3B">
        <w:t xml:space="preserve"> The Charter does not recognize a</w:t>
      </w:r>
      <w:r w:rsidR="00F45F92" w:rsidRPr="007F7B3B">
        <w:t>ny</w:t>
      </w:r>
      <w:r w:rsidR="000717EF" w:rsidRPr="007F7B3B">
        <w:t xml:space="preserve"> “sovereign right” of states to take </w:t>
      </w:r>
      <w:proofErr w:type="gramStart"/>
      <w:r w:rsidR="000717EF" w:rsidRPr="007F7B3B">
        <w:t>particular actions</w:t>
      </w:r>
      <w:proofErr w:type="gramEnd"/>
      <w:r w:rsidR="001B19D4" w:rsidRPr="007F7B3B">
        <w:t>. Egypt’s reference to “</w:t>
      </w:r>
      <w:r w:rsidR="00320A94" w:rsidRPr="007F7B3B">
        <w:t>state sovereignty”</w:t>
      </w:r>
      <w:r w:rsidR="00CB3451" w:rsidRPr="007F7B3B">
        <w:t xml:space="preserve"> risks creating </w:t>
      </w:r>
      <w:r w:rsidR="00016CF3" w:rsidRPr="007F7B3B">
        <w:t>an artificial distinction between the principle of sovereign equality and human rights.</w:t>
      </w:r>
    </w:p>
    <w:p w14:paraId="2A53A541" w14:textId="40BBB223" w:rsidR="00016CF3" w:rsidRPr="007F7B3B" w:rsidRDefault="00BB38DA" w:rsidP="00433139">
      <w:pPr>
        <w:numPr>
          <w:ilvl w:val="0"/>
          <w:numId w:val="40"/>
        </w:numPr>
        <w:spacing w:after="120"/>
        <w:ind w:left="360"/>
        <w:jc w:val="both"/>
      </w:pPr>
      <w:r w:rsidRPr="007F7B3B">
        <w:t>Article 2(7) of the Charter speaks to the principle of non-intervention of the UN in certain domestic matters of states: “Nothing contained in the present Charter shall authorize the United Nations to intervene in matters which are essentially within the domestic jurisdiction of any state</w:t>
      </w:r>
      <w:r w:rsidR="00B17D28" w:rsidRPr="007F7B3B">
        <w:t xml:space="preserve"> </w:t>
      </w:r>
      <w:proofErr w:type="gramStart"/>
      <w:r w:rsidR="00B17D28" w:rsidRPr="007F7B3B">
        <w:t>. . . .</w:t>
      </w:r>
      <w:proofErr w:type="gramEnd"/>
      <w:r w:rsidR="00B17D28" w:rsidRPr="007F7B3B">
        <w:t xml:space="preserve">” </w:t>
      </w:r>
      <w:proofErr w:type="gramStart"/>
      <w:r w:rsidR="00B17D28" w:rsidRPr="007F7B3B">
        <w:t>Certainly</w:t>
      </w:r>
      <w:proofErr w:type="gramEnd"/>
      <w:r w:rsidR="00B17D28" w:rsidRPr="007F7B3B">
        <w:t xml:space="preserve"> all Member States can and must develop their own legal systems, including application of appropriate legal penalties. But those obligations are not a shield </w:t>
      </w:r>
      <w:r w:rsidR="00B17D28" w:rsidRPr="007F7B3B">
        <w:lastRenderedPageBreak/>
        <w:t>against recognition of human rights obligations, particularly with respect to a country’s obligations after ratifying or acceding to a</w:t>
      </w:r>
      <w:r w:rsidR="002234AA" w:rsidRPr="007F7B3B">
        <w:t xml:space="preserve"> human rights</w:t>
      </w:r>
      <w:r w:rsidR="00B17D28" w:rsidRPr="007F7B3B">
        <w:t xml:space="preserve"> treaty such as the Convention a</w:t>
      </w:r>
      <w:r w:rsidR="001171B2" w:rsidRPr="007F7B3B">
        <w:t>gainst Torture.</w:t>
      </w:r>
    </w:p>
    <w:p w14:paraId="52FCB09F" w14:textId="4CBCE6A9" w:rsidR="001171B2" w:rsidRPr="007F7B3B" w:rsidRDefault="001171B2" w:rsidP="00433139">
      <w:pPr>
        <w:numPr>
          <w:ilvl w:val="0"/>
          <w:numId w:val="40"/>
        </w:numPr>
        <w:spacing w:after="120"/>
        <w:ind w:left="360"/>
        <w:jc w:val="both"/>
      </w:pPr>
      <w:r w:rsidRPr="007F7B3B">
        <w:t xml:space="preserve">Moreover, these principles in the UN Charter must be read in conjunction with one of the purposes of the UN, which is to promote </w:t>
      </w:r>
      <w:r w:rsidR="0005220F" w:rsidRPr="007F7B3B">
        <w:t xml:space="preserve">respect </w:t>
      </w:r>
      <w:r w:rsidRPr="007F7B3B">
        <w:t>for human rights.</w:t>
      </w:r>
      <w:r w:rsidR="0005220F" w:rsidRPr="007F7B3B">
        <w:rPr>
          <w:rStyle w:val="FootnoteReference"/>
        </w:rPr>
        <w:footnoteReference w:id="51"/>
      </w:r>
      <w:r w:rsidR="00EA27AC" w:rsidRPr="007F7B3B">
        <w:t xml:space="preserve"> A State’s status as sovereign is not inconsistent with the promotion and protection of human rights</w:t>
      </w:r>
      <w:r w:rsidR="007E6AB1" w:rsidRPr="007F7B3B">
        <w:t xml:space="preserve">, as recognized by </w:t>
      </w:r>
      <w:r w:rsidR="00E57D1F" w:rsidRPr="007F7B3B">
        <w:t xml:space="preserve">Article 2 of </w:t>
      </w:r>
      <w:r w:rsidR="007E6AB1" w:rsidRPr="007F7B3B">
        <w:t>the Universal Declaration of Human Rights, which states that all persons are entitled to rights, without distinction based on the status of the person’s country, “whether it be independent, trust, non-self-governing or under any other limitation of sovereignty.”</w:t>
      </w:r>
    </w:p>
    <w:p w14:paraId="4E644263" w14:textId="4FCF8004" w:rsidR="00111994" w:rsidRPr="007F7B3B" w:rsidRDefault="00111994" w:rsidP="005419A3">
      <w:pPr>
        <w:keepNext/>
        <w:numPr>
          <w:ilvl w:val="0"/>
          <w:numId w:val="41"/>
        </w:numPr>
        <w:spacing w:after="120"/>
        <w:ind w:left="720" w:hanging="360"/>
        <w:jc w:val="both"/>
        <w:rPr>
          <w:b/>
          <w:bCs/>
        </w:rPr>
      </w:pPr>
      <w:r w:rsidRPr="007F7B3B">
        <w:rPr>
          <w:b/>
          <w:bCs/>
        </w:rPr>
        <w:t>Suggested recommendations</w:t>
      </w:r>
      <w:r w:rsidR="00255789" w:rsidRPr="007F7B3B">
        <w:rPr>
          <w:b/>
          <w:bCs/>
        </w:rPr>
        <w:t xml:space="preserve"> for</w:t>
      </w:r>
      <w:r w:rsidR="000A66B8" w:rsidRPr="007F7B3B">
        <w:rPr>
          <w:b/>
          <w:bCs/>
        </w:rPr>
        <w:t xml:space="preserve"> the Government of </w:t>
      </w:r>
      <w:r w:rsidR="40E37C5C" w:rsidRPr="007F7B3B">
        <w:rPr>
          <w:b/>
          <w:bCs/>
        </w:rPr>
        <w:t>Egypt</w:t>
      </w:r>
    </w:p>
    <w:p w14:paraId="5625B22A" w14:textId="4BFF921B" w:rsidR="00181B2A" w:rsidRPr="007F7B3B" w:rsidRDefault="00181B2A" w:rsidP="00433139">
      <w:pPr>
        <w:numPr>
          <w:ilvl w:val="0"/>
          <w:numId w:val="40"/>
        </w:numPr>
        <w:spacing w:after="120"/>
        <w:ind w:left="360"/>
        <w:jc w:val="both"/>
      </w:pPr>
      <w:r w:rsidRPr="007F7B3B">
        <w:t xml:space="preserve">The </w:t>
      </w:r>
      <w:r w:rsidR="00630329" w:rsidRPr="007F7B3B">
        <w:t xml:space="preserve">coauthors suggest that the </w:t>
      </w:r>
      <w:r w:rsidRPr="007F7B3B">
        <w:t xml:space="preserve">Committee should </w:t>
      </w:r>
      <w:r w:rsidR="00630329" w:rsidRPr="007F7B3B">
        <w:t xml:space="preserve">make the following recommendations </w:t>
      </w:r>
      <w:r w:rsidRPr="007F7B3B">
        <w:t xml:space="preserve">to the Government of </w:t>
      </w:r>
      <w:r w:rsidR="5BF461D2" w:rsidRPr="007F7B3B">
        <w:t>Egypt</w:t>
      </w:r>
      <w:r w:rsidR="00255789" w:rsidRPr="007F7B3B">
        <w:t>:</w:t>
      </w:r>
    </w:p>
    <w:p w14:paraId="2AE1B5BB" w14:textId="6E20DF87" w:rsidR="00CC5319" w:rsidRPr="007F7B3B" w:rsidRDefault="00CC5319" w:rsidP="00433139">
      <w:pPr>
        <w:pStyle w:val="ListParagraph"/>
        <w:numPr>
          <w:ilvl w:val="1"/>
          <w:numId w:val="40"/>
        </w:numPr>
        <w:spacing w:after="120" w:line="240" w:lineRule="auto"/>
        <w:contextualSpacing w:val="0"/>
        <w:jc w:val="both"/>
        <w:rPr>
          <w:rFonts w:ascii="Times New Roman" w:hAnsi="Times New Roman"/>
          <w:sz w:val="24"/>
          <w:szCs w:val="24"/>
        </w:rPr>
      </w:pPr>
      <w:r w:rsidRPr="007F7B3B">
        <w:rPr>
          <w:rFonts w:ascii="Times New Roman" w:hAnsi="Times New Roman"/>
          <w:sz w:val="24"/>
          <w:szCs w:val="24"/>
        </w:rPr>
        <w:t>Immediately institute a de jure moratorium on executions with a view to abolishing the death penalty and, in the meantime, commute the death sentences of any persons currently under sentence of death and replace them with penalties that are fair, proportionate, and consistent with international human rights standards.</w:t>
      </w:r>
    </w:p>
    <w:p w14:paraId="300590E4" w14:textId="20F46782" w:rsidR="00CC5319" w:rsidRPr="007F7B3B" w:rsidRDefault="00CC5319" w:rsidP="00433139">
      <w:pPr>
        <w:pStyle w:val="ListParagraph"/>
        <w:numPr>
          <w:ilvl w:val="1"/>
          <w:numId w:val="40"/>
        </w:numPr>
        <w:spacing w:after="120" w:line="240" w:lineRule="auto"/>
        <w:contextualSpacing w:val="0"/>
        <w:jc w:val="both"/>
        <w:rPr>
          <w:rFonts w:ascii="Times New Roman" w:hAnsi="Times New Roman"/>
          <w:sz w:val="24"/>
          <w:szCs w:val="24"/>
        </w:rPr>
      </w:pPr>
      <w:r w:rsidRPr="007F7B3B">
        <w:rPr>
          <w:rFonts w:ascii="Times New Roman" w:hAnsi="Times New Roman"/>
          <w:sz w:val="24"/>
          <w:szCs w:val="24"/>
        </w:rPr>
        <w:t>Collect and regularly publish, on at least an annual basis, disaggregated data on the current number of persons on death row</w:t>
      </w:r>
      <w:r w:rsidR="00494488" w:rsidRPr="007F7B3B">
        <w:rPr>
          <w:rFonts w:ascii="Times New Roman" w:hAnsi="Times New Roman"/>
          <w:sz w:val="24"/>
          <w:szCs w:val="24"/>
        </w:rPr>
        <w:t xml:space="preserve"> and persons executed over the previous year</w:t>
      </w:r>
      <w:r w:rsidRPr="007F7B3B">
        <w:rPr>
          <w:rFonts w:ascii="Times New Roman" w:hAnsi="Times New Roman"/>
          <w:sz w:val="24"/>
          <w:szCs w:val="24"/>
        </w:rPr>
        <w:t>, including</w:t>
      </w:r>
      <w:r w:rsidRPr="007F7B3B" w:rsidDel="008E4DC1">
        <w:rPr>
          <w:rFonts w:ascii="Times New Roman" w:hAnsi="Times New Roman"/>
          <w:sz w:val="24"/>
          <w:szCs w:val="24"/>
        </w:rPr>
        <w:t xml:space="preserve"> </w:t>
      </w:r>
      <w:r w:rsidRPr="007F7B3B">
        <w:rPr>
          <w:rFonts w:ascii="Times New Roman" w:hAnsi="Times New Roman"/>
          <w:sz w:val="24"/>
          <w:szCs w:val="24"/>
        </w:rPr>
        <w:t xml:space="preserve">sex, age, ethnicity, nationality, offence, relationship to victim or codefendant (if any), </w:t>
      </w:r>
      <w:r w:rsidR="00900939" w:rsidRPr="007F7B3B">
        <w:rPr>
          <w:rFonts w:ascii="Times New Roman" w:hAnsi="Times New Roman"/>
          <w:sz w:val="24"/>
          <w:szCs w:val="24"/>
        </w:rPr>
        <w:t xml:space="preserve">court of conviction, date of conviction, current </w:t>
      </w:r>
      <w:r w:rsidR="009D62C8" w:rsidRPr="007F7B3B">
        <w:rPr>
          <w:rFonts w:ascii="Times New Roman" w:hAnsi="Times New Roman"/>
          <w:sz w:val="24"/>
          <w:szCs w:val="24"/>
        </w:rPr>
        <w:t xml:space="preserve">location (if applicable), date of execution (if applicable), </w:t>
      </w:r>
      <w:r w:rsidR="00D10D00" w:rsidRPr="007F7B3B">
        <w:rPr>
          <w:rFonts w:ascii="Times New Roman" w:hAnsi="Times New Roman"/>
          <w:sz w:val="24"/>
          <w:szCs w:val="24"/>
        </w:rPr>
        <w:t>and status of any appeals or requests for clemency</w:t>
      </w:r>
      <w:r w:rsidRPr="007F7B3B">
        <w:rPr>
          <w:rFonts w:ascii="Times New Roman" w:hAnsi="Times New Roman"/>
          <w:sz w:val="24"/>
          <w:szCs w:val="24"/>
        </w:rPr>
        <w:t>.</w:t>
      </w:r>
    </w:p>
    <w:p w14:paraId="60943904" w14:textId="77777777" w:rsidR="00CC5319" w:rsidRPr="007F7B3B" w:rsidRDefault="00CC5319" w:rsidP="00433139">
      <w:pPr>
        <w:pStyle w:val="ListParagraph"/>
        <w:numPr>
          <w:ilvl w:val="1"/>
          <w:numId w:val="40"/>
        </w:numPr>
        <w:spacing w:after="120" w:line="240" w:lineRule="auto"/>
        <w:contextualSpacing w:val="0"/>
        <w:rPr>
          <w:rFonts w:ascii="Times New Roman" w:hAnsi="Times New Roman"/>
          <w:sz w:val="24"/>
          <w:szCs w:val="24"/>
        </w:rPr>
      </w:pPr>
      <w:r w:rsidRPr="007F7B3B">
        <w:rPr>
          <w:rFonts w:ascii="Times New Roman" w:hAnsi="Times New Roman"/>
          <w:sz w:val="24"/>
          <w:szCs w:val="24"/>
        </w:rPr>
        <w:t>Ratify the Second Optional Protocol to the ICCPR.</w:t>
      </w:r>
    </w:p>
    <w:p w14:paraId="7D93326E" w14:textId="70EF455C" w:rsidR="3431004F" w:rsidRPr="007F7B3B" w:rsidRDefault="00634DDF" w:rsidP="00D30FCE">
      <w:pPr>
        <w:pStyle w:val="ListParagraph"/>
        <w:numPr>
          <w:ilvl w:val="1"/>
          <w:numId w:val="40"/>
        </w:numPr>
        <w:spacing w:after="120" w:line="240" w:lineRule="auto"/>
        <w:contextualSpacing w:val="0"/>
        <w:jc w:val="both"/>
        <w:rPr>
          <w:rFonts w:ascii="Times New Roman" w:eastAsia="Times New Roman" w:hAnsi="Times New Roman"/>
          <w:sz w:val="24"/>
          <w:szCs w:val="24"/>
        </w:rPr>
      </w:pPr>
      <w:r w:rsidRPr="007F7B3B">
        <w:rPr>
          <w:rFonts w:ascii="Times New Roman" w:eastAsia="Times New Roman" w:hAnsi="Times New Roman"/>
          <w:sz w:val="24"/>
          <w:szCs w:val="24"/>
        </w:rPr>
        <w:t>Regularly publish</w:t>
      </w:r>
      <w:r w:rsidR="3431004F" w:rsidRPr="007F7B3B">
        <w:rPr>
          <w:rFonts w:ascii="Times New Roman" w:eastAsia="Times New Roman" w:hAnsi="Times New Roman"/>
          <w:sz w:val="24"/>
          <w:szCs w:val="24"/>
        </w:rPr>
        <w:t xml:space="preserve"> data about all complaints received alleging torture or other ill-treatment against persons under sentence of death, including the nature of the complaint, the authority receiving the complaint, investigative measures taken, results of the investigation, accountability measures pursued, and remedies, if any, provided to the victim</w:t>
      </w:r>
      <w:r w:rsidR="004A66FC" w:rsidRPr="007F7B3B">
        <w:rPr>
          <w:rFonts w:ascii="Times New Roman" w:eastAsia="Times New Roman" w:hAnsi="Times New Roman"/>
          <w:sz w:val="24"/>
          <w:szCs w:val="24"/>
        </w:rPr>
        <w:t xml:space="preserve"> or the victim’s survivors</w:t>
      </w:r>
      <w:r w:rsidR="3431004F" w:rsidRPr="007F7B3B">
        <w:rPr>
          <w:rFonts w:ascii="Times New Roman" w:eastAsia="Times New Roman" w:hAnsi="Times New Roman"/>
          <w:sz w:val="24"/>
          <w:szCs w:val="24"/>
        </w:rPr>
        <w:t>.</w:t>
      </w:r>
    </w:p>
    <w:p w14:paraId="0F12513D" w14:textId="2942964B" w:rsidR="3431004F" w:rsidRPr="007F7B3B" w:rsidRDefault="004A66FC" w:rsidP="00D30FCE">
      <w:pPr>
        <w:pStyle w:val="ListParagraph"/>
        <w:numPr>
          <w:ilvl w:val="1"/>
          <w:numId w:val="40"/>
        </w:numPr>
        <w:spacing w:after="120" w:line="240" w:lineRule="auto"/>
        <w:contextualSpacing w:val="0"/>
        <w:jc w:val="both"/>
        <w:rPr>
          <w:rFonts w:ascii="Times New Roman" w:eastAsia="Times New Roman" w:hAnsi="Times New Roman"/>
          <w:sz w:val="24"/>
          <w:szCs w:val="24"/>
        </w:rPr>
      </w:pPr>
      <w:r w:rsidRPr="007F7B3B">
        <w:rPr>
          <w:rFonts w:ascii="Times New Roman" w:eastAsia="Times New Roman" w:hAnsi="Times New Roman"/>
          <w:sz w:val="24"/>
          <w:szCs w:val="24"/>
        </w:rPr>
        <w:t>Establish training and safeguards to e</w:t>
      </w:r>
      <w:r w:rsidR="009013EF" w:rsidRPr="007F7B3B">
        <w:rPr>
          <w:rFonts w:ascii="Times New Roman" w:eastAsia="Times New Roman" w:hAnsi="Times New Roman"/>
          <w:sz w:val="24"/>
          <w:szCs w:val="24"/>
        </w:rPr>
        <w:t xml:space="preserve">nsure that judges </w:t>
      </w:r>
      <w:r w:rsidR="3431004F" w:rsidRPr="007F7B3B">
        <w:rPr>
          <w:rFonts w:ascii="Times New Roman" w:eastAsia="Times New Roman" w:hAnsi="Times New Roman"/>
          <w:sz w:val="24"/>
          <w:szCs w:val="24"/>
        </w:rPr>
        <w:t>do not consider evidence obtained through torture, except when individuals are tried for committing acts of torture</w:t>
      </w:r>
      <w:r w:rsidR="00B13990" w:rsidRPr="007F7B3B">
        <w:rPr>
          <w:rFonts w:ascii="Times New Roman" w:eastAsia="Times New Roman" w:hAnsi="Times New Roman"/>
          <w:sz w:val="24"/>
          <w:szCs w:val="24"/>
        </w:rPr>
        <w:t>.</w:t>
      </w:r>
    </w:p>
    <w:p w14:paraId="336A8427" w14:textId="421901C3" w:rsidR="006F5BFA" w:rsidRPr="007F7B3B" w:rsidRDefault="0063454E" w:rsidP="00D30FCE">
      <w:pPr>
        <w:pStyle w:val="ListParagraph"/>
        <w:numPr>
          <w:ilvl w:val="1"/>
          <w:numId w:val="40"/>
        </w:numPr>
        <w:spacing w:after="120" w:line="240" w:lineRule="auto"/>
        <w:contextualSpacing w:val="0"/>
        <w:jc w:val="both"/>
        <w:rPr>
          <w:rFonts w:ascii="Times New Roman" w:eastAsia="Times New Roman" w:hAnsi="Times New Roman"/>
          <w:sz w:val="24"/>
          <w:szCs w:val="24"/>
        </w:rPr>
      </w:pPr>
      <w:r w:rsidRPr="007F7B3B">
        <w:rPr>
          <w:rFonts w:ascii="Times New Roman" w:eastAsia="Times New Roman" w:hAnsi="Times New Roman"/>
          <w:sz w:val="24"/>
          <w:szCs w:val="24"/>
        </w:rPr>
        <w:t>Publish</w:t>
      </w:r>
      <w:r w:rsidR="3431004F" w:rsidRPr="007F7B3B">
        <w:rPr>
          <w:rFonts w:ascii="Times New Roman" w:eastAsia="Times New Roman" w:hAnsi="Times New Roman"/>
          <w:sz w:val="24"/>
          <w:szCs w:val="24"/>
        </w:rPr>
        <w:t xml:space="preserve"> data on the number of criminal prosecutions (whether complete or pending) against State officials or agents for allegedly committing acts of torture and/or ill-treatment against </w:t>
      </w:r>
      <w:r w:rsidR="00531CD5" w:rsidRPr="007F7B3B">
        <w:rPr>
          <w:rFonts w:ascii="Times New Roman" w:eastAsia="Times New Roman" w:hAnsi="Times New Roman"/>
          <w:sz w:val="24"/>
          <w:szCs w:val="24"/>
        </w:rPr>
        <w:t xml:space="preserve">criminal </w:t>
      </w:r>
      <w:r w:rsidR="3431004F" w:rsidRPr="007F7B3B">
        <w:rPr>
          <w:rFonts w:ascii="Times New Roman" w:eastAsia="Times New Roman" w:hAnsi="Times New Roman"/>
          <w:sz w:val="24"/>
          <w:szCs w:val="24"/>
        </w:rPr>
        <w:t>suspects or defendants, including the relevant sentencing outcomes.</w:t>
      </w:r>
      <w:r w:rsidR="006F5BFA" w:rsidRPr="007F7B3B">
        <w:rPr>
          <w:rFonts w:ascii="Times New Roman" w:hAnsi="Times New Roman"/>
          <w:sz w:val="24"/>
          <w:szCs w:val="24"/>
        </w:rPr>
        <w:t xml:space="preserve"> </w:t>
      </w:r>
    </w:p>
    <w:p w14:paraId="0C9A0F6E" w14:textId="2BAA8B86" w:rsidR="3431004F" w:rsidRPr="007F7B3B" w:rsidRDefault="006F5BFA" w:rsidP="000B3FCA">
      <w:pPr>
        <w:pStyle w:val="ListParagraph"/>
        <w:numPr>
          <w:ilvl w:val="1"/>
          <w:numId w:val="40"/>
        </w:numPr>
        <w:spacing w:after="120" w:line="240" w:lineRule="auto"/>
        <w:contextualSpacing w:val="0"/>
        <w:jc w:val="both"/>
        <w:rPr>
          <w:rFonts w:ascii="Times New Roman" w:eastAsia="Times New Roman" w:hAnsi="Times New Roman"/>
          <w:sz w:val="24"/>
          <w:szCs w:val="24"/>
        </w:rPr>
      </w:pPr>
      <w:r w:rsidRPr="007F7B3B">
        <w:rPr>
          <w:rFonts w:ascii="Times New Roman" w:hAnsi="Times New Roman"/>
          <w:sz w:val="24"/>
          <w:szCs w:val="24"/>
        </w:rPr>
        <w:t xml:space="preserve">End impunity for all officials involved in </w:t>
      </w:r>
      <w:r w:rsidR="003D3C20" w:rsidRPr="007F7B3B">
        <w:rPr>
          <w:rFonts w:ascii="Times New Roman" w:hAnsi="Times New Roman"/>
          <w:sz w:val="24"/>
          <w:szCs w:val="24"/>
        </w:rPr>
        <w:t>torture</w:t>
      </w:r>
      <w:r w:rsidR="00F21BA5" w:rsidRPr="007F7B3B">
        <w:rPr>
          <w:rFonts w:ascii="Times New Roman" w:hAnsi="Times New Roman"/>
          <w:sz w:val="24"/>
          <w:szCs w:val="24"/>
        </w:rPr>
        <w:t>.</w:t>
      </w:r>
      <w:r w:rsidRPr="007F7B3B">
        <w:rPr>
          <w:rFonts w:ascii="Times New Roman" w:hAnsi="Times New Roman"/>
          <w:sz w:val="24"/>
          <w:szCs w:val="24"/>
        </w:rPr>
        <w:t xml:space="preserve"> E</w:t>
      </w:r>
      <w:r w:rsidR="003E5C75" w:rsidRPr="007F7B3B">
        <w:rPr>
          <w:rFonts w:ascii="Times New Roman" w:hAnsi="Times New Roman"/>
          <w:sz w:val="24"/>
          <w:szCs w:val="24"/>
        </w:rPr>
        <w:t xml:space="preserve">nsure that the </w:t>
      </w:r>
      <w:r w:rsidR="005C0620" w:rsidRPr="007F7B3B">
        <w:rPr>
          <w:rFonts w:ascii="Times New Roman" w:hAnsi="Times New Roman"/>
          <w:sz w:val="24"/>
          <w:szCs w:val="24"/>
        </w:rPr>
        <w:t xml:space="preserve">human rights department in the Office of the Public Prosecutor </w:t>
      </w:r>
      <w:r w:rsidR="00531CD5" w:rsidRPr="007F7B3B">
        <w:rPr>
          <w:rFonts w:ascii="Times New Roman" w:hAnsi="Times New Roman"/>
          <w:sz w:val="24"/>
          <w:szCs w:val="24"/>
        </w:rPr>
        <w:t xml:space="preserve">carries out independent </w:t>
      </w:r>
      <w:r w:rsidRPr="007F7B3B">
        <w:rPr>
          <w:rFonts w:ascii="Times New Roman" w:hAnsi="Times New Roman"/>
          <w:sz w:val="24"/>
          <w:szCs w:val="24"/>
        </w:rPr>
        <w:t>investigat</w:t>
      </w:r>
      <w:r w:rsidR="00531CD5" w:rsidRPr="007F7B3B">
        <w:rPr>
          <w:rFonts w:ascii="Times New Roman" w:hAnsi="Times New Roman"/>
          <w:sz w:val="24"/>
          <w:szCs w:val="24"/>
        </w:rPr>
        <w:t>ions of</w:t>
      </w:r>
      <w:r w:rsidRPr="007F7B3B">
        <w:rPr>
          <w:rFonts w:ascii="Times New Roman" w:hAnsi="Times New Roman"/>
          <w:sz w:val="24"/>
          <w:szCs w:val="24"/>
        </w:rPr>
        <w:t xml:space="preserve"> all allegations of these human rights violations and </w:t>
      </w:r>
      <w:r w:rsidR="004332BA" w:rsidRPr="007F7B3B">
        <w:rPr>
          <w:rFonts w:ascii="Times New Roman" w:hAnsi="Times New Roman"/>
          <w:sz w:val="24"/>
          <w:szCs w:val="24"/>
        </w:rPr>
        <w:t xml:space="preserve">provides </w:t>
      </w:r>
      <w:r w:rsidRPr="007F7B3B">
        <w:rPr>
          <w:rFonts w:ascii="Times New Roman" w:hAnsi="Times New Roman"/>
          <w:sz w:val="24"/>
          <w:szCs w:val="24"/>
        </w:rPr>
        <w:lastRenderedPageBreak/>
        <w:t xml:space="preserve">victims of unauthorized detention and torture, and cruel, inhuman, or degrading treatment or punishment </w:t>
      </w:r>
      <w:r w:rsidR="004332BA" w:rsidRPr="007F7B3B">
        <w:rPr>
          <w:rFonts w:ascii="Times New Roman" w:hAnsi="Times New Roman"/>
          <w:sz w:val="24"/>
          <w:szCs w:val="24"/>
        </w:rPr>
        <w:t xml:space="preserve">with </w:t>
      </w:r>
      <w:r w:rsidRPr="007F7B3B">
        <w:rPr>
          <w:rFonts w:ascii="Times New Roman" w:hAnsi="Times New Roman"/>
          <w:sz w:val="24"/>
          <w:szCs w:val="24"/>
        </w:rPr>
        <w:t>adequate remedies.</w:t>
      </w:r>
    </w:p>
    <w:p w14:paraId="55D4784E" w14:textId="5E6D7FAF" w:rsidR="00603182" w:rsidRPr="007F7B3B" w:rsidRDefault="00603182" w:rsidP="000B3FCA">
      <w:pPr>
        <w:pStyle w:val="ListParagraph"/>
        <w:numPr>
          <w:ilvl w:val="1"/>
          <w:numId w:val="40"/>
        </w:numPr>
        <w:spacing w:after="120" w:line="240" w:lineRule="auto"/>
        <w:contextualSpacing w:val="0"/>
        <w:jc w:val="both"/>
        <w:rPr>
          <w:rFonts w:ascii="Times New Roman" w:eastAsia="Times New Roman" w:hAnsi="Times New Roman"/>
          <w:sz w:val="24"/>
          <w:szCs w:val="24"/>
        </w:rPr>
      </w:pPr>
      <w:r w:rsidRPr="007F7B3B">
        <w:rPr>
          <w:rFonts w:ascii="Times New Roman" w:hAnsi="Times New Roman"/>
          <w:sz w:val="24"/>
          <w:szCs w:val="24"/>
        </w:rPr>
        <w:t>Take steps to provide heightened fair trial and due process safeguards in capital cases involving women defendants, including by providing them with access to effective legal representation with experience in capital cases and with training on gender-sensitive defense strategies.</w:t>
      </w:r>
    </w:p>
    <w:p w14:paraId="71B07F6B" w14:textId="6F7C62D4" w:rsidR="007B5CEC" w:rsidRPr="007F7B3B" w:rsidRDefault="007B5CEC" w:rsidP="000B3FCA">
      <w:pPr>
        <w:pStyle w:val="ListParagraph"/>
        <w:numPr>
          <w:ilvl w:val="1"/>
          <w:numId w:val="40"/>
        </w:numPr>
        <w:spacing w:after="120" w:line="240" w:lineRule="auto"/>
        <w:contextualSpacing w:val="0"/>
        <w:jc w:val="both"/>
        <w:rPr>
          <w:rFonts w:ascii="Times New Roman" w:eastAsia="Times New Roman" w:hAnsi="Times New Roman"/>
          <w:sz w:val="24"/>
          <w:szCs w:val="24"/>
        </w:rPr>
      </w:pPr>
      <w:r w:rsidRPr="007F7B3B">
        <w:rPr>
          <w:rFonts w:ascii="Times New Roman" w:hAnsi="Times New Roman"/>
          <w:sz w:val="24"/>
          <w:szCs w:val="24"/>
        </w:rPr>
        <w:t xml:space="preserve">Collaborate with civil society to provide training to all defense counsel who take on capital cases regarding gender-specific mitigation and how to raise discrimination against clients </w:t>
      </w:r>
      <w:proofErr w:type="gramStart"/>
      <w:r w:rsidRPr="007F7B3B">
        <w:rPr>
          <w:rFonts w:ascii="Times New Roman" w:hAnsi="Times New Roman"/>
          <w:sz w:val="24"/>
          <w:szCs w:val="24"/>
        </w:rPr>
        <w:t>on the basis of</w:t>
      </w:r>
      <w:proofErr w:type="gramEnd"/>
      <w:r w:rsidRPr="007F7B3B">
        <w:rPr>
          <w:rFonts w:ascii="Times New Roman" w:hAnsi="Times New Roman"/>
          <w:sz w:val="24"/>
          <w:szCs w:val="24"/>
        </w:rPr>
        <w:t xml:space="preserve"> their gender, when appropriate. </w:t>
      </w:r>
    </w:p>
    <w:p w14:paraId="73248F43" w14:textId="7692B3A2" w:rsidR="00DD0911" w:rsidRPr="007F7B3B" w:rsidRDefault="00DD0911" w:rsidP="000B3FCA">
      <w:pPr>
        <w:pStyle w:val="ListParagraph"/>
        <w:numPr>
          <w:ilvl w:val="1"/>
          <w:numId w:val="40"/>
        </w:numPr>
        <w:spacing w:after="120" w:line="240" w:lineRule="auto"/>
        <w:contextualSpacing w:val="0"/>
        <w:jc w:val="both"/>
        <w:rPr>
          <w:rFonts w:ascii="Times New Roman" w:eastAsia="Times New Roman" w:hAnsi="Times New Roman"/>
          <w:sz w:val="24"/>
          <w:szCs w:val="24"/>
        </w:rPr>
      </w:pPr>
      <w:r w:rsidRPr="007F7B3B">
        <w:rPr>
          <w:rFonts w:ascii="Times New Roman" w:hAnsi="Times New Roman"/>
          <w:sz w:val="24"/>
          <w:szCs w:val="24"/>
        </w:rPr>
        <w:t>Codify gender-specific defenses and mitigation in capital cases, encompassing women’s experiences of trauma, poverty, and gender-based violence.</w:t>
      </w:r>
    </w:p>
    <w:p w14:paraId="7F596FFC" w14:textId="5AE3D5CA" w:rsidR="00DD0911" w:rsidRPr="007F7B3B" w:rsidRDefault="00DD0911" w:rsidP="007B5CEC">
      <w:pPr>
        <w:pStyle w:val="ListParagraph"/>
        <w:numPr>
          <w:ilvl w:val="1"/>
          <w:numId w:val="40"/>
        </w:numPr>
        <w:spacing w:after="120" w:line="240" w:lineRule="auto"/>
        <w:contextualSpacing w:val="0"/>
        <w:jc w:val="both"/>
        <w:rPr>
          <w:rFonts w:ascii="Times New Roman" w:eastAsia="Times New Roman" w:hAnsi="Times New Roman"/>
          <w:sz w:val="24"/>
          <w:szCs w:val="24"/>
        </w:rPr>
      </w:pPr>
      <w:r w:rsidRPr="007F7B3B">
        <w:rPr>
          <w:rFonts w:ascii="Times New Roman" w:hAnsi="Times New Roman"/>
          <w:sz w:val="24"/>
          <w:szCs w:val="24"/>
        </w:rPr>
        <w:t xml:space="preserve">Ensure that all judicial officers responsible for sentencing in capital cases receive comprehensive training on gender-based discrimination, gender-based violence, and tactics of coercive control that may lead to women committing death-eligible offenses. </w:t>
      </w:r>
    </w:p>
    <w:p w14:paraId="6D65C18B" w14:textId="6138CC44" w:rsidR="006F5BFA" w:rsidRPr="007F7B3B" w:rsidRDefault="006F5BFA" w:rsidP="00D30FCE">
      <w:pPr>
        <w:pStyle w:val="ListParagraph"/>
        <w:numPr>
          <w:ilvl w:val="1"/>
          <w:numId w:val="40"/>
        </w:numPr>
        <w:spacing w:after="120" w:line="240" w:lineRule="auto"/>
        <w:contextualSpacing w:val="0"/>
        <w:jc w:val="both"/>
        <w:rPr>
          <w:rFonts w:ascii="Times New Roman" w:eastAsia="Times New Roman" w:hAnsi="Times New Roman"/>
          <w:sz w:val="24"/>
          <w:szCs w:val="24"/>
        </w:rPr>
      </w:pPr>
      <w:r w:rsidRPr="007F7B3B">
        <w:rPr>
          <w:rFonts w:ascii="Times New Roman" w:eastAsia="Times New Roman" w:hAnsi="Times New Roman"/>
          <w:sz w:val="24"/>
          <w:szCs w:val="24"/>
        </w:rPr>
        <w:t xml:space="preserve">Improve monitoring of detention facilities and take immediate action to improve prison </w:t>
      </w:r>
      <w:r w:rsidRPr="007F7B3B">
        <w:rPr>
          <w:rFonts w:ascii="Times New Roman" w:hAnsi="Times New Roman"/>
          <w:sz w:val="24"/>
          <w:szCs w:val="24"/>
        </w:rPr>
        <w:t>detention conditions, consistent with the Nelson Mandela Rules</w:t>
      </w:r>
      <w:r w:rsidR="00603182" w:rsidRPr="007F7B3B">
        <w:rPr>
          <w:rFonts w:ascii="Times New Roman" w:hAnsi="Times New Roman"/>
          <w:sz w:val="24"/>
          <w:szCs w:val="24"/>
        </w:rPr>
        <w:t xml:space="preserve"> and the Bangkok Rules</w:t>
      </w:r>
      <w:r w:rsidRPr="007F7B3B">
        <w:rPr>
          <w:rFonts w:ascii="Times New Roman" w:hAnsi="Times New Roman"/>
          <w:sz w:val="24"/>
          <w:szCs w:val="24"/>
        </w:rPr>
        <w:t>, particularly with respect to ill-treatment of people in detention.</w:t>
      </w:r>
    </w:p>
    <w:p w14:paraId="40109DC9" w14:textId="77777777" w:rsidR="006F5BFA" w:rsidRPr="007F7B3B" w:rsidRDefault="006F5BFA" w:rsidP="00D30FCE">
      <w:pPr>
        <w:pStyle w:val="ListParagraph"/>
        <w:numPr>
          <w:ilvl w:val="1"/>
          <w:numId w:val="40"/>
        </w:numPr>
        <w:spacing w:after="120" w:line="240" w:lineRule="auto"/>
        <w:contextualSpacing w:val="0"/>
        <w:jc w:val="both"/>
        <w:rPr>
          <w:rFonts w:ascii="Times New Roman" w:eastAsia="Times New Roman" w:hAnsi="Times New Roman"/>
          <w:sz w:val="24"/>
          <w:szCs w:val="24"/>
        </w:rPr>
      </w:pPr>
      <w:r w:rsidRPr="007F7B3B">
        <w:rPr>
          <w:rFonts w:ascii="Times New Roman" w:eastAsia="Times New Roman" w:hAnsi="Times New Roman"/>
          <w:sz w:val="24"/>
          <w:szCs w:val="24"/>
        </w:rPr>
        <w:t xml:space="preserve">Implement mandatory human rights-based training programs for all judicial officers, </w:t>
      </w:r>
      <w:r w:rsidRPr="007F7B3B">
        <w:rPr>
          <w:rFonts w:ascii="Times New Roman" w:hAnsi="Times New Roman"/>
          <w:sz w:val="24"/>
          <w:szCs w:val="24"/>
        </w:rPr>
        <w:t>members of law enforcement, and security officials working in detention facilities, prisons, and jails.</w:t>
      </w:r>
    </w:p>
    <w:p w14:paraId="057CB3F9" w14:textId="105D79F4" w:rsidR="00D315EC" w:rsidRDefault="00D315EC" w:rsidP="00D30FCE">
      <w:pPr>
        <w:numPr>
          <w:ilvl w:val="1"/>
          <w:numId w:val="40"/>
        </w:numPr>
        <w:spacing w:after="120"/>
        <w:jc w:val="both"/>
      </w:pPr>
      <w:r w:rsidRPr="007F7B3B">
        <w:t xml:space="preserve">Ensure follow-up and implementation of recommendations </w:t>
      </w:r>
      <w:r w:rsidR="006E0B6B" w:rsidRPr="007F7B3B">
        <w:t xml:space="preserve">that </w:t>
      </w:r>
      <w:r w:rsidRPr="007F7B3B">
        <w:t>Egypt accepts in the framework of the Universal Periodic Review, particularly with respect to the death penalty and torture.</w:t>
      </w:r>
    </w:p>
    <w:p w14:paraId="3B4D09B2" w14:textId="554E8EAF" w:rsidR="0099141F" w:rsidRPr="007F7B3B" w:rsidRDefault="0099141F" w:rsidP="00D30FCE">
      <w:pPr>
        <w:numPr>
          <w:ilvl w:val="1"/>
          <w:numId w:val="40"/>
        </w:numPr>
        <w:spacing w:after="120"/>
        <w:jc w:val="both"/>
      </w:pPr>
      <w:r>
        <w:t>Cease</w:t>
      </w:r>
      <w:r w:rsidR="00F608F3">
        <w:t xml:space="preserve"> making</w:t>
      </w:r>
      <w:r>
        <w:t xml:space="preserve"> assertions of “state sovereignty” </w:t>
      </w:r>
      <w:r w:rsidR="00D02464">
        <w:t xml:space="preserve">during discussions of human rights concerns relating to the death penalty </w:t>
      </w:r>
      <w:r w:rsidR="002A020E">
        <w:t>before</w:t>
      </w:r>
      <w:r w:rsidR="00D02464">
        <w:t xml:space="preserve"> </w:t>
      </w:r>
      <w:r w:rsidR="00F608F3">
        <w:t>UN mechanisms.</w:t>
      </w:r>
    </w:p>
    <w:sectPr w:rsidR="0099141F" w:rsidRPr="007F7B3B" w:rsidSect="004B1E4E">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022E4" w14:textId="77777777" w:rsidR="0068653E" w:rsidRDefault="0068653E">
      <w:r>
        <w:separator/>
      </w:r>
    </w:p>
  </w:endnote>
  <w:endnote w:type="continuationSeparator" w:id="0">
    <w:p w14:paraId="54DB0ABF" w14:textId="77777777" w:rsidR="0068653E" w:rsidRDefault="0068653E">
      <w:r>
        <w:continuationSeparator/>
      </w:r>
    </w:p>
  </w:endnote>
  <w:endnote w:type="continuationNotice" w:id="1">
    <w:p w14:paraId="6F453D0C" w14:textId="77777777" w:rsidR="0068653E" w:rsidRDefault="006865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827FB" w14:textId="77777777" w:rsidR="004A48E5" w:rsidRDefault="004A48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0"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87BBC"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5F63B3BA" w:rsidR="00804604" w:rsidRPr="00345B90" w:rsidRDefault="002043F6"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7B53A" w14:textId="77777777" w:rsidR="0068653E" w:rsidRDefault="0068653E">
      <w:r>
        <w:separator/>
      </w:r>
    </w:p>
  </w:footnote>
  <w:footnote w:type="continuationSeparator" w:id="0">
    <w:p w14:paraId="3281A132" w14:textId="77777777" w:rsidR="0068653E" w:rsidRDefault="0068653E">
      <w:r>
        <w:continuationSeparator/>
      </w:r>
    </w:p>
  </w:footnote>
  <w:footnote w:type="continuationNotice" w:id="1">
    <w:p w14:paraId="6D0F081B" w14:textId="77777777" w:rsidR="0068653E" w:rsidRDefault="0068653E"/>
  </w:footnote>
  <w:footnote w:id="2">
    <w:p w14:paraId="7093EDF8" w14:textId="10484A0B" w:rsidR="6786C289" w:rsidRPr="007F7B3B" w:rsidRDefault="6786C289" w:rsidP="6786C289">
      <w:pPr>
        <w:pStyle w:val="FootnoteText"/>
        <w:rPr>
          <w:rFonts w:eastAsia="Calibri"/>
          <w:color w:val="000000" w:themeColor="text1"/>
          <w:sz w:val="20"/>
          <w:szCs w:val="20"/>
        </w:rPr>
      </w:pPr>
      <w:r w:rsidRPr="007F7B3B">
        <w:rPr>
          <w:rStyle w:val="FootnoteReference"/>
          <w:color w:val="000000" w:themeColor="text1"/>
          <w:sz w:val="20"/>
          <w:szCs w:val="20"/>
        </w:rPr>
        <w:footnoteRef/>
      </w:r>
      <w:r w:rsidR="007722D9" w:rsidRPr="007F7B3B">
        <w:rPr>
          <w:color w:val="000000" w:themeColor="text1"/>
          <w:sz w:val="20"/>
          <w:szCs w:val="20"/>
        </w:rPr>
        <w:t xml:space="preserve"> </w:t>
      </w:r>
      <w:r w:rsidRPr="007F7B3B">
        <w:rPr>
          <w:color w:val="000000" w:themeColor="text1"/>
          <w:sz w:val="20"/>
          <w:szCs w:val="20"/>
        </w:rPr>
        <w:t xml:space="preserve">Reprieve, </w:t>
      </w:r>
      <w:r w:rsidRPr="007F7B3B">
        <w:rPr>
          <w:i/>
          <w:iCs/>
          <w:color w:val="000000" w:themeColor="text1"/>
          <w:sz w:val="20"/>
          <w:szCs w:val="20"/>
        </w:rPr>
        <w:t>The Death Penalty in Egypt – Ten Years After the Uprising</w:t>
      </w:r>
      <w:r w:rsidRPr="007F7B3B">
        <w:rPr>
          <w:color w:val="000000" w:themeColor="text1"/>
          <w:sz w:val="20"/>
          <w:szCs w:val="20"/>
        </w:rPr>
        <w:t xml:space="preserve">, (Jan. 28, 2022), </w:t>
      </w:r>
      <w:r w:rsidRPr="007F7B3B">
        <w:rPr>
          <w:sz w:val="20"/>
          <w:szCs w:val="20"/>
        </w:rPr>
        <w:t>https://reprieve.org/uk/2021/05/24/the-death-penalty-in-egypt-ten-year-after-the-uprising/</w:t>
      </w:r>
      <w:r w:rsidR="00D333B5" w:rsidRPr="007F7B3B">
        <w:rPr>
          <w:sz w:val="20"/>
          <w:szCs w:val="20"/>
        </w:rPr>
        <w:t>.</w:t>
      </w:r>
    </w:p>
  </w:footnote>
  <w:footnote w:id="3">
    <w:p w14:paraId="5077FE99" w14:textId="59F780E9" w:rsidR="008A7B42" w:rsidRPr="007F7B3B" w:rsidRDefault="008A7B42" w:rsidP="008A7B42">
      <w:pPr>
        <w:rPr>
          <w:i/>
          <w:iCs/>
          <w:color w:val="000000" w:themeColor="text1"/>
          <w:sz w:val="20"/>
          <w:szCs w:val="20"/>
        </w:rPr>
      </w:pPr>
      <w:r w:rsidRPr="007F7B3B">
        <w:rPr>
          <w:rStyle w:val="FootnoteReference"/>
          <w:color w:val="000000" w:themeColor="text1"/>
          <w:sz w:val="20"/>
          <w:szCs w:val="20"/>
        </w:rPr>
        <w:footnoteRef/>
      </w:r>
      <w:r w:rsidRPr="007F7B3B">
        <w:rPr>
          <w:color w:val="000000" w:themeColor="text1"/>
          <w:sz w:val="20"/>
          <w:szCs w:val="20"/>
        </w:rPr>
        <w:t xml:space="preserve"> The Advocates for Human Rights, The World Coalition Against the Death Penalty and Reprieve, </w:t>
      </w:r>
      <w:r w:rsidRPr="007F7B3B">
        <w:rPr>
          <w:i/>
          <w:iCs/>
          <w:color w:val="000000" w:themeColor="text1"/>
          <w:sz w:val="20"/>
          <w:szCs w:val="20"/>
        </w:rPr>
        <w:t>Egypt’s Compliance with the Convention Against Torture and Other Cruel, Inhuman or Degrading Treatment or Punishment; Suggested List of Issues Relating to the Death Penalty</w:t>
      </w:r>
      <w:r w:rsidRPr="007F7B3B">
        <w:rPr>
          <w:color w:val="000000" w:themeColor="text1"/>
          <w:sz w:val="20"/>
          <w:szCs w:val="20"/>
        </w:rPr>
        <w:t xml:space="preserve"> (Jan. [23], 2023</w:t>
      </w:r>
      <w:r w:rsidR="00C24DC2" w:rsidRPr="007F7B3B">
        <w:rPr>
          <w:color w:val="000000" w:themeColor="text1"/>
          <w:sz w:val="20"/>
          <w:szCs w:val="20"/>
        </w:rPr>
        <w:t xml:space="preserve">), </w:t>
      </w:r>
      <w:r w:rsidR="00D749DD" w:rsidRPr="007F7B3B">
        <w:rPr>
          <w:color w:val="000000" w:themeColor="text1"/>
          <w:sz w:val="20"/>
          <w:szCs w:val="20"/>
        </w:rPr>
        <w:t>https://www.theadvocatesforhumanrights.org/Publications/A/Index?id=627</w:t>
      </w:r>
      <w:r w:rsidRPr="007F7B3B">
        <w:rPr>
          <w:color w:val="000000" w:themeColor="text1"/>
          <w:sz w:val="20"/>
          <w:szCs w:val="20"/>
        </w:rPr>
        <w:t>.</w:t>
      </w:r>
    </w:p>
  </w:footnote>
  <w:footnote w:id="4">
    <w:p w14:paraId="6CD956CB" w14:textId="5D892CBE" w:rsidR="6786C289" w:rsidRPr="007F7B3B" w:rsidRDefault="6786C289" w:rsidP="6786C289">
      <w:pPr>
        <w:pStyle w:val="FootnoteText"/>
        <w:rPr>
          <w:rFonts w:eastAsia="Calibri"/>
          <w:color w:val="000000" w:themeColor="text1"/>
          <w:sz w:val="20"/>
          <w:szCs w:val="20"/>
        </w:rPr>
      </w:pPr>
      <w:r w:rsidRPr="007F7B3B">
        <w:rPr>
          <w:rStyle w:val="FootnoteReference"/>
          <w:color w:val="000000" w:themeColor="text1"/>
          <w:sz w:val="20"/>
          <w:szCs w:val="20"/>
        </w:rPr>
        <w:footnoteRef/>
      </w:r>
      <w:r w:rsidR="007722D9" w:rsidRPr="007F7B3B">
        <w:rPr>
          <w:color w:val="000000" w:themeColor="text1"/>
          <w:sz w:val="20"/>
          <w:szCs w:val="20"/>
        </w:rPr>
        <w:t xml:space="preserve"> </w:t>
      </w:r>
      <w:r w:rsidRPr="007F7B3B">
        <w:rPr>
          <w:color w:val="000000" w:themeColor="text1"/>
          <w:sz w:val="20"/>
          <w:szCs w:val="20"/>
        </w:rPr>
        <w:t xml:space="preserve">Reprieve and local partners collect and maintain data on the composition of death rows around the world, including Egypt. Figures referenced in this report were retrieved from that data or from Reprieve’s 2021 report, </w:t>
      </w:r>
      <w:r w:rsidRPr="007F7B3B">
        <w:rPr>
          <w:i/>
          <w:iCs/>
          <w:color w:val="000000" w:themeColor="text1"/>
          <w:sz w:val="20"/>
          <w:szCs w:val="20"/>
        </w:rPr>
        <w:t>The Death Penalty in Egypt – Ten Years After the Uprising</w:t>
      </w:r>
      <w:r w:rsidRPr="007F7B3B">
        <w:rPr>
          <w:color w:val="000000" w:themeColor="text1"/>
          <w:sz w:val="20"/>
          <w:szCs w:val="20"/>
        </w:rPr>
        <w:t>.</w:t>
      </w:r>
    </w:p>
  </w:footnote>
  <w:footnote w:id="5">
    <w:p w14:paraId="09491D88" w14:textId="55FF50E5" w:rsidR="6786C289" w:rsidRPr="007F7B3B" w:rsidRDefault="6786C289" w:rsidP="6786C289">
      <w:pPr>
        <w:pStyle w:val="FootnoteText"/>
        <w:rPr>
          <w:rFonts w:eastAsia="Calibri"/>
          <w:color w:val="000000" w:themeColor="text1"/>
          <w:sz w:val="20"/>
          <w:szCs w:val="20"/>
        </w:rPr>
      </w:pPr>
      <w:r w:rsidRPr="007F7B3B">
        <w:rPr>
          <w:rStyle w:val="FootnoteReference"/>
          <w:color w:val="000000" w:themeColor="text1"/>
          <w:sz w:val="20"/>
          <w:szCs w:val="20"/>
        </w:rPr>
        <w:footnoteRef/>
      </w:r>
      <w:r w:rsidR="007722D9" w:rsidRPr="007F7B3B">
        <w:rPr>
          <w:color w:val="000000" w:themeColor="text1"/>
          <w:sz w:val="20"/>
          <w:szCs w:val="20"/>
        </w:rPr>
        <w:t xml:space="preserve"> </w:t>
      </w:r>
      <w:r w:rsidRPr="007F7B3B">
        <w:rPr>
          <w:color w:val="000000" w:themeColor="text1"/>
          <w:sz w:val="20"/>
          <w:szCs w:val="20"/>
        </w:rPr>
        <w:t xml:space="preserve">Reprieve, </w:t>
      </w:r>
      <w:r w:rsidRPr="007F7B3B">
        <w:rPr>
          <w:i/>
          <w:iCs/>
          <w:color w:val="000000" w:themeColor="text1"/>
          <w:sz w:val="20"/>
          <w:szCs w:val="20"/>
        </w:rPr>
        <w:t>The Death Penalty in Egypt – Ten Years After the Uprising</w:t>
      </w:r>
      <w:r w:rsidRPr="007F7B3B">
        <w:rPr>
          <w:color w:val="000000" w:themeColor="text1"/>
          <w:sz w:val="20"/>
          <w:szCs w:val="20"/>
        </w:rPr>
        <w:t xml:space="preserve">, (Jan. 28, 2022), </w:t>
      </w:r>
      <w:r w:rsidRPr="007F7B3B">
        <w:rPr>
          <w:sz w:val="20"/>
          <w:szCs w:val="20"/>
        </w:rPr>
        <w:t>https://reprieve.org/uk/2021/05/24/the-death-penalty-in-egypt-ten-year-after-the-uprising/</w:t>
      </w:r>
      <w:r w:rsidRPr="007F7B3B">
        <w:rPr>
          <w:color w:val="000000" w:themeColor="text1"/>
          <w:sz w:val="20"/>
          <w:szCs w:val="20"/>
        </w:rPr>
        <w:t>.</w:t>
      </w:r>
    </w:p>
  </w:footnote>
  <w:footnote w:id="6">
    <w:p w14:paraId="3683F376" w14:textId="015C8265" w:rsidR="6786C289" w:rsidRPr="007F7B3B" w:rsidRDefault="6786C289" w:rsidP="6786C289">
      <w:pPr>
        <w:pStyle w:val="FootnoteText"/>
        <w:rPr>
          <w:i/>
          <w:iCs/>
          <w:color w:val="000000" w:themeColor="text1"/>
          <w:sz w:val="20"/>
          <w:szCs w:val="20"/>
        </w:rPr>
      </w:pPr>
      <w:r w:rsidRPr="007F7B3B">
        <w:rPr>
          <w:rStyle w:val="FootnoteReference"/>
          <w:color w:val="000000" w:themeColor="text1"/>
          <w:sz w:val="20"/>
          <w:szCs w:val="20"/>
        </w:rPr>
        <w:footnoteRef/>
      </w:r>
      <w:r w:rsidR="007722D9" w:rsidRPr="007F7B3B">
        <w:rPr>
          <w:color w:val="000000" w:themeColor="text1"/>
          <w:sz w:val="20"/>
          <w:szCs w:val="20"/>
        </w:rPr>
        <w:t xml:space="preserve"> </w:t>
      </w:r>
      <w:r w:rsidRPr="007F7B3B">
        <w:rPr>
          <w:color w:val="000000" w:themeColor="text1"/>
          <w:sz w:val="20"/>
          <w:szCs w:val="20"/>
        </w:rPr>
        <w:t>The Advocates for Human Rights</w:t>
      </w:r>
      <w:r w:rsidR="00D749DD" w:rsidRPr="007F7B3B">
        <w:rPr>
          <w:color w:val="000000" w:themeColor="text1"/>
          <w:sz w:val="20"/>
          <w:szCs w:val="20"/>
        </w:rPr>
        <w:t xml:space="preserve"> </w:t>
      </w:r>
      <w:r w:rsidR="00D749DD" w:rsidRPr="007F7B3B">
        <w:rPr>
          <w:i/>
          <w:iCs/>
          <w:color w:val="000000" w:themeColor="text1"/>
          <w:sz w:val="20"/>
          <w:szCs w:val="20"/>
        </w:rPr>
        <w:t>et al.</w:t>
      </w:r>
      <w:r w:rsidRPr="007F7B3B">
        <w:rPr>
          <w:color w:val="000000" w:themeColor="text1"/>
          <w:sz w:val="20"/>
          <w:szCs w:val="20"/>
        </w:rPr>
        <w:t>,</w:t>
      </w:r>
      <w:r w:rsidR="00D749DD" w:rsidRPr="007F7B3B">
        <w:rPr>
          <w:color w:val="000000" w:themeColor="text1"/>
          <w:sz w:val="20"/>
          <w:szCs w:val="20"/>
        </w:rPr>
        <w:t xml:space="preserve"> </w:t>
      </w:r>
      <w:r w:rsidR="00D749DD" w:rsidRPr="007F7B3B">
        <w:rPr>
          <w:i/>
          <w:iCs/>
          <w:color w:val="000000" w:themeColor="text1"/>
          <w:sz w:val="20"/>
          <w:szCs w:val="20"/>
        </w:rPr>
        <w:t>supra</w:t>
      </w:r>
      <w:r w:rsidR="00D749DD" w:rsidRPr="007F7B3B">
        <w:rPr>
          <w:color w:val="000000" w:themeColor="text1"/>
          <w:sz w:val="20"/>
          <w:szCs w:val="20"/>
        </w:rPr>
        <w:t xml:space="preserve"> note </w:t>
      </w:r>
      <w:r w:rsidR="000F622B" w:rsidRPr="007F7B3B">
        <w:rPr>
          <w:color w:val="000000" w:themeColor="text1"/>
          <w:sz w:val="20"/>
          <w:szCs w:val="20"/>
        </w:rPr>
        <w:fldChar w:fldCharType="begin"/>
      </w:r>
      <w:r w:rsidR="000F622B" w:rsidRPr="007F7B3B">
        <w:rPr>
          <w:color w:val="000000" w:themeColor="text1"/>
          <w:sz w:val="20"/>
          <w:szCs w:val="20"/>
        </w:rPr>
        <w:instrText xml:space="preserve"> NOTEREF _Ref146706210 \h </w:instrText>
      </w:r>
      <w:r w:rsidR="007855FA" w:rsidRPr="007F7B3B">
        <w:rPr>
          <w:color w:val="000000" w:themeColor="text1"/>
          <w:sz w:val="20"/>
          <w:szCs w:val="20"/>
        </w:rPr>
        <w:instrText xml:space="preserve"> \* MERGEFORMAT </w:instrText>
      </w:r>
      <w:r w:rsidR="000F622B" w:rsidRPr="007F7B3B">
        <w:rPr>
          <w:color w:val="000000" w:themeColor="text1"/>
          <w:sz w:val="20"/>
          <w:szCs w:val="20"/>
        </w:rPr>
      </w:r>
      <w:r w:rsidR="000F622B" w:rsidRPr="007F7B3B">
        <w:rPr>
          <w:color w:val="000000" w:themeColor="text1"/>
          <w:sz w:val="20"/>
          <w:szCs w:val="20"/>
        </w:rPr>
        <w:fldChar w:fldCharType="separate"/>
      </w:r>
      <w:r w:rsidR="000F622B" w:rsidRPr="007F7B3B">
        <w:rPr>
          <w:color w:val="000000" w:themeColor="text1"/>
          <w:sz w:val="20"/>
          <w:szCs w:val="20"/>
        </w:rPr>
        <w:t>2</w:t>
      </w:r>
      <w:r w:rsidR="000F622B" w:rsidRPr="007F7B3B">
        <w:rPr>
          <w:color w:val="000000" w:themeColor="text1"/>
          <w:sz w:val="20"/>
          <w:szCs w:val="20"/>
        </w:rPr>
        <w:fldChar w:fldCharType="end"/>
      </w:r>
      <w:r w:rsidRPr="007F7B3B">
        <w:rPr>
          <w:color w:val="000000" w:themeColor="text1"/>
          <w:sz w:val="20"/>
          <w:szCs w:val="20"/>
        </w:rPr>
        <w:t>, ¶ 3.</w:t>
      </w:r>
    </w:p>
  </w:footnote>
  <w:footnote w:id="7">
    <w:p w14:paraId="0FDBEB33" w14:textId="02AC0D1E" w:rsidR="002F1975" w:rsidRPr="007F7B3B" w:rsidRDefault="002F1975" w:rsidP="002F1975">
      <w:pPr>
        <w:pStyle w:val="FootnoteText"/>
        <w:rPr>
          <w:color w:val="000000" w:themeColor="text1"/>
          <w:sz w:val="20"/>
          <w:szCs w:val="20"/>
        </w:rPr>
      </w:pPr>
      <w:r w:rsidRPr="007F7B3B">
        <w:rPr>
          <w:rStyle w:val="FootnoteReference"/>
          <w:color w:val="000000" w:themeColor="text1"/>
          <w:sz w:val="20"/>
          <w:szCs w:val="20"/>
        </w:rPr>
        <w:footnoteRef/>
      </w:r>
      <w:r w:rsidRPr="007F7B3B">
        <w:rPr>
          <w:color w:val="000000" w:themeColor="text1"/>
          <w:sz w:val="20"/>
          <w:szCs w:val="20"/>
        </w:rPr>
        <w:t xml:space="preserve"> Amnesty International, Death Sentences and Executions 2022, (2023), </w:t>
      </w:r>
      <w:r w:rsidRPr="007F7B3B">
        <w:rPr>
          <w:sz w:val="20"/>
          <w:szCs w:val="20"/>
        </w:rPr>
        <w:t>https://www.amnesty.org/en/documents/act50/6548/2023/en/</w:t>
      </w:r>
      <w:r w:rsidRPr="007F7B3B">
        <w:rPr>
          <w:color w:val="000000" w:themeColor="text1"/>
          <w:sz w:val="20"/>
          <w:szCs w:val="20"/>
        </w:rPr>
        <w:t xml:space="preserve">. </w:t>
      </w:r>
    </w:p>
  </w:footnote>
  <w:footnote w:id="8">
    <w:p w14:paraId="1EC7AF37" w14:textId="1DF42F6F" w:rsidR="002F1975" w:rsidRPr="007F7B3B" w:rsidRDefault="002F1975" w:rsidP="002F1975">
      <w:pPr>
        <w:pStyle w:val="FootnoteText"/>
        <w:rPr>
          <w:color w:val="000000" w:themeColor="text1"/>
          <w:sz w:val="20"/>
          <w:szCs w:val="20"/>
        </w:rPr>
      </w:pPr>
      <w:r w:rsidRPr="007F7B3B">
        <w:rPr>
          <w:rStyle w:val="FootnoteReference"/>
          <w:color w:val="000000" w:themeColor="text1"/>
          <w:sz w:val="20"/>
          <w:szCs w:val="20"/>
        </w:rPr>
        <w:footnoteRef/>
      </w:r>
      <w:r w:rsidRPr="007F7B3B">
        <w:rPr>
          <w:color w:val="000000" w:themeColor="text1"/>
          <w:sz w:val="20"/>
          <w:szCs w:val="20"/>
        </w:rPr>
        <w:t xml:space="preserve"> Amnesty International, Death Sentences and Executions 2022, (2023), 12, </w:t>
      </w:r>
      <w:r w:rsidRPr="007F7B3B">
        <w:rPr>
          <w:sz w:val="20"/>
          <w:szCs w:val="20"/>
        </w:rPr>
        <w:t>https://www.amnesty.org/en/documents/act50/6548/2023/en/</w:t>
      </w:r>
      <w:r w:rsidRPr="007F7B3B">
        <w:rPr>
          <w:color w:val="000000" w:themeColor="text1"/>
          <w:sz w:val="20"/>
          <w:szCs w:val="20"/>
        </w:rPr>
        <w:t>.</w:t>
      </w:r>
    </w:p>
  </w:footnote>
  <w:footnote w:id="9">
    <w:p w14:paraId="7A2B4487" w14:textId="2F7AE881" w:rsidR="00423D8B" w:rsidRPr="007F7B3B" w:rsidRDefault="00423D8B">
      <w:pPr>
        <w:pStyle w:val="FootnoteText"/>
        <w:rPr>
          <w:color w:val="000000" w:themeColor="text1"/>
          <w:sz w:val="20"/>
          <w:szCs w:val="20"/>
        </w:rPr>
      </w:pPr>
      <w:r w:rsidRPr="007F7B3B">
        <w:rPr>
          <w:rStyle w:val="FootnoteReference"/>
          <w:color w:val="000000" w:themeColor="text1"/>
          <w:sz w:val="20"/>
          <w:szCs w:val="20"/>
        </w:rPr>
        <w:footnoteRef/>
      </w:r>
      <w:r w:rsidRPr="007F7B3B">
        <w:rPr>
          <w:color w:val="000000" w:themeColor="text1"/>
          <w:sz w:val="20"/>
          <w:szCs w:val="20"/>
        </w:rPr>
        <w:t xml:space="preserve"> </w:t>
      </w:r>
      <w:r w:rsidR="00024DE3" w:rsidRPr="007F7B3B">
        <w:rPr>
          <w:color w:val="000000" w:themeColor="text1"/>
          <w:sz w:val="20"/>
          <w:szCs w:val="20"/>
        </w:rPr>
        <w:t xml:space="preserve">Beatrice Farhat, </w:t>
      </w:r>
      <w:r w:rsidR="00024DE3" w:rsidRPr="007F7B3B">
        <w:rPr>
          <w:color w:val="000000" w:themeColor="text1"/>
          <w:sz w:val="20"/>
          <w:szCs w:val="20"/>
          <w:shd w:val="clear" w:color="auto" w:fill="FFFFFF"/>
        </w:rPr>
        <w:t xml:space="preserve">Egyptian man executed one year after brutal killing of </w:t>
      </w:r>
      <w:r w:rsidR="00024DE3" w:rsidRPr="007F7B3B">
        <w:rPr>
          <w:color w:val="000000" w:themeColor="text1"/>
          <w:sz w:val="20"/>
          <w:szCs w:val="20"/>
          <w:shd w:val="clear" w:color="auto" w:fill="FFFFFF"/>
        </w:rPr>
        <w:t>Nayera Ashraf</w:t>
      </w:r>
      <w:r w:rsidR="00024DE3" w:rsidRPr="007F7B3B">
        <w:rPr>
          <w:color w:val="000000" w:themeColor="text1"/>
          <w:sz w:val="20"/>
          <w:szCs w:val="20"/>
        </w:rPr>
        <w:t xml:space="preserve">, Al-Monitor, </w:t>
      </w:r>
      <w:r w:rsidR="000B3623" w:rsidRPr="007F7B3B">
        <w:rPr>
          <w:color w:val="000000" w:themeColor="text1"/>
          <w:sz w:val="20"/>
          <w:szCs w:val="20"/>
        </w:rPr>
        <w:t>(Jun. 14</w:t>
      </w:r>
      <w:r w:rsidR="000B3623" w:rsidRPr="007F7B3B">
        <w:rPr>
          <w:color w:val="000000" w:themeColor="text1"/>
          <w:sz w:val="20"/>
          <w:szCs w:val="20"/>
        </w:rPr>
        <w:t xml:space="preserve"> 2023), </w:t>
      </w:r>
      <w:r w:rsidR="00C27C7E" w:rsidRPr="007F7B3B">
        <w:rPr>
          <w:sz w:val="20"/>
          <w:szCs w:val="20"/>
        </w:rPr>
        <w:t>https://www.al-monitor.com/originals/2023/06/egyptian-man-executed-one-year-after-brutal-killing-nayera-ashraf</w:t>
      </w:r>
      <w:r w:rsidR="00C27C7E" w:rsidRPr="007F7B3B">
        <w:rPr>
          <w:color w:val="000000" w:themeColor="text1"/>
          <w:sz w:val="20"/>
          <w:szCs w:val="20"/>
        </w:rPr>
        <w:t xml:space="preserve">. </w:t>
      </w:r>
    </w:p>
  </w:footnote>
  <w:footnote w:id="10">
    <w:p w14:paraId="677B1C07" w14:textId="5238F664" w:rsidR="7D59BA9C" w:rsidRPr="007F7B3B" w:rsidRDefault="7D59BA9C" w:rsidP="7D59BA9C">
      <w:pPr>
        <w:pStyle w:val="FootnoteText"/>
        <w:rPr>
          <w:color w:val="000000" w:themeColor="text1"/>
          <w:sz w:val="20"/>
          <w:szCs w:val="20"/>
        </w:rPr>
      </w:pPr>
      <w:r w:rsidRPr="007F7B3B">
        <w:rPr>
          <w:rStyle w:val="FootnoteReference"/>
          <w:color w:val="000000" w:themeColor="text1"/>
          <w:sz w:val="20"/>
          <w:szCs w:val="20"/>
        </w:rPr>
        <w:footnoteRef/>
      </w:r>
      <w:bookmarkStart w:id="1" w:name="_Hlk144092233"/>
      <w:r w:rsidR="007722D9" w:rsidRPr="007F7B3B">
        <w:rPr>
          <w:color w:val="000000" w:themeColor="text1"/>
          <w:sz w:val="20"/>
          <w:szCs w:val="20"/>
        </w:rPr>
        <w:t xml:space="preserve"> </w:t>
      </w:r>
      <w:r w:rsidR="6786C289" w:rsidRPr="007F7B3B">
        <w:rPr>
          <w:color w:val="000000" w:themeColor="text1"/>
          <w:sz w:val="20"/>
          <w:szCs w:val="20"/>
        </w:rPr>
        <w:t xml:space="preserve">Committee Against Torture, </w:t>
      </w:r>
      <w:r w:rsidR="6786C289" w:rsidRPr="007F7B3B">
        <w:rPr>
          <w:i/>
          <w:iCs/>
          <w:color w:val="000000" w:themeColor="text1"/>
          <w:sz w:val="20"/>
          <w:szCs w:val="20"/>
        </w:rPr>
        <w:t>List of issues in relation to the fifth periodic report of Egypt</w:t>
      </w:r>
      <w:r w:rsidR="6786C289" w:rsidRPr="007F7B3B">
        <w:rPr>
          <w:color w:val="000000" w:themeColor="text1"/>
          <w:sz w:val="20"/>
          <w:szCs w:val="20"/>
        </w:rPr>
        <w:t>, (June 7, 2023), U.N. Doc. CAT/C/EGY/Q5, ¶24.</w:t>
      </w:r>
      <w:bookmarkEnd w:id="1"/>
    </w:p>
  </w:footnote>
  <w:footnote w:id="11">
    <w:p w14:paraId="7C131716" w14:textId="6E514E9D" w:rsidR="7D59BA9C" w:rsidRPr="007F7B3B" w:rsidRDefault="7D59BA9C" w:rsidP="7D59BA9C">
      <w:pPr>
        <w:rPr>
          <w:color w:val="000000" w:themeColor="text1"/>
          <w:sz w:val="20"/>
          <w:szCs w:val="20"/>
        </w:rPr>
      </w:pPr>
      <w:r w:rsidRPr="007F7B3B">
        <w:rPr>
          <w:rStyle w:val="FootnoteReference"/>
          <w:color w:val="000000" w:themeColor="text1"/>
          <w:sz w:val="20"/>
          <w:szCs w:val="20"/>
        </w:rPr>
        <w:footnoteRef/>
      </w:r>
      <w:r w:rsidR="007722D9" w:rsidRPr="007F7B3B">
        <w:rPr>
          <w:color w:val="000000" w:themeColor="text1"/>
          <w:sz w:val="20"/>
          <w:szCs w:val="20"/>
        </w:rPr>
        <w:t xml:space="preserve"> </w:t>
      </w:r>
      <w:r w:rsidRPr="007F7B3B">
        <w:rPr>
          <w:color w:val="000000" w:themeColor="text1"/>
          <w:sz w:val="20"/>
          <w:szCs w:val="20"/>
        </w:rPr>
        <w:t xml:space="preserve">Committee against Torture, </w:t>
      </w:r>
      <w:r w:rsidRPr="007F7B3B">
        <w:rPr>
          <w:i/>
          <w:iCs/>
          <w:color w:val="000000" w:themeColor="text1"/>
          <w:sz w:val="20"/>
          <w:szCs w:val="20"/>
        </w:rPr>
        <w:t>Fifth periodic report submitted by Egypt under article 19 of the Convention, due</w:t>
      </w:r>
    </w:p>
    <w:p w14:paraId="7732FD2A" w14:textId="71C1D45E" w:rsidR="7D59BA9C" w:rsidRPr="007F7B3B" w:rsidRDefault="7D59BA9C" w:rsidP="7D59BA9C">
      <w:pPr>
        <w:pStyle w:val="FootnoteText"/>
        <w:rPr>
          <w:i/>
          <w:iCs/>
          <w:color w:val="000000" w:themeColor="text1"/>
          <w:sz w:val="20"/>
          <w:szCs w:val="20"/>
        </w:rPr>
      </w:pPr>
      <w:r w:rsidRPr="007F7B3B">
        <w:rPr>
          <w:i/>
          <w:iCs/>
          <w:color w:val="000000" w:themeColor="text1"/>
          <w:sz w:val="20"/>
          <w:szCs w:val="20"/>
        </w:rPr>
        <w:t>in 2004</w:t>
      </w:r>
      <w:r w:rsidRPr="007F7B3B">
        <w:rPr>
          <w:color w:val="000000" w:themeColor="text1"/>
          <w:sz w:val="20"/>
          <w:szCs w:val="20"/>
        </w:rPr>
        <w:t>, (Dec. 27, 2021), ¶¶11-20.</w:t>
      </w:r>
    </w:p>
  </w:footnote>
  <w:footnote w:id="12">
    <w:p w14:paraId="0D0ADB76" w14:textId="4041D9A4" w:rsidR="0071305D" w:rsidRPr="007F7B3B" w:rsidRDefault="01F4660B" w:rsidP="0071305D">
      <w:pPr>
        <w:rPr>
          <w:color w:val="000000" w:themeColor="text1"/>
          <w:sz w:val="20"/>
          <w:szCs w:val="20"/>
        </w:rPr>
      </w:pPr>
      <w:r w:rsidRPr="007F7B3B">
        <w:rPr>
          <w:rStyle w:val="FootnoteReference"/>
          <w:color w:val="000000" w:themeColor="text1"/>
          <w:sz w:val="20"/>
          <w:szCs w:val="20"/>
        </w:rPr>
        <w:footnoteRef/>
      </w:r>
      <w:r w:rsidR="007722D9" w:rsidRPr="007F7B3B">
        <w:rPr>
          <w:color w:val="000000" w:themeColor="text1"/>
          <w:sz w:val="20"/>
          <w:szCs w:val="20"/>
        </w:rPr>
        <w:t xml:space="preserve"> </w:t>
      </w:r>
      <w:r w:rsidR="0071305D" w:rsidRPr="007F7B3B">
        <w:rPr>
          <w:color w:val="000000" w:themeColor="text1"/>
          <w:sz w:val="20"/>
          <w:szCs w:val="20"/>
        </w:rPr>
        <w:t xml:space="preserve">Committee against Torture, </w:t>
      </w:r>
      <w:r w:rsidR="0071305D" w:rsidRPr="007F7B3B">
        <w:rPr>
          <w:i/>
          <w:iCs/>
          <w:color w:val="000000" w:themeColor="text1"/>
          <w:sz w:val="20"/>
          <w:szCs w:val="20"/>
        </w:rPr>
        <w:t>Fifth periodic report submitted by Egypt under article 19 of the Convention, due</w:t>
      </w:r>
    </w:p>
    <w:p w14:paraId="48C05BFF" w14:textId="0BFC14DB" w:rsidR="01F4660B" w:rsidRPr="007F7B3B" w:rsidRDefault="0071305D" w:rsidP="0071305D">
      <w:pPr>
        <w:rPr>
          <w:color w:val="000000" w:themeColor="text1"/>
          <w:sz w:val="20"/>
          <w:szCs w:val="20"/>
        </w:rPr>
      </w:pPr>
      <w:r w:rsidRPr="007F7B3B">
        <w:rPr>
          <w:i/>
          <w:iCs/>
          <w:color w:val="000000" w:themeColor="text1"/>
          <w:sz w:val="20"/>
          <w:szCs w:val="20"/>
        </w:rPr>
        <w:t>in 2004</w:t>
      </w:r>
      <w:r w:rsidRPr="007F7B3B">
        <w:rPr>
          <w:color w:val="000000" w:themeColor="text1"/>
          <w:sz w:val="20"/>
          <w:szCs w:val="20"/>
        </w:rPr>
        <w:t xml:space="preserve">, (Dec. 27, 2021), </w:t>
      </w:r>
      <w:r w:rsidR="7D59BA9C" w:rsidRPr="007F7B3B">
        <w:rPr>
          <w:color w:val="000000" w:themeColor="text1"/>
          <w:sz w:val="20"/>
          <w:szCs w:val="20"/>
        </w:rPr>
        <w:t>¶120</w:t>
      </w:r>
      <w:r w:rsidR="00021F1D" w:rsidRPr="007F7B3B">
        <w:rPr>
          <w:color w:val="000000" w:themeColor="text1"/>
          <w:sz w:val="20"/>
          <w:szCs w:val="20"/>
        </w:rPr>
        <w:t>.</w:t>
      </w:r>
    </w:p>
  </w:footnote>
  <w:footnote w:id="13">
    <w:p w14:paraId="2838DCE2" w14:textId="3947451E" w:rsidR="0071305D" w:rsidRPr="007F7B3B" w:rsidRDefault="01F4660B" w:rsidP="0071305D">
      <w:pPr>
        <w:rPr>
          <w:color w:val="000000" w:themeColor="text1"/>
          <w:sz w:val="20"/>
          <w:szCs w:val="20"/>
        </w:rPr>
      </w:pPr>
      <w:r w:rsidRPr="007F7B3B">
        <w:rPr>
          <w:rStyle w:val="FootnoteReference"/>
          <w:color w:val="000000" w:themeColor="text1"/>
          <w:sz w:val="20"/>
          <w:szCs w:val="20"/>
        </w:rPr>
        <w:footnoteRef/>
      </w:r>
      <w:r w:rsidR="007722D9" w:rsidRPr="007F7B3B">
        <w:rPr>
          <w:color w:val="000000" w:themeColor="text1"/>
          <w:sz w:val="20"/>
          <w:szCs w:val="20"/>
        </w:rPr>
        <w:t xml:space="preserve"> </w:t>
      </w:r>
      <w:r w:rsidR="0071305D" w:rsidRPr="007F7B3B">
        <w:rPr>
          <w:color w:val="000000" w:themeColor="text1"/>
          <w:sz w:val="20"/>
          <w:szCs w:val="20"/>
        </w:rPr>
        <w:t xml:space="preserve">Committee against Torture, </w:t>
      </w:r>
      <w:r w:rsidR="0071305D" w:rsidRPr="007F7B3B">
        <w:rPr>
          <w:i/>
          <w:iCs/>
          <w:color w:val="000000" w:themeColor="text1"/>
          <w:sz w:val="20"/>
          <w:szCs w:val="20"/>
        </w:rPr>
        <w:t>Fifth periodic report submitted by Egypt under article 19 of the Convention, due</w:t>
      </w:r>
    </w:p>
    <w:p w14:paraId="7C51A38B" w14:textId="67482CF5" w:rsidR="01F4660B" w:rsidRPr="007F7B3B" w:rsidRDefault="0071305D" w:rsidP="0071305D">
      <w:pPr>
        <w:rPr>
          <w:color w:val="000000" w:themeColor="text1"/>
          <w:sz w:val="20"/>
          <w:szCs w:val="20"/>
        </w:rPr>
      </w:pPr>
      <w:r w:rsidRPr="007F7B3B">
        <w:rPr>
          <w:i/>
          <w:iCs/>
          <w:color w:val="000000" w:themeColor="text1"/>
          <w:sz w:val="20"/>
          <w:szCs w:val="20"/>
        </w:rPr>
        <w:t>in 2004</w:t>
      </w:r>
      <w:r w:rsidRPr="007F7B3B">
        <w:rPr>
          <w:color w:val="000000" w:themeColor="text1"/>
          <w:sz w:val="20"/>
          <w:szCs w:val="20"/>
        </w:rPr>
        <w:t>, (Dec. 27, 2021).</w:t>
      </w:r>
    </w:p>
  </w:footnote>
  <w:footnote w:id="14">
    <w:p w14:paraId="0A316C53" w14:textId="55030D8B" w:rsidR="01F4660B" w:rsidRPr="007F7B3B" w:rsidRDefault="01F4660B" w:rsidP="6786C289">
      <w:pPr>
        <w:rPr>
          <w:i/>
          <w:iCs/>
          <w:color w:val="000000" w:themeColor="text1"/>
          <w:sz w:val="20"/>
          <w:szCs w:val="20"/>
        </w:rPr>
      </w:pPr>
      <w:r w:rsidRPr="007F7B3B">
        <w:rPr>
          <w:rStyle w:val="FootnoteReference"/>
          <w:color w:val="000000" w:themeColor="text1"/>
          <w:sz w:val="20"/>
          <w:szCs w:val="20"/>
        </w:rPr>
        <w:footnoteRef/>
      </w:r>
      <w:r w:rsidR="007722D9" w:rsidRPr="007F7B3B">
        <w:rPr>
          <w:color w:val="000000" w:themeColor="text1"/>
          <w:sz w:val="20"/>
          <w:szCs w:val="20"/>
        </w:rPr>
        <w:t xml:space="preserve"> </w:t>
      </w:r>
      <w:r w:rsidR="000F622B" w:rsidRPr="007F7B3B">
        <w:rPr>
          <w:color w:val="000000" w:themeColor="text1"/>
          <w:sz w:val="20"/>
          <w:szCs w:val="20"/>
        </w:rPr>
        <w:t xml:space="preserve">The Advocates for Human Rights </w:t>
      </w:r>
      <w:r w:rsidR="000F622B" w:rsidRPr="007F7B3B">
        <w:rPr>
          <w:i/>
          <w:iCs/>
          <w:color w:val="000000" w:themeColor="text1"/>
          <w:sz w:val="20"/>
          <w:szCs w:val="20"/>
        </w:rPr>
        <w:t>et al.</w:t>
      </w:r>
      <w:r w:rsidR="000F622B" w:rsidRPr="007F7B3B">
        <w:rPr>
          <w:color w:val="000000" w:themeColor="text1"/>
          <w:sz w:val="20"/>
          <w:szCs w:val="20"/>
        </w:rPr>
        <w:t xml:space="preserve">, </w:t>
      </w:r>
      <w:r w:rsidR="000F622B" w:rsidRPr="007F7B3B">
        <w:rPr>
          <w:i/>
          <w:iCs/>
          <w:color w:val="000000" w:themeColor="text1"/>
          <w:sz w:val="20"/>
          <w:szCs w:val="20"/>
        </w:rPr>
        <w:t>supra</w:t>
      </w:r>
      <w:r w:rsidR="000F622B" w:rsidRPr="007F7B3B">
        <w:rPr>
          <w:color w:val="000000" w:themeColor="text1"/>
          <w:sz w:val="20"/>
          <w:szCs w:val="20"/>
        </w:rPr>
        <w:t xml:space="preserve"> note </w:t>
      </w:r>
      <w:r w:rsidR="000F622B" w:rsidRPr="007F7B3B">
        <w:rPr>
          <w:color w:val="000000" w:themeColor="text1"/>
          <w:sz w:val="20"/>
          <w:szCs w:val="20"/>
        </w:rPr>
        <w:fldChar w:fldCharType="begin"/>
      </w:r>
      <w:r w:rsidR="000F622B" w:rsidRPr="007F7B3B">
        <w:rPr>
          <w:color w:val="000000" w:themeColor="text1"/>
          <w:sz w:val="20"/>
          <w:szCs w:val="20"/>
        </w:rPr>
        <w:instrText xml:space="preserve"> NOTEREF _Ref146706210 \h </w:instrText>
      </w:r>
      <w:r w:rsidR="007855FA" w:rsidRPr="007F7B3B">
        <w:rPr>
          <w:color w:val="000000" w:themeColor="text1"/>
          <w:sz w:val="20"/>
          <w:szCs w:val="20"/>
        </w:rPr>
        <w:instrText xml:space="preserve"> \* MERGEFORMAT </w:instrText>
      </w:r>
      <w:r w:rsidR="000F622B" w:rsidRPr="007F7B3B">
        <w:rPr>
          <w:color w:val="000000" w:themeColor="text1"/>
          <w:sz w:val="20"/>
          <w:szCs w:val="20"/>
        </w:rPr>
      </w:r>
      <w:r w:rsidR="000F622B" w:rsidRPr="007F7B3B">
        <w:rPr>
          <w:color w:val="000000" w:themeColor="text1"/>
          <w:sz w:val="20"/>
          <w:szCs w:val="20"/>
        </w:rPr>
        <w:fldChar w:fldCharType="separate"/>
      </w:r>
      <w:r w:rsidR="000F622B" w:rsidRPr="007F7B3B">
        <w:rPr>
          <w:color w:val="000000" w:themeColor="text1"/>
          <w:sz w:val="20"/>
          <w:szCs w:val="20"/>
        </w:rPr>
        <w:t>2</w:t>
      </w:r>
      <w:r w:rsidR="000F622B" w:rsidRPr="007F7B3B">
        <w:rPr>
          <w:color w:val="000000" w:themeColor="text1"/>
          <w:sz w:val="20"/>
          <w:szCs w:val="20"/>
        </w:rPr>
        <w:fldChar w:fldCharType="end"/>
      </w:r>
      <w:r w:rsidR="000F622B" w:rsidRPr="007F7B3B">
        <w:rPr>
          <w:color w:val="000000" w:themeColor="text1"/>
          <w:sz w:val="20"/>
          <w:szCs w:val="20"/>
        </w:rPr>
        <w:t xml:space="preserve">, </w:t>
      </w:r>
      <w:r w:rsidR="6786C289" w:rsidRPr="007F7B3B">
        <w:rPr>
          <w:color w:val="000000" w:themeColor="text1"/>
          <w:sz w:val="20"/>
          <w:szCs w:val="20"/>
        </w:rPr>
        <w:t>¶¶</w:t>
      </w:r>
      <w:r w:rsidR="000F622B" w:rsidRPr="007F7B3B">
        <w:rPr>
          <w:color w:val="000000" w:themeColor="text1"/>
          <w:sz w:val="20"/>
          <w:szCs w:val="20"/>
        </w:rPr>
        <w:t> </w:t>
      </w:r>
      <w:r w:rsidR="6786C289" w:rsidRPr="007F7B3B">
        <w:rPr>
          <w:color w:val="000000" w:themeColor="text1"/>
          <w:sz w:val="20"/>
          <w:szCs w:val="20"/>
        </w:rPr>
        <w:t>20-28.</w:t>
      </w:r>
    </w:p>
  </w:footnote>
  <w:footnote w:id="15">
    <w:p w14:paraId="021FB942" w14:textId="37751F23" w:rsidR="00CC7A91" w:rsidRPr="007F7B3B" w:rsidRDefault="00CC7A91">
      <w:pPr>
        <w:pStyle w:val="FootnoteText"/>
        <w:rPr>
          <w:color w:val="000000" w:themeColor="text1"/>
          <w:sz w:val="20"/>
          <w:szCs w:val="20"/>
        </w:rPr>
      </w:pPr>
      <w:r w:rsidRPr="007F7B3B">
        <w:rPr>
          <w:rStyle w:val="FootnoteReference"/>
          <w:color w:val="000000" w:themeColor="text1"/>
          <w:sz w:val="20"/>
          <w:szCs w:val="20"/>
        </w:rPr>
        <w:footnoteRef/>
      </w:r>
      <w:r w:rsidRPr="007F7B3B">
        <w:rPr>
          <w:color w:val="000000" w:themeColor="text1"/>
          <w:sz w:val="20"/>
          <w:szCs w:val="20"/>
        </w:rPr>
        <w:t xml:space="preserve"> </w:t>
      </w:r>
      <w:r w:rsidRPr="007F7B3B">
        <w:rPr>
          <w:color w:val="000000" w:themeColor="text1"/>
          <w:sz w:val="20"/>
          <w:szCs w:val="20"/>
        </w:rPr>
        <w:t xml:space="preserve">Ravina Shamdasani, Spokesperson for the UN High Commissioner for Human Rights, </w:t>
      </w:r>
      <w:r w:rsidRPr="007F7B3B">
        <w:rPr>
          <w:i/>
          <w:iCs/>
          <w:color w:val="000000" w:themeColor="text1"/>
          <w:sz w:val="20"/>
          <w:szCs w:val="20"/>
        </w:rPr>
        <w:t>Press briefing notes on Egypt executions</w:t>
      </w:r>
      <w:r w:rsidRPr="007F7B3B">
        <w:rPr>
          <w:color w:val="000000" w:themeColor="text1"/>
          <w:sz w:val="20"/>
          <w:szCs w:val="20"/>
        </w:rPr>
        <w:t>, Office of the High Commissioner for Human Rights, (</w:t>
      </w:r>
      <w:r w:rsidRPr="007F7B3B">
        <w:rPr>
          <w:color w:val="000000" w:themeColor="text1"/>
          <w:sz w:val="20"/>
          <w:szCs w:val="20"/>
        </w:rPr>
        <w:t xml:space="preserve">Mar.. 15 2022), </w:t>
      </w:r>
      <w:r w:rsidRPr="007F7B3B">
        <w:rPr>
          <w:sz w:val="20"/>
          <w:szCs w:val="20"/>
        </w:rPr>
        <w:t>https://www.ohchr.org/en/press-briefing-notes/2022/03/press-briefing-notes-egypt-executions</w:t>
      </w:r>
      <w:r w:rsidRPr="007F7B3B">
        <w:rPr>
          <w:color w:val="000000" w:themeColor="text1"/>
          <w:sz w:val="20"/>
          <w:szCs w:val="20"/>
        </w:rPr>
        <w:t>.</w:t>
      </w:r>
    </w:p>
  </w:footnote>
  <w:footnote w:id="16">
    <w:p w14:paraId="73E0C716" w14:textId="118C95F4" w:rsidR="7D59BA9C" w:rsidRPr="007F7B3B" w:rsidRDefault="7D59BA9C" w:rsidP="7D59BA9C">
      <w:pPr>
        <w:pStyle w:val="FootnoteText"/>
        <w:rPr>
          <w:color w:val="000000" w:themeColor="text1"/>
          <w:sz w:val="20"/>
          <w:szCs w:val="20"/>
        </w:rPr>
      </w:pPr>
      <w:r w:rsidRPr="007F7B3B">
        <w:rPr>
          <w:rStyle w:val="FootnoteReference"/>
          <w:color w:val="000000" w:themeColor="text1"/>
          <w:sz w:val="20"/>
          <w:szCs w:val="20"/>
        </w:rPr>
        <w:footnoteRef/>
      </w:r>
      <w:r w:rsidR="007722D9" w:rsidRPr="007F7B3B">
        <w:rPr>
          <w:color w:val="000000" w:themeColor="text1"/>
          <w:sz w:val="20"/>
          <w:szCs w:val="20"/>
        </w:rPr>
        <w:t xml:space="preserve"> </w:t>
      </w:r>
      <w:r w:rsidR="6786C289" w:rsidRPr="007F7B3B">
        <w:rPr>
          <w:color w:val="000000" w:themeColor="text1"/>
          <w:sz w:val="20"/>
          <w:szCs w:val="20"/>
        </w:rPr>
        <w:t xml:space="preserve">Committee Against Torture, </w:t>
      </w:r>
      <w:r w:rsidR="6786C289" w:rsidRPr="007F7B3B">
        <w:rPr>
          <w:i/>
          <w:iCs/>
          <w:color w:val="000000" w:themeColor="text1"/>
          <w:sz w:val="20"/>
          <w:szCs w:val="20"/>
        </w:rPr>
        <w:t>List of issues in relation to the fifth periodic report of Egypt</w:t>
      </w:r>
      <w:r w:rsidR="6786C289" w:rsidRPr="007F7B3B">
        <w:rPr>
          <w:color w:val="000000" w:themeColor="text1"/>
          <w:sz w:val="20"/>
          <w:szCs w:val="20"/>
        </w:rPr>
        <w:t>, (June 7, 2023), U.N. Doc. CAT/C/EGY/Q5, ¶25.</w:t>
      </w:r>
    </w:p>
  </w:footnote>
  <w:footnote w:id="17">
    <w:p w14:paraId="5E053BD8" w14:textId="712B77D1" w:rsidR="7D59BA9C" w:rsidRPr="007F7B3B" w:rsidRDefault="7D59BA9C" w:rsidP="6786C289">
      <w:pPr>
        <w:pStyle w:val="FootnoteText"/>
        <w:rPr>
          <w:i/>
          <w:iCs/>
          <w:color w:val="000000" w:themeColor="text1"/>
          <w:sz w:val="20"/>
          <w:szCs w:val="20"/>
        </w:rPr>
      </w:pPr>
      <w:r w:rsidRPr="007F7B3B">
        <w:rPr>
          <w:rStyle w:val="FootnoteReference"/>
          <w:color w:val="000000" w:themeColor="text1"/>
          <w:sz w:val="20"/>
          <w:szCs w:val="20"/>
        </w:rPr>
        <w:footnoteRef/>
      </w:r>
      <w:r w:rsidR="007722D9" w:rsidRPr="007F7B3B">
        <w:rPr>
          <w:color w:val="000000" w:themeColor="text1"/>
          <w:sz w:val="20"/>
          <w:szCs w:val="20"/>
        </w:rPr>
        <w:t xml:space="preserve"> </w:t>
      </w:r>
      <w:r w:rsidR="00064FF9" w:rsidRPr="007F7B3B">
        <w:rPr>
          <w:color w:val="000000" w:themeColor="text1"/>
          <w:sz w:val="20"/>
          <w:szCs w:val="20"/>
        </w:rPr>
        <w:t xml:space="preserve">The Advocates for Human Rights </w:t>
      </w:r>
      <w:r w:rsidR="00064FF9" w:rsidRPr="007F7B3B">
        <w:rPr>
          <w:i/>
          <w:iCs/>
          <w:color w:val="000000" w:themeColor="text1"/>
          <w:sz w:val="20"/>
          <w:szCs w:val="20"/>
        </w:rPr>
        <w:t>et al.</w:t>
      </w:r>
      <w:r w:rsidR="00064FF9" w:rsidRPr="007F7B3B">
        <w:rPr>
          <w:color w:val="000000" w:themeColor="text1"/>
          <w:sz w:val="20"/>
          <w:szCs w:val="20"/>
        </w:rPr>
        <w:t xml:space="preserve">, </w:t>
      </w:r>
      <w:r w:rsidR="00064FF9" w:rsidRPr="007F7B3B">
        <w:rPr>
          <w:i/>
          <w:iCs/>
          <w:color w:val="000000" w:themeColor="text1"/>
          <w:sz w:val="20"/>
          <w:szCs w:val="20"/>
        </w:rPr>
        <w:t>supra</w:t>
      </w:r>
      <w:r w:rsidR="00064FF9" w:rsidRPr="007F7B3B">
        <w:rPr>
          <w:color w:val="000000" w:themeColor="text1"/>
          <w:sz w:val="20"/>
          <w:szCs w:val="20"/>
        </w:rPr>
        <w:t xml:space="preserve"> note </w:t>
      </w:r>
      <w:r w:rsidR="00064FF9" w:rsidRPr="007F7B3B">
        <w:rPr>
          <w:color w:val="000000" w:themeColor="text1"/>
          <w:sz w:val="20"/>
          <w:szCs w:val="20"/>
        </w:rPr>
        <w:fldChar w:fldCharType="begin"/>
      </w:r>
      <w:r w:rsidR="00064FF9" w:rsidRPr="007F7B3B">
        <w:rPr>
          <w:color w:val="000000" w:themeColor="text1"/>
          <w:sz w:val="20"/>
          <w:szCs w:val="20"/>
        </w:rPr>
        <w:instrText xml:space="preserve"> NOTEREF _Ref146706210 \h </w:instrText>
      </w:r>
      <w:r w:rsidR="007855FA" w:rsidRPr="007F7B3B">
        <w:rPr>
          <w:color w:val="000000" w:themeColor="text1"/>
          <w:sz w:val="20"/>
          <w:szCs w:val="20"/>
        </w:rPr>
        <w:instrText xml:space="preserve"> \* MERGEFORMAT </w:instrText>
      </w:r>
      <w:r w:rsidR="00064FF9" w:rsidRPr="007F7B3B">
        <w:rPr>
          <w:color w:val="000000" w:themeColor="text1"/>
          <w:sz w:val="20"/>
          <w:szCs w:val="20"/>
        </w:rPr>
      </w:r>
      <w:r w:rsidR="00064FF9" w:rsidRPr="007F7B3B">
        <w:rPr>
          <w:color w:val="000000" w:themeColor="text1"/>
          <w:sz w:val="20"/>
          <w:szCs w:val="20"/>
        </w:rPr>
        <w:fldChar w:fldCharType="separate"/>
      </w:r>
      <w:r w:rsidR="00064FF9" w:rsidRPr="007F7B3B">
        <w:rPr>
          <w:color w:val="000000" w:themeColor="text1"/>
          <w:sz w:val="20"/>
          <w:szCs w:val="20"/>
        </w:rPr>
        <w:t>2</w:t>
      </w:r>
      <w:r w:rsidR="00064FF9" w:rsidRPr="007F7B3B">
        <w:rPr>
          <w:color w:val="000000" w:themeColor="text1"/>
          <w:sz w:val="20"/>
          <w:szCs w:val="20"/>
        </w:rPr>
        <w:fldChar w:fldCharType="end"/>
      </w:r>
      <w:r w:rsidR="00064FF9" w:rsidRPr="007F7B3B">
        <w:rPr>
          <w:color w:val="000000" w:themeColor="text1"/>
          <w:sz w:val="20"/>
          <w:szCs w:val="20"/>
        </w:rPr>
        <w:t xml:space="preserve">, </w:t>
      </w:r>
      <w:r w:rsidR="6786C289" w:rsidRPr="007F7B3B">
        <w:rPr>
          <w:color w:val="000000" w:themeColor="text1"/>
          <w:sz w:val="20"/>
          <w:szCs w:val="20"/>
        </w:rPr>
        <w:t>¶¶</w:t>
      </w:r>
      <w:r w:rsidR="00064FF9" w:rsidRPr="007F7B3B">
        <w:rPr>
          <w:color w:val="000000" w:themeColor="text1"/>
          <w:sz w:val="20"/>
          <w:szCs w:val="20"/>
        </w:rPr>
        <w:t> </w:t>
      </w:r>
      <w:r w:rsidR="6786C289" w:rsidRPr="007F7B3B">
        <w:rPr>
          <w:color w:val="000000" w:themeColor="text1"/>
          <w:sz w:val="20"/>
          <w:szCs w:val="20"/>
        </w:rPr>
        <w:t>4-20.</w:t>
      </w:r>
    </w:p>
  </w:footnote>
  <w:footnote w:id="18">
    <w:p w14:paraId="58B5901B" w14:textId="08BBBE36" w:rsidR="7D59BA9C" w:rsidRPr="002829A5" w:rsidRDefault="7D59BA9C" w:rsidP="7D59BA9C">
      <w:pPr>
        <w:pStyle w:val="FootnoteText"/>
        <w:rPr>
          <w:color w:val="000000" w:themeColor="text1"/>
          <w:sz w:val="20"/>
          <w:szCs w:val="20"/>
          <w:lang w:val="fr-FR"/>
        </w:rPr>
      </w:pPr>
      <w:r w:rsidRPr="007F7B3B">
        <w:rPr>
          <w:rStyle w:val="FootnoteReference"/>
          <w:color w:val="000000" w:themeColor="text1"/>
          <w:sz w:val="20"/>
          <w:szCs w:val="20"/>
        </w:rPr>
        <w:footnoteRef/>
      </w:r>
      <w:r w:rsidR="007722D9" w:rsidRPr="002829A5">
        <w:rPr>
          <w:i/>
          <w:iCs/>
          <w:color w:val="000000" w:themeColor="text1"/>
          <w:sz w:val="20"/>
          <w:szCs w:val="20"/>
          <w:lang w:val="fr-FR"/>
        </w:rPr>
        <w:t xml:space="preserve"> </w:t>
      </w:r>
      <w:r w:rsidR="6786C289" w:rsidRPr="002829A5">
        <w:rPr>
          <w:i/>
          <w:iCs/>
          <w:color w:val="000000" w:themeColor="text1"/>
          <w:sz w:val="20"/>
          <w:szCs w:val="20"/>
          <w:lang w:val="fr-FR"/>
        </w:rPr>
        <w:t>Criminal Code Arts. 203-234.</w:t>
      </w:r>
    </w:p>
  </w:footnote>
  <w:footnote w:id="19">
    <w:p w14:paraId="78F541B6" w14:textId="257CD896" w:rsidR="7D59BA9C" w:rsidRPr="002829A5" w:rsidRDefault="7D59BA9C" w:rsidP="7D59BA9C">
      <w:pPr>
        <w:pStyle w:val="FootnoteText"/>
        <w:rPr>
          <w:color w:val="000000" w:themeColor="text1"/>
          <w:sz w:val="20"/>
          <w:szCs w:val="20"/>
          <w:lang w:val="fr-FR"/>
        </w:rPr>
      </w:pPr>
      <w:r w:rsidRPr="007F7B3B">
        <w:rPr>
          <w:rStyle w:val="FootnoteReference"/>
          <w:color w:val="000000" w:themeColor="text1"/>
          <w:sz w:val="20"/>
          <w:szCs w:val="20"/>
        </w:rPr>
        <w:footnoteRef/>
      </w:r>
      <w:r w:rsidR="007722D9" w:rsidRPr="002829A5">
        <w:rPr>
          <w:color w:val="000000" w:themeColor="text1"/>
          <w:sz w:val="20"/>
          <w:szCs w:val="20"/>
          <w:lang w:val="fr-FR"/>
        </w:rPr>
        <w:t xml:space="preserve"> </w:t>
      </w:r>
      <w:r w:rsidRPr="002829A5">
        <w:rPr>
          <w:color w:val="000000" w:themeColor="text1"/>
          <w:sz w:val="20"/>
          <w:szCs w:val="20"/>
          <w:lang w:val="fr-FR"/>
        </w:rPr>
        <w:t>Criminal Code Arts. 257, 295, 290.</w:t>
      </w:r>
    </w:p>
  </w:footnote>
  <w:footnote w:id="20">
    <w:p w14:paraId="5547C368" w14:textId="418DCA75" w:rsidR="7D59BA9C" w:rsidRPr="002829A5" w:rsidRDefault="7D59BA9C" w:rsidP="7D59BA9C">
      <w:pPr>
        <w:pStyle w:val="FootnoteText"/>
        <w:rPr>
          <w:color w:val="000000" w:themeColor="text1"/>
          <w:sz w:val="20"/>
          <w:szCs w:val="20"/>
          <w:lang w:val="fr-FR"/>
        </w:rPr>
      </w:pPr>
      <w:r w:rsidRPr="007F7B3B">
        <w:rPr>
          <w:rStyle w:val="FootnoteReference"/>
          <w:color w:val="000000" w:themeColor="text1"/>
          <w:sz w:val="20"/>
          <w:szCs w:val="20"/>
        </w:rPr>
        <w:footnoteRef/>
      </w:r>
      <w:r w:rsidR="007722D9" w:rsidRPr="002829A5">
        <w:rPr>
          <w:color w:val="000000" w:themeColor="text1"/>
          <w:sz w:val="20"/>
          <w:szCs w:val="20"/>
          <w:lang w:val="fr-FR"/>
        </w:rPr>
        <w:t xml:space="preserve"> </w:t>
      </w:r>
      <w:r w:rsidRPr="002829A5">
        <w:rPr>
          <w:color w:val="000000" w:themeColor="text1"/>
          <w:sz w:val="20"/>
          <w:szCs w:val="20"/>
          <w:lang w:val="fr-FR"/>
        </w:rPr>
        <w:t>Criminal Code Arts. 87, 89, 90.</w:t>
      </w:r>
    </w:p>
  </w:footnote>
  <w:footnote w:id="21">
    <w:p w14:paraId="4B480130" w14:textId="779CCDC8" w:rsidR="7D59BA9C" w:rsidRPr="002829A5" w:rsidRDefault="7D59BA9C" w:rsidP="7D59BA9C">
      <w:pPr>
        <w:pStyle w:val="FootnoteText"/>
        <w:rPr>
          <w:color w:val="000000" w:themeColor="text1"/>
          <w:sz w:val="20"/>
          <w:szCs w:val="20"/>
          <w:lang w:val="fr-FR"/>
        </w:rPr>
      </w:pPr>
      <w:r w:rsidRPr="007F7B3B">
        <w:rPr>
          <w:rStyle w:val="FootnoteReference"/>
          <w:color w:val="000000" w:themeColor="text1"/>
          <w:sz w:val="20"/>
          <w:szCs w:val="20"/>
        </w:rPr>
        <w:footnoteRef/>
      </w:r>
      <w:r w:rsidR="007722D9" w:rsidRPr="002829A5">
        <w:rPr>
          <w:color w:val="000000" w:themeColor="text1"/>
          <w:sz w:val="20"/>
          <w:szCs w:val="20"/>
          <w:lang w:val="fr-FR"/>
        </w:rPr>
        <w:t xml:space="preserve"> </w:t>
      </w:r>
      <w:r w:rsidRPr="002829A5">
        <w:rPr>
          <w:color w:val="000000" w:themeColor="text1"/>
          <w:sz w:val="20"/>
          <w:szCs w:val="20"/>
          <w:lang w:val="fr-FR"/>
        </w:rPr>
        <w:t>Criminal Code Arts. 68, 88, 102, 168, 240-241, 234.</w:t>
      </w:r>
    </w:p>
  </w:footnote>
  <w:footnote w:id="22">
    <w:p w14:paraId="0514DEFC" w14:textId="558F6558" w:rsidR="6786C289" w:rsidRPr="007F7B3B" w:rsidRDefault="6786C289" w:rsidP="6786C289">
      <w:pPr>
        <w:pStyle w:val="FootnoteText"/>
        <w:rPr>
          <w:color w:val="000000" w:themeColor="text1"/>
          <w:sz w:val="20"/>
          <w:szCs w:val="20"/>
        </w:rPr>
      </w:pPr>
      <w:r w:rsidRPr="007F7B3B">
        <w:rPr>
          <w:rStyle w:val="FootnoteReference"/>
          <w:color w:val="000000" w:themeColor="text1"/>
          <w:sz w:val="20"/>
          <w:szCs w:val="20"/>
        </w:rPr>
        <w:footnoteRef/>
      </w:r>
      <w:r w:rsidR="007722D9" w:rsidRPr="007F7B3B">
        <w:rPr>
          <w:color w:val="000000" w:themeColor="text1"/>
          <w:sz w:val="20"/>
          <w:szCs w:val="20"/>
        </w:rPr>
        <w:t xml:space="preserve"> </w:t>
      </w:r>
      <w:r w:rsidRPr="007F7B3B">
        <w:rPr>
          <w:color w:val="000000" w:themeColor="text1"/>
          <w:sz w:val="20"/>
          <w:szCs w:val="20"/>
        </w:rPr>
        <w:t xml:space="preserve">U.S. Department of State, Bureau of Democracy, Human Rights and Labor, </w:t>
      </w:r>
      <w:r w:rsidRPr="007F7B3B">
        <w:rPr>
          <w:i/>
          <w:iCs/>
          <w:color w:val="000000" w:themeColor="text1"/>
          <w:sz w:val="20"/>
          <w:szCs w:val="20"/>
        </w:rPr>
        <w:t xml:space="preserve">Country Reports on Human Rights Practices for 2022 </w:t>
      </w:r>
      <w:r w:rsidRPr="007F7B3B">
        <w:rPr>
          <w:color w:val="000000" w:themeColor="text1"/>
          <w:sz w:val="20"/>
          <w:szCs w:val="20"/>
        </w:rPr>
        <w:t>(2023), 1</w:t>
      </w:r>
      <w:r w:rsidR="009B4F69" w:rsidRPr="007F7B3B">
        <w:rPr>
          <w:color w:val="000000" w:themeColor="text1"/>
          <w:sz w:val="20"/>
          <w:szCs w:val="20"/>
        </w:rPr>
        <w:t>3</w:t>
      </w:r>
      <w:r w:rsidRPr="007F7B3B">
        <w:rPr>
          <w:color w:val="000000" w:themeColor="text1"/>
          <w:sz w:val="20"/>
          <w:szCs w:val="20"/>
        </w:rPr>
        <w:t>, https://www.state.gov/wp-content/uploads/2023/03/415610_EGYPT-2022-HUMAN-RIGHTS-REPORT.pdf.</w:t>
      </w:r>
    </w:p>
  </w:footnote>
  <w:footnote w:id="23">
    <w:p w14:paraId="019A2BC6" w14:textId="135FDF50" w:rsidR="004A28C9" w:rsidRPr="007F7B3B" w:rsidRDefault="004A28C9">
      <w:pPr>
        <w:pStyle w:val="FootnoteText"/>
        <w:rPr>
          <w:color w:val="000000" w:themeColor="text1"/>
          <w:sz w:val="20"/>
          <w:szCs w:val="20"/>
        </w:rPr>
      </w:pPr>
      <w:r w:rsidRPr="007F7B3B">
        <w:rPr>
          <w:rStyle w:val="FootnoteReference"/>
          <w:color w:val="000000" w:themeColor="text1"/>
          <w:sz w:val="20"/>
          <w:szCs w:val="20"/>
        </w:rPr>
        <w:footnoteRef/>
      </w:r>
      <w:r w:rsidRPr="007F7B3B">
        <w:rPr>
          <w:color w:val="000000" w:themeColor="text1"/>
          <w:sz w:val="20"/>
          <w:szCs w:val="20"/>
        </w:rPr>
        <w:t xml:space="preserve"> U.S. Department of State, Bureau of Democracy, Human Rights and Labor, </w:t>
      </w:r>
      <w:r w:rsidRPr="007F7B3B">
        <w:rPr>
          <w:i/>
          <w:iCs/>
          <w:color w:val="000000" w:themeColor="text1"/>
          <w:sz w:val="20"/>
          <w:szCs w:val="20"/>
        </w:rPr>
        <w:t xml:space="preserve">Country Reports on Human Rights Practices for 2022 </w:t>
      </w:r>
      <w:r w:rsidRPr="007F7B3B">
        <w:rPr>
          <w:color w:val="000000" w:themeColor="text1"/>
          <w:sz w:val="20"/>
          <w:szCs w:val="20"/>
        </w:rPr>
        <w:t>(2023), 13, https://www.state.gov/wp-content/uploads/2023/03/415610_EGYPT-2022-HUMAN-RIGHTS-REPORT.pdf.</w:t>
      </w:r>
    </w:p>
  </w:footnote>
  <w:footnote w:id="24">
    <w:p w14:paraId="1F1E917C" w14:textId="10A79923" w:rsidR="6786C289" w:rsidRPr="007F7B3B" w:rsidRDefault="6786C289" w:rsidP="6786C289">
      <w:pPr>
        <w:pStyle w:val="FootnoteText"/>
        <w:rPr>
          <w:color w:val="000000" w:themeColor="text1"/>
          <w:sz w:val="20"/>
          <w:szCs w:val="20"/>
        </w:rPr>
      </w:pPr>
      <w:r w:rsidRPr="007F7B3B">
        <w:rPr>
          <w:rStyle w:val="FootnoteReference"/>
          <w:color w:val="000000" w:themeColor="text1"/>
          <w:sz w:val="20"/>
          <w:szCs w:val="20"/>
        </w:rPr>
        <w:footnoteRef/>
      </w:r>
      <w:r w:rsidRPr="007F7B3B">
        <w:rPr>
          <w:color w:val="000000" w:themeColor="text1"/>
          <w:sz w:val="20"/>
          <w:szCs w:val="20"/>
        </w:rPr>
        <w:t xml:space="preserve"> </w:t>
      </w:r>
      <w:r w:rsidR="00570217" w:rsidRPr="007F7B3B">
        <w:rPr>
          <w:color w:val="000000" w:themeColor="text1"/>
          <w:sz w:val="20"/>
          <w:szCs w:val="20"/>
        </w:rPr>
        <w:t xml:space="preserve">U.S. Department of State, Bureau of Democracy, Human Rights and Labor, </w:t>
      </w:r>
      <w:r w:rsidR="00570217" w:rsidRPr="007F7B3B">
        <w:rPr>
          <w:i/>
          <w:iCs/>
          <w:color w:val="000000" w:themeColor="text1"/>
          <w:sz w:val="20"/>
          <w:szCs w:val="20"/>
        </w:rPr>
        <w:t xml:space="preserve">Country Reports on Human Rights Practices for 2022 </w:t>
      </w:r>
      <w:r w:rsidR="00570217" w:rsidRPr="007F7B3B">
        <w:rPr>
          <w:color w:val="000000" w:themeColor="text1"/>
          <w:sz w:val="20"/>
          <w:szCs w:val="20"/>
        </w:rPr>
        <w:t>(2023), 1</w:t>
      </w:r>
      <w:r w:rsidR="009B4F69" w:rsidRPr="007F7B3B">
        <w:rPr>
          <w:color w:val="000000" w:themeColor="text1"/>
          <w:sz w:val="20"/>
          <w:szCs w:val="20"/>
        </w:rPr>
        <w:t>3</w:t>
      </w:r>
      <w:r w:rsidR="00570217" w:rsidRPr="007F7B3B">
        <w:rPr>
          <w:color w:val="000000" w:themeColor="text1"/>
          <w:sz w:val="20"/>
          <w:szCs w:val="20"/>
        </w:rPr>
        <w:t>, https://www.state.gov/wp-content/uploads/2023/03/415610_EGYPT-2022-HUMAN-RIGHTS-REPORT.pdf</w:t>
      </w:r>
      <w:r w:rsidR="00750EF9" w:rsidRPr="007F7B3B">
        <w:rPr>
          <w:color w:val="000000" w:themeColor="text1"/>
          <w:sz w:val="20"/>
          <w:szCs w:val="20"/>
        </w:rPr>
        <w:t>.</w:t>
      </w:r>
    </w:p>
  </w:footnote>
  <w:footnote w:id="25">
    <w:p w14:paraId="0DD2BA6C" w14:textId="792FCC30" w:rsidR="6786C289" w:rsidRPr="007F7B3B" w:rsidRDefault="6786C289" w:rsidP="6786C289">
      <w:pPr>
        <w:pStyle w:val="FootnoteText"/>
        <w:rPr>
          <w:color w:val="000000" w:themeColor="text1"/>
          <w:sz w:val="20"/>
          <w:szCs w:val="20"/>
        </w:rPr>
      </w:pPr>
      <w:r w:rsidRPr="007F7B3B">
        <w:rPr>
          <w:rStyle w:val="FootnoteReference"/>
          <w:color w:val="000000" w:themeColor="text1"/>
          <w:sz w:val="20"/>
          <w:szCs w:val="20"/>
        </w:rPr>
        <w:footnoteRef/>
      </w:r>
      <w:r w:rsidR="007722D9" w:rsidRPr="007F7B3B">
        <w:rPr>
          <w:color w:val="000000" w:themeColor="text1"/>
          <w:sz w:val="20"/>
          <w:szCs w:val="20"/>
        </w:rPr>
        <w:t xml:space="preserve"> </w:t>
      </w:r>
      <w:r w:rsidRPr="007F7B3B">
        <w:rPr>
          <w:color w:val="000000" w:themeColor="text1"/>
          <w:sz w:val="20"/>
          <w:szCs w:val="20"/>
        </w:rPr>
        <w:t xml:space="preserve">U.S. Department of State, Bureau of Democracy, Human Rights and Labor, </w:t>
      </w:r>
      <w:r w:rsidRPr="007F7B3B">
        <w:rPr>
          <w:i/>
          <w:iCs/>
          <w:color w:val="000000" w:themeColor="text1"/>
          <w:sz w:val="20"/>
          <w:szCs w:val="20"/>
        </w:rPr>
        <w:t xml:space="preserve">Country Reports on Human Rights Practices for 2022 </w:t>
      </w:r>
      <w:r w:rsidRPr="007F7B3B">
        <w:rPr>
          <w:color w:val="000000" w:themeColor="text1"/>
          <w:sz w:val="20"/>
          <w:szCs w:val="20"/>
        </w:rPr>
        <w:t>(2023), 43, https://www.state.gov/wp-content/uploads/2023/03/415610_EGYPT-2022-HUMAN-RIGHTS-REPORT.pdf.</w:t>
      </w:r>
    </w:p>
  </w:footnote>
  <w:footnote w:id="26">
    <w:p w14:paraId="2352E883" w14:textId="39B94ADE" w:rsidR="001B3AB8" w:rsidRPr="007F7B3B" w:rsidRDefault="001B3AB8">
      <w:pPr>
        <w:pStyle w:val="FootnoteText"/>
        <w:rPr>
          <w:color w:val="000000" w:themeColor="text1"/>
          <w:sz w:val="20"/>
          <w:szCs w:val="20"/>
        </w:rPr>
      </w:pPr>
      <w:r w:rsidRPr="007F7B3B">
        <w:rPr>
          <w:rStyle w:val="FootnoteReference"/>
          <w:color w:val="000000" w:themeColor="text1"/>
          <w:sz w:val="20"/>
          <w:szCs w:val="20"/>
        </w:rPr>
        <w:footnoteRef/>
      </w:r>
      <w:r w:rsidR="007722D9" w:rsidRPr="007F7B3B">
        <w:rPr>
          <w:color w:val="000000" w:themeColor="text1"/>
          <w:sz w:val="20"/>
          <w:szCs w:val="20"/>
        </w:rPr>
        <w:t xml:space="preserve"> </w:t>
      </w:r>
      <w:r w:rsidRPr="007F7B3B">
        <w:rPr>
          <w:color w:val="000000" w:themeColor="text1"/>
          <w:sz w:val="20"/>
          <w:szCs w:val="20"/>
        </w:rPr>
        <w:t>Confronting Terrorism Law No. 95 of 2015, art. 2.</w:t>
      </w:r>
    </w:p>
  </w:footnote>
  <w:footnote w:id="27">
    <w:p w14:paraId="5B8B44A2" w14:textId="77777777" w:rsidR="00DD3CCC" w:rsidRPr="007F7B3B" w:rsidRDefault="00DD3CCC" w:rsidP="00DD3CCC">
      <w:pPr>
        <w:pStyle w:val="FootnoteText"/>
        <w:rPr>
          <w:sz w:val="20"/>
          <w:szCs w:val="20"/>
        </w:rPr>
      </w:pPr>
      <w:r w:rsidRPr="007F7B3B">
        <w:rPr>
          <w:rStyle w:val="FootnoteReference"/>
          <w:sz w:val="20"/>
          <w:szCs w:val="20"/>
        </w:rPr>
        <w:footnoteRef/>
      </w:r>
      <w:r w:rsidRPr="007F7B3B">
        <w:rPr>
          <w:sz w:val="20"/>
          <w:szCs w:val="20"/>
        </w:rPr>
        <w:t xml:space="preserve"> Monash University, </w:t>
      </w:r>
      <w:r w:rsidRPr="007F7B3B">
        <w:rPr>
          <w:sz w:val="20"/>
          <w:szCs w:val="20"/>
        </w:rPr>
        <w:t>Eleos Justice, and the Cornell Center on the Death Penalty Worldwide, Silently Silenced: State-Sanctioned Killing of Women, March 2023, at 20, https://deathpenaltyworldwide.org/wp-content/uploads/2023/04/Silently-Silenced-final-30-March-2023-2.pdf.</w:t>
      </w:r>
    </w:p>
  </w:footnote>
  <w:footnote w:id="28">
    <w:p w14:paraId="08D4EDB8" w14:textId="77777777" w:rsidR="00DD3CCC" w:rsidRPr="007F7B3B" w:rsidRDefault="00DD3CCC" w:rsidP="00DD3CCC">
      <w:pPr>
        <w:pStyle w:val="FootnoteText"/>
        <w:rPr>
          <w:sz w:val="20"/>
          <w:szCs w:val="20"/>
        </w:rPr>
      </w:pPr>
      <w:r w:rsidRPr="007F7B3B">
        <w:rPr>
          <w:rStyle w:val="FootnoteReference"/>
          <w:sz w:val="20"/>
          <w:szCs w:val="20"/>
        </w:rPr>
        <w:footnoteRef/>
      </w:r>
      <w:r w:rsidRPr="007F7B3B">
        <w:rPr>
          <w:sz w:val="20"/>
          <w:szCs w:val="20"/>
        </w:rPr>
        <w:t xml:space="preserve"> Monash University, </w:t>
      </w:r>
      <w:r w:rsidRPr="007F7B3B">
        <w:rPr>
          <w:sz w:val="20"/>
          <w:szCs w:val="20"/>
        </w:rPr>
        <w:t>Eleos Justice, and the Cornell Center on the Death Penalty Worldwide, Silently Silenced: State-Sanctioned Killing of Women, March 2023, at 45, https://deathpenaltyworldwide.org/wp-content/uploads/2023/04/Silently-Silenced-final-30-March-2023-2.pdf.</w:t>
      </w:r>
    </w:p>
  </w:footnote>
  <w:footnote w:id="29">
    <w:p w14:paraId="08C3C5A2" w14:textId="2E7CA9AE" w:rsidR="00CA6667" w:rsidRPr="007F7B3B" w:rsidRDefault="00CA6667">
      <w:pPr>
        <w:pStyle w:val="FootnoteText"/>
        <w:rPr>
          <w:sz w:val="20"/>
          <w:szCs w:val="20"/>
        </w:rPr>
      </w:pPr>
      <w:r w:rsidRPr="007F7B3B">
        <w:rPr>
          <w:rStyle w:val="FootnoteReference"/>
          <w:sz w:val="20"/>
          <w:szCs w:val="20"/>
        </w:rPr>
        <w:footnoteRef/>
      </w:r>
      <w:r w:rsidRPr="007F7B3B">
        <w:rPr>
          <w:sz w:val="20"/>
          <w:szCs w:val="20"/>
        </w:rPr>
        <w:t xml:space="preserve"> Egypt Death Penalty Index, </w:t>
      </w:r>
      <w:r w:rsidR="00B26F8F" w:rsidRPr="007F7B3B">
        <w:rPr>
          <w:sz w:val="20"/>
          <w:szCs w:val="20"/>
        </w:rPr>
        <w:t>https://egyptdeathpenaltyindex.com/index/defendants/?gender=female (last visited Sept. 28, 2023).</w:t>
      </w:r>
    </w:p>
  </w:footnote>
  <w:footnote w:id="30">
    <w:p w14:paraId="46CADF78" w14:textId="54DB0896" w:rsidR="00301D68" w:rsidRPr="007F7B3B" w:rsidRDefault="00301D68">
      <w:pPr>
        <w:pStyle w:val="FootnoteText"/>
        <w:rPr>
          <w:sz w:val="20"/>
          <w:szCs w:val="20"/>
        </w:rPr>
      </w:pPr>
      <w:r w:rsidRPr="007F7B3B">
        <w:rPr>
          <w:rStyle w:val="FootnoteReference"/>
          <w:sz w:val="20"/>
          <w:szCs w:val="20"/>
        </w:rPr>
        <w:footnoteRef/>
      </w:r>
      <w:r w:rsidRPr="007F7B3B">
        <w:rPr>
          <w:sz w:val="20"/>
          <w:szCs w:val="20"/>
        </w:rPr>
        <w:t xml:space="preserve"> Ibid.</w:t>
      </w:r>
    </w:p>
  </w:footnote>
  <w:footnote w:id="31">
    <w:p w14:paraId="266AA25D" w14:textId="225FC06D" w:rsidR="00CD1C40" w:rsidRPr="007F7B3B" w:rsidRDefault="00CD1C40">
      <w:pPr>
        <w:pStyle w:val="FootnoteText"/>
        <w:rPr>
          <w:sz w:val="20"/>
          <w:szCs w:val="20"/>
        </w:rPr>
      </w:pPr>
      <w:r w:rsidRPr="007F7B3B">
        <w:rPr>
          <w:rStyle w:val="FootnoteReference"/>
          <w:sz w:val="20"/>
          <w:szCs w:val="20"/>
        </w:rPr>
        <w:footnoteRef/>
      </w:r>
      <w:r w:rsidRPr="007F7B3B">
        <w:rPr>
          <w:sz w:val="20"/>
          <w:szCs w:val="20"/>
        </w:rPr>
        <w:t xml:space="preserve"> </w:t>
      </w:r>
      <w:r w:rsidRPr="007F7B3B">
        <w:rPr>
          <w:color w:val="000000" w:themeColor="text1"/>
          <w:sz w:val="20"/>
          <w:szCs w:val="20"/>
        </w:rPr>
        <w:t xml:space="preserve">Amnesty International, Death Sentences and Executions 2022, (2023), 32, </w:t>
      </w:r>
      <w:r w:rsidRPr="007F7B3B">
        <w:rPr>
          <w:sz w:val="20"/>
          <w:szCs w:val="20"/>
        </w:rPr>
        <w:t>https://www.amnesty.org/en/documents/act50/6548/2023/en/</w:t>
      </w:r>
      <w:r w:rsidRPr="007F7B3B">
        <w:rPr>
          <w:color w:val="000000" w:themeColor="text1"/>
          <w:sz w:val="20"/>
          <w:szCs w:val="20"/>
        </w:rPr>
        <w:t>.</w:t>
      </w:r>
    </w:p>
  </w:footnote>
  <w:footnote w:id="32">
    <w:p w14:paraId="200FBBFC" w14:textId="7F3AF124" w:rsidR="00D24E1B" w:rsidRPr="007F7B3B" w:rsidRDefault="00D24E1B">
      <w:pPr>
        <w:pStyle w:val="FootnoteText"/>
        <w:rPr>
          <w:sz w:val="20"/>
          <w:szCs w:val="20"/>
        </w:rPr>
      </w:pPr>
      <w:r w:rsidRPr="007F7B3B">
        <w:rPr>
          <w:rStyle w:val="FootnoteReference"/>
          <w:sz w:val="20"/>
          <w:szCs w:val="20"/>
        </w:rPr>
        <w:footnoteRef/>
      </w:r>
      <w:r w:rsidRPr="007F7B3B">
        <w:rPr>
          <w:sz w:val="20"/>
          <w:szCs w:val="20"/>
        </w:rPr>
        <w:t xml:space="preserve"> </w:t>
      </w:r>
      <w:r w:rsidR="00A976E4" w:rsidRPr="007F7B3B">
        <w:rPr>
          <w:sz w:val="20"/>
          <w:szCs w:val="20"/>
        </w:rPr>
        <w:t xml:space="preserve">Amnesty International, Death Sentences and Executions 2021 (2022), </w:t>
      </w:r>
      <w:r w:rsidRPr="007F7B3B">
        <w:rPr>
          <w:sz w:val="20"/>
          <w:szCs w:val="20"/>
        </w:rPr>
        <w:t>42</w:t>
      </w:r>
      <w:r w:rsidR="00A976E4" w:rsidRPr="007F7B3B">
        <w:rPr>
          <w:sz w:val="20"/>
          <w:szCs w:val="20"/>
        </w:rPr>
        <w:t>, https://www.amnesty.org/en/documents/act50/5418/2022/en/.</w:t>
      </w:r>
    </w:p>
  </w:footnote>
  <w:footnote w:id="33">
    <w:p w14:paraId="2941EFF5" w14:textId="77777777" w:rsidR="00095326" w:rsidRPr="007F7B3B" w:rsidRDefault="00095326" w:rsidP="00095326">
      <w:pPr>
        <w:pStyle w:val="FootnoteText"/>
        <w:rPr>
          <w:sz w:val="20"/>
          <w:szCs w:val="20"/>
        </w:rPr>
      </w:pPr>
      <w:r w:rsidRPr="007F7B3B">
        <w:rPr>
          <w:rStyle w:val="FootnoteReference"/>
          <w:sz w:val="20"/>
          <w:szCs w:val="20"/>
        </w:rPr>
        <w:footnoteRef/>
      </w:r>
      <w:r w:rsidRPr="007F7B3B">
        <w:rPr>
          <w:sz w:val="20"/>
          <w:szCs w:val="20"/>
        </w:rPr>
        <w:t xml:space="preserve"> </w:t>
      </w:r>
      <w:r w:rsidRPr="007F7B3B">
        <w:rPr>
          <w:i/>
          <w:iCs/>
          <w:sz w:val="20"/>
          <w:szCs w:val="20"/>
        </w:rPr>
        <w:t>Egypt: ‘horrifying execution spree’, with at least 57 killed in past two months</w:t>
      </w:r>
      <w:r w:rsidRPr="007F7B3B">
        <w:rPr>
          <w:sz w:val="20"/>
          <w:szCs w:val="20"/>
        </w:rPr>
        <w:t>, Amnesty International UK (Press Release), Dec. 1, 2020, https://www.amnesty.org.uk/press-releases/egypt-horrifying-execution-spree-least-57-killed-past-two-months.</w:t>
      </w:r>
    </w:p>
  </w:footnote>
  <w:footnote w:id="34">
    <w:p w14:paraId="619F5D3F" w14:textId="77777777" w:rsidR="00095326" w:rsidRPr="007F7B3B" w:rsidRDefault="00095326" w:rsidP="00095326">
      <w:pPr>
        <w:pStyle w:val="FootnoteText"/>
        <w:rPr>
          <w:sz w:val="20"/>
          <w:szCs w:val="20"/>
        </w:rPr>
      </w:pPr>
      <w:r w:rsidRPr="007F7B3B">
        <w:rPr>
          <w:rStyle w:val="FootnoteReference"/>
          <w:sz w:val="20"/>
          <w:szCs w:val="20"/>
        </w:rPr>
        <w:footnoteRef/>
      </w:r>
      <w:r w:rsidRPr="007F7B3B">
        <w:rPr>
          <w:sz w:val="20"/>
          <w:szCs w:val="20"/>
        </w:rPr>
        <w:t xml:space="preserve"> </w:t>
      </w:r>
      <w:r w:rsidRPr="007F7B3B">
        <w:rPr>
          <w:i/>
          <w:iCs/>
          <w:sz w:val="20"/>
          <w:szCs w:val="20"/>
        </w:rPr>
        <w:t>Mass Injustice: Statistical Findings on the Death Penalty in Egypt</w:t>
      </w:r>
      <w:r w:rsidRPr="007F7B3B">
        <w:rPr>
          <w:sz w:val="20"/>
          <w:szCs w:val="20"/>
        </w:rPr>
        <w:t>, Reprieve, (2019), https://egyptdeathpenaltyindex.com/wp-content/uploads/2020/11/2019_05_09_PUB-EGY-Egypt-data-report-Mass-Injustice-WEB-version.pdf, at 3.</w:t>
      </w:r>
    </w:p>
  </w:footnote>
  <w:footnote w:id="35">
    <w:p w14:paraId="39C93286" w14:textId="77777777" w:rsidR="00095326" w:rsidRPr="007F7B3B" w:rsidRDefault="00095326" w:rsidP="00095326">
      <w:pPr>
        <w:pStyle w:val="FootnoteText"/>
        <w:rPr>
          <w:sz w:val="20"/>
          <w:szCs w:val="20"/>
        </w:rPr>
      </w:pPr>
      <w:r w:rsidRPr="007F7B3B">
        <w:rPr>
          <w:rStyle w:val="FootnoteReference"/>
          <w:sz w:val="20"/>
          <w:szCs w:val="20"/>
        </w:rPr>
        <w:footnoteRef/>
      </w:r>
      <w:r w:rsidRPr="007F7B3B">
        <w:rPr>
          <w:sz w:val="20"/>
          <w:szCs w:val="20"/>
        </w:rPr>
        <w:t xml:space="preserve"> </w:t>
      </w:r>
      <w:r w:rsidRPr="007F7B3B">
        <w:rPr>
          <w:i/>
          <w:iCs/>
          <w:sz w:val="20"/>
          <w:szCs w:val="20"/>
        </w:rPr>
        <w:t>Mass Injustice: Statistical Findings on the Death Penalty in Egypt</w:t>
      </w:r>
      <w:r w:rsidRPr="007F7B3B">
        <w:rPr>
          <w:sz w:val="20"/>
          <w:szCs w:val="20"/>
        </w:rPr>
        <w:t>, Reprieve, (2019), https://egyptdeathpenaltyindex.com/wp-content/uploads/2020/11/2019_05_09_PUB-EGY-Egypt-data-report-Mass-Injustice-WEB-version.pdf, at 31.</w:t>
      </w:r>
    </w:p>
  </w:footnote>
  <w:footnote w:id="36">
    <w:p w14:paraId="3F94EA2F" w14:textId="6C4A7568" w:rsidR="00651ED6" w:rsidRPr="007F7B3B" w:rsidRDefault="00651ED6">
      <w:pPr>
        <w:pStyle w:val="FootnoteText"/>
        <w:rPr>
          <w:sz w:val="20"/>
          <w:szCs w:val="20"/>
        </w:rPr>
      </w:pPr>
      <w:r w:rsidRPr="007F7B3B">
        <w:rPr>
          <w:rStyle w:val="FootnoteReference"/>
          <w:sz w:val="20"/>
          <w:szCs w:val="20"/>
        </w:rPr>
        <w:footnoteRef/>
      </w:r>
      <w:r w:rsidRPr="007F7B3B">
        <w:rPr>
          <w:sz w:val="20"/>
          <w:szCs w:val="20"/>
        </w:rPr>
        <w:t xml:space="preserve"> </w:t>
      </w:r>
      <w:r w:rsidR="0040603B" w:rsidRPr="007F7B3B">
        <w:rPr>
          <w:sz w:val="20"/>
          <w:szCs w:val="20"/>
        </w:rPr>
        <w:t xml:space="preserve">Monash University, </w:t>
      </w:r>
      <w:r w:rsidR="0040603B" w:rsidRPr="007F7B3B">
        <w:rPr>
          <w:sz w:val="20"/>
          <w:szCs w:val="20"/>
        </w:rPr>
        <w:t xml:space="preserve">Eleos Justice, and the Cornell Center on the Death Penalty Worldwide, Silently Silenced: State-Sanctioned Killing of Women, </w:t>
      </w:r>
      <w:r w:rsidR="00375EC9" w:rsidRPr="007F7B3B">
        <w:rPr>
          <w:sz w:val="20"/>
          <w:szCs w:val="20"/>
        </w:rPr>
        <w:t>March 2023, a</w:t>
      </w:r>
      <w:r w:rsidRPr="007F7B3B">
        <w:rPr>
          <w:sz w:val="20"/>
          <w:szCs w:val="20"/>
        </w:rPr>
        <w:t>t 20</w:t>
      </w:r>
      <w:r w:rsidR="00375EC9" w:rsidRPr="007F7B3B">
        <w:rPr>
          <w:sz w:val="20"/>
          <w:szCs w:val="20"/>
        </w:rPr>
        <w:t>, https://deathpenaltyworldwide.org/wp-content/uploads/2023/04/Silently-Silenced-final-30-March-2023-2.pdf</w:t>
      </w:r>
      <w:r w:rsidRPr="007F7B3B">
        <w:rPr>
          <w:sz w:val="20"/>
          <w:szCs w:val="20"/>
        </w:rPr>
        <w:t>.</w:t>
      </w:r>
    </w:p>
  </w:footnote>
  <w:footnote w:id="37">
    <w:p w14:paraId="3847C854" w14:textId="6F44AC87" w:rsidR="00DD19D1" w:rsidRPr="007F7B3B" w:rsidRDefault="00DD19D1">
      <w:pPr>
        <w:pStyle w:val="FootnoteText"/>
        <w:rPr>
          <w:sz w:val="20"/>
          <w:szCs w:val="20"/>
        </w:rPr>
      </w:pPr>
      <w:r w:rsidRPr="007F7B3B">
        <w:rPr>
          <w:rStyle w:val="FootnoteReference"/>
          <w:sz w:val="20"/>
          <w:szCs w:val="20"/>
        </w:rPr>
        <w:footnoteRef/>
      </w:r>
      <w:r w:rsidRPr="007F7B3B">
        <w:rPr>
          <w:sz w:val="20"/>
          <w:szCs w:val="20"/>
        </w:rPr>
        <w:t xml:space="preserve"> </w:t>
      </w:r>
      <w:r w:rsidR="00C15C46" w:rsidRPr="007F7B3B">
        <w:rPr>
          <w:sz w:val="20"/>
          <w:szCs w:val="20"/>
        </w:rPr>
        <w:t xml:space="preserve">Monash University, </w:t>
      </w:r>
      <w:r w:rsidR="00C15C46" w:rsidRPr="007F7B3B">
        <w:rPr>
          <w:sz w:val="20"/>
          <w:szCs w:val="20"/>
        </w:rPr>
        <w:t xml:space="preserve">Eleos Justice, and the Cornell Center on the Death Penalty Worldwide, Silently Silenced: State-Sanctioned Killing of Women, March 2023, at 33-34, https://deathpenaltyworldwide.org/wp-content/uploads/2023/04/Silently-Silenced-final-30-March-2023-2.pdf. </w:t>
      </w:r>
    </w:p>
  </w:footnote>
  <w:footnote w:id="38">
    <w:p w14:paraId="07A85F83" w14:textId="77777777" w:rsidR="00EC7367" w:rsidRPr="007F7B3B" w:rsidRDefault="00EC7367" w:rsidP="00EC7367">
      <w:pPr>
        <w:pStyle w:val="FootnoteText"/>
        <w:rPr>
          <w:sz w:val="20"/>
          <w:szCs w:val="20"/>
        </w:rPr>
      </w:pPr>
      <w:r w:rsidRPr="007F7B3B">
        <w:rPr>
          <w:rStyle w:val="FootnoteReference"/>
          <w:sz w:val="20"/>
          <w:szCs w:val="20"/>
        </w:rPr>
        <w:footnoteRef/>
      </w:r>
      <w:r w:rsidRPr="007F7B3B">
        <w:rPr>
          <w:sz w:val="20"/>
          <w:szCs w:val="20"/>
        </w:rPr>
        <w:t xml:space="preserve"> Amira Mahmoud Othman, </w:t>
      </w:r>
      <w:r w:rsidRPr="007F7B3B">
        <w:rPr>
          <w:i/>
          <w:iCs/>
          <w:sz w:val="20"/>
          <w:szCs w:val="20"/>
        </w:rPr>
        <w:t>The Death Penalty in Contemporary Egypt: States, Murderers, and State Murderers</w:t>
      </w:r>
      <w:r w:rsidRPr="007F7B3B">
        <w:rPr>
          <w:sz w:val="20"/>
          <w:szCs w:val="20"/>
        </w:rPr>
        <w:t>, American University in Cairo, Fall 2019, at 45, https://fount.aucegypt.edu/etds/1566.</w:t>
      </w:r>
    </w:p>
  </w:footnote>
  <w:footnote w:id="39">
    <w:p w14:paraId="6164E45A" w14:textId="77777777" w:rsidR="00EC7367" w:rsidRPr="007F7B3B" w:rsidRDefault="00EC7367" w:rsidP="00EC7367">
      <w:pPr>
        <w:pStyle w:val="FootnoteText"/>
        <w:rPr>
          <w:sz w:val="20"/>
          <w:szCs w:val="20"/>
        </w:rPr>
      </w:pPr>
      <w:r w:rsidRPr="007F7B3B">
        <w:rPr>
          <w:rStyle w:val="FootnoteReference"/>
          <w:sz w:val="20"/>
          <w:szCs w:val="20"/>
        </w:rPr>
        <w:footnoteRef/>
      </w:r>
      <w:r w:rsidRPr="007F7B3B">
        <w:rPr>
          <w:sz w:val="20"/>
          <w:szCs w:val="20"/>
        </w:rPr>
        <w:t xml:space="preserve"> </w:t>
      </w:r>
      <w:r w:rsidRPr="007F7B3B">
        <w:rPr>
          <w:i/>
          <w:iCs/>
          <w:sz w:val="20"/>
          <w:szCs w:val="20"/>
        </w:rPr>
        <w:t>Mother executed after killing her 11-year-old son in Egypt</w:t>
      </w:r>
      <w:r w:rsidRPr="007F7B3B">
        <w:rPr>
          <w:sz w:val="20"/>
          <w:szCs w:val="20"/>
        </w:rPr>
        <w:t>, Roya News, June 28, 2021, https://en.royanews.tv/news/29211/2021-06-28.</w:t>
      </w:r>
    </w:p>
  </w:footnote>
  <w:footnote w:id="40">
    <w:p w14:paraId="769940A3" w14:textId="77777777" w:rsidR="00EC7367" w:rsidRPr="007F7B3B" w:rsidRDefault="00EC7367" w:rsidP="00EC7367">
      <w:pPr>
        <w:pStyle w:val="FootnoteText"/>
        <w:rPr>
          <w:sz w:val="20"/>
          <w:szCs w:val="20"/>
        </w:rPr>
      </w:pPr>
      <w:r w:rsidRPr="007F7B3B">
        <w:rPr>
          <w:rStyle w:val="FootnoteReference"/>
          <w:sz w:val="20"/>
          <w:szCs w:val="20"/>
        </w:rPr>
        <w:footnoteRef/>
      </w:r>
      <w:r w:rsidRPr="007F7B3B">
        <w:rPr>
          <w:sz w:val="20"/>
          <w:szCs w:val="20"/>
        </w:rPr>
        <w:t xml:space="preserve"> Al-</w:t>
      </w:r>
      <w:r w:rsidRPr="007F7B3B">
        <w:rPr>
          <w:sz w:val="20"/>
          <w:szCs w:val="20"/>
        </w:rPr>
        <w:t xml:space="preserve">Masry Al-Youm, </w:t>
      </w:r>
      <w:r w:rsidRPr="007F7B3B">
        <w:rPr>
          <w:i/>
          <w:iCs/>
          <w:sz w:val="20"/>
          <w:szCs w:val="20"/>
        </w:rPr>
        <w:t>Egyptian court refers “Beheira Bride” murder case to Grand Mufti to consider death sentence</w:t>
      </w:r>
      <w:r w:rsidRPr="007F7B3B">
        <w:rPr>
          <w:sz w:val="20"/>
          <w:szCs w:val="20"/>
        </w:rPr>
        <w:t>, Egypt Independent, July 30, 2020, https://www.egyptindependent.com/2621915damanhur-court-referrers-case-papers-of-bride-to-mufti-of-egypt-for-killing-her-husband-2/.</w:t>
      </w:r>
    </w:p>
  </w:footnote>
  <w:footnote w:id="41">
    <w:p w14:paraId="7051954A" w14:textId="77777777" w:rsidR="00EC7367" w:rsidRPr="007F7B3B" w:rsidRDefault="00EC7367" w:rsidP="00EC7367">
      <w:pPr>
        <w:pStyle w:val="FootnoteText"/>
        <w:rPr>
          <w:sz w:val="20"/>
          <w:szCs w:val="20"/>
        </w:rPr>
      </w:pPr>
      <w:r w:rsidRPr="007F7B3B">
        <w:rPr>
          <w:rStyle w:val="FootnoteReference"/>
          <w:sz w:val="20"/>
          <w:szCs w:val="20"/>
        </w:rPr>
        <w:footnoteRef/>
      </w:r>
      <w:r w:rsidRPr="007F7B3B">
        <w:rPr>
          <w:sz w:val="20"/>
          <w:szCs w:val="20"/>
        </w:rPr>
        <w:t xml:space="preserve"> </w:t>
      </w:r>
      <w:r w:rsidRPr="007F7B3B">
        <w:rPr>
          <w:i/>
          <w:iCs/>
          <w:sz w:val="20"/>
          <w:szCs w:val="20"/>
        </w:rPr>
        <w:t>Egypt executes six, two of whom were women</w:t>
      </w:r>
      <w:r w:rsidRPr="007F7B3B">
        <w:rPr>
          <w:sz w:val="20"/>
          <w:szCs w:val="20"/>
        </w:rPr>
        <w:t>, Hands Off Cain, June 4, 2018, https://www.handsoffcain.info/notizia/egypt-executes-six-two-of-whom-were-women-40305364.</w:t>
      </w:r>
    </w:p>
  </w:footnote>
  <w:footnote w:id="42">
    <w:p w14:paraId="3D61A206" w14:textId="1CF2B62B" w:rsidR="00DD71F5" w:rsidRPr="007F7B3B" w:rsidRDefault="00DD71F5">
      <w:pPr>
        <w:pStyle w:val="FootnoteText"/>
        <w:rPr>
          <w:sz w:val="20"/>
          <w:szCs w:val="20"/>
        </w:rPr>
      </w:pPr>
      <w:r w:rsidRPr="007F7B3B">
        <w:rPr>
          <w:rStyle w:val="FootnoteReference"/>
          <w:sz w:val="20"/>
          <w:szCs w:val="20"/>
        </w:rPr>
        <w:footnoteRef/>
      </w:r>
      <w:r w:rsidRPr="007F7B3B">
        <w:rPr>
          <w:sz w:val="20"/>
          <w:szCs w:val="20"/>
        </w:rPr>
        <w:t xml:space="preserve"> </w:t>
      </w:r>
      <w:r w:rsidRPr="007F7B3B">
        <w:rPr>
          <w:i/>
          <w:iCs/>
          <w:sz w:val="20"/>
          <w:szCs w:val="20"/>
        </w:rPr>
        <w:t>Egypt court sentences woman to death over killing mother</w:t>
      </w:r>
      <w:r w:rsidRPr="007F7B3B">
        <w:rPr>
          <w:sz w:val="20"/>
          <w:szCs w:val="20"/>
        </w:rPr>
        <w:t xml:space="preserve">, Egypt Independent, Feb. 19, 2023, </w:t>
      </w:r>
      <w:r w:rsidR="00AD19E2" w:rsidRPr="007F7B3B">
        <w:rPr>
          <w:sz w:val="20"/>
          <w:szCs w:val="20"/>
        </w:rPr>
        <w:t>https://cloudflare.egyptindependent.com/egypt-court-sentences-woman-to-death-over-killing-mother/.</w:t>
      </w:r>
    </w:p>
  </w:footnote>
  <w:footnote w:id="43">
    <w:p w14:paraId="39C776AA" w14:textId="43FAAEB2" w:rsidR="00AD19E2" w:rsidRPr="007F7B3B" w:rsidRDefault="00AD19E2">
      <w:pPr>
        <w:pStyle w:val="FootnoteText"/>
        <w:rPr>
          <w:sz w:val="20"/>
          <w:szCs w:val="20"/>
        </w:rPr>
      </w:pPr>
      <w:r w:rsidRPr="007F7B3B">
        <w:rPr>
          <w:rStyle w:val="FootnoteReference"/>
          <w:sz w:val="20"/>
          <w:szCs w:val="20"/>
        </w:rPr>
        <w:footnoteRef/>
      </w:r>
      <w:r w:rsidRPr="007F7B3B">
        <w:rPr>
          <w:sz w:val="20"/>
          <w:szCs w:val="20"/>
        </w:rPr>
        <w:t xml:space="preserve"> </w:t>
      </w:r>
      <w:r w:rsidR="00E720AC" w:rsidRPr="007F7B3B">
        <w:rPr>
          <w:sz w:val="20"/>
          <w:szCs w:val="20"/>
        </w:rPr>
        <w:t>Ibid.</w:t>
      </w:r>
    </w:p>
  </w:footnote>
  <w:footnote w:id="44">
    <w:p w14:paraId="56170C95" w14:textId="77777777" w:rsidR="00B96309" w:rsidRPr="007F7B3B" w:rsidRDefault="00B96309" w:rsidP="00B96309">
      <w:pPr>
        <w:pStyle w:val="FootnoteText"/>
        <w:jc w:val="both"/>
        <w:rPr>
          <w:sz w:val="20"/>
          <w:szCs w:val="20"/>
        </w:rPr>
      </w:pPr>
      <w:r w:rsidRPr="007F7B3B">
        <w:rPr>
          <w:rStyle w:val="FootnoteReference"/>
          <w:sz w:val="20"/>
          <w:szCs w:val="20"/>
        </w:rPr>
        <w:footnoteRef/>
      </w:r>
      <w:r w:rsidRPr="007F7B3B">
        <w:rPr>
          <w:sz w:val="20"/>
          <w:szCs w:val="20"/>
        </w:rPr>
        <w:t xml:space="preserve"> Cornell Center on the Death Penalty Worldwide, </w:t>
      </w:r>
      <w:r w:rsidRPr="007F7B3B">
        <w:rPr>
          <w:i/>
          <w:iCs/>
          <w:sz w:val="20"/>
          <w:szCs w:val="20"/>
        </w:rPr>
        <w:t xml:space="preserve">Judged for More Than Her Crime: A Global Overview of Women Facing the Death Penalty </w:t>
      </w:r>
      <w:r w:rsidRPr="007F7B3B">
        <w:rPr>
          <w:sz w:val="20"/>
          <w:szCs w:val="20"/>
        </w:rPr>
        <w:t>(Sept. 2018), at 11-12, https://www.deathpenaltyworldwide.org/wp-content/uploads/2019/12/Judged-More-Than-Her-Crime.pdf.</w:t>
      </w:r>
    </w:p>
  </w:footnote>
  <w:footnote w:id="45">
    <w:p w14:paraId="4D4A8B2B" w14:textId="77777777" w:rsidR="00B96309" w:rsidRPr="007F7B3B" w:rsidRDefault="00B96309" w:rsidP="00B96309">
      <w:pPr>
        <w:pStyle w:val="FootnoteText"/>
        <w:rPr>
          <w:sz w:val="20"/>
          <w:szCs w:val="20"/>
        </w:rPr>
      </w:pPr>
      <w:r w:rsidRPr="007F7B3B">
        <w:rPr>
          <w:rStyle w:val="FootnoteReference"/>
          <w:sz w:val="20"/>
          <w:szCs w:val="20"/>
        </w:rPr>
        <w:footnoteRef/>
      </w:r>
      <w:r w:rsidRPr="007F7B3B">
        <w:rPr>
          <w:sz w:val="20"/>
          <w:szCs w:val="20"/>
        </w:rPr>
        <w:t xml:space="preserve"> Agnes Callamard, UN Special Rapporteur on Extrajudicial, Summary or Arbitrary Executions, Cornell Center on the Death Penalty Worldwide, </w:t>
      </w:r>
      <w:r w:rsidRPr="007F7B3B">
        <w:rPr>
          <w:i/>
          <w:iCs/>
          <w:sz w:val="20"/>
          <w:szCs w:val="20"/>
        </w:rPr>
        <w:t xml:space="preserve">Judged for More Than Her Crime: A Global Overview of Women Facing the Death Penalty </w:t>
      </w:r>
      <w:r w:rsidRPr="007F7B3B">
        <w:rPr>
          <w:sz w:val="20"/>
          <w:szCs w:val="20"/>
        </w:rPr>
        <w:t>(Sept. 2018), at 3, https://www.deathpenaltyworldwide.org/wp-content/uploads/2019/12/Judged-More-Than-Her-Crime.pdf.</w:t>
      </w:r>
    </w:p>
  </w:footnote>
  <w:footnote w:id="46">
    <w:p w14:paraId="44ECEE00" w14:textId="2BA08EEE" w:rsidR="00835A59" w:rsidRPr="007F7B3B" w:rsidRDefault="00835A59">
      <w:pPr>
        <w:pStyle w:val="FootnoteText"/>
        <w:rPr>
          <w:color w:val="000000" w:themeColor="text1"/>
          <w:sz w:val="20"/>
          <w:szCs w:val="20"/>
        </w:rPr>
      </w:pPr>
      <w:r w:rsidRPr="007F7B3B">
        <w:rPr>
          <w:rStyle w:val="FootnoteReference"/>
          <w:color w:val="000000" w:themeColor="text1"/>
          <w:sz w:val="20"/>
          <w:szCs w:val="20"/>
        </w:rPr>
        <w:footnoteRef/>
      </w:r>
      <w:r w:rsidR="007722D9" w:rsidRPr="007F7B3B">
        <w:rPr>
          <w:color w:val="000000" w:themeColor="text1"/>
          <w:sz w:val="20"/>
          <w:szCs w:val="20"/>
        </w:rPr>
        <w:t xml:space="preserve"> </w:t>
      </w:r>
      <w:r w:rsidR="00064FF9" w:rsidRPr="007F7B3B">
        <w:rPr>
          <w:color w:val="000000" w:themeColor="text1"/>
          <w:sz w:val="20"/>
          <w:szCs w:val="20"/>
        </w:rPr>
        <w:t xml:space="preserve">The Advocates for Human Rights </w:t>
      </w:r>
      <w:r w:rsidR="00064FF9" w:rsidRPr="007F7B3B">
        <w:rPr>
          <w:i/>
          <w:iCs/>
          <w:color w:val="000000" w:themeColor="text1"/>
          <w:sz w:val="20"/>
          <w:szCs w:val="20"/>
        </w:rPr>
        <w:t>et al.</w:t>
      </w:r>
      <w:r w:rsidR="00064FF9" w:rsidRPr="007F7B3B">
        <w:rPr>
          <w:color w:val="000000" w:themeColor="text1"/>
          <w:sz w:val="20"/>
          <w:szCs w:val="20"/>
        </w:rPr>
        <w:t xml:space="preserve">, </w:t>
      </w:r>
      <w:r w:rsidR="00064FF9" w:rsidRPr="007F7B3B">
        <w:rPr>
          <w:i/>
          <w:iCs/>
          <w:color w:val="000000" w:themeColor="text1"/>
          <w:sz w:val="20"/>
          <w:szCs w:val="20"/>
        </w:rPr>
        <w:t>supra</w:t>
      </w:r>
      <w:r w:rsidR="00064FF9" w:rsidRPr="007F7B3B">
        <w:rPr>
          <w:color w:val="000000" w:themeColor="text1"/>
          <w:sz w:val="20"/>
          <w:szCs w:val="20"/>
        </w:rPr>
        <w:t xml:space="preserve"> note </w:t>
      </w:r>
      <w:r w:rsidR="00064FF9" w:rsidRPr="007F7B3B">
        <w:rPr>
          <w:color w:val="000000" w:themeColor="text1"/>
          <w:sz w:val="20"/>
          <w:szCs w:val="20"/>
        </w:rPr>
        <w:fldChar w:fldCharType="begin"/>
      </w:r>
      <w:r w:rsidR="00064FF9" w:rsidRPr="007F7B3B">
        <w:rPr>
          <w:color w:val="000000" w:themeColor="text1"/>
          <w:sz w:val="20"/>
          <w:szCs w:val="20"/>
        </w:rPr>
        <w:instrText xml:space="preserve"> NOTEREF _Ref146706210 \h </w:instrText>
      </w:r>
      <w:r w:rsidR="007855FA" w:rsidRPr="007F7B3B">
        <w:rPr>
          <w:color w:val="000000" w:themeColor="text1"/>
          <w:sz w:val="20"/>
          <w:szCs w:val="20"/>
        </w:rPr>
        <w:instrText xml:space="preserve"> \* MERGEFORMAT </w:instrText>
      </w:r>
      <w:r w:rsidR="00064FF9" w:rsidRPr="007F7B3B">
        <w:rPr>
          <w:color w:val="000000" w:themeColor="text1"/>
          <w:sz w:val="20"/>
          <w:szCs w:val="20"/>
        </w:rPr>
      </w:r>
      <w:r w:rsidR="00064FF9" w:rsidRPr="007F7B3B">
        <w:rPr>
          <w:color w:val="000000" w:themeColor="text1"/>
          <w:sz w:val="20"/>
          <w:szCs w:val="20"/>
        </w:rPr>
        <w:fldChar w:fldCharType="separate"/>
      </w:r>
      <w:r w:rsidR="00064FF9" w:rsidRPr="007F7B3B">
        <w:rPr>
          <w:color w:val="000000" w:themeColor="text1"/>
          <w:sz w:val="20"/>
          <w:szCs w:val="20"/>
        </w:rPr>
        <w:t>2</w:t>
      </w:r>
      <w:r w:rsidR="00064FF9" w:rsidRPr="007F7B3B">
        <w:rPr>
          <w:color w:val="000000" w:themeColor="text1"/>
          <w:sz w:val="20"/>
          <w:szCs w:val="20"/>
        </w:rPr>
        <w:fldChar w:fldCharType="end"/>
      </w:r>
      <w:r w:rsidR="00064FF9" w:rsidRPr="007F7B3B">
        <w:rPr>
          <w:color w:val="000000" w:themeColor="text1"/>
          <w:sz w:val="20"/>
          <w:szCs w:val="20"/>
        </w:rPr>
        <w:t xml:space="preserve">, </w:t>
      </w:r>
      <w:r w:rsidRPr="007F7B3B">
        <w:rPr>
          <w:color w:val="000000" w:themeColor="text1"/>
          <w:sz w:val="20"/>
          <w:szCs w:val="20"/>
        </w:rPr>
        <w:t>¶¶ 24-26.</w:t>
      </w:r>
    </w:p>
  </w:footnote>
  <w:footnote w:id="47">
    <w:p w14:paraId="557DBFA1" w14:textId="27D9086E" w:rsidR="007C10F7" w:rsidRPr="007F7B3B" w:rsidRDefault="007C10F7">
      <w:pPr>
        <w:pStyle w:val="FootnoteText"/>
        <w:rPr>
          <w:color w:val="000000" w:themeColor="text1"/>
          <w:sz w:val="20"/>
          <w:szCs w:val="20"/>
        </w:rPr>
      </w:pPr>
      <w:r w:rsidRPr="007F7B3B">
        <w:rPr>
          <w:rStyle w:val="FootnoteReference"/>
          <w:color w:val="000000" w:themeColor="text1"/>
          <w:sz w:val="20"/>
          <w:szCs w:val="20"/>
        </w:rPr>
        <w:footnoteRef/>
      </w:r>
      <w:r w:rsidR="007722D9" w:rsidRPr="007F7B3B">
        <w:rPr>
          <w:color w:val="000000" w:themeColor="text1"/>
          <w:sz w:val="20"/>
          <w:szCs w:val="20"/>
        </w:rPr>
        <w:t xml:space="preserve"> </w:t>
      </w:r>
      <w:r w:rsidRPr="007F7B3B">
        <w:rPr>
          <w:color w:val="000000" w:themeColor="text1"/>
          <w:sz w:val="20"/>
          <w:szCs w:val="20"/>
        </w:rPr>
        <w:t xml:space="preserve">Human Rights Watch, </w:t>
      </w:r>
      <w:r w:rsidRPr="007F7B3B">
        <w:rPr>
          <w:i/>
          <w:iCs/>
          <w:color w:val="000000" w:themeColor="text1"/>
          <w:sz w:val="20"/>
          <w:szCs w:val="20"/>
        </w:rPr>
        <w:t>Egypt: Detained Academic at Risk of Death</w:t>
      </w:r>
      <w:r w:rsidRPr="007F7B3B">
        <w:rPr>
          <w:color w:val="000000" w:themeColor="text1"/>
          <w:sz w:val="20"/>
          <w:szCs w:val="20"/>
        </w:rPr>
        <w:t>, (May 3, 2023), https://www.hrw.org/news/2023/05/03/egypt-detained-academic-risk-death.</w:t>
      </w:r>
    </w:p>
  </w:footnote>
  <w:footnote w:id="48">
    <w:p w14:paraId="0E33A0F5" w14:textId="4C251C15" w:rsidR="00C76760" w:rsidRPr="007F7B3B" w:rsidRDefault="00C76760">
      <w:pPr>
        <w:pStyle w:val="FootnoteText"/>
        <w:rPr>
          <w:color w:val="000000" w:themeColor="text1"/>
          <w:sz w:val="20"/>
          <w:szCs w:val="20"/>
        </w:rPr>
      </w:pPr>
      <w:r w:rsidRPr="007F7B3B">
        <w:rPr>
          <w:rStyle w:val="FootnoteReference"/>
          <w:color w:val="000000" w:themeColor="text1"/>
          <w:sz w:val="20"/>
          <w:szCs w:val="20"/>
        </w:rPr>
        <w:footnoteRef/>
      </w:r>
      <w:r w:rsidR="007722D9" w:rsidRPr="007F7B3B">
        <w:rPr>
          <w:color w:val="000000" w:themeColor="text1"/>
          <w:sz w:val="20"/>
          <w:szCs w:val="20"/>
        </w:rPr>
        <w:t xml:space="preserve"> </w:t>
      </w:r>
      <w:r w:rsidRPr="007F7B3B">
        <w:rPr>
          <w:color w:val="000000" w:themeColor="text1"/>
          <w:sz w:val="20"/>
          <w:szCs w:val="20"/>
        </w:rPr>
        <w:t xml:space="preserve">Committee for Justice, </w:t>
      </w:r>
      <w:r w:rsidRPr="007F7B3B">
        <w:rPr>
          <w:i/>
          <w:iCs/>
          <w:color w:val="000000" w:themeColor="text1"/>
          <w:sz w:val="20"/>
          <w:szCs w:val="20"/>
        </w:rPr>
        <w:t>Egypt: Stop Torture in Minya Prison</w:t>
      </w:r>
      <w:r w:rsidRPr="007F7B3B">
        <w:rPr>
          <w:color w:val="000000" w:themeColor="text1"/>
          <w:sz w:val="20"/>
          <w:szCs w:val="20"/>
        </w:rPr>
        <w:t>, (Apr. 17, 2023), https://www.cfjustice.org/egypt-stop-torture-in-minya-prison.</w:t>
      </w:r>
    </w:p>
  </w:footnote>
  <w:footnote w:id="49">
    <w:p w14:paraId="2B06D28C" w14:textId="46B32D57" w:rsidR="00EA7D2E" w:rsidRPr="007F7B3B" w:rsidRDefault="00EA7D2E">
      <w:pPr>
        <w:pStyle w:val="FootnoteText"/>
        <w:rPr>
          <w:color w:val="000000" w:themeColor="text1"/>
          <w:sz w:val="20"/>
          <w:szCs w:val="20"/>
        </w:rPr>
      </w:pPr>
      <w:r w:rsidRPr="007F7B3B">
        <w:rPr>
          <w:rStyle w:val="FootnoteReference"/>
          <w:color w:val="000000" w:themeColor="text1"/>
          <w:sz w:val="20"/>
          <w:szCs w:val="20"/>
        </w:rPr>
        <w:footnoteRef/>
      </w:r>
      <w:r w:rsidR="007722D9" w:rsidRPr="007F7B3B">
        <w:rPr>
          <w:color w:val="000000" w:themeColor="text1"/>
          <w:sz w:val="20"/>
          <w:szCs w:val="20"/>
        </w:rPr>
        <w:t xml:space="preserve"> </w:t>
      </w:r>
      <w:r w:rsidRPr="007F7B3B">
        <w:rPr>
          <w:color w:val="000000" w:themeColor="text1"/>
          <w:sz w:val="20"/>
          <w:szCs w:val="20"/>
        </w:rPr>
        <w:t xml:space="preserve">Committee for Justice, </w:t>
      </w:r>
      <w:r w:rsidRPr="007F7B3B">
        <w:rPr>
          <w:i/>
          <w:iCs/>
          <w:color w:val="000000" w:themeColor="text1"/>
          <w:sz w:val="20"/>
          <w:szCs w:val="20"/>
        </w:rPr>
        <w:t xml:space="preserve">Egypt: CFJ Documents New Death of a Political Detainee in </w:t>
      </w:r>
      <w:r w:rsidRPr="007F7B3B">
        <w:rPr>
          <w:i/>
          <w:iCs/>
          <w:color w:val="000000" w:themeColor="text1"/>
          <w:sz w:val="20"/>
          <w:szCs w:val="20"/>
        </w:rPr>
        <w:t>Gamasa Prison, Dakahlia Governorate</w:t>
      </w:r>
      <w:r w:rsidRPr="007F7B3B">
        <w:rPr>
          <w:color w:val="000000" w:themeColor="text1"/>
          <w:sz w:val="20"/>
          <w:szCs w:val="20"/>
        </w:rPr>
        <w:t>, (Aug. 24, 2023), https://www.cfjustice.org/egypt-cfj-documents-new-death-of-a-political-detainee-in-gamasa-prison-dakahlia-governorate.</w:t>
      </w:r>
    </w:p>
  </w:footnote>
  <w:footnote w:id="50">
    <w:p w14:paraId="56F0B425" w14:textId="7E0E7921" w:rsidR="00FF0713" w:rsidRPr="007F7B3B" w:rsidRDefault="00FF0713">
      <w:pPr>
        <w:pStyle w:val="FootnoteText"/>
        <w:rPr>
          <w:sz w:val="20"/>
          <w:szCs w:val="20"/>
        </w:rPr>
      </w:pPr>
      <w:r w:rsidRPr="007F7B3B">
        <w:rPr>
          <w:rStyle w:val="FootnoteReference"/>
          <w:sz w:val="20"/>
          <w:szCs w:val="20"/>
        </w:rPr>
        <w:footnoteRef/>
      </w:r>
      <w:r w:rsidRPr="007F7B3B">
        <w:rPr>
          <w:sz w:val="20"/>
          <w:szCs w:val="20"/>
        </w:rPr>
        <w:t xml:space="preserve"> </w:t>
      </w:r>
      <w:r w:rsidR="009C2E74" w:rsidRPr="007F7B3B">
        <w:rPr>
          <w:sz w:val="20"/>
          <w:szCs w:val="20"/>
        </w:rPr>
        <w:t xml:space="preserve">UN Charter, Art. 2(1). </w:t>
      </w:r>
      <w:r w:rsidR="009C2E74" w:rsidRPr="007F7B3B">
        <w:rPr>
          <w:i/>
          <w:iCs/>
          <w:sz w:val="20"/>
          <w:szCs w:val="20"/>
        </w:rPr>
        <w:t>See also</w:t>
      </w:r>
      <w:r w:rsidR="009C2E74" w:rsidRPr="007F7B3B">
        <w:rPr>
          <w:sz w:val="20"/>
          <w:szCs w:val="20"/>
        </w:rPr>
        <w:t xml:space="preserve"> The Advocates for Human Rights, </w:t>
      </w:r>
      <w:r w:rsidR="009C2E74" w:rsidRPr="007F7B3B">
        <w:rPr>
          <w:i/>
          <w:iCs/>
          <w:sz w:val="20"/>
          <w:szCs w:val="20"/>
        </w:rPr>
        <w:t>Moratorium Resolution: The amendment confounds the relationship between human rights and sovereignty</w:t>
      </w:r>
      <w:r w:rsidR="009C2E74" w:rsidRPr="007F7B3B">
        <w:rPr>
          <w:sz w:val="20"/>
          <w:szCs w:val="20"/>
        </w:rPr>
        <w:t xml:space="preserve">, Nov. 11, 2022, </w:t>
      </w:r>
      <w:r w:rsidR="000717EF" w:rsidRPr="007F7B3B">
        <w:rPr>
          <w:sz w:val="20"/>
          <w:szCs w:val="20"/>
        </w:rPr>
        <w:t>https://www.theadvocatesforhumanrights.org/Res/Responses%20to%20the%20sovereignty%20amendment.pdf.</w:t>
      </w:r>
    </w:p>
  </w:footnote>
  <w:footnote w:id="51">
    <w:p w14:paraId="0FCC5F18" w14:textId="35137F6C" w:rsidR="0005220F" w:rsidRPr="007F7B3B" w:rsidRDefault="0005220F">
      <w:pPr>
        <w:pStyle w:val="FootnoteText"/>
        <w:rPr>
          <w:sz w:val="20"/>
          <w:szCs w:val="20"/>
        </w:rPr>
      </w:pPr>
      <w:r w:rsidRPr="007F7B3B">
        <w:rPr>
          <w:rStyle w:val="FootnoteReference"/>
          <w:sz w:val="20"/>
          <w:szCs w:val="20"/>
        </w:rPr>
        <w:footnoteRef/>
      </w:r>
      <w:r w:rsidRPr="007F7B3B">
        <w:rPr>
          <w:sz w:val="20"/>
          <w:szCs w:val="20"/>
        </w:rPr>
        <w:t xml:space="preserve"> UN Charter, Art. 1(3), Art. 55(3), Art. 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10B9A" w14:textId="77777777" w:rsidR="004A48E5" w:rsidRDefault="004A48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48F8375B" w:rsidR="00804604" w:rsidRDefault="00804604" w:rsidP="00C26130">
    <w:pPr>
      <w:pStyle w:val="Header"/>
      <w:tabs>
        <w:tab w:val="left" w:pos="270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7BD3EA57" w:rsidR="00804604" w:rsidRDefault="00334D0A">
    <w:pPr>
      <w:pStyle w:val="Header"/>
    </w:pPr>
    <w:r>
      <w:rPr>
        <w:noProof/>
      </w:rPr>
      <w:drawing>
        <wp:anchor distT="0" distB="0" distL="114300" distR="114300" simplePos="0" relativeHeight="251658243" behindDoc="1" locked="0" layoutInCell="1" allowOverlap="1" wp14:anchorId="0D691956" wp14:editId="297A1162">
          <wp:simplePos x="0" y="0"/>
          <wp:positionH relativeFrom="column">
            <wp:posOffset>4157345</wp:posOffset>
          </wp:positionH>
          <wp:positionV relativeFrom="paragraph">
            <wp:posOffset>-46355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0" layoutInCell="1" allowOverlap="1" wp14:anchorId="1D9027C6" wp14:editId="64322470">
          <wp:simplePos x="0" y="0"/>
          <wp:positionH relativeFrom="margin">
            <wp:posOffset>1821815</wp:posOffset>
          </wp:positionH>
          <wp:positionV relativeFrom="paragraph">
            <wp:posOffset>-47625</wp:posOffset>
          </wp:positionV>
          <wp:extent cx="2159984" cy="72009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
                    <a:extLst>
                      <a:ext uri="{28A0092B-C50C-407E-A947-70E740481C1C}">
                        <a14:useLocalDpi xmlns:a14="http://schemas.microsoft.com/office/drawing/2010/main" val="0"/>
                      </a:ext>
                    </a:extLst>
                  </a:blip>
                  <a:stretch>
                    <a:fillRect/>
                  </a:stretch>
                </pic:blipFill>
                <pic:spPr>
                  <a:xfrm>
                    <a:off x="0" y="0"/>
                    <a:ext cx="2159984" cy="720090"/>
                  </a:xfrm>
                  <a:prstGeom prst="rect">
                    <a:avLst/>
                  </a:prstGeom>
                </pic:spPr>
              </pic:pic>
            </a:graphicData>
          </a:graphic>
        </wp:anchor>
      </w:drawing>
    </w:r>
    <w:r w:rsidR="00237523">
      <w:rPr>
        <w:noProof/>
      </w:rPr>
      <w:drawing>
        <wp:anchor distT="0" distB="0" distL="114300" distR="114300" simplePos="0" relativeHeight="251658241" behindDoc="0" locked="0" layoutInCell="1" allowOverlap="1" wp14:anchorId="09100907" wp14:editId="15046531">
          <wp:simplePos x="0" y="0"/>
          <wp:positionH relativeFrom="margin">
            <wp:posOffset>-266700</wp:posOffset>
          </wp:positionH>
          <wp:positionV relativeFrom="paragraph">
            <wp:posOffset>-117475</wp:posOffset>
          </wp:positionV>
          <wp:extent cx="1562100" cy="8280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
                    <a:extLst>
                      <a:ext uri="{28A0092B-C50C-407E-A947-70E740481C1C}">
                        <a14:useLocalDpi xmlns:a14="http://schemas.microsoft.com/office/drawing/2010/main" val="0"/>
                      </a:ext>
                    </a:extLst>
                  </a:blip>
                  <a:stretch>
                    <a:fillRect/>
                  </a:stretch>
                </pic:blipFill>
                <pic:spPr>
                  <a:xfrm>
                    <a:off x="0" y="0"/>
                    <a:ext cx="1562100" cy="828040"/>
                  </a:xfrm>
                  <a:prstGeom prst="rect">
                    <a:avLst/>
                  </a:prstGeom>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LOKXXXnn8FfYIs" int2:id="BC5Qi4Ik">
      <int2:state int2:value="Rejected" int2:type="AugLoop_Text_Critique"/>
    </int2:textHash>
    <int2:textHash int2:hashCode="jn4tyCLonBTwL7" int2:id="esEmNP4j">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E514B3DC"/>
    <w:lvl w:ilvl="0" w:tplc="A4C2259E">
      <w:start w:val="1"/>
      <w:numFmt w:val="decimal"/>
      <w:lvlText w:val="%1."/>
      <w:lvlJc w:val="left"/>
      <w:pPr>
        <w:ind w:left="720" w:hanging="360"/>
      </w:pPr>
      <w:rPr>
        <w:rFonts w:hint="default"/>
        <w:b w:val="0"/>
        <w:sz w:val="24"/>
        <w:szCs w:val="24"/>
        <w:vertAlign w:val="baseline"/>
      </w:rPr>
    </w:lvl>
    <w:lvl w:ilvl="1" w:tplc="04090001">
      <w:start w:val="1"/>
      <w:numFmt w:val="bullet"/>
      <w:lvlText w:val=""/>
      <w:lvlJc w:val="left"/>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5ECFF"/>
    <w:multiLevelType w:val="hybridMultilevel"/>
    <w:tmpl w:val="BEB8454A"/>
    <w:lvl w:ilvl="0" w:tplc="A516DD70">
      <w:start w:val="5"/>
      <w:numFmt w:val="decimal"/>
      <w:lvlText w:val="%1."/>
      <w:lvlJc w:val="left"/>
      <w:pPr>
        <w:ind w:left="720" w:hanging="360"/>
      </w:pPr>
    </w:lvl>
    <w:lvl w:ilvl="1" w:tplc="AC724246">
      <w:start w:val="1"/>
      <w:numFmt w:val="lowerLetter"/>
      <w:lvlText w:val="%2."/>
      <w:lvlJc w:val="left"/>
      <w:pPr>
        <w:ind w:left="1440" w:hanging="360"/>
      </w:pPr>
    </w:lvl>
    <w:lvl w:ilvl="2" w:tplc="0DACF986">
      <w:start w:val="1"/>
      <w:numFmt w:val="lowerRoman"/>
      <w:lvlText w:val="%3."/>
      <w:lvlJc w:val="right"/>
      <w:pPr>
        <w:ind w:left="2160" w:hanging="180"/>
      </w:pPr>
    </w:lvl>
    <w:lvl w:ilvl="3" w:tplc="3B626DCC">
      <w:start w:val="1"/>
      <w:numFmt w:val="decimal"/>
      <w:lvlText w:val="%4."/>
      <w:lvlJc w:val="left"/>
      <w:pPr>
        <w:ind w:left="2880" w:hanging="360"/>
      </w:pPr>
    </w:lvl>
    <w:lvl w:ilvl="4" w:tplc="83D64D14">
      <w:start w:val="1"/>
      <w:numFmt w:val="lowerLetter"/>
      <w:lvlText w:val="%5."/>
      <w:lvlJc w:val="left"/>
      <w:pPr>
        <w:ind w:left="3600" w:hanging="360"/>
      </w:pPr>
    </w:lvl>
    <w:lvl w:ilvl="5" w:tplc="5FFCC5BC">
      <w:start w:val="1"/>
      <w:numFmt w:val="lowerRoman"/>
      <w:lvlText w:val="%6."/>
      <w:lvlJc w:val="right"/>
      <w:pPr>
        <w:ind w:left="4320" w:hanging="180"/>
      </w:pPr>
    </w:lvl>
    <w:lvl w:ilvl="6" w:tplc="43C0A8B2">
      <w:start w:val="1"/>
      <w:numFmt w:val="decimal"/>
      <w:lvlText w:val="%7."/>
      <w:lvlJc w:val="left"/>
      <w:pPr>
        <w:ind w:left="5040" w:hanging="360"/>
      </w:pPr>
    </w:lvl>
    <w:lvl w:ilvl="7" w:tplc="599C1C52">
      <w:start w:val="1"/>
      <w:numFmt w:val="lowerLetter"/>
      <w:lvlText w:val="%8."/>
      <w:lvlJc w:val="left"/>
      <w:pPr>
        <w:ind w:left="5760" w:hanging="360"/>
      </w:pPr>
    </w:lvl>
    <w:lvl w:ilvl="8" w:tplc="D044406C">
      <w:start w:val="1"/>
      <w:numFmt w:val="lowerRoman"/>
      <w:lvlText w:val="%9."/>
      <w:lvlJc w:val="right"/>
      <w:pPr>
        <w:ind w:left="6480" w:hanging="180"/>
      </w:pPr>
    </w:lvl>
  </w:abstractNum>
  <w:abstractNum w:abstractNumId="2" w15:restartNumberingAfterBreak="0">
    <w:nsid w:val="05E19FE7"/>
    <w:multiLevelType w:val="hybridMultilevel"/>
    <w:tmpl w:val="C5F04352"/>
    <w:lvl w:ilvl="0" w:tplc="2806C412">
      <w:start w:val="2"/>
      <w:numFmt w:val="decimal"/>
      <w:lvlText w:val="%1."/>
      <w:lvlJc w:val="left"/>
      <w:pPr>
        <w:ind w:left="720" w:hanging="360"/>
      </w:pPr>
    </w:lvl>
    <w:lvl w:ilvl="1" w:tplc="8AD4519A">
      <w:start w:val="1"/>
      <w:numFmt w:val="lowerLetter"/>
      <w:lvlText w:val="%2."/>
      <w:lvlJc w:val="left"/>
      <w:pPr>
        <w:ind w:left="1440" w:hanging="360"/>
      </w:pPr>
    </w:lvl>
    <w:lvl w:ilvl="2" w:tplc="F022EEFE">
      <w:start w:val="1"/>
      <w:numFmt w:val="lowerRoman"/>
      <w:lvlText w:val="%3."/>
      <w:lvlJc w:val="right"/>
      <w:pPr>
        <w:ind w:left="2160" w:hanging="180"/>
      </w:pPr>
    </w:lvl>
    <w:lvl w:ilvl="3" w:tplc="415A8BFA">
      <w:start w:val="1"/>
      <w:numFmt w:val="decimal"/>
      <w:lvlText w:val="%4."/>
      <w:lvlJc w:val="left"/>
      <w:pPr>
        <w:ind w:left="2880" w:hanging="360"/>
      </w:pPr>
    </w:lvl>
    <w:lvl w:ilvl="4" w:tplc="7FC648E4">
      <w:start w:val="1"/>
      <w:numFmt w:val="lowerLetter"/>
      <w:lvlText w:val="%5."/>
      <w:lvlJc w:val="left"/>
      <w:pPr>
        <w:ind w:left="3600" w:hanging="360"/>
      </w:pPr>
    </w:lvl>
    <w:lvl w:ilvl="5" w:tplc="DD96437A">
      <w:start w:val="1"/>
      <w:numFmt w:val="lowerRoman"/>
      <w:lvlText w:val="%6."/>
      <w:lvlJc w:val="right"/>
      <w:pPr>
        <w:ind w:left="4320" w:hanging="180"/>
      </w:pPr>
    </w:lvl>
    <w:lvl w:ilvl="6" w:tplc="1D940038">
      <w:start w:val="1"/>
      <w:numFmt w:val="decimal"/>
      <w:lvlText w:val="%7."/>
      <w:lvlJc w:val="left"/>
      <w:pPr>
        <w:ind w:left="5040" w:hanging="360"/>
      </w:pPr>
    </w:lvl>
    <w:lvl w:ilvl="7" w:tplc="B7F6CA90">
      <w:start w:val="1"/>
      <w:numFmt w:val="lowerLetter"/>
      <w:lvlText w:val="%8."/>
      <w:lvlJc w:val="left"/>
      <w:pPr>
        <w:ind w:left="5760" w:hanging="360"/>
      </w:pPr>
    </w:lvl>
    <w:lvl w:ilvl="8" w:tplc="AEE05D9E">
      <w:start w:val="1"/>
      <w:numFmt w:val="lowerRoman"/>
      <w:lvlText w:val="%9."/>
      <w:lvlJc w:val="right"/>
      <w:pPr>
        <w:ind w:left="6480" w:hanging="180"/>
      </w:pPr>
    </w:lvl>
  </w:abstractNum>
  <w:abstractNum w:abstractNumId="3" w15:restartNumberingAfterBreak="0">
    <w:nsid w:val="074EBD20"/>
    <w:multiLevelType w:val="hybridMultilevel"/>
    <w:tmpl w:val="6B808A6A"/>
    <w:lvl w:ilvl="0" w:tplc="6E3C65BA">
      <w:start w:val="10"/>
      <w:numFmt w:val="decimal"/>
      <w:lvlText w:val="%1."/>
      <w:lvlJc w:val="left"/>
      <w:pPr>
        <w:ind w:left="720" w:hanging="360"/>
      </w:pPr>
    </w:lvl>
    <w:lvl w:ilvl="1" w:tplc="27B6BAFC">
      <w:start w:val="1"/>
      <w:numFmt w:val="lowerLetter"/>
      <w:lvlText w:val="%2."/>
      <w:lvlJc w:val="left"/>
      <w:pPr>
        <w:ind w:left="1440" w:hanging="360"/>
      </w:pPr>
    </w:lvl>
    <w:lvl w:ilvl="2" w:tplc="0E7AA00E">
      <w:start w:val="1"/>
      <w:numFmt w:val="lowerRoman"/>
      <w:lvlText w:val="%3."/>
      <w:lvlJc w:val="right"/>
      <w:pPr>
        <w:ind w:left="2160" w:hanging="180"/>
      </w:pPr>
    </w:lvl>
    <w:lvl w:ilvl="3" w:tplc="A58A3F56">
      <w:start w:val="1"/>
      <w:numFmt w:val="decimal"/>
      <w:lvlText w:val="%4."/>
      <w:lvlJc w:val="left"/>
      <w:pPr>
        <w:ind w:left="2880" w:hanging="360"/>
      </w:pPr>
    </w:lvl>
    <w:lvl w:ilvl="4" w:tplc="50DA287C">
      <w:start w:val="1"/>
      <w:numFmt w:val="lowerLetter"/>
      <w:lvlText w:val="%5."/>
      <w:lvlJc w:val="left"/>
      <w:pPr>
        <w:ind w:left="3600" w:hanging="360"/>
      </w:pPr>
    </w:lvl>
    <w:lvl w:ilvl="5" w:tplc="8566FA76">
      <w:start w:val="1"/>
      <w:numFmt w:val="lowerRoman"/>
      <w:lvlText w:val="%6."/>
      <w:lvlJc w:val="right"/>
      <w:pPr>
        <w:ind w:left="4320" w:hanging="180"/>
      </w:pPr>
    </w:lvl>
    <w:lvl w:ilvl="6" w:tplc="11D205EC">
      <w:start w:val="1"/>
      <w:numFmt w:val="decimal"/>
      <w:lvlText w:val="%7."/>
      <w:lvlJc w:val="left"/>
      <w:pPr>
        <w:ind w:left="5040" w:hanging="360"/>
      </w:pPr>
    </w:lvl>
    <w:lvl w:ilvl="7" w:tplc="AC4C4A66">
      <w:start w:val="1"/>
      <w:numFmt w:val="lowerLetter"/>
      <w:lvlText w:val="%8."/>
      <w:lvlJc w:val="left"/>
      <w:pPr>
        <w:ind w:left="5760" w:hanging="360"/>
      </w:pPr>
    </w:lvl>
    <w:lvl w:ilvl="8" w:tplc="7DCEB350">
      <w:start w:val="1"/>
      <w:numFmt w:val="lowerRoman"/>
      <w:lvlText w:val="%9."/>
      <w:lvlJc w:val="right"/>
      <w:pPr>
        <w:ind w:left="6480" w:hanging="180"/>
      </w:pPr>
    </w:lvl>
  </w:abstractNum>
  <w:abstractNum w:abstractNumId="4" w15:restartNumberingAfterBreak="0">
    <w:nsid w:val="112BBF65"/>
    <w:multiLevelType w:val="hybridMultilevel"/>
    <w:tmpl w:val="FFBEE4D4"/>
    <w:lvl w:ilvl="0" w:tplc="3DF8AFE8">
      <w:start w:val="1"/>
      <w:numFmt w:val="decimal"/>
      <w:lvlText w:val="%1."/>
      <w:lvlJc w:val="left"/>
      <w:pPr>
        <w:ind w:left="720" w:hanging="360"/>
      </w:pPr>
    </w:lvl>
    <w:lvl w:ilvl="1" w:tplc="07BAA4CC">
      <w:start w:val="1"/>
      <w:numFmt w:val="lowerLetter"/>
      <w:lvlText w:val="%2."/>
      <w:lvlJc w:val="left"/>
      <w:pPr>
        <w:ind w:left="1440" w:hanging="360"/>
      </w:pPr>
    </w:lvl>
    <w:lvl w:ilvl="2" w:tplc="D3C230A2">
      <w:start w:val="1"/>
      <w:numFmt w:val="lowerRoman"/>
      <w:lvlText w:val="%3."/>
      <w:lvlJc w:val="right"/>
      <w:pPr>
        <w:ind w:left="2160" w:hanging="180"/>
      </w:pPr>
    </w:lvl>
    <w:lvl w:ilvl="3" w:tplc="2DB4C558">
      <w:start w:val="1"/>
      <w:numFmt w:val="decimal"/>
      <w:lvlText w:val="%4."/>
      <w:lvlJc w:val="left"/>
      <w:pPr>
        <w:ind w:left="2880" w:hanging="360"/>
      </w:pPr>
    </w:lvl>
    <w:lvl w:ilvl="4" w:tplc="35F4618E">
      <w:start w:val="1"/>
      <w:numFmt w:val="lowerLetter"/>
      <w:lvlText w:val="%5."/>
      <w:lvlJc w:val="left"/>
      <w:pPr>
        <w:ind w:left="3600" w:hanging="360"/>
      </w:pPr>
    </w:lvl>
    <w:lvl w:ilvl="5" w:tplc="DBC23D5C">
      <w:start w:val="1"/>
      <w:numFmt w:val="lowerRoman"/>
      <w:lvlText w:val="%6."/>
      <w:lvlJc w:val="right"/>
      <w:pPr>
        <w:ind w:left="4320" w:hanging="180"/>
      </w:pPr>
    </w:lvl>
    <w:lvl w:ilvl="6" w:tplc="404E77D8">
      <w:start w:val="1"/>
      <w:numFmt w:val="decimal"/>
      <w:lvlText w:val="%7."/>
      <w:lvlJc w:val="left"/>
      <w:pPr>
        <w:ind w:left="5040" w:hanging="360"/>
      </w:pPr>
    </w:lvl>
    <w:lvl w:ilvl="7" w:tplc="FDBC9E1A">
      <w:start w:val="1"/>
      <w:numFmt w:val="lowerLetter"/>
      <w:lvlText w:val="%8."/>
      <w:lvlJc w:val="left"/>
      <w:pPr>
        <w:ind w:left="5760" w:hanging="360"/>
      </w:pPr>
    </w:lvl>
    <w:lvl w:ilvl="8" w:tplc="E8CEABE2">
      <w:start w:val="1"/>
      <w:numFmt w:val="lowerRoman"/>
      <w:lvlText w:val="%9."/>
      <w:lvlJc w:val="right"/>
      <w:pPr>
        <w:ind w:left="6480" w:hanging="180"/>
      </w:pPr>
    </w:lvl>
  </w:abstractNum>
  <w:abstractNum w:abstractNumId="5"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8" w15:restartNumberingAfterBreak="0">
    <w:nsid w:val="1D5153BE"/>
    <w:multiLevelType w:val="hybridMultilevel"/>
    <w:tmpl w:val="275AFEB0"/>
    <w:lvl w:ilvl="0" w:tplc="59543CC8">
      <w:start w:val="1"/>
      <w:numFmt w:val="decimal"/>
      <w:lvlText w:val="%1."/>
      <w:lvlJc w:val="left"/>
      <w:pPr>
        <w:ind w:left="720" w:hanging="360"/>
      </w:pPr>
      <w:rPr>
        <w:b w:val="0"/>
        <w:bCs w:val="0"/>
        <w:sz w:val="24"/>
        <w:szCs w:val="24"/>
        <w:vertAlign w:val="baseline"/>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FF5A88"/>
    <w:multiLevelType w:val="hybridMultilevel"/>
    <w:tmpl w:val="D804A88E"/>
    <w:lvl w:ilvl="0" w:tplc="C3F88DCC">
      <w:start w:val="14"/>
      <w:numFmt w:val="decimal"/>
      <w:lvlText w:val="%1."/>
      <w:lvlJc w:val="left"/>
      <w:pPr>
        <w:ind w:left="720" w:hanging="360"/>
      </w:pPr>
    </w:lvl>
    <w:lvl w:ilvl="1" w:tplc="503A34B8">
      <w:start w:val="1"/>
      <w:numFmt w:val="lowerLetter"/>
      <w:lvlText w:val="%2."/>
      <w:lvlJc w:val="left"/>
      <w:pPr>
        <w:ind w:left="1440" w:hanging="360"/>
      </w:pPr>
    </w:lvl>
    <w:lvl w:ilvl="2" w:tplc="C1044468">
      <w:start w:val="1"/>
      <w:numFmt w:val="lowerRoman"/>
      <w:lvlText w:val="%3."/>
      <w:lvlJc w:val="right"/>
      <w:pPr>
        <w:ind w:left="2160" w:hanging="180"/>
      </w:pPr>
    </w:lvl>
    <w:lvl w:ilvl="3" w:tplc="D0C81332">
      <w:start w:val="1"/>
      <w:numFmt w:val="decimal"/>
      <w:lvlText w:val="%4."/>
      <w:lvlJc w:val="left"/>
      <w:pPr>
        <w:ind w:left="2880" w:hanging="360"/>
      </w:pPr>
    </w:lvl>
    <w:lvl w:ilvl="4" w:tplc="B0E272FC">
      <w:start w:val="1"/>
      <w:numFmt w:val="lowerLetter"/>
      <w:lvlText w:val="%5."/>
      <w:lvlJc w:val="left"/>
      <w:pPr>
        <w:ind w:left="3600" w:hanging="360"/>
      </w:pPr>
    </w:lvl>
    <w:lvl w:ilvl="5" w:tplc="C6BCBB6E">
      <w:start w:val="1"/>
      <w:numFmt w:val="lowerRoman"/>
      <w:lvlText w:val="%6."/>
      <w:lvlJc w:val="right"/>
      <w:pPr>
        <w:ind w:left="4320" w:hanging="180"/>
      </w:pPr>
    </w:lvl>
    <w:lvl w:ilvl="6" w:tplc="F9C6E570">
      <w:start w:val="1"/>
      <w:numFmt w:val="decimal"/>
      <w:lvlText w:val="%7."/>
      <w:lvlJc w:val="left"/>
      <w:pPr>
        <w:ind w:left="5040" w:hanging="360"/>
      </w:pPr>
    </w:lvl>
    <w:lvl w:ilvl="7" w:tplc="8E560904">
      <w:start w:val="1"/>
      <w:numFmt w:val="lowerLetter"/>
      <w:lvlText w:val="%8."/>
      <w:lvlJc w:val="left"/>
      <w:pPr>
        <w:ind w:left="5760" w:hanging="360"/>
      </w:pPr>
    </w:lvl>
    <w:lvl w:ilvl="8" w:tplc="42A07EC8">
      <w:start w:val="1"/>
      <w:numFmt w:val="lowerRoman"/>
      <w:lvlText w:val="%9."/>
      <w:lvlJc w:val="right"/>
      <w:pPr>
        <w:ind w:left="6480" w:hanging="180"/>
      </w:pPr>
    </w:lvl>
  </w:abstractNum>
  <w:abstractNum w:abstractNumId="10" w15:restartNumberingAfterBreak="0">
    <w:nsid w:val="21656EAE"/>
    <w:multiLevelType w:val="hybridMultilevel"/>
    <w:tmpl w:val="7354F0FE"/>
    <w:lvl w:ilvl="0" w:tplc="E8AEE36E">
      <w:start w:val="1"/>
      <w:numFmt w:val="decimal"/>
      <w:lvlText w:val="%1."/>
      <w:lvlJc w:val="left"/>
      <w:pPr>
        <w:ind w:left="720" w:hanging="360"/>
      </w:pPr>
    </w:lvl>
    <w:lvl w:ilvl="1" w:tplc="741E119C">
      <w:start w:val="1"/>
      <w:numFmt w:val="lowerLetter"/>
      <w:lvlText w:val="%2."/>
      <w:lvlJc w:val="left"/>
      <w:pPr>
        <w:ind w:left="1440" w:hanging="360"/>
      </w:pPr>
    </w:lvl>
    <w:lvl w:ilvl="2" w:tplc="0CDC960A">
      <w:start w:val="1"/>
      <w:numFmt w:val="lowerRoman"/>
      <w:lvlText w:val="%3."/>
      <w:lvlJc w:val="right"/>
      <w:pPr>
        <w:ind w:left="2160" w:hanging="180"/>
      </w:pPr>
    </w:lvl>
    <w:lvl w:ilvl="3" w:tplc="82DA5500">
      <w:start w:val="1"/>
      <w:numFmt w:val="decimal"/>
      <w:lvlText w:val="%4."/>
      <w:lvlJc w:val="left"/>
      <w:pPr>
        <w:ind w:left="2880" w:hanging="360"/>
      </w:pPr>
    </w:lvl>
    <w:lvl w:ilvl="4" w:tplc="79B0F9C8">
      <w:start w:val="1"/>
      <w:numFmt w:val="lowerLetter"/>
      <w:lvlText w:val="%5."/>
      <w:lvlJc w:val="left"/>
      <w:pPr>
        <w:ind w:left="3600" w:hanging="360"/>
      </w:pPr>
    </w:lvl>
    <w:lvl w:ilvl="5" w:tplc="233C2552">
      <w:start w:val="1"/>
      <w:numFmt w:val="lowerRoman"/>
      <w:lvlText w:val="%6."/>
      <w:lvlJc w:val="right"/>
      <w:pPr>
        <w:ind w:left="4320" w:hanging="180"/>
      </w:pPr>
    </w:lvl>
    <w:lvl w:ilvl="6" w:tplc="32C2A388">
      <w:start w:val="1"/>
      <w:numFmt w:val="decimal"/>
      <w:lvlText w:val="%7."/>
      <w:lvlJc w:val="left"/>
      <w:pPr>
        <w:ind w:left="5040" w:hanging="360"/>
      </w:pPr>
    </w:lvl>
    <w:lvl w:ilvl="7" w:tplc="099617E6">
      <w:start w:val="1"/>
      <w:numFmt w:val="lowerLetter"/>
      <w:lvlText w:val="%8."/>
      <w:lvlJc w:val="left"/>
      <w:pPr>
        <w:ind w:left="5760" w:hanging="360"/>
      </w:pPr>
    </w:lvl>
    <w:lvl w:ilvl="8" w:tplc="4164F51A">
      <w:start w:val="1"/>
      <w:numFmt w:val="lowerRoman"/>
      <w:lvlText w:val="%9."/>
      <w:lvlJc w:val="right"/>
      <w:pPr>
        <w:ind w:left="6480" w:hanging="180"/>
      </w:pPr>
    </w:lvl>
  </w:abstractNum>
  <w:abstractNum w:abstractNumId="11" w15:restartNumberingAfterBreak="0">
    <w:nsid w:val="2627413D"/>
    <w:multiLevelType w:val="hybridMultilevel"/>
    <w:tmpl w:val="ED9ABCE4"/>
    <w:lvl w:ilvl="0" w:tplc="1090A7E4">
      <w:start w:val="8"/>
      <w:numFmt w:val="decimal"/>
      <w:lvlText w:val="%1."/>
      <w:lvlJc w:val="left"/>
      <w:pPr>
        <w:ind w:left="720" w:hanging="360"/>
      </w:pPr>
    </w:lvl>
    <w:lvl w:ilvl="1" w:tplc="542693E6">
      <w:start w:val="1"/>
      <w:numFmt w:val="lowerLetter"/>
      <w:lvlText w:val="%2."/>
      <w:lvlJc w:val="left"/>
      <w:pPr>
        <w:ind w:left="1440" w:hanging="360"/>
      </w:pPr>
    </w:lvl>
    <w:lvl w:ilvl="2" w:tplc="43A45EE2">
      <w:start w:val="1"/>
      <w:numFmt w:val="lowerRoman"/>
      <w:lvlText w:val="%3."/>
      <w:lvlJc w:val="right"/>
      <w:pPr>
        <w:ind w:left="2160" w:hanging="180"/>
      </w:pPr>
    </w:lvl>
    <w:lvl w:ilvl="3" w:tplc="79B232A8">
      <w:start w:val="1"/>
      <w:numFmt w:val="decimal"/>
      <w:lvlText w:val="%4."/>
      <w:lvlJc w:val="left"/>
      <w:pPr>
        <w:ind w:left="2880" w:hanging="360"/>
      </w:pPr>
    </w:lvl>
    <w:lvl w:ilvl="4" w:tplc="D280F750">
      <w:start w:val="1"/>
      <w:numFmt w:val="lowerLetter"/>
      <w:lvlText w:val="%5."/>
      <w:lvlJc w:val="left"/>
      <w:pPr>
        <w:ind w:left="3600" w:hanging="360"/>
      </w:pPr>
    </w:lvl>
    <w:lvl w:ilvl="5" w:tplc="43AED7FA">
      <w:start w:val="1"/>
      <w:numFmt w:val="lowerRoman"/>
      <w:lvlText w:val="%6."/>
      <w:lvlJc w:val="right"/>
      <w:pPr>
        <w:ind w:left="4320" w:hanging="180"/>
      </w:pPr>
    </w:lvl>
    <w:lvl w:ilvl="6" w:tplc="43E87FF4">
      <w:start w:val="1"/>
      <w:numFmt w:val="decimal"/>
      <w:lvlText w:val="%7."/>
      <w:lvlJc w:val="left"/>
      <w:pPr>
        <w:ind w:left="5040" w:hanging="360"/>
      </w:pPr>
    </w:lvl>
    <w:lvl w:ilvl="7" w:tplc="419698AA">
      <w:start w:val="1"/>
      <w:numFmt w:val="lowerLetter"/>
      <w:lvlText w:val="%8."/>
      <w:lvlJc w:val="left"/>
      <w:pPr>
        <w:ind w:left="5760" w:hanging="360"/>
      </w:pPr>
    </w:lvl>
    <w:lvl w:ilvl="8" w:tplc="57B06B34">
      <w:start w:val="1"/>
      <w:numFmt w:val="lowerRoman"/>
      <w:lvlText w:val="%9."/>
      <w:lvlJc w:val="right"/>
      <w:pPr>
        <w:ind w:left="6480" w:hanging="180"/>
      </w:pPr>
    </w:lvl>
  </w:abstractNum>
  <w:abstractNum w:abstractNumId="12"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ABD6D5D"/>
    <w:multiLevelType w:val="hybridMultilevel"/>
    <w:tmpl w:val="A09877EE"/>
    <w:lvl w:ilvl="0" w:tplc="5C2EEBBA">
      <w:start w:val="1"/>
      <w:numFmt w:val="bullet"/>
      <w:lvlText w:val=""/>
      <w:lvlJc w:val="left"/>
      <w:pPr>
        <w:ind w:left="720" w:hanging="360"/>
      </w:pPr>
      <w:rPr>
        <w:rFonts w:ascii="Symbol" w:hAnsi="Symbol" w:hint="default"/>
      </w:rPr>
    </w:lvl>
    <w:lvl w:ilvl="1" w:tplc="E88A91DE">
      <w:start w:val="1"/>
      <w:numFmt w:val="bullet"/>
      <w:lvlText w:val="o"/>
      <w:lvlJc w:val="left"/>
      <w:pPr>
        <w:ind w:left="1440" w:hanging="360"/>
      </w:pPr>
      <w:rPr>
        <w:rFonts w:ascii="Courier New" w:hAnsi="Courier New" w:hint="default"/>
      </w:rPr>
    </w:lvl>
    <w:lvl w:ilvl="2" w:tplc="5EA65B7A">
      <w:start w:val="1"/>
      <w:numFmt w:val="bullet"/>
      <w:lvlText w:val=""/>
      <w:lvlJc w:val="left"/>
      <w:pPr>
        <w:ind w:left="2160" w:hanging="360"/>
      </w:pPr>
      <w:rPr>
        <w:rFonts w:ascii="Wingdings" w:hAnsi="Wingdings" w:hint="default"/>
      </w:rPr>
    </w:lvl>
    <w:lvl w:ilvl="3" w:tplc="F4948534">
      <w:start w:val="1"/>
      <w:numFmt w:val="bullet"/>
      <w:lvlText w:val=""/>
      <w:lvlJc w:val="left"/>
      <w:pPr>
        <w:ind w:left="2880" w:hanging="360"/>
      </w:pPr>
      <w:rPr>
        <w:rFonts w:ascii="Symbol" w:hAnsi="Symbol" w:hint="default"/>
      </w:rPr>
    </w:lvl>
    <w:lvl w:ilvl="4" w:tplc="C526D922">
      <w:start w:val="1"/>
      <w:numFmt w:val="bullet"/>
      <w:lvlText w:val="o"/>
      <w:lvlJc w:val="left"/>
      <w:pPr>
        <w:ind w:left="3600" w:hanging="360"/>
      </w:pPr>
      <w:rPr>
        <w:rFonts w:ascii="Courier New" w:hAnsi="Courier New" w:hint="default"/>
      </w:rPr>
    </w:lvl>
    <w:lvl w:ilvl="5" w:tplc="ABC8C77A">
      <w:start w:val="1"/>
      <w:numFmt w:val="bullet"/>
      <w:lvlText w:val=""/>
      <w:lvlJc w:val="left"/>
      <w:pPr>
        <w:ind w:left="4320" w:hanging="360"/>
      </w:pPr>
      <w:rPr>
        <w:rFonts w:ascii="Wingdings" w:hAnsi="Wingdings" w:hint="default"/>
      </w:rPr>
    </w:lvl>
    <w:lvl w:ilvl="6" w:tplc="3D02E5CA">
      <w:start w:val="1"/>
      <w:numFmt w:val="bullet"/>
      <w:lvlText w:val=""/>
      <w:lvlJc w:val="left"/>
      <w:pPr>
        <w:ind w:left="5040" w:hanging="360"/>
      </w:pPr>
      <w:rPr>
        <w:rFonts w:ascii="Symbol" w:hAnsi="Symbol" w:hint="default"/>
      </w:rPr>
    </w:lvl>
    <w:lvl w:ilvl="7" w:tplc="25F2FBFC">
      <w:start w:val="1"/>
      <w:numFmt w:val="bullet"/>
      <w:lvlText w:val="o"/>
      <w:lvlJc w:val="left"/>
      <w:pPr>
        <w:ind w:left="5760" w:hanging="360"/>
      </w:pPr>
      <w:rPr>
        <w:rFonts w:ascii="Courier New" w:hAnsi="Courier New" w:hint="default"/>
      </w:rPr>
    </w:lvl>
    <w:lvl w:ilvl="8" w:tplc="8CF2C8AE">
      <w:start w:val="1"/>
      <w:numFmt w:val="bullet"/>
      <w:lvlText w:val=""/>
      <w:lvlJc w:val="left"/>
      <w:pPr>
        <w:ind w:left="6480" w:hanging="360"/>
      </w:pPr>
      <w:rPr>
        <w:rFonts w:ascii="Wingdings" w:hAnsi="Wingdings" w:hint="default"/>
      </w:rPr>
    </w:lvl>
  </w:abstractNum>
  <w:abstractNum w:abstractNumId="14"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2D7B1B0"/>
    <w:multiLevelType w:val="hybridMultilevel"/>
    <w:tmpl w:val="E4EEFA32"/>
    <w:lvl w:ilvl="0" w:tplc="D4508892">
      <w:start w:val="1"/>
      <w:numFmt w:val="decimal"/>
      <w:lvlText w:val="%1."/>
      <w:lvlJc w:val="left"/>
      <w:pPr>
        <w:ind w:left="720" w:hanging="360"/>
      </w:pPr>
    </w:lvl>
    <w:lvl w:ilvl="1" w:tplc="AC4C4D64">
      <w:start w:val="1"/>
      <w:numFmt w:val="lowerLetter"/>
      <w:lvlText w:val="%2."/>
      <w:lvlJc w:val="left"/>
      <w:pPr>
        <w:ind w:left="1440" w:hanging="360"/>
      </w:pPr>
    </w:lvl>
    <w:lvl w:ilvl="2" w:tplc="639CD524">
      <w:start w:val="1"/>
      <w:numFmt w:val="lowerRoman"/>
      <w:lvlText w:val="%3."/>
      <w:lvlJc w:val="right"/>
      <w:pPr>
        <w:ind w:left="2160" w:hanging="180"/>
      </w:pPr>
    </w:lvl>
    <w:lvl w:ilvl="3" w:tplc="826E426A">
      <w:start w:val="1"/>
      <w:numFmt w:val="decimal"/>
      <w:lvlText w:val="%4."/>
      <w:lvlJc w:val="left"/>
      <w:pPr>
        <w:ind w:left="2880" w:hanging="360"/>
      </w:pPr>
    </w:lvl>
    <w:lvl w:ilvl="4" w:tplc="28FE15F4">
      <w:start w:val="1"/>
      <w:numFmt w:val="lowerLetter"/>
      <w:lvlText w:val="%5."/>
      <w:lvlJc w:val="left"/>
      <w:pPr>
        <w:ind w:left="3600" w:hanging="360"/>
      </w:pPr>
    </w:lvl>
    <w:lvl w:ilvl="5" w:tplc="ACDC1C3E">
      <w:start w:val="1"/>
      <w:numFmt w:val="lowerRoman"/>
      <w:lvlText w:val="%6."/>
      <w:lvlJc w:val="right"/>
      <w:pPr>
        <w:ind w:left="4320" w:hanging="180"/>
      </w:pPr>
    </w:lvl>
    <w:lvl w:ilvl="6" w:tplc="E91089EC">
      <w:start w:val="1"/>
      <w:numFmt w:val="decimal"/>
      <w:lvlText w:val="%7."/>
      <w:lvlJc w:val="left"/>
      <w:pPr>
        <w:ind w:left="5040" w:hanging="360"/>
      </w:pPr>
    </w:lvl>
    <w:lvl w:ilvl="7" w:tplc="A90EF7DE">
      <w:start w:val="1"/>
      <w:numFmt w:val="lowerLetter"/>
      <w:lvlText w:val="%8."/>
      <w:lvlJc w:val="left"/>
      <w:pPr>
        <w:ind w:left="5760" w:hanging="360"/>
      </w:pPr>
    </w:lvl>
    <w:lvl w:ilvl="8" w:tplc="AE382ED6">
      <w:start w:val="1"/>
      <w:numFmt w:val="lowerRoman"/>
      <w:lvlText w:val="%9."/>
      <w:lvlJc w:val="right"/>
      <w:pPr>
        <w:ind w:left="6480" w:hanging="180"/>
      </w:pPr>
    </w:lvl>
  </w:abstractNum>
  <w:abstractNum w:abstractNumId="1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692636"/>
    <w:multiLevelType w:val="hybridMultilevel"/>
    <w:tmpl w:val="3162FD3C"/>
    <w:lvl w:ilvl="0" w:tplc="7162334C">
      <w:start w:val="2"/>
      <w:numFmt w:val="decimal"/>
      <w:lvlText w:val="%1."/>
      <w:lvlJc w:val="left"/>
      <w:pPr>
        <w:ind w:left="720" w:hanging="360"/>
      </w:pPr>
    </w:lvl>
    <w:lvl w:ilvl="1" w:tplc="46D01A92">
      <w:start w:val="1"/>
      <w:numFmt w:val="lowerLetter"/>
      <w:lvlText w:val="%2."/>
      <w:lvlJc w:val="left"/>
      <w:pPr>
        <w:ind w:left="1440" w:hanging="360"/>
      </w:pPr>
    </w:lvl>
    <w:lvl w:ilvl="2" w:tplc="B8FAE07C">
      <w:start w:val="1"/>
      <w:numFmt w:val="lowerRoman"/>
      <w:lvlText w:val="%3."/>
      <w:lvlJc w:val="right"/>
      <w:pPr>
        <w:ind w:left="2160" w:hanging="180"/>
      </w:pPr>
    </w:lvl>
    <w:lvl w:ilvl="3" w:tplc="9738B040">
      <w:start w:val="1"/>
      <w:numFmt w:val="decimal"/>
      <w:lvlText w:val="%4."/>
      <w:lvlJc w:val="left"/>
      <w:pPr>
        <w:ind w:left="2880" w:hanging="360"/>
      </w:pPr>
    </w:lvl>
    <w:lvl w:ilvl="4" w:tplc="2E42F6E8">
      <w:start w:val="1"/>
      <w:numFmt w:val="lowerLetter"/>
      <w:lvlText w:val="%5."/>
      <w:lvlJc w:val="left"/>
      <w:pPr>
        <w:ind w:left="3600" w:hanging="360"/>
      </w:pPr>
    </w:lvl>
    <w:lvl w:ilvl="5" w:tplc="BA943F4C">
      <w:start w:val="1"/>
      <w:numFmt w:val="lowerRoman"/>
      <w:lvlText w:val="%6."/>
      <w:lvlJc w:val="right"/>
      <w:pPr>
        <w:ind w:left="4320" w:hanging="180"/>
      </w:pPr>
    </w:lvl>
    <w:lvl w:ilvl="6" w:tplc="93CA2C6A">
      <w:start w:val="1"/>
      <w:numFmt w:val="decimal"/>
      <w:lvlText w:val="%7."/>
      <w:lvlJc w:val="left"/>
      <w:pPr>
        <w:ind w:left="5040" w:hanging="360"/>
      </w:pPr>
    </w:lvl>
    <w:lvl w:ilvl="7" w:tplc="39C82B54">
      <w:start w:val="1"/>
      <w:numFmt w:val="lowerLetter"/>
      <w:lvlText w:val="%8."/>
      <w:lvlJc w:val="left"/>
      <w:pPr>
        <w:ind w:left="5760" w:hanging="360"/>
      </w:pPr>
    </w:lvl>
    <w:lvl w:ilvl="8" w:tplc="990A841C">
      <w:start w:val="1"/>
      <w:numFmt w:val="lowerRoman"/>
      <w:lvlText w:val="%9."/>
      <w:lvlJc w:val="right"/>
      <w:pPr>
        <w:ind w:left="6480" w:hanging="180"/>
      </w:pPr>
    </w:lvl>
  </w:abstractNum>
  <w:abstractNum w:abstractNumId="18" w15:restartNumberingAfterBreak="0">
    <w:nsid w:val="4164F96D"/>
    <w:multiLevelType w:val="hybridMultilevel"/>
    <w:tmpl w:val="064ABCC8"/>
    <w:lvl w:ilvl="0" w:tplc="BE5C3FCA">
      <w:start w:val="9"/>
      <w:numFmt w:val="decimal"/>
      <w:lvlText w:val="%1."/>
      <w:lvlJc w:val="left"/>
      <w:pPr>
        <w:ind w:left="720" w:hanging="360"/>
      </w:pPr>
    </w:lvl>
    <w:lvl w:ilvl="1" w:tplc="A9A0D478">
      <w:start w:val="1"/>
      <w:numFmt w:val="lowerLetter"/>
      <w:lvlText w:val="%2."/>
      <w:lvlJc w:val="left"/>
      <w:pPr>
        <w:ind w:left="1440" w:hanging="360"/>
      </w:pPr>
    </w:lvl>
    <w:lvl w:ilvl="2" w:tplc="87901F60">
      <w:start w:val="1"/>
      <w:numFmt w:val="lowerRoman"/>
      <w:lvlText w:val="%3."/>
      <w:lvlJc w:val="right"/>
      <w:pPr>
        <w:ind w:left="2160" w:hanging="180"/>
      </w:pPr>
    </w:lvl>
    <w:lvl w:ilvl="3" w:tplc="01E2A21A">
      <w:start w:val="1"/>
      <w:numFmt w:val="decimal"/>
      <w:lvlText w:val="%4."/>
      <w:lvlJc w:val="left"/>
      <w:pPr>
        <w:ind w:left="2880" w:hanging="360"/>
      </w:pPr>
    </w:lvl>
    <w:lvl w:ilvl="4" w:tplc="4100FC32">
      <w:start w:val="1"/>
      <w:numFmt w:val="lowerLetter"/>
      <w:lvlText w:val="%5."/>
      <w:lvlJc w:val="left"/>
      <w:pPr>
        <w:ind w:left="3600" w:hanging="360"/>
      </w:pPr>
    </w:lvl>
    <w:lvl w:ilvl="5" w:tplc="CBEA51C0">
      <w:start w:val="1"/>
      <w:numFmt w:val="lowerRoman"/>
      <w:lvlText w:val="%6."/>
      <w:lvlJc w:val="right"/>
      <w:pPr>
        <w:ind w:left="4320" w:hanging="180"/>
      </w:pPr>
    </w:lvl>
    <w:lvl w:ilvl="6" w:tplc="9868739C">
      <w:start w:val="1"/>
      <w:numFmt w:val="decimal"/>
      <w:lvlText w:val="%7."/>
      <w:lvlJc w:val="left"/>
      <w:pPr>
        <w:ind w:left="5040" w:hanging="360"/>
      </w:pPr>
    </w:lvl>
    <w:lvl w:ilvl="7" w:tplc="8B1C2B16">
      <w:start w:val="1"/>
      <w:numFmt w:val="lowerLetter"/>
      <w:lvlText w:val="%8."/>
      <w:lvlJc w:val="left"/>
      <w:pPr>
        <w:ind w:left="5760" w:hanging="360"/>
      </w:pPr>
    </w:lvl>
    <w:lvl w:ilvl="8" w:tplc="48566EA8">
      <w:start w:val="1"/>
      <w:numFmt w:val="lowerRoman"/>
      <w:lvlText w:val="%9."/>
      <w:lvlJc w:val="right"/>
      <w:pPr>
        <w:ind w:left="6480" w:hanging="180"/>
      </w:pPr>
    </w:lvl>
  </w:abstractNum>
  <w:abstractNum w:abstractNumId="19" w15:restartNumberingAfterBreak="0">
    <w:nsid w:val="41E956D7"/>
    <w:multiLevelType w:val="hybridMultilevel"/>
    <w:tmpl w:val="B704A22C"/>
    <w:lvl w:ilvl="0" w:tplc="021C2FB8">
      <w:start w:val="2"/>
      <w:numFmt w:val="decimal"/>
      <w:lvlText w:val="%1."/>
      <w:lvlJc w:val="left"/>
      <w:pPr>
        <w:ind w:left="720" w:hanging="360"/>
      </w:pPr>
    </w:lvl>
    <w:lvl w:ilvl="1" w:tplc="FBE082FC">
      <w:start w:val="1"/>
      <w:numFmt w:val="lowerLetter"/>
      <w:lvlText w:val="%2."/>
      <w:lvlJc w:val="left"/>
      <w:pPr>
        <w:ind w:left="1440" w:hanging="360"/>
      </w:pPr>
    </w:lvl>
    <w:lvl w:ilvl="2" w:tplc="752C7956">
      <w:start w:val="1"/>
      <w:numFmt w:val="lowerRoman"/>
      <w:lvlText w:val="%3."/>
      <w:lvlJc w:val="right"/>
      <w:pPr>
        <w:ind w:left="2160" w:hanging="180"/>
      </w:pPr>
    </w:lvl>
    <w:lvl w:ilvl="3" w:tplc="33E8CB0A">
      <w:start w:val="1"/>
      <w:numFmt w:val="decimal"/>
      <w:lvlText w:val="%4."/>
      <w:lvlJc w:val="left"/>
      <w:pPr>
        <w:ind w:left="2880" w:hanging="360"/>
      </w:pPr>
    </w:lvl>
    <w:lvl w:ilvl="4" w:tplc="B78056AA">
      <w:start w:val="1"/>
      <w:numFmt w:val="lowerLetter"/>
      <w:lvlText w:val="%5."/>
      <w:lvlJc w:val="left"/>
      <w:pPr>
        <w:ind w:left="3600" w:hanging="360"/>
      </w:pPr>
    </w:lvl>
    <w:lvl w:ilvl="5" w:tplc="2D6AB5D8">
      <w:start w:val="1"/>
      <w:numFmt w:val="lowerRoman"/>
      <w:lvlText w:val="%6."/>
      <w:lvlJc w:val="right"/>
      <w:pPr>
        <w:ind w:left="4320" w:hanging="180"/>
      </w:pPr>
    </w:lvl>
    <w:lvl w:ilvl="6" w:tplc="AA68FFE6">
      <w:start w:val="1"/>
      <w:numFmt w:val="decimal"/>
      <w:lvlText w:val="%7."/>
      <w:lvlJc w:val="left"/>
      <w:pPr>
        <w:ind w:left="5040" w:hanging="360"/>
      </w:pPr>
    </w:lvl>
    <w:lvl w:ilvl="7" w:tplc="ADDAF132">
      <w:start w:val="1"/>
      <w:numFmt w:val="lowerLetter"/>
      <w:lvlText w:val="%8."/>
      <w:lvlJc w:val="left"/>
      <w:pPr>
        <w:ind w:left="5760" w:hanging="360"/>
      </w:pPr>
    </w:lvl>
    <w:lvl w:ilvl="8" w:tplc="B2CCE47E">
      <w:start w:val="1"/>
      <w:numFmt w:val="lowerRoman"/>
      <w:lvlText w:val="%9."/>
      <w:lvlJc w:val="right"/>
      <w:pPr>
        <w:ind w:left="6480" w:hanging="180"/>
      </w:pPr>
    </w:lvl>
  </w:abstractNum>
  <w:abstractNum w:abstractNumId="20" w15:restartNumberingAfterBreak="0">
    <w:nsid w:val="42F8CA79"/>
    <w:multiLevelType w:val="hybridMultilevel"/>
    <w:tmpl w:val="F75635EC"/>
    <w:lvl w:ilvl="0" w:tplc="F5AA1F92">
      <w:start w:val="1"/>
      <w:numFmt w:val="decimal"/>
      <w:lvlText w:val="%1."/>
      <w:lvlJc w:val="left"/>
      <w:pPr>
        <w:ind w:left="720" w:hanging="360"/>
      </w:pPr>
    </w:lvl>
    <w:lvl w:ilvl="1" w:tplc="6C8EDF94">
      <w:start w:val="1"/>
      <w:numFmt w:val="lowerLetter"/>
      <w:lvlText w:val="%2."/>
      <w:lvlJc w:val="left"/>
      <w:pPr>
        <w:ind w:left="1440" w:hanging="360"/>
      </w:pPr>
    </w:lvl>
    <w:lvl w:ilvl="2" w:tplc="BA721962">
      <w:start w:val="1"/>
      <w:numFmt w:val="lowerRoman"/>
      <w:lvlText w:val="%3."/>
      <w:lvlJc w:val="right"/>
      <w:pPr>
        <w:ind w:left="2160" w:hanging="180"/>
      </w:pPr>
    </w:lvl>
    <w:lvl w:ilvl="3" w:tplc="397EFE9A">
      <w:start w:val="1"/>
      <w:numFmt w:val="decimal"/>
      <w:lvlText w:val="%4."/>
      <w:lvlJc w:val="left"/>
      <w:pPr>
        <w:ind w:left="2880" w:hanging="360"/>
      </w:pPr>
    </w:lvl>
    <w:lvl w:ilvl="4" w:tplc="E0327BCC">
      <w:start w:val="1"/>
      <w:numFmt w:val="lowerLetter"/>
      <w:lvlText w:val="%5."/>
      <w:lvlJc w:val="left"/>
      <w:pPr>
        <w:ind w:left="3600" w:hanging="360"/>
      </w:pPr>
    </w:lvl>
    <w:lvl w:ilvl="5" w:tplc="E4680110">
      <w:start w:val="1"/>
      <w:numFmt w:val="lowerRoman"/>
      <w:lvlText w:val="%6."/>
      <w:lvlJc w:val="right"/>
      <w:pPr>
        <w:ind w:left="4320" w:hanging="180"/>
      </w:pPr>
    </w:lvl>
    <w:lvl w:ilvl="6" w:tplc="2DDCCB6C">
      <w:start w:val="1"/>
      <w:numFmt w:val="decimal"/>
      <w:lvlText w:val="%7."/>
      <w:lvlJc w:val="left"/>
      <w:pPr>
        <w:ind w:left="5040" w:hanging="360"/>
      </w:pPr>
    </w:lvl>
    <w:lvl w:ilvl="7" w:tplc="715AE32E">
      <w:start w:val="1"/>
      <w:numFmt w:val="lowerLetter"/>
      <w:lvlText w:val="%8."/>
      <w:lvlJc w:val="left"/>
      <w:pPr>
        <w:ind w:left="5760" w:hanging="360"/>
      </w:pPr>
    </w:lvl>
    <w:lvl w:ilvl="8" w:tplc="DFE04CD0">
      <w:start w:val="1"/>
      <w:numFmt w:val="lowerRoman"/>
      <w:lvlText w:val="%9."/>
      <w:lvlJc w:val="right"/>
      <w:pPr>
        <w:ind w:left="6480" w:hanging="180"/>
      </w:pPr>
    </w:lvl>
  </w:abstractNum>
  <w:abstractNum w:abstractNumId="21" w15:restartNumberingAfterBreak="0">
    <w:nsid w:val="4578BA3B"/>
    <w:multiLevelType w:val="hybridMultilevel"/>
    <w:tmpl w:val="C1209924"/>
    <w:lvl w:ilvl="0" w:tplc="672A4312">
      <w:start w:val="1"/>
      <w:numFmt w:val="bullet"/>
      <w:lvlText w:val=""/>
      <w:lvlJc w:val="left"/>
      <w:pPr>
        <w:ind w:left="720" w:hanging="360"/>
      </w:pPr>
      <w:rPr>
        <w:rFonts w:ascii="Symbol" w:hAnsi="Symbol" w:hint="default"/>
      </w:rPr>
    </w:lvl>
    <w:lvl w:ilvl="1" w:tplc="6E38D308">
      <w:start w:val="1"/>
      <w:numFmt w:val="bullet"/>
      <w:lvlText w:val="o"/>
      <w:lvlJc w:val="left"/>
      <w:pPr>
        <w:ind w:left="1440" w:hanging="360"/>
      </w:pPr>
      <w:rPr>
        <w:rFonts w:ascii="Courier New" w:hAnsi="Courier New" w:hint="default"/>
      </w:rPr>
    </w:lvl>
    <w:lvl w:ilvl="2" w:tplc="5B403396">
      <w:start w:val="1"/>
      <w:numFmt w:val="bullet"/>
      <w:lvlText w:val=""/>
      <w:lvlJc w:val="left"/>
      <w:pPr>
        <w:ind w:left="2160" w:hanging="360"/>
      </w:pPr>
      <w:rPr>
        <w:rFonts w:ascii="Wingdings" w:hAnsi="Wingdings" w:hint="default"/>
      </w:rPr>
    </w:lvl>
    <w:lvl w:ilvl="3" w:tplc="64D23C72">
      <w:start w:val="1"/>
      <w:numFmt w:val="bullet"/>
      <w:lvlText w:val=""/>
      <w:lvlJc w:val="left"/>
      <w:pPr>
        <w:ind w:left="2880" w:hanging="360"/>
      </w:pPr>
      <w:rPr>
        <w:rFonts w:ascii="Symbol" w:hAnsi="Symbol" w:hint="default"/>
      </w:rPr>
    </w:lvl>
    <w:lvl w:ilvl="4" w:tplc="2C3A1518">
      <w:start w:val="1"/>
      <w:numFmt w:val="bullet"/>
      <w:lvlText w:val="o"/>
      <w:lvlJc w:val="left"/>
      <w:pPr>
        <w:ind w:left="3600" w:hanging="360"/>
      </w:pPr>
      <w:rPr>
        <w:rFonts w:ascii="Courier New" w:hAnsi="Courier New" w:hint="default"/>
      </w:rPr>
    </w:lvl>
    <w:lvl w:ilvl="5" w:tplc="8CAE7060">
      <w:start w:val="1"/>
      <w:numFmt w:val="bullet"/>
      <w:lvlText w:val=""/>
      <w:lvlJc w:val="left"/>
      <w:pPr>
        <w:ind w:left="4320" w:hanging="360"/>
      </w:pPr>
      <w:rPr>
        <w:rFonts w:ascii="Wingdings" w:hAnsi="Wingdings" w:hint="default"/>
      </w:rPr>
    </w:lvl>
    <w:lvl w:ilvl="6" w:tplc="B05AE01C">
      <w:start w:val="1"/>
      <w:numFmt w:val="bullet"/>
      <w:lvlText w:val=""/>
      <w:lvlJc w:val="left"/>
      <w:pPr>
        <w:ind w:left="5040" w:hanging="360"/>
      </w:pPr>
      <w:rPr>
        <w:rFonts w:ascii="Symbol" w:hAnsi="Symbol" w:hint="default"/>
      </w:rPr>
    </w:lvl>
    <w:lvl w:ilvl="7" w:tplc="573CEE64">
      <w:start w:val="1"/>
      <w:numFmt w:val="bullet"/>
      <w:lvlText w:val="o"/>
      <w:lvlJc w:val="left"/>
      <w:pPr>
        <w:ind w:left="5760" w:hanging="360"/>
      </w:pPr>
      <w:rPr>
        <w:rFonts w:ascii="Courier New" w:hAnsi="Courier New" w:hint="default"/>
      </w:rPr>
    </w:lvl>
    <w:lvl w:ilvl="8" w:tplc="2844152A">
      <w:start w:val="1"/>
      <w:numFmt w:val="bullet"/>
      <w:lvlText w:val=""/>
      <w:lvlJc w:val="left"/>
      <w:pPr>
        <w:ind w:left="6480" w:hanging="360"/>
      </w:pPr>
      <w:rPr>
        <w:rFonts w:ascii="Wingdings" w:hAnsi="Wingdings" w:hint="default"/>
      </w:rPr>
    </w:lvl>
  </w:abstractNum>
  <w:abstractNum w:abstractNumId="22" w15:restartNumberingAfterBreak="0">
    <w:nsid w:val="46BC85D2"/>
    <w:multiLevelType w:val="hybridMultilevel"/>
    <w:tmpl w:val="2EA850E4"/>
    <w:lvl w:ilvl="0" w:tplc="C0761000">
      <w:start w:val="1"/>
      <w:numFmt w:val="bullet"/>
      <w:lvlText w:val=""/>
      <w:lvlJc w:val="left"/>
      <w:pPr>
        <w:ind w:left="720" w:hanging="360"/>
      </w:pPr>
      <w:rPr>
        <w:rFonts w:ascii="Symbol" w:hAnsi="Symbol" w:hint="default"/>
      </w:rPr>
    </w:lvl>
    <w:lvl w:ilvl="1" w:tplc="15469878">
      <w:start w:val="1"/>
      <w:numFmt w:val="bullet"/>
      <w:lvlText w:val="o"/>
      <w:lvlJc w:val="left"/>
      <w:pPr>
        <w:ind w:left="1440" w:hanging="360"/>
      </w:pPr>
      <w:rPr>
        <w:rFonts w:ascii="Courier New" w:hAnsi="Courier New" w:hint="default"/>
      </w:rPr>
    </w:lvl>
    <w:lvl w:ilvl="2" w:tplc="E2A43AE4">
      <w:start w:val="1"/>
      <w:numFmt w:val="bullet"/>
      <w:lvlText w:val=""/>
      <w:lvlJc w:val="left"/>
      <w:pPr>
        <w:ind w:left="2160" w:hanging="360"/>
      </w:pPr>
      <w:rPr>
        <w:rFonts w:ascii="Wingdings" w:hAnsi="Wingdings" w:hint="default"/>
      </w:rPr>
    </w:lvl>
    <w:lvl w:ilvl="3" w:tplc="A4365264">
      <w:start w:val="1"/>
      <w:numFmt w:val="bullet"/>
      <w:lvlText w:val=""/>
      <w:lvlJc w:val="left"/>
      <w:pPr>
        <w:ind w:left="2880" w:hanging="360"/>
      </w:pPr>
      <w:rPr>
        <w:rFonts w:ascii="Symbol" w:hAnsi="Symbol" w:hint="default"/>
      </w:rPr>
    </w:lvl>
    <w:lvl w:ilvl="4" w:tplc="5C4E7AD6">
      <w:start w:val="1"/>
      <w:numFmt w:val="bullet"/>
      <w:lvlText w:val="o"/>
      <w:lvlJc w:val="left"/>
      <w:pPr>
        <w:ind w:left="3600" w:hanging="360"/>
      </w:pPr>
      <w:rPr>
        <w:rFonts w:ascii="Courier New" w:hAnsi="Courier New" w:hint="default"/>
      </w:rPr>
    </w:lvl>
    <w:lvl w:ilvl="5" w:tplc="D668EA0C">
      <w:start w:val="1"/>
      <w:numFmt w:val="bullet"/>
      <w:lvlText w:val=""/>
      <w:lvlJc w:val="left"/>
      <w:pPr>
        <w:ind w:left="4320" w:hanging="360"/>
      </w:pPr>
      <w:rPr>
        <w:rFonts w:ascii="Wingdings" w:hAnsi="Wingdings" w:hint="default"/>
      </w:rPr>
    </w:lvl>
    <w:lvl w:ilvl="6" w:tplc="8D4E765C">
      <w:start w:val="1"/>
      <w:numFmt w:val="bullet"/>
      <w:lvlText w:val=""/>
      <w:lvlJc w:val="left"/>
      <w:pPr>
        <w:ind w:left="5040" w:hanging="360"/>
      </w:pPr>
      <w:rPr>
        <w:rFonts w:ascii="Symbol" w:hAnsi="Symbol" w:hint="default"/>
      </w:rPr>
    </w:lvl>
    <w:lvl w:ilvl="7" w:tplc="33BC22E6">
      <w:start w:val="1"/>
      <w:numFmt w:val="bullet"/>
      <w:lvlText w:val="o"/>
      <w:lvlJc w:val="left"/>
      <w:pPr>
        <w:ind w:left="5760" w:hanging="360"/>
      </w:pPr>
      <w:rPr>
        <w:rFonts w:ascii="Courier New" w:hAnsi="Courier New" w:hint="default"/>
      </w:rPr>
    </w:lvl>
    <w:lvl w:ilvl="8" w:tplc="5AF84512">
      <w:start w:val="1"/>
      <w:numFmt w:val="bullet"/>
      <w:lvlText w:val=""/>
      <w:lvlJc w:val="left"/>
      <w:pPr>
        <w:ind w:left="6480" w:hanging="360"/>
      </w:pPr>
      <w:rPr>
        <w:rFonts w:ascii="Wingdings" w:hAnsi="Wingdings" w:hint="default"/>
      </w:rPr>
    </w:lvl>
  </w:abstractNum>
  <w:abstractNum w:abstractNumId="23" w15:restartNumberingAfterBreak="0">
    <w:nsid w:val="4819FB08"/>
    <w:multiLevelType w:val="hybridMultilevel"/>
    <w:tmpl w:val="21C6F45C"/>
    <w:lvl w:ilvl="0" w:tplc="3606D520">
      <w:start w:val="12"/>
      <w:numFmt w:val="decimal"/>
      <w:lvlText w:val="%1."/>
      <w:lvlJc w:val="left"/>
      <w:pPr>
        <w:ind w:left="720" w:hanging="360"/>
      </w:pPr>
    </w:lvl>
    <w:lvl w:ilvl="1" w:tplc="EA880F7E">
      <w:start w:val="1"/>
      <w:numFmt w:val="lowerLetter"/>
      <w:lvlText w:val="%2."/>
      <w:lvlJc w:val="left"/>
      <w:pPr>
        <w:ind w:left="1440" w:hanging="360"/>
      </w:pPr>
    </w:lvl>
    <w:lvl w:ilvl="2" w:tplc="93186B48">
      <w:start w:val="1"/>
      <w:numFmt w:val="lowerRoman"/>
      <w:lvlText w:val="%3."/>
      <w:lvlJc w:val="right"/>
      <w:pPr>
        <w:ind w:left="2160" w:hanging="180"/>
      </w:pPr>
    </w:lvl>
    <w:lvl w:ilvl="3" w:tplc="4BAA1A12">
      <w:start w:val="1"/>
      <w:numFmt w:val="decimal"/>
      <w:lvlText w:val="%4."/>
      <w:lvlJc w:val="left"/>
      <w:pPr>
        <w:ind w:left="2880" w:hanging="360"/>
      </w:pPr>
    </w:lvl>
    <w:lvl w:ilvl="4" w:tplc="6C44E4DE">
      <w:start w:val="1"/>
      <w:numFmt w:val="lowerLetter"/>
      <w:lvlText w:val="%5."/>
      <w:lvlJc w:val="left"/>
      <w:pPr>
        <w:ind w:left="3600" w:hanging="360"/>
      </w:pPr>
    </w:lvl>
    <w:lvl w:ilvl="5" w:tplc="C4380E0A">
      <w:start w:val="1"/>
      <w:numFmt w:val="lowerRoman"/>
      <w:lvlText w:val="%6."/>
      <w:lvlJc w:val="right"/>
      <w:pPr>
        <w:ind w:left="4320" w:hanging="180"/>
      </w:pPr>
    </w:lvl>
    <w:lvl w:ilvl="6" w:tplc="D4B497EC">
      <w:start w:val="1"/>
      <w:numFmt w:val="decimal"/>
      <w:lvlText w:val="%7."/>
      <w:lvlJc w:val="left"/>
      <w:pPr>
        <w:ind w:left="5040" w:hanging="360"/>
      </w:pPr>
    </w:lvl>
    <w:lvl w:ilvl="7" w:tplc="BE4E583E">
      <w:start w:val="1"/>
      <w:numFmt w:val="lowerLetter"/>
      <w:lvlText w:val="%8."/>
      <w:lvlJc w:val="left"/>
      <w:pPr>
        <w:ind w:left="5760" w:hanging="360"/>
      </w:pPr>
    </w:lvl>
    <w:lvl w:ilvl="8" w:tplc="D79E6F00">
      <w:start w:val="1"/>
      <w:numFmt w:val="lowerRoman"/>
      <w:lvlText w:val="%9."/>
      <w:lvlJc w:val="right"/>
      <w:pPr>
        <w:ind w:left="6480" w:hanging="180"/>
      </w:pPr>
    </w:lvl>
  </w:abstractNum>
  <w:abstractNum w:abstractNumId="24" w15:restartNumberingAfterBreak="0">
    <w:nsid w:val="4A10BDE9"/>
    <w:multiLevelType w:val="hybridMultilevel"/>
    <w:tmpl w:val="40240BD0"/>
    <w:lvl w:ilvl="0" w:tplc="A8764740">
      <w:start w:val="1"/>
      <w:numFmt w:val="bullet"/>
      <w:lvlText w:val=""/>
      <w:lvlJc w:val="left"/>
      <w:pPr>
        <w:ind w:left="720" w:hanging="360"/>
      </w:pPr>
      <w:rPr>
        <w:rFonts w:ascii="Symbol" w:hAnsi="Symbol" w:hint="default"/>
      </w:rPr>
    </w:lvl>
    <w:lvl w:ilvl="1" w:tplc="D67CCB5E">
      <w:start w:val="1"/>
      <w:numFmt w:val="bullet"/>
      <w:lvlText w:val="o"/>
      <w:lvlJc w:val="left"/>
      <w:pPr>
        <w:ind w:left="1440" w:hanging="360"/>
      </w:pPr>
      <w:rPr>
        <w:rFonts w:ascii="Courier New" w:hAnsi="Courier New" w:hint="default"/>
      </w:rPr>
    </w:lvl>
    <w:lvl w:ilvl="2" w:tplc="640A5C8A">
      <w:start w:val="1"/>
      <w:numFmt w:val="bullet"/>
      <w:lvlText w:val=""/>
      <w:lvlJc w:val="left"/>
      <w:pPr>
        <w:ind w:left="2160" w:hanging="360"/>
      </w:pPr>
      <w:rPr>
        <w:rFonts w:ascii="Wingdings" w:hAnsi="Wingdings" w:hint="default"/>
      </w:rPr>
    </w:lvl>
    <w:lvl w:ilvl="3" w:tplc="B4FA8F48">
      <w:start w:val="1"/>
      <w:numFmt w:val="bullet"/>
      <w:lvlText w:val=""/>
      <w:lvlJc w:val="left"/>
      <w:pPr>
        <w:ind w:left="2880" w:hanging="360"/>
      </w:pPr>
      <w:rPr>
        <w:rFonts w:ascii="Symbol" w:hAnsi="Symbol" w:hint="default"/>
      </w:rPr>
    </w:lvl>
    <w:lvl w:ilvl="4" w:tplc="57CEFAF0">
      <w:start w:val="1"/>
      <w:numFmt w:val="bullet"/>
      <w:lvlText w:val="o"/>
      <w:lvlJc w:val="left"/>
      <w:pPr>
        <w:ind w:left="3600" w:hanging="360"/>
      </w:pPr>
      <w:rPr>
        <w:rFonts w:ascii="Courier New" w:hAnsi="Courier New" w:hint="default"/>
      </w:rPr>
    </w:lvl>
    <w:lvl w:ilvl="5" w:tplc="68121656">
      <w:start w:val="1"/>
      <w:numFmt w:val="bullet"/>
      <w:lvlText w:val=""/>
      <w:lvlJc w:val="left"/>
      <w:pPr>
        <w:ind w:left="4320" w:hanging="360"/>
      </w:pPr>
      <w:rPr>
        <w:rFonts w:ascii="Wingdings" w:hAnsi="Wingdings" w:hint="default"/>
      </w:rPr>
    </w:lvl>
    <w:lvl w:ilvl="6" w:tplc="661234D8">
      <w:start w:val="1"/>
      <w:numFmt w:val="bullet"/>
      <w:lvlText w:val=""/>
      <w:lvlJc w:val="left"/>
      <w:pPr>
        <w:ind w:left="5040" w:hanging="360"/>
      </w:pPr>
      <w:rPr>
        <w:rFonts w:ascii="Symbol" w:hAnsi="Symbol" w:hint="default"/>
      </w:rPr>
    </w:lvl>
    <w:lvl w:ilvl="7" w:tplc="8A80C6A2">
      <w:start w:val="1"/>
      <w:numFmt w:val="bullet"/>
      <w:lvlText w:val="o"/>
      <w:lvlJc w:val="left"/>
      <w:pPr>
        <w:ind w:left="5760" w:hanging="360"/>
      </w:pPr>
      <w:rPr>
        <w:rFonts w:ascii="Courier New" w:hAnsi="Courier New" w:hint="default"/>
      </w:rPr>
    </w:lvl>
    <w:lvl w:ilvl="8" w:tplc="E89E8D90">
      <w:start w:val="1"/>
      <w:numFmt w:val="bullet"/>
      <w:lvlText w:val=""/>
      <w:lvlJc w:val="left"/>
      <w:pPr>
        <w:ind w:left="6480" w:hanging="360"/>
      </w:pPr>
      <w:rPr>
        <w:rFonts w:ascii="Wingdings" w:hAnsi="Wingdings" w:hint="default"/>
      </w:rPr>
    </w:lvl>
  </w:abstractNum>
  <w:abstractNum w:abstractNumId="25" w15:restartNumberingAfterBreak="0">
    <w:nsid w:val="4EC2DBF6"/>
    <w:multiLevelType w:val="hybridMultilevel"/>
    <w:tmpl w:val="EE5856A4"/>
    <w:lvl w:ilvl="0" w:tplc="311A2EC8">
      <w:start w:val="1"/>
      <w:numFmt w:val="bullet"/>
      <w:lvlText w:val=""/>
      <w:lvlJc w:val="left"/>
      <w:pPr>
        <w:ind w:left="720" w:hanging="360"/>
      </w:pPr>
      <w:rPr>
        <w:rFonts w:ascii="Symbol" w:hAnsi="Symbol" w:hint="default"/>
      </w:rPr>
    </w:lvl>
    <w:lvl w:ilvl="1" w:tplc="FC340106">
      <w:start w:val="1"/>
      <w:numFmt w:val="bullet"/>
      <w:lvlText w:val="o"/>
      <w:lvlJc w:val="left"/>
      <w:pPr>
        <w:ind w:left="1440" w:hanging="360"/>
      </w:pPr>
      <w:rPr>
        <w:rFonts w:ascii="Courier New" w:hAnsi="Courier New" w:hint="default"/>
      </w:rPr>
    </w:lvl>
    <w:lvl w:ilvl="2" w:tplc="A2C274D6">
      <w:start w:val="1"/>
      <w:numFmt w:val="bullet"/>
      <w:lvlText w:val=""/>
      <w:lvlJc w:val="left"/>
      <w:pPr>
        <w:ind w:left="2160" w:hanging="360"/>
      </w:pPr>
      <w:rPr>
        <w:rFonts w:ascii="Wingdings" w:hAnsi="Wingdings" w:hint="default"/>
      </w:rPr>
    </w:lvl>
    <w:lvl w:ilvl="3" w:tplc="DB5296B0">
      <w:start w:val="1"/>
      <w:numFmt w:val="bullet"/>
      <w:lvlText w:val=""/>
      <w:lvlJc w:val="left"/>
      <w:pPr>
        <w:ind w:left="2880" w:hanging="360"/>
      </w:pPr>
      <w:rPr>
        <w:rFonts w:ascii="Symbol" w:hAnsi="Symbol" w:hint="default"/>
      </w:rPr>
    </w:lvl>
    <w:lvl w:ilvl="4" w:tplc="5D5E38C4">
      <w:start w:val="1"/>
      <w:numFmt w:val="bullet"/>
      <w:lvlText w:val="o"/>
      <w:lvlJc w:val="left"/>
      <w:pPr>
        <w:ind w:left="3600" w:hanging="360"/>
      </w:pPr>
      <w:rPr>
        <w:rFonts w:ascii="Courier New" w:hAnsi="Courier New" w:hint="default"/>
      </w:rPr>
    </w:lvl>
    <w:lvl w:ilvl="5" w:tplc="3030063A">
      <w:start w:val="1"/>
      <w:numFmt w:val="bullet"/>
      <w:lvlText w:val=""/>
      <w:lvlJc w:val="left"/>
      <w:pPr>
        <w:ind w:left="4320" w:hanging="360"/>
      </w:pPr>
      <w:rPr>
        <w:rFonts w:ascii="Wingdings" w:hAnsi="Wingdings" w:hint="default"/>
      </w:rPr>
    </w:lvl>
    <w:lvl w:ilvl="6" w:tplc="2D7695AE">
      <w:start w:val="1"/>
      <w:numFmt w:val="bullet"/>
      <w:lvlText w:val=""/>
      <w:lvlJc w:val="left"/>
      <w:pPr>
        <w:ind w:left="5040" w:hanging="360"/>
      </w:pPr>
      <w:rPr>
        <w:rFonts w:ascii="Symbol" w:hAnsi="Symbol" w:hint="default"/>
      </w:rPr>
    </w:lvl>
    <w:lvl w:ilvl="7" w:tplc="CBC25EBE">
      <w:start w:val="1"/>
      <w:numFmt w:val="bullet"/>
      <w:lvlText w:val="o"/>
      <w:lvlJc w:val="left"/>
      <w:pPr>
        <w:ind w:left="5760" w:hanging="360"/>
      </w:pPr>
      <w:rPr>
        <w:rFonts w:ascii="Courier New" w:hAnsi="Courier New" w:hint="default"/>
      </w:rPr>
    </w:lvl>
    <w:lvl w:ilvl="8" w:tplc="F6AE01B4">
      <w:start w:val="1"/>
      <w:numFmt w:val="bullet"/>
      <w:lvlText w:val=""/>
      <w:lvlJc w:val="left"/>
      <w:pPr>
        <w:ind w:left="6480" w:hanging="360"/>
      </w:pPr>
      <w:rPr>
        <w:rFonts w:ascii="Wingdings" w:hAnsi="Wingdings" w:hint="default"/>
      </w:rPr>
    </w:lvl>
  </w:abstractNum>
  <w:abstractNum w:abstractNumId="26" w15:restartNumberingAfterBreak="0">
    <w:nsid w:val="514ACD37"/>
    <w:multiLevelType w:val="hybridMultilevel"/>
    <w:tmpl w:val="E2E28C08"/>
    <w:lvl w:ilvl="0" w:tplc="81A61D3C">
      <w:start w:val="3"/>
      <w:numFmt w:val="decimal"/>
      <w:lvlText w:val="%1."/>
      <w:lvlJc w:val="left"/>
      <w:pPr>
        <w:ind w:left="720" w:hanging="360"/>
      </w:pPr>
    </w:lvl>
    <w:lvl w:ilvl="1" w:tplc="E2F69912">
      <w:start w:val="1"/>
      <w:numFmt w:val="lowerLetter"/>
      <w:lvlText w:val="%2."/>
      <w:lvlJc w:val="left"/>
      <w:pPr>
        <w:ind w:left="1440" w:hanging="360"/>
      </w:pPr>
    </w:lvl>
    <w:lvl w:ilvl="2" w:tplc="C226C6A4">
      <w:start w:val="1"/>
      <w:numFmt w:val="lowerRoman"/>
      <w:lvlText w:val="%3."/>
      <w:lvlJc w:val="right"/>
      <w:pPr>
        <w:ind w:left="2160" w:hanging="180"/>
      </w:pPr>
    </w:lvl>
    <w:lvl w:ilvl="3" w:tplc="31F29404">
      <w:start w:val="1"/>
      <w:numFmt w:val="decimal"/>
      <w:lvlText w:val="%4."/>
      <w:lvlJc w:val="left"/>
      <w:pPr>
        <w:ind w:left="2880" w:hanging="360"/>
      </w:pPr>
    </w:lvl>
    <w:lvl w:ilvl="4" w:tplc="F794AB16">
      <w:start w:val="1"/>
      <w:numFmt w:val="lowerLetter"/>
      <w:lvlText w:val="%5."/>
      <w:lvlJc w:val="left"/>
      <w:pPr>
        <w:ind w:left="3600" w:hanging="360"/>
      </w:pPr>
    </w:lvl>
    <w:lvl w:ilvl="5" w:tplc="17462E72">
      <w:start w:val="1"/>
      <w:numFmt w:val="lowerRoman"/>
      <w:lvlText w:val="%6."/>
      <w:lvlJc w:val="right"/>
      <w:pPr>
        <w:ind w:left="4320" w:hanging="180"/>
      </w:pPr>
    </w:lvl>
    <w:lvl w:ilvl="6" w:tplc="15C0CA3E">
      <w:start w:val="1"/>
      <w:numFmt w:val="decimal"/>
      <w:lvlText w:val="%7."/>
      <w:lvlJc w:val="left"/>
      <w:pPr>
        <w:ind w:left="5040" w:hanging="360"/>
      </w:pPr>
    </w:lvl>
    <w:lvl w:ilvl="7" w:tplc="56C2C736">
      <w:start w:val="1"/>
      <w:numFmt w:val="lowerLetter"/>
      <w:lvlText w:val="%8."/>
      <w:lvlJc w:val="left"/>
      <w:pPr>
        <w:ind w:left="5760" w:hanging="360"/>
      </w:pPr>
    </w:lvl>
    <w:lvl w:ilvl="8" w:tplc="F7B818E2">
      <w:start w:val="1"/>
      <w:numFmt w:val="lowerRoman"/>
      <w:lvlText w:val="%9."/>
      <w:lvlJc w:val="right"/>
      <w:pPr>
        <w:ind w:left="6480" w:hanging="180"/>
      </w:pPr>
    </w:lvl>
  </w:abstractNum>
  <w:abstractNum w:abstractNumId="27" w15:restartNumberingAfterBreak="0">
    <w:nsid w:val="555BEC98"/>
    <w:multiLevelType w:val="hybridMultilevel"/>
    <w:tmpl w:val="ADB0BC30"/>
    <w:lvl w:ilvl="0" w:tplc="1D56C158">
      <w:start w:val="1"/>
      <w:numFmt w:val="decimal"/>
      <w:lvlText w:val="%1."/>
      <w:lvlJc w:val="left"/>
      <w:pPr>
        <w:ind w:left="720" w:hanging="360"/>
      </w:pPr>
    </w:lvl>
    <w:lvl w:ilvl="1" w:tplc="CEC61AA4">
      <w:start w:val="1"/>
      <w:numFmt w:val="lowerLetter"/>
      <w:lvlText w:val="%2."/>
      <w:lvlJc w:val="left"/>
      <w:pPr>
        <w:ind w:left="1440" w:hanging="360"/>
      </w:pPr>
    </w:lvl>
    <w:lvl w:ilvl="2" w:tplc="753602F2">
      <w:start w:val="1"/>
      <w:numFmt w:val="lowerRoman"/>
      <w:lvlText w:val="%3."/>
      <w:lvlJc w:val="right"/>
      <w:pPr>
        <w:ind w:left="2160" w:hanging="180"/>
      </w:pPr>
    </w:lvl>
    <w:lvl w:ilvl="3" w:tplc="440264CE">
      <w:start w:val="1"/>
      <w:numFmt w:val="decimal"/>
      <w:lvlText w:val="%4."/>
      <w:lvlJc w:val="left"/>
      <w:pPr>
        <w:ind w:left="2880" w:hanging="360"/>
      </w:pPr>
    </w:lvl>
    <w:lvl w:ilvl="4" w:tplc="C63A448A">
      <w:start w:val="1"/>
      <w:numFmt w:val="lowerLetter"/>
      <w:lvlText w:val="%5."/>
      <w:lvlJc w:val="left"/>
      <w:pPr>
        <w:ind w:left="3600" w:hanging="360"/>
      </w:pPr>
    </w:lvl>
    <w:lvl w:ilvl="5" w:tplc="D65E70FC">
      <w:start w:val="1"/>
      <w:numFmt w:val="lowerRoman"/>
      <w:lvlText w:val="%6."/>
      <w:lvlJc w:val="right"/>
      <w:pPr>
        <w:ind w:left="4320" w:hanging="180"/>
      </w:pPr>
    </w:lvl>
    <w:lvl w:ilvl="6" w:tplc="FCF4D15E">
      <w:start w:val="1"/>
      <w:numFmt w:val="decimal"/>
      <w:lvlText w:val="%7."/>
      <w:lvlJc w:val="left"/>
      <w:pPr>
        <w:ind w:left="5040" w:hanging="360"/>
      </w:pPr>
    </w:lvl>
    <w:lvl w:ilvl="7" w:tplc="BDAC1E8E">
      <w:start w:val="1"/>
      <w:numFmt w:val="lowerLetter"/>
      <w:lvlText w:val="%8."/>
      <w:lvlJc w:val="left"/>
      <w:pPr>
        <w:ind w:left="5760" w:hanging="360"/>
      </w:pPr>
    </w:lvl>
    <w:lvl w:ilvl="8" w:tplc="7878399C">
      <w:start w:val="1"/>
      <w:numFmt w:val="lowerRoman"/>
      <w:lvlText w:val="%9."/>
      <w:lvlJc w:val="right"/>
      <w:pPr>
        <w:ind w:left="6480" w:hanging="180"/>
      </w:pPr>
    </w:lvl>
  </w:abstractNum>
  <w:abstractNum w:abstractNumId="2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C29267A"/>
    <w:multiLevelType w:val="hybridMultilevel"/>
    <w:tmpl w:val="D708C9F4"/>
    <w:lvl w:ilvl="0" w:tplc="380A57DA">
      <w:start w:val="11"/>
      <w:numFmt w:val="decimal"/>
      <w:lvlText w:val="%1."/>
      <w:lvlJc w:val="left"/>
      <w:pPr>
        <w:ind w:left="720" w:hanging="360"/>
      </w:pPr>
    </w:lvl>
    <w:lvl w:ilvl="1" w:tplc="B1E06256">
      <w:start w:val="1"/>
      <w:numFmt w:val="lowerLetter"/>
      <w:lvlText w:val="%2."/>
      <w:lvlJc w:val="left"/>
      <w:pPr>
        <w:ind w:left="1440" w:hanging="360"/>
      </w:pPr>
    </w:lvl>
    <w:lvl w:ilvl="2" w:tplc="1220925A">
      <w:start w:val="1"/>
      <w:numFmt w:val="lowerRoman"/>
      <w:lvlText w:val="%3."/>
      <w:lvlJc w:val="right"/>
      <w:pPr>
        <w:ind w:left="2160" w:hanging="180"/>
      </w:pPr>
    </w:lvl>
    <w:lvl w:ilvl="3" w:tplc="F19EDC52">
      <w:start w:val="1"/>
      <w:numFmt w:val="decimal"/>
      <w:lvlText w:val="%4."/>
      <w:lvlJc w:val="left"/>
      <w:pPr>
        <w:ind w:left="2880" w:hanging="360"/>
      </w:pPr>
    </w:lvl>
    <w:lvl w:ilvl="4" w:tplc="DDA8F654">
      <w:start w:val="1"/>
      <w:numFmt w:val="lowerLetter"/>
      <w:lvlText w:val="%5."/>
      <w:lvlJc w:val="left"/>
      <w:pPr>
        <w:ind w:left="3600" w:hanging="360"/>
      </w:pPr>
    </w:lvl>
    <w:lvl w:ilvl="5" w:tplc="9DB49820">
      <w:start w:val="1"/>
      <w:numFmt w:val="lowerRoman"/>
      <w:lvlText w:val="%6."/>
      <w:lvlJc w:val="right"/>
      <w:pPr>
        <w:ind w:left="4320" w:hanging="180"/>
      </w:pPr>
    </w:lvl>
    <w:lvl w:ilvl="6" w:tplc="9F5AE294">
      <w:start w:val="1"/>
      <w:numFmt w:val="decimal"/>
      <w:lvlText w:val="%7."/>
      <w:lvlJc w:val="left"/>
      <w:pPr>
        <w:ind w:left="5040" w:hanging="360"/>
      </w:pPr>
    </w:lvl>
    <w:lvl w:ilvl="7" w:tplc="CDEC972A">
      <w:start w:val="1"/>
      <w:numFmt w:val="lowerLetter"/>
      <w:lvlText w:val="%8."/>
      <w:lvlJc w:val="left"/>
      <w:pPr>
        <w:ind w:left="5760" w:hanging="360"/>
      </w:pPr>
    </w:lvl>
    <w:lvl w:ilvl="8" w:tplc="8A8C810C">
      <w:start w:val="1"/>
      <w:numFmt w:val="lowerRoman"/>
      <w:lvlText w:val="%9."/>
      <w:lvlJc w:val="right"/>
      <w:pPr>
        <w:ind w:left="6480" w:hanging="180"/>
      </w:pPr>
    </w:lvl>
  </w:abstractNum>
  <w:abstractNum w:abstractNumId="30" w15:restartNumberingAfterBreak="0">
    <w:nsid w:val="5C31D667"/>
    <w:multiLevelType w:val="hybridMultilevel"/>
    <w:tmpl w:val="35682F5A"/>
    <w:lvl w:ilvl="0" w:tplc="FE26B472">
      <w:start w:val="1"/>
      <w:numFmt w:val="decimal"/>
      <w:lvlText w:val="%1."/>
      <w:lvlJc w:val="left"/>
      <w:pPr>
        <w:ind w:left="720" w:hanging="360"/>
      </w:pPr>
    </w:lvl>
    <w:lvl w:ilvl="1" w:tplc="0472EC90">
      <w:start w:val="1"/>
      <w:numFmt w:val="lowerLetter"/>
      <w:lvlText w:val="%2."/>
      <w:lvlJc w:val="left"/>
      <w:pPr>
        <w:ind w:left="1440" w:hanging="360"/>
      </w:pPr>
    </w:lvl>
    <w:lvl w:ilvl="2" w:tplc="D74C0784">
      <w:start w:val="1"/>
      <w:numFmt w:val="lowerRoman"/>
      <w:lvlText w:val="%3."/>
      <w:lvlJc w:val="right"/>
      <w:pPr>
        <w:ind w:left="2160" w:hanging="180"/>
      </w:pPr>
    </w:lvl>
    <w:lvl w:ilvl="3" w:tplc="91865F36">
      <w:start w:val="1"/>
      <w:numFmt w:val="decimal"/>
      <w:lvlText w:val="%4."/>
      <w:lvlJc w:val="left"/>
      <w:pPr>
        <w:ind w:left="2880" w:hanging="360"/>
      </w:pPr>
    </w:lvl>
    <w:lvl w:ilvl="4" w:tplc="FB766662">
      <w:start w:val="1"/>
      <w:numFmt w:val="lowerLetter"/>
      <w:lvlText w:val="%5."/>
      <w:lvlJc w:val="left"/>
      <w:pPr>
        <w:ind w:left="3600" w:hanging="360"/>
      </w:pPr>
    </w:lvl>
    <w:lvl w:ilvl="5" w:tplc="34086178">
      <w:start w:val="1"/>
      <w:numFmt w:val="lowerRoman"/>
      <w:lvlText w:val="%6."/>
      <w:lvlJc w:val="right"/>
      <w:pPr>
        <w:ind w:left="4320" w:hanging="180"/>
      </w:pPr>
    </w:lvl>
    <w:lvl w:ilvl="6" w:tplc="AC9C5CAC">
      <w:start w:val="1"/>
      <w:numFmt w:val="decimal"/>
      <w:lvlText w:val="%7."/>
      <w:lvlJc w:val="left"/>
      <w:pPr>
        <w:ind w:left="5040" w:hanging="360"/>
      </w:pPr>
    </w:lvl>
    <w:lvl w:ilvl="7" w:tplc="9D542AE6">
      <w:start w:val="1"/>
      <w:numFmt w:val="lowerLetter"/>
      <w:lvlText w:val="%8."/>
      <w:lvlJc w:val="left"/>
      <w:pPr>
        <w:ind w:left="5760" w:hanging="360"/>
      </w:pPr>
    </w:lvl>
    <w:lvl w:ilvl="8" w:tplc="1604ED02">
      <w:start w:val="1"/>
      <w:numFmt w:val="lowerRoman"/>
      <w:lvlText w:val="%9."/>
      <w:lvlJc w:val="right"/>
      <w:pPr>
        <w:ind w:left="6480" w:hanging="180"/>
      </w:pPr>
    </w:lvl>
  </w:abstractNum>
  <w:abstractNum w:abstractNumId="31" w15:restartNumberingAfterBreak="0">
    <w:nsid w:val="5F33F783"/>
    <w:multiLevelType w:val="hybridMultilevel"/>
    <w:tmpl w:val="1814052A"/>
    <w:lvl w:ilvl="0" w:tplc="574C5118">
      <w:start w:val="1"/>
      <w:numFmt w:val="decimal"/>
      <w:lvlText w:val="%1."/>
      <w:lvlJc w:val="left"/>
      <w:pPr>
        <w:ind w:left="720" w:hanging="360"/>
      </w:pPr>
    </w:lvl>
    <w:lvl w:ilvl="1" w:tplc="8A160F94">
      <w:start w:val="1"/>
      <w:numFmt w:val="lowerLetter"/>
      <w:lvlText w:val="%2."/>
      <w:lvlJc w:val="left"/>
      <w:pPr>
        <w:ind w:left="1440" w:hanging="360"/>
      </w:pPr>
    </w:lvl>
    <w:lvl w:ilvl="2" w:tplc="F760C80A">
      <w:start w:val="1"/>
      <w:numFmt w:val="lowerRoman"/>
      <w:lvlText w:val="%3."/>
      <w:lvlJc w:val="right"/>
      <w:pPr>
        <w:ind w:left="2160" w:hanging="180"/>
      </w:pPr>
    </w:lvl>
    <w:lvl w:ilvl="3" w:tplc="B4D6F050">
      <w:start w:val="1"/>
      <w:numFmt w:val="decimal"/>
      <w:lvlText w:val="%4."/>
      <w:lvlJc w:val="left"/>
      <w:pPr>
        <w:ind w:left="2880" w:hanging="360"/>
      </w:pPr>
    </w:lvl>
    <w:lvl w:ilvl="4" w:tplc="D2745DDA">
      <w:start w:val="1"/>
      <w:numFmt w:val="lowerLetter"/>
      <w:lvlText w:val="%5."/>
      <w:lvlJc w:val="left"/>
      <w:pPr>
        <w:ind w:left="3600" w:hanging="360"/>
      </w:pPr>
    </w:lvl>
    <w:lvl w:ilvl="5" w:tplc="0C6E3126">
      <w:start w:val="1"/>
      <w:numFmt w:val="lowerRoman"/>
      <w:lvlText w:val="%6."/>
      <w:lvlJc w:val="right"/>
      <w:pPr>
        <w:ind w:left="4320" w:hanging="180"/>
      </w:pPr>
    </w:lvl>
    <w:lvl w:ilvl="6" w:tplc="FF6A5468">
      <w:start w:val="1"/>
      <w:numFmt w:val="decimal"/>
      <w:lvlText w:val="%7."/>
      <w:lvlJc w:val="left"/>
      <w:pPr>
        <w:ind w:left="5040" w:hanging="360"/>
      </w:pPr>
    </w:lvl>
    <w:lvl w:ilvl="7" w:tplc="74F43870">
      <w:start w:val="1"/>
      <w:numFmt w:val="lowerLetter"/>
      <w:lvlText w:val="%8."/>
      <w:lvlJc w:val="left"/>
      <w:pPr>
        <w:ind w:left="5760" w:hanging="360"/>
      </w:pPr>
    </w:lvl>
    <w:lvl w:ilvl="8" w:tplc="91A6F486">
      <w:start w:val="1"/>
      <w:numFmt w:val="lowerRoman"/>
      <w:lvlText w:val="%9."/>
      <w:lvlJc w:val="right"/>
      <w:pPr>
        <w:ind w:left="6480" w:hanging="180"/>
      </w:pPr>
    </w:lvl>
  </w:abstractNum>
  <w:abstractNum w:abstractNumId="32" w15:restartNumberingAfterBreak="0">
    <w:nsid w:val="60EFA6F7"/>
    <w:multiLevelType w:val="hybridMultilevel"/>
    <w:tmpl w:val="AB2C5F00"/>
    <w:lvl w:ilvl="0" w:tplc="EDBABA00">
      <w:start w:val="4"/>
      <w:numFmt w:val="decimal"/>
      <w:lvlText w:val="%1."/>
      <w:lvlJc w:val="left"/>
      <w:pPr>
        <w:ind w:left="720" w:hanging="360"/>
      </w:pPr>
    </w:lvl>
    <w:lvl w:ilvl="1" w:tplc="355A241C">
      <w:start w:val="1"/>
      <w:numFmt w:val="lowerLetter"/>
      <w:lvlText w:val="%2."/>
      <w:lvlJc w:val="left"/>
      <w:pPr>
        <w:ind w:left="1440" w:hanging="360"/>
      </w:pPr>
    </w:lvl>
    <w:lvl w:ilvl="2" w:tplc="8C30A92A">
      <w:start w:val="1"/>
      <w:numFmt w:val="lowerRoman"/>
      <w:lvlText w:val="%3."/>
      <w:lvlJc w:val="right"/>
      <w:pPr>
        <w:ind w:left="2160" w:hanging="180"/>
      </w:pPr>
    </w:lvl>
    <w:lvl w:ilvl="3" w:tplc="4446BE12">
      <w:start w:val="1"/>
      <w:numFmt w:val="decimal"/>
      <w:lvlText w:val="%4."/>
      <w:lvlJc w:val="left"/>
      <w:pPr>
        <w:ind w:left="2880" w:hanging="360"/>
      </w:pPr>
    </w:lvl>
    <w:lvl w:ilvl="4" w:tplc="398AF580">
      <w:start w:val="1"/>
      <w:numFmt w:val="lowerLetter"/>
      <w:lvlText w:val="%5."/>
      <w:lvlJc w:val="left"/>
      <w:pPr>
        <w:ind w:left="3600" w:hanging="360"/>
      </w:pPr>
    </w:lvl>
    <w:lvl w:ilvl="5" w:tplc="E5B874C4">
      <w:start w:val="1"/>
      <w:numFmt w:val="lowerRoman"/>
      <w:lvlText w:val="%6."/>
      <w:lvlJc w:val="right"/>
      <w:pPr>
        <w:ind w:left="4320" w:hanging="180"/>
      </w:pPr>
    </w:lvl>
    <w:lvl w:ilvl="6" w:tplc="196EF36E">
      <w:start w:val="1"/>
      <w:numFmt w:val="decimal"/>
      <w:lvlText w:val="%7."/>
      <w:lvlJc w:val="left"/>
      <w:pPr>
        <w:ind w:left="5040" w:hanging="360"/>
      </w:pPr>
    </w:lvl>
    <w:lvl w:ilvl="7" w:tplc="435A3AD6">
      <w:start w:val="1"/>
      <w:numFmt w:val="lowerLetter"/>
      <w:lvlText w:val="%8."/>
      <w:lvlJc w:val="left"/>
      <w:pPr>
        <w:ind w:left="5760" w:hanging="360"/>
      </w:pPr>
    </w:lvl>
    <w:lvl w:ilvl="8" w:tplc="94F2AE12">
      <w:start w:val="1"/>
      <w:numFmt w:val="lowerRoman"/>
      <w:lvlText w:val="%9."/>
      <w:lvlJc w:val="right"/>
      <w:pPr>
        <w:ind w:left="6480" w:hanging="180"/>
      </w:pPr>
    </w:lvl>
  </w:abstractNum>
  <w:abstractNum w:abstractNumId="33" w15:restartNumberingAfterBreak="0">
    <w:nsid w:val="625DE9B4"/>
    <w:multiLevelType w:val="hybridMultilevel"/>
    <w:tmpl w:val="F8068972"/>
    <w:lvl w:ilvl="0" w:tplc="5D18D660">
      <w:start w:val="1"/>
      <w:numFmt w:val="decimal"/>
      <w:lvlText w:val="%1."/>
      <w:lvlJc w:val="left"/>
      <w:pPr>
        <w:ind w:left="720" w:hanging="360"/>
      </w:pPr>
    </w:lvl>
    <w:lvl w:ilvl="1" w:tplc="CA0239A6">
      <w:start w:val="1"/>
      <w:numFmt w:val="lowerLetter"/>
      <w:lvlText w:val="%2."/>
      <w:lvlJc w:val="left"/>
      <w:pPr>
        <w:ind w:left="1440" w:hanging="360"/>
      </w:pPr>
    </w:lvl>
    <w:lvl w:ilvl="2" w:tplc="EA16FA58">
      <w:start w:val="1"/>
      <w:numFmt w:val="lowerRoman"/>
      <w:lvlText w:val="%3."/>
      <w:lvlJc w:val="right"/>
      <w:pPr>
        <w:ind w:left="2160" w:hanging="180"/>
      </w:pPr>
    </w:lvl>
    <w:lvl w:ilvl="3" w:tplc="9F2E3462">
      <w:start w:val="1"/>
      <w:numFmt w:val="decimal"/>
      <w:lvlText w:val="%4."/>
      <w:lvlJc w:val="left"/>
      <w:pPr>
        <w:ind w:left="2880" w:hanging="360"/>
      </w:pPr>
    </w:lvl>
    <w:lvl w:ilvl="4" w:tplc="14D80BD8">
      <w:start w:val="1"/>
      <w:numFmt w:val="lowerLetter"/>
      <w:lvlText w:val="%5."/>
      <w:lvlJc w:val="left"/>
      <w:pPr>
        <w:ind w:left="3600" w:hanging="360"/>
      </w:pPr>
    </w:lvl>
    <w:lvl w:ilvl="5" w:tplc="DD523BB2">
      <w:start w:val="1"/>
      <w:numFmt w:val="lowerRoman"/>
      <w:lvlText w:val="%6."/>
      <w:lvlJc w:val="right"/>
      <w:pPr>
        <w:ind w:left="4320" w:hanging="180"/>
      </w:pPr>
    </w:lvl>
    <w:lvl w:ilvl="6" w:tplc="78D88B26">
      <w:start w:val="1"/>
      <w:numFmt w:val="decimal"/>
      <w:lvlText w:val="%7."/>
      <w:lvlJc w:val="left"/>
      <w:pPr>
        <w:ind w:left="5040" w:hanging="360"/>
      </w:pPr>
    </w:lvl>
    <w:lvl w:ilvl="7" w:tplc="919C871E">
      <w:start w:val="1"/>
      <w:numFmt w:val="lowerLetter"/>
      <w:lvlText w:val="%8."/>
      <w:lvlJc w:val="left"/>
      <w:pPr>
        <w:ind w:left="5760" w:hanging="360"/>
      </w:pPr>
    </w:lvl>
    <w:lvl w:ilvl="8" w:tplc="11205B78">
      <w:start w:val="1"/>
      <w:numFmt w:val="lowerRoman"/>
      <w:lvlText w:val="%9."/>
      <w:lvlJc w:val="right"/>
      <w:pPr>
        <w:ind w:left="6480" w:hanging="180"/>
      </w:pPr>
    </w:lvl>
  </w:abstractNum>
  <w:abstractNum w:abstractNumId="34" w15:restartNumberingAfterBreak="0">
    <w:nsid w:val="6298B99A"/>
    <w:multiLevelType w:val="hybridMultilevel"/>
    <w:tmpl w:val="579C725A"/>
    <w:lvl w:ilvl="0" w:tplc="817276DE">
      <w:start w:val="1"/>
      <w:numFmt w:val="decimal"/>
      <w:lvlText w:val="%1."/>
      <w:lvlJc w:val="left"/>
      <w:pPr>
        <w:ind w:left="720" w:hanging="360"/>
      </w:pPr>
    </w:lvl>
    <w:lvl w:ilvl="1" w:tplc="B6ECFD92">
      <w:start w:val="1"/>
      <w:numFmt w:val="lowerLetter"/>
      <w:lvlText w:val="%2."/>
      <w:lvlJc w:val="left"/>
      <w:pPr>
        <w:ind w:left="1440" w:hanging="360"/>
      </w:pPr>
    </w:lvl>
    <w:lvl w:ilvl="2" w:tplc="90DE08C6">
      <w:start w:val="1"/>
      <w:numFmt w:val="lowerRoman"/>
      <w:lvlText w:val="%3."/>
      <w:lvlJc w:val="right"/>
      <w:pPr>
        <w:ind w:left="2160" w:hanging="180"/>
      </w:pPr>
    </w:lvl>
    <w:lvl w:ilvl="3" w:tplc="19005758">
      <w:start w:val="1"/>
      <w:numFmt w:val="decimal"/>
      <w:lvlText w:val="%4."/>
      <w:lvlJc w:val="left"/>
      <w:pPr>
        <w:ind w:left="2880" w:hanging="360"/>
      </w:pPr>
    </w:lvl>
    <w:lvl w:ilvl="4" w:tplc="2F3C7BCE">
      <w:start w:val="1"/>
      <w:numFmt w:val="lowerLetter"/>
      <w:lvlText w:val="%5."/>
      <w:lvlJc w:val="left"/>
      <w:pPr>
        <w:ind w:left="3600" w:hanging="360"/>
      </w:pPr>
    </w:lvl>
    <w:lvl w:ilvl="5" w:tplc="08527230">
      <w:start w:val="1"/>
      <w:numFmt w:val="lowerRoman"/>
      <w:lvlText w:val="%6."/>
      <w:lvlJc w:val="right"/>
      <w:pPr>
        <w:ind w:left="4320" w:hanging="180"/>
      </w:pPr>
    </w:lvl>
    <w:lvl w:ilvl="6" w:tplc="143804E2">
      <w:start w:val="1"/>
      <w:numFmt w:val="decimal"/>
      <w:lvlText w:val="%7."/>
      <w:lvlJc w:val="left"/>
      <w:pPr>
        <w:ind w:left="5040" w:hanging="360"/>
      </w:pPr>
    </w:lvl>
    <w:lvl w:ilvl="7" w:tplc="9B9E94A0">
      <w:start w:val="1"/>
      <w:numFmt w:val="lowerLetter"/>
      <w:lvlText w:val="%8."/>
      <w:lvlJc w:val="left"/>
      <w:pPr>
        <w:ind w:left="5760" w:hanging="360"/>
      </w:pPr>
    </w:lvl>
    <w:lvl w:ilvl="8" w:tplc="3BBCEBB4">
      <w:start w:val="1"/>
      <w:numFmt w:val="lowerRoman"/>
      <w:lvlText w:val="%9."/>
      <w:lvlJc w:val="right"/>
      <w:pPr>
        <w:ind w:left="6480" w:hanging="180"/>
      </w:pPr>
    </w:lvl>
  </w:abstractNum>
  <w:abstractNum w:abstractNumId="35" w15:restartNumberingAfterBreak="0">
    <w:nsid w:val="63F098EB"/>
    <w:multiLevelType w:val="hybridMultilevel"/>
    <w:tmpl w:val="1A3489D0"/>
    <w:lvl w:ilvl="0" w:tplc="7CD430B6">
      <w:start w:val="6"/>
      <w:numFmt w:val="decimal"/>
      <w:lvlText w:val="%1."/>
      <w:lvlJc w:val="left"/>
      <w:pPr>
        <w:ind w:left="720" w:hanging="360"/>
      </w:pPr>
    </w:lvl>
    <w:lvl w:ilvl="1" w:tplc="29945E9C">
      <w:start w:val="1"/>
      <w:numFmt w:val="lowerLetter"/>
      <w:lvlText w:val="%2."/>
      <w:lvlJc w:val="left"/>
      <w:pPr>
        <w:ind w:left="1440" w:hanging="360"/>
      </w:pPr>
    </w:lvl>
    <w:lvl w:ilvl="2" w:tplc="0BE81720">
      <w:start w:val="1"/>
      <w:numFmt w:val="lowerRoman"/>
      <w:lvlText w:val="%3."/>
      <w:lvlJc w:val="right"/>
      <w:pPr>
        <w:ind w:left="2160" w:hanging="180"/>
      </w:pPr>
    </w:lvl>
    <w:lvl w:ilvl="3" w:tplc="A68A7288">
      <w:start w:val="1"/>
      <w:numFmt w:val="decimal"/>
      <w:lvlText w:val="%4."/>
      <w:lvlJc w:val="left"/>
      <w:pPr>
        <w:ind w:left="2880" w:hanging="360"/>
      </w:pPr>
    </w:lvl>
    <w:lvl w:ilvl="4" w:tplc="68200BEE">
      <w:start w:val="1"/>
      <w:numFmt w:val="lowerLetter"/>
      <w:lvlText w:val="%5."/>
      <w:lvlJc w:val="left"/>
      <w:pPr>
        <w:ind w:left="3600" w:hanging="360"/>
      </w:pPr>
    </w:lvl>
    <w:lvl w:ilvl="5" w:tplc="F6942296">
      <w:start w:val="1"/>
      <w:numFmt w:val="lowerRoman"/>
      <w:lvlText w:val="%6."/>
      <w:lvlJc w:val="right"/>
      <w:pPr>
        <w:ind w:left="4320" w:hanging="180"/>
      </w:pPr>
    </w:lvl>
    <w:lvl w:ilvl="6" w:tplc="333E4AE0">
      <w:start w:val="1"/>
      <w:numFmt w:val="decimal"/>
      <w:lvlText w:val="%7."/>
      <w:lvlJc w:val="left"/>
      <w:pPr>
        <w:ind w:left="5040" w:hanging="360"/>
      </w:pPr>
    </w:lvl>
    <w:lvl w:ilvl="7" w:tplc="091824A2">
      <w:start w:val="1"/>
      <w:numFmt w:val="lowerLetter"/>
      <w:lvlText w:val="%8."/>
      <w:lvlJc w:val="left"/>
      <w:pPr>
        <w:ind w:left="5760" w:hanging="360"/>
      </w:pPr>
    </w:lvl>
    <w:lvl w:ilvl="8" w:tplc="DFCE8132">
      <w:start w:val="1"/>
      <w:numFmt w:val="lowerRoman"/>
      <w:lvlText w:val="%9."/>
      <w:lvlJc w:val="right"/>
      <w:pPr>
        <w:ind w:left="6480" w:hanging="180"/>
      </w:pPr>
    </w:lvl>
  </w:abstractNum>
  <w:abstractNum w:abstractNumId="36" w15:restartNumberingAfterBreak="0">
    <w:nsid w:val="65E72E71"/>
    <w:multiLevelType w:val="hybridMultilevel"/>
    <w:tmpl w:val="55DAFE46"/>
    <w:lvl w:ilvl="0" w:tplc="04090011">
      <w:start w:val="1"/>
      <w:numFmt w:val="decimal"/>
      <w:lvlText w:val="%1)"/>
      <w:lvlJc w:val="left"/>
      <w:pPr>
        <w:ind w:left="720" w:hanging="360"/>
      </w:pPr>
      <w:rPr>
        <w:sz w:val="23"/>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EA288D7"/>
    <w:multiLevelType w:val="hybridMultilevel"/>
    <w:tmpl w:val="C4BE3190"/>
    <w:lvl w:ilvl="0" w:tplc="ACA23D6C">
      <w:start w:val="13"/>
      <w:numFmt w:val="decimal"/>
      <w:lvlText w:val="%1."/>
      <w:lvlJc w:val="left"/>
      <w:pPr>
        <w:ind w:left="720" w:hanging="360"/>
      </w:pPr>
    </w:lvl>
    <w:lvl w:ilvl="1" w:tplc="BFC2154C">
      <w:start w:val="1"/>
      <w:numFmt w:val="lowerLetter"/>
      <w:lvlText w:val="%2."/>
      <w:lvlJc w:val="left"/>
      <w:pPr>
        <w:ind w:left="1440" w:hanging="360"/>
      </w:pPr>
    </w:lvl>
    <w:lvl w:ilvl="2" w:tplc="716EE298">
      <w:start w:val="1"/>
      <w:numFmt w:val="lowerRoman"/>
      <w:lvlText w:val="%3."/>
      <w:lvlJc w:val="right"/>
      <w:pPr>
        <w:ind w:left="2160" w:hanging="180"/>
      </w:pPr>
    </w:lvl>
    <w:lvl w:ilvl="3" w:tplc="A2BC6E42">
      <w:start w:val="1"/>
      <w:numFmt w:val="decimal"/>
      <w:lvlText w:val="%4."/>
      <w:lvlJc w:val="left"/>
      <w:pPr>
        <w:ind w:left="2880" w:hanging="360"/>
      </w:pPr>
    </w:lvl>
    <w:lvl w:ilvl="4" w:tplc="481CBA7C">
      <w:start w:val="1"/>
      <w:numFmt w:val="lowerLetter"/>
      <w:lvlText w:val="%5."/>
      <w:lvlJc w:val="left"/>
      <w:pPr>
        <w:ind w:left="3600" w:hanging="360"/>
      </w:pPr>
    </w:lvl>
    <w:lvl w:ilvl="5" w:tplc="A6045106">
      <w:start w:val="1"/>
      <w:numFmt w:val="lowerRoman"/>
      <w:lvlText w:val="%6."/>
      <w:lvlJc w:val="right"/>
      <w:pPr>
        <w:ind w:left="4320" w:hanging="180"/>
      </w:pPr>
    </w:lvl>
    <w:lvl w:ilvl="6" w:tplc="D3D2A826">
      <w:start w:val="1"/>
      <w:numFmt w:val="decimal"/>
      <w:lvlText w:val="%7."/>
      <w:lvlJc w:val="left"/>
      <w:pPr>
        <w:ind w:left="5040" w:hanging="360"/>
      </w:pPr>
    </w:lvl>
    <w:lvl w:ilvl="7" w:tplc="6EDA26FC">
      <w:start w:val="1"/>
      <w:numFmt w:val="lowerLetter"/>
      <w:lvlText w:val="%8."/>
      <w:lvlJc w:val="left"/>
      <w:pPr>
        <w:ind w:left="5760" w:hanging="360"/>
      </w:pPr>
    </w:lvl>
    <w:lvl w:ilvl="8" w:tplc="EDCC35C8">
      <w:start w:val="1"/>
      <w:numFmt w:val="lowerRoman"/>
      <w:lvlText w:val="%9."/>
      <w:lvlJc w:val="right"/>
      <w:pPr>
        <w:ind w:left="6480" w:hanging="180"/>
      </w:pPr>
    </w:lvl>
  </w:abstractNum>
  <w:abstractNum w:abstractNumId="39" w15:restartNumberingAfterBreak="0">
    <w:nsid w:val="74EA3C8F"/>
    <w:multiLevelType w:val="hybridMultilevel"/>
    <w:tmpl w:val="9ADC606E"/>
    <w:lvl w:ilvl="0" w:tplc="B426C7D8">
      <w:start w:val="1"/>
      <w:numFmt w:val="bullet"/>
      <w:lvlText w:val=""/>
      <w:lvlJc w:val="left"/>
      <w:pPr>
        <w:ind w:left="720" w:hanging="360"/>
      </w:pPr>
      <w:rPr>
        <w:rFonts w:ascii="Symbol" w:hAnsi="Symbol" w:hint="default"/>
      </w:rPr>
    </w:lvl>
    <w:lvl w:ilvl="1" w:tplc="43DA7512">
      <w:start w:val="1"/>
      <w:numFmt w:val="bullet"/>
      <w:lvlText w:val="o"/>
      <w:lvlJc w:val="left"/>
      <w:pPr>
        <w:ind w:left="1440" w:hanging="360"/>
      </w:pPr>
      <w:rPr>
        <w:rFonts w:ascii="Courier New" w:hAnsi="Courier New" w:hint="default"/>
      </w:rPr>
    </w:lvl>
    <w:lvl w:ilvl="2" w:tplc="BF8ABD36">
      <w:start w:val="1"/>
      <w:numFmt w:val="bullet"/>
      <w:lvlText w:val=""/>
      <w:lvlJc w:val="left"/>
      <w:pPr>
        <w:ind w:left="2160" w:hanging="360"/>
      </w:pPr>
      <w:rPr>
        <w:rFonts w:ascii="Wingdings" w:hAnsi="Wingdings" w:hint="default"/>
      </w:rPr>
    </w:lvl>
    <w:lvl w:ilvl="3" w:tplc="4E347E76">
      <w:start w:val="1"/>
      <w:numFmt w:val="bullet"/>
      <w:lvlText w:val=""/>
      <w:lvlJc w:val="left"/>
      <w:pPr>
        <w:ind w:left="2880" w:hanging="360"/>
      </w:pPr>
      <w:rPr>
        <w:rFonts w:ascii="Symbol" w:hAnsi="Symbol" w:hint="default"/>
      </w:rPr>
    </w:lvl>
    <w:lvl w:ilvl="4" w:tplc="0D1E9850">
      <w:start w:val="1"/>
      <w:numFmt w:val="bullet"/>
      <w:lvlText w:val="o"/>
      <w:lvlJc w:val="left"/>
      <w:pPr>
        <w:ind w:left="3600" w:hanging="360"/>
      </w:pPr>
      <w:rPr>
        <w:rFonts w:ascii="Courier New" w:hAnsi="Courier New" w:hint="default"/>
      </w:rPr>
    </w:lvl>
    <w:lvl w:ilvl="5" w:tplc="B67A1390">
      <w:start w:val="1"/>
      <w:numFmt w:val="bullet"/>
      <w:lvlText w:val=""/>
      <w:lvlJc w:val="left"/>
      <w:pPr>
        <w:ind w:left="4320" w:hanging="360"/>
      </w:pPr>
      <w:rPr>
        <w:rFonts w:ascii="Wingdings" w:hAnsi="Wingdings" w:hint="default"/>
      </w:rPr>
    </w:lvl>
    <w:lvl w:ilvl="6" w:tplc="B8262BE6">
      <w:start w:val="1"/>
      <w:numFmt w:val="bullet"/>
      <w:lvlText w:val=""/>
      <w:lvlJc w:val="left"/>
      <w:pPr>
        <w:ind w:left="5040" w:hanging="360"/>
      </w:pPr>
      <w:rPr>
        <w:rFonts w:ascii="Symbol" w:hAnsi="Symbol" w:hint="default"/>
      </w:rPr>
    </w:lvl>
    <w:lvl w:ilvl="7" w:tplc="8FD2DE46">
      <w:start w:val="1"/>
      <w:numFmt w:val="bullet"/>
      <w:lvlText w:val="o"/>
      <w:lvlJc w:val="left"/>
      <w:pPr>
        <w:ind w:left="5760" w:hanging="360"/>
      </w:pPr>
      <w:rPr>
        <w:rFonts w:ascii="Courier New" w:hAnsi="Courier New" w:hint="default"/>
      </w:rPr>
    </w:lvl>
    <w:lvl w:ilvl="8" w:tplc="AECC425A">
      <w:start w:val="1"/>
      <w:numFmt w:val="bullet"/>
      <w:lvlText w:val=""/>
      <w:lvlJc w:val="left"/>
      <w:pPr>
        <w:ind w:left="6480" w:hanging="360"/>
      </w:pPr>
      <w:rPr>
        <w:rFonts w:ascii="Wingdings" w:hAnsi="Wingdings" w:hint="default"/>
      </w:rPr>
    </w:lvl>
  </w:abstractNum>
  <w:abstractNum w:abstractNumId="40" w15:restartNumberingAfterBreak="0">
    <w:nsid w:val="78BBCECF"/>
    <w:multiLevelType w:val="hybridMultilevel"/>
    <w:tmpl w:val="03B0B4C6"/>
    <w:lvl w:ilvl="0" w:tplc="C5503854">
      <w:start w:val="1"/>
      <w:numFmt w:val="decimal"/>
      <w:lvlText w:val="%1."/>
      <w:lvlJc w:val="left"/>
      <w:pPr>
        <w:ind w:left="720" w:hanging="360"/>
      </w:pPr>
    </w:lvl>
    <w:lvl w:ilvl="1" w:tplc="3B8AAB48">
      <w:start w:val="1"/>
      <w:numFmt w:val="lowerLetter"/>
      <w:lvlText w:val="%2."/>
      <w:lvlJc w:val="left"/>
      <w:pPr>
        <w:ind w:left="1440" w:hanging="360"/>
      </w:pPr>
    </w:lvl>
    <w:lvl w:ilvl="2" w:tplc="97123C7E">
      <w:start w:val="1"/>
      <w:numFmt w:val="lowerRoman"/>
      <w:lvlText w:val="%3."/>
      <w:lvlJc w:val="right"/>
      <w:pPr>
        <w:ind w:left="2160" w:hanging="180"/>
      </w:pPr>
    </w:lvl>
    <w:lvl w:ilvl="3" w:tplc="1FB81CD4">
      <w:start w:val="1"/>
      <w:numFmt w:val="decimal"/>
      <w:lvlText w:val="%4."/>
      <w:lvlJc w:val="left"/>
      <w:pPr>
        <w:ind w:left="2880" w:hanging="360"/>
      </w:pPr>
    </w:lvl>
    <w:lvl w:ilvl="4" w:tplc="55D41A58">
      <w:start w:val="1"/>
      <w:numFmt w:val="lowerLetter"/>
      <w:lvlText w:val="%5."/>
      <w:lvlJc w:val="left"/>
      <w:pPr>
        <w:ind w:left="3600" w:hanging="360"/>
      </w:pPr>
    </w:lvl>
    <w:lvl w:ilvl="5" w:tplc="109C99A6">
      <w:start w:val="1"/>
      <w:numFmt w:val="lowerRoman"/>
      <w:lvlText w:val="%6."/>
      <w:lvlJc w:val="right"/>
      <w:pPr>
        <w:ind w:left="4320" w:hanging="180"/>
      </w:pPr>
    </w:lvl>
    <w:lvl w:ilvl="6" w:tplc="19E4C814">
      <w:start w:val="1"/>
      <w:numFmt w:val="decimal"/>
      <w:lvlText w:val="%7."/>
      <w:lvlJc w:val="left"/>
      <w:pPr>
        <w:ind w:left="5040" w:hanging="360"/>
      </w:pPr>
    </w:lvl>
    <w:lvl w:ilvl="7" w:tplc="4F9A2956">
      <w:start w:val="1"/>
      <w:numFmt w:val="lowerLetter"/>
      <w:lvlText w:val="%8."/>
      <w:lvlJc w:val="left"/>
      <w:pPr>
        <w:ind w:left="5760" w:hanging="360"/>
      </w:pPr>
    </w:lvl>
    <w:lvl w:ilvl="8" w:tplc="2D5EF2EC">
      <w:start w:val="1"/>
      <w:numFmt w:val="lowerRoman"/>
      <w:lvlText w:val="%9."/>
      <w:lvlJc w:val="right"/>
      <w:pPr>
        <w:ind w:left="6480" w:hanging="180"/>
      </w:pPr>
    </w:lvl>
  </w:abstractNum>
  <w:abstractNum w:abstractNumId="41" w15:restartNumberingAfterBreak="0">
    <w:nsid w:val="7938A6B4"/>
    <w:multiLevelType w:val="hybridMultilevel"/>
    <w:tmpl w:val="B930E488"/>
    <w:lvl w:ilvl="0" w:tplc="F4B8DE6E">
      <w:start w:val="7"/>
      <w:numFmt w:val="decimal"/>
      <w:lvlText w:val="%1."/>
      <w:lvlJc w:val="left"/>
      <w:pPr>
        <w:ind w:left="720" w:hanging="360"/>
      </w:pPr>
    </w:lvl>
    <w:lvl w:ilvl="1" w:tplc="A70E6F6C">
      <w:start w:val="1"/>
      <w:numFmt w:val="lowerLetter"/>
      <w:lvlText w:val="%2."/>
      <w:lvlJc w:val="left"/>
      <w:pPr>
        <w:ind w:left="1440" w:hanging="360"/>
      </w:pPr>
    </w:lvl>
    <w:lvl w:ilvl="2" w:tplc="D9E0EEC2">
      <w:start w:val="1"/>
      <w:numFmt w:val="lowerRoman"/>
      <w:lvlText w:val="%3."/>
      <w:lvlJc w:val="right"/>
      <w:pPr>
        <w:ind w:left="2160" w:hanging="180"/>
      </w:pPr>
    </w:lvl>
    <w:lvl w:ilvl="3" w:tplc="19CAC0B4">
      <w:start w:val="1"/>
      <w:numFmt w:val="decimal"/>
      <w:lvlText w:val="%4."/>
      <w:lvlJc w:val="left"/>
      <w:pPr>
        <w:ind w:left="2880" w:hanging="360"/>
      </w:pPr>
    </w:lvl>
    <w:lvl w:ilvl="4" w:tplc="51EC3EA2">
      <w:start w:val="1"/>
      <w:numFmt w:val="lowerLetter"/>
      <w:lvlText w:val="%5."/>
      <w:lvlJc w:val="left"/>
      <w:pPr>
        <w:ind w:left="3600" w:hanging="360"/>
      </w:pPr>
    </w:lvl>
    <w:lvl w:ilvl="5" w:tplc="18A4A830">
      <w:start w:val="1"/>
      <w:numFmt w:val="lowerRoman"/>
      <w:lvlText w:val="%6."/>
      <w:lvlJc w:val="right"/>
      <w:pPr>
        <w:ind w:left="4320" w:hanging="180"/>
      </w:pPr>
    </w:lvl>
    <w:lvl w:ilvl="6" w:tplc="BCE8A1C8">
      <w:start w:val="1"/>
      <w:numFmt w:val="decimal"/>
      <w:lvlText w:val="%7."/>
      <w:lvlJc w:val="left"/>
      <w:pPr>
        <w:ind w:left="5040" w:hanging="360"/>
      </w:pPr>
    </w:lvl>
    <w:lvl w:ilvl="7" w:tplc="172C3E5C">
      <w:start w:val="1"/>
      <w:numFmt w:val="lowerLetter"/>
      <w:lvlText w:val="%8."/>
      <w:lvlJc w:val="left"/>
      <w:pPr>
        <w:ind w:left="5760" w:hanging="360"/>
      </w:pPr>
    </w:lvl>
    <w:lvl w:ilvl="8" w:tplc="AFB077FC">
      <w:start w:val="1"/>
      <w:numFmt w:val="lowerRoman"/>
      <w:lvlText w:val="%9."/>
      <w:lvlJc w:val="right"/>
      <w:pPr>
        <w:ind w:left="6480" w:hanging="180"/>
      </w:pPr>
    </w:lvl>
  </w:abstractNum>
  <w:abstractNum w:abstractNumId="42" w15:restartNumberingAfterBreak="0">
    <w:nsid w:val="7C11268E"/>
    <w:multiLevelType w:val="hybridMultilevel"/>
    <w:tmpl w:val="09D8128C"/>
    <w:lvl w:ilvl="0" w:tplc="D9922E88">
      <w:start w:val="1"/>
      <w:numFmt w:val="decimal"/>
      <w:lvlText w:val="%1."/>
      <w:lvlJc w:val="left"/>
      <w:pPr>
        <w:ind w:left="720" w:hanging="360"/>
      </w:pPr>
    </w:lvl>
    <w:lvl w:ilvl="1" w:tplc="6DB40270">
      <w:start w:val="1"/>
      <w:numFmt w:val="lowerLetter"/>
      <w:lvlText w:val="%2."/>
      <w:lvlJc w:val="left"/>
      <w:pPr>
        <w:ind w:left="1440" w:hanging="360"/>
      </w:pPr>
    </w:lvl>
    <w:lvl w:ilvl="2" w:tplc="042C5BC4">
      <w:start w:val="1"/>
      <w:numFmt w:val="lowerRoman"/>
      <w:lvlText w:val="%3."/>
      <w:lvlJc w:val="right"/>
      <w:pPr>
        <w:ind w:left="2160" w:hanging="180"/>
      </w:pPr>
    </w:lvl>
    <w:lvl w:ilvl="3" w:tplc="FD02C72C">
      <w:start w:val="1"/>
      <w:numFmt w:val="decimal"/>
      <w:lvlText w:val="%4."/>
      <w:lvlJc w:val="left"/>
      <w:pPr>
        <w:ind w:left="2880" w:hanging="360"/>
      </w:pPr>
    </w:lvl>
    <w:lvl w:ilvl="4" w:tplc="58BEECAA">
      <w:start w:val="1"/>
      <w:numFmt w:val="lowerLetter"/>
      <w:lvlText w:val="%5."/>
      <w:lvlJc w:val="left"/>
      <w:pPr>
        <w:ind w:left="3600" w:hanging="360"/>
      </w:pPr>
    </w:lvl>
    <w:lvl w:ilvl="5" w:tplc="D6621754">
      <w:start w:val="1"/>
      <w:numFmt w:val="lowerRoman"/>
      <w:lvlText w:val="%6."/>
      <w:lvlJc w:val="right"/>
      <w:pPr>
        <w:ind w:left="4320" w:hanging="180"/>
      </w:pPr>
    </w:lvl>
    <w:lvl w:ilvl="6" w:tplc="5308D57E">
      <w:start w:val="1"/>
      <w:numFmt w:val="decimal"/>
      <w:lvlText w:val="%7."/>
      <w:lvlJc w:val="left"/>
      <w:pPr>
        <w:ind w:left="5040" w:hanging="360"/>
      </w:pPr>
    </w:lvl>
    <w:lvl w:ilvl="7" w:tplc="D472D00C">
      <w:start w:val="1"/>
      <w:numFmt w:val="lowerLetter"/>
      <w:lvlText w:val="%8."/>
      <w:lvlJc w:val="left"/>
      <w:pPr>
        <w:ind w:left="5760" w:hanging="360"/>
      </w:pPr>
    </w:lvl>
    <w:lvl w:ilvl="8" w:tplc="0BB2165E">
      <w:start w:val="1"/>
      <w:numFmt w:val="lowerRoman"/>
      <w:lvlText w:val="%9."/>
      <w:lvlJc w:val="right"/>
      <w:pPr>
        <w:ind w:left="6480" w:hanging="180"/>
      </w:pPr>
    </w:lvl>
  </w:abstractNum>
  <w:abstractNum w:abstractNumId="43" w15:restartNumberingAfterBreak="0">
    <w:nsid w:val="7C512F44"/>
    <w:multiLevelType w:val="hybridMultilevel"/>
    <w:tmpl w:val="F7D2F974"/>
    <w:lvl w:ilvl="0" w:tplc="8282548A">
      <w:start w:val="1"/>
      <w:numFmt w:val="decimal"/>
      <w:lvlText w:val="%1."/>
      <w:lvlJc w:val="left"/>
      <w:pPr>
        <w:ind w:left="720" w:hanging="360"/>
      </w:pPr>
    </w:lvl>
    <w:lvl w:ilvl="1" w:tplc="CC78A44E">
      <w:start w:val="1"/>
      <w:numFmt w:val="lowerLetter"/>
      <w:lvlText w:val="%2."/>
      <w:lvlJc w:val="left"/>
      <w:pPr>
        <w:ind w:left="1440" w:hanging="360"/>
      </w:pPr>
    </w:lvl>
    <w:lvl w:ilvl="2" w:tplc="EF02AAB4">
      <w:start w:val="1"/>
      <w:numFmt w:val="lowerRoman"/>
      <w:lvlText w:val="%3."/>
      <w:lvlJc w:val="right"/>
      <w:pPr>
        <w:ind w:left="2160" w:hanging="180"/>
      </w:pPr>
    </w:lvl>
    <w:lvl w:ilvl="3" w:tplc="5192A9A0">
      <w:start w:val="1"/>
      <w:numFmt w:val="decimal"/>
      <w:lvlText w:val="%4."/>
      <w:lvlJc w:val="left"/>
      <w:pPr>
        <w:ind w:left="2880" w:hanging="360"/>
      </w:pPr>
    </w:lvl>
    <w:lvl w:ilvl="4" w:tplc="F384BB48">
      <w:start w:val="1"/>
      <w:numFmt w:val="lowerLetter"/>
      <w:lvlText w:val="%5."/>
      <w:lvlJc w:val="left"/>
      <w:pPr>
        <w:ind w:left="3600" w:hanging="360"/>
      </w:pPr>
    </w:lvl>
    <w:lvl w:ilvl="5" w:tplc="5BDEC7BC">
      <w:start w:val="1"/>
      <w:numFmt w:val="lowerRoman"/>
      <w:lvlText w:val="%6."/>
      <w:lvlJc w:val="right"/>
      <w:pPr>
        <w:ind w:left="4320" w:hanging="180"/>
      </w:pPr>
    </w:lvl>
    <w:lvl w:ilvl="6" w:tplc="1B38A0B8">
      <w:start w:val="1"/>
      <w:numFmt w:val="decimal"/>
      <w:lvlText w:val="%7."/>
      <w:lvlJc w:val="left"/>
      <w:pPr>
        <w:ind w:left="5040" w:hanging="360"/>
      </w:pPr>
    </w:lvl>
    <w:lvl w:ilvl="7" w:tplc="2692F34E">
      <w:start w:val="1"/>
      <w:numFmt w:val="lowerLetter"/>
      <w:lvlText w:val="%8."/>
      <w:lvlJc w:val="left"/>
      <w:pPr>
        <w:ind w:left="5760" w:hanging="360"/>
      </w:pPr>
    </w:lvl>
    <w:lvl w:ilvl="8" w:tplc="8522C888">
      <w:start w:val="1"/>
      <w:numFmt w:val="lowerRoman"/>
      <w:lvlText w:val="%9."/>
      <w:lvlJc w:val="right"/>
      <w:pPr>
        <w:ind w:left="6480" w:hanging="180"/>
      </w:pPr>
    </w:lvl>
  </w:abstractNum>
  <w:num w:numId="1" w16cid:durableId="1761759251">
    <w:abstractNumId w:val="42"/>
  </w:num>
  <w:num w:numId="2" w16cid:durableId="1248998168">
    <w:abstractNumId w:val="4"/>
  </w:num>
  <w:num w:numId="3" w16cid:durableId="643660304">
    <w:abstractNumId w:val="39"/>
  </w:num>
  <w:num w:numId="4" w16cid:durableId="1896232633">
    <w:abstractNumId w:val="25"/>
  </w:num>
  <w:num w:numId="5" w16cid:durableId="377359418">
    <w:abstractNumId w:val="13"/>
  </w:num>
  <w:num w:numId="6" w16cid:durableId="911740616">
    <w:abstractNumId w:val="22"/>
  </w:num>
  <w:num w:numId="7" w16cid:durableId="2084452606">
    <w:abstractNumId w:val="24"/>
  </w:num>
  <w:num w:numId="8" w16cid:durableId="97407596">
    <w:abstractNumId w:val="21"/>
  </w:num>
  <w:num w:numId="9" w16cid:durableId="1260873965">
    <w:abstractNumId w:val="30"/>
  </w:num>
  <w:num w:numId="10" w16cid:durableId="1646398215">
    <w:abstractNumId w:val="17"/>
  </w:num>
  <w:num w:numId="11" w16cid:durableId="159471579">
    <w:abstractNumId w:val="33"/>
  </w:num>
  <w:num w:numId="12" w16cid:durableId="1508783812">
    <w:abstractNumId w:val="10"/>
  </w:num>
  <w:num w:numId="13" w16cid:durableId="1623460953">
    <w:abstractNumId w:val="20"/>
  </w:num>
  <w:num w:numId="14" w16cid:durableId="2034108469">
    <w:abstractNumId w:val="27"/>
  </w:num>
  <w:num w:numId="15" w16cid:durableId="1838961013">
    <w:abstractNumId w:val="9"/>
  </w:num>
  <w:num w:numId="16" w16cid:durableId="238103325">
    <w:abstractNumId w:val="38"/>
  </w:num>
  <w:num w:numId="17" w16cid:durableId="1605186132">
    <w:abstractNumId w:val="23"/>
  </w:num>
  <w:num w:numId="18" w16cid:durableId="1351491483">
    <w:abstractNumId w:val="29"/>
  </w:num>
  <w:num w:numId="19" w16cid:durableId="506360804">
    <w:abstractNumId w:val="3"/>
  </w:num>
  <w:num w:numId="20" w16cid:durableId="923415889">
    <w:abstractNumId w:val="18"/>
  </w:num>
  <w:num w:numId="21" w16cid:durableId="442189905">
    <w:abstractNumId w:val="11"/>
  </w:num>
  <w:num w:numId="22" w16cid:durableId="640623443">
    <w:abstractNumId w:val="41"/>
  </w:num>
  <w:num w:numId="23" w16cid:durableId="28605314">
    <w:abstractNumId w:val="35"/>
  </w:num>
  <w:num w:numId="24" w16cid:durableId="1901480572">
    <w:abstractNumId w:val="1"/>
  </w:num>
  <w:num w:numId="25" w16cid:durableId="325479573">
    <w:abstractNumId w:val="32"/>
  </w:num>
  <w:num w:numId="26" w16cid:durableId="678852455">
    <w:abstractNumId w:val="26"/>
  </w:num>
  <w:num w:numId="27" w16cid:durableId="1136336060">
    <w:abstractNumId w:val="2"/>
  </w:num>
  <w:num w:numId="28" w16cid:durableId="1804155486">
    <w:abstractNumId w:val="15"/>
  </w:num>
  <w:num w:numId="29" w16cid:durableId="593441199">
    <w:abstractNumId w:val="43"/>
  </w:num>
  <w:num w:numId="30" w16cid:durableId="1569684112">
    <w:abstractNumId w:val="31"/>
  </w:num>
  <w:num w:numId="31" w16cid:durableId="902254743">
    <w:abstractNumId w:val="40"/>
  </w:num>
  <w:num w:numId="32" w16cid:durableId="1690135036">
    <w:abstractNumId w:val="19"/>
  </w:num>
  <w:num w:numId="33" w16cid:durableId="514273114">
    <w:abstractNumId w:val="34"/>
  </w:num>
  <w:num w:numId="34" w16cid:durableId="1915969075">
    <w:abstractNumId w:val="14"/>
  </w:num>
  <w:num w:numId="35" w16cid:durableId="2029719975">
    <w:abstractNumId w:val="12"/>
  </w:num>
  <w:num w:numId="36" w16cid:durableId="1539776804">
    <w:abstractNumId w:val="28"/>
  </w:num>
  <w:num w:numId="37" w16cid:durableId="3636796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5686896">
    <w:abstractNumId w:val="16"/>
  </w:num>
  <w:num w:numId="39" w16cid:durableId="594171688">
    <w:abstractNumId w:val="5"/>
  </w:num>
  <w:num w:numId="40" w16cid:durableId="1938251912">
    <w:abstractNumId w:val="8"/>
  </w:num>
  <w:num w:numId="41" w16cid:durableId="1784962959">
    <w:abstractNumId w:val="37"/>
  </w:num>
  <w:num w:numId="42" w16cid:durableId="1023946614">
    <w:abstractNumId w:val="6"/>
  </w:num>
  <w:num w:numId="43" w16cid:durableId="967129324">
    <w:abstractNumId w:val="36"/>
  </w:num>
  <w:num w:numId="44" w16cid:durableId="1843663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10E8D"/>
    <w:rsid w:val="000142AA"/>
    <w:rsid w:val="00016CF3"/>
    <w:rsid w:val="00021F1D"/>
    <w:rsid w:val="00022556"/>
    <w:rsid w:val="00023B6F"/>
    <w:rsid w:val="00024DE3"/>
    <w:rsid w:val="00030F59"/>
    <w:rsid w:val="00031A62"/>
    <w:rsid w:val="000336AC"/>
    <w:rsid w:val="000342B6"/>
    <w:rsid w:val="000367E8"/>
    <w:rsid w:val="00046377"/>
    <w:rsid w:val="0005220F"/>
    <w:rsid w:val="00052389"/>
    <w:rsid w:val="0005309D"/>
    <w:rsid w:val="00056CF5"/>
    <w:rsid w:val="00064FF9"/>
    <w:rsid w:val="000717EF"/>
    <w:rsid w:val="000734A4"/>
    <w:rsid w:val="0008238F"/>
    <w:rsid w:val="00082633"/>
    <w:rsid w:val="00085935"/>
    <w:rsid w:val="000910FC"/>
    <w:rsid w:val="00094462"/>
    <w:rsid w:val="00095326"/>
    <w:rsid w:val="0009644E"/>
    <w:rsid w:val="000A1B7F"/>
    <w:rsid w:val="000A1F17"/>
    <w:rsid w:val="000A2CD7"/>
    <w:rsid w:val="000A3229"/>
    <w:rsid w:val="000A3409"/>
    <w:rsid w:val="000A53BE"/>
    <w:rsid w:val="000A53E2"/>
    <w:rsid w:val="000A66B8"/>
    <w:rsid w:val="000A67F8"/>
    <w:rsid w:val="000B042D"/>
    <w:rsid w:val="000B3623"/>
    <w:rsid w:val="000B3FCA"/>
    <w:rsid w:val="000B493C"/>
    <w:rsid w:val="000B4DB3"/>
    <w:rsid w:val="000B7906"/>
    <w:rsid w:val="000C3730"/>
    <w:rsid w:val="000C3A9B"/>
    <w:rsid w:val="000C60B4"/>
    <w:rsid w:val="000C6340"/>
    <w:rsid w:val="000D0680"/>
    <w:rsid w:val="000E1DDC"/>
    <w:rsid w:val="000E4A80"/>
    <w:rsid w:val="000F07F1"/>
    <w:rsid w:val="000F1E67"/>
    <w:rsid w:val="000F30DB"/>
    <w:rsid w:val="000F56E0"/>
    <w:rsid w:val="000F622B"/>
    <w:rsid w:val="001008D1"/>
    <w:rsid w:val="00111994"/>
    <w:rsid w:val="00112126"/>
    <w:rsid w:val="001171B2"/>
    <w:rsid w:val="00117498"/>
    <w:rsid w:val="001215B4"/>
    <w:rsid w:val="001244C6"/>
    <w:rsid w:val="00127469"/>
    <w:rsid w:val="00131188"/>
    <w:rsid w:val="00136514"/>
    <w:rsid w:val="00137C87"/>
    <w:rsid w:val="00143423"/>
    <w:rsid w:val="00145D5E"/>
    <w:rsid w:val="0014759D"/>
    <w:rsid w:val="00147EA4"/>
    <w:rsid w:val="00154147"/>
    <w:rsid w:val="0015424B"/>
    <w:rsid w:val="001565F9"/>
    <w:rsid w:val="00157AE0"/>
    <w:rsid w:val="00160BDA"/>
    <w:rsid w:val="00163CA4"/>
    <w:rsid w:val="00164736"/>
    <w:rsid w:val="001720AB"/>
    <w:rsid w:val="00181B2A"/>
    <w:rsid w:val="00181EF5"/>
    <w:rsid w:val="0018642B"/>
    <w:rsid w:val="00193CFD"/>
    <w:rsid w:val="00194BA1"/>
    <w:rsid w:val="001A59C1"/>
    <w:rsid w:val="001A5ED5"/>
    <w:rsid w:val="001A7AF4"/>
    <w:rsid w:val="001B19D4"/>
    <w:rsid w:val="001B1AC4"/>
    <w:rsid w:val="001B27D7"/>
    <w:rsid w:val="001B3AB8"/>
    <w:rsid w:val="001B46C2"/>
    <w:rsid w:val="001B799A"/>
    <w:rsid w:val="001C42EB"/>
    <w:rsid w:val="001C47E0"/>
    <w:rsid w:val="001F69F4"/>
    <w:rsid w:val="001F742C"/>
    <w:rsid w:val="0020250C"/>
    <w:rsid w:val="002043F6"/>
    <w:rsid w:val="00206A9F"/>
    <w:rsid w:val="00220D48"/>
    <w:rsid w:val="002234AA"/>
    <w:rsid w:val="00237523"/>
    <w:rsid w:val="00237C8C"/>
    <w:rsid w:val="002414AC"/>
    <w:rsid w:val="00242F64"/>
    <w:rsid w:val="002439A3"/>
    <w:rsid w:val="002439C2"/>
    <w:rsid w:val="00243E14"/>
    <w:rsid w:val="00250991"/>
    <w:rsid w:val="002527FC"/>
    <w:rsid w:val="00252C5C"/>
    <w:rsid w:val="00253D84"/>
    <w:rsid w:val="00255789"/>
    <w:rsid w:val="00257352"/>
    <w:rsid w:val="00260BC9"/>
    <w:rsid w:val="00260FB6"/>
    <w:rsid w:val="00265F94"/>
    <w:rsid w:val="002661B3"/>
    <w:rsid w:val="00272519"/>
    <w:rsid w:val="002734D9"/>
    <w:rsid w:val="00273933"/>
    <w:rsid w:val="00282223"/>
    <w:rsid w:val="002823EE"/>
    <w:rsid w:val="002829A5"/>
    <w:rsid w:val="00290FD0"/>
    <w:rsid w:val="00291BE8"/>
    <w:rsid w:val="0029310F"/>
    <w:rsid w:val="002A020E"/>
    <w:rsid w:val="002A0797"/>
    <w:rsid w:val="002A44E8"/>
    <w:rsid w:val="002A4838"/>
    <w:rsid w:val="002C57BC"/>
    <w:rsid w:val="002D0159"/>
    <w:rsid w:val="002D36C6"/>
    <w:rsid w:val="002E34EA"/>
    <w:rsid w:val="002E46A1"/>
    <w:rsid w:val="002F1975"/>
    <w:rsid w:val="002F3091"/>
    <w:rsid w:val="002F51F0"/>
    <w:rsid w:val="002F7A11"/>
    <w:rsid w:val="002F7D25"/>
    <w:rsid w:val="00301D68"/>
    <w:rsid w:val="00305936"/>
    <w:rsid w:val="00315C53"/>
    <w:rsid w:val="00320A94"/>
    <w:rsid w:val="00322CB1"/>
    <w:rsid w:val="003341BE"/>
    <w:rsid w:val="00334D0A"/>
    <w:rsid w:val="003369A6"/>
    <w:rsid w:val="00340484"/>
    <w:rsid w:val="00344140"/>
    <w:rsid w:val="00344556"/>
    <w:rsid w:val="00345B90"/>
    <w:rsid w:val="0035378E"/>
    <w:rsid w:val="0035422B"/>
    <w:rsid w:val="0035424D"/>
    <w:rsid w:val="00355B8E"/>
    <w:rsid w:val="00366871"/>
    <w:rsid w:val="00374FD8"/>
    <w:rsid w:val="00375EC9"/>
    <w:rsid w:val="00382050"/>
    <w:rsid w:val="00390AC3"/>
    <w:rsid w:val="003937C6"/>
    <w:rsid w:val="003976FB"/>
    <w:rsid w:val="003A0BC2"/>
    <w:rsid w:val="003A1D3E"/>
    <w:rsid w:val="003A6F6D"/>
    <w:rsid w:val="003A749C"/>
    <w:rsid w:val="003B7C38"/>
    <w:rsid w:val="003C1E49"/>
    <w:rsid w:val="003C3D8B"/>
    <w:rsid w:val="003C60FE"/>
    <w:rsid w:val="003D2878"/>
    <w:rsid w:val="003D3C20"/>
    <w:rsid w:val="003D5AA4"/>
    <w:rsid w:val="003D608F"/>
    <w:rsid w:val="003D6929"/>
    <w:rsid w:val="003D7BBF"/>
    <w:rsid w:val="003E2520"/>
    <w:rsid w:val="003E4654"/>
    <w:rsid w:val="003E5C75"/>
    <w:rsid w:val="003E6A6D"/>
    <w:rsid w:val="003E7A50"/>
    <w:rsid w:val="0040292E"/>
    <w:rsid w:val="0040603B"/>
    <w:rsid w:val="004076CD"/>
    <w:rsid w:val="004152D3"/>
    <w:rsid w:val="00417265"/>
    <w:rsid w:val="00417CE5"/>
    <w:rsid w:val="00423D8B"/>
    <w:rsid w:val="00424A0A"/>
    <w:rsid w:val="0043051A"/>
    <w:rsid w:val="00430A63"/>
    <w:rsid w:val="00433139"/>
    <w:rsid w:val="004332BA"/>
    <w:rsid w:val="00443210"/>
    <w:rsid w:val="0044687F"/>
    <w:rsid w:val="00450118"/>
    <w:rsid w:val="00450405"/>
    <w:rsid w:val="00453314"/>
    <w:rsid w:val="00476CC4"/>
    <w:rsid w:val="004779FD"/>
    <w:rsid w:val="004866AE"/>
    <w:rsid w:val="0049009F"/>
    <w:rsid w:val="00494488"/>
    <w:rsid w:val="004A17D9"/>
    <w:rsid w:val="004A28C9"/>
    <w:rsid w:val="004A2975"/>
    <w:rsid w:val="004A48E5"/>
    <w:rsid w:val="004A5B01"/>
    <w:rsid w:val="004A66FC"/>
    <w:rsid w:val="004A7D93"/>
    <w:rsid w:val="004A7FF9"/>
    <w:rsid w:val="004B1E4E"/>
    <w:rsid w:val="004B214A"/>
    <w:rsid w:val="004B4CAF"/>
    <w:rsid w:val="004B73AF"/>
    <w:rsid w:val="004C01B6"/>
    <w:rsid w:val="004C3394"/>
    <w:rsid w:val="004C3516"/>
    <w:rsid w:val="004D228F"/>
    <w:rsid w:val="004D2568"/>
    <w:rsid w:val="004D34EE"/>
    <w:rsid w:val="004D3E1C"/>
    <w:rsid w:val="004D3EE9"/>
    <w:rsid w:val="004D51DD"/>
    <w:rsid w:val="004D6179"/>
    <w:rsid w:val="004D7A5A"/>
    <w:rsid w:val="004E12CC"/>
    <w:rsid w:val="004E150B"/>
    <w:rsid w:val="004E56D8"/>
    <w:rsid w:val="004E7176"/>
    <w:rsid w:val="004E783D"/>
    <w:rsid w:val="004E7A3A"/>
    <w:rsid w:val="004F2465"/>
    <w:rsid w:val="004F25E3"/>
    <w:rsid w:val="004F34E5"/>
    <w:rsid w:val="004F6D93"/>
    <w:rsid w:val="005028A4"/>
    <w:rsid w:val="00510372"/>
    <w:rsid w:val="005132BB"/>
    <w:rsid w:val="0051494C"/>
    <w:rsid w:val="00524166"/>
    <w:rsid w:val="00524C18"/>
    <w:rsid w:val="00527F99"/>
    <w:rsid w:val="00530D47"/>
    <w:rsid w:val="00531CD5"/>
    <w:rsid w:val="00532BCC"/>
    <w:rsid w:val="005336C2"/>
    <w:rsid w:val="005403E3"/>
    <w:rsid w:val="00540510"/>
    <w:rsid w:val="005419A3"/>
    <w:rsid w:val="00551CDF"/>
    <w:rsid w:val="0055461C"/>
    <w:rsid w:val="00562B1B"/>
    <w:rsid w:val="00563A7B"/>
    <w:rsid w:val="00567FD1"/>
    <w:rsid w:val="00570217"/>
    <w:rsid w:val="00571EF6"/>
    <w:rsid w:val="005730FE"/>
    <w:rsid w:val="0058191E"/>
    <w:rsid w:val="00581DB3"/>
    <w:rsid w:val="0058251F"/>
    <w:rsid w:val="00587CD8"/>
    <w:rsid w:val="0059754B"/>
    <w:rsid w:val="005A32C9"/>
    <w:rsid w:val="005B0C1B"/>
    <w:rsid w:val="005B2191"/>
    <w:rsid w:val="005B417E"/>
    <w:rsid w:val="005B64F5"/>
    <w:rsid w:val="005B7B7E"/>
    <w:rsid w:val="005C0620"/>
    <w:rsid w:val="005C183B"/>
    <w:rsid w:val="005C1FAD"/>
    <w:rsid w:val="005C58B6"/>
    <w:rsid w:val="005C5BF7"/>
    <w:rsid w:val="005D0CE9"/>
    <w:rsid w:val="005D4EE6"/>
    <w:rsid w:val="005D5F82"/>
    <w:rsid w:val="005E6C39"/>
    <w:rsid w:val="005F2A19"/>
    <w:rsid w:val="00603182"/>
    <w:rsid w:val="00603427"/>
    <w:rsid w:val="0060568A"/>
    <w:rsid w:val="00605822"/>
    <w:rsid w:val="0060622C"/>
    <w:rsid w:val="00611ABF"/>
    <w:rsid w:val="00611E1D"/>
    <w:rsid w:val="00612691"/>
    <w:rsid w:val="0061778F"/>
    <w:rsid w:val="006249CB"/>
    <w:rsid w:val="00624A10"/>
    <w:rsid w:val="00626C39"/>
    <w:rsid w:val="00626F21"/>
    <w:rsid w:val="00630329"/>
    <w:rsid w:val="00632FE4"/>
    <w:rsid w:val="0063454E"/>
    <w:rsid w:val="00634DDF"/>
    <w:rsid w:val="00635465"/>
    <w:rsid w:val="006377B9"/>
    <w:rsid w:val="0064041D"/>
    <w:rsid w:val="006426E2"/>
    <w:rsid w:val="00643D7A"/>
    <w:rsid w:val="00646D29"/>
    <w:rsid w:val="00651ED6"/>
    <w:rsid w:val="0065268F"/>
    <w:rsid w:val="00654C45"/>
    <w:rsid w:val="0066318F"/>
    <w:rsid w:val="006671C3"/>
    <w:rsid w:val="0067456A"/>
    <w:rsid w:val="00676249"/>
    <w:rsid w:val="006814DC"/>
    <w:rsid w:val="00682A50"/>
    <w:rsid w:val="00685C09"/>
    <w:rsid w:val="0068653E"/>
    <w:rsid w:val="006927DD"/>
    <w:rsid w:val="006A19CD"/>
    <w:rsid w:val="006A2317"/>
    <w:rsid w:val="006A334B"/>
    <w:rsid w:val="006B736B"/>
    <w:rsid w:val="006B7423"/>
    <w:rsid w:val="006B7B89"/>
    <w:rsid w:val="006C2B00"/>
    <w:rsid w:val="006C2D0A"/>
    <w:rsid w:val="006C7E74"/>
    <w:rsid w:val="006D39C4"/>
    <w:rsid w:val="006E0B6B"/>
    <w:rsid w:val="006E171C"/>
    <w:rsid w:val="006E423B"/>
    <w:rsid w:val="006E7D5B"/>
    <w:rsid w:val="006F582F"/>
    <w:rsid w:val="006F5BFA"/>
    <w:rsid w:val="007064C2"/>
    <w:rsid w:val="00711DA4"/>
    <w:rsid w:val="0071305D"/>
    <w:rsid w:val="007143B8"/>
    <w:rsid w:val="007316AA"/>
    <w:rsid w:val="0073323A"/>
    <w:rsid w:val="00741B9C"/>
    <w:rsid w:val="00750EF9"/>
    <w:rsid w:val="00757A1C"/>
    <w:rsid w:val="007637D8"/>
    <w:rsid w:val="00765AB3"/>
    <w:rsid w:val="00765EBC"/>
    <w:rsid w:val="007722D9"/>
    <w:rsid w:val="0077231B"/>
    <w:rsid w:val="00774643"/>
    <w:rsid w:val="00777A42"/>
    <w:rsid w:val="007838DE"/>
    <w:rsid w:val="007855FA"/>
    <w:rsid w:val="007B46CD"/>
    <w:rsid w:val="007B4EF7"/>
    <w:rsid w:val="007B5CEC"/>
    <w:rsid w:val="007C10F7"/>
    <w:rsid w:val="007C4387"/>
    <w:rsid w:val="007C7CCE"/>
    <w:rsid w:val="007D1FDF"/>
    <w:rsid w:val="007D2FB7"/>
    <w:rsid w:val="007D3528"/>
    <w:rsid w:val="007E31AE"/>
    <w:rsid w:val="007E6152"/>
    <w:rsid w:val="007E6AB1"/>
    <w:rsid w:val="007E79C4"/>
    <w:rsid w:val="007F23A8"/>
    <w:rsid w:val="007F36A2"/>
    <w:rsid w:val="007F7B3B"/>
    <w:rsid w:val="00804604"/>
    <w:rsid w:val="00810361"/>
    <w:rsid w:val="0081221D"/>
    <w:rsid w:val="00812B37"/>
    <w:rsid w:val="0081742D"/>
    <w:rsid w:val="00826961"/>
    <w:rsid w:val="00830774"/>
    <w:rsid w:val="00835A59"/>
    <w:rsid w:val="00836428"/>
    <w:rsid w:val="00844138"/>
    <w:rsid w:val="008478CF"/>
    <w:rsid w:val="00847C78"/>
    <w:rsid w:val="00852B97"/>
    <w:rsid w:val="00866D5D"/>
    <w:rsid w:val="00870521"/>
    <w:rsid w:val="0087642D"/>
    <w:rsid w:val="00876C6D"/>
    <w:rsid w:val="008806CE"/>
    <w:rsid w:val="008856D7"/>
    <w:rsid w:val="00890056"/>
    <w:rsid w:val="0089523C"/>
    <w:rsid w:val="008960EB"/>
    <w:rsid w:val="008A7B42"/>
    <w:rsid w:val="008B1707"/>
    <w:rsid w:val="008B3A64"/>
    <w:rsid w:val="008C3B9B"/>
    <w:rsid w:val="008C7B1F"/>
    <w:rsid w:val="008C7B63"/>
    <w:rsid w:val="008D24AE"/>
    <w:rsid w:val="008E0859"/>
    <w:rsid w:val="008F0BDD"/>
    <w:rsid w:val="008F2F99"/>
    <w:rsid w:val="008F6084"/>
    <w:rsid w:val="00900939"/>
    <w:rsid w:val="009013EF"/>
    <w:rsid w:val="00902AA2"/>
    <w:rsid w:val="009057C8"/>
    <w:rsid w:val="0091378F"/>
    <w:rsid w:val="009169B6"/>
    <w:rsid w:val="009226E1"/>
    <w:rsid w:val="00923DD0"/>
    <w:rsid w:val="0093193B"/>
    <w:rsid w:val="009446D2"/>
    <w:rsid w:val="00947170"/>
    <w:rsid w:val="00947B3D"/>
    <w:rsid w:val="00956E94"/>
    <w:rsid w:val="00962312"/>
    <w:rsid w:val="009627A1"/>
    <w:rsid w:val="009712FE"/>
    <w:rsid w:val="00973CB4"/>
    <w:rsid w:val="0097739C"/>
    <w:rsid w:val="00982F31"/>
    <w:rsid w:val="00984782"/>
    <w:rsid w:val="00984995"/>
    <w:rsid w:val="00986072"/>
    <w:rsid w:val="009875AD"/>
    <w:rsid w:val="0099141F"/>
    <w:rsid w:val="009924AF"/>
    <w:rsid w:val="00995416"/>
    <w:rsid w:val="00996529"/>
    <w:rsid w:val="009A09D7"/>
    <w:rsid w:val="009A2E9A"/>
    <w:rsid w:val="009A7F71"/>
    <w:rsid w:val="009B19B5"/>
    <w:rsid w:val="009B3AF3"/>
    <w:rsid w:val="009B4F69"/>
    <w:rsid w:val="009B51D7"/>
    <w:rsid w:val="009C2E74"/>
    <w:rsid w:val="009C6494"/>
    <w:rsid w:val="009D3BEA"/>
    <w:rsid w:val="009D46D3"/>
    <w:rsid w:val="009D5161"/>
    <w:rsid w:val="009D62C8"/>
    <w:rsid w:val="009D668E"/>
    <w:rsid w:val="009E2E6C"/>
    <w:rsid w:val="009E4D16"/>
    <w:rsid w:val="009F12E2"/>
    <w:rsid w:val="009F3358"/>
    <w:rsid w:val="009F478B"/>
    <w:rsid w:val="009F69C1"/>
    <w:rsid w:val="009F7BF0"/>
    <w:rsid w:val="00A03D8B"/>
    <w:rsid w:val="00A064C0"/>
    <w:rsid w:val="00A1158E"/>
    <w:rsid w:val="00A16641"/>
    <w:rsid w:val="00A40EE1"/>
    <w:rsid w:val="00A423ED"/>
    <w:rsid w:val="00A44B2F"/>
    <w:rsid w:val="00A536F3"/>
    <w:rsid w:val="00A72103"/>
    <w:rsid w:val="00A75C67"/>
    <w:rsid w:val="00A90454"/>
    <w:rsid w:val="00A91D08"/>
    <w:rsid w:val="00A976E4"/>
    <w:rsid w:val="00A97817"/>
    <w:rsid w:val="00AA6318"/>
    <w:rsid w:val="00AA7FCB"/>
    <w:rsid w:val="00AB46CA"/>
    <w:rsid w:val="00AB59AE"/>
    <w:rsid w:val="00AB5BD9"/>
    <w:rsid w:val="00AC040C"/>
    <w:rsid w:val="00AC0B87"/>
    <w:rsid w:val="00AD0AA1"/>
    <w:rsid w:val="00AD0BE2"/>
    <w:rsid w:val="00AD19E2"/>
    <w:rsid w:val="00AE07A3"/>
    <w:rsid w:val="00AE372A"/>
    <w:rsid w:val="00B05D97"/>
    <w:rsid w:val="00B11235"/>
    <w:rsid w:val="00B13990"/>
    <w:rsid w:val="00B14382"/>
    <w:rsid w:val="00B17D28"/>
    <w:rsid w:val="00B227FE"/>
    <w:rsid w:val="00B25D85"/>
    <w:rsid w:val="00B26DFF"/>
    <w:rsid w:val="00B26F8F"/>
    <w:rsid w:val="00B275A9"/>
    <w:rsid w:val="00B40DBF"/>
    <w:rsid w:val="00B44231"/>
    <w:rsid w:val="00B457C4"/>
    <w:rsid w:val="00B471E1"/>
    <w:rsid w:val="00B53D29"/>
    <w:rsid w:val="00B54060"/>
    <w:rsid w:val="00B60140"/>
    <w:rsid w:val="00B60CCB"/>
    <w:rsid w:val="00B71178"/>
    <w:rsid w:val="00B759F5"/>
    <w:rsid w:val="00B8022F"/>
    <w:rsid w:val="00B8398D"/>
    <w:rsid w:val="00B914A2"/>
    <w:rsid w:val="00B9541E"/>
    <w:rsid w:val="00B96309"/>
    <w:rsid w:val="00BA4CDE"/>
    <w:rsid w:val="00BB0488"/>
    <w:rsid w:val="00BB19AC"/>
    <w:rsid w:val="00BB38DA"/>
    <w:rsid w:val="00BB3ED5"/>
    <w:rsid w:val="00BB40E1"/>
    <w:rsid w:val="00BB4AB9"/>
    <w:rsid w:val="00BC07C0"/>
    <w:rsid w:val="00BC245F"/>
    <w:rsid w:val="00BC3275"/>
    <w:rsid w:val="00BC4176"/>
    <w:rsid w:val="00BD3CFF"/>
    <w:rsid w:val="00BE59BD"/>
    <w:rsid w:val="00BF4A8F"/>
    <w:rsid w:val="00C00E01"/>
    <w:rsid w:val="00C0174A"/>
    <w:rsid w:val="00C05918"/>
    <w:rsid w:val="00C05D9B"/>
    <w:rsid w:val="00C15C46"/>
    <w:rsid w:val="00C214BA"/>
    <w:rsid w:val="00C24DC2"/>
    <w:rsid w:val="00C26130"/>
    <w:rsid w:val="00C27C7E"/>
    <w:rsid w:val="00C315B6"/>
    <w:rsid w:val="00C36136"/>
    <w:rsid w:val="00C376F3"/>
    <w:rsid w:val="00C4132F"/>
    <w:rsid w:val="00C413FC"/>
    <w:rsid w:val="00C44C57"/>
    <w:rsid w:val="00C463D2"/>
    <w:rsid w:val="00C62A44"/>
    <w:rsid w:val="00C664A0"/>
    <w:rsid w:val="00C6761C"/>
    <w:rsid w:val="00C76760"/>
    <w:rsid w:val="00C80A39"/>
    <w:rsid w:val="00C81823"/>
    <w:rsid w:val="00C81936"/>
    <w:rsid w:val="00C84C4C"/>
    <w:rsid w:val="00C85031"/>
    <w:rsid w:val="00C86265"/>
    <w:rsid w:val="00C91C15"/>
    <w:rsid w:val="00C92CF2"/>
    <w:rsid w:val="00C92F3F"/>
    <w:rsid w:val="00C9335D"/>
    <w:rsid w:val="00CA1702"/>
    <w:rsid w:val="00CA5CC2"/>
    <w:rsid w:val="00CA6667"/>
    <w:rsid w:val="00CA7020"/>
    <w:rsid w:val="00CA7D78"/>
    <w:rsid w:val="00CB08EB"/>
    <w:rsid w:val="00CB3451"/>
    <w:rsid w:val="00CB631F"/>
    <w:rsid w:val="00CC0359"/>
    <w:rsid w:val="00CC5314"/>
    <w:rsid w:val="00CC5319"/>
    <w:rsid w:val="00CC5DCC"/>
    <w:rsid w:val="00CC7A91"/>
    <w:rsid w:val="00CC7BB4"/>
    <w:rsid w:val="00CD1C40"/>
    <w:rsid w:val="00CD2BDB"/>
    <w:rsid w:val="00CE14F9"/>
    <w:rsid w:val="00CE3C07"/>
    <w:rsid w:val="00CE5B7B"/>
    <w:rsid w:val="00CF5003"/>
    <w:rsid w:val="00CF53E5"/>
    <w:rsid w:val="00D0019C"/>
    <w:rsid w:val="00D02464"/>
    <w:rsid w:val="00D04D40"/>
    <w:rsid w:val="00D10466"/>
    <w:rsid w:val="00D10D00"/>
    <w:rsid w:val="00D17F80"/>
    <w:rsid w:val="00D23D14"/>
    <w:rsid w:val="00D24E1B"/>
    <w:rsid w:val="00D30FCE"/>
    <w:rsid w:val="00D3108A"/>
    <w:rsid w:val="00D315EC"/>
    <w:rsid w:val="00D3182B"/>
    <w:rsid w:val="00D333B5"/>
    <w:rsid w:val="00D528F0"/>
    <w:rsid w:val="00D52AD6"/>
    <w:rsid w:val="00D55E14"/>
    <w:rsid w:val="00D70284"/>
    <w:rsid w:val="00D749DD"/>
    <w:rsid w:val="00D76F55"/>
    <w:rsid w:val="00D8513A"/>
    <w:rsid w:val="00D861C1"/>
    <w:rsid w:val="00D86901"/>
    <w:rsid w:val="00D905A0"/>
    <w:rsid w:val="00D92835"/>
    <w:rsid w:val="00D94424"/>
    <w:rsid w:val="00DA5AED"/>
    <w:rsid w:val="00DA6DB6"/>
    <w:rsid w:val="00DB7DFD"/>
    <w:rsid w:val="00DC3D7C"/>
    <w:rsid w:val="00DC41C9"/>
    <w:rsid w:val="00DC52AD"/>
    <w:rsid w:val="00DC5473"/>
    <w:rsid w:val="00DC6A3F"/>
    <w:rsid w:val="00DD0911"/>
    <w:rsid w:val="00DD19D1"/>
    <w:rsid w:val="00DD2F76"/>
    <w:rsid w:val="00DD3996"/>
    <w:rsid w:val="00DD3CCC"/>
    <w:rsid w:val="00DD71F5"/>
    <w:rsid w:val="00DE0E42"/>
    <w:rsid w:val="00DE1248"/>
    <w:rsid w:val="00DE6B8A"/>
    <w:rsid w:val="00DE6FE8"/>
    <w:rsid w:val="00DF73A2"/>
    <w:rsid w:val="00E0012E"/>
    <w:rsid w:val="00E00345"/>
    <w:rsid w:val="00E00A33"/>
    <w:rsid w:val="00E114C5"/>
    <w:rsid w:val="00E12609"/>
    <w:rsid w:val="00E13D93"/>
    <w:rsid w:val="00E162F5"/>
    <w:rsid w:val="00E2351E"/>
    <w:rsid w:val="00E25032"/>
    <w:rsid w:val="00E307F3"/>
    <w:rsid w:val="00E30F40"/>
    <w:rsid w:val="00E3230E"/>
    <w:rsid w:val="00E33B2D"/>
    <w:rsid w:val="00E35775"/>
    <w:rsid w:val="00E35BCB"/>
    <w:rsid w:val="00E3611B"/>
    <w:rsid w:val="00E52349"/>
    <w:rsid w:val="00E54D9A"/>
    <w:rsid w:val="00E57D1F"/>
    <w:rsid w:val="00E611C7"/>
    <w:rsid w:val="00E720AC"/>
    <w:rsid w:val="00E826D1"/>
    <w:rsid w:val="00E95CF7"/>
    <w:rsid w:val="00EA0EEB"/>
    <w:rsid w:val="00EA27AC"/>
    <w:rsid w:val="00EA305B"/>
    <w:rsid w:val="00EA49A5"/>
    <w:rsid w:val="00EA7D2E"/>
    <w:rsid w:val="00EB0E76"/>
    <w:rsid w:val="00EB259C"/>
    <w:rsid w:val="00EB572A"/>
    <w:rsid w:val="00EC7367"/>
    <w:rsid w:val="00ED2912"/>
    <w:rsid w:val="00ED2DCC"/>
    <w:rsid w:val="00EF2BE5"/>
    <w:rsid w:val="00F0387F"/>
    <w:rsid w:val="00F042FA"/>
    <w:rsid w:val="00F074DF"/>
    <w:rsid w:val="00F16374"/>
    <w:rsid w:val="00F203A8"/>
    <w:rsid w:val="00F21BA5"/>
    <w:rsid w:val="00F22813"/>
    <w:rsid w:val="00F23CD7"/>
    <w:rsid w:val="00F2442A"/>
    <w:rsid w:val="00F26691"/>
    <w:rsid w:val="00F30189"/>
    <w:rsid w:val="00F4107A"/>
    <w:rsid w:val="00F4522B"/>
    <w:rsid w:val="00F45F92"/>
    <w:rsid w:val="00F51AFD"/>
    <w:rsid w:val="00F52647"/>
    <w:rsid w:val="00F56E2E"/>
    <w:rsid w:val="00F57D9F"/>
    <w:rsid w:val="00F608F3"/>
    <w:rsid w:val="00F612FF"/>
    <w:rsid w:val="00F6493F"/>
    <w:rsid w:val="00F749EF"/>
    <w:rsid w:val="00F75663"/>
    <w:rsid w:val="00F811E7"/>
    <w:rsid w:val="00F83C1B"/>
    <w:rsid w:val="00F855BF"/>
    <w:rsid w:val="00F9056C"/>
    <w:rsid w:val="00F906EA"/>
    <w:rsid w:val="00F91060"/>
    <w:rsid w:val="00F91ABE"/>
    <w:rsid w:val="00F92EF4"/>
    <w:rsid w:val="00FA7BB6"/>
    <w:rsid w:val="00FB0399"/>
    <w:rsid w:val="00FB0F2F"/>
    <w:rsid w:val="00FB4891"/>
    <w:rsid w:val="00FC6546"/>
    <w:rsid w:val="00FC686F"/>
    <w:rsid w:val="00FC7FBE"/>
    <w:rsid w:val="00FC7FCB"/>
    <w:rsid w:val="00FD355D"/>
    <w:rsid w:val="00FD3868"/>
    <w:rsid w:val="00FE0378"/>
    <w:rsid w:val="00FE2347"/>
    <w:rsid w:val="00FE2F5D"/>
    <w:rsid w:val="00FE3876"/>
    <w:rsid w:val="00FE5F3B"/>
    <w:rsid w:val="00FF0713"/>
    <w:rsid w:val="00FF0A11"/>
    <w:rsid w:val="0160F867"/>
    <w:rsid w:val="01F4660B"/>
    <w:rsid w:val="022111A4"/>
    <w:rsid w:val="023CF462"/>
    <w:rsid w:val="024CC759"/>
    <w:rsid w:val="02CE5E24"/>
    <w:rsid w:val="02D4659C"/>
    <w:rsid w:val="031233EC"/>
    <w:rsid w:val="031C8737"/>
    <w:rsid w:val="03713824"/>
    <w:rsid w:val="03C61C2B"/>
    <w:rsid w:val="044058FA"/>
    <w:rsid w:val="04DC6128"/>
    <w:rsid w:val="05884B31"/>
    <w:rsid w:val="0600BFD4"/>
    <w:rsid w:val="06B9BC6B"/>
    <w:rsid w:val="06D6A14E"/>
    <w:rsid w:val="06DA7E5E"/>
    <w:rsid w:val="07DB3779"/>
    <w:rsid w:val="0800458C"/>
    <w:rsid w:val="0803C465"/>
    <w:rsid w:val="08764EBF"/>
    <w:rsid w:val="089634B7"/>
    <w:rsid w:val="08DFE816"/>
    <w:rsid w:val="08E9D6C7"/>
    <w:rsid w:val="0907352F"/>
    <w:rsid w:val="0956DD1E"/>
    <w:rsid w:val="0A7CEA35"/>
    <w:rsid w:val="0A9E959A"/>
    <w:rsid w:val="0B397E18"/>
    <w:rsid w:val="0B837A9B"/>
    <w:rsid w:val="0C7E2DFA"/>
    <w:rsid w:val="0CDF5543"/>
    <w:rsid w:val="0D8E6208"/>
    <w:rsid w:val="0DBD47EA"/>
    <w:rsid w:val="0DDAA652"/>
    <w:rsid w:val="0E7C0A06"/>
    <w:rsid w:val="0F1010CD"/>
    <w:rsid w:val="0F9E285D"/>
    <w:rsid w:val="102C15E1"/>
    <w:rsid w:val="103102C4"/>
    <w:rsid w:val="11058C0B"/>
    <w:rsid w:val="112F8930"/>
    <w:rsid w:val="11A65D54"/>
    <w:rsid w:val="11BDA70B"/>
    <w:rsid w:val="1211642F"/>
    <w:rsid w:val="12BAB632"/>
    <w:rsid w:val="12F1DF74"/>
    <w:rsid w:val="131E6429"/>
    <w:rsid w:val="13AB05C5"/>
    <w:rsid w:val="13B78EEE"/>
    <w:rsid w:val="1470590F"/>
    <w:rsid w:val="14B9BA81"/>
    <w:rsid w:val="155C2F00"/>
    <w:rsid w:val="1648C6EC"/>
    <w:rsid w:val="169C89BF"/>
    <w:rsid w:val="171BCE3D"/>
    <w:rsid w:val="171EA5F4"/>
    <w:rsid w:val="1776C6AD"/>
    <w:rsid w:val="1788C196"/>
    <w:rsid w:val="179D0547"/>
    <w:rsid w:val="188EF8F9"/>
    <w:rsid w:val="18EEF657"/>
    <w:rsid w:val="195F7389"/>
    <w:rsid w:val="19D6614D"/>
    <w:rsid w:val="1B468667"/>
    <w:rsid w:val="1B9152E5"/>
    <w:rsid w:val="1BCF6C93"/>
    <w:rsid w:val="1C411139"/>
    <w:rsid w:val="1CCBF0F2"/>
    <w:rsid w:val="1D65FECA"/>
    <w:rsid w:val="1D7B4111"/>
    <w:rsid w:val="1DA0BB3F"/>
    <w:rsid w:val="1DC1477C"/>
    <w:rsid w:val="1E29E309"/>
    <w:rsid w:val="1FCDFC0B"/>
    <w:rsid w:val="201BFC17"/>
    <w:rsid w:val="209B8A86"/>
    <w:rsid w:val="20A04E00"/>
    <w:rsid w:val="20A1D319"/>
    <w:rsid w:val="20EBB8F7"/>
    <w:rsid w:val="21098BB6"/>
    <w:rsid w:val="2153A1F8"/>
    <w:rsid w:val="218C236D"/>
    <w:rsid w:val="22269BCD"/>
    <w:rsid w:val="2248F882"/>
    <w:rsid w:val="22BF6DBC"/>
    <w:rsid w:val="2301B126"/>
    <w:rsid w:val="238E5607"/>
    <w:rsid w:val="23CB5A8A"/>
    <w:rsid w:val="23F6F8AE"/>
    <w:rsid w:val="24108C71"/>
    <w:rsid w:val="245961E6"/>
    <w:rsid w:val="24B40153"/>
    <w:rsid w:val="24B668C1"/>
    <w:rsid w:val="2513591D"/>
    <w:rsid w:val="2628D3AD"/>
    <w:rsid w:val="26739C32"/>
    <w:rsid w:val="2702FB4C"/>
    <w:rsid w:val="271F2FAD"/>
    <w:rsid w:val="27464942"/>
    <w:rsid w:val="274B2978"/>
    <w:rsid w:val="27553789"/>
    <w:rsid w:val="287246F8"/>
    <w:rsid w:val="2A9D95F3"/>
    <w:rsid w:val="2ACB75FF"/>
    <w:rsid w:val="2AD08783"/>
    <w:rsid w:val="2B2DE4F8"/>
    <w:rsid w:val="2B2F9952"/>
    <w:rsid w:val="2BCDD459"/>
    <w:rsid w:val="2D53CB90"/>
    <w:rsid w:val="2D64FED1"/>
    <w:rsid w:val="2E29DBE0"/>
    <w:rsid w:val="2EA798EC"/>
    <w:rsid w:val="2EBD64B7"/>
    <w:rsid w:val="2EBF2630"/>
    <w:rsid w:val="2EFED6F4"/>
    <w:rsid w:val="3059BC5F"/>
    <w:rsid w:val="30BF736D"/>
    <w:rsid w:val="3116F3BE"/>
    <w:rsid w:val="3141CAA4"/>
    <w:rsid w:val="314C9A87"/>
    <w:rsid w:val="31B6469A"/>
    <w:rsid w:val="31C8F76F"/>
    <w:rsid w:val="3234A5ED"/>
    <w:rsid w:val="3236CB4A"/>
    <w:rsid w:val="3252422B"/>
    <w:rsid w:val="32902075"/>
    <w:rsid w:val="32DC808A"/>
    <w:rsid w:val="332DF007"/>
    <w:rsid w:val="33A7E4E3"/>
    <w:rsid w:val="33ABA389"/>
    <w:rsid w:val="33F097D8"/>
    <w:rsid w:val="33F7142F"/>
    <w:rsid w:val="34285208"/>
    <w:rsid w:val="3431004F"/>
    <w:rsid w:val="346F24B7"/>
    <w:rsid w:val="34A3EF0F"/>
    <w:rsid w:val="3592E490"/>
    <w:rsid w:val="3628F38B"/>
    <w:rsid w:val="36334957"/>
    <w:rsid w:val="36CF9F6C"/>
    <w:rsid w:val="378B006F"/>
    <w:rsid w:val="3805225A"/>
    <w:rsid w:val="39981273"/>
    <w:rsid w:val="399B746B"/>
    <w:rsid w:val="39AF75E6"/>
    <w:rsid w:val="39B80103"/>
    <w:rsid w:val="39C5C2C3"/>
    <w:rsid w:val="39EC0060"/>
    <w:rsid w:val="3AB51B72"/>
    <w:rsid w:val="3AC2A131"/>
    <w:rsid w:val="3AD8BA5E"/>
    <w:rsid w:val="3B8B079F"/>
    <w:rsid w:val="3C020C4C"/>
    <w:rsid w:val="3CE09928"/>
    <w:rsid w:val="3D8ADBCE"/>
    <w:rsid w:val="3DD39C16"/>
    <w:rsid w:val="3E0F5469"/>
    <w:rsid w:val="3E5023E9"/>
    <w:rsid w:val="3E50FF9E"/>
    <w:rsid w:val="3E5D67CC"/>
    <w:rsid w:val="3E8E9954"/>
    <w:rsid w:val="3EF1028C"/>
    <w:rsid w:val="3F1F8A5C"/>
    <w:rsid w:val="3F56441A"/>
    <w:rsid w:val="3FC4B4EC"/>
    <w:rsid w:val="400B5FC9"/>
    <w:rsid w:val="401839EA"/>
    <w:rsid w:val="40350447"/>
    <w:rsid w:val="408EAF24"/>
    <w:rsid w:val="40E37C5C"/>
    <w:rsid w:val="41B9BD82"/>
    <w:rsid w:val="42161D55"/>
    <w:rsid w:val="4328FC22"/>
    <w:rsid w:val="4343008B"/>
    <w:rsid w:val="4380BECB"/>
    <w:rsid w:val="43929579"/>
    <w:rsid w:val="439C842A"/>
    <w:rsid w:val="43B9E292"/>
    <w:rsid w:val="43C473AF"/>
    <w:rsid w:val="44712ACF"/>
    <w:rsid w:val="4560CFE0"/>
    <w:rsid w:val="45659F4E"/>
    <w:rsid w:val="45783339"/>
    <w:rsid w:val="459BA601"/>
    <w:rsid w:val="46121724"/>
    <w:rsid w:val="4649D267"/>
    <w:rsid w:val="46F859E8"/>
    <w:rsid w:val="47841FE0"/>
    <w:rsid w:val="481671AE"/>
    <w:rsid w:val="4822D8E3"/>
    <w:rsid w:val="4843996E"/>
    <w:rsid w:val="4911EF81"/>
    <w:rsid w:val="495C70C2"/>
    <w:rsid w:val="49817329"/>
    <w:rsid w:val="49E4AC21"/>
    <w:rsid w:val="4AFA408B"/>
    <w:rsid w:val="4B53F3FF"/>
    <w:rsid w:val="4B588FAC"/>
    <w:rsid w:val="4B6DF868"/>
    <w:rsid w:val="4B8CB9B4"/>
    <w:rsid w:val="4BF4D54F"/>
    <w:rsid w:val="4C42AA44"/>
    <w:rsid w:val="4C579103"/>
    <w:rsid w:val="4DA5244F"/>
    <w:rsid w:val="4DBC07C5"/>
    <w:rsid w:val="4E3905F4"/>
    <w:rsid w:val="4E5216C0"/>
    <w:rsid w:val="4EDBC92B"/>
    <w:rsid w:val="4FA4027B"/>
    <w:rsid w:val="4FE1C0EC"/>
    <w:rsid w:val="506EA13E"/>
    <w:rsid w:val="50EBFFE0"/>
    <w:rsid w:val="511B2815"/>
    <w:rsid w:val="517D914D"/>
    <w:rsid w:val="51CB8096"/>
    <w:rsid w:val="51E76B7A"/>
    <w:rsid w:val="52BBF8CA"/>
    <w:rsid w:val="52C3A43F"/>
    <w:rsid w:val="532388F8"/>
    <w:rsid w:val="53592455"/>
    <w:rsid w:val="536111DB"/>
    <w:rsid w:val="537ABF68"/>
    <w:rsid w:val="53A64200"/>
    <w:rsid w:val="53E49DA4"/>
    <w:rsid w:val="53FD5CAE"/>
    <w:rsid w:val="54233894"/>
    <w:rsid w:val="54311CD3"/>
    <w:rsid w:val="54759D0D"/>
    <w:rsid w:val="54F4F4B6"/>
    <w:rsid w:val="553E9E44"/>
    <w:rsid w:val="5795042B"/>
    <w:rsid w:val="57A6E567"/>
    <w:rsid w:val="57BCB441"/>
    <w:rsid w:val="582DEE74"/>
    <w:rsid w:val="58323C8C"/>
    <w:rsid w:val="58763F06"/>
    <w:rsid w:val="5967D0CB"/>
    <w:rsid w:val="599F8479"/>
    <w:rsid w:val="59A1A86E"/>
    <w:rsid w:val="59C40523"/>
    <w:rsid w:val="5AB70811"/>
    <w:rsid w:val="5ADC1624"/>
    <w:rsid w:val="5AE5CC78"/>
    <w:rsid w:val="5AFD74E3"/>
    <w:rsid w:val="5B46672B"/>
    <w:rsid w:val="5BF461D2"/>
    <w:rsid w:val="5C3C93FE"/>
    <w:rsid w:val="5D50446C"/>
    <w:rsid w:val="5D852123"/>
    <w:rsid w:val="5DBED6BC"/>
    <w:rsid w:val="5DDAA131"/>
    <w:rsid w:val="5E98E59C"/>
    <w:rsid w:val="5EA3C482"/>
    <w:rsid w:val="5F3877DF"/>
    <w:rsid w:val="60303C3D"/>
    <w:rsid w:val="60390059"/>
    <w:rsid w:val="60823457"/>
    <w:rsid w:val="60A7DFAA"/>
    <w:rsid w:val="60A8AA36"/>
    <w:rsid w:val="60C3B168"/>
    <w:rsid w:val="617BFF03"/>
    <w:rsid w:val="61E146D3"/>
    <w:rsid w:val="622BCCC9"/>
    <w:rsid w:val="62CDFFAC"/>
    <w:rsid w:val="6369C1A2"/>
    <w:rsid w:val="640E27D8"/>
    <w:rsid w:val="6424E1FA"/>
    <w:rsid w:val="6469D00D"/>
    <w:rsid w:val="64DFD940"/>
    <w:rsid w:val="6518E795"/>
    <w:rsid w:val="65900666"/>
    <w:rsid w:val="65C4CF4A"/>
    <w:rsid w:val="65D81E08"/>
    <w:rsid w:val="65F03052"/>
    <w:rsid w:val="666933DA"/>
    <w:rsid w:val="66FFFCA2"/>
    <w:rsid w:val="6772D856"/>
    <w:rsid w:val="6786C289"/>
    <w:rsid w:val="67F9C644"/>
    <w:rsid w:val="680CC058"/>
    <w:rsid w:val="6885C28B"/>
    <w:rsid w:val="693D4130"/>
    <w:rsid w:val="69A0D49C"/>
    <w:rsid w:val="69B0DBCC"/>
    <w:rsid w:val="69F88F69"/>
    <w:rsid w:val="6A23A423"/>
    <w:rsid w:val="6A4B0767"/>
    <w:rsid w:val="6AAA7918"/>
    <w:rsid w:val="6B44611A"/>
    <w:rsid w:val="6C475F8C"/>
    <w:rsid w:val="6CC1B418"/>
    <w:rsid w:val="6D42CDD8"/>
    <w:rsid w:val="6D78C912"/>
    <w:rsid w:val="6DDA0469"/>
    <w:rsid w:val="6E19AA96"/>
    <w:rsid w:val="6E8F9379"/>
    <w:rsid w:val="6F060D10"/>
    <w:rsid w:val="707B3794"/>
    <w:rsid w:val="707CEBEE"/>
    <w:rsid w:val="70DBA0EE"/>
    <w:rsid w:val="70E6D503"/>
    <w:rsid w:val="714876A6"/>
    <w:rsid w:val="71C0146D"/>
    <w:rsid w:val="71D2D538"/>
    <w:rsid w:val="72201A27"/>
    <w:rsid w:val="7263DA00"/>
    <w:rsid w:val="72EE4DA4"/>
    <w:rsid w:val="73276C43"/>
    <w:rsid w:val="7467F405"/>
    <w:rsid w:val="7478C3A3"/>
    <w:rsid w:val="74D03ECC"/>
    <w:rsid w:val="75153A4A"/>
    <w:rsid w:val="75385291"/>
    <w:rsid w:val="758A610A"/>
    <w:rsid w:val="75BAAF9D"/>
    <w:rsid w:val="75D51975"/>
    <w:rsid w:val="75F2B7FE"/>
    <w:rsid w:val="762FCC2E"/>
    <w:rsid w:val="765EDE1A"/>
    <w:rsid w:val="76E0EEB2"/>
    <w:rsid w:val="776C6801"/>
    <w:rsid w:val="787449F9"/>
    <w:rsid w:val="789357BA"/>
    <w:rsid w:val="78F8F625"/>
    <w:rsid w:val="79E777EE"/>
    <w:rsid w:val="7A6918B7"/>
    <w:rsid w:val="7AB9994B"/>
    <w:rsid w:val="7BB12645"/>
    <w:rsid w:val="7BD800C6"/>
    <w:rsid w:val="7C7305EA"/>
    <w:rsid w:val="7CD6D36B"/>
    <w:rsid w:val="7CD934AC"/>
    <w:rsid w:val="7CF686AE"/>
    <w:rsid w:val="7D59BA9C"/>
    <w:rsid w:val="7F13155F"/>
    <w:rsid w:val="7FAAA6A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paragraph" w:styleId="Revision">
    <w:name w:val="Revision"/>
    <w:hidden/>
    <w:uiPriority w:val="99"/>
    <w:semiHidden/>
    <w:rsid w:val="000367E8"/>
  </w:style>
  <w:style w:type="character" w:styleId="UnresolvedMention">
    <w:name w:val="Unresolved Mention"/>
    <w:basedOn w:val="DefaultParagraphFont"/>
    <w:uiPriority w:val="99"/>
    <w:semiHidden/>
    <w:unhideWhenUsed/>
    <w:rsid w:val="009E2E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8365">
      <w:bodyDiv w:val="1"/>
      <w:marLeft w:val="0"/>
      <w:marRight w:val="0"/>
      <w:marTop w:val="0"/>
      <w:marBottom w:val="0"/>
      <w:divBdr>
        <w:top w:val="none" w:sz="0" w:space="0" w:color="auto"/>
        <w:left w:val="none" w:sz="0" w:space="0" w:color="auto"/>
        <w:bottom w:val="none" w:sz="0" w:space="0" w:color="auto"/>
        <w:right w:val="none" w:sz="0" w:space="0" w:color="auto"/>
      </w:divBdr>
    </w:div>
    <w:div w:id="248119338">
      <w:bodyDiv w:val="1"/>
      <w:marLeft w:val="0"/>
      <w:marRight w:val="0"/>
      <w:marTop w:val="0"/>
      <w:marBottom w:val="0"/>
      <w:divBdr>
        <w:top w:val="none" w:sz="0" w:space="0" w:color="auto"/>
        <w:left w:val="none" w:sz="0" w:space="0" w:color="auto"/>
        <w:bottom w:val="none" w:sz="0" w:space="0" w:color="auto"/>
        <w:right w:val="none" w:sz="0" w:space="0" w:color="auto"/>
      </w:divBdr>
    </w:div>
    <w:div w:id="255941128">
      <w:bodyDiv w:val="1"/>
      <w:marLeft w:val="0"/>
      <w:marRight w:val="0"/>
      <w:marTop w:val="0"/>
      <w:marBottom w:val="0"/>
      <w:divBdr>
        <w:top w:val="none" w:sz="0" w:space="0" w:color="auto"/>
        <w:left w:val="none" w:sz="0" w:space="0" w:color="auto"/>
        <w:bottom w:val="none" w:sz="0" w:space="0" w:color="auto"/>
        <w:right w:val="none" w:sz="0" w:space="0" w:color="auto"/>
      </w:divBdr>
    </w:div>
    <w:div w:id="407727824">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13883433">
      <w:bodyDiv w:val="1"/>
      <w:marLeft w:val="0"/>
      <w:marRight w:val="0"/>
      <w:marTop w:val="0"/>
      <w:marBottom w:val="0"/>
      <w:divBdr>
        <w:top w:val="none" w:sz="0" w:space="0" w:color="auto"/>
        <w:left w:val="none" w:sz="0" w:space="0" w:color="auto"/>
        <w:bottom w:val="none" w:sz="0" w:space="0" w:color="auto"/>
        <w:right w:val="none" w:sz="0" w:space="0" w:color="auto"/>
      </w:divBdr>
    </w:div>
    <w:div w:id="682586223">
      <w:bodyDiv w:val="1"/>
      <w:marLeft w:val="0"/>
      <w:marRight w:val="0"/>
      <w:marTop w:val="0"/>
      <w:marBottom w:val="0"/>
      <w:divBdr>
        <w:top w:val="none" w:sz="0" w:space="0" w:color="auto"/>
        <w:left w:val="none" w:sz="0" w:space="0" w:color="auto"/>
        <w:bottom w:val="none" w:sz="0" w:space="0" w:color="auto"/>
        <w:right w:val="none" w:sz="0" w:space="0" w:color="auto"/>
      </w:divBdr>
    </w:div>
    <w:div w:id="1265769838">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88841705">
      <w:bodyDiv w:val="1"/>
      <w:marLeft w:val="0"/>
      <w:marRight w:val="0"/>
      <w:marTop w:val="0"/>
      <w:marBottom w:val="0"/>
      <w:divBdr>
        <w:top w:val="none" w:sz="0" w:space="0" w:color="auto"/>
        <w:left w:val="none" w:sz="0" w:space="0" w:color="auto"/>
        <w:bottom w:val="none" w:sz="0" w:space="0" w:color="auto"/>
        <w:right w:val="none" w:sz="0" w:space="0" w:color="auto"/>
      </w:divBdr>
    </w:div>
    <w:div w:id="1497769144">
      <w:bodyDiv w:val="1"/>
      <w:marLeft w:val="0"/>
      <w:marRight w:val="0"/>
      <w:marTop w:val="0"/>
      <w:marBottom w:val="0"/>
      <w:divBdr>
        <w:top w:val="none" w:sz="0" w:space="0" w:color="auto"/>
        <w:left w:val="none" w:sz="0" w:space="0" w:color="auto"/>
        <w:bottom w:val="none" w:sz="0" w:space="0" w:color="auto"/>
        <w:right w:val="none" w:sz="0" w:space="0" w:color="auto"/>
      </w:divBdr>
    </w:div>
    <w:div w:id="1514687110">
      <w:bodyDiv w:val="1"/>
      <w:marLeft w:val="0"/>
      <w:marRight w:val="0"/>
      <w:marTop w:val="0"/>
      <w:marBottom w:val="0"/>
      <w:divBdr>
        <w:top w:val="none" w:sz="0" w:space="0" w:color="auto"/>
        <w:left w:val="none" w:sz="0" w:space="0" w:color="auto"/>
        <w:bottom w:val="none" w:sz="0" w:space="0" w:color="auto"/>
        <w:right w:val="none" w:sz="0" w:space="0" w:color="auto"/>
      </w:divBdr>
    </w:div>
    <w:div w:id="1532649726">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55203279">
      <w:bodyDiv w:val="1"/>
      <w:marLeft w:val="0"/>
      <w:marRight w:val="0"/>
      <w:marTop w:val="0"/>
      <w:marBottom w:val="0"/>
      <w:divBdr>
        <w:top w:val="none" w:sz="0" w:space="0" w:color="auto"/>
        <w:left w:val="none" w:sz="0" w:space="0" w:color="auto"/>
        <w:bottom w:val="none" w:sz="0" w:space="0" w:color="auto"/>
        <w:right w:val="none" w:sz="0" w:space="0" w:color="auto"/>
      </w:divBdr>
    </w:div>
    <w:div w:id="1927037784">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004358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A7242-E22B-457D-A86D-90132BB2DF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B11DAD-8A38-429A-ABB4-CECCE1492555}">
  <ds:schemaRefs>
    <ds:schemaRef ds:uri="http://schemas.microsoft.com/sharepoint/v3/contenttype/forms"/>
  </ds:schemaRefs>
</ds:datastoreItem>
</file>

<file path=customXml/itemProps3.xml><?xml version="1.0" encoding="utf-8"?>
<ds:datastoreItem xmlns:ds="http://schemas.openxmlformats.org/officeDocument/2006/customXml" ds:itemID="{BFB40B71-1918-4535-A406-A452FC14AC0B}">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4.xml><?xml version="1.0" encoding="utf-8"?>
<ds:datastoreItem xmlns:ds="http://schemas.openxmlformats.org/officeDocument/2006/customXml" ds:itemID="{DDC5F40B-E30D-4B6A-88FB-45E4BD3BC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3725</Words>
  <Characters>20641</Characters>
  <Application>Microsoft Office Word</Application>
  <DocSecurity>0</DocSecurity>
  <Lines>172</Lines>
  <Paragraphs>48</Paragraphs>
  <ScaleCrop>false</ScaleCrop>
  <Company/>
  <LinksUpToDate>false</LinksUpToDate>
  <CharactersWithSpaces>24318</CharactersWithSpaces>
  <SharedDoc>false</SharedDoc>
  <HLinks>
    <vt:vector size="6" baseType="variant">
      <vt:variant>
        <vt:i4>6488169</vt:i4>
      </vt:variant>
      <vt:variant>
        <vt:i4>0</vt:i4>
      </vt:variant>
      <vt:variant>
        <vt:i4>0</vt:i4>
      </vt:variant>
      <vt:variant>
        <vt:i4>5</vt:i4>
      </vt:variant>
      <vt:variant>
        <vt:lpwstr>https://www.ohchr.org/en/press-briefing-notes/2022/03/press-briefing-notes-egypt-executions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Bergquist</dc:creator>
  <cp:lastModifiedBy>Youssef Hamdan</cp:lastModifiedBy>
  <cp:revision>2</cp:revision>
  <cp:lastPrinted>1900-01-01T06:00:00Z</cp:lastPrinted>
  <dcterms:created xsi:type="dcterms:W3CDTF">2023-10-17T17:53:00Z</dcterms:created>
  <dcterms:modified xsi:type="dcterms:W3CDTF">2023-10-17T17:53:00Z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ies>
</file>