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77188" w14:textId="77777777" w:rsidR="003A18EA" w:rsidRDefault="003A18EA" w:rsidP="00D745D6">
      <w:pPr>
        <w:pStyle w:val="Heading1"/>
        <w:spacing w:before="0" w:after="240" w:line="240" w:lineRule="auto"/>
        <w:rPr>
          <w:rFonts w:ascii="Times New Roman" w:hAnsi="Times New Roman"/>
          <w:bCs w:val="0"/>
          <w:color w:val="auto"/>
          <w:sz w:val="24"/>
        </w:rPr>
      </w:pPr>
      <w:bookmarkStart w:id="0" w:name="_GoBack"/>
      <w:bookmarkEnd w:id="0"/>
    </w:p>
    <w:p w14:paraId="32AB3AFC" w14:textId="77777777" w:rsidR="003A18EA" w:rsidRDefault="003A18EA" w:rsidP="00D745D6">
      <w:pPr>
        <w:pStyle w:val="Heading1"/>
        <w:spacing w:before="0" w:after="240" w:line="240" w:lineRule="auto"/>
        <w:rPr>
          <w:rFonts w:ascii="Times New Roman" w:hAnsi="Times New Roman"/>
          <w:bCs w:val="0"/>
          <w:color w:val="auto"/>
          <w:sz w:val="24"/>
        </w:rPr>
      </w:pPr>
    </w:p>
    <w:p w14:paraId="6E02A172" w14:textId="77777777" w:rsidR="003A18EA" w:rsidRDefault="003A18EA" w:rsidP="00D745D6">
      <w:pPr>
        <w:pStyle w:val="Heading1"/>
        <w:spacing w:before="0" w:after="240" w:line="240" w:lineRule="auto"/>
        <w:rPr>
          <w:rFonts w:ascii="Times New Roman" w:hAnsi="Times New Roman"/>
          <w:bCs w:val="0"/>
          <w:color w:val="auto"/>
          <w:sz w:val="24"/>
        </w:rPr>
      </w:pPr>
    </w:p>
    <w:p w14:paraId="75F892B0" w14:textId="77777777" w:rsidR="003A18EA" w:rsidRDefault="003A18EA" w:rsidP="00D745D6">
      <w:pPr>
        <w:pStyle w:val="Heading1"/>
        <w:spacing w:before="0" w:after="240" w:line="240" w:lineRule="auto"/>
        <w:rPr>
          <w:rFonts w:ascii="Times New Roman" w:hAnsi="Times New Roman"/>
          <w:bCs w:val="0"/>
          <w:color w:val="auto"/>
          <w:sz w:val="24"/>
        </w:rPr>
      </w:pPr>
    </w:p>
    <w:p w14:paraId="5C2068F1" w14:textId="77777777" w:rsidR="003A18EA" w:rsidRDefault="003A18EA" w:rsidP="00D745D6">
      <w:pPr>
        <w:pStyle w:val="Heading1"/>
        <w:spacing w:before="0" w:after="240" w:line="240" w:lineRule="auto"/>
        <w:rPr>
          <w:rFonts w:ascii="Times New Roman" w:hAnsi="Times New Roman"/>
          <w:bCs w:val="0"/>
          <w:color w:val="auto"/>
          <w:sz w:val="24"/>
        </w:rPr>
      </w:pPr>
    </w:p>
    <w:p w14:paraId="1B3A1E94" w14:textId="77777777" w:rsidR="0085220D" w:rsidRDefault="0085220D" w:rsidP="0085220D">
      <w:pPr>
        <w:pStyle w:val="Heading1"/>
        <w:spacing w:before="0" w:after="240" w:line="240" w:lineRule="auto"/>
        <w:jc w:val="center"/>
        <w:rPr>
          <w:rFonts w:ascii="Times New Roman" w:hAnsi="Times New Roman"/>
          <w:b w:val="0"/>
          <w:bCs w:val="0"/>
          <w:color w:val="auto"/>
          <w:sz w:val="32"/>
          <w:szCs w:val="32"/>
        </w:rPr>
      </w:pPr>
    </w:p>
    <w:p w14:paraId="005D1CC9" w14:textId="77777777" w:rsidR="0085220D" w:rsidRDefault="0085220D" w:rsidP="0085220D">
      <w:pPr>
        <w:pStyle w:val="Heading1"/>
        <w:spacing w:before="0" w:after="240" w:line="240" w:lineRule="auto"/>
        <w:jc w:val="center"/>
        <w:rPr>
          <w:rFonts w:ascii="Times New Roman" w:hAnsi="Times New Roman"/>
          <w:b w:val="0"/>
          <w:bCs w:val="0"/>
          <w:color w:val="auto"/>
          <w:sz w:val="32"/>
          <w:szCs w:val="32"/>
        </w:rPr>
      </w:pPr>
    </w:p>
    <w:p w14:paraId="6266BAE4" w14:textId="558F79D6" w:rsidR="003A18EA" w:rsidRDefault="003A18EA" w:rsidP="0085220D">
      <w:pPr>
        <w:pStyle w:val="Heading1"/>
        <w:spacing w:before="0" w:after="240" w:line="240" w:lineRule="auto"/>
        <w:jc w:val="center"/>
        <w:rPr>
          <w:rFonts w:ascii="Times New Roman" w:hAnsi="Times New Roman"/>
          <w:b w:val="0"/>
          <w:bCs w:val="0"/>
          <w:i/>
          <w:color w:val="auto"/>
          <w:sz w:val="32"/>
          <w:szCs w:val="32"/>
        </w:rPr>
      </w:pPr>
      <w:r w:rsidRPr="003A18EA">
        <w:rPr>
          <w:rFonts w:ascii="Times New Roman" w:hAnsi="Times New Roman"/>
          <w:b w:val="0"/>
          <w:bCs w:val="0"/>
          <w:color w:val="auto"/>
          <w:sz w:val="32"/>
          <w:szCs w:val="32"/>
        </w:rPr>
        <w:t>Rapport intérimaire du Canada</w:t>
      </w:r>
      <w:r>
        <w:rPr>
          <w:rFonts w:ascii="Times New Roman" w:hAnsi="Times New Roman"/>
          <w:b w:val="0"/>
          <w:bCs w:val="0"/>
          <w:color w:val="auto"/>
          <w:sz w:val="32"/>
          <w:szCs w:val="32"/>
        </w:rPr>
        <w:t xml:space="preserve"> en vertu du</w:t>
      </w:r>
      <w:r w:rsidRPr="003A18EA">
        <w:rPr>
          <w:rFonts w:ascii="Times New Roman" w:hAnsi="Times New Roman"/>
          <w:b w:val="0"/>
          <w:bCs w:val="0"/>
          <w:color w:val="auto"/>
          <w:sz w:val="32"/>
          <w:szCs w:val="32"/>
        </w:rPr>
        <w:t xml:space="preserve"> </w:t>
      </w:r>
      <w:r w:rsidR="00181A12">
        <w:rPr>
          <w:rFonts w:ascii="Times New Roman" w:hAnsi="Times New Roman"/>
          <w:b w:val="0"/>
          <w:bCs w:val="0"/>
          <w:i/>
          <w:color w:val="auto"/>
          <w:sz w:val="32"/>
          <w:szCs w:val="32"/>
        </w:rPr>
        <w:t>Pacte international</w:t>
      </w:r>
      <w:r w:rsidRPr="0085220D">
        <w:rPr>
          <w:rFonts w:ascii="Times New Roman" w:hAnsi="Times New Roman"/>
          <w:b w:val="0"/>
          <w:bCs w:val="0"/>
          <w:i/>
          <w:color w:val="auto"/>
          <w:sz w:val="32"/>
          <w:szCs w:val="32"/>
        </w:rPr>
        <w:t xml:space="preserve"> relatif aux droits civils et politiques</w:t>
      </w:r>
    </w:p>
    <w:p w14:paraId="1A1CB8C3" w14:textId="77777777" w:rsidR="003A18EA" w:rsidRDefault="003A18EA" w:rsidP="00D745D6">
      <w:pPr>
        <w:pStyle w:val="Heading1"/>
        <w:spacing w:before="0" w:after="240" w:line="240" w:lineRule="auto"/>
        <w:rPr>
          <w:rFonts w:ascii="Times New Roman" w:hAnsi="Times New Roman"/>
          <w:bCs w:val="0"/>
          <w:color w:val="auto"/>
          <w:sz w:val="24"/>
        </w:rPr>
      </w:pPr>
    </w:p>
    <w:p w14:paraId="4A2764FB" w14:textId="77777777" w:rsidR="0085220D" w:rsidRPr="0085220D" w:rsidRDefault="0085220D" w:rsidP="0085220D"/>
    <w:p w14:paraId="5AE8D4F3" w14:textId="77777777" w:rsidR="003A18EA" w:rsidRDefault="003A18EA" w:rsidP="00D745D6">
      <w:pPr>
        <w:pStyle w:val="Heading1"/>
        <w:spacing w:before="0" w:after="240" w:line="240" w:lineRule="auto"/>
        <w:rPr>
          <w:rFonts w:ascii="Times New Roman" w:hAnsi="Times New Roman"/>
          <w:bCs w:val="0"/>
          <w:color w:val="auto"/>
          <w:sz w:val="24"/>
        </w:rPr>
      </w:pPr>
    </w:p>
    <w:p w14:paraId="313E4C63" w14:textId="77777777" w:rsidR="003A18EA" w:rsidRDefault="003A18EA" w:rsidP="00D745D6">
      <w:pPr>
        <w:pStyle w:val="Heading1"/>
        <w:spacing w:before="0" w:after="240" w:line="240" w:lineRule="auto"/>
        <w:rPr>
          <w:rFonts w:ascii="Times New Roman" w:hAnsi="Times New Roman"/>
          <w:bCs w:val="0"/>
          <w:color w:val="auto"/>
          <w:sz w:val="24"/>
        </w:rPr>
      </w:pPr>
    </w:p>
    <w:p w14:paraId="3E055133" w14:textId="77777777" w:rsidR="003A18EA" w:rsidRDefault="003A18EA" w:rsidP="00D745D6">
      <w:pPr>
        <w:pStyle w:val="Heading1"/>
        <w:spacing w:before="0" w:after="240" w:line="240" w:lineRule="auto"/>
        <w:rPr>
          <w:rFonts w:ascii="Times New Roman" w:hAnsi="Times New Roman"/>
          <w:bCs w:val="0"/>
          <w:color w:val="auto"/>
          <w:sz w:val="24"/>
        </w:rPr>
      </w:pPr>
    </w:p>
    <w:p w14:paraId="6D08E632" w14:textId="77777777" w:rsidR="003A18EA" w:rsidRDefault="003A18EA" w:rsidP="00D745D6">
      <w:pPr>
        <w:pStyle w:val="Heading1"/>
        <w:spacing w:before="0" w:after="240" w:line="240" w:lineRule="auto"/>
        <w:rPr>
          <w:rFonts w:ascii="Times New Roman" w:hAnsi="Times New Roman"/>
          <w:bCs w:val="0"/>
          <w:color w:val="auto"/>
          <w:sz w:val="24"/>
        </w:rPr>
      </w:pPr>
    </w:p>
    <w:p w14:paraId="0973EFBF" w14:textId="77777777" w:rsidR="003A18EA" w:rsidRDefault="003A18EA" w:rsidP="00D745D6">
      <w:pPr>
        <w:pStyle w:val="Heading1"/>
        <w:spacing w:before="0" w:after="240" w:line="240" w:lineRule="auto"/>
        <w:rPr>
          <w:rFonts w:ascii="Times New Roman" w:hAnsi="Times New Roman"/>
          <w:bCs w:val="0"/>
          <w:color w:val="auto"/>
          <w:sz w:val="24"/>
        </w:rPr>
      </w:pPr>
    </w:p>
    <w:p w14:paraId="3FC1354C" w14:textId="77777777" w:rsidR="003A18EA" w:rsidRDefault="003A18EA" w:rsidP="00D745D6">
      <w:pPr>
        <w:pStyle w:val="Heading1"/>
        <w:spacing w:before="0" w:after="240" w:line="240" w:lineRule="auto"/>
        <w:rPr>
          <w:rFonts w:ascii="Times New Roman" w:hAnsi="Times New Roman"/>
          <w:bCs w:val="0"/>
          <w:color w:val="auto"/>
          <w:sz w:val="24"/>
        </w:rPr>
      </w:pPr>
    </w:p>
    <w:p w14:paraId="72268650" w14:textId="77777777" w:rsidR="003A18EA" w:rsidRDefault="003A18EA" w:rsidP="00D745D6">
      <w:pPr>
        <w:pStyle w:val="Heading1"/>
        <w:spacing w:before="0" w:after="240" w:line="240" w:lineRule="auto"/>
        <w:rPr>
          <w:rFonts w:ascii="Times New Roman" w:hAnsi="Times New Roman"/>
          <w:bCs w:val="0"/>
          <w:color w:val="auto"/>
          <w:sz w:val="24"/>
        </w:rPr>
      </w:pPr>
    </w:p>
    <w:p w14:paraId="4AFBA5DF" w14:textId="77777777" w:rsidR="003A18EA" w:rsidRDefault="003A18EA" w:rsidP="00D745D6">
      <w:pPr>
        <w:pStyle w:val="Heading1"/>
        <w:spacing w:before="0" w:after="240" w:line="240" w:lineRule="auto"/>
        <w:rPr>
          <w:rFonts w:ascii="Times New Roman" w:hAnsi="Times New Roman"/>
          <w:bCs w:val="0"/>
          <w:color w:val="auto"/>
          <w:sz w:val="24"/>
        </w:rPr>
      </w:pPr>
    </w:p>
    <w:p w14:paraId="1AD05103" w14:textId="77777777" w:rsidR="003A18EA" w:rsidRDefault="003A18EA" w:rsidP="00D745D6">
      <w:pPr>
        <w:pStyle w:val="Heading1"/>
        <w:spacing w:before="0" w:after="240" w:line="240" w:lineRule="auto"/>
        <w:rPr>
          <w:rFonts w:ascii="Times New Roman" w:hAnsi="Times New Roman"/>
          <w:bCs w:val="0"/>
          <w:color w:val="auto"/>
          <w:sz w:val="24"/>
        </w:rPr>
      </w:pPr>
    </w:p>
    <w:p w14:paraId="5101C8C4" w14:textId="77777777" w:rsidR="0085220D" w:rsidRPr="0085220D" w:rsidRDefault="0085220D" w:rsidP="0085220D"/>
    <w:p w14:paraId="4C7FD893" w14:textId="77777777" w:rsidR="0085220D" w:rsidRDefault="0085220D" w:rsidP="00D745D6">
      <w:pPr>
        <w:pStyle w:val="Heading1"/>
        <w:spacing w:before="0" w:after="240" w:line="240" w:lineRule="auto"/>
        <w:rPr>
          <w:rFonts w:ascii="Times New Roman" w:hAnsi="Times New Roman"/>
          <w:bCs w:val="0"/>
          <w:color w:val="auto"/>
          <w:sz w:val="24"/>
        </w:rPr>
      </w:pPr>
    </w:p>
    <w:p w14:paraId="5FA46348" w14:textId="77777777" w:rsidR="0085220D" w:rsidRPr="0085220D" w:rsidRDefault="0085220D" w:rsidP="0085220D"/>
    <w:p w14:paraId="25BBD6E9" w14:textId="291719C8" w:rsidR="00782A4D" w:rsidRPr="00D745D6" w:rsidRDefault="00D745D6" w:rsidP="00D745D6">
      <w:pPr>
        <w:pStyle w:val="Heading1"/>
        <w:spacing w:before="0" w:after="240" w:line="240" w:lineRule="auto"/>
        <w:rPr>
          <w:rFonts w:ascii="Times New Roman" w:hAnsi="Times New Roman" w:cs="Times New Roman"/>
          <w:color w:val="auto"/>
          <w:sz w:val="22"/>
          <w:szCs w:val="22"/>
        </w:rPr>
      </w:pPr>
      <w:r w:rsidRPr="00A04763">
        <w:rPr>
          <w:rFonts w:ascii="Times New Roman" w:hAnsi="Times New Roman"/>
          <w:bCs w:val="0"/>
          <w:color w:val="auto"/>
          <w:sz w:val="24"/>
        </w:rPr>
        <w:lastRenderedPageBreak/>
        <w:t>1</w:t>
      </w:r>
      <w:r w:rsidRPr="00A04763">
        <w:rPr>
          <w:rFonts w:ascii="Times New Roman" w:hAnsi="Times New Roman" w:cs="Times New Roman"/>
          <w:bCs w:val="0"/>
          <w:color w:val="auto"/>
          <w:sz w:val="22"/>
          <w:szCs w:val="22"/>
        </w:rPr>
        <w:t>.</w:t>
      </w:r>
      <w:r w:rsidRPr="00D745D6">
        <w:rPr>
          <w:rFonts w:ascii="Times New Roman" w:hAnsi="Times New Roman" w:cs="Times New Roman"/>
          <w:color w:val="auto"/>
          <w:sz w:val="22"/>
          <w:szCs w:val="22"/>
        </w:rPr>
        <w:t xml:space="preserve"> Introduction</w:t>
      </w:r>
    </w:p>
    <w:p w14:paraId="323067BC" w14:textId="6332D850" w:rsidR="00782A4D" w:rsidRPr="00D745D6" w:rsidRDefault="00782A4D" w:rsidP="00782A4D">
      <w:pPr>
        <w:tabs>
          <w:tab w:val="num" w:pos="567"/>
        </w:tabs>
        <w:spacing w:after="240" w:line="240" w:lineRule="auto"/>
        <w:rPr>
          <w:sz w:val="22"/>
          <w:szCs w:val="22"/>
        </w:rPr>
      </w:pPr>
      <w:r w:rsidRPr="00D745D6">
        <w:rPr>
          <w:sz w:val="22"/>
          <w:szCs w:val="22"/>
        </w:rPr>
        <w:t xml:space="preserve">Les 7 et 8 juillet 2015, une délégation canadienne a comparu devant le Comité des droits de l’homme des Nations Unies pour l’examen du sixième rapport périodique du Canada sur le </w:t>
      </w:r>
      <w:r w:rsidRPr="00D745D6">
        <w:rPr>
          <w:i/>
          <w:sz w:val="22"/>
          <w:szCs w:val="22"/>
        </w:rPr>
        <w:t>Pacte international relatif aux droits civils et politiques</w:t>
      </w:r>
      <w:r w:rsidRPr="00D745D6">
        <w:rPr>
          <w:sz w:val="22"/>
          <w:szCs w:val="22"/>
        </w:rPr>
        <w:t>. Le Comité a publié ses observations finales concernant le Canada le 13 août 2015</w:t>
      </w:r>
      <w:r w:rsidRPr="00D745D6">
        <w:rPr>
          <w:rStyle w:val="FootnoteReference"/>
          <w:sz w:val="22"/>
          <w:szCs w:val="22"/>
        </w:rPr>
        <w:footnoteReference w:id="1"/>
      </w:r>
      <w:r w:rsidR="00431D27" w:rsidRPr="00D745D6">
        <w:rPr>
          <w:sz w:val="22"/>
          <w:szCs w:val="22"/>
        </w:rPr>
        <w:t>.</w:t>
      </w:r>
      <w:r w:rsidRPr="00D745D6">
        <w:rPr>
          <w:sz w:val="22"/>
          <w:szCs w:val="22"/>
        </w:rPr>
        <w:t xml:space="preserve"> </w:t>
      </w:r>
    </w:p>
    <w:p w14:paraId="06086EE4" w14:textId="4BBBF8CC" w:rsidR="00782A4D" w:rsidRPr="00D745D6" w:rsidRDefault="00782A4D" w:rsidP="00782A4D">
      <w:pPr>
        <w:spacing w:after="240" w:line="240" w:lineRule="auto"/>
        <w:rPr>
          <w:sz w:val="22"/>
          <w:szCs w:val="22"/>
        </w:rPr>
      </w:pPr>
      <w:r w:rsidRPr="00D745D6">
        <w:rPr>
          <w:sz w:val="22"/>
          <w:szCs w:val="22"/>
        </w:rPr>
        <w:t>Au paragraphe 21 de ces observations finales, le Comité demande des renseignements de suivi en réponse aux recommandations formulées par le Comité aux paragraphes 9, 12 et 16. Le Canada fournit les renseignements ci-dessous en réponse à cette demande.</w:t>
      </w:r>
    </w:p>
    <w:p w14:paraId="0C92E145" w14:textId="05447843" w:rsidR="00782A4D" w:rsidRPr="00D745D6" w:rsidRDefault="00782A4D" w:rsidP="00782A4D">
      <w:pPr>
        <w:spacing w:after="240" w:line="240" w:lineRule="auto"/>
        <w:rPr>
          <w:sz w:val="22"/>
          <w:szCs w:val="22"/>
        </w:rPr>
      </w:pPr>
      <w:r w:rsidRPr="00D745D6">
        <w:rPr>
          <w:sz w:val="22"/>
          <w:szCs w:val="22"/>
        </w:rPr>
        <w:t>Le présent rapport a trait à la mise en œuvre de la Convention par tous les ordres de gouvernement. Toute référence au «</w:t>
      </w:r>
      <w:r w:rsidR="002579F1" w:rsidRPr="00D745D6">
        <w:rPr>
          <w:sz w:val="22"/>
          <w:szCs w:val="22"/>
        </w:rPr>
        <w:t> </w:t>
      </w:r>
      <w:r w:rsidRPr="00D745D6">
        <w:rPr>
          <w:sz w:val="22"/>
          <w:szCs w:val="22"/>
        </w:rPr>
        <w:t>gouvernement du Canada</w:t>
      </w:r>
      <w:r w:rsidR="002579F1" w:rsidRPr="00D745D6">
        <w:rPr>
          <w:sz w:val="22"/>
          <w:szCs w:val="22"/>
        </w:rPr>
        <w:t> </w:t>
      </w:r>
      <w:r w:rsidRPr="00D745D6">
        <w:rPr>
          <w:sz w:val="22"/>
          <w:szCs w:val="22"/>
        </w:rPr>
        <w:t>» constitue une référence au gouvernement fédéral canadien tandis que toute référence au «</w:t>
      </w:r>
      <w:r w:rsidR="002579F1" w:rsidRPr="00D745D6">
        <w:rPr>
          <w:sz w:val="22"/>
          <w:szCs w:val="22"/>
        </w:rPr>
        <w:t> </w:t>
      </w:r>
      <w:r w:rsidRPr="00D745D6">
        <w:rPr>
          <w:sz w:val="22"/>
          <w:szCs w:val="22"/>
        </w:rPr>
        <w:t>Canada</w:t>
      </w:r>
      <w:r w:rsidR="002579F1" w:rsidRPr="00D745D6">
        <w:rPr>
          <w:sz w:val="22"/>
          <w:szCs w:val="22"/>
        </w:rPr>
        <w:t> </w:t>
      </w:r>
      <w:r w:rsidRPr="00D745D6">
        <w:rPr>
          <w:sz w:val="22"/>
          <w:szCs w:val="22"/>
        </w:rPr>
        <w:t>» représente généralement une référence aux gouvernements fédéraux, provinciaux et territoriaux combinés. Toute référence à une province ou à un territoire (par exemple le Québec, le Manitoba ou le Yukon) constitue généralement une référence à son gouvernement.</w:t>
      </w:r>
    </w:p>
    <w:p w14:paraId="79D8CFA2" w14:textId="34DA2BCA" w:rsidR="00782A4D" w:rsidRPr="00D745D6" w:rsidRDefault="00D745D6" w:rsidP="00782A4D">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2. </w:t>
      </w:r>
      <w:r w:rsidR="00782A4D" w:rsidRPr="00D745D6">
        <w:rPr>
          <w:rFonts w:ascii="Times New Roman" w:hAnsi="Times New Roman" w:cs="Times New Roman"/>
          <w:color w:val="auto"/>
          <w:sz w:val="22"/>
          <w:szCs w:val="22"/>
        </w:rPr>
        <w:t xml:space="preserve">Recommandation 9 : </w:t>
      </w:r>
      <w:r w:rsidR="00025662" w:rsidRPr="00D745D6">
        <w:rPr>
          <w:rFonts w:ascii="Times New Roman" w:hAnsi="Times New Roman" w:cs="Times New Roman"/>
          <w:color w:val="auto"/>
          <w:sz w:val="22"/>
          <w:szCs w:val="22"/>
        </w:rPr>
        <w:t>Meurtres et disparitions de femmes et de filles autochtones</w:t>
      </w:r>
    </w:p>
    <w:p w14:paraId="0DA26334" w14:textId="38C5496F" w:rsidR="00782A4D" w:rsidRPr="00D745D6" w:rsidRDefault="00025662" w:rsidP="00A04763">
      <w:pPr>
        <w:tabs>
          <w:tab w:val="num" w:pos="567"/>
        </w:tabs>
        <w:spacing w:after="240" w:line="240" w:lineRule="auto"/>
        <w:ind w:left="567" w:right="567"/>
        <w:jc w:val="both"/>
        <w:rPr>
          <w:i/>
          <w:sz w:val="22"/>
          <w:szCs w:val="22"/>
        </w:rPr>
      </w:pPr>
      <w:r w:rsidRPr="00D745D6">
        <w:rPr>
          <w:i/>
          <w:sz w:val="22"/>
          <w:szCs w:val="22"/>
        </w:rPr>
        <w:t>L’État partie devrait, en priorité : a) s’occuper de la question des femmes et des filles autochtones tuées et portées disparues en effectuant une enquête nationale, comme l’a préconisé le Comité pour l’élimination de la discrimination à l’égard des femmes, en consultation avec les organisations de femmes autochtones et les familles des victimes; b) revoir sa législation aux niveaux fédéral, provincial et territorial et coordonner les interventions policières à travers le pays pour prévenir de tels meurtres et disparitions; c) enquêter sur ces infractions et poursuivre et punir les responsables et accorder une réparation aux victimes; et d) s’attaquer aux causes profondes de la violence à l’égard des femmes et des filles autochtones</w:t>
      </w:r>
      <w:r w:rsidR="00782A4D" w:rsidRPr="00D745D6">
        <w:rPr>
          <w:i/>
          <w:sz w:val="22"/>
          <w:szCs w:val="22"/>
        </w:rPr>
        <w:t>.</w:t>
      </w:r>
    </w:p>
    <w:p w14:paraId="5CBE1385" w14:textId="2EC66720" w:rsidR="00D8183A" w:rsidRPr="00D745D6" w:rsidRDefault="00D8183A" w:rsidP="001C1DFD">
      <w:pPr>
        <w:spacing w:before="240" w:after="240" w:line="240" w:lineRule="auto"/>
        <w:rPr>
          <w:sz w:val="22"/>
          <w:szCs w:val="22"/>
        </w:rPr>
      </w:pPr>
      <w:r w:rsidRPr="00D745D6">
        <w:rPr>
          <w:sz w:val="22"/>
          <w:szCs w:val="22"/>
        </w:rPr>
        <w:t>Le Canada s’engage à régler de manière prioritaire le grave problème qu’est la violence infligée aux femmes et aux jeunes filles autochtones au Canada. Il faut mettre fin à cette tragédie qui continue de frapper le pays.</w:t>
      </w:r>
    </w:p>
    <w:p w14:paraId="755F2CB5" w14:textId="03A42211" w:rsidR="00D8183A" w:rsidRPr="00D745D6" w:rsidRDefault="00D745D6" w:rsidP="001654B8">
      <w:pPr>
        <w:pStyle w:val="Heading2"/>
        <w:spacing w:before="240" w:after="240" w:line="240" w:lineRule="auto"/>
        <w:rPr>
          <w:rFonts w:ascii="Times New Roman" w:hAnsi="Times New Roman" w:cs="Times New Roman"/>
          <w:color w:val="auto"/>
          <w:sz w:val="22"/>
          <w:szCs w:val="22"/>
          <w:u w:val="single"/>
        </w:rPr>
      </w:pPr>
      <w:r w:rsidRPr="005954AA">
        <w:rPr>
          <w:rFonts w:ascii="Times New Roman" w:hAnsi="Times New Roman" w:cs="Times New Roman"/>
          <w:color w:val="auto"/>
          <w:sz w:val="22"/>
          <w:szCs w:val="22"/>
        </w:rPr>
        <w:t xml:space="preserve">2.1. </w:t>
      </w:r>
      <w:r w:rsidR="00D8183A" w:rsidRPr="00D745D6">
        <w:rPr>
          <w:rFonts w:ascii="Times New Roman" w:hAnsi="Times New Roman" w:cs="Times New Roman"/>
          <w:color w:val="auto"/>
          <w:sz w:val="22"/>
          <w:szCs w:val="22"/>
          <w:u w:val="single"/>
        </w:rPr>
        <w:t>Lancement d’une enquête nationale</w:t>
      </w:r>
    </w:p>
    <w:p w14:paraId="76CC41F7" w14:textId="77C6C373" w:rsidR="008A12E3" w:rsidRPr="008A12E3" w:rsidRDefault="008A12E3" w:rsidP="008A12E3">
      <w:pPr>
        <w:spacing w:before="240" w:after="240" w:line="240" w:lineRule="auto"/>
        <w:rPr>
          <w:sz w:val="22"/>
          <w:szCs w:val="22"/>
          <w:lang w:bidi="ar-SA"/>
        </w:rPr>
      </w:pPr>
      <w:r w:rsidRPr="008A12E3">
        <w:rPr>
          <w:sz w:val="22"/>
          <w:szCs w:val="22"/>
          <w:lang w:eastAsia="en-US" w:bidi="ar-SA"/>
        </w:rPr>
        <w:t xml:space="preserve">À l’échelon fédéral, la ministre des Affaires autochtones et du Nord Canada et la ministre de la Justice et procureur général du Canada, avec l’appui de la ministre de la Condition féminine, ont lancé un processus préalable à l’enquête à l’échelle nationale sur les femmes et les jeunes filles autochtones disparues et assassinées, qui a débuté en décembre 2015, afin d’obtenir des recommandations sur des mesures concrètes que les gouvernements, les services de police et d’autres autorités peuvent prendre pour mettre un terme à la violence faite aux femmes et aux jeunes filles autochtones et la prévenir. Le lancement d’un processus d’enquête global fait partie de l’engagement du gouvernement du Canada à mettre en œuvre les recommandations de la Commission de vérité et réconciliation. L’enquête constitue un important mécanisme pour examiner et surmonter le traumatisme intergénérationnel causé par le système de pensionnats autochtones, en place au Canada pendant plus d’un siècle, soit jusqu’en 1996. L’enquête fait également partie de l’engagement du Canada à renouveler une relation de nation à nation et d’Inuits à État avec les peuples autochtones, fondée sur la reconnaissance des droits, le respect, la coopération et le partenariat, et à accomplir de réels progrès sur des questions telles que la sécurité communautaire, les services de police, le logement, l’emploi, la santé, la protection de la jeunesse et l’éducation. </w:t>
      </w:r>
    </w:p>
    <w:p w14:paraId="150B9971" w14:textId="77777777" w:rsidR="008A12E3" w:rsidRPr="008A12E3" w:rsidRDefault="008A12E3" w:rsidP="008A12E3">
      <w:pPr>
        <w:spacing w:before="240" w:after="240" w:line="240" w:lineRule="auto"/>
        <w:rPr>
          <w:sz w:val="22"/>
          <w:szCs w:val="22"/>
          <w:lang w:bidi="ar-SA"/>
        </w:rPr>
      </w:pPr>
      <w:r w:rsidRPr="008A12E3">
        <w:rPr>
          <w:sz w:val="22"/>
          <w:szCs w:val="22"/>
          <w:lang w:eastAsia="en-US" w:bidi="ar-SA"/>
        </w:rPr>
        <w:t>Le gouvernement du Canada a compris que la conception d’une enquête nationale exhaustive et efficace sur les femmes et les jeunes filles autochtones assassinées et disparues ne serait possible qu’après avoir entendu des personnes directement touchées, notamment celles qui ont survécu à la violence, les familles et les proches des victimes, ainsi que les collectivités et les organisations autochtones, y compris les regroupements de femmes autochtones et autres. Par conséquent, un processus de mobilisation préalable à l’enquête s’est déroulé à l’échelle nationale auprès de survivantes, de familles, de proches, d’organisations autochtones et de provinces et de territoires entre décembre 2015 et février 2016. Environ 2 160 personnes ont participé à 18 rencontres de mobilisation qui se sont tenues partout au pays. En plus de ces séances de mobilisation en personne, tous les Canadiens ont été invités à soumettre leur contribution en ligne ou par la poste. Plus de 4 100 soumissions en ligne et plus de 300 lettres et soumissions écrites ont été reçues entre décembre 2015 et février 2016. Le sommaire de ce que le gouvernement a entendu au cours du processus de mobilisation a été rendu public</w:t>
      </w:r>
      <w:r w:rsidRPr="008A12E3">
        <w:rPr>
          <w:sz w:val="22"/>
          <w:szCs w:val="22"/>
          <w:vertAlign w:val="superscript"/>
          <w:lang w:eastAsia="en-US" w:bidi="ar-SA"/>
        </w:rPr>
        <w:footnoteReference w:id="2"/>
      </w:r>
      <w:r w:rsidRPr="008A12E3">
        <w:rPr>
          <w:sz w:val="22"/>
          <w:szCs w:val="22"/>
          <w:lang w:eastAsia="en-US" w:bidi="ar-SA"/>
        </w:rPr>
        <w:t>.</w:t>
      </w:r>
    </w:p>
    <w:p w14:paraId="790A4F80" w14:textId="77777777" w:rsidR="008A12E3" w:rsidRPr="008A12E3" w:rsidRDefault="008A12E3" w:rsidP="008A12E3">
      <w:pPr>
        <w:spacing w:before="240" w:after="240" w:line="240" w:lineRule="auto"/>
        <w:rPr>
          <w:b/>
          <w:sz w:val="22"/>
          <w:szCs w:val="22"/>
          <w:lang w:eastAsia="en-US" w:bidi="ar-SA"/>
        </w:rPr>
      </w:pPr>
      <w:r w:rsidRPr="008A12E3">
        <w:rPr>
          <w:sz w:val="22"/>
          <w:szCs w:val="22"/>
          <w:lang w:eastAsia="en-US" w:bidi="ar-SA"/>
        </w:rPr>
        <w:t xml:space="preserve">Le gouvernement du Canada a également accordé un financement à cinq organisations autochtones nationales (représentant les Premières nations, les Métis et les Inuits) et regroupements de femmes autochtones, afin de leur permettre de tenir leurs propres séances de mobilisation préalables à l’enquête. Les organisations ont soumis des recommandations quant à la nature, à l’étendue et au mandat de l’enquête. La contribution de ces organisations aux fins d’examen s’est avérée essentielle au cours du processus préalable à l’enquête, étant donné que bon nombre d’entre elles réclamaient une enquête depuis plus de dix ans. L’initiative </w:t>
      </w:r>
      <w:r w:rsidRPr="00E335E4">
        <w:rPr>
          <w:i/>
          <w:sz w:val="22"/>
          <w:szCs w:val="22"/>
          <w:lang w:eastAsia="en-US" w:bidi="ar-SA"/>
        </w:rPr>
        <w:t xml:space="preserve">Sœurs par l’esprit </w:t>
      </w:r>
      <w:r w:rsidRPr="008A12E3">
        <w:rPr>
          <w:sz w:val="22"/>
          <w:szCs w:val="22"/>
          <w:lang w:eastAsia="en-US" w:bidi="ar-SA"/>
        </w:rPr>
        <w:t>de l’Association des femmes autochtones du Canada, qui a été soutenue par des fonds fédéraux, a jeté les bases de l’enquête nationale.</w:t>
      </w:r>
    </w:p>
    <w:p w14:paraId="1B98DE55" w14:textId="77777777" w:rsidR="008A12E3" w:rsidRPr="008A12E3" w:rsidRDefault="008A12E3" w:rsidP="008A12E3">
      <w:pPr>
        <w:spacing w:before="240" w:after="240" w:line="240" w:lineRule="auto"/>
        <w:rPr>
          <w:sz w:val="22"/>
          <w:szCs w:val="22"/>
          <w:lang w:eastAsia="en-US" w:bidi="ar-SA"/>
        </w:rPr>
      </w:pPr>
      <w:r w:rsidRPr="008A12E3">
        <w:rPr>
          <w:sz w:val="22"/>
          <w:szCs w:val="22"/>
          <w:lang w:eastAsia="en-CA" w:bidi="ar-SA"/>
        </w:rPr>
        <w:t xml:space="preserve">Le gouvernement du Canada s’engage également à prendre en compte dans la conception de l’enquête nationale les recommandations d’organes d’experts, notamment le Comité sur l’élimination de la discrimination envers les femmes des Nations Unies, qui a effectué son propre examen sur la question. </w:t>
      </w:r>
      <w:r w:rsidRPr="008A12E3">
        <w:rPr>
          <w:sz w:val="22"/>
          <w:szCs w:val="22"/>
          <w:lang w:eastAsia="en-US" w:bidi="ar-SA"/>
        </w:rPr>
        <w:t>L’objectif du gouvernement consistait à concevoir une enquête qui concilie diverses approches en vue de formuler des recommandations concrètes.</w:t>
      </w:r>
    </w:p>
    <w:p w14:paraId="759CA3A3" w14:textId="0FFCFEC7" w:rsidR="00D8183A" w:rsidRPr="008A12E3" w:rsidRDefault="008A12E3" w:rsidP="008A12E3">
      <w:pPr>
        <w:spacing w:before="240" w:after="240" w:line="240" w:lineRule="auto"/>
        <w:rPr>
          <w:b/>
          <w:sz w:val="22"/>
          <w:szCs w:val="22"/>
          <w:lang w:eastAsia="en-US" w:bidi="ar-SA"/>
        </w:rPr>
      </w:pPr>
      <w:r w:rsidRPr="008A12E3">
        <w:rPr>
          <w:sz w:val="22"/>
          <w:szCs w:val="22"/>
          <w:lang w:eastAsia="en-US" w:bidi="ar-SA"/>
        </w:rPr>
        <w:t>Le mercredi 3 août 2016 a marqué un jalon important pour l’enquête nationale sur les femmes et les filles autochtones disparues ou assassinées, car le gouvernement du Canada a annoncé la nomination de cinq commissaires chargés de diriger l’enquête indépendante et son mandat, et qu’il a remis toutes les données recueillies au cours du processus préalable à l’enquête à la Commission indépendante. Il s’agira d’une enquête véritablement nationale qui progressera grâce au soutien des provinces et des territoires qui se sont engagés à en adopter légalement le mandat conformément à leurs lois sur les enquêtes publiques respectives. Puisque l’enquête est nationale, les commissaires seront en mesure d’étudier les systèmes et institutions pour lesquels les provinces et territoires participants sont responsables, comme les services de police et les services de la protection de la jeunesse, et de présenter des recommandations significatives à cet égard. La période de référence de l’enquête s’étendra du 1</w:t>
      </w:r>
      <w:r w:rsidRPr="008A12E3">
        <w:rPr>
          <w:sz w:val="22"/>
          <w:szCs w:val="22"/>
          <w:vertAlign w:val="superscript"/>
          <w:lang w:eastAsia="en-US" w:bidi="ar-SA"/>
        </w:rPr>
        <w:t>er</w:t>
      </w:r>
      <w:r w:rsidRPr="008A12E3">
        <w:rPr>
          <w:sz w:val="22"/>
          <w:szCs w:val="22"/>
          <w:lang w:eastAsia="en-US" w:bidi="ar-SA"/>
        </w:rPr>
        <w:t> septembre 2016 au 31 décembre 2018. Au cours des deux années d’enquête, la Commission recevra 53,8 millions de dollars du gouvernement fédéral en vue d’exécuter son mandat. En outre, parallèlement à l’enquête, le ministère de la Justice fournira 16,17 millions de dollars pour des services spécialisés d’aide aux victimes et la création d’unités de liaison pour l’information à l’intention des familles, et ce, afin d’aider les familles, les proches et les survivants à obtenir de l’information et des services de soutien.</w:t>
      </w:r>
    </w:p>
    <w:p w14:paraId="7C7BAA81" w14:textId="5F5305F8" w:rsidR="00D8183A" w:rsidRPr="00D745D6" w:rsidRDefault="00D745D6" w:rsidP="001654B8">
      <w:pPr>
        <w:pStyle w:val="Heading2"/>
        <w:spacing w:before="240" w:after="240" w:line="240" w:lineRule="auto"/>
        <w:rPr>
          <w:rFonts w:ascii="Times New Roman" w:hAnsi="Times New Roman" w:cs="Times New Roman"/>
          <w:sz w:val="22"/>
          <w:szCs w:val="22"/>
          <w:u w:val="single"/>
        </w:rPr>
      </w:pPr>
      <w:r w:rsidRPr="005954AA">
        <w:rPr>
          <w:rFonts w:ascii="Times New Roman" w:hAnsi="Times New Roman" w:cs="Times New Roman"/>
          <w:color w:val="auto"/>
          <w:sz w:val="22"/>
          <w:szCs w:val="22"/>
        </w:rPr>
        <w:t xml:space="preserve">2.2. </w:t>
      </w:r>
      <w:r w:rsidR="00D8183A" w:rsidRPr="00D745D6">
        <w:rPr>
          <w:rFonts w:ascii="Times New Roman" w:hAnsi="Times New Roman" w:cs="Times New Roman"/>
          <w:color w:val="auto"/>
          <w:sz w:val="22"/>
          <w:szCs w:val="22"/>
          <w:u w:val="single"/>
        </w:rPr>
        <w:t>Coordination de l’application de la loi et des réponses des gouvernements fédéral, provinciaux et territoriaux</w:t>
      </w:r>
    </w:p>
    <w:p w14:paraId="78D988FC" w14:textId="4D8B44A0" w:rsidR="00D8183A" w:rsidRPr="00D745D6" w:rsidRDefault="00D8183A" w:rsidP="001C1DFD">
      <w:pPr>
        <w:spacing w:before="240" w:after="240" w:line="240" w:lineRule="auto"/>
        <w:rPr>
          <w:sz w:val="22"/>
          <w:szCs w:val="22"/>
        </w:rPr>
      </w:pPr>
      <w:r w:rsidRPr="00D745D6">
        <w:rPr>
          <w:sz w:val="22"/>
          <w:szCs w:val="22"/>
        </w:rPr>
        <w:t xml:space="preserve">Le Canada a pris note de la recommandation de plusieurs organismes établis en vertu de traités à l’effet qu’il doit assurer une meilleure coordination entre les différents niveaux de gouvernement dans la lutte contre la violence faite aux femmes et aux filles autochtones. Depuis la publication des observations finales du Comité, en juillet 2015, on note une amélioration de la collaboration, du consensus et de la coordination entre les gouvernements fédéral, provinciaux et territoriaux, y compris du côté des organismes d’application de la loi, pour tenter de mettre fin à la violence faite aux femmes et aux filles autochtones. </w:t>
      </w:r>
    </w:p>
    <w:p w14:paraId="7A8F2D2F" w14:textId="10155794" w:rsidR="00D8183A" w:rsidRPr="00D745D6" w:rsidRDefault="00D8183A" w:rsidP="001C1DFD">
      <w:pPr>
        <w:spacing w:before="240" w:after="240" w:line="240" w:lineRule="auto"/>
        <w:rPr>
          <w:sz w:val="22"/>
          <w:szCs w:val="22"/>
        </w:rPr>
      </w:pPr>
      <w:r w:rsidRPr="00D745D6">
        <w:rPr>
          <w:sz w:val="22"/>
          <w:szCs w:val="22"/>
        </w:rPr>
        <w:t xml:space="preserve">En 2015 et 2016, les gouvernements fédéral, provinciaux et territoriaux du Canada ont pris part à la première et à la deuxième réunion de la Table ronde nationale sur les disparitions et les assassinats de femmes et de jeunes filles autochtones. Il s’agit d’un forum essentiel qui permet aux gouvernements du Canada de s’engager avec les parties prenantes non gouvernementales en matière de lutte contre la violence faite aux femmes et aux jeunes filles autochtones. À la première Table ronde nationale, qui a eu lieu à Ottawa, en Ontario, en février 2015, les gouvernements fédéral, provinciaux et territoriaux, des organisations autochtones nationales et des représentants des familles de femmes autochtones disparues et assassinées se sont réunis pour déterminer les domaines d’action sur la question de la violence faite aux femmes autochtones. Ils ont également approuvé le </w:t>
      </w:r>
      <w:r w:rsidRPr="00D745D6">
        <w:rPr>
          <w:i/>
          <w:sz w:val="22"/>
          <w:szCs w:val="22"/>
        </w:rPr>
        <w:t>Cadre d’intervention pour prévenir et contrer la violence faite aux femmes et aux filles autochtones</w:t>
      </w:r>
      <w:r w:rsidRPr="00D745D6">
        <w:rPr>
          <w:sz w:val="22"/>
          <w:szCs w:val="22"/>
        </w:rPr>
        <w:t xml:space="preserve">. Le </w:t>
      </w:r>
      <w:r w:rsidRPr="00DA69D5">
        <w:rPr>
          <w:sz w:val="22"/>
          <w:szCs w:val="22"/>
        </w:rPr>
        <w:t>Cadre</w:t>
      </w:r>
      <w:r w:rsidRPr="00D745D6">
        <w:rPr>
          <w:sz w:val="22"/>
          <w:szCs w:val="22"/>
        </w:rPr>
        <w:t xml:space="preserve"> définissait trois domaines d’action prioritaires, soit la prévention et la sensibilisation, la sécurité communautaire et l’adoption de mesures par les services de police et les instances judiciaires. </w:t>
      </w:r>
    </w:p>
    <w:p w14:paraId="61C54E9F" w14:textId="31AB7233" w:rsidR="00D8183A" w:rsidRDefault="00D8183A" w:rsidP="001C1DFD">
      <w:pPr>
        <w:spacing w:before="240" w:after="240" w:line="240" w:lineRule="auto"/>
        <w:rPr>
          <w:sz w:val="22"/>
          <w:szCs w:val="22"/>
        </w:rPr>
      </w:pPr>
      <w:r w:rsidRPr="00DA69D5">
        <w:rPr>
          <w:sz w:val="22"/>
          <w:szCs w:val="22"/>
        </w:rPr>
        <w:t>Lors de la table ronde de février 2016, tenue à Winnipeg, au Manitoba, tous les participants, y compris les gouvernements, se sont engagés à poursuivre la collaboration et l’action pour prévenir et contrer la violence faite aux femmes et aux filles autochtones, y compris dans le cadre de l’enquête nationale.</w:t>
      </w:r>
      <w:r w:rsidR="00D0449C">
        <w:rPr>
          <w:sz w:val="22"/>
          <w:szCs w:val="22"/>
        </w:rPr>
        <w:t xml:space="preserve"> En outre,</w:t>
      </w:r>
      <w:r w:rsidRPr="00D745D6">
        <w:rPr>
          <w:sz w:val="22"/>
          <w:szCs w:val="22"/>
        </w:rPr>
        <w:t xml:space="preserve"> </w:t>
      </w:r>
      <w:r w:rsidR="00D0449C">
        <w:rPr>
          <w:sz w:val="22"/>
          <w:szCs w:val="22"/>
        </w:rPr>
        <w:t>les participants à la table ronde ont convenu de travailler sur les buts suivants :</w:t>
      </w:r>
    </w:p>
    <w:p w14:paraId="6A13EAC5" w14:textId="77777777" w:rsidR="00D0449C" w:rsidRPr="00D0449C" w:rsidRDefault="00D0449C" w:rsidP="00D0449C">
      <w:pPr>
        <w:numPr>
          <w:ilvl w:val="0"/>
          <w:numId w:val="9"/>
        </w:numPr>
        <w:spacing w:after="0" w:line="240" w:lineRule="auto"/>
        <w:textAlignment w:val="baseline"/>
        <w:rPr>
          <w:rFonts w:eastAsia="Times New Roman"/>
          <w:color w:val="000000"/>
          <w:sz w:val="22"/>
          <w:szCs w:val="22"/>
          <w:lang w:eastAsia="en-CA" w:bidi="ar-SA"/>
        </w:rPr>
      </w:pPr>
      <w:r w:rsidRPr="00D0449C">
        <w:rPr>
          <w:rFonts w:eastAsia="Times New Roman"/>
          <w:color w:val="000000"/>
          <w:sz w:val="22"/>
          <w:szCs w:val="22"/>
          <w:lang w:eastAsia="en-CA" w:bidi="ar-SA"/>
        </w:rPr>
        <w:t>Appuyer l’élaboration de programmes de formation dirigés par les Autochtones sur le savoir-faire culturel, la lutte contre le racisme et la lutte contre le sexisme, destinés à tous les fonctionnaires de toutes les administrations publiques, aux policiers et aux membres du système judiciaire, et portant notamment sur l’histoire des Autochtones, les répercussions des politiques, la législation et les traumatismes historiques.</w:t>
      </w:r>
    </w:p>
    <w:p w14:paraId="2BAD407F" w14:textId="77777777" w:rsidR="00D0449C" w:rsidRPr="00D0449C" w:rsidRDefault="00D0449C" w:rsidP="00D0449C">
      <w:pPr>
        <w:numPr>
          <w:ilvl w:val="0"/>
          <w:numId w:val="9"/>
        </w:numPr>
        <w:spacing w:after="0" w:line="240" w:lineRule="auto"/>
        <w:textAlignment w:val="baseline"/>
        <w:rPr>
          <w:rFonts w:eastAsia="Times New Roman"/>
          <w:color w:val="000000"/>
          <w:sz w:val="22"/>
          <w:szCs w:val="22"/>
          <w:lang w:eastAsia="en-CA" w:bidi="ar-SA"/>
        </w:rPr>
      </w:pPr>
      <w:r w:rsidRPr="00D0449C">
        <w:rPr>
          <w:rFonts w:eastAsia="Times New Roman"/>
          <w:color w:val="000000"/>
          <w:sz w:val="22"/>
          <w:szCs w:val="22"/>
          <w:lang w:eastAsia="en-CA" w:bidi="ar-SA"/>
        </w:rPr>
        <w:t>Créer et mettre en œuvre un ensemble de mesures de rendement communes pour évaluer les progrès réalisés en vue de traiter et de réduire les fossés socio-économique que connaissent les peuples autochtones.</w:t>
      </w:r>
    </w:p>
    <w:p w14:paraId="4B2494F5" w14:textId="77777777" w:rsidR="00D0449C" w:rsidRPr="00D0449C" w:rsidRDefault="00D0449C" w:rsidP="00D0449C">
      <w:pPr>
        <w:numPr>
          <w:ilvl w:val="0"/>
          <w:numId w:val="9"/>
        </w:numPr>
        <w:spacing w:after="0" w:line="240" w:lineRule="auto"/>
        <w:textAlignment w:val="baseline"/>
        <w:rPr>
          <w:rFonts w:eastAsia="Times New Roman"/>
          <w:color w:val="000000"/>
          <w:sz w:val="22"/>
          <w:szCs w:val="22"/>
          <w:lang w:eastAsia="en-CA" w:bidi="ar-SA"/>
        </w:rPr>
      </w:pPr>
      <w:r w:rsidRPr="00D0449C">
        <w:rPr>
          <w:rFonts w:eastAsia="Times New Roman"/>
          <w:color w:val="000000"/>
          <w:sz w:val="22"/>
          <w:szCs w:val="22"/>
          <w:lang w:eastAsia="en-CA" w:bidi="ar-SA"/>
        </w:rPr>
        <w:t>Travailler en collaboration pour améliorer la communication et la coordination entre les familles et les communautés autochtones, les services aux victimes, les services de police, les services chargés des poursuites judiciaires, les groupes de femmes, les groupes de lutte contre la violence et les travailleurs des refuges.</w:t>
      </w:r>
    </w:p>
    <w:p w14:paraId="012B5B7B" w14:textId="77777777" w:rsidR="00D0449C" w:rsidRDefault="00D0449C" w:rsidP="00D0449C">
      <w:pPr>
        <w:numPr>
          <w:ilvl w:val="0"/>
          <w:numId w:val="9"/>
        </w:numPr>
        <w:spacing w:after="0" w:line="240" w:lineRule="auto"/>
        <w:textAlignment w:val="baseline"/>
        <w:rPr>
          <w:rFonts w:eastAsia="Times New Roman"/>
          <w:color w:val="000000"/>
          <w:sz w:val="22"/>
          <w:szCs w:val="22"/>
          <w:lang w:eastAsia="en-CA" w:bidi="ar-SA"/>
        </w:rPr>
      </w:pPr>
      <w:r w:rsidRPr="00D0449C">
        <w:rPr>
          <w:rFonts w:eastAsia="Times New Roman"/>
          <w:color w:val="000000"/>
          <w:sz w:val="22"/>
          <w:szCs w:val="22"/>
          <w:lang w:eastAsia="en-CA" w:bidi="ar-SA"/>
        </w:rPr>
        <w:t>Mettre en œuvre une campagne de prévention et de sensibilisation à l’échelle du Canada visant à changer la perception et les attitudes du public afin de contribuer à faire cesser a violence à l’égard des femmes et des jeunes filles autochtones.</w:t>
      </w:r>
    </w:p>
    <w:p w14:paraId="675F7E65" w14:textId="77612C83" w:rsidR="0036442E" w:rsidRPr="00D0449C" w:rsidRDefault="00D8183A" w:rsidP="00D0449C">
      <w:pPr>
        <w:spacing w:after="0" w:line="240" w:lineRule="auto"/>
        <w:textAlignment w:val="baseline"/>
        <w:rPr>
          <w:rFonts w:eastAsia="Times New Roman"/>
          <w:color w:val="000000"/>
          <w:sz w:val="22"/>
          <w:szCs w:val="22"/>
          <w:lang w:eastAsia="en-CA" w:bidi="ar-SA"/>
        </w:rPr>
      </w:pPr>
      <w:r w:rsidRPr="00D0449C">
        <w:rPr>
          <w:sz w:val="22"/>
          <w:szCs w:val="22"/>
        </w:rPr>
        <w:t xml:space="preserve">De plus, en janvier 2016, les ministres fédéraux, provinciaux et territoriaux responsables de la justice et de la sécurité publique ont approuvé le </w:t>
      </w:r>
      <w:r w:rsidRPr="00D0449C">
        <w:rPr>
          <w:i/>
          <w:sz w:val="22"/>
          <w:szCs w:val="22"/>
        </w:rPr>
        <w:t>Cadre juridique visant la lutte contre la violence faite aux femmes et aux filles autochtones</w:t>
      </w:r>
      <w:r w:rsidRPr="00D0449C">
        <w:rPr>
          <w:sz w:val="22"/>
          <w:szCs w:val="22"/>
        </w:rPr>
        <w:t xml:space="preserve"> (le Cadre juridique)</w:t>
      </w:r>
      <w:r w:rsidR="00DA69D5" w:rsidRPr="00D0449C">
        <w:rPr>
          <w:sz w:val="22"/>
          <w:szCs w:val="22"/>
        </w:rPr>
        <w:t>.</w:t>
      </w:r>
      <w:r w:rsidRPr="00A952A1">
        <w:rPr>
          <w:rStyle w:val="FootnoteReference"/>
          <w:sz w:val="22"/>
          <w:szCs w:val="22"/>
        </w:rPr>
        <w:footnoteReference w:id="3"/>
      </w:r>
      <w:r w:rsidRPr="00D0449C">
        <w:rPr>
          <w:sz w:val="22"/>
          <w:szCs w:val="22"/>
        </w:rPr>
        <w:t xml:space="preserve"> Le Cadre juridique </w:t>
      </w:r>
      <w:r w:rsidR="002D7D7D" w:rsidRPr="00D0449C">
        <w:rPr>
          <w:sz w:val="22"/>
          <w:szCs w:val="22"/>
        </w:rPr>
        <w:t>est un document stratégique qui cerne les principes et les priorités qui contribuent à guider l’orientation des ministres dans leurs mesures qu’ils prennent avec les peuples autochtones et les autres partenaires clés pour améliorer la façon dont le system judicaire prévient la violence et y fait obstacle</w:t>
      </w:r>
      <w:r w:rsidRPr="00D0449C">
        <w:rPr>
          <w:sz w:val="22"/>
          <w:szCs w:val="22"/>
        </w:rPr>
        <w:t xml:space="preserve">. Les </w:t>
      </w:r>
      <w:r w:rsidR="002D7D7D" w:rsidRPr="00D0449C">
        <w:rPr>
          <w:sz w:val="22"/>
          <w:szCs w:val="22"/>
        </w:rPr>
        <w:t>priorités d’action communes présentées</w:t>
      </w:r>
      <w:r w:rsidRPr="00D0449C">
        <w:rPr>
          <w:sz w:val="22"/>
          <w:szCs w:val="22"/>
        </w:rPr>
        <w:t xml:space="preserve"> dans le cadre comprennent la réconciliation et </w:t>
      </w:r>
      <w:r w:rsidR="002D7D7D" w:rsidRPr="00D0449C">
        <w:rPr>
          <w:sz w:val="22"/>
          <w:szCs w:val="22"/>
        </w:rPr>
        <w:t>l’établissement</w:t>
      </w:r>
      <w:r w:rsidRPr="00D0449C">
        <w:rPr>
          <w:sz w:val="22"/>
          <w:szCs w:val="22"/>
        </w:rPr>
        <w:t xml:space="preserve"> de la confiance, le respect des droits </w:t>
      </w:r>
      <w:r w:rsidR="002D7D7D" w:rsidRPr="00D0449C">
        <w:rPr>
          <w:sz w:val="22"/>
          <w:szCs w:val="22"/>
        </w:rPr>
        <w:t>de la personne</w:t>
      </w:r>
      <w:r w:rsidRPr="00D0449C">
        <w:rPr>
          <w:sz w:val="22"/>
          <w:szCs w:val="22"/>
        </w:rPr>
        <w:t xml:space="preserve">, l’adoption de solutions axées sur la communauté et le changement des attitudes et des comportements. Les ministres ont convenu que le cadre judiciaire, </w:t>
      </w:r>
      <w:r w:rsidR="002D7D7D" w:rsidRPr="00D0449C">
        <w:rPr>
          <w:sz w:val="22"/>
          <w:szCs w:val="22"/>
        </w:rPr>
        <w:t>lequel est soutenu</w:t>
      </w:r>
      <w:r w:rsidRPr="00D0449C">
        <w:rPr>
          <w:sz w:val="22"/>
          <w:szCs w:val="22"/>
        </w:rPr>
        <w:t xml:space="preserve"> par de nombreux rapports et discussions avec les peuples autochtones, peut être mis à jour de façon à incorporer d’autres résultats, notamment ceux de l’enquête nationale. </w:t>
      </w:r>
    </w:p>
    <w:p w14:paraId="4D7C0A7A" w14:textId="2AAAB759" w:rsidR="0036442E" w:rsidRPr="00D745D6" w:rsidRDefault="0036442E"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Coopération dans le domaine de l’application de la loi</w:t>
      </w:r>
    </w:p>
    <w:p w14:paraId="288786D2" w14:textId="652EDA31" w:rsidR="0036442E" w:rsidRPr="00D745D6" w:rsidRDefault="0036442E" w:rsidP="001C1DFD">
      <w:pPr>
        <w:spacing w:before="240" w:after="240" w:line="240" w:lineRule="auto"/>
        <w:rPr>
          <w:sz w:val="22"/>
          <w:szCs w:val="22"/>
        </w:rPr>
      </w:pPr>
      <w:r w:rsidRPr="00D745D6">
        <w:rPr>
          <w:sz w:val="22"/>
          <w:szCs w:val="22"/>
        </w:rPr>
        <w:t xml:space="preserve">Les organismes canadiens d’application de la loi continuent de collaborer de différentes façons afin de partager leurs informations et leur expertise sur la question de la violence faite aux femmes et aux filles autochtones. </w:t>
      </w:r>
    </w:p>
    <w:p w14:paraId="724BF290" w14:textId="19053173" w:rsidR="0036442E" w:rsidRPr="00D745D6" w:rsidRDefault="0036442E" w:rsidP="001C1DFD">
      <w:pPr>
        <w:spacing w:before="240" w:after="240" w:line="240" w:lineRule="auto"/>
        <w:rPr>
          <w:b/>
          <w:sz w:val="22"/>
          <w:szCs w:val="22"/>
        </w:rPr>
      </w:pPr>
      <w:r w:rsidRPr="00D745D6">
        <w:rPr>
          <w:sz w:val="22"/>
          <w:szCs w:val="22"/>
        </w:rPr>
        <w:t>Le projet Devote constitue un excellent exemple de cette collaboration. Ce groupe de travail est composé d’enquêteurs du service de police de Winnipeg et de la Gendarmerie royale du Canada (GRC), ainsi que d’analystes civils qui collaborent pour aborder des homicides toujours non résolus et des cas de personnes disparues, lorsque des actes illicites sont soupçonnés contre des personnes vulnérables et victimes d’exploitation. Certains cas de disparitions et d’assassinats de femmes autochtones mention</w:t>
      </w:r>
      <w:r w:rsidR="002579F1" w:rsidRPr="00D745D6">
        <w:rPr>
          <w:sz w:val="22"/>
          <w:szCs w:val="22"/>
        </w:rPr>
        <w:t>né</w:t>
      </w:r>
      <w:r w:rsidR="00DA69D5">
        <w:rPr>
          <w:sz w:val="22"/>
          <w:szCs w:val="22"/>
        </w:rPr>
        <w:t>s dans l’</w:t>
      </w:r>
      <w:r w:rsidR="00DA69D5" w:rsidRPr="00DA69D5">
        <w:rPr>
          <w:i/>
          <w:sz w:val="22"/>
          <w:szCs w:val="22"/>
        </w:rPr>
        <w:t>A</w:t>
      </w:r>
      <w:r w:rsidRPr="00DA69D5">
        <w:rPr>
          <w:i/>
          <w:sz w:val="22"/>
          <w:szCs w:val="22"/>
        </w:rPr>
        <w:t xml:space="preserve">perçu opérationnel national </w:t>
      </w:r>
      <w:r w:rsidRPr="00D745D6">
        <w:rPr>
          <w:sz w:val="22"/>
          <w:szCs w:val="22"/>
        </w:rPr>
        <w:t>de la GRC sont en cours d’enquête dans le cadre du projet Devote</w:t>
      </w:r>
      <w:r w:rsidRPr="00D745D6">
        <w:rPr>
          <w:b/>
          <w:sz w:val="22"/>
          <w:szCs w:val="22"/>
        </w:rPr>
        <w:t xml:space="preserve">. </w:t>
      </w:r>
    </w:p>
    <w:p w14:paraId="66A57B11" w14:textId="712ACA0E" w:rsidR="0036442E" w:rsidRPr="00D745D6" w:rsidRDefault="0036442E" w:rsidP="001C1DFD">
      <w:pPr>
        <w:spacing w:before="240" w:after="240" w:line="240" w:lineRule="auto"/>
        <w:rPr>
          <w:sz w:val="22"/>
          <w:szCs w:val="22"/>
        </w:rPr>
      </w:pPr>
      <w:r w:rsidRPr="00D745D6">
        <w:rPr>
          <w:sz w:val="22"/>
          <w:szCs w:val="22"/>
        </w:rPr>
        <w:t xml:space="preserve">Un autre exemple de la coopération intergouvernementale est le Centre national pour les personnes disparues et restes non identifiés (CNPDRN), géré par la GRC, qui aide les policiers, les médecins légistes et les coroners en chef partout au pays dans le cadre des enquêtes sur les personnes disparues et les restes non identifiés. </w:t>
      </w:r>
    </w:p>
    <w:p w14:paraId="756F25A5" w14:textId="11967A9E" w:rsidR="0036442E" w:rsidRPr="00D745D6" w:rsidRDefault="0036442E" w:rsidP="001C1DFD">
      <w:pPr>
        <w:spacing w:before="240" w:after="240" w:line="240" w:lineRule="auto"/>
        <w:rPr>
          <w:sz w:val="22"/>
          <w:szCs w:val="22"/>
        </w:rPr>
      </w:pPr>
      <w:r w:rsidRPr="00D745D6">
        <w:rPr>
          <w:sz w:val="22"/>
          <w:szCs w:val="22"/>
        </w:rPr>
        <w:t xml:space="preserve">Le Canada attend avec intérêt de pouvoir examiner les recommandations concrètes émises à la suite de l’enquête nationale quant aux moyens d’accroître la collaboration fédérale, provinciale et territoriale, y compris par l’entremise des organismes d’application de la loi. </w:t>
      </w:r>
    </w:p>
    <w:p w14:paraId="7248A0AE" w14:textId="45910171" w:rsidR="0036442E" w:rsidRPr="00D745D6" w:rsidRDefault="00D745D6" w:rsidP="001654B8">
      <w:pPr>
        <w:pStyle w:val="Heading2"/>
        <w:spacing w:before="240" w:after="240" w:line="240" w:lineRule="auto"/>
        <w:rPr>
          <w:rFonts w:ascii="Times New Roman" w:hAnsi="Times New Roman" w:cs="Times New Roman"/>
          <w:sz w:val="22"/>
          <w:szCs w:val="22"/>
          <w:u w:val="single"/>
        </w:rPr>
      </w:pPr>
      <w:r w:rsidRPr="00D745D6">
        <w:rPr>
          <w:rFonts w:ascii="Times New Roman" w:hAnsi="Times New Roman" w:cs="Times New Roman"/>
          <w:color w:val="auto"/>
          <w:sz w:val="22"/>
          <w:szCs w:val="22"/>
        </w:rPr>
        <w:t xml:space="preserve">2.3. </w:t>
      </w:r>
      <w:r w:rsidR="0036442E" w:rsidRPr="00D745D6">
        <w:rPr>
          <w:rFonts w:ascii="Times New Roman" w:hAnsi="Times New Roman" w:cs="Times New Roman"/>
          <w:color w:val="auto"/>
          <w:sz w:val="22"/>
          <w:szCs w:val="22"/>
          <w:u w:val="single"/>
        </w:rPr>
        <w:t>Efforts continus en vue de faire enquête, d’engager des poursuites et de punir plus efficacement les malfaiteurs et d’accorder réparation aux victimes</w:t>
      </w:r>
    </w:p>
    <w:p w14:paraId="07BF77D0" w14:textId="54EAB8DE" w:rsidR="0036442E" w:rsidRPr="00D745D6" w:rsidRDefault="0036442E" w:rsidP="001C1DFD">
      <w:pPr>
        <w:spacing w:before="240" w:after="240" w:line="240" w:lineRule="auto"/>
        <w:rPr>
          <w:sz w:val="22"/>
          <w:szCs w:val="22"/>
        </w:rPr>
      </w:pPr>
      <w:r w:rsidRPr="00D745D6">
        <w:rPr>
          <w:sz w:val="22"/>
          <w:szCs w:val="22"/>
        </w:rPr>
        <w:t xml:space="preserve">Pendant la réalisation de l’enquête nationale, le Canada continue de prendre des mesures pour prévenir la violence, aider les populations survivantes et victimes, protéger les femmes et les filles autochtones contre la violence, faire enquête et punir les crimes violents. Le gouvernement fédéral continue d’investir dans ces domaines, y compris l’apport d’un soutien aux initiatives communautaires de prévention de la violence familiale. </w:t>
      </w:r>
    </w:p>
    <w:p w14:paraId="57642593" w14:textId="6A34F6E5" w:rsidR="0036442E" w:rsidRPr="00D745D6" w:rsidRDefault="0036442E" w:rsidP="001C1DFD">
      <w:pPr>
        <w:spacing w:before="240" w:after="240" w:line="240" w:lineRule="auto"/>
        <w:rPr>
          <w:sz w:val="22"/>
          <w:szCs w:val="22"/>
        </w:rPr>
      </w:pPr>
      <w:r w:rsidRPr="00D745D6">
        <w:rPr>
          <w:sz w:val="22"/>
          <w:szCs w:val="22"/>
        </w:rPr>
        <w:t>À titre d’exemple, le gouvernement du Canada s’est engagé à enrichir l’infrastructure du réseau existant de refuges et de maisons de transition pour garantir que tous les survivants de la violence familiale aient un endroit où aller. À cet égard, le gouvernement du Canada continue à offrir un financement pour appuyer la construction et la réparation de refuges dans les réserves comme à l’extérieur de celles-ci. Depuis 2011, des contributions de plus de 64 millions de dollars ont contribué à la prise en charge de 2</w:t>
      </w:r>
      <w:r w:rsidR="002579F1" w:rsidRPr="00D745D6">
        <w:rPr>
          <w:sz w:val="22"/>
          <w:szCs w:val="22"/>
        </w:rPr>
        <w:t> </w:t>
      </w:r>
      <w:r w:rsidRPr="00D745D6">
        <w:rPr>
          <w:sz w:val="22"/>
          <w:szCs w:val="22"/>
        </w:rPr>
        <w:t>400 unités de logement pour les victimes de violence domestique. Le budget fédéral de 2016 prévoit une somme de 89,9 millions de dollars répartie sur deux ans, à compter de 2016-2017, pour la construction et la rénovation de plus de 3</w:t>
      </w:r>
      <w:r w:rsidR="002579F1" w:rsidRPr="00D745D6">
        <w:rPr>
          <w:sz w:val="22"/>
          <w:szCs w:val="22"/>
        </w:rPr>
        <w:t> </w:t>
      </w:r>
      <w:r w:rsidRPr="00D745D6">
        <w:rPr>
          <w:sz w:val="22"/>
          <w:szCs w:val="22"/>
        </w:rPr>
        <w:t>000 refuges et maisons de transition.</w:t>
      </w:r>
    </w:p>
    <w:p w14:paraId="185ECBDC" w14:textId="0CF08C7B" w:rsidR="0036442E" w:rsidRPr="00D745D6" w:rsidRDefault="0036442E" w:rsidP="001C1DFD">
      <w:pPr>
        <w:tabs>
          <w:tab w:val="num" w:pos="567"/>
        </w:tabs>
        <w:spacing w:after="240" w:line="240" w:lineRule="auto"/>
        <w:rPr>
          <w:color w:val="000000"/>
          <w:sz w:val="22"/>
          <w:szCs w:val="22"/>
        </w:rPr>
      </w:pPr>
      <w:r w:rsidRPr="00D745D6">
        <w:rPr>
          <w:sz w:val="22"/>
          <w:szCs w:val="22"/>
        </w:rPr>
        <w:t>Le b</w:t>
      </w:r>
      <w:r w:rsidRPr="00D745D6">
        <w:rPr>
          <w:color w:val="000000"/>
          <w:sz w:val="22"/>
          <w:szCs w:val="22"/>
        </w:rPr>
        <w:t xml:space="preserve">udget fédéral de 2016 a réservé la somme de 10,4 millions de dollars sur trois ans pour fournir une sécurité accrue aux victimes de violence familiale dans les collectivités des Premières Nations, ce qui devrait contribuer à la construction de cinq nouveaux refuges et à la rénovation de jusqu’à </w:t>
      </w:r>
      <w:r w:rsidRPr="00D745D6">
        <w:rPr>
          <w:sz w:val="22"/>
          <w:szCs w:val="22"/>
        </w:rPr>
        <w:t xml:space="preserve">20 refuges existants dans les réserves. </w:t>
      </w:r>
      <w:r w:rsidRPr="00D745D6">
        <w:rPr>
          <w:color w:val="000000"/>
          <w:sz w:val="22"/>
          <w:szCs w:val="22"/>
        </w:rPr>
        <w:t>Le budget de 2016 propose en outre de verser jusqu’à 33,6 millions de dollars sur cinq ans, à compter de 2016-2017, et jusqu’à 8,3 millions de dollars par la suite, en fonds supplémentaires destinés à mieux soutenir les refuges pour les victimes de violence familiale vivant dans les collectivités des Premières Nations.</w:t>
      </w:r>
    </w:p>
    <w:p w14:paraId="4DA4C037" w14:textId="2DEF2F68" w:rsidR="0036442E" w:rsidRPr="00D745D6" w:rsidRDefault="0036442E" w:rsidP="001C1DFD">
      <w:pPr>
        <w:spacing w:before="240" w:after="240" w:line="240" w:lineRule="auto"/>
        <w:rPr>
          <w:sz w:val="22"/>
          <w:szCs w:val="22"/>
        </w:rPr>
      </w:pPr>
      <w:r w:rsidRPr="00D745D6">
        <w:rPr>
          <w:sz w:val="22"/>
          <w:szCs w:val="22"/>
        </w:rPr>
        <w:t xml:space="preserve">La Gendarmerie royale du Canada (GRC) demeure déterminée à résoudre les cas en suspens de disparitions et d’assassinats de femmes autochtones. En juin 2015, la GRC a publié une mise à jour de son </w:t>
      </w:r>
      <w:r w:rsidRPr="00D745D6">
        <w:rPr>
          <w:i/>
          <w:sz w:val="22"/>
          <w:szCs w:val="22"/>
        </w:rPr>
        <w:t>Aperçu opérationnel national</w:t>
      </w:r>
      <w:r w:rsidRPr="00D745D6">
        <w:rPr>
          <w:sz w:val="22"/>
          <w:szCs w:val="22"/>
        </w:rPr>
        <w:t>, le compte rendu le plus complet des incidents signalés par la police impliquant des disparitions et des assassinats de femmes et de jeunes filles autochtones</w:t>
      </w:r>
      <w:r w:rsidRPr="00D745D6">
        <w:rPr>
          <w:rStyle w:val="FootnoteReference"/>
          <w:sz w:val="22"/>
          <w:szCs w:val="22"/>
        </w:rPr>
        <w:footnoteReference w:id="4"/>
      </w:r>
      <w:r w:rsidR="00431D27" w:rsidRPr="00D745D6">
        <w:rPr>
          <w:sz w:val="22"/>
          <w:szCs w:val="22"/>
        </w:rPr>
        <w:t>.</w:t>
      </w:r>
      <w:r w:rsidRPr="00D745D6">
        <w:rPr>
          <w:sz w:val="22"/>
          <w:szCs w:val="22"/>
        </w:rPr>
        <w:t xml:space="preserve"> La GRC a également mis à jour ses politiques et pratiques en matière de production de rapports, de façon à garantir une meilleure collecte de données sur l’origine autochtone des victimes de crimes violents.</w:t>
      </w:r>
      <w:r w:rsidRPr="00D745D6">
        <w:rPr>
          <w:b/>
          <w:sz w:val="22"/>
          <w:szCs w:val="22"/>
        </w:rPr>
        <w:t xml:space="preserve"> </w:t>
      </w:r>
    </w:p>
    <w:p w14:paraId="446EEFCC" w14:textId="373A84E5" w:rsidR="0036442E" w:rsidRPr="00D745D6" w:rsidRDefault="0036442E" w:rsidP="001C1DFD">
      <w:pPr>
        <w:spacing w:before="240" w:after="240" w:line="240" w:lineRule="auto"/>
        <w:rPr>
          <w:sz w:val="22"/>
          <w:szCs w:val="22"/>
        </w:rPr>
      </w:pPr>
      <w:r w:rsidRPr="00D745D6">
        <w:rPr>
          <w:sz w:val="22"/>
          <w:szCs w:val="22"/>
        </w:rPr>
        <w:t>À court terme, le gouvernement du Canada a promis d’examiner les politiques de formation adaptées au sexe et à la culture existantes pour les agents fédéraux d’application de la loi de première ligne, de manière à vérifier leur efficacité et leur pertinence. Le gouvernement du Canada s’est également engagé à durcir les législations pénales et les conditions de mise en liberté sous caution dans les cas de violence familiale.</w:t>
      </w:r>
    </w:p>
    <w:p w14:paraId="6EF23B93" w14:textId="5B09155D" w:rsidR="0036442E" w:rsidRPr="00D745D6" w:rsidRDefault="0036442E" w:rsidP="001C1DFD">
      <w:pPr>
        <w:spacing w:before="240" w:after="240" w:line="240" w:lineRule="auto"/>
        <w:rPr>
          <w:sz w:val="22"/>
          <w:szCs w:val="22"/>
        </w:rPr>
      </w:pPr>
      <w:r w:rsidRPr="00D745D6">
        <w:rPr>
          <w:sz w:val="22"/>
          <w:szCs w:val="22"/>
        </w:rPr>
        <w:t xml:space="preserve">Les gouvernements provinciaux et territoriaux continuent également à prendre certaines mesures pour contrer la violence faite aux femmes autochtones. </w:t>
      </w:r>
    </w:p>
    <w:p w14:paraId="5DE467C4" w14:textId="06857844" w:rsidR="0036442E" w:rsidRPr="00D745D6" w:rsidRDefault="0036442E" w:rsidP="001C1DFD">
      <w:pPr>
        <w:spacing w:before="240" w:after="240" w:line="240" w:lineRule="auto"/>
        <w:rPr>
          <w:sz w:val="22"/>
          <w:szCs w:val="22"/>
        </w:rPr>
      </w:pPr>
      <w:r w:rsidRPr="00D745D6">
        <w:rPr>
          <w:sz w:val="22"/>
          <w:szCs w:val="22"/>
        </w:rPr>
        <w:t xml:space="preserve">En février 2016, le gouvernement de l’Ontario a publié </w:t>
      </w:r>
      <w:r w:rsidRPr="00D745D6">
        <w:rPr>
          <w:i/>
          <w:sz w:val="22"/>
          <w:szCs w:val="22"/>
        </w:rPr>
        <w:t>Pas à pas ensemble : La stratégie de l’Ontario contre la violence envers les femmes autochtones</w:t>
      </w:r>
      <w:r w:rsidRPr="00D745D6">
        <w:rPr>
          <w:sz w:val="22"/>
          <w:szCs w:val="22"/>
        </w:rPr>
        <w:t xml:space="preserve">, ouvrage définissant les mesures à prendre pour prévenir la violence contre les femmes autochtones et réduire son impact sur les jeunes, les familles et les collectivités. Le gouvernement s’est engagé à verser 100 millions de dollars sur trois ans en nouveaux fonds à l’appui de la mise en œuvre de la stratégie, qu’elle a élaborée en collaboration avec des partenaires autochtones du Groupe ontarien de travail mixte sur la prévention de la violence faite aux femmes autochtones. La nouvelle stratégie s’appuie sur les efforts actuels des partenaires autochtones, des organismes communautaires et du gouvernement en vue de sensibiliser la population et de prévenir la violence, d’offrir des programmes et des services communautaires plus efficaces qui tiennent compte des priorités des dirigeants et des collectivités autochtones et d’améliorer les conditions socioéconomiques qui favorisent la guérison au sein des communautés autochtones. </w:t>
      </w:r>
    </w:p>
    <w:p w14:paraId="1E6DC3AA" w14:textId="57CC463B" w:rsidR="0036442E" w:rsidRPr="00D745D6" w:rsidRDefault="00694260" w:rsidP="001C1DFD">
      <w:pPr>
        <w:spacing w:before="240" w:after="240" w:line="240" w:lineRule="auto"/>
        <w:rPr>
          <w:sz w:val="22"/>
          <w:szCs w:val="22"/>
        </w:rPr>
      </w:pPr>
      <w:r>
        <w:rPr>
          <w:sz w:val="22"/>
          <w:szCs w:val="22"/>
        </w:rPr>
        <w:t>En 2015,</w:t>
      </w:r>
      <w:r w:rsidR="0036442E" w:rsidRPr="00D745D6">
        <w:rPr>
          <w:sz w:val="22"/>
          <w:szCs w:val="22"/>
        </w:rPr>
        <w:t xml:space="preserve"> la Colombie-Britannique a publié sa stratégie intitulée </w:t>
      </w:r>
      <w:r w:rsidR="0036442E" w:rsidRPr="00631956">
        <w:rPr>
          <w:i/>
          <w:sz w:val="22"/>
          <w:szCs w:val="22"/>
        </w:rPr>
        <w:t>Vision for a Violence Free BC</w:t>
      </w:r>
      <w:r w:rsidR="0036442E" w:rsidRPr="00D745D6">
        <w:rPr>
          <w:i/>
          <w:sz w:val="22"/>
          <w:szCs w:val="22"/>
        </w:rPr>
        <w:t xml:space="preserve"> </w:t>
      </w:r>
      <w:r w:rsidR="0036442E" w:rsidRPr="00D745D6">
        <w:rPr>
          <w:sz w:val="22"/>
          <w:szCs w:val="22"/>
        </w:rPr>
        <w:t xml:space="preserve">(Vision pour l’élimination de la violence en C.-B.), qui propose certaines mesures immédiates ainsi qu’une vision à plus long terme pour mettre fin à la violence contre les femmes dans la province. Par le biais de la stratégie, la Colombie-Britannique a déjà investi </w:t>
      </w:r>
      <w:r w:rsidR="00631956">
        <w:rPr>
          <w:sz w:val="22"/>
          <w:szCs w:val="22"/>
        </w:rPr>
        <w:t xml:space="preserve">plus de </w:t>
      </w:r>
      <w:r>
        <w:rPr>
          <w:sz w:val="22"/>
          <w:szCs w:val="22"/>
        </w:rPr>
        <w:t>1,</w:t>
      </w:r>
      <w:r w:rsidR="003217C9">
        <w:rPr>
          <w:sz w:val="22"/>
          <w:szCs w:val="22"/>
        </w:rPr>
        <w:t xml:space="preserve">6 millions </w:t>
      </w:r>
      <w:r w:rsidR="00631956">
        <w:rPr>
          <w:sz w:val="22"/>
          <w:szCs w:val="22"/>
        </w:rPr>
        <w:t xml:space="preserve">de dollars </w:t>
      </w:r>
      <w:r w:rsidR="0036442E" w:rsidRPr="00D745D6">
        <w:rPr>
          <w:sz w:val="22"/>
          <w:szCs w:val="22"/>
        </w:rPr>
        <w:t xml:space="preserve">à l’appui de projets axés sur la lutte contre la violence faite aux femmes et aux filles autochtones. </w:t>
      </w:r>
    </w:p>
    <w:p w14:paraId="73F81517" w14:textId="6C3655A0" w:rsidR="0036442E" w:rsidRPr="00D745D6" w:rsidRDefault="0036442E" w:rsidP="001C1DFD">
      <w:pPr>
        <w:pStyle w:val="Content1"/>
        <w:ind w:left="0" w:right="96"/>
        <w:rPr>
          <w:rFonts w:eastAsiaTheme="minorHAnsi"/>
          <w:sz w:val="22"/>
          <w:szCs w:val="22"/>
        </w:rPr>
      </w:pPr>
      <w:r w:rsidRPr="00D745D6">
        <w:rPr>
          <w:sz w:val="22"/>
          <w:szCs w:val="22"/>
        </w:rPr>
        <w:t>En 2015-2016, le Yukon a fourni un financement de 200</w:t>
      </w:r>
      <w:r w:rsidR="002579F1" w:rsidRPr="00D745D6">
        <w:rPr>
          <w:sz w:val="22"/>
          <w:szCs w:val="22"/>
        </w:rPr>
        <w:t> </w:t>
      </w:r>
      <w:r w:rsidRPr="00D745D6">
        <w:rPr>
          <w:sz w:val="22"/>
          <w:szCs w:val="22"/>
        </w:rPr>
        <w:t>000 $ à cinq initiatives culturellement pertinentes conçues et élaborées par et pour les femmes autochtones en tant que stratégie clé pour la prise de mesures collectives pour mettre fin à la violence faite aux femmes autochtones. Ces cinq projets étaient les suivants</w:t>
      </w:r>
      <w:r w:rsidR="002579F1" w:rsidRPr="00D745D6">
        <w:rPr>
          <w:sz w:val="22"/>
          <w:szCs w:val="22"/>
        </w:rPr>
        <w:t> </w:t>
      </w:r>
      <w:r w:rsidRPr="00D745D6">
        <w:rPr>
          <w:sz w:val="22"/>
          <w:szCs w:val="22"/>
        </w:rPr>
        <w:t xml:space="preserve">: </w:t>
      </w:r>
      <w:r w:rsidRPr="00EF4C4A">
        <w:rPr>
          <w:i/>
          <w:sz w:val="22"/>
          <w:szCs w:val="22"/>
        </w:rPr>
        <w:t>A Safe Place</w:t>
      </w:r>
      <w:r w:rsidRPr="00D745D6">
        <w:rPr>
          <w:sz w:val="22"/>
          <w:szCs w:val="22"/>
        </w:rPr>
        <w:t xml:space="preserve"> (centre pour les femmes Victoria</w:t>
      </w:r>
      <w:r w:rsidR="002579F1" w:rsidRPr="00D745D6">
        <w:rPr>
          <w:sz w:val="22"/>
          <w:szCs w:val="22"/>
        </w:rPr>
        <w:t> </w:t>
      </w:r>
      <w:r w:rsidRPr="00D745D6">
        <w:rPr>
          <w:sz w:val="22"/>
          <w:szCs w:val="22"/>
        </w:rPr>
        <w:t xml:space="preserve">Faulkner); </w:t>
      </w:r>
      <w:r w:rsidRPr="00EF4C4A">
        <w:rPr>
          <w:i/>
          <w:sz w:val="22"/>
          <w:szCs w:val="22"/>
        </w:rPr>
        <w:t>Building a Circle of Response-Based Practice</w:t>
      </w:r>
      <w:r w:rsidRPr="00D745D6">
        <w:rPr>
          <w:sz w:val="22"/>
          <w:szCs w:val="22"/>
        </w:rPr>
        <w:t xml:space="preserve"> (Liard Aboriginal Women’s Society); </w:t>
      </w:r>
      <w:r w:rsidRPr="00EF4C4A">
        <w:rPr>
          <w:i/>
          <w:sz w:val="22"/>
          <w:szCs w:val="22"/>
        </w:rPr>
        <w:t>Prevention of Violence against Women in Pelly</w:t>
      </w:r>
      <w:r w:rsidRPr="00D745D6">
        <w:rPr>
          <w:sz w:val="22"/>
          <w:szCs w:val="22"/>
        </w:rPr>
        <w:t xml:space="preserve"> Crossing (Première </w:t>
      </w:r>
      <w:r w:rsidR="007835D8" w:rsidRPr="00D745D6">
        <w:rPr>
          <w:sz w:val="22"/>
          <w:szCs w:val="22"/>
        </w:rPr>
        <w:t>N</w:t>
      </w:r>
      <w:r w:rsidRPr="00D745D6">
        <w:rPr>
          <w:sz w:val="22"/>
          <w:szCs w:val="22"/>
        </w:rPr>
        <w:t xml:space="preserve">ation de Selkirk); </w:t>
      </w:r>
      <w:r w:rsidRPr="00EF4C4A">
        <w:rPr>
          <w:i/>
          <w:sz w:val="22"/>
          <w:szCs w:val="22"/>
        </w:rPr>
        <w:t>Walking with Our Sisters Community Programming</w:t>
      </w:r>
      <w:r w:rsidRPr="00D745D6">
        <w:rPr>
          <w:sz w:val="22"/>
          <w:szCs w:val="22"/>
        </w:rPr>
        <w:t xml:space="preserve"> (centre culturel Kwanlin Dün); et </w:t>
      </w:r>
      <w:r w:rsidRPr="00EF4C4A">
        <w:rPr>
          <w:i/>
          <w:sz w:val="22"/>
          <w:szCs w:val="22"/>
        </w:rPr>
        <w:t>Women of Wisdom</w:t>
      </w:r>
      <w:r w:rsidRPr="00D745D6">
        <w:rPr>
          <w:sz w:val="22"/>
          <w:szCs w:val="22"/>
        </w:rPr>
        <w:t xml:space="preserve"> (centre de l’amitié Skookum Jim).</w:t>
      </w:r>
    </w:p>
    <w:p w14:paraId="0F4E0660" w14:textId="7B7FD87A" w:rsidR="0036442E" w:rsidRDefault="0036442E" w:rsidP="001C1DFD">
      <w:pPr>
        <w:spacing w:before="240" w:after="240" w:line="240" w:lineRule="auto"/>
        <w:rPr>
          <w:sz w:val="22"/>
          <w:szCs w:val="22"/>
        </w:rPr>
      </w:pPr>
      <w:r w:rsidRPr="00D745D6">
        <w:rPr>
          <w:sz w:val="22"/>
          <w:szCs w:val="22"/>
        </w:rPr>
        <w:t xml:space="preserve">En 2015, les gouvernements du Québec et de l’Ontario ont apporté un soutien financier dans le cadre d’événements réunissant les proches de femmes autochtones disparues ou assassinées dans leurs provinces respectives. Les deux événements ont donné à ces personnes l’occasion de présenter leur point de vue sur la façon de mieux prévenir et contrer la violence faite aux femmes autochtones. Le financement provincial a aussi permis aux organisateurs de ces événements, Femmes autochtones du Québec et Chiefs of Ontario, de publier des rapports contenant certaines pistes de solutions sur la question. </w:t>
      </w:r>
    </w:p>
    <w:p w14:paraId="1631BBCE" w14:textId="7A6771D9" w:rsidR="007768D6" w:rsidRPr="009E00B8" w:rsidRDefault="007768D6" w:rsidP="00A96629">
      <w:pPr>
        <w:spacing w:before="240" w:after="240" w:line="240" w:lineRule="auto"/>
        <w:jc w:val="both"/>
        <w:rPr>
          <w:rFonts w:eastAsia="Calibri"/>
          <w:sz w:val="22"/>
          <w:szCs w:val="22"/>
          <w:lang w:bidi="ar-SA"/>
        </w:rPr>
      </w:pPr>
      <w:r w:rsidRPr="009E00B8">
        <w:rPr>
          <w:rFonts w:eastAsia="Calibri"/>
          <w:sz w:val="22"/>
          <w:szCs w:val="22"/>
          <w:lang w:bidi="ar-SA"/>
        </w:rPr>
        <w:t>En novembre 2015, le gouvernement du Québec a également mis en place plusieurs actions en vue d’accroître le soutien aux personnes victimes et leurs familles confrontées à des situations de violence. Plus particulièrement</w:t>
      </w:r>
      <w:r w:rsidR="00445A58" w:rsidRPr="009E00B8">
        <w:rPr>
          <w:rFonts w:eastAsia="Calibri"/>
          <w:sz w:val="22"/>
          <w:szCs w:val="22"/>
          <w:lang w:bidi="ar-SA"/>
        </w:rPr>
        <w:t>,</w:t>
      </w:r>
      <w:r w:rsidRPr="009E00B8">
        <w:rPr>
          <w:rFonts w:eastAsia="Calibri"/>
          <w:sz w:val="22"/>
          <w:szCs w:val="22"/>
          <w:lang w:bidi="ar-SA"/>
        </w:rPr>
        <w:t xml:space="preserve"> le Québec, par un </w:t>
      </w:r>
      <w:r w:rsidR="00457400" w:rsidRPr="009E00B8">
        <w:rPr>
          <w:rFonts w:eastAsia="Calibri"/>
          <w:sz w:val="22"/>
          <w:szCs w:val="22"/>
          <w:lang w:bidi="ar-SA"/>
        </w:rPr>
        <w:t>investissement de plus de 6,1 millions de dollars</w:t>
      </w:r>
      <w:r w:rsidR="00445A58" w:rsidRPr="009E00B8">
        <w:rPr>
          <w:rFonts w:eastAsia="Calibri"/>
          <w:sz w:val="22"/>
          <w:szCs w:val="22"/>
          <w:lang w:bidi="ar-SA"/>
        </w:rPr>
        <w:t>,</w:t>
      </w:r>
      <w:r w:rsidRPr="009E00B8">
        <w:rPr>
          <w:rFonts w:eastAsia="Calibri"/>
          <w:sz w:val="22"/>
          <w:szCs w:val="22"/>
          <w:lang w:bidi="ar-SA"/>
        </w:rPr>
        <w:t xml:space="preserve"> a pu soutenir le développement de </w:t>
      </w:r>
      <w:r w:rsidR="00457400" w:rsidRPr="009E00B8">
        <w:rPr>
          <w:rFonts w:eastAsia="Calibri"/>
          <w:sz w:val="22"/>
          <w:szCs w:val="22"/>
          <w:lang w:bidi="ar-SA"/>
        </w:rPr>
        <w:t>projets sociaux</w:t>
      </w:r>
      <w:r w:rsidRPr="009E00B8">
        <w:rPr>
          <w:rFonts w:eastAsia="Calibri"/>
          <w:sz w:val="22"/>
          <w:szCs w:val="22"/>
          <w:lang w:bidi="ar-SA"/>
        </w:rPr>
        <w:t xml:space="preserve"> en milieu urbain. Il a également concrétisé la mise sur pied d’initiatives destinées à rétablir le lien de confiance entre les policiers et les Autochtones du Québec et à mieux informer et soutenir les personnes victimes dans le cadre de leur processus de dénonciation. </w:t>
      </w:r>
    </w:p>
    <w:p w14:paraId="0CFE9B64" w14:textId="18FF5963" w:rsidR="007768D6" w:rsidRPr="009E00B8" w:rsidRDefault="00D34B48" w:rsidP="007768D6">
      <w:pPr>
        <w:autoSpaceDE w:val="0"/>
        <w:autoSpaceDN w:val="0"/>
        <w:adjustRightInd w:val="0"/>
        <w:spacing w:after="0" w:line="240" w:lineRule="auto"/>
        <w:jc w:val="both"/>
        <w:rPr>
          <w:rFonts w:cstheme="minorBidi"/>
          <w:sz w:val="22"/>
          <w:szCs w:val="22"/>
        </w:rPr>
      </w:pPr>
      <w:r w:rsidRPr="009E00B8">
        <w:rPr>
          <w:rFonts w:cstheme="minorBidi"/>
          <w:sz w:val="22"/>
          <w:szCs w:val="22"/>
        </w:rPr>
        <w:t>De plus, u</w:t>
      </w:r>
      <w:r w:rsidR="007768D6" w:rsidRPr="009E00B8">
        <w:rPr>
          <w:rFonts w:cstheme="minorBidi"/>
          <w:sz w:val="22"/>
          <w:szCs w:val="22"/>
        </w:rPr>
        <w:t>n congrès des femmes élues autochtones, tenu en février 2015, a réuni quelque 60 élues en provenance de l’ensemble des nations autochtones du Québec et 33 femmes parlementaires de l’Assemblée nationale. Cette rencontre visait à jeter les bases d’une synergie entre les deux groupes d’élues et à favoriser une meilleure connaissance, de part et d’autre, des enjeux et des défis de chacun. À l’issue de ce congrès, un protocole de solidarité a été conclu entre l’Assemblée des Premières nations du Québec et du Labrador et le Cercle des femmes parlementaires du Québec; ce protocole vise à créer des liens durables dans une volonté d'échanges respectueux basés sur des valeurs de partage, d'égalité, de paix et de justice sociale.</w:t>
      </w:r>
    </w:p>
    <w:p w14:paraId="1E9BFEBB" w14:textId="77777777" w:rsidR="007768D6" w:rsidRPr="007768D6" w:rsidRDefault="007768D6" w:rsidP="007768D6">
      <w:pPr>
        <w:autoSpaceDE w:val="0"/>
        <w:autoSpaceDN w:val="0"/>
        <w:adjustRightInd w:val="0"/>
        <w:spacing w:after="0" w:line="240" w:lineRule="auto"/>
        <w:jc w:val="both"/>
        <w:rPr>
          <w:rFonts w:cstheme="minorBidi"/>
          <w:sz w:val="22"/>
          <w:szCs w:val="22"/>
          <w:highlight w:val="green"/>
        </w:rPr>
      </w:pPr>
    </w:p>
    <w:p w14:paraId="41498EDD" w14:textId="0930EC3D" w:rsidR="007768D6" w:rsidRDefault="00867B95" w:rsidP="00FD5E7F">
      <w:pPr>
        <w:autoSpaceDE w:val="0"/>
        <w:autoSpaceDN w:val="0"/>
        <w:adjustRightInd w:val="0"/>
        <w:spacing w:after="0" w:line="240" w:lineRule="auto"/>
        <w:jc w:val="both"/>
        <w:rPr>
          <w:rFonts w:cstheme="minorBidi"/>
          <w:sz w:val="22"/>
          <w:szCs w:val="22"/>
        </w:rPr>
      </w:pPr>
      <w:r w:rsidRPr="009E00B8">
        <w:rPr>
          <w:rFonts w:cstheme="minorBidi"/>
          <w:sz w:val="22"/>
          <w:szCs w:val="22"/>
        </w:rPr>
        <w:t>En mai 2015, l</w:t>
      </w:r>
      <w:r w:rsidR="007768D6" w:rsidRPr="009E00B8">
        <w:rPr>
          <w:rFonts w:cstheme="minorBidi"/>
          <w:sz w:val="22"/>
          <w:szCs w:val="22"/>
        </w:rPr>
        <w:t>a Commission des relations avec les citoyens de l’Assemblée n</w:t>
      </w:r>
      <w:r w:rsidRPr="009E00B8">
        <w:rPr>
          <w:rFonts w:cstheme="minorBidi"/>
          <w:sz w:val="22"/>
          <w:szCs w:val="22"/>
        </w:rPr>
        <w:t xml:space="preserve">ationale du Québec s’est saisie </w:t>
      </w:r>
      <w:r w:rsidR="007768D6" w:rsidRPr="009E00B8">
        <w:rPr>
          <w:rFonts w:cstheme="minorBidi"/>
          <w:sz w:val="22"/>
          <w:szCs w:val="22"/>
        </w:rPr>
        <w:t>d’un mandat d’initiative sur les conditions de vie des femmes autochtones en lien avec les agressions sexuelles et la violence conjugale. Les nombreuses consultations ont permis de mieux comprendre les conditions de vie des femmes autochtones et d’échanger avec des experts et des intervenants du milieu, tels que l’organisme Femmes autochtones du Québec et l’Assemblée des Premières Nations du Québec et du Labrador. Un rapport intérimaire, déposé en mai dernier, présente des pistes de solutions proposées par les Autochtones.</w:t>
      </w:r>
    </w:p>
    <w:p w14:paraId="665163C0" w14:textId="77777777" w:rsidR="00FD5E7F" w:rsidRPr="00FD5E7F" w:rsidRDefault="00FD5E7F" w:rsidP="00FD5E7F">
      <w:pPr>
        <w:autoSpaceDE w:val="0"/>
        <w:autoSpaceDN w:val="0"/>
        <w:adjustRightInd w:val="0"/>
        <w:spacing w:after="0" w:line="240" w:lineRule="auto"/>
        <w:jc w:val="both"/>
        <w:rPr>
          <w:rFonts w:cstheme="minorBidi"/>
          <w:sz w:val="22"/>
          <w:szCs w:val="22"/>
        </w:rPr>
      </w:pPr>
    </w:p>
    <w:p w14:paraId="507813E3" w14:textId="09690BCA" w:rsidR="0036442E" w:rsidRPr="00D745D6" w:rsidRDefault="0036442E" w:rsidP="001C1DFD">
      <w:pPr>
        <w:tabs>
          <w:tab w:val="num" w:pos="567"/>
        </w:tabs>
        <w:spacing w:after="240" w:line="240" w:lineRule="auto"/>
        <w:rPr>
          <w:sz w:val="22"/>
          <w:szCs w:val="22"/>
        </w:rPr>
      </w:pPr>
      <w:r w:rsidRPr="00D745D6">
        <w:rPr>
          <w:sz w:val="22"/>
          <w:szCs w:val="22"/>
        </w:rPr>
        <w:t>Le go</w:t>
      </w:r>
      <w:r w:rsidR="00664E50">
        <w:rPr>
          <w:sz w:val="22"/>
          <w:szCs w:val="22"/>
        </w:rPr>
        <w:t>uvernement du Manitoba a organisé</w:t>
      </w:r>
      <w:r w:rsidRPr="00D745D6">
        <w:rPr>
          <w:sz w:val="22"/>
          <w:szCs w:val="22"/>
        </w:rPr>
        <w:t xml:space="preserve"> des réunions nationales axées sur la violence contre les femmes et les filles autochtones, y compris le rassemblement Wiping Away the Tears, pour les familles de femmes et de jeunes filles autochtones disparues ou assassinées (septembre 2015), et le National Justice Practitioners’ Forum, destiné aux praticiens des services de police, du système de justice pénale et des services aux victimes (janvier 2016). </w:t>
      </w:r>
    </w:p>
    <w:p w14:paraId="46B0A8E2" w14:textId="7AB6CB16" w:rsidR="0036442E" w:rsidRPr="00D745D6" w:rsidRDefault="00D745D6" w:rsidP="001654B8">
      <w:pPr>
        <w:pStyle w:val="Heading2"/>
        <w:spacing w:before="240" w:after="240" w:line="240" w:lineRule="auto"/>
        <w:rPr>
          <w:rFonts w:ascii="Times New Roman" w:hAnsi="Times New Roman" w:cs="Times New Roman"/>
          <w:sz w:val="22"/>
          <w:szCs w:val="22"/>
          <w:u w:val="single"/>
        </w:rPr>
      </w:pPr>
      <w:r w:rsidRPr="00D745D6">
        <w:rPr>
          <w:rFonts w:ascii="Times New Roman" w:hAnsi="Times New Roman" w:cs="Times New Roman"/>
          <w:color w:val="auto"/>
          <w:sz w:val="22"/>
          <w:szCs w:val="22"/>
        </w:rPr>
        <w:t xml:space="preserve">2.4. </w:t>
      </w:r>
      <w:r w:rsidR="0036442E" w:rsidRPr="00D745D6">
        <w:rPr>
          <w:rFonts w:ascii="Times New Roman" w:hAnsi="Times New Roman" w:cs="Times New Roman"/>
          <w:color w:val="auto"/>
          <w:sz w:val="22"/>
          <w:szCs w:val="22"/>
          <w:u w:val="single"/>
        </w:rPr>
        <w:t>Efforts</w:t>
      </w:r>
      <w:r w:rsidR="007835D8" w:rsidRPr="00D745D6">
        <w:rPr>
          <w:rFonts w:ascii="Times New Roman" w:hAnsi="Times New Roman" w:cs="Times New Roman"/>
          <w:color w:val="auto"/>
          <w:sz w:val="22"/>
          <w:szCs w:val="22"/>
          <w:u w:val="single"/>
        </w:rPr>
        <w:t xml:space="preserve"> constants</w:t>
      </w:r>
      <w:r w:rsidR="0036442E" w:rsidRPr="00D745D6">
        <w:rPr>
          <w:rFonts w:ascii="Times New Roman" w:hAnsi="Times New Roman" w:cs="Times New Roman"/>
          <w:color w:val="auto"/>
          <w:sz w:val="22"/>
          <w:szCs w:val="22"/>
          <w:u w:val="single"/>
        </w:rPr>
        <w:t xml:space="preserve"> déployés pour aborder les causes sous-jacentes de la violence faite aux femmes et aux filles autochtones</w:t>
      </w:r>
    </w:p>
    <w:p w14:paraId="4FA6EB00" w14:textId="750071CC" w:rsidR="0036442E" w:rsidRPr="00D745D6" w:rsidRDefault="0036442E" w:rsidP="001C1DFD">
      <w:pPr>
        <w:spacing w:before="240" w:after="240" w:line="240" w:lineRule="auto"/>
        <w:rPr>
          <w:sz w:val="22"/>
          <w:szCs w:val="22"/>
        </w:rPr>
      </w:pPr>
      <w:r w:rsidRPr="00D745D6">
        <w:rPr>
          <w:sz w:val="22"/>
          <w:szCs w:val="22"/>
        </w:rPr>
        <w:t>Bien que l’Enquête nationale soit en cours, les gouvernements canadiens se sont engagés à s’attaquer aux nombreuses causes sous-jacentes de la violence à l’égard des femmes et des filles autochtones, qui ont été décrites dans des études et des rapports antérieurs.</w:t>
      </w:r>
      <w:r w:rsidR="00431D27" w:rsidRPr="00D745D6">
        <w:rPr>
          <w:sz w:val="22"/>
          <w:szCs w:val="22"/>
        </w:rPr>
        <w:t xml:space="preserve"> </w:t>
      </w:r>
      <w:r w:rsidRPr="00D745D6">
        <w:rPr>
          <w:sz w:val="22"/>
          <w:szCs w:val="22"/>
        </w:rPr>
        <w:t xml:space="preserve">Le budget fédéral de 2016 propose d’investir 8,4 milliards de dollars sur cinq ans, à compter de 2016-2017, pour améliorer les conditions socioéconomiques des peuples autochtones et de leurs collectivités, et apporter un changement transformateur. </w:t>
      </w:r>
    </w:p>
    <w:p w14:paraId="024BC531" w14:textId="2D1A828A" w:rsidR="0036442E" w:rsidRPr="00D745D6" w:rsidRDefault="0036442E" w:rsidP="001C1DFD">
      <w:pPr>
        <w:tabs>
          <w:tab w:val="num" w:pos="567"/>
        </w:tabs>
        <w:spacing w:after="240" w:line="240" w:lineRule="auto"/>
        <w:rPr>
          <w:rFonts w:eastAsia="Times New Roman"/>
          <w:sz w:val="22"/>
          <w:szCs w:val="22"/>
        </w:rPr>
      </w:pPr>
      <w:r w:rsidRPr="00D745D6">
        <w:rPr>
          <w:sz w:val="22"/>
          <w:szCs w:val="22"/>
        </w:rPr>
        <w:t xml:space="preserve">Le gouvernement du Canada est déterminé à prendre des décisions fondées sur les meilleures données disponibles pour améliorer le bien-être de tous les peuples autochtones, et il travaille pour s’assurer que les principales sources de données sur les peuples autochtones sont tenues à jour et que les lacunes de longue date en matière de données sont comblées. À cet égard, le gouvernement du Canada a rétabli le long formulaire de recensement obligatoire, qui est l’une des seules sources de données sur les habitants des réserves et dans les collectivités. En outre, le gouvernement du Canada soutient le programme des </w:t>
      </w:r>
      <w:r w:rsidRPr="00E758C7">
        <w:rPr>
          <w:sz w:val="22"/>
          <w:szCs w:val="22"/>
        </w:rPr>
        <w:t>Enquêtes sur les peuples autochtones</w:t>
      </w:r>
      <w:r w:rsidRPr="00D745D6">
        <w:rPr>
          <w:sz w:val="22"/>
          <w:szCs w:val="22"/>
        </w:rPr>
        <w:t>, qui fournit des données inédites qui sont dans l’intérêt commun des peuples autochtones et du gouvernement du Canada. </w:t>
      </w:r>
    </w:p>
    <w:p w14:paraId="750DDA12" w14:textId="0C297E0D" w:rsidR="0036442E" w:rsidRPr="00D745D6" w:rsidRDefault="0036442E" w:rsidP="001654B8">
      <w:pPr>
        <w:pStyle w:val="Heading3"/>
        <w:spacing w:before="240" w:after="240" w:line="240" w:lineRule="auto"/>
        <w:rPr>
          <w:rFonts w:ascii="Times New Roman" w:eastAsia="Times New Roman" w:hAnsi="Times New Roman" w:cs="Times New Roman"/>
          <w:i/>
          <w:color w:val="auto"/>
          <w:sz w:val="22"/>
          <w:szCs w:val="22"/>
        </w:rPr>
      </w:pPr>
      <w:r w:rsidRPr="00D745D6">
        <w:rPr>
          <w:rFonts w:ascii="Times New Roman" w:hAnsi="Times New Roman" w:cs="Times New Roman"/>
          <w:i/>
          <w:color w:val="auto"/>
          <w:sz w:val="22"/>
          <w:szCs w:val="22"/>
        </w:rPr>
        <w:t>Services de protection de l’enfance</w:t>
      </w:r>
    </w:p>
    <w:p w14:paraId="06FC8A6A" w14:textId="0EE6F458" w:rsidR="0036442E" w:rsidRPr="00D745D6" w:rsidRDefault="0036442E" w:rsidP="001C1DFD">
      <w:pPr>
        <w:spacing w:before="240" w:after="240" w:line="240" w:lineRule="auto"/>
        <w:rPr>
          <w:sz w:val="22"/>
          <w:szCs w:val="22"/>
        </w:rPr>
      </w:pPr>
      <w:r w:rsidRPr="00D745D6">
        <w:rPr>
          <w:sz w:val="22"/>
          <w:szCs w:val="22"/>
        </w:rPr>
        <w:t>De nombreux rapports d’organes d’experts et de la société civile ont désigné des conditions socioéconomiques inadéquates comme cause sous-jacente du nombre disproportionné d’enfants autochtones pris en charge par les autorités du bien-être de l’enfance. Souvent, les enfants et les jeunes autochtones dans le système de protection de la jeunesse font l’objet d’un statut de santé physique et mentale négatif, et sont soumis à des risques accrus d’être victimes de violence, d’exploitation sexuelle, de traite des êtres humains ou d’homicide, de faire partie d’un gang, de se suicider et d’avoir des démêlés avec le système de justice pénale.</w:t>
      </w:r>
      <w:r w:rsidRPr="00D745D6">
        <w:rPr>
          <w:noProof/>
          <w:sz w:val="22"/>
          <w:szCs w:val="22"/>
        </w:rPr>
        <w:t xml:space="preserve"> </w:t>
      </w:r>
      <w:r w:rsidRPr="00D745D6">
        <w:rPr>
          <w:sz w:val="22"/>
          <w:szCs w:val="22"/>
        </w:rPr>
        <w:t xml:space="preserve">Le Canada est conscient de l’incidence sur les familles et les collectivités que peut avoir la séparation des enfants autochtones de leurs parents, et reconnaît le rôle que ces questions systémiques peuvent jouer dans la perpétuation des démêlés cycliques avec le système de protection de l’enfance. </w:t>
      </w:r>
    </w:p>
    <w:p w14:paraId="2156BA75" w14:textId="2587F61C" w:rsidR="0036442E" w:rsidRPr="00D745D6" w:rsidRDefault="0036442E" w:rsidP="001C1DFD">
      <w:pPr>
        <w:spacing w:before="240" w:after="240" w:line="240" w:lineRule="auto"/>
        <w:rPr>
          <w:b/>
          <w:sz w:val="22"/>
          <w:szCs w:val="22"/>
        </w:rPr>
      </w:pPr>
      <w:r w:rsidRPr="00D745D6">
        <w:rPr>
          <w:sz w:val="22"/>
          <w:szCs w:val="22"/>
        </w:rPr>
        <w:t>Bien que l’Enquête soit en cours, la prestation de services du bien-être de l’enfance aux familles autochtones et l’amélioration de la sécurité et du bien-être des enfants des Premières Nations dans les réserves demeureront des priorités pour les gouvernements canadiens.</w:t>
      </w:r>
      <w:r w:rsidR="002579F1" w:rsidRPr="00D745D6">
        <w:rPr>
          <w:sz w:val="22"/>
          <w:szCs w:val="22"/>
        </w:rPr>
        <w:t xml:space="preserve"> </w:t>
      </w:r>
      <w:r w:rsidRPr="00D745D6">
        <w:rPr>
          <w:sz w:val="22"/>
          <w:szCs w:val="22"/>
        </w:rPr>
        <w:t xml:space="preserve">En premier lieu, le budget fédéral de 2016 prévoit 634,8 millions de dollars sur cinq ans, à compter de 2016-2017, pour assurer la stabilité des programmes et étendre les programmes axés sur la prévention dans le cadre du Programme des services à l’enfance et à la famille des Premières Nations (SEFPN). </w:t>
      </w:r>
    </w:p>
    <w:p w14:paraId="173BEBF4" w14:textId="6BF94E49" w:rsidR="0036442E" w:rsidRPr="00D745D6" w:rsidRDefault="0036442E" w:rsidP="0036442E">
      <w:pPr>
        <w:spacing w:before="240" w:after="240" w:line="240" w:lineRule="auto"/>
        <w:rPr>
          <w:sz w:val="22"/>
          <w:szCs w:val="22"/>
        </w:rPr>
      </w:pPr>
      <w:r w:rsidRPr="00D745D6">
        <w:rPr>
          <w:sz w:val="22"/>
          <w:szCs w:val="22"/>
        </w:rPr>
        <w:t xml:space="preserve">Des changements sont également en cours au niveau fédéral à la suite de la décision rendue récemment par le Tribunal canadien des droits de la personne (le « Tribunal ») dans l’affaire </w:t>
      </w:r>
      <w:r w:rsidRPr="00D745D6">
        <w:rPr>
          <w:i/>
          <w:sz w:val="22"/>
          <w:szCs w:val="22"/>
        </w:rPr>
        <w:t>Société de soutien à l’enfance et à la famille des Premières Nations du Canada et al. c. Procureur général du Canada.</w:t>
      </w:r>
      <w:r w:rsidRPr="00D745D6">
        <w:rPr>
          <w:sz w:val="22"/>
          <w:szCs w:val="22"/>
        </w:rPr>
        <w:t xml:space="preserve"> Le 26 janvier 2016, le Tribunal a ordonné au gouvernement fédéral de cesser ses pratiques discriminatoires et d’entreprendre une réforme du Programme des services à l’enfance et à la famille des Premières Nations (SEFPN) et l’Accord de 1965 sur les programmes de bien-être avec l’Ontario</w:t>
      </w:r>
      <w:r w:rsidRPr="00D745D6">
        <w:rPr>
          <w:rStyle w:val="FootnoteReference"/>
          <w:sz w:val="22"/>
          <w:szCs w:val="22"/>
        </w:rPr>
        <w:footnoteReference w:id="5"/>
      </w:r>
      <w:r w:rsidR="00431D27" w:rsidRPr="00D745D6">
        <w:rPr>
          <w:sz w:val="22"/>
          <w:szCs w:val="22"/>
        </w:rPr>
        <w:t>.</w:t>
      </w:r>
      <w:r w:rsidRPr="00D745D6">
        <w:rPr>
          <w:sz w:val="22"/>
          <w:szCs w:val="22"/>
        </w:rPr>
        <w:t xml:space="preserve"> </w:t>
      </w:r>
    </w:p>
    <w:p w14:paraId="70D7B41F" w14:textId="2A5A9A67" w:rsidR="0036442E" w:rsidRPr="00D745D6" w:rsidRDefault="0036442E" w:rsidP="001C1DFD">
      <w:pPr>
        <w:spacing w:before="240" w:after="240" w:line="240" w:lineRule="auto"/>
        <w:rPr>
          <w:sz w:val="22"/>
          <w:szCs w:val="22"/>
        </w:rPr>
      </w:pPr>
      <w:r w:rsidRPr="00D745D6">
        <w:rPr>
          <w:sz w:val="22"/>
          <w:szCs w:val="22"/>
        </w:rPr>
        <w:t>Le 26 avril 2016, le Tribunal a publié sa décision relative à l’aide immédiate, traitant des réformes immédiates au Programme des services à l’enfance et à la famille des Premières Nations (SEFPN) et au principe de Jordan, un principe de l’enfant d’abord qui s’applique lorsqu’on ne parvient pas à s’entendre sur le niveau de gouvernement qui est responsable de fournir un service</w:t>
      </w:r>
      <w:r w:rsidRPr="00D745D6">
        <w:rPr>
          <w:rStyle w:val="FootnoteReference"/>
          <w:sz w:val="22"/>
          <w:szCs w:val="22"/>
        </w:rPr>
        <w:footnoteReference w:id="6"/>
      </w:r>
      <w:r w:rsidR="00431D27" w:rsidRPr="00D745D6">
        <w:rPr>
          <w:sz w:val="22"/>
          <w:szCs w:val="22"/>
        </w:rPr>
        <w:t>.</w:t>
      </w:r>
      <w:r w:rsidRPr="00D745D6">
        <w:rPr>
          <w:sz w:val="22"/>
          <w:szCs w:val="22"/>
        </w:rPr>
        <w:t xml:space="preserve"> La décision du Tribunal sur la réforme immédiate comprend d’importantes mesures visant à traiter l’aide immédiate et la réforme des programmes. Le gouvernement fédéral a déjà commencé à travailler avec la Société de soutien à l’enfance et à la famille des Premières Nations, l’Assemblée des Premières Nations et d’autres organisations afin de mieux répondre aux besoins des enfants et des jeunes autochtones pris en charge.</w:t>
      </w:r>
    </w:p>
    <w:p w14:paraId="2F73E51E" w14:textId="70E21963" w:rsidR="0036442E" w:rsidRPr="00D745D6" w:rsidRDefault="0036442E" w:rsidP="001C1DFD">
      <w:pPr>
        <w:tabs>
          <w:tab w:val="num" w:pos="567"/>
        </w:tabs>
        <w:spacing w:after="240" w:line="240" w:lineRule="auto"/>
        <w:rPr>
          <w:sz w:val="22"/>
          <w:szCs w:val="22"/>
        </w:rPr>
      </w:pPr>
      <w:r w:rsidRPr="00D745D6">
        <w:rPr>
          <w:sz w:val="22"/>
          <w:szCs w:val="22"/>
        </w:rPr>
        <w:t>Le Tribunal a clairement affirmé que le système en place est défaillant. Le gouvernement fédéral reconnaît qu’il peut et doit faire mieux. Les collectivités des Premières Nations méritent des mesures de soutien adéquates et un financement suffisant pour s’assurer que les besoins des membres les plus vulnérables de notre société, soit les enfants des Premières Nations vivant dans les réserves, sont satisfaits.</w:t>
      </w:r>
    </w:p>
    <w:p w14:paraId="5749D632" w14:textId="1DCEE996"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Services de bien-être à l’enfance : Coopération renforcée et programmes axés sur la prévention</w:t>
      </w:r>
    </w:p>
    <w:p w14:paraId="6013C5F1" w14:textId="2CF4DF1B" w:rsidR="006C5E82" w:rsidRPr="00D745D6" w:rsidRDefault="006C5E82" w:rsidP="001C1DFD">
      <w:pPr>
        <w:spacing w:before="240" w:after="240" w:line="240" w:lineRule="auto"/>
        <w:rPr>
          <w:rFonts w:eastAsia="Times New Roman"/>
          <w:sz w:val="22"/>
          <w:szCs w:val="22"/>
        </w:rPr>
      </w:pPr>
      <w:r w:rsidRPr="00D745D6">
        <w:rPr>
          <w:sz w:val="22"/>
          <w:szCs w:val="22"/>
        </w:rPr>
        <w:t xml:space="preserve">Comme les administrations fédérale, provinciales et territoriales partagent la responsabilité des services du bien-être à l’enfance, une collaboration étroite entre les deux paliers de gouvernement est de mise. Les gouvernements, à tous les niveaux, font également en sorte de collaborer plus étroitement avec les collectivités autochtones. Un nouveau groupe de travail fédéral-provincial-territorial sur les enfants et les jeunes autochtones pris en charge par les services sociaux a été formé et travaille à traiter la surreprésentation des enfants autochtones pris en charge. Un Sommet national sur le bien-être à l’enfance autochtone est en cours de planification pour l’automne 2016. Il est possible qu’il précède le Forum des ministres fédéral, provinciaux et territoriaux responsables des services sociaux. </w:t>
      </w:r>
    </w:p>
    <w:p w14:paraId="719D97AC" w14:textId="491FD744" w:rsidR="006C5E82" w:rsidRPr="00D745D6" w:rsidRDefault="006C5E82" w:rsidP="001C1DFD">
      <w:pPr>
        <w:spacing w:before="240" w:after="240" w:line="240" w:lineRule="auto"/>
        <w:rPr>
          <w:rFonts w:eastAsia="Times New Roman"/>
          <w:b/>
          <w:sz w:val="22"/>
          <w:szCs w:val="22"/>
        </w:rPr>
      </w:pPr>
      <w:r w:rsidRPr="00D745D6">
        <w:rPr>
          <w:sz w:val="22"/>
          <w:szCs w:val="22"/>
        </w:rPr>
        <w:t xml:space="preserve">Les gouvernements canadiens, à tous les niveaux, poursuivent le passage d’une approche axée sur la protection à des programmes axés sur la prévention, dans le but ultime de réduire le nombre d’enfants pris en charge. Cette réorientation s’appuie sur les données de sciences sociales de plus en plus nombreuses qui montrent qu’une approche axée sur la prévention pour ce qui est des services à l’enfance et aux familles, fondés sur une intervention précoce, contribue à ne pas séparer les familles et donne de meilleurs résultats du point de vue des enfants et des familles. À ce jour, les études menées au niveau fédéral ont révélé que l’adoption d’une approche axée sur la prévention a réduit le nombre d’enfants en foyer d’accueil et foyer de groupe, et a fait monter le nombre d’enfants pris en charge, entre autres par la parenté. </w:t>
      </w:r>
    </w:p>
    <w:p w14:paraId="45D09B9E" w14:textId="28E79C64" w:rsidR="006C5E82" w:rsidRPr="00D745D6" w:rsidRDefault="006C5E82" w:rsidP="001C1DFD">
      <w:pPr>
        <w:spacing w:before="240" w:after="240" w:line="240" w:lineRule="auto"/>
        <w:rPr>
          <w:rFonts w:eastAsia="Times New Roman"/>
          <w:sz w:val="22"/>
          <w:szCs w:val="22"/>
        </w:rPr>
      </w:pPr>
      <w:r w:rsidRPr="00D745D6">
        <w:rPr>
          <w:sz w:val="22"/>
          <w:szCs w:val="22"/>
        </w:rPr>
        <w:t>Le Programme fédéral des SEFPN avance progressivement avec les partenaires provinciaux, territoriaux et des Premières Nations. On prévoit que les tables tripartites reprendront dans le but de lancer la mobilisation à l’égard de la réforme du Programme des SEFPN.</w:t>
      </w:r>
    </w:p>
    <w:p w14:paraId="4D523C0A" w14:textId="66D62C23"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Services de bien-être à l’enfance : Services adaptés à la culture</w:t>
      </w:r>
    </w:p>
    <w:p w14:paraId="2FBC7617" w14:textId="3B82507E" w:rsidR="006C5E82" w:rsidRPr="00D745D6" w:rsidRDefault="006C5E82" w:rsidP="001C1DFD">
      <w:pPr>
        <w:pStyle w:val="NoSpacing"/>
        <w:spacing w:before="240" w:after="240"/>
        <w:rPr>
          <w:sz w:val="22"/>
          <w:szCs w:val="22"/>
        </w:rPr>
      </w:pPr>
      <w:r w:rsidRPr="00D745D6">
        <w:rPr>
          <w:sz w:val="22"/>
          <w:szCs w:val="22"/>
        </w:rPr>
        <w:t xml:space="preserve">Dans le même ordre d’idées, les gouvernements à tous les niveaux travaillent pour veiller à ce que les services du bien-être à l’enfance fournis aux familles autochtones soient adaptés à la culture autochtone et répondent aux besoins. Parmi les mécanismes permettant d’atteindre ces objectifs, on retrouve un recours accru aux placements dans la parenté ainsi que la reconnaissance et la promotion des soins conformes aux traditions. </w:t>
      </w:r>
    </w:p>
    <w:p w14:paraId="6C0B0DF2" w14:textId="1156C506" w:rsidR="006C5E82" w:rsidRDefault="006C5E82" w:rsidP="001C1DFD">
      <w:pPr>
        <w:spacing w:before="240" w:after="240" w:line="240" w:lineRule="auto"/>
        <w:rPr>
          <w:sz w:val="22"/>
          <w:szCs w:val="22"/>
        </w:rPr>
      </w:pPr>
      <w:r w:rsidRPr="00D745D6">
        <w:rPr>
          <w:sz w:val="22"/>
          <w:szCs w:val="22"/>
        </w:rPr>
        <w:t xml:space="preserve">Par exemple, le gouvernement de l’Ontario a instauré différents programmes et politiques visant à améliorer la pertinence culturelle de ses services du bien-être à l’enfance. Le gouvernement de l’Ontario a également octroyé des fonds à l’Association of Native Child and Family Services Agencies of Ontario, pour mettre au point un outil d’évaluation du milieu familial approprié du point de vue culturel. S’il est adopté, cet outil pourrait aider à accroître le nombre de foyers autochtones dans lesquels les enfants autochtones ayant besoin de protection sont placés. Ce travail devrait être terminé en 2016. </w:t>
      </w:r>
    </w:p>
    <w:p w14:paraId="705B4AB4" w14:textId="07A5B93E" w:rsidR="00FD5E7F" w:rsidRPr="00457909" w:rsidRDefault="00FD5E7F" w:rsidP="00FD5E7F">
      <w:pPr>
        <w:spacing w:before="240" w:after="240" w:line="240" w:lineRule="auto"/>
        <w:jc w:val="both"/>
        <w:rPr>
          <w:bCs/>
          <w:sz w:val="22"/>
          <w:szCs w:val="22"/>
          <w:u w:val="single"/>
        </w:rPr>
      </w:pPr>
      <w:r w:rsidRPr="00457909">
        <w:rPr>
          <w:rFonts w:cstheme="minorBidi"/>
          <w:sz w:val="22"/>
          <w:szCs w:val="22"/>
        </w:rPr>
        <w:t>Le Gouvernement du Québec a mis sur pied, dans différentes villes où la présence autochtone est marquée, des tables locales d’accessibilité aux services pour les Autochtones en milieu urbain. Ces tables permettront de réunir à court terme les partenaires régionaux et locaux en vue d’améliorer et de faciliter les collaborations et la complémentarité des services. L’enjeu de l’offre de services culturellement pertinents et sécurisants aux Autochtones est au cœur des discussions menées au sein de ces instances.</w:t>
      </w:r>
    </w:p>
    <w:p w14:paraId="2A4B8F12" w14:textId="48D12316" w:rsidR="006C5E82" w:rsidRPr="00D745D6" w:rsidRDefault="006C5E82" w:rsidP="001C1DFD">
      <w:pPr>
        <w:tabs>
          <w:tab w:val="num" w:pos="567"/>
        </w:tabs>
        <w:spacing w:after="240" w:line="240" w:lineRule="auto"/>
        <w:rPr>
          <w:sz w:val="22"/>
          <w:szCs w:val="22"/>
        </w:rPr>
      </w:pPr>
      <w:r w:rsidRPr="00D745D6">
        <w:rPr>
          <w:sz w:val="22"/>
          <w:szCs w:val="22"/>
        </w:rPr>
        <w:t>Le Canada a également hâte d’examiner les recommandations qui découleront de l’Enquête nationale sur la question du bien-être à l’enfance.</w:t>
      </w:r>
    </w:p>
    <w:p w14:paraId="49A7CF9B" w14:textId="45D43E3B"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Éducation des enfants autochtones</w:t>
      </w:r>
    </w:p>
    <w:p w14:paraId="50A4FD3D" w14:textId="66F2AC66" w:rsidR="006C5E82" w:rsidRPr="00D745D6" w:rsidRDefault="006C5E82" w:rsidP="001C1DFD">
      <w:pPr>
        <w:spacing w:before="240" w:after="240" w:line="240" w:lineRule="auto"/>
        <w:rPr>
          <w:b/>
          <w:sz w:val="22"/>
          <w:szCs w:val="22"/>
        </w:rPr>
      </w:pPr>
      <w:r w:rsidRPr="00D745D6">
        <w:rPr>
          <w:sz w:val="22"/>
          <w:szCs w:val="22"/>
        </w:rPr>
        <w:t xml:space="preserve">Le Canada admet que pour réagir à la violence à caractère sexiste et notamment la violence faite aux femmes et filles autochtones, il faut commencer par mettre fermement l’accent sur la prévention, et que l’éducation joue un rôle important à cet égard. Le gouvernement du Canada s’est engagé à travailler en partenariat avec les Premières Nations pour soutenir des systèmes d’éducation de qualité dans les réserves. C’est un volet capital de la réponse fédérale pour s’attaquer aux causes profondes de la violence envers les femmes et les filles autochtones. </w:t>
      </w:r>
    </w:p>
    <w:p w14:paraId="6493F575" w14:textId="06CCC197" w:rsidR="006C5E82" w:rsidRPr="00D745D6" w:rsidRDefault="006C5E82" w:rsidP="001C1DFD">
      <w:pPr>
        <w:spacing w:before="240" w:after="240" w:line="240" w:lineRule="auto"/>
        <w:rPr>
          <w:b/>
          <w:sz w:val="22"/>
          <w:szCs w:val="22"/>
        </w:rPr>
      </w:pPr>
      <w:r w:rsidRPr="00D745D6">
        <w:rPr>
          <w:sz w:val="22"/>
          <w:szCs w:val="22"/>
        </w:rPr>
        <w:t xml:space="preserve">Sur une période de cinq ans à compter de 2016-2017, le gouvernement du Canada investira des sommes considérables, qui totaliseront 2,6 milliards de dollars, dans l’éducation primaire et secondaire dans les réserves. Cela comprend des fonds tant pour répondre aux besoins immédiats que pour suivre le rythme de la croissance des coûts à moyen terme, en plus d’investissements dans des programmes culturels et linguistiques, dans la recherche et l’innovation en éducation, dans des programmes d’alphabétisation et de numératie, dans des programmes éducatifs axés sur les besoins particuliers et dans l’établissement de systèmes d’éducation dans les réserves, ce qui contribuera à améliorer les résultats scolaires. </w:t>
      </w:r>
    </w:p>
    <w:p w14:paraId="1B3C83B7" w14:textId="4B28745F" w:rsidR="006C5E82" w:rsidRPr="00D745D6" w:rsidRDefault="006C5E82" w:rsidP="001C1DFD">
      <w:pPr>
        <w:spacing w:before="240" w:after="240" w:line="240" w:lineRule="auto"/>
        <w:rPr>
          <w:b/>
          <w:sz w:val="22"/>
          <w:szCs w:val="22"/>
        </w:rPr>
      </w:pPr>
      <w:r w:rsidRPr="00D745D6">
        <w:rPr>
          <w:sz w:val="22"/>
          <w:szCs w:val="22"/>
        </w:rPr>
        <w:t xml:space="preserve">Un autre aspect essentiel de l’éducation est un milieu sain et sûr pour apprendre. Le gouvernement du Canada est déterminé à investir dans la réfection des écoles des Premières Nations et la construction de nouvelles écoles, afin d’améliorer les résultats scolaires des élèves des Premières Nations. La réussite scolaire, la santé et le bien-être des enfants des Premières Nations dépendent en grande partie de la qualité de leurs écoles. Le budget fédéral de 2016 a prévu 969,4 millions de dollars sur cinq ans pour l’infrastructure scolaire des Premières Nations, la construction, la rénovation et l’entretien des établissements d’enseignement des Premières Nations. </w:t>
      </w:r>
    </w:p>
    <w:p w14:paraId="7B95C0C5" w14:textId="6A053E3F" w:rsidR="006C5E82" w:rsidRPr="00D745D6" w:rsidRDefault="006C5E82" w:rsidP="001C1DFD">
      <w:pPr>
        <w:spacing w:before="240" w:after="240" w:line="240" w:lineRule="auto"/>
        <w:rPr>
          <w:sz w:val="22"/>
          <w:szCs w:val="22"/>
        </w:rPr>
      </w:pPr>
      <w:r w:rsidRPr="00D745D6">
        <w:rPr>
          <w:sz w:val="22"/>
          <w:szCs w:val="22"/>
        </w:rPr>
        <w:t xml:space="preserve">Pour compléter les investissements dans l’éducation primaire et secondaire des Premières Nations, le gouvernement fédéral prévoit consacrer 29,4 millions de dollars, en 2016-2017, à des travaux de réparation et de rénovation des établissements d’apprentissage et de garde des jeunes enfants. Faisant fond sur ces investissements, le gouvernement fédéral propose aussi de fournir 100 millions de dollars en 2017-2018 pour l’apprentissage et la garde des jeunes enfants dans les réserves. Des représentants du gouvernement auront des entretiens avec les organisations et les parents des peuples autochtones afin de déterminer la meilleure approche à adopter pour dispenser des services d’apprentissage et de garde des jeunes enfants de grande qualité dans les réserves. </w:t>
      </w:r>
    </w:p>
    <w:p w14:paraId="4B492889" w14:textId="798BF9E6" w:rsidR="006C5E82" w:rsidRPr="00D745D6" w:rsidRDefault="006C5E82" w:rsidP="001C1DFD">
      <w:pPr>
        <w:tabs>
          <w:tab w:val="num" w:pos="567"/>
        </w:tabs>
        <w:spacing w:after="240" w:line="240" w:lineRule="auto"/>
        <w:rPr>
          <w:sz w:val="22"/>
          <w:szCs w:val="22"/>
        </w:rPr>
      </w:pPr>
      <w:r w:rsidRPr="00D745D6">
        <w:rPr>
          <w:sz w:val="22"/>
          <w:szCs w:val="22"/>
        </w:rPr>
        <w:t>Pour leur part, les provinces et les territoires continuent d’améliorer leurs systèmes éducatifs pour que les enfants autochtones obtiennent de meilleurs résultats scolaires. Par exemple, à l’automne</w:t>
      </w:r>
      <w:r w:rsidR="002579F1" w:rsidRPr="00D745D6">
        <w:rPr>
          <w:sz w:val="22"/>
          <w:szCs w:val="22"/>
        </w:rPr>
        <w:t> </w:t>
      </w:r>
      <w:r w:rsidRPr="00D745D6">
        <w:rPr>
          <w:sz w:val="22"/>
          <w:szCs w:val="22"/>
        </w:rPr>
        <w:t xml:space="preserve">2015, le gouvernement du Manitoba a apporté des modifications à la </w:t>
      </w:r>
      <w:r w:rsidRPr="00D745D6">
        <w:rPr>
          <w:i/>
          <w:sz w:val="22"/>
          <w:szCs w:val="22"/>
        </w:rPr>
        <w:t>Loi modifiant la Loi sur l’administration scolaire</w:t>
      </w:r>
      <w:r w:rsidRPr="00D745D6">
        <w:rPr>
          <w:sz w:val="22"/>
          <w:szCs w:val="22"/>
        </w:rPr>
        <w:t xml:space="preserve"> qui ont fait place à un nouveau cadre stratégique sur l’éducation et l’histoire des Premières Nations, des Métis et des Inuits. Les modifications à la Loi prévoient également l’élaboration de critères permettant de faire en sorte que les programmes scolaires reflètent le point de vue des membres des Premières Nations, des Métis et des Inuits, et des mesures à mettre en œuvre afin que soit appuyé le perfectionnement professionnel des enseignants et des autres intervenants qui participent aux activités pédagogiques. </w:t>
      </w:r>
    </w:p>
    <w:p w14:paraId="5878CEC4" w14:textId="2DA121C7"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Emploi</w:t>
      </w:r>
    </w:p>
    <w:p w14:paraId="08A6D2E3" w14:textId="4EBAC2F0" w:rsidR="006C5E82" w:rsidRPr="00D745D6" w:rsidRDefault="006C5E82" w:rsidP="001C1DFD">
      <w:pPr>
        <w:spacing w:before="240" w:after="240" w:line="240" w:lineRule="auto"/>
        <w:rPr>
          <w:sz w:val="22"/>
          <w:szCs w:val="22"/>
        </w:rPr>
      </w:pPr>
      <w:r w:rsidRPr="00D745D6">
        <w:rPr>
          <w:sz w:val="22"/>
          <w:szCs w:val="22"/>
        </w:rPr>
        <w:t xml:space="preserve">L’amélioration des résultats en matière d’emploi des peuples autochtones, et notamment les femmes, est une autre priorité importante du Canada. Le Canada reconnaît que de nombreux peuples autochtones se heurtent toujours à de nombreux obstacles à l’emploi, attribuables en partie au faible niveau de scolarité par rapport à la population générale, aux lacunes en matière de compétences et aux occasions d’emploi limitées dans les régions éloignées. </w:t>
      </w:r>
    </w:p>
    <w:p w14:paraId="02F50A56" w14:textId="2BF5A2B7" w:rsidR="006C5E82" w:rsidRPr="00D745D6" w:rsidRDefault="006C5E82" w:rsidP="001C1DFD">
      <w:pPr>
        <w:spacing w:before="240" w:after="240" w:line="240" w:lineRule="auto"/>
        <w:rPr>
          <w:b/>
          <w:sz w:val="22"/>
          <w:szCs w:val="22"/>
        </w:rPr>
      </w:pPr>
      <w:r w:rsidRPr="00D745D6">
        <w:rPr>
          <w:sz w:val="22"/>
          <w:szCs w:val="22"/>
        </w:rPr>
        <w:t>Dans le cadre de la Stratégie d’emploi pour les jeunes Inuits et des Premières Nations, le gouvernement du Canada finance des initiatives destinées à aider les jeunes Inuits et des Premières Nations âgés de 15 à 30 ans à acquérir de l’expérience professionnelle, à s’informer sur les filières professionnelles et à saisir les occasions d’améliorer leurs compétences pour obtenir des emplois et faire carrière. Depuis l’adoption de cette stratégie en 1997, près de 150</w:t>
      </w:r>
      <w:r w:rsidR="002579F1" w:rsidRPr="00D745D6">
        <w:rPr>
          <w:sz w:val="22"/>
          <w:szCs w:val="22"/>
        </w:rPr>
        <w:t> </w:t>
      </w:r>
      <w:r w:rsidRPr="00D745D6">
        <w:rPr>
          <w:sz w:val="22"/>
          <w:szCs w:val="22"/>
        </w:rPr>
        <w:t>000 emplois ont été offerts aux jeunes Inuits et des Premières Nations. Plus de 600 communautés inuites et des Premières nations conçoivent et exécutent des projets à tous les ans.</w:t>
      </w:r>
    </w:p>
    <w:p w14:paraId="0D9A3DBE" w14:textId="0D8265EA" w:rsidR="006C5E82" w:rsidRPr="00D745D6" w:rsidRDefault="006C5E82" w:rsidP="001C1DFD">
      <w:pPr>
        <w:spacing w:before="240" w:after="240" w:line="240" w:lineRule="auto"/>
        <w:rPr>
          <w:b/>
          <w:sz w:val="22"/>
          <w:szCs w:val="22"/>
        </w:rPr>
      </w:pPr>
      <w:r w:rsidRPr="00D745D6">
        <w:rPr>
          <w:sz w:val="22"/>
          <w:szCs w:val="22"/>
        </w:rPr>
        <w:t xml:space="preserve">Dans le cadre de son engagement à soutenir la participation des Autochtones au marché du travail, le gouvernement du Canada établit des plans visant l’amélioration des programmes du marché du travail destinés aux Autochtones, y compris le renouvellement et l’expansion éventuels du financement de la Stratégie de formation pour les compétences et l’emploi destiné aux Autochtones (SFCEA). Dans le budget fédéral de 2016, le gouvernement du Canada a annoncé un investissement de 15 millions de dollars sur les deux prochaines années (5 millions de dollars en 2016-2017 et 10 millions de dollars en 2017-2018) pour mieux harmoniser la formation professionnelle avec les besoins des collectivités. Emploi et Développement social Canada (EDSC) </w:t>
      </w:r>
      <w:r w:rsidRPr="00D745D6">
        <w:rPr>
          <w:color w:val="000000"/>
          <w:sz w:val="22"/>
          <w:szCs w:val="22"/>
        </w:rPr>
        <w:t>tiendra des consultations auprès des dirigeants et des collectivités autochtones, des employeurs et d’autres intervenants clés en vue de déterminer les améliorations qui pourraient être apportées aux programmes.</w:t>
      </w:r>
      <w:r w:rsidRPr="00D745D6">
        <w:rPr>
          <w:b/>
          <w:sz w:val="22"/>
          <w:szCs w:val="22"/>
        </w:rPr>
        <w:t xml:space="preserve"> </w:t>
      </w:r>
    </w:p>
    <w:p w14:paraId="713F53DA" w14:textId="61DFCB8D" w:rsidR="006C5E82" w:rsidRPr="00D745D6" w:rsidRDefault="006C5E82" w:rsidP="001C1DFD">
      <w:pPr>
        <w:widowControl w:val="0"/>
        <w:spacing w:after="0" w:line="240" w:lineRule="auto"/>
        <w:rPr>
          <w:sz w:val="22"/>
          <w:szCs w:val="22"/>
        </w:rPr>
      </w:pPr>
      <w:r w:rsidRPr="00D745D6">
        <w:rPr>
          <w:sz w:val="22"/>
          <w:szCs w:val="22"/>
        </w:rPr>
        <w:t>La Stratégie de formation pour les compétences et l’emploi destinée aux autochtones (SFCEA) reçoit un financement de l’ordre de 295 millions de dollars par année (300 millions de dollars en 2016-2017 et 305 millions de dollars en 2017-2018, y compris les nouvelles annonces du budget 2016), et offre un continuum de services allant de la formation préalable à l’emploi (p. ex. littéracie, numératie et autres compétentes essentielles) à la formation plus avancée menant à l’emploi pour les emplois qualifiés. Au cours de la période d’avril 2010 à mai 2016, à peu près 269</w:t>
      </w:r>
      <w:r w:rsidR="002579F1" w:rsidRPr="00D745D6">
        <w:rPr>
          <w:sz w:val="22"/>
          <w:szCs w:val="22"/>
        </w:rPr>
        <w:t> </w:t>
      </w:r>
      <w:r w:rsidRPr="00D745D6">
        <w:rPr>
          <w:sz w:val="22"/>
          <w:szCs w:val="22"/>
        </w:rPr>
        <w:t>000 clients ont été servis; de ce nombre, environ 98</w:t>
      </w:r>
      <w:r w:rsidR="002579F1" w:rsidRPr="00D745D6">
        <w:rPr>
          <w:sz w:val="22"/>
          <w:szCs w:val="22"/>
        </w:rPr>
        <w:t> </w:t>
      </w:r>
      <w:r w:rsidRPr="00D745D6">
        <w:rPr>
          <w:sz w:val="22"/>
          <w:szCs w:val="22"/>
        </w:rPr>
        <w:t>300 personnes ont obtenu un emploi et environ 47</w:t>
      </w:r>
      <w:r w:rsidR="002579F1" w:rsidRPr="00D745D6">
        <w:rPr>
          <w:sz w:val="22"/>
          <w:szCs w:val="22"/>
        </w:rPr>
        <w:t> </w:t>
      </w:r>
      <w:r w:rsidRPr="00D745D6">
        <w:rPr>
          <w:sz w:val="22"/>
          <w:szCs w:val="22"/>
        </w:rPr>
        <w:t xml:space="preserve">520 sont retournées à l’école. Parmi les clients servis, environ 47 % étaient des femmes. </w:t>
      </w:r>
    </w:p>
    <w:p w14:paraId="2580BB06" w14:textId="54BCAABC" w:rsidR="006C5E82" w:rsidRPr="00D745D6" w:rsidRDefault="006C5E82" w:rsidP="001C1DFD">
      <w:pPr>
        <w:spacing w:before="240" w:after="240" w:line="240" w:lineRule="auto"/>
        <w:rPr>
          <w:sz w:val="22"/>
          <w:szCs w:val="22"/>
        </w:rPr>
      </w:pPr>
      <w:r w:rsidRPr="00D745D6">
        <w:rPr>
          <w:sz w:val="22"/>
          <w:szCs w:val="22"/>
        </w:rPr>
        <w:t xml:space="preserve">Le gouvernement du Canada continue aussi de collecter des données sur la portée et l’efficacité de ses programmes. Les données récentes provenant des programmes visant le marché du travail autochtone, en particulier la SFCEA, le Fonds pour les compétences et les partenariats (FCP) et le Fonds pour l’emploi des Premières Nations, montrent qu’un nombre important de clients servis par ces programmes sont des femmes. </w:t>
      </w:r>
    </w:p>
    <w:p w14:paraId="56938D26" w14:textId="64EEDB04" w:rsidR="006C5E82" w:rsidRPr="00D745D6" w:rsidRDefault="006C5E82" w:rsidP="001C1DFD">
      <w:pPr>
        <w:widowControl w:val="0"/>
        <w:spacing w:before="240" w:after="240" w:line="240" w:lineRule="auto"/>
        <w:rPr>
          <w:sz w:val="22"/>
          <w:szCs w:val="22"/>
        </w:rPr>
      </w:pPr>
      <w:r w:rsidRPr="00D745D6">
        <w:rPr>
          <w:sz w:val="22"/>
          <w:szCs w:val="22"/>
        </w:rPr>
        <w:t>Le FCP, qui reçoit un financement de l’ordre de 50 millions de dollars par année, est un programme fondé sur des propositions qui travaille avec les employeurs pour fournir une formation aux Autochtones qui leur permettra d’occuper des emplois recherchés. Au cours de la période d’avril 2012 à mai 2016, à peu près 25</w:t>
      </w:r>
      <w:r w:rsidR="002579F1" w:rsidRPr="00D745D6">
        <w:rPr>
          <w:sz w:val="22"/>
          <w:szCs w:val="22"/>
        </w:rPr>
        <w:t> </w:t>
      </w:r>
      <w:r w:rsidRPr="00D745D6">
        <w:rPr>
          <w:sz w:val="22"/>
          <w:szCs w:val="22"/>
        </w:rPr>
        <w:t>700 clients ont été servis; de ce nombre, environ 10</w:t>
      </w:r>
      <w:r w:rsidR="002579F1" w:rsidRPr="00D745D6">
        <w:rPr>
          <w:sz w:val="22"/>
          <w:szCs w:val="22"/>
        </w:rPr>
        <w:t> </w:t>
      </w:r>
      <w:r w:rsidRPr="00D745D6">
        <w:rPr>
          <w:sz w:val="22"/>
          <w:szCs w:val="22"/>
        </w:rPr>
        <w:t>530 ont obtenu un emploi et environ 1</w:t>
      </w:r>
      <w:r w:rsidR="002579F1" w:rsidRPr="00D745D6">
        <w:rPr>
          <w:sz w:val="22"/>
          <w:szCs w:val="22"/>
        </w:rPr>
        <w:t> </w:t>
      </w:r>
      <w:r w:rsidRPr="00D745D6">
        <w:rPr>
          <w:sz w:val="22"/>
          <w:szCs w:val="22"/>
        </w:rPr>
        <w:t>350 sont retournés à l’école. Parmi les clients servis, environ 35,5</w:t>
      </w:r>
      <w:r w:rsidR="002579F1" w:rsidRPr="00D745D6">
        <w:rPr>
          <w:sz w:val="22"/>
          <w:szCs w:val="22"/>
        </w:rPr>
        <w:t> %</w:t>
      </w:r>
      <w:r w:rsidRPr="00D745D6">
        <w:rPr>
          <w:sz w:val="22"/>
          <w:szCs w:val="22"/>
        </w:rPr>
        <w:t xml:space="preserve"> étaient des femmes. </w:t>
      </w:r>
    </w:p>
    <w:p w14:paraId="7C0FE3E5" w14:textId="332A6F62" w:rsidR="006C5E82" w:rsidRPr="00D745D6" w:rsidRDefault="006C5E82" w:rsidP="001C1DFD">
      <w:pPr>
        <w:tabs>
          <w:tab w:val="num" w:pos="567"/>
        </w:tabs>
        <w:spacing w:before="240" w:after="240" w:line="240" w:lineRule="auto"/>
        <w:rPr>
          <w:sz w:val="22"/>
          <w:szCs w:val="22"/>
        </w:rPr>
      </w:pPr>
      <w:r w:rsidRPr="00D745D6">
        <w:rPr>
          <w:sz w:val="22"/>
          <w:szCs w:val="22"/>
        </w:rPr>
        <w:t>Le Fonds pour l’emploi des Premières Nations, lancé en 2013, est un élément de l’initiative d’aide au revenu dans les réserves du gouvernement fédéral; il reçoit un financement de l’ordre de 109 millions de dollars sur une</w:t>
      </w:r>
      <w:r w:rsidR="007835D8" w:rsidRPr="00D745D6">
        <w:rPr>
          <w:sz w:val="22"/>
          <w:szCs w:val="22"/>
        </w:rPr>
        <w:t xml:space="preserve"> période de quatre ans (de 2013</w:t>
      </w:r>
      <w:r w:rsidR="007835D8" w:rsidRPr="00D745D6">
        <w:rPr>
          <w:sz w:val="22"/>
          <w:szCs w:val="22"/>
        </w:rPr>
        <w:noBreakHyphen/>
      </w:r>
      <w:r w:rsidRPr="00D745D6">
        <w:rPr>
          <w:sz w:val="22"/>
          <w:szCs w:val="22"/>
        </w:rPr>
        <w:t>2014 à 2016-2017). Il offre des services de formation professionnelle et de perfectionnement des compétences aux jeunes des Premières Nations qui vivent dans des collectivités participantes établies dans les réserves, qui sont âgés de 18 à 24 ans, sont jugés aptes à travailler dans un an et reçoivent une aide au revenu. Au cours de la période d’avril 2013 à mai 2016, à peu près 2</w:t>
      </w:r>
      <w:r w:rsidR="002579F1" w:rsidRPr="00D745D6">
        <w:rPr>
          <w:sz w:val="22"/>
          <w:szCs w:val="22"/>
        </w:rPr>
        <w:t> </w:t>
      </w:r>
      <w:r w:rsidRPr="00D745D6">
        <w:rPr>
          <w:sz w:val="22"/>
          <w:szCs w:val="22"/>
        </w:rPr>
        <w:t>190 clients ont été servis par l’entremise du Fonds pour l’emploi des Premières Nations; de ce nombre, environ 520 personnes ont obtenu un emploi et environ 120 sont retournées à l’école. Parmi les clients servis, environ 42,3 % étaient des femmes.</w:t>
      </w:r>
    </w:p>
    <w:p w14:paraId="47BBCF77" w14:textId="2E0D1B3E" w:rsidR="006C5E82" w:rsidRPr="00D745D6" w:rsidRDefault="004567AA" w:rsidP="001654B8">
      <w:pPr>
        <w:pStyle w:val="Heading3"/>
        <w:spacing w:before="240" w:after="240" w:line="240" w:lineRule="auto"/>
        <w:rPr>
          <w:rFonts w:ascii="Times New Roman" w:hAnsi="Times New Roman" w:cs="Times New Roman"/>
          <w:color w:val="auto"/>
          <w:sz w:val="22"/>
          <w:szCs w:val="22"/>
        </w:rPr>
      </w:pPr>
      <w:r w:rsidRPr="00D745D6">
        <w:rPr>
          <w:rFonts w:ascii="Times New Roman" w:hAnsi="Times New Roman" w:cs="Times New Roman"/>
          <w:i/>
          <w:color w:val="auto"/>
          <w:sz w:val="22"/>
          <w:szCs w:val="22"/>
        </w:rPr>
        <w:t>Logement</w:t>
      </w:r>
    </w:p>
    <w:p w14:paraId="29506EB2" w14:textId="105D2ABD" w:rsidR="006C5E82" w:rsidRPr="00D745D6" w:rsidRDefault="006C5E82" w:rsidP="001C1DFD">
      <w:pPr>
        <w:spacing w:before="240" w:after="240" w:line="240" w:lineRule="auto"/>
        <w:rPr>
          <w:sz w:val="22"/>
          <w:szCs w:val="22"/>
        </w:rPr>
      </w:pPr>
      <w:r w:rsidRPr="00D745D6">
        <w:rPr>
          <w:sz w:val="22"/>
          <w:szCs w:val="22"/>
        </w:rPr>
        <w:t xml:space="preserve">Le budget fédéral de 2016 prévoit un important financement pour l’infrastructure communautaire, et notamment le logement. Le gouvernement du Canada admet que l’accès à un logement sûr et abordable est essentiel à la mise en place de collectivités autochtones plus saines et plus durables, et à l’amélioration de leur bien-être social. </w:t>
      </w:r>
    </w:p>
    <w:p w14:paraId="0DB367E7" w14:textId="0F41BDFA" w:rsidR="006C5E82" w:rsidRPr="00D745D6" w:rsidRDefault="006C5E82" w:rsidP="001C1DFD">
      <w:pPr>
        <w:spacing w:before="240" w:after="240" w:line="240" w:lineRule="auto"/>
        <w:rPr>
          <w:sz w:val="22"/>
          <w:szCs w:val="22"/>
        </w:rPr>
      </w:pPr>
      <w:r w:rsidRPr="00D745D6">
        <w:rPr>
          <w:sz w:val="22"/>
          <w:szCs w:val="22"/>
        </w:rPr>
        <w:t>Le gouvernement du Canada participe à un processus renouvelé et inclusif de nation à nation qui mise sur le respect, et il est déterminé à travailler en collaboration avec les Premières Nations et d’autres intervenants pour améliorer l’infrastructure physique essentielle, y compris le logement. Les besoins et les défis uniques en matière de logement dans les collectivités nordiques et autochtones justifient des approches sur mesure. Au printemps de 2016, le ministère des Affaires autochtones et du Nord Canada lancera un processus de mobilisation avec les Premières Nations pour améliorer les résultats en matière de logement dans leurs collectivités. Les consultations tenues sur la Stratégie nationale sur le logement permettront d’étudier de nouvelles approches pour améliorer la situation du logement à l’intention des Premières Nations, des Inuits et des Métis et dans les collectivités du Nord.</w:t>
      </w:r>
    </w:p>
    <w:p w14:paraId="36A5B61A" w14:textId="7980738D" w:rsidR="006C5E82" w:rsidRPr="00D745D6" w:rsidRDefault="006C5E82" w:rsidP="001C1DFD">
      <w:pPr>
        <w:spacing w:before="240" w:after="240" w:line="240" w:lineRule="auto"/>
        <w:rPr>
          <w:sz w:val="22"/>
          <w:szCs w:val="22"/>
        </w:rPr>
      </w:pPr>
      <w:r w:rsidRPr="00D745D6">
        <w:rPr>
          <w:sz w:val="22"/>
          <w:szCs w:val="22"/>
        </w:rPr>
        <w:t>En une première étape pour s’attaquer à cette question urgente, le budget fédéral de 2016 a annoncé un financement de 554,3 millions de dollars sur deux ans pour répondre aux besoins immédiats en matière de logement dans les réserves. Cet investissement sera axé sur les collectivités qui ont les plus grands besoins et la population vulnérable. Il soutiendra également les initiatives menées pour aider les collectivités à renforcer leur capacité à surveiller et à gérer leurs logements dans les réserves, et ainsi améliorer la durabilité et la qualité de leur parc immobilier à long terme.</w:t>
      </w:r>
      <w:r w:rsidR="00431D27" w:rsidRPr="00D745D6">
        <w:rPr>
          <w:sz w:val="22"/>
          <w:szCs w:val="22"/>
        </w:rPr>
        <w:t xml:space="preserve"> </w:t>
      </w:r>
      <w:r w:rsidRPr="00D745D6">
        <w:rPr>
          <w:sz w:val="22"/>
          <w:szCs w:val="22"/>
        </w:rPr>
        <w:t>De ce montant, 137,7 millions de dollars sur deux ans serviront essentiellement à rénover et remettre en état les logements dans les réserves.</w:t>
      </w:r>
    </w:p>
    <w:p w14:paraId="0E47CB3B" w14:textId="5A0C942C" w:rsidR="006C5E82" w:rsidRPr="00D745D6" w:rsidRDefault="006C5E82" w:rsidP="001C1DFD">
      <w:pPr>
        <w:spacing w:before="240" w:after="240" w:line="240" w:lineRule="auto"/>
        <w:rPr>
          <w:sz w:val="22"/>
          <w:szCs w:val="22"/>
        </w:rPr>
      </w:pPr>
      <w:r w:rsidRPr="00D745D6">
        <w:rPr>
          <w:sz w:val="22"/>
          <w:szCs w:val="22"/>
        </w:rPr>
        <w:t>Pour répondre aux besoins urgents en matière de logement dans les collectivités nordiques et inuites, le budget fédéral de 2016 prévoit jusqu’à 177,7 millions de dollars sur deux ans, à compter de 2016-2017, qui seront octroyés par les provinces et les territoires dans le cadre de l’initiative Investissement dans le logement abordable. Plus précisément, sur deux ans, 8 millions de dollars seront octroyés au Yukon, 12 millions aux Territoires du Nord-Ouest et 76,7 millions au Nunavut. Des investissements sont également prévus pour trois régions inuites</w:t>
      </w:r>
      <w:r w:rsidR="002579F1" w:rsidRPr="00D745D6">
        <w:rPr>
          <w:sz w:val="22"/>
          <w:szCs w:val="22"/>
        </w:rPr>
        <w:t> </w:t>
      </w:r>
      <w:r w:rsidRPr="00D745D6">
        <w:rPr>
          <w:sz w:val="22"/>
          <w:szCs w:val="22"/>
        </w:rPr>
        <w:t xml:space="preserve">: le Nunavik (50 millions de dollars sur deux ans); le Nunatsiavut (15 millions de dollars sur deux ans); la région désignée des Inuvialuit (15 millions de dollars sur deux ans). </w:t>
      </w:r>
    </w:p>
    <w:p w14:paraId="734C4A5B" w14:textId="7E7BD05D" w:rsidR="006C5E82" w:rsidRPr="00D745D6" w:rsidRDefault="006C5E82" w:rsidP="001C1DFD">
      <w:pPr>
        <w:spacing w:before="240" w:after="240" w:line="240" w:lineRule="auto"/>
        <w:rPr>
          <w:b/>
          <w:sz w:val="22"/>
          <w:szCs w:val="22"/>
        </w:rPr>
      </w:pPr>
      <w:r w:rsidRPr="00D745D6">
        <w:rPr>
          <w:sz w:val="22"/>
          <w:szCs w:val="22"/>
        </w:rPr>
        <w:t>Au niveau provincial et territorial, la Colombie-Britannique a continué de faire preuve de leadership en s’attaquant aux problèmes de logement des femmes et, pour ce faire, en 2015-2016, elle a fourni approximativement 32,9 millions de dollars pour soutenir plus de 800 places dans des maisons de transition, des maisons d’hébergement et des maisons de deuxième étape pour les femmes. De plus, le gouvernement provincial investit toujours dans un large éventail d’options en matière de logement à l’intention des peuples autochtones et travaille en partenariat avec l’Aboriginal Housing Management Association (AHMA) pour atteindre le but commun de l’autogestion, l’autosuffisance et l’autonomie dans le contexte de l’offre de logements sûrs et abordables pour les peuples autochtones qui vivent hors des réserves. En 2015-2016, le gouvernement provincial a fourni plus de 30 millions de dollars à l’AHMA pour administrer des paiements de subsides qui permettent de maintenir le coût abordable des logements pour les Autochtones, tant les particuliers que les familles.</w:t>
      </w:r>
      <w:r w:rsidRPr="00D745D6">
        <w:rPr>
          <w:b/>
          <w:sz w:val="22"/>
          <w:szCs w:val="22"/>
        </w:rPr>
        <w:t xml:space="preserve"> </w:t>
      </w:r>
      <w:r w:rsidRPr="00D745D6">
        <w:rPr>
          <w:sz w:val="22"/>
          <w:szCs w:val="22"/>
        </w:rPr>
        <w:t xml:space="preserve">À ces programmes, s’ajoute une aide fournie en vertu du plan provincial sur la violence domestique de la Colombie-Britannique, qui a investi 1,5 million de dollars pour soutenir les victimes de violence familiale dans les collectivités rurales et éloignées, ayant un accès limité aux moyens de transport et aux logements sociaux. Par exemple, cette aide peut consister à transporter les femmes, avec ou sans enfants, dans une maison de transition </w:t>
      </w:r>
      <w:r w:rsidR="007835D8" w:rsidRPr="00D745D6">
        <w:rPr>
          <w:sz w:val="22"/>
          <w:szCs w:val="22"/>
        </w:rPr>
        <w:t>située à de grandes distances de chez elles pour assurer leur sécurité</w:t>
      </w:r>
      <w:r w:rsidRPr="00D745D6">
        <w:rPr>
          <w:sz w:val="22"/>
          <w:szCs w:val="22"/>
        </w:rPr>
        <w:t>.</w:t>
      </w:r>
      <w:r w:rsidR="003217C9">
        <w:rPr>
          <w:rStyle w:val="CommentReference"/>
          <w:sz w:val="22"/>
          <w:szCs w:val="22"/>
        </w:rPr>
        <w:t xml:space="preserve"> Le gouvernement fédéral a récemment engagé</w:t>
      </w:r>
      <w:r w:rsidR="00997478">
        <w:rPr>
          <w:rStyle w:val="CommentReference"/>
          <w:sz w:val="22"/>
          <w:szCs w:val="22"/>
        </w:rPr>
        <w:t xml:space="preserve"> 10</w:t>
      </w:r>
      <w:r w:rsidR="00694260">
        <w:rPr>
          <w:rStyle w:val="CommentReference"/>
          <w:sz w:val="22"/>
          <w:szCs w:val="22"/>
        </w:rPr>
        <w:t>,</w:t>
      </w:r>
      <w:r w:rsidR="00997478">
        <w:rPr>
          <w:rStyle w:val="CommentReference"/>
          <w:sz w:val="22"/>
          <w:szCs w:val="22"/>
        </w:rPr>
        <w:t>9 million</w:t>
      </w:r>
      <w:r w:rsidR="00694260">
        <w:rPr>
          <w:rStyle w:val="CommentReference"/>
          <w:sz w:val="22"/>
          <w:szCs w:val="22"/>
        </w:rPr>
        <w:t>s</w:t>
      </w:r>
      <w:r w:rsidR="00997478">
        <w:rPr>
          <w:rStyle w:val="CommentReference"/>
          <w:sz w:val="22"/>
          <w:szCs w:val="22"/>
        </w:rPr>
        <w:t xml:space="preserve"> de dollars</w:t>
      </w:r>
      <w:r w:rsidR="003217C9">
        <w:rPr>
          <w:rStyle w:val="CommentReference"/>
          <w:sz w:val="22"/>
          <w:szCs w:val="22"/>
        </w:rPr>
        <w:t xml:space="preserve"> en Colombie-Britannique pour soutenir la construction et la rénovation des refuges et maisons de transition pour les victimes de violence familiale. </w:t>
      </w:r>
      <w:r w:rsidR="003217C9" w:rsidRPr="00D745D6">
        <w:rPr>
          <w:b/>
          <w:sz w:val="22"/>
          <w:szCs w:val="22"/>
        </w:rPr>
        <w:t xml:space="preserve"> </w:t>
      </w:r>
    </w:p>
    <w:p w14:paraId="6E71DE78" w14:textId="66CE6621"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Soins de santé</w:t>
      </w:r>
    </w:p>
    <w:p w14:paraId="67757F96" w14:textId="77777777" w:rsidR="006C5E82" w:rsidRPr="00D745D6" w:rsidRDefault="006C5E82" w:rsidP="001C1DFD">
      <w:pPr>
        <w:spacing w:before="240" w:after="240" w:line="240" w:lineRule="auto"/>
        <w:rPr>
          <w:b/>
          <w:sz w:val="22"/>
          <w:szCs w:val="22"/>
          <w:highlight w:val="yellow"/>
        </w:rPr>
      </w:pPr>
      <w:r w:rsidRPr="00D745D6">
        <w:rPr>
          <w:sz w:val="22"/>
          <w:szCs w:val="22"/>
        </w:rPr>
        <w:t xml:space="preserve">Le gouvernement du Canada, par l’intermédiaire de Santé Canada et de l’Agence de la santé publique du Canada (ASPC), poursuit ses travaux pour régler le problème de la violence envers les femmes et les filles autochtones, en soutenant des services de prévention et de promotion de la santé publique adaptés à la culture, à l’intention des Premières Nations qui vivent dans les réserves et des Inuits qui vivent dans les collectivités inuites, et en apportant un soutien au moyen de programmes aux organisations communautaires qui offrent des services aux populations autochtones qui vivent hors des réserves. Le gouvernement investit dans des services qui soutiennent les collectivités en s’attaquant aux causes profondes de la violence, y compris la consommation d’alcool ou de drogues, les traumatismes intergénérationnels, la perte de la culture traditionnelle et la maladie mentale. Le gouvernement finance également des programmes et des services visant à favoriser des grossesses en santé, des nouveau-nés en santé et un sain développement des enfants. </w:t>
      </w:r>
    </w:p>
    <w:p w14:paraId="21AC90CF" w14:textId="29814AE0" w:rsidR="006C5E82" w:rsidRPr="00D745D6" w:rsidRDefault="006C5E82" w:rsidP="001C1DFD">
      <w:pPr>
        <w:spacing w:before="240" w:after="240" w:line="240" w:lineRule="auto"/>
        <w:rPr>
          <w:b/>
          <w:sz w:val="22"/>
          <w:szCs w:val="22"/>
          <w:highlight w:val="yellow"/>
        </w:rPr>
      </w:pPr>
      <w:r w:rsidRPr="00D745D6">
        <w:rPr>
          <w:sz w:val="22"/>
          <w:szCs w:val="22"/>
        </w:rPr>
        <w:t>Pour favoriser une meilleure santé mentale et le bien-être des Premières Nations et des Inuits, tant au niveau des personnes que des collectivit</w:t>
      </w:r>
      <w:r w:rsidR="005412BF" w:rsidRPr="00D745D6">
        <w:rPr>
          <w:sz w:val="22"/>
          <w:szCs w:val="22"/>
        </w:rPr>
        <w:t>és, Santé Canada investit 271,3 </w:t>
      </w:r>
      <w:r w:rsidRPr="00D745D6">
        <w:rPr>
          <w:sz w:val="22"/>
          <w:szCs w:val="22"/>
        </w:rPr>
        <w:t>millions de dollars, en 2016-2017, dans la santé mentale et les programmes de prévention du suicide, de prévention de la consommation d’alcool et de drogues, et de traitement, et des services d’aide à la santé à l’intention des anciens élèves des pensionnats indiens et des membres de leur famille. Par exemple, par le truchement du Programme national de lutte contre l’abus de l’alcool et des drogues chez les Autochtones et du Programme national de lutte contre l’abus de solvants chez les jeunes, Santé Canada finance un réseau de 43 centres de traitement ainsi que des services de prévention de la consommation d’alcool et de drogues dans la majorité des collectivités des Premières Nations et des Inuits dans tout le Canada. L’objectif de ces programmes et des autres programmes de bien</w:t>
      </w:r>
      <w:r w:rsidRPr="00D745D6">
        <w:rPr>
          <w:sz w:val="22"/>
          <w:szCs w:val="22"/>
        </w:rPr>
        <w:softHyphen/>
        <w:t xml:space="preserve">être mental est de fournir aux communautés, aux familles et aux membres des Premières Nations et des populations Inuits du soutien et des services en matière de bien-être mental qui répondent à leurs besoins, qui sont adaptés à leur culture et qui sont orientés en fonction des priorités communautaires. </w:t>
      </w:r>
    </w:p>
    <w:p w14:paraId="743C1D94" w14:textId="77777777" w:rsidR="006C5E82" w:rsidRPr="00D745D6" w:rsidRDefault="006C5E82" w:rsidP="001C1DFD">
      <w:pPr>
        <w:spacing w:before="240" w:after="240" w:line="240" w:lineRule="auto"/>
        <w:rPr>
          <w:b/>
          <w:sz w:val="22"/>
          <w:szCs w:val="22"/>
          <w:highlight w:val="yellow"/>
        </w:rPr>
      </w:pPr>
      <w:r w:rsidRPr="00D745D6">
        <w:rPr>
          <w:sz w:val="22"/>
          <w:szCs w:val="22"/>
        </w:rPr>
        <w:t xml:space="preserve">Afin de promouvoir des grossesses en santé, des nouveau-nés en santé et un sain développement des enfants dans les collectivités des Premières Nations et des Inuits, Santé Canada investit 102,8 millions de dollars, en 2016-2017, dans des programmes de promotion de la santé et de prévention des maladies à l’échelle communautaire, pour favoriser des environnements positifs et des comportements sains. Le financement offert par ces programmes vient appuyer les programmes que les communautés des Premières Nations et des Inuits conçoivent et dirigent pour répondre aux priorités locales. </w:t>
      </w:r>
    </w:p>
    <w:p w14:paraId="4147A270" w14:textId="77777777" w:rsidR="006C5E82" w:rsidRPr="00D745D6" w:rsidRDefault="006C5E82" w:rsidP="001C1DFD">
      <w:pPr>
        <w:autoSpaceDE w:val="0"/>
        <w:autoSpaceDN w:val="0"/>
        <w:adjustRightInd w:val="0"/>
        <w:spacing w:before="240" w:after="240" w:line="240" w:lineRule="auto"/>
        <w:rPr>
          <w:sz w:val="22"/>
          <w:szCs w:val="22"/>
        </w:rPr>
      </w:pPr>
      <w:r w:rsidRPr="00D745D6">
        <w:rPr>
          <w:sz w:val="22"/>
          <w:szCs w:val="22"/>
        </w:rPr>
        <w:t>Pour leur part, les provinces et les territoires continuent d’investir dans des services de santé adaptés à la culture pour obtenir de meilleurs résultats pour ce qui est de la santé des Canadiens autochtones. L’Ontario est à l’origine d’un investissement de taille au cours des trois prochaines années, qui totalise près de 222 millions de dollars, pour s’assurer que les peuples autochtones ont accès à des soins culturellement adaptés et obtiennent de meilleurs résultats, en mettant l’accent sur le Nord de la province, où les services de santé présentent d’importantes lacunes. Cet investissement sera suivi d’un financement soutenu de 104,5 millions de dollars par an, pour remédier aux inégalités dans le domaine de la santé et améliorer l’accès à des services de santé adaptés à la culture, à long terme. </w:t>
      </w:r>
    </w:p>
    <w:p w14:paraId="77573412" w14:textId="54DBB3C0" w:rsidR="006C5E82" w:rsidRPr="00D745D6" w:rsidRDefault="006C5E82" w:rsidP="001654B8">
      <w:pPr>
        <w:pStyle w:val="Heading3"/>
        <w:spacing w:before="24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Lutter contre la traite des êtres humains</w:t>
      </w:r>
    </w:p>
    <w:p w14:paraId="60F86F1D" w14:textId="77777777" w:rsidR="006C5E82" w:rsidRPr="00D745D6" w:rsidRDefault="006C5E82" w:rsidP="001C1DFD">
      <w:pPr>
        <w:pStyle w:val="HTMLPreformatted"/>
        <w:spacing w:before="240" w:after="240"/>
        <w:rPr>
          <w:rFonts w:ascii="Times New Roman" w:hAnsi="Times New Roman" w:cs="Times New Roman"/>
          <w:b/>
          <w:sz w:val="22"/>
          <w:szCs w:val="22"/>
        </w:rPr>
      </w:pPr>
      <w:r w:rsidRPr="00D745D6">
        <w:rPr>
          <w:rFonts w:ascii="Times New Roman" w:hAnsi="Times New Roman" w:cs="Times New Roman"/>
          <w:sz w:val="22"/>
          <w:szCs w:val="22"/>
        </w:rPr>
        <w:t>Les femmes autochtones sont toujours exposées à un plus grand risque d’être victimes de la traite de personnes que la population canadienne en général. La traite des personnes à des fins d’exploitation sexuelle constitue encore la plupart des cas de traite auxquels sont confrontés les organismes d’application de la loi au Canada. Ils ont souvent lieu dans les grands centres urbains, et les femmes canadiennes représentent la majorité des victimes. On a découvert en particulier des cas de traite de personnes dissimulés derrière la façade de la prostitution, dans des agences d’escortes, des salons de massage et des établissements de divertissement pour adultes.</w:t>
      </w:r>
      <w:r w:rsidRPr="00D745D6">
        <w:rPr>
          <w:rFonts w:ascii="Times New Roman" w:hAnsi="Times New Roman" w:cs="Times New Roman"/>
          <w:b/>
          <w:sz w:val="22"/>
          <w:szCs w:val="22"/>
        </w:rPr>
        <w:t xml:space="preserve"> </w:t>
      </w:r>
    </w:p>
    <w:p w14:paraId="35CBA60B" w14:textId="3A0EA8CA" w:rsidR="006C5E82" w:rsidRPr="00D745D6" w:rsidRDefault="006C5E82" w:rsidP="001C1DFD">
      <w:pPr>
        <w:pStyle w:val="NoSpacing"/>
        <w:spacing w:before="240" w:after="120"/>
        <w:rPr>
          <w:sz w:val="22"/>
          <w:szCs w:val="22"/>
        </w:rPr>
      </w:pPr>
      <w:r w:rsidRPr="00D745D6">
        <w:rPr>
          <w:sz w:val="22"/>
          <w:szCs w:val="22"/>
        </w:rPr>
        <w:t xml:space="preserve">Reconnaissant le plus grand risque de traite des personnes auquel sont exposés les peuples autochtones, le </w:t>
      </w:r>
      <w:r w:rsidRPr="00340610">
        <w:rPr>
          <w:i/>
          <w:sz w:val="22"/>
          <w:szCs w:val="22"/>
        </w:rPr>
        <w:t>Plan d’action national de lutte contre la traite de personnes</w:t>
      </w:r>
      <w:r w:rsidRPr="00D745D6">
        <w:rPr>
          <w:sz w:val="22"/>
          <w:szCs w:val="22"/>
        </w:rPr>
        <w:t xml:space="preserve"> vise des objectifs consistant à sensibiliser davantage les peuples autochtones à la traite de personnes et à faire fond sur la base de connaissances existante à propos des circonstances qui pourraient les amener à en faire des victimes. Les initiatives suivantes ont été instaurées</w:t>
      </w:r>
      <w:r w:rsidR="002579F1" w:rsidRPr="00D745D6">
        <w:rPr>
          <w:sz w:val="22"/>
          <w:szCs w:val="22"/>
        </w:rPr>
        <w:t> </w:t>
      </w:r>
      <w:r w:rsidRPr="00D745D6">
        <w:rPr>
          <w:sz w:val="22"/>
          <w:szCs w:val="22"/>
        </w:rPr>
        <w:t>:</w:t>
      </w:r>
    </w:p>
    <w:p w14:paraId="62555EFA" w14:textId="65D45BBB" w:rsidR="006C5E82" w:rsidRPr="00D745D6" w:rsidRDefault="006C5E82" w:rsidP="001C1DFD">
      <w:pPr>
        <w:pStyle w:val="NoSpacing"/>
        <w:numPr>
          <w:ilvl w:val="0"/>
          <w:numId w:val="6"/>
        </w:numPr>
        <w:spacing w:afterLines="80" w:after="192"/>
        <w:contextualSpacing/>
        <w:rPr>
          <w:sz w:val="22"/>
          <w:szCs w:val="22"/>
        </w:rPr>
      </w:pPr>
      <w:r w:rsidRPr="00D745D6">
        <w:rPr>
          <w:sz w:val="22"/>
          <w:szCs w:val="22"/>
        </w:rPr>
        <w:t>en partenariat avec l</w:t>
      </w:r>
      <w:r w:rsidR="002579F1" w:rsidRPr="00D745D6">
        <w:rPr>
          <w:sz w:val="22"/>
          <w:szCs w:val="22"/>
        </w:rPr>
        <w:t>’</w:t>
      </w:r>
      <w:r w:rsidRPr="00D745D6">
        <w:rPr>
          <w:sz w:val="22"/>
          <w:szCs w:val="22"/>
        </w:rPr>
        <w:t>Association nationale des centres d</w:t>
      </w:r>
      <w:r w:rsidR="002579F1" w:rsidRPr="00D745D6">
        <w:rPr>
          <w:sz w:val="22"/>
          <w:szCs w:val="22"/>
        </w:rPr>
        <w:t>’</w:t>
      </w:r>
      <w:r w:rsidRPr="00D745D6">
        <w:rPr>
          <w:sz w:val="22"/>
          <w:szCs w:val="22"/>
        </w:rPr>
        <w:t>amitié, une campagne de sensibilisation nationale sur la traite à des fins sexuelles d’Autochtones vivant dans des réserves et à l’extérieur de celles-ci ainsi que dans des collectivités rurales, urbaines et du Nord, afin d’aider à prévenir la victimisation;</w:t>
      </w:r>
    </w:p>
    <w:p w14:paraId="00299948" w14:textId="77777777" w:rsidR="006C5E82" w:rsidRPr="00D745D6" w:rsidRDefault="006C5E82" w:rsidP="001C1DFD">
      <w:pPr>
        <w:pStyle w:val="NoSpacing"/>
        <w:numPr>
          <w:ilvl w:val="0"/>
          <w:numId w:val="6"/>
        </w:numPr>
        <w:spacing w:before="240" w:after="240"/>
        <w:ind w:left="714" w:hanging="357"/>
        <w:contextualSpacing/>
        <w:rPr>
          <w:sz w:val="22"/>
          <w:szCs w:val="22"/>
        </w:rPr>
      </w:pPr>
      <w:r w:rsidRPr="00D745D6">
        <w:rPr>
          <w:sz w:val="22"/>
          <w:szCs w:val="22"/>
        </w:rPr>
        <w:t>un manuel pour venir en aide aux femmes et aux filles autochtones exploitées sexuellement, préparé par l’Association des femmes autochtones du Canada avec des fonds provenant d’Affaires autochtones et du Nord Canada (AANC);</w:t>
      </w:r>
    </w:p>
    <w:p w14:paraId="56EA0751" w14:textId="2023AEFC" w:rsidR="006C5E82" w:rsidRPr="00D745D6" w:rsidRDefault="001E7050" w:rsidP="001C1DFD">
      <w:pPr>
        <w:pStyle w:val="NoSpacing"/>
        <w:numPr>
          <w:ilvl w:val="0"/>
          <w:numId w:val="6"/>
        </w:numPr>
        <w:spacing w:before="240" w:after="240"/>
        <w:ind w:left="714" w:hanging="357"/>
        <w:contextualSpacing/>
        <w:rPr>
          <w:sz w:val="22"/>
          <w:szCs w:val="22"/>
        </w:rPr>
      </w:pPr>
      <w:r>
        <w:rPr>
          <w:sz w:val="22"/>
          <w:szCs w:val="22"/>
        </w:rPr>
        <w:t>la campagne « </w:t>
      </w:r>
      <w:r w:rsidR="006C5E82" w:rsidRPr="001E7050">
        <w:rPr>
          <w:sz w:val="22"/>
          <w:szCs w:val="22"/>
        </w:rPr>
        <w:t>Je ne suis pas à vendre</w:t>
      </w:r>
      <w:r>
        <w:rPr>
          <w:sz w:val="22"/>
          <w:szCs w:val="22"/>
        </w:rPr>
        <w:t xml:space="preserve"> » </w:t>
      </w:r>
      <w:r w:rsidR="006C5E82" w:rsidRPr="00D745D6">
        <w:rPr>
          <w:sz w:val="22"/>
          <w:szCs w:val="22"/>
        </w:rPr>
        <w:t>de la Gendarmerie royale du Canada, dans le cadre de laquelle le Centre national de coordination contre la traite de personnes a distribué plus de 31</w:t>
      </w:r>
      <w:r w:rsidR="002579F1" w:rsidRPr="00D745D6">
        <w:rPr>
          <w:sz w:val="22"/>
          <w:szCs w:val="22"/>
        </w:rPr>
        <w:t> </w:t>
      </w:r>
      <w:r w:rsidR="006C5E82" w:rsidRPr="00D745D6">
        <w:rPr>
          <w:sz w:val="22"/>
          <w:szCs w:val="22"/>
        </w:rPr>
        <w:t>000 boîtes d’outils et 977 affiches aux collectivités autochtones partout au Canada;</w:t>
      </w:r>
    </w:p>
    <w:p w14:paraId="6B27960D" w14:textId="41362CC7" w:rsidR="006C5E82" w:rsidRPr="00D745D6" w:rsidRDefault="001E7050" w:rsidP="001C1DFD">
      <w:pPr>
        <w:pStyle w:val="NoSpacing"/>
        <w:numPr>
          <w:ilvl w:val="0"/>
          <w:numId w:val="6"/>
        </w:numPr>
        <w:spacing w:before="240" w:after="240"/>
        <w:ind w:left="714" w:hanging="357"/>
        <w:contextualSpacing/>
        <w:rPr>
          <w:sz w:val="22"/>
          <w:szCs w:val="22"/>
        </w:rPr>
      </w:pPr>
      <w:r>
        <w:rPr>
          <w:sz w:val="22"/>
          <w:szCs w:val="22"/>
        </w:rPr>
        <w:t xml:space="preserve">la publication du </w:t>
      </w:r>
      <w:r w:rsidR="006C5E82" w:rsidRPr="001E7050">
        <w:rPr>
          <w:i/>
          <w:sz w:val="22"/>
          <w:szCs w:val="22"/>
        </w:rPr>
        <w:t>Guide de diagnostic local de sécurité : La prévention de la traite de personnes et des act</w:t>
      </w:r>
      <w:r w:rsidRPr="001E7050">
        <w:rPr>
          <w:i/>
          <w:sz w:val="22"/>
          <w:szCs w:val="22"/>
        </w:rPr>
        <w:t>ivités d’exploitation connexes</w:t>
      </w:r>
      <w:r w:rsidR="006C5E82" w:rsidRPr="00D745D6">
        <w:rPr>
          <w:sz w:val="22"/>
          <w:szCs w:val="22"/>
        </w:rPr>
        <w:t xml:space="preserve"> de Sécurité publique Canada, qui a été conçu pour contribuer à l’élaboration de documents de formation pour les services de police, en collaboration avec le ministère de la Justice;</w:t>
      </w:r>
    </w:p>
    <w:p w14:paraId="68B460F7" w14:textId="77777777" w:rsidR="006C5E82" w:rsidRPr="00D745D6" w:rsidRDefault="006C5E82" w:rsidP="001C1DFD">
      <w:pPr>
        <w:pStyle w:val="NoSpacing"/>
        <w:numPr>
          <w:ilvl w:val="0"/>
          <w:numId w:val="6"/>
        </w:numPr>
        <w:spacing w:afterLines="80" w:after="192"/>
        <w:contextualSpacing/>
        <w:rPr>
          <w:sz w:val="22"/>
          <w:szCs w:val="22"/>
        </w:rPr>
      </w:pPr>
      <w:r w:rsidRPr="00D745D6">
        <w:rPr>
          <w:sz w:val="22"/>
          <w:szCs w:val="22"/>
        </w:rPr>
        <w:t>l’élaboration de plans d’action stratégiques visant la prévention de la traite des êtres humains et des formes de violence et d’exploitation connexes dans les centres urbains du Canada, ainsi que l’atténuation des facteurs qui rendent certains groupes beaucoup plus vulnérables que d’autres à l’exploitation sexuelle et au travail forcé;</w:t>
      </w:r>
    </w:p>
    <w:p w14:paraId="6AF8C177" w14:textId="77777777" w:rsidR="006C5E82" w:rsidRPr="00D745D6" w:rsidRDefault="006C5E82" w:rsidP="001C1DFD">
      <w:pPr>
        <w:pStyle w:val="NoSpacing"/>
        <w:numPr>
          <w:ilvl w:val="0"/>
          <w:numId w:val="6"/>
        </w:numPr>
        <w:spacing w:afterLines="80" w:after="192"/>
        <w:ind w:left="714" w:hanging="357"/>
        <w:contextualSpacing/>
        <w:rPr>
          <w:sz w:val="22"/>
          <w:szCs w:val="22"/>
        </w:rPr>
      </w:pPr>
      <w:r w:rsidRPr="00D745D6">
        <w:rPr>
          <w:sz w:val="22"/>
          <w:szCs w:val="22"/>
        </w:rPr>
        <w:t>un cours en ligne d’introduction à la traite des êtres humains élaboré en partenariat avec le Réseau canadien du savoir policier à l’intention des services de police, qui traite de la législation, des techniques d’enquête, des effets des traumatismes chez les victimes, des techniques d’entrevue, de la façon de susciter la confiance chez les victimes et d’obtenir leur coopération, et qui examine des études de cas de réussite, ainsi qu’un cours de cinq jours à l’intention des enquêteurs sur la traite des êtres humains en partenariat avec le Collège canadien de police pour traiter ces mêmes questions d’une manière plus complète;</w:t>
      </w:r>
    </w:p>
    <w:p w14:paraId="6422D4FC" w14:textId="77777777" w:rsidR="006C5E82" w:rsidRPr="00D745D6" w:rsidRDefault="006C5E82" w:rsidP="001C1DFD">
      <w:pPr>
        <w:pStyle w:val="NoSpacing"/>
        <w:numPr>
          <w:ilvl w:val="0"/>
          <w:numId w:val="6"/>
        </w:numPr>
        <w:spacing w:afterLines="80" w:after="192"/>
        <w:ind w:left="714" w:hanging="357"/>
        <w:contextualSpacing/>
        <w:rPr>
          <w:sz w:val="22"/>
          <w:szCs w:val="22"/>
        </w:rPr>
      </w:pPr>
      <w:r w:rsidRPr="00D745D6">
        <w:rPr>
          <w:sz w:val="22"/>
          <w:szCs w:val="22"/>
        </w:rPr>
        <w:t>une étude exploratoire sur les facteurs socioéconomiques relatifs à la traite de femmes et de jeunes filles autochtones;</w:t>
      </w:r>
    </w:p>
    <w:p w14:paraId="2751B0F9" w14:textId="77777777" w:rsidR="006C5E82" w:rsidRPr="00D745D6" w:rsidRDefault="006C5E82" w:rsidP="001C1DFD">
      <w:pPr>
        <w:pStyle w:val="NoSpacing"/>
        <w:numPr>
          <w:ilvl w:val="0"/>
          <w:numId w:val="6"/>
        </w:numPr>
        <w:spacing w:before="240" w:after="240"/>
        <w:ind w:left="714" w:hanging="357"/>
        <w:contextualSpacing/>
        <w:rPr>
          <w:sz w:val="22"/>
          <w:szCs w:val="22"/>
        </w:rPr>
      </w:pPr>
      <w:r w:rsidRPr="00D745D6">
        <w:rPr>
          <w:sz w:val="22"/>
          <w:szCs w:val="22"/>
        </w:rPr>
        <w:t>un forum d’échange de connaissances sur la traite de personnes et l’exploitation sexuelle des peuples autochtones, mené par AANC.</w:t>
      </w:r>
    </w:p>
    <w:p w14:paraId="4CA44444" w14:textId="00D29E96" w:rsidR="006C5E82" w:rsidRPr="00D745D6" w:rsidRDefault="001654B8" w:rsidP="00D8183A">
      <w:pPr>
        <w:tabs>
          <w:tab w:val="num" w:pos="567"/>
        </w:tabs>
        <w:spacing w:after="240" w:line="240" w:lineRule="auto"/>
        <w:rPr>
          <w:sz w:val="22"/>
          <w:szCs w:val="22"/>
        </w:rPr>
      </w:pPr>
      <w:r w:rsidRPr="00D745D6">
        <w:rPr>
          <w:sz w:val="22"/>
          <w:szCs w:val="22"/>
        </w:rPr>
        <w:t>En 2015-2016, le gouvernement fédéral a également financé le projet « Northern Outreach », entrepris en collaboration avec Personnes en action contre la traite des personnes (PACT)</w:t>
      </w:r>
      <w:r w:rsidR="002579F1" w:rsidRPr="00D745D6">
        <w:rPr>
          <w:sz w:val="22"/>
          <w:szCs w:val="22"/>
        </w:rPr>
        <w:t xml:space="preserve"> -</w:t>
      </w:r>
      <w:r w:rsidRPr="00D745D6">
        <w:rPr>
          <w:sz w:val="22"/>
          <w:szCs w:val="22"/>
        </w:rPr>
        <w:t>Ottawa et financé par Sécurité publique Canada pour mettre à profit le savoir-faire du réseau des grand-mères (Grandmother’s Network, GN). Le projet a soutenu un groupe de grand-mères autochtones pour former une alliance action, conçue pour comprendre la nature de la traite dans leurs collectivités, et prévenir la traite de personnes par l’action et le soutien. Le projet était axé sur la diversité et le genre, vu la population ciblée, et il exploitait le pouvoir des grand-mères en tant que leaders et aînées respectées dans leurs collectivités, pour aborder la question de la jeunesse autochtone à risque, à savoir les femmes et les jeunes filles. PACT-Ottawa a apporté de l’aide au réseau des grand-mères en convoquant un groupe de dix grand-mères respectées des régions de Sault Ste. Marie et Thessalon, et de l’île Manitoulin en Ontario. Le groupe a échangé information et expertise, regroupé des ressources, fixé des objectifs réalisables et échangé des histoires de réussite et d’échec. Le réseau des grand-mères avait pour but de recueillir de l’information et d’agir pour prévenir la traite de personnes.</w:t>
      </w:r>
    </w:p>
    <w:p w14:paraId="73164EF4" w14:textId="3FCD83A0" w:rsidR="00E75F1C" w:rsidRPr="00D745D6" w:rsidRDefault="00D745D6" w:rsidP="00782A4D">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3. </w:t>
      </w:r>
      <w:r w:rsidR="00782A4D" w:rsidRPr="00D745D6">
        <w:rPr>
          <w:rFonts w:ascii="Times New Roman" w:hAnsi="Times New Roman" w:cs="Times New Roman"/>
          <w:color w:val="auto"/>
          <w:sz w:val="22"/>
          <w:szCs w:val="22"/>
        </w:rPr>
        <w:t xml:space="preserve">Recommandation 12 : </w:t>
      </w:r>
      <w:r w:rsidR="005412BF" w:rsidRPr="00D745D6">
        <w:rPr>
          <w:rFonts w:ascii="Times New Roman" w:hAnsi="Times New Roman" w:cs="Times New Roman"/>
          <w:color w:val="auto"/>
          <w:sz w:val="22"/>
          <w:szCs w:val="22"/>
        </w:rPr>
        <w:t>Rétention d’immigrants, demandes d’asile et non</w:t>
      </w:r>
      <w:r w:rsidR="005412BF" w:rsidRPr="00D745D6">
        <w:rPr>
          <w:rFonts w:ascii="Times New Roman" w:hAnsi="Times New Roman" w:cs="Times New Roman"/>
          <w:color w:val="auto"/>
          <w:sz w:val="22"/>
          <w:szCs w:val="22"/>
        </w:rPr>
        <w:noBreakHyphen/>
        <w:t>refoulement</w:t>
      </w:r>
    </w:p>
    <w:p w14:paraId="39DFD3D0" w14:textId="53A11F26" w:rsidR="00782A4D" w:rsidRPr="00D745D6" w:rsidRDefault="005412BF" w:rsidP="00A04763">
      <w:pPr>
        <w:keepNext/>
        <w:keepLines/>
        <w:spacing w:after="240" w:line="240" w:lineRule="auto"/>
        <w:ind w:left="567" w:right="567"/>
        <w:jc w:val="both"/>
        <w:rPr>
          <w:i/>
          <w:sz w:val="22"/>
          <w:szCs w:val="22"/>
        </w:rPr>
      </w:pPr>
      <w:r w:rsidRPr="00D745D6">
        <w:rPr>
          <w:i/>
          <w:sz w:val="22"/>
          <w:szCs w:val="22"/>
        </w:rPr>
        <w:t>L’État partie devrait s’abstenir de placer en rétention les migrants en situation irrégulière pendant une période d’une durée indéterminée; il devrait aussi faire en sorte que la rétention soit une mesure de dernier recours, qu’une durée maximale raisonnable de rétention soit fixée et que des mesures non privatives de liberté et d’autres solutions soient prévues pour les migrants placés dans les centres de rétention. Il devrait aussi réviser la loi sur l’immigration et la protection des réfugiés pour offrir aux demandeurs d’asile des « pays sûrs », l’accès à une audience d’appel auprès de la Section d’appel des réfugiés. L’État partie devrait veiller à ce que tous les demandeurs d’asile et migrants en situation irrégulière aient accès aux services de santé de base, quel que soit leur statut</w:t>
      </w:r>
      <w:r w:rsidR="00782A4D" w:rsidRPr="00D745D6">
        <w:rPr>
          <w:i/>
          <w:sz w:val="22"/>
          <w:szCs w:val="22"/>
        </w:rPr>
        <w:t>.</w:t>
      </w:r>
    </w:p>
    <w:p w14:paraId="5ACD9F10" w14:textId="4A3F7454" w:rsidR="00782A4D" w:rsidRPr="00D745D6" w:rsidRDefault="00D745D6" w:rsidP="00782A4D">
      <w:pPr>
        <w:pStyle w:val="Heading2"/>
        <w:spacing w:before="0" w:after="240" w:line="240" w:lineRule="auto"/>
        <w:rPr>
          <w:rFonts w:ascii="Times New Roman" w:hAnsi="Times New Roman" w:cs="Times New Roman"/>
          <w:color w:val="auto"/>
          <w:sz w:val="22"/>
          <w:szCs w:val="22"/>
          <w:u w:val="single"/>
        </w:rPr>
      </w:pPr>
      <w:r w:rsidRPr="00D745D6">
        <w:rPr>
          <w:rFonts w:ascii="Times New Roman" w:hAnsi="Times New Roman" w:cs="Times New Roman"/>
          <w:color w:val="auto"/>
          <w:sz w:val="22"/>
          <w:szCs w:val="22"/>
        </w:rPr>
        <w:t xml:space="preserve">3.1. </w:t>
      </w:r>
      <w:r w:rsidR="00782A4D" w:rsidRPr="00D745D6">
        <w:rPr>
          <w:rFonts w:ascii="Times New Roman" w:hAnsi="Times New Roman" w:cs="Times New Roman"/>
          <w:color w:val="auto"/>
          <w:sz w:val="22"/>
          <w:szCs w:val="22"/>
          <w:u w:val="single"/>
        </w:rPr>
        <w:t>Cadre général pour la détention à des fins d’immigration</w:t>
      </w:r>
    </w:p>
    <w:p w14:paraId="1D5C141D" w14:textId="046144FE" w:rsidR="00782A4D" w:rsidRPr="00D745D6" w:rsidRDefault="00782A4D" w:rsidP="00782A4D">
      <w:pPr>
        <w:spacing w:after="240" w:line="240" w:lineRule="auto"/>
        <w:rPr>
          <w:sz w:val="22"/>
          <w:szCs w:val="22"/>
        </w:rPr>
      </w:pPr>
      <w:r w:rsidRPr="00D745D6">
        <w:rPr>
          <w:sz w:val="22"/>
          <w:szCs w:val="22"/>
        </w:rPr>
        <w:t xml:space="preserve">En vertu de la </w:t>
      </w:r>
      <w:r w:rsidRPr="00D745D6">
        <w:rPr>
          <w:i/>
          <w:sz w:val="22"/>
          <w:szCs w:val="22"/>
        </w:rPr>
        <w:t>Loi sur l’immigration et la protection des réfugiés</w:t>
      </w:r>
      <w:r w:rsidRPr="00D745D6">
        <w:rPr>
          <w:sz w:val="22"/>
          <w:szCs w:val="22"/>
        </w:rPr>
        <w:t xml:space="preserve"> (LIPR), les agents de l’Agence des services frontaliers du Canada (ASFC) ont le pouvoir de détenir des ressortissants étrangers ainsi que des résidents permanents s’il existe des motifs raisonnables de croire que la personne est interdite de territoire au Canada et si un ou plusieurs motifs justifient sa détention (le plus souvent, si l’individu représente un danger pour </w:t>
      </w:r>
      <w:r w:rsidR="00D83580" w:rsidRPr="00D745D6">
        <w:rPr>
          <w:sz w:val="22"/>
          <w:szCs w:val="22"/>
        </w:rPr>
        <w:t>la population</w:t>
      </w:r>
      <w:r w:rsidRPr="00D745D6">
        <w:rPr>
          <w:sz w:val="22"/>
          <w:szCs w:val="22"/>
        </w:rPr>
        <w:t xml:space="preserve"> ou s’il est improbable qu’il se soumette à un contrôle)</w:t>
      </w:r>
      <w:r w:rsidRPr="00D745D6">
        <w:rPr>
          <w:rStyle w:val="FootnoteReference"/>
          <w:sz w:val="22"/>
          <w:szCs w:val="22"/>
        </w:rPr>
        <w:footnoteReference w:id="7"/>
      </w:r>
      <w:r w:rsidR="00431D27" w:rsidRPr="00D745D6">
        <w:rPr>
          <w:sz w:val="22"/>
          <w:szCs w:val="22"/>
        </w:rPr>
        <w:t>.</w:t>
      </w:r>
      <w:r w:rsidRPr="00D745D6">
        <w:rPr>
          <w:sz w:val="22"/>
          <w:szCs w:val="22"/>
        </w:rPr>
        <w:t xml:space="preserve"> Les agents ne détiennent une personne que lorsque cela sera nécessaire et proportionnel à la gravité des circonstances. Ils doivent envisager des solutions de rechange raisonnables à la détention au moment d’arrêter ou de détenir un individu, comme des exigences en matière de déclaration, un dépôt ou des garanties.</w:t>
      </w:r>
    </w:p>
    <w:p w14:paraId="707C5434" w14:textId="26E3C9CD" w:rsidR="00782A4D" w:rsidRPr="00D745D6" w:rsidRDefault="00782A4D" w:rsidP="00782A4D">
      <w:pPr>
        <w:spacing w:after="240" w:line="240" w:lineRule="auto"/>
        <w:rPr>
          <w:sz w:val="22"/>
          <w:szCs w:val="22"/>
        </w:rPr>
      </w:pPr>
      <w:r w:rsidRPr="00D745D6">
        <w:rPr>
          <w:sz w:val="22"/>
          <w:szCs w:val="22"/>
        </w:rPr>
        <w:t xml:space="preserve">Les agents de l’ASFC doivent comparaître régulièrement devant la Section de l’immigration de la Commission de l’immigration et du statut de réfugié (CISR), un tribunal administratif impartial et indépendant, afin d’expliquer la nécessité de prolonger la détention. Lors du contrôle, un agent de l’Agence doit présenter des renseignements justifiant la prolongation de la détention. La personne détenue a la possibilité </w:t>
      </w:r>
      <w:r w:rsidR="00D37FF1" w:rsidRPr="00D745D6">
        <w:rPr>
          <w:sz w:val="22"/>
          <w:szCs w:val="22"/>
        </w:rPr>
        <w:t xml:space="preserve">de </w:t>
      </w:r>
      <w:r w:rsidRPr="00D745D6">
        <w:rPr>
          <w:sz w:val="22"/>
          <w:szCs w:val="22"/>
        </w:rPr>
        <w:t>présenter des arguments et d’être représentée par un avocat. Un membre de la Commission de l’immigration et du statut du réfugié procède au contrôle et décide s’il faut garder la personne en détention ou si elle doit être mise en liberté, sous condition ou non. Le membre de la Commission doit, dans le cadre de ces audiences, considérer toute autre solution de rechange à la détention. Si l’individu n’est pas mis en liberté, la Section de l’immigration doit de nouveau étudier le cas dans les 30 jours suivants.</w:t>
      </w:r>
    </w:p>
    <w:p w14:paraId="6CB74D84" w14:textId="5D85C4B0" w:rsidR="00782A4D" w:rsidRPr="00D745D6" w:rsidRDefault="00782A4D" w:rsidP="00782A4D">
      <w:pPr>
        <w:spacing w:after="240" w:line="240" w:lineRule="auto"/>
        <w:rPr>
          <w:sz w:val="22"/>
          <w:szCs w:val="22"/>
        </w:rPr>
      </w:pPr>
      <w:r w:rsidRPr="00D745D6">
        <w:rPr>
          <w:sz w:val="22"/>
          <w:szCs w:val="22"/>
        </w:rPr>
        <w:t>Il n’existe pas de durée maximale de détention de l’immigration. Cependant, la Cour suprême du Canada a conclu que cette absence de durée maximale ne motive pas une « détention indéfinie » car il existe, pour l’examen continu et régulier des motifs de détention, un processus important qui tient compte des circonstances propres à chaque cas</w:t>
      </w:r>
      <w:r w:rsidRPr="00D745D6">
        <w:rPr>
          <w:rStyle w:val="FootnoteReference"/>
          <w:sz w:val="22"/>
          <w:szCs w:val="22"/>
        </w:rPr>
        <w:footnoteReference w:id="8"/>
      </w:r>
      <w:r w:rsidR="00550FC8" w:rsidRPr="00D745D6">
        <w:rPr>
          <w:sz w:val="22"/>
          <w:szCs w:val="22"/>
        </w:rPr>
        <w:t>.</w:t>
      </w:r>
      <w:r w:rsidRPr="00D745D6">
        <w:rPr>
          <w:sz w:val="22"/>
          <w:szCs w:val="22"/>
        </w:rPr>
        <w:t xml:space="preserve"> La Section de l’immigration explique toujours ses décisions, lesquelles sont sujettes à une révision judiciaire sur autorisation de la Cour fédérale du Canada. Les garanties d’ordre constitutionnel énoncées dans la </w:t>
      </w:r>
      <w:r w:rsidRPr="00D745D6">
        <w:rPr>
          <w:i/>
          <w:sz w:val="22"/>
          <w:szCs w:val="22"/>
        </w:rPr>
        <w:t>Charte canadienne des droits et libertés</w:t>
      </w:r>
      <w:r w:rsidRPr="00D745D6">
        <w:rPr>
          <w:sz w:val="22"/>
          <w:szCs w:val="22"/>
        </w:rPr>
        <w:t xml:space="preserve"> (la Charte) permettent une évaluation adaptée au contexte afin de déterminer si la détention d’un individu s’est prolongée si longtemps qu’elle est contraire aux normes relatives aux droits de la personne.</w:t>
      </w:r>
    </w:p>
    <w:p w14:paraId="4F25C041" w14:textId="4D770665" w:rsidR="00782A4D" w:rsidRPr="00D745D6" w:rsidRDefault="00782A4D" w:rsidP="00782A4D">
      <w:pPr>
        <w:spacing w:after="240" w:line="240" w:lineRule="auto"/>
        <w:rPr>
          <w:sz w:val="22"/>
          <w:szCs w:val="22"/>
        </w:rPr>
      </w:pPr>
      <w:r w:rsidRPr="00D745D6">
        <w:rPr>
          <w:sz w:val="22"/>
          <w:szCs w:val="22"/>
        </w:rPr>
        <w:t>Entre avril 2014 et mars 2015, l’Agence a détenu 6</w:t>
      </w:r>
      <w:r w:rsidR="002579F1" w:rsidRPr="00D745D6">
        <w:rPr>
          <w:sz w:val="22"/>
          <w:szCs w:val="22"/>
        </w:rPr>
        <w:t> </w:t>
      </w:r>
      <w:r w:rsidRPr="00D745D6">
        <w:rPr>
          <w:sz w:val="22"/>
          <w:szCs w:val="22"/>
        </w:rPr>
        <w:t>768 individus.</w:t>
      </w:r>
      <w:r w:rsidR="00431D27" w:rsidRPr="00D745D6">
        <w:rPr>
          <w:sz w:val="22"/>
          <w:szCs w:val="22"/>
        </w:rPr>
        <w:t xml:space="preserve"> </w:t>
      </w:r>
      <w:r w:rsidRPr="00D745D6">
        <w:rPr>
          <w:sz w:val="22"/>
          <w:szCs w:val="22"/>
        </w:rPr>
        <w:t>La durée moyenne de détention était de 24,5 jours.</w:t>
      </w:r>
      <w:r w:rsidR="009E778B">
        <w:rPr>
          <w:rStyle w:val="FootnoteReference"/>
          <w:sz w:val="22"/>
          <w:szCs w:val="22"/>
        </w:rPr>
        <w:footnoteReference w:id="9"/>
      </w:r>
      <w:r w:rsidRPr="00D745D6">
        <w:rPr>
          <w:sz w:val="22"/>
          <w:szCs w:val="22"/>
        </w:rPr>
        <w:t xml:space="preserve"> </w:t>
      </w:r>
    </w:p>
    <w:p w14:paraId="764D6ED4" w14:textId="7F5EA73C" w:rsidR="00782A4D" w:rsidRPr="00D745D6" w:rsidRDefault="00D745D6" w:rsidP="00782A4D">
      <w:pPr>
        <w:pStyle w:val="Heading2"/>
        <w:spacing w:before="0" w:after="240" w:line="240" w:lineRule="auto"/>
        <w:rPr>
          <w:rFonts w:ascii="Times New Roman" w:hAnsi="Times New Roman" w:cs="Times New Roman"/>
          <w:color w:val="auto"/>
          <w:sz w:val="22"/>
          <w:szCs w:val="22"/>
          <w:u w:val="single"/>
        </w:rPr>
      </w:pPr>
      <w:r w:rsidRPr="00D745D6">
        <w:rPr>
          <w:rFonts w:ascii="Times New Roman" w:hAnsi="Times New Roman" w:cs="Times New Roman"/>
          <w:color w:val="auto"/>
          <w:sz w:val="22"/>
          <w:szCs w:val="22"/>
        </w:rPr>
        <w:t xml:space="preserve">3.2. </w:t>
      </w:r>
      <w:r w:rsidR="00782A4D" w:rsidRPr="00D745D6">
        <w:rPr>
          <w:rFonts w:ascii="Times New Roman" w:hAnsi="Times New Roman" w:cs="Times New Roman"/>
          <w:color w:val="auto"/>
          <w:sz w:val="22"/>
          <w:szCs w:val="22"/>
          <w:u w:val="single"/>
        </w:rPr>
        <w:t>Étrangers désignés</w:t>
      </w:r>
    </w:p>
    <w:p w14:paraId="13A1A677" w14:textId="72FA6D24" w:rsidR="00782A4D" w:rsidRPr="00D745D6" w:rsidRDefault="00782A4D" w:rsidP="00782A4D">
      <w:pPr>
        <w:spacing w:after="240" w:line="240" w:lineRule="auto"/>
        <w:rPr>
          <w:sz w:val="22"/>
          <w:szCs w:val="22"/>
        </w:rPr>
      </w:pPr>
      <w:r w:rsidRPr="00D745D6">
        <w:rPr>
          <w:sz w:val="22"/>
          <w:szCs w:val="22"/>
        </w:rPr>
        <w:t>En 2012, la LIPR a été modifiée afin d’établir une exception limitée au régime de détention aux fins de l’immigration qui s’applique dans la vaste majorité des cas, et qui a été expliquée ci-dessus. Les nouvelles dispositions ne concernent qu’un petit sous-ensemble exceptionnel d’étrangers : si le ministre de la Sécurité publique juge qu’une arrivée est irrégulière, certains étrangers qui sont arrivés au Canada dans le groupe deviennent des « étrangers désignés ». Les étrangers désignés de 16 ans ou plus au moment de leur arrivée sont d’abord sujets à une arrestati</w:t>
      </w:r>
      <w:r w:rsidR="00CF53A5" w:rsidRPr="00D745D6">
        <w:rPr>
          <w:sz w:val="22"/>
          <w:szCs w:val="22"/>
        </w:rPr>
        <w:t>on ou une détention obligatoire</w:t>
      </w:r>
      <w:r w:rsidRPr="00D745D6">
        <w:rPr>
          <w:sz w:val="22"/>
          <w:szCs w:val="22"/>
        </w:rPr>
        <w:t xml:space="preserve"> qui laissent aux autorités frontalières suffisamment de temps pour enquêter sur l’identité et sur l’admissibilité des arrivants.</w:t>
      </w:r>
      <w:r w:rsidR="00431D27" w:rsidRPr="00D745D6">
        <w:rPr>
          <w:sz w:val="22"/>
          <w:szCs w:val="22"/>
        </w:rPr>
        <w:t xml:space="preserve"> </w:t>
      </w:r>
    </w:p>
    <w:p w14:paraId="3B7BE8FD" w14:textId="77777777" w:rsidR="00782A4D" w:rsidRPr="00D745D6" w:rsidRDefault="00782A4D" w:rsidP="00782A4D">
      <w:pPr>
        <w:spacing w:after="240" w:line="240" w:lineRule="auto"/>
        <w:rPr>
          <w:sz w:val="22"/>
          <w:szCs w:val="22"/>
        </w:rPr>
      </w:pPr>
      <w:r w:rsidRPr="00D745D6">
        <w:rPr>
          <w:sz w:val="22"/>
          <w:szCs w:val="22"/>
        </w:rPr>
        <w:t>Un certain nombre de mesures font en sorte que la détention des étrangers désignés ne se prolonge pas inutilement. Citons, notamment, l’examen périodique des motifs de détention devant la Commission de l’immigration et du statut de réfugié, les demandes de révision judiciaire devant la Cour fédérale, la libération sur demande d’étrangers désignés, dans des circonstances exceptionnelles (ainsi que des politiques définissant la nature de ces circonstances) et la libération d’étrangers désignés à l’initiative du ministre s’il n’y a plus de raison de les détenir.</w:t>
      </w:r>
    </w:p>
    <w:p w14:paraId="1BA60FDF" w14:textId="77777777" w:rsidR="00782A4D" w:rsidRPr="00D745D6" w:rsidRDefault="00782A4D" w:rsidP="00782A4D">
      <w:pPr>
        <w:spacing w:after="240" w:line="240" w:lineRule="auto"/>
        <w:rPr>
          <w:sz w:val="22"/>
          <w:szCs w:val="22"/>
        </w:rPr>
      </w:pPr>
      <w:r w:rsidRPr="00D745D6">
        <w:rPr>
          <w:sz w:val="22"/>
          <w:szCs w:val="22"/>
        </w:rPr>
        <w:t xml:space="preserve">Bien que quelques étrangers désignés aient été ciblés par ce régime de détention, la plupart d’entre eux ont été libérés sous conditions par le ministre ou ont été expulsés. Pour ce qui est d’un petit sous-groupe ayant soulevé des préoccupations en matière de criminalité, le ministre a demandé une détention continue, ce qu’a autorisé la Section de l’immigration de la Commission de l’immigration et du statut du réfugié à la lumière d’un examen des motifs de détention. Le 11 mai 2016, aucune personne n’a été détenue dans le cadre du régime. </w:t>
      </w:r>
    </w:p>
    <w:p w14:paraId="4CBBAF4F" w14:textId="6D429823" w:rsidR="00E22CD3" w:rsidRPr="00D745D6" w:rsidRDefault="00D745D6" w:rsidP="00E22CD3">
      <w:pPr>
        <w:pStyle w:val="Heading2"/>
        <w:spacing w:before="0" w:after="240" w:line="240" w:lineRule="auto"/>
        <w:rPr>
          <w:rFonts w:ascii="Times New Roman" w:hAnsi="Times New Roman" w:cs="Times New Roman"/>
          <w:color w:val="auto"/>
          <w:sz w:val="22"/>
          <w:szCs w:val="22"/>
          <w:u w:val="single"/>
        </w:rPr>
      </w:pPr>
      <w:r w:rsidRPr="00D745D6">
        <w:rPr>
          <w:rFonts w:ascii="Times New Roman" w:hAnsi="Times New Roman" w:cs="Times New Roman"/>
          <w:color w:val="auto"/>
          <w:sz w:val="22"/>
          <w:szCs w:val="22"/>
        </w:rPr>
        <w:t xml:space="preserve">3.3. </w:t>
      </w:r>
      <w:r w:rsidR="00E22CD3" w:rsidRPr="00D745D6">
        <w:rPr>
          <w:rFonts w:ascii="Times New Roman" w:hAnsi="Times New Roman" w:cs="Times New Roman"/>
          <w:color w:val="auto"/>
          <w:sz w:val="22"/>
          <w:szCs w:val="22"/>
          <w:u w:val="single"/>
        </w:rPr>
        <w:t>Accès à la Section d’appel des réfugiés</w:t>
      </w:r>
    </w:p>
    <w:p w14:paraId="5741469C" w14:textId="77777777" w:rsidR="00E22CD3" w:rsidRPr="00D745D6" w:rsidRDefault="00E22CD3" w:rsidP="00E22CD3">
      <w:pPr>
        <w:spacing w:after="240" w:line="240" w:lineRule="auto"/>
        <w:rPr>
          <w:sz w:val="22"/>
          <w:szCs w:val="22"/>
        </w:rPr>
      </w:pPr>
      <w:r w:rsidRPr="00D745D6">
        <w:rPr>
          <w:sz w:val="22"/>
          <w:szCs w:val="22"/>
        </w:rPr>
        <w:t>Les modifications apportées en 2012 établissent aussi une Section d’appel des réfugiés (SAR) au sein de la CISR. Elle permet à la plupart de ceux dont la demande a été refusée de porter en appel une décision défavorable de la Section de la protection des réfugiés (SPR). Tous les demandeurs déboutés peuvent également demander à la Cour fédérale un contrôle judiciaire de la décision finale de la Commission faisant suite à leur demande.</w:t>
      </w:r>
    </w:p>
    <w:p w14:paraId="7E3EB180" w14:textId="77777777" w:rsidR="00E22CD3" w:rsidRPr="00D745D6" w:rsidRDefault="00E22CD3" w:rsidP="00E22CD3">
      <w:pPr>
        <w:spacing w:after="240" w:line="240" w:lineRule="auto"/>
        <w:rPr>
          <w:sz w:val="22"/>
          <w:szCs w:val="22"/>
        </w:rPr>
      </w:pPr>
      <w:r w:rsidRPr="00D745D6">
        <w:rPr>
          <w:sz w:val="22"/>
          <w:szCs w:val="22"/>
        </w:rPr>
        <w:t xml:space="preserve">Dans ses observations finales de 2015, le Comité a exprimé une préoccupation à l’égard des règles qui régissent l’accès à la SAR. Au moment de l’examen de 2015 par le Canada, les individus qui sont des ressortissants des pays d’origine désignés se voyaient refuser l’accès à la SAR afin d’interjeter appel relativement à une demande de statut de réfugié refusée, et n’avaient pour seul recours qu’une révision judiciaire de la décision devant la Cour fédérale. </w:t>
      </w:r>
    </w:p>
    <w:p w14:paraId="462C6BBE" w14:textId="373F1598" w:rsidR="00E22CD3" w:rsidRPr="00D745D6" w:rsidRDefault="00E22CD3" w:rsidP="00E22CD3">
      <w:pPr>
        <w:spacing w:after="240" w:line="240" w:lineRule="auto"/>
        <w:rPr>
          <w:sz w:val="22"/>
          <w:szCs w:val="22"/>
        </w:rPr>
      </w:pPr>
      <w:r w:rsidRPr="00D745D6">
        <w:rPr>
          <w:sz w:val="22"/>
          <w:szCs w:val="22"/>
        </w:rPr>
        <w:t>Les demandeurs de pays d’origine désignés ont donc désormais accès à la Section. En juillet 2015, la Cour fédérale du Canada a décidé que le refus aux demandeurs des pays d’origine désignés de l’accès à la SAR (en raison de l’origine nationale) était discriminatoire et, par conséquent, contraire au droit à l’égalité prévu à l’article 15 de la Charte</w:t>
      </w:r>
      <w:r w:rsidRPr="00D745D6">
        <w:rPr>
          <w:rStyle w:val="FootnoteReference"/>
          <w:sz w:val="22"/>
          <w:szCs w:val="22"/>
        </w:rPr>
        <w:footnoteReference w:id="10"/>
      </w:r>
      <w:r w:rsidR="00550FC8" w:rsidRPr="00D745D6">
        <w:rPr>
          <w:sz w:val="22"/>
          <w:szCs w:val="22"/>
        </w:rPr>
        <w:t>.</w:t>
      </w:r>
      <w:r w:rsidRPr="00D745D6">
        <w:rPr>
          <w:sz w:val="22"/>
          <w:szCs w:val="22"/>
        </w:rPr>
        <w:t xml:space="preserve"> La réparation constitutionnelle accordée par la Cour a donné aux demandeurs des pays d’origine désignés le droit d’interjeter appel auprès de la SAR. Le gouvernement du Canada appuie pleinement l’idée de donner un accès à la SAR aux demandeurs des pays d’origine désignés, et se conforme à la décision de la Cour fédérale.</w:t>
      </w:r>
    </w:p>
    <w:p w14:paraId="312E35C3" w14:textId="2ED373EC" w:rsidR="00E22CD3" w:rsidRPr="00D745D6" w:rsidRDefault="00D745D6" w:rsidP="00E22CD3">
      <w:pPr>
        <w:pStyle w:val="Heading2"/>
        <w:spacing w:before="0" w:after="240" w:line="240" w:lineRule="auto"/>
        <w:rPr>
          <w:rFonts w:ascii="Times New Roman" w:hAnsi="Times New Roman" w:cs="Times New Roman"/>
          <w:color w:val="auto"/>
          <w:sz w:val="22"/>
          <w:szCs w:val="22"/>
          <w:u w:val="single"/>
        </w:rPr>
      </w:pPr>
      <w:r w:rsidRPr="00D745D6">
        <w:rPr>
          <w:rFonts w:ascii="Times New Roman" w:hAnsi="Times New Roman" w:cs="Times New Roman"/>
          <w:color w:val="auto"/>
          <w:sz w:val="22"/>
          <w:szCs w:val="22"/>
        </w:rPr>
        <w:t xml:space="preserve">3.4. </w:t>
      </w:r>
      <w:r w:rsidR="00E22CD3" w:rsidRPr="00D745D6">
        <w:rPr>
          <w:rFonts w:ascii="Times New Roman" w:hAnsi="Times New Roman" w:cs="Times New Roman"/>
          <w:color w:val="auto"/>
          <w:sz w:val="22"/>
          <w:szCs w:val="22"/>
          <w:u w:val="single"/>
        </w:rPr>
        <w:t>Soins de santé</w:t>
      </w:r>
    </w:p>
    <w:p w14:paraId="54D1363B" w14:textId="77777777" w:rsidR="00E22CD3" w:rsidRPr="00D745D6" w:rsidRDefault="00E22CD3" w:rsidP="00E22CD3">
      <w:pPr>
        <w:spacing w:after="240" w:line="240" w:lineRule="auto"/>
        <w:rPr>
          <w:sz w:val="22"/>
          <w:szCs w:val="22"/>
        </w:rPr>
      </w:pPr>
      <w:r w:rsidRPr="00D745D6">
        <w:rPr>
          <w:sz w:val="22"/>
          <w:szCs w:val="22"/>
        </w:rPr>
        <w:t>Le 1</w:t>
      </w:r>
      <w:r w:rsidRPr="00D745D6">
        <w:rPr>
          <w:sz w:val="22"/>
          <w:szCs w:val="22"/>
          <w:vertAlign w:val="superscript"/>
        </w:rPr>
        <w:t>er</w:t>
      </w:r>
      <w:r w:rsidRPr="00D745D6">
        <w:rPr>
          <w:sz w:val="22"/>
          <w:szCs w:val="22"/>
        </w:rPr>
        <w:t> avril 2016, le gouvernement fédéral a pleinement rétabli le Programme fédéral de santé intérimaire (PFSI). Le programme vise principalement à assurer une couverture de soins de santé limitée et temporaire à certains groupes de personnes, comme les personnes protégées (y compris les réfugiés réinstallés), les demandeurs d’asile, les demandeurs d’asile déboutés et certaines personnes détenues en vertu de la LIPR au cours de la période pendant laquelle ces personnes n’ont pas droit à l’assurance-maladie provinciale ou territoriale.</w:t>
      </w:r>
    </w:p>
    <w:p w14:paraId="791A5EB4" w14:textId="77777777" w:rsidR="00E22CD3" w:rsidRPr="00D745D6" w:rsidRDefault="00E22CD3" w:rsidP="00E22CD3">
      <w:pPr>
        <w:spacing w:after="240" w:line="240" w:lineRule="auto"/>
        <w:rPr>
          <w:sz w:val="22"/>
          <w:szCs w:val="22"/>
        </w:rPr>
      </w:pPr>
      <w:r w:rsidRPr="00D745D6">
        <w:rPr>
          <w:sz w:val="22"/>
          <w:szCs w:val="22"/>
        </w:rPr>
        <w:t>Les bénéficiaires reçoivent maintenant la pleine protection qui était offerte avant l’entrée en vigueur des réformes des programmes en 2012. Cette protection comprend une couverture de base (similaire à la couverture offerte dans le cadre d’un régime provincial d’assurance-maladie) et une couverture supplémentaire (similaire à la couverture offerte aux bénéficiaires de l’aide sociale par les gouvernements provinciaux). La couverture supplémentaire comprend les médicaments sur ordonnances, des soins dentaires limités et certains autres avantages. Certains bénéficiaires ont droit à la couverture des examens médicaux aux fins de l’immigration. Tous ces services doivent être fournis au Canada.</w:t>
      </w:r>
    </w:p>
    <w:p w14:paraId="03B02777" w14:textId="77777777" w:rsidR="00E22CD3" w:rsidRPr="00D745D6" w:rsidRDefault="00E22CD3" w:rsidP="00E22CD3">
      <w:pPr>
        <w:spacing w:after="240" w:line="240" w:lineRule="auto"/>
        <w:rPr>
          <w:sz w:val="22"/>
          <w:szCs w:val="22"/>
        </w:rPr>
      </w:pPr>
      <w:r w:rsidRPr="00D745D6">
        <w:rPr>
          <w:sz w:val="22"/>
          <w:szCs w:val="22"/>
        </w:rPr>
        <w:t>Dans le cadre de son engagement de rétablir pleinement le PFSI, le gouvernement du Canada a aussi étendu la couverture à certains services médicaux préalables au départ pour les réfugiés réinstallés à compter ou avant le 1</w:t>
      </w:r>
      <w:r w:rsidRPr="00D745D6">
        <w:rPr>
          <w:sz w:val="22"/>
          <w:szCs w:val="22"/>
          <w:vertAlign w:val="superscript"/>
        </w:rPr>
        <w:t>er </w:t>
      </w:r>
      <w:r w:rsidRPr="00D745D6">
        <w:rPr>
          <w:sz w:val="22"/>
          <w:szCs w:val="22"/>
        </w:rPr>
        <w:t>avril 2017, afin d’améliorer davantage leur état de santé et de réduire les risques pour la santé publique.</w:t>
      </w:r>
    </w:p>
    <w:p w14:paraId="17E6AE50" w14:textId="77777777" w:rsidR="00E22CD3" w:rsidRPr="00D745D6" w:rsidRDefault="00E22CD3" w:rsidP="00E22CD3">
      <w:pPr>
        <w:spacing w:after="240" w:line="240" w:lineRule="auto"/>
        <w:rPr>
          <w:sz w:val="22"/>
          <w:szCs w:val="22"/>
        </w:rPr>
      </w:pPr>
      <w:r w:rsidRPr="00D745D6">
        <w:rPr>
          <w:sz w:val="22"/>
          <w:szCs w:val="22"/>
        </w:rPr>
        <w:t>De plus, le ministre de l’Immigration, des Réfugiés et de la Citoyenneté a le pouvoir discrétionnaire d’accorder une couverture complète ou partielle en matière de soins de santé à une personne ou à un groupe de personnes qui se trouvent dans des circonstances exceptionnelles et impérieuses.</w:t>
      </w:r>
    </w:p>
    <w:p w14:paraId="07BA01BE" w14:textId="77777777" w:rsidR="00E22CD3" w:rsidRPr="00D745D6" w:rsidRDefault="00E22CD3" w:rsidP="00782A4D">
      <w:pPr>
        <w:spacing w:after="240" w:line="240" w:lineRule="auto"/>
        <w:rPr>
          <w:sz w:val="22"/>
          <w:szCs w:val="22"/>
        </w:rPr>
      </w:pPr>
      <w:r w:rsidRPr="00D745D6">
        <w:rPr>
          <w:sz w:val="22"/>
          <w:szCs w:val="22"/>
        </w:rPr>
        <w:t>Le PFSI ne vise pas à couvrir tous les migrants au Canada qui ne sont pas protégés par les programmes provinciaux ou territoriaux d’assurance-maladie.</w:t>
      </w:r>
    </w:p>
    <w:p w14:paraId="05E17EDD" w14:textId="02EE195E" w:rsidR="00782A4D" w:rsidRPr="00D745D6" w:rsidRDefault="0056079F" w:rsidP="00782A4D">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4. </w:t>
      </w:r>
      <w:r w:rsidR="00782A4D" w:rsidRPr="00D745D6">
        <w:rPr>
          <w:rFonts w:ascii="Times New Roman" w:hAnsi="Times New Roman" w:cs="Times New Roman"/>
          <w:color w:val="auto"/>
          <w:sz w:val="22"/>
          <w:szCs w:val="22"/>
        </w:rPr>
        <w:t xml:space="preserve">Recommandation 16 : </w:t>
      </w:r>
      <w:r w:rsidR="0021638F" w:rsidRPr="00D745D6">
        <w:rPr>
          <w:rFonts w:ascii="Times New Roman" w:hAnsi="Times New Roman" w:cs="Times New Roman"/>
          <w:color w:val="auto"/>
          <w:sz w:val="22"/>
          <w:szCs w:val="22"/>
        </w:rPr>
        <w:t>Terres et titres fonciers autochtones</w:t>
      </w:r>
    </w:p>
    <w:p w14:paraId="392F4D89" w14:textId="60D150C5" w:rsidR="00463A68" w:rsidRPr="00D745D6" w:rsidRDefault="0021638F" w:rsidP="00A04763">
      <w:pPr>
        <w:keepNext/>
        <w:keepLines/>
        <w:spacing w:after="240" w:line="240" w:lineRule="auto"/>
        <w:ind w:left="567" w:right="567"/>
        <w:jc w:val="both"/>
        <w:rPr>
          <w:i/>
          <w:sz w:val="22"/>
          <w:szCs w:val="22"/>
        </w:rPr>
      </w:pPr>
      <w:r w:rsidRPr="00D745D6">
        <w:rPr>
          <w:i/>
          <w:sz w:val="22"/>
          <w:szCs w:val="22"/>
        </w:rPr>
        <w:t>L’État partie devrait consulter les peuples autochtones pour : a) solliciter leur consentement libre, préalable et éclairé chaque fois que des lois ou des mesures peuvent avoir des conséquences pour leurs terres et leurs droits; b) résoudre ses différends avec les peuples autochtones concernant les terres et les ressources et trouver les moyens de leur délivrer des titres fonciers conformément aux droits que leur confèrent les traités</w:t>
      </w:r>
      <w:r w:rsidR="00782A4D" w:rsidRPr="00D745D6">
        <w:rPr>
          <w:i/>
          <w:sz w:val="22"/>
          <w:szCs w:val="22"/>
        </w:rPr>
        <w:t>.</w:t>
      </w:r>
    </w:p>
    <w:p w14:paraId="3B68C586" w14:textId="7511EF7D" w:rsidR="00463A68" w:rsidRPr="00D745D6" w:rsidRDefault="0056079F" w:rsidP="005F6587">
      <w:pPr>
        <w:pStyle w:val="Heading2"/>
        <w:spacing w:before="0" w:after="240" w:line="240" w:lineRule="auto"/>
        <w:rPr>
          <w:rFonts w:ascii="Times New Roman" w:hAnsi="Times New Roman" w:cs="Times New Roman"/>
          <w:color w:val="auto"/>
          <w:sz w:val="22"/>
          <w:szCs w:val="22"/>
          <w:u w:val="single"/>
        </w:rPr>
      </w:pPr>
      <w:r w:rsidRPr="0056079F">
        <w:rPr>
          <w:rFonts w:ascii="Times New Roman" w:hAnsi="Times New Roman" w:cs="Times New Roman"/>
          <w:color w:val="auto"/>
          <w:sz w:val="22"/>
          <w:szCs w:val="22"/>
        </w:rPr>
        <w:t xml:space="preserve">4.1. </w:t>
      </w:r>
      <w:r w:rsidR="009E778B">
        <w:rPr>
          <w:rFonts w:ascii="Times New Roman" w:hAnsi="Times New Roman" w:cs="Times New Roman"/>
          <w:color w:val="auto"/>
          <w:sz w:val="22"/>
          <w:szCs w:val="22"/>
          <w:u w:val="single"/>
        </w:rPr>
        <w:t>Introduction</w:t>
      </w:r>
    </w:p>
    <w:p w14:paraId="3D6E7D1F" w14:textId="1DD24D39" w:rsidR="00463A68" w:rsidRPr="00D745D6" w:rsidRDefault="00463A68" w:rsidP="00463A68">
      <w:pPr>
        <w:spacing w:after="240" w:line="240" w:lineRule="auto"/>
        <w:ind w:right="-7"/>
        <w:rPr>
          <w:sz w:val="22"/>
          <w:szCs w:val="22"/>
        </w:rPr>
      </w:pPr>
      <w:r w:rsidRPr="00D745D6">
        <w:rPr>
          <w:sz w:val="22"/>
          <w:szCs w:val="22"/>
        </w:rPr>
        <w:t>Aucune relation n’a plus d’importance pour le gouvernement du Canada que celle avec les peuples autochtones – les Premières Nations, les Métis et les Inuits</w:t>
      </w:r>
      <w:r w:rsidR="00412593">
        <w:rPr>
          <w:sz w:val="22"/>
          <w:szCs w:val="22"/>
        </w:rPr>
        <w:t>.</w:t>
      </w:r>
      <w:r w:rsidRPr="00D745D6">
        <w:rPr>
          <w:rStyle w:val="FootnoteReference"/>
          <w:sz w:val="22"/>
          <w:szCs w:val="22"/>
        </w:rPr>
        <w:footnoteReference w:id="11"/>
      </w:r>
      <w:r w:rsidRPr="00D745D6">
        <w:rPr>
          <w:sz w:val="22"/>
          <w:szCs w:val="22"/>
        </w:rPr>
        <w:t xml:space="preserve"> Le Canada est résolu à s’engager dans une nouvelle relation de nation à nation et d’Inuits à État, fondée sur la reconnaissance des droits, le respect, la collaboration et le partenariat. Le Canada élaborera un nouveau Cadre de réconciliation fédéral, en partenariat entier avec les Premières Nations, les Métis et les Inuits, ainsi que les provinces et territoires. Pour ce faire, il faudra améliorer le partenariat avec les gouvernements provinciaux, territoriaux et municipaux. </w:t>
      </w:r>
    </w:p>
    <w:p w14:paraId="52C2E720" w14:textId="77777777" w:rsidR="00463A68" w:rsidRPr="00D745D6" w:rsidRDefault="00463A68" w:rsidP="00463A68">
      <w:pPr>
        <w:spacing w:after="240" w:line="240" w:lineRule="auto"/>
        <w:ind w:right="-7"/>
        <w:rPr>
          <w:sz w:val="22"/>
          <w:szCs w:val="22"/>
        </w:rPr>
      </w:pPr>
      <w:r w:rsidRPr="00D745D6">
        <w:rPr>
          <w:sz w:val="22"/>
          <w:szCs w:val="22"/>
        </w:rPr>
        <w:t xml:space="preserve">Le Canada s’engage à respecter ses obligations en matière de consultation et d’accommodement, conformément à la Constitution canadienne et au droit international relatif aux droits de l’homme. Pour ce faire, le gouvernement du Canada va réviser toutes les lois, politiques et pratiques opérationnelles, en partenariat entier et en consultation avec les peuples autochtones. Par exemple, le Canada va réviser sa </w:t>
      </w:r>
      <w:r w:rsidRPr="00D745D6">
        <w:rPr>
          <w:i/>
          <w:sz w:val="22"/>
          <w:szCs w:val="22"/>
        </w:rPr>
        <w:t>Loi sur l’évaluation environnementale</w:t>
      </w:r>
      <w:r w:rsidRPr="00D745D6">
        <w:rPr>
          <w:sz w:val="22"/>
          <w:szCs w:val="22"/>
        </w:rPr>
        <w:t xml:space="preserve"> pour améliorer la consultation, l’engagement et la capacité de participation des groupes autochtones, lorsqu’il s’agit de réviser et de superviser les grands projets en matière de développement des ressources.</w:t>
      </w:r>
    </w:p>
    <w:p w14:paraId="1A29A0CD" w14:textId="27E94C04" w:rsidR="00463A68" w:rsidRPr="00D745D6" w:rsidRDefault="00463A68" w:rsidP="00463A68">
      <w:pPr>
        <w:spacing w:after="240" w:line="240" w:lineRule="auto"/>
        <w:ind w:right="-7"/>
        <w:rPr>
          <w:sz w:val="22"/>
          <w:szCs w:val="22"/>
        </w:rPr>
      </w:pPr>
      <w:r w:rsidRPr="00D745D6">
        <w:rPr>
          <w:sz w:val="22"/>
          <w:szCs w:val="22"/>
        </w:rPr>
        <w:t>Afin de favoriser la réconciliation et de poursuivre le processus nécessaire d’expression de la vérité et de guérison, le gouvernement du Canada travaille à mettre en œuvre les appels à l’action lancés par la Commission de vérité et de réconciliation sur l’héritage laissé par le système des pensionnats indiens du Canada</w:t>
      </w:r>
      <w:r w:rsidRPr="00D745D6">
        <w:rPr>
          <w:rStyle w:val="FootnoteReference"/>
          <w:sz w:val="22"/>
          <w:szCs w:val="22"/>
        </w:rPr>
        <w:footnoteReference w:id="12"/>
      </w:r>
      <w:r w:rsidR="00550FC8" w:rsidRPr="00D745D6">
        <w:rPr>
          <w:sz w:val="22"/>
          <w:szCs w:val="22"/>
        </w:rPr>
        <w:t>.</w:t>
      </w:r>
      <w:r w:rsidRPr="00D745D6">
        <w:rPr>
          <w:sz w:val="22"/>
          <w:szCs w:val="22"/>
        </w:rPr>
        <w:t xml:space="preserve"> La mise en œuvre de ces recommandations améliorera le bien-être économique, social et culturel des peuples autochtones du Canada. La mise en œuvre commence par le respect de nos obligations et engagements rela</w:t>
      </w:r>
      <w:r w:rsidR="00EB03B8">
        <w:rPr>
          <w:sz w:val="22"/>
          <w:szCs w:val="22"/>
        </w:rPr>
        <w:t>tifs aux traités internationaux</w:t>
      </w:r>
      <w:r w:rsidR="00412593">
        <w:rPr>
          <w:sz w:val="22"/>
          <w:szCs w:val="22"/>
        </w:rPr>
        <w:t>,</w:t>
      </w:r>
      <w:r w:rsidRPr="00D745D6">
        <w:rPr>
          <w:sz w:val="22"/>
          <w:szCs w:val="22"/>
        </w:rPr>
        <w:t xml:space="preserve"> </w:t>
      </w:r>
      <w:r w:rsidR="00EB03B8">
        <w:rPr>
          <w:sz w:val="22"/>
          <w:szCs w:val="22"/>
        </w:rPr>
        <w:t>et des</w:t>
      </w:r>
      <w:r w:rsidRPr="00D745D6">
        <w:rPr>
          <w:sz w:val="22"/>
          <w:szCs w:val="22"/>
        </w:rPr>
        <w:t xml:space="preserve"> principes de la </w:t>
      </w:r>
      <w:r w:rsidRPr="00D745D6">
        <w:rPr>
          <w:i/>
          <w:sz w:val="22"/>
          <w:szCs w:val="22"/>
        </w:rPr>
        <w:t xml:space="preserve">Déclaration des Nations Unies sur les droits des peuples autochtones </w:t>
      </w:r>
      <w:r w:rsidRPr="00D745D6">
        <w:rPr>
          <w:sz w:val="22"/>
          <w:szCs w:val="22"/>
        </w:rPr>
        <w:t>(DNUDPA). Le nouveau Cadre de réconciliation fédéral sera fondé sur les Appels à l’action de la Commission.</w:t>
      </w:r>
    </w:p>
    <w:p w14:paraId="6148920A" w14:textId="6D832EDF" w:rsidR="005F6587" w:rsidRPr="00D745D6" w:rsidRDefault="00463A68" w:rsidP="005F6587">
      <w:pPr>
        <w:spacing w:after="240" w:line="240" w:lineRule="auto"/>
        <w:rPr>
          <w:sz w:val="22"/>
          <w:szCs w:val="22"/>
        </w:rPr>
      </w:pPr>
      <w:r w:rsidRPr="00D745D6">
        <w:rPr>
          <w:sz w:val="22"/>
          <w:szCs w:val="22"/>
        </w:rPr>
        <w:t>Le 10 mai 2016, le ministre des Affaires autochtones et du Nord a annoncé à la 15</w:t>
      </w:r>
      <w:r w:rsidRPr="00D745D6">
        <w:rPr>
          <w:sz w:val="22"/>
          <w:szCs w:val="22"/>
          <w:vertAlign w:val="superscript"/>
        </w:rPr>
        <w:t>e</w:t>
      </w:r>
      <w:r w:rsidRPr="00D745D6">
        <w:rPr>
          <w:sz w:val="22"/>
          <w:szCs w:val="22"/>
        </w:rPr>
        <w:t xml:space="preserve"> réunion de l’Instance permanente sur les questions autochtones des Nations Unies qu’à partir de maintenant le Canada appuie pleinement la DNUDPA, sans qualifications, et que le Canada l’adoptera et la mettra en œuvre conformément à la constitution canadienne. Le ministre Bennett a déclaré que le Canada collaborera pleinement avec les peuples autochtones, les provinces, les territoires, l’industrie et d’autres parties intéressées. Cette mobilisation appuiera l’élaboration d’un plan d’action visant à mettre en œuvre la DNUDPA au Canada. Le processus de mobilisation débutera à l’automne 2016 et se terminera au début du prochain exercice. </w:t>
      </w:r>
    </w:p>
    <w:p w14:paraId="4A0A9AB5" w14:textId="291F7D2E" w:rsidR="00463A68" w:rsidRPr="00D745D6" w:rsidRDefault="0056079F" w:rsidP="005F6587">
      <w:pPr>
        <w:pStyle w:val="Heading2"/>
        <w:spacing w:before="0" w:after="240" w:line="240" w:lineRule="auto"/>
        <w:rPr>
          <w:rFonts w:ascii="Times New Roman" w:hAnsi="Times New Roman" w:cs="Times New Roman"/>
          <w:sz w:val="22"/>
          <w:szCs w:val="22"/>
          <w:u w:val="single"/>
        </w:rPr>
      </w:pPr>
      <w:r w:rsidRPr="0056079F">
        <w:rPr>
          <w:rFonts w:ascii="Times New Roman" w:hAnsi="Times New Roman" w:cs="Times New Roman"/>
          <w:color w:val="auto"/>
          <w:sz w:val="22"/>
          <w:szCs w:val="22"/>
        </w:rPr>
        <w:t xml:space="preserve">4.2. </w:t>
      </w:r>
      <w:r w:rsidR="00463A68" w:rsidRPr="00D745D6">
        <w:rPr>
          <w:rFonts w:ascii="Times New Roman" w:hAnsi="Times New Roman" w:cs="Times New Roman"/>
          <w:color w:val="auto"/>
          <w:sz w:val="22"/>
          <w:szCs w:val="22"/>
          <w:u w:val="single"/>
        </w:rPr>
        <w:t>Cadre constitutionnel du Canada sur les droits ancestraux ou issus de traités</w:t>
      </w:r>
    </w:p>
    <w:p w14:paraId="13DE017A" w14:textId="75D0DBA9" w:rsidR="00463A68" w:rsidRPr="00D745D6" w:rsidRDefault="00463A68" w:rsidP="00463A68">
      <w:pPr>
        <w:spacing w:after="240" w:line="240" w:lineRule="auto"/>
        <w:ind w:right="-7"/>
        <w:rPr>
          <w:sz w:val="22"/>
          <w:szCs w:val="22"/>
        </w:rPr>
      </w:pPr>
      <w:r w:rsidRPr="00D745D6">
        <w:rPr>
          <w:sz w:val="22"/>
          <w:szCs w:val="22"/>
        </w:rPr>
        <w:t xml:space="preserve">L’article 35 de la </w:t>
      </w:r>
      <w:r w:rsidRPr="00D745D6">
        <w:rPr>
          <w:i/>
          <w:sz w:val="22"/>
          <w:szCs w:val="22"/>
        </w:rPr>
        <w:t>Loi constitutionnelle de 1982</w:t>
      </w:r>
      <w:r w:rsidRPr="00D745D6">
        <w:rPr>
          <w:sz w:val="22"/>
          <w:szCs w:val="22"/>
        </w:rPr>
        <w:t xml:space="preserve"> du Canada prévoit la protection constitutionnelle des droits ancestraux ou issus de traités, y compris les droits découlant des traités modernes conclus entre la Couronne et les peuples autochtones. La Cour suprême du Canada a déclaré que l’objectif fondamental de l’article</w:t>
      </w:r>
      <w:r w:rsidR="002579F1" w:rsidRPr="00D745D6">
        <w:rPr>
          <w:sz w:val="22"/>
          <w:szCs w:val="22"/>
        </w:rPr>
        <w:t> </w:t>
      </w:r>
      <w:r w:rsidRPr="00D745D6">
        <w:rPr>
          <w:sz w:val="22"/>
          <w:szCs w:val="22"/>
        </w:rPr>
        <w:t>35 est la réconciliation des revendications et intérêts respectifs des peuples autochtones et non autochtones, et que la négociation est la meilleure approche pour parvenir à la réconciliation. L’obligation de consulter et de tenir compte des intérêts des Autochtones lorsque l’État a l’intention d’adopter une conduite qui pourrait avoir une incidence négative sur les droits ancestraux et les droits issus des traités, réels ou affirmés, fait partie intégrante de l’article 35.</w:t>
      </w:r>
      <w:r w:rsidR="00431D27" w:rsidRPr="00D745D6">
        <w:rPr>
          <w:sz w:val="22"/>
          <w:szCs w:val="22"/>
        </w:rPr>
        <w:t xml:space="preserve"> </w:t>
      </w:r>
    </w:p>
    <w:p w14:paraId="46EB5221" w14:textId="61810916" w:rsidR="00463A68" w:rsidRPr="00D745D6" w:rsidRDefault="00463A68" w:rsidP="00463A68">
      <w:pPr>
        <w:spacing w:after="240" w:line="240" w:lineRule="auto"/>
        <w:ind w:right="-7"/>
        <w:rPr>
          <w:sz w:val="22"/>
          <w:szCs w:val="22"/>
        </w:rPr>
      </w:pPr>
      <w:r w:rsidRPr="00D745D6">
        <w:rPr>
          <w:sz w:val="22"/>
          <w:szCs w:val="22"/>
        </w:rPr>
        <w:t>L’«</w:t>
      </w:r>
      <w:r w:rsidR="002579F1" w:rsidRPr="00D745D6">
        <w:rPr>
          <w:sz w:val="22"/>
          <w:szCs w:val="22"/>
        </w:rPr>
        <w:t> </w:t>
      </w:r>
      <w:r w:rsidRPr="00D745D6">
        <w:rPr>
          <w:sz w:val="22"/>
          <w:szCs w:val="22"/>
        </w:rPr>
        <w:t>Honneur de la Couronne</w:t>
      </w:r>
      <w:r w:rsidR="002579F1" w:rsidRPr="00D745D6">
        <w:rPr>
          <w:sz w:val="22"/>
          <w:szCs w:val="22"/>
        </w:rPr>
        <w:t> </w:t>
      </w:r>
      <w:r w:rsidRPr="00D745D6">
        <w:rPr>
          <w:sz w:val="22"/>
          <w:szCs w:val="22"/>
        </w:rPr>
        <w:t>» est un principe directeur qui impose des obligations juridiques et des responsabilités importantes au Canada. En vertu de ce principe, le gouvernement du Canada (y compris ses ministères, organismes et fonctionnaires) doit agir avec honneur, intégrité et équité dans tous ses rapports avec les peuples autochtones. L’Honneur de la Couronne entraîne diverses responsabilités dans diverses circonstances, et guide la conduite de l’État dans toutes les démarches visant à atteindre la réconciliation entre l’État et les peuples autochtones.</w:t>
      </w:r>
    </w:p>
    <w:p w14:paraId="4CBA874A" w14:textId="3CFEFC82" w:rsidR="00463A68" w:rsidRPr="00D745D6" w:rsidRDefault="00463A68" w:rsidP="00463A68">
      <w:pPr>
        <w:spacing w:after="240" w:line="240" w:lineRule="auto"/>
        <w:ind w:right="-7"/>
        <w:rPr>
          <w:sz w:val="22"/>
          <w:szCs w:val="22"/>
        </w:rPr>
      </w:pPr>
      <w:r w:rsidRPr="00D745D6">
        <w:rPr>
          <w:sz w:val="22"/>
          <w:szCs w:val="22"/>
        </w:rPr>
        <w:t>Bien que l’article</w:t>
      </w:r>
      <w:r w:rsidR="002579F1" w:rsidRPr="00D745D6">
        <w:rPr>
          <w:sz w:val="22"/>
          <w:szCs w:val="22"/>
        </w:rPr>
        <w:t> </w:t>
      </w:r>
      <w:r w:rsidRPr="00D745D6">
        <w:rPr>
          <w:sz w:val="22"/>
          <w:szCs w:val="22"/>
        </w:rPr>
        <w:t>35 reconnaisse et confirme «</w:t>
      </w:r>
      <w:r w:rsidR="002579F1" w:rsidRPr="00D745D6">
        <w:rPr>
          <w:sz w:val="22"/>
          <w:szCs w:val="22"/>
        </w:rPr>
        <w:t> </w:t>
      </w:r>
      <w:r w:rsidRPr="00D745D6">
        <w:rPr>
          <w:sz w:val="22"/>
          <w:szCs w:val="22"/>
        </w:rPr>
        <w:t>les droits ancestraux ou issus de traités existants</w:t>
      </w:r>
      <w:r w:rsidR="002579F1" w:rsidRPr="00D745D6">
        <w:rPr>
          <w:sz w:val="22"/>
          <w:szCs w:val="22"/>
        </w:rPr>
        <w:t> </w:t>
      </w:r>
      <w:r w:rsidRPr="00D745D6">
        <w:rPr>
          <w:sz w:val="22"/>
          <w:szCs w:val="22"/>
        </w:rPr>
        <w:t>», la nature, la portée et le contenu de ces droits ne sont pas définis. Les tribunaux canadiens ont fourni une orientation et un test pour démontrer l’existence d’un droit autochtone. Toutefois, du fait que les droits prévus à l’article 35 concernent un groupe vivant à un endroit précis, les parties comptent beaucoup sur l’orientation judiciaire pour démontrer leur existence.</w:t>
      </w:r>
    </w:p>
    <w:p w14:paraId="2AE510C7" w14:textId="77777777" w:rsidR="00463A68" w:rsidRPr="00D745D6" w:rsidRDefault="00463A68" w:rsidP="00463A68">
      <w:pPr>
        <w:spacing w:after="240" w:line="240" w:lineRule="auto"/>
        <w:ind w:right="-7"/>
        <w:rPr>
          <w:sz w:val="22"/>
          <w:szCs w:val="22"/>
        </w:rPr>
      </w:pPr>
      <w:r w:rsidRPr="00D745D6">
        <w:rPr>
          <w:sz w:val="22"/>
          <w:szCs w:val="22"/>
        </w:rPr>
        <w:t>Comme l’a mentionné ce comité, les causes judiciaires liées à des enjeux autochtones sont longues et onéreuses en raison de la complexité de la loi canadienne dans ce domaine, et des intérêts en jeu. Lorsqu’il est question d’enjeux relatifs aux droits ancestraux, le gouvernement du Canada est d’avis que la meilleure façon de les aborder est de recourir à la négociation, à la collaboration et au dialogue. Le reste de cette réponse explique les efforts du gouvernement du Canada pour y arriver, et met l’accent sur les nouvelles mesures qui ont été instaurées depuis l’examen périodique de juillet 2015 du Canada.</w:t>
      </w:r>
    </w:p>
    <w:p w14:paraId="30C1758A" w14:textId="3812291F" w:rsidR="00463A68" w:rsidRPr="00D745D6" w:rsidRDefault="0056079F" w:rsidP="005F6587">
      <w:pPr>
        <w:pStyle w:val="Heading2"/>
        <w:spacing w:before="0" w:after="240" w:line="240" w:lineRule="auto"/>
        <w:rPr>
          <w:rFonts w:ascii="Times New Roman" w:hAnsi="Times New Roman" w:cs="Times New Roman"/>
          <w:sz w:val="22"/>
          <w:szCs w:val="22"/>
          <w:u w:val="single"/>
        </w:rPr>
      </w:pPr>
      <w:r w:rsidRPr="0056079F">
        <w:rPr>
          <w:rFonts w:ascii="Times New Roman" w:hAnsi="Times New Roman" w:cs="Times New Roman"/>
          <w:color w:val="auto"/>
          <w:sz w:val="22"/>
          <w:szCs w:val="22"/>
        </w:rPr>
        <w:t xml:space="preserve">4.3. </w:t>
      </w:r>
      <w:r w:rsidR="00463A68" w:rsidRPr="00D745D6">
        <w:rPr>
          <w:rFonts w:ascii="Times New Roman" w:hAnsi="Times New Roman" w:cs="Times New Roman"/>
          <w:color w:val="auto"/>
          <w:sz w:val="22"/>
          <w:szCs w:val="22"/>
          <w:u w:val="single"/>
        </w:rPr>
        <w:t>Résolution des différends concernant les terres et les ressources grâce à la négociation de traités et aux mécanismes de règlement des différends</w:t>
      </w:r>
    </w:p>
    <w:p w14:paraId="08C70168" w14:textId="77777777"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Ententes sur les revendications territoriales globales (traités modernes)</w:t>
      </w:r>
    </w:p>
    <w:p w14:paraId="558DB731" w14:textId="67286353" w:rsidR="00463A68" w:rsidRPr="00D745D6" w:rsidRDefault="00463A68" w:rsidP="005F6587">
      <w:pPr>
        <w:spacing w:after="120" w:line="240" w:lineRule="auto"/>
        <w:ind w:right="-6"/>
        <w:rPr>
          <w:sz w:val="22"/>
          <w:szCs w:val="22"/>
        </w:rPr>
      </w:pPr>
      <w:r w:rsidRPr="00D745D6">
        <w:rPr>
          <w:sz w:val="22"/>
          <w:szCs w:val="22"/>
        </w:rPr>
        <w:t>La négociation d’ententes sur les revendications territoriales globales, ou traités modernes, demeure le processus le plus complet en ce qui concerne les droits des Autochtones visés par l’article</w:t>
      </w:r>
      <w:r w:rsidR="002579F1" w:rsidRPr="00D745D6">
        <w:rPr>
          <w:sz w:val="22"/>
          <w:szCs w:val="22"/>
        </w:rPr>
        <w:t> </w:t>
      </w:r>
      <w:r w:rsidRPr="00D745D6">
        <w:rPr>
          <w:sz w:val="22"/>
          <w:szCs w:val="22"/>
        </w:rPr>
        <w:t>35. Les traités modernes établissent un cadre mutuel et durable pour la réconciliation et le maintien de relations saines entre le Canada et les peuples autochtones. Les principaux éléments comprennent</w:t>
      </w:r>
      <w:r w:rsidR="002579F1" w:rsidRPr="00D745D6">
        <w:rPr>
          <w:sz w:val="22"/>
          <w:szCs w:val="22"/>
        </w:rPr>
        <w:t> </w:t>
      </w:r>
      <w:r w:rsidRPr="00D745D6">
        <w:rPr>
          <w:sz w:val="22"/>
          <w:szCs w:val="22"/>
        </w:rPr>
        <w:t>:</w:t>
      </w:r>
    </w:p>
    <w:p w14:paraId="38B9A66C" w14:textId="77777777" w:rsidR="00463A68" w:rsidRPr="00D745D6" w:rsidRDefault="00463A68" w:rsidP="005F6587">
      <w:pPr>
        <w:pStyle w:val="ListParagraph"/>
        <w:numPr>
          <w:ilvl w:val="0"/>
          <w:numId w:val="2"/>
        </w:numPr>
        <w:spacing w:after="0" w:line="240" w:lineRule="auto"/>
        <w:ind w:left="771" w:right="-6" w:hanging="357"/>
        <w:contextualSpacing w:val="0"/>
        <w:rPr>
          <w:sz w:val="22"/>
          <w:szCs w:val="22"/>
        </w:rPr>
      </w:pPr>
      <w:r w:rsidRPr="00D745D6">
        <w:rPr>
          <w:sz w:val="22"/>
          <w:szCs w:val="22"/>
        </w:rPr>
        <w:t xml:space="preserve">une description des droits des groupes autochtones protégés par la Constitution; </w:t>
      </w:r>
    </w:p>
    <w:p w14:paraId="45324BFC" w14:textId="276B49B9" w:rsidR="00463A68" w:rsidRPr="00917492" w:rsidRDefault="00463A68" w:rsidP="005F6587">
      <w:pPr>
        <w:pStyle w:val="ListParagraph"/>
        <w:numPr>
          <w:ilvl w:val="0"/>
          <w:numId w:val="2"/>
        </w:numPr>
        <w:spacing w:after="0" w:line="240" w:lineRule="auto"/>
        <w:ind w:left="771" w:right="-6" w:hanging="357"/>
        <w:contextualSpacing w:val="0"/>
        <w:rPr>
          <w:sz w:val="22"/>
          <w:szCs w:val="22"/>
        </w:rPr>
      </w:pPr>
      <w:r w:rsidRPr="00917492">
        <w:rPr>
          <w:sz w:val="22"/>
          <w:szCs w:val="22"/>
        </w:rPr>
        <w:t xml:space="preserve">les terres </w:t>
      </w:r>
      <w:r w:rsidR="00917492">
        <w:rPr>
          <w:sz w:val="22"/>
          <w:szCs w:val="22"/>
        </w:rPr>
        <w:t xml:space="preserve">et les ressources, ainsi que les modalités de participation du groupe autochtone à leur gestion </w:t>
      </w:r>
      <w:r w:rsidRPr="00917492">
        <w:rPr>
          <w:sz w:val="22"/>
          <w:szCs w:val="22"/>
        </w:rPr>
        <w:t xml:space="preserve">(notons que dans certains cas, </w:t>
      </w:r>
      <w:r w:rsidR="00904D81" w:rsidRPr="00917492">
        <w:rPr>
          <w:sz w:val="22"/>
          <w:szCs w:val="22"/>
        </w:rPr>
        <w:t>cette participation</w:t>
      </w:r>
      <w:r w:rsidRPr="00917492">
        <w:rPr>
          <w:sz w:val="22"/>
          <w:szCs w:val="22"/>
        </w:rPr>
        <w:t xml:space="preserve"> s’inscrit dans le contexte de </w:t>
      </w:r>
      <w:r w:rsidR="00904D81" w:rsidRPr="00917492">
        <w:rPr>
          <w:sz w:val="22"/>
          <w:szCs w:val="22"/>
        </w:rPr>
        <w:t xml:space="preserve">mécanismes déjà prévus par </w:t>
      </w:r>
      <w:r w:rsidRPr="00917492">
        <w:rPr>
          <w:sz w:val="22"/>
          <w:szCs w:val="22"/>
        </w:rPr>
        <w:t xml:space="preserve">la législation fédérale ou provinciale); </w:t>
      </w:r>
    </w:p>
    <w:p w14:paraId="3599D8B7" w14:textId="05A8F34C" w:rsidR="00463A68" w:rsidRPr="00D745D6" w:rsidRDefault="00463A68" w:rsidP="005F6587">
      <w:pPr>
        <w:pStyle w:val="ListParagraph"/>
        <w:numPr>
          <w:ilvl w:val="0"/>
          <w:numId w:val="2"/>
        </w:numPr>
        <w:spacing w:after="120" w:line="240" w:lineRule="auto"/>
        <w:ind w:left="771" w:right="-6" w:hanging="357"/>
        <w:contextualSpacing w:val="0"/>
        <w:rPr>
          <w:sz w:val="22"/>
          <w:szCs w:val="22"/>
        </w:rPr>
      </w:pPr>
      <w:r w:rsidRPr="00917492">
        <w:rPr>
          <w:sz w:val="22"/>
          <w:szCs w:val="22"/>
        </w:rPr>
        <w:t>l’autonomie gouvernementale</w:t>
      </w:r>
      <w:r w:rsidRPr="00D745D6">
        <w:rPr>
          <w:sz w:val="22"/>
          <w:szCs w:val="22"/>
        </w:rPr>
        <w:t xml:space="preserve">, à l’intérieur des paramètres du cadre constitutionnel canadien, y compris la Charte. </w:t>
      </w:r>
    </w:p>
    <w:p w14:paraId="6A1BB9F9" w14:textId="77777777" w:rsidR="00463A68" w:rsidRPr="00D745D6" w:rsidRDefault="00463A68" w:rsidP="00463A68">
      <w:pPr>
        <w:spacing w:after="240" w:line="240" w:lineRule="auto"/>
        <w:ind w:right="-7"/>
        <w:rPr>
          <w:sz w:val="22"/>
          <w:szCs w:val="22"/>
        </w:rPr>
      </w:pPr>
      <w:r w:rsidRPr="00D745D6">
        <w:rPr>
          <w:sz w:val="22"/>
          <w:szCs w:val="22"/>
        </w:rPr>
        <w:t xml:space="preserve">Les traités modernes ont pour avantages l’élimination des obstacles au développement économique, la résolution des litiges du passé, l’intégration des communautés autochtones au sein des économies locales et l’épanouissement des relations avec les gouvernements locaux. </w:t>
      </w:r>
    </w:p>
    <w:p w14:paraId="44BA68F6" w14:textId="75A8ABEB" w:rsidR="00463A68" w:rsidRPr="00D745D6" w:rsidRDefault="00463A68" w:rsidP="00463A68">
      <w:pPr>
        <w:spacing w:after="240" w:line="240" w:lineRule="auto"/>
        <w:ind w:right="-7"/>
        <w:rPr>
          <w:sz w:val="22"/>
          <w:szCs w:val="22"/>
        </w:rPr>
      </w:pPr>
      <w:r w:rsidRPr="00D745D6">
        <w:rPr>
          <w:sz w:val="22"/>
          <w:szCs w:val="22"/>
        </w:rPr>
        <w:t>Le premier traité moderne</w:t>
      </w:r>
      <w:r w:rsidR="00B8388C">
        <w:rPr>
          <w:sz w:val="22"/>
          <w:szCs w:val="22"/>
        </w:rPr>
        <w:t xml:space="preserve"> </w:t>
      </w:r>
      <w:r w:rsidRPr="00D745D6">
        <w:rPr>
          <w:sz w:val="22"/>
          <w:szCs w:val="22"/>
        </w:rPr>
        <w:t>remonte à 1973. Vingt-huit traités modernes et ententes sur l’autonomie gouvernementale sont actuellement en vigueur. Le traité le plus récent est l’accord définitif Tla’amin (Sliammon), entré en vigueur le 5 avril 2016. Dans l’ensemble, les traités modernes ont établi la propriété autochtone de plus de 600</w:t>
      </w:r>
      <w:r w:rsidR="002579F1" w:rsidRPr="00D745D6">
        <w:rPr>
          <w:sz w:val="22"/>
          <w:szCs w:val="22"/>
        </w:rPr>
        <w:t> </w:t>
      </w:r>
      <w:r w:rsidRPr="00D745D6">
        <w:rPr>
          <w:sz w:val="22"/>
          <w:szCs w:val="22"/>
        </w:rPr>
        <w:t>000 km² de terres et des transferts de capitaux de plus de 3,2 milliards de dollars, en plus de garantir des droits fonciers autochtones sur environ 40 % de la masse terrestre du Canada. Les traités modernes visent également à obtenir la reconnaissance politique, la réconciliation et la protection des modes de vie traditionnels. Le Nord du Canada est depuis longtemps un modèle en matière de négociation de traités modernes et d’innovation en gouvernance autochtone, différents modèles de mise en œuvre étant utilisés d’un territoire à l’autre.</w:t>
      </w:r>
    </w:p>
    <w:p w14:paraId="3E598799" w14:textId="77777777" w:rsidR="00463A68" w:rsidRPr="00D745D6" w:rsidRDefault="00463A68" w:rsidP="00463A68">
      <w:pPr>
        <w:spacing w:after="240" w:line="240" w:lineRule="auto"/>
        <w:ind w:right="-7"/>
        <w:rPr>
          <w:sz w:val="22"/>
          <w:szCs w:val="22"/>
        </w:rPr>
      </w:pPr>
      <w:r w:rsidRPr="00D745D6">
        <w:rPr>
          <w:sz w:val="22"/>
          <w:szCs w:val="22"/>
        </w:rPr>
        <w:t xml:space="preserve">En réponse aux préoccupations quant à la durée de ces processus, le Canada est actuellement à la recherche de façons d’accélérer son propre processus interne d’octroi de mandats et d’approbation. Le Canada convient que ses processus actuels devraient être plus efficaces et étudie certaines options pour réaliser des gains d’efficacité à l’interne. </w:t>
      </w:r>
    </w:p>
    <w:p w14:paraId="0BB3D772" w14:textId="50309099" w:rsidR="00463A68" w:rsidRPr="00D745D6" w:rsidRDefault="00463A68" w:rsidP="00463A68">
      <w:pPr>
        <w:spacing w:after="240" w:line="240" w:lineRule="auto"/>
        <w:ind w:right="-7"/>
        <w:rPr>
          <w:sz w:val="22"/>
          <w:szCs w:val="22"/>
        </w:rPr>
      </w:pPr>
      <w:r w:rsidRPr="00D745D6">
        <w:rPr>
          <w:sz w:val="22"/>
          <w:szCs w:val="22"/>
        </w:rPr>
        <w:t xml:space="preserve">De plus, le Canada travaille actuellement au renouvellement du processus de revendications globales, à la suite du dépôt, en avril 2015, du rapport intitulé </w:t>
      </w:r>
      <w:r w:rsidRPr="00D745D6">
        <w:rPr>
          <w:i/>
          <w:sz w:val="22"/>
          <w:szCs w:val="22"/>
        </w:rPr>
        <w:t>Renouvellement de la politique fédérale sur les revendications territoriales globales</w:t>
      </w:r>
      <w:r w:rsidRPr="00D745D6">
        <w:rPr>
          <w:sz w:val="22"/>
          <w:szCs w:val="22"/>
        </w:rPr>
        <w:t xml:space="preserve"> de M. Douglas</w:t>
      </w:r>
      <w:r w:rsidR="002579F1" w:rsidRPr="00D745D6">
        <w:rPr>
          <w:sz w:val="22"/>
          <w:szCs w:val="22"/>
        </w:rPr>
        <w:t> </w:t>
      </w:r>
      <w:r w:rsidRPr="00D745D6">
        <w:rPr>
          <w:sz w:val="22"/>
          <w:szCs w:val="22"/>
        </w:rPr>
        <w:t>Eyford, représentant ministériel spécial</w:t>
      </w:r>
      <w:r w:rsidRPr="00D745D6">
        <w:rPr>
          <w:rStyle w:val="FootnoteReference"/>
          <w:sz w:val="22"/>
          <w:szCs w:val="22"/>
        </w:rPr>
        <w:footnoteReference w:id="13"/>
      </w:r>
      <w:r w:rsidR="00550FC8" w:rsidRPr="00D745D6">
        <w:rPr>
          <w:sz w:val="22"/>
          <w:szCs w:val="22"/>
        </w:rPr>
        <w:t>.</w:t>
      </w:r>
      <w:r w:rsidRPr="00D745D6">
        <w:rPr>
          <w:sz w:val="22"/>
          <w:szCs w:val="22"/>
        </w:rPr>
        <w:t xml:space="preserve"> </w:t>
      </w:r>
    </w:p>
    <w:p w14:paraId="0D5CE23F" w14:textId="77777777"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Traités progressifs et ententes qui ne sont pas des traités</w:t>
      </w:r>
    </w:p>
    <w:p w14:paraId="3F603658" w14:textId="6488D977" w:rsidR="00463A68" w:rsidRPr="00D745D6" w:rsidRDefault="00463A68" w:rsidP="00463A68">
      <w:pPr>
        <w:spacing w:after="240" w:line="240" w:lineRule="auto"/>
        <w:ind w:right="-7"/>
        <w:rPr>
          <w:sz w:val="22"/>
          <w:szCs w:val="22"/>
        </w:rPr>
      </w:pPr>
      <w:r w:rsidRPr="00D745D6">
        <w:rPr>
          <w:sz w:val="22"/>
          <w:szCs w:val="22"/>
        </w:rPr>
        <w:t>Bien que les traités modernes constituent les ententes les plus complètes en ce qui concerne les droits des Autochtones visés par l’article</w:t>
      </w:r>
      <w:r w:rsidR="002579F1" w:rsidRPr="00D745D6">
        <w:rPr>
          <w:sz w:val="22"/>
          <w:szCs w:val="22"/>
        </w:rPr>
        <w:t> </w:t>
      </w:r>
      <w:r w:rsidRPr="00D745D6">
        <w:rPr>
          <w:sz w:val="22"/>
          <w:szCs w:val="22"/>
        </w:rPr>
        <w:t>35, la réconciliation des droits de cet article ne se limite pas aux traités modernes complets. Le Canada a élaboré deux autres ententes constructives.</w:t>
      </w:r>
    </w:p>
    <w:p w14:paraId="6911B54B" w14:textId="63F00006" w:rsidR="00463A68" w:rsidRPr="00D745D6" w:rsidRDefault="00463A68" w:rsidP="00463A68">
      <w:pPr>
        <w:spacing w:after="240" w:line="240" w:lineRule="auto"/>
        <w:ind w:right="-7"/>
        <w:rPr>
          <w:sz w:val="22"/>
          <w:szCs w:val="22"/>
        </w:rPr>
      </w:pPr>
      <w:r w:rsidRPr="00D745D6">
        <w:rPr>
          <w:sz w:val="22"/>
          <w:szCs w:val="22"/>
        </w:rPr>
        <w:t>Tout d’abord, les traités progressifs sont mis à la disposition des groupes autochtones qui sont déjà en processus de négociation d’un traité moderne. Ils permettent aux groupes de traiter des droits visés par l’article</w:t>
      </w:r>
      <w:r w:rsidR="002579F1" w:rsidRPr="00D745D6">
        <w:rPr>
          <w:sz w:val="22"/>
          <w:szCs w:val="22"/>
        </w:rPr>
        <w:t> </w:t>
      </w:r>
      <w:r w:rsidRPr="00D745D6">
        <w:rPr>
          <w:sz w:val="22"/>
          <w:szCs w:val="22"/>
        </w:rPr>
        <w:t>35 de façon progressive avant la conclusion d’un traité complet, tout en favorisant des liens de coopération durant les négociations et en prévoyant la mise en œuvre de certains éléments déjà négociés dans le cadre du processus principal. Ces accords permettent l’avancement des avantages que procure le traité au groupe autochtone au cours du processus de négociation, ce qui peut contribuer à accélérer le processus.</w:t>
      </w:r>
      <w:r w:rsidR="00431D27" w:rsidRPr="00D745D6">
        <w:rPr>
          <w:sz w:val="22"/>
          <w:szCs w:val="22"/>
        </w:rPr>
        <w:t xml:space="preserve"> </w:t>
      </w:r>
      <w:r w:rsidRPr="00D745D6">
        <w:rPr>
          <w:sz w:val="22"/>
          <w:szCs w:val="22"/>
        </w:rPr>
        <w:t xml:space="preserve"> </w:t>
      </w:r>
    </w:p>
    <w:p w14:paraId="6764EA97" w14:textId="77057FD2" w:rsidR="00463A68" w:rsidRPr="00D745D6" w:rsidRDefault="00463A68" w:rsidP="00463A68">
      <w:pPr>
        <w:spacing w:after="240" w:line="240" w:lineRule="auto"/>
        <w:ind w:right="-7"/>
        <w:rPr>
          <w:sz w:val="22"/>
          <w:szCs w:val="22"/>
        </w:rPr>
      </w:pPr>
      <w:r w:rsidRPr="00D745D6">
        <w:rPr>
          <w:sz w:val="22"/>
          <w:szCs w:val="22"/>
        </w:rPr>
        <w:t xml:space="preserve">Ensuite, les ententes qui ne sont pas des traités peuvent être négociées avec les groupes autochtones qui ne négocient pas actuellement un traité moderne. Ces accords sont négociés dans le but de faire progresser le processus de réconciliation avec les groupes autochtones, principalement dans les domaines de compétence fédérale, et peuvent apporter une certitude et certains avantages au groupe autochtone sur une période limitée et concernant une zone géographique précise, sans toucher aux droits autochtones constitutionnels du groupe en question. </w:t>
      </w:r>
      <w:r w:rsidR="00904D81" w:rsidRPr="007322F7">
        <w:rPr>
          <w:sz w:val="22"/>
          <w:szCs w:val="22"/>
        </w:rPr>
        <w:t>Les gouvernements des provinces contribuent également à l’avancement des relations grâce à la conclusion d’ententes bilatérales spécifiques à leurs champs de compétences.</w:t>
      </w:r>
      <w:r w:rsidR="00904D81">
        <w:rPr>
          <w:sz w:val="22"/>
          <w:szCs w:val="22"/>
        </w:rPr>
        <w:t xml:space="preserve"> </w:t>
      </w:r>
    </w:p>
    <w:p w14:paraId="258895B9" w14:textId="77777777" w:rsidR="00463A68" w:rsidRPr="00D745D6" w:rsidRDefault="00463A68" w:rsidP="00463A68">
      <w:pPr>
        <w:spacing w:after="240" w:line="240" w:lineRule="auto"/>
        <w:ind w:right="-7"/>
        <w:rPr>
          <w:sz w:val="22"/>
          <w:szCs w:val="22"/>
        </w:rPr>
      </w:pPr>
      <w:r w:rsidRPr="00D745D6">
        <w:rPr>
          <w:sz w:val="22"/>
          <w:szCs w:val="22"/>
        </w:rPr>
        <w:t>Le Canada négocie à l’heure actuelle un traité progressif et une entente qui n’est pas un traité. Le Canada continue de s’intéresser à la négociation conjointe des traités progressifs et des ententes qui ne sont pas des traités avec les groupes autochtones.</w:t>
      </w:r>
    </w:p>
    <w:p w14:paraId="03E49F25" w14:textId="77777777" w:rsidR="00463A68" w:rsidRPr="00D745D6" w:rsidRDefault="00463A68" w:rsidP="005F6587">
      <w:pPr>
        <w:pStyle w:val="Heading3"/>
        <w:spacing w:before="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Politiques et outils pour mettre en œuvre les obligations du Canada découlant des traités</w:t>
      </w:r>
    </w:p>
    <w:p w14:paraId="74BA061C" w14:textId="77777777" w:rsidR="00463A68" w:rsidRPr="00D745D6" w:rsidRDefault="00463A68" w:rsidP="00463A68">
      <w:pPr>
        <w:keepNext/>
        <w:spacing w:after="240" w:line="240" w:lineRule="auto"/>
        <w:ind w:right="-7"/>
        <w:rPr>
          <w:sz w:val="22"/>
          <w:szCs w:val="22"/>
        </w:rPr>
      </w:pPr>
      <w:r w:rsidRPr="00D745D6">
        <w:rPr>
          <w:sz w:val="22"/>
          <w:szCs w:val="22"/>
        </w:rPr>
        <w:t>En juillet 2015, la Directive du cabinet sur l’approche fédérale pour la mise en œuvre des traités modernes est entrée en vigueur. Celle-ci définit un cadre opérationnel pour la gestion des obligations du Canada découlant des traités modernes et oriente les ministères et organismes fédéraux dans l’acquittement de leurs responsabilités.</w:t>
      </w:r>
    </w:p>
    <w:p w14:paraId="1F895ECE" w14:textId="49119289" w:rsidR="00463A68" w:rsidRPr="00D745D6" w:rsidRDefault="00463A68" w:rsidP="00463A68">
      <w:pPr>
        <w:keepNext/>
        <w:spacing w:after="240" w:line="240" w:lineRule="auto"/>
        <w:ind w:right="-7"/>
        <w:rPr>
          <w:sz w:val="22"/>
          <w:szCs w:val="22"/>
        </w:rPr>
      </w:pPr>
      <w:r w:rsidRPr="00D745D6">
        <w:rPr>
          <w:sz w:val="22"/>
          <w:szCs w:val="22"/>
        </w:rPr>
        <w:t>Le Système de surveillance des obligations découlant des traités (SSODT) subit actuellement une modernisation visant à l’aligner sur la Directive du Cabinet. Le SSODT est administré par le gouvernement fédéral. Il assure le suivi des informations sur toutes les obligations fédérales, ainsi que de l’avancement de la mise en œuvre de ces obligations. Le SSODT identifie actuellement plus de 4</w:t>
      </w:r>
      <w:r w:rsidR="002579F1" w:rsidRPr="00D745D6">
        <w:rPr>
          <w:sz w:val="22"/>
          <w:szCs w:val="22"/>
        </w:rPr>
        <w:t> </w:t>
      </w:r>
      <w:r w:rsidRPr="00D745D6">
        <w:rPr>
          <w:sz w:val="22"/>
          <w:szCs w:val="22"/>
        </w:rPr>
        <w:t>000 obligations découlant de traités modernes. Ce système sert de base de données statistique sur la satisfaction aux obligations du gouvernement fédéral à long terme et constitue un outil de création de rapports empiriques qui viennent compléter les rapports annuels collaboratifs, de nature plus qualitative. Tous les ministères fédéraux sont tenus d’examiner et de vérifier leurs obligations telles qu’elles sont énoncées dans le SSODT, afin d’en confirmer l’intégralité et l’exactitude, et devront fournir des mises à jour sur l’état de leurs obligations respectives.</w:t>
      </w:r>
    </w:p>
    <w:p w14:paraId="7406B769" w14:textId="77777777" w:rsidR="00463A68" w:rsidRPr="00D745D6" w:rsidRDefault="00463A68" w:rsidP="005F6587">
      <w:pPr>
        <w:pStyle w:val="Heading3"/>
        <w:spacing w:before="0" w:after="240" w:line="240" w:lineRule="auto"/>
        <w:rPr>
          <w:rFonts w:ascii="Times New Roman" w:hAnsi="Times New Roman" w:cs="Times New Roman"/>
          <w:i/>
          <w:color w:val="auto"/>
          <w:sz w:val="22"/>
          <w:szCs w:val="22"/>
        </w:rPr>
      </w:pPr>
      <w:r w:rsidRPr="00D745D6">
        <w:rPr>
          <w:rFonts w:ascii="Times New Roman" w:hAnsi="Times New Roman" w:cs="Times New Roman"/>
          <w:i/>
          <w:color w:val="auto"/>
          <w:sz w:val="22"/>
          <w:szCs w:val="22"/>
        </w:rPr>
        <w:t>Revendications particulières</w:t>
      </w:r>
    </w:p>
    <w:p w14:paraId="40B72849" w14:textId="17760E7F" w:rsidR="00463A68" w:rsidRPr="00D745D6" w:rsidRDefault="00463A68" w:rsidP="00463A68">
      <w:pPr>
        <w:spacing w:after="240" w:line="240" w:lineRule="auto"/>
        <w:ind w:right="-7"/>
        <w:rPr>
          <w:sz w:val="22"/>
          <w:szCs w:val="22"/>
        </w:rPr>
      </w:pPr>
      <w:r w:rsidRPr="00D745D6">
        <w:rPr>
          <w:sz w:val="22"/>
          <w:szCs w:val="22"/>
        </w:rPr>
        <w:t>La politique sur les revendications particulières est un autre aspect des efforts déployés par le Canada pour promouvoir une résolution plus efficace des revendications par les peuples autochtones. Aux fins de la politique, une «</w:t>
      </w:r>
      <w:r w:rsidR="002579F1" w:rsidRPr="00D745D6">
        <w:rPr>
          <w:sz w:val="22"/>
          <w:szCs w:val="22"/>
        </w:rPr>
        <w:t> </w:t>
      </w:r>
      <w:r w:rsidRPr="00D745D6">
        <w:rPr>
          <w:sz w:val="22"/>
          <w:szCs w:val="22"/>
        </w:rPr>
        <w:t>revendication particulière</w:t>
      </w:r>
      <w:r w:rsidR="002579F1" w:rsidRPr="00D745D6">
        <w:rPr>
          <w:sz w:val="22"/>
          <w:szCs w:val="22"/>
        </w:rPr>
        <w:t> </w:t>
      </w:r>
      <w:r w:rsidRPr="00D745D6">
        <w:rPr>
          <w:sz w:val="22"/>
          <w:szCs w:val="22"/>
        </w:rPr>
        <w:t xml:space="preserve">» fait référence à une revendication présentée par une Première Nation à l’endroit du gouvernement fédéral en ce qui concerne l’administration des terres et d’autres biens des Premières Nations, et l’exécution des traités. La politique prévoit un processus de règlement alternatif volontaire des différends, encourageant la réconciliation par l’intermédiaire de règlements négociés plutôt qu’au moyen de litiges. </w:t>
      </w:r>
    </w:p>
    <w:p w14:paraId="4D915D26" w14:textId="77777777" w:rsidR="00463A68" w:rsidRPr="00D745D6" w:rsidRDefault="00463A68" w:rsidP="00463A68">
      <w:pPr>
        <w:spacing w:after="240" w:line="240" w:lineRule="auto"/>
        <w:ind w:right="-7"/>
        <w:rPr>
          <w:sz w:val="22"/>
          <w:szCs w:val="22"/>
        </w:rPr>
      </w:pPr>
      <w:r w:rsidRPr="00D745D6">
        <w:rPr>
          <w:sz w:val="22"/>
          <w:szCs w:val="22"/>
        </w:rPr>
        <w:t>Depuis 2007, 134 revendications particulières ont été résolues grâce à la négociation d’ententes de règlement, et plus de 2,2 milliards de dollars ont été versés aux Premières Nations en guise d’indemnisation (au 31 mars 2016). Environ 351 revendications se trouvent actuellement dans le processus relatif aux revendications particulières. Les Premières Nations et tous les Canadiens peuvent accéder aux rapports consultables en ligne qui effectuent le suivi des progrès individuels des revendications particulières à travers le processus.</w:t>
      </w:r>
    </w:p>
    <w:p w14:paraId="5CAF5278" w14:textId="6BE40390" w:rsidR="00463A68" w:rsidRPr="00D745D6" w:rsidRDefault="00463A68" w:rsidP="00463A68">
      <w:pPr>
        <w:spacing w:after="240" w:line="240" w:lineRule="auto"/>
        <w:ind w:right="-7"/>
        <w:rPr>
          <w:sz w:val="22"/>
          <w:szCs w:val="22"/>
        </w:rPr>
      </w:pPr>
      <w:r w:rsidRPr="00D745D6">
        <w:rPr>
          <w:sz w:val="22"/>
          <w:szCs w:val="22"/>
        </w:rPr>
        <w:t>En 2008, le Tribunal des revendications particulières a été mis sur pied. Cet organisme juridictionnel indépendant a le pouvoir de rendre des décisions exécutoires quant à la validité des revendications et d’accorder une compensati</w:t>
      </w:r>
      <w:r w:rsidR="003F15A6" w:rsidRPr="00D745D6">
        <w:rPr>
          <w:sz w:val="22"/>
          <w:szCs w:val="22"/>
        </w:rPr>
        <w:t>on monétaire allant jusqu’à 150 </w:t>
      </w:r>
      <w:r w:rsidRPr="00D745D6">
        <w:rPr>
          <w:sz w:val="22"/>
          <w:szCs w:val="22"/>
        </w:rPr>
        <w:t xml:space="preserve">millions de dollars par revendication. Une Première Nation peut présenter une revendication au Tribunal lorsque celle-ci n’a pas été acceptée aux fins de négociation dans le processus des revendications particulières, ou qu’un règlement négocié n’a pas été conclu dans un délai de trois ans à compter de l’acceptation de la revendication aux fins de négociation. Le Tribunal est entré en fonction en 2011. Il a depuis rendu dix décisions en ce qui a trait à la validité des revendications. En date du 31 mars 2016, on répertoriait 70 revendications au Tribunal. </w:t>
      </w:r>
    </w:p>
    <w:p w14:paraId="4CFBB35D" w14:textId="5E989EB8" w:rsidR="00463A68" w:rsidRPr="00D745D6" w:rsidRDefault="00463A68" w:rsidP="00463A68">
      <w:pPr>
        <w:spacing w:after="240" w:line="240" w:lineRule="auto"/>
        <w:ind w:right="-7"/>
        <w:rPr>
          <w:sz w:val="22"/>
          <w:szCs w:val="22"/>
        </w:rPr>
      </w:pPr>
      <w:r w:rsidRPr="00D745D6">
        <w:rPr>
          <w:sz w:val="22"/>
          <w:szCs w:val="22"/>
        </w:rPr>
        <w:t>Un examen du mandat, de la structure et de l’efficacité du Tribunal a commencé en 2014. Pendant l’hiver et au début du printemps de 2015, les Premières Nations et d’autres parties intéressées ont présenté leurs observations au repré</w:t>
      </w:r>
      <w:r w:rsidR="003F15A6" w:rsidRPr="00D745D6">
        <w:rPr>
          <w:sz w:val="22"/>
          <w:szCs w:val="22"/>
        </w:rPr>
        <w:t>sentant ministériel spécial, M. </w:t>
      </w:r>
      <w:r w:rsidRPr="00D745D6">
        <w:rPr>
          <w:sz w:val="22"/>
          <w:szCs w:val="22"/>
        </w:rPr>
        <w:t>Benoît Pelletier, nommé pour superviser et faciliter l’examen. Son rapport a été publié et est en cours d’examen. Comme l’exige la loi, la ministre des Affaires autochtones et du Nord soumettra aux deux Chambres du Parlement un rapport portant sur ses conclusions de l’examen.</w:t>
      </w:r>
    </w:p>
    <w:p w14:paraId="6F1CD498" w14:textId="77777777"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Droits ancestraux des Métis</w:t>
      </w:r>
    </w:p>
    <w:p w14:paraId="4014B4F1" w14:textId="06344620" w:rsidR="00463A68" w:rsidRPr="00D745D6" w:rsidRDefault="00463A68" w:rsidP="005F6587">
      <w:pPr>
        <w:spacing w:after="120" w:line="240" w:lineRule="auto"/>
        <w:ind w:right="-6"/>
        <w:rPr>
          <w:sz w:val="22"/>
          <w:szCs w:val="22"/>
        </w:rPr>
      </w:pPr>
      <w:r w:rsidRPr="00D745D6">
        <w:rPr>
          <w:sz w:val="22"/>
          <w:szCs w:val="22"/>
        </w:rPr>
        <w:t>De la fin du printemps 2015 à janvier 2016, M. Tom</w:t>
      </w:r>
      <w:r w:rsidR="002579F1" w:rsidRPr="00D745D6">
        <w:rPr>
          <w:sz w:val="22"/>
          <w:szCs w:val="22"/>
        </w:rPr>
        <w:t> </w:t>
      </w:r>
      <w:r w:rsidRPr="00D745D6">
        <w:rPr>
          <w:sz w:val="22"/>
          <w:szCs w:val="22"/>
        </w:rPr>
        <w:t xml:space="preserve">Isaac, représentant ministériel spécial, a dirigé un processus d’engagement pour les droits des Métis en vertu de l’article 35 de la </w:t>
      </w:r>
      <w:r w:rsidRPr="00D745D6">
        <w:rPr>
          <w:i/>
          <w:sz w:val="22"/>
          <w:szCs w:val="22"/>
        </w:rPr>
        <w:t>Loi constitutionnelle de 1982</w:t>
      </w:r>
      <w:r w:rsidRPr="00D745D6">
        <w:rPr>
          <w:sz w:val="22"/>
          <w:szCs w:val="22"/>
        </w:rPr>
        <w:t>. Ce processus de mobilisation comportait deux volets :</w:t>
      </w:r>
    </w:p>
    <w:p w14:paraId="756E66C7" w14:textId="22D7687C" w:rsidR="00463A68" w:rsidRPr="00B17577" w:rsidRDefault="00463A68" w:rsidP="005F6587">
      <w:pPr>
        <w:pStyle w:val="ListParagraph"/>
        <w:numPr>
          <w:ilvl w:val="0"/>
          <w:numId w:val="4"/>
        </w:numPr>
        <w:spacing w:after="120" w:line="240" w:lineRule="auto"/>
        <w:ind w:left="714" w:right="-6" w:hanging="357"/>
        <w:contextualSpacing w:val="0"/>
        <w:rPr>
          <w:sz w:val="22"/>
          <w:szCs w:val="22"/>
          <w:shd w:val="clear" w:color="auto" w:fill="FFFFFF"/>
        </w:rPr>
      </w:pPr>
      <w:r w:rsidRPr="00B17577">
        <w:rPr>
          <w:sz w:val="22"/>
          <w:szCs w:val="22"/>
        </w:rPr>
        <w:t>Au cours de ce processus, il s’est entretenu avec le</w:t>
      </w:r>
      <w:r w:rsidR="00B12BD1" w:rsidRPr="00B17577">
        <w:rPr>
          <w:sz w:val="22"/>
          <w:szCs w:val="22"/>
        </w:rPr>
        <w:t xml:space="preserve"> Ralliement national des Métis et </w:t>
      </w:r>
      <w:r w:rsidRPr="00B17577">
        <w:rPr>
          <w:sz w:val="22"/>
          <w:szCs w:val="22"/>
        </w:rPr>
        <w:t>ses membres dirigeants, le conseil général des établissements métis</w:t>
      </w:r>
      <w:r w:rsidR="00B12BD1" w:rsidRPr="00B17577">
        <w:rPr>
          <w:sz w:val="22"/>
          <w:szCs w:val="22"/>
        </w:rPr>
        <w:t xml:space="preserve"> de l’Alberta</w:t>
      </w:r>
      <w:r w:rsidRPr="00B17577">
        <w:rPr>
          <w:sz w:val="22"/>
          <w:szCs w:val="22"/>
        </w:rPr>
        <w:t>, les gouvernements provinciaux et territoriaux, d’autres organisations autochtones et les parties intéressées afin d’élaborer un processus de dialogue portant sur les droits des Métis visés par l’article</w:t>
      </w:r>
      <w:r w:rsidR="002579F1" w:rsidRPr="00B17577">
        <w:rPr>
          <w:sz w:val="22"/>
          <w:szCs w:val="22"/>
        </w:rPr>
        <w:t> </w:t>
      </w:r>
      <w:r w:rsidRPr="00B17577">
        <w:rPr>
          <w:sz w:val="22"/>
          <w:szCs w:val="22"/>
        </w:rPr>
        <w:t xml:space="preserve">35. </w:t>
      </w:r>
    </w:p>
    <w:p w14:paraId="2769C958" w14:textId="4E593E62" w:rsidR="00463A68" w:rsidRPr="00B17577" w:rsidRDefault="00463A68" w:rsidP="00463A68">
      <w:pPr>
        <w:pStyle w:val="ListParagraph"/>
        <w:numPr>
          <w:ilvl w:val="0"/>
          <w:numId w:val="4"/>
        </w:numPr>
        <w:spacing w:after="240" w:line="240" w:lineRule="auto"/>
        <w:ind w:right="-7"/>
        <w:contextualSpacing w:val="0"/>
        <w:rPr>
          <w:sz w:val="22"/>
          <w:szCs w:val="22"/>
          <w:shd w:val="clear" w:color="auto" w:fill="FFFFFF"/>
        </w:rPr>
      </w:pPr>
      <w:r w:rsidRPr="00B17577">
        <w:rPr>
          <w:rStyle w:val="CommentReference"/>
          <w:sz w:val="22"/>
          <w:szCs w:val="22"/>
        </w:rPr>
        <w:t>Tom Isaac</w:t>
      </w:r>
      <w:r w:rsidRPr="00B17577">
        <w:rPr>
          <w:sz w:val="22"/>
          <w:szCs w:val="22"/>
        </w:rPr>
        <w:t xml:space="preserve"> a travaillé avec la Fédération des Métis du Manitoba à la recherche de moyens de favoriser la réconciliation avec les Métis du Manitoba en réponse à la décision rendue en 2013 par la Cour suprême du Canada dans la cause </w:t>
      </w:r>
      <w:r w:rsidRPr="00B17577">
        <w:rPr>
          <w:i/>
          <w:sz w:val="22"/>
          <w:szCs w:val="22"/>
        </w:rPr>
        <w:t xml:space="preserve">Manitoba </w:t>
      </w:r>
      <w:r w:rsidR="001A43A5" w:rsidRPr="00B17577">
        <w:rPr>
          <w:i/>
          <w:sz w:val="22"/>
          <w:szCs w:val="22"/>
        </w:rPr>
        <w:t>Métis</w:t>
      </w:r>
      <w:r w:rsidRPr="00B17577">
        <w:rPr>
          <w:i/>
          <w:sz w:val="22"/>
          <w:szCs w:val="22"/>
        </w:rPr>
        <w:t xml:space="preserve"> Federation et al. c. Canada</w:t>
      </w:r>
      <w:r w:rsidR="001A43A5" w:rsidRPr="00B17577">
        <w:rPr>
          <w:i/>
          <w:sz w:val="22"/>
          <w:szCs w:val="22"/>
        </w:rPr>
        <w:t>.</w:t>
      </w:r>
      <w:r w:rsidR="001A43A5" w:rsidRPr="00B17577">
        <w:rPr>
          <w:rStyle w:val="FootnoteReference"/>
          <w:i/>
          <w:sz w:val="22"/>
          <w:szCs w:val="22"/>
        </w:rPr>
        <w:footnoteReference w:id="14"/>
      </w:r>
      <w:r w:rsidRPr="00B17577">
        <w:rPr>
          <w:sz w:val="22"/>
          <w:szCs w:val="22"/>
        </w:rPr>
        <w:t xml:space="preserve"> Dans sa décision, la Cour suprême du Canada a déclaré que « la Couronne fédérale n’a pas mis en œuvre de façon honorable la disposition prévoyant la concession de terres énoncée à l’article 31 de la </w:t>
      </w:r>
      <w:r w:rsidRPr="00B17577">
        <w:rPr>
          <w:rStyle w:val="HTMLCite"/>
          <w:sz w:val="22"/>
          <w:szCs w:val="22"/>
        </w:rPr>
        <w:t>Loi de 1870 sur le Manitoba</w:t>
      </w:r>
      <w:r w:rsidR="00EA18E4" w:rsidRPr="00B17577">
        <w:rPr>
          <w:sz w:val="22"/>
          <w:szCs w:val="22"/>
        </w:rPr>
        <w:t>, L.C. 1870, ch. 3 ».</w:t>
      </w:r>
      <w:r w:rsidRPr="00B17577">
        <w:rPr>
          <w:sz w:val="22"/>
          <w:szCs w:val="22"/>
        </w:rPr>
        <w:t xml:space="preserve"> La décision de la Cour suprême était de nature déclaratoire et ne prescrivait pas de mesure de réparation particulière. Cependant, la Cour a insisté sur la nécessité d’une action significative et d’une réconciliation durable avec les Métis. Par conséquent, le rôle de Tom</w:t>
      </w:r>
      <w:r w:rsidR="002579F1" w:rsidRPr="00B17577">
        <w:rPr>
          <w:sz w:val="22"/>
          <w:szCs w:val="22"/>
        </w:rPr>
        <w:t> </w:t>
      </w:r>
      <w:r w:rsidRPr="00B17577">
        <w:rPr>
          <w:sz w:val="22"/>
          <w:szCs w:val="22"/>
        </w:rPr>
        <w:t>Isaac est de s’engager en conséquence.</w:t>
      </w:r>
      <w:r w:rsidR="009E778B" w:rsidRPr="00B17577">
        <w:rPr>
          <w:rStyle w:val="FootnoteReference"/>
          <w:sz w:val="22"/>
          <w:szCs w:val="22"/>
        </w:rPr>
        <w:footnoteReference w:id="15"/>
      </w:r>
      <w:r w:rsidRPr="00B17577">
        <w:rPr>
          <w:sz w:val="22"/>
          <w:szCs w:val="22"/>
        </w:rPr>
        <w:t xml:space="preserve"> </w:t>
      </w:r>
    </w:p>
    <w:p w14:paraId="205E01EC" w14:textId="19253D72" w:rsidR="00463A68" w:rsidRPr="00D745D6" w:rsidRDefault="00463A68" w:rsidP="005F6587">
      <w:pPr>
        <w:spacing w:after="240" w:line="240" w:lineRule="auto"/>
        <w:ind w:right="-7"/>
        <w:rPr>
          <w:sz w:val="22"/>
          <w:szCs w:val="22"/>
          <w:shd w:val="clear" w:color="auto" w:fill="FFFFFF"/>
        </w:rPr>
      </w:pPr>
      <w:r w:rsidRPr="00D745D6">
        <w:rPr>
          <w:sz w:val="22"/>
          <w:szCs w:val="22"/>
        </w:rPr>
        <w:t xml:space="preserve">Le gouvernement du Canada s’est aussi engagé à collaborer avec </w:t>
      </w:r>
      <w:r w:rsidR="00EA18E4">
        <w:rPr>
          <w:sz w:val="22"/>
          <w:szCs w:val="22"/>
        </w:rPr>
        <w:t>les Métis</w:t>
      </w:r>
      <w:r w:rsidRPr="00D745D6">
        <w:rPr>
          <w:sz w:val="22"/>
          <w:szCs w:val="22"/>
        </w:rPr>
        <w:t>, de nation à nation, afin de promouvoir la réconciliation et de renouveler les relations. Le rapport final, résumant les discussions pendant l’engagement, ainsi que les principales recommandations du représentant ministériel spécial quant à la meilleure façon d’aller de l’avant, est attendu d’ici au 30 juin 2016.</w:t>
      </w:r>
    </w:p>
    <w:p w14:paraId="517C831D" w14:textId="77777777" w:rsidR="00463A68" w:rsidRPr="00D745D6" w:rsidRDefault="00463A68" w:rsidP="005F6587">
      <w:pPr>
        <w:pStyle w:val="Heading3"/>
        <w:spacing w:before="0" w:after="240" w:line="240" w:lineRule="auto"/>
        <w:rPr>
          <w:rFonts w:ascii="Times New Roman" w:hAnsi="Times New Roman" w:cs="Times New Roman"/>
          <w:i/>
          <w:color w:val="333333"/>
          <w:sz w:val="22"/>
          <w:szCs w:val="22"/>
          <w:shd w:val="clear" w:color="auto" w:fill="FFFFFF"/>
        </w:rPr>
      </w:pPr>
      <w:r w:rsidRPr="00D745D6">
        <w:rPr>
          <w:rFonts w:ascii="Times New Roman" w:hAnsi="Times New Roman" w:cs="Times New Roman"/>
          <w:i/>
          <w:color w:val="auto"/>
          <w:sz w:val="22"/>
          <w:szCs w:val="22"/>
          <w:shd w:val="clear" w:color="auto" w:fill="FFFFFF"/>
        </w:rPr>
        <w:t>Processus de négociation provinciale et territoriale</w:t>
      </w:r>
    </w:p>
    <w:p w14:paraId="24EC5AC5" w14:textId="540E179F" w:rsidR="00463A68" w:rsidRPr="00D745D6" w:rsidRDefault="00463A68" w:rsidP="00463A68">
      <w:pPr>
        <w:spacing w:after="240" w:line="240" w:lineRule="auto"/>
        <w:ind w:right="-7"/>
        <w:rPr>
          <w:sz w:val="22"/>
          <w:szCs w:val="22"/>
        </w:rPr>
      </w:pPr>
      <w:r w:rsidRPr="00D745D6">
        <w:rPr>
          <w:sz w:val="22"/>
          <w:szCs w:val="22"/>
        </w:rPr>
        <w:t>Les gouvernements provinciaux et territoriaux ont mis en place un certain nombre de processus en vue de faciliter la négociation des droits ancestraux et issus de traités.</w:t>
      </w:r>
    </w:p>
    <w:p w14:paraId="624CBABB" w14:textId="3BACFEF0" w:rsidR="00463A68" w:rsidRPr="00D745D6" w:rsidRDefault="00463A68" w:rsidP="00463A68">
      <w:pPr>
        <w:spacing w:after="240" w:line="240" w:lineRule="auto"/>
        <w:ind w:right="-7"/>
        <w:rPr>
          <w:sz w:val="22"/>
          <w:szCs w:val="22"/>
        </w:rPr>
      </w:pPr>
      <w:r w:rsidRPr="00D745D6">
        <w:rPr>
          <w:sz w:val="22"/>
          <w:szCs w:val="22"/>
        </w:rPr>
        <w:t xml:space="preserve">Par exemple, le processus des traités de la Colombie-Britannique est un processus de négociation établi pour résoudre les revendications territoriales en suspens et les droits autochtones non éteints dans cette province. Le Ministère des relations et de la réconciliation avec les Autochtones de la Colombie-Britannique (MARR) dirige la participation de la province dans les négociations de traités, la prise de mesures provisoires et d’autres accords avec les Premières Nations et le gouvernement fédéral relativement aux terres et aux ressources, à la gouvernance, aux relations financières et au renforcement des capacités. </w:t>
      </w:r>
    </w:p>
    <w:p w14:paraId="2831169D" w14:textId="1C5F3EC0" w:rsidR="00463A68" w:rsidRPr="00D745D6" w:rsidRDefault="00463A68" w:rsidP="00463A68">
      <w:pPr>
        <w:spacing w:after="240" w:line="240" w:lineRule="auto"/>
        <w:ind w:right="-7"/>
        <w:rPr>
          <w:sz w:val="22"/>
          <w:szCs w:val="22"/>
        </w:rPr>
      </w:pPr>
      <w:r w:rsidRPr="00D745D6">
        <w:rPr>
          <w:sz w:val="22"/>
          <w:szCs w:val="22"/>
        </w:rPr>
        <w:t xml:space="preserve">En outre, le gouvernement de la Colombie-Britannique appuie différentes approches multisectorielles et intergouvernementales visant à établir des ententes qui ne sont pas des traités avec les Premières Nations, y compris certaines ententes sur l’engagement stratégique, la réconciliation et le partage des recettes. Ces ententes visent à garantir que les Premières Nations reçoivent des avantages financiers des projets réalisés dans leurs territoires traditionnels et renforcent la certitude en ce qui concerne les décisions relatives aux terres et aux ressources. Le MARR s’est engagé à élaborer sept nouvelles ententes stratégiques en 2015-2016 pour répondre aux intérêts particuliers des Premières Nations et appuyer la croissance économique régionale. </w:t>
      </w:r>
    </w:p>
    <w:p w14:paraId="124E15FC" w14:textId="2594459C" w:rsidR="00463A68" w:rsidRPr="00D745D6" w:rsidRDefault="00463A68" w:rsidP="00463A68">
      <w:pPr>
        <w:spacing w:after="240" w:line="240" w:lineRule="auto"/>
        <w:ind w:right="-7"/>
        <w:rPr>
          <w:sz w:val="22"/>
          <w:szCs w:val="22"/>
        </w:rPr>
      </w:pPr>
      <w:r w:rsidRPr="00D745D6">
        <w:rPr>
          <w:sz w:val="22"/>
          <w:szCs w:val="22"/>
        </w:rPr>
        <w:t xml:space="preserve">À Terre-Neuve-et-Labrador, le Ministère des Affaires autochtones et du Labrador (LAAO) est chargé de négocier et d’assurer la mise en œuvre des revendications territoriales, de l’autonomie gouvernementale et d’autres ententes touchant les Autochtones. Le LAAO négocie actuellement la revendication territoriale et l’entente sur l’autonomie gouvernementale de la nation innue, ainsi que l’entente sur l’autonomie gouvernementale de la </w:t>
      </w:r>
      <w:r w:rsidR="007835D8" w:rsidRPr="00D745D6">
        <w:rPr>
          <w:sz w:val="22"/>
          <w:szCs w:val="22"/>
        </w:rPr>
        <w:t>Première Nation</w:t>
      </w:r>
      <w:r w:rsidRPr="00D745D6">
        <w:rPr>
          <w:sz w:val="22"/>
          <w:szCs w:val="22"/>
        </w:rPr>
        <w:t xml:space="preserve"> Miawpukek. </w:t>
      </w:r>
    </w:p>
    <w:p w14:paraId="28558171" w14:textId="66D8FFC7" w:rsidR="00463A68" w:rsidRPr="00D745D6" w:rsidRDefault="00463A68" w:rsidP="00463A68">
      <w:pPr>
        <w:spacing w:after="240" w:line="240" w:lineRule="auto"/>
        <w:ind w:right="-7"/>
        <w:rPr>
          <w:sz w:val="22"/>
          <w:szCs w:val="22"/>
        </w:rPr>
      </w:pPr>
      <w:r w:rsidRPr="00D745D6">
        <w:rPr>
          <w:sz w:val="22"/>
          <w:szCs w:val="22"/>
        </w:rPr>
        <w:t>La Nouvelle-Écosse s’engage dans les négociations des droits ancestraux et issus de traités dans le cadre du processus néo-écossais. Ce forum réunissant les Mi’kmaq, le gouvernement de la Nouvelle-Écosse et le gouvernement du Canada a pour objet de résoudre les questions liées aux droits des Mi’kmaq issus de traités</w:t>
      </w:r>
      <w:r w:rsidR="00B65A44">
        <w:rPr>
          <w:sz w:val="22"/>
          <w:szCs w:val="22"/>
        </w:rPr>
        <w:t>, les droits ancestraux, y compris le titre autochtone, et la gouvernance Mi’kmaq</w:t>
      </w:r>
      <w:r w:rsidRPr="00D745D6">
        <w:rPr>
          <w:sz w:val="22"/>
          <w:szCs w:val="22"/>
        </w:rPr>
        <w:t>. Les négociations sont guidées par l’accord-cadre de 2007, qui met l’accent sur la conclusion d’ententes provisoires relativement à l’accès et aux occasions de gestion des terres et des ressources naturelles.</w:t>
      </w:r>
    </w:p>
    <w:p w14:paraId="73539674" w14:textId="2BC04D2D" w:rsidR="00463A68" w:rsidRPr="00D745D6" w:rsidRDefault="0056079F" w:rsidP="005F6587">
      <w:pPr>
        <w:pStyle w:val="Heading2"/>
        <w:spacing w:before="0" w:after="240" w:line="240" w:lineRule="auto"/>
        <w:rPr>
          <w:rFonts w:ascii="Times New Roman" w:hAnsi="Times New Roman" w:cs="Times New Roman"/>
          <w:sz w:val="22"/>
          <w:szCs w:val="22"/>
          <w:u w:val="single"/>
        </w:rPr>
      </w:pPr>
      <w:r w:rsidRPr="0056079F">
        <w:rPr>
          <w:rFonts w:ascii="Times New Roman" w:hAnsi="Times New Roman" w:cs="Times New Roman"/>
          <w:color w:val="auto"/>
          <w:sz w:val="22"/>
          <w:szCs w:val="22"/>
        </w:rPr>
        <w:t xml:space="preserve">4.4. </w:t>
      </w:r>
      <w:r w:rsidR="00463A68" w:rsidRPr="00D745D6">
        <w:rPr>
          <w:rFonts w:ascii="Times New Roman" w:hAnsi="Times New Roman" w:cs="Times New Roman"/>
          <w:color w:val="auto"/>
          <w:sz w:val="22"/>
          <w:szCs w:val="22"/>
          <w:u w:val="single"/>
        </w:rPr>
        <w:t>L’obligation de consultation</w:t>
      </w:r>
    </w:p>
    <w:p w14:paraId="68BFC824" w14:textId="564A4ADD" w:rsidR="00463A68" w:rsidRPr="00D745D6" w:rsidRDefault="00463A68" w:rsidP="00463A68">
      <w:pPr>
        <w:spacing w:after="240" w:line="240" w:lineRule="auto"/>
        <w:ind w:right="-7"/>
        <w:rPr>
          <w:sz w:val="22"/>
          <w:szCs w:val="22"/>
        </w:rPr>
      </w:pPr>
      <w:r w:rsidRPr="00D745D6">
        <w:rPr>
          <w:sz w:val="22"/>
          <w:szCs w:val="22"/>
        </w:rPr>
        <w:t>En 2004 et 2005, la Cour suprême du Canada a rendu des arrêts statuant que la Couronne, sous forme de gouvernement fédéral, provincial ou territorial, a une obligation de consultation et, le cas échéant, d’accommodement, lorsqu’elle envisage une conduite susceptible d’avoir une incidence négative sur des droits ancestraux ou issus de traités, établis ou potentiels</w:t>
      </w:r>
      <w:r w:rsidRPr="00D745D6">
        <w:rPr>
          <w:rStyle w:val="FootnoteReference"/>
          <w:sz w:val="22"/>
          <w:szCs w:val="22"/>
        </w:rPr>
        <w:footnoteReference w:id="16"/>
      </w:r>
      <w:r w:rsidR="00550FC8" w:rsidRPr="00D745D6">
        <w:rPr>
          <w:sz w:val="22"/>
          <w:szCs w:val="22"/>
        </w:rPr>
        <w:t>.</w:t>
      </w:r>
      <w:r w:rsidRPr="00D745D6">
        <w:rPr>
          <w:sz w:val="22"/>
          <w:szCs w:val="22"/>
        </w:rPr>
        <w:t xml:space="preserve"> </w:t>
      </w:r>
    </w:p>
    <w:p w14:paraId="206DEB6A" w14:textId="77777777"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Mise en œuvre par le gouvernement fédéral de l’obligation de consultation</w:t>
      </w:r>
    </w:p>
    <w:p w14:paraId="33ED0F49" w14:textId="357D2469" w:rsidR="00463A68" w:rsidRPr="00D745D6" w:rsidRDefault="00463A68" w:rsidP="00463A68">
      <w:pPr>
        <w:spacing w:after="240" w:line="240" w:lineRule="auto"/>
        <w:ind w:right="-7"/>
        <w:rPr>
          <w:sz w:val="22"/>
          <w:szCs w:val="22"/>
        </w:rPr>
      </w:pPr>
      <w:r w:rsidRPr="00D745D6">
        <w:rPr>
          <w:sz w:val="22"/>
          <w:szCs w:val="22"/>
        </w:rPr>
        <w:t>Le gouvernement du Canada prend ses obligations en matière de consultation très au sérieux. Les ministères et organismes fédéraux consulteront les groupes autochtones s’ils envisagent une activité susceptible d’avoir des effets préjudiciables sur des droits ancestraux ou issus de traités, établis ou potentiels. Le Canada adopte une approche pangouvernementale en matière de consultation. Cela signifie une approche plus large fondée sur des partenariats fructueux et des processus efficaces, conçue pour parvenir à l’union des efforts et atteindre un objectif commun. On met davantage l’accent sur la coordination et la collaboration, le renforcement des partenariats et la poursuite des efforts d’opérationnalisation de la consultation et de l’accommodement. Veuillez consulter la pièce jointe qui donne un exemple de l’approche que le Canada a adoptée pour respecter ses obligations en matière de consultation dans une affaire récente (Annexe</w:t>
      </w:r>
      <w:r w:rsidR="002579F1" w:rsidRPr="00D745D6">
        <w:rPr>
          <w:sz w:val="22"/>
          <w:szCs w:val="22"/>
        </w:rPr>
        <w:t> </w:t>
      </w:r>
      <w:r w:rsidRPr="00D745D6">
        <w:rPr>
          <w:sz w:val="22"/>
          <w:szCs w:val="22"/>
        </w:rPr>
        <w:t>1</w:t>
      </w:r>
      <w:r w:rsidR="002579F1" w:rsidRPr="00D745D6">
        <w:rPr>
          <w:sz w:val="22"/>
          <w:szCs w:val="22"/>
        </w:rPr>
        <w:t> </w:t>
      </w:r>
      <w:r w:rsidRPr="00D745D6">
        <w:rPr>
          <w:sz w:val="22"/>
          <w:szCs w:val="22"/>
        </w:rPr>
        <w:t>: Projet d’assainissement de la mine Giant – Stratégie de communications et d’engagement</w:t>
      </w:r>
      <w:r w:rsidR="002579F1" w:rsidRPr="00D745D6">
        <w:rPr>
          <w:sz w:val="22"/>
          <w:szCs w:val="22"/>
        </w:rPr>
        <w:t> </w:t>
      </w:r>
      <w:r w:rsidRPr="00D745D6">
        <w:rPr>
          <w:sz w:val="22"/>
          <w:szCs w:val="22"/>
        </w:rPr>
        <w:t xml:space="preserve">2015-2020). </w:t>
      </w:r>
    </w:p>
    <w:p w14:paraId="28702BD4" w14:textId="33454E8E" w:rsidR="00463A68" w:rsidRPr="00D745D6" w:rsidRDefault="00463A68" w:rsidP="00463A68">
      <w:pPr>
        <w:spacing w:after="240" w:line="240" w:lineRule="auto"/>
        <w:ind w:right="-7"/>
        <w:rPr>
          <w:sz w:val="22"/>
          <w:szCs w:val="22"/>
        </w:rPr>
      </w:pPr>
      <w:r w:rsidRPr="00D745D6">
        <w:rPr>
          <w:sz w:val="22"/>
          <w:szCs w:val="22"/>
        </w:rPr>
        <w:t xml:space="preserve">Au niveau fédéral, Affaires autochtones et du Nord Canada collabore avec des ministères et des organismes afin d’élaborer des politiques, des outils et des programmes de formation à l’intention des fonctionnaires sur la façon dont ils peuvent respecter l’obligation de consultation. Les </w:t>
      </w:r>
      <w:r w:rsidRPr="006E0FD1">
        <w:rPr>
          <w:i/>
          <w:sz w:val="22"/>
          <w:szCs w:val="22"/>
        </w:rPr>
        <w:t>Lignes directrices actualisées à l’intention des fonctionnaires fédéraux pour respecter l’obligation de consulter</w:t>
      </w:r>
      <w:r w:rsidRPr="00D745D6">
        <w:rPr>
          <w:sz w:val="22"/>
          <w:szCs w:val="22"/>
        </w:rPr>
        <w:t>, datées de mars 2011, constituent un outil important. Environ 3</w:t>
      </w:r>
      <w:r w:rsidR="002579F1" w:rsidRPr="00D745D6">
        <w:rPr>
          <w:sz w:val="22"/>
          <w:szCs w:val="22"/>
        </w:rPr>
        <w:t> </w:t>
      </w:r>
      <w:r w:rsidRPr="00D745D6">
        <w:rPr>
          <w:sz w:val="22"/>
          <w:szCs w:val="22"/>
        </w:rPr>
        <w:t>550 fonctionnaires ont pris part aux séances de formation sur la consultation et l’accommodement, provenant d’environ 55 ministères fédéraux, provinciaux et territoriaux, organismes et sociétés d’État.</w:t>
      </w:r>
    </w:p>
    <w:p w14:paraId="724E225A" w14:textId="4BB9E6A1" w:rsidR="00463A68" w:rsidRPr="00D745D6" w:rsidRDefault="00463A68" w:rsidP="00463A68">
      <w:pPr>
        <w:spacing w:after="240" w:line="240" w:lineRule="auto"/>
        <w:ind w:right="-7"/>
        <w:rPr>
          <w:sz w:val="22"/>
          <w:szCs w:val="22"/>
        </w:rPr>
      </w:pPr>
      <w:r w:rsidRPr="00D745D6">
        <w:rPr>
          <w:sz w:val="22"/>
          <w:szCs w:val="22"/>
        </w:rPr>
        <w:t xml:space="preserve">Le gouvernement du Canada tient à jour les ressources d’information sur les droits ancestraux et issus de traités partout au Canada. Le Système d’information sur les droits ancestraux et issus de traités (SIDAIT) est un système d’information géographique accessible </w:t>
      </w:r>
      <w:r w:rsidR="00D83580" w:rsidRPr="00D745D6">
        <w:rPr>
          <w:sz w:val="22"/>
          <w:szCs w:val="22"/>
        </w:rPr>
        <w:t>à la population</w:t>
      </w:r>
      <w:r w:rsidRPr="00D745D6">
        <w:rPr>
          <w:sz w:val="22"/>
          <w:szCs w:val="22"/>
        </w:rPr>
        <w:t xml:space="preserve"> en ligne qui aide les utilisateurs à déterminer l’emplacement des collectivités et permet d’afficher l’information qui concerne leurs droits ancestraux et leurs droits issus des traités, établis ou potentiels</w:t>
      </w:r>
      <w:r w:rsidRPr="00D745D6">
        <w:rPr>
          <w:rStyle w:val="FootnoteReference"/>
          <w:sz w:val="22"/>
          <w:szCs w:val="22"/>
        </w:rPr>
        <w:footnoteReference w:id="17"/>
      </w:r>
      <w:r w:rsidR="00550FC8" w:rsidRPr="00D745D6">
        <w:rPr>
          <w:sz w:val="22"/>
          <w:szCs w:val="22"/>
        </w:rPr>
        <w:t>.</w:t>
      </w:r>
      <w:r w:rsidRPr="00D745D6">
        <w:rPr>
          <w:sz w:val="22"/>
          <w:szCs w:val="22"/>
        </w:rPr>
        <w:t xml:space="preserve"> Le SIDAIT donne accès à des dossiers descriptifs et à des cartes dont les gouvernements, l’industrie et les autres parties concernées peuvent se servir pour aider à déterminer leurs obligations en matière de consultation et à effectuer des recherches connexes. Depuis 2012, 1</w:t>
      </w:r>
      <w:r w:rsidR="002579F1" w:rsidRPr="00D745D6">
        <w:rPr>
          <w:sz w:val="22"/>
          <w:szCs w:val="22"/>
        </w:rPr>
        <w:t> </w:t>
      </w:r>
      <w:r w:rsidRPr="00D745D6">
        <w:rPr>
          <w:sz w:val="22"/>
          <w:szCs w:val="22"/>
        </w:rPr>
        <w:t>940 fonctionnaires fédéraux et 545 membres du</w:t>
      </w:r>
      <w:r w:rsidR="00D83580" w:rsidRPr="00D745D6">
        <w:rPr>
          <w:sz w:val="22"/>
          <w:szCs w:val="22"/>
        </w:rPr>
        <w:t xml:space="preserve"> grand</w:t>
      </w:r>
      <w:r w:rsidRPr="00D745D6">
        <w:rPr>
          <w:sz w:val="22"/>
          <w:szCs w:val="22"/>
        </w:rPr>
        <w:t xml:space="preserve"> public ont suivi une formation sur l’utilisation du SIDAIT. </w:t>
      </w:r>
    </w:p>
    <w:p w14:paraId="3A88DBB2" w14:textId="40C5DDFF" w:rsidR="00463A68" w:rsidRPr="00D745D6" w:rsidRDefault="00463A68" w:rsidP="00463A68">
      <w:pPr>
        <w:spacing w:after="240" w:line="240" w:lineRule="auto"/>
        <w:ind w:right="-7"/>
        <w:rPr>
          <w:sz w:val="22"/>
          <w:szCs w:val="22"/>
        </w:rPr>
      </w:pPr>
      <w:r w:rsidRPr="00D745D6">
        <w:rPr>
          <w:sz w:val="22"/>
          <w:szCs w:val="22"/>
        </w:rPr>
        <w:t>Au fur et à mesure que de nouvelles données sur les droits ancestraux au Canada deviendront accessibles au moyen des consultations avec les collectivités autochtones, de décisions des tribunaux, etc., le SIDAIT sera mis à jour afin de tenir compte de cette information et d’améliorer l’accès du grand public à c</w:t>
      </w:r>
      <w:r w:rsidR="003E3099" w:rsidRPr="00D745D6">
        <w:rPr>
          <w:sz w:val="22"/>
          <w:szCs w:val="22"/>
        </w:rPr>
        <w:t>es importantes données. En 2015</w:t>
      </w:r>
      <w:r w:rsidR="003E3099" w:rsidRPr="00D745D6">
        <w:rPr>
          <w:sz w:val="22"/>
          <w:szCs w:val="22"/>
        </w:rPr>
        <w:noBreakHyphen/>
      </w:r>
      <w:r w:rsidRPr="00D745D6">
        <w:rPr>
          <w:sz w:val="22"/>
          <w:szCs w:val="22"/>
        </w:rPr>
        <w:t>2016, plus de 1</w:t>
      </w:r>
      <w:r w:rsidR="002579F1" w:rsidRPr="00D745D6">
        <w:rPr>
          <w:sz w:val="22"/>
          <w:szCs w:val="22"/>
        </w:rPr>
        <w:t> </w:t>
      </w:r>
      <w:r w:rsidRPr="00D745D6">
        <w:rPr>
          <w:sz w:val="22"/>
          <w:szCs w:val="22"/>
        </w:rPr>
        <w:t>000 dossiers ou blocs d’information dans le SIDAIT ont été ajoutés, modifiés ou mis à jour.</w:t>
      </w:r>
    </w:p>
    <w:p w14:paraId="2F60FF07" w14:textId="1E46A094" w:rsidR="00463A68" w:rsidRPr="00D745D6" w:rsidRDefault="00463A68" w:rsidP="00463A68">
      <w:pPr>
        <w:spacing w:after="240" w:line="240" w:lineRule="auto"/>
        <w:ind w:right="-7"/>
        <w:rPr>
          <w:sz w:val="22"/>
          <w:szCs w:val="22"/>
        </w:rPr>
      </w:pPr>
      <w:r w:rsidRPr="00D745D6">
        <w:rPr>
          <w:sz w:val="22"/>
          <w:szCs w:val="22"/>
        </w:rPr>
        <w:t>De mai à août 2015, le représentant spécial du ministre, M.</w:t>
      </w:r>
      <w:r w:rsidR="002579F1" w:rsidRPr="00D745D6">
        <w:rPr>
          <w:sz w:val="22"/>
          <w:szCs w:val="22"/>
        </w:rPr>
        <w:t> </w:t>
      </w:r>
      <w:r w:rsidRPr="00D745D6">
        <w:rPr>
          <w:sz w:val="22"/>
          <w:szCs w:val="22"/>
        </w:rPr>
        <w:t xml:space="preserve">Bryn Gray, a mené un processus de mobilisation auprès </w:t>
      </w:r>
      <w:r w:rsidRPr="00B17577">
        <w:rPr>
          <w:sz w:val="22"/>
          <w:szCs w:val="22"/>
        </w:rPr>
        <w:t xml:space="preserve">des </w:t>
      </w:r>
      <w:r w:rsidR="00904D81" w:rsidRPr="00B17577">
        <w:rPr>
          <w:sz w:val="22"/>
          <w:szCs w:val="22"/>
        </w:rPr>
        <w:t>communautés autochtones</w:t>
      </w:r>
      <w:r w:rsidRPr="00D745D6">
        <w:rPr>
          <w:sz w:val="22"/>
          <w:szCs w:val="22"/>
        </w:rPr>
        <w:t>, des provinces et des territoires autochtones ainsi que des représentants de l’industrie pour recueillir leurs avis sur l’amélioration de l’approche du Canada en matière de consultation et d’accommodement. Toutes les observations reçues seront examinées et mises à profit dans le cadre des efforts pangouvernementaux visant à renouveler la relation entre le Canada et les Autochtones.</w:t>
      </w:r>
    </w:p>
    <w:p w14:paraId="37246E55" w14:textId="01A6214A"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Protocoles de consultation</w:t>
      </w:r>
      <w:r w:rsidR="00431D27" w:rsidRPr="00D745D6">
        <w:rPr>
          <w:rFonts w:ascii="Times New Roman" w:hAnsi="Times New Roman" w:cs="Times New Roman"/>
          <w:i/>
          <w:sz w:val="22"/>
          <w:szCs w:val="22"/>
        </w:rPr>
        <w:t xml:space="preserve"> </w:t>
      </w:r>
    </w:p>
    <w:p w14:paraId="0BA994F7" w14:textId="77777777" w:rsidR="00463A68" w:rsidRPr="00D745D6" w:rsidRDefault="00463A68" w:rsidP="00463A68">
      <w:pPr>
        <w:spacing w:after="240" w:line="240" w:lineRule="auto"/>
        <w:ind w:right="-7"/>
        <w:rPr>
          <w:sz w:val="22"/>
          <w:szCs w:val="22"/>
        </w:rPr>
      </w:pPr>
      <w:r w:rsidRPr="00D745D6">
        <w:rPr>
          <w:sz w:val="22"/>
          <w:szCs w:val="22"/>
        </w:rPr>
        <w:t xml:space="preserve">Le gouvernement du Canada négocie des protocoles de consultation avec les collectivités autochtones afin d’établir un processus convenu à suivre au moment de traiter de l’obligation constitutionnelle de consultation. En concluant des protocoles, le Canada espère renforcer ses relations et favoriser un processus de consultation plus véritable. Les protocoles favorisent également la cohérence et l’équité, aident les collectivités à relever tous les défis en matière de capacité auxquels elles peuvent faire face au moment d’adopter des processus de consultation et permettent de nouer des relations de travail suivies avec les collectivités. </w:t>
      </w:r>
    </w:p>
    <w:p w14:paraId="03C4724B" w14:textId="3A3FB2B0" w:rsidR="00463A68" w:rsidRPr="00D745D6" w:rsidRDefault="00463A68" w:rsidP="005F6587">
      <w:pPr>
        <w:spacing w:after="120" w:line="240" w:lineRule="auto"/>
        <w:ind w:right="-6"/>
        <w:rPr>
          <w:sz w:val="22"/>
          <w:szCs w:val="22"/>
        </w:rPr>
      </w:pPr>
      <w:r w:rsidRPr="00D745D6">
        <w:rPr>
          <w:sz w:val="22"/>
          <w:szCs w:val="22"/>
        </w:rPr>
        <w:t>Des négociations se poursuivent actuellement dans l’ensemble du Canada pour établir des processus de consultation plus tripartites entre la collectivité autochtone, le gouvernement fédéral et le gouvernement provincial ou territorial visé. Le Canada a conclu des protocoles de consultation avec les groupes suivants</w:t>
      </w:r>
      <w:r w:rsidR="00550FC8" w:rsidRPr="00D745D6">
        <w:rPr>
          <w:sz w:val="22"/>
          <w:szCs w:val="22"/>
        </w:rPr>
        <w:t> </w:t>
      </w:r>
      <w:r w:rsidRPr="00D745D6">
        <w:rPr>
          <w:sz w:val="22"/>
          <w:szCs w:val="22"/>
        </w:rPr>
        <w:t>:</w:t>
      </w:r>
    </w:p>
    <w:p w14:paraId="22616151" w14:textId="77777777" w:rsidR="00463A68" w:rsidRPr="00D745D6" w:rsidRDefault="00463A68" w:rsidP="005F6587">
      <w:pPr>
        <w:pStyle w:val="ListParagraph"/>
        <w:numPr>
          <w:ilvl w:val="0"/>
          <w:numId w:val="5"/>
        </w:numPr>
        <w:spacing w:after="0" w:line="240" w:lineRule="auto"/>
        <w:ind w:right="-6"/>
        <w:rPr>
          <w:sz w:val="22"/>
          <w:szCs w:val="22"/>
        </w:rPr>
      </w:pPr>
      <w:r w:rsidRPr="00D745D6">
        <w:rPr>
          <w:sz w:val="22"/>
          <w:szCs w:val="22"/>
        </w:rPr>
        <w:t>le cadre de référence relatif au processus de consultation entre les Mi’kmaq, la Nouvelle-Écosse et le Canada</w:t>
      </w:r>
      <w:r w:rsidRPr="00D745D6">
        <w:rPr>
          <w:rStyle w:val="FootnoteReference"/>
          <w:sz w:val="22"/>
          <w:szCs w:val="22"/>
        </w:rPr>
        <w:footnoteReference w:id="18"/>
      </w:r>
      <w:r w:rsidRPr="00D745D6">
        <w:rPr>
          <w:sz w:val="22"/>
          <w:szCs w:val="22"/>
        </w:rPr>
        <w:t>;</w:t>
      </w:r>
    </w:p>
    <w:p w14:paraId="0CDF3180" w14:textId="77777777" w:rsidR="00463A68" w:rsidRPr="00D745D6" w:rsidRDefault="00463A68" w:rsidP="005F6587">
      <w:pPr>
        <w:pStyle w:val="ListParagraph"/>
        <w:numPr>
          <w:ilvl w:val="0"/>
          <w:numId w:val="5"/>
        </w:numPr>
        <w:spacing w:after="0" w:line="240" w:lineRule="auto"/>
        <w:ind w:right="-6"/>
        <w:rPr>
          <w:sz w:val="22"/>
          <w:szCs w:val="22"/>
        </w:rPr>
      </w:pPr>
      <w:r w:rsidRPr="00D745D6">
        <w:rPr>
          <w:sz w:val="22"/>
          <w:szCs w:val="22"/>
        </w:rPr>
        <w:t>l’entente sur la consultation Mi’kmaq - Île-du-Prince-Édouard - Canada</w:t>
      </w:r>
      <w:r w:rsidRPr="00D745D6">
        <w:rPr>
          <w:rStyle w:val="FootnoteReference"/>
          <w:sz w:val="22"/>
          <w:szCs w:val="22"/>
        </w:rPr>
        <w:footnoteReference w:id="19"/>
      </w:r>
      <w:r w:rsidRPr="00D745D6">
        <w:rPr>
          <w:sz w:val="22"/>
          <w:szCs w:val="22"/>
        </w:rPr>
        <w:t>;</w:t>
      </w:r>
    </w:p>
    <w:p w14:paraId="697AC381" w14:textId="77777777" w:rsidR="00463A68" w:rsidRPr="00D745D6" w:rsidRDefault="00463A68" w:rsidP="005F6587">
      <w:pPr>
        <w:pStyle w:val="ListParagraph"/>
        <w:numPr>
          <w:ilvl w:val="0"/>
          <w:numId w:val="5"/>
        </w:numPr>
        <w:spacing w:after="0" w:line="240" w:lineRule="auto"/>
        <w:ind w:right="-6"/>
        <w:rPr>
          <w:sz w:val="22"/>
          <w:szCs w:val="22"/>
        </w:rPr>
      </w:pPr>
      <w:r w:rsidRPr="00D745D6">
        <w:rPr>
          <w:sz w:val="22"/>
          <w:szCs w:val="22"/>
        </w:rPr>
        <w:t>l’entente tripartite provisoire sur la consultation et l’accommodement des Mi’gmaq (région de Gaspé)</w:t>
      </w:r>
      <w:r w:rsidRPr="00D745D6">
        <w:rPr>
          <w:rStyle w:val="FootnoteReference"/>
          <w:sz w:val="22"/>
          <w:szCs w:val="22"/>
        </w:rPr>
        <w:footnoteReference w:id="20"/>
      </w:r>
      <w:r w:rsidRPr="00D745D6">
        <w:rPr>
          <w:sz w:val="22"/>
          <w:szCs w:val="22"/>
        </w:rPr>
        <w:t>;</w:t>
      </w:r>
    </w:p>
    <w:p w14:paraId="25AB1B0F" w14:textId="23FD1890" w:rsidR="00463A68" w:rsidRPr="00D745D6" w:rsidRDefault="00463A68" w:rsidP="005F6587">
      <w:pPr>
        <w:pStyle w:val="ListParagraph"/>
        <w:numPr>
          <w:ilvl w:val="0"/>
          <w:numId w:val="5"/>
        </w:numPr>
        <w:spacing w:after="0" w:line="240" w:lineRule="auto"/>
        <w:ind w:right="-6"/>
        <w:rPr>
          <w:sz w:val="22"/>
          <w:szCs w:val="22"/>
        </w:rPr>
      </w:pPr>
      <w:r w:rsidRPr="00D745D6">
        <w:rPr>
          <w:sz w:val="22"/>
          <w:szCs w:val="22"/>
        </w:rPr>
        <w:t>deux protocoles conclus avec la Première Nation des Dénés Tha’ : le protocole de consultation au sujet du projet gazier Mackenzie et le protocole de consultation pour des autorisations fédérales;</w:t>
      </w:r>
    </w:p>
    <w:p w14:paraId="3039D735" w14:textId="77777777" w:rsidR="00463A68" w:rsidRPr="00D745D6" w:rsidRDefault="00463A68" w:rsidP="005F6587">
      <w:pPr>
        <w:pStyle w:val="ListParagraph"/>
        <w:numPr>
          <w:ilvl w:val="0"/>
          <w:numId w:val="5"/>
        </w:numPr>
        <w:spacing w:after="0" w:line="240" w:lineRule="auto"/>
        <w:ind w:right="-6"/>
        <w:rPr>
          <w:sz w:val="22"/>
          <w:szCs w:val="22"/>
        </w:rPr>
      </w:pPr>
      <w:r w:rsidRPr="00D745D6">
        <w:rPr>
          <w:sz w:val="22"/>
          <w:szCs w:val="22"/>
        </w:rPr>
        <w:t>l’entente relative au processus de consultation sur les mesures provisoires</w:t>
      </w:r>
      <w:r w:rsidRPr="00D745D6">
        <w:rPr>
          <w:rStyle w:val="FootnoteReference"/>
          <w:sz w:val="22"/>
          <w:szCs w:val="22"/>
        </w:rPr>
        <w:footnoteReference w:id="21"/>
      </w:r>
      <w:r w:rsidRPr="00D745D6">
        <w:rPr>
          <w:sz w:val="22"/>
          <w:szCs w:val="22"/>
        </w:rPr>
        <w:t>;</w:t>
      </w:r>
    </w:p>
    <w:p w14:paraId="3601CE0B" w14:textId="77777777" w:rsidR="00463A68" w:rsidRPr="00D745D6" w:rsidRDefault="00463A68" w:rsidP="005F6587">
      <w:pPr>
        <w:pStyle w:val="ListParagraph"/>
        <w:numPr>
          <w:ilvl w:val="0"/>
          <w:numId w:val="5"/>
        </w:numPr>
        <w:spacing w:after="240" w:line="240" w:lineRule="auto"/>
        <w:ind w:left="714" w:right="-6" w:hanging="357"/>
        <w:rPr>
          <w:sz w:val="22"/>
          <w:szCs w:val="22"/>
        </w:rPr>
      </w:pPr>
      <w:r w:rsidRPr="00D745D6">
        <w:rPr>
          <w:sz w:val="22"/>
          <w:szCs w:val="22"/>
        </w:rPr>
        <w:t>Entente sur la consultation entre le Canada et la Nation métisse de l’Ontario</w:t>
      </w:r>
    </w:p>
    <w:p w14:paraId="7E4A41E7" w14:textId="35D17A9E"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Protocoles d’entente</w:t>
      </w:r>
      <w:r w:rsidR="00D83580" w:rsidRPr="00D745D6">
        <w:rPr>
          <w:rFonts w:ascii="Times New Roman" w:hAnsi="Times New Roman" w:cs="Times New Roman"/>
          <w:i/>
          <w:color w:val="auto"/>
          <w:sz w:val="22"/>
          <w:szCs w:val="22"/>
        </w:rPr>
        <w:t xml:space="preserve"> </w:t>
      </w:r>
    </w:p>
    <w:p w14:paraId="01CF26D2" w14:textId="58B7F8B5" w:rsidR="00463A68" w:rsidRPr="00D745D6" w:rsidRDefault="00463A68" w:rsidP="00463A68">
      <w:pPr>
        <w:spacing w:after="240" w:line="240" w:lineRule="auto"/>
        <w:ind w:right="-7"/>
        <w:rPr>
          <w:sz w:val="22"/>
          <w:szCs w:val="22"/>
        </w:rPr>
      </w:pPr>
      <w:r w:rsidRPr="00D745D6">
        <w:rPr>
          <w:sz w:val="22"/>
          <w:szCs w:val="22"/>
        </w:rPr>
        <w:t>Des protocoles d’entente sont négociés entre le gouvernement fédéral et les gouvernements provinciaux ou territoriaux en vue d’améliorer les communications, d’améliorer les processus de consultation et de faciliter la coordination de la consultation pour les projets qui intéressent les deux ordres de gouvernement, en vue de réduire le chevauchement et le double emploi. Un protocole d’entente a été conclu avec la Nouvelle-Écosse</w:t>
      </w:r>
      <w:r w:rsidRPr="00D745D6">
        <w:rPr>
          <w:rStyle w:val="FootnoteReference"/>
          <w:sz w:val="22"/>
          <w:szCs w:val="22"/>
        </w:rPr>
        <w:footnoteReference w:id="22"/>
      </w:r>
      <w:r w:rsidR="00550FC8" w:rsidRPr="00D745D6">
        <w:rPr>
          <w:sz w:val="22"/>
          <w:szCs w:val="22"/>
        </w:rPr>
        <w:t>.</w:t>
      </w:r>
      <w:r w:rsidRPr="00D745D6">
        <w:rPr>
          <w:sz w:val="22"/>
          <w:szCs w:val="22"/>
        </w:rPr>
        <w:t xml:space="preserve"> Des négociations sont en cours dans diverses autres administrations à l’échelle du Canada.</w:t>
      </w:r>
    </w:p>
    <w:p w14:paraId="0310E8FC" w14:textId="77777777" w:rsidR="00463A68" w:rsidRPr="00D745D6" w:rsidRDefault="00463A68" w:rsidP="005F6587">
      <w:pPr>
        <w:pStyle w:val="Heading3"/>
        <w:spacing w:before="0" w:after="240" w:line="240" w:lineRule="auto"/>
        <w:rPr>
          <w:rFonts w:ascii="Times New Roman" w:hAnsi="Times New Roman" w:cs="Times New Roman"/>
          <w:i/>
          <w:sz w:val="22"/>
          <w:szCs w:val="22"/>
        </w:rPr>
      </w:pPr>
      <w:r w:rsidRPr="00D745D6">
        <w:rPr>
          <w:rFonts w:ascii="Times New Roman" w:hAnsi="Times New Roman" w:cs="Times New Roman"/>
          <w:i/>
          <w:color w:val="auto"/>
          <w:sz w:val="22"/>
          <w:szCs w:val="22"/>
        </w:rPr>
        <w:t>Mise en œuvre par les gouvernements provinciaux et territoriaux de l’obligation de consultation</w:t>
      </w:r>
    </w:p>
    <w:p w14:paraId="762DCB40" w14:textId="4CAE85F3" w:rsidR="00463A68" w:rsidRDefault="00463A68" w:rsidP="00463A68">
      <w:pPr>
        <w:spacing w:after="240" w:line="240" w:lineRule="auto"/>
        <w:ind w:right="-7"/>
        <w:rPr>
          <w:sz w:val="22"/>
          <w:szCs w:val="22"/>
        </w:rPr>
      </w:pPr>
      <w:r w:rsidRPr="00D745D6">
        <w:rPr>
          <w:sz w:val="22"/>
          <w:szCs w:val="22"/>
        </w:rPr>
        <w:t xml:space="preserve">Les gouvernements provinciaux et territoriaux disposent également d’un certain nombre de méthodes pour mettre en œuvre l’obligation de consultation. </w:t>
      </w:r>
    </w:p>
    <w:p w14:paraId="2007335A" w14:textId="647C8D46" w:rsidR="000A0EB0" w:rsidRPr="000A0EB0" w:rsidRDefault="000A0EB0" w:rsidP="000A0EB0">
      <w:pPr>
        <w:spacing w:after="0" w:line="240" w:lineRule="auto"/>
        <w:rPr>
          <w:sz w:val="22"/>
          <w:szCs w:val="22"/>
          <w:lang w:eastAsia="en-US" w:bidi="ar-SA"/>
        </w:rPr>
      </w:pPr>
      <w:r w:rsidRPr="000A0EB0">
        <w:rPr>
          <w:sz w:val="22"/>
          <w:szCs w:val="22"/>
          <w:lang w:eastAsia="en-US" w:bidi="ar-SA"/>
        </w:rPr>
        <w:t xml:space="preserve">Par exemple, le processus de consultation de l’Alberta se fonde sur la politique de consultation des Premières Nations sur la gestion des ressources naturelles et du territoire (2013) du gouvernement de l’Alberta, sur la politique de consultation des établissements métis sur la gestion du territoire et des ressources naturelles (2015) du gouvernement de l’Alberta, ainsi que sur les lignes directrices connexes. Créé en 2013, l’Aboriginal Consultation Office aide le gouvernement de l’Alberta à respecter ses obligations en matière de consultation, notamment en ce qui concerne la gestion de l’évaluation des répercussions de projet sur les droits issus de traités des Premières Nations ainsi que les activités traditionnelles et de récolte des établissements métis. Le gouvernement de l’Alberta a entamé un dialogue avec les Premières Nations au sujet du renouvellement de la politique de consultation des Premières Nations de 2013 au cours de l’été 2016. L’objectif du renouvellement est de faire en sorte que la politique de consultation des Premières Nations s’harmonise avec les principes et les objectifs énoncés dans la </w:t>
      </w:r>
      <w:r w:rsidRPr="006E0FD1">
        <w:rPr>
          <w:i/>
          <w:sz w:val="22"/>
          <w:szCs w:val="22"/>
          <w:lang w:eastAsia="en-US" w:bidi="ar-SA"/>
        </w:rPr>
        <w:t xml:space="preserve">Déclaration des Nations Unies sur les droits des peuples autochtones </w:t>
      </w:r>
      <w:r w:rsidRPr="000A0EB0">
        <w:rPr>
          <w:sz w:val="22"/>
          <w:szCs w:val="22"/>
          <w:lang w:eastAsia="en-US" w:bidi="ar-SA"/>
        </w:rPr>
        <w:t xml:space="preserve">et soit mieux adaptée aux besoins en évolution des Premières Nations et ceux de l’industrie et des autres intervenants. L’Alberta </w:t>
      </w:r>
      <w:r w:rsidR="00A8182F">
        <w:rPr>
          <w:sz w:val="22"/>
          <w:szCs w:val="22"/>
          <w:lang w:eastAsia="en-US" w:bidi="ar-SA"/>
        </w:rPr>
        <w:t>collabore également avec la Mé</w:t>
      </w:r>
      <w:r w:rsidRPr="000A0EB0">
        <w:rPr>
          <w:sz w:val="22"/>
          <w:szCs w:val="22"/>
          <w:lang w:eastAsia="en-US" w:bidi="ar-SA"/>
        </w:rPr>
        <w:t xml:space="preserve">tis Nation of Alberta Association en vue de l’élaboration d’une politique de consultation des Métis qui ne vivent pas dans des établissements. </w:t>
      </w:r>
    </w:p>
    <w:p w14:paraId="4F49B61F" w14:textId="77777777" w:rsidR="000A0EB0" w:rsidRPr="000A0EB0" w:rsidRDefault="000A0EB0" w:rsidP="000A0EB0">
      <w:pPr>
        <w:spacing w:after="0" w:line="240" w:lineRule="auto"/>
        <w:rPr>
          <w:rFonts w:eastAsia="Times New Roman"/>
          <w:sz w:val="22"/>
          <w:szCs w:val="22"/>
          <w:lang w:eastAsia="en-CA" w:bidi="ar-SA"/>
        </w:rPr>
      </w:pPr>
    </w:p>
    <w:p w14:paraId="4F4AF598" w14:textId="09BC9C5E" w:rsidR="000A0EB0" w:rsidRDefault="000A0EB0" w:rsidP="000A0EB0">
      <w:pPr>
        <w:spacing w:after="0" w:line="240" w:lineRule="auto"/>
        <w:rPr>
          <w:sz w:val="22"/>
          <w:szCs w:val="22"/>
          <w:lang w:eastAsia="en-US" w:bidi="ar-SA"/>
        </w:rPr>
      </w:pPr>
      <w:r w:rsidRPr="000A0EB0">
        <w:rPr>
          <w:sz w:val="22"/>
          <w:szCs w:val="22"/>
          <w:lang w:eastAsia="en-US" w:bidi="ar-SA"/>
        </w:rPr>
        <w:t xml:space="preserve">Le gouvernement de l’Alberta offre des fonds aux Premières Nations et aux établissements métis afin de leur permettre de participer au processus de consultation de l’Alberta dans le cadre du programme First Nations Consultation Capacity Investment Program et de l’entente de financement et de gouvernance à long terme des établissements métis. Ces fonds visent à appuyer les structures de consultation des Premières Nations et des établissements métis ainsi que la participation aux initiatives de consultation de l’Alberta. Pour 2016-2017, le financement versé au titre de la capacité de consultation s’élève à plus de 7 millions de dollars. </w:t>
      </w:r>
    </w:p>
    <w:p w14:paraId="23C774F4" w14:textId="77777777" w:rsidR="000A0EB0" w:rsidRDefault="000A0EB0" w:rsidP="000A0EB0">
      <w:pPr>
        <w:spacing w:after="0" w:line="240" w:lineRule="auto"/>
        <w:rPr>
          <w:sz w:val="22"/>
          <w:szCs w:val="22"/>
          <w:lang w:eastAsia="en-US" w:bidi="ar-SA"/>
        </w:rPr>
      </w:pPr>
    </w:p>
    <w:p w14:paraId="698EF45B" w14:textId="0E14446A" w:rsidR="00463A68" w:rsidRPr="000A0EB0" w:rsidRDefault="00463A68" w:rsidP="00463A68">
      <w:pPr>
        <w:spacing w:after="240" w:line="240" w:lineRule="auto"/>
        <w:ind w:right="-7"/>
        <w:rPr>
          <w:sz w:val="22"/>
          <w:szCs w:val="22"/>
        </w:rPr>
      </w:pPr>
      <w:r w:rsidRPr="000A0EB0">
        <w:rPr>
          <w:sz w:val="22"/>
          <w:szCs w:val="22"/>
        </w:rPr>
        <w:t xml:space="preserve">La Nouvelle-Écosse se conforme au Cadre de référence relatif au processus de consultation entre les Mi’kmaq, la Nouvelle-Écosse et le Canada, qui vise </w:t>
      </w:r>
      <w:r w:rsidR="007D5451" w:rsidRPr="000A0EB0">
        <w:rPr>
          <w:sz w:val="22"/>
          <w:szCs w:val="22"/>
        </w:rPr>
        <w:t>12 des 13 </w:t>
      </w:r>
      <w:r w:rsidRPr="000A0EB0">
        <w:rPr>
          <w:sz w:val="22"/>
          <w:szCs w:val="22"/>
        </w:rPr>
        <w:t>bandes mi’kmaq. Le financement de base est offert par la province à l’Assemblée des chefs mi’kmaq de la Nouvelle-Écosse pour les douze bandes visées par le Cadre de référence.</w:t>
      </w:r>
    </w:p>
    <w:p w14:paraId="51994D0E" w14:textId="012E0149" w:rsidR="005F6587" w:rsidRPr="00D745D6" w:rsidRDefault="00463A68" w:rsidP="00463A68">
      <w:pPr>
        <w:spacing w:after="240" w:line="240" w:lineRule="auto"/>
        <w:ind w:right="-7"/>
        <w:rPr>
          <w:sz w:val="22"/>
          <w:szCs w:val="22"/>
        </w:rPr>
      </w:pPr>
      <w:r w:rsidRPr="00D745D6">
        <w:rPr>
          <w:sz w:val="22"/>
          <w:szCs w:val="22"/>
        </w:rPr>
        <w:t xml:space="preserve">En avril 2015, la Nouvelle-Écosse a publié le document suivant : </w:t>
      </w:r>
      <w:r w:rsidRPr="00E4760F">
        <w:rPr>
          <w:i/>
          <w:sz w:val="22"/>
          <w:szCs w:val="22"/>
        </w:rPr>
        <w:t>Government of Nova Scotia Policy and Guidelines: Consultation with the Mi’kmaq of Nova Scotia</w:t>
      </w:r>
      <w:r w:rsidRPr="00D745D6">
        <w:rPr>
          <w:sz w:val="22"/>
          <w:szCs w:val="22"/>
        </w:rPr>
        <w:t xml:space="preserve">. Cette politique rendra plus transparente et plus claire l’approche en matière de consultation de la Nouvelle-Écosse. </w:t>
      </w:r>
    </w:p>
    <w:p w14:paraId="38C9FF26" w14:textId="17D3B6D3" w:rsidR="00463A68" w:rsidRDefault="00463A68" w:rsidP="00463A68">
      <w:pPr>
        <w:spacing w:after="240" w:line="240" w:lineRule="auto"/>
        <w:ind w:right="-7"/>
        <w:rPr>
          <w:sz w:val="22"/>
          <w:szCs w:val="22"/>
        </w:rPr>
      </w:pPr>
      <w:r w:rsidRPr="00D745D6">
        <w:rPr>
          <w:sz w:val="22"/>
          <w:szCs w:val="22"/>
        </w:rPr>
        <w:t>En 2009, la politique provinciale provisoire sur la consultation de la Couronne avec les collectivités des Premières Nations, des collectivités métisses et les autres collectivités autochtones du Manitoba a été adoptée pour s’assurer que la province (1) se tient au courant et comprend les intérêts des Premières Nations, des collectivités métisses et des autres collectivités autochtones en ce qui concerne une décision ou une mesure proposée du gouvernement; (2) cherche des moyens de tenir compte et satisfaire ces intérêts, le cas échéant, dans le cadre d’un processus de consultation; et (3) fait progresser le processus de réconciliation entre la Couronne et les Premières Nations, les collectivités métisses et les autres collectivités autochtones. De plus, afin d’aider la Couronne à respecter son obligation de consultation, le Manitoba a établi un groupe de travail interministériel sur la consultation entre la Couronne et les groupes autochtones, composé de représentants des principaux ministères pour conseiller le gouvernement sur les meilleures pratiques en matière de consultation.</w:t>
      </w:r>
      <w:r w:rsidR="00CC78AF" w:rsidRPr="00D745D6">
        <w:rPr>
          <w:sz w:val="22"/>
          <w:szCs w:val="22"/>
        </w:rPr>
        <w:t xml:space="preserve"> </w:t>
      </w:r>
    </w:p>
    <w:p w14:paraId="157CB6C5" w14:textId="77777777" w:rsidR="00904D81" w:rsidRPr="00B17577" w:rsidRDefault="00904D81" w:rsidP="00904D81">
      <w:pPr>
        <w:spacing w:after="0" w:line="240" w:lineRule="auto"/>
        <w:rPr>
          <w:rFonts w:eastAsia="Times New Roman"/>
          <w:sz w:val="22"/>
          <w:szCs w:val="22"/>
        </w:rPr>
      </w:pPr>
      <w:r w:rsidRPr="00B17577">
        <w:rPr>
          <w:rFonts w:eastAsia="Times New Roman"/>
          <w:sz w:val="22"/>
          <w:szCs w:val="22"/>
        </w:rPr>
        <w:t xml:space="preserve">Le Gouvernement du Québec adoptait, en 2006, le </w:t>
      </w:r>
      <w:r w:rsidRPr="00B17577">
        <w:rPr>
          <w:rFonts w:eastAsia="Times New Roman"/>
          <w:i/>
          <w:sz w:val="22"/>
          <w:szCs w:val="22"/>
        </w:rPr>
        <w:t>Guide intérimaire en matière de consultation des communautés autochtones</w:t>
      </w:r>
      <w:r w:rsidRPr="00B17577">
        <w:rPr>
          <w:rFonts w:eastAsia="Times New Roman"/>
          <w:sz w:val="22"/>
          <w:szCs w:val="22"/>
        </w:rPr>
        <w:t>. Mis à jour en 2008, ce document propose des lignes directrices générales, à l’intention des ministères et organismes, permettant de rendre plus opérationnelles l’obligation constitutionnelle qui incombe au Gouvernement du Québec de consulter les communautés autochtones. Le Secrétariat aux affaires autochtones dispose également d’une enveloppe, dans le cadre du Fonds d’initiatives autochtones II, qui permet de soutenir financièrement la participation des communautés autochtones aux consultations initiées par le gouvernement du Québec.</w:t>
      </w:r>
    </w:p>
    <w:p w14:paraId="6C7C571D" w14:textId="77777777" w:rsidR="00904D81" w:rsidRPr="00B17577" w:rsidRDefault="00904D81" w:rsidP="00904D81">
      <w:pPr>
        <w:spacing w:after="0" w:line="240" w:lineRule="auto"/>
        <w:rPr>
          <w:rFonts w:eastAsia="Times New Roman"/>
          <w:sz w:val="22"/>
          <w:szCs w:val="22"/>
        </w:rPr>
      </w:pPr>
    </w:p>
    <w:p w14:paraId="7926F289" w14:textId="444E0856" w:rsidR="00904D81" w:rsidRPr="00B17577" w:rsidRDefault="00904D81" w:rsidP="00904D81">
      <w:pPr>
        <w:spacing w:after="0" w:line="240" w:lineRule="auto"/>
        <w:rPr>
          <w:rFonts w:eastAsia="Times New Roman"/>
          <w:sz w:val="22"/>
          <w:szCs w:val="22"/>
        </w:rPr>
      </w:pPr>
      <w:r w:rsidRPr="00B17577">
        <w:rPr>
          <w:rFonts w:eastAsia="Times New Roman"/>
          <w:sz w:val="22"/>
          <w:szCs w:val="22"/>
        </w:rPr>
        <w:t>Le Gouvernement du Qué</w:t>
      </w:r>
      <w:r w:rsidR="005D5405">
        <w:rPr>
          <w:rFonts w:eastAsia="Times New Roman"/>
          <w:sz w:val="22"/>
          <w:szCs w:val="22"/>
        </w:rPr>
        <w:t>bec a de plus adopté, en 2015, l</w:t>
      </w:r>
      <w:r w:rsidRPr="00B17577">
        <w:rPr>
          <w:rFonts w:eastAsia="Times New Roman"/>
          <w:sz w:val="22"/>
          <w:szCs w:val="22"/>
        </w:rPr>
        <w:t xml:space="preserve">e </w:t>
      </w:r>
      <w:r w:rsidRPr="00B17577">
        <w:rPr>
          <w:rFonts w:eastAsia="Times New Roman"/>
          <w:i/>
          <w:iCs/>
          <w:sz w:val="22"/>
          <w:szCs w:val="22"/>
        </w:rPr>
        <w:t xml:space="preserve">Document d’information à l’intention des promoteurs et introduction générale aux relations avec les communautés autochtones dans le cadre de projets de mise en valeur des ressources naturelles. </w:t>
      </w:r>
      <w:r w:rsidRPr="00B17577">
        <w:rPr>
          <w:rFonts w:eastAsia="Times New Roman"/>
          <w:sz w:val="22"/>
          <w:szCs w:val="22"/>
        </w:rPr>
        <w:t xml:space="preserve">Le Document d’information présente essentiellement : </w:t>
      </w:r>
    </w:p>
    <w:p w14:paraId="66336D79" w14:textId="39CF3340"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l</w:t>
      </w:r>
      <w:r w:rsidR="00904D81" w:rsidRPr="00B17577">
        <w:rPr>
          <w:rFonts w:eastAsia="Times New Roman"/>
          <w:sz w:val="22"/>
          <w:szCs w:val="22"/>
        </w:rPr>
        <w:t>es processus d’évaluation environnementale et d’approbation des projets au Québec;</w:t>
      </w:r>
    </w:p>
    <w:p w14:paraId="5DFBB6F6" w14:textId="2D1A6125"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l</w:t>
      </w:r>
      <w:r w:rsidR="00904D81" w:rsidRPr="00B17577">
        <w:rPr>
          <w:rFonts w:eastAsia="Times New Roman"/>
          <w:sz w:val="22"/>
          <w:szCs w:val="22"/>
        </w:rPr>
        <w:t>es obligations, rôles et responsabilités du gouvernement et des promoteurs dans le cadre des projets de développement et de la consultation autochtone;</w:t>
      </w:r>
    </w:p>
    <w:p w14:paraId="1CA6ECD0" w14:textId="6D0C21DA"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d</w:t>
      </w:r>
      <w:r w:rsidR="00904D81" w:rsidRPr="00B17577">
        <w:rPr>
          <w:rFonts w:eastAsia="Times New Roman"/>
          <w:sz w:val="22"/>
          <w:szCs w:val="22"/>
        </w:rPr>
        <w:t>es pistes favorisant l’établissement de relations harmonieuses et constructives entre les promoteurs et les communautés autochtones;</w:t>
      </w:r>
    </w:p>
    <w:p w14:paraId="4AD79B30" w14:textId="73D88425"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d</w:t>
      </w:r>
      <w:r w:rsidR="00904D81" w:rsidRPr="00B17577">
        <w:rPr>
          <w:rFonts w:eastAsia="Times New Roman"/>
          <w:sz w:val="22"/>
          <w:szCs w:val="22"/>
        </w:rPr>
        <w:t>es informations sur les communautés autochtones du Québec;</w:t>
      </w:r>
    </w:p>
    <w:p w14:paraId="4C69600C" w14:textId="7CF1C382"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u</w:t>
      </w:r>
      <w:r w:rsidR="00904D81" w:rsidRPr="00B17577">
        <w:rPr>
          <w:rFonts w:eastAsia="Times New Roman"/>
          <w:sz w:val="22"/>
          <w:szCs w:val="22"/>
        </w:rPr>
        <w:t>n encouragement à la divulgation volontaire du contenu des ententes sur les répercussions et les avantages;</w:t>
      </w:r>
    </w:p>
    <w:p w14:paraId="01967D83" w14:textId="5BFDB765" w:rsidR="00904D81" w:rsidRPr="00B17577" w:rsidRDefault="005D5405" w:rsidP="00904D81">
      <w:pPr>
        <w:numPr>
          <w:ilvl w:val="0"/>
          <w:numId w:val="8"/>
        </w:numPr>
        <w:spacing w:after="0" w:line="240" w:lineRule="auto"/>
        <w:rPr>
          <w:rFonts w:eastAsia="Times New Roman"/>
          <w:sz w:val="22"/>
          <w:szCs w:val="22"/>
        </w:rPr>
      </w:pPr>
      <w:r>
        <w:rPr>
          <w:rFonts w:eastAsia="Times New Roman"/>
          <w:sz w:val="22"/>
          <w:szCs w:val="22"/>
        </w:rPr>
        <w:t>d</w:t>
      </w:r>
      <w:r w:rsidR="00904D81" w:rsidRPr="00B17577">
        <w:rPr>
          <w:rFonts w:eastAsia="Times New Roman"/>
          <w:sz w:val="22"/>
          <w:szCs w:val="22"/>
        </w:rPr>
        <w:t>es références pour obtenir un soutien gouvernemental.</w:t>
      </w:r>
    </w:p>
    <w:p w14:paraId="168AFDB9" w14:textId="77777777" w:rsidR="00904D81" w:rsidRPr="00D745D6" w:rsidRDefault="00904D81" w:rsidP="00463A68">
      <w:pPr>
        <w:spacing w:after="240" w:line="240" w:lineRule="auto"/>
        <w:ind w:right="-7"/>
        <w:rPr>
          <w:sz w:val="22"/>
          <w:szCs w:val="22"/>
        </w:rPr>
      </w:pPr>
    </w:p>
    <w:sectPr w:rsidR="00904D81" w:rsidRPr="00D745D6">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17F5D0" w14:textId="77777777" w:rsidR="002F27AE" w:rsidRDefault="002F27AE" w:rsidP="00782A4D">
      <w:pPr>
        <w:spacing w:after="0" w:line="240" w:lineRule="auto"/>
      </w:pPr>
      <w:r>
        <w:separator/>
      </w:r>
    </w:p>
  </w:endnote>
  <w:endnote w:type="continuationSeparator" w:id="0">
    <w:p w14:paraId="3909C945" w14:textId="77777777" w:rsidR="002F27AE" w:rsidRDefault="002F27AE" w:rsidP="00782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9D43E" w14:textId="530EE1DA" w:rsidR="00463A68" w:rsidRDefault="00463A68" w:rsidP="00463A68">
    <w:pPr>
      <w:pStyle w:val="Footer"/>
      <w:jc w:val="right"/>
    </w:pPr>
    <w:r>
      <w:fldChar w:fldCharType="begin"/>
    </w:r>
    <w:r>
      <w:instrText xml:space="preserve"> PAGE   \* MERGEFORMAT </w:instrText>
    </w:r>
    <w:r>
      <w:fldChar w:fldCharType="separate"/>
    </w:r>
    <w:r w:rsidR="00494CA9">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AC527" w14:textId="77777777" w:rsidR="002F27AE" w:rsidRDefault="002F27AE" w:rsidP="00782A4D">
      <w:pPr>
        <w:spacing w:after="0" w:line="240" w:lineRule="auto"/>
      </w:pPr>
      <w:r>
        <w:separator/>
      </w:r>
    </w:p>
  </w:footnote>
  <w:footnote w:type="continuationSeparator" w:id="0">
    <w:p w14:paraId="0CC05DD0" w14:textId="77777777" w:rsidR="002F27AE" w:rsidRDefault="002F27AE" w:rsidP="00782A4D">
      <w:pPr>
        <w:spacing w:after="0" w:line="240" w:lineRule="auto"/>
      </w:pPr>
      <w:r>
        <w:continuationSeparator/>
      </w:r>
    </w:p>
  </w:footnote>
  <w:footnote w:id="1">
    <w:p w14:paraId="495A75DF" w14:textId="1B2AD7F0" w:rsidR="00782A4D" w:rsidRDefault="00782A4D" w:rsidP="00B24821">
      <w:pPr>
        <w:pStyle w:val="FootnoteText"/>
        <w:ind w:left="142" w:hanging="142"/>
      </w:pPr>
      <w:r>
        <w:rPr>
          <w:rStyle w:val="FootnoteReference"/>
        </w:rPr>
        <w:footnoteRef/>
      </w:r>
      <w:r>
        <w:t xml:space="preserve"> CCPR/C/CAN/CO/6 (adopté par le Comité le 20 juillet 2015).</w:t>
      </w:r>
    </w:p>
  </w:footnote>
  <w:footnote w:id="2">
    <w:p w14:paraId="6670C9DD" w14:textId="77777777" w:rsidR="008A12E3" w:rsidRPr="006F28C3" w:rsidRDefault="008A12E3" w:rsidP="008A12E3">
      <w:pPr>
        <w:pStyle w:val="FootnoteText"/>
      </w:pPr>
      <w:r w:rsidRPr="006F28C3">
        <w:rPr>
          <w:rStyle w:val="FootnoteReference"/>
        </w:rPr>
        <w:footnoteRef/>
      </w:r>
      <w:r w:rsidRPr="006F28C3">
        <w:t xml:space="preserve"> Gouvernement du Canada, </w:t>
      </w:r>
      <w:r>
        <w:rPr>
          <w:i/>
        </w:rPr>
        <w:t>Ce que nous avons entendu </w:t>
      </w:r>
      <w:r w:rsidRPr="006F28C3">
        <w:t xml:space="preserve">(2016), </w:t>
      </w:r>
      <w:r>
        <w:t xml:space="preserve">en ligne : </w:t>
      </w:r>
      <w:r w:rsidRPr="006F28C3">
        <w:t xml:space="preserve">http://www.aadnc-aandc.gc.ca/fra/1448638260896/1448638282066.  </w:t>
      </w:r>
    </w:p>
  </w:footnote>
  <w:footnote w:id="3">
    <w:p w14:paraId="0B59E8F7" w14:textId="00693D5B" w:rsidR="00D8183A" w:rsidRPr="008F43F2" w:rsidRDefault="00D8183A" w:rsidP="00D8183A">
      <w:pPr>
        <w:pStyle w:val="Default"/>
        <w:rPr>
          <w:sz w:val="20"/>
          <w:szCs w:val="20"/>
        </w:rPr>
      </w:pPr>
      <w:r>
        <w:rPr>
          <w:rStyle w:val="FootnoteReference"/>
          <w:sz w:val="20"/>
        </w:rPr>
        <w:footnoteRef/>
      </w:r>
      <w:r>
        <w:rPr>
          <w:sz w:val="20"/>
        </w:rPr>
        <w:t xml:space="preserve"> Ministres fédéra</w:t>
      </w:r>
      <w:r w:rsidR="007835D8">
        <w:rPr>
          <w:sz w:val="20"/>
        </w:rPr>
        <w:t>ux</w:t>
      </w:r>
      <w:r>
        <w:rPr>
          <w:sz w:val="20"/>
        </w:rPr>
        <w:t>, provinciaux et territoriaux respo</w:t>
      </w:r>
      <w:r w:rsidR="007835D8">
        <w:rPr>
          <w:sz w:val="20"/>
        </w:rPr>
        <w:t>nsables de la Justice et de la S</w:t>
      </w:r>
      <w:r>
        <w:rPr>
          <w:sz w:val="20"/>
        </w:rPr>
        <w:t xml:space="preserve">écurité publique, </w:t>
      </w:r>
      <w:r>
        <w:rPr>
          <w:i/>
          <w:sz w:val="20"/>
        </w:rPr>
        <w:t>Cadre juridique visant la lutte contre la violence faite aux femmes et aux filles autochtones</w:t>
      </w:r>
      <w:r>
        <w:rPr>
          <w:sz w:val="20"/>
        </w:rPr>
        <w:t xml:space="preserve">, 21 janvier 2016, en ligne : </w:t>
      </w:r>
      <w:r w:rsidRPr="009E778B">
        <w:rPr>
          <w:sz w:val="20"/>
        </w:rPr>
        <w:t>http://www2.gov.bc.ca/assets/gov/law-crime-and-justice/about-bc-justice-system/publications/fpt-justice-framework-french.pdf</w:t>
      </w:r>
      <w:r>
        <w:rPr>
          <w:sz w:val="20"/>
        </w:rPr>
        <w:t xml:space="preserve">. </w:t>
      </w:r>
    </w:p>
  </w:footnote>
  <w:footnote w:id="4">
    <w:p w14:paraId="422EC6D3" w14:textId="77777777" w:rsidR="0036442E" w:rsidRPr="002F3505" w:rsidRDefault="0036442E" w:rsidP="0036442E">
      <w:pPr>
        <w:pStyle w:val="FootnoteText"/>
      </w:pPr>
      <w:r>
        <w:rPr>
          <w:rStyle w:val="FootnoteReference"/>
        </w:rPr>
        <w:footnoteRef/>
      </w:r>
      <w:r>
        <w:t xml:space="preserve"> Gendarmerie royale du Canada, </w:t>
      </w:r>
      <w:r>
        <w:rPr>
          <w:i/>
        </w:rPr>
        <w:t>Les femmes autochtones disparues et assassinées : Un aperçu opérationnel national</w:t>
      </w:r>
      <w:r>
        <w:t xml:space="preserve">, en ligne : http://www.rcmp-grc.gc.ca/pubs/mmaw-faapd-fra.pdf. </w:t>
      </w:r>
    </w:p>
  </w:footnote>
  <w:footnote w:id="5">
    <w:p w14:paraId="3462AAAF" w14:textId="627CCF53" w:rsidR="0036442E" w:rsidRPr="00513C3E" w:rsidRDefault="0036442E" w:rsidP="0036442E">
      <w:pPr>
        <w:pStyle w:val="FootnoteText"/>
      </w:pPr>
      <w:r>
        <w:rPr>
          <w:rStyle w:val="FootnoteReference"/>
        </w:rPr>
        <w:footnoteRef/>
      </w:r>
      <w:r>
        <w:t xml:space="preserve"> 2016, CHRT</w:t>
      </w:r>
      <w:r w:rsidR="002579F1">
        <w:t> </w:t>
      </w:r>
      <w:r>
        <w:t xml:space="preserve">2, en ligne : </w:t>
      </w:r>
      <w:r w:rsidR="007835D8" w:rsidRPr="009E778B">
        <w:t>http://www.canlii.org/fr/ca/tcdp/doc/2016/2016tcdp2/2016tcdp2.html</w:t>
      </w:r>
      <w:r>
        <w:t xml:space="preserve">. </w:t>
      </w:r>
    </w:p>
  </w:footnote>
  <w:footnote w:id="6">
    <w:p w14:paraId="483AD916" w14:textId="1E4EEAD8" w:rsidR="0036442E" w:rsidRPr="00D64754" w:rsidRDefault="0036442E" w:rsidP="0036442E">
      <w:pPr>
        <w:pStyle w:val="FootnoteText"/>
      </w:pPr>
      <w:r>
        <w:rPr>
          <w:rStyle w:val="FootnoteReference"/>
        </w:rPr>
        <w:footnoteRef/>
      </w:r>
      <w:r>
        <w:t xml:space="preserve"> </w:t>
      </w:r>
      <w:r>
        <w:rPr>
          <w:i/>
        </w:rPr>
        <w:t>Société de soutien à l’enfance et à la famille des Premières Nations du Canada et al. c. Procureur général du Canada</w:t>
      </w:r>
      <w:r>
        <w:t xml:space="preserve">, 2016 CHRT 10, en ligne : </w:t>
      </w:r>
      <w:r w:rsidRPr="009E778B">
        <w:t>http://canlii.ca/t/gppjk</w:t>
      </w:r>
      <w:r>
        <w:t xml:space="preserve">. </w:t>
      </w:r>
    </w:p>
  </w:footnote>
  <w:footnote w:id="7">
    <w:p w14:paraId="66ABF05E" w14:textId="66855B38" w:rsidR="00E96197" w:rsidRPr="00E96197" w:rsidRDefault="00E96197" w:rsidP="00B24821">
      <w:pPr>
        <w:pStyle w:val="FootnoteText"/>
      </w:pPr>
      <w:r>
        <w:rPr>
          <w:rStyle w:val="FootnoteReference"/>
        </w:rPr>
        <w:footnoteRef/>
      </w:r>
      <w:r>
        <w:t xml:space="preserve"> </w:t>
      </w:r>
      <w:r>
        <w:rPr>
          <w:i/>
        </w:rPr>
        <w:t>Loi sur l’immigration et la protection des réfugiés</w:t>
      </w:r>
      <w:r>
        <w:t>, L.C. 2001, ch. 27, art.</w:t>
      </w:r>
      <w:r w:rsidR="002579F1">
        <w:t xml:space="preserve"> </w:t>
      </w:r>
      <w:r>
        <w:t>55, http://www.canlii.org/fr/ca/legis/lois/lc-2001-c-27/117880/lc-2001-c-27.html.</w:t>
      </w:r>
    </w:p>
  </w:footnote>
  <w:footnote w:id="8">
    <w:p w14:paraId="572B0FC5" w14:textId="72EA12D4" w:rsidR="00E96197" w:rsidRDefault="00E96197" w:rsidP="00B24821">
      <w:pPr>
        <w:pStyle w:val="FootnoteText"/>
      </w:pPr>
      <w:r>
        <w:rPr>
          <w:rStyle w:val="FootnoteReference"/>
        </w:rPr>
        <w:footnoteRef/>
      </w:r>
      <w:r>
        <w:t xml:space="preserve"> Voir </w:t>
      </w:r>
      <w:r>
        <w:rPr>
          <w:i/>
        </w:rPr>
        <w:t>Charkaoui c. Canada (Citoyenneté et Immigration)</w:t>
      </w:r>
      <w:r>
        <w:t>, 2007 CSC</w:t>
      </w:r>
      <w:r w:rsidR="002579F1">
        <w:t> </w:t>
      </w:r>
      <w:r>
        <w:t>9 aux paragraphes 95 à 128, http://www.canlii.org/fr/ca/csc/doc/2007/2007csc9/2007csc9.html.</w:t>
      </w:r>
    </w:p>
  </w:footnote>
  <w:footnote w:id="9">
    <w:p w14:paraId="5229A16D" w14:textId="4956012A" w:rsidR="009E778B" w:rsidRPr="009E778B" w:rsidRDefault="009E778B">
      <w:pPr>
        <w:pStyle w:val="FootnoteText"/>
      </w:pPr>
      <w:r>
        <w:rPr>
          <w:rStyle w:val="FootnoteReference"/>
        </w:rPr>
        <w:footnoteRef/>
      </w:r>
      <w:r>
        <w:t xml:space="preserve"> </w:t>
      </w:r>
      <w:r w:rsidRPr="009E778B">
        <w:t>Pour de plus amples renseignements sur la détention à des fins d’immigration, consultez la page suivante : http://www.cbsa-asfc.gc.ca/security-securite/detent-fra.html.</w:t>
      </w:r>
    </w:p>
  </w:footnote>
  <w:footnote w:id="10">
    <w:p w14:paraId="6D4075DA" w14:textId="32BF66C6" w:rsidR="00E96197" w:rsidRDefault="00E96197" w:rsidP="00B24821">
      <w:pPr>
        <w:pStyle w:val="FootnoteText"/>
      </w:pPr>
      <w:r>
        <w:rPr>
          <w:rStyle w:val="FootnoteReference"/>
        </w:rPr>
        <w:footnoteRef/>
      </w:r>
      <w:r>
        <w:t xml:space="preserve"> </w:t>
      </w:r>
      <w:r>
        <w:rPr>
          <w:i/>
        </w:rPr>
        <w:t>Y.Z. c. Canada (Citoyenneté et Immigration)</w:t>
      </w:r>
      <w:r>
        <w:t>, 2015 CF 892, http://www.canlii.org/fr/ca/cfpi/doc/2015/2015cf892/2015cf892.html.</w:t>
      </w:r>
    </w:p>
  </w:footnote>
  <w:footnote w:id="11">
    <w:p w14:paraId="4550A322" w14:textId="5C4A22DC" w:rsidR="00463A68" w:rsidRDefault="00463A68" w:rsidP="00B24821">
      <w:pPr>
        <w:pStyle w:val="FootnoteText"/>
      </w:pPr>
      <w:r>
        <w:rPr>
          <w:rStyle w:val="FootnoteReference"/>
        </w:rPr>
        <w:footnoteRef/>
      </w:r>
      <w:r>
        <w:t xml:space="preserve"> À la fin de 2015, le gouvernement du Canada a commencé à utiliser dans les communications publiques</w:t>
      </w:r>
      <w:r w:rsidR="0021638F">
        <w:t xml:space="preserve"> </w:t>
      </w:r>
      <w:r w:rsidR="0021638F" w:rsidRPr="0021638F">
        <w:rPr>
          <w:u w:val="single"/>
        </w:rPr>
        <w:t>en anglais</w:t>
      </w:r>
      <w:r>
        <w:t xml:space="preserve"> le terme « </w:t>
      </w:r>
      <w:r w:rsidR="0021638F">
        <w:t>Indigenous</w:t>
      </w:r>
      <w:r>
        <w:t> » au lieu de « </w:t>
      </w:r>
      <w:r w:rsidR="0021638F">
        <w:t>Aboriginal</w:t>
      </w:r>
      <w:r>
        <w:t> » pour décrire officiellement les populations autochtones du Canada. Cependant, dans les cadres juridiques, le Canada doit continuer d’utiliser les divers termes inclus dans les lois fédérales et provinciales. Par exemple, à l’article 35 de la</w:t>
      </w:r>
      <w:r w:rsidR="0021638F">
        <w:t xml:space="preserve"> version anglaise de la</w:t>
      </w:r>
      <w:r>
        <w:t xml:space="preserve"> </w:t>
      </w:r>
      <w:r>
        <w:rPr>
          <w:i/>
        </w:rPr>
        <w:t>Loi</w:t>
      </w:r>
      <w:r>
        <w:t xml:space="preserve"> </w:t>
      </w:r>
      <w:r>
        <w:rPr>
          <w:i/>
        </w:rPr>
        <w:t>constitutionnelle de 1982</w:t>
      </w:r>
      <w:r>
        <w:t>, on reconnaît et confirme les droits ancestraux et les droits issus des traités des « </w:t>
      </w:r>
      <w:r w:rsidR="0021638F" w:rsidRPr="0021638F">
        <w:t>aboriginal peoples of Canada</w:t>
      </w:r>
      <w:r>
        <w:t>»</w:t>
      </w:r>
      <w:r w:rsidR="0021638F">
        <w:t xml:space="preserve"> (peuples autochtones du Canada)</w:t>
      </w:r>
      <w:r>
        <w:t>. Cette disposition de la loi renferme une définition précise de ce terme. Par conséquent,</w:t>
      </w:r>
      <w:r w:rsidR="0021638F">
        <w:t xml:space="preserve"> en anglais,</w:t>
      </w:r>
      <w:r>
        <w:t xml:space="preserve"> le terme « </w:t>
      </w:r>
      <w:r w:rsidR="0021638F">
        <w:t>Indigenous</w:t>
      </w:r>
      <w:r>
        <w:t> » sera utilisé de façon générale, mais le terme « </w:t>
      </w:r>
      <w:r w:rsidR="0021638F">
        <w:t>Aboriginal</w:t>
      </w:r>
      <w:r>
        <w:t> » sera utilisé lorsqu’il est fait référence aux droits protégés par la Constitution.</w:t>
      </w:r>
    </w:p>
  </w:footnote>
  <w:footnote w:id="12">
    <w:p w14:paraId="7CFB4EEB" w14:textId="6CF9368A" w:rsidR="00463A68" w:rsidRDefault="00463A68" w:rsidP="00B24821">
      <w:pPr>
        <w:pStyle w:val="FootnoteText"/>
      </w:pPr>
      <w:r>
        <w:rPr>
          <w:rStyle w:val="FootnoteReference"/>
        </w:rPr>
        <w:footnoteRef/>
      </w:r>
      <w:r>
        <w:t xml:space="preserve"> Commission de vérité et de réconciliation du Canada, </w:t>
      </w:r>
      <w:r>
        <w:rPr>
          <w:i/>
        </w:rPr>
        <w:t>Rapport final</w:t>
      </w:r>
      <w:r>
        <w:t xml:space="preserve"> (2015), en ligne : </w:t>
      </w:r>
      <w:r w:rsidRPr="009E778B">
        <w:t>http://www.trc.ca/websites/trcinstitution/index.php?p=891</w:t>
      </w:r>
      <w:r>
        <w:t>.</w:t>
      </w:r>
    </w:p>
  </w:footnote>
  <w:footnote w:id="13">
    <w:p w14:paraId="500F8EB2" w14:textId="48130645" w:rsidR="00463A68" w:rsidRPr="00626A79" w:rsidRDefault="00463A68" w:rsidP="00B24821">
      <w:pPr>
        <w:pStyle w:val="FootnoteText"/>
      </w:pPr>
      <w:r>
        <w:rPr>
          <w:rStyle w:val="FootnoteReference"/>
        </w:rPr>
        <w:footnoteRef/>
      </w:r>
      <w:r>
        <w:t xml:space="preserve"> Voir en ligne : </w:t>
      </w:r>
      <w:r w:rsidRPr="009E778B">
        <w:t>https://www.aadnc-aandc.gc.ca/fra/1405693409911/1405693617207</w:t>
      </w:r>
      <w:r>
        <w:t>.</w:t>
      </w:r>
    </w:p>
  </w:footnote>
  <w:footnote w:id="14">
    <w:p w14:paraId="04FCCC54" w14:textId="37C247B6" w:rsidR="001A43A5" w:rsidRPr="001A43A5" w:rsidRDefault="001A43A5">
      <w:pPr>
        <w:pStyle w:val="FootnoteText"/>
      </w:pPr>
      <w:r>
        <w:rPr>
          <w:rStyle w:val="FootnoteReference"/>
        </w:rPr>
        <w:footnoteRef/>
      </w:r>
      <w:r>
        <w:t xml:space="preserve"> </w:t>
      </w:r>
      <w:r w:rsidRPr="001A43A5">
        <w:t>https://scc-csc.lexum.com/scc-csc/scc-csc/fr/item/12888/index.do</w:t>
      </w:r>
      <w:r>
        <w:t xml:space="preserve">. </w:t>
      </w:r>
    </w:p>
  </w:footnote>
  <w:footnote w:id="15">
    <w:p w14:paraId="3C48F28A" w14:textId="66986E6E" w:rsidR="009E778B" w:rsidRPr="001A43A5" w:rsidRDefault="009E778B">
      <w:pPr>
        <w:pStyle w:val="FootnoteText"/>
      </w:pPr>
      <w:r w:rsidRPr="001A43A5">
        <w:rPr>
          <w:rStyle w:val="FootnoteReference"/>
        </w:rPr>
        <w:footnoteRef/>
      </w:r>
      <w:r w:rsidRPr="001A43A5">
        <w:t xml:space="preserve"> https://www.aadnc-aandc.gc.ca/fra/1433442735272/1433442757318.</w:t>
      </w:r>
    </w:p>
  </w:footnote>
  <w:footnote w:id="16">
    <w:p w14:paraId="7FE23048" w14:textId="3B368C4C" w:rsidR="00463A68" w:rsidRPr="00114034" w:rsidRDefault="00463A68" w:rsidP="00B24821">
      <w:pPr>
        <w:pStyle w:val="FootnoteText"/>
      </w:pPr>
      <w:r>
        <w:rPr>
          <w:rStyle w:val="FootnoteReference"/>
        </w:rPr>
        <w:footnoteRef/>
      </w:r>
      <w:r>
        <w:t xml:space="preserve"> </w:t>
      </w:r>
      <w:r>
        <w:rPr>
          <w:i/>
        </w:rPr>
        <w:t>Nation haïda c. Colombie-Britannique (</w:t>
      </w:r>
      <w:r w:rsidR="003E3099">
        <w:rPr>
          <w:i/>
        </w:rPr>
        <w:t>M</w:t>
      </w:r>
      <w:r>
        <w:rPr>
          <w:i/>
        </w:rPr>
        <w:t>inistre des Forêts)</w:t>
      </w:r>
      <w:r>
        <w:t xml:space="preserve">, [2004] 3 R.C.S. 511; </w:t>
      </w:r>
      <w:r>
        <w:rPr>
          <w:i/>
        </w:rPr>
        <w:t>Première Nation Tlingit de Taku River c. Colombie-Britannique (Directeur d’évaluation de projet)</w:t>
      </w:r>
      <w:r>
        <w:t xml:space="preserve">, [2004] 3 R.C.S. 550; </w:t>
      </w:r>
      <w:r>
        <w:rPr>
          <w:i/>
        </w:rPr>
        <w:t>Première Nation crie Mikisew c. Canada (Ministre du Patrimoine canadien)</w:t>
      </w:r>
      <w:r>
        <w:t>, [2005] 3 R.C.S. 388.</w:t>
      </w:r>
    </w:p>
  </w:footnote>
  <w:footnote w:id="17">
    <w:p w14:paraId="23633065" w14:textId="7D662ED1" w:rsidR="00463A68" w:rsidRPr="00DD5A5E" w:rsidRDefault="00463A68" w:rsidP="00B24821">
      <w:pPr>
        <w:spacing w:after="0" w:line="240" w:lineRule="auto"/>
        <w:ind w:right="420"/>
        <w:rPr>
          <w:sz w:val="20"/>
          <w:szCs w:val="20"/>
        </w:rPr>
      </w:pPr>
      <w:r>
        <w:rPr>
          <w:rStyle w:val="FootnoteReference"/>
          <w:sz w:val="20"/>
        </w:rPr>
        <w:footnoteRef/>
      </w:r>
      <w:r>
        <w:rPr>
          <w:sz w:val="20"/>
        </w:rPr>
        <w:t xml:space="preserve"> On peut accéder au SIDAIT en ligne : </w:t>
      </w:r>
      <w:r w:rsidRPr="009E778B">
        <w:rPr>
          <w:sz w:val="20"/>
        </w:rPr>
        <w:t>https://www.aadnc-aandc.gc.ca/fra/1100100014686/1100100014687</w:t>
      </w:r>
      <w:r>
        <w:rPr>
          <w:sz w:val="20"/>
        </w:rPr>
        <w:t>.</w:t>
      </w:r>
    </w:p>
  </w:footnote>
  <w:footnote w:id="18">
    <w:p w14:paraId="2F445E72" w14:textId="28E2CFC9" w:rsidR="00463A68" w:rsidRDefault="00463A68" w:rsidP="00B24821">
      <w:pPr>
        <w:pStyle w:val="FootnoteText"/>
      </w:pPr>
      <w:r>
        <w:rPr>
          <w:rStyle w:val="FootnoteReference"/>
        </w:rPr>
        <w:footnoteRef/>
      </w:r>
      <w:r>
        <w:t xml:space="preserve"> Voir en ligne : </w:t>
      </w:r>
      <w:r w:rsidRPr="00AF3E97">
        <w:t>https://www.aadnc-aandc.gc.ca/fra/1100100031918/1100100031919</w:t>
      </w:r>
      <w:r>
        <w:t>.</w:t>
      </w:r>
    </w:p>
  </w:footnote>
  <w:footnote w:id="19">
    <w:p w14:paraId="28EE81BE" w14:textId="7E513B49" w:rsidR="00463A68" w:rsidRDefault="00463A68" w:rsidP="00B24821">
      <w:pPr>
        <w:pStyle w:val="FootnoteText"/>
      </w:pPr>
      <w:r>
        <w:rPr>
          <w:rStyle w:val="FootnoteReference"/>
        </w:rPr>
        <w:footnoteRef/>
      </w:r>
      <w:r>
        <w:t xml:space="preserve"> Voir en ligne : </w:t>
      </w:r>
      <w:r w:rsidRPr="00AF3E97">
        <w:t>https://www.aadnc-aandc.gc.ca/fra/1344522721221/1344522886022</w:t>
      </w:r>
      <w:r>
        <w:t>.</w:t>
      </w:r>
    </w:p>
  </w:footnote>
  <w:footnote w:id="20">
    <w:p w14:paraId="60F42A3E" w14:textId="7419A435" w:rsidR="00463A68" w:rsidRDefault="00463A68" w:rsidP="00B24821">
      <w:pPr>
        <w:pStyle w:val="FootnoteText"/>
      </w:pPr>
      <w:r>
        <w:rPr>
          <w:rStyle w:val="FootnoteReference"/>
        </w:rPr>
        <w:footnoteRef/>
      </w:r>
      <w:r>
        <w:t xml:space="preserve"> Voir en ligne : </w:t>
      </w:r>
      <w:r w:rsidRPr="00AF3E97">
        <w:t>https://www.aadnc-aandc.gc.ca/fra/1360079520382/1360079711082</w:t>
      </w:r>
      <w:r>
        <w:t>.</w:t>
      </w:r>
    </w:p>
  </w:footnote>
  <w:footnote w:id="21">
    <w:p w14:paraId="12056CA9" w14:textId="2CF570F7" w:rsidR="00463A68" w:rsidRDefault="00463A68" w:rsidP="00B24821">
      <w:pPr>
        <w:pStyle w:val="FootnoteText"/>
      </w:pPr>
      <w:r>
        <w:rPr>
          <w:rStyle w:val="FootnoteReference"/>
        </w:rPr>
        <w:footnoteRef/>
      </w:r>
      <w:r>
        <w:t xml:space="preserve"> Voir en ligne : </w:t>
      </w:r>
      <w:r w:rsidRPr="00AF3E97">
        <w:t>https://www.aadnc-aandc.gc.ca/fra/1100100032101/1100100032102</w:t>
      </w:r>
      <w:r>
        <w:t>.</w:t>
      </w:r>
    </w:p>
  </w:footnote>
  <w:footnote w:id="22">
    <w:p w14:paraId="5D869295" w14:textId="54FDB112" w:rsidR="009940D6" w:rsidRPr="009940D6" w:rsidRDefault="00463A68" w:rsidP="00B24821">
      <w:pPr>
        <w:pStyle w:val="CommentText"/>
        <w:spacing w:after="0"/>
      </w:pPr>
      <w:r w:rsidRPr="002A60EE">
        <w:rPr>
          <w:rStyle w:val="FootnoteReference"/>
        </w:rPr>
        <w:footnoteRef/>
      </w:r>
      <w:r w:rsidRPr="002A60EE">
        <w:t xml:space="preserve"> </w:t>
      </w:r>
      <w:r w:rsidR="00550FC8">
        <w:t>Voir en ligne </w:t>
      </w:r>
      <w:r w:rsidRPr="002A60EE">
        <w:t xml:space="preserve">: </w:t>
      </w:r>
      <w:r w:rsidR="000105D5" w:rsidRPr="00AF3E97">
        <w:t>http://www.aadnc-aandc.gc.ca/fra/1351710378360/1351711152203</w:t>
      </w:r>
      <w:r w:rsidRPr="002A60EE">
        <w:rPr>
          <w:rStyle w:val="Hyperlink"/>
        </w:rPr>
        <w:t>.</w:t>
      </w:r>
    </w:p>
    <w:p w14:paraId="6F059663" w14:textId="0DF3D031" w:rsidR="00463A68" w:rsidRDefault="00463A68" w:rsidP="00B2482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D81EC" w14:textId="7D1900DE" w:rsidR="00173E08" w:rsidRPr="00E44DAC" w:rsidRDefault="004E003E" w:rsidP="00D745D6">
    <w:pPr>
      <w:pStyle w:val="Header"/>
      <w:ind w:left="-284"/>
      <w:jc w:val="center"/>
      <w:rPr>
        <w:i/>
        <w:lang w:val="en-CA"/>
      </w:rPr>
    </w:pPr>
    <w:r>
      <w:rPr>
        <w:i/>
        <w:sz w:val="20"/>
        <w:szCs w:val="20"/>
        <w:lang w:val="en-CA"/>
      </w:rPr>
      <w:tab/>
    </w:r>
    <w:r>
      <w:rPr>
        <w:i/>
        <w:sz w:val="20"/>
        <w:szCs w:val="20"/>
        <w:lang w:val="en-C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90492"/>
    <w:multiLevelType w:val="hybridMultilevel"/>
    <w:tmpl w:val="F910817C"/>
    <w:lvl w:ilvl="0" w:tplc="9222C110">
      <w:start w:val="1"/>
      <w:numFmt w:val="decimal"/>
      <w:lvlText w:val="%1."/>
      <w:lvlJc w:val="left"/>
      <w:pPr>
        <w:ind w:left="720" w:hanging="360"/>
      </w:pPr>
      <w:rPr>
        <w:rFonts w:hint="default"/>
        <w:b w:val="0"/>
        <w:i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A964374"/>
    <w:multiLevelType w:val="multilevel"/>
    <w:tmpl w:val="E964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B06A4"/>
    <w:multiLevelType w:val="hybridMultilevel"/>
    <w:tmpl w:val="00DC33D4"/>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16E90AFC"/>
    <w:multiLevelType w:val="hybridMultilevel"/>
    <w:tmpl w:val="1E54C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7B00340"/>
    <w:multiLevelType w:val="multilevel"/>
    <w:tmpl w:val="99F2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F4539"/>
    <w:multiLevelType w:val="hybridMultilevel"/>
    <w:tmpl w:val="61CEA1FC"/>
    <w:lvl w:ilvl="0" w:tplc="0EC8626C">
      <w:numFmt w:val="bullet"/>
      <w:lvlText w:val="•"/>
      <w:lvlJc w:val="left"/>
      <w:pPr>
        <w:ind w:left="1080" w:hanging="72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BBC4F05"/>
    <w:multiLevelType w:val="multilevel"/>
    <w:tmpl w:val="9424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F4F02"/>
    <w:multiLevelType w:val="hybridMultilevel"/>
    <w:tmpl w:val="63D079EA"/>
    <w:lvl w:ilvl="0" w:tplc="10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501AF"/>
    <w:multiLevelType w:val="hybridMultilevel"/>
    <w:tmpl w:val="90C697B8"/>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9" w15:restartNumberingAfterBreak="0">
    <w:nsid w:val="426E3DE0"/>
    <w:multiLevelType w:val="multilevel"/>
    <w:tmpl w:val="ED3E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714C1"/>
    <w:multiLevelType w:val="hybridMultilevel"/>
    <w:tmpl w:val="B978B7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66D37A4"/>
    <w:multiLevelType w:val="hybridMultilevel"/>
    <w:tmpl w:val="A7E8D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8923B13"/>
    <w:multiLevelType w:val="hybridMultilevel"/>
    <w:tmpl w:val="C0F04F02"/>
    <w:lvl w:ilvl="0" w:tplc="86EA649A">
      <w:start w:val="1"/>
      <w:numFmt w:val="decimal"/>
      <w:lvlText w:val="%1."/>
      <w:lvlJc w:val="left"/>
      <w:pPr>
        <w:ind w:left="720" w:hanging="360"/>
      </w:pPr>
      <w:rPr>
        <w:rFonts w:cstheme="maj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7"/>
  </w:num>
  <w:num w:numId="5">
    <w:abstractNumId w:val="11"/>
  </w:num>
  <w:num w:numId="6">
    <w:abstractNumId w:val="3"/>
  </w:num>
  <w:num w:numId="7">
    <w:abstractNumId w:val="12"/>
  </w:num>
  <w:num w:numId="8">
    <w:abstractNumId w:val="2"/>
  </w:num>
  <w:num w:numId="9">
    <w:abstractNumId w:val="10"/>
  </w:num>
  <w:num w:numId="10">
    <w:abstractNumId w:val="9"/>
  </w:num>
  <w:num w:numId="11">
    <w:abstractNumId w:val="1"/>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4D"/>
    <w:rsid w:val="000105D5"/>
    <w:rsid w:val="00025662"/>
    <w:rsid w:val="000A0EB0"/>
    <w:rsid w:val="001231B6"/>
    <w:rsid w:val="001654B8"/>
    <w:rsid w:val="00173E08"/>
    <w:rsid w:val="001752E4"/>
    <w:rsid w:val="00181A12"/>
    <w:rsid w:val="001949EA"/>
    <w:rsid w:val="001A43A5"/>
    <w:rsid w:val="001B20E7"/>
    <w:rsid w:val="001C1DFD"/>
    <w:rsid w:val="001E7050"/>
    <w:rsid w:val="0021638F"/>
    <w:rsid w:val="00250819"/>
    <w:rsid w:val="002579F1"/>
    <w:rsid w:val="00285ED6"/>
    <w:rsid w:val="00292419"/>
    <w:rsid w:val="002A60EE"/>
    <w:rsid w:val="002D457E"/>
    <w:rsid w:val="002D7D7D"/>
    <w:rsid w:val="002F27AE"/>
    <w:rsid w:val="003217C9"/>
    <w:rsid w:val="00326889"/>
    <w:rsid w:val="0033394F"/>
    <w:rsid w:val="00340610"/>
    <w:rsid w:val="0036442E"/>
    <w:rsid w:val="003A18EA"/>
    <w:rsid w:val="003E3099"/>
    <w:rsid w:val="003F15A6"/>
    <w:rsid w:val="00412593"/>
    <w:rsid w:val="00431D27"/>
    <w:rsid w:val="00433569"/>
    <w:rsid w:val="00445A58"/>
    <w:rsid w:val="004567AA"/>
    <w:rsid w:val="00457400"/>
    <w:rsid w:val="00457909"/>
    <w:rsid w:val="00463A68"/>
    <w:rsid w:val="00494CA9"/>
    <w:rsid w:val="004E003E"/>
    <w:rsid w:val="004F333A"/>
    <w:rsid w:val="005412BF"/>
    <w:rsid w:val="00550FC8"/>
    <w:rsid w:val="0056079F"/>
    <w:rsid w:val="00591CBE"/>
    <w:rsid w:val="005954AA"/>
    <w:rsid w:val="005D5405"/>
    <w:rsid w:val="005F6587"/>
    <w:rsid w:val="00631956"/>
    <w:rsid w:val="00664E50"/>
    <w:rsid w:val="0067799C"/>
    <w:rsid w:val="00692CA8"/>
    <w:rsid w:val="00694260"/>
    <w:rsid w:val="006C5E82"/>
    <w:rsid w:val="006E0FD1"/>
    <w:rsid w:val="006F283D"/>
    <w:rsid w:val="007273DB"/>
    <w:rsid w:val="007322F7"/>
    <w:rsid w:val="00763525"/>
    <w:rsid w:val="00771F4C"/>
    <w:rsid w:val="007768D6"/>
    <w:rsid w:val="00782A4D"/>
    <w:rsid w:val="007835D8"/>
    <w:rsid w:val="00790342"/>
    <w:rsid w:val="00790FF5"/>
    <w:rsid w:val="00794355"/>
    <w:rsid w:val="007B4325"/>
    <w:rsid w:val="007D5451"/>
    <w:rsid w:val="00821F32"/>
    <w:rsid w:val="00840BF0"/>
    <w:rsid w:val="0085220D"/>
    <w:rsid w:val="00867B95"/>
    <w:rsid w:val="008A12E3"/>
    <w:rsid w:val="00904D81"/>
    <w:rsid w:val="00917492"/>
    <w:rsid w:val="00944E77"/>
    <w:rsid w:val="00946AEE"/>
    <w:rsid w:val="009510AF"/>
    <w:rsid w:val="009646D4"/>
    <w:rsid w:val="0096629E"/>
    <w:rsid w:val="009858F2"/>
    <w:rsid w:val="009940D6"/>
    <w:rsid w:val="00997478"/>
    <w:rsid w:val="009E00B8"/>
    <w:rsid w:val="009E778B"/>
    <w:rsid w:val="009F7252"/>
    <w:rsid w:val="00A04763"/>
    <w:rsid w:val="00A17DFD"/>
    <w:rsid w:val="00A74DA3"/>
    <w:rsid w:val="00A8182F"/>
    <w:rsid w:val="00A952A1"/>
    <w:rsid w:val="00A96629"/>
    <w:rsid w:val="00AF3E97"/>
    <w:rsid w:val="00B12BD1"/>
    <w:rsid w:val="00B17577"/>
    <w:rsid w:val="00B21227"/>
    <w:rsid w:val="00B24821"/>
    <w:rsid w:val="00B65A44"/>
    <w:rsid w:val="00B8388C"/>
    <w:rsid w:val="00C656E8"/>
    <w:rsid w:val="00C7252E"/>
    <w:rsid w:val="00C91A6E"/>
    <w:rsid w:val="00CC78AF"/>
    <w:rsid w:val="00CF53A5"/>
    <w:rsid w:val="00D0449C"/>
    <w:rsid w:val="00D34B48"/>
    <w:rsid w:val="00D37FF1"/>
    <w:rsid w:val="00D745D6"/>
    <w:rsid w:val="00D8183A"/>
    <w:rsid w:val="00D83580"/>
    <w:rsid w:val="00DA69D5"/>
    <w:rsid w:val="00DB3040"/>
    <w:rsid w:val="00DE4FA3"/>
    <w:rsid w:val="00E22CD3"/>
    <w:rsid w:val="00E335E4"/>
    <w:rsid w:val="00E44DAC"/>
    <w:rsid w:val="00E4760F"/>
    <w:rsid w:val="00E758C7"/>
    <w:rsid w:val="00E75F1C"/>
    <w:rsid w:val="00E94E0E"/>
    <w:rsid w:val="00E96197"/>
    <w:rsid w:val="00EA18E4"/>
    <w:rsid w:val="00EB03B8"/>
    <w:rsid w:val="00EB161B"/>
    <w:rsid w:val="00EC3208"/>
    <w:rsid w:val="00EF4C4A"/>
    <w:rsid w:val="00EF7259"/>
    <w:rsid w:val="00F36FA6"/>
    <w:rsid w:val="00F60B87"/>
    <w:rsid w:val="00FD5E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437B6"/>
  <w15:chartTrackingRefBased/>
  <w15:docId w15:val="{0C6B9A4A-F251-4636-86CD-18DE93CE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CA" w:eastAsia="fr-CA" w:bidi="fr-C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A4D"/>
    <w:pPr>
      <w:spacing w:after="200" w:line="276" w:lineRule="auto"/>
    </w:pPr>
    <w:rPr>
      <w:rFonts w:eastAsiaTheme="minorHAnsi"/>
      <w:sz w:val="24"/>
      <w:szCs w:val="24"/>
    </w:rPr>
  </w:style>
  <w:style w:type="paragraph" w:styleId="Heading1">
    <w:name w:val="heading 1"/>
    <w:basedOn w:val="Normal"/>
    <w:next w:val="Normal"/>
    <w:link w:val="Heading1Char"/>
    <w:uiPriority w:val="9"/>
    <w:qFormat/>
    <w:rsid w:val="00782A4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semiHidden/>
    <w:unhideWhenUsed/>
    <w:qFormat/>
    <w:rsid w:val="00782A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5F658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A4D"/>
    <w:rPr>
      <w:rFonts w:asciiTheme="majorHAnsi" w:eastAsiaTheme="majorEastAsia" w:hAnsiTheme="majorHAnsi" w:cstheme="majorBidi"/>
      <w:b/>
      <w:bCs/>
      <w:color w:val="2E74B5" w:themeColor="accent1" w:themeShade="BF"/>
      <w:sz w:val="28"/>
      <w:szCs w:val="28"/>
      <w:lang w:eastAsia="fr-CA"/>
    </w:rPr>
  </w:style>
  <w:style w:type="paragraph" w:styleId="FootnoteText">
    <w:name w:val="footnote text"/>
    <w:basedOn w:val="Normal"/>
    <w:link w:val="FootnoteTextChar"/>
    <w:unhideWhenUsed/>
    <w:rsid w:val="00782A4D"/>
    <w:pPr>
      <w:spacing w:after="0" w:line="240" w:lineRule="auto"/>
    </w:pPr>
    <w:rPr>
      <w:sz w:val="20"/>
      <w:szCs w:val="20"/>
    </w:rPr>
  </w:style>
  <w:style w:type="character" w:customStyle="1" w:styleId="FootnoteTextChar">
    <w:name w:val="Footnote Text Char"/>
    <w:basedOn w:val="DefaultParagraphFont"/>
    <w:link w:val="FootnoteText"/>
    <w:rsid w:val="00782A4D"/>
    <w:rPr>
      <w:rFonts w:eastAsiaTheme="minorHAnsi"/>
      <w:lang w:eastAsia="fr-CA"/>
    </w:rPr>
  </w:style>
  <w:style w:type="character" w:styleId="FootnoteReference">
    <w:name w:val="footnote reference"/>
    <w:basedOn w:val="DefaultParagraphFont"/>
    <w:unhideWhenUsed/>
    <w:rsid w:val="00782A4D"/>
    <w:rPr>
      <w:vertAlign w:val="superscript"/>
    </w:rPr>
  </w:style>
  <w:style w:type="paragraph" w:styleId="ListParagraph">
    <w:name w:val="List Paragraph"/>
    <w:basedOn w:val="Normal"/>
    <w:uiPriority w:val="34"/>
    <w:qFormat/>
    <w:rsid w:val="00782A4D"/>
    <w:pPr>
      <w:ind w:left="720"/>
      <w:contextualSpacing/>
    </w:pPr>
  </w:style>
  <w:style w:type="character" w:customStyle="1" w:styleId="Heading2Char">
    <w:name w:val="Heading 2 Char"/>
    <w:basedOn w:val="DefaultParagraphFont"/>
    <w:link w:val="Heading2"/>
    <w:semiHidden/>
    <w:rsid w:val="00782A4D"/>
    <w:rPr>
      <w:rFonts w:asciiTheme="majorHAnsi" w:eastAsiaTheme="majorEastAsia" w:hAnsiTheme="majorHAnsi" w:cstheme="majorBidi"/>
      <w:color w:val="2E74B5" w:themeColor="accent1" w:themeShade="BF"/>
      <w:sz w:val="26"/>
      <w:szCs w:val="26"/>
      <w:lang w:eastAsia="fr-CA"/>
    </w:rPr>
  </w:style>
  <w:style w:type="character" w:styleId="CommentReference">
    <w:name w:val="annotation reference"/>
    <w:basedOn w:val="DefaultParagraphFont"/>
    <w:rsid w:val="00E22CD3"/>
    <w:rPr>
      <w:sz w:val="16"/>
      <w:szCs w:val="16"/>
    </w:rPr>
  </w:style>
  <w:style w:type="paragraph" w:styleId="CommentText">
    <w:name w:val="annotation text"/>
    <w:basedOn w:val="Normal"/>
    <w:link w:val="CommentTextChar"/>
    <w:rsid w:val="00E22CD3"/>
    <w:pPr>
      <w:spacing w:line="240" w:lineRule="auto"/>
    </w:pPr>
    <w:rPr>
      <w:sz w:val="20"/>
      <w:szCs w:val="20"/>
    </w:rPr>
  </w:style>
  <w:style w:type="character" w:customStyle="1" w:styleId="CommentTextChar">
    <w:name w:val="Comment Text Char"/>
    <w:basedOn w:val="DefaultParagraphFont"/>
    <w:link w:val="CommentText"/>
    <w:rsid w:val="00E22CD3"/>
    <w:rPr>
      <w:rFonts w:eastAsiaTheme="minorHAnsi"/>
      <w:lang w:eastAsia="fr-CA"/>
    </w:rPr>
  </w:style>
  <w:style w:type="paragraph" w:styleId="CommentSubject">
    <w:name w:val="annotation subject"/>
    <w:basedOn w:val="CommentText"/>
    <w:next w:val="CommentText"/>
    <w:link w:val="CommentSubjectChar"/>
    <w:rsid w:val="00E22CD3"/>
    <w:rPr>
      <w:b/>
      <w:bCs/>
    </w:rPr>
  </w:style>
  <w:style w:type="character" w:customStyle="1" w:styleId="CommentSubjectChar">
    <w:name w:val="Comment Subject Char"/>
    <w:basedOn w:val="CommentTextChar"/>
    <w:link w:val="CommentSubject"/>
    <w:rsid w:val="00E22CD3"/>
    <w:rPr>
      <w:rFonts w:eastAsiaTheme="minorHAnsi"/>
      <w:b/>
      <w:bCs/>
      <w:lang w:eastAsia="fr-CA"/>
    </w:rPr>
  </w:style>
  <w:style w:type="paragraph" w:styleId="BalloonText">
    <w:name w:val="Balloon Text"/>
    <w:basedOn w:val="Normal"/>
    <w:link w:val="BalloonTextChar"/>
    <w:rsid w:val="00E22C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2CD3"/>
    <w:rPr>
      <w:rFonts w:ascii="Segoe UI" w:eastAsiaTheme="minorHAnsi" w:hAnsi="Segoe UI" w:cs="Segoe UI"/>
      <w:sz w:val="18"/>
      <w:szCs w:val="18"/>
      <w:lang w:eastAsia="fr-CA"/>
    </w:rPr>
  </w:style>
  <w:style w:type="character" w:styleId="Hyperlink">
    <w:name w:val="Hyperlink"/>
    <w:basedOn w:val="DefaultParagraphFont"/>
    <w:uiPriority w:val="99"/>
    <w:rsid w:val="00463A68"/>
    <w:rPr>
      <w:color w:val="0563C1" w:themeColor="hyperlink"/>
      <w:u w:val="single"/>
    </w:rPr>
  </w:style>
  <w:style w:type="character" w:styleId="HTMLCite">
    <w:name w:val="HTML Cite"/>
    <w:basedOn w:val="DefaultParagraphFont"/>
    <w:uiPriority w:val="99"/>
    <w:unhideWhenUsed/>
    <w:rsid w:val="00463A68"/>
    <w:rPr>
      <w:i/>
      <w:iCs/>
    </w:rPr>
  </w:style>
  <w:style w:type="paragraph" w:styleId="Header">
    <w:name w:val="header"/>
    <w:basedOn w:val="Normal"/>
    <w:link w:val="HeaderChar"/>
    <w:rsid w:val="00463A68"/>
    <w:pPr>
      <w:tabs>
        <w:tab w:val="center" w:pos="4680"/>
        <w:tab w:val="right" w:pos="9360"/>
      </w:tabs>
      <w:spacing w:after="0" w:line="240" w:lineRule="auto"/>
    </w:pPr>
  </w:style>
  <w:style w:type="character" w:customStyle="1" w:styleId="HeaderChar">
    <w:name w:val="Header Char"/>
    <w:basedOn w:val="DefaultParagraphFont"/>
    <w:link w:val="Header"/>
    <w:rsid w:val="00463A68"/>
    <w:rPr>
      <w:rFonts w:eastAsiaTheme="minorHAnsi"/>
      <w:sz w:val="24"/>
      <w:szCs w:val="24"/>
      <w:lang w:eastAsia="fr-CA"/>
    </w:rPr>
  </w:style>
  <w:style w:type="paragraph" w:styleId="Footer">
    <w:name w:val="footer"/>
    <w:basedOn w:val="Normal"/>
    <w:link w:val="FooterChar"/>
    <w:rsid w:val="00463A68"/>
    <w:pPr>
      <w:tabs>
        <w:tab w:val="center" w:pos="4680"/>
        <w:tab w:val="right" w:pos="9360"/>
      </w:tabs>
      <w:spacing w:after="0" w:line="240" w:lineRule="auto"/>
    </w:pPr>
  </w:style>
  <w:style w:type="character" w:customStyle="1" w:styleId="FooterChar">
    <w:name w:val="Footer Char"/>
    <w:basedOn w:val="DefaultParagraphFont"/>
    <w:link w:val="Footer"/>
    <w:rsid w:val="00463A68"/>
    <w:rPr>
      <w:rFonts w:eastAsiaTheme="minorHAnsi"/>
      <w:sz w:val="24"/>
      <w:szCs w:val="24"/>
      <w:lang w:eastAsia="fr-CA"/>
    </w:rPr>
  </w:style>
  <w:style w:type="character" w:styleId="FollowedHyperlink">
    <w:name w:val="FollowedHyperlink"/>
    <w:basedOn w:val="DefaultParagraphFont"/>
    <w:rsid w:val="005F6587"/>
    <w:rPr>
      <w:color w:val="954F72" w:themeColor="followedHyperlink"/>
      <w:u w:val="single"/>
    </w:rPr>
  </w:style>
  <w:style w:type="character" w:customStyle="1" w:styleId="Heading3Char">
    <w:name w:val="Heading 3 Char"/>
    <w:basedOn w:val="DefaultParagraphFont"/>
    <w:link w:val="Heading3"/>
    <w:semiHidden/>
    <w:rsid w:val="005F6587"/>
    <w:rPr>
      <w:rFonts w:asciiTheme="majorHAnsi" w:eastAsiaTheme="majorEastAsia" w:hAnsiTheme="majorHAnsi" w:cstheme="majorBidi"/>
      <w:color w:val="1F4D78" w:themeColor="accent1" w:themeShade="7F"/>
      <w:sz w:val="24"/>
      <w:szCs w:val="24"/>
      <w:lang w:eastAsia="fr-CA"/>
    </w:rPr>
  </w:style>
  <w:style w:type="paragraph" w:customStyle="1" w:styleId="Default">
    <w:name w:val="Default"/>
    <w:rsid w:val="00D8183A"/>
    <w:pPr>
      <w:autoSpaceDE w:val="0"/>
      <w:autoSpaceDN w:val="0"/>
      <w:adjustRightInd w:val="0"/>
    </w:pPr>
    <w:rPr>
      <w:rFonts w:eastAsiaTheme="minorHAnsi"/>
      <w:color w:val="000000"/>
      <w:sz w:val="24"/>
      <w:szCs w:val="24"/>
    </w:rPr>
  </w:style>
  <w:style w:type="paragraph" w:customStyle="1" w:styleId="Content1">
    <w:name w:val="Content1"/>
    <w:basedOn w:val="Normal"/>
    <w:link w:val="Content1Char"/>
    <w:qFormat/>
    <w:rsid w:val="0036442E"/>
    <w:pPr>
      <w:spacing w:before="240" w:after="240" w:line="240" w:lineRule="auto"/>
      <w:ind w:left="-851"/>
    </w:pPr>
    <w:rPr>
      <w:rFonts w:eastAsia="Times New Roman"/>
    </w:rPr>
  </w:style>
  <w:style w:type="character" w:customStyle="1" w:styleId="Content1Char">
    <w:name w:val="Content1 Char"/>
    <w:basedOn w:val="DefaultParagraphFont"/>
    <w:link w:val="Content1"/>
    <w:rsid w:val="0036442E"/>
    <w:rPr>
      <w:sz w:val="24"/>
      <w:szCs w:val="24"/>
      <w:lang w:val="fr-CA" w:eastAsia="fr-CA"/>
    </w:rPr>
  </w:style>
  <w:style w:type="paragraph" w:styleId="NoSpacing">
    <w:name w:val="No Spacing"/>
    <w:uiPriority w:val="1"/>
    <w:qFormat/>
    <w:rsid w:val="006C5E82"/>
    <w:rPr>
      <w:rFonts w:eastAsia="Calibri"/>
      <w:sz w:val="24"/>
      <w:szCs w:val="24"/>
    </w:rPr>
  </w:style>
  <w:style w:type="paragraph" w:styleId="HTMLPreformatted">
    <w:name w:val="HTML Preformatted"/>
    <w:basedOn w:val="Normal"/>
    <w:link w:val="HTMLPreformattedChar1"/>
    <w:uiPriority w:val="99"/>
    <w:unhideWhenUsed/>
    <w:rsid w:val="006C5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PreformattedChar">
    <w:name w:val="HTML Preformatted Char"/>
    <w:basedOn w:val="DefaultParagraphFont"/>
    <w:rsid w:val="006C5E82"/>
    <w:rPr>
      <w:rFonts w:ascii="Consolas" w:eastAsiaTheme="minorHAnsi" w:hAnsi="Consolas" w:cs="Consolas"/>
      <w:lang w:eastAsia="fr-CA"/>
    </w:rPr>
  </w:style>
  <w:style w:type="character" w:customStyle="1" w:styleId="HTMLPreformattedChar1">
    <w:name w:val="HTML Preformatted Char1"/>
    <w:basedOn w:val="DefaultParagraphFont"/>
    <w:link w:val="HTMLPreformatted"/>
    <w:uiPriority w:val="99"/>
    <w:locked/>
    <w:rsid w:val="006C5E82"/>
    <w:rPr>
      <w:rFonts w:ascii="Courier New" w:eastAsiaTheme="minorHAnsi" w:hAnsi="Courier New" w:cs="Courier New"/>
      <w:sz w:val="24"/>
      <w:szCs w:val="24"/>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0669771">
      <w:bodyDiv w:val="1"/>
      <w:marLeft w:val="0"/>
      <w:marRight w:val="0"/>
      <w:marTop w:val="0"/>
      <w:marBottom w:val="0"/>
      <w:divBdr>
        <w:top w:val="none" w:sz="0" w:space="0" w:color="auto"/>
        <w:left w:val="none" w:sz="0" w:space="0" w:color="auto"/>
        <w:bottom w:val="none" w:sz="0" w:space="0" w:color="auto"/>
        <w:right w:val="none" w:sz="0" w:space="0" w:color="auto"/>
      </w:divBdr>
    </w:div>
    <w:div w:id="1833181838">
      <w:bodyDiv w:val="1"/>
      <w:marLeft w:val="0"/>
      <w:marRight w:val="0"/>
      <w:marTop w:val="0"/>
      <w:marBottom w:val="0"/>
      <w:divBdr>
        <w:top w:val="none" w:sz="0" w:space="0" w:color="auto"/>
        <w:left w:val="none" w:sz="0" w:space="0" w:color="auto"/>
        <w:bottom w:val="none" w:sz="0" w:space="0" w:color="auto"/>
        <w:right w:val="none" w:sz="0" w:space="0" w:color="auto"/>
      </w:divBdr>
    </w:div>
    <w:div w:id="1850750707">
      <w:bodyDiv w:val="1"/>
      <w:marLeft w:val="0"/>
      <w:marRight w:val="0"/>
      <w:marTop w:val="0"/>
      <w:marBottom w:val="0"/>
      <w:divBdr>
        <w:top w:val="none" w:sz="0" w:space="0" w:color="auto"/>
        <w:left w:val="none" w:sz="0" w:space="0" w:color="auto"/>
        <w:bottom w:val="none" w:sz="0" w:space="0" w:color="auto"/>
        <w:right w:val="none" w:sz="0" w:space="0" w:color="auto"/>
      </w:divBdr>
    </w:div>
    <w:div w:id="1875462098">
      <w:bodyDiv w:val="1"/>
      <w:marLeft w:val="0"/>
      <w:marRight w:val="0"/>
      <w:marTop w:val="0"/>
      <w:marBottom w:val="0"/>
      <w:divBdr>
        <w:top w:val="none" w:sz="0" w:space="0" w:color="auto"/>
        <w:left w:val="none" w:sz="0" w:space="0" w:color="auto"/>
        <w:bottom w:val="none" w:sz="0" w:space="0" w:color="auto"/>
        <w:right w:val="none" w:sz="0" w:space="0" w:color="auto"/>
      </w:divBdr>
    </w:div>
    <w:div w:id="20739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F98EA-EF03-4265-8A5C-7D6C803D17C7}"/>
</file>

<file path=customXml/itemProps2.xml><?xml version="1.0" encoding="utf-8"?>
<ds:datastoreItem xmlns:ds="http://schemas.openxmlformats.org/officeDocument/2006/customXml" ds:itemID="{1436CA02-3058-4C47-9EF7-073C052CF54B}"/>
</file>

<file path=customXml/itemProps3.xml><?xml version="1.0" encoding="utf-8"?>
<ds:datastoreItem xmlns:ds="http://schemas.openxmlformats.org/officeDocument/2006/customXml" ds:itemID="{261EF7A4-1362-4A2A-A13B-4C8600E39A5F}"/>
</file>

<file path=customXml/itemProps4.xml><?xml version="1.0" encoding="utf-8"?>
<ds:datastoreItem xmlns:ds="http://schemas.openxmlformats.org/officeDocument/2006/customXml" ds:itemID="{C8B2FE1D-EDF9-4EBE-A2F5-C6C9B672BCE8}"/>
</file>

<file path=docProps/app.xml><?xml version="1.0" encoding="utf-8"?>
<Properties xmlns="http://schemas.openxmlformats.org/officeDocument/2006/extended-properties" xmlns:vt="http://schemas.openxmlformats.org/officeDocument/2006/docPropsVTypes">
  <Template>Normal</Template>
  <TotalTime>11611</TotalTime>
  <Pages>28</Pages>
  <Words>14109</Words>
  <Characters>78534</Characters>
  <Application>Microsoft Office Word</Application>
  <DocSecurity>0</DocSecurity>
  <Lines>654</Lines>
  <Paragraphs>184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Justice</Company>
  <LinksUpToDate>false</LinksUpToDate>
  <CharactersWithSpaces>92459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Moore</dc:creator>
  <cp:keywords/>
  <dc:description/>
  <cp:lastModifiedBy>Alessandra Giuliano</cp:lastModifiedBy>
  <cp:revision>62</cp:revision>
  <cp:lastPrinted>2016-06-22T17:55:00Z</cp:lastPrinted>
  <dcterms:created xsi:type="dcterms:W3CDTF">2016-07-14T15:16:00Z</dcterms:created>
  <dcterms:modified xsi:type="dcterms:W3CDTF">2016-08-26T20:15:00Z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