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82A" w:rsidRPr="00DE252B" w:rsidRDefault="0019782A">
      <w:pPr>
        <w:pBdr>
          <w:top w:val="nil"/>
          <w:left w:val="nil"/>
          <w:bottom w:val="nil"/>
          <w:right w:val="nil"/>
          <w:between w:val="nil"/>
        </w:pBdr>
        <w:spacing w:line="240" w:lineRule="auto"/>
        <w:rPr>
          <w:color w:val="000000"/>
          <w:sz w:val="24"/>
          <w:szCs w:val="24"/>
          <w:lang w:val="es-AR"/>
        </w:rPr>
      </w:pPr>
    </w:p>
    <w:p w:rsidR="000922CF" w:rsidRDefault="000922CF">
      <w:pPr>
        <w:keepNext/>
        <w:keepLines/>
        <w:pBdr>
          <w:top w:val="nil"/>
          <w:left w:val="nil"/>
          <w:bottom w:val="nil"/>
          <w:right w:val="nil"/>
          <w:between w:val="nil"/>
        </w:pBdr>
        <w:tabs>
          <w:tab w:val="right" w:pos="851"/>
        </w:tabs>
        <w:spacing w:before="360" w:after="240" w:line="300" w:lineRule="auto"/>
        <w:jc w:val="center"/>
        <w:rPr>
          <w:b/>
          <w:color w:val="000000"/>
          <w:sz w:val="24"/>
          <w:szCs w:val="24"/>
          <w:lang w:val="es-AR"/>
        </w:rPr>
      </w:pPr>
    </w:p>
    <w:p w:rsidR="000922CF" w:rsidRDefault="000922CF">
      <w:pPr>
        <w:keepNext/>
        <w:keepLines/>
        <w:pBdr>
          <w:top w:val="nil"/>
          <w:left w:val="nil"/>
          <w:bottom w:val="nil"/>
          <w:right w:val="nil"/>
          <w:between w:val="nil"/>
        </w:pBdr>
        <w:tabs>
          <w:tab w:val="right" w:pos="851"/>
        </w:tabs>
        <w:spacing w:before="360" w:after="240" w:line="300" w:lineRule="auto"/>
        <w:jc w:val="center"/>
        <w:rPr>
          <w:b/>
          <w:color w:val="000000"/>
          <w:sz w:val="24"/>
          <w:szCs w:val="24"/>
          <w:lang w:val="es-AR"/>
        </w:rPr>
      </w:pPr>
    </w:p>
    <w:p w:rsidR="000922CF" w:rsidRDefault="000922CF">
      <w:pPr>
        <w:keepNext/>
        <w:keepLines/>
        <w:pBdr>
          <w:top w:val="nil"/>
          <w:left w:val="nil"/>
          <w:bottom w:val="nil"/>
          <w:right w:val="nil"/>
          <w:between w:val="nil"/>
        </w:pBdr>
        <w:tabs>
          <w:tab w:val="right" w:pos="851"/>
        </w:tabs>
        <w:spacing w:before="360" w:after="240" w:line="300" w:lineRule="auto"/>
        <w:jc w:val="center"/>
        <w:rPr>
          <w:b/>
          <w:color w:val="000000"/>
          <w:sz w:val="24"/>
          <w:szCs w:val="24"/>
          <w:lang w:val="es-AR"/>
        </w:rPr>
      </w:pPr>
    </w:p>
    <w:p w:rsidR="000922CF" w:rsidRDefault="000922CF" w:rsidP="000922CF">
      <w:pPr>
        <w:pStyle w:val="NormalWeb"/>
        <w:spacing w:before="40" w:beforeAutospacing="0" w:after="0" w:afterAutospacing="0"/>
        <w:rPr>
          <w:rFonts w:ascii="Arial" w:hAnsi="Arial" w:cs="Arial"/>
          <w:smallCaps/>
          <w:color w:val="000000"/>
          <w:sz w:val="44"/>
          <w:szCs w:val="44"/>
          <w:lang w:val="es-AR"/>
        </w:rPr>
      </w:pPr>
    </w:p>
    <w:p w:rsidR="000922CF" w:rsidRPr="003B4D9F" w:rsidRDefault="000922CF" w:rsidP="000922CF">
      <w:pPr>
        <w:pStyle w:val="NormalWeb"/>
        <w:spacing w:before="40" w:beforeAutospacing="0" w:after="0" w:afterAutospacing="0"/>
        <w:rPr>
          <w:rFonts w:ascii="Arial Narrow" w:hAnsi="Arial Narrow"/>
          <w:lang w:val="es-AR" w:eastAsia="es-AR"/>
        </w:rPr>
      </w:pPr>
      <w:r w:rsidRPr="003B4D9F">
        <w:rPr>
          <w:rFonts w:ascii="Arial Narrow" w:hAnsi="Arial Narrow" w:cs="Arial"/>
          <w:smallCaps/>
          <w:color w:val="000000"/>
          <w:sz w:val="44"/>
          <w:szCs w:val="44"/>
          <w:lang w:val="es-AR"/>
        </w:rPr>
        <w:t>INFORME AL COMITÉ CONTRA LA TORTURA</w:t>
      </w:r>
    </w:p>
    <w:p w:rsidR="000922CF" w:rsidRPr="003B4D9F" w:rsidRDefault="000922CF" w:rsidP="000922CF">
      <w:pPr>
        <w:pStyle w:val="NormalWeb"/>
        <w:spacing w:before="40" w:beforeAutospacing="0" w:after="0" w:afterAutospacing="0"/>
        <w:rPr>
          <w:rFonts w:ascii="Arial Narrow" w:hAnsi="Arial Narrow" w:cs="Arial"/>
          <w:smallCaps/>
          <w:color w:val="000000"/>
          <w:sz w:val="36"/>
          <w:szCs w:val="36"/>
          <w:lang w:val="es-AR"/>
        </w:rPr>
      </w:pPr>
    </w:p>
    <w:p w:rsidR="000922CF" w:rsidRPr="003B4D9F" w:rsidRDefault="000922CF" w:rsidP="000922CF">
      <w:pPr>
        <w:pStyle w:val="NormalWeb"/>
        <w:spacing w:before="40" w:beforeAutospacing="0" w:after="0" w:afterAutospacing="0"/>
        <w:rPr>
          <w:rFonts w:ascii="Arial Narrow" w:hAnsi="Arial Narrow"/>
          <w:lang w:val="es-AR"/>
        </w:rPr>
      </w:pPr>
      <w:r w:rsidRPr="003B4D9F">
        <w:rPr>
          <w:rFonts w:ascii="Arial Narrow" w:hAnsi="Arial Narrow" w:cs="Arial"/>
          <w:smallCaps/>
          <w:color w:val="000000"/>
          <w:sz w:val="36"/>
          <w:szCs w:val="36"/>
          <w:lang w:val="es-AR"/>
        </w:rPr>
        <w:t>INFORME ALTERNATIVO AL SÉPTIMO INFORME PERIÓDICO DEL ESTADO ARGENTINO EN CUMPLIMIENTO DEL ART. 19 DE LA CONVENCIÓN CONTRA LA TORTURA Y OTROS TRATOS O PENAS CRUELES, INHUMANAS O DEGRADANTES</w:t>
      </w:r>
    </w:p>
    <w:p w:rsidR="000922CF" w:rsidRPr="003B4D9F" w:rsidRDefault="000922CF" w:rsidP="000922CF">
      <w:pPr>
        <w:jc w:val="center"/>
        <w:rPr>
          <w:rFonts w:ascii="Arial Narrow" w:hAnsi="Arial Narrow"/>
          <w:b/>
          <w:sz w:val="24"/>
          <w:szCs w:val="24"/>
          <w:lang w:val="es-AR"/>
        </w:rPr>
      </w:pPr>
    </w:p>
    <w:p w:rsidR="000922CF" w:rsidRPr="003B4D9F" w:rsidRDefault="000922CF" w:rsidP="000922CF">
      <w:pPr>
        <w:jc w:val="center"/>
        <w:rPr>
          <w:rFonts w:ascii="Arial Narrow" w:hAnsi="Arial Narrow"/>
          <w:b/>
          <w:sz w:val="24"/>
          <w:szCs w:val="24"/>
          <w:lang w:val="es-AR"/>
        </w:rPr>
      </w:pPr>
    </w:p>
    <w:p w:rsidR="000922CF" w:rsidRPr="003B4D9F" w:rsidRDefault="000922CF" w:rsidP="000922CF">
      <w:pPr>
        <w:jc w:val="center"/>
        <w:rPr>
          <w:rFonts w:ascii="Arial Narrow" w:hAnsi="Arial Narrow" w:cs="Arial"/>
          <w:smallCaps/>
          <w:color w:val="000000"/>
          <w:sz w:val="36"/>
          <w:szCs w:val="36"/>
          <w:lang w:val="es-AR"/>
        </w:rPr>
      </w:pPr>
      <w:r w:rsidRPr="003B4D9F">
        <w:rPr>
          <w:rFonts w:ascii="Arial Narrow" w:hAnsi="Arial Narrow" w:cs="Arial"/>
          <w:smallCaps/>
          <w:color w:val="000000"/>
          <w:sz w:val="36"/>
          <w:szCs w:val="36"/>
          <w:lang w:val="es-AR"/>
        </w:rPr>
        <w:t>JUNIO 2025</w:t>
      </w:r>
    </w:p>
    <w:p w:rsidR="000922CF" w:rsidRDefault="000922CF" w:rsidP="000922CF">
      <w:pPr>
        <w:keepNext/>
        <w:keepLines/>
        <w:pBdr>
          <w:top w:val="nil"/>
          <w:left w:val="nil"/>
          <w:bottom w:val="nil"/>
          <w:right w:val="nil"/>
          <w:between w:val="nil"/>
        </w:pBdr>
        <w:tabs>
          <w:tab w:val="right" w:pos="851"/>
        </w:tabs>
        <w:spacing w:before="360" w:after="240" w:line="300" w:lineRule="auto"/>
        <w:jc w:val="center"/>
        <w:rPr>
          <w:b/>
          <w:color w:val="000000"/>
          <w:sz w:val="24"/>
          <w:szCs w:val="24"/>
          <w:lang w:val="es-AR"/>
        </w:rPr>
      </w:pPr>
      <w:r w:rsidRPr="003B4D9F">
        <w:rPr>
          <w:rFonts w:ascii="Arial" w:hAnsi="Arial" w:cs="Arial"/>
          <w:smallCaps/>
          <w:color w:val="000000"/>
          <w:sz w:val="36"/>
          <w:szCs w:val="36"/>
          <w:lang w:val="es-AR"/>
        </w:rPr>
        <w:br w:type="page"/>
      </w:r>
    </w:p>
    <w:p w:rsidR="0019782A" w:rsidRPr="000922CF" w:rsidRDefault="00EC258F">
      <w:pPr>
        <w:jc w:val="center"/>
        <w:rPr>
          <w:rFonts w:ascii="Tahoma" w:hAnsi="Tahoma" w:cs="Tahoma"/>
          <w:b/>
          <w:sz w:val="24"/>
          <w:szCs w:val="24"/>
          <w:lang w:val="es-AR"/>
        </w:rPr>
      </w:pPr>
      <w:r w:rsidRPr="000922CF">
        <w:rPr>
          <w:rFonts w:ascii="Tahoma" w:hAnsi="Tahoma" w:cs="Tahoma"/>
          <w:b/>
          <w:sz w:val="24"/>
          <w:szCs w:val="24"/>
          <w:lang w:val="es-AR"/>
        </w:rPr>
        <w:lastRenderedPageBreak/>
        <w:t>INDICE</w:t>
      </w:r>
    </w:p>
    <w:p w:rsidR="0019782A" w:rsidRPr="000922CF" w:rsidRDefault="00EC258F" w:rsidP="000922CF">
      <w:pPr>
        <w:numPr>
          <w:ilvl w:val="0"/>
          <w:numId w:val="7"/>
        </w:numPr>
        <w:spacing w:before="120"/>
        <w:ind w:hanging="357"/>
        <w:rPr>
          <w:rFonts w:ascii="Tahoma" w:hAnsi="Tahoma" w:cs="Tahoma"/>
          <w:b/>
          <w:sz w:val="24"/>
          <w:szCs w:val="24"/>
          <w:lang w:val="es-AR"/>
        </w:rPr>
      </w:pPr>
      <w:bookmarkStart w:id="0" w:name="_heading=h.6t2sfcr4ovg" w:colFirst="0" w:colLast="0"/>
      <w:bookmarkEnd w:id="0"/>
      <w:r w:rsidRPr="000922CF">
        <w:rPr>
          <w:rFonts w:ascii="Tahoma" w:hAnsi="Tahoma" w:cs="Tahoma"/>
          <w:b/>
          <w:sz w:val="24"/>
          <w:szCs w:val="24"/>
          <w:lang w:val="es-AR"/>
        </w:rPr>
        <w:t>Presentación</w:t>
      </w:r>
    </w:p>
    <w:p w:rsidR="0019782A" w:rsidRPr="000922CF" w:rsidRDefault="00EC258F" w:rsidP="000922CF">
      <w:pPr>
        <w:numPr>
          <w:ilvl w:val="0"/>
          <w:numId w:val="7"/>
        </w:numPr>
        <w:spacing w:before="120"/>
        <w:ind w:hanging="357"/>
        <w:rPr>
          <w:rFonts w:ascii="Tahoma" w:hAnsi="Tahoma" w:cs="Tahoma"/>
          <w:b/>
          <w:sz w:val="24"/>
          <w:szCs w:val="24"/>
          <w:lang w:val="es-AR"/>
        </w:rPr>
      </w:pPr>
      <w:bookmarkStart w:id="1" w:name="_heading=h.7fh9h4ovxdk" w:colFirst="0" w:colLast="0"/>
      <w:bookmarkEnd w:id="1"/>
      <w:r w:rsidRPr="000922CF">
        <w:rPr>
          <w:rFonts w:ascii="Tahoma" w:hAnsi="Tahoma" w:cs="Tahoma"/>
          <w:b/>
          <w:sz w:val="24"/>
          <w:szCs w:val="24"/>
          <w:lang w:val="es-AR"/>
        </w:rPr>
        <w:t>Introducción</w:t>
      </w:r>
    </w:p>
    <w:p w:rsidR="0019782A" w:rsidRPr="000922CF" w:rsidRDefault="00EC258F" w:rsidP="000922CF">
      <w:pPr>
        <w:numPr>
          <w:ilvl w:val="0"/>
          <w:numId w:val="7"/>
        </w:numPr>
        <w:spacing w:before="120"/>
        <w:ind w:hanging="357"/>
        <w:rPr>
          <w:rFonts w:ascii="Tahoma" w:hAnsi="Tahoma" w:cs="Tahoma"/>
          <w:b/>
          <w:sz w:val="24"/>
          <w:szCs w:val="24"/>
          <w:lang w:val="es-AR"/>
        </w:rPr>
      </w:pPr>
      <w:bookmarkStart w:id="2" w:name="_heading=h.j50sa3h4cl3c" w:colFirst="0" w:colLast="0"/>
      <w:bookmarkEnd w:id="2"/>
      <w:r w:rsidRPr="000922CF">
        <w:rPr>
          <w:rFonts w:ascii="Tahoma" w:hAnsi="Tahoma" w:cs="Tahoma"/>
          <w:b/>
          <w:sz w:val="24"/>
          <w:szCs w:val="24"/>
          <w:lang w:val="es-AR"/>
        </w:rPr>
        <w:t>Acerca de las observaciones finales 5-6 y lista de cuestiones elaboradas por el Comité.</w:t>
      </w:r>
    </w:p>
    <w:p w:rsidR="0019782A" w:rsidRPr="000922CF" w:rsidRDefault="00EC258F" w:rsidP="000922CF">
      <w:pPr>
        <w:numPr>
          <w:ilvl w:val="1"/>
          <w:numId w:val="3"/>
        </w:numPr>
        <w:spacing w:before="120"/>
        <w:ind w:hanging="357"/>
        <w:rPr>
          <w:rFonts w:ascii="Tahoma" w:hAnsi="Tahoma" w:cs="Tahoma"/>
          <w:sz w:val="24"/>
          <w:szCs w:val="24"/>
          <w:lang w:val="es-AR"/>
        </w:rPr>
      </w:pPr>
      <w:r w:rsidRPr="000922CF">
        <w:rPr>
          <w:rFonts w:ascii="Tahoma" w:hAnsi="Tahoma" w:cs="Tahoma"/>
          <w:sz w:val="24"/>
          <w:szCs w:val="24"/>
          <w:lang w:val="es-AR"/>
        </w:rPr>
        <w:t>Definición y tipificación del delito de tortura</w:t>
      </w:r>
      <w:r w:rsidRPr="000922CF">
        <w:rPr>
          <w:rFonts w:ascii="Tahoma" w:hAnsi="Tahoma" w:cs="Tahoma"/>
          <w:color w:val="FF0000"/>
          <w:sz w:val="24"/>
          <w:szCs w:val="24"/>
          <w:lang w:val="es-AR"/>
        </w:rPr>
        <w:t xml:space="preserve"> </w:t>
      </w:r>
    </w:p>
    <w:p w:rsidR="0019782A" w:rsidRPr="000922CF" w:rsidRDefault="00EC258F" w:rsidP="000922CF">
      <w:pPr>
        <w:numPr>
          <w:ilvl w:val="1"/>
          <w:numId w:val="3"/>
        </w:numPr>
        <w:spacing w:before="120"/>
        <w:ind w:hanging="357"/>
        <w:rPr>
          <w:rFonts w:ascii="Tahoma" w:hAnsi="Tahoma" w:cs="Tahoma"/>
          <w:sz w:val="24"/>
          <w:szCs w:val="24"/>
          <w:lang w:val="es-AR"/>
        </w:rPr>
      </w:pPr>
      <w:r w:rsidRPr="000922CF">
        <w:rPr>
          <w:rFonts w:ascii="Tahoma" w:hAnsi="Tahoma" w:cs="Tahoma"/>
          <w:sz w:val="24"/>
          <w:szCs w:val="24"/>
          <w:lang w:val="es-AR"/>
        </w:rPr>
        <w:t>Violencia policial, tortura y malos tratos</w:t>
      </w:r>
    </w:p>
    <w:p w:rsidR="0019782A" w:rsidRPr="000922CF" w:rsidRDefault="00EC258F" w:rsidP="000922CF">
      <w:pPr>
        <w:numPr>
          <w:ilvl w:val="1"/>
          <w:numId w:val="3"/>
        </w:numPr>
        <w:spacing w:before="120"/>
        <w:ind w:hanging="357"/>
        <w:rPr>
          <w:rFonts w:ascii="Tahoma" w:hAnsi="Tahoma" w:cs="Tahoma"/>
          <w:sz w:val="24"/>
          <w:szCs w:val="24"/>
          <w:lang w:val="es-AR"/>
        </w:rPr>
      </w:pPr>
      <w:r w:rsidRPr="000922CF">
        <w:rPr>
          <w:rFonts w:ascii="Tahoma" w:hAnsi="Tahoma" w:cs="Tahoma"/>
          <w:sz w:val="24"/>
          <w:szCs w:val="24"/>
          <w:lang w:val="es-AR"/>
        </w:rPr>
        <w:t>Detenciones en comisaría. Falta de dispositivos y equipos especializados.</w:t>
      </w:r>
    </w:p>
    <w:p w:rsidR="0019782A" w:rsidRPr="000922CF" w:rsidRDefault="00EC258F" w:rsidP="000922CF">
      <w:pPr>
        <w:numPr>
          <w:ilvl w:val="1"/>
          <w:numId w:val="3"/>
        </w:numPr>
        <w:spacing w:before="120"/>
        <w:ind w:hanging="357"/>
        <w:rPr>
          <w:rFonts w:ascii="Tahoma" w:hAnsi="Tahoma" w:cs="Tahoma"/>
          <w:sz w:val="24"/>
          <w:szCs w:val="24"/>
          <w:lang w:val="es-AR"/>
        </w:rPr>
      </w:pPr>
      <w:r w:rsidRPr="000922CF">
        <w:rPr>
          <w:rFonts w:ascii="Tahoma" w:hAnsi="Tahoma" w:cs="Tahoma"/>
          <w:sz w:val="24"/>
          <w:szCs w:val="24"/>
          <w:lang w:val="es-AR"/>
        </w:rPr>
        <w:t>Medidas privativas de la libertad. Penas asimilables a tortura.</w:t>
      </w:r>
    </w:p>
    <w:p w:rsidR="0019782A" w:rsidRPr="000922CF" w:rsidRDefault="00EC258F" w:rsidP="000922CF">
      <w:pPr>
        <w:numPr>
          <w:ilvl w:val="1"/>
          <w:numId w:val="3"/>
        </w:numPr>
        <w:spacing w:before="120"/>
        <w:ind w:hanging="357"/>
        <w:rPr>
          <w:rFonts w:ascii="Tahoma" w:hAnsi="Tahoma" w:cs="Tahoma"/>
          <w:sz w:val="24"/>
          <w:szCs w:val="24"/>
          <w:lang w:val="es-AR"/>
        </w:rPr>
      </w:pPr>
      <w:r w:rsidRPr="000922CF">
        <w:rPr>
          <w:rFonts w:ascii="Tahoma" w:hAnsi="Tahoma" w:cs="Tahoma"/>
          <w:sz w:val="24"/>
          <w:szCs w:val="24"/>
          <w:lang w:val="es-AR"/>
        </w:rPr>
        <w:t xml:space="preserve">Grupo particularmente vulnerables: Migrantes y población indígena. </w:t>
      </w:r>
    </w:p>
    <w:p w:rsidR="0019782A" w:rsidRPr="000922CF" w:rsidRDefault="00EC258F" w:rsidP="000922CF">
      <w:pPr>
        <w:numPr>
          <w:ilvl w:val="1"/>
          <w:numId w:val="3"/>
        </w:numPr>
        <w:spacing w:before="120"/>
        <w:ind w:hanging="357"/>
        <w:rPr>
          <w:rFonts w:ascii="Tahoma" w:hAnsi="Tahoma" w:cs="Tahoma"/>
          <w:sz w:val="24"/>
          <w:szCs w:val="24"/>
          <w:lang w:val="es-AR"/>
        </w:rPr>
      </w:pPr>
      <w:r w:rsidRPr="000922CF">
        <w:rPr>
          <w:rFonts w:ascii="Tahoma" w:hAnsi="Tahoma" w:cs="Tahoma"/>
          <w:sz w:val="24"/>
          <w:szCs w:val="24"/>
          <w:lang w:val="es-AR"/>
        </w:rPr>
        <w:t>Condiciones de privación de libertad</w:t>
      </w:r>
    </w:p>
    <w:p w:rsidR="0019782A" w:rsidRPr="000922CF" w:rsidRDefault="00EC258F" w:rsidP="000922CF">
      <w:pPr>
        <w:pStyle w:val="Prrafodelista"/>
        <w:numPr>
          <w:ilvl w:val="0"/>
          <w:numId w:val="9"/>
        </w:numPr>
        <w:spacing w:before="120"/>
        <w:ind w:hanging="357"/>
        <w:contextualSpacing w:val="0"/>
        <w:rPr>
          <w:rFonts w:ascii="Tahoma" w:hAnsi="Tahoma" w:cs="Tahoma"/>
          <w:sz w:val="24"/>
          <w:szCs w:val="24"/>
          <w:lang w:val="es-AR"/>
        </w:rPr>
      </w:pPr>
      <w:r w:rsidRPr="000922CF">
        <w:rPr>
          <w:rFonts w:ascii="Tahoma" w:hAnsi="Tahoma" w:cs="Tahoma"/>
          <w:sz w:val="24"/>
          <w:szCs w:val="24"/>
          <w:lang w:val="es-AR"/>
        </w:rPr>
        <w:t>Dispositivos de alojamiento penal juvenil (centros de detención)</w:t>
      </w:r>
    </w:p>
    <w:p w:rsidR="0019782A" w:rsidRPr="000922CF" w:rsidRDefault="00EC258F" w:rsidP="000922CF">
      <w:pPr>
        <w:pStyle w:val="Prrafodelista"/>
        <w:numPr>
          <w:ilvl w:val="0"/>
          <w:numId w:val="9"/>
        </w:numPr>
        <w:spacing w:before="120"/>
        <w:ind w:hanging="357"/>
        <w:contextualSpacing w:val="0"/>
        <w:rPr>
          <w:rFonts w:ascii="Tahoma" w:hAnsi="Tahoma" w:cs="Tahoma"/>
          <w:sz w:val="24"/>
          <w:szCs w:val="24"/>
          <w:lang w:val="es-AR"/>
        </w:rPr>
      </w:pPr>
      <w:r w:rsidRPr="000922CF">
        <w:rPr>
          <w:rFonts w:ascii="Tahoma" w:hAnsi="Tahoma" w:cs="Tahoma"/>
          <w:sz w:val="24"/>
          <w:szCs w:val="24"/>
          <w:lang w:val="es-AR"/>
        </w:rPr>
        <w:t>Dispositivos de alojamiento proteccional (centros de acogida)</w:t>
      </w:r>
    </w:p>
    <w:p w:rsidR="0019782A" w:rsidRPr="000922CF" w:rsidRDefault="00EC258F" w:rsidP="000922CF">
      <w:pPr>
        <w:numPr>
          <w:ilvl w:val="1"/>
          <w:numId w:val="3"/>
        </w:numPr>
        <w:spacing w:before="120"/>
        <w:ind w:hanging="357"/>
        <w:rPr>
          <w:rFonts w:ascii="Tahoma" w:hAnsi="Tahoma" w:cs="Tahoma"/>
          <w:sz w:val="24"/>
          <w:szCs w:val="24"/>
          <w:lang w:val="es-AR"/>
        </w:rPr>
      </w:pPr>
      <w:r w:rsidRPr="000922CF">
        <w:rPr>
          <w:rFonts w:ascii="Tahoma" w:hAnsi="Tahoma" w:cs="Tahoma"/>
          <w:sz w:val="24"/>
          <w:szCs w:val="24"/>
          <w:lang w:val="es-AR"/>
        </w:rPr>
        <w:t xml:space="preserve">Supervisión independiente: Rol de la Defensoría Nacional y de los organismos locales </w:t>
      </w:r>
    </w:p>
    <w:p w:rsidR="0019782A" w:rsidRPr="000922CF" w:rsidRDefault="00EC258F" w:rsidP="000922CF">
      <w:pPr>
        <w:numPr>
          <w:ilvl w:val="0"/>
          <w:numId w:val="7"/>
        </w:numPr>
        <w:pBdr>
          <w:top w:val="nil"/>
          <w:left w:val="nil"/>
          <w:bottom w:val="nil"/>
          <w:right w:val="nil"/>
          <w:between w:val="nil"/>
        </w:pBdr>
        <w:spacing w:before="120" w:line="240" w:lineRule="auto"/>
        <w:ind w:hanging="357"/>
        <w:jc w:val="both"/>
        <w:rPr>
          <w:rFonts w:ascii="Tahoma" w:hAnsi="Tahoma" w:cs="Tahoma"/>
          <w:b/>
          <w:color w:val="000000"/>
          <w:sz w:val="24"/>
          <w:szCs w:val="24"/>
          <w:lang w:val="es-AR"/>
        </w:rPr>
      </w:pPr>
      <w:bookmarkStart w:id="3" w:name="_heading=h.yxo6pso8jzu1" w:colFirst="0" w:colLast="0"/>
      <w:bookmarkEnd w:id="3"/>
      <w:r w:rsidRPr="000922CF">
        <w:rPr>
          <w:rFonts w:ascii="Tahoma" w:hAnsi="Tahoma" w:cs="Tahoma"/>
          <w:b/>
          <w:color w:val="000000"/>
          <w:sz w:val="24"/>
          <w:szCs w:val="24"/>
          <w:lang w:val="es-AR"/>
        </w:rPr>
        <w:t>Otros temas. Propuestas legislativas regresivas.</w:t>
      </w:r>
    </w:p>
    <w:p w:rsidR="0019782A" w:rsidRPr="000922CF" w:rsidRDefault="00EC258F">
      <w:pPr>
        <w:spacing w:line="240" w:lineRule="auto"/>
        <w:rPr>
          <w:rFonts w:ascii="Tahoma" w:hAnsi="Tahoma" w:cs="Tahoma"/>
          <w:b/>
          <w:sz w:val="24"/>
          <w:szCs w:val="24"/>
          <w:lang w:val="es-AR"/>
        </w:rPr>
      </w:pPr>
      <w:r w:rsidRPr="000922CF">
        <w:rPr>
          <w:rFonts w:ascii="Tahoma" w:hAnsi="Tahoma" w:cs="Tahoma"/>
          <w:lang w:val="es-AR"/>
        </w:rPr>
        <w:br w:type="page"/>
      </w:r>
    </w:p>
    <w:p w:rsidR="0019782A" w:rsidRPr="000922CF" w:rsidRDefault="00EC258F">
      <w:pPr>
        <w:numPr>
          <w:ilvl w:val="0"/>
          <w:numId w:val="5"/>
        </w:numPr>
        <w:spacing w:before="240" w:after="240" w:line="276" w:lineRule="auto"/>
        <w:jc w:val="both"/>
        <w:rPr>
          <w:rFonts w:ascii="Tahoma" w:hAnsi="Tahoma" w:cs="Tahoma"/>
          <w:sz w:val="24"/>
          <w:szCs w:val="24"/>
          <w:lang w:val="es-AR"/>
        </w:rPr>
      </w:pPr>
      <w:r w:rsidRPr="000922CF">
        <w:rPr>
          <w:rFonts w:ascii="Tahoma" w:hAnsi="Tahoma" w:cs="Tahoma"/>
          <w:b/>
          <w:sz w:val="24"/>
          <w:szCs w:val="24"/>
          <w:lang w:val="es-AR"/>
        </w:rPr>
        <w:t>Presentación.</w:t>
      </w:r>
    </w:p>
    <w:p w:rsidR="0019782A" w:rsidRPr="000922CF"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La Defensoría de los Derechos de Niñas, Niños y Adolescentes de Nación fue creada por Ley N° 26.061 como una institución nacional de derechos humanos con carácter autónomo, autárquico e independiente la cual tiene entre sus misiones </w:t>
      </w:r>
      <w:r w:rsidRPr="000922CF">
        <w:rPr>
          <w:rFonts w:ascii="Tahoma" w:hAnsi="Tahoma" w:cs="Tahoma"/>
          <w:i/>
          <w:sz w:val="24"/>
          <w:szCs w:val="24"/>
          <w:lang w:val="es-AR"/>
        </w:rPr>
        <w:t>“velar por la protección y promoción de los derechos humanos de las niñas, niños y adolescentes consagrados en la Convención sobre los Derechos del Niño, la Constitución Nacional, y las Leyes Nacionales.”</w:t>
      </w:r>
      <w:r w:rsidRPr="000922CF">
        <w:rPr>
          <w:rFonts w:ascii="Tahoma" w:hAnsi="Tahoma" w:cs="Tahoma"/>
          <w:sz w:val="24"/>
          <w:szCs w:val="24"/>
          <w:lang w:val="es-AR"/>
        </w:rPr>
        <w:t xml:space="preserve">  Para tales fines, dicha ley establece como funciones específicas de la  Defensoría: </w:t>
      </w:r>
      <w:r w:rsidRPr="000922CF">
        <w:rPr>
          <w:rFonts w:ascii="Tahoma" w:hAnsi="Tahoma" w:cs="Tahoma"/>
          <w:i/>
          <w:sz w:val="24"/>
          <w:szCs w:val="24"/>
          <w:lang w:val="es-AR"/>
        </w:rPr>
        <w:t>a) Promover las acciones para la protección de los intereses difusos o colectivos  relativos a las niñas, niños y adolescentes; b) Interponer acciones para la protección de los derechos de las niñas, niños y adolescentes en cualquier juicio, instancia o tribunal; c) Velar por el efectivo respeto a los derechos y garantías legales asegurados a las niñas, niños y  adolescentes, promoviendo las medidas judiciales y extrajudiciales del caso. Para ello puede tomar las declaraciones del reclamante, entenderse directamente con la persona o autoridad reclamada y efectuar recomendaciones con miras a la mejoría de los servicios públicos y privados de atención de las niñas, niños y adolescentes, determinando un plazo razonable para su perfecta adecuación; (…) (</w:t>
      </w:r>
      <w:r w:rsidRPr="000922CF">
        <w:rPr>
          <w:rFonts w:ascii="Tahoma" w:hAnsi="Tahoma" w:cs="Tahoma"/>
          <w:sz w:val="24"/>
          <w:szCs w:val="24"/>
          <w:lang w:val="es-AR"/>
        </w:rPr>
        <w:t>Art. 55).</w:t>
      </w:r>
    </w:p>
    <w:p w:rsidR="0019782A" w:rsidRPr="000922CF" w:rsidRDefault="00EC258F">
      <w:pPr>
        <w:spacing w:before="240" w:after="240" w:line="276" w:lineRule="auto"/>
        <w:ind w:firstLine="1140"/>
        <w:jc w:val="both"/>
        <w:rPr>
          <w:rFonts w:ascii="Tahoma" w:hAnsi="Tahoma" w:cs="Tahoma"/>
          <w:i/>
          <w:sz w:val="24"/>
          <w:szCs w:val="24"/>
          <w:lang w:val="es-AR"/>
        </w:rPr>
      </w:pPr>
      <w:r w:rsidRPr="000922CF">
        <w:rPr>
          <w:rFonts w:ascii="Tahoma" w:hAnsi="Tahoma" w:cs="Tahoma"/>
          <w:sz w:val="24"/>
          <w:szCs w:val="24"/>
          <w:lang w:val="es-AR"/>
        </w:rPr>
        <w:t xml:space="preserve">Por su parte, el artículo 64 fija como deberes de esta institución, </w:t>
      </w:r>
      <w:r w:rsidRPr="000922CF">
        <w:rPr>
          <w:rFonts w:ascii="Tahoma" w:hAnsi="Tahoma" w:cs="Tahoma"/>
          <w:i/>
          <w:sz w:val="24"/>
          <w:szCs w:val="24"/>
          <w:lang w:val="es-AR"/>
        </w:rPr>
        <w:t>“a) Promover y proteger  los derechos de las niñas, niños y adolescentes mediante acciones y recomendaciones que  efectuará ante las instancias públicas competentes, a fin de garantizar el goce y el ejercicio  de los mismos; b) Denunciar las irregularidades verificadas a los organismos pertinentes  quienes tienen la obligación de comunicar al Defensor de los Derechos de las Niñas, Niños y  Adolescentes el resultado de las investigaciones realizadas; c) Formular recomendaciones o  propuestas a los organismos públicos o privados respecto de cuestiones objeto de su  requerimiento; d) Informar a la opinión pública y a los denunciantes acerca del resultado de  las investigaciones y acciones realizadas. A tal efecto deberá establecerse un espacio en los medios masivos de comunicación.”</w:t>
      </w:r>
    </w:p>
    <w:p w:rsidR="0019782A" w:rsidRPr="000922CF" w:rsidRDefault="00061E53">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La </w:t>
      </w:r>
      <w:r w:rsidR="00EC258F" w:rsidRPr="000922CF">
        <w:rPr>
          <w:rFonts w:ascii="Tahoma" w:hAnsi="Tahoma" w:cs="Tahoma"/>
          <w:sz w:val="24"/>
          <w:szCs w:val="24"/>
          <w:lang w:val="es-AR"/>
        </w:rPr>
        <w:t>Defensoría tiene como misión institucional promover y exigir el cumplimiento de las Observaciones del Comité de Derechos del Niño de las Naciones Unidas.</w:t>
      </w:r>
    </w:p>
    <w:p w:rsidR="00F8792F" w:rsidRPr="000922CF"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Otra de las misiones fundamentales de la Defensoría es la de incidir en </w:t>
      </w:r>
      <w:r w:rsidR="00F8792F" w:rsidRPr="000922CF">
        <w:rPr>
          <w:rFonts w:ascii="Tahoma" w:hAnsi="Tahoma" w:cs="Tahoma"/>
          <w:sz w:val="24"/>
          <w:szCs w:val="24"/>
          <w:lang w:val="es-AR"/>
        </w:rPr>
        <w:t>las políticas</w:t>
      </w:r>
      <w:r w:rsidRPr="000922CF">
        <w:rPr>
          <w:rFonts w:ascii="Tahoma" w:hAnsi="Tahoma" w:cs="Tahoma"/>
          <w:sz w:val="24"/>
          <w:szCs w:val="24"/>
          <w:lang w:val="es-AR"/>
        </w:rPr>
        <w:t xml:space="preserve"> públicas que garanticen un piso mínimo de derechos de niñas, niños y adolescentes, respetuoso de los cuatro principios de la Convención sobre los Derechos del Niño: el interés superior, la no discriminación, el derecho a la vida, la supervivencia y el desarrollo, el </w:t>
      </w:r>
      <w:r w:rsidR="003E15D8" w:rsidRPr="000922CF">
        <w:rPr>
          <w:rFonts w:ascii="Tahoma" w:hAnsi="Tahoma" w:cs="Tahoma"/>
          <w:sz w:val="24"/>
          <w:szCs w:val="24"/>
          <w:lang w:val="es-AR"/>
        </w:rPr>
        <w:t>derecho a</w:t>
      </w:r>
      <w:r w:rsidRPr="000922CF">
        <w:rPr>
          <w:rFonts w:ascii="Tahoma" w:hAnsi="Tahoma" w:cs="Tahoma"/>
          <w:sz w:val="24"/>
          <w:szCs w:val="24"/>
          <w:lang w:val="es-AR"/>
        </w:rPr>
        <w:t xml:space="preserve"> ser oído y a la participación</w:t>
      </w:r>
      <w:r w:rsidR="00F8792F" w:rsidRPr="000922CF">
        <w:rPr>
          <w:rFonts w:ascii="Tahoma" w:hAnsi="Tahoma" w:cs="Tahoma"/>
          <w:sz w:val="24"/>
          <w:szCs w:val="24"/>
          <w:lang w:val="es-AR"/>
        </w:rPr>
        <w:t xml:space="preserve">. </w:t>
      </w:r>
    </w:p>
    <w:p w:rsidR="0019782A"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Se trata de un organismo, creado en el 2005 cuyas autoridades fueron designadas en el 2020, que desde un ámbito estatal independiente se constituye para garantizar que se escuchen, tomen en cuenta y solucionen los reclamos, ante vulneraciones u omisiones de los derechos humanos de las niñeces y adolescencias por parte del Estado. Estas funciones de contralor/monitoreo están destinadas a todos los órganos obligados en velar por la promoción, protección y restitución de derechos de niñas, niños y adolescentes; y son ejercidas con los objetivos de mejorar el funcionamiento de la administración pública, la rendición de cuentas del Estado y el acceso de los ciudadanos y las ciudadanas menores de edad a la justicia; advertir y evitar cualquier tipo de irregularidad, vulneración de derechos a niñas, niños y adolescentes teniendo legitimación para accionar en aquellos casos en las mismas sean advertidas</w:t>
      </w:r>
    </w:p>
    <w:p w:rsidR="00F30931" w:rsidRDefault="00F30931">
      <w:pPr>
        <w:spacing w:before="240" w:after="240" w:line="276" w:lineRule="auto"/>
        <w:ind w:firstLine="1140"/>
        <w:jc w:val="both"/>
        <w:rPr>
          <w:rFonts w:ascii="Tahoma" w:hAnsi="Tahoma" w:cs="Tahoma"/>
          <w:sz w:val="24"/>
          <w:szCs w:val="24"/>
          <w:lang w:val="es-AR"/>
        </w:rPr>
      </w:pPr>
      <w:r w:rsidRPr="00F30931">
        <w:rPr>
          <w:rFonts w:ascii="Tahoma" w:hAnsi="Tahoma" w:cs="Tahoma"/>
          <w:sz w:val="24"/>
          <w:szCs w:val="24"/>
          <w:lang w:val="es-AR"/>
        </w:rPr>
        <w:t xml:space="preserve">Es necesario destacar que la Defensoría actualmente, habiendo finalizado el mandato de su Defensora y Defensor adjunto, no cuenta con Defensor/a nombrado/a, conforme el procedimiento establecido por Ley. Actualmente, el Poder Legislativo a través de la Comisión Bicameral Permanente del Defensor de los Derechos de Niñas, Niños y Adolescentes ha iniciado el proceso de llamado a concurso público de oposición y mérito, del cual se espera que, a la brevedad, pueda surgir el nuevo titular de esta institución nacional de derechos humanos dirigido a niñas, niños y adolescentes.  </w:t>
      </w:r>
    </w:p>
    <w:p w:rsidR="00F30931" w:rsidRPr="000922CF" w:rsidRDefault="00F30931">
      <w:pPr>
        <w:spacing w:before="240" w:after="240" w:line="276" w:lineRule="auto"/>
        <w:ind w:firstLine="1140"/>
        <w:jc w:val="both"/>
        <w:rPr>
          <w:rFonts w:ascii="Tahoma" w:hAnsi="Tahoma" w:cs="Tahoma"/>
          <w:sz w:val="24"/>
          <w:szCs w:val="24"/>
          <w:lang w:val="es-AR"/>
        </w:rPr>
      </w:pPr>
    </w:p>
    <w:p w:rsidR="0019782A" w:rsidRPr="000922CF" w:rsidRDefault="00EC258F">
      <w:pPr>
        <w:spacing w:before="240" w:after="240" w:line="276" w:lineRule="auto"/>
        <w:jc w:val="both"/>
        <w:rPr>
          <w:rFonts w:ascii="Tahoma" w:hAnsi="Tahoma" w:cs="Tahoma"/>
          <w:b/>
          <w:sz w:val="24"/>
          <w:szCs w:val="24"/>
          <w:lang w:val="es-AR"/>
        </w:rPr>
      </w:pPr>
      <w:r w:rsidRPr="000922CF">
        <w:rPr>
          <w:rFonts w:ascii="Tahoma" w:hAnsi="Tahoma" w:cs="Tahoma"/>
          <w:b/>
          <w:sz w:val="24"/>
          <w:szCs w:val="24"/>
          <w:lang w:val="es-AR"/>
        </w:rPr>
        <w:t xml:space="preserve">II.  </w:t>
      </w:r>
      <w:r w:rsidRPr="000922CF">
        <w:rPr>
          <w:rFonts w:ascii="Tahoma" w:hAnsi="Tahoma" w:cs="Tahoma"/>
          <w:b/>
          <w:sz w:val="24"/>
          <w:szCs w:val="24"/>
          <w:lang w:val="es-AR"/>
        </w:rPr>
        <w:tab/>
        <w:t>Introducción</w:t>
      </w:r>
    </w:p>
    <w:p w:rsidR="0019782A" w:rsidRPr="000922CF"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En el marco de las funciones referidas, se acompaña el presente informe con la pretensión de aportar información sobre la aplicación de los artículos 1 a 16 de la Convención, en particular respecto de las recomendaciones emitidas en los informes periódicos previos, centrado en el colectivo de niñas, niños y adolescentes que es el ámbito de injerencia y competencia que tiene esta defensoría. En tal sentido, </w:t>
      </w:r>
      <w:r w:rsidR="00061E53" w:rsidRPr="000922CF">
        <w:rPr>
          <w:rFonts w:ascii="Tahoma" w:hAnsi="Tahoma" w:cs="Tahoma"/>
          <w:sz w:val="24"/>
          <w:szCs w:val="24"/>
          <w:lang w:val="es-AR"/>
        </w:rPr>
        <w:t xml:space="preserve">pretendemos poder </w:t>
      </w:r>
      <w:r w:rsidRPr="000922CF">
        <w:rPr>
          <w:rFonts w:ascii="Tahoma" w:hAnsi="Tahoma" w:cs="Tahoma"/>
          <w:sz w:val="24"/>
          <w:szCs w:val="24"/>
          <w:lang w:val="es-AR"/>
        </w:rPr>
        <w:t xml:space="preserve">acercar información de carácter complementario y alternativo centrado en el trabajo realizado durante los </w:t>
      </w:r>
      <w:r w:rsidR="00061E53" w:rsidRPr="000922CF">
        <w:rPr>
          <w:rFonts w:ascii="Tahoma" w:hAnsi="Tahoma" w:cs="Tahoma"/>
          <w:sz w:val="24"/>
          <w:szCs w:val="24"/>
          <w:lang w:val="es-AR"/>
        </w:rPr>
        <w:t>primeros 5</w:t>
      </w:r>
      <w:r w:rsidRPr="000922CF">
        <w:rPr>
          <w:rFonts w:ascii="Tahoma" w:hAnsi="Tahoma" w:cs="Tahoma"/>
          <w:sz w:val="24"/>
          <w:szCs w:val="24"/>
          <w:lang w:val="es-AR"/>
        </w:rPr>
        <w:t xml:space="preserve"> años de gestión centrado en el relevamiento y seguimiento de la situación niñas, niños y adolescentes víctimas de violencia, malos tratos, tortura y otros tratos o </w:t>
      </w:r>
      <w:r w:rsidR="00061E53" w:rsidRPr="000922CF">
        <w:rPr>
          <w:rFonts w:ascii="Tahoma" w:hAnsi="Tahoma" w:cs="Tahoma"/>
          <w:sz w:val="24"/>
          <w:szCs w:val="24"/>
          <w:lang w:val="es-AR"/>
        </w:rPr>
        <w:t>penas</w:t>
      </w:r>
      <w:r w:rsidRPr="000922CF">
        <w:rPr>
          <w:rFonts w:ascii="Tahoma" w:hAnsi="Tahoma" w:cs="Tahoma"/>
          <w:sz w:val="24"/>
          <w:szCs w:val="24"/>
          <w:lang w:val="es-AR"/>
        </w:rPr>
        <w:t xml:space="preserve"> crueles, inhumanos y degradantes. </w:t>
      </w:r>
    </w:p>
    <w:p w:rsidR="0019782A"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De manera preliminar corresponde señalar que si bien el presente se realiza tomando como guía la lista de cuestiones previas aprobadas por este Comité en junio de 2020, el mismo se dio en un contexto político-social del Estado Argentino que dista del imperante al momento de elaboración del Informe 5-6 como de la elaboración de la lista de cuestiones previas (junio de 2020) y que impacta de manera directa en la gestión de políticas públicas y de prevención y erradicación de hechos de violencia, malos tratos y torturas.  A la fecha del presente informe, se encuentran fuertemente cuestionados y son foco de las políticas de ajuste y desmantelamiento instituciones y organismos que han sido creados como instituciones independientes para la promoción y protección de los derechos humanos.</w:t>
      </w:r>
    </w:p>
    <w:p w:rsidR="00AC6936" w:rsidRDefault="00AC6936">
      <w:pPr>
        <w:spacing w:before="240" w:after="240" w:line="276" w:lineRule="auto"/>
        <w:ind w:firstLine="1140"/>
        <w:jc w:val="both"/>
        <w:rPr>
          <w:rFonts w:ascii="Tahoma" w:hAnsi="Tahoma" w:cs="Tahoma"/>
          <w:sz w:val="24"/>
          <w:szCs w:val="24"/>
          <w:lang w:val="es-AR"/>
        </w:rPr>
      </w:pPr>
    </w:p>
    <w:p w:rsidR="00AC6936" w:rsidRPr="000922CF" w:rsidRDefault="00AC6936">
      <w:pPr>
        <w:spacing w:before="240" w:after="240" w:line="276" w:lineRule="auto"/>
        <w:ind w:firstLine="1140"/>
        <w:jc w:val="both"/>
        <w:rPr>
          <w:rFonts w:ascii="Tahoma" w:hAnsi="Tahoma" w:cs="Tahoma"/>
          <w:sz w:val="24"/>
          <w:szCs w:val="24"/>
          <w:lang w:val="es-AR"/>
        </w:rPr>
      </w:pPr>
    </w:p>
    <w:p w:rsidR="0019782A" w:rsidRPr="000922CF" w:rsidRDefault="00EC258F" w:rsidP="00AC6936">
      <w:pPr>
        <w:numPr>
          <w:ilvl w:val="0"/>
          <w:numId w:val="6"/>
        </w:numPr>
        <w:spacing w:before="360" w:after="240"/>
        <w:ind w:right="1134"/>
        <w:jc w:val="both"/>
        <w:rPr>
          <w:rFonts w:ascii="Tahoma" w:hAnsi="Tahoma" w:cs="Tahoma"/>
          <w:b/>
          <w:sz w:val="24"/>
          <w:szCs w:val="24"/>
          <w:lang w:val="es-AR"/>
        </w:rPr>
      </w:pPr>
      <w:r w:rsidRPr="000922CF">
        <w:rPr>
          <w:rFonts w:ascii="Tahoma" w:hAnsi="Tahoma" w:cs="Tahoma"/>
          <w:b/>
          <w:sz w:val="24"/>
          <w:szCs w:val="24"/>
          <w:lang w:val="es-AR"/>
        </w:rPr>
        <w:t xml:space="preserve">Acerca de las observaciones finales y lista de cuestiones elaboradas por el Comité. </w:t>
      </w:r>
    </w:p>
    <w:p w:rsidR="00F8792F" w:rsidRPr="000922CF"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Desde el inicio de la gestión</w:t>
      </w:r>
      <w:r w:rsidR="00061E53" w:rsidRPr="000922CF">
        <w:rPr>
          <w:rFonts w:ascii="Tahoma" w:hAnsi="Tahoma" w:cs="Tahoma"/>
          <w:sz w:val="24"/>
          <w:szCs w:val="24"/>
          <w:lang w:val="es-AR"/>
        </w:rPr>
        <w:t xml:space="preserve"> del poder ejecutivo</w:t>
      </w:r>
      <w:r w:rsidRPr="000922CF">
        <w:rPr>
          <w:rFonts w:ascii="Tahoma" w:hAnsi="Tahoma" w:cs="Tahoma"/>
          <w:sz w:val="24"/>
          <w:szCs w:val="24"/>
          <w:lang w:val="es-AR"/>
        </w:rPr>
        <w:t xml:space="preserve"> actual, in</w:t>
      </w:r>
      <w:r w:rsidR="00061E53" w:rsidRPr="000922CF">
        <w:rPr>
          <w:rFonts w:ascii="Tahoma" w:hAnsi="Tahoma" w:cs="Tahoma"/>
          <w:sz w:val="24"/>
          <w:szCs w:val="24"/>
          <w:lang w:val="es-AR"/>
        </w:rPr>
        <w:t>i</w:t>
      </w:r>
      <w:r w:rsidRPr="000922CF">
        <w:rPr>
          <w:rFonts w:ascii="Tahoma" w:hAnsi="Tahoma" w:cs="Tahoma"/>
          <w:sz w:val="24"/>
          <w:szCs w:val="24"/>
          <w:lang w:val="es-AR"/>
        </w:rPr>
        <w:t xml:space="preserve">ciada en diciembre de </w:t>
      </w:r>
      <w:r w:rsidR="00061E53" w:rsidRPr="000922CF">
        <w:rPr>
          <w:rFonts w:ascii="Tahoma" w:hAnsi="Tahoma" w:cs="Tahoma"/>
          <w:sz w:val="24"/>
          <w:szCs w:val="24"/>
          <w:lang w:val="es-AR"/>
        </w:rPr>
        <w:t>2023, se</w:t>
      </w:r>
      <w:r w:rsidRPr="000922CF">
        <w:rPr>
          <w:rFonts w:ascii="Tahoma" w:hAnsi="Tahoma" w:cs="Tahoma"/>
          <w:sz w:val="24"/>
          <w:szCs w:val="24"/>
          <w:lang w:val="es-AR"/>
        </w:rPr>
        <w:t xml:space="preserve"> ha advertido un marcado retroceso en materia de derechos humanos, de políticas públicas destinadas a niñas, niños y adolescentes, en particular, aquellas tendientes a la prevención y erradicación de la tortura;</w:t>
      </w:r>
      <w:r w:rsidR="00061E53" w:rsidRPr="000922CF">
        <w:rPr>
          <w:rFonts w:ascii="Tahoma" w:hAnsi="Tahoma" w:cs="Tahoma"/>
          <w:sz w:val="24"/>
          <w:szCs w:val="24"/>
          <w:lang w:val="es-AR"/>
        </w:rPr>
        <w:t xml:space="preserve"> a tal punto que a </w:t>
      </w:r>
      <w:r w:rsidRPr="000922CF">
        <w:rPr>
          <w:rFonts w:ascii="Tahoma" w:hAnsi="Tahoma" w:cs="Tahoma"/>
          <w:sz w:val="24"/>
          <w:szCs w:val="24"/>
          <w:lang w:val="es-AR"/>
        </w:rPr>
        <w:t>la fecha se encuentra controvertidas y cuestionadas leyes, políticas y aspecto</w:t>
      </w:r>
      <w:r w:rsidR="00061E53" w:rsidRPr="000922CF">
        <w:rPr>
          <w:rFonts w:ascii="Tahoma" w:hAnsi="Tahoma" w:cs="Tahoma"/>
          <w:sz w:val="24"/>
          <w:szCs w:val="24"/>
          <w:lang w:val="es-AR"/>
        </w:rPr>
        <w:t>s</w:t>
      </w:r>
      <w:r w:rsidRPr="000922CF">
        <w:rPr>
          <w:rFonts w:ascii="Tahoma" w:hAnsi="Tahoma" w:cs="Tahoma"/>
          <w:sz w:val="24"/>
          <w:szCs w:val="24"/>
          <w:lang w:val="es-AR"/>
        </w:rPr>
        <w:t xml:space="preserve"> que han sido destacados como positivo</w:t>
      </w:r>
      <w:r w:rsidR="00061E53" w:rsidRPr="000922CF">
        <w:rPr>
          <w:rFonts w:ascii="Tahoma" w:hAnsi="Tahoma" w:cs="Tahoma"/>
          <w:sz w:val="24"/>
          <w:szCs w:val="24"/>
          <w:lang w:val="es-AR"/>
        </w:rPr>
        <w:t>s</w:t>
      </w:r>
      <w:r w:rsidRPr="000922CF">
        <w:rPr>
          <w:rFonts w:ascii="Tahoma" w:hAnsi="Tahoma" w:cs="Tahoma"/>
          <w:sz w:val="24"/>
          <w:szCs w:val="24"/>
          <w:lang w:val="es-AR"/>
        </w:rPr>
        <w:t xml:space="preserve"> por el Comité en su informe de 2017. </w:t>
      </w:r>
    </w:p>
    <w:p w:rsidR="0019782A" w:rsidRPr="000922CF"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El desmantelamiento de organismos que han sido creados por Ley para la promoción y protección de derechos humanos en general, y de niñas, niños y adolescentes en particular, cierre de programas específicos que buscan garantizar acceso a derechos; el desconocimiento del trabajo que realizan las instituciones nacionales de derechos humanos, ajuste del Estado en sectores claves en materia de prevención de la tortura, son algunas de las cuestiones </w:t>
      </w:r>
      <w:r w:rsidR="00AC6936">
        <w:rPr>
          <w:rFonts w:ascii="Tahoma" w:hAnsi="Tahoma" w:cs="Tahoma"/>
          <w:sz w:val="24"/>
          <w:szCs w:val="24"/>
          <w:lang w:val="es-AR"/>
        </w:rPr>
        <w:t xml:space="preserve">que </w:t>
      </w:r>
      <w:r w:rsidRPr="000922CF">
        <w:rPr>
          <w:rFonts w:ascii="Tahoma" w:hAnsi="Tahoma" w:cs="Tahoma"/>
          <w:sz w:val="24"/>
          <w:szCs w:val="24"/>
          <w:lang w:val="es-AR"/>
        </w:rPr>
        <w:t>ciernen el contexto actual de la Argentina. En línea con ello, se han adoptadas medidas que ha generado: i) desmantelamiento y desfinanciamiento de algunas políticas existentes destinadas a niñas, niños y adolescentes como grupo particularmente vulnerables como el ENIA</w:t>
      </w:r>
      <w:r w:rsidR="00AC6936">
        <w:rPr>
          <w:rFonts w:ascii="Tahoma" w:hAnsi="Tahoma" w:cs="Tahoma"/>
          <w:sz w:val="24"/>
          <w:szCs w:val="24"/>
          <w:lang w:val="es-AR"/>
        </w:rPr>
        <w:t xml:space="preserve"> (</w:t>
      </w:r>
      <w:r w:rsidR="00AC6936" w:rsidRPr="00AC6936">
        <w:rPr>
          <w:rFonts w:ascii="Tahoma" w:hAnsi="Tahoma" w:cs="Tahoma"/>
          <w:sz w:val="24"/>
          <w:szCs w:val="24"/>
          <w:lang w:val="es-AR"/>
        </w:rPr>
        <w:t>Plan Nacional de Prevención del Embarazo No Intencional en la Adolescencia</w:t>
      </w:r>
      <w:r w:rsidR="00AC6936">
        <w:rPr>
          <w:rFonts w:ascii="Tahoma" w:hAnsi="Tahoma" w:cs="Tahoma"/>
          <w:sz w:val="24"/>
          <w:szCs w:val="24"/>
          <w:lang w:val="es-AR"/>
        </w:rPr>
        <w:t>)</w:t>
      </w:r>
      <w:r w:rsidRPr="000922CF">
        <w:rPr>
          <w:rFonts w:ascii="Tahoma" w:hAnsi="Tahoma" w:cs="Tahoma"/>
          <w:sz w:val="24"/>
          <w:szCs w:val="24"/>
          <w:lang w:val="es-AR"/>
        </w:rPr>
        <w:t xml:space="preserve"> y las Becas Progresar; AUNAR FAMILIA y Centros de Desarrollo Infantil; ii) se han advertido demoras y obstáculos para acceder a programas nacionales -muchos de ellos creados por Ley- como el de Acompañamiento para el Egreso de Jóvenes Sin Cuidados Parentales (PAE), y el de Reparación Económica para niñas, niños y/o adolescentes (RENNYA); iii) se ha degradado y debilitado la Secretaría Nacional de Niñez, Adolescencia y Familia (SENNAF), afectando al órgano rector a nivel nacional en materia de política de </w:t>
      </w:r>
      <w:r w:rsidR="00AC6936">
        <w:rPr>
          <w:rFonts w:ascii="Tahoma" w:hAnsi="Tahoma" w:cs="Tahoma"/>
          <w:sz w:val="24"/>
          <w:szCs w:val="24"/>
          <w:lang w:val="es-AR"/>
        </w:rPr>
        <w:t>niñez y adolescencia</w:t>
      </w:r>
      <w:r w:rsidRPr="000922CF">
        <w:rPr>
          <w:rFonts w:ascii="Tahoma" w:hAnsi="Tahoma" w:cs="Tahoma"/>
          <w:sz w:val="24"/>
          <w:szCs w:val="24"/>
          <w:vertAlign w:val="superscript"/>
          <w:lang w:val="es-AR"/>
        </w:rPr>
        <w:footnoteReference w:id="1"/>
      </w:r>
      <w:r w:rsidRPr="000922CF">
        <w:rPr>
          <w:rFonts w:ascii="Tahoma" w:hAnsi="Tahoma" w:cs="Tahoma"/>
          <w:sz w:val="24"/>
          <w:szCs w:val="24"/>
          <w:lang w:val="es-AR"/>
        </w:rPr>
        <w:t>; iv) Se ha reducido el espacio por excelencia de articulación, deliberación y concertación a nivel federal como lo es el Consejo Federal de Niñez, Adolescencia y Familia (COFENAF) que reúne a las autoridades administrativas de niñez de las 24 jurisdicciones y que durante todo el año 2024 mantuvo una sola sesión</w:t>
      </w:r>
      <w:r w:rsidRPr="000922CF">
        <w:rPr>
          <w:rFonts w:ascii="Tahoma" w:hAnsi="Tahoma" w:cs="Tahoma"/>
          <w:sz w:val="24"/>
          <w:szCs w:val="24"/>
          <w:vertAlign w:val="superscript"/>
          <w:lang w:val="es-AR"/>
        </w:rPr>
        <w:footnoteReference w:id="2"/>
      </w:r>
      <w:r w:rsidRPr="000922CF">
        <w:rPr>
          <w:rFonts w:ascii="Tahoma" w:hAnsi="Tahoma" w:cs="Tahoma"/>
          <w:sz w:val="24"/>
          <w:szCs w:val="24"/>
          <w:lang w:val="es-AR"/>
        </w:rPr>
        <w:t>.</w:t>
      </w:r>
    </w:p>
    <w:p w:rsidR="003E15D8" w:rsidRPr="000922CF" w:rsidRDefault="00EC258F" w:rsidP="003E15D8">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Estas propuestas se dan en un contexto y una coyuntura social que profundiza la desigualdad y la pobreza. En Argentina las y los adolescentes son los más privados de accesos a derechos básicos y para quienes el Estado diseña menos políticas públicas; y que son uno de los grupos identificados como propensos a sufrir violencia policial, malos tratos, tortura</w:t>
      </w:r>
      <w:r w:rsidR="003E15D8" w:rsidRPr="000922CF">
        <w:rPr>
          <w:rFonts w:ascii="Tahoma" w:hAnsi="Tahoma" w:cs="Tahoma"/>
          <w:sz w:val="24"/>
          <w:szCs w:val="24"/>
          <w:lang w:val="es-AR"/>
        </w:rPr>
        <w:t>.</w:t>
      </w:r>
    </w:p>
    <w:p w:rsidR="003E15D8" w:rsidRPr="000922CF" w:rsidRDefault="00EC258F" w:rsidP="003E15D8">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En materia de violencia institucional y hechos de malos tratos, tortura y muerte, preocupa la política de seguridad desplegada por la gestión actual de gobierno toda vez que la misma se orienta a </w:t>
      </w:r>
      <w:r w:rsidR="00F8792F" w:rsidRPr="000922CF">
        <w:rPr>
          <w:rFonts w:ascii="Tahoma" w:hAnsi="Tahoma" w:cs="Tahoma"/>
          <w:sz w:val="24"/>
          <w:szCs w:val="24"/>
          <w:lang w:val="es-AR"/>
        </w:rPr>
        <w:t>justificar</w:t>
      </w:r>
      <w:r w:rsidRPr="000922CF">
        <w:rPr>
          <w:rFonts w:ascii="Tahoma" w:hAnsi="Tahoma" w:cs="Tahoma"/>
          <w:sz w:val="24"/>
          <w:szCs w:val="24"/>
          <w:lang w:val="es-AR"/>
        </w:rPr>
        <w:t xml:space="preserve"> y convalidar el ejercicio excesivo y abusivo de la fuerza por personal de seguridad. Si bien en agosto de 2022 se sancionó la Resolución 517/2022 del Ministerio de Seguridad que aprueba el “Protocolo de Actuación para las Fuerzas Policiales y de Seguridad Federales en Intervenciones con Niños, Niñas y Adolescentes” -norma que establece pautas para la actuación policial en casos que involucren niñas, niños y adolescentes con enfoque en la protección de sus derecho</w:t>
      </w:r>
      <w:r w:rsidR="00AC6936">
        <w:rPr>
          <w:rFonts w:ascii="Tahoma" w:hAnsi="Tahoma" w:cs="Tahoma"/>
          <w:sz w:val="24"/>
          <w:szCs w:val="24"/>
          <w:lang w:val="es-AR"/>
        </w:rPr>
        <w:t>s</w:t>
      </w:r>
      <w:r w:rsidRPr="000922CF">
        <w:rPr>
          <w:rFonts w:ascii="Tahoma" w:hAnsi="Tahoma" w:cs="Tahoma"/>
          <w:sz w:val="24"/>
          <w:szCs w:val="24"/>
          <w:lang w:val="es-AR"/>
        </w:rPr>
        <w:t>- el mismo no cuenta con adhesión de ninguna de las 24 jurisdicciones, condición que</w:t>
      </w:r>
      <w:r w:rsidR="00AC6936">
        <w:rPr>
          <w:rFonts w:ascii="Tahoma" w:hAnsi="Tahoma" w:cs="Tahoma"/>
          <w:sz w:val="24"/>
          <w:szCs w:val="24"/>
          <w:lang w:val="es-AR"/>
        </w:rPr>
        <w:t>,</w:t>
      </w:r>
      <w:r w:rsidRPr="000922CF">
        <w:rPr>
          <w:rFonts w:ascii="Tahoma" w:hAnsi="Tahoma" w:cs="Tahoma"/>
          <w:sz w:val="24"/>
          <w:szCs w:val="24"/>
          <w:lang w:val="es-AR"/>
        </w:rPr>
        <w:t xml:space="preserve"> por el carácter federal de nuestro país</w:t>
      </w:r>
      <w:r w:rsidR="00AC6936">
        <w:rPr>
          <w:rFonts w:ascii="Tahoma" w:hAnsi="Tahoma" w:cs="Tahoma"/>
          <w:sz w:val="24"/>
          <w:szCs w:val="24"/>
          <w:lang w:val="es-AR"/>
        </w:rPr>
        <w:t>,</w:t>
      </w:r>
      <w:r w:rsidRPr="000922CF">
        <w:rPr>
          <w:rFonts w:ascii="Tahoma" w:hAnsi="Tahoma" w:cs="Tahoma"/>
          <w:sz w:val="24"/>
          <w:szCs w:val="24"/>
          <w:lang w:val="es-AR"/>
        </w:rPr>
        <w:t xml:space="preserve"> es indispensable para su aplicación y exigibilidad al interior de las provincias (las funciones de las fuerzas de seguridad provinciales son competencia no delegada de las provincias). Convive con esta </w:t>
      </w:r>
      <w:r w:rsidR="00AC6936">
        <w:rPr>
          <w:rFonts w:ascii="Tahoma" w:hAnsi="Tahoma" w:cs="Tahoma"/>
          <w:sz w:val="24"/>
          <w:szCs w:val="24"/>
          <w:lang w:val="es-AR"/>
        </w:rPr>
        <w:t>norma</w:t>
      </w:r>
      <w:r w:rsidRPr="000922CF">
        <w:rPr>
          <w:rFonts w:ascii="Tahoma" w:hAnsi="Tahoma" w:cs="Tahoma"/>
          <w:sz w:val="24"/>
          <w:szCs w:val="24"/>
          <w:lang w:val="es-AR"/>
        </w:rPr>
        <w:t>, la Resolución 943/2023 -sancionada el 14 de diciembre de 2023- que aprueba el “Protocolo para el Mantenimiento del Orden Público ante el Corte de Vías de Circulación”, que habilita la represión de las fuerzas de seguridad en manifestaciones sociales y/o en el ejercicio del derecho a huelga</w:t>
      </w:r>
      <w:r w:rsidR="001D2466" w:rsidRPr="000922CF">
        <w:rPr>
          <w:rFonts w:ascii="Tahoma" w:hAnsi="Tahoma" w:cs="Tahoma"/>
          <w:sz w:val="24"/>
          <w:szCs w:val="24"/>
          <w:lang w:val="es-AR"/>
        </w:rPr>
        <w:t xml:space="preserve"> (dicha Resolución ha </w:t>
      </w:r>
      <w:r w:rsidR="003E15D8" w:rsidRPr="000922CF">
        <w:rPr>
          <w:rFonts w:ascii="Tahoma" w:hAnsi="Tahoma" w:cs="Tahoma"/>
          <w:sz w:val="24"/>
          <w:szCs w:val="24"/>
          <w:lang w:val="es-AR"/>
        </w:rPr>
        <w:t>sido cuestionada judicialmente),</w:t>
      </w:r>
      <w:r w:rsidRPr="000922CF">
        <w:rPr>
          <w:rFonts w:ascii="Tahoma" w:hAnsi="Tahoma" w:cs="Tahoma"/>
          <w:sz w:val="24"/>
          <w:szCs w:val="24"/>
          <w:lang w:val="es-AR"/>
        </w:rPr>
        <w:t xml:space="preserve"> la Resolución 125/2024 -sancionada en marzo de 2024- que amplía la utilización de armas de fuego, atenúa las responsabilidades del personal de las fuerzas de seguridad y dispone la prohibición de la adopción de medidas administrativas cau</w:t>
      </w:r>
      <w:r w:rsidR="00DD5BB6" w:rsidRPr="000922CF">
        <w:rPr>
          <w:rFonts w:ascii="Tahoma" w:hAnsi="Tahoma" w:cs="Tahoma"/>
          <w:sz w:val="24"/>
          <w:szCs w:val="24"/>
          <w:lang w:val="es-AR"/>
        </w:rPr>
        <w:t>telares</w:t>
      </w:r>
      <w:r w:rsidR="003E15D8" w:rsidRPr="000922CF">
        <w:rPr>
          <w:rFonts w:ascii="Tahoma" w:hAnsi="Tahoma" w:cs="Tahoma"/>
          <w:sz w:val="24"/>
          <w:szCs w:val="24"/>
          <w:lang w:val="es-AR"/>
        </w:rPr>
        <w:t>; y recientemente el Decreto 383/2025 que modifica</w:t>
      </w:r>
      <w:r w:rsidR="003E15D8" w:rsidRPr="000922CF">
        <w:rPr>
          <w:rFonts w:ascii="Tahoma" w:hAnsi="Tahoma" w:cs="Tahoma"/>
          <w:color w:val="000000"/>
          <w:sz w:val="24"/>
          <w:szCs w:val="24"/>
          <w:lang w:val="es-AR"/>
        </w:rPr>
        <w:t xml:space="preserve"> la ley orgánica de la Policía Federal Argentina habilitando a las fuerzas de seguridad a realizar detenciones y requisas sin orden judicial; desarrollar acciones de “inteligencia criminal” sin orden judicial, habilita el patrullaje en redes sociales, persecución de quienes participen de manifestaciones (“registrar y calificar a las personas dedicadas habitualmente a actividades que la policía debe reprimir”)</w:t>
      </w:r>
      <w:r w:rsidR="00DD5BB6" w:rsidRPr="000922CF">
        <w:rPr>
          <w:rFonts w:ascii="Tahoma" w:hAnsi="Tahoma" w:cs="Tahoma"/>
          <w:color w:val="000000"/>
          <w:sz w:val="24"/>
          <w:szCs w:val="24"/>
          <w:lang w:val="es-AR"/>
        </w:rPr>
        <w:t>;</w:t>
      </w:r>
      <w:r w:rsidR="003E15D8" w:rsidRPr="000922CF">
        <w:rPr>
          <w:rFonts w:ascii="Tahoma" w:hAnsi="Tahoma" w:cs="Tahoma"/>
          <w:color w:val="000000"/>
          <w:sz w:val="24"/>
          <w:szCs w:val="24"/>
          <w:lang w:val="es-AR"/>
        </w:rPr>
        <w:t xml:space="preserve"> entre otras cuestiones. </w:t>
      </w:r>
    </w:p>
    <w:p w:rsidR="0019782A" w:rsidRDefault="00EC258F">
      <w:pPr>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Estas políticas de seguridad de corte represivas que habilitan el uso desmedido de la fuerza pública y justifican actos de violencia, se han visto reflejadas no sólo en la consumación de hechos de violencias (represión en manifestaciones públicas a nivel nacional y en algunas de las </w:t>
      </w:r>
      <w:r w:rsidR="008C467E" w:rsidRPr="000922CF">
        <w:rPr>
          <w:rFonts w:ascii="Tahoma" w:hAnsi="Tahoma" w:cs="Tahoma"/>
          <w:sz w:val="24"/>
          <w:szCs w:val="24"/>
          <w:lang w:val="es-AR"/>
        </w:rPr>
        <w:t>provincias) sino</w:t>
      </w:r>
      <w:r w:rsidRPr="000922CF">
        <w:rPr>
          <w:rFonts w:ascii="Tahoma" w:hAnsi="Tahoma" w:cs="Tahoma"/>
          <w:sz w:val="24"/>
          <w:szCs w:val="24"/>
          <w:lang w:val="es-AR"/>
        </w:rPr>
        <w:t xml:space="preserve"> también en el abordaje y modo de llevar a cabo las investigaciones de aquellos hechos que fueron denunciados ante la justicia. </w:t>
      </w:r>
    </w:p>
    <w:p w:rsidR="00AC6936" w:rsidRPr="000922CF" w:rsidRDefault="00AC6936">
      <w:pPr>
        <w:spacing w:before="240" w:after="240" w:line="276" w:lineRule="auto"/>
        <w:ind w:firstLine="1140"/>
        <w:jc w:val="both"/>
        <w:rPr>
          <w:rFonts w:ascii="Tahoma" w:hAnsi="Tahoma" w:cs="Tahoma"/>
          <w:sz w:val="24"/>
          <w:szCs w:val="24"/>
          <w:lang w:val="es-AR"/>
        </w:rPr>
      </w:pPr>
    </w:p>
    <w:p w:rsidR="0019782A" w:rsidRPr="000922CF" w:rsidRDefault="00EC258F">
      <w:pPr>
        <w:numPr>
          <w:ilvl w:val="0"/>
          <w:numId w:val="1"/>
        </w:numPr>
        <w:spacing w:before="360" w:after="240"/>
        <w:ind w:right="1134"/>
        <w:rPr>
          <w:rFonts w:ascii="Tahoma" w:hAnsi="Tahoma" w:cs="Tahoma"/>
          <w:b/>
          <w:sz w:val="24"/>
          <w:szCs w:val="24"/>
          <w:lang w:val="es-AR"/>
        </w:rPr>
      </w:pPr>
      <w:r w:rsidRPr="000922CF">
        <w:rPr>
          <w:rFonts w:ascii="Tahoma" w:hAnsi="Tahoma" w:cs="Tahoma"/>
          <w:b/>
          <w:sz w:val="24"/>
          <w:szCs w:val="24"/>
          <w:lang w:val="es-AR"/>
        </w:rPr>
        <w:t>Definición y tipificación del delito de tortura.</w:t>
      </w:r>
    </w:p>
    <w:p w:rsidR="004B7925" w:rsidRPr="000922CF" w:rsidRDefault="00EC258F">
      <w:pPr>
        <w:spacing w:before="240" w:after="240"/>
        <w:ind w:firstLine="720"/>
        <w:jc w:val="both"/>
        <w:rPr>
          <w:rFonts w:ascii="Tahoma" w:hAnsi="Tahoma" w:cs="Tahoma"/>
          <w:sz w:val="24"/>
          <w:szCs w:val="24"/>
          <w:lang w:val="es-AR"/>
        </w:rPr>
      </w:pPr>
      <w:r w:rsidRPr="000922CF">
        <w:rPr>
          <w:rFonts w:ascii="Tahoma" w:hAnsi="Tahoma" w:cs="Tahoma"/>
          <w:sz w:val="24"/>
          <w:szCs w:val="24"/>
          <w:lang w:val="es-AR"/>
        </w:rPr>
        <w:t xml:space="preserve">En relación con las observaciones </w:t>
      </w:r>
      <w:r w:rsidR="00EF5C97">
        <w:rPr>
          <w:rFonts w:ascii="Tahoma" w:hAnsi="Tahoma" w:cs="Tahoma"/>
          <w:sz w:val="24"/>
          <w:szCs w:val="24"/>
          <w:lang w:val="es-AR"/>
        </w:rPr>
        <w:t xml:space="preserve">finales a Informes Periódicos </w:t>
      </w:r>
      <w:r w:rsidRPr="000922CF">
        <w:rPr>
          <w:rFonts w:ascii="Tahoma" w:hAnsi="Tahoma" w:cs="Tahoma"/>
          <w:sz w:val="24"/>
          <w:szCs w:val="24"/>
          <w:lang w:val="es-AR"/>
        </w:rPr>
        <w:t xml:space="preserve">anteriores (párr. 9) corresponde poner en su conocimiento que no hubo adecuación normativa de la tipificación del Art. 144 ter del CPP. Contrario a ello, y como se </w:t>
      </w:r>
      <w:r w:rsidR="008C467E" w:rsidRPr="000922CF">
        <w:rPr>
          <w:rFonts w:ascii="Tahoma" w:hAnsi="Tahoma" w:cs="Tahoma"/>
          <w:sz w:val="24"/>
          <w:szCs w:val="24"/>
          <w:lang w:val="es-AR"/>
        </w:rPr>
        <w:t>expresará</w:t>
      </w:r>
      <w:r w:rsidRPr="000922CF">
        <w:rPr>
          <w:rFonts w:ascii="Tahoma" w:hAnsi="Tahoma" w:cs="Tahoma"/>
          <w:sz w:val="24"/>
          <w:szCs w:val="24"/>
          <w:lang w:val="es-AR"/>
        </w:rPr>
        <w:t xml:space="preserve"> en el punto anterior, la política de seguridad imperante tiende a “convalidar” actos de uso excesivo de la fuerza y de armas letales por parte de las fuerzas de seguridad recurriendo a discursos que, por ejemplo, criminalizan la protesta social. </w:t>
      </w:r>
    </w:p>
    <w:p w:rsidR="0019782A" w:rsidRPr="00EF5C97" w:rsidRDefault="00EC258F">
      <w:pPr>
        <w:spacing w:before="240" w:after="240"/>
        <w:ind w:firstLine="720"/>
        <w:jc w:val="both"/>
        <w:rPr>
          <w:rFonts w:ascii="Tahoma" w:hAnsi="Tahoma" w:cs="Tahoma"/>
          <w:i/>
          <w:sz w:val="24"/>
          <w:szCs w:val="24"/>
          <w:u w:val="single"/>
          <w:lang w:val="es-AR"/>
        </w:rPr>
      </w:pPr>
      <w:r w:rsidRPr="00EF5C97">
        <w:rPr>
          <w:rFonts w:ascii="Tahoma" w:hAnsi="Tahoma" w:cs="Tahoma"/>
          <w:i/>
          <w:sz w:val="24"/>
          <w:szCs w:val="24"/>
          <w:u w:val="single"/>
          <w:lang w:val="es-AR"/>
        </w:rPr>
        <w:t xml:space="preserve">En este punto, sugerimos </w:t>
      </w:r>
      <w:r w:rsidR="00EF5C97" w:rsidRPr="00EF5C97">
        <w:rPr>
          <w:rFonts w:ascii="Tahoma" w:hAnsi="Tahoma" w:cs="Tahoma"/>
          <w:i/>
          <w:sz w:val="24"/>
          <w:szCs w:val="24"/>
          <w:u w:val="single"/>
          <w:lang w:val="es-AR"/>
        </w:rPr>
        <w:t xml:space="preserve">al Comité, </w:t>
      </w:r>
      <w:r w:rsidRPr="00EF5C97">
        <w:rPr>
          <w:rFonts w:ascii="Tahoma" w:hAnsi="Tahoma" w:cs="Tahoma"/>
          <w:i/>
          <w:sz w:val="24"/>
          <w:szCs w:val="24"/>
          <w:u w:val="single"/>
          <w:lang w:val="es-AR"/>
        </w:rPr>
        <w:t xml:space="preserve">reiterar la recomendación efectuada por este Comité instando a que la misma contemple la vulnerabilidad de determinados grupos, de conformidad con las Reglas de Brasilia, en particular de niñas, niños y adolescentes.  </w:t>
      </w:r>
    </w:p>
    <w:p w:rsidR="00EF5C97" w:rsidRPr="000922CF" w:rsidRDefault="00EF5C97">
      <w:pPr>
        <w:spacing w:before="240" w:after="240"/>
        <w:ind w:firstLine="720"/>
        <w:jc w:val="both"/>
        <w:rPr>
          <w:rFonts w:ascii="Tahoma" w:hAnsi="Tahoma" w:cs="Tahoma"/>
          <w:sz w:val="24"/>
          <w:szCs w:val="24"/>
          <w:lang w:val="es-AR"/>
        </w:rPr>
      </w:pPr>
    </w:p>
    <w:p w:rsidR="0019782A" w:rsidRPr="000922CF" w:rsidRDefault="00EC258F">
      <w:pPr>
        <w:numPr>
          <w:ilvl w:val="0"/>
          <w:numId w:val="1"/>
        </w:numPr>
        <w:spacing w:before="240" w:after="120"/>
        <w:ind w:right="1140"/>
        <w:jc w:val="both"/>
        <w:rPr>
          <w:rFonts w:ascii="Tahoma" w:hAnsi="Tahoma" w:cs="Tahoma"/>
          <w:b/>
          <w:sz w:val="24"/>
          <w:szCs w:val="24"/>
          <w:lang w:val="es-AR"/>
        </w:rPr>
      </w:pPr>
      <w:r w:rsidRPr="000922CF">
        <w:rPr>
          <w:rFonts w:ascii="Tahoma" w:hAnsi="Tahoma" w:cs="Tahoma"/>
          <w:b/>
          <w:sz w:val="24"/>
          <w:szCs w:val="24"/>
          <w:lang w:val="es-AR"/>
        </w:rPr>
        <w:t>Violencia policial, tortura y malos tratos</w:t>
      </w:r>
    </w:p>
    <w:p w:rsidR="0019782A" w:rsidRPr="000922CF" w:rsidRDefault="00EC258F">
      <w:pPr>
        <w:spacing w:before="240" w:after="240" w:line="276" w:lineRule="auto"/>
        <w:ind w:firstLine="720"/>
        <w:jc w:val="both"/>
        <w:rPr>
          <w:rFonts w:ascii="Tahoma" w:hAnsi="Tahoma" w:cs="Tahoma"/>
          <w:sz w:val="24"/>
          <w:szCs w:val="24"/>
          <w:lang w:val="es-AR"/>
        </w:rPr>
      </w:pPr>
      <w:r w:rsidRPr="000922CF">
        <w:rPr>
          <w:rFonts w:ascii="Tahoma" w:hAnsi="Tahoma" w:cs="Tahoma"/>
          <w:sz w:val="24"/>
          <w:szCs w:val="24"/>
          <w:lang w:val="es-AR"/>
        </w:rPr>
        <w:t>Con referencia a las observaciones anteriores (párr. 11 a 14, 31 y 32), desde los inicios de la Defensoría se ha procurado llevar a cabo acciones de incidencia tendiente a la prevención de hechos de violencia institucional instando la elaboración e implementación de protocolos que regulen la actuación de las fuerzas de seguridad, promoviendo la coordinación y articulación de mesas de trabajo con los diferentes efectores intervinientes y realizando presentaciones para mejorar las condiciones en materia de infraestructura y condiciones de habitabilidad, como la formación y capacitación permanente de las fuerzas de seguridad y de todo personal que trabaje con niñas, niños y adolescentes bajo custodia del Estado.</w:t>
      </w:r>
    </w:p>
    <w:p w:rsidR="0019782A" w:rsidRPr="000922CF" w:rsidRDefault="00EC258F">
      <w:pPr>
        <w:spacing w:before="240" w:after="240" w:line="276" w:lineRule="auto"/>
        <w:ind w:firstLine="720"/>
        <w:jc w:val="both"/>
        <w:rPr>
          <w:rFonts w:ascii="Tahoma" w:hAnsi="Tahoma" w:cs="Tahoma"/>
          <w:sz w:val="24"/>
          <w:szCs w:val="24"/>
          <w:lang w:val="es-AR"/>
        </w:rPr>
      </w:pPr>
      <w:r w:rsidRPr="000922CF">
        <w:rPr>
          <w:rFonts w:ascii="Tahoma" w:hAnsi="Tahoma" w:cs="Tahoma"/>
          <w:sz w:val="24"/>
          <w:szCs w:val="24"/>
          <w:lang w:val="es-AR"/>
        </w:rPr>
        <w:t xml:space="preserve"> </w:t>
      </w:r>
      <w:r w:rsidR="007A50FB" w:rsidRPr="000922CF">
        <w:rPr>
          <w:rFonts w:ascii="Tahoma" w:hAnsi="Tahoma" w:cs="Tahoma"/>
          <w:sz w:val="24"/>
          <w:szCs w:val="24"/>
          <w:lang w:val="es-AR"/>
        </w:rPr>
        <w:t>Desde el 2021 e</w:t>
      </w:r>
      <w:r w:rsidRPr="000922CF">
        <w:rPr>
          <w:rFonts w:ascii="Tahoma" w:hAnsi="Tahoma" w:cs="Tahoma"/>
          <w:sz w:val="24"/>
          <w:szCs w:val="24"/>
          <w:lang w:val="es-AR"/>
        </w:rPr>
        <w:t xml:space="preserve">sta Defensoría </w:t>
      </w:r>
      <w:r w:rsidR="007A50FB" w:rsidRPr="000922CF">
        <w:rPr>
          <w:rFonts w:ascii="Tahoma" w:hAnsi="Tahoma" w:cs="Tahoma"/>
          <w:sz w:val="24"/>
          <w:szCs w:val="24"/>
          <w:lang w:val="es-AR"/>
        </w:rPr>
        <w:t>lleva a cabo u</w:t>
      </w:r>
      <w:r w:rsidRPr="000922CF">
        <w:rPr>
          <w:rFonts w:ascii="Tahoma" w:hAnsi="Tahoma" w:cs="Tahoma"/>
          <w:sz w:val="24"/>
          <w:szCs w:val="24"/>
          <w:lang w:val="es-AR"/>
        </w:rPr>
        <w:t xml:space="preserve">n registro </w:t>
      </w:r>
      <w:r w:rsidR="008C467E" w:rsidRPr="000922CF">
        <w:rPr>
          <w:rFonts w:ascii="Tahoma" w:hAnsi="Tahoma" w:cs="Tahoma"/>
          <w:sz w:val="24"/>
          <w:szCs w:val="24"/>
          <w:lang w:val="es-AR"/>
        </w:rPr>
        <w:t xml:space="preserve">propio </w:t>
      </w:r>
      <w:r w:rsidRPr="000922CF">
        <w:rPr>
          <w:rFonts w:ascii="Tahoma" w:hAnsi="Tahoma" w:cs="Tahoma"/>
          <w:sz w:val="24"/>
          <w:szCs w:val="24"/>
          <w:lang w:val="es-AR"/>
        </w:rPr>
        <w:t>de violencia institucional, tortura, malos tratos y/o fallecimiento de niñas, niños y adolescentes</w:t>
      </w:r>
      <w:r w:rsidR="00536B2C">
        <w:rPr>
          <w:rFonts w:ascii="Tahoma" w:hAnsi="Tahoma" w:cs="Tahoma"/>
          <w:sz w:val="24"/>
          <w:szCs w:val="24"/>
          <w:lang w:val="es-AR"/>
        </w:rPr>
        <w:t>,</w:t>
      </w:r>
      <w:r w:rsidR="008C467E" w:rsidRPr="000922CF">
        <w:rPr>
          <w:rFonts w:ascii="Tahoma" w:hAnsi="Tahoma" w:cs="Tahoma"/>
          <w:sz w:val="24"/>
          <w:szCs w:val="24"/>
          <w:lang w:val="es-AR"/>
        </w:rPr>
        <w:t xml:space="preserve"> </w:t>
      </w:r>
      <w:r w:rsidR="007A50FB" w:rsidRPr="000922CF">
        <w:rPr>
          <w:rFonts w:ascii="Tahoma" w:hAnsi="Tahoma" w:cs="Tahoma"/>
          <w:sz w:val="24"/>
          <w:szCs w:val="24"/>
          <w:lang w:val="es-AR"/>
        </w:rPr>
        <w:t xml:space="preserve">sistematiza casos de todo el país </w:t>
      </w:r>
      <w:r w:rsidR="003F00E6">
        <w:rPr>
          <w:rFonts w:ascii="Tahoma" w:hAnsi="Tahoma" w:cs="Tahoma"/>
          <w:sz w:val="24"/>
          <w:szCs w:val="24"/>
          <w:lang w:val="es-AR"/>
        </w:rPr>
        <w:t xml:space="preserve">conforme la </w:t>
      </w:r>
      <w:r w:rsidR="007A50FB" w:rsidRPr="000922CF">
        <w:rPr>
          <w:rFonts w:ascii="Tahoma" w:hAnsi="Tahoma" w:cs="Tahoma"/>
          <w:sz w:val="24"/>
          <w:szCs w:val="24"/>
          <w:lang w:val="es-AR"/>
        </w:rPr>
        <w:t>Defensoría</w:t>
      </w:r>
      <w:r w:rsidR="003F00E6">
        <w:rPr>
          <w:rFonts w:ascii="Tahoma" w:hAnsi="Tahoma" w:cs="Tahoma"/>
          <w:sz w:val="24"/>
          <w:szCs w:val="24"/>
          <w:lang w:val="es-AR"/>
        </w:rPr>
        <w:t xml:space="preserve"> ha tomado conocimiento</w:t>
      </w:r>
      <w:r w:rsidR="007A50FB" w:rsidRPr="000922CF">
        <w:rPr>
          <w:rFonts w:ascii="Tahoma" w:hAnsi="Tahoma" w:cs="Tahoma"/>
          <w:sz w:val="24"/>
          <w:szCs w:val="24"/>
          <w:lang w:val="es-AR"/>
        </w:rPr>
        <w:t xml:space="preserve">, por lo cual no representa un numero acabado ni total. </w:t>
      </w:r>
      <w:r w:rsidRPr="000922CF">
        <w:rPr>
          <w:rFonts w:ascii="Tahoma" w:hAnsi="Tahoma" w:cs="Tahoma"/>
          <w:sz w:val="24"/>
          <w:szCs w:val="24"/>
          <w:lang w:val="es-AR"/>
        </w:rPr>
        <w:t xml:space="preserve"> El mismo se nutre de los casos de violencias ejercidas por las fuerzas de seguridad, hechos de malos tratos en los dispositivos penales juveniles y en lugares de alojamiento de niñas, niños y adolescentes (dispositivos de cuidado alternativo al ámbito familiar, dispositivos de salud mental)</w:t>
      </w:r>
      <w:r w:rsidR="007A50FB" w:rsidRPr="000922CF">
        <w:rPr>
          <w:rFonts w:ascii="Tahoma" w:hAnsi="Tahoma" w:cs="Tahoma"/>
          <w:sz w:val="24"/>
          <w:szCs w:val="24"/>
          <w:lang w:val="es-AR"/>
        </w:rPr>
        <w:t xml:space="preserve">. </w:t>
      </w:r>
      <w:r w:rsidRPr="000922CF">
        <w:rPr>
          <w:rFonts w:ascii="Tahoma" w:hAnsi="Tahoma" w:cs="Tahoma"/>
          <w:sz w:val="24"/>
          <w:szCs w:val="24"/>
          <w:lang w:val="es-AR"/>
        </w:rPr>
        <w:t>Sobre estas denuncias se han establecidos diferentes niveles de incidencia no excluyentes entre sí: 1) requerir intervención a los efectores obligados del poder ejecutivo, como a los organismos de monitoreo, 2) realizar presentaciones judiciales, 3) realizar denuncias</w:t>
      </w:r>
      <w:r w:rsidR="00571A02" w:rsidRPr="000922CF">
        <w:rPr>
          <w:rFonts w:ascii="Tahoma" w:hAnsi="Tahoma" w:cs="Tahoma"/>
          <w:sz w:val="24"/>
          <w:szCs w:val="24"/>
          <w:lang w:val="es-AR"/>
        </w:rPr>
        <w:t xml:space="preserve"> judiciales </w:t>
      </w:r>
      <w:r w:rsidRPr="000922CF">
        <w:rPr>
          <w:rFonts w:ascii="Tahoma" w:hAnsi="Tahoma" w:cs="Tahoma"/>
          <w:sz w:val="24"/>
          <w:szCs w:val="24"/>
          <w:lang w:val="es-AR"/>
        </w:rPr>
        <w:t>y 4) la constitución en calidad de querellante institucional; intervenciones que se orientan a identificar posibles irregularidades, a requerir e instar -tanto a los efectores administrativos como a los operadores judiciales- al cumplimiento de la obligación estatal de realiza</w:t>
      </w:r>
      <w:r w:rsidR="00536B2C">
        <w:rPr>
          <w:rFonts w:ascii="Tahoma" w:hAnsi="Tahoma" w:cs="Tahoma"/>
          <w:sz w:val="24"/>
          <w:szCs w:val="24"/>
          <w:lang w:val="es-AR"/>
        </w:rPr>
        <w:t>r</w:t>
      </w:r>
      <w:r w:rsidRPr="000922CF">
        <w:rPr>
          <w:rFonts w:ascii="Tahoma" w:hAnsi="Tahoma" w:cs="Tahoma"/>
          <w:sz w:val="24"/>
          <w:szCs w:val="24"/>
          <w:lang w:val="es-AR"/>
        </w:rPr>
        <w:t xml:space="preserve"> investigaciones exhaustivas e imparciales frente a las denuncias de hechos compatibles con malos tratos y tortura que contemplen, particularmente, el enfoque de niñez.</w:t>
      </w:r>
    </w:p>
    <w:p w:rsidR="006837BF" w:rsidRPr="000922CF" w:rsidRDefault="00EC258F">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El universo de casos registrados, incluye casos individuales de violencia institucional, muertes en custodia y casos colectivos relacionados a condiciones de alojamiento de niñas, niños y adolescentes, que sirven como muestra de la modalidad que adquieren las tramitaciones judiciales las cuales, de mínima, evidencian la deficiente respuesta judicial frente a hechos constituti</w:t>
      </w:r>
      <w:r w:rsidR="004B7925" w:rsidRPr="000922CF">
        <w:rPr>
          <w:rFonts w:ascii="Tahoma" w:hAnsi="Tahoma" w:cs="Tahoma"/>
          <w:sz w:val="24"/>
          <w:szCs w:val="24"/>
          <w:lang w:val="es-AR"/>
        </w:rPr>
        <w:t xml:space="preserve">vos de violencia institucional, máxime si tenemos en cuenta que el 55% de estos casos </w:t>
      </w:r>
      <w:r w:rsidR="006837BF" w:rsidRPr="000922CF">
        <w:rPr>
          <w:rFonts w:ascii="Tahoma" w:hAnsi="Tahoma" w:cs="Tahoma"/>
          <w:sz w:val="24"/>
          <w:szCs w:val="24"/>
          <w:lang w:val="es-AR"/>
        </w:rPr>
        <w:t>se denuncia</w:t>
      </w:r>
      <w:r w:rsidR="004B7925" w:rsidRPr="000922CF">
        <w:rPr>
          <w:rFonts w:ascii="Tahoma" w:hAnsi="Tahoma" w:cs="Tahoma"/>
          <w:sz w:val="24"/>
          <w:szCs w:val="24"/>
          <w:lang w:val="es-AR"/>
        </w:rPr>
        <w:t xml:space="preserve"> el fallecimiento del niño, niña o adolescente </w:t>
      </w:r>
      <w:r w:rsidR="006837BF" w:rsidRPr="000922CF">
        <w:rPr>
          <w:rFonts w:ascii="Tahoma" w:hAnsi="Tahoma" w:cs="Tahoma"/>
          <w:sz w:val="24"/>
          <w:szCs w:val="24"/>
          <w:lang w:val="es-AR"/>
        </w:rPr>
        <w:t xml:space="preserve">y </w:t>
      </w:r>
      <w:r w:rsidR="004B7925" w:rsidRPr="000922CF">
        <w:rPr>
          <w:rFonts w:ascii="Tahoma" w:hAnsi="Tahoma" w:cs="Tahoma"/>
          <w:sz w:val="24"/>
          <w:szCs w:val="24"/>
          <w:lang w:val="es-AR"/>
        </w:rPr>
        <w:t xml:space="preserve">el 73% </w:t>
      </w:r>
      <w:r w:rsidR="006837BF" w:rsidRPr="000922CF">
        <w:rPr>
          <w:rFonts w:ascii="Tahoma" w:hAnsi="Tahoma" w:cs="Tahoma"/>
          <w:sz w:val="24"/>
          <w:szCs w:val="24"/>
          <w:lang w:val="es-AR"/>
        </w:rPr>
        <w:t xml:space="preserve">de estos son presuntos casos </w:t>
      </w:r>
      <w:r w:rsidR="004B7925" w:rsidRPr="000922CF">
        <w:rPr>
          <w:rFonts w:ascii="Tahoma" w:hAnsi="Tahoma" w:cs="Tahoma"/>
          <w:sz w:val="24"/>
          <w:szCs w:val="24"/>
          <w:lang w:val="es-AR"/>
        </w:rPr>
        <w:t xml:space="preserve"> de “gatillo fácil”. </w:t>
      </w:r>
    </w:p>
    <w:p w:rsidR="006837BF" w:rsidRPr="000922CF" w:rsidRDefault="00EC258F" w:rsidP="006837BF">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Se evidencia que las investigaciones por violencia institucional, lejos de ser imparciales, diligentes, eficientes, eficaces se llevan a cabo mediante, plazos indefinidos de duración, procesos que mayormente no superan las primeras etapas de investigación, archivo de las causas y desestimación de los hechos, casi nulas imputaciones y condenas.  En efecto, todas las investigaciones judiciales relevadas, tienen como común denominador las demoras injustificadas, principalmente, durante la etapa de instrucción (en muchos casos superan los dos años); la cual se traslada a las etapas de juicio.</w:t>
      </w:r>
      <w:r w:rsidR="008D6B36" w:rsidRPr="000922CF">
        <w:rPr>
          <w:rFonts w:ascii="Tahoma" w:hAnsi="Tahoma" w:cs="Tahoma"/>
          <w:sz w:val="24"/>
          <w:szCs w:val="24"/>
          <w:lang w:val="es-AR"/>
        </w:rPr>
        <w:t xml:space="preserve"> Existe un alto grado de las denuncias que no superan la etapa de instrucción y en muchos casos </w:t>
      </w:r>
      <w:r w:rsidR="00536B2C">
        <w:rPr>
          <w:rFonts w:ascii="Tahoma" w:hAnsi="Tahoma" w:cs="Tahoma"/>
          <w:sz w:val="24"/>
          <w:szCs w:val="24"/>
          <w:lang w:val="es-AR"/>
        </w:rPr>
        <w:t xml:space="preserve">ni </w:t>
      </w:r>
      <w:r w:rsidR="008D6B36" w:rsidRPr="000922CF">
        <w:rPr>
          <w:rFonts w:ascii="Tahoma" w:hAnsi="Tahoma" w:cs="Tahoma"/>
          <w:sz w:val="24"/>
          <w:szCs w:val="24"/>
          <w:lang w:val="es-AR"/>
        </w:rPr>
        <w:t>siquiera se logra identificar a los presuntos autores, lo que deviene en un claro incumplimiento del deber de realizar investigación diligente, en particular, en el ámbito del poder judicial.</w:t>
      </w:r>
      <w:r w:rsidR="006837BF" w:rsidRPr="000922CF">
        <w:rPr>
          <w:rFonts w:ascii="Tahoma" w:hAnsi="Tahoma" w:cs="Tahoma"/>
          <w:sz w:val="24"/>
          <w:szCs w:val="24"/>
          <w:lang w:val="es-AR"/>
        </w:rPr>
        <w:t xml:space="preserve"> A diciembre de 2024, el 48% de las investigaciones judiciales relevadas se encontraban en etapa de investigación sin imputación, el 10% tiene imputación, pero no han sido elevadas a juicio, el 10% han sido elevadas a juicio y sólo el 2% ha registrado condena. Entre las principales</w:t>
      </w:r>
      <w:r w:rsidR="006837BF" w:rsidRPr="000922CF">
        <w:rPr>
          <w:rFonts w:ascii="Tahoma" w:hAnsi="Tahoma" w:cs="Tahoma"/>
          <w:color w:val="000000"/>
          <w:sz w:val="24"/>
          <w:szCs w:val="24"/>
          <w:lang w:val="es-AR"/>
        </w:rPr>
        <w:t xml:space="preserve"> dificultades que enfrentan las investigaciones ante hechos de violencia por parte de las fuerzas de seguridad u operadores del sistema penal juvenil contra niñas, niños y adolescentes, han identificado:</w:t>
      </w:r>
    </w:p>
    <w:p w:rsidR="006837BF" w:rsidRPr="000922CF" w:rsidRDefault="006837BF" w:rsidP="00536B2C">
      <w:pPr>
        <w:pStyle w:val="Prrafodelista"/>
        <w:widowControl w:val="0"/>
        <w:numPr>
          <w:ilvl w:val="0"/>
          <w:numId w:val="8"/>
        </w:numPr>
        <w:suppressAutoHyphens w:val="0"/>
        <w:spacing w:before="120" w:line="240" w:lineRule="auto"/>
        <w:ind w:left="714" w:hanging="357"/>
        <w:contextualSpacing w:val="0"/>
        <w:jc w:val="both"/>
        <w:rPr>
          <w:rFonts w:ascii="Tahoma" w:hAnsi="Tahoma" w:cs="Tahoma"/>
          <w:sz w:val="24"/>
          <w:szCs w:val="24"/>
          <w:lang w:val="es-AR"/>
        </w:rPr>
      </w:pPr>
      <w:r w:rsidRPr="000922CF">
        <w:rPr>
          <w:rFonts w:ascii="Tahoma" w:hAnsi="Tahoma" w:cs="Tahoma"/>
          <w:sz w:val="24"/>
          <w:szCs w:val="24"/>
          <w:lang w:val="es-AR"/>
        </w:rPr>
        <w:t xml:space="preserve">Falencias en la investigación que se circunscriben a la versión que brindan las fuerzas de seguridad y autoridades administrativas. </w:t>
      </w:r>
    </w:p>
    <w:p w:rsidR="006837BF" w:rsidRPr="000922CF" w:rsidRDefault="006837BF" w:rsidP="00536B2C">
      <w:pPr>
        <w:pStyle w:val="Prrafodelista"/>
        <w:widowControl w:val="0"/>
        <w:numPr>
          <w:ilvl w:val="0"/>
          <w:numId w:val="8"/>
        </w:numPr>
        <w:suppressAutoHyphens w:val="0"/>
        <w:spacing w:before="120" w:line="240" w:lineRule="auto"/>
        <w:ind w:left="714" w:hanging="357"/>
        <w:contextualSpacing w:val="0"/>
        <w:jc w:val="both"/>
        <w:rPr>
          <w:rFonts w:ascii="Tahoma" w:hAnsi="Tahoma" w:cs="Tahoma"/>
          <w:sz w:val="24"/>
          <w:szCs w:val="24"/>
          <w:lang w:val="es-AR"/>
        </w:rPr>
      </w:pPr>
      <w:r w:rsidRPr="000922CF">
        <w:rPr>
          <w:rFonts w:ascii="Tahoma" w:hAnsi="Tahoma" w:cs="Tahoma"/>
          <w:bCs/>
          <w:sz w:val="24"/>
          <w:szCs w:val="24"/>
          <w:lang w:val="es-AR"/>
        </w:rPr>
        <w:t>Incumplimiento de estándares internacionales</w:t>
      </w:r>
      <w:r w:rsidRPr="000922CF">
        <w:rPr>
          <w:rFonts w:ascii="Tahoma" w:hAnsi="Tahoma" w:cs="Tahoma"/>
          <w:sz w:val="24"/>
          <w:szCs w:val="24"/>
          <w:lang w:val="es-AR"/>
        </w:rPr>
        <w:t xml:space="preserve"> para la investigación de muertes potencialmente ilícitas. En el caso de niñas, niños y adolescentes, se observa la falta de distinción y/o apartamiento de aquellas causas por las que se persigue a jóvenes </w:t>
      </w:r>
      <w:r w:rsidR="00D0421C">
        <w:rPr>
          <w:rFonts w:ascii="Tahoma" w:hAnsi="Tahoma" w:cs="Tahoma"/>
          <w:sz w:val="24"/>
          <w:szCs w:val="24"/>
          <w:lang w:val="es-AR"/>
        </w:rPr>
        <w:t>aparentes</w:t>
      </w:r>
      <w:r w:rsidRPr="000922CF">
        <w:rPr>
          <w:rFonts w:ascii="Tahoma" w:hAnsi="Tahoma" w:cs="Tahoma"/>
          <w:sz w:val="24"/>
          <w:szCs w:val="24"/>
          <w:lang w:val="es-AR"/>
        </w:rPr>
        <w:t xml:space="preserve"> infractores de la ley penal de las que resultan victimas ante el proceder abusivo de las fuerzas policiales. Hemos relevado que en muchos casos es la misma fiscalía la que investiga el hecho por el que se persigue penalmente al joven la que también actúa ante la muerte y/o violencia ejercida sobre él mismo en el procedimiento policial.</w:t>
      </w:r>
    </w:p>
    <w:p w:rsidR="006837BF" w:rsidRPr="000922CF" w:rsidRDefault="006837BF" w:rsidP="00536B2C">
      <w:pPr>
        <w:pStyle w:val="Prrafodelista"/>
        <w:widowControl w:val="0"/>
        <w:numPr>
          <w:ilvl w:val="0"/>
          <w:numId w:val="8"/>
        </w:numPr>
        <w:suppressAutoHyphens w:val="0"/>
        <w:spacing w:before="120" w:line="240" w:lineRule="auto"/>
        <w:ind w:left="714" w:hanging="357"/>
        <w:contextualSpacing w:val="0"/>
        <w:jc w:val="both"/>
        <w:rPr>
          <w:rFonts w:ascii="Tahoma" w:hAnsi="Tahoma" w:cs="Tahoma"/>
          <w:sz w:val="24"/>
          <w:szCs w:val="24"/>
          <w:lang w:val="es-AR"/>
        </w:rPr>
      </w:pPr>
      <w:r w:rsidRPr="000922CF">
        <w:rPr>
          <w:rFonts w:ascii="Tahoma" w:hAnsi="Tahoma" w:cs="Tahoma"/>
          <w:sz w:val="24"/>
          <w:szCs w:val="24"/>
          <w:lang w:val="es-AR"/>
        </w:rPr>
        <w:t xml:space="preserve">Desestimación de los relatos de las víctimas basada en criterios discriminatorios y estigmatizando dejando ver que la sola calidad de detenido/ imputado lo coloca en una situación no ser pasible de hechos contra violencia. </w:t>
      </w:r>
    </w:p>
    <w:p w:rsidR="006837BF" w:rsidRPr="000922CF" w:rsidRDefault="006837BF" w:rsidP="00536B2C">
      <w:pPr>
        <w:pStyle w:val="Prrafodelista"/>
        <w:widowControl w:val="0"/>
        <w:numPr>
          <w:ilvl w:val="0"/>
          <w:numId w:val="8"/>
        </w:numPr>
        <w:suppressAutoHyphens w:val="0"/>
        <w:spacing w:before="120" w:line="240" w:lineRule="auto"/>
        <w:ind w:left="714" w:hanging="357"/>
        <w:contextualSpacing w:val="0"/>
        <w:jc w:val="both"/>
        <w:rPr>
          <w:rFonts w:ascii="Tahoma" w:hAnsi="Tahoma" w:cs="Tahoma"/>
          <w:sz w:val="24"/>
          <w:szCs w:val="24"/>
          <w:lang w:val="es-AR"/>
        </w:rPr>
      </w:pPr>
      <w:r w:rsidRPr="000922CF">
        <w:rPr>
          <w:rFonts w:ascii="Tahoma" w:hAnsi="Tahoma" w:cs="Tahoma"/>
          <w:sz w:val="24"/>
          <w:szCs w:val="24"/>
          <w:lang w:val="es-AR"/>
        </w:rPr>
        <w:t xml:space="preserve">La falta de una </w:t>
      </w:r>
      <w:r w:rsidRPr="000922CF">
        <w:rPr>
          <w:rFonts w:ascii="Tahoma" w:hAnsi="Tahoma" w:cs="Tahoma"/>
          <w:bCs/>
          <w:sz w:val="24"/>
          <w:szCs w:val="24"/>
          <w:lang w:val="es-AR"/>
        </w:rPr>
        <w:t xml:space="preserve">investigación integral que incluya todas las conductas ligada al accionar </w:t>
      </w:r>
      <w:r w:rsidRPr="000922CF">
        <w:rPr>
          <w:rFonts w:ascii="Tahoma" w:hAnsi="Tahoma" w:cs="Tahoma"/>
          <w:sz w:val="24"/>
          <w:szCs w:val="24"/>
          <w:lang w:val="es-AR"/>
        </w:rPr>
        <w:t>de las fuerzas de seguridad y las autoridades a cargo de la investigación.</w:t>
      </w:r>
    </w:p>
    <w:p w:rsidR="006837BF" w:rsidRPr="000922CF" w:rsidRDefault="006837BF" w:rsidP="00536B2C">
      <w:pPr>
        <w:pStyle w:val="Prrafodelista"/>
        <w:widowControl w:val="0"/>
        <w:numPr>
          <w:ilvl w:val="0"/>
          <w:numId w:val="8"/>
        </w:numPr>
        <w:suppressAutoHyphens w:val="0"/>
        <w:spacing w:before="120" w:line="240" w:lineRule="auto"/>
        <w:ind w:left="714" w:hanging="357"/>
        <w:contextualSpacing w:val="0"/>
        <w:jc w:val="both"/>
        <w:rPr>
          <w:rFonts w:ascii="Tahoma" w:hAnsi="Tahoma" w:cs="Tahoma"/>
          <w:sz w:val="24"/>
          <w:szCs w:val="24"/>
          <w:lang w:val="es-AR"/>
        </w:rPr>
      </w:pPr>
      <w:r w:rsidRPr="000922CF">
        <w:rPr>
          <w:rFonts w:ascii="Tahoma" w:hAnsi="Tahoma" w:cs="Tahoma"/>
          <w:bCs/>
          <w:sz w:val="24"/>
          <w:szCs w:val="24"/>
          <w:lang w:val="es-AR"/>
        </w:rPr>
        <w:t>Ausencia de calificación adecuada de los delitos.</w:t>
      </w:r>
    </w:p>
    <w:p w:rsidR="00D0421C" w:rsidRDefault="00D0421C">
      <w:pPr>
        <w:spacing w:before="240" w:after="240"/>
        <w:jc w:val="both"/>
        <w:rPr>
          <w:rFonts w:ascii="Tahoma" w:hAnsi="Tahoma" w:cs="Tahoma"/>
          <w:sz w:val="24"/>
          <w:szCs w:val="24"/>
          <w:lang w:val="es-AR"/>
        </w:rPr>
      </w:pPr>
    </w:p>
    <w:p w:rsidR="00D0421C" w:rsidRDefault="00D0421C">
      <w:pPr>
        <w:spacing w:before="240" w:after="240"/>
        <w:jc w:val="both"/>
        <w:rPr>
          <w:rFonts w:ascii="Tahoma" w:hAnsi="Tahoma" w:cs="Tahoma"/>
          <w:sz w:val="24"/>
          <w:szCs w:val="24"/>
          <w:lang w:val="es-AR"/>
        </w:rPr>
      </w:pPr>
    </w:p>
    <w:p w:rsidR="0019782A" w:rsidRPr="00D0421C" w:rsidRDefault="00D0421C">
      <w:pPr>
        <w:spacing w:before="240" w:after="240"/>
        <w:jc w:val="both"/>
        <w:rPr>
          <w:rFonts w:ascii="Tahoma" w:hAnsi="Tahoma" w:cs="Tahoma"/>
          <w:i/>
          <w:sz w:val="24"/>
          <w:szCs w:val="24"/>
          <w:u w:val="single"/>
          <w:lang w:val="es-AR"/>
        </w:rPr>
      </w:pPr>
      <w:r w:rsidRPr="00D0421C">
        <w:rPr>
          <w:rFonts w:ascii="Tahoma" w:hAnsi="Tahoma" w:cs="Tahoma"/>
          <w:i/>
          <w:sz w:val="24"/>
          <w:szCs w:val="24"/>
          <w:u w:val="single"/>
          <w:lang w:val="es-AR"/>
        </w:rPr>
        <w:t>La Defensoría sugiere al Comité las siguientes recomendaciones</w:t>
      </w:r>
      <w:r w:rsidR="00EC258F" w:rsidRPr="00D0421C">
        <w:rPr>
          <w:rFonts w:ascii="Tahoma" w:hAnsi="Tahoma" w:cs="Tahoma"/>
          <w:i/>
          <w:sz w:val="24"/>
          <w:szCs w:val="24"/>
          <w:u w:val="single"/>
          <w:lang w:val="es-AR"/>
        </w:rPr>
        <w:t>:</w:t>
      </w:r>
    </w:p>
    <w:p w:rsidR="0019782A" w:rsidRPr="00D0421C" w:rsidRDefault="00EC258F" w:rsidP="00D0421C">
      <w:pPr>
        <w:numPr>
          <w:ilvl w:val="0"/>
          <w:numId w:val="4"/>
        </w:numPr>
        <w:spacing w:before="120"/>
        <w:ind w:left="714" w:hanging="357"/>
        <w:jc w:val="both"/>
        <w:rPr>
          <w:rFonts w:ascii="Tahoma" w:hAnsi="Tahoma" w:cs="Tahoma"/>
          <w:i/>
          <w:sz w:val="24"/>
          <w:szCs w:val="24"/>
          <w:u w:val="single"/>
          <w:lang w:val="es-AR"/>
        </w:rPr>
      </w:pPr>
      <w:r w:rsidRPr="00D0421C">
        <w:rPr>
          <w:rFonts w:ascii="Tahoma" w:hAnsi="Tahoma" w:cs="Tahoma"/>
          <w:i/>
          <w:sz w:val="24"/>
          <w:szCs w:val="24"/>
          <w:u w:val="single"/>
          <w:lang w:val="es-AR"/>
        </w:rPr>
        <w:t>Se inst</w:t>
      </w:r>
      <w:r w:rsidR="00D0421C">
        <w:rPr>
          <w:rFonts w:ascii="Tahoma" w:hAnsi="Tahoma" w:cs="Tahoma"/>
          <w:i/>
          <w:sz w:val="24"/>
          <w:szCs w:val="24"/>
          <w:u w:val="single"/>
          <w:lang w:val="es-AR"/>
        </w:rPr>
        <w:t>a</w:t>
      </w:r>
      <w:r w:rsidRPr="00D0421C">
        <w:rPr>
          <w:rFonts w:ascii="Tahoma" w:hAnsi="Tahoma" w:cs="Tahoma"/>
          <w:i/>
          <w:sz w:val="24"/>
          <w:szCs w:val="24"/>
          <w:u w:val="single"/>
          <w:lang w:val="es-AR"/>
        </w:rPr>
        <w:t xml:space="preserve"> a</w:t>
      </w:r>
      <w:r w:rsidR="00D0421C">
        <w:rPr>
          <w:rFonts w:ascii="Tahoma" w:hAnsi="Tahoma" w:cs="Tahoma"/>
          <w:i/>
          <w:sz w:val="24"/>
          <w:szCs w:val="24"/>
          <w:u w:val="single"/>
          <w:lang w:val="es-AR"/>
        </w:rPr>
        <w:t>l Estado a que</w:t>
      </w:r>
      <w:r w:rsidRPr="00D0421C">
        <w:rPr>
          <w:rFonts w:ascii="Tahoma" w:hAnsi="Tahoma" w:cs="Tahoma"/>
          <w:i/>
          <w:sz w:val="24"/>
          <w:szCs w:val="24"/>
          <w:u w:val="single"/>
          <w:lang w:val="es-AR"/>
        </w:rPr>
        <w:t xml:space="preserve"> </w:t>
      </w:r>
      <w:r w:rsidR="00D0421C">
        <w:rPr>
          <w:rFonts w:ascii="Tahoma" w:hAnsi="Tahoma" w:cs="Tahoma"/>
          <w:i/>
          <w:sz w:val="24"/>
          <w:szCs w:val="24"/>
          <w:u w:val="single"/>
          <w:lang w:val="es-AR"/>
        </w:rPr>
        <w:t>adecúe</w:t>
      </w:r>
      <w:r w:rsidRPr="00D0421C">
        <w:rPr>
          <w:rFonts w:ascii="Tahoma" w:hAnsi="Tahoma" w:cs="Tahoma"/>
          <w:i/>
          <w:sz w:val="24"/>
          <w:szCs w:val="24"/>
          <w:u w:val="single"/>
          <w:lang w:val="es-AR"/>
        </w:rPr>
        <w:t xml:space="preserve"> los protocolos vigentes a los estándares de derechos humanos </w:t>
      </w:r>
    </w:p>
    <w:p w:rsidR="0019782A" w:rsidRPr="00D0421C" w:rsidRDefault="00EC258F" w:rsidP="00D0421C">
      <w:pPr>
        <w:numPr>
          <w:ilvl w:val="0"/>
          <w:numId w:val="4"/>
        </w:numPr>
        <w:spacing w:before="120"/>
        <w:ind w:left="714" w:hanging="357"/>
        <w:jc w:val="both"/>
        <w:rPr>
          <w:rFonts w:ascii="Tahoma" w:hAnsi="Tahoma" w:cs="Tahoma"/>
          <w:i/>
          <w:sz w:val="24"/>
          <w:szCs w:val="24"/>
          <w:u w:val="single"/>
          <w:lang w:val="es-AR"/>
        </w:rPr>
      </w:pPr>
      <w:r w:rsidRPr="00D0421C">
        <w:rPr>
          <w:rFonts w:ascii="Tahoma" w:hAnsi="Tahoma" w:cs="Tahoma"/>
          <w:i/>
          <w:sz w:val="24"/>
          <w:szCs w:val="24"/>
          <w:u w:val="single"/>
          <w:lang w:val="es-AR"/>
        </w:rPr>
        <w:t xml:space="preserve">Se reiteren las recomendaciones realizadas en 2017 e inste a que el Estado garantice investigaciones diligentes, eficaces y objetivas sin sesgos discriminatorios en función de la calidad de la víctima. </w:t>
      </w:r>
    </w:p>
    <w:p w:rsidR="00D0421C" w:rsidRPr="000922CF" w:rsidRDefault="00D0421C" w:rsidP="00D0421C">
      <w:pPr>
        <w:spacing w:after="240"/>
        <w:ind w:left="720"/>
        <w:jc w:val="both"/>
        <w:rPr>
          <w:rFonts w:ascii="Tahoma" w:hAnsi="Tahoma" w:cs="Tahoma"/>
          <w:sz w:val="24"/>
          <w:szCs w:val="24"/>
          <w:lang w:val="es-AR"/>
        </w:rPr>
      </w:pPr>
    </w:p>
    <w:p w:rsidR="0019782A" w:rsidRPr="000922CF" w:rsidRDefault="00EC258F">
      <w:pPr>
        <w:numPr>
          <w:ilvl w:val="0"/>
          <w:numId w:val="1"/>
        </w:numPr>
        <w:spacing w:before="240" w:after="240"/>
        <w:jc w:val="both"/>
        <w:rPr>
          <w:rFonts w:ascii="Tahoma" w:hAnsi="Tahoma" w:cs="Tahoma"/>
          <w:b/>
          <w:sz w:val="24"/>
          <w:szCs w:val="24"/>
          <w:lang w:val="es-AR"/>
        </w:rPr>
      </w:pPr>
      <w:r w:rsidRPr="000922CF">
        <w:rPr>
          <w:rFonts w:ascii="Tahoma" w:hAnsi="Tahoma" w:cs="Tahoma"/>
          <w:b/>
          <w:sz w:val="24"/>
          <w:szCs w:val="24"/>
          <w:lang w:val="es-AR"/>
        </w:rPr>
        <w:t>Detenciones en comisaría. Falta de dispositivos y equipos especializados</w:t>
      </w:r>
    </w:p>
    <w:p w:rsidR="008D6B36" w:rsidRPr="000922CF" w:rsidRDefault="00EC258F">
      <w:pPr>
        <w:spacing w:before="240" w:after="240"/>
        <w:ind w:firstLine="720"/>
        <w:jc w:val="both"/>
        <w:rPr>
          <w:rFonts w:ascii="Tahoma" w:hAnsi="Tahoma" w:cs="Tahoma"/>
          <w:sz w:val="24"/>
          <w:szCs w:val="24"/>
          <w:lang w:val="es-AR"/>
        </w:rPr>
      </w:pPr>
      <w:r w:rsidRPr="000922CF">
        <w:rPr>
          <w:rFonts w:ascii="Tahoma" w:hAnsi="Tahoma" w:cs="Tahoma"/>
          <w:sz w:val="24"/>
          <w:szCs w:val="24"/>
          <w:lang w:val="es-AR"/>
        </w:rPr>
        <w:t>Se ha relevado por parte de esta Defensoría que aún son muy pocas las jurisdicciones que cuentan con una intervención especializada en materia de aprehensión y detención de niñas, niños y adolescentes provocando</w:t>
      </w:r>
      <w:r w:rsidR="00C30B2C">
        <w:rPr>
          <w:rFonts w:ascii="Tahoma" w:hAnsi="Tahoma" w:cs="Tahoma"/>
          <w:sz w:val="24"/>
          <w:szCs w:val="24"/>
          <w:lang w:val="es-AR"/>
        </w:rPr>
        <w:t>,</w:t>
      </w:r>
      <w:r w:rsidRPr="000922CF">
        <w:rPr>
          <w:rFonts w:ascii="Tahoma" w:hAnsi="Tahoma" w:cs="Tahoma"/>
          <w:sz w:val="24"/>
          <w:szCs w:val="24"/>
          <w:lang w:val="es-AR"/>
        </w:rPr>
        <w:t xml:space="preserve"> en consecuencia, el contacto prolongado con personal de las fuerzas de seguridad, y la estadía -en ocasiones superando las 24 horas-  en comisarías de adultos, contrariando todas las recomendaciones y observaciones de los organismos internacionales y en especial del Comité sobre los Derechos del Niño. </w:t>
      </w:r>
    </w:p>
    <w:p w:rsidR="0019782A" w:rsidRPr="000922CF" w:rsidRDefault="00EC258F">
      <w:pPr>
        <w:spacing w:before="240" w:after="240"/>
        <w:ind w:firstLine="720"/>
        <w:jc w:val="both"/>
        <w:rPr>
          <w:rFonts w:ascii="Tahoma" w:hAnsi="Tahoma" w:cs="Tahoma"/>
          <w:sz w:val="24"/>
          <w:szCs w:val="24"/>
          <w:lang w:val="es-AR"/>
        </w:rPr>
      </w:pPr>
      <w:r w:rsidRPr="000922CF">
        <w:rPr>
          <w:rFonts w:ascii="Tahoma" w:hAnsi="Tahoma" w:cs="Tahoma"/>
          <w:sz w:val="24"/>
          <w:szCs w:val="24"/>
          <w:lang w:val="es-AR"/>
        </w:rPr>
        <w:t xml:space="preserve">Esta situación que se ha advertido es aún más grave en las ciudades al interior de las </w:t>
      </w:r>
      <w:r w:rsidR="00C30B2C">
        <w:rPr>
          <w:rFonts w:ascii="Tahoma" w:hAnsi="Tahoma" w:cs="Tahoma"/>
          <w:sz w:val="24"/>
          <w:szCs w:val="24"/>
          <w:lang w:val="es-AR"/>
        </w:rPr>
        <w:t>provincias</w:t>
      </w:r>
      <w:r w:rsidRPr="000922CF">
        <w:rPr>
          <w:rFonts w:ascii="Tahoma" w:hAnsi="Tahoma" w:cs="Tahoma"/>
          <w:sz w:val="24"/>
          <w:szCs w:val="24"/>
          <w:lang w:val="es-AR"/>
        </w:rPr>
        <w:t xml:space="preserve">, es decir fuera de </w:t>
      </w:r>
      <w:r w:rsidR="00C30B2C">
        <w:rPr>
          <w:rFonts w:ascii="Tahoma" w:hAnsi="Tahoma" w:cs="Tahoma"/>
          <w:sz w:val="24"/>
          <w:szCs w:val="24"/>
          <w:lang w:val="es-AR"/>
        </w:rPr>
        <w:t>sus ciudades capitales</w:t>
      </w:r>
      <w:r w:rsidRPr="000922CF">
        <w:rPr>
          <w:rFonts w:ascii="Tahoma" w:hAnsi="Tahoma" w:cs="Tahoma"/>
          <w:sz w:val="24"/>
          <w:szCs w:val="24"/>
          <w:lang w:val="es-AR"/>
        </w:rPr>
        <w:t xml:space="preserve">. Al respecto, en el año 2021, durante la Sesión N° 39 del Consejo Federal de Niñez, Adolescencia y Familia se firmó el acta acuerdo mediante la cual las 24 jurisdicciones del país se comprometieron en avanzar en una intervención especializada desde el primer momento de la aprehensión de adolescentes por motivo de la presunta comisión de un delito, por parte de las fuerzas policiales y de seguridad. Ello, </w:t>
      </w:r>
      <w:r w:rsidRPr="00C30B2C">
        <w:rPr>
          <w:rFonts w:ascii="Tahoma" w:hAnsi="Tahoma" w:cs="Tahoma"/>
          <w:i/>
          <w:sz w:val="24"/>
          <w:szCs w:val="24"/>
          <w:lang w:val="es-AR"/>
        </w:rPr>
        <w:t>“con el objeto de: -reducir, tanto como sea posible, la duración y el empleo de la fuerza pública en el contexto de una aprehensión, - procurar alternativas consistentes que eviten o reduzcan el volumen de ingresos a los dispositivos para cumplimiento de medidas penales, mediante la articulación con las instituciones del sistema de protección de derechos, en particular los organismos de protección especializados, y - para el caso que se disponga el ingreso de un/a adolescente a un dispositivo penal, ofrecer las condiciones necesarias para que se aplique la medida menos restrictiva que proceda, respetando todos sus derechos”</w:t>
      </w:r>
      <w:r w:rsidRPr="000922CF">
        <w:rPr>
          <w:rFonts w:ascii="Tahoma" w:hAnsi="Tahoma" w:cs="Tahoma"/>
          <w:sz w:val="24"/>
          <w:szCs w:val="24"/>
          <w:lang w:val="es-AR"/>
        </w:rPr>
        <w:t xml:space="preserve">. </w:t>
      </w:r>
    </w:p>
    <w:p w:rsidR="0019782A" w:rsidRPr="000922CF" w:rsidRDefault="00EC258F">
      <w:pPr>
        <w:spacing w:after="160" w:line="259" w:lineRule="auto"/>
        <w:ind w:firstLine="720"/>
        <w:jc w:val="both"/>
        <w:rPr>
          <w:rFonts w:ascii="Tahoma" w:hAnsi="Tahoma" w:cs="Tahoma"/>
          <w:color w:val="0000FF"/>
          <w:sz w:val="24"/>
          <w:szCs w:val="24"/>
          <w:lang w:val="es-AR"/>
        </w:rPr>
      </w:pPr>
      <w:r w:rsidRPr="000922CF">
        <w:rPr>
          <w:rFonts w:ascii="Tahoma" w:hAnsi="Tahoma" w:cs="Tahoma"/>
          <w:sz w:val="24"/>
          <w:szCs w:val="24"/>
          <w:lang w:val="es-AR"/>
        </w:rPr>
        <w:t>En cuanto a los dispositivos especializados en adolescentes para el primer momento de la aprehensión, al año 2024</w:t>
      </w:r>
      <w:r w:rsidR="00C30B2C">
        <w:rPr>
          <w:rFonts w:ascii="Tahoma" w:hAnsi="Tahoma" w:cs="Tahoma"/>
          <w:sz w:val="24"/>
          <w:szCs w:val="24"/>
          <w:lang w:val="es-AR"/>
        </w:rPr>
        <w:t>,</w:t>
      </w:r>
      <w:r w:rsidRPr="000922CF">
        <w:rPr>
          <w:rFonts w:ascii="Tahoma" w:hAnsi="Tahoma" w:cs="Tahoma"/>
          <w:sz w:val="24"/>
          <w:szCs w:val="24"/>
          <w:lang w:val="es-AR"/>
        </w:rPr>
        <w:t xml:space="preserve"> tan solo 8 (ocho) jurisdicciones cuentan con centros o establecimientos especializados o bien personal dependiente del organismo administrativo de niñez evitando así contacto con personal policial y el tránsito y/o alojamiento en comisarías de adultos. Si bien otras provincias han indicado que poseen dispositivos de este tipo, las características descriptas no coinciden con los criterios acordados en la Sesión Nº 39 del COFENAF. </w:t>
      </w:r>
    </w:p>
    <w:p w:rsidR="0019782A" w:rsidRPr="000922CF" w:rsidRDefault="00C30B2C">
      <w:pPr>
        <w:spacing w:before="240" w:after="240"/>
        <w:jc w:val="both"/>
        <w:rPr>
          <w:rFonts w:ascii="Tahoma" w:hAnsi="Tahoma" w:cs="Tahoma"/>
          <w:sz w:val="24"/>
          <w:szCs w:val="24"/>
          <w:lang w:val="es-AR"/>
        </w:rPr>
      </w:pPr>
      <w:r w:rsidRPr="00D0421C">
        <w:rPr>
          <w:rFonts w:ascii="Tahoma" w:hAnsi="Tahoma" w:cs="Tahoma"/>
          <w:i/>
          <w:sz w:val="24"/>
          <w:szCs w:val="24"/>
          <w:u w:val="single"/>
          <w:lang w:val="es-AR"/>
        </w:rPr>
        <w:t>La Defensoría sugiere al Comité las siguientes recomendaciones</w:t>
      </w:r>
      <w:r w:rsidR="00EC258F" w:rsidRPr="000922CF">
        <w:rPr>
          <w:rFonts w:ascii="Tahoma" w:hAnsi="Tahoma" w:cs="Tahoma"/>
          <w:sz w:val="24"/>
          <w:szCs w:val="24"/>
          <w:lang w:val="es-AR"/>
        </w:rPr>
        <w:t>:</w:t>
      </w:r>
    </w:p>
    <w:p w:rsidR="0019782A" w:rsidRPr="00C30B2C" w:rsidRDefault="00EC258F" w:rsidP="00C30B2C">
      <w:pPr>
        <w:numPr>
          <w:ilvl w:val="0"/>
          <w:numId w:val="4"/>
        </w:numPr>
        <w:spacing w:before="120"/>
        <w:ind w:left="714" w:hanging="357"/>
        <w:jc w:val="both"/>
        <w:rPr>
          <w:rFonts w:ascii="Tahoma" w:hAnsi="Tahoma" w:cs="Tahoma"/>
          <w:i/>
          <w:sz w:val="24"/>
          <w:szCs w:val="24"/>
          <w:u w:val="single"/>
          <w:lang w:val="es-AR"/>
        </w:rPr>
      </w:pPr>
      <w:r w:rsidRPr="00C30B2C">
        <w:rPr>
          <w:rFonts w:ascii="Tahoma" w:hAnsi="Tahoma" w:cs="Tahoma"/>
          <w:i/>
          <w:sz w:val="24"/>
          <w:szCs w:val="24"/>
          <w:u w:val="single"/>
          <w:lang w:val="es-AR"/>
        </w:rPr>
        <w:t>Se inste al Estado a que garantice dispositivos especializados con personal capacitado especialmente en materia de derechos humanos de niñas, niños y adolescentes y equipos interdisciplinarios para el momento posterior inmediato a la aprehensión y/o detención que eviten un contacto prolongado con las fuerzas de seguridad y/o el tránsito en un establecimiento policial de adultos.</w:t>
      </w:r>
    </w:p>
    <w:p w:rsidR="0019782A" w:rsidRDefault="00EC258F" w:rsidP="00C30B2C">
      <w:pPr>
        <w:numPr>
          <w:ilvl w:val="0"/>
          <w:numId w:val="4"/>
        </w:numPr>
        <w:spacing w:before="120"/>
        <w:ind w:left="714" w:hanging="357"/>
        <w:jc w:val="both"/>
        <w:rPr>
          <w:rFonts w:ascii="Tahoma" w:hAnsi="Tahoma" w:cs="Tahoma"/>
          <w:i/>
          <w:sz w:val="24"/>
          <w:szCs w:val="24"/>
          <w:u w:val="single"/>
          <w:lang w:val="es-AR"/>
        </w:rPr>
      </w:pPr>
      <w:r w:rsidRPr="00C30B2C">
        <w:rPr>
          <w:rFonts w:ascii="Tahoma" w:hAnsi="Tahoma" w:cs="Tahoma"/>
          <w:i/>
          <w:sz w:val="24"/>
          <w:szCs w:val="24"/>
          <w:u w:val="single"/>
          <w:lang w:val="es-AR"/>
        </w:rPr>
        <w:t xml:space="preserve">Se inste al Estado a garantizar la defensa técnica jurídica especializada desde el primer momento de aprehensión de un niño, niña o adolescente, sin perjuicio de la puesta en conocimiento inmediata al Juzgado interviniente. </w:t>
      </w:r>
    </w:p>
    <w:p w:rsidR="00C30B2C" w:rsidRPr="00C30B2C" w:rsidRDefault="00C30B2C" w:rsidP="00C30B2C">
      <w:pPr>
        <w:spacing w:before="120"/>
        <w:ind w:left="714"/>
        <w:jc w:val="both"/>
        <w:rPr>
          <w:rFonts w:ascii="Tahoma" w:hAnsi="Tahoma" w:cs="Tahoma"/>
          <w:i/>
          <w:sz w:val="24"/>
          <w:szCs w:val="24"/>
          <w:u w:val="single"/>
          <w:lang w:val="es-AR"/>
        </w:rPr>
      </w:pPr>
    </w:p>
    <w:p w:rsidR="0019782A" w:rsidRPr="000922CF" w:rsidRDefault="00EC258F">
      <w:pPr>
        <w:numPr>
          <w:ilvl w:val="0"/>
          <w:numId w:val="1"/>
        </w:numPr>
        <w:spacing w:before="240" w:after="240" w:line="276" w:lineRule="auto"/>
        <w:jc w:val="both"/>
        <w:rPr>
          <w:rFonts w:ascii="Tahoma" w:hAnsi="Tahoma" w:cs="Tahoma"/>
          <w:b/>
          <w:sz w:val="24"/>
          <w:szCs w:val="24"/>
          <w:lang w:val="es-AR"/>
        </w:rPr>
      </w:pPr>
      <w:r w:rsidRPr="000922CF">
        <w:rPr>
          <w:rFonts w:ascii="Tahoma" w:hAnsi="Tahoma" w:cs="Tahoma"/>
          <w:b/>
          <w:sz w:val="24"/>
          <w:szCs w:val="24"/>
          <w:lang w:val="es-AR"/>
        </w:rPr>
        <w:t>Medidas privativas de la libertad. Penas asimilables a tortura.</w:t>
      </w:r>
    </w:p>
    <w:p w:rsidR="0019782A" w:rsidRPr="000922CF" w:rsidRDefault="00EC258F">
      <w:pPr>
        <w:spacing w:before="240" w:after="240" w:line="276" w:lineRule="auto"/>
        <w:ind w:firstLine="720"/>
        <w:jc w:val="both"/>
        <w:rPr>
          <w:rFonts w:ascii="Tahoma" w:eastAsia="Arial" w:hAnsi="Tahoma" w:cs="Tahoma"/>
          <w:sz w:val="22"/>
          <w:szCs w:val="22"/>
          <w:lang w:val="es-AR"/>
        </w:rPr>
      </w:pPr>
      <w:r w:rsidRPr="000922CF">
        <w:rPr>
          <w:rFonts w:ascii="Tahoma" w:hAnsi="Tahoma" w:cs="Tahoma"/>
          <w:sz w:val="24"/>
          <w:szCs w:val="24"/>
          <w:lang w:val="es-AR"/>
        </w:rPr>
        <w:t xml:space="preserve">Una de las situaciones más graves que representa la violación a la normativa internacional es la aplicación de penas </w:t>
      </w:r>
      <w:r w:rsidR="00200703">
        <w:rPr>
          <w:rFonts w:ascii="Tahoma" w:hAnsi="Tahoma" w:cs="Tahoma"/>
          <w:sz w:val="24"/>
          <w:szCs w:val="24"/>
          <w:lang w:val="es-AR"/>
        </w:rPr>
        <w:t xml:space="preserve">de privación de libertad </w:t>
      </w:r>
      <w:r w:rsidRPr="000922CF">
        <w:rPr>
          <w:rFonts w:ascii="Tahoma" w:hAnsi="Tahoma" w:cs="Tahoma"/>
          <w:sz w:val="24"/>
          <w:szCs w:val="24"/>
          <w:lang w:val="es-AR"/>
        </w:rPr>
        <w:t xml:space="preserve">mayores a los 10 años (penas altas) sobre adolescentes punibles, esto es, a quienes hayan cometido un delito entre los 16 y los 18 años de edad existiendo una vacancia en la construcción y registro de estos datos. </w:t>
      </w:r>
    </w:p>
    <w:p w:rsidR="0019782A" w:rsidRPr="000922CF" w:rsidRDefault="00EC258F">
      <w:pPr>
        <w:spacing w:before="240" w:after="240" w:line="276" w:lineRule="auto"/>
        <w:ind w:firstLine="720"/>
        <w:jc w:val="both"/>
        <w:rPr>
          <w:rFonts w:ascii="Tahoma" w:hAnsi="Tahoma" w:cs="Tahoma"/>
          <w:sz w:val="24"/>
          <w:szCs w:val="24"/>
          <w:lang w:val="es-AR"/>
        </w:rPr>
      </w:pPr>
      <w:r w:rsidRPr="000922CF">
        <w:rPr>
          <w:rFonts w:ascii="Tahoma" w:hAnsi="Tahoma" w:cs="Tahoma"/>
          <w:sz w:val="24"/>
          <w:szCs w:val="24"/>
          <w:lang w:val="es-AR"/>
        </w:rPr>
        <w:t>La Defensoría ha efectuado un relevamiento</w:t>
      </w:r>
      <w:r w:rsidR="0003564C" w:rsidRPr="000922CF">
        <w:rPr>
          <w:rFonts w:ascii="Tahoma" w:hAnsi="Tahoma" w:cs="Tahoma"/>
          <w:sz w:val="24"/>
          <w:szCs w:val="24"/>
          <w:lang w:val="es-AR"/>
        </w:rPr>
        <w:t xml:space="preserve"> propio</w:t>
      </w:r>
      <w:r w:rsidRPr="000922CF">
        <w:rPr>
          <w:rFonts w:ascii="Tahoma" w:hAnsi="Tahoma" w:cs="Tahoma"/>
          <w:sz w:val="24"/>
          <w:szCs w:val="24"/>
          <w:lang w:val="es-AR"/>
        </w:rPr>
        <w:t xml:space="preserve"> de las condenas impuestas a personas que cometieron delitos siendo menores de edad advirtiendo que, en materia de base de datos nacional, existen pocos registros que no cruzan ni intercambian información entre sí. Se evidencia la ausencia de un registro unificado de la cantidad de condenas y montos de pena impuestas a personas que cometieron delitos siendo menores de edad; m</w:t>
      </w:r>
      <w:r w:rsidR="00A63E01">
        <w:rPr>
          <w:rFonts w:ascii="Tahoma" w:hAnsi="Tahoma" w:cs="Tahoma"/>
          <w:sz w:val="24"/>
          <w:szCs w:val="24"/>
          <w:lang w:val="es-AR"/>
        </w:rPr>
        <w:t>á</w:t>
      </w:r>
      <w:r w:rsidRPr="000922CF">
        <w:rPr>
          <w:rFonts w:ascii="Tahoma" w:hAnsi="Tahoma" w:cs="Tahoma"/>
          <w:sz w:val="24"/>
          <w:szCs w:val="24"/>
          <w:lang w:val="es-AR"/>
        </w:rPr>
        <w:t xml:space="preserve">s aún aquellas que implican privación de libertad. Ello configura un hecho de gravedad institucional pasible de acarrear responsabilidad internacional al Estado Argentino. En efecto, la inexistencia de alguna agencia estatal que centralice dicho dato impide realizar un seguimiento sobre la imposición de penas a personas que hubieren cometido delitos siendo menores </w:t>
      </w:r>
      <w:r w:rsidR="00A63E01">
        <w:rPr>
          <w:rFonts w:ascii="Tahoma" w:hAnsi="Tahoma" w:cs="Tahoma"/>
          <w:sz w:val="24"/>
          <w:szCs w:val="24"/>
          <w:lang w:val="es-AR"/>
        </w:rPr>
        <w:t>entre los</w:t>
      </w:r>
      <w:r w:rsidRPr="000922CF">
        <w:rPr>
          <w:rFonts w:ascii="Tahoma" w:hAnsi="Tahoma" w:cs="Tahoma"/>
          <w:sz w:val="24"/>
          <w:szCs w:val="24"/>
          <w:lang w:val="es-AR"/>
        </w:rPr>
        <w:t xml:space="preserve"> 16 a 18 años. Esto a su vez imposibilita dimensionar el impacto de dichas sentencias y monitorear el grado de cumplimiento de la normativa internacional y nacional. El principal obstáculo es la falta de registro y de producción de datos confiables de todas las justicias provinciales y la nacional, incluida la propia Corte Suprema de Justicia de la Nación. </w:t>
      </w:r>
    </w:p>
    <w:p w:rsidR="0019782A" w:rsidRPr="000922CF" w:rsidRDefault="00EC258F">
      <w:pPr>
        <w:spacing w:before="240" w:after="240" w:line="276" w:lineRule="auto"/>
        <w:ind w:firstLine="720"/>
        <w:jc w:val="both"/>
        <w:rPr>
          <w:rFonts w:ascii="Tahoma" w:hAnsi="Tahoma" w:cs="Tahoma"/>
          <w:sz w:val="24"/>
          <w:szCs w:val="24"/>
          <w:lang w:val="es-AR"/>
        </w:rPr>
      </w:pPr>
      <w:r w:rsidRPr="000922CF">
        <w:rPr>
          <w:rFonts w:ascii="Tahoma" w:hAnsi="Tahoma" w:cs="Tahoma"/>
          <w:sz w:val="24"/>
          <w:szCs w:val="24"/>
          <w:lang w:val="es-AR"/>
        </w:rPr>
        <w:t>Sin perjuicio de ello, se pudo identificar un universo de casos con condenas alta</w:t>
      </w:r>
      <w:r w:rsidRPr="000922CF">
        <w:rPr>
          <w:rFonts w:ascii="Tahoma" w:hAnsi="Tahoma" w:cs="Tahoma"/>
          <w:sz w:val="24"/>
          <w:szCs w:val="24"/>
          <w:vertAlign w:val="superscript"/>
          <w:lang w:val="es-AR"/>
        </w:rPr>
        <w:footnoteReference w:id="3"/>
      </w:r>
      <w:r w:rsidRPr="000922CF">
        <w:rPr>
          <w:rFonts w:ascii="Tahoma" w:hAnsi="Tahoma" w:cs="Tahoma"/>
          <w:sz w:val="24"/>
          <w:szCs w:val="24"/>
          <w:lang w:val="es-AR"/>
        </w:rPr>
        <w:t xml:space="preserve"> a partir de la información relevada de las respuestas brindadas por parte de diversos organismos de jurisdicción nacional, provincial y federal y pertenecientes a los poderes judicial y ejecutivo. Desde el ámbito nacional se recibieron respuestas de parte de organismos pertenecientes al poder judicial de jurisdicción tanto </w:t>
      </w:r>
      <w:r w:rsidR="00A63E01">
        <w:rPr>
          <w:rFonts w:ascii="Tahoma" w:hAnsi="Tahoma" w:cs="Tahoma"/>
          <w:sz w:val="24"/>
          <w:szCs w:val="24"/>
          <w:lang w:val="es-AR"/>
        </w:rPr>
        <w:t>provincial</w:t>
      </w:r>
      <w:r w:rsidRPr="000922CF">
        <w:rPr>
          <w:rFonts w:ascii="Tahoma" w:hAnsi="Tahoma" w:cs="Tahoma"/>
          <w:sz w:val="24"/>
          <w:szCs w:val="24"/>
          <w:lang w:val="es-AR"/>
        </w:rPr>
        <w:t xml:space="preserve"> como federal. Desde el nivel provincial se recibieron respuestas de organismos pertenecientes al poder ejecutivo y judicial.</w:t>
      </w:r>
    </w:p>
    <w:p w:rsidR="0019782A" w:rsidRPr="000922CF" w:rsidRDefault="00EC258F">
      <w:pPr>
        <w:spacing w:before="240" w:after="240" w:line="276" w:lineRule="auto"/>
        <w:ind w:firstLine="720"/>
        <w:jc w:val="both"/>
        <w:rPr>
          <w:rFonts w:ascii="Tahoma" w:hAnsi="Tahoma" w:cs="Tahoma"/>
          <w:sz w:val="24"/>
          <w:szCs w:val="24"/>
          <w:lang w:val="es-AR"/>
        </w:rPr>
      </w:pPr>
      <w:r w:rsidRPr="000922CF">
        <w:rPr>
          <w:rFonts w:ascii="Tahoma" w:hAnsi="Tahoma" w:cs="Tahoma"/>
          <w:sz w:val="24"/>
          <w:szCs w:val="24"/>
          <w:lang w:val="es-AR"/>
        </w:rPr>
        <w:t xml:space="preserve">De dicho relevamiento surge la aplicación de penas privativas de la libertad análoga a la de los adultos y que además se cumplen </w:t>
      </w:r>
      <w:r w:rsidR="00A63E01">
        <w:rPr>
          <w:rFonts w:ascii="Tahoma" w:hAnsi="Tahoma" w:cs="Tahoma"/>
          <w:sz w:val="24"/>
          <w:szCs w:val="24"/>
          <w:lang w:val="es-AR"/>
        </w:rPr>
        <w:t xml:space="preserve">en </w:t>
      </w:r>
      <w:r w:rsidRPr="000922CF">
        <w:rPr>
          <w:rFonts w:ascii="Tahoma" w:hAnsi="Tahoma" w:cs="Tahoma"/>
          <w:sz w:val="24"/>
          <w:szCs w:val="24"/>
          <w:lang w:val="es-AR"/>
        </w:rPr>
        <w:t xml:space="preserve">unidades penitenciarias donde sufren las mismas vulneraciones de derechos que los adultos (ya relevadas por este Comité); montos </w:t>
      </w:r>
      <w:r w:rsidR="00CC2BCD" w:rsidRPr="000922CF">
        <w:rPr>
          <w:rFonts w:ascii="Tahoma" w:hAnsi="Tahoma" w:cs="Tahoma"/>
          <w:sz w:val="24"/>
          <w:szCs w:val="24"/>
          <w:lang w:val="es-AR"/>
        </w:rPr>
        <w:t>que,</w:t>
      </w:r>
      <w:r w:rsidRPr="000922CF">
        <w:rPr>
          <w:rFonts w:ascii="Tahoma" w:hAnsi="Tahoma" w:cs="Tahoma"/>
          <w:sz w:val="24"/>
          <w:szCs w:val="24"/>
          <w:lang w:val="es-AR"/>
        </w:rPr>
        <w:t xml:space="preserve"> al tratarse de niñas, niños y adolescentes, convierten a estas condenas en penas asimilables a tortura. La Corte Interamericana de Derechos Humanos ha establecido </w:t>
      </w:r>
      <w:r w:rsidR="00CC2BCD" w:rsidRPr="000922CF">
        <w:rPr>
          <w:rFonts w:ascii="Tahoma" w:hAnsi="Tahoma" w:cs="Tahoma"/>
          <w:sz w:val="24"/>
          <w:szCs w:val="24"/>
          <w:lang w:val="es-AR"/>
        </w:rPr>
        <w:t>que,</w:t>
      </w:r>
      <w:r w:rsidRPr="000922CF">
        <w:rPr>
          <w:rFonts w:ascii="Tahoma" w:hAnsi="Tahoma" w:cs="Tahoma"/>
          <w:sz w:val="24"/>
          <w:szCs w:val="24"/>
          <w:lang w:val="es-AR"/>
        </w:rPr>
        <w:t xml:space="preserve"> en la justicia penal juvenil, no cualquier condena es válida, sino aquella que es conteste con todo el ordenamiento normativo de derechos humanos de la infancia y en tal sentido refiere que las penas deben respetar el principio de proporcionalidad (</w:t>
      </w:r>
      <w:r w:rsidRPr="000922CF">
        <w:rPr>
          <w:rFonts w:ascii="Tahoma" w:hAnsi="Tahoma" w:cs="Tahoma"/>
          <w:i/>
          <w:sz w:val="24"/>
          <w:szCs w:val="24"/>
          <w:lang w:val="es-AR"/>
        </w:rPr>
        <w:t>Caso Mendoza y otros Vs. Argentina).</w:t>
      </w:r>
      <w:r w:rsidRPr="000922CF">
        <w:rPr>
          <w:rFonts w:ascii="Tahoma" w:hAnsi="Tahoma" w:cs="Tahoma"/>
          <w:sz w:val="24"/>
          <w:szCs w:val="24"/>
          <w:lang w:val="es-AR"/>
        </w:rPr>
        <w:t xml:space="preserve"> Este principio se conjuga con el principio de mínima intervención, ultima ratio, principio de lesividad, y razonabilidad de la pena y en tal sentido, cualquier pena a aplicarse a adolescentes debe ser resultado del análisis que se realice de estos principios en simultáneo y tiene que responder al fin de la reinserción social que persigue la justicia juvenil; y en caso de tener que imponerse penas privativas de libertad deben ser por el menor tiempo posible y revisadas periódicamente. </w:t>
      </w:r>
    </w:p>
    <w:p w:rsidR="0019782A" w:rsidRPr="000922CF" w:rsidRDefault="00EC258F">
      <w:pPr>
        <w:spacing w:before="240" w:after="240" w:line="276" w:lineRule="auto"/>
        <w:ind w:firstLine="720"/>
        <w:jc w:val="both"/>
        <w:rPr>
          <w:rFonts w:ascii="Tahoma" w:hAnsi="Tahoma" w:cs="Tahoma"/>
          <w:sz w:val="24"/>
          <w:szCs w:val="24"/>
          <w:lang w:val="es-AR"/>
        </w:rPr>
      </w:pPr>
      <w:r w:rsidRPr="000922CF">
        <w:rPr>
          <w:rFonts w:ascii="Tahoma" w:hAnsi="Tahoma" w:cs="Tahoma"/>
          <w:sz w:val="24"/>
          <w:szCs w:val="24"/>
          <w:lang w:val="es-AR"/>
        </w:rPr>
        <w:t xml:space="preserve">En otro orden, se ha relevado que en la mayoría de los casos se impone el cumplimiento de la totalidad de la pena sin contemplar la posibilidad del acceso a las salidas anticipadas incluso por delitos no violentos y la aplicación de las disposiciones de la Ley 24.660 modificada  en 2017, que ha sido motivo de preocupación del Comité en su último informe (párr. 17) en tanto imposibilita el acceso a salidas anticipadas a un número amplio de condenados impidiendo su reinserción social (arts. 2 y 16). </w:t>
      </w:r>
    </w:p>
    <w:p w:rsidR="00A63E01" w:rsidRPr="000922CF" w:rsidRDefault="00A63E01" w:rsidP="00A63E01">
      <w:pPr>
        <w:spacing w:before="240" w:after="240"/>
        <w:jc w:val="both"/>
        <w:rPr>
          <w:rFonts w:ascii="Tahoma" w:hAnsi="Tahoma" w:cs="Tahoma"/>
          <w:sz w:val="24"/>
          <w:szCs w:val="24"/>
          <w:lang w:val="es-AR"/>
        </w:rPr>
      </w:pPr>
      <w:r w:rsidRPr="00D0421C">
        <w:rPr>
          <w:rFonts w:ascii="Tahoma" w:hAnsi="Tahoma" w:cs="Tahoma"/>
          <w:i/>
          <w:sz w:val="24"/>
          <w:szCs w:val="24"/>
          <w:u w:val="single"/>
          <w:lang w:val="es-AR"/>
        </w:rPr>
        <w:t>La Defensoría sugiere al Comité la siguiente recomendaci</w:t>
      </w:r>
      <w:r>
        <w:rPr>
          <w:rFonts w:ascii="Tahoma" w:hAnsi="Tahoma" w:cs="Tahoma"/>
          <w:i/>
          <w:sz w:val="24"/>
          <w:szCs w:val="24"/>
          <w:u w:val="single"/>
          <w:lang w:val="es-AR"/>
        </w:rPr>
        <w:t>ón</w:t>
      </w:r>
      <w:r w:rsidRPr="000922CF">
        <w:rPr>
          <w:rFonts w:ascii="Tahoma" w:hAnsi="Tahoma" w:cs="Tahoma"/>
          <w:sz w:val="24"/>
          <w:szCs w:val="24"/>
          <w:lang w:val="es-AR"/>
        </w:rPr>
        <w:t>:</w:t>
      </w:r>
    </w:p>
    <w:p w:rsidR="00A63E01" w:rsidRDefault="00EC258F" w:rsidP="00A63E01">
      <w:pPr>
        <w:numPr>
          <w:ilvl w:val="0"/>
          <w:numId w:val="4"/>
        </w:numPr>
        <w:spacing w:before="120"/>
        <w:ind w:left="714" w:hanging="357"/>
        <w:jc w:val="both"/>
        <w:rPr>
          <w:rFonts w:ascii="Tahoma" w:hAnsi="Tahoma" w:cs="Tahoma"/>
          <w:i/>
          <w:sz w:val="24"/>
          <w:szCs w:val="24"/>
          <w:u w:val="single"/>
          <w:lang w:val="es-AR"/>
        </w:rPr>
      </w:pPr>
      <w:r w:rsidRPr="00A63E01">
        <w:rPr>
          <w:rFonts w:ascii="Tahoma" w:hAnsi="Tahoma" w:cs="Tahoma"/>
          <w:i/>
          <w:sz w:val="24"/>
          <w:szCs w:val="24"/>
          <w:u w:val="single"/>
          <w:lang w:val="es-AR"/>
        </w:rPr>
        <w:t xml:space="preserve">Se inste al Estado a que garantice la efectiva utilización: </w:t>
      </w:r>
    </w:p>
    <w:p w:rsidR="00A63E01" w:rsidRDefault="00EC258F" w:rsidP="00A63E01">
      <w:pPr>
        <w:ind w:left="714"/>
        <w:jc w:val="both"/>
        <w:rPr>
          <w:rFonts w:ascii="Tahoma" w:hAnsi="Tahoma" w:cs="Tahoma"/>
          <w:i/>
          <w:sz w:val="24"/>
          <w:szCs w:val="24"/>
          <w:u w:val="single"/>
          <w:lang w:val="es-AR"/>
        </w:rPr>
      </w:pPr>
      <w:r w:rsidRPr="00A63E01">
        <w:rPr>
          <w:rFonts w:ascii="Tahoma" w:hAnsi="Tahoma" w:cs="Tahoma"/>
          <w:i/>
          <w:sz w:val="24"/>
          <w:szCs w:val="24"/>
          <w:u w:val="single"/>
          <w:lang w:val="es-AR"/>
        </w:rPr>
        <w:t>i) medidas alternativas a la privación de libertad,</w:t>
      </w:r>
    </w:p>
    <w:p w:rsidR="00A63E01" w:rsidRDefault="00EC258F" w:rsidP="00A63E01">
      <w:pPr>
        <w:ind w:left="714"/>
        <w:jc w:val="both"/>
        <w:rPr>
          <w:rFonts w:ascii="Tahoma" w:hAnsi="Tahoma" w:cs="Tahoma"/>
          <w:i/>
          <w:sz w:val="24"/>
          <w:szCs w:val="24"/>
          <w:u w:val="single"/>
          <w:lang w:val="es-AR"/>
        </w:rPr>
      </w:pPr>
      <w:r w:rsidRPr="00A63E01">
        <w:rPr>
          <w:rFonts w:ascii="Tahoma" w:hAnsi="Tahoma" w:cs="Tahoma"/>
          <w:i/>
          <w:sz w:val="24"/>
          <w:szCs w:val="24"/>
          <w:u w:val="single"/>
          <w:lang w:val="es-AR"/>
        </w:rPr>
        <w:t>ii) el acceso a salidas anticipadas y</w:t>
      </w:r>
    </w:p>
    <w:p w:rsidR="0019782A" w:rsidRDefault="00EC258F" w:rsidP="00A63E01">
      <w:pPr>
        <w:ind w:left="714"/>
        <w:jc w:val="both"/>
        <w:rPr>
          <w:rFonts w:ascii="Tahoma" w:hAnsi="Tahoma" w:cs="Tahoma"/>
          <w:i/>
          <w:sz w:val="24"/>
          <w:szCs w:val="24"/>
          <w:u w:val="single"/>
          <w:lang w:val="es-AR"/>
        </w:rPr>
      </w:pPr>
      <w:r w:rsidRPr="00A63E01">
        <w:rPr>
          <w:rFonts w:ascii="Tahoma" w:hAnsi="Tahoma" w:cs="Tahoma"/>
          <w:i/>
          <w:sz w:val="24"/>
          <w:szCs w:val="24"/>
          <w:u w:val="single"/>
          <w:lang w:val="es-AR"/>
        </w:rPr>
        <w:t xml:space="preserve">iii)  imposición de pena que sea respetuosas del principio de proporcional y especialidad que se exige para la justicia penal juvenil </w:t>
      </w:r>
      <w:r w:rsidR="00CC2BCD" w:rsidRPr="00A63E01">
        <w:rPr>
          <w:rFonts w:ascii="Tahoma" w:hAnsi="Tahoma" w:cs="Tahoma"/>
          <w:i/>
          <w:sz w:val="24"/>
          <w:szCs w:val="24"/>
          <w:u w:val="single"/>
          <w:lang w:val="es-AR"/>
        </w:rPr>
        <w:t xml:space="preserve">en tanto </w:t>
      </w:r>
      <w:r w:rsidRPr="00A63E01">
        <w:rPr>
          <w:rFonts w:ascii="Tahoma" w:hAnsi="Tahoma" w:cs="Tahoma"/>
          <w:i/>
          <w:sz w:val="24"/>
          <w:szCs w:val="24"/>
          <w:u w:val="single"/>
          <w:lang w:val="es-AR"/>
        </w:rPr>
        <w:t>persona menor de edad de quien resulta condenado/a.</w:t>
      </w:r>
    </w:p>
    <w:p w:rsidR="00A63E01" w:rsidRDefault="00A63E01" w:rsidP="00A63E01">
      <w:pPr>
        <w:spacing w:before="120"/>
        <w:ind w:left="714"/>
        <w:jc w:val="both"/>
        <w:rPr>
          <w:rFonts w:ascii="Tahoma" w:hAnsi="Tahoma" w:cs="Tahoma"/>
          <w:i/>
          <w:sz w:val="24"/>
          <w:szCs w:val="24"/>
          <w:u w:val="single"/>
          <w:lang w:val="es-AR"/>
        </w:rPr>
      </w:pPr>
    </w:p>
    <w:p w:rsidR="00A63E01" w:rsidRPr="00A63E01" w:rsidRDefault="00A63E01" w:rsidP="00A63E01">
      <w:pPr>
        <w:spacing w:before="120"/>
        <w:ind w:left="714"/>
        <w:jc w:val="both"/>
        <w:rPr>
          <w:rFonts w:ascii="Tahoma" w:hAnsi="Tahoma" w:cs="Tahoma"/>
          <w:i/>
          <w:sz w:val="24"/>
          <w:szCs w:val="24"/>
          <w:u w:val="single"/>
          <w:lang w:val="es-AR"/>
        </w:rPr>
      </w:pPr>
    </w:p>
    <w:p w:rsidR="0019782A" w:rsidRPr="000922CF" w:rsidRDefault="00EC258F">
      <w:pPr>
        <w:numPr>
          <w:ilvl w:val="0"/>
          <w:numId w:val="1"/>
        </w:numPr>
        <w:rPr>
          <w:rFonts w:ascii="Tahoma" w:hAnsi="Tahoma" w:cs="Tahoma"/>
          <w:sz w:val="24"/>
          <w:szCs w:val="24"/>
          <w:lang w:val="es-AR"/>
        </w:rPr>
      </w:pPr>
      <w:r w:rsidRPr="000922CF">
        <w:rPr>
          <w:rFonts w:ascii="Tahoma" w:hAnsi="Tahoma" w:cs="Tahoma"/>
          <w:b/>
          <w:sz w:val="24"/>
          <w:szCs w:val="24"/>
          <w:lang w:val="es-AR"/>
        </w:rPr>
        <w:t>Grupo particularmente vulnerables: Migrantes y población indígena</w:t>
      </w:r>
      <w:r w:rsidRPr="000922CF">
        <w:rPr>
          <w:rFonts w:ascii="Tahoma" w:hAnsi="Tahoma" w:cs="Tahoma"/>
          <w:sz w:val="24"/>
          <w:szCs w:val="24"/>
          <w:lang w:val="es-AR"/>
        </w:rPr>
        <w:t xml:space="preserve">. </w:t>
      </w:r>
    </w:p>
    <w:p w:rsidR="0019782A" w:rsidRPr="000922CF" w:rsidRDefault="00EC258F">
      <w:pPr>
        <w:spacing w:before="200" w:line="276" w:lineRule="auto"/>
        <w:ind w:right="20"/>
        <w:jc w:val="both"/>
        <w:rPr>
          <w:rFonts w:ascii="Tahoma" w:hAnsi="Tahoma" w:cs="Tahoma"/>
          <w:b/>
          <w:sz w:val="24"/>
          <w:szCs w:val="24"/>
          <w:lang w:val="es-AR"/>
        </w:rPr>
      </w:pPr>
      <w:r w:rsidRPr="000922CF">
        <w:rPr>
          <w:rFonts w:ascii="Tahoma" w:hAnsi="Tahoma" w:cs="Tahoma"/>
          <w:b/>
          <w:sz w:val="24"/>
          <w:szCs w:val="24"/>
          <w:lang w:val="es-AR"/>
        </w:rPr>
        <w:t>Migrantes</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t xml:space="preserve">Si bien en Argentina se logró la sanción de la Ley Nacional 25.871 que establece una Política Migratoria acorde a los estándares de derechos humanos, hubo distintos intentos de establecer modificaciones que resultaron regresivas para toda la población migrante. Así, en el año 2017 se dictó el decreto de necesidad y urgencia N°70 </w:t>
      </w:r>
      <w:r w:rsidR="00261EE6">
        <w:rPr>
          <w:rFonts w:ascii="Tahoma" w:hAnsi="Tahoma" w:cs="Tahoma"/>
          <w:sz w:val="24"/>
          <w:szCs w:val="24"/>
          <w:lang w:val="es-AR"/>
        </w:rPr>
        <w:t xml:space="preserve">(DNU Nº 70/2017) </w:t>
      </w:r>
      <w:r w:rsidRPr="000922CF">
        <w:rPr>
          <w:rFonts w:ascii="Tahoma" w:hAnsi="Tahoma" w:cs="Tahoma"/>
          <w:sz w:val="24"/>
          <w:szCs w:val="24"/>
          <w:lang w:val="es-AR"/>
        </w:rPr>
        <w:t>el cual modificó sustancialmente el espíritu de dicha norma y trajo consigo procedimientos regresivos y vulneratorios de derechos y garantías de niñas, niños y adolescentes migrantes</w:t>
      </w:r>
      <w:r w:rsidR="00261EE6">
        <w:rPr>
          <w:rFonts w:ascii="Tahoma" w:hAnsi="Tahoma" w:cs="Tahoma"/>
          <w:sz w:val="24"/>
          <w:szCs w:val="24"/>
          <w:lang w:val="es-AR"/>
        </w:rPr>
        <w:t xml:space="preserve">. </w:t>
      </w:r>
      <w:r w:rsidRPr="000922CF">
        <w:rPr>
          <w:rFonts w:ascii="Tahoma" w:hAnsi="Tahoma" w:cs="Tahoma"/>
          <w:sz w:val="24"/>
          <w:szCs w:val="24"/>
          <w:lang w:val="es-AR"/>
        </w:rPr>
        <w:t xml:space="preserve"> </w:t>
      </w:r>
      <w:r w:rsidR="00261EE6">
        <w:rPr>
          <w:rFonts w:ascii="Tahoma" w:hAnsi="Tahoma" w:cs="Tahoma"/>
          <w:sz w:val="24"/>
          <w:szCs w:val="24"/>
          <w:lang w:val="es-AR"/>
        </w:rPr>
        <w:t>D</w:t>
      </w:r>
      <w:r w:rsidR="00CC2BCD" w:rsidRPr="000922CF">
        <w:rPr>
          <w:rFonts w:ascii="Tahoma" w:hAnsi="Tahoma" w:cs="Tahoma"/>
          <w:sz w:val="24"/>
          <w:szCs w:val="24"/>
          <w:lang w:val="es-AR"/>
        </w:rPr>
        <w:t xml:space="preserve">icho decreto </w:t>
      </w:r>
      <w:r w:rsidRPr="000922CF">
        <w:rPr>
          <w:rFonts w:ascii="Tahoma" w:hAnsi="Tahoma" w:cs="Tahoma"/>
          <w:sz w:val="24"/>
          <w:szCs w:val="24"/>
          <w:lang w:val="es-AR"/>
        </w:rPr>
        <w:t>fue derogado posteriormente</w:t>
      </w:r>
      <w:r w:rsidR="003263F2" w:rsidRPr="000922CF">
        <w:rPr>
          <w:rFonts w:ascii="Tahoma" w:hAnsi="Tahoma" w:cs="Tahoma"/>
          <w:sz w:val="24"/>
          <w:szCs w:val="24"/>
          <w:lang w:val="es-AR"/>
        </w:rPr>
        <w:t xml:space="preserve"> en el año 2021</w:t>
      </w:r>
      <w:r w:rsidRPr="000922CF">
        <w:rPr>
          <w:rFonts w:ascii="Tahoma" w:hAnsi="Tahoma" w:cs="Tahoma"/>
          <w:sz w:val="24"/>
          <w:szCs w:val="24"/>
          <w:lang w:val="es-AR"/>
        </w:rPr>
        <w:t>.</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t xml:space="preserve">Actualmente, la política migratoria Argentina ha vuelto a ser fijada desde medidas regresivas con el dictado del DNU </w:t>
      </w:r>
      <w:r w:rsidR="00261EE6">
        <w:rPr>
          <w:rFonts w:ascii="Tahoma" w:hAnsi="Tahoma" w:cs="Tahoma"/>
          <w:sz w:val="24"/>
          <w:szCs w:val="24"/>
          <w:lang w:val="es-AR"/>
        </w:rPr>
        <w:t xml:space="preserve">Nº </w:t>
      </w:r>
      <w:r w:rsidRPr="000922CF">
        <w:rPr>
          <w:rFonts w:ascii="Tahoma" w:hAnsi="Tahoma" w:cs="Tahoma"/>
          <w:sz w:val="24"/>
          <w:szCs w:val="24"/>
          <w:lang w:val="es-AR"/>
        </w:rPr>
        <w:t xml:space="preserve">366/2025, afectando seriamente el derecho de niñas, niños y adolescentes a la igualdad, al acceso a la justicia, a la salud y educación, a la libertad y a la unificación familiar, ello en franca contradicción con lo normado por todo el </w:t>
      </w:r>
      <w:r w:rsidRPr="000922CF">
        <w:rPr>
          <w:rFonts w:ascii="Tahoma" w:hAnsi="Tahoma" w:cs="Tahoma"/>
          <w:i/>
          <w:sz w:val="24"/>
          <w:szCs w:val="24"/>
          <w:lang w:val="es-AR"/>
        </w:rPr>
        <w:t>corpus iuris</w:t>
      </w:r>
      <w:r w:rsidRPr="000922CF">
        <w:rPr>
          <w:rFonts w:ascii="Tahoma" w:hAnsi="Tahoma" w:cs="Tahoma"/>
          <w:sz w:val="24"/>
          <w:szCs w:val="24"/>
          <w:lang w:val="es-AR"/>
        </w:rPr>
        <w:t xml:space="preserve"> internacional para la protección de los derechos humanos.</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t>Entre algunas de las medidas establecidas, se establece el arancelamiento de la atención en salud para aquellas personas que no cuenten con residencia permanente, exceptuando las emergencias. Las personas que cuenten con residencias temporarias, precarias o irregulares estarán privadas de derechos humanos fundamentales y expuestos a mayor vulnerabilidad y exclusión. A</w:t>
      </w:r>
      <w:r w:rsidR="00261EE6">
        <w:rPr>
          <w:rFonts w:ascii="Tahoma" w:hAnsi="Tahoma" w:cs="Tahoma"/>
          <w:sz w:val="24"/>
          <w:szCs w:val="24"/>
          <w:lang w:val="es-AR"/>
        </w:rPr>
        <w:t>demás,</w:t>
      </w:r>
      <w:r w:rsidRPr="000922CF">
        <w:rPr>
          <w:rFonts w:ascii="Tahoma" w:hAnsi="Tahoma" w:cs="Tahoma"/>
          <w:sz w:val="24"/>
          <w:szCs w:val="24"/>
          <w:lang w:val="es-AR"/>
        </w:rPr>
        <w:t xml:space="preserve"> se incorporan mayores obstáculos para acceder a la residencia permanente.</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r>
      <w:r w:rsidR="00261EE6">
        <w:rPr>
          <w:rFonts w:ascii="Tahoma" w:hAnsi="Tahoma" w:cs="Tahoma"/>
          <w:sz w:val="24"/>
          <w:szCs w:val="24"/>
          <w:lang w:val="es-AR"/>
        </w:rPr>
        <w:t>Este último decreto</w:t>
      </w:r>
      <w:r w:rsidRPr="000922CF">
        <w:rPr>
          <w:rFonts w:ascii="Tahoma" w:hAnsi="Tahoma" w:cs="Tahoma"/>
          <w:sz w:val="24"/>
          <w:szCs w:val="24"/>
          <w:lang w:val="es-AR"/>
        </w:rPr>
        <w:t xml:space="preserve"> establece criterios que constituyen obstáculos para el disfrute del derecho a la vida familia</w:t>
      </w:r>
      <w:r w:rsidR="00261EE6">
        <w:rPr>
          <w:rFonts w:ascii="Tahoma" w:hAnsi="Tahoma" w:cs="Tahoma"/>
          <w:sz w:val="24"/>
          <w:szCs w:val="24"/>
          <w:lang w:val="es-AR"/>
        </w:rPr>
        <w:t>r</w:t>
      </w:r>
      <w:r w:rsidRPr="000922CF">
        <w:rPr>
          <w:rFonts w:ascii="Tahoma" w:hAnsi="Tahoma" w:cs="Tahoma"/>
          <w:sz w:val="24"/>
          <w:szCs w:val="24"/>
          <w:lang w:val="es-AR"/>
        </w:rPr>
        <w:t xml:space="preserve"> y a la unidad de la familia protegido por la Convención sobre los Derechos del Niño</w:t>
      </w:r>
      <w:r w:rsidR="00535549" w:rsidRPr="000922CF">
        <w:rPr>
          <w:rFonts w:ascii="Tahoma" w:hAnsi="Tahoma" w:cs="Tahoma"/>
          <w:sz w:val="24"/>
          <w:szCs w:val="24"/>
          <w:lang w:val="es-AR"/>
        </w:rPr>
        <w:t xml:space="preserve"> ya que </w:t>
      </w:r>
      <w:r w:rsidRPr="000922CF">
        <w:rPr>
          <w:rFonts w:ascii="Tahoma" w:hAnsi="Tahoma" w:cs="Tahoma"/>
          <w:sz w:val="24"/>
          <w:szCs w:val="24"/>
          <w:lang w:val="es-AR"/>
        </w:rPr>
        <w:t xml:space="preserve">se incorporan requisitos que </w:t>
      </w:r>
      <w:r w:rsidR="00535549" w:rsidRPr="000922CF">
        <w:rPr>
          <w:rFonts w:ascii="Tahoma" w:hAnsi="Tahoma" w:cs="Tahoma"/>
          <w:sz w:val="24"/>
          <w:szCs w:val="24"/>
          <w:lang w:val="es-AR"/>
        </w:rPr>
        <w:t xml:space="preserve">habilitan </w:t>
      </w:r>
      <w:r w:rsidRPr="000922CF">
        <w:rPr>
          <w:rFonts w:ascii="Tahoma" w:hAnsi="Tahoma" w:cs="Tahoma"/>
          <w:sz w:val="24"/>
          <w:szCs w:val="24"/>
          <w:lang w:val="es-AR"/>
        </w:rPr>
        <w:t xml:space="preserve">una evaluación discrecional </w:t>
      </w:r>
      <w:r w:rsidR="00535549" w:rsidRPr="000922CF">
        <w:rPr>
          <w:rFonts w:ascii="Tahoma" w:hAnsi="Tahoma" w:cs="Tahoma"/>
          <w:sz w:val="24"/>
          <w:szCs w:val="24"/>
          <w:lang w:val="es-AR"/>
        </w:rPr>
        <w:t xml:space="preserve">y arbitraria, </w:t>
      </w:r>
      <w:r w:rsidRPr="000922CF">
        <w:rPr>
          <w:rFonts w:ascii="Tahoma" w:hAnsi="Tahoma" w:cs="Tahoma"/>
          <w:sz w:val="24"/>
          <w:szCs w:val="24"/>
          <w:lang w:val="es-AR"/>
        </w:rPr>
        <w:t>contrariando los derechos humanos de las infancias y adolescencias.</w:t>
      </w:r>
    </w:p>
    <w:p w:rsidR="00261EE6" w:rsidRDefault="00261EE6">
      <w:pPr>
        <w:spacing w:before="200" w:line="276" w:lineRule="auto"/>
        <w:ind w:right="20"/>
        <w:jc w:val="both"/>
        <w:rPr>
          <w:rFonts w:ascii="Tahoma" w:hAnsi="Tahoma" w:cs="Tahoma"/>
          <w:b/>
          <w:sz w:val="24"/>
          <w:szCs w:val="24"/>
          <w:lang w:val="es-AR"/>
        </w:rPr>
      </w:pPr>
    </w:p>
    <w:p w:rsidR="0019782A" w:rsidRPr="000922CF" w:rsidRDefault="00EC258F">
      <w:pPr>
        <w:spacing w:before="200" w:line="276" w:lineRule="auto"/>
        <w:ind w:right="20"/>
        <w:jc w:val="both"/>
        <w:rPr>
          <w:rFonts w:ascii="Tahoma" w:hAnsi="Tahoma" w:cs="Tahoma"/>
          <w:b/>
          <w:sz w:val="24"/>
          <w:szCs w:val="24"/>
          <w:lang w:val="es-AR"/>
        </w:rPr>
      </w:pPr>
      <w:r w:rsidRPr="000922CF">
        <w:rPr>
          <w:rFonts w:ascii="Tahoma" w:hAnsi="Tahoma" w:cs="Tahoma"/>
          <w:b/>
          <w:sz w:val="24"/>
          <w:szCs w:val="24"/>
          <w:lang w:val="es-AR"/>
        </w:rPr>
        <w:t>Indígenas</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t>Nuestro país cuenta con una amplia normativa nacional y convencional que protege los derechos de los pueblos indígenas, así en el año 2006 se sancionó la Ley Nacional N° 26.160 sobre Relevamiento Territorial de Comunidades Indígenas, por la que se declara la emergencia en materia de posesión y propiedad de las tierras que tradicionalmente ocupan las comunidades indígenas originarias del país, estableciendo la suspensión por el plazo de la emergencia declarada, de la ejecución de sentencias, actos procesales o administrativos, cuyo objeto sea el desalojo o desocupación de dichas tierras.</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t>El plazo que establecía la ley había sido prorrogado por el Decreto N°</w:t>
      </w:r>
      <w:r w:rsidR="00261EE6">
        <w:rPr>
          <w:rFonts w:ascii="Tahoma" w:hAnsi="Tahoma" w:cs="Tahoma"/>
          <w:sz w:val="24"/>
          <w:szCs w:val="24"/>
          <w:lang w:val="es-AR"/>
        </w:rPr>
        <w:t xml:space="preserve"> </w:t>
      </w:r>
      <w:r w:rsidRPr="000922CF">
        <w:rPr>
          <w:rFonts w:ascii="Tahoma" w:hAnsi="Tahoma" w:cs="Tahoma"/>
          <w:sz w:val="24"/>
          <w:szCs w:val="24"/>
          <w:lang w:val="es-AR"/>
        </w:rPr>
        <w:t>805/2021, hasta el 23 de noviembre de 2025. Sin embargo, recientemente el Decreto Nº 1083/2024 derogó el decreto 805/2021, finalizando así la emergencia en materia de posesión y propiedad de las tierras de las comunidades indígenas y la suspensión de desalojos, lo cual representa un claro retroceso en materia de los derechos humanos de los pueblos indígenas de toda la Argentina. En este sentido preocupa particularmente el agravamiento de las situaciones violentas en los desalojos que se producen en tierras tradicionalmente ocupadas por pueblos indígenas, familias, niñas, niños y adolescentes.</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r>
      <w:r w:rsidR="00535549" w:rsidRPr="000922CF">
        <w:rPr>
          <w:rFonts w:ascii="Tahoma" w:hAnsi="Tahoma" w:cs="Tahoma"/>
          <w:sz w:val="24"/>
          <w:szCs w:val="24"/>
          <w:lang w:val="es-AR"/>
        </w:rPr>
        <w:t xml:space="preserve">A su vez, </w:t>
      </w:r>
      <w:r w:rsidRPr="000922CF">
        <w:rPr>
          <w:rFonts w:ascii="Tahoma" w:hAnsi="Tahoma" w:cs="Tahoma"/>
          <w:sz w:val="24"/>
          <w:szCs w:val="24"/>
          <w:lang w:val="es-AR"/>
        </w:rPr>
        <w:t>resulta alarmante la suspensión del Registro Nacional de Comunidades Indígenas y de las solicitudes en trámite para el otorgamiento de personerías jurídicas de las comunidades (Véase Resolución INAI N°53/2024).</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t>Sumado a lo precedentemente mencionado, se revocaron resoluciones que reconocían la ocupación actual, tradicional y públi</w:t>
      </w:r>
      <w:r w:rsidR="00490CC7" w:rsidRPr="000922CF">
        <w:rPr>
          <w:rFonts w:ascii="Tahoma" w:hAnsi="Tahoma" w:cs="Tahoma"/>
          <w:sz w:val="24"/>
          <w:szCs w:val="24"/>
          <w:lang w:val="es-AR"/>
        </w:rPr>
        <w:t>ca a comunidades determinadas, tal como es</w:t>
      </w:r>
      <w:r w:rsidRPr="000922CF">
        <w:rPr>
          <w:rFonts w:ascii="Tahoma" w:hAnsi="Tahoma" w:cs="Tahoma"/>
          <w:sz w:val="24"/>
          <w:szCs w:val="24"/>
          <w:lang w:val="es-AR"/>
        </w:rPr>
        <w:t xml:space="preserve"> Resolución INAI </w:t>
      </w:r>
      <w:r w:rsidR="00261EE6">
        <w:rPr>
          <w:rFonts w:ascii="Tahoma" w:hAnsi="Tahoma" w:cs="Tahoma"/>
          <w:sz w:val="24"/>
          <w:szCs w:val="24"/>
          <w:lang w:val="es-AR"/>
        </w:rPr>
        <w:t xml:space="preserve">Nº </w:t>
      </w:r>
      <w:r w:rsidRPr="000922CF">
        <w:rPr>
          <w:rFonts w:ascii="Tahoma" w:hAnsi="Tahoma" w:cs="Tahoma"/>
          <w:sz w:val="24"/>
          <w:szCs w:val="24"/>
          <w:lang w:val="es-AR"/>
        </w:rPr>
        <w:t>5/2025, lo que genera gran inseguridad para todas las comunidades. También, se derogaron programas claves como el establecido por Resolución INAI N° 235/2004</w:t>
      </w:r>
      <w:r w:rsidR="00261EE6">
        <w:rPr>
          <w:rFonts w:ascii="Tahoma" w:hAnsi="Tahoma" w:cs="Tahoma"/>
          <w:sz w:val="24"/>
          <w:szCs w:val="24"/>
          <w:lang w:val="es-AR"/>
        </w:rPr>
        <w:t>, denominado</w:t>
      </w:r>
      <w:r w:rsidRPr="000922CF">
        <w:rPr>
          <w:rFonts w:ascii="Tahoma" w:hAnsi="Tahoma" w:cs="Tahoma"/>
          <w:sz w:val="24"/>
          <w:szCs w:val="24"/>
          <w:lang w:val="es-AR"/>
        </w:rPr>
        <w:t xml:space="preserve"> Programa de Fortalecimiento Comunitario.</w:t>
      </w:r>
    </w:p>
    <w:p w:rsidR="0019782A" w:rsidRPr="000922CF" w:rsidRDefault="00EC258F">
      <w:pPr>
        <w:spacing w:before="200" w:line="276" w:lineRule="auto"/>
        <w:ind w:right="20"/>
        <w:jc w:val="both"/>
        <w:rPr>
          <w:rFonts w:ascii="Tahoma" w:hAnsi="Tahoma" w:cs="Tahoma"/>
          <w:sz w:val="24"/>
          <w:szCs w:val="24"/>
          <w:lang w:val="es-AR"/>
        </w:rPr>
      </w:pPr>
      <w:r w:rsidRPr="000922CF">
        <w:rPr>
          <w:rFonts w:ascii="Tahoma" w:hAnsi="Tahoma" w:cs="Tahoma"/>
          <w:sz w:val="24"/>
          <w:szCs w:val="24"/>
          <w:lang w:val="es-AR"/>
        </w:rPr>
        <w:t xml:space="preserve">          </w:t>
      </w:r>
      <w:r w:rsidRPr="000922CF">
        <w:rPr>
          <w:rFonts w:ascii="Tahoma" w:hAnsi="Tahoma" w:cs="Tahoma"/>
          <w:sz w:val="24"/>
          <w:szCs w:val="24"/>
          <w:lang w:val="es-AR"/>
        </w:rPr>
        <w:tab/>
        <w:t xml:space="preserve">Como puede observarse, durante estos últimos años, se han impulsado múltiples medidas que afectan directamente a los pueblos </w:t>
      </w:r>
      <w:r w:rsidR="00261EE6">
        <w:rPr>
          <w:rFonts w:ascii="Tahoma" w:hAnsi="Tahoma" w:cs="Tahoma"/>
          <w:sz w:val="24"/>
          <w:szCs w:val="24"/>
          <w:lang w:val="es-AR"/>
        </w:rPr>
        <w:t>indígenas</w:t>
      </w:r>
      <w:r w:rsidRPr="000922CF">
        <w:rPr>
          <w:rFonts w:ascii="Tahoma" w:hAnsi="Tahoma" w:cs="Tahoma"/>
          <w:sz w:val="24"/>
          <w:szCs w:val="24"/>
          <w:lang w:val="es-AR"/>
        </w:rPr>
        <w:t xml:space="preserve">. Se evidencia un contexto preocupante de desmantelamiento progresivo de políticas públicas que tendían a la protección de las comunidades indígenas, considerando la especial gravedad que reviste la situación de niñas, niños y adolescentes que forman parte de dichas comunidades. Genera </w:t>
      </w:r>
      <w:r w:rsidR="00261EE6">
        <w:rPr>
          <w:rFonts w:ascii="Tahoma" w:hAnsi="Tahoma" w:cs="Tahoma"/>
          <w:sz w:val="24"/>
          <w:szCs w:val="24"/>
          <w:lang w:val="es-AR"/>
        </w:rPr>
        <w:t>especial</w:t>
      </w:r>
      <w:r w:rsidRPr="000922CF">
        <w:rPr>
          <w:rFonts w:ascii="Tahoma" w:hAnsi="Tahoma" w:cs="Tahoma"/>
          <w:sz w:val="24"/>
          <w:szCs w:val="24"/>
          <w:lang w:val="es-AR"/>
        </w:rPr>
        <w:t xml:space="preserve"> preocupación el contexto de violencias creciente y los discursos estigmatizantes que circulan respecto a los pueblos indígenas, </w:t>
      </w:r>
      <w:r w:rsidR="00261EE6">
        <w:rPr>
          <w:rFonts w:ascii="Tahoma" w:hAnsi="Tahoma" w:cs="Tahoma"/>
          <w:sz w:val="24"/>
          <w:szCs w:val="24"/>
          <w:lang w:val="es-AR"/>
        </w:rPr>
        <w:t>sus</w:t>
      </w:r>
      <w:r w:rsidRPr="000922CF">
        <w:rPr>
          <w:rFonts w:ascii="Tahoma" w:hAnsi="Tahoma" w:cs="Tahoma"/>
          <w:sz w:val="24"/>
          <w:szCs w:val="24"/>
          <w:lang w:val="es-AR"/>
        </w:rPr>
        <w:t xml:space="preserve"> referentes, las familias y niñas, niños y adolescentes que forman parte de </w:t>
      </w:r>
      <w:r w:rsidR="00261EE6">
        <w:rPr>
          <w:rFonts w:ascii="Tahoma" w:hAnsi="Tahoma" w:cs="Tahoma"/>
          <w:sz w:val="24"/>
          <w:szCs w:val="24"/>
          <w:lang w:val="es-AR"/>
        </w:rPr>
        <w:t>aquellas comunidades</w:t>
      </w:r>
      <w:r w:rsidRPr="000922CF">
        <w:rPr>
          <w:rFonts w:ascii="Tahoma" w:hAnsi="Tahoma" w:cs="Tahoma"/>
          <w:sz w:val="24"/>
          <w:szCs w:val="24"/>
          <w:lang w:val="es-AR"/>
        </w:rPr>
        <w:t>.</w:t>
      </w:r>
    </w:p>
    <w:p w:rsidR="00490CC7" w:rsidRPr="000922CF" w:rsidRDefault="00490CC7">
      <w:pPr>
        <w:spacing w:before="200" w:line="276" w:lineRule="auto"/>
        <w:ind w:right="20"/>
        <w:jc w:val="both"/>
        <w:rPr>
          <w:rFonts w:ascii="Tahoma" w:hAnsi="Tahoma" w:cs="Tahoma"/>
          <w:sz w:val="24"/>
          <w:szCs w:val="24"/>
          <w:lang w:val="es-AR"/>
        </w:rPr>
      </w:pPr>
    </w:p>
    <w:p w:rsidR="0019782A" w:rsidRPr="000922CF" w:rsidRDefault="00EC258F">
      <w:pPr>
        <w:numPr>
          <w:ilvl w:val="0"/>
          <w:numId w:val="1"/>
        </w:numPr>
        <w:spacing w:after="240"/>
        <w:jc w:val="both"/>
        <w:rPr>
          <w:rFonts w:ascii="Tahoma" w:hAnsi="Tahoma" w:cs="Tahoma"/>
          <w:b/>
          <w:sz w:val="24"/>
          <w:szCs w:val="24"/>
          <w:lang w:val="es-AR"/>
        </w:rPr>
      </w:pPr>
      <w:r w:rsidRPr="000922CF">
        <w:rPr>
          <w:rFonts w:ascii="Tahoma" w:hAnsi="Tahoma" w:cs="Tahoma"/>
          <w:b/>
          <w:sz w:val="24"/>
          <w:szCs w:val="24"/>
          <w:lang w:val="es-AR"/>
        </w:rPr>
        <w:t xml:space="preserve"> Condiciones de privación de libertad.</w:t>
      </w:r>
    </w:p>
    <w:p w:rsidR="0019782A" w:rsidRPr="000922CF" w:rsidRDefault="00EC258F" w:rsidP="00EA6017">
      <w:pPr>
        <w:rPr>
          <w:rFonts w:ascii="Tahoma" w:hAnsi="Tahoma" w:cs="Tahoma"/>
          <w:b/>
          <w:sz w:val="24"/>
          <w:szCs w:val="24"/>
          <w:lang w:val="es-AR"/>
        </w:rPr>
      </w:pPr>
      <w:r w:rsidRPr="000922CF">
        <w:rPr>
          <w:rFonts w:ascii="Tahoma" w:hAnsi="Tahoma" w:cs="Tahoma"/>
          <w:b/>
          <w:sz w:val="24"/>
          <w:szCs w:val="24"/>
          <w:lang w:val="es-AR"/>
        </w:rPr>
        <w:t>Dispositivos de alojamiento penal juvenil (centros de detención)</w:t>
      </w:r>
    </w:p>
    <w:p w:rsidR="00EA6017" w:rsidRPr="000922CF" w:rsidRDefault="00EA6017">
      <w:pPr>
        <w:ind w:firstLine="720"/>
        <w:jc w:val="both"/>
        <w:rPr>
          <w:rFonts w:ascii="Tahoma" w:hAnsi="Tahoma" w:cs="Tahoma"/>
          <w:sz w:val="24"/>
          <w:szCs w:val="24"/>
          <w:lang w:val="es-AR"/>
        </w:rPr>
      </w:pPr>
    </w:p>
    <w:p w:rsidR="0019782A" w:rsidRPr="000922CF" w:rsidRDefault="00EC258F" w:rsidP="00FC20D9">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 xml:space="preserve">La Defensoría ha podido constatar la existencia de dispositivos con gran capacidad de alojamiento (más de 30 adolescentes), con dormitorios que tienen más de 4 camas, con escaso lugar (o nulo) para el guardado de objetos personales, baños que carecen de privacidad (con duchas estilo vestuario deportivo) y en condiciones deficitarias de higiene. Además, al tratarse de amplias edificaciones que requieren de mantenimiento, los dispositivos evidencian graves deficiencias edilicias. </w:t>
      </w:r>
    </w:p>
    <w:p w:rsidR="0019782A" w:rsidRPr="000922CF" w:rsidRDefault="00EC258F" w:rsidP="00FC20D9">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También se ha relevado la carencia de personal especializado en materia de derechos humanos de niñas, niños y adolescentes y la persistencia de personal de seguridad (incluso perteneciente a servicios penitenciarios) que realiza tareas que corresponden a operadores, cuidadores o acompañantes. En relación a los equipos técnicos, se constató su insuficiencia en proporción a la cantidad de adolescentes alojados. Asimismo, se ha advertido la ausencia o insuficiencia de cuidadores/as, operadores y equipo técnico en horarios nocturnos, permaneciendo únicamente el personal de seguridad a cargo.</w:t>
      </w:r>
    </w:p>
    <w:p w:rsidR="0019782A" w:rsidRPr="000922CF" w:rsidRDefault="00EC258F" w:rsidP="00FC20D9">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 xml:space="preserve"> A través de las visitas institucionales y relevamiento llevados a cabo conjuntamente con los organismos locales de supervisión independiente, pudieron identificarse dispositivos que no garantizan íntegramente el derecho a la Educación. Concretamente se releva una escasa cantidad de horas destinadas a clase -dado que las/os adolescentes tienen menos horas de clase que las establecidas en la Ley Nacional de Educación-; ausencia de certificación de estudios que permita la continuidad de la trayectoria educativa e imposibilidad de sostener sus trayectorias educativas en los establecimientos escolares de su comunidad, pese a lo establecido en las normativas internacionales al respecto. Con relación a las actividades y talleres extracurriculares, si bien generalmente disponen de una oferta variada, no reflejan el interés o la opinión de los adolescentes, sino a lo que pudo gestionarse desde el dispositivo o el organismo del cual dependen. Además, muchas actividades se suspenden durante los recesos escolares de invierno y verano. </w:t>
      </w:r>
    </w:p>
    <w:p w:rsidR="0019782A" w:rsidRPr="000922CF" w:rsidRDefault="00EC258F" w:rsidP="00FC20D9">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 xml:space="preserve">En relación con la comunicación, se relevó heterogeneidad respecto de la prohibición/permiso de utilización de teléfonos celulares y horarios para realizar llamadas que, en algunos casos, son de apenas 10 o 15 minutos por día. Las visitas también se han relevado como punto crítico, no sólo en lo que respecta a los días permitidos para realizarse, sino también por los espacios destinados a tales efectos, que suelen ser lugares amplios, en el mismo horario para todos/as, sin ningún tipo de privacidad, por la duración, y por la ubicación del dispositivo que puede facilitar u obstaculizar las vinculaciones y visitas. </w:t>
      </w:r>
    </w:p>
    <w:p w:rsidR="00687C98" w:rsidRDefault="00EC258F" w:rsidP="00EA6017">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ab/>
        <w:t xml:space="preserve">Por último, entre las acciones realizadas por la Defensoría se ha emitido en el año 2024 la Recomendación N° 13 que versa sobre los Estándares Mínimos de Calidad en las Condiciones de Alojamiento en Dispositivos de Responsabilidad Penal Adolescente-Juvenil mediante la cual se insta al Poder Ejecutivo Nacional a establecer condiciones mínimas de alojamiento en los dispositivos de cumplimiento de medidas privativas y restrictivas de libertad, en línea con los estándares internacionales en la materia y considerando los aportes realizados en el presente documento, que promueva la adhesión de las provincias y la Ciudad de Buenos Aires, a las condiciones mínimas establecidas a nivel nacional, y que genere un plan para promover la adecuación de los dispositivos de justicia penal juvenil en todo el territorio nacional. </w:t>
      </w:r>
    </w:p>
    <w:p w:rsidR="00EA6017" w:rsidRPr="000922CF" w:rsidRDefault="00EA6017" w:rsidP="00EA6017">
      <w:pPr>
        <w:shd w:val="clear" w:color="auto" w:fill="FFFFFF"/>
        <w:spacing w:before="240" w:after="240" w:line="276" w:lineRule="auto"/>
        <w:ind w:firstLine="860"/>
        <w:jc w:val="both"/>
        <w:rPr>
          <w:rFonts w:ascii="Tahoma" w:hAnsi="Tahoma" w:cs="Tahoma"/>
          <w:sz w:val="24"/>
          <w:szCs w:val="24"/>
          <w:lang w:val="es-AR"/>
        </w:rPr>
      </w:pPr>
      <w:r w:rsidRPr="000922CF">
        <w:rPr>
          <w:rFonts w:ascii="Tahoma" w:hAnsi="Tahoma" w:cs="Tahoma"/>
          <w:sz w:val="24"/>
          <w:szCs w:val="24"/>
          <w:lang w:val="es-AR"/>
        </w:rPr>
        <w:t xml:space="preserve">En otro orden, esta Defensoría ha relevado algunas situaciones vinculadas a la modalidad que revisten los registros y requisas en dispositivos penales de niñas, niños y adolescentes, advirtiendo que en algunos casos no cuentan con protocolos que reglamenten estos procedimientos y en otros los protocolos no se adecuan a la normativa exigible en la materia. Así, se han relevado que, en algunas jurisdicciones, se llevan adelante registros invasivos que atenta contra la integridad, la intimidad y la vida tanto de quienes se encuentran privados de libertad, como de quienes acuden a visitarlos/as. </w:t>
      </w:r>
    </w:p>
    <w:p w:rsidR="00EA6017" w:rsidRPr="000922CF" w:rsidRDefault="00EA6017" w:rsidP="00EA6017">
      <w:pPr>
        <w:shd w:val="clear" w:color="auto" w:fill="FFFFFF"/>
        <w:spacing w:before="240" w:after="240" w:line="276" w:lineRule="auto"/>
        <w:ind w:firstLine="860"/>
        <w:jc w:val="both"/>
        <w:rPr>
          <w:rFonts w:ascii="Tahoma" w:hAnsi="Tahoma" w:cs="Tahoma"/>
          <w:sz w:val="24"/>
          <w:szCs w:val="24"/>
          <w:highlight w:val="yellow"/>
          <w:lang w:val="es-AR"/>
        </w:rPr>
      </w:pPr>
      <w:r w:rsidRPr="000922CF">
        <w:rPr>
          <w:rFonts w:ascii="Tahoma" w:hAnsi="Tahoma" w:cs="Tahoma"/>
          <w:sz w:val="24"/>
          <w:szCs w:val="24"/>
          <w:lang w:val="es-AR"/>
        </w:rPr>
        <w:t>Al respecto, se ha instado a la sanción, y en su caso adecuación, de protocolos por persona, objetos y sectores que sean respetuosos de los estándares de derechos humanos con especial enfoque en derechos de niñas, niños y adolescente, debiendo estar justificados y con registro documental, prohibiendo el contacto táctil, habilitando la requisa visual o por medio de detectores, garantizando la integridad de las/os adolescentes y prohibiendo todo tipo de trato cruel inhumano o degradantes; a tales fines se han elaborado recomendaciones y documentos con aportes técnicos.</w:t>
      </w:r>
    </w:p>
    <w:p w:rsidR="00687C98" w:rsidRPr="000922CF" w:rsidRDefault="00687C98" w:rsidP="00687C98">
      <w:pPr>
        <w:spacing w:before="240" w:after="240"/>
        <w:jc w:val="both"/>
        <w:rPr>
          <w:rFonts w:ascii="Tahoma" w:hAnsi="Tahoma" w:cs="Tahoma"/>
          <w:sz w:val="24"/>
          <w:szCs w:val="24"/>
          <w:lang w:val="es-AR"/>
        </w:rPr>
      </w:pPr>
      <w:r w:rsidRPr="00D0421C">
        <w:rPr>
          <w:rFonts w:ascii="Tahoma" w:hAnsi="Tahoma" w:cs="Tahoma"/>
          <w:i/>
          <w:sz w:val="24"/>
          <w:szCs w:val="24"/>
          <w:u w:val="single"/>
          <w:lang w:val="es-AR"/>
        </w:rPr>
        <w:t>La Defensoría sugiere al Comité la siguiente recomendaci</w:t>
      </w:r>
      <w:r>
        <w:rPr>
          <w:rFonts w:ascii="Tahoma" w:hAnsi="Tahoma" w:cs="Tahoma"/>
          <w:i/>
          <w:sz w:val="24"/>
          <w:szCs w:val="24"/>
          <w:u w:val="single"/>
          <w:lang w:val="es-AR"/>
        </w:rPr>
        <w:t>ón</w:t>
      </w:r>
      <w:r w:rsidRPr="000922CF">
        <w:rPr>
          <w:rFonts w:ascii="Tahoma" w:hAnsi="Tahoma" w:cs="Tahoma"/>
          <w:sz w:val="24"/>
          <w:szCs w:val="24"/>
          <w:lang w:val="es-AR"/>
        </w:rPr>
        <w:t>:</w:t>
      </w:r>
    </w:p>
    <w:p w:rsidR="0019782A" w:rsidRPr="00687C98" w:rsidRDefault="00EC258F">
      <w:pPr>
        <w:numPr>
          <w:ilvl w:val="0"/>
          <w:numId w:val="4"/>
        </w:numPr>
        <w:spacing w:before="240"/>
        <w:jc w:val="both"/>
        <w:rPr>
          <w:rFonts w:ascii="Tahoma" w:hAnsi="Tahoma" w:cs="Tahoma"/>
          <w:i/>
          <w:sz w:val="24"/>
          <w:szCs w:val="24"/>
          <w:u w:val="single"/>
          <w:lang w:val="es-AR"/>
        </w:rPr>
      </w:pPr>
      <w:r w:rsidRPr="00687C98">
        <w:rPr>
          <w:rFonts w:ascii="Tahoma" w:hAnsi="Tahoma" w:cs="Tahoma"/>
          <w:i/>
          <w:sz w:val="24"/>
          <w:szCs w:val="24"/>
          <w:u w:val="single"/>
          <w:lang w:val="es-AR"/>
        </w:rPr>
        <w:t>Se reitere las recomendaciones y observaciones dirigidas al Estado elaboradas por el Subcomité para la Prevención de la Tortura y Otros Tratos o Penas Crueles, Inhumanos o Degradantes en su informe de visita en abril de 2022 especialmente aquellas iden</w:t>
      </w:r>
      <w:r w:rsidR="00687C98">
        <w:rPr>
          <w:rFonts w:ascii="Tahoma" w:hAnsi="Tahoma" w:cs="Tahoma"/>
          <w:i/>
          <w:sz w:val="24"/>
          <w:szCs w:val="24"/>
          <w:u w:val="single"/>
          <w:lang w:val="es-AR"/>
        </w:rPr>
        <w:t>ti</w:t>
      </w:r>
      <w:r w:rsidRPr="00687C98">
        <w:rPr>
          <w:rFonts w:ascii="Tahoma" w:hAnsi="Tahoma" w:cs="Tahoma"/>
          <w:i/>
          <w:sz w:val="24"/>
          <w:szCs w:val="24"/>
          <w:u w:val="single"/>
          <w:lang w:val="es-AR"/>
        </w:rPr>
        <w:t>ficadas en el Punto 126.</w:t>
      </w:r>
    </w:p>
    <w:p w:rsidR="0019782A" w:rsidRPr="00687C98" w:rsidRDefault="00EC258F">
      <w:pPr>
        <w:numPr>
          <w:ilvl w:val="0"/>
          <w:numId w:val="4"/>
        </w:numPr>
        <w:spacing w:before="240"/>
        <w:jc w:val="both"/>
        <w:rPr>
          <w:rFonts w:ascii="Tahoma" w:hAnsi="Tahoma" w:cs="Tahoma"/>
          <w:i/>
          <w:sz w:val="24"/>
          <w:szCs w:val="24"/>
          <w:u w:val="single"/>
          <w:lang w:val="es-AR"/>
        </w:rPr>
      </w:pPr>
      <w:r w:rsidRPr="00687C98">
        <w:rPr>
          <w:rFonts w:ascii="Tahoma" w:hAnsi="Tahoma" w:cs="Tahoma"/>
          <w:i/>
          <w:sz w:val="24"/>
          <w:szCs w:val="24"/>
          <w:u w:val="single"/>
          <w:lang w:val="es-AR"/>
        </w:rPr>
        <w:t xml:space="preserve">Se inste al Estado a elaborar </w:t>
      </w:r>
      <w:r w:rsidR="00687C98">
        <w:rPr>
          <w:rFonts w:ascii="Tahoma" w:hAnsi="Tahoma" w:cs="Tahoma"/>
          <w:i/>
          <w:sz w:val="24"/>
          <w:szCs w:val="24"/>
          <w:u w:val="single"/>
          <w:lang w:val="es-AR"/>
        </w:rPr>
        <w:t>normativas con</w:t>
      </w:r>
      <w:r w:rsidRPr="00687C98">
        <w:rPr>
          <w:rFonts w:ascii="Tahoma" w:hAnsi="Tahoma" w:cs="Tahoma"/>
          <w:i/>
          <w:sz w:val="24"/>
          <w:szCs w:val="24"/>
          <w:u w:val="single"/>
          <w:lang w:val="es-AR"/>
        </w:rPr>
        <w:t xml:space="preserve"> estándares de cuidado institucional y avanzar en la adecuación progresiva de los establecimientos de alojamiento del sistema penal juvenil, principalmente en las dimensiones más graves. </w:t>
      </w:r>
    </w:p>
    <w:p w:rsidR="0019782A" w:rsidRPr="00687C98" w:rsidRDefault="00EC258F">
      <w:pPr>
        <w:numPr>
          <w:ilvl w:val="0"/>
          <w:numId w:val="4"/>
        </w:numPr>
        <w:spacing w:before="240"/>
        <w:jc w:val="both"/>
        <w:rPr>
          <w:rFonts w:ascii="Tahoma" w:hAnsi="Tahoma" w:cs="Tahoma"/>
          <w:i/>
          <w:sz w:val="24"/>
          <w:szCs w:val="24"/>
          <w:u w:val="single"/>
          <w:lang w:val="es-AR"/>
        </w:rPr>
      </w:pPr>
      <w:r w:rsidRPr="00687C98">
        <w:rPr>
          <w:rFonts w:ascii="Tahoma" w:hAnsi="Tahoma" w:cs="Tahoma"/>
          <w:i/>
          <w:sz w:val="24"/>
          <w:szCs w:val="24"/>
          <w:u w:val="single"/>
          <w:lang w:val="es-AR"/>
        </w:rPr>
        <w:t xml:space="preserve">Se inste al Estado a </w:t>
      </w:r>
      <w:r w:rsidR="00687C98">
        <w:rPr>
          <w:rFonts w:ascii="Tahoma" w:hAnsi="Tahoma" w:cs="Tahoma"/>
          <w:i/>
          <w:sz w:val="24"/>
          <w:szCs w:val="24"/>
          <w:u w:val="single"/>
          <w:lang w:val="es-AR"/>
        </w:rPr>
        <w:t>realizar y difundir</w:t>
      </w:r>
      <w:r w:rsidRPr="00687C98">
        <w:rPr>
          <w:rFonts w:ascii="Tahoma" w:hAnsi="Tahoma" w:cs="Tahoma"/>
          <w:i/>
          <w:sz w:val="24"/>
          <w:szCs w:val="24"/>
          <w:u w:val="single"/>
          <w:lang w:val="es-AR"/>
        </w:rPr>
        <w:t xml:space="preserve"> el registro periódico y actualizado de los adolescentes en establecimiento</w:t>
      </w:r>
      <w:r w:rsidR="00687C98">
        <w:rPr>
          <w:rFonts w:ascii="Tahoma" w:hAnsi="Tahoma" w:cs="Tahoma"/>
          <w:i/>
          <w:sz w:val="24"/>
          <w:szCs w:val="24"/>
          <w:u w:val="single"/>
          <w:lang w:val="es-AR"/>
        </w:rPr>
        <w:t>s</w:t>
      </w:r>
      <w:r w:rsidRPr="00687C98">
        <w:rPr>
          <w:rFonts w:ascii="Tahoma" w:hAnsi="Tahoma" w:cs="Tahoma"/>
          <w:i/>
          <w:sz w:val="24"/>
          <w:szCs w:val="24"/>
          <w:u w:val="single"/>
          <w:lang w:val="es-AR"/>
        </w:rPr>
        <w:t xml:space="preserve"> de alojamiento del sistema penal juvenil.</w:t>
      </w:r>
    </w:p>
    <w:p w:rsidR="0019782A" w:rsidRPr="000922CF" w:rsidRDefault="0019782A">
      <w:pPr>
        <w:jc w:val="both"/>
        <w:rPr>
          <w:rFonts w:ascii="Tahoma" w:hAnsi="Tahoma" w:cs="Tahoma"/>
          <w:color w:val="0000FF"/>
          <w:sz w:val="24"/>
          <w:szCs w:val="24"/>
          <w:lang w:val="es-AR"/>
        </w:rPr>
      </w:pPr>
    </w:p>
    <w:p w:rsidR="0019782A" w:rsidRPr="000922CF" w:rsidRDefault="0019782A">
      <w:pPr>
        <w:jc w:val="both"/>
        <w:rPr>
          <w:rFonts w:ascii="Tahoma" w:hAnsi="Tahoma" w:cs="Tahoma"/>
          <w:color w:val="0000FF"/>
          <w:sz w:val="24"/>
          <w:szCs w:val="24"/>
          <w:lang w:val="es-AR"/>
        </w:rPr>
      </w:pPr>
    </w:p>
    <w:p w:rsidR="00EA6017" w:rsidRPr="000922CF" w:rsidRDefault="00EA6017">
      <w:pPr>
        <w:rPr>
          <w:rFonts w:ascii="Tahoma" w:hAnsi="Tahoma" w:cs="Tahoma"/>
          <w:b/>
          <w:sz w:val="24"/>
          <w:szCs w:val="24"/>
          <w:lang w:val="es-AR"/>
        </w:rPr>
      </w:pPr>
    </w:p>
    <w:p w:rsidR="00EA6017" w:rsidRPr="000922CF" w:rsidRDefault="00EA6017">
      <w:pPr>
        <w:rPr>
          <w:rFonts w:ascii="Tahoma" w:hAnsi="Tahoma" w:cs="Tahoma"/>
          <w:b/>
          <w:sz w:val="24"/>
          <w:szCs w:val="24"/>
          <w:lang w:val="es-AR"/>
        </w:rPr>
      </w:pPr>
    </w:p>
    <w:p w:rsidR="0019782A" w:rsidRPr="000922CF" w:rsidRDefault="00EC258F">
      <w:pPr>
        <w:rPr>
          <w:rFonts w:ascii="Tahoma" w:hAnsi="Tahoma" w:cs="Tahoma"/>
          <w:b/>
          <w:color w:val="0000FF"/>
          <w:sz w:val="24"/>
          <w:szCs w:val="24"/>
          <w:lang w:val="es-AR"/>
        </w:rPr>
      </w:pPr>
      <w:r w:rsidRPr="000922CF">
        <w:rPr>
          <w:rFonts w:ascii="Tahoma" w:hAnsi="Tahoma" w:cs="Tahoma"/>
          <w:b/>
          <w:sz w:val="24"/>
          <w:szCs w:val="24"/>
          <w:lang w:val="es-AR"/>
        </w:rPr>
        <w:t>Dispositivos de alojamiento proteccional (centros de acogida)</w:t>
      </w:r>
    </w:p>
    <w:p w:rsidR="0019782A" w:rsidRPr="000922CF" w:rsidRDefault="00EC258F">
      <w:pPr>
        <w:spacing w:before="240" w:after="240" w:line="259" w:lineRule="auto"/>
        <w:ind w:firstLine="720"/>
        <w:jc w:val="both"/>
        <w:rPr>
          <w:rFonts w:ascii="Tahoma" w:hAnsi="Tahoma" w:cs="Tahoma"/>
          <w:sz w:val="24"/>
          <w:szCs w:val="24"/>
          <w:lang w:val="es-AR"/>
        </w:rPr>
      </w:pPr>
      <w:r w:rsidRPr="000922CF">
        <w:rPr>
          <w:rFonts w:ascii="Tahoma" w:hAnsi="Tahoma" w:cs="Tahoma"/>
          <w:sz w:val="24"/>
          <w:szCs w:val="24"/>
          <w:lang w:val="es-AR"/>
        </w:rPr>
        <w:t>Respecto a dispositivos de alojamiento para niñas, niños y adolescentes que se encuentran bajo cuidados alternativos a la familia de origen, sea en dispositivos residenciales o dispositivos familiares (programas de acogimiento familiar) tanto el Censo Nacional de Dispositivos elaborado por el Poder Ejecutivo Nacional (2022-2023) como así también los relevamientos y monitoreo  llevados a cabo por esta Defensoría desde el año 2020</w:t>
      </w:r>
      <w:r w:rsidR="00687C98">
        <w:rPr>
          <w:rFonts w:ascii="Tahoma" w:hAnsi="Tahoma" w:cs="Tahoma"/>
          <w:sz w:val="24"/>
          <w:szCs w:val="24"/>
          <w:lang w:val="es-AR"/>
        </w:rPr>
        <w:t>,</w:t>
      </w:r>
      <w:r w:rsidRPr="000922CF">
        <w:rPr>
          <w:rFonts w:ascii="Tahoma" w:hAnsi="Tahoma" w:cs="Tahoma"/>
          <w:sz w:val="24"/>
          <w:szCs w:val="24"/>
          <w:lang w:val="es-AR"/>
        </w:rPr>
        <w:t xml:space="preserve"> dan cuenta que aún persisten situaciones críticas que merecen un abordaje inmediato. Entre ellas, la sobreocupación en relación a la capacidad de plazas disponibles, dispositivos que albergan más de 30 niñas y niños, condiciones inadecuadas de seguridad y habitabilidad, falta de proyecto institucional y protocolos, déficit en acceso a los derechos, equipos técnicos insuficientes, y operadores sin capacitación ni formación especializada. </w:t>
      </w:r>
    </w:p>
    <w:p w:rsidR="0019782A" w:rsidRPr="000922CF" w:rsidRDefault="00EC258F">
      <w:pPr>
        <w:spacing w:before="240" w:after="240" w:line="259" w:lineRule="auto"/>
        <w:ind w:firstLine="720"/>
        <w:jc w:val="both"/>
        <w:rPr>
          <w:rFonts w:ascii="Tahoma" w:hAnsi="Tahoma" w:cs="Tahoma"/>
          <w:sz w:val="24"/>
          <w:szCs w:val="24"/>
          <w:highlight w:val="yellow"/>
          <w:lang w:val="es-AR"/>
        </w:rPr>
      </w:pPr>
      <w:r w:rsidRPr="000922CF">
        <w:rPr>
          <w:rFonts w:ascii="Tahoma" w:hAnsi="Tahoma" w:cs="Tahoma"/>
          <w:sz w:val="24"/>
          <w:szCs w:val="24"/>
          <w:lang w:val="es-AR"/>
        </w:rPr>
        <w:t>Ante la falta de un marco regulatorio nacional, la Defensoría ha emitido en el año 2023 la Recomendación N° 9 sobre los estándares mínimos de calidad en las condiciones de alojamiento en dispositivos destinados a niñas, niños y adolescentes bajo cuidado del Estado, posteriormente recogida por el Consejo Federal de Niñez</w:t>
      </w:r>
      <w:r w:rsidR="00687C98">
        <w:rPr>
          <w:rFonts w:ascii="Tahoma" w:hAnsi="Tahoma" w:cs="Tahoma"/>
          <w:sz w:val="24"/>
          <w:szCs w:val="24"/>
          <w:lang w:val="es-AR"/>
        </w:rPr>
        <w:t>,</w:t>
      </w:r>
      <w:r w:rsidRPr="000922CF">
        <w:rPr>
          <w:rFonts w:ascii="Tahoma" w:hAnsi="Tahoma" w:cs="Tahoma"/>
          <w:sz w:val="24"/>
          <w:szCs w:val="24"/>
          <w:lang w:val="es-AR"/>
        </w:rPr>
        <w:t xml:space="preserve"> Adolescencia</w:t>
      </w:r>
      <w:r w:rsidR="00687C98">
        <w:rPr>
          <w:rFonts w:ascii="Tahoma" w:hAnsi="Tahoma" w:cs="Tahoma"/>
          <w:sz w:val="24"/>
          <w:szCs w:val="24"/>
          <w:lang w:val="es-AR"/>
        </w:rPr>
        <w:t xml:space="preserve"> y Familia</w:t>
      </w:r>
      <w:r w:rsidRPr="000922CF">
        <w:rPr>
          <w:rFonts w:ascii="Tahoma" w:hAnsi="Tahoma" w:cs="Tahoma"/>
          <w:sz w:val="24"/>
          <w:szCs w:val="24"/>
          <w:lang w:val="es-AR"/>
        </w:rPr>
        <w:t xml:space="preserve"> </w:t>
      </w:r>
      <w:r w:rsidR="00687C98">
        <w:rPr>
          <w:rFonts w:ascii="Tahoma" w:hAnsi="Tahoma" w:cs="Tahoma"/>
          <w:sz w:val="24"/>
          <w:szCs w:val="24"/>
          <w:lang w:val="es-AR"/>
        </w:rPr>
        <w:t>el que,</w:t>
      </w:r>
      <w:r w:rsidRPr="000922CF">
        <w:rPr>
          <w:rFonts w:ascii="Tahoma" w:hAnsi="Tahoma" w:cs="Tahoma"/>
          <w:sz w:val="24"/>
          <w:szCs w:val="24"/>
          <w:lang w:val="es-AR"/>
        </w:rPr>
        <w:t xml:space="preserve"> con la firma de las autoridades de las 24 jurisdicciones del país</w:t>
      </w:r>
      <w:r w:rsidR="00687C98">
        <w:rPr>
          <w:rFonts w:ascii="Tahoma" w:hAnsi="Tahoma" w:cs="Tahoma"/>
          <w:sz w:val="24"/>
          <w:szCs w:val="24"/>
          <w:lang w:val="es-AR"/>
        </w:rPr>
        <w:t>,</w:t>
      </w:r>
      <w:r w:rsidRPr="000922CF">
        <w:rPr>
          <w:rFonts w:ascii="Tahoma" w:hAnsi="Tahoma" w:cs="Tahoma"/>
          <w:sz w:val="24"/>
          <w:szCs w:val="24"/>
          <w:lang w:val="es-AR"/>
        </w:rPr>
        <w:t xml:space="preserve"> aprobó la “Guía de Calidad del Cuidado de Niñas, Niños y Adolescentes con Medida Excepcional en Dispositivos de Modalidad Residencial” (Acta de acuerdo en la 47º de la sesión del COFENAF - Septiembre 2023) y la “Guía de Calidad del Cuidado de Niñas, Niños y Adolescentes con Medida Excepcional en Dispositivos de Modalidad Familiar” (Acta de acuerdo en la 48º de la sesión del COFENAF - Noviembre 2023), lo cual significó un importante reconocimiento en la materia. Asimismo, entre los compromisos asumidos en el ACTA ACUERDO FEDERAL 47 y del cual no han habido ningún avance, se encuentra elaborar entre las autoridades de cada jurisdicción y la Secretaría Nacional de Niñez, Adolescencia y Familia, un plan integral bianual, que contemple la planificación y gestión de la atención prioritaria de los indicadores deficitarios relevados en los dispositivos, y de las acciones para optimizar la calidad de cuidado institucional en relación a los estándares vigentes. </w:t>
      </w:r>
      <w:r w:rsidRPr="000922CF">
        <w:rPr>
          <w:rFonts w:ascii="Tahoma" w:hAnsi="Tahoma" w:cs="Tahoma"/>
          <w:sz w:val="24"/>
          <w:szCs w:val="24"/>
          <w:highlight w:val="yellow"/>
          <w:lang w:val="es-AR"/>
        </w:rPr>
        <w:t xml:space="preserve">   </w:t>
      </w:r>
    </w:p>
    <w:p w:rsidR="0019782A" w:rsidRPr="00687C98" w:rsidRDefault="00687C98">
      <w:pPr>
        <w:spacing w:before="240" w:after="240"/>
        <w:jc w:val="both"/>
        <w:rPr>
          <w:rFonts w:ascii="Tahoma" w:hAnsi="Tahoma" w:cs="Tahoma"/>
          <w:i/>
          <w:sz w:val="24"/>
          <w:szCs w:val="24"/>
          <w:u w:val="single"/>
          <w:lang w:val="es-AR"/>
        </w:rPr>
      </w:pPr>
      <w:r w:rsidRPr="00687C98">
        <w:rPr>
          <w:rFonts w:ascii="Tahoma" w:hAnsi="Tahoma" w:cs="Tahoma"/>
          <w:i/>
          <w:sz w:val="24"/>
          <w:szCs w:val="24"/>
          <w:u w:val="single"/>
          <w:lang w:val="es-AR"/>
        </w:rPr>
        <w:t>La Defensoría sugiere al Comité la siguiente recomendación</w:t>
      </w:r>
      <w:r w:rsidR="00EC258F" w:rsidRPr="00687C98">
        <w:rPr>
          <w:rFonts w:ascii="Tahoma" w:hAnsi="Tahoma" w:cs="Tahoma"/>
          <w:i/>
          <w:sz w:val="24"/>
          <w:szCs w:val="24"/>
          <w:u w:val="single"/>
          <w:lang w:val="es-AR"/>
        </w:rPr>
        <w:t>:</w:t>
      </w:r>
    </w:p>
    <w:p w:rsidR="0019782A" w:rsidRDefault="00EC258F" w:rsidP="00687C98">
      <w:pPr>
        <w:pStyle w:val="Prrafodelista"/>
        <w:numPr>
          <w:ilvl w:val="0"/>
          <w:numId w:val="4"/>
        </w:numPr>
        <w:spacing w:before="240" w:after="240"/>
        <w:jc w:val="both"/>
        <w:rPr>
          <w:rFonts w:ascii="Tahoma" w:hAnsi="Tahoma" w:cs="Tahoma"/>
          <w:sz w:val="24"/>
          <w:szCs w:val="24"/>
          <w:lang w:val="es-AR"/>
        </w:rPr>
      </w:pPr>
      <w:r w:rsidRPr="00687C98">
        <w:rPr>
          <w:rFonts w:ascii="Tahoma" w:hAnsi="Tahoma" w:cs="Tahoma"/>
          <w:i/>
          <w:sz w:val="24"/>
          <w:szCs w:val="24"/>
          <w:u w:val="single"/>
          <w:lang w:val="es-AR"/>
        </w:rPr>
        <w:t xml:space="preserve">Instar al Estado </w:t>
      </w:r>
      <w:r w:rsidR="00687C98">
        <w:rPr>
          <w:rFonts w:ascii="Tahoma" w:hAnsi="Tahoma" w:cs="Tahoma"/>
          <w:i/>
          <w:sz w:val="24"/>
          <w:szCs w:val="24"/>
          <w:u w:val="single"/>
          <w:lang w:val="es-AR"/>
        </w:rPr>
        <w:t xml:space="preserve">a </w:t>
      </w:r>
      <w:r w:rsidRPr="00687C98">
        <w:rPr>
          <w:rFonts w:ascii="Tahoma" w:hAnsi="Tahoma" w:cs="Tahoma"/>
          <w:i/>
          <w:sz w:val="24"/>
          <w:szCs w:val="24"/>
          <w:u w:val="single"/>
          <w:lang w:val="es-AR"/>
        </w:rPr>
        <w:t>llevar a cabo, de manera progresiva, un proceso de adecuación de los dispositivos de alojamiento de niñas, niños y adolescentes sin cuidados parentales –incluida la regularización mediante convenio de los dispositivos de gestión privada– a los estándares establecidos en la normativa vigente, con el fin de mejorar las condiciones de alojamiento a través del monitoreo sistemático y la consecuente planificación de acciones.</w:t>
      </w:r>
      <w:r w:rsidRPr="00687C98">
        <w:rPr>
          <w:rFonts w:ascii="Tahoma" w:hAnsi="Tahoma" w:cs="Tahoma"/>
          <w:sz w:val="24"/>
          <w:szCs w:val="24"/>
          <w:lang w:val="es-AR"/>
        </w:rPr>
        <w:t xml:space="preserve"> </w:t>
      </w:r>
    </w:p>
    <w:p w:rsidR="00620852" w:rsidRPr="00687C98" w:rsidRDefault="00620852" w:rsidP="00620852">
      <w:pPr>
        <w:pStyle w:val="Prrafodelista"/>
        <w:spacing w:before="240" w:after="240"/>
        <w:jc w:val="both"/>
        <w:rPr>
          <w:rFonts w:ascii="Tahoma" w:hAnsi="Tahoma" w:cs="Tahoma"/>
          <w:sz w:val="24"/>
          <w:szCs w:val="24"/>
          <w:lang w:val="es-AR"/>
        </w:rPr>
      </w:pPr>
    </w:p>
    <w:p w:rsidR="0019782A" w:rsidRPr="000922CF" w:rsidRDefault="00EC258F">
      <w:pPr>
        <w:shd w:val="clear" w:color="auto" w:fill="FFFFFF"/>
        <w:spacing w:before="240" w:after="240" w:line="276" w:lineRule="auto"/>
        <w:jc w:val="both"/>
        <w:rPr>
          <w:rFonts w:ascii="Tahoma" w:hAnsi="Tahoma" w:cs="Tahoma"/>
          <w:b/>
          <w:sz w:val="24"/>
          <w:szCs w:val="24"/>
          <w:lang w:val="es-AR"/>
        </w:rPr>
      </w:pPr>
      <w:r w:rsidRPr="000922CF">
        <w:rPr>
          <w:rFonts w:ascii="Tahoma" w:hAnsi="Tahoma" w:cs="Tahoma"/>
          <w:b/>
          <w:sz w:val="24"/>
          <w:szCs w:val="24"/>
          <w:lang w:val="es-AR"/>
        </w:rPr>
        <w:t>g. Supervisión independiente</w:t>
      </w:r>
    </w:p>
    <w:p w:rsidR="0019782A" w:rsidRPr="000922CF" w:rsidRDefault="00EC258F">
      <w:pPr>
        <w:shd w:val="clear" w:color="auto" w:fill="FFFFFF"/>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Esta Defensoría, también tiene asignada como función, la coordinación de acciones de supervisión, monitoreo y control de dispositivos que se dediquen a la atención o alberguen niñas, niños y adolescentes sin cuidados parentales como de adolescentes privados de libertad por la presunta comisión de un delito</w:t>
      </w:r>
      <w:r w:rsidRPr="000922CF">
        <w:rPr>
          <w:rFonts w:ascii="Tahoma" w:hAnsi="Tahoma" w:cs="Tahoma"/>
          <w:sz w:val="24"/>
          <w:szCs w:val="24"/>
          <w:vertAlign w:val="superscript"/>
          <w:lang w:val="es-AR"/>
        </w:rPr>
        <w:footnoteReference w:id="4"/>
      </w:r>
      <w:r w:rsidRPr="000922CF">
        <w:rPr>
          <w:rFonts w:ascii="Tahoma" w:hAnsi="Tahoma" w:cs="Tahoma"/>
          <w:sz w:val="24"/>
          <w:szCs w:val="24"/>
          <w:lang w:val="es-AR"/>
        </w:rPr>
        <w:t>. De esta manera, y en su calidad de institución nacional de derechos humanos especializada en derechos de niñas, niños y adolescentes, se ha dado la tarea de coordinar, articular y colaborar tanto con los mecanismos locales de prevención contra la tortura como con los organismos e instituciones competentes que realizan funciones de monitoreo y supervisión; con el objetivo de aportar la perspectiva de derechos humanos de niñas, niños y adolescentes.</w:t>
      </w:r>
    </w:p>
    <w:p w:rsidR="0019782A" w:rsidRPr="000922CF" w:rsidRDefault="00EC258F">
      <w:pPr>
        <w:shd w:val="clear" w:color="auto" w:fill="FFFFFF"/>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En línea con dicho trabajo, se han diagramado y llevado a cabo visitas a los dispositivos públicos, privados o mixtos donde se alojan niñas, niños y adolescentes bajo el cuidado del Estado en sentido amplio (convivenciales y penales juveniles),  las que se realizan con la finalidad primordial de </w:t>
      </w:r>
      <w:r w:rsidR="00AB24B8">
        <w:rPr>
          <w:rFonts w:ascii="Tahoma" w:hAnsi="Tahoma" w:cs="Tahoma"/>
          <w:sz w:val="24"/>
          <w:szCs w:val="24"/>
          <w:lang w:val="es-AR"/>
        </w:rPr>
        <w:t>realizar</w:t>
      </w:r>
      <w:r w:rsidRPr="000922CF">
        <w:rPr>
          <w:rFonts w:ascii="Tahoma" w:hAnsi="Tahoma" w:cs="Tahoma"/>
          <w:sz w:val="24"/>
          <w:szCs w:val="24"/>
          <w:lang w:val="es-AR"/>
        </w:rPr>
        <w:t xml:space="preserve"> una acción de coordinación que contribuya al fortalecimiento u oriente el impulso de las capacidades provinciales -en este caso- a través de los organismos que deben desempeñarse como mecanismo de vigilancia independiente en las 24 jurisdicciones del país sobre los dispositivos existentes o futuros. De esta manera, la Defensoría </w:t>
      </w:r>
      <w:r w:rsidR="00AB24B8">
        <w:rPr>
          <w:rFonts w:ascii="Tahoma" w:hAnsi="Tahoma" w:cs="Tahoma"/>
          <w:sz w:val="24"/>
          <w:szCs w:val="24"/>
          <w:lang w:val="es-AR"/>
        </w:rPr>
        <w:t>dictó</w:t>
      </w:r>
      <w:r w:rsidRPr="000922CF">
        <w:rPr>
          <w:rFonts w:ascii="Tahoma" w:hAnsi="Tahoma" w:cs="Tahoma"/>
          <w:sz w:val="24"/>
          <w:szCs w:val="24"/>
          <w:lang w:val="es-AR"/>
        </w:rPr>
        <w:t xml:space="preserve"> la</w:t>
      </w:r>
      <w:r w:rsidR="00AB24B8">
        <w:rPr>
          <w:rFonts w:ascii="Tahoma" w:hAnsi="Tahoma" w:cs="Tahoma"/>
          <w:sz w:val="24"/>
          <w:szCs w:val="24"/>
          <w:lang w:val="es-AR"/>
        </w:rPr>
        <w:t>s</w:t>
      </w:r>
      <w:r w:rsidRPr="000922CF">
        <w:rPr>
          <w:rFonts w:ascii="Tahoma" w:hAnsi="Tahoma" w:cs="Tahoma"/>
          <w:sz w:val="24"/>
          <w:szCs w:val="24"/>
          <w:lang w:val="es-AR"/>
        </w:rPr>
        <w:t xml:space="preserve"> Res</w:t>
      </w:r>
      <w:r w:rsidR="00AB24B8">
        <w:rPr>
          <w:rFonts w:ascii="Tahoma" w:hAnsi="Tahoma" w:cs="Tahoma"/>
          <w:sz w:val="24"/>
          <w:szCs w:val="24"/>
          <w:lang w:val="es-AR"/>
        </w:rPr>
        <w:t>oluciones</w:t>
      </w:r>
      <w:r w:rsidRPr="000922CF">
        <w:rPr>
          <w:rFonts w:ascii="Tahoma" w:hAnsi="Tahoma" w:cs="Tahoma"/>
          <w:sz w:val="24"/>
          <w:szCs w:val="24"/>
          <w:lang w:val="es-AR"/>
        </w:rPr>
        <w:t xml:space="preserve"> </w:t>
      </w:r>
      <w:r w:rsidR="00AB24B8">
        <w:rPr>
          <w:rFonts w:ascii="Tahoma" w:hAnsi="Tahoma" w:cs="Tahoma"/>
          <w:sz w:val="24"/>
          <w:szCs w:val="24"/>
          <w:lang w:val="es-AR"/>
        </w:rPr>
        <w:t xml:space="preserve">Nº </w:t>
      </w:r>
      <w:r w:rsidRPr="000922CF">
        <w:rPr>
          <w:rFonts w:ascii="Tahoma" w:hAnsi="Tahoma" w:cs="Tahoma"/>
          <w:sz w:val="24"/>
          <w:szCs w:val="24"/>
          <w:lang w:val="es-AR"/>
        </w:rPr>
        <w:t xml:space="preserve">2/2023, </w:t>
      </w:r>
      <w:r w:rsidR="00AB24B8">
        <w:rPr>
          <w:rFonts w:ascii="Tahoma" w:hAnsi="Tahoma" w:cs="Tahoma"/>
          <w:sz w:val="24"/>
          <w:szCs w:val="24"/>
          <w:lang w:val="es-AR"/>
        </w:rPr>
        <w:t>Nº</w:t>
      </w:r>
      <w:r w:rsidRPr="000922CF">
        <w:rPr>
          <w:rFonts w:ascii="Tahoma" w:hAnsi="Tahoma" w:cs="Tahoma"/>
          <w:sz w:val="24"/>
          <w:szCs w:val="24"/>
          <w:lang w:val="es-AR"/>
        </w:rPr>
        <w:t xml:space="preserve"> 33/2</w:t>
      </w:r>
      <w:r w:rsidR="00AB24B8">
        <w:rPr>
          <w:rFonts w:ascii="Tahoma" w:hAnsi="Tahoma" w:cs="Tahoma"/>
          <w:sz w:val="24"/>
          <w:szCs w:val="24"/>
          <w:lang w:val="es-AR"/>
        </w:rPr>
        <w:t>0</w:t>
      </w:r>
      <w:r w:rsidRPr="000922CF">
        <w:rPr>
          <w:rFonts w:ascii="Tahoma" w:hAnsi="Tahoma" w:cs="Tahoma"/>
          <w:sz w:val="24"/>
          <w:szCs w:val="24"/>
          <w:lang w:val="es-AR"/>
        </w:rPr>
        <w:t xml:space="preserve">25 y </w:t>
      </w:r>
      <w:r w:rsidR="00AB24B8">
        <w:rPr>
          <w:rFonts w:ascii="Tahoma" w:hAnsi="Tahoma" w:cs="Tahoma"/>
          <w:sz w:val="24"/>
          <w:szCs w:val="24"/>
          <w:lang w:val="es-AR"/>
        </w:rPr>
        <w:t xml:space="preserve">Nº </w:t>
      </w:r>
      <w:r w:rsidRPr="000922CF">
        <w:rPr>
          <w:rFonts w:ascii="Tahoma" w:hAnsi="Tahoma" w:cs="Tahoma"/>
          <w:sz w:val="24"/>
          <w:szCs w:val="24"/>
          <w:lang w:val="es-AR"/>
        </w:rPr>
        <w:t xml:space="preserve">36/2025, </w:t>
      </w:r>
      <w:r w:rsidR="00AB24B8">
        <w:rPr>
          <w:rFonts w:ascii="Tahoma" w:hAnsi="Tahoma" w:cs="Tahoma"/>
          <w:sz w:val="24"/>
          <w:szCs w:val="24"/>
          <w:lang w:val="es-AR"/>
        </w:rPr>
        <w:t>las</w:t>
      </w:r>
      <w:r w:rsidRPr="000922CF">
        <w:rPr>
          <w:rFonts w:ascii="Tahoma" w:hAnsi="Tahoma" w:cs="Tahoma"/>
          <w:sz w:val="24"/>
          <w:szCs w:val="24"/>
          <w:lang w:val="es-AR"/>
        </w:rPr>
        <w:t xml:space="preserve"> que </w:t>
      </w:r>
      <w:r w:rsidR="00AB24B8">
        <w:rPr>
          <w:rFonts w:ascii="Tahoma" w:hAnsi="Tahoma" w:cs="Tahoma"/>
          <w:sz w:val="24"/>
          <w:szCs w:val="24"/>
          <w:lang w:val="es-AR"/>
        </w:rPr>
        <w:t>están</w:t>
      </w:r>
      <w:r w:rsidRPr="000922CF">
        <w:rPr>
          <w:rFonts w:ascii="Tahoma" w:hAnsi="Tahoma" w:cs="Tahoma"/>
          <w:sz w:val="24"/>
          <w:szCs w:val="24"/>
          <w:lang w:val="es-AR"/>
        </w:rPr>
        <w:t xml:space="preserve"> a disposición de los organismos locales de supervisión externa para que realicen un monitoreo independiente </w:t>
      </w:r>
      <w:r w:rsidR="00941E8F" w:rsidRPr="000922CF">
        <w:rPr>
          <w:rFonts w:ascii="Tahoma" w:hAnsi="Tahoma" w:cs="Tahoma"/>
          <w:sz w:val="24"/>
          <w:szCs w:val="24"/>
          <w:lang w:val="es-AR"/>
        </w:rPr>
        <w:t>incluido</w:t>
      </w:r>
      <w:r w:rsidRPr="000922CF">
        <w:rPr>
          <w:rFonts w:ascii="Tahoma" w:hAnsi="Tahoma" w:cs="Tahoma"/>
          <w:sz w:val="24"/>
          <w:szCs w:val="24"/>
          <w:lang w:val="es-AR"/>
        </w:rPr>
        <w:t xml:space="preserve"> el seguimiento y la exigibilidad, y cuyo objetivo primordial radica en garantizar el principio de especialidad en materia de derechos de niñas, niños y adolescentes.</w:t>
      </w:r>
    </w:p>
    <w:p w:rsidR="0019782A" w:rsidRPr="000922CF" w:rsidRDefault="00EC258F">
      <w:pPr>
        <w:shd w:val="clear" w:color="auto" w:fill="FFFFFF"/>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Por lo tanto, no sólo deben establecerse lineamientos nacionales que dispongan un piso mínimo para las condiciones de alojamiento en los dispositivos de justicia penal juvenil, sino también dotar a los organismos correspondientes de las herramientas suficientes para poder realizar el</w:t>
      </w:r>
      <w:r w:rsidR="00EB1547" w:rsidRPr="000922CF">
        <w:rPr>
          <w:rFonts w:ascii="Tahoma" w:hAnsi="Tahoma" w:cs="Tahoma"/>
          <w:sz w:val="24"/>
          <w:szCs w:val="24"/>
          <w:lang w:val="es-AR"/>
        </w:rPr>
        <w:t xml:space="preserve"> monitoreo y supervisión permanente</w:t>
      </w:r>
      <w:r w:rsidRPr="000922CF">
        <w:rPr>
          <w:rFonts w:ascii="Tahoma" w:hAnsi="Tahoma" w:cs="Tahoma"/>
          <w:sz w:val="24"/>
          <w:szCs w:val="24"/>
          <w:lang w:val="es-AR"/>
        </w:rPr>
        <w:t>.</w:t>
      </w:r>
    </w:p>
    <w:p w:rsidR="0019782A" w:rsidRPr="000922CF" w:rsidRDefault="00EC258F">
      <w:pPr>
        <w:shd w:val="clear" w:color="auto" w:fill="FFFFFF"/>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Esta situación va en consonancia con el sistema de supervisión multiagencial que tiene Argentina para el monitoreo y supervisión de los dispositivos que alojan personas privadas de su libertad -cualquiera sea su modalidad- y en cuyo contexto esta Defensoría </w:t>
      </w:r>
      <w:r w:rsidR="00AB24B8">
        <w:rPr>
          <w:rFonts w:ascii="Tahoma" w:hAnsi="Tahoma" w:cs="Tahoma"/>
          <w:sz w:val="24"/>
          <w:szCs w:val="24"/>
          <w:lang w:val="es-AR"/>
        </w:rPr>
        <w:t>-</w:t>
      </w:r>
      <w:r w:rsidRPr="000922CF">
        <w:rPr>
          <w:rFonts w:ascii="Tahoma" w:hAnsi="Tahoma" w:cs="Tahoma"/>
          <w:sz w:val="24"/>
          <w:szCs w:val="24"/>
          <w:lang w:val="es-AR"/>
        </w:rPr>
        <w:t>en tanto organismo especifico y especializado</w:t>
      </w:r>
      <w:r w:rsidR="00AB24B8">
        <w:rPr>
          <w:rFonts w:ascii="Tahoma" w:hAnsi="Tahoma" w:cs="Tahoma"/>
          <w:sz w:val="24"/>
          <w:szCs w:val="24"/>
          <w:lang w:val="es-AR"/>
        </w:rPr>
        <w:t>-</w:t>
      </w:r>
      <w:r w:rsidRPr="000922CF">
        <w:rPr>
          <w:rFonts w:ascii="Tahoma" w:hAnsi="Tahoma" w:cs="Tahoma"/>
          <w:sz w:val="24"/>
          <w:szCs w:val="24"/>
          <w:lang w:val="es-AR"/>
        </w:rPr>
        <w:t>, juega un rol central como observador externo para prevenir hechos de tortura y promover mejoras en su funcionamiento. Estas facultades, son concurrentes a la de otros organismos que, teniendo o no dependencia del ejecutivo, ejercen funciones similares.</w:t>
      </w:r>
    </w:p>
    <w:p w:rsidR="0019782A" w:rsidRPr="000922CF" w:rsidRDefault="00EC258F">
      <w:pPr>
        <w:shd w:val="clear" w:color="auto" w:fill="FFFFFF"/>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No obstante, preocupa a esta Defensoría la política desplegada desde el Poder Ejecutivo tendiente a desarticular, desmantelar e incluso cerrar organismos de supervisión independientes, entre ellos</w:t>
      </w:r>
      <w:r w:rsidR="00AB24B8">
        <w:rPr>
          <w:rFonts w:ascii="Tahoma" w:hAnsi="Tahoma" w:cs="Tahoma"/>
          <w:sz w:val="24"/>
          <w:szCs w:val="24"/>
          <w:lang w:val="es-AR"/>
        </w:rPr>
        <w:t>,</w:t>
      </w:r>
      <w:r w:rsidRPr="000922CF">
        <w:rPr>
          <w:rFonts w:ascii="Tahoma" w:hAnsi="Tahoma" w:cs="Tahoma"/>
          <w:sz w:val="24"/>
          <w:szCs w:val="24"/>
          <w:lang w:val="es-AR"/>
        </w:rPr>
        <w:t xml:space="preserve"> aquellos creados específicamente para la protección de derechos humanos fundamentales. Se encuentra fuertemente cuestionadas la pertinencia y necesidad de la existencia </w:t>
      </w:r>
      <w:r w:rsidR="00AB24B8">
        <w:rPr>
          <w:rFonts w:ascii="Tahoma" w:hAnsi="Tahoma" w:cs="Tahoma"/>
          <w:sz w:val="24"/>
          <w:szCs w:val="24"/>
          <w:lang w:val="es-AR"/>
        </w:rPr>
        <w:t xml:space="preserve">de </w:t>
      </w:r>
      <w:r w:rsidRPr="000922CF">
        <w:rPr>
          <w:rFonts w:ascii="Tahoma" w:hAnsi="Tahoma" w:cs="Tahoma"/>
          <w:sz w:val="24"/>
          <w:szCs w:val="24"/>
          <w:lang w:val="es-AR"/>
        </w:rPr>
        <w:t xml:space="preserve">estas instituciones lo que se puede observar en la falta o endeble designación de sus autoridades (basta con señalar que la Auditoría General de la Nación, la Defensoría del Pueblo y recientemente este Defensoría, se encuentran </w:t>
      </w:r>
      <w:r w:rsidR="00AB24B8">
        <w:rPr>
          <w:rFonts w:ascii="Tahoma" w:hAnsi="Tahoma" w:cs="Tahoma"/>
          <w:sz w:val="24"/>
          <w:szCs w:val="24"/>
          <w:lang w:val="es-AR"/>
        </w:rPr>
        <w:t>con vacancia de sus máximas autoridades</w:t>
      </w:r>
      <w:r w:rsidRPr="000922CF">
        <w:rPr>
          <w:rFonts w:ascii="Tahoma" w:hAnsi="Tahoma" w:cs="Tahoma"/>
          <w:sz w:val="24"/>
          <w:szCs w:val="24"/>
          <w:lang w:val="es-AR"/>
        </w:rPr>
        <w:t>) e incluso en otros organismos con análogas funciones</w:t>
      </w:r>
      <w:r w:rsidR="00AB24B8">
        <w:rPr>
          <w:rFonts w:ascii="Tahoma" w:hAnsi="Tahoma" w:cs="Tahoma"/>
          <w:sz w:val="24"/>
          <w:szCs w:val="24"/>
          <w:lang w:val="es-AR"/>
        </w:rPr>
        <w:t>,</w:t>
      </w:r>
      <w:r w:rsidRPr="000922CF">
        <w:rPr>
          <w:rFonts w:ascii="Tahoma" w:hAnsi="Tahoma" w:cs="Tahoma"/>
          <w:sz w:val="24"/>
          <w:szCs w:val="24"/>
          <w:lang w:val="es-AR"/>
        </w:rPr>
        <w:t xml:space="preserve"> se ha dispuesto la intervención desde el Poder Ejecutivo.</w:t>
      </w:r>
    </w:p>
    <w:p w:rsidR="0019782A" w:rsidRDefault="00EC258F">
      <w:pPr>
        <w:shd w:val="clear" w:color="auto" w:fill="FFFFFF"/>
        <w:spacing w:before="240" w:after="240" w:line="276" w:lineRule="auto"/>
        <w:ind w:firstLine="1140"/>
        <w:jc w:val="both"/>
        <w:rPr>
          <w:rFonts w:ascii="Tahoma" w:hAnsi="Tahoma" w:cs="Tahoma"/>
          <w:sz w:val="24"/>
          <w:szCs w:val="24"/>
          <w:lang w:val="es-AR"/>
        </w:rPr>
      </w:pPr>
      <w:r w:rsidRPr="000922CF">
        <w:rPr>
          <w:rFonts w:ascii="Tahoma" w:hAnsi="Tahoma" w:cs="Tahoma"/>
          <w:sz w:val="24"/>
          <w:szCs w:val="24"/>
          <w:lang w:val="es-AR"/>
        </w:rPr>
        <w:t xml:space="preserve">Ello resulta aún más preocupante en un contexto signado por políticas regresivas en materia de derechos humanos que impone la necesidad de fortalecer estas instituciones y garantizar la no obstaculización de las funciones y competencias que les corresponden en virtud de los compromisos internacionales asumidos. </w:t>
      </w:r>
    </w:p>
    <w:p w:rsidR="00AB24B8" w:rsidRPr="000922CF" w:rsidRDefault="00AB24B8">
      <w:pPr>
        <w:shd w:val="clear" w:color="auto" w:fill="FFFFFF"/>
        <w:spacing w:before="240" w:after="240" w:line="276" w:lineRule="auto"/>
        <w:ind w:firstLine="1140"/>
        <w:jc w:val="both"/>
        <w:rPr>
          <w:rFonts w:ascii="Tahoma" w:hAnsi="Tahoma" w:cs="Tahoma"/>
          <w:sz w:val="24"/>
          <w:szCs w:val="24"/>
          <w:lang w:val="es-AR"/>
        </w:rPr>
      </w:pPr>
    </w:p>
    <w:p w:rsidR="0019782A" w:rsidRPr="000922CF" w:rsidRDefault="00EC258F">
      <w:pPr>
        <w:numPr>
          <w:ilvl w:val="0"/>
          <w:numId w:val="6"/>
        </w:numPr>
        <w:pBdr>
          <w:top w:val="nil"/>
          <w:left w:val="nil"/>
          <w:bottom w:val="nil"/>
          <w:right w:val="nil"/>
          <w:between w:val="nil"/>
        </w:pBdr>
        <w:spacing w:before="240" w:after="240" w:line="240" w:lineRule="auto"/>
        <w:jc w:val="both"/>
        <w:rPr>
          <w:rFonts w:ascii="Tahoma" w:hAnsi="Tahoma" w:cs="Tahoma"/>
          <w:b/>
          <w:color w:val="000000"/>
          <w:sz w:val="24"/>
          <w:szCs w:val="24"/>
          <w:lang w:val="es-AR"/>
        </w:rPr>
      </w:pPr>
      <w:r w:rsidRPr="000922CF">
        <w:rPr>
          <w:rFonts w:ascii="Tahoma" w:hAnsi="Tahoma" w:cs="Tahoma"/>
          <w:b/>
          <w:color w:val="000000"/>
          <w:sz w:val="24"/>
          <w:szCs w:val="24"/>
          <w:lang w:val="es-AR"/>
        </w:rPr>
        <w:t>Otros temas. Propuestas legislativas regresivas.</w:t>
      </w:r>
    </w:p>
    <w:p w:rsidR="0019782A" w:rsidRPr="000922CF" w:rsidRDefault="00EC258F">
      <w:pPr>
        <w:spacing w:before="240" w:after="240"/>
        <w:ind w:firstLine="850"/>
        <w:jc w:val="both"/>
        <w:rPr>
          <w:rFonts w:ascii="Tahoma" w:hAnsi="Tahoma" w:cs="Tahoma"/>
          <w:sz w:val="24"/>
          <w:szCs w:val="24"/>
          <w:lang w:val="es-AR"/>
        </w:rPr>
      </w:pPr>
      <w:r w:rsidRPr="000922CF">
        <w:rPr>
          <w:rFonts w:ascii="Tahoma" w:hAnsi="Tahoma" w:cs="Tahoma"/>
          <w:sz w:val="24"/>
          <w:szCs w:val="24"/>
          <w:lang w:val="es-AR"/>
        </w:rPr>
        <w:t xml:space="preserve">En el marco de estas políticas regresivas y de cierre de programas y espacios destinados a niñas, niños y adolescentes; han surgido propuestas de modificación de la normativa aplicable a niñas, niños y adolescentes presuntos infractores a la ley penal de carácter punitivista. En particular, recientemente se ha tratado en el Congreso Nacional un proyecto de ley que toma como base el prestado por el Gobierno Nacional –, propuesta que incluso reduce el piso establecido por el cuestionado Régimen Penal de la Minoridad (Decreto-Ley 22.278) vigente en Argentina; y cuyas disposiciones </w:t>
      </w:r>
      <w:r w:rsidR="00AB24B8">
        <w:rPr>
          <w:rFonts w:ascii="Tahoma" w:hAnsi="Tahoma" w:cs="Tahoma"/>
          <w:sz w:val="24"/>
          <w:szCs w:val="24"/>
          <w:lang w:val="es-AR"/>
        </w:rPr>
        <w:t xml:space="preserve">que </w:t>
      </w:r>
      <w:r w:rsidRPr="000922CF">
        <w:rPr>
          <w:rFonts w:ascii="Tahoma" w:hAnsi="Tahoma" w:cs="Tahoma"/>
          <w:sz w:val="24"/>
          <w:szCs w:val="24"/>
          <w:lang w:val="es-AR"/>
        </w:rPr>
        <w:t>son compatible</w:t>
      </w:r>
      <w:r w:rsidR="00AB24B8">
        <w:rPr>
          <w:rFonts w:ascii="Tahoma" w:hAnsi="Tahoma" w:cs="Tahoma"/>
          <w:sz w:val="24"/>
          <w:szCs w:val="24"/>
          <w:lang w:val="es-AR"/>
        </w:rPr>
        <w:t>s</w:t>
      </w:r>
      <w:r w:rsidRPr="000922CF">
        <w:rPr>
          <w:rFonts w:ascii="Tahoma" w:hAnsi="Tahoma" w:cs="Tahoma"/>
          <w:sz w:val="24"/>
          <w:szCs w:val="24"/>
          <w:lang w:val="es-AR"/>
        </w:rPr>
        <w:t xml:space="preserve"> con penas crueles e inhumanas y malos tratos de conformidad con el art. 1 de la Convención contra la Tortura en virtud de las recomendaciones realizadas por el CAT al Estado Argentino en su último informe periódico (CAT/C/ARG/CO/5-6 del 2017) y del SPT en su última visita a la Argentina (2022)</w:t>
      </w:r>
    </w:p>
    <w:p w:rsidR="0019782A" w:rsidRPr="000922CF" w:rsidRDefault="00EC258F">
      <w:pPr>
        <w:spacing w:before="240" w:after="240"/>
        <w:ind w:firstLine="860"/>
        <w:jc w:val="both"/>
        <w:rPr>
          <w:rFonts w:ascii="Tahoma" w:hAnsi="Tahoma" w:cs="Tahoma"/>
          <w:sz w:val="24"/>
          <w:szCs w:val="24"/>
          <w:lang w:val="es-AR"/>
        </w:rPr>
      </w:pPr>
      <w:r w:rsidRPr="000922CF">
        <w:rPr>
          <w:rFonts w:ascii="Tahoma" w:hAnsi="Tahoma" w:cs="Tahoma"/>
          <w:sz w:val="24"/>
          <w:szCs w:val="24"/>
          <w:lang w:val="es-AR"/>
        </w:rPr>
        <w:t>En efecto, las propuestas de para la modificación/adecuación del régimen penal juvenil dispone reformas regresivas que son pasibles de vulnerar derechos de niñas, niños y adolescentes, entre las que se pueden señalar: la reducción de la edad mínima de responsabilidad penal; montos máximos de pena que en términos de la doctrina de los tribunales internacionales no se adecuan al principio de proporcionalidad, son contrarios a los fines del sistema penal, al principio de especialidad y en algunos casos asimilables a penas perpetuas por el monto a imponer (contemplan penas máximas de entre 10 y 20 años), en su mayoría no contemplan el principio de especialidad y habilitan la privación de libertad junto con adultos. Son propuestas que no sólo soslaya todo el cuerpo normativo internacional, sino replica prácticas habilitadas (ya cuestionadas) en el Decreto-Ley 22.278 y establece otras que incluso son regresivas a las disposiciones del mentado decreto; en detrimento del Estado de Derecho.</w:t>
      </w:r>
    </w:p>
    <w:p w:rsidR="0019782A" w:rsidRPr="000922CF" w:rsidRDefault="00EC258F">
      <w:pPr>
        <w:spacing w:before="240" w:after="240"/>
        <w:ind w:firstLine="860"/>
        <w:jc w:val="both"/>
        <w:rPr>
          <w:rFonts w:ascii="Tahoma" w:hAnsi="Tahoma" w:cs="Tahoma"/>
          <w:sz w:val="24"/>
          <w:szCs w:val="24"/>
          <w:lang w:val="es-AR"/>
        </w:rPr>
      </w:pPr>
      <w:r w:rsidRPr="000922CF">
        <w:rPr>
          <w:rFonts w:ascii="Tahoma" w:hAnsi="Tahoma" w:cs="Tahoma"/>
          <w:sz w:val="24"/>
          <w:szCs w:val="24"/>
          <w:lang w:val="es-AR"/>
        </w:rPr>
        <w:t>Los castigos corporales, la pena de muerte y la prisión perpetua son las principales sanciones que son motivo de preocupación desde el punto de vista del derecho internacional de los derechos humanos ya que no sólo de debe contemplar las modalidades de pena, sino también a la proporcionalidad de las mismas. Conforme la jurisprudencia internacional las penas consideradas radicalmente desproporcionadas se encuentran bajo el ámbito de aplicación de las cláusulas que contienen la prohibición de la tortura y los tratos crueles, inhumanos y degradantes y, por lo tanto, puede vulnerar el artículo 5 de la CADH.</w:t>
      </w:r>
    </w:p>
    <w:p w:rsidR="000922CF" w:rsidRDefault="000922CF">
      <w:pPr>
        <w:spacing w:after="140"/>
        <w:ind w:left="1080" w:hanging="36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bookmarkStart w:id="4" w:name="_GoBack"/>
      <w:bookmarkEnd w:id="4"/>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Default="000922CF" w:rsidP="000922CF">
      <w:pPr>
        <w:spacing w:after="140"/>
        <w:jc w:val="both"/>
        <w:rPr>
          <w:rFonts w:ascii="Tahoma" w:hAnsi="Tahoma" w:cs="Tahoma"/>
          <w:sz w:val="24"/>
          <w:szCs w:val="24"/>
          <w:lang w:val="es-AR"/>
        </w:rPr>
      </w:pPr>
    </w:p>
    <w:p w:rsidR="000922CF" w:rsidRPr="000922CF" w:rsidRDefault="000922CF" w:rsidP="000922CF">
      <w:pPr>
        <w:spacing w:line="240" w:lineRule="auto"/>
        <w:jc w:val="both"/>
        <w:rPr>
          <w:lang w:val="es-AR"/>
        </w:rPr>
      </w:pPr>
      <w:r w:rsidRPr="000922CF">
        <w:rPr>
          <w:sz w:val="18"/>
          <w:lang w:val="es-AR"/>
        </w:rPr>
        <w:t>Jefe de Gabinete de la Defensoría de los Derechos de las Niñas, Niños y Adolescentes (Ley N.°26.061), en el marco de las funciones conferidas mediante Resolución N.°04/2025 de la Comisión Bicameral del Permanente del Defensor de los Derechos de Niñas, Niños y Adolescentes.</w:t>
      </w:r>
    </w:p>
    <w:sectPr w:rsidR="000922CF" w:rsidRPr="000922CF" w:rsidSect="000922CF">
      <w:headerReference w:type="even" r:id="rId9"/>
      <w:headerReference w:type="default" r:id="rId10"/>
      <w:footerReference w:type="even" r:id="rId11"/>
      <w:footerReference w:type="default" r:id="rId12"/>
      <w:headerReference w:type="first" r:id="rId13"/>
      <w:footerReference w:type="first" r:id="rId14"/>
      <w:pgSz w:w="11907" w:h="16840"/>
      <w:pgMar w:top="1888" w:right="1134" w:bottom="1134" w:left="1134" w:header="851"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7A2" w:rsidRDefault="004167A2">
      <w:pPr>
        <w:spacing w:line="240" w:lineRule="auto"/>
      </w:pPr>
      <w:r>
        <w:separator/>
      </w:r>
    </w:p>
  </w:endnote>
  <w:endnote w:type="continuationSeparator" w:id="0">
    <w:p w:rsidR="004167A2" w:rsidRDefault="004167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7216487"/>
      <w:docPartObj>
        <w:docPartGallery w:val="Page Numbers (Bottom of Page)"/>
        <w:docPartUnique/>
      </w:docPartObj>
    </w:sdtPr>
    <w:sdtEndPr/>
    <w:sdtContent>
      <w:p w:rsidR="00687C98" w:rsidRDefault="00687C98">
        <w:pPr>
          <w:pStyle w:val="Piedepgina"/>
          <w:jc w:val="right"/>
        </w:pPr>
        <w:r>
          <w:fldChar w:fldCharType="begin"/>
        </w:r>
        <w:r>
          <w:instrText>PAGE   \* MERGEFORMAT</w:instrText>
        </w:r>
        <w:r>
          <w:fldChar w:fldCharType="separate"/>
        </w:r>
        <w:r w:rsidR="001D1444" w:rsidRPr="001D1444">
          <w:rPr>
            <w:noProof/>
            <w:lang w:val="es-ES"/>
          </w:rPr>
          <w:t>18</w:t>
        </w:r>
        <w:r>
          <w:fldChar w:fldCharType="end"/>
        </w:r>
      </w:p>
    </w:sdtContent>
  </w:sdt>
  <w:p w:rsidR="00687C98" w:rsidRDefault="00687C98">
    <w:pPr>
      <w:pBdr>
        <w:top w:val="nil"/>
        <w:left w:val="nil"/>
        <w:bottom w:val="nil"/>
        <w:right w:val="nil"/>
        <w:between w:val="nil"/>
      </w:pBdr>
      <w:tabs>
        <w:tab w:val="right" w:pos="9638"/>
      </w:tabs>
      <w:spacing w:line="240" w:lineRule="auto"/>
      <w:rPr>
        <w:color w:val="000000"/>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C98" w:rsidRDefault="00687C98">
    <w:pPr>
      <w:pBdr>
        <w:top w:val="nil"/>
        <w:left w:val="nil"/>
        <w:bottom w:val="nil"/>
        <w:right w:val="nil"/>
        <w:between w:val="nil"/>
      </w:pBdr>
      <w:tabs>
        <w:tab w:val="right" w:pos="9638"/>
      </w:tabs>
      <w:spacing w:line="240" w:lineRule="auto"/>
      <w:rPr>
        <w:b/>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1D1444">
      <w:rPr>
        <w:b/>
        <w:noProof/>
        <w:color w:val="000000"/>
        <w:sz w:val="18"/>
        <w:szCs w:val="18"/>
      </w:rPr>
      <w:t>17</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C98" w:rsidRDefault="00687C98">
    <w:pPr>
      <w:pBdr>
        <w:top w:val="nil"/>
        <w:left w:val="nil"/>
        <w:bottom w:val="nil"/>
        <w:right w:val="nil"/>
        <w:between w:val="nil"/>
      </w:pBdr>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4167A2">
      <w:rPr>
        <w:noProof/>
        <w:color w:val="000000"/>
        <w:sz w:val="16"/>
        <w:szCs w:val="16"/>
      </w:rPr>
      <w:t>1</w:t>
    </w:r>
    <w:r>
      <w:rPr>
        <w:color w:val="000000"/>
        <w:sz w:val="16"/>
        <w:szCs w:val="16"/>
      </w:rPr>
      <w:fldChar w:fldCharType="end"/>
    </w:r>
  </w:p>
  <w:p w:rsidR="00687C98" w:rsidRDefault="00687C98">
    <w:pPr>
      <w:pBdr>
        <w:top w:val="nil"/>
        <w:left w:val="nil"/>
        <w:bottom w:val="nil"/>
        <w:right w:val="nil"/>
        <w:between w:val="nil"/>
      </w:pBdr>
      <w:spacing w:line="240" w:lineRule="auto"/>
      <w:rPr>
        <w:color w:val="00000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7A2" w:rsidRDefault="004167A2">
      <w:pPr>
        <w:spacing w:line="240" w:lineRule="auto"/>
      </w:pPr>
      <w:r>
        <w:separator/>
      </w:r>
    </w:p>
  </w:footnote>
  <w:footnote w:type="continuationSeparator" w:id="0">
    <w:p w:rsidR="004167A2" w:rsidRDefault="004167A2">
      <w:pPr>
        <w:spacing w:line="240" w:lineRule="auto"/>
      </w:pPr>
      <w:r>
        <w:continuationSeparator/>
      </w:r>
    </w:p>
  </w:footnote>
  <w:footnote w:id="1">
    <w:p w:rsidR="00687C98" w:rsidRPr="00AC6936" w:rsidRDefault="00687C98">
      <w:pPr>
        <w:jc w:val="both"/>
        <w:rPr>
          <w:rFonts w:ascii="Tahoma" w:hAnsi="Tahoma" w:cs="Tahoma"/>
          <w:lang w:val="es-AR"/>
        </w:rPr>
      </w:pPr>
      <w:r w:rsidRPr="00AC6936">
        <w:rPr>
          <w:rFonts w:ascii="Tahoma" w:hAnsi="Tahoma" w:cs="Tahoma"/>
          <w:vertAlign w:val="superscript"/>
        </w:rPr>
        <w:footnoteRef/>
      </w:r>
      <w:r w:rsidRPr="00AC6936">
        <w:rPr>
          <w:rFonts w:ascii="Tahoma" w:hAnsi="Tahoma" w:cs="Tahoma"/>
          <w:lang w:val="es-AR"/>
        </w:rPr>
        <w:t xml:space="preserve">  En el año 2023 por decisión de las nuevas autoridades del gobierno nacional, la Secretaría Nacional de Niñez, Adolescencia y Familia (SENNAF)  - organismo especializado en materia de derechos de niñas, niños y adolescentes en el ámbito del Poder Ejecutivo Nacional contemplado en el Capítulo I de la Ley de Promoción y Protección Integral de Derechos de niñas, niños y adolescentes 26.061- desciende en el rango a Subsecretaría de Políticas Familiares reduciendo el alcance de los programas y discontinuado otros tantos, impactando de manera directa el funcionamiento de las áreas de niñez y adolescencia provinciales no sólo por la interrupción de los programas y del espacio de concertación federal sino por la ausencia en materia de asesoramiento, asistencia y acompañamiento que está llamado a cumplir</w:t>
      </w:r>
      <w:r w:rsidRPr="00AC6936">
        <w:rPr>
          <w:rFonts w:ascii="Tahoma" w:hAnsi="Tahoma" w:cs="Tahoma"/>
          <w:color w:val="0000FF"/>
          <w:lang w:val="es-AR"/>
        </w:rPr>
        <w:t xml:space="preserve">. </w:t>
      </w:r>
    </w:p>
  </w:footnote>
  <w:footnote w:id="2">
    <w:p w:rsidR="00687C98" w:rsidRPr="000922CF" w:rsidRDefault="00687C98">
      <w:pPr>
        <w:jc w:val="both"/>
        <w:rPr>
          <w:lang w:val="es-AR"/>
        </w:rPr>
      </w:pPr>
      <w:r w:rsidRPr="00AC6936">
        <w:rPr>
          <w:rFonts w:ascii="Tahoma" w:hAnsi="Tahoma" w:cs="Tahoma"/>
          <w:vertAlign w:val="superscript"/>
        </w:rPr>
        <w:footnoteRef/>
      </w:r>
      <w:r w:rsidRPr="00AC6936">
        <w:rPr>
          <w:rFonts w:ascii="Tahoma" w:hAnsi="Tahoma" w:cs="Tahoma"/>
          <w:lang w:val="es-AR"/>
        </w:rPr>
        <w:t xml:space="preserve"> El Consejo Federal de Niñez, Adolescencia y Familia, creado en la Ley 26061 está integrado y presidido por quien ejerza la titularidad de la Secretaría Nacional de Niñez, Adolescencia y Familia y por los representantes de los Órganos de Protección de Derechos de Niñez, Adolescencia y Familia existentes en cada una de las provincias y de la Ciudad Autónoma de Buenos Aires y se trata de un espacio de concertación y efectivización para la adopción de  lineamientos y compromisos de políticas públicas de protección de los derechos de las niñas niños y adolescentes.</w:t>
      </w:r>
      <w:hyperlink r:id="rId1">
        <w:r w:rsidRPr="00AC6936">
          <w:rPr>
            <w:rFonts w:ascii="Tahoma" w:hAnsi="Tahoma" w:cs="Tahoma"/>
            <w:lang w:val="es-AR"/>
          </w:rPr>
          <w:t xml:space="preserve"> Un</w:t>
        </w:r>
      </w:hyperlink>
      <w:r w:rsidRPr="00AC6936">
        <w:rPr>
          <w:rFonts w:ascii="Tahoma" w:hAnsi="Tahoma" w:cs="Tahoma"/>
          <w:lang w:val="es-AR"/>
        </w:rPr>
        <w:t xml:space="preserve"> ejemplo de ello es el impulso que desde un ámbito federal se ha dado a políticas para prevenir todo tipo de violencia hacia niñas, niños y adolescentes como el acuerdo firmado en la Sesión Nro 46 sobre el Pan Federal de Capacitación sobre Derechos de Niñas, Niños y Adolescentes luego convertido en Ley (Nro 27.709) tras la aprobación por ambas Cámaras del Congreso Nacional.</w:t>
      </w:r>
      <w:r w:rsidRPr="000922CF">
        <w:rPr>
          <w:lang w:val="es-AR"/>
        </w:rPr>
        <w:t xml:space="preserve"> </w:t>
      </w:r>
    </w:p>
  </w:footnote>
  <w:footnote w:id="3">
    <w:p w:rsidR="00687C98" w:rsidRPr="00A63E01" w:rsidRDefault="00687C98">
      <w:pPr>
        <w:jc w:val="both"/>
        <w:rPr>
          <w:rFonts w:ascii="Tahoma" w:hAnsi="Tahoma" w:cs="Tahoma"/>
          <w:sz w:val="16"/>
          <w:szCs w:val="16"/>
          <w:lang w:val="es-AR"/>
        </w:rPr>
      </w:pPr>
      <w:r w:rsidRPr="00A63E01">
        <w:rPr>
          <w:rFonts w:ascii="Tahoma" w:hAnsi="Tahoma" w:cs="Tahoma"/>
          <w:vertAlign w:val="superscript"/>
        </w:rPr>
        <w:footnoteRef/>
      </w:r>
      <w:r w:rsidRPr="00A63E01">
        <w:rPr>
          <w:rFonts w:ascii="Tahoma" w:hAnsi="Tahoma" w:cs="Tahoma"/>
          <w:sz w:val="16"/>
          <w:szCs w:val="16"/>
          <w:lang w:val="es-AR"/>
        </w:rPr>
        <w:t xml:space="preserve"> </w:t>
      </w:r>
      <w:r w:rsidRPr="00A63E01">
        <w:rPr>
          <w:rFonts w:ascii="Tahoma" w:hAnsi="Tahoma" w:cs="Tahoma"/>
          <w:lang w:val="es-AR"/>
        </w:rPr>
        <w:t>Este monto de 10 años establecido responde a varias razones: por un lado, se necesitaba analizar los datos relevados de manera uniforme sobre la base de la representación que tiene el tiempo para un niño, niña y adolescente en la etapa de crecimiento; luego, se tuvo en consideración legislación comparada que prevé un máximo de 10 años de privación de libertad para los delitos más graves; finalmente, las pautas que establece el Decreto-Ley 22.278 para la imposición del monto de pena (posible monto previsto para un homicidio simple con la reducción para el delito en tentativa). Sin perjuicio de ello, vale aclarar que este corte no implica que penas inferiores no sean pasibles de ser consideradas elevadas y/o desproporcionadas, y consecuentemente vulneratoria de derechos, ya que dicho criterio debe ser analizado en cada cuestión particular verificando que la pena sea respetuosa del principio de proporcionalidad y razonabilidad y de los estándares que fija el cuerpo normativo internacional y nacional.</w:t>
      </w:r>
      <w:r w:rsidRPr="00A63E01">
        <w:rPr>
          <w:rFonts w:ascii="Tahoma" w:hAnsi="Tahoma" w:cs="Tahoma"/>
          <w:color w:val="0000FF"/>
          <w:sz w:val="24"/>
          <w:szCs w:val="24"/>
          <w:lang w:val="es-AR"/>
        </w:rPr>
        <w:t xml:space="preserve"> </w:t>
      </w:r>
    </w:p>
  </w:footnote>
  <w:footnote w:id="4">
    <w:p w:rsidR="00687C98" w:rsidRPr="00AB24B8" w:rsidRDefault="00687C98">
      <w:pPr>
        <w:rPr>
          <w:rFonts w:ascii="Tahoma" w:hAnsi="Tahoma" w:cs="Tahoma"/>
          <w:lang w:val="es-AR"/>
        </w:rPr>
      </w:pPr>
      <w:r w:rsidRPr="00AB24B8">
        <w:rPr>
          <w:rFonts w:ascii="Tahoma" w:hAnsi="Tahoma" w:cs="Tahoma"/>
          <w:vertAlign w:val="superscript"/>
        </w:rPr>
        <w:footnoteRef/>
      </w:r>
      <w:r w:rsidRPr="00AB24B8">
        <w:rPr>
          <w:rFonts w:ascii="Tahoma" w:hAnsi="Tahoma" w:cs="Tahoma"/>
          <w:lang w:val="es-AR"/>
        </w:rPr>
        <w:t xml:space="preserve"> Resolución DDNNYA Nro 1/2020 de conformidad con el art. 55 inc. e) de la Ley Nacional 26.061.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C98" w:rsidRDefault="001D1444" w:rsidP="000922CF">
    <w:pPr>
      <w:pStyle w:val="Encabezado"/>
      <w:pBdr>
        <w:bottom w:val="none" w:sz="0" w:space="0" w:color="auto"/>
      </w:pBdr>
    </w:pPr>
    <w:r w:rsidRPr="00E30F43">
      <w:rPr>
        <w:noProof/>
        <w:sz w:val="24"/>
        <w:szCs w:val="24"/>
        <w:lang w:eastAsia="es-AR"/>
      </w:rPr>
      <w:drawing>
        <wp:anchor distT="0" distB="0" distL="114300" distR="114300" simplePos="0" relativeHeight="251665408" behindDoc="1" locked="0" layoutInCell="1" allowOverlap="1" wp14:anchorId="1D9DBF22" wp14:editId="47BA4648">
          <wp:simplePos x="0" y="0"/>
          <wp:positionH relativeFrom="margin">
            <wp:align>center</wp:align>
          </wp:positionH>
          <wp:positionV relativeFrom="paragraph">
            <wp:posOffset>-447675</wp:posOffset>
          </wp:positionV>
          <wp:extent cx="5835015" cy="1098550"/>
          <wp:effectExtent l="0" t="0" r="0" b="0"/>
          <wp:wrapTight wrapText="bothSides">
            <wp:wrapPolygon edited="0">
              <wp:start x="16078" y="6368"/>
              <wp:lineTo x="564" y="8240"/>
              <wp:lineTo x="635" y="13859"/>
              <wp:lineTo x="14315" y="16481"/>
              <wp:lineTo x="17066" y="17230"/>
              <wp:lineTo x="19393" y="17230"/>
              <wp:lineTo x="19816" y="16481"/>
              <wp:lineTo x="20874" y="13859"/>
              <wp:lineTo x="19745" y="6368"/>
              <wp:lineTo x="16078" y="6368"/>
            </wp:wrapPolygon>
          </wp:wrapTight>
          <wp:docPr id="1" name="Imagen 1" descr="C:\Users\ecabrera\AppData\Local\Temp\6eb15f80-e574-494f-b1fa-c5849ee9bc43_membretes.word.Año.2025 (2).zip.c43\membretes.word.An╠âo.2025\membrete.A4.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abrera\AppData\Local\Temp\6eb15f80-e574-494f-b1fa-c5849ee9bc43_membretes.word.Año.2025 (2).zip.c43\membretes.word.An╠âo.2025\membrete.A4.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5015" cy="109855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C98" w:rsidRDefault="001D1444" w:rsidP="000922CF">
    <w:pPr>
      <w:spacing w:line="240" w:lineRule="auto"/>
      <w:jc w:val="right"/>
      <w:rPr>
        <w:b/>
        <w:color w:val="000000"/>
        <w:sz w:val="18"/>
        <w:szCs w:val="18"/>
      </w:rPr>
    </w:pPr>
    <w:r w:rsidRPr="00E30F43">
      <w:rPr>
        <w:noProof/>
        <w:sz w:val="24"/>
        <w:szCs w:val="24"/>
        <w:lang w:eastAsia="es-AR"/>
      </w:rPr>
      <w:drawing>
        <wp:anchor distT="0" distB="0" distL="114300" distR="114300" simplePos="0" relativeHeight="251667456" behindDoc="1" locked="0" layoutInCell="1" allowOverlap="1" wp14:anchorId="2E390DC6" wp14:editId="5DD23660">
          <wp:simplePos x="0" y="0"/>
          <wp:positionH relativeFrom="margin">
            <wp:align>center</wp:align>
          </wp:positionH>
          <wp:positionV relativeFrom="paragraph">
            <wp:posOffset>-447675</wp:posOffset>
          </wp:positionV>
          <wp:extent cx="5835015" cy="1098550"/>
          <wp:effectExtent l="0" t="0" r="0" b="0"/>
          <wp:wrapTight wrapText="bothSides">
            <wp:wrapPolygon edited="0">
              <wp:start x="16078" y="6368"/>
              <wp:lineTo x="564" y="8240"/>
              <wp:lineTo x="635" y="13859"/>
              <wp:lineTo x="14315" y="16481"/>
              <wp:lineTo x="17066" y="17230"/>
              <wp:lineTo x="19393" y="17230"/>
              <wp:lineTo x="19816" y="16481"/>
              <wp:lineTo x="20874" y="13859"/>
              <wp:lineTo x="19745" y="6368"/>
              <wp:lineTo x="16078" y="6368"/>
            </wp:wrapPolygon>
          </wp:wrapTight>
          <wp:docPr id="3" name="Imagen 3" descr="C:\Users\ecabrera\AppData\Local\Temp\6eb15f80-e574-494f-b1fa-c5849ee9bc43_membretes.word.Año.2025 (2).zip.c43\membretes.word.An╠âo.2025\membrete.A4.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abrera\AppData\Local\Temp\6eb15f80-e574-494f-b1fa-c5849ee9bc43_membretes.word.Año.2025 (2).zip.c43\membretes.word.An╠âo.2025\membrete.A4.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5015" cy="10985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C98" w:rsidRDefault="001D1444" w:rsidP="000922CF">
    <w:pPr>
      <w:spacing w:line="240" w:lineRule="auto"/>
      <w:rPr>
        <w:b/>
        <w:color w:val="000000"/>
        <w:sz w:val="18"/>
        <w:szCs w:val="18"/>
      </w:rPr>
    </w:pPr>
    <w:r w:rsidRPr="00E30F43">
      <w:rPr>
        <w:noProof/>
        <w:sz w:val="24"/>
        <w:szCs w:val="24"/>
        <w:lang w:eastAsia="es-AR"/>
      </w:rPr>
      <w:drawing>
        <wp:anchor distT="0" distB="0" distL="114300" distR="114300" simplePos="0" relativeHeight="251663360" behindDoc="1" locked="0" layoutInCell="1" allowOverlap="1" wp14:anchorId="41C1E60F" wp14:editId="46A3ADBB">
          <wp:simplePos x="0" y="0"/>
          <wp:positionH relativeFrom="margin">
            <wp:align>left</wp:align>
          </wp:positionH>
          <wp:positionV relativeFrom="paragraph">
            <wp:posOffset>-447675</wp:posOffset>
          </wp:positionV>
          <wp:extent cx="5835015" cy="1098550"/>
          <wp:effectExtent l="0" t="0" r="0" b="0"/>
          <wp:wrapTight wrapText="bothSides">
            <wp:wrapPolygon edited="0">
              <wp:start x="16078" y="6368"/>
              <wp:lineTo x="564" y="8240"/>
              <wp:lineTo x="635" y="13859"/>
              <wp:lineTo x="14315" y="16481"/>
              <wp:lineTo x="17066" y="17230"/>
              <wp:lineTo x="19393" y="17230"/>
              <wp:lineTo x="19816" y="16481"/>
              <wp:lineTo x="20874" y="13859"/>
              <wp:lineTo x="19745" y="6368"/>
              <wp:lineTo x="16078" y="6368"/>
            </wp:wrapPolygon>
          </wp:wrapTight>
          <wp:docPr id="2" name="Imagen 2" descr="C:\Users\ecabrera\AppData\Local\Temp\6eb15f80-e574-494f-b1fa-c5849ee9bc43_membretes.word.Año.2025 (2).zip.c43\membretes.word.An╠âo.2025\membrete.A4.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abrera\AppData\Local\Temp\6eb15f80-e574-494f-b1fa-c5849ee9bc43_membretes.word.Año.2025 (2).zip.c43\membretes.word.An╠âo.2025\membrete.A4.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5015" cy="10985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D01938"/>
    <w:multiLevelType w:val="multilevel"/>
    <w:tmpl w:val="67D036DA"/>
    <w:lvl w:ilvl="0">
      <w:start w:val="3"/>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44D55574"/>
    <w:multiLevelType w:val="multilevel"/>
    <w:tmpl w:val="03F0663E"/>
    <w:lvl w:ilvl="0">
      <w:start w:val="1"/>
      <w:numFmt w:val="lowerLetter"/>
      <w:pStyle w:val="Bullet1G"/>
      <w:lvlText w:val="%1."/>
      <w:lvlJc w:val="left"/>
      <w:pPr>
        <w:ind w:left="720" w:hanging="360"/>
      </w:pPr>
      <w:rPr>
        <w:rFonts w:ascii="Arial" w:eastAsia="Arial" w:hAnsi="Arial" w:cs="Arial"/>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C5E73E8"/>
    <w:multiLevelType w:val="hybridMultilevel"/>
    <w:tmpl w:val="2A623990"/>
    <w:lvl w:ilvl="0" w:tplc="54466B20">
      <w:numFmt w:val="bullet"/>
      <w:lvlText w:val="-"/>
      <w:lvlJc w:val="left"/>
      <w:pPr>
        <w:ind w:left="1800" w:hanging="360"/>
      </w:pPr>
      <w:rPr>
        <w:rFonts w:ascii="Times New Roman" w:eastAsia="Times New Roman" w:hAnsi="Times New Roman" w:cs="Times New Roman"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3" w15:restartNumberingAfterBreak="0">
    <w:nsid w:val="4E7B06FA"/>
    <w:multiLevelType w:val="hybridMultilevel"/>
    <w:tmpl w:val="4F56112E"/>
    <w:lvl w:ilvl="0" w:tplc="38C8AB96">
      <w:start w:val="14"/>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2A12D11"/>
    <w:multiLevelType w:val="multilevel"/>
    <w:tmpl w:val="4186122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8E05537"/>
    <w:multiLevelType w:val="multilevel"/>
    <w:tmpl w:val="CECA95CA"/>
    <w:lvl w:ilvl="0">
      <w:start w:val="1"/>
      <w:numFmt w:val="bullet"/>
      <w:pStyle w:val="Bullet2G"/>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5BD7185A"/>
    <w:multiLevelType w:val="multilevel"/>
    <w:tmpl w:val="F33CD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3B0450"/>
    <w:multiLevelType w:val="multilevel"/>
    <w:tmpl w:val="4F9EAF1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9C46247"/>
    <w:multiLevelType w:val="multilevel"/>
    <w:tmpl w:val="2D267736"/>
    <w:lvl w:ilvl="0">
      <w:start w:val="1"/>
      <w:numFmt w:val="decimal"/>
      <w:pStyle w:val="ParNoG"/>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751F7406"/>
    <w:multiLevelType w:val="hybridMultilevel"/>
    <w:tmpl w:val="C40EE39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6"/>
  </w:num>
  <w:num w:numId="5">
    <w:abstractNumId w:val="7"/>
  </w:num>
  <w:num w:numId="6">
    <w:abstractNumId w:val="0"/>
  </w:num>
  <w:num w:numId="7">
    <w:abstractNumId w:val="4"/>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82A"/>
    <w:rsid w:val="0003564C"/>
    <w:rsid w:val="00061E53"/>
    <w:rsid w:val="000922CF"/>
    <w:rsid w:val="00196954"/>
    <w:rsid w:val="0019782A"/>
    <w:rsid w:val="001D1444"/>
    <w:rsid w:val="001D2466"/>
    <w:rsid w:val="00200703"/>
    <w:rsid w:val="00261EE6"/>
    <w:rsid w:val="003263F2"/>
    <w:rsid w:val="00335925"/>
    <w:rsid w:val="003A0583"/>
    <w:rsid w:val="003E15D8"/>
    <w:rsid w:val="003F00E6"/>
    <w:rsid w:val="004167A2"/>
    <w:rsid w:val="00423C98"/>
    <w:rsid w:val="00490CC7"/>
    <w:rsid w:val="00492949"/>
    <w:rsid w:val="004B7925"/>
    <w:rsid w:val="00535549"/>
    <w:rsid w:val="00536B2C"/>
    <w:rsid w:val="00571A02"/>
    <w:rsid w:val="005D0479"/>
    <w:rsid w:val="00620852"/>
    <w:rsid w:val="006837BF"/>
    <w:rsid w:val="00687C98"/>
    <w:rsid w:val="00691E5A"/>
    <w:rsid w:val="00730889"/>
    <w:rsid w:val="007A50FB"/>
    <w:rsid w:val="008C467E"/>
    <w:rsid w:val="008D6B36"/>
    <w:rsid w:val="00941E8F"/>
    <w:rsid w:val="0095471A"/>
    <w:rsid w:val="009818BB"/>
    <w:rsid w:val="00A63E01"/>
    <w:rsid w:val="00AB24B8"/>
    <w:rsid w:val="00AC6936"/>
    <w:rsid w:val="00AE3FC2"/>
    <w:rsid w:val="00C0115C"/>
    <w:rsid w:val="00C30B2C"/>
    <w:rsid w:val="00CC2BCD"/>
    <w:rsid w:val="00D0421C"/>
    <w:rsid w:val="00D47F86"/>
    <w:rsid w:val="00DD5BB6"/>
    <w:rsid w:val="00DE252B"/>
    <w:rsid w:val="00EA6017"/>
    <w:rsid w:val="00EB1547"/>
    <w:rsid w:val="00EC258F"/>
    <w:rsid w:val="00EF5C97"/>
    <w:rsid w:val="00F30931"/>
    <w:rsid w:val="00F8792F"/>
    <w:rsid w:val="00FC20D9"/>
  </w:rsids>
  <m:mathPr>
    <m:mathFont m:val="Cambria Math"/>
    <m:brkBin m:val="before"/>
    <m:brkBinSub m:val="--"/>
    <m:smallFrac m:val="0"/>
    <m:dispDef/>
    <m:lMargin m:val="0"/>
    <m:rMargin m:val="0"/>
    <m:defJc m:val="centerGroup"/>
    <m:wrapIndent m:val="1440"/>
    <m:intLim m:val="subSup"/>
    <m:naryLim m:val="undOvr"/>
  </m:mathPr>
  <w:themeFontLang w:val="es-AR"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5E9C9B-8F24-43AC-A2BC-2A477C7E8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C98"/>
    <w:pPr>
      <w:suppressAutoHyphens/>
      <w:spacing w:line="240" w:lineRule="atLeast"/>
    </w:pPr>
    <w:rPr>
      <w:lang w:eastAsia="en-US"/>
    </w:rPr>
  </w:style>
  <w:style w:type="paragraph" w:styleId="Ttulo1">
    <w:name w:val="heading 1"/>
    <w:aliases w:val="Table_G"/>
    <w:basedOn w:val="SingleTxtG"/>
    <w:next w:val="SingleTxtG"/>
    <w:qFormat/>
    <w:rsid w:val="00503228"/>
    <w:pPr>
      <w:spacing w:after="0" w:line="240" w:lineRule="auto"/>
      <w:ind w:right="0"/>
      <w:jc w:val="left"/>
      <w:outlineLvl w:val="0"/>
    </w:pPr>
  </w:style>
  <w:style w:type="paragraph" w:styleId="Ttulo2">
    <w:name w:val="heading 2"/>
    <w:basedOn w:val="Normal"/>
    <w:next w:val="Normal"/>
    <w:semiHidden/>
    <w:qFormat/>
    <w:rsid w:val="00503228"/>
    <w:pPr>
      <w:spacing w:line="240" w:lineRule="auto"/>
      <w:outlineLvl w:val="1"/>
    </w:pPr>
  </w:style>
  <w:style w:type="paragraph" w:styleId="Ttulo3">
    <w:name w:val="heading 3"/>
    <w:basedOn w:val="Normal"/>
    <w:next w:val="Normal"/>
    <w:semiHidden/>
    <w:qFormat/>
    <w:rsid w:val="00503228"/>
    <w:pPr>
      <w:spacing w:line="240" w:lineRule="auto"/>
      <w:outlineLvl w:val="2"/>
    </w:pPr>
  </w:style>
  <w:style w:type="paragraph" w:styleId="Ttulo4">
    <w:name w:val="heading 4"/>
    <w:basedOn w:val="Normal"/>
    <w:next w:val="Normal"/>
    <w:semiHidden/>
    <w:qFormat/>
    <w:rsid w:val="00503228"/>
    <w:pPr>
      <w:spacing w:line="240" w:lineRule="auto"/>
      <w:outlineLvl w:val="3"/>
    </w:pPr>
  </w:style>
  <w:style w:type="paragraph" w:styleId="Ttulo5">
    <w:name w:val="heading 5"/>
    <w:basedOn w:val="Normal"/>
    <w:next w:val="Normal"/>
    <w:semiHidden/>
    <w:qFormat/>
    <w:rsid w:val="00503228"/>
    <w:pPr>
      <w:spacing w:line="240" w:lineRule="auto"/>
      <w:outlineLvl w:val="4"/>
    </w:pPr>
  </w:style>
  <w:style w:type="paragraph" w:styleId="Ttulo6">
    <w:name w:val="heading 6"/>
    <w:basedOn w:val="Normal"/>
    <w:next w:val="Normal"/>
    <w:semiHidden/>
    <w:qFormat/>
    <w:rsid w:val="00503228"/>
    <w:pPr>
      <w:spacing w:line="240" w:lineRule="auto"/>
      <w:outlineLvl w:val="5"/>
    </w:pPr>
  </w:style>
  <w:style w:type="paragraph" w:styleId="Ttulo7">
    <w:name w:val="heading 7"/>
    <w:basedOn w:val="Normal"/>
    <w:next w:val="Normal"/>
    <w:semiHidden/>
    <w:qFormat/>
    <w:rsid w:val="00503228"/>
    <w:pPr>
      <w:spacing w:line="240" w:lineRule="auto"/>
      <w:outlineLvl w:val="6"/>
    </w:pPr>
  </w:style>
  <w:style w:type="paragraph" w:styleId="Ttulo8">
    <w:name w:val="heading 8"/>
    <w:basedOn w:val="Normal"/>
    <w:next w:val="Normal"/>
    <w:semiHidden/>
    <w:qFormat/>
    <w:rsid w:val="00503228"/>
    <w:pPr>
      <w:spacing w:line="240" w:lineRule="auto"/>
      <w:outlineLvl w:val="7"/>
    </w:pPr>
  </w:style>
  <w:style w:type="paragraph" w:styleId="Ttulo9">
    <w:name w:val="heading 9"/>
    <w:basedOn w:val="Normal"/>
    <w:next w:val="Normal"/>
    <w:semiHidden/>
    <w:qFormat/>
    <w:rsid w:val="00503228"/>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Refdenotaalpie">
    <w:name w:val="footnote reference"/>
    <w:aliases w:val="4_G"/>
    <w:basedOn w:val="Fuentedeprrafopredeter"/>
    <w:qFormat/>
    <w:rsid w:val="00503228"/>
    <w:rPr>
      <w:rFonts w:ascii="Times New Roman" w:hAnsi="Times New Roman"/>
      <w:sz w:val="18"/>
      <w:vertAlign w:val="superscript"/>
    </w:rPr>
  </w:style>
  <w:style w:type="character" w:styleId="Refdenotaalfinal">
    <w:name w:val="endnote reference"/>
    <w:aliases w:val="1_G"/>
    <w:basedOn w:val="Refdenotaalpie"/>
    <w:qFormat/>
    <w:rsid w:val="00503228"/>
    <w:rPr>
      <w:rFonts w:ascii="Times New Roman" w:hAnsi="Times New Roman"/>
      <w:sz w:val="18"/>
      <w:vertAlign w:val="superscript"/>
    </w:rPr>
  </w:style>
  <w:style w:type="paragraph" w:styleId="Encabezado">
    <w:name w:val="header"/>
    <w:aliases w:val="6_G"/>
    <w:basedOn w:val="Normal"/>
    <w:qFormat/>
    <w:rsid w:val="00503228"/>
    <w:pPr>
      <w:pBdr>
        <w:bottom w:val="single" w:sz="4" w:space="4" w:color="auto"/>
      </w:pBdr>
      <w:spacing w:line="240" w:lineRule="auto"/>
    </w:pPr>
    <w:rPr>
      <w:b/>
      <w:sz w:val="18"/>
    </w:rPr>
  </w:style>
  <w:style w:type="table" w:styleId="Tablaconcuadrcula">
    <w:name w:val="Table Grid"/>
    <w:basedOn w:val="Tabla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basedOn w:val="Fuentedeprrafopredeter"/>
    <w:semiHidden/>
    <w:rsid w:val="00DC5F89"/>
    <w:rPr>
      <w:color w:val="auto"/>
      <w:u w:val="none"/>
    </w:rPr>
  </w:style>
  <w:style w:type="character" w:styleId="Hipervnculovisitado">
    <w:name w:val="FollowedHyperlink"/>
    <w:basedOn w:val="Fuentedeprrafopredeter"/>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Textonotapie">
    <w:name w:val="footnote text"/>
    <w:aliases w:val="5_G"/>
    <w:basedOn w:val="Normal"/>
    <w:qFormat/>
    <w:rsid w:val="00503228"/>
    <w:pPr>
      <w:tabs>
        <w:tab w:val="right" w:pos="1021"/>
      </w:tabs>
      <w:spacing w:line="220" w:lineRule="exact"/>
      <w:ind w:left="1134" w:right="1134" w:hanging="1134"/>
    </w:pPr>
    <w:rPr>
      <w:sz w:val="18"/>
    </w:rPr>
  </w:style>
  <w:style w:type="paragraph" w:styleId="Textonotaalfinal">
    <w:name w:val="endnote text"/>
    <w:aliases w:val="2_G"/>
    <w:basedOn w:val="Textonotapie"/>
    <w:qFormat/>
    <w:rsid w:val="00503228"/>
  </w:style>
  <w:style w:type="character" w:styleId="Nmerodepgina">
    <w:name w:val="page number"/>
    <w:aliases w:val="7_G"/>
    <w:basedOn w:val="Fuentedeprrafopredeter"/>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Piedepgina">
    <w:name w:val="footer"/>
    <w:aliases w:val="3_G"/>
    <w:basedOn w:val="Normal"/>
    <w:link w:val="PiedepginaCar"/>
    <w:uiPriority w:val="99"/>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paragraph" w:styleId="Textodeglobo">
    <w:name w:val="Balloon Text"/>
    <w:basedOn w:val="Normal"/>
    <w:link w:val="TextodegloboCar"/>
    <w:semiHidden/>
    <w:unhideWhenUsed/>
    <w:rsid w:val="0023622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36220"/>
    <w:rPr>
      <w:rFonts w:ascii="Segoe UI" w:hAnsi="Segoe UI" w:cs="Segoe UI"/>
      <w:sz w:val="18"/>
      <w:szCs w:val="18"/>
      <w:lang w:val="en-GB" w:eastAsia="en-US"/>
    </w:rPr>
  </w:style>
  <w:style w:type="paragraph" w:customStyle="1" w:styleId="Default">
    <w:name w:val="Default"/>
    <w:rsid w:val="00DF4135"/>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C12EB9"/>
    <w:pPr>
      <w:suppressAutoHyphens w:val="0"/>
      <w:spacing w:before="100" w:beforeAutospacing="1" w:after="100" w:afterAutospacing="1" w:line="240" w:lineRule="auto"/>
    </w:pPr>
    <w:rPr>
      <w:sz w:val="24"/>
      <w:szCs w:val="24"/>
      <w:lang w:val="en-US"/>
    </w:rPr>
  </w:style>
  <w:style w:type="character" w:customStyle="1" w:styleId="PiedepginaCar">
    <w:name w:val="Pie de página Car"/>
    <w:aliases w:val="3_G Car"/>
    <w:basedOn w:val="Fuentedeprrafopredeter"/>
    <w:link w:val="Piedepgina"/>
    <w:uiPriority w:val="99"/>
    <w:rsid w:val="00921D1A"/>
    <w:rPr>
      <w:sz w:val="16"/>
      <w:lang w:val="en-GB" w:eastAsia="en-US"/>
    </w:rPr>
  </w:style>
  <w:style w:type="paragraph" w:styleId="Prrafodelista">
    <w:name w:val="List Paragraph"/>
    <w:aliases w:val="Bullet Points,3"/>
    <w:basedOn w:val="Normal"/>
    <w:link w:val="PrrafodelistaCar"/>
    <w:uiPriority w:val="34"/>
    <w:qFormat/>
    <w:rsid w:val="001616D5"/>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Textoennegrita">
    <w:name w:val="Strong"/>
    <w:basedOn w:val="Fuentedeprrafopredeter"/>
    <w:uiPriority w:val="22"/>
    <w:qFormat/>
    <w:rsid w:val="004B7925"/>
    <w:rPr>
      <w:b/>
      <w:bCs/>
    </w:rPr>
  </w:style>
  <w:style w:type="character" w:customStyle="1" w:styleId="PrrafodelistaCar">
    <w:name w:val="Párrafo de lista Car"/>
    <w:aliases w:val="Bullet Points Car,3 Car"/>
    <w:link w:val="Prrafodelista"/>
    <w:uiPriority w:val="34"/>
    <w:locked/>
    <w:rsid w:val="004B792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2024.u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4dFBuqKifI52/GpCSfHddPggcg==">CgMxLjAyDWguNnQyc2ZjcjRvdmcyDWguN2ZoOWg0b3Z4ZGsyDmguajUwc2EzaDRjbDNjMg5oLnl4bzZwc284anp1MTgAciExWVQ5SVNMdFVnYmsyVWc5aXNrcTlTNXktS1hDa0VLUXY=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D8328B-5CE4-47A6-BBCD-3E46CB7D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18</Pages>
  <Words>6918</Words>
  <Characters>38050</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CAILLOT Lucille</dc:creator>
  <cp:lastModifiedBy>Internacionales</cp:lastModifiedBy>
  <cp:revision>17</cp:revision>
  <dcterms:created xsi:type="dcterms:W3CDTF">2025-06-19T14:17:00Z</dcterms:created>
  <dcterms:modified xsi:type="dcterms:W3CDTF">2025-10-07T18:10:00Z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ies>
</file>