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3"/>
        <w:gridCol w:w="4536"/>
        <w:gridCol w:w="2871"/>
      </w:tblGrid>
      <w:tr w:rsidR="00704CA2" w14:paraId="125365CE" w14:textId="77777777" w:rsidTr="00704CA2">
        <w:tc>
          <w:tcPr>
            <w:tcW w:w="2124" w:type="dxa"/>
          </w:tcPr>
          <w:p w14:paraId="19D1BBA3" w14:textId="77777777" w:rsidR="00704CA2" w:rsidRDefault="00704CA2" w:rsidP="00F948A1">
            <w:pPr>
              <w:jc w:val="center"/>
              <w:rPr>
                <w:b/>
                <w:bCs/>
                <w:sz w:val="56"/>
                <w:szCs w:val="56"/>
              </w:rPr>
            </w:pPr>
            <w:r w:rsidRPr="003E1039">
              <w:rPr>
                <w:b/>
                <w:bCs/>
                <w:noProof/>
                <w:sz w:val="56"/>
                <w:szCs w:val="56"/>
              </w:rPr>
              <w:drawing>
                <wp:inline distT="0" distB="0" distL="0" distR="0" wp14:anchorId="023D92DF" wp14:editId="0F382F3C">
                  <wp:extent cx="918845" cy="1224962"/>
                  <wp:effectExtent l="0" t="0" r="0" b="0"/>
                  <wp:docPr id="3"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926705" cy="1235440"/>
                          </a:xfrm>
                          <a:prstGeom prst="rect">
                            <a:avLst/>
                          </a:prstGeom>
                          <a:noFill/>
                          <a:ln w="9525">
                            <a:noFill/>
                            <a:miter lim="800000"/>
                            <a:headEnd/>
                            <a:tailEnd/>
                          </a:ln>
                        </pic:spPr>
                      </pic:pic>
                    </a:graphicData>
                  </a:graphic>
                </wp:inline>
              </w:drawing>
            </w:r>
          </w:p>
        </w:tc>
        <w:tc>
          <w:tcPr>
            <w:tcW w:w="4536" w:type="dxa"/>
          </w:tcPr>
          <w:p w14:paraId="1E181370" w14:textId="77777777" w:rsidR="003473CF" w:rsidRDefault="003473CF" w:rsidP="00F948A1">
            <w:pPr>
              <w:jc w:val="center"/>
              <w:rPr>
                <w:b/>
                <w:bCs/>
                <w:sz w:val="56"/>
                <w:szCs w:val="56"/>
              </w:rPr>
            </w:pPr>
          </w:p>
          <w:p w14:paraId="1CAE8482" w14:textId="77777777" w:rsidR="00704CA2" w:rsidRDefault="00704CA2" w:rsidP="00F948A1">
            <w:pPr>
              <w:jc w:val="center"/>
              <w:rPr>
                <w:b/>
                <w:bCs/>
                <w:sz w:val="56"/>
                <w:szCs w:val="56"/>
              </w:rPr>
            </w:pPr>
            <w:r w:rsidRPr="003E1039">
              <w:rPr>
                <w:b/>
                <w:bCs/>
                <w:noProof/>
                <w:sz w:val="56"/>
                <w:szCs w:val="56"/>
              </w:rPr>
              <w:drawing>
                <wp:inline distT="0" distB="0" distL="0" distR="0" wp14:anchorId="7978C971" wp14:editId="29D4F12F">
                  <wp:extent cx="2743200" cy="812703"/>
                  <wp:effectExtent l="0" t="0" r="0" b="0"/>
                  <wp:docPr id="4" name="Picture 1" descr="H:\a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fa.png"/>
                          <pic:cNvPicPr>
                            <a:picLocks noChangeAspect="1" noChangeArrowheads="1"/>
                          </pic:cNvPicPr>
                        </pic:nvPicPr>
                        <pic:blipFill>
                          <a:blip r:embed="rId9" cstate="print"/>
                          <a:srcRect/>
                          <a:stretch>
                            <a:fillRect/>
                          </a:stretch>
                        </pic:blipFill>
                        <pic:spPr bwMode="auto">
                          <a:xfrm>
                            <a:off x="0" y="0"/>
                            <a:ext cx="2758932" cy="817364"/>
                          </a:xfrm>
                          <a:prstGeom prst="rect">
                            <a:avLst/>
                          </a:prstGeom>
                          <a:noFill/>
                          <a:ln w="9525">
                            <a:noFill/>
                            <a:miter lim="800000"/>
                            <a:headEnd/>
                            <a:tailEnd/>
                          </a:ln>
                        </pic:spPr>
                      </pic:pic>
                    </a:graphicData>
                  </a:graphic>
                </wp:inline>
              </w:drawing>
            </w:r>
          </w:p>
        </w:tc>
        <w:tc>
          <w:tcPr>
            <w:tcW w:w="2916" w:type="dxa"/>
          </w:tcPr>
          <w:p w14:paraId="6E1E3A61" w14:textId="77777777" w:rsidR="003473CF" w:rsidRDefault="003473CF" w:rsidP="00F948A1">
            <w:pPr>
              <w:jc w:val="center"/>
              <w:rPr>
                <w:b/>
                <w:bCs/>
                <w:sz w:val="56"/>
                <w:szCs w:val="56"/>
              </w:rPr>
            </w:pPr>
          </w:p>
          <w:p w14:paraId="18B27C33" w14:textId="77777777" w:rsidR="00704CA2" w:rsidRDefault="00704CA2" w:rsidP="00F948A1">
            <w:pPr>
              <w:jc w:val="center"/>
              <w:rPr>
                <w:b/>
                <w:bCs/>
                <w:sz w:val="56"/>
                <w:szCs w:val="56"/>
              </w:rPr>
            </w:pPr>
            <w:r w:rsidRPr="003E1039">
              <w:rPr>
                <w:b/>
                <w:bCs/>
                <w:noProof/>
                <w:sz w:val="56"/>
                <w:szCs w:val="56"/>
              </w:rPr>
              <w:drawing>
                <wp:inline distT="0" distB="0" distL="0" distR="0" wp14:anchorId="693558BC" wp14:editId="3E9A1B22">
                  <wp:extent cx="1633773" cy="800100"/>
                  <wp:effectExtent l="0" t="0" r="5080" b="0"/>
                  <wp:docPr id="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36807" cy="801586"/>
                          </a:xfrm>
                          <a:prstGeom prst="rect">
                            <a:avLst/>
                          </a:prstGeom>
                          <a:noFill/>
                        </pic:spPr>
                      </pic:pic>
                    </a:graphicData>
                  </a:graphic>
                </wp:inline>
              </w:drawing>
            </w:r>
          </w:p>
        </w:tc>
      </w:tr>
    </w:tbl>
    <w:p w14:paraId="247548EF" w14:textId="77777777" w:rsidR="00704CA2" w:rsidRDefault="00704CA2" w:rsidP="0074073E">
      <w:pPr>
        <w:jc w:val="center"/>
        <w:rPr>
          <w:b/>
          <w:bCs/>
          <w:sz w:val="56"/>
          <w:szCs w:val="56"/>
          <w:lang w:val="fr-FR"/>
        </w:rPr>
      </w:pPr>
    </w:p>
    <w:p w14:paraId="427BBC09" w14:textId="77777777" w:rsidR="0074073E" w:rsidRDefault="0074073E" w:rsidP="0074073E">
      <w:pPr>
        <w:jc w:val="center"/>
        <w:rPr>
          <w:b/>
          <w:bCs/>
          <w:sz w:val="56"/>
          <w:szCs w:val="56"/>
          <w:lang w:val="fr-FR"/>
        </w:rPr>
      </w:pPr>
      <w:r w:rsidRPr="0074073E">
        <w:rPr>
          <w:b/>
          <w:bCs/>
          <w:sz w:val="56"/>
          <w:szCs w:val="56"/>
          <w:lang w:val="fr-FR"/>
        </w:rPr>
        <w:t xml:space="preserve">Contribution écrite adressée au Comité des disparitions forcées (CED) sur le rapport du Royaume du Maroc </w:t>
      </w:r>
    </w:p>
    <w:p w14:paraId="1FE97C7D" w14:textId="77777777" w:rsidR="0074073E" w:rsidRPr="0074073E" w:rsidRDefault="0074073E" w:rsidP="0074073E">
      <w:pPr>
        <w:jc w:val="center"/>
        <w:rPr>
          <w:b/>
          <w:bCs/>
          <w:sz w:val="56"/>
          <w:szCs w:val="56"/>
          <w:lang w:val="fr-FR"/>
        </w:rPr>
      </w:pPr>
      <w:r w:rsidRPr="0074073E">
        <w:rPr>
          <w:b/>
          <w:bCs/>
          <w:sz w:val="56"/>
          <w:szCs w:val="56"/>
          <w:lang w:val="fr-FR"/>
        </w:rPr>
        <w:t>(23ème session)</w:t>
      </w:r>
    </w:p>
    <w:p w14:paraId="5B598B5E" w14:textId="77777777" w:rsidR="00F2627E" w:rsidRDefault="00F2627E" w:rsidP="0074073E">
      <w:pPr>
        <w:jc w:val="both"/>
        <w:rPr>
          <w:lang w:val="fr-FR"/>
        </w:rPr>
      </w:pPr>
    </w:p>
    <w:p w14:paraId="15448BB0" w14:textId="77777777" w:rsidR="000B0A49" w:rsidRPr="00AE1B3F" w:rsidRDefault="0074073E" w:rsidP="0074073E">
      <w:pPr>
        <w:jc w:val="both"/>
        <w:rPr>
          <w:b/>
          <w:bCs/>
          <w:sz w:val="28"/>
          <w:szCs w:val="28"/>
          <w:lang w:val="fr-FR"/>
        </w:rPr>
      </w:pPr>
      <w:r w:rsidRPr="00AE1B3F">
        <w:rPr>
          <w:b/>
          <w:bCs/>
          <w:sz w:val="28"/>
          <w:szCs w:val="28"/>
          <w:lang w:val="fr-FR"/>
        </w:rPr>
        <w:t>Les organisations signataires :</w:t>
      </w:r>
    </w:p>
    <w:p w14:paraId="01AFA00E" w14:textId="77777777" w:rsidR="00AE1B3F" w:rsidRPr="00AE1B3F" w:rsidRDefault="00AE1B3F" w:rsidP="00AE1B3F">
      <w:pPr>
        <w:jc w:val="both"/>
        <w:rPr>
          <w:rFonts w:eastAsia="Times New Roman"/>
          <w:sz w:val="24"/>
          <w:szCs w:val="24"/>
          <w:lang w:val="fr-FR" w:eastAsia="fr-FR"/>
        </w:rPr>
      </w:pPr>
      <w:r w:rsidRPr="00AE1B3F">
        <w:rPr>
          <w:rFonts w:eastAsia="Times New Roman"/>
          <w:b/>
          <w:sz w:val="24"/>
          <w:szCs w:val="24"/>
          <w:lang w:val="fr-FR" w:eastAsia="fr-FR"/>
        </w:rPr>
        <w:t>Le Bureau des Droits de l’Homme au Sahara occidental</w:t>
      </w:r>
      <w:r w:rsidRPr="00AE1B3F">
        <w:rPr>
          <w:rFonts w:eastAsia="Times New Roman"/>
          <w:sz w:val="24"/>
          <w:szCs w:val="24"/>
          <w:lang w:val="fr-FR" w:eastAsia="fr-FR"/>
        </w:rPr>
        <w:t xml:space="preserve"> (BIRDHSO) est une organisation non gouvernementale dont le siège est à Genève. Son travail est dirigé principalement vers les différents mécanismes des droits de l’homme de l’ONU, pour les interpeller sur les violations des droits humains au Sahara occidental, y compris les procédures spéciales, les organes des traités, le Conseil des droits de l’homme, et le Haut-Commissariat aux droits de l’homme. </w:t>
      </w:r>
    </w:p>
    <w:p w14:paraId="499BE6A4" w14:textId="77777777" w:rsidR="002E1D4E" w:rsidRPr="002E1D4E" w:rsidRDefault="00D47C02" w:rsidP="00626B9F">
      <w:pPr>
        <w:jc w:val="both"/>
        <w:rPr>
          <w:sz w:val="24"/>
          <w:szCs w:val="24"/>
          <w:shd w:val="clear" w:color="auto" w:fill="FFFFFF"/>
          <w:lang w:val="fr-FR"/>
        </w:rPr>
      </w:pPr>
      <w:r w:rsidRPr="00D47C02">
        <w:rPr>
          <w:b/>
          <w:bCs/>
          <w:sz w:val="24"/>
          <w:szCs w:val="24"/>
          <w:shd w:val="clear" w:color="auto" w:fill="FFFFFF"/>
          <w:lang w:val="fr-FR"/>
        </w:rPr>
        <w:t xml:space="preserve">L'Association des familles de prisonniers et disparus sahraouis </w:t>
      </w:r>
      <w:r w:rsidR="002E1D4E" w:rsidRPr="002E1D4E">
        <w:rPr>
          <w:b/>
          <w:bCs/>
          <w:sz w:val="24"/>
          <w:szCs w:val="24"/>
          <w:shd w:val="clear" w:color="auto" w:fill="FFFFFF"/>
          <w:lang w:val="fr-FR"/>
        </w:rPr>
        <w:t xml:space="preserve">(AFAPREDESA) (de l’espagnol </w:t>
      </w:r>
      <w:proofErr w:type="spellStart"/>
      <w:r w:rsidR="002E1D4E" w:rsidRPr="002E1D4E">
        <w:rPr>
          <w:b/>
          <w:bCs/>
          <w:sz w:val="24"/>
          <w:szCs w:val="24"/>
          <w:shd w:val="clear" w:color="auto" w:fill="FFFFFF"/>
          <w:lang w:val="fr-FR"/>
        </w:rPr>
        <w:t>Asociación</w:t>
      </w:r>
      <w:proofErr w:type="spellEnd"/>
      <w:r w:rsidR="002E1D4E" w:rsidRPr="002E1D4E">
        <w:rPr>
          <w:b/>
          <w:bCs/>
          <w:sz w:val="24"/>
          <w:szCs w:val="24"/>
          <w:shd w:val="clear" w:color="auto" w:fill="FFFFFF"/>
          <w:lang w:val="fr-FR"/>
        </w:rPr>
        <w:t xml:space="preserve"> de </w:t>
      </w:r>
      <w:proofErr w:type="spellStart"/>
      <w:r w:rsidR="002E1D4E" w:rsidRPr="002E1D4E">
        <w:rPr>
          <w:b/>
          <w:bCs/>
          <w:sz w:val="24"/>
          <w:szCs w:val="24"/>
          <w:shd w:val="clear" w:color="auto" w:fill="FFFFFF"/>
          <w:lang w:val="fr-FR"/>
        </w:rPr>
        <w:t>FAmiliares</w:t>
      </w:r>
      <w:proofErr w:type="spellEnd"/>
      <w:r w:rsidR="002E1D4E" w:rsidRPr="002E1D4E">
        <w:rPr>
          <w:b/>
          <w:bCs/>
          <w:sz w:val="24"/>
          <w:szCs w:val="24"/>
          <w:shd w:val="clear" w:color="auto" w:fill="FFFFFF"/>
          <w:lang w:val="fr-FR"/>
        </w:rPr>
        <w:t xml:space="preserve"> de </w:t>
      </w:r>
      <w:proofErr w:type="spellStart"/>
      <w:r w:rsidR="002E1D4E" w:rsidRPr="002E1D4E">
        <w:rPr>
          <w:b/>
          <w:bCs/>
          <w:sz w:val="24"/>
          <w:szCs w:val="24"/>
          <w:shd w:val="clear" w:color="auto" w:fill="FFFFFF"/>
          <w:lang w:val="fr-FR"/>
        </w:rPr>
        <w:t>PREsos</w:t>
      </w:r>
      <w:proofErr w:type="spellEnd"/>
      <w:r w:rsidR="002E1D4E" w:rsidRPr="002E1D4E">
        <w:rPr>
          <w:b/>
          <w:bCs/>
          <w:sz w:val="24"/>
          <w:szCs w:val="24"/>
          <w:shd w:val="clear" w:color="auto" w:fill="FFFFFF"/>
          <w:lang w:val="fr-FR"/>
        </w:rPr>
        <w:t xml:space="preserve"> y </w:t>
      </w:r>
      <w:proofErr w:type="spellStart"/>
      <w:r w:rsidR="002E1D4E" w:rsidRPr="002E1D4E">
        <w:rPr>
          <w:b/>
          <w:bCs/>
          <w:sz w:val="24"/>
          <w:szCs w:val="24"/>
          <w:shd w:val="clear" w:color="auto" w:fill="FFFFFF"/>
          <w:lang w:val="fr-FR"/>
        </w:rPr>
        <w:t>DEsaparecidos</w:t>
      </w:r>
      <w:proofErr w:type="spellEnd"/>
      <w:r w:rsidR="002E1D4E" w:rsidRPr="002E1D4E">
        <w:rPr>
          <w:b/>
          <w:bCs/>
          <w:sz w:val="24"/>
          <w:szCs w:val="24"/>
          <w:shd w:val="clear" w:color="auto" w:fill="FFFFFF"/>
          <w:lang w:val="fr-FR"/>
        </w:rPr>
        <w:t xml:space="preserve"> </w:t>
      </w:r>
      <w:proofErr w:type="spellStart"/>
      <w:r w:rsidR="002E1D4E" w:rsidRPr="002E1D4E">
        <w:rPr>
          <w:b/>
          <w:bCs/>
          <w:sz w:val="24"/>
          <w:szCs w:val="24"/>
          <w:shd w:val="clear" w:color="auto" w:fill="FFFFFF"/>
          <w:lang w:val="fr-FR"/>
        </w:rPr>
        <w:t>SAharauis</w:t>
      </w:r>
      <w:proofErr w:type="spellEnd"/>
      <w:r w:rsidR="002E1D4E" w:rsidRPr="002E1D4E">
        <w:rPr>
          <w:b/>
          <w:bCs/>
          <w:sz w:val="24"/>
          <w:szCs w:val="24"/>
          <w:shd w:val="clear" w:color="auto" w:fill="FFFFFF"/>
          <w:lang w:val="fr-FR"/>
        </w:rPr>
        <w:t xml:space="preserve">), </w:t>
      </w:r>
      <w:r w:rsidR="002E1D4E" w:rsidRPr="002E1D4E">
        <w:rPr>
          <w:sz w:val="24"/>
          <w:szCs w:val="24"/>
          <w:shd w:val="clear" w:color="auto" w:fill="FFFFFF"/>
          <w:lang w:val="fr-FR"/>
        </w:rPr>
        <w:t xml:space="preserve">fondée le 20 août 1989, est une organisation non gouvernementale sahraouie de défense des droits de l'homme, basé dans les campements de réfugiés sahraouis. Elle œuvre pour mettre fin aux graves violations des droits de l'homme perpétrées par le Maroc à l’encontre des citoyens Sahraouis du territoire non autonome du Sahara Occidental. L'AFAPREDESA s'occupe particulièrement sur la question des "disparus" sahraouis et </w:t>
      </w:r>
      <w:r w:rsidR="00626B9F">
        <w:rPr>
          <w:sz w:val="24"/>
          <w:szCs w:val="24"/>
          <w:shd w:val="clear" w:color="auto" w:fill="FFFFFF"/>
          <w:lang w:val="fr-FR"/>
        </w:rPr>
        <w:t>agit</w:t>
      </w:r>
      <w:r w:rsidR="002E1D4E" w:rsidRPr="002E1D4E">
        <w:rPr>
          <w:sz w:val="24"/>
          <w:szCs w:val="24"/>
          <w:shd w:val="clear" w:color="auto" w:fill="FFFFFF"/>
          <w:lang w:val="fr-FR"/>
        </w:rPr>
        <w:t xml:space="preserve"> pour la libération de tous les prisonniers politiques sahraouis. Depuis 2013, l'AFAPREDESA collabore avec des experts indépendants pour l'exhumation de certaines fosses communes et l'identification des victimes de disparitions forcées. </w:t>
      </w:r>
    </w:p>
    <w:p w14:paraId="7CEC0C33" w14:textId="77777777" w:rsidR="002E1D4E" w:rsidRPr="00C13082" w:rsidRDefault="002E1D4E" w:rsidP="00D47C02">
      <w:pPr>
        <w:jc w:val="both"/>
        <w:rPr>
          <w:sz w:val="24"/>
          <w:szCs w:val="24"/>
          <w:shd w:val="clear" w:color="auto" w:fill="FFFFFF"/>
          <w:lang w:val="fr-FR"/>
        </w:rPr>
      </w:pPr>
      <w:r w:rsidRPr="002E1D4E">
        <w:rPr>
          <w:sz w:val="24"/>
          <w:szCs w:val="24"/>
          <w:shd w:val="clear" w:color="auto" w:fill="FFFFFF"/>
          <w:lang w:val="fr-FR"/>
        </w:rPr>
        <w:lastRenderedPageBreak/>
        <w:t>Depuis avril 1997, l'AFAPREDESA a le statut de membre observateur à la Commission africaine des droits de l'homme et de</w:t>
      </w:r>
      <w:r w:rsidRPr="00C13082">
        <w:rPr>
          <w:sz w:val="24"/>
          <w:szCs w:val="24"/>
          <w:shd w:val="clear" w:color="auto" w:fill="FFFFFF"/>
          <w:lang w:val="fr-FR"/>
        </w:rPr>
        <w:t xml:space="preserve">s peuples et est également membre </w:t>
      </w:r>
      <w:r w:rsidR="00D47C02" w:rsidRPr="00C13082">
        <w:rPr>
          <w:sz w:val="24"/>
          <w:szCs w:val="24"/>
          <w:shd w:val="clear" w:color="auto" w:fill="FFFFFF"/>
          <w:lang w:val="fr-FR"/>
        </w:rPr>
        <w:t>à part entière de la Coalition I</w:t>
      </w:r>
      <w:r w:rsidRPr="00C13082">
        <w:rPr>
          <w:sz w:val="24"/>
          <w:szCs w:val="24"/>
          <w:shd w:val="clear" w:color="auto" w:fill="FFFFFF"/>
          <w:lang w:val="fr-FR"/>
        </w:rPr>
        <w:t xml:space="preserve">nternationale </w:t>
      </w:r>
      <w:r w:rsidR="00D47C02" w:rsidRPr="00C13082">
        <w:rPr>
          <w:sz w:val="24"/>
          <w:szCs w:val="24"/>
          <w:shd w:val="clear" w:color="auto" w:fill="FFFFFF"/>
          <w:lang w:val="fr-FR"/>
        </w:rPr>
        <w:t>C</w:t>
      </w:r>
      <w:r w:rsidRPr="00C13082">
        <w:rPr>
          <w:sz w:val="24"/>
          <w:szCs w:val="24"/>
          <w:shd w:val="clear" w:color="auto" w:fill="FFFFFF"/>
          <w:lang w:val="fr-FR"/>
        </w:rPr>
        <w:t xml:space="preserve">ontre les </w:t>
      </w:r>
      <w:r w:rsidR="00D47C02" w:rsidRPr="00C13082">
        <w:rPr>
          <w:sz w:val="24"/>
          <w:szCs w:val="24"/>
          <w:shd w:val="clear" w:color="auto" w:fill="FFFFFF"/>
          <w:lang w:val="fr-FR"/>
        </w:rPr>
        <w:t>D</w:t>
      </w:r>
      <w:r w:rsidRPr="00C13082">
        <w:rPr>
          <w:sz w:val="24"/>
          <w:szCs w:val="24"/>
          <w:shd w:val="clear" w:color="auto" w:fill="FFFFFF"/>
          <w:lang w:val="fr-FR"/>
        </w:rPr>
        <w:t xml:space="preserve">isparitions </w:t>
      </w:r>
      <w:r w:rsidR="00D47C02" w:rsidRPr="00C13082">
        <w:rPr>
          <w:sz w:val="24"/>
          <w:szCs w:val="24"/>
          <w:shd w:val="clear" w:color="auto" w:fill="FFFFFF"/>
          <w:lang w:val="fr-FR"/>
        </w:rPr>
        <w:t>F</w:t>
      </w:r>
      <w:r w:rsidRPr="00C13082">
        <w:rPr>
          <w:sz w:val="24"/>
          <w:szCs w:val="24"/>
          <w:shd w:val="clear" w:color="auto" w:fill="FFFFFF"/>
          <w:lang w:val="fr-FR"/>
        </w:rPr>
        <w:t>orcées (ICAED). Elle participe</w:t>
      </w:r>
      <w:r w:rsidR="00D47C02" w:rsidRPr="00C13082">
        <w:rPr>
          <w:sz w:val="24"/>
          <w:szCs w:val="24"/>
          <w:shd w:val="clear" w:color="auto" w:fill="FFFFFF"/>
          <w:lang w:val="fr-FR"/>
        </w:rPr>
        <w:t>,</w:t>
      </w:r>
      <w:r w:rsidRPr="00C13082">
        <w:rPr>
          <w:sz w:val="24"/>
          <w:szCs w:val="24"/>
          <w:shd w:val="clear" w:color="auto" w:fill="FFFFFF"/>
          <w:lang w:val="fr-FR"/>
        </w:rPr>
        <w:t xml:space="preserve"> dans la mesure du possible</w:t>
      </w:r>
      <w:r w:rsidR="00D47C02" w:rsidRPr="00C13082">
        <w:rPr>
          <w:sz w:val="24"/>
          <w:szCs w:val="24"/>
          <w:shd w:val="clear" w:color="auto" w:fill="FFFFFF"/>
          <w:lang w:val="fr-FR"/>
        </w:rPr>
        <w:t>,</w:t>
      </w:r>
      <w:r w:rsidRPr="00C13082">
        <w:rPr>
          <w:sz w:val="24"/>
          <w:szCs w:val="24"/>
          <w:shd w:val="clear" w:color="auto" w:fill="FFFFFF"/>
          <w:lang w:val="fr-FR"/>
        </w:rPr>
        <w:t xml:space="preserve"> aux sessions du Conseil des droits de l'homme des Nations Unies,  du Parlement européen et des instances de l'Union Africaine, notamment la Commission africaine des droits de l'homme et des peuples.</w:t>
      </w:r>
    </w:p>
    <w:p w14:paraId="069D0395" w14:textId="77777777" w:rsidR="002E1D4E" w:rsidRPr="00C13082" w:rsidRDefault="002E1D4E" w:rsidP="00626B9F">
      <w:pPr>
        <w:jc w:val="both"/>
        <w:rPr>
          <w:sz w:val="24"/>
          <w:szCs w:val="24"/>
          <w:shd w:val="clear" w:color="auto" w:fill="FFFFFF"/>
          <w:lang w:val="fr-FR"/>
        </w:rPr>
      </w:pPr>
      <w:r w:rsidRPr="00C13082">
        <w:rPr>
          <w:sz w:val="24"/>
          <w:szCs w:val="24"/>
          <w:shd w:val="clear" w:color="auto" w:fill="FFFFFF"/>
          <w:lang w:val="fr-FR"/>
        </w:rPr>
        <w:t xml:space="preserve">L'AFAPREDESA coopère avec de </w:t>
      </w:r>
      <w:r w:rsidR="00626B9F" w:rsidRPr="00C13082">
        <w:rPr>
          <w:sz w:val="24"/>
          <w:szCs w:val="24"/>
          <w:shd w:val="clear" w:color="auto" w:fill="FFFFFF"/>
          <w:lang w:val="fr-FR"/>
        </w:rPr>
        <w:t>plusieur</w:t>
      </w:r>
      <w:r w:rsidRPr="00C13082">
        <w:rPr>
          <w:sz w:val="24"/>
          <w:szCs w:val="24"/>
          <w:shd w:val="clear" w:color="auto" w:fill="FFFFFF"/>
          <w:lang w:val="fr-FR"/>
        </w:rPr>
        <w:t xml:space="preserve">s ONG internationales de défense des droits de l'homme, telles que la Fédération des Associations de Familles de disparus (FEDEFAM), Amnesty International, le Bureau international pour le respect des droits de l'homme au Sahara occidental (BIRDHSO), l'Association espagnole des droits de l'homme (APDHE)  et l'Organisation mondiale contre la torture (OMCT). Au niveau national,  l'AFAPREDESA a mené diverses consultations et activités avec des ONG sahraouies et la Commission Nationale Sahraouie des Droits de l'Homme. </w:t>
      </w:r>
    </w:p>
    <w:p w14:paraId="509F12C4" w14:textId="77777777" w:rsidR="002E1D4E" w:rsidRPr="00C13082" w:rsidRDefault="002E1D4E" w:rsidP="002E1D4E">
      <w:pPr>
        <w:jc w:val="both"/>
        <w:rPr>
          <w:sz w:val="24"/>
          <w:szCs w:val="24"/>
          <w:shd w:val="clear" w:color="auto" w:fill="FFFFFF"/>
          <w:lang w:val="fr-FR"/>
        </w:rPr>
      </w:pPr>
      <w:r w:rsidRPr="00C13082">
        <w:rPr>
          <w:sz w:val="24"/>
          <w:szCs w:val="24"/>
          <w:shd w:val="clear" w:color="auto" w:fill="FFFFFF"/>
          <w:lang w:val="fr-FR"/>
        </w:rPr>
        <w:t>Grâce à son travail, la Cour Nationale Espagnole reconnaît le Génocide perpétré par les Forces Marocaines contre le Peuple Sahraoui dans la sentence 1/2015 du Juge Pablo Ruz, dicté le 9 avril 2015.</w:t>
      </w:r>
    </w:p>
    <w:p w14:paraId="019FC66B" w14:textId="77777777" w:rsidR="000B0A49" w:rsidRPr="00C13082" w:rsidRDefault="000B0A49" w:rsidP="000B0A49">
      <w:pPr>
        <w:jc w:val="both"/>
        <w:rPr>
          <w:rFonts w:eastAsia="Times New Roman"/>
          <w:b/>
          <w:sz w:val="24"/>
          <w:szCs w:val="24"/>
          <w:lang w:val="fr-FR" w:eastAsia="fr-FR"/>
        </w:rPr>
      </w:pPr>
      <w:r w:rsidRPr="00C13082">
        <w:rPr>
          <w:b/>
          <w:sz w:val="24"/>
          <w:szCs w:val="24"/>
          <w:shd w:val="clear" w:color="auto" w:fill="FFFFFF"/>
          <w:lang w:val="fr-FR"/>
        </w:rPr>
        <w:t>L'Association sahraouie des victimes de violations graves des droits de l'homme commises par l'État Marocain</w:t>
      </w:r>
      <w:r w:rsidRPr="00C13082">
        <w:rPr>
          <w:sz w:val="24"/>
          <w:szCs w:val="24"/>
          <w:shd w:val="clear" w:color="auto" w:fill="FFFFFF"/>
          <w:lang w:val="fr-FR"/>
        </w:rPr>
        <w:t xml:space="preserve"> (ASVDH) est une organisation non-gouvernementale dont le siège est à </w:t>
      </w:r>
      <w:r w:rsidRPr="00C13082">
        <w:rPr>
          <w:rFonts w:eastAsia="Times New Roman"/>
          <w:sz w:val="24"/>
          <w:szCs w:val="24"/>
          <w:lang w:val="fr-FR"/>
        </w:rPr>
        <w:t xml:space="preserve">El </w:t>
      </w:r>
      <w:proofErr w:type="spellStart"/>
      <w:r w:rsidRPr="00C13082">
        <w:rPr>
          <w:rFonts w:eastAsia="Times New Roman"/>
          <w:sz w:val="24"/>
          <w:szCs w:val="24"/>
          <w:lang w:val="fr-FR"/>
        </w:rPr>
        <w:t>Aaiún</w:t>
      </w:r>
      <w:proofErr w:type="spellEnd"/>
      <w:r w:rsidRPr="00C13082">
        <w:rPr>
          <w:sz w:val="24"/>
          <w:szCs w:val="24"/>
          <w:shd w:val="clear" w:color="auto" w:fill="FFFFFF"/>
          <w:lang w:val="fr-FR"/>
        </w:rPr>
        <w:t xml:space="preserve"> et qui défend les intérêts des victimes de disparitions forcées et de toutes les victimes de violations graves des droits de l'homme. Sa mission est de défendre les droits des victimes et de leurs bénéficiaires, de promouvoir une culture universelle des droits de l'homme, de guider les jeunes dans une lutte non-violente pour faire valoir leurs droits, et de fournir un soutien psychologique aux personnes, en particulier aux femmes, qui ont fait l’objet de disparitions forcées.</w:t>
      </w:r>
    </w:p>
    <w:p w14:paraId="698BA8D9" w14:textId="77777777" w:rsidR="008C32CC" w:rsidRPr="00C13082" w:rsidRDefault="0074073E" w:rsidP="000B0A49">
      <w:pPr>
        <w:jc w:val="both"/>
        <w:rPr>
          <w:b/>
          <w:bCs/>
          <w:sz w:val="24"/>
          <w:szCs w:val="24"/>
          <w:lang w:val="fr-FR"/>
        </w:rPr>
      </w:pPr>
      <w:r w:rsidRPr="00C13082">
        <w:rPr>
          <w:b/>
          <w:bCs/>
          <w:sz w:val="24"/>
          <w:szCs w:val="24"/>
          <w:lang w:val="fr-FR"/>
        </w:rPr>
        <w:t>Les Organisations signataires saluent cordialement le Comité des Disparitions Forcées (CED) et ont l'honneur d'adresser cette contribution écrite sur le rapport du Royaume du Maroc (23ème session) et de soumettre les questions les plus pertinentes à sa considération.</w:t>
      </w:r>
    </w:p>
    <w:p w14:paraId="2DD96C98" w14:textId="77777777" w:rsidR="00910B5B" w:rsidRDefault="00910B5B" w:rsidP="0074073E">
      <w:pPr>
        <w:jc w:val="both"/>
        <w:rPr>
          <w:b/>
          <w:bCs/>
          <w:sz w:val="24"/>
          <w:szCs w:val="24"/>
          <w:lang w:val="fr-FR"/>
        </w:rPr>
      </w:pPr>
    </w:p>
    <w:p w14:paraId="0927C768" w14:textId="77777777" w:rsidR="00910B5B" w:rsidRDefault="00910B5B" w:rsidP="0074073E">
      <w:pPr>
        <w:jc w:val="both"/>
        <w:rPr>
          <w:b/>
          <w:bCs/>
          <w:sz w:val="24"/>
          <w:szCs w:val="24"/>
          <w:lang w:val="fr-FR"/>
        </w:rPr>
      </w:pPr>
    </w:p>
    <w:p w14:paraId="56199F7F" w14:textId="77777777" w:rsidR="00910B5B" w:rsidRDefault="00910B5B" w:rsidP="0074073E">
      <w:pPr>
        <w:jc w:val="both"/>
        <w:rPr>
          <w:b/>
          <w:bCs/>
          <w:sz w:val="24"/>
          <w:szCs w:val="24"/>
          <w:lang w:val="fr-FR"/>
        </w:rPr>
      </w:pPr>
    </w:p>
    <w:p w14:paraId="3008A640" w14:textId="77777777" w:rsidR="00910B5B" w:rsidRDefault="00910B5B" w:rsidP="0074073E">
      <w:pPr>
        <w:jc w:val="both"/>
        <w:rPr>
          <w:b/>
          <w:bCs/>
          <w:sz w:val="24"/>
          <w:szCs w:val="24"/>
          <w:lang w:val="fr-FR"/>
        </w:rPr>
      </w:pPr>
    </w:p>
    <w:p w14:paraId="56DEBA4B" w14:textId="77777777" w:rsidR="00910B5B" w:rsidRDefault="00910B5B" w:rsidP="0074073E">
      <w:pPr>
        <w:jc w:val="both"/>
        <w:rPr>
          <w:b/>
          <w:bCs/>
          <w:sz w:val="24"/>
          <w:szCs w:val="24"/>
          <w:lang w:val="fr-FR"/>
        </w:rPr>
      </w:pPr>
    </w:p>
    <w:p w14:paraId="399DAF4E" w14:textId="77777777" w:rsidR="0074073E" w:rsidRPr="00910B5B" w:rsidRDefault="0074073E" w:rsidP="0074073E">
      <w:pPr>
        <w:jc w:val="both"/>
        <w:rPr>
          <w:b/>
          <w:bCs/>
          <w:sz w:val="28"/>
          <w:szCs w:val="28"/>
          <w:lang w:val="fr-FR"/>
        </w:rPr>
      </w:pPr>
      <w:r w:rsidRPr="00910B5B">
        <w:rPr>
          <w:b/>
          <w:bCs/>
          <w:sz w:val="28"/>
          <w:szCs w:val="28"/>
          <w:lang w:val="fr-FR"/>
        </w:rPr>
        <w:lastRenderedPageBreak/>
        <w:t>Observation préliminaire sur la forme du rapport du Royaume du Maroc :</w:t>
      </w:r>
    </w:p>
    <w:p w14:paraId="715B17ED" w14:textId="77777777" w:rsidR="00B824E8" w:rsidRDefault="0074073E" w:rsidP="00B824E8">
      <w:pPr>
        <w:jc w:val="both"/>
        <w:rPr>
          <w:sz w:val="24"/>
          <w:szCs w:val="24"/>
          <w:lang w:val="fr-FR"/>
        </w:rPr>
      </w:pPr>
      <w:r w:rsidRPr="00C13082">
        <w:rPr>
          <w:sz w:val="24"/>
          <w:szCs w:val="24"/>
          <w:lang w:val="fr-FR"/>
        </w:rPr>
        <w:t>A la lecture du rapport du Royaume du Maroc, il ressort qu'aucune distinction n'est faite entre son propre territoire internationalement reconnu et le territoire non autonome du Sahara occidental, qui jouit d'un statut séparé et distinct du Royaume du Maroc conformément à la Charte des Nations Unies</w:t>
      </w:r>
      <w:r w:rsidRPr="00C13082">
        <w:rPr>
          <w:rStyle w:val="FootnoteReference"/>
          <w:sz w:val="24"/>
          <w:szCs w:val="24"/>
          <w:lang w:val="fr-FR"/>
        </w:rPr>
        <w:footnoteReference w:id="1"/>
      </w:r>
      <w:r w:rsidRPr="00C13082">
        <w:rPr>
          <w:sz w:val="24"/>
          <w:szCs w:val="24"/>
          <w:lang w:val="fr-FR"/>
        </w:rPr>
        <w:t>, l'Avis de la Cour Internationale de Justice du 16 octobre 1975</w:t>
      </w:r>
      <w:r w:rsidRPr="00C13082">
        <w:rPr>
          <w:rStyle w:val="FootnoteReference"/>
          <w:sz w:val="24"/>
          <w:szCs w:val="24"/>
          <w:lang w:val="fr-FR"/>
        </w:rPr>
        <w:footnoteReference w:id="2"/>
      </w:r>
      <w:r w:rsidRPr="00C13082">
        <w:rPr>
          <w:sz w:val="24"/>
          <w:szCs w:val="24"/>
          <w:lang w:val="fr-FR"/>
        </w:rPr>
        <w:t>, les différentes résolutions de l'Assemblée Générale</w:t>
      </w:r>
      <w:r w:rsidRPr="00C13082">
        <w:rPr>
          <w:rStyle w:val="FootnoteReference"/>
          <w:sz w:val="24"/>
          <w:szCs w:val="24"/>
          <w:lang w:val="fr-FR"/>
        </w:rPr>
        <w:footnoteReference w:id="3"/>
      </w:r>
      <w:r w:rsidRPr="00C13082">
        <w:rPr>
          <w:sz w:val="24"/>
          <w:szCs w:val="24"/>
          <w:lang w:val="fr-FR"/>
        </w:rPr>
        <w:t xml:space="preserve"> et du Conseil de Sécurité de l'ONU</w:t>
      </w:r>
      <w:r w:rsidRPr="00C13082">
        <w:rPr>
          <w:rStyle w:val="FootnoteReference"/>
          <w:sz w:val="24"/>
          <w:szCs w:val="24"/>
          <w:lang w:val="fr-FR"/>
        </w:rPr>
        <w:footnoteReference w:id="4"/>
      </w:r>
      <w:r w:rsidRPr="00C13082">
        <w:rPr>
          <w:sz w:val="24"/>
          <w:szCs w:val="24"/>
          <w:lang w:val="fr-FR"/>
        </w:rPr>
        <w:t>, les rapports du Secrétaire général</w:t>
      </w:r>
      <w:r w:rsidRPr="00C13082">
        <w:rPr>
          <w:rStyle w:val="FootnoteReference"/>
          <w:sz w:val="24"/>
          <w:szCs w:val="24"/>
          <w:lang w:val="fr-FR"/>
        </w:rPr>
        <w:footnoteReference w:id="5"/>
      </w:r>
      <w:r w:rsidRPr="00C13082">
        <w:rPr>
          <w:sz w:val="24"/>
          <w:szCs w:val="24"/>
          <w:lang w:val="fr-FR"/>
        </w:rPr>
        <w:t>, les rapports des missions de l'ONU</w:t>
      </w:r>
      <w:r w:rsidRPr="00C13082">
        <w:rPr>
          <w:rStyle w:val="FootnoteReference"/>
          <w:sz w:val="24"/>
          <w:szCs w:val="24"/>
          <w:lang w:val="fr-FR"/>
        </w:rPr>
        <w:footnoteReference w:id="6"/>
      </w:r>
      <w:r w:rsidRPr="00C13082">
        <w:rPr>
          <w:sz w:val="24"/>
          <w:szCs w:val="24"/>
          <w:lang w:val="fr-FR"/>
        </w:rPr>
        <w:t>, les arrêts de la Cour Européenne de Justice</w:t>
      </w:r>
      <w:r w:rsidRPr="00C13082">
        <w:rPr>
          <w:rStyle w:val="FootnoteReference"/>
          <w:sz w:val="24"/>
          <w:szCs w:val="24"/>
          <w:lang w:val="fr-FR"/>
        </w:rPr>
        <w:footnoteReference w:id="7"/>
      </w:r>
      <w:r w:rsidRPr="00C13082">
        <w:rPr>
          <w:sz w:val="24"/>
          <w:szCs w:val="24"/>
          <w:lang w:val="fr-FR"/>
        </w:rPr>
        <w:t>,</w:t>
      </w:r>
      <w:r w:rsidR="00B824E8" w:rsidRPr="00C13082">
        <w:rPr>
          <w:sz w:val="24"/>
          <w:szCs w:val="24"/>
          <w:lang w:val="fr-FR"/>
        </w:rPr>
        <w:t xml:space="preserve"> l’Acte </w:t>
      </w:r>
      <w:r w:rsidR="00F2627E" w:rsidRPr="00C13082">
        <w:rPr>
          <w:sz w:val="24"/>
          <w:szCs w:val="24"/>
          <w:lang w:val="fr-FR"/>
        </w:rPr>
        <w:t>Constitu</w:t>
      </w:r>
      <w:r w:rsidR="00B824E8" w:rsidRPr="00C13082">
        <w:rPr>
          <w:sz w:val="24"/>
          <w:szCs w:val="24"/>
          <w:lang w:val="fr-FR"/>
        </w:rPr>
        <w:t>t</w:t>
      </w:r>
      <w:r w:rsidR="00F2627E" w:rsidRPr="00C13082">
        <w:rPr>
          <w:sz w:val="24"/>
          <w:szCs w:val="24"/>
          <w:lang w:val="fr-FR"/>
        </w:rPr>
        <w:t>if</w:t>
      </w:r>
      <w:r w:rsidR="00B824E8" w:rsidRPr="00C13082">
        <w:rPr>
          <w:sz w:val="24"/>
          <w:szCs w:val="24"/>
          <w:lang w:val="fr-FR"/>
        </w:rPr>
        <w:t xml:space="preserve"> de l'Union Africaine</w:t>
      </w:r>
      <w:r w:rsidR="00F2627E" w:rsidRPr="00C13082">
        <w:rPr>
          <w:rStyle w:val="FootnoteReference"/>
          <w:sz w:val="24"/>
          <w:szCs w:val="24"/>
          <w:lang w:val="fr-FR"/>
        </w:rPr>
        <w:footnoteReference w:id="8"/>
      </w:r>
      <w:r w:rsidR="00B824E8" w:rsidRPr="00C13082">
        <w:rPr>
          <w:sz w:val="24"/>
          <w:szCs w:val="24"/>
          <w:lang w:val="fr-FR"/>
        </w:rPr>
        <w:t xml:space="preserve"> ainsi que les différents traités signés par le Royaume du Maroc, notamment l'article 1er commun</w:t>
      </w:r>
      <w:r w:rsidR="00F2627E" w:rsidRPr="00C13082">
        <w:rPr>
          <w:rStyle w:val="FootnoteReference"/>
          <w:sz w:val="24"/>
          <w:szCs w:val="24"/>
          <w:lang w:val="fr-FR"/>
        </w:rPr>
        <w:footnoteReference w:id="9"/>
      </w:r>
      <w:r w:rsidR="00B824E8" w:rsidRPr="00C13082">
        <w:rPr>
          <w:sz w:val="24"/>
          <w:szCs w:val="24"/>
          <w:lang w:val="fr-FR"/>
        </w:rPr>
        <w:t xml:space="preserve"> aux Pactes internationaux relatifs aux droits civils et politiques et aux droits économiques, sociaux et culturels.</w:t>
      </w:r>
    </w:p>
    <w:p w14:paraId="4EB1E212" w14:textId="77777777" w:rsidR="00910B5B" w:rsidRPr="00C13082" w:rsidRDefault="00910B5B" w:rsidP="00B824E8">
      <w:pPr>
        <w:jc w:val="both"/>
        <w:rPr>
          <w:sz w:val="24"/>
          <w:szCs w:val="24"/>
          <w:lang w:val="fr-FR"/>
        </w:rPr>
      </w:pPr>
    </w:p>
    <w:p w14:paraId="193AB9DD" w14:textId="77777777" w:rsidR="00F2627E" w:rsidRPr="00C13082" w:rsidRDefault="00B824E8" w:rsidP="00A10495">
      <w:pPr>
        <w:jc w:val="both"/>
        <w:rPr>
          <w:sz w:val="24"/>
          <w:szCs w:val="24"/>
          <w:lang w:val="en-US"/>
        </w:rPr>
      </w:pPr>
      <w:r w:rsidRPr="00C13082">
        <w:rPr>
          <w:sz w:val="24"/>
          <w:szCs w:val="24"/>
          <w:lang w:val="fr-FR"/>
        </w:rPr>
        <w:lastRenderedPageBreak/>
        <w:t xml:space="preserve">Le droit du peuple sahraoui à l'autodétermination sera reconnu conformément au droit international en vigueur, et non aux dispositions légales internes du Royaume du Maroc qui le violent. </w:t>
      </w:r>
      <w:r w:rsidRPr="00C13082">
        <w:rPr>
          <w:sz w:val="24"/>
          <w:szCs w:val="24"/>
          <w:lang w:val="en-US"/>
        </w:rPr>
        <w:t xml:space="preserve">Comme le </w:t>
      </w:r>
      <w:proofErr w:type="spellStart"/>
      <w:r w:rsidRPr="00C13082">
        <w:rPr>
          <w:sz w:val="24"/>
          <w:szCs w:val="24"/>
          <w:lang w:val="en-US"/>
        </w:rPr>
        <w:t>dit</w:t>
      </w:r>
      <w:proofErr w:type="spellEnd"/>
      <w:r w:rsidRPr="00C13082">
        <w:rPr>
          <w:sz w:val="24"/>
          <w:szCs w:val="24"/>
          <w:lang w:val="en-US"/>
        </w:rPr>
        <w:t xml:space="preserve"> Ian </w:t>
      </w:r>
      <w:proofErr w:type="spellStart"/>
      <w:r w:rsidRPr="00C13082">
        <w:rPr>
          <w:sz w:val="24"/>
          <w:szCs w:val="24"/>
          <w:lang w:val="en-US"/>
        </w:rPr>
        <w:t>Brownlie</w:t>
      </w:r>
      <w:proofErr w:type="spellEnd"/>
      <w:r w:rsidRPr="00C13082">
        <w:rPr>
          <w:sz w:val="24"/>
          <w:szCs w:val="24"/>
          <w:lang w:val="en-US"/>
        </w:rPr>
        <w:t xml:space="preserve"> dans son </w:t>
      </w:r>
      <w:proofErr w:type="spellStart"/>
      <w:r w:rsidRPr="00C13082">
        <w:rPr>
          <w:sz w:val="24"/>
          <w:szCs w:val="24"/>
          <w:lang w:val="en-US"/>
        </w:rPr>
        <w:t>ouvrage</w:t>
      </w:r>
      <w:proofErr w:type="spellEnd"/>
      <w:r w:rsidRPr="00C13082">
        <w:rPr>
          <w:sz w:val="24"/>
          <w:szCs w:val="24"/>
          <w:lang w:val="en-US"/>
        </w:rPr>
        <w:t xml:space="preserve"> </w:t>
      </w:r>
      <w:proofErr w:type="spellStart"/>
      <w:r w:rsidRPr="00C13082">
        <w:rPr>
          <w:sz w:val="24"/>
          <w:szCs w:val="24"/>
          <w:lang w:val="en-US"/>
        </w:rPr>
        <w:t>classique</w:t>
      </w:r>
      <w:proofErr w:type="spellEnd"/>
      <w:r w:rsidR="00A10495" w:rsidRPr="00C13082">
        <w:rPr>
          <w:rStyle w:val="FootnoteReference"/>
          <w:sz w:val="24"/>
          <w:szCs w:val="24"/>
          <w:lang w:val="en-US"/>
        </w:rPr>
        <w:footnoteReference w:id="10"/>
      </w:r>
      <w:proofErr w:type="gramStart"/>
      <w:r w:rsidR="00A10495" w:rsidRPr="00C13082">
        <w:rPr>
          <w:sz w:val="24"/>
          <w:szCs w:val="24"/>
          <w:lang w:val="en-US"/>
        </w:rPr>
        <w:t>.</w:t>
      </w:r>
      <w:r w:rsidRPr="00C13082">
        <w:rPr>
          <w:sz w:val="24"/>
          <w:szCs w:val="24"/>
          <w:lang w:val="en-US"/>
        </w:rPr>
        <w:t xml:space="preserve"> :</w:t>
      </w:r>
      <w:proofErr w:type="gramEnd"/>
      <w:r w:rsidR="00F2627E" w:rsidRPr="00C13082">
        <w:rPr>
          <w:sz w:val="24"/>
          <w:szCs w:val="24"/>
          <w:lang w:val="en-US"/>
        </w:rPr>
        <w:t xml:space="preserve"> </w:t>
      </w:r>
      <w:r w:rsidR="00A10495">
        <w:rPr>
          <w:sz w:val="24"/>
          <w:szCs w:val="24"/>
          <w:lang w:val="en-US"/>
        </w:rPr>
        <w:t>“</w:t>
      </w:r>
      <w:r w:rsidR="00F2627E" w:rsidRPr="00C13082">
        <w:rPr>
          <w:sz w:val="24"/>
          <w:szCs w:val="24"/>
          <w:lang w:val="en-US"/>
        </w:rPr>
        <w:t>A state cannot plead provisions of its own law or deficiencies in that law in answer to a claim against it for an alleged breach of its obligations under international law”.</w:t>
      </w:r>
    </w:p>
    <w:p w14:paraId="7CF90748" w14:textId="77777777" w:rsidR="00E11AED" w:rsidRPr="00C13082" w:rsidRDefault="00E11AED" w:rsidP="00E11AED">
      <w:pPr>
        <w:jc w:val="both"/>
        <w:rPr>
          <w:sz w:val="24"/>
          <w:szCs w:val="24"/>
          <w:lang w:val="fr-FR"/>
        </w:rPr>
      </w:pPr>
      <w:r w:rsidRPr="00C13082">
        <w:rPr>
          <w:sz w:val="24"/>
          <w:szCs w:val="24"/>
          <w:lang w:val="fr-FR"/>
        </w:rPr>
        <w:t>La première question : Le CED accepte-t-il le rapport marocain tel qu'il a été présenté ou demandera-t-il sa reformulation afin d'être conforme au droit international en vigueur et au statut juridique distinct et séparé du Sahara Occidental ainsi qu'en tenant compte de nos principales préoccupations formulées dans cette contribution ?</w:t>
      </w:r>
    </w:p>
    <w:p w14:paraId="7899579A" w14:textId="77777777" w:rsidR="0074073E" w:rsidRPr="00C13082" w:rsidRDefault="00E11AED" w:rsidP="00142F5C">
      <w:pPr>
        <w:jc w:val="both"/>
        <w:rPr>
          <w:sz w:val="24"/>
          <w:szCs w:val="24"/>
          <w:lang w:val="fr-FR"/>
        </w:rPr>
      </w:pPr>
      <w:r w:rsidRPr="00C13082">
        <w:rPr>
          <w:sz w:val="24"/>
          <w:szCs w:val="24"/>
          <w:lang w:val="fr-FR"/>
        </w:rPr>
        <w:t>Deuxième question : Etant donné que le Royaume du Maroc lui-même, dans le rapport du Conseil Consultatif des Droits de l'Homme publié en 2010</w:t>
      </w:r>
      <w:r w:rsidRPr="00C13082">
        <w:rPr>
          <w:rStyle w:val="FootnoteReference"/>
          <w:sz w:val="24"/>
          <w:szCs w:val="24"/>
          <w:lang w:val="fr-FR"/>
        </w:rPr>
        <w:footnoteReference w:id="11"/>
      </w:r>
      <w:r w:rsidRPr="00C13082">
        <w:rPr>
          <w:sz w:val="24"/>
          <w:szCs w:val="24"/>
          <w:lang w:val="fr-FR"/>
        </w:rPr>
        <w:t>, reconnaît que 638 des 940 cas de disparitions forcées survenues de 1956 à 1999 sont sahraouis, le Royaume du Maroc ne devrait-il pas mettre un accent particulier sur le peuple sahraoui le plus touché par ce crime contre l'humanité en raison de sa pratique généralisée et systématique au Sahara Occidental, comme l'ont reconnu le Groupe de travail sur les disparitions forcées ou involontaires</w:t>
      </w:r>
      <w:r w:rsidR="00142F5C" w:rsidRPr="00C13082">
        <w:rPr>
          <w:rStyle w:val="FootnoteReference"/>
          <w:sz w:val="24"/>
          <w:szCs w:val="24"/>
          <w:lang w:val="fr-FR"/>
        </w:rPr>
        <w:footnoteReference w:id="12"/>
      </w:r>
      <w:r w:rsidRPr="00C13082">
        <w:rPr>
          <w:sz w:val="24"/>
          <w:szCs w:val="24"/>
          <w:lang w:val="fr-FR"/>
        </w:rPr>
        <w:t xml:space="preserve"> et la </w:t>
      </w:r>
      <w:r w:rsidR="00142F5C" w:rsidRPr="00C13082">
        <w:rPr>
          <w:sz w:val="24"/>
          <w:szCs w:val="24"/>
          <w:lang w:val="fr-FR"/>
        </w:rPr>
        <w:t>Cour nationale d'Espagne dans la sentence</w:t>
      </w:r>
      <w:r w:rsidR="00142F5C" w:rsidRPr="00C13082">
        <w:rPr>
          <w:rStyle w:val="FootnoteReference"/>
          <w:sz w:val="24"/>
          <w:szCs w:val="24"/>
          <w:lang w:val="fr-FR"/>
        </w:rPr>
        <w:footnoteReference w:id="13"/>
      </w:r>
      <w:r w:rsidRPr="00C13082">
        <w:rPr>
          <w:sz w:val="24"/>
          <w:szCs w:val="24"/>
          <w:lang w:val="fr-FR"/>
        </w:rPr>
        <w:t xml:space="preserve"> 1/2015 rendue par le juge Pablo Ruz, le 9 avril 2015 ?</w:t>
      </w:r>
    </w:p>
    <w:p w14:paraId="2DC2B84A" w14:textId="77777777" w:rsidR="00910B5B" w:rsidRDefault="00910B5B" w:rsidP="00E11AED">
      <w:pPr>
        <w:jc w:val="both"/>
        <w:rPr>
          <w:b/>
          <w:bCs/>
          <w:sz w:val="36"/>
          <w:szCs w:val="36"/>
          <w:lang w:val="fr-FR"/>
        </w:rPr>
      </w:pPr>
    </w:p>
    <w:p w14:paraId="2224C6C7" w14:textId="77777777" w:rsidR="00C54A97" w:rsidRPr="00C13082" w:rsidRDefault="00C54A97" w:rsidP="00E11AED">
      <w:pPr>
        <w:jc w:val="both"/>
        <w:rPr>
          <w:b/>
          <w:bCs/>
          <w:sz w:val="36"/>
          <w:szCs w:val="36"/>
          <w:lang w:val="fr-FR"/>
        </w:rPr>
      </w:pPr>
      <w:r w:rsidRPr="00C13082">
        <w:rPr>
          <w:b/>
          <w:bCs/>
          <w:sz w:val="36"/>
          <w:szCs w:val="36"/>
          <w:lang w:val="fr-FR"/>
        </w:rPr>
        <w:t>Questions sur le contenu du rapport :</w:t>
      </w:r>
    </w:p>
    <w:p w14:paraId="77EA763D" w14:textId="77777777" w:rsidR="00C54A97" w:rsidRPr="00C13082" w:rsidRDefault="00C54A97" w:rsidP="00C54A97">
      <w:pPr>
        <w:pStyle w:val="ListParagraph"/>
        <w:numPr>
          <w:ilvl w:val="0"/>
          <w:numId w:val="1"/>
        </w:numPr>
        <w:ind w:left="360"/>
        <w:jc w:val="both"/>
        <w:rPr>
          <w:b/>
          <w:bCs/>
          <w:sz w:val="32"/>
          <w:szCs w:val="32"/>
        </w:rPr>
      </w:pPr>
      <w:r w:rsidRPr="00C13082">
        <w:rPr>
          <w:b/>
          <w:bCs/>
          <w:sz w:val="32"/>
          <w:szCs w:val="32"/>
        </w:rPr>
        <w:t>Introducción:</w:t>
      </w:r>
    </w:p>
    <w:p w14:paraId="78C6F9F8" w14:textId="77777777" w:rsidR="00C54A97" w:rsidRPr="00C13082" w:rsidRDefault="00C54A97" w:rsidP="00C54A97">
      <w:pPr>
        <w:ind w:left="-360"/>
        <w:jc w:val="both"/>
        <w:rPr>
          <w:b/>
          <w:bCs/>
          <w:sz w:val="24"/>
          <w:szCs w:val="24"/>
        </w:rPr>
      </w:pPr>
      <w:r w:rsidRPr="00C13082">
        <w:rPr>
          <w:b/>
          <w:bCs/>
          <w:sz w:val="24"/>
          <w:szCs w:val="24"/>
        </w:rPr>
        <w:t xml:space="preserve">Point 2: </w:t>
      </w:r>
    </w:p>
    <w:p w14:paraId="04708A05" w14:textId="77777777" w:rsidR="00910B5B" w:rsidRDefault="00C54A97" w:rsidP="00910B5B">
      <w:pPr>
        <w:ind w:left="-360"/>
        <w:jc w:val="both"/>
        <w:rPr>
          <w:sz w:val="24"/>
          <w:szCs w:val="24"/>
          <w:lang w:val="fr-FR"/>
        </w:rPr>
      </w:pPr>
      <w:r w:rsidRPr="00C13082">
        <w:rPr>
          <w:sz w:val="24"/>
          <w:szCs w:val="24"/>
          <w:lang w:val="fr-FR"/>
        </w:rPr>
        <w:t>Pour tenter d'expliquer le retard dans la soumission de son rapport au titre de l'article 29, paragraphe 1, de la Convention, le Royaume du Maroc allègue au point 2 de son rapport qu'il est dû à sa "volonté de le préparer dans le cadre des efforts visant à compléter les résultats de l'expérience de la justice transitionnelle au Maroc, qui a été menée pour la plupart fin 2018, avec la résolution de la plupart des cas de disparition par le Conseil national des droits de l'homme »</w:t>
      </w:r>
    </w:p>
    <w:p w14:paraId="6C6B9D15" w14:textId="77777777" w:rsidR="00C54A97" w:rsidRDefault="00C54A97" w:rsidP="00910B5B">
      <w:pPr>
        <w:ind w:left="-360"/>
        <w:jc w:val="both"/>
        <w:rPr>
          <w:sz w:val="24"/>
          <w:szCs w:val="24"/>
          <w:lang w:val="en-US"/>
        </w:rPr>
      </w:pPr>
      <w:r w:rsidRPr="00C13082">
        <w:rPr>
          <w:sz w:val="24"/>
          <w:szCs w:val="24"/>
          <w:lang w:val="fr-FR"/>
        </w:rPr>
        <w:lastRenderedPageBreak/>
        <w:t xml:space="preserve">Question 3 : L'État partie à la Convention peut-il présenter une liste de tous les cas prétendument résolus et si lesdites résolutions ont eu la participation active des victimes, des experts indépendants et des organismes humanitaires internationaux concernés tels que le Comité international de la Croix-Rouge  qui a été chargé par le Conseil de sécurité de faire la lumière sur les personnes disparues au Sahara Occidental ? </w:t>
      </w:r>
      <w:r w:rsidRPr="00C13082">
        <w:rPr>
          <w:sz w:val="24"/>
          <w:szCs w:val="24"/>
          <w:lang w:val="en-US"/>
        </w:rPr>
        <w:t>(</w:t>
      </w:r>
      <w:proofErr w:type="spellStart"/>
      <w:r w:rsidRPr="00C13082">
        <w:rPr>
          <w:sz w:val="24"/>
          <w:szCs w:val="24"/>
          <w:lang w:val="en-US"/>
        </w:rPr>
        <w:t>Résolutions</w:t>
      </w:r>
      <w:proofErr w:type="spellEnd"/>
      <w:r w:rsidRPr="00C13082">
        <w:rPr>
          <w:sz w:val="24"/>
          <w:szCs w:val="24"/>
          <w:lang w:val="en-US"/>
        </w:rPr>
        <w:t xml:space="preserve"> : S/RES/1359 (2001), S/RES/1485 (2003), S/RES/1495 (2003), S/RES/1598 (2005))</w:t>
      </w:r>
    </w:p>
    <w:p w14:paraId="77762277" w14:textId="77777777" w:rsidR="00C54A97" w:rsidRPr="00C13082" w:rsidRDefault="00C54A97" w:rsidP="00C54A97">
      <w:pPr>
        <w:ind w:left="-360"/>
        <w:jc w:val="both"/>
        <w:rPr>
          <w:b/>
          <w:bCs/>
          <w:sz w:val="24"/>
          <w:szCs w:val="24"/>
          <w:lang w:val="en-US"/>
        </w:rPr>
      </w:pPr>
      <w:r w:rsidRPr="00C13082">
        <w:rPr>
          <w:b/>
          <w:bCs/>
          <w:sz w:val="24"/>
          <w:szCs w:val="24"/>
          <w:lang w:val="en-US"/>
        </w:rPr>
        <w:t xml:space="preserve">Point </w:t>
      </w:r>
      <w:proofErr w:type="gramStart"/>
      <w:r w:rsidRPr="00C13082">
        <w:rPr>
          <w:b/>
          <w:bCs/>
          <w:sz w:val="24"/>
          <w:szCs w:val="24"/>
          <w:lang w:val="en-US"/>
        </w:rPr>
        <w:t>4 :</w:t>
      </w:r>
      <w:proofErr w:type="gramEnd"/>
    </w:p>
    <w:p w14:paraId="0A15288B" w14:textId="77777777" w:rsidR="00C54A97" w:rsidRPr="00C13082" w:rsidRDefault="00C54A97" w:rsidP="00C54A97">
      <w:pPr>
        <w:ind w:left="-360"/>
        <w:jc w:val="both"/>
        <w:rPr>
          <w:sz w:val="24"/>
          <w:szCs w:val="24"/>
          <w:lang w:val="fr-FR"/>
        </w:rPr>
      </w:pPr>
      <w:r w:rsidRPr="00C13082">
        <w:rPr>
          <w:sz w:val="24"/>
          <w:szCs w:val="24"/>
          <w:lang w:val="fr-FR"/>
        </w:rPr>
        <w:t>Dans ce point, le rapport indique que les associations de la société civile concernées ont participé à l'élaboration de ce rapport. En note de page numéro 4, le rapport précise qu'il s'agit "d'une réunion de concertation de 28 associations de la société civile avec le Ministère d'Etat chargé des Droits de l'Homme et des Relations avec le Parlement".</w:t>
      </w:r>
    </w:p>
    <w:p w14:paraId="68C112F8" w14:textId="77777777" w:rsidR="00C54A97" w:rsidRPr="00C13082" w:rsidRDefault="00C54A97" w:rsidP="00C54A97">
      <w:pPr>
        <w:ind w:left="-360"/>
        <w:jc w:val="both"/>
        <w:rPr>
          <w:sz w:val="24"/>
          <w:szCs w:val="24"/>
          <w:lang w:val="fr-FR"/>
        </w:rPr>
      </w:pPr>
      <w:r w:rsidRPr="00C13082">
        <w:rPr>
          <w:sz w:val="24"/>
          <w:szCs w:val="24"/>
          <w:lang w:val="fr-FR"/>
        </w:rPr>
        <w:t>Les organisations signataires de cette communication n'ayant pas été invitées ou consultées lors de la présentation du rapport, nous souhaitons poser les questions suivantes :</w:t>
      </w:r>
    </w:p>
    <w:p w14:paraId="52018FF4" w14:textId="77777777" w:rsidR="00C54A97" w:rsidRPr="00C13082" w:rsidRDefault="00C54A97" w:rsidP="00C54A97">
      <w:pPr>
        <w:ind w:left="-360"/>
        <w:jc w:val="both"/>
        <w:rPr>
          <w:sz w:val="24"/>
          <w:szCs w:val="24"/>
          <w:lang w:val="fr-FR"/>
        </w:rPr>
      </w:pPr>
      <w:r w:rsidRPr="00C13082">
        <w:rPr>
          <w:sz w:val="24"/>
          <w:szCs w:val="24"/>
          <w:lang w:val="fr-FR"/>
        </w:rPr>
        <w:t>Question 4 : Combien de temps a duré la rencontre avec les 28 associations, si elles ont toutes pu s'exprimer et proposer leurs observations, recommandations et revendications, ainsi que si celles-ci ont été prises en compte et dûment intégrées dans le rapport de la Royaume du Maroc ?</w:t>
      </w:r>
    </w:p>
    <w:p w14:paraId="20FC7802" w14:textId="77777777" w:rsidR="00C54A97" w:rsidRPr="00C13082" w:rsidRDefault="00C54A97" w:rsidP="00C54A97">
      <w:pPr>
        <w:ind w:left="-360"/>
        <w:jc w:val="both"/>
        <w:rPr>
          <w:sz w:val="24"/>
          <w:szCs w:val="24"/>
          <w:lang w:val="fr-FR"/>
        </w:rPr>
      </w:pPr>
      <w:r w:rsidRPr="00C13082">
        <w:rPr>
          <w:sz w:val="24"/>
          <w:szCs w:val="24"/>
          <w:lang w:val="fr-FR"/>
        </w:rPr>
        <w:t>Question 5 : Etant donné que la majorité des cas de personnes disparues sont des personnes d'origine sahraouie, combien d'associations ou d'organisations sahraouies ont été consultées dans le processus de préparation du rapport ?</w:t>
      </w:r>
    </w:p>
    <w:p w14:paraId="10949B94" w14:textId="77777777" w:rsidR="00142F5C" w:rsidRPr="00C13082" w:rsidRDefault="00C54A97" w:rsidP="00142F5C">
      <w:pPr>
        <w:ind w:left="-360"/>
        <w:jc w:val="both"/>
        <w:rPr>
          <w:sz w:val="24"/>
          <w:szCs w:val="24"/>
          <w:lang w:val="fr-FR"/>
        </w:rPr>
      </w:pPr>
      <w:r w:rsidRPr="00C13082">
        <w:rPr>
          <w:sz w:val="24"/>
          <w:szCs w:val="24"/>
          <w:lang w:val="fr-FR"/>
        </w:rPr>
        <w:t xml:space="preserve">Question 6 : L'État partie pourrait-il fournir une liste desdites associations sahraouies qui </w:t>
      </w:r>
      <w:r w:rsidR="00142F5C" w:rsidRPr="00C13082">
        <w:rPr>
          <w:sz w:val="24"/>
          <w:szCs w:val="24"/>
          <w:lang w:val="fr-FR"/>
        </w:rPr>
        <w:t>auraien</w:t>
      </w:r>
      <w:r w:rsidRPr="00C13082">
        <w:rPr>
          <w:sz w:val="24"/>
          <w:szCs w:val="24"/>
          <w:lang w:val="fr-FR"/>
        </w:rPr>
        <w:t>t participé au processus d'élaboration du rapport, le cas échéant ?</w:t>
      </w:r>
    </w:p>
    <w:p w14:paraId="30212EBE" w14:textId="77777777" w:rsidR="00910B5B" w:rsidRDefault="00142F5C" w:rsidP="00910B5B">
      <w:pPr>
        <w:pStyle w:val="ListParagraph"/>
        <w:numPr>
          <w:ilvl w:val="0"/>
          <w:numId w:val="1"/>
        </w:numPr>
        <w:jc w:val="both"/>
        <w:rPr>
          <w:b/>
          <w:bCs/>
          <w:sz w:val="36"/>
          <w:szCs w:val="36"/>
          <w:lang w:val="fr-FR"/>
        </w:rPr>
      </w:pPr>
      <w:r w:rsidRPr="00910B5B">
        <w:rPr>
          <w:b/>
          <w:bCs/>
          <w:sz w:val="36"/>
          <w:szCs w:val="36"/>
          <w:lang w:val="fr-FR"/>
        </w:rPr>
        <w:t>Cadre juridique général</w:t>
      </w:r>
    </w:p>
    <w:p w14:paraId="040B0EC9" w14:textId="77777777" w:rsidR="00910B5B" w:rsidRPr="00910B5B" w:rsidRDefault="00BD6345" w:rsidP="00910B5B">
      <w:pPr>
        <w:pStyle w:val="ListParagraph"/>
        <w:numPr>
          <w:ilvl w:val="0"/>
          <w:numId w:val="7"/>
        </w:numPr>
        <w:jc w:val="both"/>
        <w:rPr>
          <w:b/>
          <w:bCs/>
          <w:sz w:val="36"/>
          <w:szCs w:val="36"/>
          <w:lang w:val="fr-FR"/>
        </w:rPr>
      </w:pPr>
      <w:r w:rsidRPr="00910B5B">
        <w:rPr>
          <w:b/>
          <w:bCs/>
          <w:sz w:val="24"/>
          <w:szCs w:val="24"/>
          <w:lang w:val="fr-FR"/>
        </w:rPr>
        <w:t xml:space="preserve">Cadre </w:t>
      </w:r>
      <w:proofErr w:type="spellStart"/>
      <w:r w:rsidR="00E92EC0" w:rsidRPr="00910B5B">
        <w:rPr>
          <w:b/>
          <w:bCs/>
          <w:sz w:val="24"/>
          <w:szCs w:val="24"/>
        </w:rPr>
        <w:t>constitutionnel</w:t>
      </w:r>
      <w:proofErr w:type="spellEnd"/>
      <w:r w:rsidR="00E92EC0" w:rsidRPr="00910B5B">
        <w:rPr>
          <w:b/>
          <w:bCs/>
          <w:sz w:val="24"/>
          <w:szCs w:val="24"/>
        </w:rPr>
        <w:t xml:space="preserve"> et </w:t>
      </w:r>
      <w:proofErr w:type="spellStart"/>
      <w:r w:rsidR="00E92EC0" w:rsidRPr="00910B5B">
        <w:rPr>
          <w:b/>
          <w:bCs/>
          <w:sz w:val="24"/>
          <w:szCs w:val="24"/>
        </w:rPr>
        <w:t>législatif</w:t>
      </w:r>
      <w:proofErr w:type="spellEnd"/>
    </w:p>
    <w:p w14:paraId="3742EDBE" w14:textId="77777777" w:rsidR="00BD6345" w:rsidRPr="00910B5B" w:rsidRDefault="00E92EC0" w:rsidP="00910B5B">
      <w:pPr>
        <w:ind w:left="360"/>
        <w:jc w:val="both"/>
        <w:rPr>
          <w:b/>
          <w:bCs/>
          <w:sz w:val="36"/>
          <w:szCs w:val="36"/>
          <w:lang w:val="fr-FR"/>
        </w:rPr>
      </w:pPr>
      <w:r w:rsidRPr="00910B5B">
        <w:rPr>
          <w:bCs/>
          <w:sz w:val="24"/>
          <w:szCs w:val="24"/>
          <w:lang w:val="fr-FR"/>
        </w:rPr>
        <w:t>Question 6 : Quelles mesures l'État partie a-t-il prises ou compte-t-il prendre pour distinguer le territoire non autonome du Sahara Occidental du "cadre constitutionnel et législatif marocain", au profit du peuple sahraoui, notamment la primauté des lois du territoire occupé</w:t>
      </w:r>
      <w:r w:rsidR="004267B1" w:rsidRPr="00C13082">
        <w:rPr>
          <w:rStyle w:val="FootnoteReference"/>
          <w:bCs/>
          <w:sz w:val="24"/>
          <w:szCs w:val="24"/>
          <w:lang w:val="fr-FR"/>
        </w:rPr>
        <w:footnoteReference w:id="14"/>
      </w:r>
      <w:r w:rsidRPr="00910B5B">
        <w:rPr>
          <w:bCs/>
          <w:sz w:val="24"/>
          <w:szCs w:val="24"/>
          <w:lang w:val="fr-FR"/>
        </w:rPr>
        <w:t xml:space="preserve"> et des Conventions de Genève lors d'un conflit international comme c'est le cas aujourd'hui ?</w:t>
      </w:r>
    </w:p>
    <w:p w14:paraId="1DA758C2" w14:textId="77777777" w:rsidR="00E92EC0" w:rsidRPr="00C13082" w:rsidRDefault="00E92EC0" w:rsidP="00E92EC0">
      <w:pPr>
        <w:pStyle w:val="H1G"/>
        <w:numPr>
          <w:ilvl w:val="0"/>
          <w:numId w:val="4"/>
        </w:numPr>
        <w:rPr>
          <w:szCs w:val="24"/>
        </w:rPr>
      </w:pPr>
      <w:r w:rsidRPr="00C13082">
        <w:rPr>
          <w:szCs w:val="24"/>
        </w:rPr>
        <w:lastRenderedPageBreak/>
        <w:t>Cas de disparition forcée portés devant la justice</w:t>
      </w:r>
    </w:p>
    <w:p w14:paraId="3804CFF0" w14:textId="77777777" w:rsidR="00E92EC0" w:rsidRPr="00C13082" w:rsidRDefault="00E92EC0" w:rsidP="004267B1">
      <w:pPr>
        <w:jc w:val="both"/>
        <w:rPr>
          <w:sz w:val="24"/>
          <w:szCs w:val="24"/>
          <w:lang w:val="fr-CH" w:bidi="ar-SA"/>
        </w:rPr>
      </w:pPr>
      <w:r w:rsidRPr="00C13082">
        <w:rPr>
          <w:b/>
          <w:bCs/>
          <w:sz w:val="24"/>
          <w:szCs w:val="24"/>
          <w:lang w:val="fr-CH" w:bidi="ar-SA"/>
        </w:rPr>
        <w:t>Au point 18</w:t>
      </w:r>
      <w:r w:rsidRPr="00C13082">
        <w:rPr>
          <w:sz w:val="24"/>
          <w:szCs w:val="24"/>
          <w:lang w:val="fr-CH" w:bidi="ar-SA"/>
        </w:rPr>
        <w:t xml:space="preserve"> du rapport, il est indiqué que "depuis </w:t>
      </w:r>
      <w:r w:rsidRPr="00C13082">
        <w:rPr>
          <w:sz w:val="24"/>
          <w:szCs w:val="24"/>
          <w:lang w:val="fr-FR"/>
        </w:rPr>
        <w:t>la ratification par le Royaume du Maroc de la Convention internationale pour la protection de toutes les personnes contre les disparitions forcées, aucun cas de disparition forcée au sens de ladite Convention n’a été enregistré</w:t>
      </w:r>
      <w:r w:rsidRPr="00C13082">
        <w:rPr>
          <w:sz w:val="24"/>
          <w:szCs w:val="24"/>
          <w:lang w:val="fr-CH" w:bidi="ar-SA"/>
        </w:rPr>
        <w:t xml:space="preserve">". Cependant, dans la pratique, le recours à la disparition forcée est </w:t>
      </w:r>
      <w:r w:rsidR="004267B1" w:rsidRPr="00C13082">
        <w:rPr>
          <w:sz w:val="24"/>
          <w:szCs w:val="24"/>
          <w:lang w:val="fr-CH" w:bidi="ar-SA"/>
        </w:rPr>
        <w:t>toujours constaté</w:t>
      </w:r>
      <w:r w:rsidRPr="00C13082">
        <w:rPr>
          <w:sz w:val="24"/>
          <w:szCs w:val="24"/>
          <w:lang w:val="fr-CH" w:bidi="ar-SA"/>
        </w:rPr>
        <w:t xml:space="preserve"> dans des cas d'arrestations arbitraires ainsi qu'au moins </w:t>
      </w:r>
      <w:r w:rsidR="004267B1" w:rsidRPr="00C13082">
        <w:rPr>
          <w:sz w:val="24"/>
          <w:szCs w:val="24"/>
          <w:lang w:val="fr-CH" w:bidi="ar-SA"/>
        </w:rPr>
        <w:t xml:space="preserve">dans </w:t>
      </w:r>
      <w:r w:rsidRPr="00C13082">
        <w:rPr>
          <w:sz w:val="24"/>
          <w:szCs w:val="24"/>
          <w:lang w:val="fr-CH" w:bidi="ar-SA"/>
        </w:rPr>
        <w:t>un cas de disparition forcée prolongée d'au moins un citoyen sahraoui en la personne de L.A. enlevé le 7 février 2022 dans la ville occupée de Dakhla.</w:t>
      </w:r>
    </w:p>
    <w:p w14:paraId="2BA9EC47" w14:textId="77777777" w:rsidR="00E92EC0" w:rsidRPr="00C13082" w:rsidRDefault="00E92EC0" w:rsidP="004267B1">
      <w:pPr>
        <w:jc w:val="both"/>
        <w:rPr>
          <w:sz w:val="24"/>
          <w:szCs w:val="24"/>
          <w:lang w:val="fr-CH" w:bidi="ar-SA"/>
        </w:rPr>
      </w:pPr>
      <w:r w:rsidRPr="00C13082">
        <w:rPr>
          <w:sz w:val="24"/>
          <w:szCs w:val="24"/>
          <w:lang w:val="fr-CH" w:bidi="ar-SA"/>
        </w:rPr>
        <w:t>Question 7 : Quelles mesures l'État partie compte-t-il prendre pour éradiquer complètement les disparitions forcées, y compris temporaires, qui accompagnent souvent les détentions arbitraires et autres détentions illégales ?</w:t>
      </w:r>
    </w:p>
    <w:p w14:paraId="30DA1B36" w14:textId="77777777" w:rsidR="00E92EC0" w:rsidRPr="00C13082" w:rsidRDefault="00E92EC0" w:rsidP="004267B1">
      <w:pPr>
        <w:jc w:val="both"/>
        <w:rPr>
          <w:sz w:val="24"/>
          <w:szCs w:val="24"/>
          <w:lang w:val="fr-CH" w:bidi="ar-SA"/>
        </w:rPr>
      </w:pPr>
      <w:r w:rsidRPr="00C13082">
        <w:rPr>
          <w:sz w:val="24"/>
          <w:szCs w:val="24"/>
          <w:lang w:val="fr-CH" w:bidi="ar-SA"/>
        </w:rPr>
        <w:t xml:space="preserve">D'autre part, compte tenu du manque de possibilités de présenter des cas de disparitions forcées devant la justice marocaine, l'Association des </w:t>
      </w:r>
      <w:r w:rsidR="004267B1" w:rsidRPr="00C13082">
        <w:rPr>
          <w:sz w:val="24"/>
          <w:szCs w:val="24"/>
          <w:lang w:val="fr-CH" w:bidi="ar-SA"/>
        </w:rPr>
        <w:t>familles</w:t>
      </w:r>
      <w:r w:rsidRPr="00C13082">
        <w:rPr>
          <w:sz w:val="24"/>
          <w:szCs w:val="24"/>
          <w:lang w:val="fr-CH" w:bidi="ar-SA"/>
        </w:rPr>
        <w:t xml:space="preserve"> des prisonniers et disparus sahraouis (AFAPREDESA) a déposé une plainte pénale devant l</w:t>
      </w:r>
      <w:r w:rsidR="004267B1" w:rsidRPr="00C13082">
        <w:rPr>
          <w:sz w:val="24"/>
          <w:szCs w:val="24"/>
          <w:lang w:val="fr-CH" w:bidi="ar-SA"/>
        </w:rPr>
        <w:t>a Cour N</w:t>
      </w:r>
      <w:r w:rsidRPr="00C13082">
        <w:rPr>
          <w:sz w:val="24"/>
          <w:szCs w:val="24"/>
          <w:lang w:val="fr-CH" w:bidi="ar-SA"/>
        </w:rPr>
        <w:t xml:space="preserve">ationale d'Espagne en 2006. Le 9 avril 2015, le juge espagnol Pablo Ruz, chef de la Cour centrale d'instruction n° 5 de la Cour nationale, </w:t>
      </w:r>
      <w:r w:rsidR="004267B1" w:rsidRPr="00C13082">
        <w:rPr>
          <w:sz w:val="24"/>
          <w:szCs w:val="24"/>
          <w:lang w:val="fr-CH" w:bidi="ar-SA"/>
        </w:rPr>
        <w:t xml:space="preserve"> dans l’</w:t>
      </w:r>
      <w:r w:rsidR="004267B1" w:rsidRPr="00C13082">
        <w:rPr>
          <w:sz w:val="24"/>
          <w:szCs w:val="24"/>
          <w:lang w:val="fr-FR" w:bidi="ar-SA"/>
        </w:rPr>
        <w:t>arrêt</w:t>
      </w:r>
      <w:r w:rsidRPr="00C13082">
        <w:rPr>
          <w:sz w:val="24"/>
          <w:szCs w:val="24"/>
          <w:lang w:val="fr-CH" w:bidi="ar-SA"/>
        </w:rPr>
        <w:t xml:space="preserve"> 1/2015</w:t>
      </w:r>
      <w:r w:rsidR="004267B1" w:rsidRPr="00C13082">
        <w:rPr>
          <w:rStyle w:val="FootnoteReference"/>
          <w:sz w:val="24"/>
          <w:szCs w:val="24"/>
          <w:lang w:val="fr-CH" w:bidi="ar-SA"/>
        </w:rPr>
        <w:footnoteReference w:id="15"/>
      </w:r>
      <w:r w:rsidRPr="00C13082">
        <w:rPr>
          <w:sz w:val="24"/>
          <w:szCs w:val="24"/>
          <w:lang w:val="fr-CH" w:bidi="ar-SA"/>
        </w:rPr>
        <w:t>, émet l'acte d'accusation pour le crime présumé de génocide, en conc</w:t>
      </w:r>
      <w:r w:rsidR="004267B1" w:rsidRPr="00C13082">
        <w:rPr>
          <w:sz w:val="24"/>
          <w:szCs w:val="24"/>
          <w:lang w:val="fr-CH" w:bidi="ar-SA"/>
        </w:rPr>
        <w:t>urrence avec les crimes d’</w:t>
      </w:r>
      <w:r w:rsidRPr="00C13082">
        <w:rPr>
          <w:sz w:val="24"/>
          <w:szCs w:val="24"/>
          <w:lang w:val="fr-CH" w:bidi="ar-SA"/>
        </w:rPr>
        <w:t>assassinat</w:t>
      </w:r>
      <w:r w:rsidR="004267B1" w:rsidRPr="00C13082">
        <w:rPr>
          <w:sz w:val="24"/>
          <w:szCs w:val="24"/>
          <w:lang w:val="fr-CH" w:bidi="ar-SA"/>
        </w:rPr>
        <w:t>s</w:t>
      </w:r>
      <w:r w:rsidRPr="00C13082">
        <w:rPr>
          <w:sz w:val="24"/>
          <w:szCs w:val="24"/>
          <w:lang w:val="fr-CH" w:bidi="ar-SA"/>
        </w:rPr>
        <w:t>, détentions</w:t>
      </w:r>
      <w:r w:rsidR="004267B1" w:rsidRPr="00C13082">
        <w:rPr>
          <w:sz w:val="24"/>
          <w:szCs w:val="24"/>
          <w:lang w:val="fr-CH" w:bidi="ar-SA"/>
        </w:rPr>
        <w:t xml:space="preserve"> illégales</w:t>
      </w:r>
      <w:r w:rsidRPr="00C13082">
        <w:rPr>
          <w:sz w:val="24"/>
          <w:szCs w:val="24"/>
          <w:lang w:val="fr-CH" w:bidi="ar-SA"/>
        </w:rPr>
        <w:t>, disparitions forcées et tortures contre 11 hauts responsables militaires et policiers marocains.</w:t>
      </w:r>
    </w:p>
    <w:p w14:paraId="3A52C208" w14:textId="77777777" w:rsidR="00E92EC0" w:rsidRPr="00C13082" w:rsidRDefault="00E92EC0" w:rsidP="004267B1">
      <w:pPr>
        <w:jc w:val="both"/>
        <w:rPr>
          <w:sz w:val="24"/>
          <w:szCs w:val="24"/>
          <w:lang w:val="fr-CH" w:bidi="ar-SA"/>
        </w:rPr>
      </w:pPr>
      <w:r w:rsidRPr="00C13082">
        <w:rPr>
          <w:sz w:val="24"/>
          <w:szCs w:val="24"/>
          <w:lang w:val="fr-CH" w:bidi="ar-SA"/>
        </w:rPr>
        <w:t>Question 8 : L'État partie a-t-il l'intention de collaborer avec la justice espagnole pour poursuivre les responsables des disparitions forcées de personnes d'origine sahraouie ?</w:t>
      </w:r>
    </w:p>
    <w:p w14:paraId="13EA7777" w14:textId="77777777" w:rsidR="00E92EC0" w:rsidRDefault="00E92EC0" w:rsidP="00E92EC0">
      <w:pPr>
        <w:rPr>
          <w:sz w:val="24"/>
          <w:szCs w:val="24"/>
          <w:lang w:val="fr-CH" w:bidi="ar-SA"/>
        </w:rPr>
      </w:pPr>
      <w:r w:rsidRPr="00C13082">
        <w:rPr>
          <w:sz w:val="24"/>
          <w:szCs w:val="24"/>
          <w:lang w:val="fr-CH" w:bidi="ar-SA"/>
        </w:rPr>
        <w:t>Question 9 : Étant donné que plusieurs de ces auteurs de disparitions forcées continuent d'exercer des fonctions officielles, quelles mesures l'État partie a-t-il prises ou envisage-t-il de prendre pour mettre fin à l'impunité et promouvoir des garanties de non-répétition ?</w:t>
      </w:r>
    </w:p>
    <w:p w14:paraId="24F5B971" w14:textId="77777777" w:rsidR="007370EE" w:rsidRPr="00C13082" w:rsidRDefault="007370EE" w:rsidP="007370EE">
      <w:pPr>
        <w:jc w:val="both"/>
        <w:rPr>
          <w:rFonts w:asciiTheme="majorHAnsi" w:hAnsiTheme="majorHAnsi" w:cstheme="majorHAnsi"/>
          <w:b/>
          <w:bCs/>
          <w:sz w:val="24"/>
          <w:szCs w:val="24"/>
        </w:rPr>
      </w:pPr>
      <w:r w:rsidRPr="00C13082">
        <w:rPr>
          <w:rFonts w:asciiTheme="majorHAnsi" w:hAnsiTheme="majorHAnsi" w:cstheme="majorHAnsi"/>
          <w:b/>
          <w:bCs/>
          <w:sz w:val="24"/>
          <w:szCs w:val="24"/>
        </w:rPr>
        <w:t>E. Desapariciones forzadas en el trabajo de la Comisión de Equidad y Reconciliación</w:t>
      </w:r>
    </w:p>
    <w:p w14:paraId="01D7FA26" w14:textId="77777777" w:rsidR="007370EE" w:rsidRPr="00C13082" w:rsidRDefault="007370EE" w:rsidP="007370EE">
      <w:pPr>
        <w:jc w:val="both"/>
        <w:rPr>
          <w:sz w:val="24"/>
          <w:szCs w:val="24"/>
          <w:lang w:val="fr-FR" w:bidi="ar-SA"/>
        </w:rPr>
      </w:pPr>
      <w:r w:rsidRPr="00C13082">
        <w:rPr>
          <w:b/>
          <w:bCs/>
          <w:sz w:val="24"/>
          <w:szCs w:val="24"/>
          <w:lang w:val="fr-FR" w:bidi="ar-SA"/>
        </w:rPr>
        <w:t>Point 23,</w:t>
      </w:r>
      <w:r w:rsidRPr="00C13082">
        <w:rPr>
          <w:sz w:val="24"/>
          <w:szCs w:val="24"/>
          <w:lang w:val="fr-FR" w:bidi="ar-SA"/>
        </w:rPr>
        <w:t xml:space="preserve"> le rapport allègue que : « …</w:t>
      </w:r>
      <w:r w:rsidRPr="00C13082">
        <w:rPr>
          <w:sz w:val="24"/>
          <w:szCs w:val="24"/>
          <w:lang w:val="fr-FR"/>
        </w:rPr>
        <w:t xml:space="preserve"> L’IER et la Commission de suivi de la mise en œuvre des recommandations de l’IER, créée au sein du CNDH, sont parvenues à examiner et à élucider 805 cas de disparitions forcées »</w:t>
      </w:r>
      <w:r w:rsidRPr="00C13082">
        <w:rPr>
          <w:sz w:val="24"/>
          <w:szCs w:val="24"/>
          <w:lang w:val="fr-FR" w:bidi="ar-SA"/>
        </w:rPr>
        <w:t>. Formulation très ambiguë qui demande à être clarifiée. De plus, ces chiffres contredisent ceux contenus dans le rapport 2010 du CCDH</w:t>
      </w:r>
      <w:r w:rsidR="00C90753" w:rsidRPr="00C13082">
        <w:rPr>
          <w:rStyle w:val="FootnoteReference"/>
          <w:sz w:val="24"/>
          <w:szCs w:val="24"/>
          <w:lang w:val="fr-FR" w:bidi="ar-SA"/>
        </w:rPr>
        <w:footnoteReference w:id="16"/>
      </w:r>
      <w:r w:rsidRPr="00C13082">
        <w:rPr>
          <w:sz w:val="24"/>
          <w:szCs w:val="24"/>
          <w:lang w:val="fr-FR" w:bidi="ar-SA"/>
        </w:rPr>
        <w:t>. En effet, dans ce document, on peut lire :</w:t>
      </w:r>
    </w:p>
    <w:p w14:paraId="55A42BF7" w14:textId="77777777" w:rsidR="007370EE" w:rsidRPr="00C13082" w:rsidRDefault="007370EE" w:rsidP="007370EE">
      <w:pPr>
        <w:jc w:val="both"/>
        <w:rPr>
          <w:sz w:val="24"/>
          <w:szCs w:val="24"/>
          <w:lang w:val="fr-FR" w:bidi="ar-SA"/>
        </w:rPr>
      </w:pPr>
      <w:r w:rsidRPr="00C13082">
        <w:rPr>
          <w:sz w:val="24"/>
          <w:szCs w:val="24"/>
          <w:lang w:val="fr-FR" w:bidi="ar-SA"/>
        </w:rPr>
        <w:lastRenderedPageBreak/>
        <w:t>« Le nombre de victimes qui figuraient parmi les disparus, dont les noms sont publiés sur ces listes, et dont le sort a été révélé par la Commission Équité et Réconciliation et le Comité de suivi, et qui ont reconnu la responsabilité de l'État dans les violations graves de droits de l'homme, est de neuf cent trente-huit (938), dont deux cent trente séquestrées et soixante-huit femmes (68), qui ont été libérées après avoir fait l'objet d'une disparition forcée prolongée, et six cent quarante (640 ) des personnes sont mortes en conséquence, des violations dont elles ont été victimes, dont cinquante-neuf (61) enfants et vingt et une (23) femmes ». (Page 11 du rapport 2010 du CCDH)</w:t>
      </w:r>
    </w:p>
    <w:p w14:paraId="16378A5D" w14:textId="77777777" w:rsidR="007370EE" w:rsidRPr="00C13082" w:rsidRDefault="007370EE" w:rsidP="007370EE">
      <w:pPr>
        <w:jc w:val="both"/>
        <w:rPr>
          <w:sz w:val="24"/>
          <w:szCs w:val="24"/>
          <w:lang w:val="fr-FR" w:bidi="ar-SA"/>
        </w:rPr>
      </w:pPr>
      <w:r w:rsidRPr="00C13082">
        <w:rPr>
          <w:b/>
          <w:bCs/>
          <w:sz w:val="24"/>
          <w:szCs w:val="24"/>
          <w:lang w:val="fr-FR" w:bidi="ar-SA"/>
        </w:rPr>
        <w:t>Au point 24</w:t>
      </w:r>
      <w:r w:rsidRPr="00C13082">
        <w:rPr>
          <w:sz w:val="24"/>
          <w:szCs w:val="24"/>
          <w:lang w:val="fr-FR" w:bidi="ar-SA"/>
        </w:rPr>
        <w:t xml:space="preserve"> du rapport, il est indiqué que : « L'EIR a laissé soixante-six (66) cas non résolus et a recommandé la poursuite des investigations, pour lesquelles le Comité de suivi a commencé ses investigations pour déterminer le sort des cas restants et est venu à des données sur la plupart d'entre eux et a publié leurs noms et leurs données dans un rapport publié en 2010</w:t>
      </w:r>
      <w:r w:rsidR="00C90753" w:rsidRPr="00C13082">
        <w:rPr>
          <w:rStyle w:val="FootnoteReference"/>
          <w:sz w:val="24"/>
          <w:szCs w:val="24"/>
          <w:lang w:val="fr-FR" w:bidi="ar-SA"/>
        </w:rPr>
        <w:footnoteReference w:id="17"/>
      </w:r>
      <w:r w:rsidRPr="00C13082">
        <w:rPr>
          <w:sz w:val="24"/>
          <w:szCs w:val="24"/>
          <w:lang w:val="fr-FR" w:bidi="ar-SA"/>
        </w:rPr>
        <w:t xml:space="preserve"> ».</w:t>
      </w:r>
    </w:p>
    <w:p w14:paraId="6BC3BDEA" w14:textId="77777777" w:rsidR="007370EE" w:rsidRPr="00C13082" w:rsidRDefault="007370EE" w:rsidP="007370EE">
      <w:pPr>
        <w:jc w:val="both"/>
        <w:rPr>
          <w:sz w:val="24"/>
          <w:szCs w:val="24"/>
          <w:lang w:val="fr-FR" w:bidi="ar-SA"/>
        </w:rPr>
      </w:pPr>
      <w:r w:rsidRPr="00C13082">
        <w:rPr>
          <w:sz w:val="24"/>
          <w:szCs w:val="24"/>
          <w:lang w:val="fr-FR" w:bidi="ar-SA"/>
        </w:rPr>
        <w:t xml:space="preserve">Question 10 : Ces 66 cas sont-ils inclus dans les 805 mentionnés </w:t>
      </w:r>
      <w:r w:rsidRPr="00C13082">
        <w:rPr>
          <w:b/>
          <w:bCs/>
          <w:sz w:val="24"/>
          <w:szCs w:val="24"/>
          <w:lang w:val="fr-FR" w:bidi="ar-SA"/>
        </w:rPr>
        <w:t>au point 23</w:t>
      </w:r>
      <w:r w:rsidRPr="00C13082">
        <w:rPr>
          <w:sz w:val="24"/>
          <w:szCs w:val="24"/>
          <w:lang w:val="fr-FR" w:bidi="ar-SA"/>
        </w:rPr>
        <w:t xml:space="preserve"> du rapport ?</w:t>
      </w:r>
    </w:p>
    <w:p w14:paraId="4F59B9AF" w14:textId="77777777" w:rsidR="00E92EC0" w:rsidRPr="00C13082" w:rsidRDefault="007370EE" w:rsidP="007370EE">
      <w:pPr>
        <w:jc w:val="both"/>
        <w:rPr>
          <w:sz w:val="24"/>
          <w:szCs w:val="24"/>
          <w:lang w:val="fr-FR" w:bidi="ar-SA"/>
        </w:rPr>
      </w:pPr>
      <w:r w:rsidRPr="00C13082">
        <w:rPr>
          <w:sz w:val="24"/>
          <w:szCs w:val="24"/>
          <w:lang w:val="fr-FR" w:bidi="ar-SA"/>
        </w:rPr>
        <w:t>Question 11 : En définitive, combien de cas ont été effectivement examinés par l'IER et la Commission de suivi et combien d'entre eux ont été clarifiés, et si ces clarifications sont conformes aux normes internationales en la matière ?</w:t>
      </w:r>
    </w:p>
    <w:p w14:paraId="40355C32" w14:textId="77777777" w:rsidR="00704CA2" w:rsidRPr="007370EE" w:rsidRDefault="00704CA2" w:rsidP="007370EE">
      <w:pPr>
        <w:jc w:val="both"/>
        <w:rPr>
          <w:lang w:val="fr-FR" w:bidi="ar-SA"/>
        </w:rPr>
      </w:pPr>
    </w:p>
    <w:p w14:paraId="5A1EBA09" w14:textId="77777777" w:rsidR="00C54A97" w:rsidRPr="00C13082" w:rsidRDefault="007370EE" w:rsidP="007370EE">
      <w:pPr>
        <w:pStyle w:val="ListParagraph"/>
        <w:numPr>
          <w:ilvl w:val="0"/>
          <w:numId w:val="5"/>
        </w:numPr>
        <w:jc w:val="both"/>
        <w:rPr>
          <w:b/>
          <w:bCs/>
          <w:sz w:val="36"/>
          <w:szCs w:val="36"/>
          <w:lang w:val="fr-FR"/>
        </w:rPr>
      </w:pPr>
      <w:r w:rsidRPr="00C13082">
        <w:rPr>
          <w:b/>
          <w:bCs/>
          <w:sz w:val="36"/>
          <w:szCs w:val="36"/>
          <w:lang w:val="fr-FR"/>
        </w:rPr>
        <w:t>Mise en œuvre des articles de la Convention</w:t>
      </w:r>
    </w:p>
    <w:p w14:paraId="67D3DD3C" w14:textId="77777777" w:rsidR="00836A01" w:rsidRDefault="00836A01" w:rsidP="00151962">
      <w:pPr>
        <w:jc w:val="both"/>
        <w:rPr>
          <w:sz w:val="24"/>
          <w:szCs w:val="24"/>
          <w:lang w:val="fr-FR"/>
        </w:rPr>
      </w:pPr>
    </w:p>
    <w:p w14:paraId="45DB2B33" w14:textId="77777777" w:rsidR="007370EE" w:rsidRPr="00C13082" w:rsidRDefault="00151962" w:rsidP="00151962">
      <w:pPr>
        <w:jc w:val="both"/>
        <w:rPr>
          <w:sz w:val="24"/>
          <w:szCs w:val="24"/>
          <w:lang w:val="fr-FR"/>
        </w:rPr>
      </w:pPr>
      <w:r w:rsidRPr="00C13082">
        <w:rPr>
          <w:sz w:val="24"/>
          <w:szCs w:val="24"/>
          <w:lang w:val="fr-FR"/>
        </w:rPr>
        <w:t>Question 12 : « Quelle est l'interprétation donnée par l'État partie concernant le champ d'application de la Convention et si celui-ci couvre également les disparitions forcées passées qui n'ont pas encore été clarifiées, c'est-à-dire les disparitions forcées de ces personnes durant la période suivante de l'adoption de la Convention ?</w:t>
      </w:r>
    </w:p>
    <w:p w14:paraId="04152CA8" w14:textId="77777777" w:rsidR="00C90753" w:rsidRPr="00C13082" w:rsidRDefault="00C90753" w:rsidP="00C90753">
      <w:pPr>
        <w:pStyle w:val="H1G"/>
        <w:rPr>
          <w:szCs w:val="24"/>
          <w:rtl/>
        </w:rPr>
      </w:pPr>
      <w:r w:rsidRPr="00C13082">
        <w:rPr>
          <w:szCs w:val="24"/>
        </w:rPr>
        <w:t>Article premier : Exceptions et disparitions forcées</w:t>
      </w:r>
    </w:p>
    <w:p w14:paraId="3B5ED670" w14:textId="77777777" w:rsidR="00151962" w:rsidRPr="00C13082" w:rsidRDefault="00C90753" w:rsidP="00C90753">
      <w:pPr>
        <w:jc w:val="both"/>
        <w:rPr>
          <w:sz w:val="24"/>
          <w:szCs w:val="24"/>
          <w:lang w:val="fr-FR" w:bidi="ar-SA"/>
        </w:rPr>
      </w:pPr>
      <w:r w:rsidRPr="00C13082">
        <w:rPr>
          <w:sz w:val="24"/>
          <w:szCs w:val="24"/>
          <w:lang w:val="fr-FR" w:bidi="ar-SA"/>
        </w:rPr>
        <w:t xml:space="preserve">Si bien comme le mentionne le rapport </w:t>
      </w:r>
      <w:r w:rsidRPr="00C13082">
        <w:rPr>
          <w:b/>
          <w:bCs/>
          <w:sz w:val="24"/>
          <w:szCs w:val="24"/>
          <w:lang w:val="fr-FR" w:bidi="ar-SA"/>
        </w:rPr>
        <w:t>au point 27</w:t>
      </w:r>
      <w:r w:rsidRPr="00C13082">
        <w:rPr>
          <w:sz w:val="24"/>
          <w:szCs w:val="24"/>
          <w:lang w:val="fr-FR" w:bidi="ar-SA"/>
        </w:rPr>
        <w:t xml:space="preserve"> le Parlement ne peut être dissous pendant l'exercice des pouvoirs exceptionnels conformément à l'article 59 de la Constitution, celle-ci accorde néanmoins de larges pouvoirs au roi pour dissoudre le Parlement conformément à l'article 51 dans les conditions prévues aux articles 96, 97 et 98.</w:t>
      </w:r>
    </w:p>
    <w:p w14:paraId="40556360" w14:textId="77777777" w:rsidR="001A1F84" w:rsidRPr="00C13082" w:rsidRDefault="001A1F84" w:rsidP="001A1F84">
      <w:pPr>
        <w:jc w:val="both"/>
        <w:rPr>
          <w:sz w:val="24"/>
          <w:szCs w:val="24"/>
          <w:lang w:val="fr-FR" w:bidi="ar-SA"/>
        </w:rPr>
      </w:pPr>
      <w:r w:rsidRPr="00C13082">
        <w:rPr>
          <w:sz w:val="24"/>
          <w:szCs w:val="24"/>
          <w:lang w:val="fr-FR" w:bidi="ar-SA"/>
        </w:rPr>
        <w:lastRenderedPageBreak/>
        <w:t>Question 13 : Comment l'État partie entend-il mettre en œuvre les garanties prévues à l'article 1 de la Convention pendant la période des pouvoirs exceptionnels accordés après la dissolution du parlement ?</w:t>
      </w:r>
    </w:p>
    <w:p w14:paraId="26D227CD" w14:textId="77777777" w:rsidR="001A1F84" w:rsidRPr="00C13082" w:rsidRDefault="001A1F84" w:rsidP="001A1F84">
      <w:pPr>
        <w:jc w:val="both"/>
        <w:rPr>
          <w:sz w:val="24"/>
          <w:szCs w:val="24"/>
          <w:lang w:val="fr-FR" w:bidi="ar-SA"/>
        </w:rPr>
      </w:pPr>
      <w:r w:rsidRPr="00C13082">
        <w:rPr>
          <w:sz w:val="24"/>
          <w:szCs w:val="24"/>
          <w:lang w:val="fr-FR" w:bidi="ar-SA"/>
        </w:rPr>
        <w:t>De plus, la non-dissolution du parlement pendant l'état d'urgence n'est pas en soi une garantie que des disparitions forcées ne seront commises.</w:t>
      </w:r>
    </w:p>
    <w:p w14:paraId="674DB9B7" w14:textId="77777777" w:rsidR="001A1F84" w:rsidRPr="00C13082" w:rsidRDefault="001A1F84" w:rsidP="001A1F84">
      <w:pPr>
        <w:jc w:val="both"/>
        <w:rPr>
          <w:sz w:val="24"/>
          <w:szCs w:val="24"/>
          <w:lang w:val="fr-FR" w:bidi="ar-SA"/>
        </w:rPr>
      </w:pPr>
      <w:r w:rsidRPr="00C13082">
        <w:rPr>
          <w:sz w:val="24"/>
          <w:szCs w:val="24"/>
          <w:lang w:val="fr-FR" w:bidi="ar-SA"/>
        </w:rPr>
        <w:t>Question 14 : Comment l'État partie entend-il garantir une indépendance authentique et réelle du pouvoir judiciaire qui n'existe pas à l'heure actuelle, compte tenu des nombreux cas de violations graves jamais enquêtés, faisant l'objet de communications, de plaintes et de décisions de différents mécanismes des Nations Unies</w:t>
      </w:r>
      <w:r w:rsidR="00E377D0" w:rsidRPr="00C13082">
        <w:rPr>
          <w:rStyle w:val="FootnoteReference"/>
          <w:sz w:val="24"/>
          <w:szCs w:val="24"/>
          <w:lang w:val="fr-FR" w:bidi="ar-SA"/>
        </w:rPr>
        <w:footnoteReference w:id="18"/>
      </w:r>
      <w:r w:rsidRPr="00C13082">
        <w:rPr>
          <w:sz w:val="24"/>
          <w:szCs w:val="24"/>
          <w:lang w:val="fr-FR" w:bidi="ar-SA"/>
        </w:rPr>
        <w:t xml:space="preserve"> et jamais mises en œuvre par les autorités marocaines ?</w:t>
      </w:r>
    </w:p>
    <w:p w14:paraId="2BDA7DF2" w14:textId="77777777" w:rsidR="001A1F84" w:rsidRPr="00C13082" w:rsidRDefault="001A1F84" w:rsidP="001A1F84">
      <w:pPr>
        <w:pStyle w:val="H1G"/>
        <w:rPr>
          <w:szCs w:val="24"/>
        </w:rPr>
      </w:pPr>
      <w:r w:rsidRPr="00C13082">
        <w:rPr>
          <w:szCs w:val="24"/>
        </w:rPr>
        <w:t>Article 2 : Définition de la disparition forcée</w:t>
      </w:r>
    </w:p>
    <w:p w14:paraId="781E65EE" w14:textId="77777777" w:rsidR="001A1F84" w:rsidRPr="00C13082" w:rsidRDefault="001A1F84" w:rsidP="001A1F84">
      <w:pPr>
        <w:jc w:val="both"/>
        <w:rPr>
          <w:sz w:val="24"/>
          <w:szCs w:val="24"/>
          <w:lang w:val="fr-CH" w:bidi="ar-SA"/>
        </w:rPr>
      </w:pPr>
      <w:r w:rsidRPr="00C13082">
        <w:rPr>
          <w:b/>
          <w:bCs/>
          <w:sz w:val="24"/>
          <w:szCs w:val="24"/>
          <w:lang w:val="fr-CH" w:bidi="ar-SA"/>
        </w:rPr>
        <w:t>Au point 33</w:t>
      </w:r>
      <w:r w:rsidRPr="00C13082">
        <w:rPr>
          <w:sz w:val="24"/>
          <w:szCs w:val="24"/>
          <w:lang w:val="fr-CH" w:bidi="ar-SA"/>
        </w:rPr>
        <w:t xml:space="preserve"> du rapport, le Royaume du Maroc allègue que : « …l'IER s'est appuyé sur la définition internationale de la disparition forcée dans ses travaux pour établir la vérité, déterminer la responsabilité politique, juridique et morale de ce qui s'est passé, la réparation des victimes et institution de garanties de non-répétition ».</w:t>
      </w:r>
    </w:p>
    <w:p w14:paraId="4139646E" w14:textId="77777777" w:rsidR="001A1F84" w:rsidRPr="00C13082" w:rsidRDefault="001A1F84" w:rsidP="00BA429B">
      <w:pPr>
        <w:jc w:val="both"/>
        <w:rPr>
          <w:sz w:val="24"/>
          <w:szCs w:val="24"/>
          <w:lang w:val="fr-CH" w:bidi="ar-SA"/>
        </w:rPr>
      </w:pPr>
      <w:r w:rsidRPr="00C13082">
        <w:rPr>
          <w:sz w:val="24"/>
          <w:szCs w:val="24"/>
          <w:lang w:val="fr-CH" w:bidi="ar-SA"/>
        </w:rPr>
        <w:t>En effet, la réponse marocaine officielle aux cas de disparus sahraouis a été faite à travers l'IER (2004/2006) et la Commission de suivi sous l'égide du CCDH et plus tard du CNDH. Cette information a été publiée en 2010</w:t>
      </w:r>
      <w:r w:rsidR="00BA429B" w:rsidRPr="00C13082">
        <w:rPr>
          <w:rStyle w:val="FootnoteReference"/>
          <w:sz w:val="24"/>
          <w:szCs w:val="24"/>
          <w:lang w:val="fr-CH" w:bidi="ar-SA"/>
        </w:rPr>
        <w:footnoteReference w:id="19"/>
      </w:r>
      <w:r w:rsidRPr="00C13082">
        <w:rPr>
          <w:sz w:val="24"/>
          <w:szCs w:val="24"/>
          <w:lang w:val="fr-CH" w:bidi="ar-SA"/>
        </w:rPr>
        <w:t xml:space="preserve"> sous forme de liste de cas sur internet, sans aucun contact avec les </w:t>
      </w:r>
      <w:r w:rsidR="00263B51" w:rsidRPr="00C13082">
        <w:rPr>
          <w:sz w:val="24"/>
          <w:szCs w:val="24"/>
          <w:lang w:val="fr-CH" w:bidi="ar-SA"/>
        </w:rPr>
        <w:t>famill</w:t>
      </w:r>
      <w:r w:rsidRPr="00C13082">
        <w:rPr>
          <w:sz w:val="24"/>
          <w:szCs w:val="24"/>
          <w:lang w:val="fr-CH" w:bidi="ar-SA"/>
        </w:rPr>
        <w:t>es sahraoui</w:t>
      </w:r>
      <w:r w:rsidR="00263B51" w:rsidRPr="00C13082">
        <w:rPr>
          <w:sz w:val="24"/>
          <w:szCs w:val="24"/>
          <w:lang w:val="fr-CH" w:bidi="ar-SA"/>
        </w:rPr>
        <w:t>e</w:t>
      </w:r>
      <w:r w:rsidRPr="00C13082">
        <w:rPr>
          <w:sz w:val="24"/>
          <w:szCs w:val="24"/>
          <w:lang w:val="fr-CH" w:bidi="ar-SA"/>
        </w:rPr>
        <w:t xml:space="preserve">s. Les références aux circonstances de la disparition ou au sort des disparus étaient minimes, avec des expressions générales qui avaient un plus grand impact sur les proches, telles que « il est décédé en raison des conditions » ou « il existe des preuves solides qu'il est décédé ». Quelques années plus tôt, en 1999, les proches avaient reçu d'autres versions officielles des événements, comme qu'ils sont décédés en détention (pour 43 cas) et le reste </w:t>
      </w:r>
      <w:r w:rsidR="00263B51" w:rsidRPr="00C13082">
        <w:rPr>
          <w:sz w:val="24"/>
          <w:szCs w:val="24"/>
          <w:lang w:val="fr-CH" w:bidi="ar-SA"/>
        </w:rPr>
        <w:t>les autorités affirmaient</w:t>
      </w:r>
      <w:r w:rsidRPr="00C13082">
        <w:rPr>
          <w:sz w:val="24"/>
          <w:szCs w:val="24"/>
          <w:lang w:val="fr-CH" w:bidi="ar-SA"/>
        </w:rPr>
        <w:t xml:space="preserve"> qu'ils sont établis dans des camps de réfugiés, </w:t>
      </w:r>
      <w:r w:rsidR="00BA429B" w:rsidRPr="00C13082">
        <w:rPr>
          <w:sz w:val="24"/>
          <w:szCs w:val="24"/>
          <w:lang w:val="fr-CH" w:bidi="ar-SA"/>
        </w:rPr>
        <w:t>en Mauritanie, en Espagne ou qu’ils sont inconnus</w:t>
      </w:r>
      <w:r w:rsidR="00BA429B" w:rsidRPr="00C13082">
        <w:rPr>
          <w:rStyle w:val="FootnoteReference"/>
          <w:sz w:val="24"/>
          <w:szCs w:val="24"/>
          <w:lang w:val="fr-CH" w:bidi="ar-SA"/>
        </w:rPr>
        <w:footnoteReference w:id="20"/>
      </w:r>
      <w:r w:rsidRPr="00C13082">
        <w:rPr>
          <w:sz w:val="24"/>
          <w:szCs w:val="24"/>
          <w:lang w:val="fr-CH" w:bidi="ar-SA"/>
        </w:rPr>
        <w:t>.</w:t>
      </w:r>
    </w:p>
    <w:p w14:paraId="51CEAB4C" w14:textId="77777777" w:rsidR="001A1F84" w:rsidRPr="00C13082" w:rsidRDefault="001A1F84" w:rsidP="00BA429B">
      <w:pPr>
        <w:jc w:val="both"/>
        <w:rPr>
          <w:sz w:val="24"/>
          <w:szCs w:val="24"/>
          <w:lang w:val="fr-CH" w:bidi="ar-SA"/>
        </w:rPr>
      </w:pPr>
      <w:r w:rsidRPr="00C13082">
        <w:rPr>
          <w:sz w:val="24"/>
          <w:szCs w:val="24"/>
          <w:lang w:val="fr-CH" w:bidi="ar-SA"/>
        </w:rPr>
        <w:t xml:space="preserve">Aussi, dans ledit rapport la responsabilité de l'Etat marocain est reconnue à travers différentes forces de sécurité dont les forces armées royales, la gendarmerie, les forces auxiliaires, la police... cependant, à ce jour aucun acte de reconnaissance officielle et solennel </w:t>
      </w:r>
      <w:r w:rsidR="00BA429B" w:rsidRPr="00C13082">
        <w:rPr>
          <w:sz w:val="24"/>
          <w:szCs w:val="24"/>
          <w:lang w:val="fr-CH" w:bidi="ar-SA"/>
        </w:rPr>
        <w:t xml:space="preserve">n'a été tenu </w:t>
      </w:r>
      <w:r w:rsidRPr="00C13082">
        <w:rPr>
          <w:sz w:val="24"/>
          <w:szCs w:val="24"/>
          <w:lang w:val="fr-CH" w:bidi="ar-SA"/>
        </w:rPr>
        <w:t xml:space="preserve">où le chef de l'Etat lui-même demanderait pardon aux victimes. Les survivants, les proches et les représentants des victimes doivent être invités à </w:t>
      </w:r>
      <w:r w:rsidR="00BA429B" w:rsidRPr="00C13082">
        <w:rPr>
          <w:sz w:val="24"/>
          <w:szCs w:val="24"/>
          <w:lang w:val="fr-CH" w:bidi="ar-SA"/>
        </w:rPr>
        <w:t>cet acte</w:t>
      </w:r>
      <w:r w:rsidRPr="00C13082">
        <w:rPr>
          <w:sz w:val="24"/>
          <w:szCs w:val="24"/>
          <w:lang w:val="fr-CH" w:bidi="ar-SA"/>
        </w:rPr>
        <w:t>.</w:t>
      </w:r>
    </w:p>
    <w:p w14:paraId="008E6C90" w14:textId="77777777" w:rsidR="001A1F84" w:rsidRPr="00C13082" w:rsidRDefault="001A1F84" w:rsidP="001A1F84">
      <w:pPr>
        <w:jc w:val="both"/>
        <w:rPr>
          <w:sz w:val="24"/>
          <w:szCs w:val="24"/>
          <w:lang w:val="fr-CH" w:bidi="ar-SA"/>
        </w:rPr>
      </w:pPr>
      <w:r w:rsidRPr="00C13082">
        <w:rPr>
          <w:sz w:val="24"/>
          <w:szCs w:val="24"/>
          <w:lang w:val="fr-CH" w:bidi="ar-SA"/>
        </w:rPr>
        <w:lastRenderedPageBreak/>
        <w:t xml:space="preserve">Quant à la réparation, elle doit être conforme aux normes internationales en la matière et jamais conditionnée à ne pas réclamer justice et </w:t>
      </w:r>
      <w:r w:rsidR="00BA429B" w:rsidRPr="00C13082">
        <w:rPr>
          <w:sz w:val="24"/>
          <w:szCs w:val="24"/>
          <w:lang w:val="fr-CH" w:bidi="ar-SA"/>
        </w:rPr>
        <w:t xml:space="preserve">les </w:t>
      </w:r>
      <w:r w:rsidRPr="00C13082">
        <w:rPr>
          <w:sz w:val="24"/>
          <w:szCs w:val="24"/>
          <w:lang w:val="fr-CH" w:bidi="ar-SA"/>
        </w:rPr>
        <w:t>garanties de non-répétition.</w:t>
      </w:r>
    </w:p>
    <w:p w14:paraId="72E77DA4" w14:textId="77777777" w:rsidR="001A1F84" w:rsidRPr="00C13082" w:rsidRDefault="001A1F84" w:rsidP="001A1F84">
      <w:pPr>
        <w:jc w:val="both"/>
        <w:rPr>
          <w:sz w:val="24"/>
          <w:szCs w:val="24"/>
          <w:lang w:val="fr-CH" w:bidi="ar-SA"/>
        </w:rPr>
      </w:pPr>
      <w:r w:rsidRPr="00C13082">
        <w:rPr>
          <w:sz w:val="24"/>
          <w:szCs w:val="24"/>
          <w:lang w:val="fr-CH" w:bidi="ar-SA"/>
        </w:rPr>
        <w:t>Question 15 : « L'État partie a-t-il l'intention de présenter ses excuses aux victimes de disparitions forcées de manière officielle et solennelle avec la participation des personnes concernées sans exclusion ni discrimination ?</w:t>
      </w:r>
    </w:p>
    <w:p w14:paraId="35CBF8A9" w14:textId="77777777" w:rsidR="00D166E1" w:rsidRPr="00C13082" w:rsidRDefault="00D166E1" w:rsidP="00D166E1">
      <w:pPr>
        <w:jc w:val="both"/>
        <w:rPr>
          <w:b/>
          <w:bCs/>
          <w:sz w:val="24"/>
          <w:szCs w:val="24"/>
          <w:lang w:val="fr-FR" w:bidi="ar-SA"/>
        </w:rPr>
      </w:pPr>
      <w:r w:rsidRPr="00C13082">
        <w:rPr>
          <w:b/>
          <w:bCs/>
          <w:sz w:val="24"/>
          <w:szCs w:val="24"/>
          <w:lang w:val="fr-FR"/>
        </w:rPr>
        <w:t>Article 8 : De la prescription de l’infraction de disparition forcée</w:t>
      </w:r>
    </w:p>
    <w:p w14:paraId="6D0F48FA" w14:textId="77777777" w:rsidR="00D166E1" w:rsidRPr="00C13082" w:rsidRDefault="00BA429B" w:rsidP="00BA429B">
      <w:pPr>
        <w:jc w:val="both"/>
        <w:rPr>
          <w:sz w:val="24"/>
          <w:szCs w:val="24"/>
          <w:lang w:val="fr-CH" w:bidi="ar-SA"/>
        </w:rPr>
      </w:pPr>
      <w:r w:rsidRPr="00C13082">
        <w:rPr>
          <w:sz w:val="24"/>
          <w:szCs w:val="24"/>
          <w:lang w:val="fr-CH" w:bidi="ar-SA"/>
        </w:rPr>
        <w:t xml:space="preserve">Il ressort des </w:t>
      </w:r>
      <w:r w:rsidRPr="00C13082">
        <w:rPr>
          <w:b/>
          <w:bCs/>
          <w:sz w:val="24"/>
          <w:szCs w:val="24"/>
          <w:lang w:val="fr-CH" w:bidi="ar-SA"/>
        </w:rPr>
        <w:t>points 62 et 63</w:t>
      </w:r>
      <w:r w:rsidRPr="00C13082">
        <w:rPr>
          <w:sz w:val="24"/>
          <w:szCs w:val="24"/>
          <w:lang w:val="fr-CH" w:bidi="ar-SA"/>
        </w:rPr>
        <w:t xml:space="preserve"> du rapport que les crimes graves tels que les disparitions forcées sont imprescriptibles. </w:t>
      </w:r>
      <w:r w:rsidR="00D166E1" w:rsidRPr="00C13082">
        <w:rPr>
          <w:sz w:val="24"/>
          <w:szCs w:val="24"/>
          <w:lang w:val="fr-CH" w:bidi="ar-SA"/>
        </w:rPr>
        <w:t xml:space="preserve">Cependant, le point 65 du rapport reconnaît que « l'IER n'a pas sciemment choisi la voie pénale, par recommandation ou saisine » et qu'elle s'est contentée « de fournir aux victimes un mécanisme pour révéler la vérité sur les disparitions forcées et toute violation grave </w:t>
      </w:r>
      <w:r w:rsidRPr="00C13082">
        <w:rPr>
          <w:sz w:val="24"/>
          <w:szCs w:val="24"/>
          <w:lang w:val="fr-CH" w:bidi="ar-SA"/>
        </w:rPr>
        <w:t>en</w:t>
      </w:r>
      <w:r w:rsidR="00D166E1" w:rsidRPr="00C13082">
        <w:rPr>
          <w:sz w:val="24"/>
          <w:szCs w:val="24"/>
          <w:lang w:val="fr-CH" w:bidi="ar-SA"/>
        </w:rPr>
        <w:t xml:space="preserve"> fourni</w:t>
      </w:r>
      <w:r w:rsidRPr="00C13082">
        <w:rPr>
          <w:sz w:val="24"/>
          <w:szCs w:val="24"/>
          <w:lang w:val="fr-CH" w:bidi="ar-SA"/>
        </w:rPr>
        <w:t>ssant</w:t>
      </w:r>
      <w:r w:rsidR="00D166E1" w:rsidRPr="00C13082">
        <w:rPr>
          <w:sz w:val="24"/>
          <w:szCs w:val="24"/>
          <w:lang w:val="fr-CH" w:bidi="ar-SA"/>
        </w:rPr>
        <w:t xml:space="preserve"> à chaque victime ou à ses proches, aux fins de réparation, un document officiel - semblable dans sa forme à une condamnation ou à une décision judiciaire - comprenant un résumé de l'acte de disparition forcée, le préjudice subi par la victime et les qualifications juridiques dans droit international et en droit interne, mentionne la reconnaissance de la responsabilité de l'État et précise les mesures de réparation ». Avec cela, l'Etat marocain entend clore le dossier des disparitions forcées sans possibilité pour les victimes d'obtenir justice.</w:t>
      </w:r>
    </w:p>
    <w:p w14:paraId="7E6F9A00" w14:textId="77777777" w:rsidR="00D166E1" w:rsidRPr="00C13082" w:rsidRDefault="00D166E1" w:rsidP="00D166E1">
      <w:pPr>
        <w:jc w:val="both"/>
        <w:rPr>
          <w:sz w:val="24"/>
          <w:szCs w:val="24"/>
          <w:lang w:val="fr-CH" w:bidi="ar-SA"/>
        </w:rPr>
      </w:pPr>
      <w:r w:rsidRPr="00C13082">
        <w:rPr>
          <w:sz w:val="24"/>
          <w:szCs w:val="24"/>
          <w:lang w:val="fr-CH" w:bidi="ar-SA"/>
        </w:rPr>
        <w:t>Question 16 : L'État partie envisage-t-il de rouvrir les dossiers de disparitions forcées du passé afin que justice soit rendue et que des garanties de non-répétition soient obtenues ?</w:t>
      </w:r>
    </w:p>
    <w:p w14:paraId="1A73E385" w14:textId="77777777" w:rsidR="00D166E1" w:rsidRPr="00C13082" w:rsidRDefault="00D166E1" w:rsidP="00CC2609">
      <w:pPr>
        <w:jc w:val="both"/>
        <w:rPr>
          <w:sz w:val="24"/>
          <w:szCs w:val="24"/>
          <w:lang w:val="fr-CH" w:bidi="ar-SA"/>
        </w:rPr>
      </w:pPr>
      <w:r w:rsidRPr="00C13082">
        <w:rPr>
          <w:sz w:val="24"/>
          <w:szCs w:val="24"/>
          <w:lang w:val="fr-CH" w:bidi="ar-SA"/>
        </w:rPr>
        <w:t xml:space="preserve">Quant aux audiences publiques détaillées </w:t>
      </w:r>
      <w:r w:rsidRPr="00C13082">
        <w:rPr>
          <w:b/>
          <w:bCs/>
          <w:sz w:val="24"/>
          <w:szCs w:val="24"/>
          <w:lang w:val="fr-CH" w:bidi="ar-SA"/>
        </w:rPr>
        <w:t>aux points 64 à 70</w:t>
      </w:r>
      <w:r w:rsidRPr="00C13082">
        <w:rPr>
          <w:sz w:val="24"/>
          <w:szCs w:val="24"/>
          <w:lang w:val="fr-CH" w:bidi="ar-SA"/>
        </w:rPr>
        <w:t xml:space="preserve">, elles n'ont pratiquement pas concerné les victimes sahraouies, alors qu'il s'agit de la majorité des cas reconnus par l'IER et le Comité de suivi. Parmi les bénéficiaires de ces audiences figurent des Marocains victimes de l'exil collectif. Cependant, ni l'IER ni la Commission de suivi n'ont couvert le cas des milliers de réfugiés sahraouis qui ont dû fuir les atrocités commises par les forces d'occupation marocaines et s'exiler en Algérie où les survivants demeurent à ce jour. </w:t>
      </w:r>
      <w:r w:rsidR="00CC2609" w:rsidRPr="00C13082">
        <w:rPr>
          <w:sz w:val="24"/>
          <w:szCs w:val="24"/>
          <w:lang w:val="fr-CH" w:bidi="ar-SA"/>
        </w:rPr>
        <w:t>De même</w:t>
      </w:r>
      <w:r w:rsidRPr="00C13082">
        <w:rPr>
          <w:sz w:val="24"/>
          <w:szCs w:val="24"/>
          <w:lang w:val="fr-CH" w:bidi="ar-SA"/>
        </w:rPr>
        <w:t>, ni l'IER ni aucune autre institution marocaine n'ont enquêté sur les</w:t>
      </w:r>
      <w:r w:rsidR="00CC2609" w:rsidRPr="00C13082">
        <w:rPr>
          <w:sz w:val="24"/>
          <w:szCs w:val="24"/>
          <w:lang w:val="fr-CH" w:bidi="ar-SA"/>
        </w:rPr>
        <w:t xml:space="preserve"> victimes des bombardements au N</w:t>
      </w:r>
      <w:r w:rsidRPr="00C13082">
        <w:rPr>
          <w:sz w:val="24"/>
          <w:szCs w:val="24"/>
          <w:lang w:val="fr-CH" w:bidi="ar-SA"/>
        </w:rPr>
        <w:t xml:space="preserve">apalm et au </w:t>
      </w:r>
      <w:r w:rsidR="00CC2609" w:rsidRPr="00C13082">
        <w:rPr>
          <w:sz w:val="24"/>
          <w:szCs w:val="24"/>
          <w:lang w:val="fr-CH" w:bidi="ar-SA"/>
        </w:rPr>
        <w:t>P</w:t>
      </w:r>
      <w:r w:rsidRPr="00C13082">
        <w:rPr>
          <w:sz w:val="24"/>
          <w:szCs w:val="24"/>
          <w:lang w:val="fr-CH" w:bidi="ar-SA"/>
        </w:rPr>
        <w:t xml:space="preserve">hosphore </w:t>
      </w:r>
      <w:r w:rsidR="00CC2609" w:rsidRPr="00C13082">
        <w:rPr>
          <w:sz w:val="24"/>
          <w:szCs w:val="24"/>
          <w:lang w:val="fr-CH" w:bidi="ar-SA"/>
        </w:rPr>
        <w:t>B</w:t>
      </w:r>
      <w:r w:rsidRPr="00C13082">
        <w:rPr>
          <w:sz w:val="24"/>
          <w:szCs w:val="24"/>
          <w:lang w:val="fr-CH" w:bidi="ar-SA"/>
        </w:rPr>
        <w:t>lanc</w:t>
      </w:r>
      <w:r w:rsidR="00CC2609" w:rsidRPr="00C13082">
        <w:rPr>
          <w:rStyle w:val="FootnoteReference"/>
          <w:sz w:val="24"/>
          <w:szCs w:val="24"/>
          <w:lang w:val="fr-CH" w:bidi="ar-SA"/>
        </w:rPr>
        <w:footnoteReference w:id="21"/>
      </w:r>
      <w:r w:rsidRPr="00C13082">
        <w:rPr>
          <w:sz w:val="24"/>
          <w:szCs w:val="24"/>
          <w:lang w:val="fr-CH" w:bidi="ar-SA"/>
        </w:rPr>
        <w:t xml:space="preserve"> par l'aviation marocaine avec la complicité de l'Etat espagnol. Ni les survivants ni les proches des personnes tuées dans ces bombardements n'ont eu la moindre reconnaissance pour ce qui s'est passé.</w:t>
      </w:r>
    </w:p>
    <w:p w14:paraId="6AEC1FFC" w14:textId="77777777" w:rsidR="00D166E1" w:rsidRPr="00C13082" w:rsidRDefault="00D166E1" w:rsidP="00D166E1">
      <w:pPr>
        <w:jc w:val="both"/>
        <w:rPr>
          <w:sz w:val="24"/>
          <w:szCs w:val="24"/>
          <w:lang w:val="fr-CH" w:bidi="ar-SA"/>
        </w:rPr>
      </w:pPr>
      <w:r w:rsidRPr="00C13082">
        <w:rPr>
          <w:sz w:val="24"/>
          <w:szCs w:val="24"/>
          <w:lang w:val="fr-CH" w:bidi="ar-SA"/>
        </w:rPr>
        <w:lastRenderedPageBreak/>
        <w:t>Question 17 : Parmi les personnes qui ont participé aux audiences publiques, combien sont originaires du Sahara Occidental et pourquoi les membres de la famille et les survivants qui vivent dans les camps de réfugiés sahraouis ou en exil européen ont-ils été exclus ?</w:t>
      </w:r>
    </w:p>
    <w:p w14:paraId="7F93E900" w14:textId="77777777" w:rsidR="00D166E1" w:rsidRPr="00C13082" w:rsidRDefault="00D166E1" w:rsidP="00D166E1">
      <w:pPr>
        <w:jc w:val="both"/>
        <w:rPr>
          <w:sz w:val="24"/>
          <w:szCs w:val="24"/>
          <w:rtl/>
          <w:lang w:val="fr-CH" w:bidi="ar-SA"/>
        </w:rPr>
      </w:pPr>
      <w:r w:rsidRPr="00C13082">
        <w:rPr>
          <w:sz w:val="24"/>
          <w:szCs w:val="24"/>
          <w:lang w:val="fr-CH" w:bidi="ar-SA"/>
        </w:rPr>
        <w:t>Question 18 : Quand l'État partie entend-il couvrir les autres victimes de crimes graves tels que les bombardements au napalm et au phosphore blanc et l'exil forcé de milliers de personnes ainsi que les récents crimes de guerre survenus après la rupture du cessez-le-feu, le 13 novembre 2020 comme le bombardement de drones contre des civils non armés, causant la mort de 26 civils dont 2 enfants, 3 citoyens algériens et 5 mauritaniens ?</w:t>
      </w:r>
    </w:p>
    <w:p w14:paraId="685E98E9" w14:textId="77777777" w:rsidR="001A1F84" w:rsidRPr="00C13082" w:rsidRDefault="00D166E1" w:rsidP="001A1F84">
      <w:pPr>
        <w:jc w:val="both"/>
        <w:rPr>
          <w:b/>
          <w:bCs/>
          <w:sz w:val="24"/>
          <w:szCs w:val="24"/>
          <w:lang w:val="fr-FR" w:bidi="ar-SA"/>
        </w:rPr>
      </w:pPr>
      <w:r w:rsidRPr="00C13082">
        <w:rPr>
          <w:b/>
          <w:bCs/>
          <w:sz w:val="24"/>
          <w:szCs w:val="24"/>
          <w:lang w:val="fr-FR" w:bidi="ar-SA"/>
        </w:rPr>
        <w:t>Article 9 : Compétence territoriale et compétence d'attribution</w:t>
      </w:r>
    </w:p>
    <w:p w14:paraId="101D22DA" w14:textId="77777777" w:rsidR="00D166E1" w:rsidRPr="00C13082" w:rsidRDefault="00D166E1" w:rsidP="00D166E1">
      <w:pPr>
        <w:jc w:val="both"/>
        <w:rPr>
          <w:sz w:val="24"/>
          <w:szCs w:val="24"/>
          <w:lang w:val="fr-FR" w:bidi="ar-SA"/>
        </w:rPr>
      </w:pPr>
      <w:r w:rsidRPr="00C13082">
        <w:rPr>
          <w:sz w:val="24"/>
          <w:szCs w:val="24"/>
          <w:lang w:val="fr-FR" w:bidi="ar-SA"/>
        </w:rPr>
        <w:t>Dans la constitution marocaine, il est stipulé selon l'article 42 que : « …Le Roi est le garant de l'indépendance du royaume et de son intégrité territoriale dans ses frontières authentiques… »</w:t>
      </w:r>
    </w:p>
    <w:p w14:paraId="48CEB081" w14:textId="77777777" w:rsidR="00D166E1" w:rsidRPr="00C13082" w:rsidRDefault="00D166E1" w:rsidP="00D166E1">
      <w:pPr>
        <w:jc w:val="both"/>
        <w:rPr>
          <w:sz w:val="24"/>
          <w:szCs w:val="24"/>
          <w:lang w:val="fr-FR" w:bidi="ar-SA"/>
        </w:rPr>
      </w:pPr>
      <w:r w:rsidRPr="00C13082">
        <w:rPr>
          <w:sz w:val="24"/>
          <w:szCs w:val="24"/>
          <w:lang w:val="fr-FR" w:bidi="ar-SA"/>
        </w:rPr>
        <w:t xml:space="preserve">Question 19 : L'État partie peut-il expliquer cette terminologie et est-ce la même chose que le terme «territoire du Royaume » qui apparaît au </w:t>
      </w:r>
      <w:r w:rsidRPr="00C13082">
        <w:rPr>
          <w:b/>
          <w:bCs/>
          <w:sz w:val="24"/>
          <w:szCs w:val="24"/>
          <w:lang w:val="fr-FR" w:bidi="ar-SA"/>
        </w:rPr>
        <w:t>point 71</w:t>
      </w:r>
      <w:r w:rsidRPr="00C13082">
        <w:rPr>
          <w:sz w:val="24"/>
          <w:szCs w:val="24"/>
          <w:lang w:val="fr-FR" w:bidi="ar-SA"/>
        </w:rPr>
        <w:t xml:space="preserve"> du rapport et le terme « territoire marocain » au </w:t>
      </w:r>
      <w:r w:rsidRPr="00C13082">
        <w:rPr>
          <w:b/>
          <w:bCs/>
          <w:sz w:val="24"/>
          <w:szCs w:val="24"/>
          <w:lang w:val="fr-FR" w:bidi="ar-SA"/>
        </w:rPr>
        <w:t>point 72</w:t>
      </w:r>
      <w:r w:rsidRPr="00C13082">
        <w:rPr>
          <w:sz w:val="24"/>
          <w:szCs w:val="24"/>
          <w:lang w:val="fr-FR" w:bidi="ar-SA"/>
        </w:rPr>
        <w:t xml:space="preserve"> ?</w:t>
      </w:r>
    </w:p>
    <w:p w14:paraId="3C561E41" w14:textId="77777777" w:rsidR="00D166E1" w:rsidRPr="00C13082" w:rsidRDefault="00D166E1" w:rsidP="00D166E1">
      <w:pPr>
        <w:jc w:val="both"/>
        <w:rPr>
          <w:sz w:val="24"/>
          <w:szCs w:val="24"/>
          <w:lang w:val="fr-FR" w:bidi="ar-SA"/>
        </w:rPr>
      </w:pPr>
      <w:r w:rsidRPr="00C13082">
        <w:rPr>
          <w:sz w:val="24"/>
          <w:szCs w:val="24"/>
          <w:lang w:val="fr-FR" w:bidi="ar-SA"/>
        </w:rPr>
        <w:t>Question 20 : L'expression « intégrité territoriale dans ses f</w:t>
      </w:r>
      <w:r w:rsidR="00CC2609" w:rsidRPr="00C13082">
        <w:rPr>
          <w:sz w:val="24"/>
          <w:szCs w:val="24"/>
          <w:lang w:val="fr-FR" w:bidi="ar-SA"/>
        </w:rPr>
        <w:t xml:space="preserve">rontières authentiques » couvre-t-elle </w:t>
      </w:r>
      <w:r w:rsidRPr="00C13082">
        <w:rPr>
          <w:sz w:val="24"/>
          <w:szCs w:val="24"/>
          <w:lang w:val="fr-FR" w:bidi="ar-SA"/>
        </w:rPr>
        <w:t>les territoires sous souveraineté de tiers, tels que les enclaves de Ceuta et Melilla</w:t>
      </w:r>
      <w:r w:rsidR="00836A01">
        <w:rPr>
          <w:rStyle w:val="FootnoteReference"/>
          <w:sz w:val="24"/>
          <w:szCs w:val="24"/>
          <w:lang w:val="fr-FR" w:bidi="ar-SA"/>
        </w:rPr>
        <w:footnoteReference w:id="22"/>
      </w:r>
      <w:r w:rsidRPr="00C13082">
        <w:rPr>
          <w:sz w:val="24"/>
          <w:szCs w:val="24"/>
          <w:lang w:val="fr-FR" w:bidi="ar-SA"/>
        </w:rPr>
        <w:t xml:space="preserve"> ou le territoire non autonome du Sahara Occidental ?</w:t>
      </w:r>
    </w:p>
    <w:p w14:paraId="4ED371D6" w14:textId="77777777" w:rsidR="00D166E1" w:rsidRPr="00C13082" w:rsidRDefault="00D166E1" w:rsidP="00D166E1">
      <w:pPr>
        <w:pStyle w:val="H1G"/>
        <w:rPr>
          <w:szCs w:val="24"/>
          <w:rtl/>
        </w:rPr>
      </w:pPr>
      <w:r w:rsidRPr="00C13082">
        <w:rPr>
          <w:szCs w:val="24"/>
        </w:rPr>
        <w:t>Article 12 : Signalement des cas de disparitions forcées et enquêtes et investigations en la matière</w:t>
      </w:r>
    </w:p>
    <w:p w14:paraId="20C310DC" w14:textId="77777777" w:rsidR="00D166E1" w:rsidRPr="00C13082" w:rsidRDefault="00D166E1" w:rsidP="00D166E1">
      <w:pPr>
        <w:jc w:val="both"/>
        <w:rPr>
          <w:sz w:val="24"/>
          <w:szCs w:val="24"/>
          <w:lang w:val="fr-FR" w:bidi="ar-SA"/>
        </w:rPr>
      </w:pPr>
      <w:r w:rsidRPr="00C13082">
        <w:rPr>
          <w:sz w:val="24"/>
          <w:szCs w:val="24"/>
          <w:lang w:val="fr-FR" w:bidi="ar-SA"/>
        </w:rPr>
        <w:t xml:space="preserve">Question 21 : </w:t>
      </w:r>
      <w:r w:rsidRPr="00836A01">
        <w:rPr>
          <w:lang w:val="fr-FR" w:bidi="ar-SA"/>
        </w:rPr>
        <w:t xml:space="preserve">Quelles mesures, parmi celles prévues aux </w:t>
      </w:r>
      <w:r w:rsidRPr="00836A01">
        <w:rPr>
          <w:b/>
          <w:bCs/>
          <w:lang w:val="fr-FR" w:bidi="ar-SA"/>
        </w:rPr>
        <w:t>points 83 et 84</w:t>
      </w:r>
      <w:r w:rsidRPr="00836A01">
        <w:rPr>
          <w:lang w:val="fr-FR" w:bidi="ar-SA"/>
        </w:rPr>
        <w:t xml:space="preserve"> du rapport, ont été prises dans le cas de la récente disparition forcée du citoyen sahraoui L.A survenue le 7 février 2022 ?</w:t>
      </w:r>
    </w:p>
    <w:p w14:paraId="766A93E5" w14:textId="77777777" w:rsidR="00D166E1" w:rsidRPr="00C13082" w:rsidRDefault="00D166E1" w:rsidP="002F01C6">
      <w:pPr>
        <w:jc w:val="both"/>
        <w:rPr>
          <w:sz w:val="24"/>
          <w:szCs w:val="24"/>
          <w:lang w:val="fr-FR" w:bidi="ar-SA"/>
        </w:rPr>
      </w:pPr>
      <w:r w:rsidRPr="00C13082">
        <w:rPr>
          <w:b/>
          <w:bCs/>
          <w:sz w:val="24"/>
          <w:szCs w:val="24"/>
          <w:lang w:val="fr-FR" w:bidi="ar-SA"/>
        </w:rPr>
        <w:t>Le point 92</w:t>
      </w:r>
      <w:r w:rsidRPr="00C13082">
        <w:rPr>
          <w:sz w:val="24"/>
          <w:szCs w:val="24"/>
          <w:lang w:val="fr-FR" w:bidi="ar-SA"/>
        </w:rPr>
        <w:t xml:space="preserve"> du rapport indique que : « …</w:t>
      </w:r>
      <w:r w:rsidR="002F01C6" w:rsidRPr="00C13082">
        <w:rPr>
          <w:sz w:val="24"/>
          <w:szCs w:val="24"/>
          <w:lang w:val="fr-FR"/>
        </w:rPr>
        <w:t>le groupe de travail chargé des investigations a pu inspecter les cimetières pour vérifier si des dépouilles y sont enterrées, prélever des échantillons osseux sur les victimes afin de les soumettre à une analyse ADN si nécessaire, et les réinhumer selon les rites religieux observés »</w:t>
      </w:r>
    </w:p>
    <w:p w14:paraId="71B8BF6F" w14:textId="77777777" w:rsidR="00D166E1" w:rsidRPr="00C13082" w:rsidRDefault="00D166E1" w:rsidP="00D166E1">
      <w:pPr>
        <w:jc w:val="both"/>
        <w:rPr>
          <w:sz w:val="24"/>
          <w:szCs w:val="24"/>
          <w:lang w:val="fr-FR" w:bidi="ar-SA"/>
        </w:rPr>
      </w:pPr>
      <w:r w:rsidRPr="00C13082">
        <w:rPr>
          <w:sz w:val="24"/>
          <w:szCs w:val="24"/>
          <w:lang w:val="fr-FR" w:bidi="ar-SA"/>
        </w:rPr>
        <w:t>Question 22 : Quels critères ont été retenus par le groupe de travail en charge des investigations pour considérer que l'analyse ADN n'était pas nécessaire ?</w:t>
      </w:r>
    </w:p>
    <w:p w14:paraId="57950048" w14:textId="77777777" w:rsidR="002F01C6" w:rsidRPr="00C13082" w:rsidRDefault="00D166E1" w:rsidP="002F01C6">
      <w:pPr>
        <w:jc w:val="both"/>
        <w:rPr>
          <w:sz w:val="24"/>
          <w:szCs w:val="24"/>
          <w:lang w:val="fr-FR"/>
        </w:rPr>
      </w:pPr>
      <w:r w:rsidRPr="00C13082">
        <w:rPr>
          <w:b/>
          <w:bCs/>
          <w:sz w:val="24"/>
          <w:szCs w:val="24"/>
          <w:lang w:val="fr-FR" w:bidi="ar-SA"/>
        </w:rPr>
        <w:t>Le point 9</w:t>
      </w:r>
      <w:r w:rsidR="002F01C6" w:rsidRPr="00C13082">
        <w:rPr>
          <w:b/>
          <w:bCs/>
          <w:sz w:val="24"/>
          <w:szCs w:val="24"/>
          <w:lang w:val="fr-FR" w:bidi="ar-SA"/>
        </w:rPr>
        <w:t>6</w:t>
      </w:r>
      <w:r w:rsidRPr="00C13082">
        <w:rPr>
          <w:sz w:val="24"/>
          <w:szCs w:val="24"/>
          <w:lang w:val="fr-FR" w:bidi="ar-SA"/>
        </w:rPr>
        <w:t xml:space="preserve"> précise que : «</w:t>
      </w:r>
      <w:r w:rsidR="002F01C6" w:rsidRPr="00C13082">
        <w:rPr>
          <w:sz w:val="24"/>
          <w:szCs w:val="24"/>
          <w:lang w:val="fr-FR"/>
        </w:rPr>
        <w:t xml:space="preserve">La Commission de suivi a recouru également aux services du ministère public en vue de donner ses instructions aux parties concernées, chacune selon ses prérogatives, pour l’exhumation des dépouilles de victimes des lieux d’inhumation mis au jour </w:t>
      </w:r>
      <w:r w:rsidR="002F01C6" w:rsidRPr="00C13082">
        <w:rPr>
          <w:sz w:val="24"/>
          <w:szCs w:val="24"/>
          <w:lang w:val="fr-FR"/>
        </w:rPr>
        <w:lastRenderedPageBreak/>
        <w:t>par les investigations de l’IER ou de la Commission de suivi, afin d’identifier ces personnes et ce, à travers l’examen des données anthropologiques ou les analyses d’ADN. »</w:t>
      </w:r>
    </w:p>
    <w:p w14:paraId="0A38A6D9" w14:textId="77777777" w:rsidR="00D166E1" w:rsidRPr="00C13082" w:rsidRDefault="00D166E1" w:rsidP="002F01C6">
      <w:pPr>
        <w:jc w:val="both"/>
        <w:rPr>
          <w:sz w:val="24"/>
          <w:szCs w:val="24"/>
          <w:lang w:val="fr-FR" w:bidi="ar-SA"/>
        </w:rPr>
      </w:pPr>
      <w:r w:rsidRPr="00C13082">
        <w:rPr>
          <w:sz w:val="24"/>
          <w:szCs w:val="24"/>
          <w:lang w:val="fr-FR" w:bidi="ar-SA"/>
        </w:rPr>
        <w:t>Question 23 : Combien de victimes ont bénéficié de cette procédure et combien sont d'origine sahraouie, dont combien ont bénéficié d'une analyse ADN ?</w:t>
      </w:r>
    </w:p>
    <w:p w14:paraId="3A657A65" w14:textId="77777777" w:rsidR="00D166E1" w:rsidRPr="00C13082" w:rsidRDefault="00D166E1" w:rsidP="00D166E1">
      <w:pPr>
        <w:jc w:val="both"/>
        <w:rPr>
          <w:sz w:val="24"/>
          <w:szCs w:val="24"/>
          <w:lang w:val="fr-FR" w:bidi="ar-SA"/>
        </w:rPr>
      </w:pPr>
      <w:r w:rsidRPr="00C13082">
        <w:rPr>
          <w:b/>
          <w:bCs/>
          <w:sz w:val="24"/>
          <w:szCs w:val="24"/>
          <w:lang w:val="fr-FR" w:bidi="ar-SA"/>
        </w:rPr>
        <w:t>Le point 100</w:t>
      </w:r>
      <w:r w:rsidR="00836A01">
        <w:rPr>
          <w:sz w:val="24"/>
          <w:szCs w:val="24"/>
          <w:lang w:val="fr-FR" w:bidi="ar-SA"/>
        </w:rPr>
        <w:t xml:space="preserve"> du rapport concerne la «</w:t>
      </w:r>
      <w:r w:rsidRPr="00C13082">
        <w:rPr>
          <w:sz w:val="24"/>
          <w:szCs w:val="24"/>
          <w:lang w:val="fr-FR" w:bidi="ar-SA"/>
        </w:rPr>
        <w:t>participation des proches des vic</w:t>
      </w:r>
      <w:r w:rsidR="00836A01">
        <w:rPr>
          <w:sz w:val="24"/>
          <w:szCs w:val="24"/>
          <w:lang w:val="fr-FR" w:bidi="ar-SA"/>
        </w:rPr>
        <w:t>times et de leurs représentants</w:t>
      </w:r>
      <w:r w:rsidRPr="00C13082">
        <w:rPr>
          <w:sz w:val="24"/>
          <w:szCs w:val="24"/>
          <w:lang w:val="fr-FR" w:bidi="ar-SA"/>
        </w:rPr>
        <w:t>». Dans les détails, les cas marocains et les lieux où des personnes d'origine marocaine ont été enlevées sont notamment évoqués. Il est précisé que "la commission s'est rendue au domicile de certaines familles et a organisé des rencontres avec elles ou avec les associations qui les représentent au siège du CCDH pour discuter des démarches à suivre et des suggestions présentées par les familles". Dans la liste détaillée, il n'y a aucune mention de</w:t>
      </w:r>
      <w:r w:rsidR="00D61446" w:rsidRPr="00C13082">
        <w:rPr>
          <w:sz w:val="24"/>
          <w:szCs w:val="24"/>
          <w:lang w:val="fr-FR" w:bidi="ar-SA"/>
        </w:rPr>
        <w:t>s</w:t>
      </w:r>
      <w:r w:rsidRPr="00C13082">
        <w:rPr>
          <w:sz w:val="24"/>
          <w:szCs w:val="24"/>
          <w:lang w:val="fr-FR" w:bidi="ar-SA"/>
        </w:rPr>
        <w:t xml:space="preserve"> cas faisant référence aux Sahraouis.</w:t>
      </w:r>
    </w:p>
    <w:p w14:paraId="62154AEF" w14:textId="77777777" w:rsidR="00D166E1" w:rsidRPr="00C13082" w:rsidRDefault="00D166E1" w:rsidP="00D166E1">
      <w:pPr>
        <w:jc w:val="both"/>
        <w:rPr>
          <w:sz w:val="24"/>
          <w:szCs w:val="24"/>
          <w:lang w:val="fr-FR" w:bidi="ar-SA"/>
        </w:rPr>
      </w:pPr>
      <w:r w:rsidRPr="00C13082">
        <w:rPr>
          <w:sz w:val="24"/>
          <w:szCs w:val="24"/>
          <w:lang w:val="fr-FR" w:bidi="ar-SA"/>
        </w:rPr>
        <w:t>Question 24 : Combien de familles et d'organisations ont participé à ce processus et combien d'entre elles sont sahraouies et pourquoi les victimes ou leurs proches qui résident dans les camps de réfugiés sahraouis ou dans d'autres pays ont-ils été exclus ?</w:t>
      </w:r>
    </w:p>
    <w:p w14:paraId="65E88F49" w14:textId="77777777" w:rsidR="00D166E1" w:rsidRPr="00C13082" w:rsidRDefault="00D166E1" w:rsidP="00D166E1">
      <w:pPr>
        <w:jc w:val="both"/>
        <w:rPr>
          <w:sz w:val="24"/>
          <w:szCs w:val="24"/>
          <w:lang w:val="fr-FR" w:bidi="ar-SA"/>
        </w:rPr>
      </w:pPr>
      <w:r w:rsidRPr="00C13082">
        <w:rPr>
          <w:b/>
          <w:bCs/>
          <w:sz w:val="24"/>
          <w:szCs w:val="24"/>
          <w:lang w:val="fr-FR" w:bidi="ar-SA"/>
        </w:rPr>
        <w:t>Le point 102</w:t>
      </w:r>
      <w:r w:rsidRPr="00C13082">
        <w:rPr>
          <w:sz w:val="24"/>
          <w:szCs w:val="24"/>
          <w:lang w:val="fr-FR" w:bidi="ar-SA"/>
        </w:rPr>
        <w:t xml:space="preserve"> du rapport détaille : "</w:t>
      </w:r>
      <w:r w:rsidRPr="00C13082">
        <w:rPr>
          <w:b/>
          <w:bCs/>
          <w:sz w:val="24"/>
          <w:szCs w:val="24"/>
          <w:lang w:val="fr-FR" w:bidi="ar-SA"/>
        </w:rPr>
        <w:t>Exhumation des restes de certaines personnes décédées et prélèvement d'échantillons d'ossements</w:t>
      </w:r>
      <w:r w:rsidRPr="00C13082">
        <w:rPr>
          <w:sz w:val="24"/>
          <w:szCs w:val="24"/>
          <w:lang w:val="fr-FR" w:bidi="ar-SA"/>
        </w:rPr>
        <w:t>" Selon les données dont disposent les organisations soussignées, aucune victime sahraouie n'a bénéficié dudit procédé.</w:t>
      </w:r>
    </w:p>
    <w:p w14:paraId="25CDC2E8" w14:textId="77777777" w:rsidR="00D166E1" w:rsidRPr="00C13082" w:rsidRDefault="00D166E1" w:rsidP="00244F2F">
      <w:pPr>
        <w:jc w:val="both"/>
        <w:rPr>
          <w:sz w:val="24"/>
          <w:szCs w:val="24"/>
          <w:lang w:val="fr-FR" w:bidi="ar-SA"/>
        </w:rPr>
      </w:pPr>
      <w:r w:rsidRPr="00C13082">
        <w:rPr>
          <w:sz w:val="24"/>
          <w:szCs w:val="24"/>
          <w:lang w:val="fr-FR" w:bidi="ar-SA"/>
        </w:rPr>
        <w:t xml:space="preserve">En 2013, deux </w:t>
      </w:r>
      <w:r w:rsidR="00D61446" w:rsidRPr="00C13082">
        <w:rPr>
          <w:sz w:val="24"/>
          <w:szCs w:val="24"/>
          <w:lang w:val="fr-FR" w:bidi="ar-SA"/>
        </w:rPr>
        <w:t>fosses</w:t>
      </w:r>
      <w:r w:rsidRPr="00C13082">
        <w:rPr>
          <w:sz w:val="24"/>
          <w:szCs w:val="24"/>
          <w:lang w:val="fr-FR" w:bidi="ar-SA"/>
        </w:rPr>
        <w:t xml:space="preserve"> ont été </w:t>
      </w:r>
      <w:r w:rsidR="00B64772" w:rsidRPr="00C13082">
        <w:rPr>
          <w:sz w:val="24"/>
          <w:szCs w:val="24"/>
          <w:lang w:val="fr-FR" w:bidi="ar-SA"/>
        </w:rPr>
        <w:t>découvertes</w:t>
      </w:r>
      <w:r w:rsidRPr="00C13082">
        <w:rPr>
          <w:sz w:val="24"/>
          <w:szCs w:val="24"/>
          <w:lang w:val="fr-FR" w:bidi="ar-SA"/>
        </w:rPr>
        <w:t xml:space="preserve"> à </w:t>
      </w:r>
      <w:proofErr w:type="spellStart"/>
      <w:r w:rsidRPr="00C13082">
        <w:rPr>
          <w:sz w:val="24"/>
          <w:szCs w:val="24"/>
          <w:lang w:val="fr-FR" w:bidi="ar-SA"/>
        </w:rPr>
        <w:t>Fadret</w:t>
      </w:r>
      <w:proofErr w:type="spellEnd"/>
      <w:r w:rsidRPr="00C13082">
        <w:rPr>
          <w:sz w:val="24"/>
          <w:szCs w:val="24"/>
          <w:lang w:val="fr-FR" w:bidi="ar-SA"/>
        </w:rPr>
        <w:t xml:space="preserve"> </w:t>
      </w:r>
      <w:proofErr w:type="spellStart"/>
      <w:r w:rsidRPr="00C13082">
        <w:rPr>
          <w:sz w:val="24"/>
          <w:szCs w:val="24"/>
          <w:lang w:val="fr-FR" w:bidi="ar-SA"/>
        </w:rPr>
        <w:t>Leguiaa</w:t>
      </w:r>
      <w:proofErr w:type="spellEnd"/>
      <w:r w:rsidRPr="00C13082">
        <w:rPr>
          <w:sz w:val="24"/>
          <w:szCs w:val="24"/>
          <w:lang w:val="fr-FR" w:bidi="ar-SA"/>
        </w:rPr>
        <w:t xml:space="preserve"> (territoires libérés de la République sahraouie, où huit corps, dont deux mineurs, ont été retrouvés, exhumés et identifiés par des experts indépe</w:t>
      </w:r>
      <w:r w:rsidR="00B64772" w:rsidRPr="00C13082">
        <w:rPr>
          <w:sz w:val="24"/>
          <w:szCs w:val="24"/>
          <w:lang w:val="fr-FR" w:bidi="ar-SA"/>
        </w:rPr>
        <w:t>ndants de l'Université du Pays B</w:t>
      </w:r>
      <w:r w:rsidRPr="00C13082">
        <w:rPr>
          <w:sz w:val="24"/>
          <w:szCs w:val="24"/>
          <w:lang w:val="fr-FR" w:bidi="ar-SA"/>
        </w:rPr>
        <w:t>asque</w:t>
      </w:r>
      <w:r w:rsidR="00435D0B" w:rsidRPr="00C13082">
        <w:rPr>
          <w:rStyle w:val="FootnoteReference"/>
          <w:sz w:val="24"/>
          <w:szCs w:val="24"/>
          <w:lang w:val="fr-FR" w:bidi="ar-SA"/>
        </w:rPr>
        <w:footnoteReference w:id="23"/>
      </w:r>
      <w:r w:rsidRPr="00C13082">
        <w:rPr>
          <w:sz w:val="24"/>
          <w:szCs w:val="24"/>
          <w:lang w:val="fr-FR" w:bidi="ar-SA"/>
        </w:rPr>
        <w:t>. La CNDH a publié</w:t>
      </w:r>
      <w:r w:rsidR="0031378D" w:rsidRPr="00C13082">
        <w:rPr>
          <w:sz w:val="24"/>
          <w:szCs w:val="24"/>
          <w:lang w:val="fr-FR" w:bidi="ar-SA"/>
        </w:rPr>
        <w:t>, le 16 septembre 2013,</w:t>
      </w:r>
      <w:r w:rsidRPr="00C13082">
        <w:rPr>
          <w:sz w:val="24"/>
          <w:szCs w:val="24"/>
          <w:lang w:val="fr-FR" w:bidi="ar-SA"/>
        </w:rPr>
        <w:t xml:space="preserve"> un communiqué de presse</w:t>
      </w:r>
      <w:r w:rsidR="0031378D" w:rsidRPr="00C13082">
        <w:rPr>
          <w:rStyle w:val="FootnoteReference"/>
          <w:sz w:val="24"/>
          <w:szCs w:val="24"/>
          <w:lang w:val="fr-FR" w:bidi="ar-SA"/>
        </w:rPr>
        <w:footnoteReference w:id="24"/>
      </w:r>
      <w:r w:rsidRPr="00C13082">
        <w:rPr>
          <w:sz w:val="24"/>
          <w:szCs w:val="24"/>
          <w:lang w:val="fr-FR" w:bidi="ar-SA"/>
        </w:rPr>
        <w:t xml:space="preserve"> où </w:t>
      </w:r>
      <w:r w:rsidR="0031378D" w:rsidRPr="00C13082">
        <w:rPr>
          <w:sz w:val="24"/>
          <w:szCs w:val="24"/>
          <w:lang w:val="fr-FR" w:bidi="ar-SA"/>
        </w:rPr>
        <w:t>il</w:t>
      </w:r>
      <w:r w:rsidRPr="00C13082">
        <w:rPr>
          <w:sz w:val="24"/>
          <w:szCs w:val="24"/>
          <w:lang w:val="fr-FR" w:bidi="ar-SA"/>
        </w:rPr>
        <w:t xml:space="preserve"> a pris </w:t>
      </w:r>
      <w:r w:rsidR="0031378D" w:rsidRPr="00C13082">
        <w:rPr>
          <w:sz w:val="24"/>
          <w:szCs w:val="24"/>
          <w:lang w:val="fr-FR" w:bidi="ar-SA"/>
        </w:rPr>
        <w:t>note</w:t>
      </w:r>
      <w:r w:rsidRPr="00C13082">
        <w:rPr>
          <w:sz w:val="24"/>
          <w:szCs w:val="24"/>
          <w:lang w:val="fr-FR" w:bidi="ar-SA"/>
        </w:rPr>
        <w:t xml:space="preserve"> de la découverte. Dans ce communiqué,</w:t>
      </w:r>
      <w:r w:rsidR="0031378D" w:rsidRPr="00C13082">
        <w:rPr>
          <w:sz w:val="24"/>
          <w:szCs w:val="24"/>
          <w:lang w:val="fr-FR" w:bidi="ar-SA"/>
        </w:rPr>
        <w:t xml:space="preserve"> </w:t>
      </w:r>
      <w:r w:rsidRPr="00C13082">
        <w:rPr>
          <w:sz w:val="24"/>
          <w:szCs w:val="24"/>
          <w:lang w:val="fr-FR" w:bidi="ar-SA"/>
        </w:rPr>
        <w:t xml:space="preserve"> </w:t>
      </w:r>
      <w:r w:rsidR="0031378D" w:rsidRPr="00C13082">
        <w:rPr>
          <w:sz w:val="24"/>
          <w:szCs w:val="24"/>
          <w:lang w:val="fr-FR"/>
        </w:rPr>
        <w:t>le CNDH souligne « sa disponibilité pour recevoir en bonne et due forme tout élément permettant d'avancer dans l'établissement de la vérité. De même, il prendra contact avec les familles des huit personnes évoquées pour recueillir tout élément d'information nouveau, étant entendu que la justice marocaine peut être en permanence saisie, conformément au droit marocain et au droit international</w:t>
      </w:r>
      <w:r w:rsidRPr="00C13082">
        <w:rPr>
          <w:sz w:val="24"/>
          <w:szCs w:val="24"/>
          <w:lang w:val="fr-FR" w:bidi="ar-SA"/>
        </w:rPr>
        <w:t xml:space="preserve"> » Les deux principaux experts du processus d'exhumation et d'identification des huit corps, le professeur Carlos Martin </w:t>
      </w:r>
      <w:proofErr w:type="spellStart"/>
      <w:r w:rsidRPr="00C13082">
        <w:rPr>
          <w:sz w:val="24"/>
          <w:szCs w:val="24"/>
          <w:lang w:val="fr-FR" w:bidi="ar-SA"/>
        </w:rPr>
        <w:t>Berinstain</w:t>
      </w:r>
      <w:proofErr w:type="spellEnd"/>
      <w:r w:rsidRPr="00C13082">
        <w:rPr>
          <w:sz w:val="24"/>
          <w:szCs w:val="24"/>
          <w:lang w:val="fr-FR" w:bidi="ar-SA"/>
        </w:rPr>
        <w:t xml:space="preserve"> et le professeur Francisco </w:t>
      </w:r>
      <w:proofErr w:type="spellStart"/>
      <w:r w:rsidRPr="00C13082">
        <w:rPr>
          <w:sz w:val="24"/>
          <w:szCs w:val="24"/>
          <w:lang w:val="fr-FR" w:bidi="ar-SA"/>
        </w:rPr>
        <w:t>Exteberria</w:t>
      </w:r>
      <w:proofErr w:type="spellEnd"/>
      <w:r w:rsidRPr="00C13082">
        <w:rPr>
          <w:sz w:val="24"/>
          <w:szCs w:val="24"/>
          <w:lang w:val="fr-FR" w:bidi="ar-SA"/>
        </w:rPr>
        <w:t xml:space="preserve"> </w:t>
      </w:r>
      <w:proofErr w:type="spellStart"/>
      <w:r w:rsidRPr="00C13082">
        <w:rPr>
          <w:sz w:val="24"/>
          <w:szCs w:val="24"/>
          <w:lang w:val="fr-FR" w:bidi="ar-SA"/>
        </w:rPr>
        <w:t>Ga</w:t>
      </w:r>
      <w:r w:rsidR="0031378D" w:rsidRPr="00C13082">
        <w:rPr>
          <w:sz w:val="24"/>
          <w:szCs w:val="24"/>
          <w:lang w:val="fr-FR" w:bidi="ar-SA"/>
        </w:rPr>
        <w:t>bilondo</w:t>
      </w:r>
      <w:proofErr w:type="spellEnd"/>
      <w:r w:rsidR="0031378D" w:rsidRPr="00C13082">
        <w:rPr>
          <w:sz w:val="24"/>
          <w:szCs w:val="24"/>
          <w:lang w:val="fr-FR" w:bidi="ar-SA"/>
        </w:rPr>
        <w:t>, ont contacté le CND</w:t>
      </w:r>
      <w:r w:rsidRPr="00C13082">
        <w:rPr>
          <w:sz w:val="24"/>
          <w:szCs w:val="24"/>
          <w:lang w:val="fr-FR" w:bidi="ar-SA"/>
        </w:rPr>
        <w:t xml:space="preserve">H qui a exprimé dans un premier temps sa disponibilité et son accord pour les recevoir à Rabat </w:t>
      </w:r>
      <w:r w:rsidR="0031378D" w:rsidRPr="00C13082">
        <w:rPr>
          <w:sz w:val="24"/>
          <w:szCs w:val="24"/>
          <w:lang w:val="fr-FR" w:bidi="ar-SA"/>
        </w:rPr>
        <w:t>afin qu’ils puissent</w:t>
      </w:r>
      <w:r w:rsidRPr="00C13082">
        <w:rPr>
          <w:sz w:val="24"/>
          <w:szCs w:val="24"/>
          <w:lang w:val="fr-FR" w:bidi="ar-SA"/>
        </w:rPr>
        <w:t xml:space="preserve"> présenter les résultats </w:t>
      </w:r>
      <w:r w:rsidRPr="00C13082">
        <w:rPr>
          <w:sz w:val="24"/>
          <w:szCs w:val="24"/>
          <w:lang w:val="fr-FR" w:bidi="ar-SA"/>
        </w:rPr>
        <w:lastRenderedPageBreak/>
        <w:t xml:space="preserve">de </w:t>
      </w:r>
      <w:r w:rsidR="0031378D" w:rsidRPr="00C13082">
        <w:rPr>
          <w:sz w:val="24"/>
          <w:szCs w:val="24"/>
          <w:lang w:val="fr-FR" w:bidi="ar-SA"/>
        </w:rPr>
        <w:t>leur</w:t>
      </w:r>
      <w:r w:rsidRPr="00C13082">
        <w:rPr>
          <w:sz w:val="24"/>
          <w:szCs w:val="24"/>
          <w:lang w:val="fr-FR" w:bidi="ar-SA"/>
        </w:rPr>
        <w:t xml:space="preserve">s recherches. Cependant, les deux experts n'ont jamais pu effectuer la visite en raison de multiples excuses sur l'ordre du jour. </w:t>
      </w:r>
      <w:r w:rsidR="00244F2F" w:rsidRPr="00C13082">
        <w:rPr>
          <w:sz w:val="24"/>
          <w:szCs w:val="24"/>
          <w:lang w:val="fr-FR" w:bidi="ar-SA"/>
        </w:rPr>
        <w:t>Neuf</w:t>
      </w:r>
      <w:r w:rsidRPr="00C13082">
        <w:rPr>
          <w:sz w:val="24"/>
          <w:szCs w:val="24"/>
          <w:lang w:val="fr-FR" w:bidi="ar-SA"/>
        </w:rPr>
        <w:t xml:space="preserve"> ans plus tard, les experts qui ont participé aux processus d'exhumation et d'identification des corps découverts dans des fosses communes continuent d'être interdits d'entrée sur le territoire du Royaume du Maroc ou dans les territoires occupés du Sahara Occidental. La CNDH n'a pas non plus contacté les familles des huit personnes retrouvées dans les deux </w:t>
      </w:r>
      <w:r w:rsidR="00244F2F" w:rsidRPr="00C13082">
        <w:rPr>
          <w:sz w:val="24"/>
          <w:szCs w:val="24"/>
          <w:lang w:val="fr-FR" w:bidi="ar-SA"/>
        </w:rPr>
        <w:t>fosses communes</w:t>
      </w:r>
      <w:r w:rsidRPr="00C13082">
        <w:rPr>
          <w:sz w:val="24"/>
          <w:szCs w:val="24"/>
          <w:lang w:val="fr-FR" w:bidi="ar-SA"/>
        </w:rPr>
        <w:t>.</w:t>
      </w:r>
    </w:p>
    <w:p w14:paraId="61BAFA86" w14:textId="77777777" w:rsidR="00D166E1" w:rsidRPr="00836A01" w:rsidRDefault="00D166E1" w:rsidP="00D166E1">
      <w:pPr>
        <w:jc w:val="both"/>
        <w:rPr>
          <w:lang w:val="fr-FR" w:bidi="ar-SA"/>
        </w:rPr>
      </w:pPr>
      <w:r w:rsidRPr="00836A01">
        <w:rPr>
          <w:lang w:val="fr-FR" w:bidi="ar-SA"/>
        </w:rPr>
        <w:t xml:space="preserve">D'autre part, les exhumations correspondantes effectuées par l'équipe médico-légale sous la direction du professeur Carlos Martin </w:t>
      </w:r>
      <w:proofErr w:type="spellStart"/>
      <w:r w:rsidRPr="00836A01">
        <w:rPr>
          <w:lang w:val="fr-FR" w:bidi="ar-SA"/>
        </w:rPr>
        <w:t>Birenstain</w:t>
      </w:r>
      <w:proofErr w:type="spellEnd"/>
      <w:r w:rsidRPr="00836A01">
        <w:rPr>
          <w:lang w:val="fr-FR" w:bidi="ar-SA"/>
        </w:rPr>
        <w:t xml:space="preserve"> et du professeur Francisco </w:t>
      </w:r>
      <w:proofErr w:type="spellStart"/>
      <w:r w:rsidRPr="00836A01">
        <w:rPr>
          <w:lang w:val="fr-FR" w:bidi="ar-SA"/>
        </w:rPr>
        <w:t>Etxeberria</w:t>
      </w:r>
      <w:proofErr w:type="spellEnd"/>
      <w:r w:rsidRPr="00836A01">
        <w:rPr>
          <w:lang w:val="fr-FR" w:bidi="ar-SA"/>
        </w:rPr>
        <w:t xml:space="preserve"> </w:t>
      </w:r>
      <w:proofErr w:type="spellStart"/>
      <w:r w:rsidRPr="00836A01">
        <w:rPr>
          <w:lang w:val="fr-FR" w:bidi="ar-SA"/>
        </w:rPr>
        <w:t>Gabilondo</w:t>
      </w:r>
      <w:proofErr w:type="spellEnd"/>
      <w:r w:rsidRPr="00836A01">
        <w:rPr>
          <w:lang w:val="fr-FR" w:bidi="ar-SA"/>
        </w:rPr>
        <w:t>, de l'Université du Pays basque, ont fait l'objet d'une plainte générale adressée par le Groupe de travail au Gouvernement marocain en février 2014 (A/HRC/GTDFI/101/1, par. 96 à 103).</w:t>
      </w:r>
    </w:p>
    <w:p w14:paraId="5D29C204" w14:textId="77777777" w:rsidR="00D166E1" w:rsidRPr="00C13082" w:rsidRDefault="00D166E1" w:rsidP="002616E5">
      <w:pPr>
        <w:jc w:val="both"/>
        <w:rPr>
          <w:sz w:val="24"/>
          <w:szCs w:val="24"/>
          <w:lang w:val="fr-FR" w:bidi="ar-SA"/>
        </w:rPr>
      </w:pPr>
      <w:r w:rsidRPr="00C13082">
        <w:rPr>
          <w:sz w:val="24"/>
          <w:szCs w:val="24"/>
          <w:lang w:val="fr-FR" w:bidi="ar-SA"/>
        </w:rPr>
        <w:t xml:space="preserve">Dans ses rapports, le Groupe de travail souligne le respect du droit des membres de la famille de connaître toute la vérité sur ce qui est arrivé à la personne disparue (A/HRC/16/48, par. 39), ainsi que l'importance d'une enquête </w:t>
      </w:r>
      <w:r w:rsidR="00B43034" w:rsidRPr="00C13082">
        <w:rPr>
          <w:sz w:val="24"/>
          <w:szCs w:val="24"/>
          <w:lang w:val="fr-FR" w:bidi="ar-SA"/>
        </w:rPr>
        <w:t>complète et indépendante</w:t>
      </w:r>
      <w:r w:rsidRPr="00C13082">
        <w:rPr>
          <w:sz w:val="24"/>
          <w:szCs w:val="24"/>
          <w:lang w:val="fr-FR" w:bidi="ar-SA"/>
        </w:rPr>
        <w:t xml:space="preserve"> sur les cas de disparition forcée. </w:t>
      </w:r>
      <w:r w:rsidR="002616E5" w:rsidRPr="00C13082">
        <w:rPr>
          <w:sz w:val="24"/>
          <w:szCs w:val="24"/>
          <w:lang w:val="fr-FR" w:bidi="ar-SA"/>
        </w:rPr>
        <w:t xml:space="preserve">Il rappelle également le paragraphe 4 de l'article 13 de la Déclaration sur les disparitions forcées, qui dispose que les conclusions de l'enquête sur les cas de disparition forcée doivent être communiquées, sur demande, à toutes les personnes intéressées, à moins que cela n'empêche une enquête pénale </w:t>
      </w:r>
      <w:r w:rsidRPr="00C13082">
        <w:rPr>
          <w:sz w:val="24"/>
          <w:szCs w:val="24"/>
          <w:lang w:val="fr-FR" w:bidi="ar-SA"/>
        </w:rPr>
        <w:t>en cours.</w:t>
      </w:r>
    </w:p>
    <w:p w14:paraId="2604FD67" w14:textId="77777777" w:rsidR="003D6C02" w:rsidRPr="00C13082" w:rsidRDefault="003D6C02" w:rsidP="002616E5">
      <w:pPr>
        <w:jc w:val="both"/>
        <w:rPr>
          <w:sz w:val="24"/>
          <w:szCs w:val="24"/>
          <w:lang w:val="fr-FR" w:bidi="ar-SA"/>
        </w:rPr>
      </w:pPr>
      <w:r w:rsidRPr="00C13082">
        <w:rPr>
          <w:sz w:val="24"/>
          <w:szCs w:val="24"/>
          <w:lang w:val="fr-FR" w:bidi="ar-SA"/>
        </w:rPr>
        <w:t xml:space="preserve">En outre, le 31 octobre 2016, le Groupe de travail a transmis, avec d'autres mécanismes des procédures spéciales, une lettre d'intervention immédiate concernant des allégations d'actes d'intimidation et de représailles </w:t>
      </w:r>
      <w:r w:rsidR="002616E5" w:rsidRPr="00C13082">
        <w:rPr>
          <w:sz w:val="24"/>
          <w:szCs w:val="24"/>
          <w:lang w:val="fr-FR" w:bidi="ar-SA"/>
        </w:rPr>
        <w:t>à l’en</w:t>
      </w:r>
      <w:r w:rsidRPr="00C13082">
        <w:rPr>
          <w:sz w:val="24"/>
          <w:szCs w:val="24"/>
          <w:lang w:val="fr-FR" w:bidi="ar-SA"/>
        </w:rPr>
        <w:t xml:space="preserve">contre </w:t>
      </w:r>
      <w:r w:rsidR="002616E5" w:rsidRPr="00C13082">
        <w:rPr>
          <w:sz w:val="24"/>
          <w:szCs w:val="24"/>
          <w:lang w:val="fr-FR" w:bidi="ar-SA"/>
        </w:rPr>
        <w:t xml:space="preserve">de </w:t>
      </w:r>
      <w:r w:rsidRPr="00C13082">
        <w:rPr>
          <w:sz w:val="24"/>
          <w:szCs w:val="24"/>
          <w:lang w:val="fr-FR" w:bidi="ar-SA"/>
        </w:rPr>
        <w:t xml:space="preserve">Carlos Martín </w:t>
      </w:r>
      <w:proofErr w:type="spellStart"/>
      <w:r w:rsidRPr="00C13082">
        <w:rPr>
          <w:sz w:val="24"/>
          <w:szCs w:val="24"/>
          <w:lang w:val="fr-FR" w:bidi="ar-SA"/>
        </w:rPr>
        <w:t>Beristáin</w:t>
      </w:r>
      <w:proofErr w:type="spellEnd"/>
      <w:r w:rsidRPr="00C13082">
        <w:rPr>
          <w:sz w:val="24"/>
          <w:szCs w:val="24"/>
          <w:lang w:val="fr-FR" w:bidi="ar-SA"/>
        </w:rPr>
        <w:t xml:space="preserve">, Gloria Guzmán et </w:t>
      </w:r>
      <w:proofErr w:type="spellStart"/>
      <w:r w:rsidRPr="00C13082">
        <w:rPr>
          <w:sz w:val="24"/>
          <w:szCs w:val="24"/>
          <w:lang w:val="fr-FR" w:bidi="ar-SA"/>
        </w:rPr>
        <w:t>Arantza</w:t>
      </w:r>
      <w:proofErr w:type="spellEnd"/>
      <w:r w:rsidRPr="00C13082">
        <w:rPr>
          <w:sz w:val="24"/>
          <w:szCs w:val="24"/>
          <w:lang w:val="fr-FR" w:bidi="ar-SA"/>
        </w:rPr>
        <w:t xml:space="preserve"> </w:t>
      </w:r>
      <w:proofErr w:type="spellStart"/>
      <w:r w:rsidRPr="00C13082">
        <w:rPr>
          <w:sz w:val="24"/>
          <w:szCs w:val="24"/>
          <w:lang w:val="fr-FR" w:bidi="ar-SA"/>
        </w:rPr>
        <w:t>Chacón</w:t>
      </w:r>
      <w:proofErr w:type="spellEnd"/>
      <w:r w:rsidRPr="00C13082">
        <w:rPr>
          <w:sz w:val="24"/>
          <w:szCs w:val="24"/>
          <w:lang w:val="fr-FR" w:bidi="ar-SA"/>
        </w:rPr>
        <w:t xml:space="preserve"> par les forces de sécurité, qui </w:t>
      </w:r>
      <w:r w:rsidR="002616E5" w:rsidRPr="00C13082">
        <w:rPr>
          <w:sz w:val="24"/>
          <w:szCs w:val="24"/>
          <w:lang w:val="fr-FR" w:bidi="ar-SA"/>
        </w:rPr>
        <w:t>leur ont</w:t>
      </w:r>
      <w:r w:rsidRPr="00C13082">
        <w:rPr>
          <w:sz w:val="24"/>
          <w:szCs w:val="24"/>
          <w:lang w:val="fr-FR" w:bidi="ar-SA"/>
        </w:rPr>
        <w:t xml:space="preserve"> </w:t>
      </w:r>
      <w:r w:rsidR="002616E5" w:rsidRPr="00C13082">
        <w:rPr>
          <w:sz w:val="24"/>
          <w:szCs w:val="24"/>
          <w:lang w:val="fr-FR" w:bidi="ar-SA"/>
        </w:rPr>
        <w:t xml:space="preserve">refusé </w:t>
      </w:r>
      <w:r w:rsidRPr="00C13082">
        <w:rPr>
          <w:sz w:val="24"/>
          <w:szCs w:val="24"/>
          <w:lang w:val="fr-FR" w:bidi="ar-SA"/>
        </w:rPr>
        <w:t xml:space="preserve"> l'entrée dans le pays et les ont ainsi empêchés de participer à des activités organisées par ONG en rapport avec des cas de disparition forcée au Sahara occidental.</w:t>
      </w:r>
    </w:p>
    <w:p w14:paraId="287A2C1D" w14:textId="77777777" w:rsidR="003D6C02" w:rsidRPr="00C13082" w:rsidRDefault="003D6C02" w:rsidP="002616E5">
      <w:pPr>
        <w:jc w:val="both"/>
        <w:rPr>
          <w:sz w:val="24"/>
          <w:szCs w:val="24"/>
          <w:lang w:val="fr-FR" w:bidi="ar-SA"/>
        </w:rPr>
      </w:pPr>
      <w:r w:rsidRPr="00C13082">
        <w:rPr>
          <w:sz w:val="24"/>
          <w:szCs w:val="24"/>
          <w:lang w:val="fr-FR" w:bidi="ar-SA"/>
        </w:rPr>
        <w:t xml:space="preserve">Dans son observation, le Groupe de travail rappelle que le droit des membres de la famille de connaître la vérité sur le sort de leurs </w:t>
      </w:r>
      <w:r w:rsidR="002616E5" w:rsidRPr="00C13082">
        <w:rPr>
          <w:sz w:val="24"/>
          <w:szCs w:val="24"/>
          <w:lang w:val="fr-FR" w:bidi="ar-SA"/>
        </w:rPr>
        <w:t>famille</w:t>
      </w:r>
      <w:r w:rsidRPr="00C13082">
        <w:rPr>
          <w:sz w:val="24"/>
          <w:szCs w:val="24"/>
          <w:lang w:val="fr-FR" w:bidi="ar-SA"/>
        </w:rPr>
        <w:t>s disparues et sur le lieu où elles se trouvent est un droit absolu qui ne fait l'objet d'aucune limitation ou dérogation. L'État ne peut invoquer des objectifs légitimes ou des circonstances exceptionnelles pour restreindre ce droit (Voir rapport A/HRC/WGEID/111/1 par. 90 à 93)</w:t>
      </w:r>
    </w:p>
    <w:p w14:paraId="71FB2A40" w14:textId="77777777" w:rsidR="003D6C02" w:rsidRPr="00C13082" w:rsidRDefault="003D6C02" w:rsidP="005F2E49">
      <w:pPr>
        <w:jc w:val="both"/>
        <w:rPr>
          <w:sz w:val="24"/>
          <w:szCs w:val="24"/>
          <w:lang w:val="fr-FR" w:bidi="ar-SA"/>
        </w:rPr>
      </w:pPr>
      <w:r w:rsidRPr="00C13082">
        <w:rPr>
          <w:sz w:val="24"/>
          <w:szCs w:val="24"/>
          <w:lang w:val="fr-FR" w:bidi="ar-SA"/>
        </w:rPr>
        <w:t xml:space="preserve">Question 26 : « L'État partie va-t-il autoriser les proches sahraouis des victimes de disparitions forcées à procéder aux exhumations correspondantes et à l'identification anthropologique et à l'analyse ADN des corps se trouvant dans des fosses communes ou des lieux de sépulture ? Il s'agit </w:t>
      </w:r>
      <w:proofErr w:type="gramStart"/>
      <w:r w:rsidRPr="00C13082">
        <w:rPr>
          <w:sz w:val="24"/>
          <w:szCs w:val="24"/>
          <w:lang w:val="fr-FR" w:bidi="ar-SA"/>
        </w:rPr>
        <w:t xml:space="preserve">d'un </w:t>
      </w:r>
      <w:r w:rsidR="005F2E49" w:rsidRPr="00C13082">
        <w:rPr>
          <w:sz w:val="24"/>
          <w:szCs w:val="24"/>
          <w:lang w:val="fr-FR" w:bidi="ar-SA"/>
        </w:rPr>
        <w:t>question</w:t>
      </w:r>
      <w:r w:rsidRPr="00C13082">
        <w:rPr>
          <w:sz w:val="24"/>
          <w:szCs w:val="24"/>
          <w:lang w:val="fr-FR" w:bidi="ar-SA"/>
        </w:rPr>
        <w:t xml:space="preserve"> primordial</w:t>
      </w:r>
      <w:proofErr w:type="gramEnd"/>
      <w:r w:rsidRPr="00C13082">
        <w:rPr>
          <w:sz w:val="24"/>
          <w:szCs w:val="24"/>
          <w:lang w:val="fr-FR" w:bidi="ar-SA"/>
        </w:rPr>
        <w:t xml:space="preserve"> puisque de nombreux parents sont décédés ou pourraient mourir, ce qui rendrait difficiles les comparaisons ADN correspondantes.</w:t>
      </w:r>
    </w:p>
    <w:p w14:paraId="4B90D1A9" w14:textId="77777777" w:rsidR="003D6C02" w:rsidRPr="00C13082" w:rsidRDefault="003D6C02" w:rsidP="003D6C02">
      <w:pPr>
        <w:jc w:val="both"/>
        <w:rPr>
          <w:sz w:val="24"/>
          <w:szCs w:val="24"/>
          <w:lang w:val="fr-FR" w:bidi="ar-SA"/>
        </w:rPr>
      </w:pPr>
      <w:r w:rsidRPr="00C13082">
        <w:rPr>
          <w:sz w:val="24"/>
          <w:szCs w:val="24"/>
          <w:lang w:val="fr-FR" w:bidi="ar-SA"/>
        </w:rPr>
        <w:t>Question 27 : L'État partie protège-t-il les fosses communes ou lieux de sépulture des victimes de disparition forcée, y compris celles d'origine sahraouie ?</w:t>
      </w:r>
    </w:p>
    <w:p w14:paraId="0DC81657" w14:textId="77777777" w:rsidR="003D6C02" w:rsidRPr="00C13082" w:rsidRDefault="003D6C02" w:rsidP="002616E5">
      <w:pPr>
        <w:jc w:val="both"/>
        <w:rPr>
          <w:sz w:val="24"/>
          <w:szCs w:val="24"/>
          <w:lang w:val="fr-FR" w:bidi="ar-SA"/>
        </w:rPr>
      </w:pPr>
      <w:r w:rsidRPr="00C13082">
        <w:rPr>
          <w:sz w:val="24"/>
          <w:szCs w:val="24"/>
          <w:lang w:val="fr-FR" w:bidi="ar-SA"/>
        </w:rPr>
        <w:lastRenderedPageBreak/>
        <w:t xml:space="preserve">Question 28 : S'il ne le fait pas actuellement, quelles mesures l'État partie compte-t-il prendre pour y remédier et protéger les </w:t>
      </w:r>
      <w:r w:rsidR="002616E5" w:rsidRPr="00C13082">
        <w:rPr>
          <w:sz w:val="24"/>
          <w:szCs w:val="24"/>
          <w:lang w:val="fr-FR" w:bidi="ar-SA"/>
        </w:rPr>
        <w:t>foss</w:t>
      </w:r>
      <w:r w:rsidRPr="00C13082">
        <w:rPr>
          <w:sz w:val="24"/>
          <w:szCs w:val="24"/>
          <w:lang w:val="fr-FR" w:bidi="ar-SA"/>
        </w:rPr>
        <w:t xml:space="preserve">es </w:t>
      </w:r>
      <w:r w:rsidR="002616E5" w:rsidRPr="00C13082">
        <w:rPr>
          <w:sz w:val="24"/>
          <w:szCs w:val="24"/>
          <w:lang w:val="fr-FR" w:bidi="ar-SA"/>
        </w:rPr>
        <w:t xml:space="preserve">communes </w:t>
      </w:r>
      <w:r w:rsidRPr="00C13082">
        <w:rPr>
          <w:sz w:val="24"/>
          <w:szCs w:val="24"/>
          <w:lang w:val="fr-FR" w:bidi="ar-SA"/>
        </w:rPr>
        <w:t>et les sites</w:t>
      </w:r>
      <w:r w:rsidR="002616E5" w:rsidRPr="00C13082">
        <w:rPr>
          <w:sz w:val="24"/>
          <w:szCs w:val="24"/>
          <w:lang w:val="fr-FR" w:bidi="ar-SA"/>
        </w:rPr>
        <w:t xml:space="preserve"> d’enterrement</w:t>
      </w:r>
      <w:r w:rsidRPr="00C13082">
        <w:rPr>
          <w:sz w:val="24"/>
          <w:szCs w:val="24"/>
          <w:lang w:val="fr-FR" w:bidi="ar-SA"/>
        </w:rPr>
        <w:t xml:space="preserve"> d'éventuelles destructions ou détériorations ?</w:t>
      </w:r>
    </w:p>
    <w:p w14:paraId="500DC831" w14:textId="77777777" w:rsidR="003D6C02" w:rsidRPr="00C13082" w:rsidRDefault="003D6C02" w:rsidP="002616E5">
      <w:pPr>
        <w:jc w:val="both"/>
        <w:rPr>
          <w:sz w:val="24"/>
          <w:szCs w:val="24"/>
          <w:lang w:val="fr-FR" w:bidi="ar-SA"/>
        </w:rPr>
      </w:pPr>
      <w:r w:rsidRPr="00C13082">
        <w:rPr>
          <w:sz w:val="24"/>
          <w:szCs w:val="24"/>
          <w:lang w:val="fr-FR" w:bidi="ar-SA"/>
        </w:rPr>
        <w:t xml:space="preserve">Dans le tableau qui vient après </w:t>
      </w:r>
      <w:r w:rsidRPr="00C13082">
        <w:rPr>
          <w:b/>
          <w:bCs/>
          <w:sz w:val="24"/>
          <w:szCs w:val="24"/>
          <w:lang w:val="fr-FR" w:bidi="ar-SA"/>
        </w:rPr>
        <w:t>le point 111</w:t>
      </w:r>
      <w:r w:rsidRPr="00C13082">
        <w:rPr>
          <w:sz w:val="24"/>
          <w:szCs w:val="24"/>
          <w:lang w:val="fr-FR" w:bidi="ar-SA"/>
        </w:rPr>
        <w:t>,</w:t>
      </w:r>
      <w:r w:rsidR="002616E5" w:rsidRPr="00C13082">
        <w:rPr>
          <w:sz w:val="24"/>
          <w:szCs w:val="24"/>
          <w:lang w:val="fr-FR" w:bidi="ar-SA"/>
        </w:rPr>
        <w:t xml:space="preserve"> plusieurs</w:t>
      </w:r>
      <w:r w:rsidRPr="00C13082">
        <w:rPr>
          <w:sz w:val="24"/>
          <w:szCs w:val="24"/>
          <w:lang w:val="fr-FR" w:bidi="ar-SA"/>
        </w:rPr>
        <w:t xml:space="preserve"> groupes </w:t>
      </w:r>
      <w:r w:rsidR="002616E5" w:rsidRPr="00C13082">
        <w:rPr>
          <w:sz w:val="24"/>
          <w:szCs w:val="24"/>
          <w:lang w:val="fr-FR" w:bidi="ar-SA"/>
        </w:rPr>
        <w:t xml:space="preserve">de Sahraouis </w:t>
      </w:r>
      <w:r w:rsidRPr="00C13082">
        <w:rPr>
          <w:sz w:val="24"/>
          <w:szCs w:val="24"/>
          <w:lang w:val="fr-FR" w:bidi="ar-SA"/>
        </w:rPr>
        <w:t>concernés n'y figurent pas. C'est le cas des présumés décédés, selon le rapport du CCDH de 2010, des groupes suivants :</w:t>
      </w:r>
    </w:p>
    <w:p w14:paraId="3BC5EFAB" w14:textId="77777777" w:rsidR="003D6C02" w:rsidRPr="00C13082" w:rsidRDefault="002616E5" w:rsidP="002616E5">
      <w:pPr>
        <w:pStyle w:val="ListParagraph"/>
        <w:numPr>
          <w:ilvl w:val="0"/>
          <w:numId w:val="6"/>
        </w:numPr>
        <w:jc w:val="both"/>
        <w:rPr>
          <w:sz w:val="24"/>
          <w:szCs w:val="24"/>
          <w:lang w:val="fr-FR" w:bidi="ar-SA"/>
        </w:rPr>
      </w:pPr>
      <w:r w:rsidRPr="00C13082">
        <w:rPr>
          <w:sz w:val="24"/>
          <w:szCs w:val="24"/>
          <w:lang w:val="fr-FR" w:bidi="ar-SA"/>
        </w:rPr>
        <w:t xml:space="preserve">Présumés </w:t>
      </w:r>
      <w:r w:rsidR="003D6C02" w:rsidRPr="00C13082">
        <w:rPr>
          <w:sz w:val="24"/>
          <w:szCs w:val="24"/>
          <w:lang w:val="fr-FR" w:bidi="ar-SA"/>
        </w:rPr>
        <w:t>décédé</w:t>
      </w:r>
      <w:r w:rsidRPr="00C13082">
        <w:rPr>
          <w:sz w:val="24"/>
          <w:szCs w:val="24"/>
          <w:lang w:val="fr-FR" w:bidi="ar-SA"/>
        </w:rPr>
        <w:t>s</w:t>
      </w:r>
      <w:r w:rsidR="003D6C02" w:rsidRPr="00C13082">
        <w:rPr>
          <w:sz w:val="24"/>
          <w:szCs w:val="24"/>
          <w:lang w:val="fr-FR" w:bidi="ar-SA"/>
        </w:rPr>
        <w:t xml:space="preserve"> à </w:t>
      </w:r>
      <w:proofErr w:type="spellStart"/>
      <w:r w:rsidR="003D6C02" w:rsidRPr="00C13082">
        <w:rPr>
          <w:sz w:val="24"/>
          <w:szCs w:val="24"/>
          <w:lang w:val="fr-FR" w:bidi="ar-SA"/>
        </w:rPr>
        <w:t>Agdz</w:t>
      </w:r>
      <w:proofErr w:type="spellEnd"/>
      <w:r w:rsidR="003D6C02" w:rsidRPr="00C13082">
        <w:rPr>
          <w:sz w:val="24"/>
          <w:szCs w:val="24"/>
          <w:lang w:val="fr-FR" w:bidi="ar-SA"/>
        </w:rPr>
        <w:t>.</w:t>
      </w:r>
      <w:r w:rsidRPr="00C13082">
        <w:rPr>
          <w:sz w:val="24"/>
          <w:szCs w:val="24"/>
          <w:lang w:val="fr-FR" w:bidi="ar-SA"/>
        </w:rPr>
        <w:t xml:space="preserve"> </w:t>
      </w:r>
    </w:p>
    <w:p w14:paraId="3388543B" w14:textId="77777777" w:rsidR="003D6C02" w:rsidRPr="00C13082" w:rsidRDefault="002616E5" w:rsidP="002616E5">
      <w:pPr>
        <w:pStyle w:val="ListParagraph"/>
        <w:numPr>
          <w:ilvl w:val="0"/>
          <w:numId w:val="6"/>
        </w:numPr>
        <w:jc w:val="both"/>
        <w:rPr>
          <w:sz w:val="24"/>
          <w:szCs w:val="24"/>
          <w:lang w:val="fr-FR" w:bidi="ar-SA"/>
        </w:rPr>
      </w:pPr>
      <w:r w:rsidRPr="00C13082">
        <w:rPr>
          <w:sz w:val="24"/>
          <w:szCs w:val="24"/>
          <w:lang w:val="fr-FR" w:bidi="ar-SA"/>
        </w:rPr>
        <w:t xml:space="preserve">Présumés </w:t>
      </w:r>
      <w:r w:rsidR="003D6C02" w:rsidRPr="00C13082">
        <w:rPr>
          <w:sz w:val="24"/>
          <w:szCs w:val="24"/>
          <w:lang w:val="fr-FR" w:bidi="ar-SA"/>
        </w:rPr>
        <w:t>décédé</w:t>
      </w:r>
      <w:r w:rsidRPr="00C13082">
        <w:rPr>
          <w:sz w:val="24"/>
          <w:szCs w:val="24"/>
          <w:lang w:val="fr-FR" w:bidi="ar-SA"/>
        </w:rPr>
        <w:t>s</w:t>
      </w:r>
      <w:r w:rsidR="003D6C02" w:rsidRPr="00C13082">
        <w:rPr>
          <w:sz w:val="24"/>
          <w:szCs w:val="24"/>
          <w:lang w:val="fr-FR" w:bidi="ar-SA"/>
        </w:rPr>
        <w:t xml:space="preserve"> au BIR</w:t>
      </w:r>
      <w:r w:rsidR="005F2E49" w:rsidRPr="00C13082">
        <w:rPr>
          <w:rStyle w:val="FootnoteReference"/>
          <w:sz w:val="24"/>
          <w:szCs w:val="24"/>
          <w:lang w:val="fr-FR" w:bidi="ar-SA"/>
        </w:rPr>
        <w:footnoteReference w:id="25"/>
      </w:r>
      <w:r w:rsidR="003D6C02" w:rsidRPr="00C13082">
        <w:rPr>
          <w:sz w:val="24"/>
          <w:szCs w:val="24"/>
          <w:lang w:val="fr-FR" w:bidi="ar-SA"/>
        </w:rPr>
        <w:t xml:space="preserve"> et PC CMI</w:t>
      </w:r>
      <w:r w:rsidR="005F2E49" w:rsidRPr="00C13082">
        <w:rPr>
          <w:rStyle w:val="FootnoteReference"/>
          <w:sz w:val="24"/>
          <w:szCs w:val="24"/>
          <w:lang w:val="fr-FR" w:bidi="ar-SA"/>
        </w:rPr>
        <w:footnoteReference w:id="26"/>
      </w:r>
      <w:r w:rsidR="003D6C02" w:rsidRPr="00C13082">
        <w:rPr>
          <w:sz w:val="24"/>
          <w:szCs w:val="24"/>
          <w:lang w:val="fr-FR" w:bidi="ar-SA"/>
        </w:rPr>
        <w:t xml:space="preserve"> (El </w:t>
      </w:r>
      <w:proofErr w:type="spellStart"/>
      <w:r w:rsidR="003D6C02" w:rsidRPr="00C13082">
        <w:rPr>
          <w:sz w:val="24"/>
          <w:szCs w:val="24"/>
          <w:lang w:val="fr-FR" w:bidi="ar-SA"/>
        </w:rPr>
        <w:t>Ayoun</w:t>
      </w:r>
      <w:proofErr w:type="spellEnd"/>
      <w:r w:rsidR="003D6C02" w:rsidRPr="00C13082">
        <w:rPr>
          <w:sz w:val="24"/>
          <w:szCs w:val="24"/>
          <w:lang w:val="fr-FR" w:bidi="ar-SA"/>
        </w:rPr>
        <w:t>).</w:t>
      </w:r>
    </w:p>
    <w:p w14:paraId="10141E7F" w14:textId="77777777" w:rsidR="003D6C02" w:rsidRPr="00C13082" w:rsidRDefault="003D6C02" w:rsidP="002616E5">
      <w:pPr>
        <w:pStyle w:val="ListParagraph"/>
        <w:numPr>
          <w:ilvl w:val="0"/>
          <w:numId w:val="6"/>
        </w:numPr>
        <w:jc w:val="both"/>
        <w:rPr>
          <w:sz w:val="24"/>
          <w:szCs w:val="24"/>
          <w:lang w:val="fr-FR" w:bidi="ar-SA"/>
        </w:rPr>
      </w:pPr>
      <w:r w:rsidRPr="00C13082">
        <w:rPr>
          <w:sz w:val="24"/>
          <w:szCs w:val="24"/>
          <w:lang w:val="fr-FR" w:bidi="ar-SA"/>
        </w:rPr>
        <w:t>Présumé</w:t>
      </w:r>
      <w:r w:rsidR="002616E5" w:rsidRPr="00C13082">
        <w:rPr>
          <w:sz w:val="24"/>
          <w:szCs w:val="24"/>
          <w:lang w:val="fr-FR" w:bidi="ar-SA"/>
        </w:rPr>
        <w:t>s</w:t>
      </w:r>
      <w:r w:rsidRPr="00C13082">
        <w:rPr>
          <w:sz w:val="24"/>
          <w:szCs w:val="24"/>
          <w:lang w:val="fr-FR" w:bidi="ar-SA"/>
        </w:rPr>
        <w:t xml:space="preserve"> décédé</w:t>
      </w:r>
      <w:r w:rsidR="002616E5" w:rsidRPr="00C13082">
        <w:rPr>
          <w:sz w:val="24"/>
          <w:szCs w:val="24"/>
          <w:lang w:val="fr-FR" w:bidi="ar-SA"/>
        </w:rPr>
        <w:t>s</w:t>
      </w:r>
      <w:r w:rsidRPr="00C13082">
        <w:rPr>
          <w:sz w:val="24"/>
          <w:szCs w:val="24"/>
          <w:lang w:val="fr-FR" w:bidi="ar-SA"/>
        </w:rPr>
        <w:t xml:space="preserve"> à </w:t>
      </w:r>
      <w:proofErr w:type="spellStart"/>
      <w:r w:rsidRPr="00C13082">
        <w:rPr>
          <w:sz w:val="24"/>
          <w:szCs w:val="24"/>
          <w:lang w:val="fr-FR" w:bidi="ar-SA"/>
        </w:rPr>
        <w:t>Lemsayed</w:t>
      </w:r>
      <w:proofErr w:type="spellEnd"/>
      <w:r w:rsidR="005F2E49" w:rsidRPr="00C13082">
        <w:rPr>
          <w:rStyle w:val="FootnoteReference"/>
          <w:sz w:val="24"/>
          <w:szCs w:val="24"/>
          <w:lang w:val="fr-FR" w:bidi="ar-SA"/>
        </w:rPr>
        <w:footnoteReference w:id="27"/>
      </w:r>
      <w:r w:rsidRPr="00C13082">
        <w:rPr>
          <w:sz w:val="24"/>
          <w:szCs w:val="24"/>
          <w:lang w:val="fr-FR" w:bidi="ar-SA"/>
        </w:rPr>
        <w:t>.</w:t>
      </w:r>
    </w:p>
    <w:p w14:paraId="6EE2B76A" w14:textId="77777777" w:rsidR="003D6C02" w:rsidRPr="00C13082" w:rsidRDefault="003D6C02" w:rsidP="003D6C02">
      <w:pPr>
        <w:jc w:val="both"/>
        <w:rPr>
          <w:sz w:val="24"/>
          <w:szCs w:val="24"/>
          <w:lang w:val="fr-FR" w:bidi="ar-SA"/>
        </w:rPr>
      </w:pPr>
      <w:r w:rsidRPr="00C13082">
        <w:rPr>
          <w:sz w:val="24"/>
          <w:szCs w:val="24"/>
          <w:lang w:val="fr-FR" w:bidi="ar-SA"/>
        </w:rPr>
        <w:t>Question 29 : Comment l'État partie explique-t-il cette omission ?</w:t>
      </w:r>
    </w:p>
    <w:p w14:paraId="0AA35014" w14:textId="77777777" w:rsidR="003D6C02" w:rsidRPr="00C13082" w:rsidRDefault="003D6C02" w:rsidP="003D6C02">
      <w:pPr>
        <w:jc w:val="both"/>
        <w:rPr>
          <w:sz w:val="24"/>
          <w:szCs w:val="24"/>
          <w:lang w:val="fr-FR" w:bidi="ar-SA"/>
        </w:rPr>
      </w:pPr>
      <w:r w:rsidRPr="00C13082">
        <w:rPr>
          <w:sz w:val="24"/>
          <w:szCs w:val="24"/>
          <w:lang w:val="fr-FR" w:bidi="ar-SA"/>
        </w:rPr>
        <w:t>Le seul groupe mentionné est celui des cas qui seraient décédés à M'</w:t>
      </w:r>
      <w:proofErr w:type="spellStart"/>
      <w:r w:rsidRPr="00C13082">
        <w:rPr>
          <w:sz w:val="24"/>
          <w:szCs w:val="24"/>
          <w:lang w:val="fr-FR" w:bidi="ar-SA"/>
        </w:rPr>
        <w:t>Gouna</w:t>
      </w:r>
      <w:proofErr w:type="spellEnd"/>
      <w:r w:rsidRPr="00C13082">
        <w:rPr>
          <w:sz w:val="24"/>
          <w:szCs w:val="24"/>
          <w:lang w:val="fr-FR" w:bidi="ar-SA"/>
        </w:rPr>
        <w:t>. Le rapport indique que "des enquêtes approfondies ont été menées pour déterminer l'identité des restes" et "l'extraction de données anthropologiques", mais "l'analyse génétique" n'est pas considérée comme utile.</w:t>
      </w:r>
    </w:p>
    <w:p w14:paraId="3643B867" w14:textId="77777777" w:rsidR="003D6C02" w:rsidRPr="00C13082" w:rsidRDefault="003D6C02" w:rsidP="005F2E49">
      <w:pPr>
        <w:jc w:val="both"/>
        <w:rPr>
          <w:sz w:val="24"/>
          <w:szCs w:val="24"/>
          <w:lang w:val="fr-FR" w:bidi="ar-SA"/>
        </w:rPr>
      </w:pPr>
      <w:r w:rsidRPr="00C13082">
        <w:rPr>
          <w:sz w:val="24"/>
          <w:szCs w:val="24"/>
          <w:lang w:val="fr-FR" w:bidi="ar-SA"/>
        </w:rPr>
        <w:t xml:space="preserve">Question 30 : Les membres de la famille concernés ont-ils participé à ces enquêtes et en quoi </w:t>
      </w:r>
      <w:r w:rsidR="005F2E49" w:rsidRPr="00C13082">
        <w:rPr>
          <w:sz w:val="24"/>
          <w:szCs w:val="24"/>
          <w:lang w:val="fr-FR" w:bidi="ar-SA"/>
        </w:rPr>
        <w:t>consistait cette participation</w:t>
      </w:r>
      <w:r w:rsidRPr="00C13082">
        <w:rPr>
          <w:sz w:val="24"/>
          <w:szCs w:val="24"/>
          <w:lang w:val="fr-FR" w:bidi="ar-SA"/>
        </w:rPr>
        <w:t>, ainsi que s'ils ont donné leur consentement et assisté à « l'extraction des données anthropologiques » ?</w:t>
      </w:r>
    </w:p>
    <w:p w14:paraId="5F06168A" w14:textId="77777777" w:rsidR="003D6C02" w:rsidRPr="00C13082" w:rsidRDefault="003D6C02" w:rsidP="003D6C02">
      <w:pPr>
        <w:jc w:val="both"/>
        <w:rPr>
          <w:sz w:val="24"/>
          <w:szCs w:val="24"/>
          <w:lang w:val="fr-FR" w:bidi="ar-SA"/>
        </w:rPr>
      </w:pPr>
      <w:r w:rsidRPr="00C13082">
        <w:rPr>
          <w:sz w:val="24"/>
          <w:szCs w:val="24"/>
          <w:lang w:val="fr-FR" w:bidi="ar-SA"/>
        </w:rPr>
        <w:t>Question 31 : Sur quels critères l'État se base-t-il pour considérer l'analyse génétique comme inutile ?</w:t>
      </w:r>
    </w:p>
    <w:p w14:paraId="079BA525" w14:textId="77777777" w:rsidR="003D6C02" w:rsidRPr="00C13082" w:rsidRDefault="003D6C02" w:rsidP="005F2E49">
      <w:pPr>
        <w:jc w:val="both"/>
        <w:rPr>
          <w:sz w:val="24"/>
          <w:szCs w:val="24"/>
          <w:lang w:val="fr-FR" w:bidi="ar-SA"/>
        </w:rPr>
      </w:pPr>
      <w:r w:rsidRPr="00C13082">
        <w:rPr>
          <w:sz w:val="24"/>
          <w:szCs w:val="24"/>
          <w:lang w:val="fr-FR" w:bidi="ar-SA"/>
        </w:rPr>
        <w:t xml:space="preserve">Question 32 : Les dépouilles mortelles des victimes ont-elles été restituées à leurs proches et ont-elles été enterrées dans les lieux de leur choix conformément à leurs rituels religieux et </w:t>
      </w:r>
      <w:r w:rsidR="005F2E49" w:rsidRPr="00C13082">
        <w:rPr>
          <w:sz w:val="24"/>
          <w:szCs w:val="24"/>
          <w:lang w:val="fr-FR" w:bidi="ar-SA"/>
        </w:rPr>
        <w:t xml:space="preserve">pouvoir </w:t>
      </w:r>
      <w:r w:rsidRPr="00C13082">
        <w:rPr>
          <w:sz w:val="24"/>
          <w:szCs w:val="24"/>
          <w:lang w:val="fr-FR" w:bidi="ar-SA"/>
        </w:rPr>
        <w:t>mettre fin au deuil ? Dans le cas où aucune restitution n'a été effectuée, l'État partie peut-il expliquer pourquoi elle n'a pas été effectuée ?</w:t>
      </w:r>
    </w:p>
    <w:p w14:paraId="791B3D53" w14:textId="77777777" w:rsidR="003D6C02" w:rsidRPr="00C13082" w:rsidRDefault="003D6C02" w:rsidP="006919F8">
      <w:pPr>
        <w:jc w:val="both"/>
        <w:rPr>
          <w:sz w:val="24"/>
          <w:szCs w:val="24"/>
          <w:lang w:val="fr-FR" w:bidi="ar-SA"/>
        </w:rPr>
      </w:pPr>
      <w:r w:rsidRPr="00C13082">
        <w:rPr>
          <w:sz w:val="24"/>
          <w:szCs w:val="24"/>
          <w:lang w:val="fr-FR" w:bidi="ar-SA"/>
        </w:rPr>
        <w:t xml:space="preserve">Dans le tableau, </w:t>
      </w:r>
      <w:r w:rsidR="006919F8" w:rsidRPr="00C13082">
        <w:rPr>
          <w:sz w:val="24"/>
          <w:szCs w:val="24"/>
          <w:lang w:val="fr-CH" w:bidi="ar-SA"/>
        </w:rPr>
        <w:t>Cas individuels séparés</w:t>
      </w:r>
      <w:r w:rsidR="006919F8" w:rsidRPr="00C13082">
        <w:rPr>
          <w:sz w:val="24"/>
          <w:szCs w:val="24"/>
          <w:lang w:val="fr-FR" w:bidi="ar-SA"/>
        </w:rPr>
        <w:t xml:space="preserve"> de </w:t>
      </w:r>
      <w:r w:rsidRPr="00C13082">
        <w:rPr>
          <w:sz w:val="24"/>
          <w:szCs w:val="24"/>
          <w:lang w:val="fr-FR" w:bidi="ar-SA"/>
        </w:rPr>
        <w:t>présumés décédés sont mentionnés. Dans ces cas, le rapport indique que "des enquêtes approfondies pour déterminer l'identité des restes" n'ont pas été menées, mais "une extraction de données anthropologiques" ainsi que des "analyses génétiques" ont été effectuées.</w:t>
      </w:r>
    </w:p>
    <w:p w14:paraId="250CA4E5" w14:textId="77777777" w:rsidR="003D6C02" w:rsidRPr="00C13082" w:rsidRDefault="003D6C02" w:rsidP="006919F8">
      <w:pPr>
        <w:jc w:val="both"/>
        <w:rPr>
          <w:sz w:val="24"/>
          <w:szCs w:val="24"/>
          <w:lang w:val="fr-FR" w:bidi="ar-SA"/>
        </w:rPr>
      </w:pPr>
      <w:r w:rsidRPr="00C13082">
        <w:rPr>
          <w:sz w:val="24"/>
          <w:szCs w:val="24"/>
          <w:lang w:val="fr-FR" w:bidi="ar-SA"/>
        </w:rPr>
        <w:t xml:space="preserve">Question 33 : </w:t>
      </w:r>
      <w:r w:rsidR="006919F8" w:rsidRPr="00C13082">
        <w:rPr>
          <w:sz w:val="24"/>
          <w:szCs w:val="24"/>
          <w:lang w:val="fr-FR" w:bidi="ar-SA"/>
        </w:rPr>
        <w:t>Quel est le nombre de ces</w:t>
      </w:r>
      <w:r w:rsidRPr="00C13082">
        <w:rPr>
          <w:sz w:val="24"/>
          <w:szCs w:val="24"/>
          <w:lang w:val="fr-FR" w:bidi="ar-SA"/>
        </w:rPr>
        <w:t xml:space="preserve"> </w:t>
      </w:r>
      <w:r w:rsidR="006919F8" w:rsidRPr="00C13082">
        <w:rPr>
          <w:sz w:val="24"/>
          <w:szCs w:val="24"/>
          <w:lang w:val="fr-CH" w:bidi="ar-SA"/>
        </w:rPr>
        <w:t>cas individuels séparés</w:t>
      </w:r>
      <w:r w:rsidRPr="00C13082">
        <w:rPr>
          <w:sz w:val="24"/>
          <w:szCs w:val="24"/>
          <w:lang w:val="fr-FR" w:bidi="ar-SA"/>
        </w:rPr>
        <w:t xml:space="preserve">, </w:t>
      </w:r>
      <w:r w:rsidR="006919F8" w:rsidRPr="00C13082">
        <w:rPr>
          <w:sz w:val="24"/>
          <w:szCs w:val="24"/>
          <w:lang w:val="fr-FR" w:bidi="ar-SA"/>
        </w:rPr>
        <w:t>parmi eux</w:t>
      </w:r>
      <w:r w:rsidRPr="00C13082">
        <w:rPr>
          <w:sz w:val="24"/>
          <w:szCs w:val="24"/>
          <w:lang w:val="fr-FR" w:bidi="ar-SA"/>
        </w:rPr>
        <w:t xml:space="preserve"> combien sont d'origine sahraouie ?</w:t>
      </w:r>
    </w:p>
    <w:p w14:paraId="711EB5E3" w14:textId="77777777" w:rsidR="003D6C02" w:rsidRPr="00C13082" w:rsidRDefault="003D6C02" w:rsidP="003D6C02">
      <w:pPr>
        <w:jc w:val="both"/>
        <w:rPr>
          <w:sz w:val="24"/>
          <w:szCs w:val="24"/>
          <w:lang w:val="fr-FR" w:bidi="ar-SA"/>
        </w:rPr>
      </w:pPr>
      <w:r w:rsidRPr="00C13082">
        <w:rPr>
          <w:sz w:val="24"/>
          <w:szCs w:val="24"/>
          <w:lang w:val="fr-FR" w:bidi="ar-SA"/>
        </w:rPr>
        <w:lastRenderedPageBreak/>
        <w:t xml:space="preserve">Au même </w:t>
      </w:r>
      <w:r w:rsidRPr="00C13082">
        <w:rPr>
          <w:b/>
          <w:bCs/>
          <w:sz w:val="24"/>
          <w:szCs w:val="24"/>
          <w:lang w:val="fr-FR" w:bidi="ar-SA"/>
        </w:rPr>
        <w:t>point 111</w:t>
      </w:r>
      <w:r w:rsidRPr="00C13082">
        <w:rPr>
          <w:sz w:val="24"/>
          <w:szCs w:val="24"/>
          <w:lang w:val="fr-FR" w:bidi="ar-SA"/>
        </w:rPr>
        <w:t>, le rapport évoque une étroite collaboration avec les laboratoires de la Gendarmerie royale et de la police scientifique, avec un laboratoire international disposant d'une grande expérience dans les prélèvements d'ADN, qui a abouti à la signature, le 17 février 2009, d'un accord complémentaire protocole au protocole initial entre le CCDH et un laboratoire français de génétique.</w:t>
      </w:r>
    </w:p>
    <w:p w14:paraId="4234B75B" w14:textId="77777777" w:rsidR="003D6C02" w:rsidRPr="00C13082" w:rsidRDefault="003D6C02" w:rsidP="003D6C02">
      <w:pPr>
        <w:jc w:val="both"/>
        <w:rPr>
          <w:sz w:val="24"/>
          <w:szCs w:val="24"/>
          <w:lang w:val="fr-FR" w:bidi="ar-SA"/>
        </w:rPr>
      </w:pPr>
      <w:r w:rsidRPr="00C13082">
        <w:rPr>
          <w:sz w:val="24"/>
          <w:szCs w:val="24"/>
          <w:lang w:val="fr-FR" w:bidi="ar-SA"/>
        </w:rPr>
        <w:t>Question 34 : L'État partie peut-il donner le nom du laboratoire international et du laboratoire français de génétique mentionnés ?</w:t>
      </w:r>
    </w:p>
    <w:p w14:paraId="7B6AFB7E" w14:textId="77777777" w:rsidR="003D6C02" w:rsidRPr="00C13082" w:rsidRDefault="003D6C02" w:rsidP="003D6C02">
      <w:pPr>
        <w:jc w:val="both"/>
        <w:rPr>
          <w:sz w:val="24"/>
          <w:szCs w:val="24"/>
          <w:lang w:val="fr-FR" w:bidi="ar-SA"/>
        </w:rPr>
      </w:pPr>
      <w:r w:rsidRPr="00C13082">
        <w:rPr>
          <w:sz w:val="24"/>
          <w:szCs w:val="24"/>
          <w:lang w:val="fr-FR" w:bidi="ar-SA"/>
        </w:rPr>
        <w:t>Le rapport ajoute que "le transfert des échantillons concernés à l'étranger s'est effectué en deux temps : le premier lot le 20 avril 2009 et le second le 5 juillet 2009".</w:t>
      </w:r>
    </w:p>
    <w:p w14:paraId="523EFE05" w14:textId="77777777" w:rsidR="003D6C02" w:rsidRPr="00C13082" w:rsidRDefault="003D6C02" w:rsidP="003D6C02">
      <w:pPr>
        <w:jc w:val="both"/>
        <w:rPr>
          <w:sz w:val="24"/>
          <w:szCs w:val="24"/>
          <w:lang w:val="fr-FR" w:bidi="ar-SA"/>
        </w:rPr>
      </w:pPr>
      <w:r w:rsidRPr="00C13082">
        <w:rPr>
          <w:sz w:val="24"/>
          <w:szCs w:val="24"/>
          <w:lang w:val="fr-FR" w:bidi="ar-SA"/>
        </w:rPr>
        <w:t>Question 35 : L'État partie peut-il préciser le ou les pays étrangers concernés et si les proches ont donné leur consentement éclairé pour ledit transfert ?</w:t>
      </w:r>
    </w:p>
    <w:p w14:paraId="55A3D95C" w14:textId="77777777" w:rsidR="00D166E1" w:rsidRPr="00C13082" w:rsidRDefault="003D6C02" w:rsidP="003D6C02">
      <w:pPr>
        <w:jc w:val="both"/>
        <w:rPr>
          <w:sz w:val="24"/>
          <w:szCs w:val="24"/>
          <w:lang w:val="fr-FR" w:bidi="ar-SA"/>
        </w:rPr>
      </w:pPr>
      <w:r w:rsidRPr="00C13082">
        <w:rPr>
          <w:sz w:val="24"/>
          <w:szCs w:val="24"/>
          <w:lang w:val="fr-FR" w:bidi="ar-SA"/>
        </w:rPr>
        <w:t>Question 36 : Combien d'échantillons ont été envoyés à l'étranger et si parmi eux il y a des cas de victimes d'origine sahraouie ? Quels ont été les résultats des analyses ADN correspondantes effectuées à l'étranger ?</w:t>
      </w:r>
    </w:p>
    <w:p w14:paraId="09D68C92" w14:textId="77777777" w:rsidR="003D6C02" w:rsidRPr="00C13082" w:rsidRDefault="003D6C02" w:rsidP="003D6C02">
      <w:pPr>
        <w:jc w:val="both"/>
        <w:rPr>
          <w:b/>
          <w:bCs/>
          <w:spacing w:val="-3"/>
          <w:sz w:val="24"/>
          <w:szCs w:val="24"/>
          <w:lang w:val="fr-FR"/>
        </w:rPr>
      </w:pPr>
      <w:r w:rsidRPr="00C13082">
        <w:rPr>
          <w:b/>
          <w:bCs/>
          <w:spacing w:val="-3"/>
          <w:sz w:val="24"/>
          <w:szCs w:val="24"/>
          <w:lang w:val="fr-FR"/>
        </w:rPr>
        <w:t>Article 15 : Coopération en matière de lutte contre les disparitions forcées</w:t>
      </w:r>
    </w:p>
    <w:p w14:paraId="06DB70F8" w14:textId="77777777" w:rsidR="003D6C02" w:rsidRPr="00C13082" w:rsidRDefault="003D6C02" w:rsidP="003D6C02">
      <w:pPr>
        <w:jc w:val="both"/>
        <w:rPr>
          <w:sz w:val="24"/>
          <w:szCs w:val="24"/>
          <w:lang w:val="fr-FR" w:bidi="ar-SA"/>
        </w:rPr>
      </w:pPr>
      <w:r w:rsidRPr="00C13082">
        <w:rPr>
          <w:sz w:val="24"/>
          <w:szCs w:val="24"/>
          <w:lang w:val="fr-FR" w:bidi="ar-SA"/>
        </w:rPr>
        <w:t xml:space="preserve">Au </w:t>
      </w:r>
      <w:r w:rsidRPr="00C13082">
        <w:rPr>
          <w:b/>
          <w:bCs/>
          <w:sz w:val="24"/>
          <w:szCs w:val="24"/>
          <w:lang w:val="fr-FR" w:bidi="ar-SA"/>
        </w:rPr>
        <w:t>point 137</w:t>
      </w:r>
      <w:r w:rsidRPr="00C13082">
        <w:rPr>
          <w:sz w:val="24"/>
          <w:szCs w:val="24"/>
          <w:lang w:val="fr-FR" w:bidi="ar-SA"/>
        </w:rPr>
        <w:t>, le rapport reconnaît l'applicabilité des Conventions de Genève de 1949 et de ses Protocoles additionnels, protocoles signés par le Royaume du Maroc qui ont permis au Front POLISARIO d'adhérer auxdites Conventions, le 23 juin 2015, au Conseil Fédéral Suisse la déclaration unilatérale suivante (version originale en français) :</w:t>
      </w:r>
    </w:p>
    <w:p w14:paraId="2B8988DA" w14:textId="77777777" w:rsidR="003D6C02" w:rsidRPr="00C13082" w:rsidRDefault="003D6C02" w:rsidP="003D6C02">
      <w:pPr>
        <w:jc w:val="both"/>
        <w:rPr>
          <w:sz w:val="24"/>
          <w:szCs w:val="24"/>
          <w:lang w:val="fr-FR" w:bidi="ar-SA"/>
        </w:rPr>
      </w:pPr>
      <w:r w:rsidRPr="00C13082">
        <w:rPr>
          <w:sz w:val="24"/>
          <w:szCs w:val="24"/>
          <w:lang w:val="fr-FR" w:bidi="ar-SA"/>
        </w:rPr>
        <w:t>« Conformément à l'article 96.3 du Protocole additionnel aux Conventions de Genève du 12 août 1949 relatif à la protection des victimes des conflits armés internationaux (Protocole I) du 8 juin 1977, le Front POLISARIO, en tant qu'autorité représentant le peuple du Sahara occidental luttant pour son droit à disposer de lui-même, déclare s'engager à appliquer les Conventions de Genève de 1949 et le Protocole I dans le conflit l'opposant au Royaume du Maroc."</w:t>
      </w:r>
    </w:p>
    <w:p w14:paraId="5653D3DB" w14:textId="77777777" w:rsidR="003D6C02" w:rsidRPr="00C13082" w:rsidRDefault="003D6C02" w:rsidP="003D6C02">
      <w:pPr>
        <w:jc w:val="both"/>
        <w:rPr>
          <w:sz w:val="24"/>
          <w:szCs w:val="24"/>
          <w:lang w:val="fr-FR" w:bidi="ar-SA"/>
        </w:rPr>
      </w:pPr>
      <w:r w:rsidRPr="00C13082">
        <w:rPr>
          <w:sz w:val="24"/>
          <w:szCs w:val="24"/>
          <w:lang w:val="fr-FR" w:bidi="ar-SA"/>
        </w:rPr>
        <w:t>La confédération suisse a adressé, par l'intermédiaire du Département fédéral des affaires étrangères, la "Notification aux gouvernements des États parties aux Conventions de Genève du 12 août 1949 pour la protection des victimes de la guerre" sous la référence 242.512.0 - GEN 4/15.</w:t>
      </w:r>
    </w:p>
    <w:p w14:paraId="68F36F65" w14:textId="77777777" w:rsidR="003D6C02" w:rsidRPr="00C13082" w:rsidRDefault="003D6C02" w:rsidP="003D6C02">
      <w:pPr>
        <w:jc w:val="both"/>
        <w:rPr>
          <w:sz w:val="24"/>
          <w:szCs w:val="24"/>
          <w:lang w:val="fr-FR" w:bidi="ar-SA"/>
        </w:rPr>
      </w:pPr>
      <w:r w:rsidRPr="00C13082">
        <w:rPr>
          <w:sz w:val="24"/>
          <w:szCs w:val="24"/>
          <w:lang w:val="fr-FR" w:bidi="ar-SA"/>
        </w:rPr>
        <w:t>La notification considère que ladite déclaration a, à compter du 23 juin 2015, les effets prévus à l'article 96, paragraphe 3, du Protocole I.</w:t>
      </w:r>
    </w:p>
    <w:p w14:paraId="5E0552AD" w14:textId="77777777" w:rsidR="003D6C02" w:rsidRPr="00C13082" w:rsidRDefault="003D6C02" w:rsidP="003D6C02">
      <w:pPr>
        <w:jc w:val="both"/>
        <w:rPr>
          <w:sz w:val="24"/>
          <w:szCs w:val="24"/>
          <w:lang w:val="fr-FR" w:bidi="ar-SA"/>
        </w:rPr>
      </w:pPr>
      <w:r w:rsidRPr="00C13082">
        <w:rPr>
          <w:sz w:val="24"/>
          <w:szCs w:val="24"/>
          <w:lang w:val="fr-FR" w:bidi="ar-SA"/>
        </w:rPr>
        <w:lastRenderedPageBreak/>
        <w:t>Sur le même point, le rapport estime que le CICR serait en charge du dossier des "Marocains disparus au Maroc et en Algérie".</w:t>
      </w:r>
    </w:p>
    <w:p w14:paraId="0D41A0A6" w14:textId="77777777" w:rsidR="003D6C02" w:rsidRPr="00C13082" w:rsidRDefault="003D6C02" w:rsidP="006919F8">
      <w:pPr>
        <w:jc w:val="both"/>
        <w:rPr>
          <w:sz w:val="24"/>
          <w:szCs w:val="24"/>
          <w:lang w:val="fr-FR" w:bidi="ar-SA"/>
        </w:rPr>
      </w:pPr>
      <w:r w:rsidRPr="00C13082">
        <w:rPr>
          <w:sz w:val="24"/>
          <w:szCs w:val="24"/>
          <w:lang w:val="fr-FR" w:bidi="ar-SA"/>
        </w:rPr>
        <w:t>Question 37 : L'État partie inclut-il dans le terme "Marocains" les citoyens sahraouis qui n'ont pas encore exercé leur droit à l'autodétermination et à déterminer librement leur avenir, conformément aux accords signés entre le Royaume du Maroc et le Front POLISARIO sous les auspices de l'ONU et de l'Organisation de l'unité africaine (</w:t>
      </w:r>
      <w:r w:rsidR="006919F8" w:rsidRPr="00C13082">
        <w:rPr>
          <w:sz w:val="24"/>
          <w:szCs w:val="24"/>
          <w:lang w:val="fr-FR" w:bidi="ar-SA"/>
        </w:rPr>
        <w:t>actuellement</w:t>
      </w:r>
      <w:r w:rsidRPr="00C13082">
        <w:rPr>
          <w:sz w:val="24"/>
          <w:szCs w:val="24"/>
          <w:lang w:val="fr-FR" w:bidi="ar-SA"/>
        </w:rPr>
        <w:t xml:space="preserve"> Union africaine) ?</w:t>
      </w:r>
    </w:p>
    <w:p w14:paraId="29BCC611" w14:textId="77777777" w:rsidR="003D6C02" w:rsidRPr="00C13082" w:rsidRDefault="003D6C02" w:rsidP="003D6C02">
      <w:pPr>
        <w:jc w:val="both"/>
        <w:rPr>
          <w:sz w:val="24"/>
          <w:szCs w:val="24"/>
          <w:lang w:val="fr-FR" w:bidi="ar-SA"/>
        </w:rPr>
      </w:pPr>
      <w:r w:rsidRPr="00C13082">
        <w:rPr>
          <w:sz w:val="24"/>
          <w:szCs w:val="24"/>
          <w:lang w:val="fr-FR" w:bidi="ar-SA"/>
        </w:rPr>
        <w:t xml:space="preserve">En outre, ce </w:t>
      </w:r>
      <w:r w:rsidRPr="00C13082">
        <w:rPr>
          <w:b/>
          <w:bCs/>
          <w:sz w:val="24"/>
          <w:szCs w:val="24"/>
          <w:lang w:val="fr-FR" w:bidi="ar-SA"/>
        </w:rPr>
        <w:t>point 137</w:t>
      </w:r>
      <w:r w:rsidRPr="00C13082">
        <w:rPr>
          <w:sz w:val="24"/>
          <w:szCs w:val="24"/>
          <w:lang w:val="fr-FR" w:bidi="ar-SA"/>
        </w:rPr>
        <w:t xml:space="preserve"> fait référence « aux cas de disparition survenus dans le cadre du conflit armé dans les provinces du sud du Royaume ».</w:t>
      </w:r>
    </w:p>
    <w:p w14:paraId="4A0731C6" w14:textId="77777777" w:rsidR="003D6C02" w:rsidRPr="00C13082" w:rsidRDefault="003D6C02" w:rsidP="003D6C02">
      <w:pPr>
        <w:jc w:val="both"/>
        <w:rPr>
          <w:sz w:val="24"/>
          <w:szCs w:val="24"/>
          <w:lang w:val="fr-FR" w:bidi="ar-SA"/>
        </w:rPr>
      </w:pPr>
      <w:r w:rsidRPr="00C13082">
        <w:rPr>
          <w:sz w:val="24"/>
          <w:szCs w:val="24"/>
          <w:lang w:val="fr-FR" w:bidi="ar-SA"/>
        </w:rPr>
        <w:t xml:space="preserve">Question 38 : Quelle signification l'appellation « les provinces du sud du Royaume » a-t-elle pour l'État partie, s'agit-il des provinces du sud du Maroc telles qu'elles sont internationalement reconnues ou inclut-elle les provinces du Sahara Occidental : </w:t>
      </w:r>
      <w:proofErr w:type="spellStart"/>
      <w:r w:rsidRPr="00C13082">
        <w:rPr>
          <w:sz w:val="24"/>
          <w:szCs w:val="24"/>
          <w:lang w:val="fr-FR" w:bidi="ar-SA"/>
        </w:rPr>
        <w:t>Saguia</w:t>
      </w:r>
      <w:proofErr w:type="spellEnd"/>
      <w:r w:rsidRPr="00C13082">
        <w:rPr>
          <w:sz w:val="24"/>
          <w:szCs w:val="24"/>
          <w:lang w:val="fr-FR" w:bidi="ar-SA"/>
        </w:rPr>
        <w:t xml:space="preserve"> El </w:t>
      </w:r>
      <w:proofErr w:type="spellStart"/>
      <w:r w:rsidRPr="00C13082">
        <w:rPr>
          <w:sz w:val="24"/>
          <w:szCs w:val="24"/>
          <w:lang w:val="fr-FR" w:bidi="ar-SA"/>
        </w:rPr>
        <w:t>Hambra</w:t>
      </w:r>
      <w:proofErr w:type="spellEnd"/>
      <w:r w:rsidRPr="00C13082">
        <w:rPr>
          <w:sz w:val="24"/>
          <w:szCs w:val="24"/>
          <w:lang w:val="fr-FR" w:bidi="ar-SA"/>
        </w:rPr>
        <w:t xml:space="preserve"> et Rio de </w:t>
      </w:r>
      <w:proofErr w:type="spellStart"/>
      <w:r w:rsidRPr="00C13082">
        <w:rPr>
          <w:sz w:val="24"/>
          <w:szCs w:val="24"/>
          <w:lang w:val="fr-FR" w:bidi="ar-SA"/>
        </w:rPr>
        <w:t>Oro</w:t>
      </w:r>
      <w:proofErr w:type="spellEnd"/>
      <w:r w:rsidRPr="00C13082">
        <w:rPr>
          <w:sz w:val="24"/>
          <w:szCs w:val="24"/>
          <w:lang w:val="fr-FR" w:bidi="ar-SA"/>
        </w:rPr>
        <w:t>, occupées par les troupes marocaines respectivement en 1975 et 1979 ?</w:t>
      </w:r>
    </w:p>
    <w:p w14:paraId="110D4A3B" w14:textId="77777777" w:rsidR="003D6C02" w:rsidRPr="00C13082" w:rsidRDefault="003D6C02" w:rsidP="003D6C02">
      <w:pPr>
        <w:jc w:val="both"/>
        <w:rPr>
          <w:sz w:val="24"/>
          <w:szCs w:val="24"/>
          <w:lang w:val="fr-FR" w:bidi="ar-SA"/>
        </w:rPr>
      </w:pPr>
      <w:r w:rsidRPr="00C13082">
        <w:rPr>
          <w:sz w:val="24"/>
          <w:szCs w:val="24"/>
          <w:lang w:val="fr-FR" w:bidi="ar-SA"/>
        </w:rPr>
        <w:t>Toujours au point 137, l'État partie reconnaît que parmi les 427 cas qui lui ont été transmis par l'intermédiaire du CICR, « 121 civils sont morts en détention et 123 militaires sont morts dans des affrontements armés ».</w:t>
      </w:r>
    </w:p>
    <w:p w14:paraId="45E56FFB" w14:textId="77777777" w:rsidR="003D6C02" w:rsidRPr="00C13082" w:rsidRDefault="003D6C02" w:rsidP="003D6C02">
      <w:pPr>
        <w:jc w:val="both"/>
        <w:rPr>
          <w:sz w:val="24"/>
          <w:szCs w:val="24"/>
          <w:lang w:val="fr-FR" w:bidi="ar-SA"/>
        </w:rPr>
      </w:pPr>
      <w:r w:rsidRPr="00C13082">
        <w:rPr>
          <w:sz w:val="24"/>
          <w:szCs w:val="24"/>
          <w:lang w:val="fr-FR" w:bidi="ar-SA"/>
        </w:rPr>
        <w:t>Question 39 : Parmi ces présumés décédés, combien de personnes sont d'origine sahraouie ?</w:t>
      </w:r>
    </w:p>
    <w:p w14:paraId="0E05D304" w14:textId="77777777" w:rsidR="003D6C02" w:rsidRPr="00C13082" w:rsidRDefault="003D6C02" w:rsidP="006919F8">
      <w:pPr>
        <w:jc w:val="both"/>
        <w:rPr>
          <w:sz w:val="24"/>
          <w:szCs w:val="24"/>
          <w:lang w:val="fr-FR" w:bidi="ar-SA"/>
        </w:rPr>
      </w:pPr>
      <w:r w:rsidRPr="00C13082">
        <w:rPr>
          <w:sz w:val="24"/>
          <w:szCs w:val="24"/>
          <w:lang w:val="fr-FR" w:bidi="ar-SA"/>
        </w:rPr>
        <w:t xml:space="preserve">Question 40 : L'État partie peut-il détailler les investigations qui ont été menées pour déterminer l'identité des </w:t>
      </w:r>
      <w:r w:rsidR="006919F8" w:rsidRPr="00C13082">
        <w:rPr>
          <w:sz w:val="24"/>
          <w:szCs w:val="24"/>
          <w:lang w:val="fr-FR" w:bidi="ar-SA"/>
        </w:rPr>
        <w:t xml:space="preserve">corps </w:t>
      </w:r>
      <w:r w:rsidRPr="00C13082">
        <w:rPr>
          <w:sz w:val="24"/>
          <w:szCs w:val="24"/>
          <w:lang w:val="fr-FR" w:bidi="ar-SA"/>
        </w:rPr>
        <w:t>et si les extractions de données anthropologiques correspondantes ont été réalisées, ainsi que l'analyse génétique ?</w:t>
      </w:r>
    </w:p>
    <w:p w14:paraId="107D0A56" w14:textId="77777777" w:rsidR="003D6C02" w:rsidRPr="00C13082" w:rsidRDefault="003D6C02" w:rsidP="003D6C02">
      <w:pPr>
        <w:jc w:val="both"/>
        <w:rPr>
          <w:sz w:val="24"/>
          <w:szCs w:val="24"/>
          <w:lang w:val="fr-FR" w:bidi="ar-SA"/>
        </w:rPr>
      </w:pPr>
      <w:r w:rsidRPr="00C13082">
        <w:rPr>
          <w:sz w:val="24"/>
          <w:szCs w:val="24"/>
          <w:lang w:val="fr-FR" w:bidi="ar-SA"/>
        </w:rPr>
        <w:t>Question 41 : Parmi les corps identifiés, combien ont été rendus à leurs proches pour se conformer aux rituels religieux correspondants et mettre fin au deuil ?</w:t>
      </w:r>
    </w:p>
    <w:p w14:paraId="28023C77" w14:textId="77777777" w:rsidR="003D6C02" w:rsidRPr="00C13082" w:rsidRDefault="003D6C02" w:rsidP="003D6C02">
      <w:pPr>
        <w:jc w:val="both"/>
        <w:rPr>
          <w:sz w:val="24"/>
          <w:szCs w:val="24"/>
          <w:lang w:val="fr-FR" w:bidi="ar-SA"/>
        </w:rPr>
      </w:pPr>
      <w:r w:rsidRPr="00C13082">
        <w:rPr>
          <w:b/>
          <w:bCs/>
          <w:sz w:val="24"/>
          <w:szCs w:val="24"/>
          <w:lang w:val="fr-FR" w:bidi="ar-SA"/>
        </w:rPr>
        <w:t>Le point 139</w:t>
      </w:r>
      <w:r w:rsidRPr="00C13082">
        <w:rPr>
          <w:sz w:val="24"/>
          <w:szCs w:val="24"/>
          <w:lang w:val="fr-FR" w:bidi="ar-SA"/>
        </w:rPr>
        <w:t xml:space="preserve"> concerne les commissions rogatoires de l'étranger. A cet effet, plusieurs commissions rogatoires ont été envoyées par le Royaume d'Espagne au Royaume du Maroc dans le cadre de la plainte pénale pour génocide et torture contre le peuple sahraoui présentée devant la Cour nationale d'Espagne.</w:t>
      </w:r>
    </w:p>
    <w:p w14:paraId="78D6760C" w14:textId="77777777" w:rsidR="003D6C02" w:rsidRPr="00C13082" w:rsidRDefault="003D6C02" w:rsidP="003F4648">
      <w:pPr>
        <w:jc w:val="both"/>
        <w:rPr>
          <w:sz w:val="24"/>
          <w:szCs w:val="24"/>
          <w:lang w:val="fr-FR" w:bidi="ar-SA"/>
        </w:rPr>
      </w:pPr>
      <w:r w:rsidRPr="00C13082">
        <w:rPr>
          <w:sz w:val="24"/>
          <w:szCs w:val="24"/>
          <w:lang w:val="fr-FR" w:bidi="ar-SA"/>
        </w:rPr>
        <w:t>Question 42 : Quelles réponses l'État partie a-t-il données auxdites commissions rogatoires et s'il entend collaborer avec la justice espagnole en remettant les accusés dans l'</w:t>
      </w:r>
      <w:r w:rsidR="003F4648" w:rsidRPr="00C13082">
        <w:rPr>
          <w:sz w:val="24"/>
          <w:szCs w:val="24"/>
          <w:lang w:val="fr-FR" w:bidi="ar-SA"/>
        </w:rPr>
        <w:t>arrêt du</w:t>
      </w:r>
      <w:r w:rsidRPr="00C13082">
        <w:rPr>
          <w:sz w:val="24"/>
          <w:szCs w:val="24"/>
          <w:lang w:val="fr-FR" w:bidi="ar-SA"/>
        </w:rPr>
        <w:t xml:space="preserve"> 1/2015 du juge Pablo Ruz ?</w:t>
      </w:r>
    </w:p>
    <w:p w14:paraId="567B9BE0" w14:textId="77777777" w:rsidR="003D6C02" w:rsidRPr="00631554" w:rsidRDefault="003D6C02" w:rsidP="003D6C02">
      <w:pPr>
        <w:pStyle w:val="HChG"/>
        <w:rPr>
          <w:rtl/>
        </w:rPr>
      </w:pPr>
      <w:r w:rsidRPr="00631554">
        <w:lastRenderedPageBreak/>
        <w:t>Annexe II</w:t>
      </w:r>
      <w:r>
        <w:t xml:space="preserve"> du rapport intitulé « </w:t>
      </w:r>
      <w:r w:rsidRPr="00631554">
        <w:t>Bilan de la justice transitionnelle</w:t>
      </w:r>
      <w:r>
        <w:t> </w:t>
      </w:r>
      <w:proofErr w:type="gramStart"/>
      <w:r>
        <w:t>» ,</w:t>
      </w:r>
      <w:proofErr w:type="gramEnd"/>
      <w:r>
        <w:t xml:space="preserve"> </w:t>
      </w:r>
      <w:r w:rsidRPr="003D6C02">
        <w:t>différents cas de décès présumé sont reconnus.</w:t>
      </w:r>
    </w:p>
    <w:p w14:paraId="5F17C168" w14:textId="77777777" w:rsidR="003D6C02" w:rsidRPr="00C13082" w:rsidRDefault="003D6C02" w:rsidP="003D6C02">
      <w:pPr>
        <w:jc w:val="both"/>
        <w:rPr>
          <w:sz w:val="24"/>
          <w:szCs w:val="24"/>
          <w:lang w:val="fr-FR" w:bidi="ar-SA"/>
        </w:rPr>
      </w:pPr>
      <w:r w:rsidRPr="00C13082">
        <w:rPr>
          <w:sz w:val="24"/>
          <w:szCs w:val="24"/>
          <w:lang w:val="fr-FR" w:bidi="ar-SA"/>
        </w:rPr>
        <w:t>Question 43 : « Combien de ces personnes sont d'origine sahraouie et si leurs restes ont été rendus à leurs proches pour se conformer aux rituels religieux correspondants et mettre fin au deuil ?</w:t>
      </w:r>
    </w:p>
    <w:p w14:paraId="2D63953D" w14:textId="77777777" w:rsidR="003D6C02" w:rsidRPr="00C13082" w:rsidRDefault="003D6C02" w:rsidP="003F4648">
      <w:pPr>
        <w:jc w:val="both"/>
        <w:rPr>
          <w:sz w:val="24"/>
          <w:szCs w:val="24"/>
          <w:lang w:val="fr-FR" w:bidi="ar-SA"/>
        </w:rPr>
      </w:pPr>
      <w:r w:rsidRPr="00C13082">
        <w:rPr>
          <w:sz w:val="24"/>
          <w:szCs w:val="24"/>
          <w:lang w:val="fr-FR" w:bidi="ar-SA"/>
        </w:rPr>
        <w:t>Dans le cas précis des personnes qui seraient mortes lors d'affrontements armés, le rapport allègue que : « 144, dont 40 personnes qui ont perdu la vie sur le champ de bataille et ont été enterrées dans des lieux connus, 88 qui sont mortes dans différents a</w:t>
      </w:r>
      <w:r w:rsidR="003F4648" w:rsidRPr="00C13082">
        <w:rPr>
          <w:sz w:val="24"/>
          <w:szCs w:val="24"/>
          <w:lang w:val="fr-FR" w:bidi="ar-SA"/>
        </w:rPr>
        <w:t>ffrontements entre 1975 et 1989</w:t>
      </w:r>
      <w:r w:rsidRPr="00C13082">
        <w:rPr>
          <w:sz w:val="24"/>
          <w:szCs w:val="24"/>
          <w:lang w:val="fr-FR" w:bidi="ar-SA"/>
        </w:rPr>
        <w:t xml:space="preserve">, 12 dont l'identité n'a pas été déterminée car leurs corps ont été brûlés, dont 4 sont décédés des suites de blessures subies lors des affrontements, après avoir été </w:t>
      </w:r>
      <w:r w:rsidR="003F4648" w:rsidRPr="00C13082">
        <w:rPr>
          <w:sz w:val="24"/>
          <w:szCs w:val="24"/>
          <w:lang w:val="fr-FR" w:bidi="ar-SA"/>
        </w:rPr>
        <w:t xml:space="preserve">détenus </w:t>
      </w:r>
      <w:r w:rsidRPr="00C13082">
        <w:rPr>
          <w:sz w:val="24"/>
          <w:szCs w:val="24"/>
          <w:lang w:val="fr-FR" w:bidi="ar-SA"/>
        </w:rPr>
        <w:t>et hospitalisés. Ces quatre derniers ont été enterrés dans des tombes ordinaires.</w:t>
      </w:r>
    </w:p>
    <w:p w14:paraId="6061128F" w14:textId="77777777" w:rsidR="003D6C02" w:rsidRPr="00C13082" w:rsidRDefault="003D6C02" w:rsidP="003D6C02">
      <w:pPr>
        <w:jc w:val="both"/>
        <w:rPr>
          <w:sz w:val="24"/>
          <w:szCs w:val="24"/>
          <w:lang w:val="fr-FR" w:bidi="ar-SA"/>
        </w:rPr>
      </w:pPr>
      <w:r w:rsidRPr="00C13082">
        <w:rPr>
          <w:sz w:val="24"/>
          <w:szCs w:val="24"/>
          <w:lang w:val="fr-FR" w:bidi="ar-SA"/>
        </w:rPr>
        <w:t>Question 44 : L'État partie peut-il fournir une liste des 132 personnes identifiées ?</w:t>
      </w:r>
    </w:p>
    <w:p w14:paraId="0711EA25" w14:textId="77777777" w:rsidR="003D6C02" w:rsidRPr="00C13082" w:rsidRDefault="003D6C02" w:rsidP="003F4648">
      <w:pPr>
        <w:jc w:val="both"/>
        <w:rPr>
          <w:sz w:val="24"/>
          <w:szCs w:val="24"/>
          <w:lang w:val="fr-FR" w:bidi="ar-SA"/>
        </w:rPr>
      </w:pPr>
      <w:r w:rsidRPr="00C13082">
        <w:rPr>
          <w:sz w:val="24"/>
          <w:szCs w:val="24"/>
          <w:lang w:val="fr-FR" w:bidi="ar-SA"/>
        </w:rPr>
        <w:t>Question 45 : Sur les 88 personnes qui seraient mortes lors de différents affrontements entre 1975 et 1989, l'État partie dispose-t-il d'inform</w:t>
      </w:r>
      <w:r w:rsidR="003F4648" w:rsidRPr="00C13082">
        <w:rPr>
          <w:sz w:val="24"/>
          <w:szCs w:val="24"/>
          <w:lang w:val="fr-FR" w:bidi="ar-SA"/>
        </w:rPr>
        <w:t>ations sur d'éventuels lieux d’enterrement ou régions de sépulture</w:t>
      </w:r>
      <w:r w:rsidRPr="00C13082">
        <w:rPr>
          <w:sz w:val="24"/>
          <w:szCs w:val="24"/>
          <w:lang w:val="fr-FR" w:bidi="ar-SA"/>
        </w:rPr>
        <w:t>?</w:t>
      </w:r>
    </w:p>
    <w:p w14:paraId="55503A06" w14:textId="77777777" w:rsidR="003D6C02" w:rsidRPr="00C13082" w:rsidRDefault="003D6C02" w:rsidP="003D6C02">
      <w:pPr>
        <w:jc w:val="both"/>
        <w:rPr>
          <w:sz w:val="24"/>
          <w:szCs w:val="24"/>
          <w:lang w:val="fr-FR" w:bidi="ar-SA"/>
        </w:rPr>
      </w:pPr>
    </w:p>
    <w:p w14:paraId="01CED4F2" w14:textId="77777777" w:rsidR="003D6C02" w:rsidRPr="00C13082" w:rsidRDefault="003D6C02" w:rsidP="003D6C02">
      <w:pPr>
        <w:jc w:val="both"/>
        <w:rPr>
          <w:b/>
          <w:bCs/>
          <w:sz w:val="24"/>
          <w:szCs w:val="24"/>
          <w:lang w:val="fr-FR" w:bidi="ar-SA"/>
        </w:rPr>
      </w:pPr>
      <w:r w:rsidRPr="00C13082">
        <w:rPr>
          <w:b/>
          <w:bCs/>
          <w:sz w:val="24"/>
          <w:szCs w:val="24"/>
          <w:lang w:val="fr-FR" w:bidi="ar-SA"/>
        </w:rPr>
        <w:t>Conclusion :</w:t>
      </w:r>
    </w:p>
    <w:p w14:paraId="76CBF671" w14:textId="77777777" w:rsidR="003D6C02" w:rsidRPr="00C13082" w:rsidRDefault="007B4917" w:rsidP="007B4917">
      <w:pPr>
        <w:jc w:val="both"/>
        <w:rPr>
          <w:sz w:val="24"/>
          <w:szCs w:val="24"/>
          <w:lang w:val="fr-FR" w:bidi="ar-SA"/>
        </w:rPr>
      </w:pPr>
      <w:r w:rsidRPr="00C13082">
        <w:rPr>
          <w:sz w:val="24"/>
          <w:szCs w:val="24"/>
          <w:lang w:val="fr-FR" w:bidi="ar-SA"/>
        </w:rPr>
        <w:t>Tout en s</w:t>
      </w:r>
      <w:r w:rsidR="003D6C02" w:rsidRPr="00C13082">
        <w:rPr>
          <w:sz w:val="24"/>
          <w:szCs w:val="24"/>
          <w:lang w:val="fr-FR" w:bidi="ar-SA"/>
        </w:rPr>
        <w:t>ouhaitant que nos principales préoccupations et interrogations soient prises en compte, les organisations soussignées expriment leur haute considération.</w:t>
      </w:r>
    </w:p>
    <w:p w14:paraId="09BA458B" w14:textId="77777777" w:rsidR="00C13082" w:rsidRDefault="00C13082" w:rsidP="003D6C02">
      <w:pPr>
        <w:jc w:val="both"/>
        <w:rPr>
          <w:lang w:val="fr-FR" w:bidi="ar-SA"/>
        </w:rPr>
      </w:pPr>
    </w:p>
    <w:p w14:paraId="4A0A8CAF" w14:textId="77777777" w:rsidR="003D6C02" w:rsidRDefault="003D6C02" w:rsidP="003D6C02">
      <w:pPr>
        <w:jc w:val="both"/>
        <w:rPr>
          <w:lang w:val="fr-FR" w:bidi="ar-SA"/>
        </w:rPr>
      </w:pPr>
      <w:r>
        <w:rPr>
          <w:lang w:val="fr-FR" w:bidi="ar-SA"/>
        </w:rPr>
        <w:t>Signataires :</w:t>
      </w:r>
    </w:p>
    <w:p w14:paraId="11C3EF57" w14:textId="77777777" w:rsidR="003D6C02" w:rsidRPr="00C13082" w:rsidRDefault="003D6C02" w:rsidP="003D6C02">
      <w:pPr>
        <w:spacing w:after="160" w:line="259" w:lineRule="auto"/>
        <w:jc w:val="both"/>
        <w:rPr>
          <w:b/>
          <w:bCs/>
          <w:lang w:val="fr-FR"/>
        </w:rPr>
      </w:pPr>
      <w:r w:rsidRPr="00C13082">
        <w:rPr>
          <w:b/>
          <w:bCs/>
          <w:lang w:val="fr-FR"/>
        </w:rPr>
        <w:t xml:space="preserve">Christiane </w:t>
      </w:r>
      <w:proofErr w:type="spellStart"/>
      <w:r w:rsidRPr="00C13082">
        <w:rPr>
          <w:b/>
          <w:bCs/>
          <w:lang w:val="fr-FR"/>
        </w:rPr>
        <w:t>Perregaux</w:t>
      </w:r>
      <w:proofErr w:type="spellEnd"/>
      <w:r w:rsidRPr="00C13082">
        <w:rPr>
          <w:b/>
          <w:bCs/>
          <w:lang w:val="fr-FR"/>
        </w:rPr>
        <w:t xml:space="preserve">  </w:t>
      </w:r>
      <w:r w:rsidRPr="00C13082">
        <w:rPr>
          <w:b/>
          <w:bCs/>
          <w:lang w:val="fr-FR"/>
        </w:rPr>
        <w:tab/>
      </w:r>
      <w:r w:rsidRPr="00C13082">
        <w:rPr>
          <w:b/>
          <w:bCs/>
          <w:lang w:val="fr-FR"/>
        </w:rPr>
        <w:tab/>
      </w:r>
      <w:r w:rsidRPr="00C13082">
        <w:rPr>
          <w:b/>
          <w:bCs/>
          <w:lang w:val="fr-FR"/>
        </w:rPr>
        <w:tab/>
        <w:t xml:space="preserve">Abdeslam </w:t>
      </w:r>
      <w:proofErr w:type="spellStart"/>
      <w:r w:rsidRPr="00C13082">
        <w:rPr>
          <w:b/>
          <w:bCs/>
          <w:lang w:val="fr-FR"/>
        </w:rPr>
        <w:t>Aomar</w:t>
      </w:r>
      <w:proofErr w:type="spellEnd"/>
      <w:r w:rsidRPr="00C13082">
        <w:rPr>
          <w:b/>
          <w:bCs/>
          <w:lang w:val="fr-FR"/>
        </w:rPr>
        <w:t xml:space="preserve">  </w:t>
      </w:r>
      <w:proofErr w:type="spellStart"/>
      <w:r w:rsidRPr="00C13082">
        <w:rPr>
          <w:b/>
          <w:bCs/>
          <w:lang w:val="fr-FR"/>
        </w:rPr>
        <w:t>Lahsen</w:t>
      </w:r>
      <w:proofErr w:type="spellEnd"/>
      <w:r w:rsidRPr="00C13082">
        <w:rPr>
          <w:b/>
          <w:bCs/>
          <w:lang w:val="fr-FR"/>
        </w:rPr>
        <w:tab/>
      </w:r>
      <w:r w:rsidRPr="00C13082">
        <w:rPr>
          <w:b/>
          <w:bCs/>
          <w:lang w:val="fr-FR"/>
        </w:rPr>
        <w:tab/>
      </w:r>
      <w:proofErr w:type="spellStart"/>
      <w:r w:rsidRPr="00C13082">
        <w:rPr>
          <w:b/>
          <w:bCs/>
          <w:lang w:val="fr-FR"/>
        </w:rPr>
        <w:t>Bachri</w:t>
      </w:r>
      <w:proofErr w:type="spellEnd"/>
      <w:r w:rsidRPr="00C13082">
        <w:rPr>
          <w:b/>
          <w:bCs/>
          <w:lang w:val="fr-FR"/>
        </w:rPr>
        <w:t xml:space="preserve"> </w:t>
      </w:r>
      <w:proofErr w:type="spellStart"/>
      <w:r w:rsidRPr="00C13082">
        <w:rPr>
          <w:b/>
          <w:bCs/>
          <w:lang w:val="fr-FR"/>
        </w:rPr>
        <w:t>Bentaleb</w:t>
      </w:r>
      <w:proofErr w:type="spellEnd"/>
      <w:r w:rsidRPr="00C13082">
        <w:rPr>
          <w:b/>
          <w:bCs/>
          <w:lang w:val="fr-FR"/>
        </w:rPr>
        <w:tab/>
      </w:r>
    </w:p>
    <w:p w14:paraId="24C1A750" w14:textId="77777777" w:rsidR="003D6C02" w:rsidRPr="00C13082" w:rsidRDefault="003D6C02" w:rsidP="003D6C02">
      <w:pPr>
        <w:spacing w:after="160" w:line="259" w:lineRule="auto"/>
        <w:jc w:val="both"/>
        <w:rPr>
          <w:b/>
          <w:bCs/>
          <w:lang w:val="fr-FR"/>
        </w:rPr>
      </w:pPr>
      <w:r w:rsidRPr="00C13082">
        <w:rPr>
          <w:b/>
          <w:bCs/>
          <w:lang w:val="fr-FR"/>
        </w:rPr>
        <w:t>Présidente du BIRDHSO</w:t>
      </w:r>
      <w:r w:rsidRPr="00C13082">
        <w:rPr>
          <w:b/>
          <w:bCs/>
          <w:lang w:val="fr-FR"/>
        </w:rPr>
        <w:tab/>
      </w:r>
      <w:r w:rsidRPr="00C13082">
        <w:rPr>
          <w:b/>
          <w:bCs/>
          <w:lang w:val="fr-FR"/>
        </w:rPr>
        <w:tab/>
        <w:t xml:space="preserve"> </w:t>
      </w:r>
      <w:r w:rsidRPr="00C13082">
        <w:rPr>
          <w:b/>
          <w:bCs/>
          <w:lang w:val="fr-FR"/>
        </w:rPr>
        <w:tab/>
        <w:t xml:space="preserve"> Président de l’AFAPREDESA</w:t>
      </w:r>
      <w:r w:rsidRPr="00C13082">
        <w:rPr>
          <w:b/>
          <w:bCs/>
          <w:lang w:val="fr-FR"/>
        </w:rPr>
        <w:tab/>
      </w:r>
      <w:r w:rsidRPr="00C13082">
        <w:rPr>
          <w:b/>
          <w:bCs/>
          <w:lang w:val="fr-FR"/>
        </w:rPr>
        <w:tab/>
        <w:t>Président de l’ASVDH</w:t>
      </w:r>
    </w:p>
    <w:p w14:paraId="343C5F36" w14:textId="77777777" w:rsidR="003D6C02" w:rsidRPr="003D6C02" w:rsidRDefault="003D6C02" w:rsidP="003D6C02">
      <w:pPr>
        <w:spacing w:after="160" w:line="259" w:lineRule="auto"/>
        <w:jc w:val="both"/>
        <w:rPr>
          <w:lang w:val="fr-FR"/>
        </w:rPr>
      </w:pPr>
    </w:p>
    <w:p w14:paraId="0B1D6879" w14:textId="77777777" w:rsidR="003D6C02" w:rsidRPr="003D6C02" w:rsidRDefault="003D6C02" w:rsidP="003D6C02">
      <w:pPr>
        <w:jc w:val="both"/>
        <w:rPr>
          <w:lang w:val="fr-FR" w:bidi="ar-SA"/>
        </w:rPr>
      </w:pPr>
    </w:p>
    <w:sectPr w:rsidR="003D6C02" w:rsidRPr="003D6C02" w:rsidSect="008C32C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F1459" w14:textId="77777777" w:rsidR="00CE1F88" w:rsidRDefault="00CE1F88" w:rsidP="0074073E">
      <w:pPr>
        <w:spacing w:after="0" w:line="240" w:lineRule="auto"/>
      </w:pPr>
      <w:r>
        <w:separator/>
      </w:r>
    </w:p>
  </w:endnote>
  <w:endnote w:type="continuationSeparator" w:id="0">
    <w:p w14:paraId="03BE1074" w14:textId="77777777" w:rsidR="00CE1F88" w:rsidRDefault="00CE1F88" w:rsidP="0074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FC457" w14:textId="77777777" w:rsidR="00CE1F88" w:rsidRDefault="00CE1F88" w:rsidP="0074073E">
      <w:pPr>
        <w:spacing w:after="0" w:line="240" w:lineRule="auto"/>
      </w:pPr>
      <w:r>
        <w:separator/>
      </w:r>
    </w:p>
  </w:footnote>
  <w:footnote w:type="continuationSeparator" w:id="0">
    <w:p w14:paraId="74F0C8C0" w14:textId="77777777" w:rsidR="00CE1F88" w:rsidRDefault="00CE1F88" w:rsidP="0074073E">
      <w:pPr>
        <w:spacing w:after="0" w:line="240" w:lineRule="auto"/>
      </w:pPr>
      <w:r>
        <w:continuationSeparator/>
      </w:r>
    </w:p>
  </w:footnote>
  <w:footnote w:id="1">
    <w:p w14:paraId="79D473C9" w14:textId="77777777" w:rsidR="0074073E" w:rsidRPr="0074073E" w:rsidRDefault="0074073E" w:rsidP="0074073E">
      <w:pPr>
        <w:pStyle w:val="FootnoteText"/>
        <w:rPr>
          <w:lang w:val="fr-FR"/>
        </w:rPr>
      </w:pPr>
      <w:r>
        <w:rPr>
          <w:rStyle w:val="FootnoteReference"/>
        </w:rPr>
        <w:footnoteRef/>
      </w:r>
      <w:r w:rsidRPr="0074073E">
        <w:rPr>
          <w:lang w:val="fr-FR"/>
        </w:rPr>
        <w:t xml:space="preserve"> Le Sahara occidental, en tant que territoire non autonome, jouit des garanties et obligations prévues aux articles 73 et 74 de la Charte des Nations Unies.  </w:t>
      </w:r>
      <w:r>
        <w:rPr>
          <w:lang w:val="fr-FR"/>
        </w:rPr>
        <w:t xml:space="preserve">Voir : </w:t>
      </w:r>
      <w:hyperlink r:id="rId1" w:history="1">
        <w:r w:rsidR="00ED688E" w:rsidRPr="00090D11">
          <w:rPr>
            <w:rStyle w:val="Hyperlink"/>
            <w:lang w:val="fr-FR"/>
          </w:rPr>
          <w:t>https://www.un.org/fr/about-us/un-charter/chapter-11</w:t>
        </w:r>
      </w:hyperlink>
      <w:r w:rsidR="00ED688E">
        <w:rPr>
          <w:lang w:val="fr-FR"/>
        </w:rPr>
        <w:t xml:space="preserve"> </w:t>
      </w:r>
    </w:p>
  </w:footnote>
  <w:footnote w:id="2">
    <w:p w14:paraId="666AD43D" w14:textId="77777777" w:rsidR="0074073E" w:rsidRPr="0074073E" w:rsidRDefault="0074073E" w:rsidP="00ED688E">
      <w:pPr>
        <w:pStyle w:val="FootnoteText"/>
        <w:rPr>
          <w:lang w:val="fr-FR"/>
        </w:rPr>
      </w:pPr>
      <w:r>
        <w:rPr>
          <w:rStyle w:val="FootnoteReference"/>
        </w:rPr>
        <w:footnoteRef/>
      </w:r>
      <w:r w:rsidRPr="0074073E">
        <w:rPr>
          <w:lang w:val="fr-FR"/>
        </w:rPr>
        <w:t xml:space="preserve"> </w:t>
      </w:r>
      <w:r w:rsidR="00ED688E">
        <w:rPr>
          <w:lang w:val="fr-FR"/>
        </w:rPr>
        <w:t xml:space="preserve">Voir texte en français et en anglais : </w:t>
      </w:r>
      <w:hyperlink r:id="rId2" w:history="1">
        <w:r w:rsidR="00ED688E" w:rsidRPr="00ED688E">
          <w:rPr>
            <w:rStyle w:val="Hyperlink"/>
            <w:lang w:val="fr-FR"/>
          </w:rPr>
          <w:t>https://www.usc.gal/export9/sites/webinstitucional/gl/institutos/ceso/descargas/Avis_Advisory-Opinion_1975_fr-en.pdf</w:t>
        </w:r>
      </w:hyperlink>
      <w:r w:rsidR="00ED688E" w:rsidRPr="00ED688E">
        <w:rPr>
          <w:lang w:val="fr-FR"/>
        </w:rPr>
        <w:t xml:space="preserve"> </w:t>
      </w:r>
    </w:p>
  </w:footnote>
  <w:footnote w:id="3">
    <w:p w14:paraId="2B5D097E" w14:textId="77777777" w:rsidR="0074073E" w:rsidRPr="00ED688E" w:rsidRDefault="0074073E">
      <w:pPr>
        <w:pStyle w:val="FootnoteText"/>
        <w:rPr>
          <w:lang w:val="fr-FR"/>
        </w:rPr>
      </w:pPr>
      <w:r>
        <w:rPr>
          <w:rStyle w:val="FootnoteReference"/>
        </w:rPr>
        <w:footnoteRef/>
      </w:r>
      <w:r w:rsidRPr="00ED688E">
        <w:rPr>
          <w:lang w:val="fr-FR"/>
        </w:rPr>
        <w:t xml:space="preserve"> </w:t>
      </w:r>
      <w:r w:rsidR="00ED688E" w:rsidRPr="00ED688E">
        <w:rPr>
          <w:lang w:val="fr-FR"/>
        </w:rPr>
        <w:t>Voir toutes les résolutions de l'Assemblée générale de l'ONU sur la question du Sahara occidental :</w:t>
      </w:r>
      <w:r w:rsidR="00ED688E">
        <w:rPr>
          <w:lang w:val="fr-FR"/>
        </w:rPr>
        <w:t xml:space="preserve"> </w:t>
      </w:r>
      <w:hyperlink r:id="rId3" w:history="1">
        <w:r w:rsidR="00ED688E" w:rsidRPr="00090D11">
          <w:rPr>
            <w:rStyle w:val="Hyperlink"/>
            <w:lang w:val="fr-FR"/>
          </w:rPr>
          <w:t>https://www.usc.es/gl/institutos/ceso/res_onu_ag.html</w:t>
        </w:r>
      </w:hyperlink>
      <w:r w:rsidR="00ED688E">
        <w:rPr>
          <w:lang w:val="fr-FR"/>
        </w:rPr>
        <w:t xml:space="preserve"> </w:t>
      </w:r>
    </w:p>
  </w:footnote>
  <w:footnote w:id="4">
    <w:p w14:paraId="2B41FEBE" w14:textId="77777777" w:rsidR="0074073E" w:rsidRPr="00ED688E" w:rsidRDefault="0074073E" w:rsidP="00ED688E">
      <w:pPr>
        <w:pStyle w:val="FootnoteText"/>
        <w:rPr>
          <w:lang w:val="fr-FR"/>
        </w:rPr>
      </w:pPr>
      <w:r>
        <w:rPr>
          <w:rStyle w:val="FootnoteReference"/>
        </w:rPr>
        <w:footnoteRef/>
      </w:r>
      <w:r w:rsidRPr="00ED688E">
        <w:rPr>
          <w:lang w:val="fr-FR"/>
        </w:rPr>
        <w:t xml:space="preserve"> </w:t>
      </w:r>
      <w:r w:rsidR="00ED688E" w:rsidRPr="00ED688E">
        <w:rPr>
          <w:lang w:val="fr-FR"/>
        </w:rPr>
        <w:t>Voir toutes les résolutions du Conseil de sécurité</w:t>
      </w:r>
      <w:r w:rsidR="00ED688E">
        <w:rPr>
          <w:lang w:val="fr-FR"/>
        </w:rPr>
        <w:t xml:space="preserve"> </w:t>
      </w:r>
      <w:r w:rsidR="00ED688E" w:rsidRPr="00ED688E">
        <w:rPr>
          <w:lang w:val="fr-FR"/>
        </w:rPr>
        <w:t>sur la question du Sahara occidental:</w:t>
      </w:r>
      <w:r w:rsidR="00ED688E">
        <w:rPr>
          <w:lang w:val="fr-FR"/>
        </w:rPr>
        <w:t xml:space="preserve"> </w:t>
      </w:r>
      <w:hyperlink r:id="rId4" w:history="1">
        <w:r w:rsidR="00560A92" w:rsidRPr="00090D11">
          <w:rPr>
            <w:rStyle w:val="Hyperlink"/>
            <w:lang w:val="fr-FR"/>
          </w:rPr>
          <w:t>https://www.usc.es/gl/institutos/ceso/res_onu_cs.html</w:t>
        </w:r>
      </w:hyperlink>
      <w:r w:rsidR="00560A92">
        <w:rPr>
          <w:lang w:val="fr-FR"/>
        </w:rPr>
        <w:t xml:space="preserve"> </w:t>
      </w:r>
    </w:p>
  </w:footnote>
  <w:footnote w:id="5">
    <w:p w14:paraId="1DD67BF1" w14:textId="77777777" w:rsidR="0074073E" w:rsidRPr="00560A92" w:rsidRDefault="0074073E" w:rsidP="00560A92">
      <w:pPr>
        <w:pStyle w:val="FootnoteText"/>
        <w:rPr>
          <w:lang w:val="fr-FR"/>
        </w:rPr>
      </w:pPr>
      <w:r>
        <w:rPr>
          <w:rStyle w:val="FootnoteReference"/>
        </w:rPr>
        <w:footnoteRef/>
      </w:r>
      <w:r w:rsidRPr="00560A92">
        <w:rPr>
          <w:lang w:val="fr-FR"/>
        </w:rPr>
        <w:t xml:space="preserve"> </w:t>
      </w:r>
      <w:r w:rsidR="00560A92" w:rsidRPr="00560A92">
        <w:rPr>
          <w:lang w:val="fr-FR"/>
        </w:rPr>
        <w:t>Rapports du Secrétaire général de l'ONU sur la question du Sahara occidental :</w:t>
      </w:r>
      <w:r w:rsidR="00560A92">
        <w:rPr>
          <w:lang w:val="fr-FR"/>
        </w:rPr>
        <w:t xml:space="preserve"> </w:t>
      </w:r>
      <w:hyperlink r:id="rId5" w:history="1">
        <w:r w:rsidR="00560A92" w:rsidRPr="00090D11">
          <w:rPr>
            <w:rStyle w:val="Hyperlink"/>
            <w:lang w:val="fr-FR"/>
          </w:rPr>
          <w:t>https://www.usc.es/gl/institutos/ceso/informes_sg_ag.html</w:t>
        </w:r>
      </w:hyperlink>
      <w:r w:rsidR="00560A92">
        <w:rPr>
          <w:lang w:val="fr-FR"/>
        </w:rPr>
        <w:t xml:space="preserve"> </w:t>
      </w:r>
    </w:p>
  </w:footnote>
  <w:footnote w:id="6">
    <w:p w14:paraId="485D99E0" w14:textId="77777777" w:rsidR="0074073E" w:rsidRDefault="0074073E">
      <w:pPr>
        <w:pStyle w:val="FootnoteText"/>
        <w:rPr>
          <w:lang w:val="fr-FR"/>
        </w:rPr>
      </w:pPr>
      <w:r>
        <w:rPr>
          <w:rStyle w:val="FootnoteReference"/>
        </w:rPr>
        <w:footnoteRef/>
      </w:r>
      <w:r w:rsidRPr="00560A92">
        <w:rPr>
          <w:lang w:val="fr-FR"/>
        </w:rPr>
        <w:t xml:space="preserve"> </w:t>
      </w:r>
      <w:r w:rsidR="00B824E8">
        <w:rPr>
          <w:lang w:val="fr-FR"/>
        </w:rPr>
        <w:t>Rapports de Missions de l’ONU :</w:t>
      </w:r>
    </w:p>
    <w:p w14:paraId="49E51199" w14:textId="77777777" w:rsidR="00B824E8" w:rsidRDefault="00B824E8">
      <w:pPr>
        <w:pStyle w:val="FootnoteText"/>
        <w:rPr>
          <w:lang w:val="fr-FR"/>
        </w:rPr>
      </w:pPr>
      <w:r>
        <w:rPr>
          <w:lang w:val="fr-FR"/>
        </w:rPr>
        <w:t>1975 :</w:t>
      </w:r>
    </w:p>
    <w:p w14:paraId="73E0F1A5" w14:textId="77777777" w:rsidR="00F2627E" w:rsidRPr="00F2627E" w:rsidRDefault="00105834" w:rsidP="00F2627E">
      <w:pPr>
        <w:pStyle w:val="FootnoteText"/>
        <w:rPr>
          <w:lang w:val="fr-FR"/>
        </w:rPr>
      </w:pPr>
      <w:hyperlink r:id="rId6" w:history="1">
        <w:r w:rsidR="00F2627E" w:rsidRPr="00F2627E">
          <w:rPr>
            <w:rStyle w:val="Hyperlink"/>
            <w:lang w:val="fr-FR"/>
          </w:rPr>
          <w:t>http://www.sahararekinkoordinadora.org/uploads/public/UploadManager/Documentos/Documentos%20varios/Informe%20de%20la%20Misi%C3%B3n%20Visitadora%20(1975).pdf</w:t>
        </w:r>
      </w:hyperlink>
      <w:r w:rsidR="00F2627E" w:rsidRPr="00F2627E">
        <w:rPr>
          <w:lang w:val="fr-FR"/>
        </w:rPr>
        <w:t xml:space="preserve"> </w:t>
      </w:r>
    </w:p>
    <w:p w14:paraId="17A349B2" w14:textId="77777777" w:rsidR="00B824E8" w:rsidRDefault="00B824E8">
      <w:pPr>
        <w:pStyle w:val="FootnoteText"/>
        <w:rPr>
          <w:lang w:val="fr-FR"/>
        </w:rPr>
      </w:pPr>
      <w:r>
        <w:rPr>
          <w:lang w:val="fr-FR"/>
        </w:rPr>
        <w:t>1995 :</w:t>
      </w:r>
    </w:p>
    <w:p w14:paraId="6E4EE3CA" w14:textId="77777777" w:rsidR="00B824E8" w:rsidRPr="00560A92" w:rsidRDefault="00105834">
      <w:pPr>
        <w:pStyle w:val="FootnoteText"/>
        <w:rPr>
          <w:lang w:val="fr-FR"/>
        </w:rPr>
      </w:pPr>
      <w:hyperlink r:id="rId7" w:history="1">
        <w:r w:rsidR="00B824E8" w:rsidRPr="00DA6B01">
          <w:rPr>
            <w:rStyle w:val="Hyperlink"/>
            <w:lang w:val="fr-FR"/>
          </w:rPr>
          <w:t>https://documents-dds-ny.un.org/doc/UNDOC/GEN/N95/185/04/PDF/N9518504.pdf?OpenElement</w:t>
        </w:r>
      </w:hyperlink>
      <w:r w:rsidR="00B824E8">
        <w:rPr>
          <w:lang w:val="fr-FR"/>
        </w:rPr>
        <w:t xml:space="preserve"> </w:t>
      </w:r>
    </w:p>
  </w:footnote>
  <w:footnote w:id="7">
    <w:p w14:paraId="6385AA13" w14:textId="77777777" w:rsidR="0074073E" w:rsidRDefault="0074073E" w:rsidP="00F2627E">
      <w:pPr>
        <w:pStyle w:val="FootnoteText"/>
        <w:rPr>
          <w:lang w:val="fr-FR"/>
        </w:rPr>
      </w:pPr>
      <w:r>
        <w:rPr>
          <w:rStyle w:val="FootnoteReference"/>
        </w:rPr>
        <w:footnoteRef/>
      </w:r>
      <w:r w:rsidRPr="00F2627E">
        <w:rPr>
          <w:lang w:val="fr-FR"/>
        </w:rPr>
        <w:t xml:space="preserve"> </w:t>
      </w:r>
      <w:r w:rsidR="00F2627E">
        <w:rPr>
          <w:lang w:val="fr-FR"/>
        </w:rPr>
        <w:t>Voir le dernier</w:t>
      </w:r>
      <w:r w:rsidR="00F2627E" w:rsidRPr="00F2627E">
        <w:rPr>
          <w:lang w:val="fr-FR"/>
        </w:rPr>
        <w:t xml:space="preserve"> </w:t>
      </w:r>
      <w:r w:rsidR="00F2627E">
        <w:rPr>
          <w:lang w:val="fr-FR"/>
        </w:rPr>
        <w:t xml:space="preserve">arrêt en </w:t>
      </w:r>
      <w:r w:rsidR="00F2627E" w:rsidRPr="00F2627E">
        <w:rPr>
          <w:lang w:val="fr-FR"/>
        </w:rPr>
        <w:t>dat</w:t>
      </w:r>
      <w:r w:rsidR="00F2627E">
        <w:rPr>
          <w:lang w:val="fr-FR"/>
        </w:rPr>
        <w:t>e</w:t>
      </w:r>
      <w:r w:rsidR="00F2627E" w:rsidRPr="00F2627E">
        <w:rPr>
          <w:lang w:val="fr-FR"/>
        </w:rPr>
        <w:t xml:space="preserve"> du 29 septembre 2021 :</w:t>
      </w:r>
    </w:p>
    <w:p w14:paraId="19DA981C" w14:textId="77777777" w:rsidR="00F2627E" w:rsidRPr="00F2627E" w:rsidRDefault="00105834" w:rsidP="00F2627E">
      <w:pPr>
        <w:pStyle w:val="FootnoteText"/>
        <w:rPr>
          <w:lang w:val="fr-FR"/>
        </w:rPr>
      </w:pPr>
      <w:hyperlink r:id="rId8" w:history="1">
        <w:r w:rsidR="00F2627E" w:rsidRPr="00DA6B01">
          <w:rPr>
            <w:rStyle w:val="Hyperlink"/>
            <w:lang w:val="fr-FR"/>
          </w:rPr>
          <w:t>https://curia.europa.eu/juris/document/document.jsf?docid=246702&amp;text=&amp;dir=&amp;doclang=FR&amp;part=1&amp;occ=first&amp;mode=DOC&amp;pageIndex=0&amp;cid=14640725</w:t>
        </w:r>
      </w:hyperlink>
      <w:r w:rsidR="00F2627E">
        <w:rPr>
          <w:lang w:val="fr-FR"/>
        </w:rPr>
        <w:t xml:space="preserve"> </w:t>
      </w:r>
    </w:p>
  </w:footnote>
  <w:footnote w:id="8">
    <w:p w14:paraId="720A31A7" w14:textId="77777777" w:rsidR="00F2627E" w:rsidRPr="00F2627E" w:rsidRDefault="00F2627E">
      <w:pPr>
        <w:pStyle w:val="FootnoteText"/>
        <w:rPr>
          <w:lang w:val="fr-FR"/>
        </w:rPr>
      </w:pPr>
      <w:r>
        <w:rPr>
          <w:rStyle w:val="FootnoteReference"/>
        </w:rPr>
        <w:footnoteRef/>
      </w:r>
      <w:r w:rsidRPr="00F2627E">
        <w:rPr>
          <w:lang w:val="fr-FR"/>
        </w:rPr>
        <w:t xml:space="preserve"> </w:t>
      </w:r>
      <w:r>
        <w:rPr>
          <w:lang w:val="fr-FR"/>
        </w:rPr>
        <w:t>L’Acte Constitu</w:t>
      </w:r>
      <w:r w:rsidRPr="00B824E8">
        <w:rPr>
          <w:lang w:val="fr-FR"/>
        </w:rPr>
        <w:t>t</w:t>
      </w:r>
      <w:r>
        <w:rPr>
          <w:lang w:val="fr-FR"/>
        </w:rPr>
        <w:t>if</w:t>
      </w:r>
      <w:r w:rsidRPr="00B824E8">
        <w:rPr>
          <w:lang w:val="fr-FR"/>
        </w:rPr>
        <w:t xml:space="preserve"> de l'Union Africaine</w:t>
      </w:r>
      <w:r>
        <w:rPr>
          <w:lang w:val="fr-FR"/>
        </w:rPr>
        <w:t> </w:t>
      </w:r>
      <w:r>
        <w:rPr>
          <w:lang w:val="fr-FR"/>
        </w:rPr>
        <w:t xml:space="preserve">:  </w:t>
      </w:r>
      <w:hyperlink r:id="rId9" w:history="1">
        <w:r w:rsidRPr="00DA6B01">
          <w:rPr>
            <w:rStyle w:val="Hyperlink"/>
            <w:lang w:val="fr-FR"/>
          </w:rPr>
          <w:t>https://au.int/sites/default/files/pages/34873-file-constitutive_act_french-1.pdf</w:t>
        </w:r>
      </w:hyperlink>
      <w:r>
        <w:rPr>
          <w:lang w:val="fr-FR"/>
        </w:rPr>
        <w:t xml:space="preserve"> </w:t>
      </w:r>
    </w:p>
  </w:footnote>
  <w:footnote w:id="9">
    <w:p w14:paraId="0C1FB873" w14:textId="77777777" w:rsidR="00F2627E" w:rsidRPr="00F2627E" w:rsidRDefault="00F2627E" w:rsidP="00F2627E">
      <w:pPr>
        <w:pStyle w:val="FootnoteText"/>
        <w:rPr>
          <w:lang w:val="fr-FR"/>
        </w:rPr>
      </w:pPr>
      <w:r>
        <w:rPr>
          <w:rStyle w:val="FootnoteReference"/>
        </w:rPr>
        <w:footnoteRef/>
      </w:r>
      <w:r w:rsidRPr="00F2627E">
        <w:rPr>
          <w:lang w:val="fr-FR"/>
        </w:rPr>
        <w:t xml:space="preserve"> </w:t>
      </w:r>
      <w:r w:rsidRPr="00F2627E">
        <w:rPr>
          <w:b/>
          <w:bCs/>
          <w:lang w:val="fr-FR"/>
        </w:rPr>
        <w:t>Article premier commun aux deux pactes internationaux</w:t>
      </w:r>
      <w:r>
        <w:rPr>
          <w:b/>
          <w:bCs/>
          <w:lang w:val="fr-FR"/>
        </w:rPr>
        <w:t xml:space="preserve"> stipule que</w:t>
      </w:r>
      <w:r w:rsidRPr="00F2627E">
        <w:rPr>
          <w:b/>
          <w:bCs/>
          <w:lang w:val="fr-FR"/>
        </w:rPr>
        <w:t xml:space="preserve">: </w:t>
      </w:r>
    </w:p>
    <w:p w14:paraId="37F3D318" w14:textId="77777777" w:rsidR="00F2627E" w:rsidRPr="00F2627E" w:rsidRDefault="00F2627E" w:rsidP="004267B1">
      <w:pPr>
        <w:pStyle w:val="FootnoteText"/>
        <w:jc w:val="both"/>
        <w:rPr>
          <w:lang w:val="fr-FR"/>
        </w:rPr>
      </w:pPr>
      <w:r w:rsidRPr="00F2627E">
        <w:rPr>
          <w:lang w:val="fr-FR"/>
        </w:rPr>
        <w:t>1. Tous les peuples ont le droit de disposer d'eux-mêmes. En vertu de ce droit, ils déterminent librement leur statut politique et assurent librement leur développement économique, social et culturel.</w:t>
      </w:r>
    </w:p>
    <w:p w14:paraId="1FF605DB" w14:textId="77777777" w:rsidR="00F2627E" w:rsidRPr="00F2627E" w:rsidRDefault="00F2627E" w:rsidP="004267B1">
      <w:pPr>
        <w:pStyle w:val="FootnoteText"/>
        <w:jc w:val="both"/>
        <w:rPr>
          <w:lang w:val="fr-FR"/>
        </w:rPr>
      </w:pPr>
      <w:r w:rsidRPr="00F2627E">
        <w:rPr>
          <w:lang w:val="fr-FR"/>
        </w:rPr>
        <w:t>2. Pour atteindre leurs fins, tous les peuples peuvent disposer librement de leurs richesses et de leurs ressources naturelles, sans préjudice des obligations qui découlent de la coopération économique internationale, fondée sur le principe de l'intérêt mutuel, et du droit international. En aucun cas, un peuple ne pourra être privé de ses propres moyens de subsistance.</w:t>
      </w:r>
    </w:p>
    <w:p w14:paraId="3C4B56A2" w14:textId="77777777" w:rsidR="00F2627E" w:rsidRPr="00F2627E" w:rsidRDefault="00F2627E" w:rsidP="004267B1">
      <w:pPr>
        <w:pStyle w:val="FootnoteText"/>
        <w:jc w:val="both"/>
        <w:rPr>
          <w:lang w:val="fr-FR"/>
        </w:rPr>
      </w:pPr>
      <w:r w:rsidRPr="00F2627E">
        <w:rPr>
          <w:lang w:val="fr-FR"/>
        </w:rPr>
        <w:t>3. Les Etats parties au présent Pacte, y compris ceux qui ont la responsabilité d'administrer des territoires non autonomes et des territoires sous tutelle, sont tenus de faciliter la réalisation du droit des peuples à disposer d'eux-mêmes, et de respecter ce droit, conformément aux dispositions de la Charte des Nations Unies.</w:t>
      </w:r>
    </w:p>
  </w:footnote>
  <w:footnote w:id="10">
    <w:p w14:paraId="314767E8" w14:textId="77777777" w:rsidR="00A10495" w:rsidRPr="00892839" w:rsidRDefault="00A10495" w:rsidP="00A10495">
      <w:pPr>
        <w:pStyle w:val="FootnoteText"/>
        <w:jc w:val="both"/>
        <w:rPr>
          <w:lang w:val="en-US"/>
        </w:rPr>
      </w:pPr>
      <w:r>
        <w:rPr>
          <w:rStyle w:val="FootnoteReference"/>
        </w:rPr>
        <w:footnoteRef/>
      </w:r>
      <w:r w:rsidRPr="00892839">
        <w:rPr>
          <w:lang w:val="en-US"/>
        </w:rPr>
        <w:t xml:space="preserve"> </w:t>
      </w:r>
      <w:r w:rsidRPr="00892839">
        <w:rPr>
          <w:lang w:val="en-US"/>
        </w:rPr>
        <w:t>BROWNLIE. Ian. Principles of Public International Law. Oxford: Oxford</w:t>
      </w:r>
      <w:r>
        <w:rPr>
          <w:lang w:val="en-US"/>
        </w:rPr>
        <w:t xml:space="preserve"> University Press, 1998, p. 34 </w:t>
      </w:r>
    </w:p>
  </w:footnote>
  <w:footnote w:id="11">
    <w:p w14:paraId="1B6A0E11" w14:textId="77777777" w:rsidR="00E11AED" w:rsidRPr="00E11AED" w:rsidRDefault="00E11AED" w:rsidP="004267B1">
      <w:pPr>
        <w:pStyle w:val="FootnoteText"/>
        <w:jc w:val="both"/>
        <w:rPr>
          <w:lang w:val="fr-FR"/>
        </w:rPr>
      </w:pPr>
      <w:r>
        <w:rPr>
          <w:rStyle w:val="FootnoteReference"/>
        </w:rPr>
        <w:footnoteRef/>
      </w:r>
      <w:r w:rsidRPr="00E11AED">
        <w:rPr>
          <w:lang w:val="fr-FR"/>
        </w:rPr>
        <w:t xml:space="preserve"> Voir l'original publié par le Royaume du Maroc en arabe (voir annexe I traduction non officielle en espagnol) : </w:t>
      </w:r>
      <w:hyperlink r:id="rId10" w:history="1">
        <w:r w:rsidRPr="00DA6B01">
          <w:rPr>
            <w:rStyle w:val="Hyperlink"/>
            <w:lang w:val="fr-FR"/>
          </w:rPr>
          <w:t>www.ccdh.org.ma/IMG/pdf/annex_verite_.pdf</w:t>
        </w:r>
      </w:hyperlink>
      <w:r>
        <w:rPr>
          <w:lang w:val="fr-FR"/>
        </w:rPr>
        <w:t xml:space="preserve"> </w:t>
      </w:r>
    </w:p>
  </w:footnote>
  <w:footnote w:id="12">
    <w:p w14:paraId="4EAA7366" w14:textId="77777777" w:rsidR="00142F5C" w:rsidRPr="00142F5C" w:rsidRDefault="00142F5C" w:rsidP="004267B1">
      <w:pPr>
        <w:pStyle w:val="FootnoteText"/>
        <w:jc w:val="both"/>
        <w:rPr>
          <w:lang w:val="fr-FR"/>
        </w:rPr>
      </w:pPr>
      <w:r>
        <w:rPr>
          <w:rStyle w:val="FootnoteReference"/>
        </w:rPr>
        <w:footnoteRef/>
      </w:r>
      <w:r w:rsidRPr="00142F5C">
        <w:rPr>
          <w:lang w:val="fr-FR"/>
        </w:rPr>
        <w:t xml:space="preserve"> Dans ses rapports, le Groupe de travail rappelle que : La plupart des cas que le Groupe de travail a transmis au Gouvernement du Maroc se sont produits entre 1972 et 1980. Presque tous concernaient des personnes d'origine sahraouie qui auraient disparu dans les territoires occupés par les forces marocaines.</w:t>
      </w:r>
    </w:p>
  </w:footnote>
  <w:footnote w:id="13">
    <w:p w14:paraId="7C19E5FE" w14:textId="77777777" w:rsidR="00142F5C" w:rsidRPr="00142F5C" w:rsidRDefault="00142F5C">
      <w:pPr>
        <w:pStyle w:val="FootnoteText"/>
        <w:rPr>
          <w:lang w:val="fr-FR"/>
        </w:rPr>
      </w:pPr>
      <w:r>
        <w:rPr>
          <w:rStyle w:val="FootnoteReference"/>
        </w:rPr>
        <w:footnoteRef/>
      </w:r>
      <w:r w:rsidRPr="00E377D0">
        <w:rPr>
          <w:lang w:val="fr-FR"/>
        </w:rPr>
        <w:t xml:space="preserve"> Voir </w:t>
      </w:r>
      <w:r w:rsidRPr="00E377D0">
        <w:rPr>
          <w:lang w:val="fr-FR"/>
        </w:rPr>
        <w:t xml:space="preserve">AnnexeII resumé en français  </w:t>
      </w:r>
    </w:p>
  </w:footnote>
  <w:footnote w:id="14">
    <w:p w14:paraId="08994E98" w14:textId="77777777" w:rsidR="004267B1" w:rsidRPr="004267B1" w:rsidRDefault="004267B1" w:rsidP="00910B5B">
      <w:pPr>
        <w:pStyle w:val="FootnoteText"/>
        <w:jc w:val="both"/>
        <w:rPr>
          <w:lang w:val="fr-FR"/>
        </w:rPr>
      </w:pPr>
      <w:r>
        <w:rPr>
          <w:rStyle w:val="FootnoteReference"/>
        </w:rPr>
        <w:footnoteRef/>
      </w:r>
      <w:r w:rsidRPr="004267B1">
        <w:rPr>
          <w:lang w:val="fr-FR"/>
        </w:rPr>
        <w:t xml:space="preserve"> Dans ce cas, les lois qui prévalent dans le Royaume d'Espagne, compte tenu de sa condition de puissance </w:t>
      </w:r>
      <w:r w:rsidRPr="004267B1">
        <w:rPr>
          <w:lang w:val="fr-FR"/>
        </w:rPr>
        <w:t>administrante du territoire, comme en témoignent les résolutions et les rapports des Nations Unies su</w:t>
      </w:r>
      <w:r w:rsidR="00910B5B">
        <w:rPr>
          <w:lang w:val="fr-FR"/>
        </w:rPr>
        <w:t xml:space="preserve">r les territoires non autonomes ainsi que les sentences de la Cour Nationale Espagnole, notamment 40/2014 y 1/2015. </w:t>
      </w:r>
    </w:p>
  </w:footnote>
  <w:footnote w:id="15">
    <w:p w14:paraId="7C68C082" w14:textId="77777777" w:rsidR="004267B1" w:rsidRPr="004267B1" w:rsidRDefault="004267B1" w:rsidP="0096211C">
      <w:pPr>
        <w:pStyle w:val="FootnoteText"/>
        <w:rPr>
          <w:lang w:val="fr-FR"/>
        </w:rPr>
      </w:pPr>
      <w:r>
        <w:rPr>
          <w:rStyle w:val="FootnoteReference"/>
        </w:rPr>
        <w:footnoteRef/>
      </w:r>
      <w:r w:rsidRPr="004267B1">
        <w:rPr>
          <w:lang w:val="fr-FR"/>
        </w:rPr>
        <w:t xml:space="preserve"> </w:t>
      </w:r>
      <w:hyperlink r:id="rId11" w:history="1">
        <w:r w:rsidRPr="004267B1">
          <w:rPr>
            <w:rStyle w:val="Hyperlink"/>
            <w:lang w:val="fr-FR"/>
          </w:rPr>
          <w:t>https://www.ohchr.org/sites/default/files/Documents/Issues/Truth/CallLegacyColonialism/CSO/Group-of-Organizations-Western-Sahara-case-Annex.pdf</w:t>
        </w:r>
      </w:hyperlink>
      <w:r w:rsidRPr="004267B1">
        <w:rPr>
          <w:lang w:val="fr-FR"/>
        </w:rPr>
        <w:t xml:space="preserve"> </w:t>
      </w:r>
    </w:p>
  </w:footnote>
  <w:footnote w:id="16">
    <w:p w14:paraId="59AE2A45" w14:textId="77777777" w:rsidR="00C90753" w:rsidRPr="00C90753" w:rsidRDefault="00C90753" w:rsidP="00C90753">
      <w:pPr>
        <w:pStyle w:val="FootnoteText"/>
        <w:rPr>
          <w:lang w:val="fr-FR"/>
        </w:rPr>
      </w:pPr>
      <w:r>
        <w:rPr>
          <w:rStyle w:val="FootnoteReference"/>
        </w:rPr>
        <w:footnoteRef/>
      </w:r>
      <w:r w:rsidRPr="00C90753">
        <w:rPr>
          <w:lang w:val="fr-FR"/>
        </w:rPr>
        <w:t xml:space="preserve"> Voir l'original publié par le Royaume du Maroc en arabe (voir </w:t>
      </w:r>
      <w:r>
        <w:rPr>
          <w:lang w:val="fr-FR"/>
        </w:rPr>
        <w:t>A</w:t>
      </w:r>
      <w:r w:rsidRPr="00C90753">
        <w:rPr>
          <w:lang w:val="fr-FR"/>
        </w:rPr>
        <w:t xml:space="preserve">nnexe I traduction non officielle en espagnol) : </w:t>
      </w:r>
      <w:hyperlink r:id="rId12" w:history="1">
        <w:r w:rsidRPr="00990965">
          <w:rPr>
            <w:rStyle w:val="Hyperlink"/>
            <w:lang w:val="fr-FR"/>
          </w:rPr>
          <w:t>www.ccdh.org.ma/IMG/pdf/annex_verite_.pdf</w:t>
        </w:r>
      </w:hyperlink>
      <w:r>
        <w:rPr>
          <w:lang w:val="fr-FR"/>
        </w:rPr>
        <w:t xml:space="preserve"> </w:t>
      </w:r>
    </w:p>
  </w:footnote>
  <w:footnote w:id="17">
    <w:p w14:paraId="09987A67" w14:textId="77777777" w:rsidR="00C90753" w:rsidRPr="00C90753" w:rsidRDefault="00C90753" w:rsidP="00C90753">
      <w:pPr>
        <w:pStyle w:val="FootnoteText"/>
        <w:rPr>
          <w:lang w:val="fr-FR"/>
        </w:rPr>
      </w:pPr>
      <w:r>
        <w:rPr>
          <w:rStyle w:val="FootnoteReference"/>
        </w:rPr>
        <w:footnoteRef/>
      </w:r>
      <w:r w:rsidRPr="00C90753">
        <w:rPr>
          <w:lang w:val="fr-FR"/>
        </w:rPr>
        <w:t xml:space="preserve"> </w:t>
      </w:r>
      <w:r>
        <w:rPr>
          <w:lang w:val="fr-FR"/>
        </w:rPr>
        <w:t xml:space="preserve">Il s’agit du rapport du CCDH publié en 2010  </w:t>
      </w:r>
      <w:r w:rsidRPr="00C90753">
        <w:rPr>
          <w:lang w:val="fr-FR"/>
        </w:rPr>
        <w:t xml:space="preserve">Voir l'original </w:t>
      </w:r>
      <w:r>
        <w:rPr>
          <w:lang w:val="fr-FR"/>
        </w:rPr>
        <w:t xml:space="preserve">en </w:t>
      </w:r>
      <w:r w:rsidRPr="00C90753">
        <w:rPr>
          <w:lang w:val="fr-FR"/>
        </w:rPr>
        <w:t xml:space="preserve">arabe (voir </w:t>
      </w:r>
      <w:r>
        <w:rPr>
          <w:lang w:val="fr-FR"/>
        </w:rPr>
        <w:t>A</w:t>
      </w:r>
      <w:r w:rsidRPr="00C90753">
        <w:rPr>
          <w:lang w:val="fr-FR"/>
        </w:rPr>
        <w:t xml:space="preserve">nnexe I traduction non officielle en espagnol) : </w:t>
      </w:r>
      <w:hyperlink r:id="rId13" w:history="1">
        <w:r w:rsidRPr="00990965">
          <w:rPr>
            <w:rStyle w:val="Hyperlink"/>
            <w:lang w:val="fr-FR"/>
          </w:rPr>
          <w:t>www.ccdh.org.ma/IMG/pdf/annex_verite_.pdf</w:t>
        </w:r>
      </w:hyperlink>
      <w:r>
        <w:rPr>
          <w:lang w:val="fr-FR"/>
        </w:rPr>
        <w:t xml:space="preserve"> </w:t>
      </w:r>
    </w:p>
  </w:footnote>
  <w:footnote w:id="18">
    <w:p w14:paraId="399C7305" w14:textId="77777777" w:rsidR="00E377D0" w:rsidRPr="00E377D0" w:rsidRDefault="00E377D0">
      <w:pPr>
        <w:pStyle w:val="FootnoteText"/>
        <w:rPr>
          <w:lang w:val="en-US"/>
        </w:rPr>
      </w:pPr>
      <w:r>
        <w:rPr>
          <w:rStyle w:val="FootnoteReference"/>
        </w:rPr>
        <w:footnoteRef/>
      </w:r>
      <w:r>
        <w:t xml:space="preserve"> </w:t>
      </w:r>
      <w:r w:rsidR="005260D5">
        <w:t>Voir Annexe II</w:t>
      </w:r>
    </w:p>
  </w:footnote>
  <w:footnote w:id="19">
    <w:p w14:paraId="41F56A19" w14:textId="77777777" w:rsidR="00BA429B" w:rsidRPr="00BA429B" w:rsidRDefault="00BA429B">
      <w:pPr>
        <w:pStyle w:val="FootnoteText"/>
        <w:rPr>
          <w:lang w:val="fr-FR"/>
        </w:rPr>
      </w:pPr>
      <w:r>
        <w:rPr>
          <w:rStyle w:val="FootnoteReference"/>
        </w:rPr>
        <w:footnoteRef/>
      </w:r>
      <w:r w:rsidRPr="00BA429B">
        <w:rPr>
          <w:lang w:val="fr-FR"/>
        </w:rPr>
        <w:t xml:space="preserve"> </w:t>
      </w:r>
      <w:r w:rsidRPr="00C90753">
        <w:rPr>
          <w:lang w:val="fr-FR"/>
        </w:rPr>
        <w:t xml:space="preserve">Voir l'original publié par le Royaume du Maroc en arabe (voir </w:t>
      </w:r>
      <w:r>
        <w:rPr>
          <w:lang w:val="fr-FR"/>
        </w:rPr>
        <w:t>A</w:t>
      </w:r>
      <w:r w:rsidRPr="00C90753">
        <w:rPr>
          <w:lang w:val="fr-FR"/>
        </w:rPr>
        <w:t xml:space="preserve">nnexe I traduction non officielle en espagnol) : </w:t>
      </w:r>
      <w:hyperlink r:id="rId14" w:history="1">
        <w:r w:rsidRPr="00990965">
          <w:rPr>
            <w:rStyle w:val="Hyperlink"/>
            <w:lang w:val="fr-FR"/>
          </w:rPr>
          <w:t>www.ccdh.org.ma/IMG/pdf/annex_verite_.pdf</w:t>
        </w:r>
      </w:hyperlink>
    </w:p>
  </w:footnote>
  <w:footnote w:id="20">
    <w:p w14:paraId="7EF40E68" w14:textId="77777777" w:rsidR="00BA429B" w:rsidRPr="00BA429B" w:rsidRDefault="00BA429B">
      <w:pPr>
        <w:pStyle w:val="FootnoteText"/>
        <w:rPr>
          <w:lang w:val="fr-FR"/>
        </w:rPr>
      </w:pPr>
      <w:r>
        <w:rPr>
          <w:rStyle w:val="FootnoteReference"/>
        </w:rPr>
        <w:footnoteRef/>
      </w:r>
      <w:r w:rsidRPr="00BA429B">
        <w:rPr>
          <w:lang w:val="fr-FR"/>
        </w:rPr>
        <w:t xml:space="preserve"> Réponses données aux Nations Unies ; en 1999, suite à la médiation de l'Envoyé personnel du Secrétaire général de l'ONU, M. James Baker.</w:t>
      </w:r>
    </w:p>
  </w:footnote>
  <w:footnote w:id="21">
    <w:p w14:paraId="73D99700" w14:textId="77777777" w:rsidR="00CC2609" w:rsidRPr="00CC2609" w:rsidRDefault="00CC2609" w:rsidP="00CC2609">
      <w:pPr>
        <w:pStyle w:val="FootnoteText"/>
        <w:rPr>
          <w:lang w:val="fr-FR"/>
        </w:rPr>
      </w:pPr>
      <w:r>
        <w:rPr>
          <w:rStyle w:val="FootnoteReference"/>
        </w:rPr>
        <w:footnoteRef/>
      </w:r>
      <w:r w:rsidRPr="00CC2609">
        <w:rPr>
          <w:lang w:val="fr-FR"/>
        </w:rPr>
        <w:t xml:space="preserve"> Voir r</w:t>
      </w:r>
      <w:r>
        <w:rPr>
          <w:lang w:val="fr-FR"/>
        </w:rPr>
        <w:t>apport d’investigation version original en espagnol</w:t>
      </w:r>
      <w:r w:rsidRPr="00CC2609">
        <w:rPr>
          <w:lang w:val="fr-FR"/>
        </w:rPr>
        <w:t xml:space="preserve"> : « Les autres vols de la mort Bombardements de la population civile au Sahara Occidental » Auteurs : Carlos Martín </w:t>
      </w:r>
      <w:r w:rsidRPr="00CC2609">
        <w:rPr>
          <w:lang w:val="fr-FR"/>
        </w:rPr>
        <w:t>Beristain (Directeur), Antonio Martínez Torres, Alejandro Valencia Villa et Sergio Campo Lladó</w:t>
      </w:r>
      <w:r>
        <w:rPr>
          <w:lang w:val="fr-FR"/>
        </w:rPr>
        <w:t xml:space="preserve"> : </w:t>
      </w:r>
      <w:hyperlink r:id="rId15" w:history="1">
        <w:r w:rsidRPr="00CC2609">
          <w:rPr>
            <w:rStyle w:val="Hyperlink"/>
            <w:lang w:val="fr-FR"/>
          </w:rPr>
          <w:t>https://publicaciones.hegoa.ehu.eus/uploads/pdfs/273/Los_otros_vuelos_de_la_muerte.pdf?1488539844</w:t>
        </w:r>
      </w:hyperlink>
    </w:p>
    <w:p w14:paraId="7D82D880" w14:textId="77777777" w:rsidR="00CC2609" w:rsidRPr="00CC2609" w:rsidRDefault="00CC2609" w:rsidP="00CC2609">
      <w:pPr>
        <w:pStyle w:val="FootnoteText"/>
        <w:rPr>
          <w:lang w:val="fr-FR"/>
        </w:rPr>
      </w:pPr>
      <w:r w:rsidRPr="00CC2609">
        <w:rPr>
          <w:lang w:val="fr-FR"/>
        </w:rPr>
        <w:t xml:space="preserve">Voir résumé en espagnol et en anglais: </w:t>
      </w:r>
      <w:hyperlink r:id="rId16" w:history="1">
        <w:r w:rsidRPr="00D34C5D">
          <w:rPr>
            <w:rStyle w:val="Hyperlink"/>
            <w:lang w:val="fr-FR"/>
          </w:rPr>
          <w:t>https://publicaciones.hegoa.ehu.eus/uploads/pdfs/274/Resumen_castellano_e_ingles_Otros_Vuelos_de_la_Muerte.pdf?1488539844</w:t>
        </w:r>
      </w:hyperlink>
      <w:r>
        <w:rPr>
          <w:lang w:val="fr-FR"/>
        </w:rPr>
        <w:t xml:space="preserve"> </w:t>
      </w:r>
    </w:p>
  </w:footnote>
  <w:footnote w:id="22">
    <w:p w14:paraId="1FB8B04C" w14:textId="77777777" w:rsidR="00836A01" w:rsidRPr="00836A01" w:rsidRDefault="00836A01" w:rsidP="00836A01">
      <w:pPr>
        <w:pStyle w:val="FootnoteText"/>
        <w:rPr>
          <w:lang w:val="fr-FR"/>
        </w:rPr>
      </w:pPr>
      <w:r>
        <w:rPr>
          <w:rStyle w:val="FootnoteReference"/>
        </w:rPr>
        <w:footnoteRef/>
      </w:r>
      <w:r w:rsidRPr="00836A01">
        <w:rPr>
          <w:lang w:val="fr-FR"/>
        </w:rPr>
        <w:t xml:space="preserve"> Comme les récentes </w:t>
      </w:r>
      <w:r>
        <w:rPr>
          <w:lang w:val="fr-FR"/>
        </w:rPr>
        <w:t xml:space="preserve"> réclamations </w:t>
      </w:r>
      <w:r w:rsidRPr="00836A01">
        <w:rPr>
          <w:lang w:val="fr-FR"/>
        </w:rPr>
        <w:t xml:space="preserve"> du Premier ministre marocain : </w:t>
      </w:r>
      <w:hyperlink r:id="rId17" w:history="1">
        <w:r w:rsidRPr="00D34C5D">
          <w:rPr>
            <w:rStyle w:val="Hyperlink"/>
            <w:lang w:val="fr-FR"/>
          </w:rPr>
          <w:t>https://www.lavanguardia.com/politica/20201222/6140761/tension-marruecos-reclamacion-ceuta-melilla.html</w:t>
        </w:r>
      </w:hyperlink>
      <w:r>
        <w:rPr>
          <w:lang w:val="fr-FR"/>
        </w:rPr>
        <w:t xml:space="preserve"> </w:t>
      </w:r>
    </w:p>
  </w:footnote>
  <w:footnote w:id="23">
    <w:p w14:paraId="0B500896" w14:textId="77777777" w:rsidR="00435D0B" w:rsidRPr="00435D0B" w:rsidRDefault="00435D0B" w:rsidP="00435D0B">
      <w:pPr>
        <w:pStyle w:val="FootnoteText"/>
        <w:rPr>
          <w:lang w:val="fr-FR"/>
        </w:rPr>
      </w:pPr>
      <w:r>
        <w:rPr>
          <w:rStyle w:val="FootnoteReference"/>
        </w:rPr>
        <w:footnoteRef/>
      </w:r>
      <w:r w:rsidRPr="00435D0B">
        <w:rPr>
          <w:lang w:val="fr-FR"/>
        </w:rPr>
        <w:t xml:space="preserve"> </w:t>
      </w:r>
      <w:r>
        <w:rPr>
          <w:lang w:val="fr-FR"/>
        </w:rPr>
        <w:t xml:space="preserve">Voir rapport complet en espagnol : </w:t>
      </w:r>
      <w:hyperlink r:id="rId18" w:history="1">
        <w:r w:rsidRPr="00435D0B">
          <w:rPr>
            <w:rStyle w:val="Hyperlink"/>
            <w:lang w:val="fr-FR"/>
          </w:rPr>
          <w:t>https://multimedia.hegoa.ehu.eus/videos/30/Meheris._La_esperanza_posible.pdf</w:t>
        </w:r>
      </w:hyperlink>
      <w:r w:rsidRPr="00435D0B">
        <w:rPr>
          <w:lang w:val="fr-FR"/>
        </w:rPr>
        <w:t xml:space="preserve"> </w:t>
      </w:r>
    </w:p>
    <w:p w14:paraId="18662615" w14:textId="77777777" w:rsidR="00435D0B" w:rsidRPr="00435D0B" w:rsidRDefault="00435D0B">
      <w:pPr>
        <w:pStyle w:val="FootnoteText"/>
        <w:rPr>
          <w:lang w:val="fr-FR"/>
        </w:rPr>
      </w:pPr>
      <w:r>
        <w:rPr>
          <w:lang w:val="fr-FR"/>
        </w:rPr>
        <w:t xml:space="preserve">Et résumé en anglais, français et arabe : </w:t>
      </w:r>
      <w:hyperlink r:id="rId19" w:history="1">
        <w:r w:rsidRPr="00D34C5D">
          <w:rPr>
            <w:rStyle w:val="Hyperlink"/>
            <w:lang w:val="fr-FR"/>
          </w:rPr>
          <w:t>https://publicaciones.hegoa.ehu.eus/uploads/pdfs/235/Meheris_SUMMARY_%28Ingles_Frances_arabe%29.pdf?1488539792</w:t>
        </w:r>
      </w:hyperlink>
      <w:r>
        <w:rPr>
          <w:lang w:val="fr-FR"/>
        </w:rPr>
        <w:t xml:space="preserve"> </w:t>
      </w:r>
    </w:p>
  </w:footnote>
  <w:footnote w:id="24">
    <w:p w14:paraId="21CFA0F6" w14:textId="77777777" w:rsidR="0031378D" w:rsidRPr="0031378D" w:rsidRDefault="0031378D" w:rsidP="0031378D">
      <w:pPr>
        <w:pStyle w:val="FootnoteText"/>
        <w:rPr>
          <w:lang w:val="en-US"/>
        </w:rPr>
      </w:pPr>
      <w:r>
        <w:rPr>
          <w:rStyle w:val="FootnoteReference"/>
        </w:rPr>
        <w:footnoteRef/>
      </w:r>
      <w:r w:rsidRPr="0031378D">
        <w:rPr>
          <w:lang w:val="en-US"/>
        </w:rPr>
        <w:t xml:space="preserve"> </w:t>
      </w:r>
      <w:r>
        <w:rPr>
          <w:lang w:val="en-US"/>
        </w:rPr>
        <w:t>C</w:t>
      </w:r>
      <w:r w:rsidRPr="0031378D">
        <w:rPr>
          <w:lang w:val="en-US"/>
        </w:rPr>
        <w:t>NDH BRINGS CLARIFICATION TO DISCOVERY OF REMAINS OF EIGHT PERSONS IN FADRET LEGUIAA</w:t>
      </w:r>
      <w:r>
        <w:rPr>
          <w:lang w:val="en-US"/>
        </w:rPr>
        <w:t xml:space="preserve">: </w:t>
      </w:r>
      <w:hyperlink r:id="rId20" w:history="1">
        <w:r w:rsidRPr="00D34C5D">
          <w:rPr>
            <w:rStyle w:val="Hyperlink"/>
            <w:lang w:val="en-US"/>
          </w:rPr>
          <w:t>https://www.cndh.ma/ar/press-releases/cndh-brings-clarification-discovery-remains-eight-persons-fadret-leguiaa</w:t>
        </w:r>
      </w:hyperlink>
      <w:r>
        <w:rPr>
          <w:lang w:val="en-US"/>
        </w:rPr>
        <w:t xml:space="preserve"> </w:t>
      </w:r>
    </w:p>
    <w:p w14:paraId="355ED316" w14:textId="77777777" w:rsidR="0031378D" w:rsidRPr="0031378D" w:rsidRDefault="0031378D">
      <w:pPr>
        <w:pStyle w:val="FootnoteText"/>
        <w:rPr>
          <w:lang w:val="en-US"/>
        </w:rPr>
      </w:pPr>
    </w:p>
  </w:footnote>
  <w:footnote w:id="25">
    <w:p w14:paraId="11D4C50B" w14:textId="77777777" w:rsidR="005F2E49" w:rsidRPr="005F2E49" w:rsidRDefault="005F2E49">
      <w:pPr>
        <w:pStyle w:val="FootnoteText"/>
        <w:rPr>
          <w:lang w:val="fr-FR"/>
        </w:rPr>
      </w:pPr>
      <w:r>
        <w:rPr>
          <w:rStyle w:val="FootnoteReference"/>
        </w:rPr>
        <w:footnoteRef/>
      </w:r>
      <w:r w:rsidRPr="005F2E49">
        <w:rPr>
          <w:lang w:val="fr-FR"/>
        </w:rPr>
        <w:t xml:space="preserve"> Caser</w:t>
      </w:r>
      <w:r>
        <w:rPr>
          <w:lang w:val="fr-FR"/>
        </w:rPr>
        <w:t>ne Militaire près de la plage d’</w:t>
      </w:r>
      <w:r w:rsidRPr="005F2E49">
        <w:rPr>
          <w:lang w:val="fr-FR"/>
        </w:rPr>
        <w:t xml:space="preserve">El </w:t>
      </w:r>
      <w:r w:rsidRPr="005F2E49">
        <w:rPr>
          <w:lang w:val="fr-FR"/>
        </w:rPr>
        <w:t>Aaiun</w:t>
      </w:r>
      <w:r>
        <w:rPr>
          <w:lang w:val="fr-FR"/>
        </w:rPr>
        <w:t xml:space="preserve">. </w:t>
      </w:r>
    </w:p>
  </w:footnote>
  <w:footnote w:id="26">
    <w:p w14:paraId="2A97E681" w14:textId="77777777" w:rsidR="005F2E49" w:rsidRPr="005F2E49" w:rsidRDefault="005F2E49" w:rsidP="005F2E49">
      <w:pPr>
        <w:pStyle w:val="FootnoteText"/>
        <w:rPr>
          <w:lang w:val="fr-FR"/>
        </w:rPr>
      </w:pPr>
      <w:r>
        <w:rPr>
          <w:rStyle w:val="FootnoteReference"/>
        </w:rPr>
        <w:footnoteRef/>
      </w:r>
      <w:r w:rsidRPr="005F2E49">
        <w:rPr>
          <w:lang w:val="fr-FR"/>
        </w:rPr>
        <w:t xml:space="preserve"> Poste de Commandement des Compagnies Mobiles d’intervention.</w:t>
      </w:r>
    </w:p>
  </w:footnote>
  <w:footnote w:id="27">
    <w:p w14:paraId="20729C7C" w14:textId="77777777" w:rsidR="005F2E49" w:rsidRPr="005F2E49" w:rsidRDefault="005F2E49">
      <w:pPr>
        <w:pStyle w:val="FootnoteText"/>
        <w:rPr>
          <w:lang w:val="fr-FR"/>
        </w:rPr>
      </w:pPr>
      <w:r>
        <w:rPr>
          <w:rStyle w:val="FootnoteReference"/>
        </w:rPr>
        <w:footnoteRef/>
      </w:r>
      <w:r w:rsidRPr="005F2E49">
        <w:rPr>
          <w:lang w:val="fr-FR"/>
        </w:rPr>
        <w:t xml:space="preserve"> </w:t>
      </w:r>
      <w:r>
        <w:rPr>
          <w:lang w:val="fr-FR"/>
        </w:rPr>
        <w:t>Localité situé au sud</w:t>
      </w:r>
      <w:r w:rsidRPr="005F2E49">
        <w:rPr>
          <w:lang w:val="fr-FR"/>
        </w:rPr>
        <w:t xml:space="preserve">-ouest de Tan </w:t>
      </w:r>
      <w:r w:rsidRPr="005F2E49">
        <w:rPr>
          <w:lang w:val="fr-FR"/>
        </w:rPr>
        <w:t xml:space="preserve">Tan au sud du Maroc.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3694C"/>
    <w:multiLevelType w:val="hybridMultilevel"/>
    <w:tmpl w:val="C52E2A30"/>
    <w:lvl w:ilvl="0" w:tplc="829AEA28">
      <w:start w:val="1"/>
      <w:numFmt w:val="upperLetter"/>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5324BC"/>
    <w:multiLevelType w:val="hybridMultilevel"/>
    <w:tmpl w:val="6A6C26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F52372"/>
    <w:multiLevelType w:val="hybridMultilevel"/>
    <w:tmpl w:val="B7DE7516"/>
    <w:lvl w:ilvl="0" w:tplc="04090015">
      <w:start w:val="1"/>
      <w:numFmt w:val="upperLetter"/>
      <w:lvlText w:val="%1."/>
      <w:lvlJc w:val="left"/>
      <w:pPr>
        <w:ind w:left="720" w:hanging="360"/>
      </w:pPr>
      <w:rPr>
        <w:rFonts w:hint="default"/>
      </w:rPr>
    </w:lvl>
    <w:lvl w:ilvl="1" w:tplc="6B24DBF4">
      <w:numFmt w:val="bullet"/>
      <w:lvlText w:val="-"/>
      <w:lvlJc w:val="left"/>
      <w:pPr>
        <w:ind w:left="1440" w:hanging="360"/>
      </w:pPr>
      <w:rPr>
        <w:rFonts w:ascii="Calibri" w:eastAsiaTheme="minorHAnsi" w:hAnsi="Calibri"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B93383"/>
    <w:multiLevelType w:val="hybridMultilevel"/>
    <w:tmpl w:val="B4AE27DC"/>
    <w:lvl w:ilvl="0" w:tplc="19B6DBF2">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9A5C2E"/>
    <w:multiLevelType w:val="hybridMultilevel"/>
    <w:tmpl w:val="E0968C6E"/>
    <w:lvl w:ilvl="0" w:tplc="099A9B7E">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7A59FA"/>
    <w:multiLevelType w:val="hybridMultilevel"/>
    <w:tmpl w:val="469889EC"/>
    <w:lvl w:ilvl="0" w:tplc="F7FADF64">
      <w:start w:val="3"/>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6B7381"/>
    <w:multiLevelType w:val="hybridMultilevel"/>
    <w:tmpl w:val="6B9EECEA"/>
    <w:lvl w:ilvl="0" w:tplc="A57CEF2A">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73E"/>
    <w:rsid w:val="00063B44"/>
    <w:rsid w:val="00066E2B"/>
    <w:rsid w:val="00091FA8"/>
    <w:rsid w:val="000A4936"/>
    <w:rsid w:val="000B0A49"/>
    <w:rsid w:val="000E48A8"/>
    <w:rsid w:val="000E77BD"/>
    <w:rsid w:val="000F7F92"/>
    <w:rsid w:val="00105834"/>
    <w:rsid w:val="00130332"/>
    <w:rsid w:val="00142F5C"/>
    <w:rsid w:val="00151962"/>
    <w:rsid w:val="00160B70"/>
    <w:rsid w:val="00185A80"/>
    <w:rsid w:val="001A1F84"/>
    <w:rsid w:val="001E1047"/>
    <w:rsid w:val="001E726A"/>
    <w:rsid w:val="0020132C"/>
    <w:rsid w:val="0024393E"/>
    <w:rsid w:val="00244F2F"/>
    <w:rsid w:val="002616E5"/>
    <w:rsid w:val="00263B51"/>
    <w:rsid w:val="002926E5"/>
    <w:rsid w:val="002E1D4E"/>
    <w:rsid w:val="002F01C6"/>
    <w:rsid w:val="003107BA"/>
    <w:rsid w:val="0031378D"/>
    <w:rsid w:val="003224AF"/>
    <w:rsid w:val="0034179C"/>
    <w:rsid w:val="003453A1"/>
    <w:rsid w:val="003473CF"/>
    <w:rsid w:val="003711B8"/>
    <w:rsid w:val="0037786B"/>
    <w:rsid w:val="003811FE"/>
    <w:rsid w:val="00385043"/>
    <w:rsid w:val="003A35FF"/>
    <w:rsid w:val="003C6949"/>
    <w:rsid w:val="003D6C02"/>
    <w:rsid w:val="003E3E34"/>
    <w:rsid w:val="003F4648"/>
    <w:rsid w:val="00416135"/>
    <w:rsid w:val="00421159"/>
    <w:rsid w:val="004267B1"/>
    <w:rsid w:val="00435D0B"/>
    <w:rsid w:val="00442B9B"/>
    <w:rsid w:val="00474569"/>
    <w:rsid w:val="00487EC5"/>
    <w:rsid w:val="004970DF"/>
    <w:rsid w:val="004B1B8F"/>
    <w:rsid w:val="004D4D83"/>
    <w:rsid w:val="004D75CC"/>
    <w:rsid w:val="00517BF1"/>
    <w:rsid w:val="005260D5"/>
    <w:rsid w:val="00553895"/>
    <w:rsid w:val="00560A92"/>
    <w:rsid w:val="005822A8"/>
    <w:rsid w:val="005E4C97"/>
    <w:rsid w:val="005F1B35"/>
    <w:rsid w:val="005F1EE8"/>
    <w:rsid w:val="005F2E49"/>
    <w:rsid w:val="00626B9F"/>
    <w:rsid w:val="006600C9"/>
    <w:rsid w:val="006736D9"/>
    <w:rsid w:val="006826C3"/>
    <w:rsid w:val="006919F8"/>
    <w:rsid w:val="00704CA2"/>
    <w:rsid w:val="007370EE"/>
    <w:rsid w:val="0074073E"/>
    <w:rsid w:val="007477B1"/>
    <w:rsid w:val="00764935"/>
    <w:rsid w:val="0079024B"/>
    <w:rsid w:val="007B4917"/>
    <w:rsid w:val="007F2DE6"/>
    <w:rsid w:val="007F4793"/>
    <w:rsid w:val="00836A01"/>
    <w:rsid w:val="008762F0"/>
    <w:rsid w:val="00876F6B"/>
    <w:rsid w:val="0088055D"/>
    <w:rsid w:val="008C32CC"/>
    <w:rsid w:val="00910B5B"/>
    <w:rsid w:val="00934AA0"/>
    <w:rsid w:val="0096211C"/>
    <w:rsid w:val="00A10495"/>
    <w:rsid w:val="00A54FA5"/>
    <w:rsid w:val="00AA0F85"/>
    <w:rsid w:val="00AB16FC"/>
    <w:rsid w:val="00AE0916"/>
    <w:rsid w:val="00AE0DA3"/>
    <w:rsid w:val="00AE1B3F"/>
    <w:rsid w:val="00B121E5"/>
    <w:rsid w:val="00B3585C"/>
    <w:rsid w:val="00B40EEB"/>
    <w:rsid w:val="00B43034"/>
    <w:rsid w:val="00B64772"/>
    <w:rsid w:val="00B669EF"/>
    <w:rsid w:val="00B73A11"/>
    <w:rsid w:val="00B77AB6"/>
    <w:rsid w:val="00B824E8"/>
    <w:rsid w:val="00BA429B"/>
    <w:rsid w:val="00BD6345"/>
    <w:rsid w:val="00C13082"/>
    <w:rsid w:val="00C54A97"/>
    <w:rsid w:val="00C65EBC"/>
    <w:rsid w:val="00C90753"/>
    <w:rsid w:val="00C925FC"/>
    <w:rsid w:val="00CC2609"/>
    <w:rsid w:val="00CE1F88"/>
    <w:rsid w:val="00CF2130"/>
    <w:rsid w:val="00CF2953"/>
    <w:rsid w:val="00D166E1"/>
    <w:rsid w:val="00D47C02"/>
    <w:rsid w:val="00D47F3D"/>
    <w:rsid w:val="00D61446"/>
    <w:rsid w:val="00D7569A"/>
    <w:rsid w:val="00DF30A4"/>
    <w:rsid w:val="00E11AED"/>
    <w:rsid w:val="00E1496B"/>
    <w:rsid w:val="00E32336"/>
    <w:rsid w:val="00E377D0"/>
    <w:rsid w:val="00E64C10"/>
    <w:rsid w:val="00E651D7"/>
    <w:rsid w:val="00E665AB"/>
    <w:rsid w:val="00E73ABF"/>
    <w:rsid w:val="00E802D0"/>
    <w:rsid w:val="00E92EC0"/>
    <w:rsid w:val="00E96438"/>
    <w:rsid w:val="00E9762F"/>
    <w:rsid w:val="00ED688E"/>
    <w:rsid w:val="00EF47E1"/>
    <w:rsid w:val="00F2627E"/>
    <w:rsid w:val="00FA2006"/>
    <w:rsid w:val="00FC0EC8"/>
    <w:rsid w:val="00FF33DF"/>
    <w:rsid w:val="00FF5032"/>
    <w:rsid w:val="00FF5B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4D3EE"/>
  <w15:docId w15:val="{273435FC-DAE7-4868-892A-241ADB076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2CC"/>
    <w:rPr>
      <w:lang w:val="es-ES" w:bidi="ar-DZ"/>
    </w:rPr>
  </w:style>
  <w:style w:type="paragraph" w:styleId="Heading1">
    <w:name w:val="heading 1"/>
    <w:basedOn w:val="Normal"/>
    <w:next w:val="Normal"/>
    <w:link w:val="Heading1Char"/>
    <w:uiPriority w:val="9"/>
    <w:qFormat/>
    <w:rsid w:val="003137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4073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073E"/>
    <w:rPr>
      <w:sz w:val="20"/>
      <w:szCs w:val="20"/>
      <w:lang w:val="es-ES" w:bidi="ar-DZ"/>
    </w:rPr>
  </w:style>
  <w:style w:type="character" w:styleId="FootnoteReference">
    <w:name w:val="footnote reference"/>
    <w:basedOn w:val="DefaultParagraphFont"/>
    <w:uiPriority w:val="99"/>
    <w:semiHidden/>
    <w:unhideWhenUsed/>
    <w:rsid w:val="0074073E"/>
    <w:rPr>
      <w:vertAlign w:val="superscript"/>
    </w:rPr>
  </w:style>
  <w:style w:type="character" w:styleId="Hyperlink">
    <w:name w:val="Hyperlink"/>
    <w:basedOn w:val="DefaultParagraphFont"/>
    <w:uiPriority w:val="99"/>
    <w:unhideWhenUsed/>
    <w:rsid w:val="00ED688E"/>
    <w:rPr>
      <w:color w:val="0000FF" w:themeColor="hyperlink"/>
      <w:u w:val="single"/>
    </w:rPr>
  </w:style>
  <w:style w:type="paragraph" w:styleId="NormalWeb">
    <w:name w:val="Normal (Web)"/>
    <w:basedOn w:val="Normal"/>
    <w:uiPriority w:val="99"/>
    <w:semiHidden/>
    <w:unhideWhenUsed/>
    <w:rsid w:val="00F2627E"/>
    <w:rPr>
      <w:rFonts w:ascii="Times New Roman" w:hAnsi="Times New Roman" w:cs="Times New Roman"/>
      <w:sz w:val="24"/>
      <w:szCs w:val="24"/>
    </w:rPr>
  </w:style>
  <w:style w:type="paragraph" w:styleId="ListParagraph">
    <w:name w:val="List Paragraph"/>
    <w:basedOn w:val="Normal"/>
    <w:uiPriority w:val="34"/>
    <w:qFormat/>
    <w:rsid w:val="00C54A97"/>
    <w:pPr>
      <w:ind w:left="720"/>
      <w:contextualSpacing/>
    </w:pPr>
  </w:style>
  <w:style w:type="paragraph" w:customStyle="1" w:styleId="HChG">
    <w:name w:val="_ H _Ch_G"/>
    <w:basedOn w:val="Normal"/>
    <w:next w:val="Normal"/>
    <w:link w:val="HChGChar"/>
    <w:qFormat/>
    <w:rsid w:val="00142F5C"/>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ascii="Times New Roman" w:hAnsi="Times New Roman" w:cs="Times New Roman"/>
      <w:b/>
      <w:sz w:val="28"/>
      <w:szCs w:val="20"/>
      <w:lang w:val="fr-CH" w:bidi="ar-SA"/>
    </w:rPr>
  </w:style>
  <w:style w:type="character" w:customStyle="1" w:styleId="HChGChar">
    <w:name w:val="_ H _Ch_G Char"/>
    <w:link w:val="HChG"/>
    <w:rsid w:val="00142F5C"/>
    <w:rPr>
      <w:rFonts w:ascii="Times New Roman" w:hAnsi="Times New Roman" w:cs="Times New Roman"/>
      <w:b/>
      <w:sz w:val="28"/>
      <w:szCs w:val="20"/>
      <w:lang w:val="fr-CH"/>
    </w:rPr>
  </w:style>
  <w:style w:type="paragraph" w:customStyle="1" w:styleId="H1G">
    <w:name w:val="_ H_1_G"/>
    <w:basedOn w:val="Normal"/>
    <w:next w:val="Normal"/>
    <w:link w:val="H1GChar"/>
    <w:qFormat/>
    <w:rsid w:val="00BD6345"/>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ascii="Times New Roman" w:hAnsi="Times New Roman" w:cs="Times New Roman"/>
      <w:b/>
      <w:sz w:val="24"/>
      <w:szCs w:val="20"/>
      <w:lang w:val="fr-CH" w:bidi="ar-SA"/>
    </w:rPr>
  </w:style>
  <w:style w:type="character" w:customStyle="1" w:styleId="H1GChar">
    <w:name w:val="_ H_1_G Char"/>
    <w:link w:val="H1G"/>
    <w:locked/>
    <w:rsid w:val="00BD6345"/>
    <w:rPr>
      <w:rFonts w:ascii="Times New Roman" w:hAnsi="Times New Roman" w:cs="Times New Roman"/>
      <w:b/>
      <w:sz w:val="24"/>
      <w:szCs w:val="20"/>
      <w:lang w:val="fr-CH"/>
    </w:rPr>
  </w:style>
  <w:style w:type="character" w:customStyle="1" w:styleId="Heading1Char">
    <w:name w:val="Heading 1 Char"/>
    <w:basedOn w:val="DefaultParagraphFont"/>
    <w:link w:val="Heading1"/>
    <w:uiPriority w:val="9"/>
    <w:rsid w:val="0031378D"/>
    <w:rPr>
      <w:rFonts w:asciiTheme="majorHAnsi" w:eastAsiaTheme="majorEastAsia" w:hAnsiTheme="majorHAnsi" w:cstheme="majorBidi"/>
      <w:b/>
      <w:bCs/>
      <w:color w:val="365F91" w:themeColor="accent1" w:themeShade="BF"/>
      <w:sz w:val="28"/>
      <w:szCs w:val="28"/>
      <w:lang w:val="es-ES" w:bidi="ar-DZ"/>
    </w:rPr>
  </w:style>
  <w:style w:type="table" w:styleId="TableGrid">
    <w:name w:val="Table Grid"/>
    <w:basedOn w:val="TableNormal"/>
    <w:uiPriority w:val="59"/>
    <w:rsid w:val="00704C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04C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4CA2"/>
    <w:rPr>
      <w:rFonts w:ascii="Tahoma" w:hAnsi="Tahoma" w:cs="Tahoma"/>
      <w:sz w:val="16"/>
      <w:szCs w:val="16"/>
      <w:lang w:val="es-ES" w:bidi="ar-D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4402196">
      <w:bodyDiv w:val="1"/>
      <w:marLeft w:val="0"/>
      <w:marRight w:val="0"/>
      <w:marTop w:val="0"/>
      <w:marBottom w:val="0"/>
      <w:divBdr>
        <w:top w:val="none" w:sz="0" w:space="0" w:color="auto"/>
        <w:left w:val="none" w:sz="0" w:space="0" w:color="auto"/>
        <w:bottom w:val="none" w:sz="0" w:space="0" w:color="auto"/>
        <w:right w:val="none" w:sz="0" w:space="0" w:color="auto"/>
      </w:divBdr>
    </w:div>
    <w:div w:id="1085496357">
      <w:bodyDiv w:val="1"/>
      <w:marLeft w:val="0"/>
      <w:marRight w:val="0"/>
      <w:marTop w:val="0"/>
      <w:marBottom w:val="0"/>
      <w:divBdr>
        <w:top w:val="none" w:sz="0" w:space="0" w:color="auto"/>
        <w:left w:val="none" w:sz="0" w:space="0" w:color="auto"/>
        <w:bottom w:val="none" w:sz="0" w:space="0" w:color="auto"/>
        <w:right w:val="none" w:sz="0" w:space="0" w:color="auto"/>
      </w:divBdr>
    </w:div>
    <w:div w:id="1089889535">
      <w:bodyDiv w:val="1"/>
      <w:marLeft w:val="0"/>
      <w:marRight w:val="0"/>
      <w:marTop w:val="0"/>
      <w:marBottom w:val="0"/>
      <w:divBdr>
        <w:top w:val="none" w:sz="0" w:space="0" w:color="auto"/>
        <w:left w:val="none" w:sz="0" w:space="0" w:color="auto"/>
        <w:bottom w:val="none" w:sz="0" w:space="0" w:color="auto"/>
        <w:right w:val="none" w:sz="0" w:space="0" w:color="auto"/>
      </w:divBdr>
    </w:div>
    <w:div w:id="1449928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curia.europa.eu/juris/document/document.jsf?docid=246702&amp;text=&amp;dir=&amp;doclang=FR&amp;part=1&amp;occ=first&amp;mode=DOC&amp;pageIndex=0&amp;cid=14640725" TargetMode="External"/><Relationship Id="rId13" Type="http://schemas.openxmlformats.org/officeDocument/2006/relationships/hyperlink" Target="http://www.ccdh.org.ma/IMG/pdf/annex_verite_.pdf" TargetMode="External"/><Relationship Id="rId18" Type="http://schemas.openxmlformats.org/officeDocument/2006/relationships/hyperlink" Target="https://multimedia.hegoa.ehu.eus/videos/30/Meheris._La_esperanza_posible.pdf" TargetMode="External"/><Relationship Id="rId3" Type="http://schemas.openxmlformats.org/officeDocument/2006/relationships/hyperlink" Target="https://www.usc.es/gl/institutos/ceso/res_onu_ag.html" TargetMode="External"/><Relationship Id="rId7" Type="http://schemas.openxmlformats.org/officeDocument/2006/relationships/hyperlink" Target="https://documents-dds-ny.un.org/doc/UNDOC/GEN/N95/185/04/PDF/N9518504.pdf?OpenElement" TargetMode="External"/><Relationship Id="rId12" Type="http://schemas.openxmlformats.org/officeDocument/2006/relationships/hyperlink" Target="http://www.ccdh.org.ma/IMG/pdf/annex_verite_.pdf" TargetMode="External"/><Relationship Id="rId17" Type="http://schemas.openxmlformats.org/officeDocument/2006/relationships/hyperlink" Target="https://www.lavanguardia.com/politica/20201222/6140761/tension-marruecos-reclamacion-ceuta-melilla.html" TargetMode="External"/><Relationship Id="rId2" Type="http://schemas.openxmlformats.org/officeDocument/2006/relationships/hyperlink" Target="https://www.usc.gal/export9/sites/webinstitucional/gl/institutos/ceso/descargas/Avis_Advisory-Opinion_1975_fr-en.pdf" TargetMode="External"/><Relationship Id="rId16" Type="http://schemas.openxmlformats.org/officeDocument/2006/relationships/hyperlink" Target="https://publicaciones.hegoa.ehu.eus/uploads/pdfs/274/Resumen_castellano_e_ingles_Otros_Vuelos_de_la_Muerte.pdf?1488539844" TargetMode="External"/><Relationship Id="rId20" Type="http://schemas.openxmlformats.org/officeDocument/2006/relationships/hyperlink" Target="https://www.cndh.ma/ar/press-releases/cndh-brings-clarification-discovery-remains-eight-persons-fadret-leguiaa" TargetMode="External"/><Relationship Id="rId1" Type="http://schemas.openxmlformats.org/officeDocument/2006/relationships/hyperlink" Target="https://www.un.org/fr/about-us/un-charter/chapter-11" TargetMode="External"/><Relationship Id="rId6" Type="http://schemas.openxmlformats.org/officeDocument/2006/relationships/hyperlink" Target="http://www.sahararekinkoordinadora.org/uploads/public/UploadManager/Documentos/Documentos%20varios/Informe%20de%20la%20Misi%C3%B3n%20Visitadora%20(1975).pdf" TargetMode="External"/><Relationship Id="rId11" Type="http://schemas.openxmlformats.org/officeDocument/2006/relationships/hyperlink" Target="https://www.ohchr.org/sites/default/files/Documents/Issues/Truth/CallLegacyColonialism/CSO/Group-of-Organizations-Western-Sahara-case-Annex.pdf" TargetMode="External"/><Relationship Id="rId5" Type="http://schemas.openxmlformats.org/officeDocument/2006/relationships/hyperlink" Target="https://www.usc.es/gl/institutos/ceso/informes_sg_ag.html" TargetMode="External"/><Relationship Id="rId15" Type="http://schemas.openxmlformats.org/officeDocument/2006/relationships/hyperlink" Target="https://publicaciones.hegoa.ehu.eus/uploads/pdfs/273/Los_otros_vuelos_de_la_muerte.pdf?1488539844" TargetMode="External"/><Relationship Id="rId10" Type="http://schemas.openxmlformats.org/officeDocument/2006/relationships/hyperlink" Target="http://www.ccdh.org.ma/IMG/pdf/annex_verite_.pdf" TargetMode="External"/><Relationship Id="rId19" Type="http://schemas.openxmlformats.org/officeDocument/2006/relationships/hyperlink" Target="https://publicaciones.hegoa.ehu.eus/uploads/pdfs/235/Meheris_SUMMARY_%28Ingles_Frances_arabe%29.pdf?1488539792" TargetMode="External"/><Relationship Id="rId4" Type="http://schemas.openxmlformats.org/officeDocument/2006/relationships/hyperlink" Target="https://www.usc.es/gl/institutos/ceso/res_onu_cs.html" TargetMode="External"/><Relationship Id="rId9" Type="http://schemas.openxmlformats.org/officeDocument/2006/relationships/hyperlink" Target="https://au.int/sites/default/files/pages/34873-file-constitutive_act_french-1.pdf" TargetMode="External"/><Relationship Id="rId14" Type="http://schemas.openxmlformats.org/officeDocument/2006/relationships/hyperlink" Target="http://www.ccdh.org.ma/IMG/pdf/annex_verite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E9C7AD-081F-4146-828F-873D21143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5117</Words>
  <Characters>29168</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AFAPREDESA</dc:creator>
  <cp:lastModifiedBy>Aime Banyiyezako</cp:lastModifiedBy>
  <cp:revision>2</cp:revision>
  <dcterms:created xsi:type="dcterms:W3CDTF">2022-07-08T09:35:00Z</dcterms:created>
  <dcterms:modified xsi:type="dcterms:W3CDTF">2022-07-08T09:35:00Z</dcterms:modified>
</cp:coreProperties>
</file>