
<file path=[Content_Types].xml><?xml version="1.0" encoding="utf-8"?>
<Types xmlns="http://schemas.openxmlformats.org/package/2006/content-types">
  <Default Extension="rels" ContentType="application/vnd.openxmlformats-package.relationships+xml"/>
  <Default Extension="xml" ContentType="application/xml"/>
  <Default Extension="ttf" ContentType="application/x-font-ttf"/>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360" w:lineRule="auto"/>
        <w:jc w:val="center"/>
        <w:rPr>
          <w:rFonts w:ascii="Tahoma" w:cs="Tahoma" w:eastAsia="Tahoma" w:hAnsi="Tahoma"/>
          <w:b w:val="1"/>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spacing w:after="240" w:before="240" w:line="36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03">
      <w:pPr>
        <w:spacing w:after="240" w:before="240" w:line="36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04">
      <w:pPr>
        <w:spacing w:after="240" w:before="240" w:line="36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05">
      <w:pPr>
        <w:spacing w:line="360" w:lineRule="auto"/>
        <w:jc w:val="center"/>
        <w:rPr>
          <w:rFonts w:ascii="Tahoma" w:cs="Tahoma" w:eastAsia="Tahoma" w:hAnsi="Tahoma"/>
          <w:b w:val="1"/>
          <w:sz w:val="28"/>
          <w:szCs w:val="28"/>
        </w:rPr>
      </w:pPr>
      <w:r w:rsidDel="00000000" w:rsidR="00000000" w:rsidRPr="00000000">
        <w:rPr>
          <w:rFonts w:ascii="Tahoma" w:cs="Tahoma" w:eastAsia="Tahoma" w:hAnsi="Tahoma"/>
          <w:b w:val="1"/>
          <w:sz w:val="28"/>
          <w:szCs w:val="28"/>
          <w:rtl w:val="0"/>
        </w:rPr>
        <w:t xml:space="preserve">Informe Sombra ante el Comité para la Eliminación de la Discriminación contra la Mujer </w:t>
      </w:r>
    </w:p>
    <w:p w:rsidR="00000000" w:rsidDel="00000000" w:rsidP="00000000" w:rsidRDefault="00000000" w:rsidRPr="00000000" w14:paraId="00000006">
      <w:pPr>
        <w:spacing w:line="360" w:lineRule="auto"/>
        <w:jc w:val="center"/>
        <w:rPr>
          <w:rFonts w:ascii="Tahoma" w:cs="Tahoma" w:eastAsia="Tahoma" w:hAnsi="Tahoma"/>
          <w:b w:val="1"/>
          <w:sz w:val="28"/>
          <w:szCs w:val="28"/>
        </w:rPr>
      </w:pPr>
      <w:r w:rsidDel="00000000" w:rsidR="00000000" w:rsidRPr="00000000">
        <w:rPr>
          <w:rFonts w:ascii="Tahoma" w:cs="Tahoma" w:eastAsia="Tahoma" w:hAnsi="Tahoma"/>
          <w:b w:val="1"/>
          <w:sz w:val="28"/>
          <w:szCs w:val="28"/>
          <w:rtl w:val="0"/>
        </w:rPr>
        <w:t xml:space="preserve">sobre el cumplimiento del Estado acerca de la Información suministrada por Costa Rica en relación con el seguimiento de las Observaciones Finales sobre su Séptimo Informe Periódico (CEDAW/C/CRI/FCO/7)</w:t>
      </w:r>
    </w:p>
    <w:p w:rsidR="00000000" w:rsidDel="00000000" w:rsidP="00000000" w:rsidRDefault="00000000" w:rsidRPr="00000000" w14:paraId="00000007">
      <w:pPr>
        <w:spacing w:after="240" w:before="240"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8">
      <w:pPr>
        <w:spacing w:after="240" w:before="240"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9">
      <w:pPr>
        <w:spacing w:after="240" w:before="240"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A">
      <w:pPr>
        <w:spacing w:after="240" w:before="240"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B">
      <w:pPr>
        <w:spacing w:after="240" w:before="240"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C">
      <w:pPr>
        <w:spacing w:after="240" w:before="240" w:line="360" w:lineRule="auto"/>
        <w:jc w:val="center"/>
        <w:rPr>
          <w:rFonts w:ascii="Tahoma" w:cs="Tahoma" w:eastAsia="Tahoma" w:hAnsi="Tahoma"/>
          <w:b w:val="1"/>
          <w:sz w:val="36"/>
          <w:szCs w:val="36"/>
        </w:rPr>
      </w:pPr>
      <w:r w:rsidDel="00000000" w:rsidR="00000000" w:rsidRPr="00000000">
        <w:rPr>
          <w:rtl w:val="0"/>
        </w:rPr>
      </w:r>
    </w:p>
    <w:p w:rsidR="00000000" w:rsidDel="00000000" w:rsidP="00000000" w:rsidRDefault="00000000" w:rsidRPr="00000000" w14:paraId="0000000D">
      <w:pPr>
        <w:spacing w:after="240" w:before="240" w:line="360" w:lineRule="auto"/>
        <w:jc w:val="center"/>
        <w:rPr>
          <w:rFonts w:ascii="Tahoma" w:cs="Tahoma" w:eastAsia="Tahoma" w:hAnsi="Tahoma"/>
          <w:b w:val="1"/>
          <w:sz w:val="32"/>
          <w:szCs w:val="32"/>
        </w:rPr>
      </w:pPr>
      <w:r w:rsidDel="00000000" w:rsidR="00000000" w:rsidRPr="00000000">
        <w:rPr>
          <w:rtl w:val="0"/>
        </w:rPr>
      </w:r>
    </w:p>
    <w:p w:rsidR="00000000" w:rsidDel="00000000" w:rsidP="00000000" w:rsidRDefault="00000000" w:rsidRPr="00000000" w14:paraId="0000000E">
      <w:pPr>
        <w:spacing w:after="240" w:before="240" w:line="36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Grupo de Trabajo Agenda CEDAW Costa Rica</w:t>
      </w:r>
    </w:p>
    <w:p w:rsidR="00000000" w:rsidDel="00000000" w:rsidP="00000000" w:rsidRDefault="00000000" w:rsidRPr="00000000" w14:paraId="0000000F">
      <w:pPr>
        <w:spacing w:after="240" w:before="240" w:line="36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Setiembre, 2020</w:t>
      </w:r>
    </w:p>
    <w:p w:rsidR="00000000" w:rsidDel="00000000" w:rsidP="00000000" w:rsidRDefault="00000000" w:rsidRPr="00000000" w14:paraId="00000010">
      <w:pPr>
        <w:spacing w:after="240" w:before="240" w:line="36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1">
      <w:pPr>
        <w:spacing w:after="240" w:before="240" w:line="360" w:lineRule="auto"/>
        <w:jc w:val="center"/>
        <w:rPr>
          <w:rFonts w:ascii="Tahoma" w:cs="Tahoma" w:eastAsia="Tahoma" w:hAnsi="Tahoma"/>
          <w:b w:val="1"/>
          <w:sz w:val="20"/>
          <w:szCs w:val="20"/>
        </w:rPr>
        <w:sectPr>
          <w:footerReference r:id="rId8" w:type="default"/>
          <w:pgSz w:h="15840" w:w="12240"/>
          <w:pgMar w:bottom="1440" w:top="1440" w:left="1440" w:right="1440" w:header="720" w:footer="720"/>
          <w:pgNumType w:start="1"/>
          <w:cols w:equalWidth="0"/>
        </w:sectPr>
      </w:pPr>
      <w:r w:rsidDel="00000000" w:rsidR="00000000" w:rsidRPr="00000000">
        <w:rPr>
          <w:rtl w:val="0"/>
        </w:rPr>
      </w:r>
    </w:p>
    <w:p w:rsidR="00000000" w:rsidDel="00000000" w:rsidP="00000000" w:rsidRDefault="00000000" w:rsidRPr="00000000" w14:paraId="00000012">
      <w:pPr>
        <w:spacing w:after="240" w:before="240" w:line="360" w:lineRule="auto"/>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Información adicional al reporte presentado por Estado de Costa Rica en seguimiento a las observaciones finales contenidas en los párrafos 29 (d) y (e), y 31 (b) y (d) (CEDAW/C/CRI/FCO/7) para la audiencia del Comité CEDAW en su sesión número 77.</w:t>
      </w:r>
    </w:p>
    <w:p w:rsidR="00000000" w:rsidDel="00000000" w:rsidP="00000000" w:rsidRDefault="00000000" w:rsidRPr="00000000" w14:paraId="00000013">
      <w:pPr>
        <w:spacing w:after="240" w:before="240" w:line="360" w:lineRule="auto"/>
        <w:jc w:val="both"/>
        <w:rPr>
          <w:rFonts w:ascii="Tahoma" w:cs="Tahoma" w:eastAsia="Tahoma" w:hAnsi="Tahoma"/>
          <w:i w:val="1"/>
          <w:color w:val="000000"/>
          <w:sz w:val="20"/>
          <w:szCs w:val="20"/>
        </w:rPr>
      </w:pPr>
      <w:r w:rsidDel="00000000" w:rsidR="00000000" w:rsidRPr="00000000">
        <w:rPr>
          <w:rFonts w:ascii="Tahoma" w:cs="Tahoma" w:eastAsia="Tahoma" w:hAnsi="Tahoma"/>
          <w:sz w:val="20"/>
          <w:szCs w:val="20"/>
          <w:rtl w:val="0"/>
        </w:rPr>
        <w:t xml:space="preserve">En el marco del seguimiento a las observaciones finales sobre el sétimo informe periódico, durante el año 2017 y 2018 las organizaciones de mujeres y las expertas independientes realizaron un proceso convocado por la Defensoría de la Mujer de la Defensoría de los Habitantes de la República (INDH), con el apoyo del Grupo Interagencial de Género de Naciones Unidas (GIG), para generar una ruta de trabajo plasmada en la </w:t>
      </w:r>
      <w:hyperlink r:id="rId9">
        <w:r w:rsidDel="00000000" w:rsidR="00000000" w:rsidRPr="00000000">
          <w:rPr>
            <w:rFonts w:ascii="Tahoma" w:cs="Tahoma" w:eastAsia="Tahoma" w:hAnsi="Tahoma"/>
            <w:i w:val="1"/>
            <w:color w:val="000000"/>
            <w:sz w:val="20"/>
            <w:szCs w:val="20"/>
            <w:rtl w:val="0"/>
          </w:rPr>
          <w:t xml:space="preserve">Agenda de las Mujeres para la exigibilidad de las recomendaciones del Comité CEDAW sobre el Séptimo examen periódico de Costa Rica</w:t>
        </w:r>
      </w:hyperlink>
      <w:r w:rsidDel="00000000" w:rsidR="00000000" w:rsidRPr="00000000">
        <w:rPr>
          <w:rFonts w:ascii="Tahoma" w:cs="Tahoma" w:eastAsia="Tahoma" w:hAnsi="Tahoma"/>
          <w:i w:val="1"/>
          <w:color w:val="000000"/>
          <w:sz w:val="20"/>
          <w:szCs w:val="20"/>
          <w:vertAlign w:val="superscript"/>
        </w:rPr>
        <w:footnoteReference w:customMarkFollows="0" w:id="0"/>
      </w:r>
      <w:r w:rsidDel="00000000" w:rsidR="00000000" w:rsidRPr="00000000">
        <w:rPr>
          <w:rFonts w:ascii="Tahoma" w:cs="Tahoma" w:eastAsia="Tahoma" w:hAnsi="Tahoma"/>
          <w:i w:val="1"/>
          <w:color w:val="000000"/>
          <w:sz w:val="20"/>
          <w:szCs w:val="20"/>
          <w:rtl w:val="0"/>
        </w:rPr>
        <w:t xml:space="preserve">.</w:t>
      </w:r>
    </w:p>
    <w:p w:rsidR="00000000" w:rsidDel="00000000" w:rsidP="00000000" w:rsidRDefault="00000000" w:rsidRPr="00000000" w14:paraId="00000014">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información que se expone a continuación es el resultado de una serie de reuniones y análisis efectuados posteriormente, enriquecidos a través de presentaciones de representantes de sociedad civil (tutorial para la presentación de informes sombra, vivencias de la violencia obstétrica, realidades del aborto impune y de la implementación del Convenio 189), representantes de Gobierno (datos sobre las Licencias de Paternidad); de la Defensoría de los Habitantes (Licencias de Paternidad y Violencia Obstétrica) y de la Organización Internacional del Trabajo (OIT) (sobre el Convenio 189), en relación con el reporte presentado por el Estado (CEDAW/C/CRI/FCO/7).</w:t>
      </w:r>
    </w:p>
    <w:p w:rsidR="00000000" w:rsidDel="00000000" w:rsidP="00000000" w:rsidRDefault="00000000" w:rsidRPr="00000000" w14:paraId="00000015">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Grupo de Trabajo Agenda CEDAW Costa Rica y las organizaciones y activistas independientes que suscriben este Informe Sombra solicitan respetuosamente al Comité, reconociendo la sensibilidad y capacidad de análisis de sus integrantes, visualizarlo desde la empatía con la vivencia de las mujeres en toda su diversidad etaria, de género, espiritual y religiosa, educacional, socioeconómica, política, geográfica, de situación migratoria y de refugio, cultural, étnica, ocupacional y de otras características inherentes a su calidad de personas, que unificaron su esfuerzo y trabajo en su elaboración.</w:t>
      </w:r>
    </w:p>
    <w:p w:rsidR="00000000" w:rsidDel="00000000" w:rsidP="00000000" w:rsidRDefault="00000000" w:rsidRPr="00000000" w14:paraId="00000016">
      <w:pPr>
        <w:spacing w:after="240" w:before="240" w:line="36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29 (d) Apruebe legislación para introducir el derecho legal al permiso de paternidad remunerado y promueva la distribución equitativa de las responsabilidades parentales entre mujeres y hombres </w:t>
      </w:r>
    </w:p>
    <w:p w:rsidR="00000000" w:rsidDel="00000000" w:rsidP="00000000" w:rsidRDefault="00000000" w:rsidRPr="00000000" w14:paraId="00000017">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licencias de paternidad son mecanismos fundamentales para el ejercicio de la corresponsabilidad en la crianza de los hijos y las hijas, para la ruptura de estereotipos de género y para favorecer la igualdad social, incluyendo el ámbito familiar.  Se observa con preocupación que el proyecto de ley reportado por el Estado no se fundamente en perspectiva de género y no establece condiciones mínimas para el acceso a las licencias.  Se requiere que el mecanismo que se apruebe cumpla con requisitos mínimos para asegurar una corresponsabilidad parental y evite situaciones que incrementen la vulnerabilidad de las mujeres y la de sus hijas e hijos.  A partir del análisis efectuado se exponen los siguientes puntos:</w:t>
      </w:r>
    </w:p>
    <w:p w:rsidR="00000000" w:rsidDel="00000000" w:rsidP="00000000" w:rsidRDefault="00000000" w:rsidRPr="00000000" w14:paraId="00000018">
      <w:pPr>
        <w:numPr>
          <w:ilvl w:val="0"/>
          <w:numId w:val="4"/>
        </w:numPr>
        <w:pBdr>
          <w:top w:space="0" w:sz="0" w:val="nil"/>
          <w:left w:space="0" w:sz="0" w:val="nil"/>
          <w:bottom w:space="0" w:sz="0" w:val="nil"/>
          <w:right w:space="0" w:sz="0" w:val="nil"/>
          <w:between w:space="0" w:sz="0" w:val="nil"/>
        </w:pBdr>
        <w:spacing w:before="240" w:line="360" w:lineRule="auto"/>
        <w:ind w:left="79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Estas licencias no deberían ser autorizadas si no hay convivencia familiar o si existen situaciones de abandono, violencia y abuso por parte de quienes las solicitan.</w:t>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pacing w:line="360" w:lineRule="auto"/>
        <w:ind w:left="79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Deben estar condicionadas a que se completen procesos de sensibilización y capacitación para el cuido antes, durante y después del parto, tanto de las personas recién nacidas y menores de edad, como de las madres</w:t>
      </w:r>
      <w:r w:rsidDel="00000000" w:rsidR="00000000" w:rsidRPr="00000000">
        <w:rPr>
          <w:rFonts w:ascii="Tahoma" w:cs="Tahoma" w:eastAsia="Tahoma" w:hAnsi="Tahoma"/>
          <w:color w:val="000000"/>
          <w:sz w:val="20"/>
          <w:szCs w:val="20"/>
          <w:vertAlign w:val="superscript"/>
        </w:rPr>
        <w:footnoteReference w:customMarkFollows="0" w:id="1"/>
      </w:r>
      <w:r w:rsidDel="00000000" w:rsidR="00000000" w:rsidRPr="00000000">
        <w:rPr>
          <w:rFonts w:ascii="Tahoma" w:cs="Tahoma" w:eastAsia="Tahoma" w:hAnsi="Tahoma"/>
          <w:color w:val="000000"/>
          <w:sz w:val="20"/>
          <w:szCs w:val="20"/>
          <w:rtl w:val="0"/>
        </w:rPr>
        <w:t xml:space="preserve">.</w:t>
      </w:r>
    </w:p>
    <w:p w:rsidR="00000000" w:rsidDel="00000000" w:rsidP="00000000" w:rsidRDefault="00000000" w:rsidRPr="00000000" w14:paraId="0000001A">
      <w:pPr>
        <w:numPr>
          <w:ilvl w:val="0"/>
          <w:numId w:val="4"/>
        </w:numPr>
        <w:pBdr>
          <w:top w:space="0" w:sz="0" w:val="nil"/>
          <w:left w:space="0" w:sz="0" w:val="nil"/>
          <w:bottom w:space="0" w:sz="0" w:val="nil"/>
          <w:right w:space="0" w:sz="0" w:val="nil"/>
          <w:between w:space="0" w:sz="0" w:val="nil"/>
        </w:pBdr>
        <w:spacing w:line="360" w:lineRule="auto"/>
        <w:ind w:left="79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Debe establecerse con claridad la forma en la que se supervisará el otorgamiento de las licencias y su disfrute en condiciones de igualdad. Preocupa a las mujeres que el otorgamiento de las licencias repercuta en su calidad de vida y proceso de recuperación después del parto, ya que en ocasiones las mujeres deben asumir no solo el cuido del o la recién nacida, sino también, asumir las labores domésticas, incluyendo la preparación de alimentos, incluso para su pareja.</w:t>
      </w:r>
    </w:p>
    <w:p w:rsidR="00000000" w:rsidDel="00000000" w:rsidP="00000000" w:rsidRDefault="00000000" w:rsidRPr="00000000" w14:paraId="0000001B">
      <w:pPr>
        <w:numPr>
          <w:ilvl w:val="0"/>
          <w:numId w:val="4"/>
        </w:numPr>
        <w:pBdr>
          <w:top w:space="0" w:sz="0" w:val="nil"/>
          <w:left w:space="0" w:sz="0" w:val="nil"/>
          <w:bottom w:space="0" w:sz="0" w:val="nil"/>
          <w:right w:space="0" w:sz="0" w:val="nil"/>
          <w:between w:space="0" w:sz="0" w:val="nil"/>
        </w:pBdr>
        <w:spacing w:line="360" w:lineRule="auto"/>
        <w:ind w:left="79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Debe tener una perspectiva sensible a las diversas familias que conforman el actual escenario social, pues inquieta la posibilidad de que se violente el derecho a la no discriminación, con particularidad en las poblaciones denominadas LGBTIQ.</w:t>
      </w:r>
    </w:p>
    <w:p w:rsidR="00000000" w:rsidDel="00000000" w:rsidP="00000000" w:rsidRDefault="00000000" w:rsidRPr="00000000" w14:paraId="0000001C">
      <w:pPr>
        <w:numPr>
          <w:ilvl w:val="0"/>
          <w:numId w:val="4"/>
        </w:numPr>
        <w:pBdr>
          <w:top w:space="0" w:sz="0" w:val="nil"/>
          <w:left w:space="0" w:sz="0" w:val="nil"/>
          <w:bottom w:space="0" w:sz="0" w:val="nil"/>
          <w:right w:space="0" w:sz="0" w:val="nil"/>
          <w:between w:space="0" w:sz="0" w:val="nil"/>
        </w:pBdr>
        <w:spacing w:after="240" w:line="360" w:lineRule="auto"/>
        <w:ind w:left="79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Debe fortalecerse otros recursos institucionales de apoyo, como el fomento e inclusión de la corresponsabilidad parental en el sistema educativo. </w:t>
      </w:r>
    </w:p>
    <w:p w:rsidR="00000000" w:rsidDel="00000000" w:rsidP="00000000" w:rsidRDefault="00000000" w:rsidRPr="00000000" w14:paraId="0000001D">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cuanto a la distribución equitativa de las responsabilidades parentales, se desconoce cómo se está implementando el Convenio 156 de la OIT, no se tiene información accesible a sociedad civil del avance de la Comisión citada por el Estado, ni se ha procurado la inclusión o consulta a la misma dentro de los planes y propuestas que esta debe desarrollar, como el plan de trabajo que ya tuvo haber sido presentado.  Se identifica en el país un ambiente retador en relación con el cumplimiento de los Derechos Humanos de las mujeres y se denuncia que las organizaciones de mujeres no fueron llamadas a formar parte de la Comisión mencionada por el Estado.</w:t>
      </w:r>
    </w:p>
    <w:p w:rsidR="00000000" w:rsidDel="00000000" w:rsidP="00000000" w:rsidRDefault="00000000" w:rsidRPr="00000000" w14:paraId="0000001E">
      <w:pPr>
        <w:spacing w:after="240" w:before="240" w:line="36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9 (e) Desarrolle un plan para aplicar el Convenio núm. 189 (2011) de la OIT sobre el trabajo decente para las trabajadoras y los trabajadores domésticos, garantice que las trabajadoras domésticas, incluidas las migrantes, tengan acceso a recursos efectivos para presentar denuncias por explotación y abusos de sus empleadores, y refuerce el mandato de la Dirección Nacional de Inspección del Trabajo para que supervise las condiciones laborales de las trabajadoras domésticas cuando existan motivos razonables para creer que se vulneran sus derechos en hogares privados. </w:t>
      </w:r>
    </w:p>
    <w:p w:rsidR="00000000" w:rsidDel="00000000" w:rsidP="00000000" w:rsidRDefault="00000000" w:rsidRPr="00000000" w14:paraId="0000001F">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reconocen los avances en cuanto a los mecanismos de aseguramiento reportados por el Estado, pero preocupa lo siguiente:</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pacing w:before="240" w:line="360" w:lineRule="auto"/>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Para el 2018</w:t>
      </w:r>
      <w:r w:rsidDel="00000000" w:rsidR="00000000" w:rsidRPr="00000000">
        <w:rPr>
          <w:rFonts w:ascii="Tahoma" w:cs="Tahoma" w:eastAsia="Tahoma" w:hAnsi="Tahoma"/>
          <w:color w:val="000000"/>
          <w:sz w:val="20"/>
          <w:szCs w:val="20"/>
          <w:vertAlign w:val="superscript"/>
        </w:rPr>
        <w:footnoteReference w:customMarkFollows="0" w:id="2"/>
      </w:r>
      <w:r w:rsidDel="00000000" w:rsidR="00000000" w:rsidRPr="00000000">
        <w:rPr>
          <w:rFonts w:ascii="Tahoma" w:cs="Tahoma" w:eastAsia="Tahoma" w:hAnsi="Tahoma"/>
          <w:color w:val="000000"/>
          <w:sz w:val="20"/>
          <w:szCs w:val="20"/>
          <w:rtl w:val="0"/>
        </w:rPr>
        <w:t xml:space="preserve"> se registran 171686 personas en trabajo doméstico (90% son mujeres) de las que un 23% no están aseguradas, un 28% están aseguradas por un familiar, y solamente el 16% está asegurada por una persona empleadora. </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pacing w:line="360" w:lineRule="auto"/>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Solo</w:t>
      </w:r>
      <w:r w:rsidDel="00000000" w:rsidR="00000000" w:rsidRPr="00000000">
        <w:rPr>
          <w:rFonts w:ascii="Tahoma" w:cs="Tahoma" w:eastAsia="Tahoma" w:hAnsi="Tahoma"/>
          <w:color w:val="000000"/>
          <w:sz w:val="20"/>
          <w:szCs w:val="20"/>
          <w:vertAlign w:val="superscript"/>
        </w:rPr>
        <w:footnoteReference w:customMarkFollows="0" w:id="3"/>
      </w:r>
      <w:r w:rsidDel="00000000" w:rsidR="00000000" w:rsidRPr="00000000">
        <w:rPr>
          <w:rFonts w:ascii="Tahoma" w:cs="Tahoma" w:eastAsia="Tahoma" w:hAnsi="Tahoma"/>
          <w:color w:val="000000"/>
          <w:sz w:val="20"/>
          <w:szCs w:val="20"/>
          <w:rtl w:val="0"/>
        </w:rPr>
        <w:t xml:space="preserve"> el 51% reciben aguinaldo, el 69% no recibe días pago por enfermedad, un 68% no accede a vacaciones pagas, a un 80% no se le reconocen las horas extras y 85% no disfruta de un seguro de riesgos del trabajo.</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pacing w:after="240" w:line="360" w:lineRule="auto"/>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Se reportan 5196 personas entre 15 y 20 años de edad que realizan este trabajo, lo que alerta sobre el obstáculo que para las mujeres jóvenes puede ser el realizar este trabajo para acceder a la educación, intensificando la vulnerabilidad que viven.</w:t>
      </w:r>
    </w:p>
    <w:p w:rsidR="00000000" w:rsidDel="00000000" w:rsidP="00000000" w:rsidRDefault="00000000" w:rsidRPr="00000000" w14:paraId="00000023">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Adicionalmente, estos datos constituyen un subregistro en razón de que no se visibiliza la vulnerabilización en los datos aportados por ASTRADOMES</w:t>
      </w:r>
      <w:r w:rsidDel="00000000" w:rsidR="00000000" w:rsidRPr="00000000">
        <w:rPr>
          <w:rFonts w:ascii="Tahoma" w:cs="Tahoma" w:eastAsia="Tahoma" w:hAnsi="Tahoma"/>
          <w:sz w:val="20"/>
          <w:szCs w:val="20"/>
          <w:vertAlign w:val="superscript"/>
        </w:rPr>
        <w:footnoteReference w:customMarkFollows="0" w:id="4"/>
      </w:r>
      <w:r w:rsidDel="00000000" w:rsidR="00000000" w:rsidRPr="00000000">
        <w:rPr>
          <w:rFonts w:ascii="Tahoma" w:cs="Tahoma" w:eastAsia="Tahoma" w:hAnsi="Tahoma"/>
          <w:sz w:val="20"/>
          <w:szCs w:val="20"/>
          <w:rtl w:val="0"/>
        </w:rPr>
        <w:t xml:space="preserve"> que incluyen la </w:t>
      </w:r>
      <w:r w:rsidDel="00000000" w:rsidR="00000000" w:rsidRPr="00000000">
        <w:rPr>
          <w:rFonts w:ascii="Tahoma" w:cs="Tahoma" w:eastAsia="Tahoma" w:hAnsi="Tahoma"/>
          <w:b w:val="1"/>
          <w:sz w:val="20"/>
          <w:szCs w:val="20"/>
          <w:rtl w:val="0"/>
        </w:rPr>
        <w:t xml:space="preserve">situación actual del COVID-19</w:t>
      </w:r>
      <w:r w:rsidDel="00000000" w:rsidR="00000000" w:rsidRPr="00000000">
        <w:rPr>
          <w:rFonts w:ascii="Tahoma" w:cs="Tahoma" w:eastAsia="Tahoma" w:hAnsi="Tahoma"/>
          <w:sz w:val="20"/>
          <w:szCs w:val="20"/>
          <w:rtl w:val="0"/>
        </w:rPr>
        <w:t xml:space="preserve">, y en los siguientes casos:</w:t>
      </w:r>
    </w:p>
    <w:p w:rsidR="00000000" w:rsidDel="00000000" w:rsidP="00000000" w:rsidRDefault="00000000" w:rsidRPr="00000000" w14:paraId="00000024">
      <w:pPr>
        <w:numPr>
          <w:ilvl w:val="2"/>
          <w:numId w:val="2"/>
        </w:numPr>
        <w:pBdr>
          <w:top w:space="0" w:sz="0" w:val="nil"/>
          <w:left w:space="0" w:sz="0" w:val="nil"/>
          <w:bottom w:space="0" w:sz="0" w:val="nil"/>
          <w:right w:space="0" w:sz="0" w:val="nil"/>
          <w:between w:space="0" w:sz="0" w:val="nil"/>
        </w:pBdr>
        <w:spacing w:before="240" w:line="360" w:lineRule="auto"/>
        <w:ind w:left="709"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Las personas que trabajan en la informalidad, que no se reportan ni aseguradas, ni aparecen en las encuestas oficiales.</w:t>
      </w:r>
    </w:p>
    <w:p w:rsidR="00000000" w:rsidDel="00000000" w:rsidP="00000000" w:rsidRDefault="00000000" w:rsidRPr="00000000" w14:paraId="00000025">
      <w:pPr>
        <w:numPr>
          <w:ilvl w:val="2"/>
          <w:numId w:val="2"/>
        </w:numPr>
        <w:pBdr>
          <w:top w:space="0" w:sz="0" w:val="nil"/>
          <w:left w:space="0" w:sz="0" w:val="nil"/>
          <w:bottom w:space="0" w:sz="0" w:val="nil"/>
          <w:right w:space="0" w:sz="0" w:val="nil"/>
          <w:between w:space="0" w:sz="0" w:val="nil"/>
        </w:pBdr>
        <w:spacing w:line="360" w:lineRule="auto"/>
        <w:ind w:left="709"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Personas con discapacidad que tienen poco acceso a oportunidades laborales, enfrentan dificultades para acceder a la educación técnica y profesional, desarrollan trabajo doméstico que no es visible y que, dada la naturalización del encierro en el hogar y las imposiciones de género, se considera un pago a su manutención, y en consecuencia no tienen acceso al aseguramiento.</w:t>
      </w:r>
    </w:p>
    <w:p w:rsidR="00000000" w:rsidDel="00000000" w:rsidP="00000000" w:rsidRDefault="00000000" w:rsidRPr="00000000" w14:paraId="00000026">
      <w:pPr>
        <w:numPr>
          <w:ilvl w:val="2"/>
          <w:numId w:val="2"/>
        </w:numPr>
        <w:pBdr>
          <w:top w:space="0" w:sz="0" w:val="nil"/>
          <w:left w:space="0" w:sz="0" w:val="nil"/>
          <w:bottom w:space="0" w:sz="0" w:val="nil"/>
          <w:right w:space="0" w:sz="0" w:val="nil"/>
          <w:between w:space="0" w:sz="0" w:val="nil"/>
        </w:pBdr>
        <w:spacing w:line="360" w:lineRule="auto"/>
        <w:ind w:left="709"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Personas trans mayores (sobre todo mujeres trans), quienes posterior a desligarse de la actividad sexual remunerada, para acceder a un hogar-familia, se les consigna el cuido del hogar con el costo vital de renunciar a sus identidades y expresiones de género y sin que necesariamente reciban un salario por ello, y un seguro; además de la violencia de la que son víctimas.</w:t>
      </w:r>
    </w:p>
    <w:p w:rsidR="00000000" w:rsidDel="00000000" w:rsidP="00000000" w:rsidRDefault="00000000" w:rsidRPr="00000000" w14:paraId="00000027">
      <w:pPr>
        <w:numPr>
          <w:ilvl w:val="2"/>
          <w:numId w:val="2"/>
        </w:numPr>
        <w:pBdr>
          <w:top w:space="0" w:sz="0" w:val="nil"/>
          <w:left w:space="0" w:sz="0" w:val="nil"/>
          <w:bottom w:space="0" w:sz="0" w:val="nil"/>
          <w:right w:space="0" w:sz="0" w:val="nil"/>
          <w:between w:space="0" w:sz="0" w:val="nil"/>
        </w:pBdr>
        <w:spacing w:after="240" w:line="360" w:lineRule="auto"/>
        <w:ind w:left="709"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Mujeres migrantes en situación irregular y solicitantes de refugio, que están expuestas a situaciones de abuso por parte de personas empleadoras quienes, por ejemplo les obligan a pagarse su propio seguro a cambio de obtener la carta de trabajo que es requisito indispensable para su proceso de regularización migratoria; y a quienes además el Estado aún les violenta su derecho a la sindicalización</w:t>
      </w:r>
      <w:r w:rsidDel="00000000" w:rsidR="00000000" w:rsidRPr="00000000">
        <w:rPr>
          <w:rFonts w:ascii="Tahoma" w:cs="Tahoma" w:eastAsia="Tahoma" w:hAnsi="Tahoma"/>
          <w:color w:val="000000"/>
          <w:sz w:val="20"/>
          <w:szCs w:val="20"/>
          <w:vertAlign w:val="superscript"/>
        </w:rPr>
        <w:footnoteReference w:customMarkFollows="0" w:id="5"/>
      </w:r>
      <w:r w:rsidDel="00000000" w:rsidR="00000000" w:rsidRPr="00000000">
        <w:rPr>
          <w:rFonts w:ascii="Tahoma" w:cs="Tahoma" w:eastAsia="Tahoma" w:hAnsi="Tahoma"/>
          <w:color w:val="000000"/>
          <w:sz w:val="20"/>
          <w:szCs w:val="20"/>
          <w:rtl w:val="0"/>
        </w:rPr>
        <w:t xml:space="preserve">.</w:t>
      </w:r>
    </w:p>
    <w:p w:rsidR="00000000" w:rsidDel="00000000" w:rsidP="00000000" w:rsidRDefault="00000000" w:rsidRPr="00000000" w14:paraId="00000028">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otra parte, el trabajo doméstico sigue sin remunerarse adecuadamente, por lo que se considera trascendental que se tomen medidas para acelerar la disminución de la brecha salarial actualmente proyectada por el Estado a 15 años, como la realización de un estudio por competencias que permita reconocer las especialidades del Trabajo Doméstico, y el fortalecimiento de las capacidades de las mujeres para la negociación de sus contratos de trabajo a fin de que puedan por la legalidad asegurarse de tener mecanismos con los que validar sus derechos de forma más efectiva.</w:t>
      </w:r>
    </w:p>
    <w:p w:rsidR="00000000" w:rsidDel="00000000" w:rsidP="00000000" w:rsidRDefault="00000000" w:rsidRPr="00000000" w14:paraId="00000029">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Estado debe avanzar en el reconocimiento del trabajo doméstico no remunerado (TDNR) como aporte al desarrollo.  La última Encuesta Nacional del Uso del Tiempo 2017 brindó resultados de la </w:t>
      </w:r>
      <w:r w:rsidDel="00000000" w:rsidR="00000000" w:rsidRPr="00000000">
        <w:rPr>
          <w:rFonts w:ascii="Tahoma" w:cs="Tahoma" w:eastAsia="Tahoma" w:hAnsi="Tahoma"/>
          <w:b w:val="1"/>
          <w:sz w:val="20"/>
          <w:szCs w:val="20"/>
          <w:rtl w:val="0"/>
        </w:rPr>
        <w:t xml:space="preserve">Cuenta Satélite del Trabajo Doméstico No Remunerado</w:t>
      </w:r>
      <w:r w:rsidDel="00000000" w:rsidR="00000000" w:rsidRPr="00000000">
        <w:rPr>
          <w:rFonts w:ascii="Tahoma" w:cs="Tahoma" w:eastAsia="Tahoma" w:hAnsi="Tahoma"/>
          <w:sz w:val="20"/>
          <w:szCs w:val="20"/>
          <w:rtl w:val="0"/>
        </w:rPr>
        <w:t xml:space="preserve"> (CSTDNR), dando a conocer que el trabajo doméstico no remunerado -en su mayoría realizado por mujeres- alcanzó un valor económico de 8.3 billones de colones, equivalente al 25.3% del Producto Interno Bruto (PIB) del país. De este valor, las mujeres aportan el 71.4% y los hombres solamente el 26.8%. En general, el tiempo efectivo promedio que invierten las mujeres es de 36:01 horas semanales, mientras que la participación de los hombres se reduce a 13:55 horas semanales, esto según el Banco Central y el Instituto Nacional de Estadísticas y Censos (INEC), situación que se ha hecho aún más evidente en el marco de la pandemia generada por Covid-19 y sus consecuencias en la salud de las mujeres.</w:t>
      </w:r>
    </w:p>
    <w:p w:rsidR="00000000" w:rsidDel="00000000" w:rsidP="00000000" w:rsidRDefault="00000000" w:rsidRPr="00000000" w14:paraId="0000002A">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cuanto a los recursos para la denuncia y acceso a la justicia, se reconocen dificultades como la imposibilidad de costear abogados y abogadas para los procesos, las mujeres indican que la Defensa Pública no logra atender todos los casos que se presentan.</w:t>
      </w:r>
    </w:p>
    <w:p w:rsidR="00000000" w:rsidDel="00000000" w:rsidP="00000000" w:rsidRDefault="00000000" w:rsidRPr="00000000" w14:paraId="0000002B">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bien se reconoce un avance en los procesos judiciales vinculados a la inspección laboral (siendo que el actual promedio de tiempo para que se ordene una inspección por la vía judicial ahora es de 2 años) se considera que continúa siendo desproporcionado y un obstáculo para acceder al derecho al acceso a la justicia pronta y cumplida, incluso porque permite que en esos años la parte patronal cambia la titularidad de sus bienes, lo que impide la generación de medidas resarcitorias para las trabajadoras.</w:t>
      </w:r>
    </w:p>
    <w:p w:rsidR="00000000" w:rsidDel="00000000" w:rsidP="00000000" w:rsidRDefault="00000000" w:rsidRPr="00000000" w14:paraId="0000002C">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oficina de Inspección requiere fortalecimiento y desde Sociedad Civil no se reconocen esfuerzos para mejorarla o buscar mecanismos para acelerar sus procesos, por ejemplo, asegurando el registro de las situaciones de explotación laboral que vivencian las trabajadoras domésticas que se señalaban como invisibles anteriormente en las encuestas nacionales, o bien, siendo que actualmente se necesita tener la orden judicial antes descrita para que la Dirección General del Trabajo pueda realizar la inspección, gestionar un convenio con el Poder Judicial para garantizar el acceso a la justicia.</w:t>
      </w:r>
    </w:p>
    <w:p w:rsidR="00000000" w:rsidDel="00000000" w:rsidP="00000000" w:rsidRDefault="00000000" w:rsidRPr="00000000" w14:paraId="0000002D">
      <w:pPr>
        <w:spacing w:after="240" w:before="240" w:line="36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1 (b) Acelere la aprobación de directrices técnicas sobre el aborto terapéutico y ponga en marcha campañas de concienciación para evitar la estigmatización de las mujeres que solicitan un aborto; </w:t>
      </w:r>
    </w:p>
    <w:p w:rsidR="00000000" w:rsidDel="00000000" w:rsidP="00000000" w:rsidRDefault="00000000" w:rsidRPr="00000000" w14:paraId="0000002E">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acuerdo amistoso asumido por el Estado de Costa Rica ante la Comisión Interamericana de Derechos Humanos por los casos de A.N. (Ana) y Aurora, en el cual el gobierno se comprometió a no prolongar más la impunidad sufrida por estas dos mujeres por habérseles negado un aborto terapéutico a pesar de que su vida y salud corrían riesgo, con consecuencias actuales y que la legislación establece el derecho de las mujeres a acceder a una interrupción en estos casos, no sólo fue incumplido, sino que los intereses políticos partidarios fueron priorizados debido a la cercanía de las elecciones presidenciales.  Esto resultó en una actitud agresiva y desafiante de la Presidencia de la República en cuanto a la firma de la Norma Técnica</w:t>
      </w:r>
      <w:r w:rsidDel="00000000" w:rsidR="00000000" w:rsidRPr="00000000">
        <w:rPr>
          <w:rFonts w:ascii="Tahoma" w:cs="Tahoma" w:eastAsia="Tahoma" w:hAnsi="Tahoma"/>
          <w:sz w:val="20"/>
          <w:szCs w:val="20"/>
          <w:vertAlign w:val="superscript"/>
        </w:rPr>
        <w:footnoteReference w:customMarkFollows="0" w:id="6"/>
      </w:r>
      <w:r w:rsidDel="00000000" w:rsidR="00000000" w:rsidRPr="00000000">
        <w:rPr>
          <w:rFonts w:ascii="Tahoma" w:cs="Tahoma" w:eastAsia="Tahoma" w:hAnsi="Tahoma"/>
          <w:sz w:val="20"/>
          <w:szCs w:val="20"/>
          <w:rtl w:val="0"/>
        </w:rPr>
        <w:t xml:space="preserve"> que fue postergada, incumpliendo así el deber estatal de reconocer y garantizar los derechos humanos de las mujeres a la salud, a la vida, a vivir libres de violencia y discriminación por género y a acceder a la justicia entre otros.</w:t>
      </w:r>
    </w:p>
    <w:p w:rsidR="00000000" w:rsidDel="00000000" w:rsidP="00000000" w:rsidRDefault="00000000" w:rsidRPr="00000000" w14:paraId="0000002F">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 ha permitido que se desarrolle un contexto social donde se han intensificado los discursos de intolerancia y odio contra las mujeres, y que cuestionan su derecho a la autonomía, al acceso a la información y a la salud</w:t>
      </w:r>
      <w:r w:rsidDel="00000000" w:rsidR="00000000" w:rsidRPr="00000000">
        <w:rPr>
          <w:rFonts w:ascii="Tahoma" w:cs="Tahoma" w:eastAsia="Tahoma" w:hAnsi="Tahoma"/>
          <w:sz w:val="20"/>
          <w:szCs w:val="20"/>
          <w:vertAlign w:val="superscript"/>
        </w:rPr>
        <w:footnoteReference w:customMarkFollows="0" w:id="7"/>
      </w:r>
      <w:r w:rsidDel="00000000" w:rsidR="00000000" w:rsidRPr="00000000">
        <w:rPr>
          <w:rFonts w:ascii="Tahoma" w:cs="Tahoma" w:eastAsia="Tahoma" w:hAnsi="Tahoma"/>
          <w:sz w:val="20"/>
          <w:szCs w:val="20"/>
          <w:rtl w:val="0"/>
        </w:rPr>
        <w:t xml:space="preserve">, incluso promovidos las iglesias (con gran impacto al no ser un estado laico) y su articulación con grupos políticos; como en las campañas municipales</w:t>
      </w:r>
      <w:r w:rsidDel="00000000" w:rsidR="00000000" w:rsidRPr="00000000">
        <w:rPr>
          <w:rFonts w:ascii="Tahoma" w:cs="Tahoma" w:eastAsia="Tahoma" w:hAnsi="Tahoma"/>
          <w:sz w:val="20"/>
          <w:szCs w:val="20"/>
          <w:vertAlign w:val="superscript"/>
        </w:rPr>
        <w:footnoteReference w:customMarkFollows="0" w:id="8"/>
      </w:r>
      <w:r w:rsidDel="00000000" w:rsidR="00000000" w:rsidRPr="00000000">
        <w:rPr>
          <w:rFonts w:ascii="Tahoma" w:cs="Tahoma" w:eastAsia="Tahoma" w:hAnsi="Tahoma"/>
          <w:sz w:val="20"/>
          <w:szCs w:val="20"/>
          <w:rtl w:val="0"/>
        </w:rPr>
        <w:t xml:space="preserve">; así como de algunos colegios profesionales que incluso ha sido fluctuante</w:t>
      </w:r>
      <w:r w:rsidDel="00000000" w:rsidR="00000000" w:rsidRPr="00000000">
        <w:rPr>
          <w:rFonts w:ascii="Tahoma" w:cs="Tahoma" w:eastAsia="Tahoma" w:hAnsi="Tahoma"/>
          <w:sz w:val="20"/>
          <w:szCs w:val="20"/>
          <w:vertAlign w:val="superscript"/>
        </w:rPr>
        <w:footnoteReference w:customMarkFollows="0" w:id="9"/>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0">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advierte que estos discursos se trasladaron al ámbito legislativo donde, por un lado, se ha tergiversado su rol estatal con el fin de generar una manipulación mediática, y se ha propuesto un proyecto de ley</w:t>
      </w:r>
      <w:r w:rsidDel="00000000" w:rsidR="00000000" w:rsidRPr="00000000">
        <w:rPr>
          <w:rFonts w:ascii="Tahoma" w:cs="Tahoma" w:eastAsia="Tahoma" w:hAnsi="Tahoma"/>
          <w:sz w:val="20"/>
          <w:szCs w:val="20"/>
          <w:vertAlign w:val="superscript"/>
        </w:rPr>
        <w:footnoteReference w:customMarkFollows="0" w:id="10"/>
      </w:r>
      <w:r w:rsidDel="00000000" w:rsidR="00000000" w:rsidRPr="00000000">
        <w:rPr>
          <w:rFonts w:ascii="Tahoma" w:cs="Tahoma" w:eastAsia="Tahoma" w:hAnsi="Tahoma"/>
          <w:sz w:val="20"/>
          <w:szCs w:val="20"/>
          <w:rtl w:val="0"/>
        </w:rPr>
        <w:t xml:space="preserve"> para el acceso al aborto –derecho incluido en el artículo 121 del Código Penal desde 1970- que de avanzar, generaría un serio retroceso en los derechos de las mujeres.</w:t>
      </w:r>
    </w:p>
    <w:p w:rsidR="00000000" w:rsidDel="00000000" w:rsidP="00000000" w:rsidRDefault="00000000" w:rsidRPr="00000000" w14:paraId="00000031">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proceso de elaboración de la Norma se hizo partícipe a las organizaciones de la sociedad civil  aún cuando existen mecanismos ya establecidos como la </w:t>
      </w:r>
      <w:r w:rsidDel="00000000" w:rsidR="00000000" w:rsidRPr="00000000">
        <w:rPr>
          <w:rFonts w:ascii="Tahoma" w:cs="Tahoma" w:eastAsia="Tahoma" w:hAnsi="Tahoma"/>
          <w:i w:val="1"/>
          <w:sz w:val="20"/>
          <w:szCs w:val="20"/>
          <w:rtl w:val="0"/>
        </w:rPr>
        <w:t xml:space="preserve">Comisión Interinstitucional sobre Salud y Derechos Reproductivos y Sexuales</w:t>
      </w:r>
      <w:r w:rsidDel="00000000" w:rsidR="00000000" w:rsidRPr="00000000">
        <w:rPr>
          <w:rFonts w:ascii="Tahoma" w:cs="Tahoma" w:eastAsia="Tahoma" w:hAnsi="Tahoma"/>
          <w:sz w:val="20"/>
          <w:szCs w:val="20"/>
          <w:rtl w:val="0"/>
        </w:rPr>
        <w:t xml:space="preserve">, dirigida por el Ministerio de Salud</w:t>
      </w:r>
      <w:r w:rsidDel="00000000" w:rsidR="00000000" w:rsidRPr="00000000">
        <w:rPr>
          <w:rFonts w:ascii="Tahoma" w:cs="Tahoma" w:eastAsia="Tahoma" w:hAnsi="Tahoma"/>
          <w:sz w:val="20"/>
          <w:szCs w:val="20"/>
          <w:vertAlign w:val="superscript"/>
        </w:rPr>
        <w:footnoteReference w:customMarkFollows="0" w:id="11"/>
      </w:r>
      <w:r w:rsidDel="00000000" w:rsidR="00000000" w:rsidRPr="00000000">
        <w:rPr>
          <w:rFonts w:ascii="Tahoma" w:cs="Tahoma" w:eastAsia="Tahoma" w:hAnsi="Tahoma"/>
          <w:sz w:val="20"/>
          <w:szCs w:val="20"/>
          <w:rtl w:val="0"/>
        </w:rPr>
        <w:t xml:space="preserve">, que ha estado inactiva desde 2018, perdiendo con ello un posible espacio de incidencia siendo que una de las labores de esta comisión es brindar apoyo técnico en la definición, formulación, diseño y evaluación de las políticas en salud sexual y reproductiva</w:t>
      </w:r>
      <w:r w:rsidDel="00000000" w:rsidR="00000000" w:rsidRPr="00000000">
        <w:rPr>
          <w:rFonts w:ascii="Tahoma" w:cs="Tahoma" w:eastAsia="Tahoma" w:hAnsi="Tahoma"/>
          <w:sz w:val="20"/>
          <w:szCs w:val="20"/>
          <w:vertAlign w:val="superscript"/>
        </w:rPr>
        <w:footnoteReference w:customMarkFollows="0" w:id="12"/>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2">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bien se reconoce el apoyo desde un enfoque de Derechos Humanos sensibles al género que ha brindado el Instituto Nacional de las Mujeres (INAMU), se sugiere recomendar al Estado asegurar la transparencia y la participación de las mujeres y de la sociedad civil, y que se garantice el enfoque de Derechos Humanos de las mujeres, intercultural, que considera las necesidades de diferentes poblaciones, por ejemplo:  migrantes, indígenas, afrodescendientes y de mujeres con discapacidad, y que además tome en cuenta la recomendación 25.a. brindada por la Agenda de Mujeres CEDAW</w:t>
      </w:r>
      <w:r w:rsidDel="00000000" w:rsidR="00000000" w:rsidRPr="00000000">
        <w:rPr>
          <w:rFonts w:ascii="Tahoma" w:cs="Tahoma" w:eastAsia="Tahoma" w:hAnsi="Tahoma"/>
          <w:sz w:val="20"/>
          <w:szCs w:val="20"/>
          <w:vertAlign w:val="superscript"/>
        </w:rPr>
        <w:footnoteReference w:customMarkFollows="0" w:id="13"/>
      </w:r>
      <w:r w:rsidDel="00000000" w:rsidR="00000000" w:rsidRPr="00000000">
        <w:rPr>
          <w:rFonts w:ascii="Tahoma" w:cs="Tahoma" w:eastAsia="Tahoma" w:hAnsi="Tahoma"/>
          <w:sz w:val="20"/>
          <w:szCs w:val="20"/>
          <w:rtl w:val="0"/>
        </w:rPr>
        <w:t xml:space="preserve">, en la implementación de la que la Norma.</w:t>
      </w:r>
    </w:p>
    <w:p w:rsidR="00000000" w:rsidDel="00000000" w:rsidP="00000000" w:rsidRDefault="00000000" w:rsidRPr="00000000" w14:paraId="00000033">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Actualmente, la norma fue aprobada</w:t>
      </w:r>
      <w:r w:rsidDel="00000000" w:rsidR="00000000" w:rsidRPr="00000000">
        <w:rPr>
          <w:rFonts w:ascii="Tahoma" w:cs="Tahoma" w:eastAsia="Tahoma" w:hAnsi="Tahoma"/>
          <w:sz w:val="20"/>
          <w:szCs w:val="20"/>
          <w:vertAlign w:val="superscript"/>
        </w:rPr>
        <w:footnoteReference w:customMarkFollows="0" w:id="14"/>
      </w:r>
      <w:r w:rsidDel="00000000" w:rsidR="00000000" w:rsidRPr="00000000">
        <w:rPr>
          <w:rFonts w:ascii="Tahoma" w:cs="Tahoma" w:eastAsia="Tahoma" w:hAnsi="Tahoma"/>
          <w:sz w:val="20"/>
          <w:szCs w:val="20"/>
          <w:rtl w:val="0"/>
        </w:rPr>
        <w:t xml:space="preserve"> pero sigue sin ser debidamente implementada además que en julio del 2020, debió haber sido aprobado un protocolo complementario, el cual a la fecha aún no existe.</w:t>
      </w:r>
      <w:r w:rsidDel="00000000" w:rsidR="00000000" w:rsidRPr="00000000">
        <w:rPr>
          <w:rFonts w:ascii="Tahoma" w:cs="Tahoma" w:eastAsia="Tahoma" w:hAnsi="Tahoma"/>
          <w:sz w:val="20"/>
          <w:szCs w:val="20"/>
          <w:vertAlign w:val="superscript"/>
        </w:rPr>
        <w:footnoteReference w:customMarkFollows="0" w:id="15"/>
      </w:r>
      <w:r w:rsidDel="00000000" w:rsidR="00000000" w:rsidRPr="00000000">
        <w:rPr>
          <w:rtl w:val="0"/>
        </w:rPr>
      </w:r>
    </w:p>
    <w:p w:rsidR="00000000" w:rsidDel="00000000" w:rsidP="00000000" w:rsidRDefault="00000000" w:rsidRPr="00000000" w14:paraId="00000034">
      <w:pPr>
        <w:spacing w:after="240" w:before="240" w:line="36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1 d) Adopte medidas jurídicas y normativas para proteger a las mujeres embarazadas durante el parto, sancione la violencia obstétrica, refuerce los programas de fomento de la capacidad destinados al personal médico, y vele por la supervisión periódica del trato dispensado a los pacientes en hospitales y centros de atención de la salud, en consonancia con las recomendaciones formuladas por la Defensoría de los Habitantes. </w:t>
      </w:r>
    </w:p>
    <w:p w:rsidR="00000000" w:rsidDel="00000000" w:rsidP="00000000" w:rsidRDefault="00000000" w:rsidRPr="00000000" w14:paraId="00000035">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importante fortalecer los procesos de promoción y capacitación en normativas actualizadas para la atención de eventos obstétricos, ya que muchas de las normativas o guías reportadas por el Estado son desconocidas por las organizaciones de mujeres firmantes de este Informe. Además, es lamentable que los grupos y organizaciones de mujeres no hayan sido involucradas en los procesos de construcción y elaboración de estas normativas y lineamientos.</w:t>
      </w:r>
    </w:p>
    <w:p w:rsidR="00000000" w:rsidDel="00000000" w:rsidP="00000000" w:rsidRDefault="00000000" w:rsidRPr="00000000" w14:paraId="00000036">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Encuesta de Mujeres, Niñez y Adolescencia 2018 (EMNA) indica que de las 135281 mujeres con hijos/as nacidos/as vivos/as en los últimos 2 años, un 58,2% reporta haber sufrido Violencia Obstétrica, principalmente manifestada en la no consulta sobre la aplicación medicamentos o procedimientos (35,4%), en explicaciones que no logran ser comprendidas (18,7%), a través de gritos y regaños (11,6%) y la utilización de comentarios despectivos o sobrenombres (10,2%).</w:t>
      </w:r>
    </w:p>
    <w:p w:rsidR="00000000" w:rsidDel="00000000" w:rsidP="00000000" w:rsidRDefault="00000000" w:rsidRPr="00000000" w14:paraId="00000037">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las sesiones efectuadas para este informe se reporta lo siguiente:</w:t>
      </w:r>
    </w:p>
    <w:p w:rsidR="00000000" w:rsidDel="00000000" w:rsidP="00000000" w:rsidRDefault="00000000" w:rsidRPr="00000000" w14:paraId="00000038">
      <w:pPr>
        <w:numPr>
          <w:ilvl w:val="0"/>
          <w:numId w:val="3"/>
        </w:numPr>
        <w:pBdr>
          <w:top w:space="0" w:sz="0" w:val="nil"/>
          <w:left w:space="0" w:sz="0" w:val="nil"/>
          <w:bottom w:space="0" w:sz="0" w:val="nil"/>
          <w:right w:space="0" w:sz="0" w:val="nil"/>
          <w:between w:space="0" w:sz="0" w:val="nil"/>
        </w:pBdr>
        <w:spacing w:before="240" w:line="360" w:lineRule="auto"/>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Las mujeres tienen miedo de hablar o contar lo que sufrieron antes, durante y después parto, por temor a represalias en futuras atenciones médicas.</w:t>
      </w:r>
    </w:p>
    <w:p w:rsidR="00000000" w:rsidDel="00000000" w:rsidP="00000000" w:rsidRDefault="00000000" w:rsidRPr="00000000" w14:paraId="00000039">
      <w:pPr>
        <w:numPr>
          <w:ilvl w:val="0"/>
          <w:numId w:val="3"/>
        </w:numPr>
        <w:pBdr>
          <w:top w:space="0" w:sz="0" w:val="nil"/>
          <w:left w:space="0" w:sz="0" w:val="nil"/>
          <w:bottom w:space="0" w:sz="0" w:val="nil"/>
          <w:right w:space="0" w:sz="0" w:val="nil"/>
          <w:between w:space="0" w:sz="0" w:val="nil"/>
        </w:pBdr>
        <w:spacing w:line="360" w:lineRule="auto"/>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Las mujeres migrantes, refugiadas o solicitantes de refugio sufren discriminación, por ejemplo, cuando no se les realizan los controles prenatales porque se lo niegan en los centros de atención, o cuando se les expone a situaciones donde se les recrimina indicándoles que incluso se les está dando beneficios sin merecerlos.</w:t>
      </w:r>
    </w:p>
    <w:p w:rsidR="00000000" w:rsidDel="00000000" w:rsidP="00000000" w:rsidRDefault="00000000" w:rsidRPr="00000000" w14:paraId="0000003A">
      <w:pPr>
        <w:numPr>
          <w:ilvl w:val="0"/>
          <w:numId w:val="3"/>
        </w:numPr>
        <w:pBdr>
          <w:top w:space="0" w:sz="0" w:val="nil"/>
          <w:left w:space="0" w:sz="0" w:val="nil"/>
          <w:bottom w:space="0" w:sz="0" w:val="nil"/>
          <w:right w:space="0" w:sz="0" w:val="nil"/>
          <w:between w:space="0" w:sz="0" w:val="nil"/>
        </w:pBdr>
        <w:spacing w:line="360" w:lineRule="auto"/>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Hay muchos prejuicios y estereotipos en relación a las mujeres afrodescendientes, pues se piensa que son fuertes y por ello no se les dan medicamentos, por lo que es necesario que se incorpore se fortalezca el enfoque de género utilizado desde una perspectiva sensible a la afrodescendencia.</w:t>
      </w:r>
    </w:p>
    <w:p w:rsidR="00000000" w:rsidDel="00000000" w:rsidP="00000000" w:rsidRDefault="00000000" w:rsidRPr="00000000" w14:paraId="0000003B">
      <w:pPr>
        <w:numPr>
          <w:ilvl w:val="0"/>
          <w:numId w:val="3"/>
        </w:numPr>
        <w:pBdr>
          <w:top w:space="0" w:sz="0" w:val="nil"/>
          <w:left w:space="0" w:sz="0" w:val="nil"/>
          <w:bottom w:space="0" w:sz="0" w:val="nil"/>
          <w:right w:space="0" w:sz="0" w:val="nil"/>
          <w:between w:space="0" w:sz="0" w:val="nil"/>
        </w:pBdr>
        <w:spacing w:line="360" w:lineRule="auto"/>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Para las mujeres indígenas tampoco hay intérpretes y el personal de salud no necesariamente se comunica en sus idiomas. Sumado, siendo que toda la normativa existente es intrahospitalaria, actualmente no hay ninguna visión de parto que pueda darse por fuera del hospital en consonancia con sus lineamientos tradicionales. Si bien se reconoce que una experiencia en San Vito, se considera que no es suficiente y que no se sensibiliza al personal, pues no es solo capacitar al personal médico sino también a todo el personal intermediario. </w:t>
      </w:r>
    </w:p>
    <w:p w:rsidR="00000000" w:rsidDel="00000000" w:rsidP="00000000" w:rsidRDefault="00000000" w:rsidRPr="00000000" w14:paraId="0000003C">
      <w:pPr>
        <w:numPr>
          <w:ilvl w:val="0"/>
          <w:numId w:val="3"/>
        </w:numPr>
        <w:pBdr>
          <w:top w:space="0" w:sz="0" w:val="nil"/>
          <w:left w:space="0" w:sz="0" w:val="nil"/>
          <w:bottom w:space="0" w:sz="0" w:val="nil"/>
          <w:right w:space="0" w:sz="0" w:val="nil"/>
          <w:between w:space="0" w:sz="0" w:val="nil"/>
        </w:pBdr>
        <w:spacing w:line="360" w:lineRule="auto"/>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Las mujeres con discapacidad en términos generales siguen en desventaja. Solo hay un consultorio de Salud Sexual y Reproductiva en el Centro Nacional de Rehabilitación (CENARE), que al estar centralizado en el área metropolitana deja sin recursos a las mujeres con discapacidad de zonas rurales, o bien, estas deben realizan amplios e incómodos traslados para acceder al servicio. Asimismo, no se reconocen medidas en el Estado para la atención de las mujeres embarazadas con discapacidad y no se realizan programas donde la institución responsable (Caja Costarricense de Seguro Social) desarrolle y explique este tema y los servicios que se ofrecen para personas con discapacidad.   En cuanto a la accesibilidad, inclusive no hay manera de que se comuniquen con las mujeres sordas, pues no hay intérpretes de Lenguaje de Señas Costarricense (LESCO) disponibles para que puedan estar presentes en el proceso de embarazo y antes, durante y después del parto. En cuanto al acceso físico, es necesario contar con equipo accesible para atenderlas de una forma digna y humana ya que, por ejemplo, no hay transporte accesible para trasladar a una mujer con discapacidad física. En este escenario, consideramos que urge fortalecer las campañas de divulgación sobre los servicios de salud sexual y reproductiva a mujeres con discapacidad, y se desconoce si los avances en la materia abordan la discapacidad desde un Enfoque de Derechos Humanos, pues no se reconoce en su aplicación.</w:t>
      </w:r>
    </w:p>
    <w:p w:rsidR="00000000" w:rsidDel="00000000" w:rsidP="00000000" w:rsidRDefault="00000000" w:rsidRPr="00000000" w14:paraId="0000003D">
      <w:pPr>
        <w:numPr>
          <w:ilvl w:val="0"/>
          <w:numId w:val="3"/>
        </w:numPr>
        <w:pBdr>
          <w:top w:space="0" w:sz="0" w:val="nil"/>
          <w:left w:space="0" w:sz="0" w:val="nil"/>
          <w:bottom w:space="0" w:sz="0" w:val="nil"/>
          <w:right w:space="0" w:sz="0" w:val="nil"/>
          <w:between w:space="0" w:sz="0" w:val="nil"/>
        </w:pBdr>
        <w:spacing w:after="240" w:line="360" w:lineRule="auto"/>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Existen algunas poblaciones que también vivencian vulnerabilización y que resultan no ser tan visibles para las estrategias nacionales en la materia como las niñas y adolescentes quienes no son atendidas de la manera adecuada y no se adecúan los servicios a sus necesidades, las mujeres en trabajo sexual y los hombres trans y otras personas con capacidad gestante, quienes muchas veces vivencian violencia por prejuicios y fundamentalismos.</w:t>
      </w:r>
    </w:p>
    <w:p w:rsidR="00000000" w:rsidDel="00000000" w:rsidP="00000000" w:rsidRDefault="00000000" w:rsidRPr="00000000" w14:paraId="0000003E">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 recomendarse al Estado que incluya el tema de violencia obstétrica, y los derechos vinculados, desde la atención prenatal, pues las mujeres deben conocer sus derechos, por ejemplo, al acompañamiento durante esta etapa, además de que se fortalezca el enfoque de género, intercultural e interseccional en la materia.</w:t>
      </w:r>
    </w:p>
    <w:p w:rsidR="00000000" w:rsidDel="00000000" w:rsidP="00000000" w:rsidRDefault="00000000" w:rsidRPr="00000000" w14:paraId="0000003F">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términos de fortalecer las capacidades para la exigibilidad derechos, es prioritario desarrollar un servicio de acompañamiento del personal de Psicología y de Trabajo Social, para contar con apoyo -con pertinencia cultural y con un enfoque interseccional- que permita exigir, monitorear, y desarrollar planes de preparación para el parto,  y respetar la voluntad de las mujeres sobre sus  cuerpos.</w:t>
      </w:r>
    </w:p>
    <w:p w:rsidR="00000000" w:rsidDel="00000000" w:rsidP="00000000" w:rsidRDefault="00000000" w:rsidRPr="00000000" w14:paraId="00000040">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 existir un reconocimiento del concepto de violencia obstétrica, ya que llamarle </w:t>
      </w:r>
      <w:r w:rsidDel="00000000" w:rsidR="00000000" w:rsidRPr="00000000">
        <w:rPr>
          <w:rFonts w:ascii="Tahoma" w:cs="Tahoma" w:eastAsia="Tahoma" w:hAnsi="Tahoma"/>
          <w:i w:val="1"/>
          <w:sz w:val="20"/>
          <w:szCs w:val="20"/>
          <w:rtl w:val="0"/>
        </w:rPr>
        <w:t xml:space="preserve">“parto humanizado”</w:t>
      </w:r>
      <w:r w:rsidDel="00000000" w:rsidR="00000000" w:rsidRPr="00000000">
        <w:rPr>
          <w:rFonts w:ascii="Tahoma" w:cs="Tahoma" w:eastAsia="Tahoma" w:hAnsi="Tahoma"/>
          <w:sz w:val="20"/>
          <w:szCs w:val="20"/>
          <w:rtl w:val="0"/>
        </w:rPr>
        <w:t xml:space="preserve"> invisibiliza la realidad de violencia, incluso estructural, que viven las mujeres. Este componente debe ser parte de los procesos de capacitación, monitoreo y seguimiento a los centros de salud, y debe asegurarse la rendición de cuentas sobre todas las medidas que se adopten.</w:t>
      </w:r>
    </w:p>
    <w:p w:rsidR="00000000" w:rsidDel="00000000" w:rsidP="00000000" w:rsidRDefault="00000000" w:rsidRPr="00000000" w14:paraId="00000041">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Sobre la sanción de la violencia obstétrica, existe una victimización de las mujeres en los procesos judiciales vinculados esta violencia y hay un desconocimiento de los procesos disciplinarios que se aplican o deberían aplicarse, por tanto, no es posible tener claridad si se está sancionando y si las medidas aplicadas son compensatorias, resarcitorias o equilibradas.   Se considera que pueden desarrollarse mecanismos para asegurar la sanción y el establecimiento de medidas correspondientes, y no esperar por los cambios legislativos.</w:t>
      </w:r>
    </w:p>
    <w:p w:rsidR="00000000" w:rsidDel="00000000" w:rsidP="00000000" w:rsidRDefault="00000000" w:rsidRPr="00000000" w14:paraId="00000042">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requiere el fortalecimiento de las Contralorías de Servicios con el objetivo de que puedan dar información a las mujeres embarazadas y orientar en el proceso de denuncia.  </w:t>
      </w:r>
    </w:p>
    <w:p w:rsidR="00000000" w:rsidDel="00000000" w:rsidP="00000000" w:rsidRDefault="00000000" w:rsidRPr="00000000" w14:paraId="00000043">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 se cuenta con evidencia acerca de las capacitaciones que el Estado afirma haber realizado, al no existir un proceso coordinado de rendición de cuentas con sociedad civil, y se desconoce si las capacitaciones han tenido un enfoque de género e interseccional y con pertinencia cultural.</w:t>
      </w:r>
    </w:p>
    <w:p w:rsidR="00000000" w:rsidDel="00000000" w:rsidP="00000000" w:rsidRDefault="00000000" w:rsidRPr="00000000" w14:paraId="00000044">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sugiere recomendar el establecimiento de mecanismos para la transversalización de la materia  en la formación universitaria de futuras personas profesionales y se establezcan procesos periódicos de actualización y sensibilización profesional; y que se revise el funcionamiento de las Juntas de Salud, pues si bien estas buscan descentralizar los hospitales, las Contralorías de Servicios fungen como Dirección de las mismas, por tanto, se convierten en juez y parte de su propio proceso de monitoreo. </w:t>
      </w:r>
    </w:p>
    <w:p w:rsidR="00000000" w:rsidDel="00000000" w:rsidP="00000000" w:rsidRDefault="00000000" w:rsidRPr="00000000" w14:paraId="00000045">
      <w:pPr>
        <w:spacing w:after="240" w:before="24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También, incluir las redes locales de prevención y atención de la violencia contra las mujeres -creadas por ley- en el proceso de atención de la violencia obstétrica.</w:t>
      </w:r>
    </w:p>
    <w:p w:rsidR="00000000" w:rsidDel="00000000" w:rsidP="00000000" w:rsidRDefault="00000000" w:rsidRPr="00000000" w14:paraId="00000046">
      <w:pPr>
        <w:rPr>
          <w:rFonts w:ascii="Tahoma" w:cs="Tahoma" w:eastAsia="Tahoma" w:hAnsi="Tahoma"/>
          <w:b w:val="1"/>
          <w:sz w:val="20"/>
          <w:szCs w:val="20"/>
        </w:rPr>
      </w:pPr>
      <w:bookmarkStart w:colFirst="0" w:colLast="0" w:name="_heading=h.30j0zll" w:id="1"/>
      <w:bookmarkEnd w:id="1"/>
      <w:r w:rsidDel="00000000" w:rsidR="00000000" w:rsidRPr="00000000">
        <w:br w:type="page"/>
      </w:r>
      <w:r w:rsidDel="00000000" w:rsidR="00000000" w:rsidRPr="00000000">
        <w:rPr>
          <w:rFonts w:ascii="Tahoma" w:cs="Tahoma" w:eastAsia="Tahoma" w:hAnsi="Tahoma"/>
          <w:b w:val="1"/>
          <w:sz w:val="20"/>
          <w:szCs w:val="20"/>
          <w:rtl w:val="0"/>
        </w:rPr>
        <w:t xml:space="preserve">Organizaciones </w:t>
      </w:r>
    </w:p>
    <w:p w:rsidR="00000000" w:rsidDel="00000000" w:rsidP="00000000" w:rsidRDefault="00000000" w:rsidRPr="00000000" w14:paraId="00000047">
      <w:pPr>
        <w:rPr>
          <w:rFonts w:ascii="Tahoma" w:cs="Tahoma" w:eastAsia="Tahoma" w:hAnsi="Tahoma"/>
          <w:sz w:val="20"/>
          <w:szCs w:val="20"/>
        </w:rPr>
      </w:pPr>
      <w:bookmarkStart w:colFirst="0" w:colLast="0" w:name="_heading=h.3cb6gyyszazt" w:id="2"/>
      <w:bookmarkEnd w:id="2"/>
      <w:r w:rsidDel="00000000" w:rsidR="00000000" w:rsidRPr="00000000">
        <w:rPr>
          <w:rtl w:val="0"/>
        </w:rPr>
      </w:r>
    </w:p>
    <w:tbl>
      <w:tblPr>
        <w:tblStyle w:val="Table1"/>
        <w:tblW w:w="8595.0" w:type="dxa"/>
        <w:jc w:val="left"/>
        <w:tblInd w:w="40.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595"/>
        <w:tblGridChange w:id="0">
          <w:tblGrid>
            <w:gridCol w:w="8595"/>
          </w:tblGrid>
        </w:tblGridChange>
      </w:tblGrid>
      <w:tr>
        <w:trPr>
          <w:trHeight w:val="525" w:hRule="atLeast"/>
        </w:trPr>
        <w:tc>
          <w:tcPr>
            <w:tcMar>
              <w:top w:w="40.0" w:type="dxa"/>
              <w:left w:w="40.0" w:type="dxa"/>
              <w:bottom w:w="40.0" w:type="dxa"/>
              <w:right w:w="40.0" w:type="dxa"/>
            </w:tcMar>
            <w:vAlign w:val="bottom"/>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sz w:val="20"/>
                <w:szCs w:val="20"/>
                <w:rtl w:val="0"/>
              </w:rPr>
              <w:t xml:space="preserve">AGENMUDIS</w:t>
            </w:r>
          </w:p>
        </w:tc>
      </w:tr>
      <w:tr>
        <w:trPr>
          <w:trHeight w:val="315" w:hRule="atLeast"/>
        </w:trPr>
        <w:tc>
          <w:tcPr>
            <w:tcMar>
              <w:top w:w="40.0" w:type="dxa"/>
              <w:left w:w="40.0" w:type="dxa"/>
              <w:bottom w:w="40.0" w:type="dxa"/>
              <w:right w:w="40.0" w:type="dxa"/>
            </w:tcMar>
            <w:vAlign w:val="bottom"/>
          </w:tcPr>
          <w:p w:rsidR="00000000" w:rsidDel="00000000" w:rsidP="00000000" w:rsidRDefault="00000000" w:rsidRPr="00000000" w14:paraId="00000049">
            <w:pPr>
              <w:widowControl w:val="0"/>
              <w:spacing w:line="276" w:lineRule="auto"/>
              <w:ind w:left="0" w:firstLine="0"/>
              <w:rPr>
                <w:sz w:val="20"/>
                <w:szCs w:val="20"/>
              </w:rPr>
            </w:pPr>
            <w:r w:rsidDel="00000000" w:rsidR="00000000" w:rsidRPr="00000000">
              <w:rPr>
                <w:sz w:val="20"/>
                <w:szCs w:val="20"/>
                <w:rtl w:val="0"/>
              </w:rPr>
              <w:t xml:space="preserve">Agenda Local RECAM</w:t>
            </w:r>
          </w:p>
        </w:tc>
      </w:tr>
      <w:tr>
        <w:trPr>
          <w:trHeight w:val="315" w:hRule="atLeast"/>
        </w:trPr>
        <w:tc>
          <w:tcPr>
            <w:tcMar>
              <w:top w:w="40.0" w:type="dxa"/>
              <w:left w:w="40.0" w:type="dxa"/>
              <w:bottom w:w="40.0" w:type="dxa"/>
              <w:right w:w="40.0" w:type="dxa"/>
            </w:tcMar>
            <w:vAlign w:val="bottom"/>
          </w:tcPr>
          <w:p w:rsidR="00000000" w:rsidDel="00000000" w:rsidP="00000000" w:rsidRDefault="00000000" w:rsidRPr="00000000" w14:paraId="0000004A">
            <w:pPr>
              <w:widowControl w:val="0"/>
              <w:spacing w:line="276" w:lineRule="auto"/>
              <w:ind w:left="0" w:firstLine="0"/>
              <w:rPr>
                <w:sz w:val="20"/>
                <w:szCs w:val="20"/>
              </w:rPr>
            </w:pPr>
            <w:r w:rsidDel="00000000" w:rsidR="00000000" w:rsidRPr="00000000">
              <w:rPr>
                <w:sz w:val="20"/>
                <w:szCs w:val="20"/>
                <w:rtl w:val="0"/>
              </w:rPr>
              <w:t xml:space="preserve">Alianza de Mujeres Costarricenses</w:t>
            </w:r>
          </w:p>
        </w:tc>
      </w:tr>
      <w:tr>
        <w:trPr>
          <w:trHeight w:val="315" w:hRule="atLeast"/>
        </w:trPr>
        <w:tc>
          <w:tcPr>
            <w:tcMar>
              <w:top w:w="40.0" w:type="dxa"/>
              <w:left w:w="40.0" w:type="dxa"/>
              <w:bottom w:w="40.0" w:type="dxa"/>
              <w:right w:w="40.0" w:type="dxa"/>
            </w:tcMar>
            <w:vAlign w:val="bottom"/>
          </w:tcPr>
          <w:p w:rsidR="00000000" w:rsidDel="00000000" w:rsidP="00000000" w:rsidRDefault="00000000" w:rsidRPr="00000000" w14:paraId="0000004B">
            <w:pPr>
              <w:widowControl w:val="0"/>
              <w:spacing w:line="276" w:lineRule="auto"/>
              <w:ind w:left="0" w:firstLine="0"/>
              <w:rPr>
                <w:sz w:val="20"/>
                <w:szCs w:val="20"/>
              </w:rPr>
            </w:pPr>
            <w:r w:rsidDel="00000000" w:rsidR="00000000" w:rsidRPr="00000000">
              <w:rPr>
                <w:sz w:val="20"/>
                <w:szCs w:val="20"/>
                <w:rtl w:val="0"/>
              </w:rPr>
              <w:t xml:space="preserve">Asociación Ciudadana ACCEDER</w:t>
            </w:r>
          </w:p>
        </w:tc>
      </w:tr>
      <w:tr>
        <w:trPr>
          <w:trHeight w:val="525" w:hRule="atLeast"/>
        </w:trPr>
        <w:tc>
          <w:tcPr>
            <w:tcMar>
              <w:top w:w="40.0" w:type="dxa"/>
              <w:left w:w="40.0" w:type="dxa"/>
              <w:bottom w:w="40.0" w:type="dxa"/>
              <w:right w:w="40.0" w:type="dxa"/>
            </w:tcMar>
            <w:vAlign w:val="bottom"/>
          </w:tcPr>
          <w:p w:rsidR="00000000" w:rsidDel="00000000" w:rsidP="00000000" w:rsidRDefault="00000000" w:rsidRPr="00000000" w14:paraId="0000004C">
            <w:pPr>
              <w:widowControl w:val="0"/>
              <w:spacing w:line="276" w:lineRule="auto"/>
              <w:ind w:left="0" w:firstLine="0"/>
              <w:rPr>
                <w:sz w:val="20"/>
                <w:szCs w:val="20"/>
              </w:rPr>
            </w:pPr>
            <w:r w:rsidDel="00000000" w:rsidR="00000000" w:rsidRPr="00000000">
              <w:rPr>
                <w:sz w:val="20"/>
                <w:szCs w:val="20"/>
                <w:rtl w:val="0"/>
              </w:rPr>
              <w:t xml:space="preserve">ADS</w:t>
            </w:r>
          </w:p>
        </w:tc>
      </w:tr>
      <w:tr>
        <w:trPr>
          <w:trHeight w:val="525" w:hRule="atLeast"/>
        </w:trPr>
        <w:tc>
          <w:tcPr>
            <w:tcMar>
              <w:top w:w="40.0" w:type="dxa"/>
              <w:left w:w="40.0" w:type="dxa"/>
              <w:bottom w:w="40.0" w:type="dxa"/>
              <w:right w:w="40.0" w:type="dxa"/>
            </w:tcMar>
            <w:vAlign w:val="bottom"/>
          </w:tcPr>
          <w:p w:rsidR="00000000" w:rsidDel="00000000" w:rsidP="00000000" w:rsidRDefault="00000000" w:rsidRPr="00000000" w14:paraId="0000004D">
            <w:pPr>
              <w:widowControl w:val="0"/>
              <w:spacing w:line="276" w:lineRule="auto"/>
              <w:ind w:left="0" w:firstLine="0"/>
              <w:rPr>
                <w:sz w:val="20"/>
                <w:szCs w:val="20"/>
              </w:rPr>
            </w:pPr>
            <w:r w:rsidDel="00000000" w:rsidR="00000000" w:rsidRPr="00000000">
              <w:rPr>
                <w:sz w:val="20"/>
                <w:szCs w:val="20"/>
                <w:rtl w:val="0"/>
              </w:rPr>
              <w:t xml:space="preserve">AMUCOODE</w:t>
            </w:r>
          </w:p>
        </w:tc>
      </w:tr>
      <w:tr>
        <w:trPr>
          <w:trHeight w:val="525" w:hRule="atLeast"/>
        </w:trPr>
        <w:tc>
          <w:tcPr>
            <w:tcMar>
              <w:top w:w="40.0" w:type="dxa"/>
              <w:left w:w="40.0" w:type="dxa"/>
              <w:bottom w:w="40.0" w:type="dxa"/>
              <w:right w:w="40.0" w:type="dxa"/>
            </w:tcMar>
            <w:vAlign w:val="bottom"/>
          </w:tcPr>
          <w:p w:rsidR="00000000" w:rsidDel="00000000" w:rsidP="00000000" w:rsidRDefault="00000000" w:rsidRPr="00000000" w14:paraId="0000004E">
            <w:pPr>
              <w:widowControl w:val="0"/>
              <w:spacing w:line="276" w:lineRule="auto"/>
              <w:ind w:left="0" w:firstLine="0"/>
              <w:rPr>
                <w:sz w:val="20"/>
                <w:szCs w:val="20"/>
              </w:rPr>
            </w:pPr>
            <w:r w:rsidDel="00000000" w:rsidR="00000000" w:rsidRPr="00000000">
              <w:rPr>
                <w:sz w:val="20"/>
                <w:szCs w:val="20"/>
                <w:rtl w:val="0"/>
              </w:rPr>
              <w:t xml:space="preserve">Asociación de Trabajadoras Domésticas</w:t>
            </w:r>
          </w:p>
        </w:tc>
      </w:tr>
      <w:tr>
        <w:trPr>
          <w:trHeight w:val="315" w:hRule="atLeast"/>
        </w:trPr>
        <w:tc>
          <w:tcPr>
            <w:tcMar>
              <w:top w:w="40.0" w:type="dxa"/>
              <w:left w:w="40.0" w:type="dxa"/>
              <w:bottom w:w="40.0" w:type="dxa"/>
              <w:right w:w="40.0" w:type="dxa"/>
            </w:tcMar>
            <w:vAlign w:val="bottom"/>
          </w:tcPr>
          <w:p w:rsidR="00000000" w:rsidDel="00000000" w:rsidP="00000000" w:rsidRDefault="00000000" w:rsidRPr="00000000" w14:paraId="0000004F">
            <w:pPr>
              <w:widowControl w:val="0"/>
              <w:spacing w:line="276" w:lineRule="auto"/>
              <w:ind w:left="0" w:firstLine="0"/>
              <w:rPr>
                <w:sz w:val="20"/>
                <w:szCs w:val="20"/>
              </w:rPr>
            </w:pPr>
            <w:r w:rsidDel="00000000" w:rsidR="00000000" w:rsidRPr="00000000">
              <w:rPr>
                <w:sz w:val="20"/>
                <w:szCs w:val="20"/>
                <w:rtl w:val="0"/>
              </w:rPr>
              <w:t xml:space="preserve">MANU</w:t>
            </w:r>
          </w:p>
        </w:tc>
      </w:tr>
      <w:tr>
        <w:trPr>
          <w:trHeight w:val="525" w:hRule="atLeast"/>
        </w:trPr>
        <w:tc>
          <w:tcPr>
            <w:tcMar>
              <w:top w:w="40.0" w:type="dxa"/>
              <w:left w:w="40.0" w:type="dxa"/>
              <w:bottom w:w="40.0" w:type="dxa"/>
              <w:right w:w="40.0" w:type="dxa"/>
            </w:tcMar>
            <w:vAlign w:val="bottom"/>
          </w:tcPr>
          <w:p w:rsidR="00000000" w:rsidDel="00000000" w:rsidP="00000000" w:rsidRDefault="00000000" w:rsidRPr="00000000" w14:paraId="00000050">
            <w:pPr>
              <w:widowControl w:val="0"/>
              <w:spacing w:line="276" w:lineRule="auto"/>
              <w:ind w:left="0" w:firstLine="0"/>
              <w:rPr>
                <w:sz w:val="20"/>
                <w:szCs w:val="20"/>
              </w:rPr>
            </w:pPr>
            <w:r w:rsidDel="00000000" w:rsidR="00000000" w:rsidRPr="00000000">
              <w:rPr>
                <w:sz w:val="20"/>
                <w:szCs w:val="20"/>
                <w:rtl w:val="0"/>
              </w:rPr>
              <w:t xml:space="preserve">Asociación Red de Mujeres Nicaragüenses</w:t>
            </w:r>
          </w:p>
        </w:tc>
      </w:tr>
      <w:tr>
        <w:trPr>
          <w:trHeight w:val="315" w:hRule="atLeast"/>
        </w:trPr>
        <w:tc>
          <w:tcPr>
            <w:tcMar>
              <w:top w:w="40.0" w:type="dxa"/>
              <w:left w:w="40.0" w:type="dxa"/>
              <w:bottom w:w="40.0" w:type="dxa"/>
              <w:right w:w="40.0" w:type="dxa"/>
            </w:tcMar>
            <w:vAlign w:val="bottom"/>
          </w:tcPr>
          <w:p w:rsidR="00000000" w:rsidDel="00000000" w:rsidP="00000000" w:rsidRDefault="00000000" w:rsidRPr="00000000" w14:paraId="00000051">
            <w:pPr>
              <w:widowControl w:val="0"/>
              <w:spacing w:line="276" w:lineRule="auto"/>
              <w:ind w:left="0" w:firstLine="0"/>
              <w:rPr>
                <w:sz w:val="20"/>
                <w:szCs w:val="20"/>
              </w:rPr>
            </w:pPr>
            <w:r w:rsidDel="00000000" w:rsidR="00000000" w:rsidRPr="00000000">
              <w:rPr>
                <w:sz w:val="20"/>
                <w:szCs w:val="20"/>
                <w:rtl w:val="0"/>
              </w:rPr>
              <w:t xml:space="preserve">ASOCIACIÓN TRANSVIDA</w:t>
            </w:r>
          </w:p>
        </w:tc>
      </w:tr>
      <w:tr>
        <w:trPr>
          <w:trHeight w:val="315" w:hRule="atLeast"/>
        </w:trPr>
        <w:tc>
          <w:tcPr>
            <w:tcMar>
              <w:top w:w="40.0" w:type="dxa"/>
              <w:left w:w="40.0" w:type="dxa"/>
              <w:bottom w:w="40.0" w:type="dxa"/>
              <w:right w:w="40.0" w:type="dxa"/>
            </w:tcMar>
            <w:vAlign w:val="bottom"/>
          </w:tcPr>
          <w:p w:rsidR="00000000" w:rsidDel="00000000" w:rsidP="00000000" w:rsidRDefault="00000000" w:rsidRPr="00000000" w14:paraId="00000052">
            <w:pPr>
              <w:widowControl w:val="0"/>
              <w:spacing w:line="276" w:lineRule="auto"/>
              <w:rPr>
                <w:sz w:val="20"/>
                <w:szCs w:val="20"/>
              </w:rPr>
            </w:pPr>
            <w:r w:rsidDel="00000000" w:rsidR="00000000" w:rsidRPr="00000000">
              <w:rPr>
                <w:sz w:val="20"/>
                <w:szCs w:val="20"/>
                <w:rtl w:val="0"/>
              </w:rPr>
              <w:t xml:space="preserve">CENDEROS</w:t>
            </w:r>
          </w:p>
        </w:tc>
      </w:tr>
      <w:tr>
        <w:trPr>
          <w:trHeight w:val="525" w:hRule="atLeast"/>
        </w:trPr>
        <w:tc>
          <w:tcPr>
            <w:tcMar>
              <w:top w:w="40.0" w:type="dxa"/>
              <w:left w:w="40.0" w:type="dxa"/>
              <w:bottom w:w="40.0" w:type="dxa"/>
              <w:right w:w="40.0" w:type="dxa"/>
            </w:tcMar>
            <w:vAlign w:val="bottom"/>
          </w:tcPr>
          <w:p w:rsidR="00000000" w:rsidDel="00000000" w:rsidP="00000000" w:rsidRDefault="00000000" w:rsidRPr="00000000" w14:paraId="00000053">
            <w:pPr>
              <w:widowControl w:val="0"/>
              <w:spacing w:line="276" w:lineRule="auto"/>
              <w:ind w:left="0" w:firstLine="0"/>
              <w:rPr>
                <w:sz w:val="20"/>
                <w:szCs w:val="20"/>
              </w:rPr>
            </w:pPr>
            <w:r w:rsidDel="00000000" w:rsidR="00000000" w:rsidRPr="00000000">
              <w:rPr>
                <w:sz w:val="20"/>
                <w:szCs w:val="20"/>
                <w:rtl w:val="0"/>
              </w:rPr>
              <w:t xml:space="preserve">CIPAC</w:t>
            </w:r>
          </w:p>
        </w:tc>
      </w:tr>
      <w:tr>
        <w:trPr>
          <w:trHeight w:val="414.4775390625" w:hRule="atLeast"/>
        </w:trPr>
        <w:tc>
          <w:tcPr>
            <w:tcMar>
              <w:top w:w="40.0" w:type="dxa"/>
              <w:left w:w="40.0" w:type="dxa"/>
              <w:bottom w:w="40.0" w:type="dxa"/>
              <w:right w:w="40.0" w:type="dxa"/>
            </w:tcMar>
            <w:vAlign w:val="bottom"/>
          </w:tcPr>
          <w:p w:rsidR="00000000" w:rsidDel="00000000" w:rsidP="00000000" w:rsidRDefault="00000000" w:rsidRPr="00000000" w14:paraId="00000054">
            <w:pPr>
              <w:widowControl w:val="0"/>
              <w:spacing w:line="276" w:lineRule="auto"/>
              <w:rPr>
                <w:sz w:val="20"/>
                <w:szCs w:val="20"/>
              </w:rPr>
            </w:pPr>
            <w:r w:rsidDel="00000000" w:rsidR="00000000" w:rsidRPr="00000000">
              <w:rPr>
                <w:sz w:val="20"/>
                <w:szCs w:val="20"/>
                <w:rtl w:val="0"/>
              </w:rPr>
              <w:t xml:space="preserve">FUNCEPA</w:t>
            </w:r>
          </w:p>
        </w:tc>
      </w:tr>
      <w:tr>
        <w:trPr>
          <w:trHeight w:val="315" w:hRule="atLeast"/>
        </w:trPr>
        <w:tc>
          <w:tcPr>
            <w:tcMar>
              <w:top w:w="40.0" w:type="dxa"/>
              <w:left w:w="40.0" w:type="dxa"/>
              <w:bottom w:w="40.0" w:type="dxa"/>
              <w:right w:w="40.0" w:type="dxa"/>
            </w:tcMar>
            <w:vAlign w:val="bottom"/>
          </w:tcPr>
          <w:p w:rsidR="00000000" w:rsidDel="00000000" w:rsidP="00000000" w:rsidRDefault="00000000" w:rsidRPr="00000000" w14:paraId="00000055">
            <w:pPr>
              <w:widowControl w:val="0"/>
              <w:spacing w:line="276" w:lineRule="auto"/>
              <w:rPr>
                <w:sz w:val="20"/>
                <w:szCs w:val="20"/>
              </w:rPr>
            </w:pPr>
            <w:r w:rsidDel="00000000" w:rsidR="00000000" w:rsidRPr="00000000">
              <w:rPr>
                <w:sz w:val="20"/>
                <w:szCs w:val="20"/>
                <w:rtl w:val="0"/>
              </w:rPr>
              <w:t xml:space="preserve">FECODIS</w:t>
            </w:r>
          </w:p>
        </w:tc>
      </w:tr>
      <w:tr>
        <w:trPr>
          <w:trHeight w:val="450" w:hRule="atLeast"/>
        </w:trPr>
        <w:tc>
          <w:tcPr>
            <w:tcMar>
              <w:top w:w="40.0" w:type="dxa"/>
              <w:left w:w="40.0" w:type="dxa"/>
              <w:bottom w:w="40.0" w:type="dxa"/>
              <w:right w:w="40.0" w:type="dxa"/>
            </w:tcMar>
            <w:vAlign w:val="bottom"/>
          </w:tcPr>
          <w:p w:rsidR="00000000" w:rsidDel="00000000" w:rsidP="00000000" w:rsidRDefault="00000000" w:rsidRPr="00000000" w14:paraId="00000056">
            <w:pPr>
              <w:widowControl w:val="0"/>
              <w:spacing w:line="276" w:lineRule="auto"/>
              <w:rPr>
                <w:sz w:val="20"/>
                <w:szCs w:val="20"/>
              </w:rPr>
            </w:pPr>
            <w:r w:rsidDel="00000000" w:rsidR="00000000" w:rsidRPr="00000000">
              <w:rPr>
                <w:sz w:val="20"/>
                <w:szCs w:val="20"/>
                <w:rtl w:val="0"/>
              </w:rPr>
              <w:t xml:space="preserve">Foro de Mujeres Políticas por Costa Rica</w:t>
            </w:r>
          </w:p>
        </w:tc>
      </w:tr>
      <w:tr>
        <w:trPr>
          <w:trHeight w:val="525" w:hRule="atLeast"/>
        </w:trPr>
        <w:tc>
          <w:tcPr>
            <w:tcMar>
              <w:top w:w="40.0" w:type="dxa"/>
              <w:left w:w="40.0" w:type="dxa"/>
              <w:bottom w:w="40.0" w:type="dxa"/>
              <w:right w:w="40.0" w:type="dxa"/>
            </w:tcMar>
            <w:vAlign w:val="bottom"/>
          </w:tcPr>
          <w:p w:rsidR="00000000" w:rsidDel="00000000" w:rsidP="00000000" w:rsidRDefault="00000000" w:rsidRPr="00000000" w14:paraId="00000057">
            <w:pPr>
              <w:widowControl w:val="0"/>
              <w:spacing w:line="276" w:lineRule="auto"/>
              <w:rPr>
                <w:sz w:val="20"/>
                <w:szCs w:val="20"/>
              </w:rPr>
            </w:pPr>
            <w:r w:rsidDel="00000000" w:rsidR="00000000" w:rsidRPr="00000000">
              <w:rPr>
                <w:sz w:val="20"/>
                <w:szCs w:val="20"/>
                <w:rtl w:val="0"/>
              </w:rPr>
              <w:t xml:space="preserve">Grupo Poder Ciudadano</w:t>
            </w:r>
          </w:p>
        </w:tc>
      </w:tr>
      <w:tr>
        <w:trPr>
          <w:trHeight w:val="315" w:hRule="atLeast"/>
        </w:trPr>
        <w:tc>
          <w:tcPr>
            <w:tcMar>
              <w:top w:w="40.0" w:type="dxa"/>
              <w:left w:w="40.0" w:type="dxa"/>
              <w:bottom w:w="40.0" w:type="dxa"/>
              <w:right w:w="40.0" w:type="dxa"/>
            </w:tcMar>
            <w:vAlign w:val="bottom"/>
          </w:tcPr>
          <w:p w:rsidR="00000000" w:rsidDel="00000000" w:rsidP="00000000" w:rsidRDefault="00000000" w:rsidRPr="00000000" w14:paraId="00000058">
            <w:pPr>
              <w:widowControl w:val="0"/>
              <w:spacing w:line="276" w:lineRule="auto"/>
              <w:rPr>
                <w:sz w:val="20"/>
                <w:szCs w:val="20"/>
              </w:rPr>
            </w:pPr>
            <w:r w:rsidDel="00000000" w:rsidR="00000000" w:rsidRPr="00000000">
              <w:rPr>
                <w:sz w:val="20"/>
                <w:szCs w:val="20"/>
                <w:rtl w:val="0"/>
              </w:rPr>
              <w:t xml:space="preserve">MUSADE</w:t>
            </w:r>
          </w:p>
        </w:tc>
      </w:tr>
      <w:tr>
        <w:trPr>
          <w:trHeight w:val="525" w:hRule="atLeast"/>
        </w:trPr>
        <w:tc>
          <w:tcPr>
            <w:tcMar>
              <w:top w:w="40.0" w:type="dxa"/>
              <w:left w:w="40.0" w:type="dxa"/>
              <w:bottom w:w="40.0" w:type="dxa"/>
              <w:right w:w="40.0" w:type="dxa"/>
            </w:tcMar>
            <w:vAlign w:val="bottom"/>
          </w:tcPr>
          <w:p w:rsidR="00000000" w:rsidDel="00000000" w:rsidP="00000000" w:rsidRDefault="00000000" w:rsidRPr="00000000" w14:paraId="00000059">
            <w:pPr>
              <w:widowControl w:val="0"/>
              <w:spacing w:line="276" w:lineRule="auto"/>
              <w:rPr>
                <w:sz w:val="20"/>
                <w:szCs w:val="20"/>
              </w:rPr>
            </w:pPr>
            <w:r w:rsidDel="00000000" w:rsidR="00000000" w:rsidRPr="00000000">
              <w:rPr>
                <w:sz w:val="20"/>
                <w:szCs w:val="20"/>
                <w:rtl w:val="0"/>
              </w:rPr>
              <w:t xml:space="preserve">RECOMM</w:t>
            </w:r>
          </w:p>
        </w:tc>
      </w:tr>
      <w:tr>
        <w:trPr>
          <w:trHeight w:val="525" w:hRule="atLeast"/>
        </w:trPr>
        <w:tc>
          <w:tcPr>
            <w:tcMar>
              <w:top w:w="40.0" w:type="dxa"/>
              <w:left w:w="40.0" w:type="dxa"/>
              <w:bottom w:w="40.0" w:type="dxa"/>
              <w:right w:w="40.0" w:type="dxa"/>
            </w:tcMar>
            <w:vAlign w:val="bottom"/>
          </w:tcPr>
          <w:p w:rsidR="00000000" w:rsidDel="00000000" w:rsidP="00000000" w:rsidRDefault="00000000" w:rsidRPr="00000000" w14:paraId="0000005A">
            <w:pPr>
              <w:widowControl w:val="0"/>
              <w:spacing w:line="276" w:lineRule="auto"/>
              <w:rPr>
                <w:sz w:val="20"/>
                <w:szCs w:val="20"/>
              </w:rPr>
            </w:pPr>
            <w:r w:rsidDel="00000000" w:rsidR="00000000" w:rsidRPr="00000000">
              <w:rPr>
                <w:sz w:val="20"/>
                <w:szCs w:val="20"/>
                <w:rtl w:val="0"/>
              </w:rPr>
              <w:t xml:space="preserve">REMISOD</w:t>
            </w:r>
          </w:p>
        </w:tc>
      </w:tr>
      <w:tr>
        <w:trPr>
          <w:trHeight w:val="525" w:hRule="atLeast"/>
        </w:trPr>
        <w:tc>
          <w:tcPr>
            <w:tcMar>
              <w:top w:w="40.0" w:type="dxa"/>
              <w:left w:w="40.0" w:type="dxa"/>
              <w:bottom w:w="40.0" w:type="dxa"/>
              <w:right w:w="40.0" w:type="dxa"/>
            </w:tcMar>
            <w:vAlign w:val="bottom"/>
          </w:tcPr>
          <w:p w:rsidR="00000000" w:rsidDel="00000000" w:rsidP="00000000" w:rsidRDefault="00000000" w:rsidRPr="00000000" w14:paraId="0000005B">
            <w:pPr>
              <w:widowControl w:val="0"/>
              <w:spacing w:line="276" w:lineRule="auto"/>
              <w:ind w:left="0" w:firstLine="0"/>
              <w:rPr>
                <w:sz w:val="20"/>
                <w:szCs w:val="20"/>
              </w:rPr>
            </w:pPr>
            <w:r w:rsidDel="00000000" w:rsidR="00000000" w:rsidRPr="00000000">
              <w:rPr>
                <w:sz w:val="20"/>
                <w:szCs w:val="20"/>
                <w:rtl w:val="0"/>
              </w:rPr>
              <w:t xml:space="preserve">-</w:t>
            </w:r>
          </w:p>
        </w:tc>
      </w:tr>
    </w:tbl>
    <w:p w:rsidR="00000000" w:rsidDel="00000000" w:rsidP="00000000" w:rsidRDefault="00000000" w:rsidRPr="00000000" w14:paraId="0000005C">
      <w:pPr>
        <w:rPr>
          <w:rFonts w:ascii="Tahoma" w:cs="Tahoma" w:eastAsia="Tahoma" w:hAnsi="Tahoma"/>
          <w:sz w:val="20"/>
          <w:szCs w:val="20"/>
        </w:rPr>
      </w:pPr>
      <w:bookmarkStart w:colFirst="0" w:colLast="0" w:name="_heading=h.21hsz96rixlv" w:id="3"/>
      <w:bookmarkEnd w:id="3"/>
      <w:r w:rsidDel="00000000" w:rsidR="00000000" w:rsidRPr="00000000">
        <w:rPr>
          <w:rtl w:val="0"/>
        </w:rPr>
      </w:r>
    </w:p>
    <w:p w:rsidR="00000000" w:rsidDel="00000000" w:rsidP="00000000" w:rsidRDefault="00000000" w:rsidRPr="00000000" w14:paraId="0000005D">
      <w:pPr>
        <w:rPr>
          <w:rFonts w:ascii="Tahoma" w:cs="Tahoma" w:eastAsia="Tahoma" w:hAnsi="Tahoma"/>
          <w:sz w:val="20"/>
          <w:szCs w:val="20"/>
        </w:rPr>
      </w:pPr>
      <w:bookmarkStart w:colFirst="0" w:colLast="0" w:name="_heading=h.u1pfnkl4bkbi" w:id="4"/>
      <w:bookmarkEnd w:id="4"/>
      <w:r w:rsidDel="00000000" w:rsidR="00000000" w:rsidRPr="00000000">
        <w:rPr>
          <w:rtl w:val="0"/>
        </w:rPr>
      </w:r>
    </w:p>
    <w:p w:rsidR="00000000" w:rsidDel="00000000" w:rsidP="00000000" w:rsidRDefault="00000000" w:rsidRPr="00000000" w14:paraId="0000005E">
      <w:pPr>
        <w:rPr>
          <w:rFonts w:ascii="Tahoma" w:cs="Tahoma" w:eastAsia="Tahoma" w:hAnsi="Tahoma"/>
          <w:sz w:val="20"/>
          <w:szCs w:val="20"/>
        </w:rPr>
      </w:pPr>
      <w:bookmarkStart w:colFirst="0" w:colLast="0" w:name="_heading=h.pliwc1uv2tg5" w:id="5"/>
      <w:bookmarkEnd w:id="5"/>
      <w:r w:rsidDel="00000000" w:rsidR="00000000" w:rsidRPr="00000000">
        <w:rPr>
          <w:rtl w:val="0"/>
        </w:rPr>
      </w:r>
    </w:p>
    <w:p w:rsidR="00000000" w:rsidDel="00000000" w:rsidP="00000000" w:rsidRDefault="00000000" w:rsidRPr="00000000" w14:paraId="0000005F">
      <w:pPr>
        <w:rPr>
          <w:rFonts w:ascii="Tahoma" w:cs="Tahoma" w:eastAsia="Tahoma" w:hAnsi="Tahoma"/>
          <w:sz w:val="20"/>
          <w:szCs w:val="20"/>
        </w:rPr>
      </w:pPr>
      <w:bookmarkStart w:colFirst="0" w:colLast="0" w:name="_heading=h.15teg4ubeb9v" w:id="6"/>
      <w:bookmarkEnd w:id="6"/>
      <w:r w:rsidDel="00000000" w:rsidR="00000000" w:rsidRPr="00000000">
        <w:br w:type="page"/>
      </w:r>
      <w:r w:rsidDel="00000000" w:rsidR="00000000" w:rsidRPr="00000000">
        <w:rPr>
          <w:rtl w:val="0"/>
        </w:rPr>
      </w:r>
    </w:p>
    <w:p w:rsidR="00000000" w:rsidDel="00000000" w:rsidP="00000000" w:rsidRDefault="00000000" w:rsidRPr="00000000" w14:paraId="00000060">
      <w:pPr>
        <w:rPr>
          <w:rFonts w:ascii="Tahoma" w:cs="Tahoma" w:eastAsia="Tahoma" w:hAnsi="Tahoma"/>
          <w:b w:val="1"/>
          <w:sz w:val="20"/>
          <w:szCs w:val="20"/>
        </w:rPr>
      </w:pPr>
      <w:bookmarkStart w:colFirst="0" w:colLast="0" w:name="_heading=h.7is67hvqo2x8" w:id="7"/>
      <w:bookmarkEnd w:id="7"/>
      <w:r w:rsidDel="00000000" w:rsidR="00000000" w:rsidRPr="00000000">
        <w:rPr>
          <w:rFonts w:ascii="Tahoma" w:cs="Tahoma" w:eastAsia="Tahoma" w:hAnsi="Tahoma"/>
          <w:b w:val="1"/>
          <w:sz w:val="20"/>
          <w:szCs w:val="20"/>
          <w:rtl w:val="0"/>
        </w:rPr>
        <w:t xml:space="preserve">ANEXOS</w:t>
      </w:r>
    </w:p>
    <w:p w:rsidR="00000000" w:rsidDel="00000000" w:rsidP="00000000" w:rsidRDefault="00000000" w:rsidRPr="00000000" w14:paraId="00000061">
      <w:pPr>
        <w:rPr>
          <w:rFonts w:ascii="Tahoma" w:cs="Tahoma" w:eastAsia="Tahoma" w:hAnsi="Tahoma"/>
          <w:sz w:val="20"/>
          <w:szCs w:val="20"/>
        </w:rPr>
      </w:pPr>
      <w:bookmarkStart w:colFirst="0" w:colLast="0" w:name="_heading=h.v6u45te42qq7" w:id="8"/>
      <w:bookmarkEnd w:id="8"/>
      <w:r w:rsidDel="00000000" w:rsidR="00000000" w:rsidRPr="00000000">
        <w:rPr>
          <w:rFonts w:ascii="Tahoma" w:cs="Tahoma" w:eastAsia="Tahoma" w:hAnsi="Tahoma"/>
          <w:b w:val="1"/>
          <w:sz w:val="20"/>
          <w:szCs w:val="20"/>
          <w:rtl w:val="0"/>
        </w:rPr>
        <w:t xml:space="preserve">I </w:t>
      </w:r>
      <w:r w:rsidDel="00000000" w:rsidR="00000000" w:rsidRPr="00000000">
        <w:rPr>
          <w:rFonts w:ascii="Tahoma" w:cs="Tahoma" w:eastAsia="Tahoma" w:hAnsi="Tahoma"/>
          <w:sz w:val="20"/>
          <w:szCs w:val="20"/>
          <w:rtl w:val="0"/>
        </w:rPr>
        <w:t xml:space="preserve"> </w:t>
      </w:r>
      <w:hyperlink r:id="rId10">
        <w:r w:rsidDel="00000000" w:rsidR="00000000" w:rsidRPr="00000000">
          <w:rPr>
            <w:rFonts w:ascii="Tahoma" w:cs="Tahoma" w:eastAsia="Tahoma" w:hAnsi="Tahoma"/>
            <w:color w:val="1155cc"/>
            <w:sz w:val="20"/>
            <w:szCs w:val="20"/>
            <w:u w:val="single"/>
            <w:rtl w:val="0"/>
          </w:rPr>
          <w:t xml:space="preserve">Agenda de las Mujeres para la exigibilidad de las recomendaciones del Comité CEDAW sobre el 7 examen periódico de Costa Rica 2018</w:t>
        </w:r>
      </w:hyperlink>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62">
      <w:pPr>
        <w:spacing w:after="240" w:before="240" w:line="360"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63">
      <w:pPr>
        <w:spacing w:after="240" w:before="240" w:line="360" w:lineRule="auto"/>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II </w:t>
      </w:r>
      <w:hyperlink r:id="rId11">
        <w:r w:rsidDel="00000000" w:rsidR="00000000" w:rsidRPr="00000000">
          <w:rPr>
            <w:rFonts w:ascii="Tahoma" w:cs="Tahoma" w:eastAsia="Tahoma" w:hAnsi="Tahoma"/>
            <w:color w:val="1155cc"/>
            <w:sz w:val="20"/>
            <w:szCs w:val="20"/>
            <w:u w:val="single"/>
            <w:rtl w:val="0"/>
          </w:rPr>
          <w:t xml:space="preserve">Informe de ASTRADOMES sobre la situación de las mujeres trabajadoras domésticas en Costa Rica</w:t>
        </w:r>
      </w:hyperlink>
      <w:r w:rsidDel="00000000" w:rsidR="00000000" w:rsidRPr="00000000">
        <w:rPr>
          <w:rtl w:val="0"/>
        </w:rPr>
      </w:r>
    </w:p>
    <w:p w:rsidR="00000000" w:rsidDel="00000000" w:rsidP="00000000" w:rsidRDefault="00000000" w:rsidRPr="00000000" w14:paraId="00000064">
      <w:pPr>
        <w:spacing w:after="240" w:before="240" w:line="360" w:lineRule="auto"/>
        <w:ind w:left="0" w:firstLine="0"/>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65">
      <w:pPr>
        <w:spacing w:after="240" w:before="240" w:line="360" w:lineRule="auto"/>
        <w:ind w:left="0"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III </w:t>
      </w:r>
    </w:p>
    <w:p w:rsidR="00000000" w:rsidDel="00000000" w:rsidP="00000000" w:rsidRDefault="00000000" w:rsidRPr="00000000" w14:paraId="00000066">
      <w:pPr>
        <w:spacing w:after="240" w:before="240" w:line="360" w:lineRule="auto"/>
        <w:rPr>
          <w:rFonts w:ascii="Tahoma" w:cs="Tahoma" w:eastAsia="Tahoma" w:hAnsi="Tahoma"/>
          <w:sz w:val="20"/>
          <w:szCs w:val="20"/>
        </w:rPr>
      </w:pPr>
      <w:hyperlink r:id="rId12">
        <w:r w:rsidDel="00000000" w:rsidR="00000000" w:rsidRPr="00000000">
          <w:rPr>
            <w:rFonts w:ascii="Tahoma" w:cs="Tahoma" w:eastAsia="Tahoma" w:hAnsi="Tahoma"/>
            <w:color w:val="1155cc"/>
            <w:sz w:val="20"/>
            <w:szCs w:val="20"/>
            <w:u w:val="single"/>
            <w:rtl w:val="0"/>
          </w:rPr>
          <w:t xml:space="preserve">Noticia 1 </w:t>
        </w:r>
      </w:hyperlink>
      <w:r w:rsidDel="00000000" w:rsidR="00000000" w:rsidRPr="00000000">
        <w:rPr>
          <w:rtl w:val="0"/>
        </w:rPr>
      </w:r>
    </w:p>
    <w:p w:rsidR="00000000" w:rsidDel="00000000" w:rsidP="00000000" w:rsidRDefault="00000000" w:rsidRPr="00000000" w14:paraId="00000067">
      <w:pPr>
        <w:spacing w:after="240" w:before="240" w:line="360" w:lineRule="auto"/>
        <w:rPr>
          <w:rFonts w:ascii="Tahoma" w:cs="Tahoma" w:eastAsia="Tahoma" w:hAnsi="Tahoma"/>
          <w:sz w:val="20"/>
          <w:szCs w:val="20"/>
        </w:rPr>
      </w:pPr>
      <w:hyperlink r:id="rId13">
        <w:r w:rsidDel="00000000" w:rsidR="00000000" w:rsidRPr="00000000">
          <w:rPr>
            <w:rFonts w:ascii="Tahoma" w:cs="Tahoma" w:eastAsia="Tahoma" w:hAnsi="Tahoma"/>
            <w:color w:val="1155cc"/>
            <w:sz w:val="20"/>
            <w:szCs w:val="20"/>
            <w:u w:val="single"/>
            <w:rtl w:val="0"/>
          </w:rPr>
          <w:t xml:space="preserve">Noticia 2 </w:t>
        </w:r>
      </w:hyperlink>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68">
      <w:pPr>
        <w:spacing w:after="240" w:before="240" w:line="360" w:lineRule="auto"/>
        <w:rPr>
          <w:rFonts w:ascii="Tahoma" w:cs="Tahoma" w:eastAsia="Tahoma" w:hAnsi="Tahoma"/>
          <w:sz w:val="20"/>
          <w:szCs w:val="20"/>
        </w:rPr>
      </w:pPr>
      <w:hyperlink r:id="rId14">
        <w:r w:rsidDel="00000000" w:rsidR="00000000" w:rsidRPr="00000000">
          <w:rPr>
            <w:rFonts w:ascii="Tahoma" w:cs="Tahoma" w:eastAsia="Tahoma" w:hAnsi="Tahoma"/>
            <w:color w:val="1155cc"/>
            <w:sz w:val="20"/>
            <w:szCs w:val="20"/>
            <w:u w:val="single"/>
            <w:rtl w:val="0"/>
          </w:rPr>
          <w:t xml:space="preserve">Noticia 3  </w:t>
        </w:r>
      </w:hyperlink>
      <w:r w:rsidDel="00000000" w:rsidR="00000000" w:rsidRPr="00000000">
        <w:rPr>
          <w:rtl w:val="0"/>
        </w:rPr>
      </w:r>
    </w:p>
    <w:p w:rsidR="00000000" w:rsidDel="00000000" w:rsidP="00000000" w:rsidRDefault="00000000" w:rsidRPr="00000000" w14:paraId="00000069">
      <w:pPr>
        <w:spacing w:after="240" w:before="240" w:line="360" w:lineRule="auto"/>
        <w:ind w:left="0" w:firstLine="0"/>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6A">
      <w:pPr>
        <w:spacing w:after="240" w:before="240" w:line="360" w:lineRule="auto"/>
        <w:ind w:left="0"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IV </w:t>
      </w:r>
    </w:p>
    <w:p w:rsidR="00000000" w:rsidDel="00000000" w:rsidP="00000000" w:rsidRDefault="00000000" w:rsidRPr="00000000" w14:paraId="0000006B">
      <w:pPr>
        <w:spacing w:after="240" w:before="240" w:line="360" w:lineRule="auto"/>
        <w:rPr/>
      </w:pPr>
      <w:hyperlink r:id="rId15">
        <w:r w:rsidDel="00000000" w:rsidR="00000000" w:rsidRPr="00000000">
          <w:rPr>
            <w:rFonts w:ascii="Tahoma" w:cs="Tahoma" w:eastAsia="Tahoma" w:hAnsi="Tahoma"/>
            <w:color w:val="1155cc"/>
            <w:sz w:val="20"/>
            <w:szCs w:val="20"/>
            <w:u w:val="single"/>
            <w:rtl w:val="0"/>
          </w:rPr>
          <w:t xml:space="preserve">Noticia 4</w:t>
        </w:r>
      </w:hyperlink>
      <w:r w:rsidDel="00000000" w:rsidR="00000000" w:rsidRPr="00000000">
        <w:rPr>
          <w:rtl w:val="0"/>
        </w:rPr>
      </w:r>
    </w:p>
    <w:p w:rsidR="00000000" w:rsidDel="00000000" w:rsidP="00000000" w:rsidRDefault="00000000" w:rsidRPr="00000000" w14:paraId="0000006C">
      <w:pPr>
        <w:spacing w:after="240" w:before="240" w:line="360" w:lineRule="auto"/>
        <w:rPr>
          <w:rFonts w:ascii="Tahoma" w:cs="Tahoma" w:eastAsia="Tahoma" w:hAnsi="Tahoma"/>
          <w:sz w:val="20"/>
          <w:szCs w:val="20"/>
        </w:rPr>
      </w:pPr>
      <w:hyperlink r:id="rId16">
        <w:r w:rsidDel="00000000" w:rsidR="00000000" w:rsidRPr="00000000">
          <w:rPr>
            <w:rFonts w:ascii="Tahoma" w:cs="Tahoma" w:eastAsia="Tahoma" w:hAnsi="Tahoma"/>
            <w:color w:val="1155cc"/>
            <w:sz w:val="20"/>
            <w:szCs w:val="20"/>
            <w:u w:val="single"/>
            <w:rtl w:val="0"/>
          </w:rPr>
          <w:t xml:space="preserve">Noticia 5</w:t>
        </w:r>
      </w:hyperlink>
      <w:r w:rsidDel="00000000" w:rsidR="00000000" w:rsidRPr="00000000">
        <w:rPr>
          <w:rtl w:val="0"/>
        </w:rPr>
      </w:r>
    </w:p>
    <w:p w:rsidR="00000000" w:rsidDel="00000000" w:rsidP="00000000" w:rsidRDefault="00000000" w:rsidRPr="00000000" w14:paraId="0000006D">
      <w:pPr>
        <w:spacing w:after="240" w:before="240" w:line="360" w:lineRule="auto"/>
        <w:rPr>
          <w:rFonts w:ascii="Tahoma" w:cs="Tahoma" w:eastAsia="Tahoma" w:hAnsi="Tahoma"/>
          <w:sz w:val="20"/>
          <w:szCs w:val="20"/>
        </w:rPr>
      </w:pPr>
      <w:hyperlink r:id="rId17">
        <w:r w:rsidDel="00000000" w:rsidR="00000000" w:rsidRPr="00000000">
          <w:rPr>
            <w:rFonts w:ascii="Tahoma" w:cs="Tahoma" w:eastAsia="Tahoma" w:hAnsi="Tahoma"/>
            <w:color w:val="1155cc"/>
            <w:sz w:val="20"/>
            <w:szCs w:val="20"/>
            <w:u w:val="single"/>
            <w:rtl w:val="0"/>
          </w:rPr>
          <w:t xml:space="preserve">Noticia 6</w:t>
        </w:r>
      </w:hyperlink>
      <w:r w:rsidDel="00000000" w:rsidR="00000000" w:rsidRPr="00000000">
        <w:rPr>
          <w:rtl w:val="0"/>
        </w:rPr>
      </w:r>
    </w:p>
    <w:p w:rsidR="00000000" w:rsidDel="00000000" w:rsidP="00000000" w:rsidRDefault="00000000" w:rsidRPr="00000000" w14:paraId="0000006E">
      <w:pPr>
        <w:spacing w:after="240" w:before="240" w:line="360" w:lineRule="auto"/>
        <w:rPr>
          <w:rFonts w:ascii="Tahoma" w:cs="Tahoma" w:eastAsia="Tahoma" w:hAnsi="Tahoma"/>
          <w:sz w:val="20"/>
          <w:szCs w:val="20"/>
        </w:rPr>
      </w:pPr>
      <w:hyperlink r:id="rId18">
        <w:r w:rsidDel="00000000" w:rsidR="00000000" w:rsidRPr="00000000">
          <w:rPr>
            <w:rFonts w:ascii="Tahoma" w:cs="Tahoma" w:eastAsia="Tahoma" w:hAnsi="Tahoma"/>
            <w:color w:val="1155cc"/>
            <w:sz w:val="20"/>
            <w:szCs w:val="20"/>
            <w:u w:val="single"/>
            <w:rtl w:val="0"/>
          </w:rPr>
          <w:t xml:space="preserve">Noticia 7</w:t>
        </w:r>
      </w:hyperlink>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6F">
      <w:pPr>
        <w:spacing w:after="240" w:before="240" w:line="360" w:lineRule="auto"/>
        <w:rPr>
          <w:rFonts w:ascii="Tahoma" w:cs="Tahoma" w:eastAsia="Tahoma" w:hAnsi="Tahoma"/>
          <w:b w:val="1"/>
          <w:sz w:val="20"/>
          <w:szCs w:val="20"/>
        </w:rPr>
      </w:pPr>
      <w:hyperlink r:id="rId19">
        <w:r w:rsidDel="00000000" w:rsidR="00000000" w:rsidRPr="00000000">
          <w:rPr>
            <w:rFonts w:ascii="Tahoma" w:cs="Tahoma" w:eastAsia="Tahoma" w:hAnsi="Tahoma"/>
            <w:color w:val="1155cc"/>
            <w:sz w:val="20"/>
            <w:szCs w:val="20"/>
            <w:u w:val="single"/>
            <w:rtl w:val="0"/>
          </w:rPr>
          <w:t xml:space="preserve">Noticia 8</w:t>
        </w:r>
      </w:hyperlink>
      <w:r w:rsidDel="00000000" w:rsidR="00000000" w:rsidRPr="00000000">
        <w:rPr>
          <w:rtl w:val="0"/>
        </w:rPr>
      </w:r>
    </w:p>
    <w:p w:rsidR="00000000" w:rsidDel="00000000" w:rsidP="00000000" w:rsidRDefault="00000000" w:rsidRPr="00000000" w14:paraId="00000070">
      <w:pPr>
        <w:spacing w:after="240" w:before="240" w:line="360" w:lineRule="auto"/>
        <w:ind w:left="0" w:firstLine="0"/>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71">
      <w:pPr>
        <w:spacing w:after="240" w:before="240" w:line="360" w:lineRule="auto"/>
        <w:ind w:left="0"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V</w:t>
      </w:r>
    </w:p>
    <w:p w:rsidR="00000000" w:rsidDel="00000000" w:rsidP="00000000" w:rsidRDefault="00000000" w:rsidRPr="00000000" w14:paraId="00000072">
      <w:pPr>
        <w:spacing w:after="240" w:before="240" w:line="360" w:lineRule="auto"/>
        <w:ind w:left="0" w:firstLine="0"/>
        <w:rPr>
          <w:rFonts w:ascii="Tahoma" w:cs="Tahoma" w:eastAsia="Tahoma" w:hAnsi="Tahoma"/>
          <w:sz w:val="20"/>
          <w:szCs w:val="20"/>
        </w:rPr>
      </w:pPr>
      <w:hyperlink r:id="rId20">
        <w:r w:rsidDel="00000000" w:rsidR="00000000" w:rsidRPr="00000000">
          <w:rPr>
            <w:rFonts w:ascii="Tahoma" w:cs="Tahoma" w:eastAsia="Tahoma" w:hAnsi="Tahoma"/>
            <w:color w:val="1155cc"/>
            <w:sz w:val="20"/>
            <w:szCs w:val="20"/>
            <w:u w:val="single"/>
            <w:rtl w:val="0"/>
          </w:rPr>
          <w:t xml:space="preserve">Noticia 9</w:t>
        </w:r>
      </w:hyperlink>
      <w:r w:rsidDel="00000000" w:rsidR="00000000" w:rsidRPr="00000000">
        <w:rPr>
          <w:rtl w:val="0"/>
        </w:rPr>
      </w:r>
    </w:p>
    <w:p w:rsidR="00000000" w:rsidDel="00000000" w:rsidP="00000000" w:rsidRDefault="00000000" w:rsidRPr="00000000" w14:paraId="00000073">
      <w:pPr>
        <w:spacing w:after="240" w:before="240" w:line="360" w:lineRule="auto"/>
        <w:ind w:left="0" w:firstLine="0"/>
        <w:rPr>
          <w:rFonts w:ascii="Tahoma" w:cs="Tahoma" w:eastAsia="Tahoma" w:hAnsi="Tahoma"/>
          <w:sz w:val="20"/>
          <w:szCs w:val="20"/>
        </w:rPr>
      </w:pPr>
      <w:hyperlink r:id="rId21">
        <w:r w:rsidDel="00000000" w:rsidR="00000000" w:rsidRPr="00000000">
          <w:rPr>
            <w:rFonts w:ascii="Tahoma" w:cs="Tahoma" w:eastAsia="Tahoma" w:hAnsi="Tahoma"/>
            <w:color w:val="1155cc"/>
            <w:sz w:val="20"/>
            <w:szCs w:val="20"/>
            <w:u w:val="single"/>
            <w:rtl w:val="0"/>
          </w:rPr>
          <w:t xml:space="preserve">Noticia 10</w:t>
        </w:r>
      </w:hyperlink>
      <w:r w:rsidDel="00000000" w:rsidR="00000000" w:rsidRPr="00000000">
        <w:rPr>
          <w:rtl w:val="0"/>
        </w:rPr>
      </w:r>
    </w:p>
    <w:p w:rsidR="00000000" w:rsidDel="00000000" w:rsidP="00000000" w:rsidRDefault="00000000" w:rsidRPr="00000000" w14:paraId="00000074">
      <w:pPr>
        <w:spacing w:after="240" w:before="240" w:line="360" w:lineRule="auto"/>
        <w:ind w:left="0" w:firstLine="0"/>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75">
      <w:pPr>
        <w:spacing w:after="240" w:before="240" w:line="360" w:lineRule="auto"/>
        <w:ind w:left="0"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VI </w:t>
      </w:r>
    </w:p>
    <w:p w:rsidR="00000000" w:rsidDel="00000000" w:rsidP="00000000" w:rsidRDefault="00000000" w:rsidRPr="00000000" w14:paraId="00000076">
      <w:pPr>
        <w:spacing w:after="240" w:before="240" w:line="360" w:lineRule="auto"/>
        <w:rPr>
          <w:rFonts w:ascii="Tahoma" w:cs="Tahoma" w:eastAsia="Tahoma" w:hAnsi="Tahoma"/>
          <w:sz w:val="20"/>
          <w:szCs w:val="20"/>
        </w:rPr>
      </w:pPr>
      <w:hyperlink r:id="rId22">
        <w:r w:rsidDel="00000000" w:rsidR="00000000" w:rsidRPr="00000000">
          <w:rPr>
            <w:rFonts w:ascii="Tahoma" w:cs="Tahoma" w:eastAsia="Tahoma" w:hAnsi="Tahoma"/>
            <w:color w:val="1155cc"/>
            <w:sz w:val="20"/>
            <w:szCs w:val="20"/>
            <w:u w:val="single"/>
            <w:rtl w:val="0"/>
          </w:rPr>
          <w:t xml:space="preserve">Noticia 11</w:t>
        </w:r>
      </w:hyperlink>
      <w:r w:rsidDel="00000000" w:rsidR="00000000" w:rsidRPr="00000000">
        <w:rPr>
          <w:rtl w:val="0"/>
        </w:rPr>
      </w:r>
    </w:p>
    <w:p w:rsidR="00000000" w:rsidDel="00000000" w:rsidP="00000000" w:rsidRDefault="00000000" w:rsidRPr="00000000" w14:paraId="00000077">
      <w:pPr>
        <w:spacing w:after="240" w:before="240" w:line="360" w:lineRule="auto"/>
        <w:rPr>
          <w:rFonts w:ascii="Tahoma" w:cs="Tahoma" w:eastAsia="Tahoma" w:hAnsi="Tahoma"/>
          <w:sz w:val="20"/>
          <w:szCs w:val="20"/>
        </w:rPr>
      </w:pPr>
      <w:hyperlink r:id="rId23">
        <w:r w:rsidDel="00000000" w:rsidR="00000000" w:rsidRPr="00000000">
          <w:rPr>
            <w:rFonts w:ascii="Tahoma" w:cs="Tahoma" w:eastAsia="Tahoma" w:hAnsi="Tahoma"/>
            <w:color w:val="1155cc"/>
            <w:sz w:val="20"/>
            <w:szCs w:val="20"/>
            <w:u w:val="single"/>
            <w:rtl w:val="0"/>
          </w:rPr>
          <w:t xml:space="preserve">Noticia 12</w:t>
        </w:r>
      </w:hyperlink>
      <w:r w:rsidDel="00000000" w:rsidR="00000000" w:rsidRPr="00000000">
        <w:rPr>
          <w:rtl w:val="0"/>
        </w:rPr>
      </w:r>
    </w:p>
    <w:p w:rsidR="00000000" w:rsidDel="00000000" w:rsidP="00000000" w:rsidRDefault="00000000" w:rsidRPr="00000000" w14:paraId="00000078">
      <w:pPr>
        <w:spacing w:after="240" w:before="240" w:line="360" w:lineRule="auto"/>
        <w:rPr>
          <w:rFonts w:ascii="Tahoma" w:cs="Tahoma" w:eastAsia="Tahoma" w:hAnsi="Tahoma"/>
          <w:sz w:val="20"/>
          <w:szCs w:val="20"/>
        </w:rPr>
      </w:pPr>
      <w:hyperlink r:id="rId24">
        <w:r w:rsidDel="00000000" w:rsidR="00000000" w:rsidRPr="00000000">
          <w:rPr>
            <w:rFonts w:ascii="Tahoma" w:cs="Tahoma" w:eastAsia="Tahoma" w:hAnsi="Tahoma"/>
            <w:color w:val="1155cc"/>
            <w:sz w:val="20"/>
            <w:szCs w:val="20"/>
            <w:u w:val="single"/>
            <w:rtl w:val="0"/>
          </w:rPr>
          <w:t xml:space="preserve">Noticia 13</w:t>
        </w:r>
      </w:hyperlink>
      <w:r w:rsidDel="00000000" w:rsidR="00000000" w:rsidRPr="00000000">
        <w:rPr>
          <w:rtl w:val="0"/>
        </w:rPr>
      </w:r>
    </w:p>
    <w:sectPr>
      <w:type w:val="nextPage"/>
      <w:pgSz w:h="15840" w:w="12240"/>
      <w:pgMar w:bottom="1417" w:top="1417" w:left="1701" w:right="1701" w:header="708" w:footer="708"/>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center"/>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Agenda de Mujeres para la exigibilidad de las recomendaciones del Comité CEDAW sobre el sétimo examen periódico de Costa Rica / Sistema de las Naciones Unidas en Costa Rica y Defensoría de los Habitantes de la República de Costa Rica. San José, 2018.  Se adjunta el documento.</w:t>
      </w:r>
    </w:p>
  </w:footnote>
  <w:footnote w:id="1">
    <w:p w:rsidR="00000000" w:rsidDel="00000000" w:rsidP="00000000" w:rsidRDefault="00000000" w:rsidRPr="00000000" w14:paraId="0000007A">
      <w:pPr>
        <w:pBdr>
          <w:top w:space="0" w:sz="0" w:val="nil"/>
          <w:left w:space="0" w:sz="0" w:val="nil"/>
          <w:bottom w:space="0" w:sz="0" w:val="nil"/>
          <w:right w:space="0" w:sz="0" w:val="nil"/>
          <w:between w:space="0" w:sz="0" w:val="nil"/>
        </w:pBdr>
        <w:spacing w:line="240" w:lineRule="auto"/>
        <w:rPr>
          <w:rFonts w:ascii="Tahoma" w:cs="Tahoma" w:eastAsia="Tahoma" w:hAnsi="Tahoma"/>
          <w:color w:val="000000"/>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color w:val="000000"/>
          <w:sz w:val="18"/>
          <w:szCs w:val="18"/>
          <w:rtl w:val="0"/>
        </w:rPr>
        <w:t xml:space="preserve"> En consonancia con la definición de la Licencias de paternidad establecida por la OIT.</w:t>
      </w:r>
    </w:p>
  </w:footnote>
  <w:footnote w:id="2">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40" w:lineRule="auto"/>
        <w:jc w:val="both"/>
        <w:rPr>
          <w:rFonts w:ascii="Tahoma" w:cs="Tahoma" w:eastAsia="Tahoma" w:hAnsi="Tahoma"/>
          <w:color w:val="000000"/>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color w:val="000000"/>
          <w:sz w:val="18"/>
          <w:szCs w:val="18"/>
          <w:rtl w:val="0"/>
        </w:rPr>
        <w:t xml:space="preserve"> Según la Encuesta Nacional de Hogares del 2018. (ENAHO, 2018)</w:t>
      </w:r>
    </w:p>
  </w:footnote>
  <w:footnote w:id="3">
    <w:p w:rsidR="00000000" w:rsidDel="00000000" w:rsidP="00000000" w:rsidRDefault="00000000" w:rsidRPr="00000000" w14:paraId="0000007C">
      <w:pPr>
        <w:pBdr>
          <w:top w:space="0" w:sz="0" w:val="nil"/>
          <w:left w:space="0" w:sz="0" w:val="nil"/>
          <w:bottom w:space="0" w:sz="0" w:val="nil"/>
          <w:right w:space="0" w:sz="0" w:val="nil"/>
          <w:between w:space="0" w:sz="0" w:val="nil"/>
        </w:pBdr>
        <w:spacing w:line="240" w:lineRule="auto"/>
        <w:jc w:val="both"/>
        <w:rPr>
          <w:rFonts w:ascii="Tahoma" w:cs="Tahoma" w:eastAsia="Tahoma" w:hAnsi="Tahoma"/>
          <w:color w:val="000000"/>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color w:val="000000"/>
          <w:sz w:val="18"/>
          <w:szCs w:val="18"/>
          <w:rtl w:val="0"/>
        </w:rPr>
        <w:t xml:space="preserve"> Sobre una referencia de 167907 casos, por ajustes de categorización del cuestionario. (ENAHO, 2018).</w:t>
      </w:r>
    </w:p>
  </w:footnote>
  <w:footnote w:id="4">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Ver Anexo II</w:t>
      </w:r>
      <w:r w:rsidDel="00000000" w:rsidR="00000000" w:rsidRPr="00000000">
        <w:rPr>
          <w:rtl w:val="0"/>
        </w:rPr>
      </w:r>
    </w:p>
  </w:footnote>
  <w:footnote w:id="5">
    <w:p w:rsidR="00000000" w:rsidDel="00000000" w:rsidP="00000000" w:rsidRDefault="00000000" w:rsidRPr="00000000" w14:paraId="0000007E">
      <w:pPr>
        <w:pBdr>
          <w:top w:space="0" w:sz="0" w:val="nil"/>
          <w:left w:space="0" w:sz="0" w:val="nil"/>
          <w:bottom w:space="0" w:sz="0" w:val="nil"/>
          <w:right w:space="0" w:sz="0" w:val="nil"/>
          <w:between w:space="0" w:sz="0" w:val="nil"/>
        </w:pBdr>
        <w:spacing w:line="240" w:lineRule="auto"/>
        <w:jc w:val="both"/>
        <w:rPr>
          <w:rFonts w:ascii="Tahoma" w:cs="Tahoma" w:eastAsia="Tahoma" w:hAnsi="Tahoma"/>
          <w:color w:val="000000"/>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color w:val="000000"/>
          <w:sz w:val="18"/>
          <w:szCs w:val="18"/>
          <w:rtl w:val="0"/>
        </w:rPr>
        <w:t xml:space="preserve"> Solicitud directa (CEACR) - </w:t>
      </w:r>
      <w:hyperlink r:id="rId1">
        <w:r w:rsidDel="00000000" w:rsidR="00000000" w:rsidRPr="00000000">
          <w:rPr>
            <w:rFonts w:ascii="Tahoma" w:cs="Tahoma" w:eastAsia="Tahoma" w:hAnsi="Tahoma"/>
            <w:color w:val="1155cc"/>
            <w:sz w:val="18"/>
            <w:szCs w:val="18"/>
            <w:u w:val="single"/>
            <w:rtl w:val="0"/>
          </w:rPr>
          <w:t xml:space="preserve">Adopción: 2017, Publicación: 107ª reunión CIT (2018).  </w:t>
        </w:r>
      </w:hyperlink>
      <w:hyperlink r:id="rId2">
        <w:r w:rsidDel="00000000" w:rsidR="00000000" w:rsidRPr="00000000">
          <w:rPr>
            <w:rFonts w:ascii="Tahoma" w:cs="Tahoma" w:eastAsia="Tahoma" w:hAnsi="Tahoma"/>
            <w:i w:val="1"/>
            <w:color w:val="1155cc"/>
            <w:sz w:val="18"/>
            <w:szCs w:val="18"/>
            <w:u w:val="single"/>
            <w:rtl w:val="0"/>
          </w:rPr>
          <w:t xml:space="preserve">“(…) Tomando en consideración el elevado número de trabajadores domésticos migrantes en el país, la Comisión se refiere a sus comentarios relativos a la aplicación del Convenio núm. 87, y solicita al Gobierno que envíe información sobre la situación en la que se encuentra la adopción del proyecto de reforma constitucional que prevé la eliminación de la prohibición de que los extranjeros ejerzan la dirección o autoridad en los sindicatos. La Comisión solicita asimismo al Gobierno que envíe información detallada sobre las medidas adoptadas o previstas para garantizar en la práctica el derecho a la libertad sindical y negociación colectiva de los trabajadores domésticos, incluidos los trabajadores domésticos migrantes. (…)”.</w:t>
        </w:r>
      </w:hyperlink>
      <w:hyperlink r:id="rId3">
        <w:r w:rsidDel="00000000" w:rsidR="00000000" w:rsidRPr="00000000">
          <w:rPr>
            <w:rFonts w:ascii="Tahoma" w:cs="Tahoma" w:eastAsia="Tahoma" w:hAnsi="Tahoma"/>
            <w:color w:val="1155cc"/>
            <w:sz w:val="18"/>
            <w:szCs w:val="18"/>
            <w:u w:val="single"/>
            <w:rtl w:val="0"/>
          </w:rPr>
          <w:t xml:space="preserve"> </w:t>
        </w:r>
      </w:hyperlink>
      <w:r w:rsidDel="00000000" w:rsidR="00000000" w:rsidRPr="00000000">
        <w:rPr>
          <w:rFonts w:ascii="Tahoma" w:cs="Tahoma" w:eastAsia="Tahoma" w:hAnsi="Tahoma"/>
          <w:color w:val="000000"/>
          <w:sz w:val="18"/>
          <w:szCs w:val="18"/>
          <w:rtl w:val="0"/>
        </w:rPr>
        <w:t xml:space="preserve">  </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240" w:lineRule="auto"/>
        <w:jc w:val="both"/>
        <w:rPr>
          <w:rFonts w:ascii="Tahoma" w:cs="Tahoma" w:eastAsia="Tahoma" w:hAnsi="Tahoma"/>
          <w:color w:val="000000"/>
          <w:sz w:val="18"/>
          <w:szCs w:val="18"/>
        </w:rPr>
      </w:pPr>
      <w:r w:rsidDel="00000000" w:rsidR="00000000" w:rsidRPr="00000000">
        <w:rPr>
          <w:rtl w:val="0"/>
        </w:rPr>
      </w:r>
    </w:p>
  </w:footnote>
  <w:footnote w:id="6">
    <w:p w:rsidR="00000000" w:rsidDel="00000000" w:rsidP="00000000" w:rsidRDefault="00000000" w:rsidRPr="00000000" w14:paraId="00000080">
      <w:pPr>
        <w:spacing w:line="240" w:lineRule="auto"/>
        <w:rPr>
          <w:rFonts w:ascii="Tahoma" w:cs="Tahoma" w:eastAsia="Tahoma" w:hAnsi="Tahoma"/>
          <w:color w:val="000000"/>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color w:val="000000"/>
          <w:sz w:val="18"/>
          <w:szCs w:val="18"/>
          <w:rtl w:val="0"/>
        </w:rPr>
        <w:t xml:space="preserve"> Ver Anexo III   </w:t>
      </w:r>
    </w:p>
  </w:footnote>
  <w:footnote w:id="7">
    <w:p w:rsidR="00000000" w:rsidDel="00000000" w:rsidP="00000000" w:rsidRDefault="00000000" w:rsidRPr="00000000" w14:paraId="00000081">
      <w:pPr>
        <w:pBdr>
          <w:top w:space="0" w:sz="0" w:val="nil"/>
          <w:left w:space="0" w:sz="0" w:val="nil"/>
          <w:bottom w:space="0" w:sz="0" w:val="nil"/>
          <w:right w:space="0" w:sz="0" w:val="nil"/>
          <w:between w:space="0" w:sz="0" w:val="nil"/>
        </w:pBdr>
        <w:spacing w:line="240" w:lineRule="auto"/>
        <w:rPr>
          <w:rFonts w:ascii="Tahoma" w:cs="Tahoma" w:eastAsia="Tahoma" w:hAnsi="Tahoma"/>
          <w:color w:val="000000"/>
          <w:sz w:val="18"/>
          <w:szCs w:val="18"/>
          <w:highlight w:val="yellow"/>
        </w:rPr>
      </w:pPr>
      <w:r w:rsidDel="00000000" w:rsidR="00000000" w:rsidRPr="00000000">
        <w:rPr>
          <w:rStyle w:val="FootnoteReference"/>
          <w:vertAlign w:val="superscript"/>
        </w:rPr>
        <w:footnoteRef/>
      </w:r>
      <w:r w:rsidDel="00000000" w:rsidR="00000000" w:rsidRPr="00000000">
        <w:rPr>
          <w:rFonts w:ascii="Tahoma" w:cs="Tahoma" w:eastAsia="Tahoma" w:hAnsi="Tahoma"/>
          <w:color w:val="000000"/>
          <w:sz w:val="18"/>
          <w:szCs w:val="18"/>
          <w:rtl w:val="0"/>
        </w:rPr>
        <w:t xml:space="preserve"> Ver Anexo IV  </w:t>
      </w:r>
      <w:r w:rsidDel="00000000" w:rsidR="00000000" w:rsidRPr="00000000">
        <w:rPr>
          <w:rtl w:val="0"/>
        </w:rPr>
      </w:r>
    </w:p>
  </w:footnote>
  <w:footnote w:id="8">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40" w:lineRule="auto"/>
        <w:rPr>
          <w:rFonts w:ascii="Tahoma" w:cs="Tahoma" w:eastAsia="Tahoma" w:hAnsi="Tahoma"/>
          <w:color w:val="000000"/>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color w:val="000000"/>
          <w:sz w:val="18"/>
          <w:szCs w:val="18"/>
          <w:rtl w:val="0"/>
        </w:rPr>
        <w:t xml:space="preserve"> Ver Anexo V  </w:t>
      </w:r>
    </w:p>
  </w:footnote>
  <w:footnote w:id="9">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40" w:lineRule="auto"/>
        <w:rPr>
          <w:rFonts w:ascii="Tahoma" w:cs="Tahoma" w:eastAsia="Tahoma" w:hAnsi="Tahoma"/>
          <w:color w:val="000000"/>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color w:val="000000"/>
          <w:sz w:val="18"/>
          <w:szCs w:val="18"/>
          <w:rtl w:val="0"/>
        </w:rPr>
        <w:t xml:space="preserve"> Ver Anexo VI </w:t>
      </w:r>
    </w:p>
  </w:footnote>
  <w:footnote w:id="10">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40" w:lineRule="auto"/>
        <w:jc w:val="both"/>
        <w:rPr>
          <w:rFonts w:ascii="Tahoma" w:cs="Tahoma" w:eastAsia="Tahoma" w:hAnsi="Tahoma"/>
          <w:color w:val="000000"/>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color w:val="000000"/>
          <w:sz w:val="18"/>
          <w:szCs w:val="18"/>
          <w:rtl w:val="0"/>
        </w:rPr>
        <w:t xml:space="preserve"> </w:t>
      </w:r>
      <w:hyperlink r:id="rId4">
        <w:r w:rsidDel="00000000" w:rsidR="00000000" w:rsidRPr="00000000">
          <w:rPr>
            <w:rFonts w:ascii="Tahoma" w:cs="Tahoma" w:eastAsia="Tahoma" w:hAnsi="Tahoma"/>
            <w:color w:val="000000"/>
            <w:sz w:val="18"/>
            <w:szCs w:val="18"/>
            <w:rtl w:val="0"/>
          </w:rPr>
          <w:t xml:space="preserve">http://www.aselex.cr/boletines/Proyecto-21239.pdf</w:t>
        </w:r>
      </w:hyperlink>
      <w:r w:rsidDel="00000000" w:rsidR="00000000" w:rsidRPr="00000000">
        <w:rPr>
          <w:rtl w:val="0"/>
        </w:rPr>
      </w:r>
    </w:p>
  </w:footnote>
  <w:footnote w:id="11">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40" w:lineRule="auto"/>
        <w:rPr>
          <w:rFonts w:ascii="Tahoma" w:cs="Tahoma" w:eastAsia="Tahoma" w:hAnsi="Tahoma"/>
          <w:color w:val="000000"/>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color w:val="000000"/>
          <w:sz w:val="18"/>
          <w:szCs w:val="18"/>
          <w:rtl w:val="0"/>
        </w:rPr>
        <w:t xml:space="preserve"> </w:t>
      </w:r>
      <w:hyperlink r:id="rId5">
        <w:r w:rsidDel="00000000" w:rsidR="00000000" w:rsidRPr="00000000">
          <w:rPr>
            <w:rFonts w:ascii="Tahoma" w:cs="Tahoma" w:eastAsia="Tahoma" w:hAnsi="Tahoma"/>
            <w:color w:val="000000"/>
            <w:sz w:val="18"/>
            <w:szCs w:val="18"/>
            <w:rtl w:val="0"/>
          </w:rPr>
          <w:t xml:space="preserve">https://www.ministeriodesalud.go.cr/index.php/centro-de-informacion/legislacion-sanitaria/281-comisiones/1018-comision-interinstitucional-para-elaboracion-de-norma-tecnica-aborto-impune</w:t>
        </w:r>
      </w:hyperlink>
      <w:r w:rsidDel="00000000" w:rsidR="00000000" w:rsidRPr="00000000">
        <w:rPr>
          <w:rtl w:val="0"/>
        </w:rPr>
      </w:r>
    </w:p>
  </w:footnote>
  <w:footnote w:id="12">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40" w:lineRule="auto"/>
        <w:rPr>
          <w:rFonts w:ascii="Tahoma" w:cs="Tahoma" w:eastAsia="Tahoma" w:hAnsi="Tahoma"/>
          <w:color w:val="000000"/>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color w:val="000000"/>
          <w:sz w:val="18"/>
          <w:szCs w:val="18"/>
          <w:rtl w:val="0"/>
        </w:rPr>
        <w:t xml:space="preserve"> Art. 1 j) y 2 de: </w:t>
      </w:r>
      <w:hyperlink r:id="rId6">
        <w:r w:rsidDel="00000000" w:rsidR="00000000" w:rsidRPr="00000000">
          <w:rPr>
            <w:rFonts w:ascii="Tahoma" w:cs="Tahoma" w:eastAsia="Tahoma" w:hAnsi="Tahoma"/>
            <w:color w:val="0000ff"/>
            <w:sz w:val="18"/>
            <w:szCs w:val="18"/>
            <w:u w:val="single"/>
            <w:rtl w:val="0"/>
          </w:rPr>
          <w:t xml:space="preserve">Creación de la Comisión Interinstitucional sobre Salud y Derechos Reproductivos y Sexuales</w:t>
        </w:r>
      </w:hyperlink>
      <w:r w:rsidDel="00000000" w:rsidR="00000000" w:rsidRPr="00000000">
        <w:rPr>
          <w:rFonts w:ascii="Tahoma" w:cs="Tahoma" w:eastAsia="Tahoma" w:hAnsi="Tahoma"/>
          <w:color w:val="000000"/>
          <w:sz w:val="18"/>
          <w:szCs w:val="18"/>
          <w:rtl w:val="0"/>
        </w:rPr>
        <w:t xml:space="preserve">. </w:t>
      </w:r>
    </w:p>
  </w:footnote>
  <w:footnote w:id="13">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40" w:lineRule="auto"/>
        <w:rPr>
          <w:rFonts w:ascii="Tahoma" w:cs="Tahoma" w:eastAsia="Tahoma" w:hAnsi="Tahoma"/>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sz w:val="18"/>
          <w:szCs w:val="18"/>
          <w:rtl w:val="0"/>
        </w:rPr>
        <w:t xml:space="preserve"> </w:t>
      </w:r>
      <w:hyperlink r:id="rId7">
        <w:r w:rsidDel="00000000" w:rsidR="00000000" w:rsidRPr="00000000">
          <w:rPr>
            <w:rFonts w:ascii="Tahoma" w:cs="Tahoma" w:eastAsia="Tahoma" w:hAnsi="Tahoma"/>
            <w:sz w:val="18"/>
            <w:szCs w:val="18"/>
            <w:u w:val="single"/>
            <w:rtl w:val="0"/>
          </w:rPr>
          <w:t xml:space="preserve">Agenda de Mujeres</w:t>
        </w:r>
      </w:hyperlink>
      <w:r w:rsidDel="00000000" w:rsidR="00000000" w:rsidRPr="00000000">
        <w:rPr>
          <w:rFonts w:ascii="Tahoma" w:cs="Tahoma" w:eastAsia="Tahoma" w:hAnsi="Tahoma"/>
          <w:sz w:val="18"/>
          <w:szCs w:val="18"/>
          <w:rtl w:val="0"/>
        </w:rPr>
        <w:t xml:space="preserve">. Recomendación 25.a., página 59.</w:t>
      </w:r>
    </w:p>
  </w:footnote>
  <w:footnote w:id="14">
    <w:p w:rsidR="00000000" w:rsidDel="00000000" w:rsidP="00000000" w:rsidRDefault="00000000" w:rsidRPr="00000000" w14:paraId="00000088">
      <w:pPr>
        <w:spacing w:line="240" w:lineRule="auto"/>
        <w:rPr>
          <w:rFonts w:ascii="Tahoma" w:cs="Tahoma" w:eastAsia="Tahoma" w:hAnsi="Tahoma"/>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sz w:val="18"/>
          <w:szCs w:val="18"/>
          <w:rtl w:val="0"/>
        </w:rPr>
        <w:t xml:space="preserve"> </w:t>
      </w:r>
      <w:hyperlink r:id="rId8">
        <w:r w:rsidDel="00000000" w:rsidR="00000000" w:rsidRPr="00000000">
          <w:rPr>
            <w:rFonts w:ascii="Tahoma" w:cs="Tahoma" w:eastAsia="Tahoma" w:hAnsi="Tahoma"/>
            <w:color w:val="1155cc"/>
            <w:sz w:val="18"/>
            <w:szCs w:val="18"/>
            <w:u w:val="single"/>
            <w:rtl w:val="0"/>
          </w:rPr>
          <w:t xml:space="preserve">Semanario U,</w:t>
        </w:r>
      </w:hyperlink>
      <w:r w:rsidDel="00000000" w:rsidR="00000000" w:rsidRPr="00000000">
        <w:rPr>
          <w:rFonts w:ascii="Tahoma" w:cs="Tahoma" w:eastAsia="Tahoma" w:hAnsi="Tahoma"/>
          <w:sz w:val="18"/>
          <w:szCs w:val="18"/>
          <w:rtl w:val="0"/>
        </w:rPr>
        <w:t xml:space="preserve"> </w:t>
      </w:r>
      <w:hyperlink r:id="rId9">
        <w:r w:rsidDel="00000000" w:rsidR="00000000" w:rsidRPr="00000000">
          <w:rPr>
            <w:rFonts w:ascii="Tahoma" w:cs="Tahoma" w:eastAsia="Tahoma" w:hAnsi="Tahoma"/>
            <w:color w:val="1155cc"/>
            <w:sz w:val="18"/>
            <w:szCs w:val="18"/>
            <w:u w:val="single"/>
            <w:rtl w:val="0"/>
          </w:rPr>
          <w:t xml:space="preserve">Semanario U</w:t>
        </w:r>
      </w:hyperlink>
      <w:r w:rsidDel="00000000" w:rsidR="00000000" w:rsidRPr="00000000">
        <w:rPr>
          <w:rFonts w:ascii="Tahoma" w:cs="Tahoma" w:eastAsia="Tahoma" w:hAnsi="Tahoma"/>
          <w:sz w:val="18"/>
          <w:szCs w:val="18"/>
          <w:rtl w:val="0"/>
        </w:rPr>
        <w:t xml:space="preserve">, </w:t>
      </w:r>
      <w:hyperlink r:id="rId10">
        <w:r w:rsidDel="00000000" w:rsidR="00000000" w:rsidRPr="00000000">
          <w:rPr>
            <w:rFonts w:ascii="Tahoma" w:cs="Tahoma" w:eastAsia="Tahoma" w:hAnsi="Tahoma"/>
            <w:color w:val="1155cc"/>
            <w:sz w:val="18"/>
            <w:szCs w:val="18"/>
            <w:u w:val="single"/>
            <w:rtl w:val="0"/>
          </w:rPr>
          <w:t xml:space="preserve">Delfino</w:t>
        </w:r>
      </w:hyperlink>
      <w:r w:rsidDel="00000000" w:rsidR="00000000" w:rsidRPr="00000000">
        <w:rPr>
          <w:rFonts w:ascii="Tahoma" w:cs="Tahoma" w:eastAsia="Tahoma" w:hAnsi="Tahoma"/>
          <w:sz w:val="18"/>
          <w:szCs w:val="18"/>
          <w:rtl w:val="0"/>
        </w:rPr>
        <w:t xml:space="preserve">.</w:t>
      </w:r>
      <w:r w:rsidDel="00000000" w:rsidR="00000000" w:rsidRPr="00000000">
        <w:rPr>
          <w:rtl w:val="0"/>
        </w:rPr>
      </w:r>
    </w:p>
  </w:footnote>
  <w:footnote w:id="15">
    <w:p w:rsidR="00000000" w:rsidDel="00000000" w:rsidP="00000000" w:rsidRDefault="00000000" w:rsidRPr="00000000" w14:paraId="00000089">
      <w:pPr>
        <w:spacing w:line="240" w:lineRule="auto"/>
        <w:rPr>
          <w:rFonts w:ascii="Tahoma" w:cs="Tahoma" w:eastAsia="Tahoma" w:hAnsi="Tahoma"/>
          <w:sz w:val="18"/>
          <w:szCs w:val="18"/>
          <w:highlight w:val="yellow"/>
        </w:rPr>
      </w:pPr>
      <w:r w:rsidDel="00000000" w:rsidR="00000000" w:rsidRPr="00000000">
        <w:rPr>
          <w:rStyle w:val="FootnoteReference"/>
          <w:vertAlign w:val="superscript"/>
        </w:rPr>
        <w:footnoteRef/>
      </w:r>
      <w:r w:rsidDel="00000000" w:rsidR="00000000" w:rsidRPr="00000000">
        <w:rPr>
          <w:rFonts w:ascii="Tahoma" w:cs="Tahoma" w:eastAsia="Tahoma" w:hAnsi="Tahoma"/>
          <w:sz w:val="18"/>
          <w:szCs w:val="18"/>
          <w:rtl w:val="0"/>
        </w:rPr>
        <w:t xml:space="preserve"> </w:t>
      </w:r>
      <w:hyperlink r:id="rId11">
        <w:r w:rsidDel="00000000" w:rsidR="00000000" w:rsidRPr="00000000">
          <w:rPr>
            <w:rFonts w:ascii="Tahoma" w:cs="Tahoma" w:eastAsia="Tahoma" w:hAnsi="Tahoma"/>
            <w:color w:val="1155cc"/>
            <w:sz w:val="18"/>
            <w:szCs w:val="18"/>
            <w:u w:val="single"/>
            <w:rtl w:val="0"/>
          </w:rPr>
          <w:t xml:space="preserve">Delfino</w:t>
        </w:r>
      </w:hyperlink>
      <w:r w:rsidDel="00000000" w:rsidR="00000000" w:rsidRPr="00000000">
        <w:rPr>
          <w:rFonts w:ascii="Tahoma" w:cs="Tahoma" w:eastAsia="Tahoma" w:hAnsi="Tahoma"/>
          <w:sz w:val="18"/>
          <w:szCs w:val="18"/>
          <w:rtl w:val="0"/>
        </w:rPr>
        <w:t xml:space="preserve"> y </w:t>
      </w:r>
      <w:hyperlink r:id="rId12">
        <w:r w:rsidDel="00000000" w:rsidR="00000000" w:rsidRPr="00000000">
          <w:rPr>
            <w:rFonts w:ascii="Tahoma" w:cs="Tahoma" w:eastAsia="Tahoma" w:hAnsi="Tahoma"/>
            <w:color w:val="1155cc"/>
            <w:sz w:val="18"/>
            <w:szCs w:val="18"/>
            <w:u w:val="single"/>
            <w:rtl w:val="0"/>
          </w:rPr>
          <w:t xml:space="preserve">Delfino</w:t>
        </w:r>
      </w:hyperlink>
      <w:r w:rsidDel="00000000" w:rsidR="00000000" w:rsidRPr="00000000">
        <w:rPr>
          <w:rFonts w:ascii="Tahoma" w:cs="Tahoma" w:eastAsia="Tahoma" w:hAnsi="Tahoma"/>
          <w:sz w:val="18"/>
          <w:szCs w:val="18"/>
          <w:rtl w:val="0"/>
        </w:rPr>
        <w:t xml:space="preserve">. </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90" w:hanging="360"/>
      </w:pPr>
      <w:rPr>
        <w:rFonts w:ascii="Noto Sans Symbols" w:cs="Noto Sans Symbols" w:eastAsia="Noto Sans Symbols" w:hAnsi="Noto Sans Symbols"/>
      </w:rPr>
    </w:lvl>
    <w:lvl w:ilvl="1">
      <w:start w:val="1"/>
      <w:numFmt w:val="bullet"/>
      <w:lvlText w:val="o"/>
      <w:lvlJc w:val="left"/>
      <w:pPr>
        <w:ind w:left="1510" w:hanging="360"/>
      </w:pPr>
      <w:rPr>
        <w:rFonts w:ascii="Courier New" w:cs="Courier New" w:eastAsia="Courier New" w:hAnsi="Courier New"/>
      </w:rPr>
    </w:lvl>
    <w:lvl w:ilvl="2">
      <w:start w:val="1"/>
      <w:numFmt w:val="bullet"/>
      <w:lvlText w:val="▪"/>
      <w:lvlJc w:val="left"/>
      <w:pPr>
        <w:ind w:left="2230" w:hanging="360"/>
      </w:pPr>
      <w:rPr>
        <w:rFonts w:ascii="Noto Sans Symbols" w:cs="Noto Sans Symbols" w:eastAsia="Noto Sans Symbols" w:hAnsi="Noto Sans Symbols"/>
      </w:rPr>
    </w:lvl>
    <w:lvl w:ilvl="3">
      <w:start w:val="1"/>
      <w:numFmt w:val="bullet"/>
      <w:lvlText w:val="●"/>
      <w:lvlJc w:val="left"/>
      <w:pPr>
        <w:ind w:left="2950" w:hanging="360"/>
      </w:pPr>
      <w:rPr>
        <w:rFonts w:ascii="Noto Sans Symbols" w:cs="Noto Sans Symbols" w:eastAsia="Noto Sans Symbols" w:hAnsi="Noto Sans Symbols"/>
      </w:rPr>
    </w:lvl>
    <w:lvl w:ilvl="4">
      <w:start w:val="1"/>
      <w:numFmt w:val="bullet"/>
      <w:lvlText w:val="o"/>
      <w:lvlJc w:val="left"/>
      <w:pPr>
        <w:ind w:left="3670" w:hanging="360"/>
      </w:pPr>
      <w:rPr>
        <w:rFonts w:ascii="Courier New" w:cs="Courier New" w:eastAsia="Courier New" w:hAnsi="Courier New"/>
      </w:rPr>
    </w:lvl>
    <w:lvl w:ilvl="5">
      <w:start w:val="1"/>
      <w:numFmt w:val="bullet"/>
      <w:lvlText w:val="▪"/>
      <w:lvlJc w:val="left"/>
      <w:pPr>
        <w:ind w:left="4390" w:hanging="360"/>
      </w:pPr>
      <w:rPr>
        <w:rFonts w:ascii="Noto Sans Symbols" w:cs="Noto Sans Symbols" w:eastAsia="Noto Sans Symbols" w:hAnsi="Noto Sans Symbols"/>
      </w:rPr>
    </w:lvl>
    <w:lvl w:ilvl="6">
      <w:start w:val="1"/>
      <w:numFmt w:val="bullet"/>
      <w:lvlText w:val="●"/>
      <w:lvlJc w:val="left"/>
      <w:pPr>
        <w:ind w:left="5110" w:hanging="360"/>
      </w:pPr>
      <w:rPr>
        <w:rFonts w:ascii="Noto Sans Symbols" w:cs="Noto Sans Symbols" w:eastAsia="Noto Sans Symbols" w:hAnsi="Noto Sans Symbols"/>
      </w:rPr>
    </w:lvl>
    <w:lvl w:ilvl="7">
      <w:start w:val="1"/>
      <w:numFmt w:val="bullet"/>
      <w:lvlText w:val="o"/>
      <w:lvlJc w:val="left"/>
      <w:pPr>
        <w:ind w:left="5830" w:hanging="360"/>
      </w:pPr>
      <w:rPr>
        <w:rFonts w:ascii="Courier New" w:cs="Courier New" w:eastAsia="Courier New" w:hAnsi="Courier New"/>
      </w:rPr>
    </w:lvl>
    <w:lvl w:ilvl="8">
      <w:start w:val="1"/>
      <w:numFmt w:val="bullet"/>
      <w:lvlText w:val="▪"/>
      <w:lvlJc w:val="left"/>
      <w:pPr>
        <w:ind w:left="655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MX"/>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paragraph" w:styleId="Textodeglobo">
    <w:name w:val="Balloon Text"/>
    <w:basedOn w:val="Normal"/>
    <w:link w:val="TextodegloboCar"/>
    <w:uiPriority w:val="99"/>
    <w:semiHidden w:val="1"/>
    <w:unhideWhenUsed w:val="1"/>
    <w:rsid w:val="00212F4E"/>
    <w:pPr>
      <w:spacing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212F4E"/>
    <w:rPr>
      <w:rFonts w:ascii="Tahoma" w:cs="Tahoma" w:hAnsi="Tahoma"/>
      <w:sz w:val="16"/>
      <w:szCs w:val="16"/>
    </w:rPr>
  </w:style>
  <w:style w:type="paragraph" w:styleId="Encabezado">
    <w:name w:val="header"/>
    <w:basedOn w:val="Normal"/>
    <w:link w:val="EncabezadoCar"/>
    <w:uiPriority w:val="99"/>
    <w:unhideWhenUsed w:val="1"/>
    <w:rsid w:val="00435053"/>
    <w:pPr>
      <w:tabs>
        <w:tab w:val="center" w:pos="4419"/>
        <w:tab w:val="right" w:pos="8838"/>
      </w:tabs>
      <w:spacing w:line="240" w:lineRule="auto"/>
    </w:pPr>
  </w:style>
  <w:style w:type="character" w:styleId="EncabezadoCar" w:customStyle="1">
    <w:name w:val="Encabezado Car"/>
    <w:basedOn w:val="Fuentedeprrafopredeter"/>
    <w:link w:val="Encabezado"/>
    <w:uiPriority w:val="99"/>
    <w:rsid w:val="00435053"/>
  </w:style>
  <w:style w:type="paragraph" w:styleId="Piedepgina">
    <w:name w:val="footer"/>
    <w:basedOn w:val="Normal"/>
    <w:link w:val="PiedepginaCar"/>
    <w:uiPriority w:val="99"/>
    <w:unhideWhenUsed w:val="1"/>
    <w:rsid w:val="00435053"/>
    <w:pPr>
      <w:tabs>
        <w:tab w:val="center" w:pos="4419"/>
        <w:tab w:val="right" w:pos="8838"/>
      </w:tabs>
      <w:spacing w:line="240" w:lineRule="auto"/>
    </w:pPr>
  </w:style>
  <w:style w:type="character" w:styleId="PiedepginaCar" w:customStyle="1">
    <w:name w:val="Pie de página Car"/>
    <w:basedOn w:val="Fuentedeprrafopredeter"/>
    <w:link w:val="Piedepgina"/>
    <w:uiPriority w:val="99"/>
    <w:rsid w:val="00435053"/>
  </w:style>
  <w:style w:type="paragraph" w:styleId="Textonotapie">
    <w:name w:val="footnote text"/>
    <w:basedOn w:val="Normal"/>
    <w:link w:val="TextonotapieCar"/>
    <w:uiPriority w:val="99"/>
    <w:semiHidden w:val="1"/>
    <w:unhideWhenUsed w:val="1"/>
    <w:rsid w:val="008D7892"/>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8D7892"/>
    <w:rPr>
      <w:sz w:val="20"/>
      <w:szCs w:val="20"/>
    </w:rPr>
  </w:style>
  <w:style w:type="character" w:styleId="Refdenotaalpie">
    <w:name w:val="footnote reference"/>
    <w:basedOn w:val="Fuentedeprrafopredeter"/>
    <w:uiPriority w:val="99"/>
    <w:semiHidden w:val="1"/>
    <w:unhideWhenUsed w:val="1"/>
    <w:rsid w:val="008D7892"/>
    <w:rPr>
      <w:vertAlign w:val="superscript"/>
    </w:rPr>
  </w:style>
  <w:style w:type="character" w:styleId="Hipervnculo">
    <w:name w:val="Hyperlink"/>
    <w:basedOn w:val="Fuentedeprrafopredeter"/>
    <w:uiPriority w:val="99"/>
    <w:unhideWhenUsed w:val="1"/>
    <w:rsid w:val="00300DA9"/>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3" Type="http://schemas.openxmlformats.org/officeDocument/2006/relationships/hyperlink" Target="https://elpais.com/internacional/2018/02/03/america/1517620934_792291.html" TargetMode="External"/><Relationship Id="rId18" Type="http://schemas.openxmlformats.org/officeDocument/2006/relationships/hyperlink" Target="https://www.crhoy.com/nacionales/iglesia-advierte-que-quienes-promuevan-el-aborto-no-pueden-comulgar/" TargetMode="External"/><Relationship Id="rId8" Type="http://schemas.openxmlformats.org/officeDocument/2006/relationships/footer" Target="footer1.xml"/><Relationship Id="rId26" Type="http://schemas.openxmlformats.org/officeDocument/2006/relationships/customXml" Target="../customXML/item3.xml"/><Relationship Id="rId21" Type="http://schemas.openxmlformats.org/officeDocument/2006/relationships/hyperlink" Target="https://delfino.cr/2020/03/tse-rechaza-pedido-de-referendum-para-derogar-la-norma-tecnica-de-aborto-terapeutico" TargetMode="External"/><Relationship Id="rId3" Type="http://schemas.openxmlformats.org/officeDocument/2006/relationships/fontTable" Target="fontTable.xml"/><Relationship Id="rId12" Type="http://schemas.openxmlformats.org/officeDocument/2006/relationships/hyperlink" Target="https://www.crhoy.com/nacionales/salud-creo-borrador-de-norma-para-estandarizar-aborto-impune/" TargetMode="External"/><Relationship Id="rId17" Type="http://schemas.openxmlformats.org/officeDocument/2006/relationships/hyperlink" Target="https://www.elmundo.cr/costa-rica/iglesia-dice-a-catolicos-que-por-apoyar-la-norma-tecnica-no-pueden-comulgar/" TargetMode="External"/><Relationship Id="rId7" Type="http://schemas.openxmlformats.org/officeDocument/2006/relationships/customXml" Target="../customXML/item1.xml"/><Relationship Id="rId25" Type="http://schemas.openxmlformats.org/officeDocument/2006/relationships/customXml" Target="../customXML/item2.xml"/><Relationship Id="rId20" Type="http://schemas.openxmlformats.org/officeDocument/2006/relationships/hyperlink" Target="https://delfino.cr/2019/10/ivonne-acuna-presenta-proyecto-para-que-aborto-terapeutico-no-pueda-ser-aplicado-en-casos-de-riesgo-a-la-salud-de-la-madre" TargetMode="External"/><Relationship Id="rId2" Type="http://schemas.openxmlformats.org/officeDocument/2006/relationships/settings" Target="settings.xml"/><Relationship Id="rId16" Type="http://schemas.openxmlformats.org/officeDocument/2006/relationships/hyperlink" Target="https://www.monumental.co.cr/2019/12/17/iglesia-recuerda-a-catolicos-que-apoyar-norma-tecnica-sobre-aborto-impune-los-excluye-de-comulgar/" TargetMode="External"/><Relationship Id="rId11" Type="http://schemas.openxmlformats.org/officeDocument/2006/relationships/hyperlink" Target="https://drive.google.com/file/d/1msRMjjX8uFhhkhSmHQ-DLMl5_z6J9p44/view?usp=sharing" TargetMode="External"/><Relationship Id="rId24" Type="http://schemas.openxmlformats.org/officeDocument/2006/relationships/hyperlink" Target="https://www.larepublica.net/noticia/presidente-del-colegio-de-medicos-sabemos-como-aplicar-el-aborto-sin-necesidad-de-norma-tecnica" TargetMode="External"/><Relationship Id="rId1" Type="http://schemas.openxmlformats.org/officeDocument/2006/relationships/theme" Target="theme/theme1.xml"/><Relationship Id="rId6" Type="http://schemas.openxmlformats.org/officeDocument/2006/relationships/styles" Target="styles.xml"/><Relationship Id="rId23" Type="http://schemas.openxmlformats.org/officeDocument/2006/relationships/hyperlink" Target="https://www.larepublica.net/noticia/presidente-del-colegio-de-medicos-sabemos-como-aplicar-el-aborto-sin-necesidad-de-norma-tecnica" TargetMode="External"/><Relationship Id="rId15" Type="http://schemas.openxmlformats.org/officeDocument/2006/relationships/hyperlink" Target="https://www.informa-tico.com/8-02-2018/evangelicos-grupos-fundamentalistas-religiosos-tinen-politica-resistencia-se-organiza" TargetMode="External"/><Relationship Id="rId5" Type="http://schemas.openxmlformats.org/officeDocument/2006/relationships/numbering" Target="numbering.xml"/><Relationship Id="rId10" Type="http://schemas.openxmlformats.org/officeDocument/2006/relationships/hyperlink" Target="https://drive.google.com/file/d/1grdCZ3_kNI3RdLV9YK0Bbp366_uDXmuq/view?usp=sharing" TargetMode="External"/><Relationship Id="rId19" Type="http://schemas.openxmlformats.org/officeDocument/2006/relationships/hyperlink" Target="https://www.ameliarueda.com/nota/salvar-vida-madre-no-justifica-aborto-responde-iglesia-catolica-tica" TargetMode="External"/><Relationship Id="rId22" Type="http://schemas.openxmlformats.org/officeDocument/2006/relationships/hyperlink" Target="https://www.larepublica.net/noticia/presidente-del-colegio-de-medicos-sabemos-como-aplicar-el-aborto-sin-necesidad-de-norma-tecnica" TargetMode="External"/><Relationship Id="rId4" Type="http://schemas.openxmlformats.org/officeDocument/2006/relationships/footnotes" Target="footnotes.xml"/><Relationship Id="rId9" Type="http://schemas.openxmlformats.org/officeDocument/2006/relationships/hyperlink" Target="https://costarica.unfpa.org/sites/default/files/pub-pdf/CEDAW-Docu-TODO-Anexos-compressed%20%281%29.pdf" TargetMode="External"/><Relationship Id="rId14" Type="http://schemas.openxmlformats.org/officeDocument/2006/relationships/hyperlink" Target="https://www.informa-tico.com/8-02-2018/evangelicos-grupos-fundamentalistas-religiosos-tinen-politica-resistencia-se-organiza" TargetMode="External"/><Relationship Id="rId27"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www.ilo.org/dyn/normlex/es/f?p=1000:13100:0::NO:13100:P13100_COMMENT_ID,P11110_COUNTRY_ID,P11110_COUNTRY_NAME,P11110_COMMENT_YEAR:3333850,102599,Costa%20Rica,2017" TargetMode="External"/><Relationship Id="rId2" Type="http://schemas.openxmlformats.org/officeDocument/2006/relationships/hyperlink" Target="https://www.ilo.org/dyn/normlex/es/f?p=1000:13100:0::NO:13100:P13100_COMMENT_ID,P11110_COUNTRY_ID,P11110_COUNTRY_NAME,P11110_COMMENT_YEAR:3333850,102599,Costa%20Rica,2017" TargetMode="External"/><Relationship Id="rId3" Type="http://schemas.openxmlformats.org/officeDocument/2006/relationships/hyperlink" Target="https://www.ilo.org/dyn/normlex/es/f?p=1000:13100:0::NO:13100:P13100_COMMENT_ID,P11110_COUNTRY_ID,P11110_COUNTRY_NAME,P11110_COMMENT_YEAR:3333850,102599,Costa%20Rica,2017" TargetMode="External"/><Relationship Id="rId4" Type="http://schemas.openxmlformats.org/officeDocument/2006/relationships/hyperlink" Target="http://www.aselex.cr/boletines/Proyecto-21239.pdf" TargetMode="External"/><Relationship Id="rId11" Type="http://schemas.openxmlformats.org/officeDocument/2006/relationships/hyperlink" Target="https://delfino.cr/2020/08/sara-8-meses-despues-de-la-firma-de-la-norma-tecnica" TargetMode="External"/><Relationship Id="rId10" Type="http://schemas.openxmlformats.org/officeDocument/2006/relationships/hyperlink" Target="https://delfino.cr/2019/05/aborto-clandestino-en-costa-rica-el-tema-del-que-nadie-habla" TargetMode="External"/><Relationship Id="rId12" Type="http://schemas.openxmlformats.org/officeDocument/2006/relationships/hyperlink" Target="https://delfino.cr/2020/06/ccss-envia-al-ministerio-de-salud-protocolo-medico-para-aborto-terapeutico" TargetMode="External"/><Relationship Id="rId9" Type="http://schemas.openxmlformats.org/officeDocument/2006/relationships/hyperlink" Target="https://semanariouniversidad.com/especiales/aborto-en-costa-rica/" TargetMode="External"/><Relationship Id="rId5" Type="http://schemas.openxmlformats.org/officeDocument/2006/relationships/hyperlink" Target="https://www.ministeriodesalud.go.cr/index.php/centro-de-informacion/legislacion-sanitaria/281-comisiones/1018-comision-interinstitucional-para-elaboracion-de-norma-tecnica-aborto-impune" TargetMode="External"/><Relationship Id="rId6" Type="http://schemas.openxmlformats.org/officeDocument/2006/relationships/hyperlink" Target="http://www.pgrweb.go.cr/scij/Busqueda/Normativa/Normas/nrm_texto_completo.aspx?param1=NRTC&amp;nValor1=1&amp;nValor2=78874&amp;nValor3=100858&amp;strTipM=TC" TargetMode="External"/><Relationship Id="rId7" Type="http://schemas.openxmlformats.org/officeDocument/2006/relationships/hyperlink" Target="https://costarica.unfpa.org/sites/default/files/pub-pdf/CEDAW-Docu-TODO-Anexos-compressed%20%281%29.pdf" TargetMode="External"/><Relationship Id="rId8" Type="http://schemas.openxmlformats.org/officeDocument/2006/relationships/hyperlink" Target="https://semanariouniversidad.com/ultima-hora/que-es-y-que-no-es-la-norma-tecnica-sobre-aborto-terapeut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u+Lyh0mx4ZI1SuTJ0WXnJSiooQ==">AMUW2mUj151rlUQS0L0Iqd2SI8bIxF6t08anILcjfHys8BwLHFlpUT+ObPw2pHy7oiYoX5o8oCB0g+/TRVth/Qls9XJKixKOKoyGd+fcx7C3jmf4TK42kmCLFC2P9n58uO/UWMqi1rgo+C0/YoB/SFQcPUmVMT5lCo49TYVcoVQxmQK413i5ZpfdwSkYs+suI5qKmRFpS6O26yyht6DDYxxyXx78m5TxfZTJpxAywj41VTl7DmIECcMyOmTUfTzx7La+BnVl29rsewPdLpXgk5CR5jCTy/jLf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365C4AA4-0F32-4BE8-A691-1918A14626AE}"/>
</file>

<file path=customXML/itemProps3.xml><?xml version="1.0" encoding="utf-8"?>
<ds:datastoreItem xmlns:ds="http://schemas.openxmlformats.org/officeDocument/2006/customXml" ds:itemID="{3499EDA9-D2F7-4EE0-9138-E61753245C36}"/>
</file>

<file path=customXML/itemProps4.xml><?xml version="1.0" encoding="utf-8"?>
<ds:datastoreItem xmlns:ds="http://schemas.openxmlformats.org/officeDocument/2006/customXml" ds:itemID="{7B70854A-7D73-4B97-B507-8A5C61498406}"/>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Ivania</dc:creator>
  <dcterms:created xsi:type="dcterms:W3CDTF">2020-08-27T16:06:00Z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