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2D640DD" w14:textId="77777777" w:rsidR="00ED42D8" w:rsidRPr="00A444F9" w:rsidRDefault="00FC03DC" w:rsidP="008139C1">
      <w:pPr>
        <w:pStyle w:val="Documenttype"/>
        <w:rPr>
          <w:sz w:val="36"/>
          <w:szCs w:val="36"/>
        </w:rPr>
      </w:pPr>
      <w:sdt>
        <w:sdtPr>
          <w:rPr>
            <w:sz w:val="36"/>
            <w:szCs w:val="36"/>
          </w:rPr>
          <w:alias w:val="Document type"/>
          <w:tag w:val="Document type"/>
          <w:id w:val="-1532944315"/>
          <w:placeholder>
            <w:docPart w:val="825C1158A6434D23A88E2D5018F36E44"/>
          </w:placeholder>
        </w:sdtPr>
        <w:sdtEndPr/>
        <w:sdtContent>
          <w:r w:rsidR="004D6A21">
            <w:rPr>
              <w:sz w:val="36"/>
              <w:szCs w:val="36"/>
            </w:rPr>
            <w:t>Submission to the UN Committee on the Rights of the Child</w:t>
          </w:r>
        </w:sdtContent>
      </w:sdt>
      <w:r w:rsidR="008139C1">
        <w:rPr>
          <w:sz w:val="36"/>
          <w:szCs w:val="36"/>
        </w:rPr>
        <w:t xml:space="preserve"> </w:t>
      </w:r>
    </w:p>
    <w:p w14:paraId="50834FE0" w14:textId="3E9BD495" w:rsidR="00972D5B" w:rsidRDefault="00FC03DC" w:rsidP="00ED42D8">
      <w:pPr>
        <w:pStyle w:val="Title"/>
        <w:spacing w:before="0"/>
      </w:pPr>
      <w:sdt>
        <w:sdtPr>
          <w:alias w:val="Title"/>
          <w:tag w:val=""/>
          <w:id w:val="1663586378"/>
          <w:placeholder>
            <w:docPart w:val="C9CAFDE156A64E7CBF42C0B7A8BD98D7"/>
          </w:placeholder>
          <w:dataBinding w:prefixMappings="xmlns:ns0='http://purl.org/dc/elements/1.1/' xmlns:ns1='http://schemas.openxmlformats.org/package/2006/metadata/core-properties' " w:xpath="/ns1:coreProperties[1]/ns0:title[1]" w:storeItemID="{6C3C8BC8-F283-45AE-878A-BAB7291924A1}"/>
          <w:text/>
        </w:sdtPr>
        <w:sdtEndPr/>
        <w:sdtContent>
          <w:r w:rsidR="00D70946">
            <w:t>Children’s r</w:t>
          </w:r>
          <w:r w:rsidR="0026506A">
            <w:t xml:space="preserve">ights </w:t>
          </w:r>
          <w:r w:rsidR="004D6A21">
            <w:t>in Great Britain</w:t>
          </w:r>
        </w:sdtContent>
      </w:sdt>
    </w:p>
    <w:p w14:paraId="589C2C4D" w14:textId="77777777" w:rsidR="00711475" w:rsidRPr="00465B9E" w:rsidRDefault="00FC03DC" w:rsidP="00F171F1">
      <w:pPr>
        <w:pStyle w:val="Date"/>
      </w:pPr>
      <w:sdt>
        <w:sdtPr>
          <w:rPr>
            <w:rStyle w:val="DateChar"/>
          </w:rPr>
          <w:alias w:val="Publication date"/>
          <w:tag w:val="Publication date"/>
          <w:id w:val="-1249566070"/>
          <w:placeholder>
            <w:docPart w:val="9E874B2EC5D141959FC44742F6689A22"/>
          </w:placeholder>
          <w:date w:fullDate="2022-12-01T00:00:00Z">
            <w:dateFormat w:val="MMMM yyyy"/>
            <w:lid w:val="en-GB"/>
            <w:storeMappedDataAs w:val="dateTime"/>
            <w:calendar w:val="gregorian"/>
          </w:date>
        </w:sdtPr>
        <w:sdtEndPr>
          <w:rPr>
            <w:rStyle w:val="DefaultParagraphFont"/>
          </w:rPr>
        </w:sdtEndPr>
        <w:sdtContent>
          <w:r w:rsidR="004D6A21">
            <w:rPr>
              <w:rStyle w:val="DateChar"/>
            </w:rPr>
            <w:t>December 2022</w:t>
          </w:r>
        </w:sdtContent>
      </w:sdt>
    </w:p>
    <w:p w14:paraId="4475A481" w14:textId="74A9E12E" w:rsidR="00201E04" w:rsidRPr="004D6A21" w:rsidRDefault="00201E04" w:rsidP="004D6A21">
      <w:pPr>
        <w:pStyle w:val="Documentstatus"/>
        <w:spacing w:before="720"/>
        <w:rPr>
          <w:szCs w:val="36"/>
          <w:highlight w:val="yellow"/>
        </w:rPr>
      </w:pPr>
      <w:r>
        <w:rPr>
          <w:b/>
          <w:sz w:val="28"/>
        </w:rPr>
        <w:br w:type="page"/>
      </w:r>
    </w:p>
    <w:sdt>
      <w:sdtPr>
        <w:rPr>
          <w:b/>
          <w:color w:val="auto"/>
          <w:sz w:val="28"/>
          <w:szCs w:val="22"/>
        </w:rPr>
        <w:id w:val="-1361974634"/>
        <w:docPartObj>
          <w:docPartGallery w:val="Table of Contents"/>
          <w:docPartUnique/>
        </w:docPartObj>
      </w:sdtPr>
      <w:sdtEndPr>
        <w:rPr>
          <w:b w:val="0"/>
          <w:color w:val="009C98" w:themeColor="accent1"/>
          <w:sz w:val="52"/>
          <w:szCs w:val="56"/>
        </w:rPr>
      </w:sdtEndPr>
      <w:sdtContent>
        <w:p w14:paraId="7034B0DE" w14:textId="77777777" w:rsidR="00C50BF9" w:rsidRPr="00095255" w:rsidRDefault="00C50BF9" w:rsidP="00C50BF9">
          <w:pPr>
            <w:pStyle w:val="TOCHeading"/>
          </w:pPr>
          <w:r w:rsidRPr="00A82FF5">
            <w:rPr>
              <w:szCs w:val="52"/>
            </w:rPr>
            <w:t>Contents</w:t>
          </w:r>
        </w:p>
      </w:sdtContent>
    </w:sdt>
    <w:p w14:paraId="38FB2F76" w14:textId="29E16458" w:rsidR="00B21146" w:rsidRDefault="00C50BF9">
      <w:pPr>
        <w:pStyle w:val="TOC1"/>
        <w:tabs>
          <w:tab w:val="right" w:leader="dot" w:pos="8608"/>
        </w:tabs>
        <w:rPr>
          <w:rFonts w:eastAsiaTheme="minorEastAsia"/>
          <w:b w:val="0"/>
          <w:noProof/>
          <w:sz w:val="22"/>
          <w:lang w:eastAsia="en-GB"/>
        </w:rPr>
      </w:pPr>
      <w:r>
        <w:fldChar w:fldCharType="begin"/>
      </w:r>
      <w:r>
        <w:instrText xml:space="preserve"> TOC \o "1-2" \h \z \u </w:instrText>
      </w:r>
      <w:r>
        <w:fldChar w:fldCharType="separate"/>
      </w:r>
      <w:hyperlink w:anchor="_Toc122018845" w:history="1">
        <w:r w:rsidR="00B21146" w:rsidRPr="00817473">
          <w:rPr>
            <w:rStyle w:val="Hyperlink"/>
            <w:noProof/>
          </w:rPr>
          <w:t>Introduction</w:t>
        </w:r>
        <w:r w:rsidR="00B21146">
          <w:rPr>
            <w:noProof/>
            <w:webHidden/>
          </w:rPr>
          <w:tab/>
        </w:r>
        <w:r w:rsidR="00B21146">
          <w:rPr>
            <w:noProof/>
            <w:webHidden/>
          </w:rPr>
          <w:fldChar w:fldCharType="begin"/>
        </w:r>
        <w:r w:rsidR="00B21146">
          <w:rPr>
            <w:noProof/>
            <w:webHidden/>
          </w:rPr>
          <w:instrText xml:space="preserve"> PAGEREF _Toc122018845 \h </w:instrText>
        </w:r>
        <w:r w:rsidR="00B21146">
          <w:rPr>
            <w:noProof/>
            <w:webHidden/>
          </w:rPr>
        </w:r>
        <w:r w:rsidR="00B21146">
          <w:rPr>
            <w:noProof/>
            <w:webHidden/>
          </w:rPr>
          <w:fldChar w:fldCharType="separate"/>
        </w:r>
        <w:r w:rsidR="00B21146">
          <w:rPr>
            <w:noProof/>
            <w:webHidden/>
          </w:rPr>
          <w:t>3</w:t>
        </w:r>
        <w:r w:rsidR="00B21146">
          <w:rPr>
            <w:noProof/>
            <w:webHidden/>
          </w:rPr>
          <w:fldChar w:fldCharType="end"/>
        </w:r>
      </w:hyperlink>
    </w:p>
    <w:p w14:paraId="1758921E" w14:textId="6DFA13C8" w:rsidR="00B21146" w:rsidRDefault="00FC03DC">
      <w:pPr>
        <w:pStyle w:val="TOC1"/>
        <w:tabs>
          <w:tab w:val="right" w:leader="dot" w:pos="8608"/>
        </w:tabs>
        <w:rPr>
          <w:rFonts w:eastAsiaTheme="minorEastAsia"/>
          <w:b w:val="0"/>
          <w:noProof/>
          <w:sz w:val="22"/>
          <w:lang w:eastAsia="en-GB"/>
        </w:rPr>
      </w:pPr>
      <w:hyperlink w:anchor="_Toc122018846" w:history="1">
        <w:r w:rsidR="00B21146" w:rsidRPr="00817473">
          <w:rPr>
            <w:rStyle w:val="Hyperlink"/>
            <w:noProof/>
          </w:rPr>
          <w:t>General measures of implementation (Articles 4, 42 and 44 (6))</w:t>
        </w:r>
        <w:r w:rsidR="00B21146">
          <w:rPr>
            <w:noProof/>
            <w:webHidden/>
          </w:rPr>
          <w:tab/>
        </w:r>
        <w:r w:rsidR="00B21146">
          <w:rPr>
            <w:noProof/>
            <w:webHidden/>
          </w:rPr>
          <w:fldChar w:fldCharType="begin"/>
        </w:r>
        <w:r w:rsidR="00B21146">
          <w:rPr>
            <w:noProof/>
            <w:webHidden/>
          </w:rPr>
          <w:instrText xml:space="preserve"> PAGEREF _Toc122018846 \h </w:instrText>
        </w:r>
        <w:r w:rsidR="00B21146">
          <w:rPr>
            <w:noProof/>
            <w:webHidden/>
          </w:rPr>
        </w:r>
        <w:r w:rsidR="00B21146">
          <w:rPr>
            <w:noProof/>
            <w:webHidden/>
          </w:rPr>
          <w:fldChar w:fldCharType="separate"/>
        </w:r>
        <w:r w:rsidR="00B21146">
          <w:rPr>
            <w:noProof/>
            <w:webHidden/>
          </w:rPr>
          <w:t>6</w:t>
        </w:r>
        <w:r w:rsidR="00B21146">
          <w:rPr>
            <w:noProof/>
            <w:webHidden/>
          </w:rPr>
          <w:fldChar w:fldCharType="end"/>
        </w:r>
      </w:hyperlink>
    </w:p>
    <w:p w14:paraId="3BEA50FB" w14:textId="1C5194D8" w:rsidR="00B21146" w:rsidRDefault="00FC03DC">
      <w:pPr>
        <w:pStyle w:val="TOC2"/>
        <w:tabs>
          <w:tab w:val="right" w:leader="dot" w:pos="8608"/>
        </w:tabs>
        <w:rPr>
          <w:rFonts w:eastAsiaTheme="minorEastAsia"/>
          <w:noProof/>
          <w:sz w:val="22"/>
          <w:lang w:eastAsia="en-GB"/>
        </w:rPr>
      </w:pPr>
      <w:hyperlink w:anchor="_Toc122018847" w:history="1">
        <w:r w:rsidR="00B21146" w:rsidRPr="00817473">
          <w:rPr>
            <w:rStyle w:val="Hyperlink"/>
            <w:noProof/>
          </w:rPr>
          <w:t>Reservations and legislation</w:t>
        </w:r>
        <w:r w:rsidR="00B21146">
          <w:rPr>
            <w:noProof/>
            <w:webHidden/>
          </w:rPr>
          <w:tab/>
        </w:r>
        <w:r w:rsidR="00B21146">
          <w:rPr>
            <w:noProof/>
            <w:webHidden/>
          </w:rPr>
          <w:fldChar w:fldCharType="begin"/>
        </w:r>
        <w:r w:rsidR="00B21146">
          <w:rPr>
            <w:noProof/>
            <w:webHidden/>
          </w:rPr>
          <w:instrText xml:space="preserve"> PAGEREF _Toc122018847 \h </w:instrText>
        </w:r>
        <w:r w:rsidR="00B21146">
          <w:rPr>
            <w:noProof/>
            <w:webHidden/>
          </w:rPr>
        </w:r>
        <w:r w:rsidR="00B21146">
          <w:rPr>
            <w:noProof/>
            <w:webHidden/>
          </w:rPr>
          <w:fldChar w:fldCharType="separate"/>
        </w:r>
        <w:r w:rsidR="00B21146">
          <w:rPr>
            <w:noProof/>
            <w:webHidden/>
          </w:rPr>
          <w:t>6</w:t>
        </w:r>
        <w:r w:rsidR="00B21146">
          <w:rPr>
            <w:noProof/>
            <w:webHidden/>
          </w:rPr>
          <w:fldChar w:fldCharType="end"/>
        </w:r>
      </w:hyperlink>
    </w:p>
    <w:p w14:paraId="27317CFC" w14:textId="6F95B8CC" w:rsidR="00B21146" w:rsidRDefault="00FC03DC">
      <w:pPr>
        <w:pStyle w:val="TOC2"/>
        <w:tabs>
          <w:tab w:val="right" w:leader="dot" w:pos="8608"/>
        </w:tabs>
        <w:rPr>
          <w:rFonts w:eastAsiaTheme="minorEastAsia"/>
          <w:noProof/>
          <w:sz w:val="22"/>
          <w:lang w:eastAsia="en-GB"/>
        </w:rPr>
      </w:pPr>
      <w:hyperlink w:anchor="_Toc122018848" w:history="1">
        <w:r w:rsidR="00B21146" w:rsidRPr="00817473">
          <w:rPr>
            <w:rStyle w:val="Hyperlink"/>
            <w:noProof/>
          </w:rPr>
          <w:t>Comprehensive policy, strategy and coordination</w:t>
        </w:r>
        <w:r w:rsidR="00B21146">
          <w:rPr>
            <w:noProof/>
            <w:webHidden/>
          </w:rPr>
          <w:tab/>
        </w:r>
        <w:r w:rsidR="00B21146">
          <w:rPr>
            <w:noProof/>
            <w:webHidden/>
          </w:rPr>
          <w:fldChar w:fldCharType="begin"/>
        </w:r>
        <w:r w:rsidR="00B21146">
          <w:rPr>
            <w:noProof/>
            <w:webHidden/>
          </w:rPr>
          <w:instrText xml:space="preserve"> PAGEREF _Toc122018848 \h </w:instrText>
        </w:r>
        <w:r w:rsidR="00B21146">
          <w:rPr>
            <w:noProof/>
            <w:webHidden/>
          </w:rPr>
        </w:r>
        <w:r w:rsidR="00B21146">
          <w:rPr>
            <w:noProof/>
            <w:webHidden/>
          </w:rPr>
          <w:fldChar w:fldCharType="separate"/>
        </w:r>
        <w:r w:rsidR="00B21146">
          <w:rPr>
            <w:noProof/>
            <w:webHidden/>
          </w:rPr>
          <w:t>8</w:t>
        </w:r>
        <w:r w:rsidR="00B21146">
          <w:rPr>
            <w:noProof/>
            <w:webHidden/>
          </w:rPr>
          <w:fldChar w:fldCharType="end"/>
        </w:r>
      </w:hyperlink>
    </w:p>
    <w:p w14:paraId="3094942F" w14:textId="0734C59B" w:rsidR="00B21146" w:rsidRDefault="00FC03DC">
      <w:pPr>
        <w:pStyle w:val="TOC1"/>
        <w:tabs>
          <w:tab w:val="right" w:leader="dot" w:pos="8608"/>
        </w:tabs>
        <w:rPr>
          <w:rFonts w:eastAsiaTheme="minorEastAsia"/>
          <w:b w:val="0"/>
          <w:noProof/>
          <w:sz w:val="22"/>
          <w:lang w:eastAsia="en-GB"/>
        </w:rPr>
      </w:pPr>
      <w:hyperlink w:anchor="_Toc122018849" w:history="1">
        <w:r w:rsidR="00B21146" w:rsidRPr="00817473">
          <w:rPr>
            <w:rStyle w:val="Hyperlink"/>
            <w:noProof/>
          </w:rPr>
          <w:t>Civil rights and freedoms (Articles 7, 8 and 13-17)</w:t>
        </w:r>
        <w:r w:rsidR="00B21146">
          <w:rPr>
            <w:noProof/>
            <w:webHidden/>
          </w:rPr>
          <w:tab/>
        </w:r>
        <w:r w:rsidR="00B21146">
          <w:rPr>
            <w:noProof/>
            <w:webHidden/>
          </w:rPr>
          <w:fldChar w:fldCharType="begin"/>
        </w:r>
        <w:r w:rsidR="00B21146">
          <w:rPr>
            <w:noProof/>
            <w:webHidden/>
          </w:rPr>
          <w:instrText xml:space="preserve"> PAGEREF _Toc122018849 \h </w:instrText>
        </w:r>
        <w:r w:rsidR="00B21146">
          <w:rPr>
            <w:noProof/>
            <w:webHidden/>
          </w:rPr>
        </w:r>
        <w:r w:rsidR="00B21146">
          <w:rPr>
            <w:noProof/>
            <w:webHidden/>
          </w:rPr>
          <w:fldChar w:fldCharType="separate"/>
        </w:r>
        <w:r w:rsidR="00B21146">
          <w:rPr>
            <w:noProof/>
            <w:webHidden/>
          </w:rPr>
          <w:t>10</w:t>
        </w:r>
        <w:r w:rsidR="00B21146">
          <w:rPr>
            <w:noProof/>
            <w:webHidden/>
          </w:rPr>
          <w:fldChar w:fldCharType="end"/>
        </w:r>
      </w:hyperlink>
    </w:p>
    <w:p w14:paraId="4F05913C" w14:textId="695919BB" w:rsidR="00B21146" w:rsidRDefault="00FC03DC">
      <w:pPr>
        <w:pStyle w:val="TOC2"/>
        <w:tabs>
          <w:tab w:val="right" w:leader="dot" w:pos="8608"/>
        </w:tabs>
        <w:rPr>
          <w:rFonts w:eastAsiaTheme="minorEastAsia"/>
          <w:noProof/>
          <w:sz w:val="22"/>
          <w:lang w:eastAsia="en-GB"/>
        </w:rPr>
      </w:pPr>
      <w:hyperlink w:anchor="_Toc122018850" w:history="1">
        <w:r w:rsidR="00B21146" w:rsidRPr="00817473">
          <w:rPr>
            <w:rStyle w:val="Hyperlink"/>
            <w:noProof/>
          </w:rPr>
          <w:t>Nationality</w:t>
        </w:r>
        <w:r w:rsidR="00B21146">
          <w:rPr>
            <w:noProof/>
            <w:webHidden/>
          </w:rPr>
          <w:tab/>
        </w:r>
        <w:r w:rsidR="00B21146">
          <w:rPr>
            <w:noProof/>
            <w:webHidden/>
          </w:rPr>
          <w:fldChar w:fldCharType="begin"/>
        </w:r>
        <w:r w:rsidR="00B21146">
          <w:rPr>
            <w:noProof/>
            <w:webHidden/>
          </w:rPr>
          <w:instrText xml:space="preserve"> PAGEREF _Toc122018850 \h </w:instrText>
        </w:r>
        <w:r w:rsidR="00B21146">
          <w:rPr>
            <w:noProof/>
            <w:webHidden/>
          </w:rPr>
        </w:r>
        <w:r w:rsidR="00B21146">
          <w:rPr>
            <w:noProof/>
            <w:webHidden/>
          </w:rPr>
          <w:fldChar w:fldCharType="separate"/>
        </w:r>
        <w:r w:rsidR="00B21146">
          <w:rPr>
            <w:noProof/>
            <w:webHidden/>
          </w:rPr>
          <w:t>10</w:t>
        </w:r>
        <w:r w:rsidR="00B21146">
          <w:rPr>
            <w:noProof/>
            <w:webHidden/>
          </w:rPr>
          <w:fldChar w:fldCharType="end"/>
        </w:r>
      </w:hyperlink>
    </w:p>
    <w:p w14:paraId="23A1938C" w14:textId="508CE386" w:rsidR="00B21146" w:rsidRDefault="00FC03DC">
      <w:pPr>
        <w:pStyle w:val="TOC2"/>
        <w:tabs>
          <w:tab w:val="right" w:leader="dot" w:pos="8608"/>
        </w:tabs>
        <w:rPr>
          <w:rFonts w:eastAsiaTheme="minorEastAsia"/>
          <w:noProof/>
          <w:sz w:val="22"/>
          <w:lang w:eastAsia="en-GB"/>
        </w:rPr>
      </w:pPr>
      <w:hyperlink w:anchor="_Toc122018851" w:history="1">
        <w:r w:rsidR="00B21146" w:rsidRPr="00817473">
          <w:rPr>
            <w:rStyle w:val="Hyperlink"/>
            <w:noProof/>
          </w:rPr>
          <w:t>Right to privacy</w:t>
        </w:r>
        <w:r w:rsidR="00B21146">
          <w:rPr>
            <w:noProof/>
            <w:webHidden/>
          </w:rPr>
          <w:tab/>
        </w:r>
        <w:r w:rsidR="00B21146">
          <w:rPr>
            <w:noProof/>
            <w:webHidden/>
          </w:rPr>
          <w:fldChar w:fldCharType="begin"/>
        </w:r>
        <w:r w:rsidR="00B21146">
          <w:rPr>
            <w:noProof/>
            <w:webHidden/>
          </w:rPr>
          <w:instrText xml:space="preserve"> PAGEREF _Toc122018851 \h </w:instrText>
        </w:r>
        <w:r w:rsidR="00B21146">
          <w:rPr>
            <w:noProof/>
            <w:webHidden/>
          </w:rPr>
        </w:r>
        <w:r w:rsidR="00B21146">
          <w:rPr>
            <w:noProof/>
            <w:webHidden/>
          </w:rPr>
          <w:fldChar w:fldCharType="separate"/>
        </w:r>
        <w:r w:rsidR="00B21146">
          <w:rPr>
            <w:noProof/>
            <w:webHidden/>
          </w:rPr>
          <w:t>12</w:t>
        </w:r>
        <w:r w:rsidR="00B21146">
          <w:rPr>
            <w:noProof/>
            <w:webHidden/>
          </w:rPr>
          <w:fldChar w:fldCharType="end"/>
        </w:r>
      </w:hyperlink>
    </w:p>
    <w:p w14:paraId="08A63928" w14:textId="2F1D2206" w:rsidR="00B21146" w:rsidRDefault="00FC03DC">
      <w:pPr>
        <w:pStyle w:val="TOC1"/>
        <w:tabs>
          <w:tab w:val="right" w:leader="dot" w:pos="8608"/>
        </w:tabs>
        <w:rPr>
          <w:rFonts w:eastAsiaTheme="minorEastAsia"/>
          <w:b w:val="0"/>
          <w:noProof/>
          <w:sz w:val="22"/>
          <w:lang w:eastAsia="en-GB"/>
        </w:rPr>
      </w:pPr>
      <w:hyperlink w:anchor="_Toc122018852" w:history="1">
        <w:r w:rsidR="00B21146" w:rsidRPr="00817473">
          <w:rPr>
            <w:rStyle w:val="Hyperlink"/>
            <w:noProof/>
          </w:rPr>
          <w:t>Violence against children (Articles 19, 24 (3), 28 (2), 34, 37 (a) and 39)</w:t>
        </w:r>
        <w:r w:rsidR="00B21146">
          <w:rPr>
            <w:noProof/>
            <w:webHidden/>
          </w:rPr>
          <w:tab/>
        </w:r>
        <w:r w:rsidR="00B21146">
          <w:rPr>
            <w:noProof/>
            <w:webHidden/>
          </w:rPr>
          <w:fldChar w:fldCharType="begin"/>
        </w:r>
        <w:r w:rsidR="00B21146">
          <w:rPr>
            <w:noProof/>
            <w:webHidden/>
          </w:rPr>
          <w:instrText xml:space="preserve"> PAGEREF _Toc122018852 \h </w:instrText>
        </w:r>
        <w:r w:rsidR="00B21146">
          <w:rPr>
            <w:noProof/>
            <w:webHidden/>
          </w:rPr>
        </w:r>
        <w:r w:rsidR="00B21146">
          <w:rPr>
            <w:noProof/>
            <w:webHidden/>
          </w:rPr>
          <w:fldChar w:fldCharType="separate"/>
        </w:r>
        <w:r w:rsidR="00B21146">
          <w:rPr>
            <w:noProof/>
            <w:webHidden/>
          </w:rPr>
          <w:t>15</w:t>
        </w:r>
        <w:r w:rsidR="00B21146">
          <w:rPr>
            <w:noProof/>
            <w:webHidden/>
          </w:rPr>
          <w:fldChar w:fldCharType="end"/>
        </w:r>
      </w:hyperlink>
    </w:p>
    <w:p w14:paraId="6BEB5818" w14:textId="1A94390E" w:rsidR="00B21146" w:rsidRDefault="00FC03DC">
      <w:pPr>
        <w:pStyle w:val="TOC2"/>
        <w:tabs>
          <w:tab w:val="right" w:leader="dot" w:pos="8608"/>
        </w:tabs>
        <w:rPr>
          <w:rFonts w:eastAsiaTheme="minorEastAsia"/>
          <w:noProof/>
          <w:sz w:val="22"/>
          <w:lang w:eastAsia="en-GB"/>
        </w:rPr>
      </w:pPr>
      <w:hyperlink w:anchor="_Toc122018853" w:history="1">
        <w:r w:rsidR="00B21146" w:rsidRPr="00817473">
          <w:rPr>
            <w:rStyle w:val="Hyperlink"/>
            <w:noProof/>
          </w:rPr>
          <w:t>Torture and other cruel, inhuman or degrading treatment or punishment</w:t>
        </w:r>
        <w:r w:rsidR="00B21146">
          <w:rPr>
            <w:noProof/>
            <w:webHidden/>
          </w:rPr>
          <w:tab/>
        </w:r>
        <w:r w:rsidR="00B21146">
          <w:rPr>
            <w:noProof/>
            <w:webHidden/>
          </w:rPr>
          <w:fldChar w:fldCharType="begin"/>
        </w:r>
        <w:r w:rsidR="00B21146">
          <w:rPr>
            <w:noProof/>
            <w:webHidden/>
          </w:rPr>
          <w:instrText xml:space="preserve"> PAGEREF _Toc122018853 \h </w:instrText>
        </w:r>
        <w:r w:rsidR="00B21146">
          <w:rPr>
            <w:noProof/>
            <w:webHidden/>
          </w:rPr>
        </w:r>
        <w:r w:rsidR="00B21146">
          <w:rPr>
            <w:noProof/>
            <w:webHidden/>
          </w:rPr>
          <w:fldChar w:fldCharType="separate"/>
        </w:r>
        <w:r w:rsidR="00B21146">
          <w:rPr>
            <w:noProof/>
            <w:webHidden/>
          </w:rPr>
          <w:t>15</w:t>
        </w:r>
        <w:r w:rsidR="00B21146">
          <w:rPr>
            <w:noProof/>
            <w:webHidden/>
          </w:rPr>
          <w:fldChar w:fldCharType="end"/>
        </w:r>
      </w:hyperlink>
    </w:p>
    <w:p w14:paraId="3E9F8322" w14:textId="1109D8EC" w:rsidR="00B21146" w:rsidRDefault="00FC03DC">
      <w:pPr>
        <w:pStyle w:val="TOC2"/>
        <w:tabs>
          <w:tab w:val="right" w:leader="dot" w:pos="8608"/>
        </w:tabs>
        <w:rPr>
          <w:rFonts w:eastAsiaTheme="minorEastAsia"/>
          <w:noProof/>
          <w:sz w:val="22"/>
          <w:lang w:eastAsia="en-GB"/>
        </w:rPr>
      </w:pPr>
      <w:hyperlink w:anchor="_Toc122018854" w:history="1">
        <w:r w:rsidR="00B21146" w:rsidRPr="00817473">
          <w:rPr>
            <w:rStyle w:val="Hyperlink"/>
            <w:noProof/>
          </w:rPr>
          <w:t>Freedom of the child from all forms of violence</w:t>
        </w:r>
        <w:r w:rsidR="00B21146">
          <w:rPr>
            <w:noProof/>
            <w:webHidden/>
          </w:rPr>
          <w:tab/>
        </w:r>
        <w:r w:rsidR="00B21146">
          <w:rPr>
            <w:noProof/>
            <w:webHidden/>
          </w:rPr>
          <w:fldChar w:fldCharType="begin"/>
        </w:r>
        <w:r w:rsidR="00B21146">
          <w:rPr>
            <w:noProof/>
            <w:webHidden/>
          </w:rPr>
          <w:instrText xml:space="preserve"> PAGEREF _Toc122018854 \h </w:instrText>
        </w:r>
        <w:r w:rsidR="00B21146">
          <w:rPr>
            <w:noProof/>
            <w:webHidden/>
          </w:rPr>
        </w:r>
        <w:r w:rsidR="00B21146">
          <w:rPr>
            <w:noProof/>
            <w:webHidden/>
          </w:rPr>
          <w:fldChar w:fldCharType="separate"/>
        </w:r>
        <w:r w:rsidR="00B21146">
          <w:rPr>
            <w:noProof/>
            <w:webHidden/>
          </w:rPr>
          <w:t>23</w:t>
        </w:r>
        <w:r w:rsidR="00B21146">
          <w:rPr>
            <w:noProof/>
            <w:webHidden/>
          </w:rPr>
          <w:fldChar w:fldCharType="end"/>
        </w:r>
      </w:hyperlink>
    </w:p>
    <w:p w14:paraId="08769748" w14:textId="08D20D4B" w:rsidR="00B21146" w:rsidRDefault="00FC03DC">
      <w:pPr>
        <w:pStyle w:val="TOC2"/>
        <w:tabs>
          <w:tab w:val="right" w:leader="dot" w:pos="8608"/>
        </w:tabs>
        <w:rPr>
          <w:rFonts w:eastAsiaTheme="minorEastAsia"/>
          <w:noProof/>
          <w:sz w:val="22"/>
          <w:lang w:eastAsia="en-GB"/>
        </w:rPr>
      </w:pPr>
      <w:hyperlink w:anchor="_Toc122018855" w:history="1">
        <w:r w:rsidR="00B21146" w:rsidRPr="00817473">
          <w:rPr>
            <w:rStyle w:val="Hyperlink"/>
            <w:noProof/>
          </w:rPr>
          <w:t>Harmful practices</w:t>
        </w:r>
        <w:r w:rsidR="00B21146">
          <w:rPr>
            <w:noProof/>
            <w:webHidden/>
          </w:rPr>
          <w:tab/>
        </w:r>
        <w:r w:rsidR="00B21146">
          <w:rPr>
            <w:noProof/>
            <w:webHidden/>
          </w:rPr>
          <w:fldChar w:fldCharType="begin"/>
        </w:r>
        <w:r w:rsidR="00B21146">
          <w:rPr>
            <w:noProof/>
            <w:webHidden/>
          </w:rPr>
          <w:instrText xml:space="preserve"> PAGEREF _Toc122018855 \h </w:instrText>
        </w:r>
        <w:r w:rsidR="00B21146">
          <w:rPr>
            <w:noProof/>
            <w:webHidden/>
          </w:rPr>
        </w:r>
        <w:r w:rsidR="00B21146">
          <w:rPr>
            <w:noProof/>
            <w:webHidden/>
          </w:rPr>
          <w:fldChar w:fldCharType="separate"/>
        </w:r>
        <w:r w:rsidR="00B21146">
          <w:rPr>
            <w:noProof/>
            <w:webHidden/>
          </w:rPr>
          <w:t>33</w:t>
        </w:r>
        <w:r w:rsidR="00B21146">
          <w:rPr>
            <w:noProof/>
            <w:webHidden/>
          </w:rPr>
          <w:fldChar w:fldCharType="end"/>
        </w:r>
      </w:hyperlink>
    </w:p>
    <w:p w14:paraId="48965629" w14:textId="07CA2A09" w:rsidR="00B21146" w:rsidRDefault="00FC03DC">
      <w:pPr>
        <w:pStyle w:val="TOC1"/>
        <w:tabs>
          <w:tab w:val="right" w:leader="dot" w:pos="8608"/>
        </w:tabs>
        <w:rPr>
          <w:rFonts w:eastAsiaTheme="minorEastAsia"/>
          <w:b w:val="0"/>
          <w:noProof/>
          <w:sz w:val="22"/>
          <w:lang w:eastAsia="en-GB"/>
        </w:rPr>
      </w:pPr>
      <w:hyperlink w:anchor="_Toc122018856" w:history="1">
        <w:r w:rsidR="00B21146" w:rsidRPr="00817473">
          <w:rPr>
            <w:rStyle w:val="Hyperlink"/>
            <w:noProof/>
          </w:rPr>
          <w:t>Basic health and welfare (Articles 6, 18 (3), 24, 26, 27 (1-3) and 33)</w:t>
        </w:r>
        <w:r w:rsidR="00B21146">
          <w:rPr>
            <w:noProof/>
            <w:webHidden/>
          </w:rPr>
          <w:tab/>
        </w:r>
        <w:r w:rsidR="00B21146">
          <w:rPr>
            <w:noProof/>
            <w:webHidden/>
          </w:rPr>
          <w:fldChar w:fldCharType="begin"/>
        </w:r>
        <w:r w:rsidR="00B21146">
          <w:rPr>
            <w:noProof/>
            <w:webHidden/>
          </w:rPr>
          <w:instrText xml:space="preserve"> PAGEREF _Toc122018856 \h </w:instrText>
        </w:r>
        <w:r w:rsidR="00B21146">
          <w:rPr>
            <w:noProof/>
            <w:webHidden/>
          </w:rPr>
        </w:r>
        <w:r w:rsidR="00B21146">
          <w:rPr>
            <w:noProof/>
            <w:webHidden/>
          </w:rPr>
          <w:fldChar w:fldCharType="separate"/>
        </w:r>
        <w:r w:rsidR="00B21146">
          <w:rPr>
            <w:noProof/>
            <w:webHidden/>
          </w:rPr>
          <w:t>37</w:t>
        </w:r>
        <w:r w:rsidR="00B21146">
          <w:rPr>
            <w:noProof/>
            <w:webHidden/>
          </w:rPr>
          <w:fldChar w:fldCharType="end"/>
        </w:r>
      </w:hyperlink>
    </w:p>
    <w:p w14:paraId="4A7434CA" w14:textId="327FBB5D" w:rsidR="00B21146" w:rsidRDefault="00FC03DC">
      <w:pPr>
        <w:pStyle w:val="TOC2"/>
        <w:tabs>
          <w:tab w:val="right" w:leader="dot" w:pos="8608"/>
        </w:tabs>
        <w:rPr>
          <w:rFonts w:eastAsiaTheme="minorEastAsia"/>
          <w:noProof/>
          <w:sz w:val="22"/>
          <w:lang w:eastAsia="en-GB"/>
        </w:rPr>
      </w:pPr>
      <w:hyperlink w:anchor="_Toc122018857" w:history="1">
        <w:r w:rsidR="00B21146" w:rsidRPr="00817473">
          <w:rPr>
            <w:rStyle w:val="Hyperlink"/>
            <w:noProof/>
          </w:rPr>
          <w:t>Health and health services</w:t>
        </w:r>
        <w:r w:rsidR="00B21146">
          <w:rPr>
            <w:noProof/>
            <w:webHidden/>
          </w:rPr>
          <w:tab/>
        </w:r>
        <w:r w:rsidR="00B21146">
          <w:rPr>
            <w:noProof/>
            <w:webHidden/>
          </w:rPr>
          <w:fldChar w:fldCharType="begin"/>
        </w:r>
        <w:r w:rsidR="00B21146">
          <w:rPr>
            <w:noProof/>
            <w:webHidden/>
          </w:rPr>
          <w:instrText xml:space="preserve"> PAGEREF _Toc122018857 \h </w:instrText>
        </w:r>
        <w:r w:rsidR="00B21146">
          <w:rPr>
            <w:noProof/>
            <w:webHidden/>
          </w:rPr>
        </w:r>
        <w:r w:rsidR="00B21146">
          <w:rPr>
            <w:noProof/>
            <w:webHidden/>
          </w:rPr>
          <w:fldChar w:fldCharType="separate"/>
        </w:r>
        <w:r w:rsidR="00B21146">
          <w:rPr>
            <w:noProof/>
            <w:webHidden/>
          </w:rPr>
          <w:t>37</w:t>
        </w:r>
        <w:r w:rsidR="00B21146">
          <w:rPr>
            <w:noProof/>
            <w:webHidden/>
          </w:rPr>
          <w:fldChar w:fldCharType="end"/>
        </w:r>
      </w:hyperlink>
    </w:p>
    <w:p w14:paraId="671A17AD" w14:textId="2843F32D" w:rsidR="00B21146" w:rsidRDefault="00FC03DC">
      <w:pPr>
        <w:pStyle w:val="TOC2"/>
        <w:tabs>
          <w:tab w:val="right" w:leader="dot" w:pos="8608"/>
        </w:tabs>
        <w:rPr>
          <w:rFonts w:eastAsiaTheme="minorEastAsia"/>
          <w:noProof/>
          <w:sz w:val="22"/>
          <w:lang w:eastAsia="en-GB"/>
        </w:rPr>
      </w:pPr>
      <w:hyperlink w:anchor="_Toc122018858" w:history="1">
        <w:r w:rsidR="00B21146" w:rsidRPr="00817473">
          <w:rPr>
            <w:rStyle w:val="Hyperlink"/>
            <w:noProof/>
          </w:rPr>
          <w:t>Standard of living</w:t>
        </w:r>
        <w:r w:rsidR="00B21146">
          <w:rPr>
            <w:noProof/>
            <w:webHidden/>
          </w:rPr>
          <w:tab/>
        </w:r>
        <w:r w:rsidR="00B21146">
          <w:rPr>
            <w:noProof/>
            <w:webHidden/>
          </w:rPr>
          <w:fldChar w:fldCharType="begin"/>
        </w:r>
        <w:r w:rsidR="00B21146">
          <w:rPr>
            <w:noProof/>
            <w:webHidden/>
          </w:rPr>
          <w:instrText xml:space="preserve"> PAGEREF _Toc122018858 \h </w:instrText>
        </w:r>
        <w:r w:rsidR="00B21146">
          <w:rPr>
            <w:noProof/>
            <w:webHidden/>
          </w:rPr>
        </w:r>
        <w:r w:rsidR="00B21146">
          <w:rPr>
            <w:noProof/>
            <w:webHidden/>
          </w:rPr>
          <w:fldChar w:fldCharType="separate"/>
        </w:r>
        <w:r w:rsidR="00B21146">
          <w:rPr>
            <w:noProof/>
            <w:webHidden/>
          </w:rPr>
          <w:t>48</w:t>
        </w:r>
        <w:r w:rsidR="00B21146">
          <w:rPr>
            <w:noProof/>
            <w:webHidden/>
          </w:rPr>
          <w:fldChar w:fldCharType="end"/>
        </w:r>
      </w:hyperlink>
    </w:p>
    <w:p w14:paraId="6F0B3012" w14:textId="3FDA613E" w:rsidR="00B21146" w:rsidRDefault="00FC03DC">
      <w:pPr>
        <w:pStyle w:val="TOC1"/>
        <w:tabs>
          <w:tab w:val="right" w:leader="dot" w:pos="8608"/>
        </w:tabs>
        <w:rPr>
          <w:rFonts w:eastAsiaTheme="minorEastAsia"/>
          <w:b w:val="0"/>
          <w:noProof/>
          <w:sz w:val="22"/>
          <w:lang w:eastAsia="en-GB"/>
        </w:rPr>
      </w:pPr>
      <w:hyperlink w:anchor="_Toc122018859" w:history="1">
        <w:r w:rsidR="00B21146" w:rsidRPr="00817473">
          <w:rPr>
            <w:rStyle w:val="Hyperlink"/>
            <w:noProof/>
          </w:rPr>
          <w:t>Education, leisure and cultural activities (Articles 28-31)</w:t>
        </w:r>
        <w:r w:rsidR="00B21146">
          <w:rPr>
            <w:noProof/>
            <w:webHidden/>
          </w:rPr>
          <w:tab/>
        </w:r>
        <w:r w:rsidR="00B21146">
          <w:rPr>
            <w:noProof/>
            <w:webHidden/>
          </w:rPr>
          <w:fldChar w:fldCharType="begin"/>
        </w:r>
        <w:r w:rsidR="00B21146">
          <w:rPr>
            <w:noProof/>
            <w:webHidden/>
          </w:rPr>
          <w:instrText xml:space="preserve"> PAGEREF _Toc122018859 \h </w:instrText>
        </w:r>
        <w:r w:rsidR="00B21146">
          <w:rPr>
            <w:noProof/>
            <w:webHidden/>
          </w:rPr>
        </w:r>
        <w:r w:rsidR="00B21146">
          <w:rPr>
            <w:noProof/>
            <w:webHidden/>
          </w:rPr>
          <w:fldChar w:fldCharType="separate"/>
        </w:r>
        <w:r w:rsidR="00B21146">
          <w:rPr>
            <w:noProof/>
            <w:webHidden/>
          </w:rPr>
          <w:t>56</w:t>
        </w:r>
        <w:r w:rsidR="00B21146">
          <w:rPr>
            <w:noProof/>
            <w:webHidden/>
          </w:rPr>
          <w:fldChar w:fldCharType="end"/>
        </w:r>
      </w:hyperlink>
    </w:p>
    <w:p w14:paraId="1B4015C8" w14:textId="05F39CE6" w:rsidR="00B21146" w:rsidRDefault="00FC03DC">
      <w:pPr>
        <w:pStyle w:val="TOC2"/>
        <w:tabs>
          <w:tab w:val="right" w:leader="dot" w:pos="8608"/>
        </w:tabs>
        <w:rPr>
          <w:rFonts w:eastAsiaTheme="minorEastAsia"/>
          <w:noProof/>
          <w:sz w:val="22"/>
          <w:lang w:eastAsia="en-GB"/>
        </w:rPr>
      </w:pPr>
      <w:hyperlink w:anchor="_Toc122018860" w:history="1">
        <w:r w:rsidR="00B21146" w:rsidRPr="00817473">
          <w:rPr>
            <w:rStyle w:val="Hyperlink"/>
            <w:noProof/>
          </w:rPr>
          <w:t>The right to education</w:t>
        </w:r>
        <w:r w:rsidR="00B21146">
          <w:rPr>
            <w:noProof/>
            <w:webHidden/>
          </w:rPr>
          <w:tab/>
        </w:r>
        <w:r w:rsidR="00B21146">
          <w:rPr>
            <w:noProof/>
            <w:webHidden/>
          </w:rPr>
          <w:fldChar w:fldCharType="begin"/>
        </w:r>
        <w:r w:rsidR="00B21146">
          <w:rPr>
            <w:noProof/>
            <w:webHidden/>
          </w:rPr>
          <w:instrText xml:space="preserve"> PAGEREF _Toc122018860 \h </w:instrText>
        </w:r>
        <w:r w:rsidR="00B21146">
          <w:rPr>
            <w:noProof/>
            <w:webHidden/>
          </w:rPr>
        </w:r>
        <w:r w:rsidR="00B21146">
          <w:rPr>
            <w:noProof/>
            <w:webHidden/>
          </w:rPr>
          <w:fldChar w:fldCharType="separate"/>
        </w:r>
        <w:r w:rsidR="00B21146">
          <w:rPr>
            <w:noProof/>
            <w:webHidden/>
          </w:rPr>
          <w:t>56</w:t>
        </w:r>
        <w:r w:rsidR="00B21146">
          <w:rPr>
            <w:noProof/>
            <w:webHidden/>
          </w:rPr>
          <w:fldChar w:fldCharType="end"/>
        </w:r>
      </w:hyperlink>
    </w:p>
    <w:p w14:paraId="04905B39" w14:textId="17AA9193" w:rsidR="00B21146" w:rsidRDefault="00FC03DC">
      <w:pPr>
        <w:pStyle w:val="TOC2"/>
        <w:tabs>
          <w:tab w:val="right" w:leader="dot" w:pos="8608"/>
        </w:tabs>
        <w:rPr>
          <w:rFonts w:eastAsiaTheme="minorEastAsia"/>
          <w:noProof/>
          <w:sz w:val="22"/>
          <w:lang w:eastAsia="en-GB"/>
        </w:rPr>
      </w:pPr>
      <w:hyperlink w:anchor="_Toc122018861" w:history="1">
        <w:r w:rsidR="00B21146" w:rsidRPr="00817473">
          <w:rPr>
            <w:rStyle w:val="Hyperlink"/>
            <w:noProof/>
          </w:rPr>
          <w:t>Human rights education and bullying</w:t>
        </w:r>
        <w:r w:rsidR="00B21146">
          <w:rPr>
            <w:noProof/>
            <w:webHidden/>
          </w:rPr>
          <w:tab/>
        </w:r>
        <w:r w:rsidR="00B21146">
          <w:rPr>
            <w:noProof/>
            <w:webHidden/>
          </w:rPr>
          <w:fldChar w:fldCharType="begin"/>
        </w:r>
        <w:r w:rsidR="00B21146">
          <w:rPr>
            <w:noProof/>
            <w:webHidden/>
          </w:rPr>
          <w:instrText xml:space="preserve"> PAGEREF _Toc122018861 \h </w:instrText>
        </w:r>
        <w:r w:rsidR="00B21146">
          <w:rPr>
            <w:noProof/>
            <w:webHidden/>
          </w:rPr>
        </w:r>
        <w:r w:rsidR="00B21146">
          <w:rPr>
            <w:noProof/>
            <w:webHidden/>
          </w:rPr>
          <w:fldChar w:fldCharType="separate"/>
        </w:r>
        <w:r w:rsidR="00B21146">
          <w:rPr>
            <w:noProof/>
            <w:webHidden/>
          </w:rPr>
          <w:t>69</w:t>
        </w:r>
        <w:r w:rsidR="00B21146">
          <w:rPr>
            <w:noProof/>
            <w:webHidden/>
          </w:rPr>
          <w:fldChar w:fldCharType="end"/>
        </w:r>
      </w:hyperlink>
    </w:p>
    <w:p w14:paraId="31084AB6" w14:textId="015A3B85" w:rsidR="00B21146" w:rsidRDefault="00FC03DC">
      <w:pPr>
        <w:pStyle w:val="TOC1"/>
        <w:tabs>
          <w:tab w:val="right" w:leader="dot" w:pos="8608"/>
        </w:tabs>
        <w:rPr>
          <w:rFonts w:eastAsiaTheme="minorEastAsia"/>
          <w:b w:val="0"/>
          <w:noProof/>
          <w:sz w:val="22"/>
          <w:lang w:eastAsia="en-GB"/>
        </w:rPr>
      </w:pPr>
      <w:hyperlink w:anchor="_Toc122018862" w:history="1">
        <w:r w:rsidR="00B21146" w:rsidRPr="00817473">
          <w:rPr>
            <w:rStyle w:val="Hyperlink"/>
            <w:noProof/>
          </w:rPr>
          <w:t>Special protection measures (Articles 22, 30, 32, 33, 35, 36, 37 (b–d) and 38–40)</w:t>
        </w:r>
        <w:r w:rsidR="00B21146">
          <w:rPr>
            <w:noProof/>
            <w:webHidden/>
          </w:rPr>
          <w:tab/>
        </w:r>
        <w:r w:rsidR="00B21146">
          <w:rPr>
            <w:noProof/>
            <w:webHidden/>
          </w:rPr>
          <w:fldChar w:fldCharType="begin"/>
        </w:r>
        <w:r w:rsidR="00B21146">
          <w:rPr>
            <w:noProof/>
            <w:webHidden/>
          </w:rPr>
          <w:instrText xml:space="preserve"> PAGEREF _Toc122018862 \h </w:instrText>
        </w:r>
        <w:r w:rsidR="00B21146">
          <w:rPr>
            <w:noProof/>
            <w:webHidden/>
          </w:rPr>
        </w:r>
        <w:r w:rsidR="00B21146">
          <w:rPr>
            <w:noProof/>
            <w:webHidden/>
          </w:rPr>
          <w:fldChar w:fldCharType="separate"/>
        </w:r>
        <w:r w:rsidR="00B21146">
          <w:rPr>
            <w:noProof/>
            <w:webHidden/>
          </w:rPr>
          <w:t>76</w:t>
        </w:r>
        <w:r w:rsidR="00B21146">
          <w:rPr>
            <w:noProof/>
            <w:webHidden/>
          </w:rPr>
          <w:fldChar w:fldCharType="end"/>
        </w:r>
      </w:hyperlink>
    </w:p>
    <w:p w14:paraId="2626FA04" w14:textId="43224BF2" w:rsidR="00B21146" w:rsidRDefault="00FC03DC">
      <w:pPr>
        <w:pStyle w:val="TOC2"/>
        <w:tabs>
          <w:tab w:val="right" w:leader="dot" w:pos="8608"/>
        </w:tabs>
        <w:rPr>
          <w:rFonts w:eastAsiaTheme="minorEastAsia"/>
          <w:noProof/>
          <w:sz w:val="22"/>
          <w:lang w:eastAsia="en-GB"/>
        </w:rPr>
      </w:pPr>
      <w:hyperlink w:anchor="_Toc122018863" w:history="1">
        <w:r w:rsidR="00B21146" w:rsidRPr="00817473">
          <w:rPr>
            <w:rStyle w:val="Hyperlink"/>
            <w:noProof/>
          </w:rPr>
          <w:t>Asylum-seeking, refugee and migrant children</w:t>
        </w:r>
        <w:r w:rsidR="00B21146">
          <w:rPr>
            <w:noProof/>
            <w:webHidden/>
          </w:rPr>
          <w:tab/>
        </w:r>
        <w:r w:rsidR="00B21146">
          <w:rPr>
            <w:noProof/>
            <w:webHidden/>
          </w:rPr>
          <w:fldChar w:fldCharType="begin"/>
        </w:r>
        <w:r w:rsidR="00B21146">
          <w:rPr>
            <w:noProof/>
            <w:webHidden/>
          </w:rPr>
          <w:instrText xml:space="preserve"> PAGEREF _Toc122018863 \h </w:instrText>
        </w:r>
        <w:r w:rsidR="00B21146">
          <w:rPr>
            <w:noProof/>
            <w:webHidden/>
          </w:rPr>
        </w:r>
        <w:r w:rsidR="00B21146">
          <w:rPr>
            <w:noProof/>
            <w:webHidden/>
          </w:rPr>
          <w:fldChar w:fldCharType="separate"/>
        </w:r>
        <w:r w:rsidR="00B21146">
          <w:rPr>
            <w:noProof/>
            <w:webHidden/>
          </w:rPr>
          <w:t>76</w:t>
        </w:r>
        <w:r w:rsidR="00B21146">
          <w:rPr>
            <w:noProof/>
            <w:webHidden/>
          </w:rPr>
          <w:fldChar w:fldCharType="end"/>
        </w:r>
      </w:hyperlink>
    </w:p>
    <w:p w14:paraId="40523362" w14:textId="31CDD825" w:rsidR="00B21146" w:rsidRDefault="00FC03DC">
      <w:pPr>
        <w:pStyle w:val="TOC2"/>
        <w:tabs>
          <w:tab w:val="right" w:leader="dot" w:pos="8608"/>
        </w:tabs>
        <w:rPr>
          <w:rFonts w:eastAsiaTheme="minorEastAsia"/>
          <w:noProof/>
          <w:sz w:val="22"/>
          <w:lang w:eastAsia="en-GB"/>
        </w:rPr>
      </w:pPr>
      <w:hyperlink w:anchor="_Toc122018864" w:history="1">
        <w:r w:rsidR="00B21146" w:rsidRPr="00817473">
          <w:rPr>
            <w:rStyle w:val="Hyperlink"/>
            <w:noProof/>
          </w:rPr>
          <w:t>Administration of child justice</w:t>
        </w:r>
        <w:r w:rsidR="00B21146">
          <w:rPr>
            <w:noProof/>
            <w:webHidden/>
          </w:rPr>
          <w:tab/>
        </w:r>
        <w:r w:rsidR="00B21146">
          <w:rPr>
            <w:noProof/>
            <w:webHidden/>
          </w:rPr>
          <w:fldChar w:fldCharType="begin"/>
        </w:r>
        <w:r w:rsidR="00B21146">
          <w:rPr>
            <w:noProof/>
            <w:webHidden/>
          </w:rPr>
          <w:instrText xml:space="preserve"> PAGEREF _Toc122018864 \h </w:instrText>
        </w:r>
        <w:r w:rsidR="00B21146">
          <w:rPr>
            <w:noProof/>
            <w:webHidden/>
          </w:rPr>
        </w:r>
        <w:r w:rsidR="00B21146">
          <w:rPr>
            <w:noProof/>
            <w:webHidden/>
          </w:rPr>
          <w:fldChar w:fldCharType="separate"/>
        </w:r>
        <w:r w:rsidR="00B21146">
          <w:rPr>
            <w:noProof/>
            <w:webHidden/>
          </w:rPr>
          <w:t>83</w:t>
        </w:r>
        <w:r w:rsidR="00B21146">
          <w:rPr>
            <w:noProof/>
            <w:webHidden/>
          </w:rPr>
          <w:fldChar w:fldCharType="end"/>
        </w:r>
      </w:hyperlink>
    </w:p>
    <w:p w14:paraId="2C8A1ED4" w14:textId="7D4CBC76" w:rsidR="00B21146" w:rsidRDefault="00FC03DC">
      <w:pPr>
        <w:pStyle w:val="TOC1"/>
        <w:tabs>
          <w:tab w:val="right" w:leader="dot" w:pos="8608"/>
        </w:tabs>
        <w:rPr>
          <w:rFonts w:eastAsiaTheme="minorEastAsia"/>
          <w:b w:val="0"/>
          <w:noProof/>
          <w:sz w:val="22"/>
          <w:lang w:eastAsia="en-GB"/>
        </w:rPr>
      </w:pPr>
      <w:hyperlink w:anchor="_Toc122018865" w:history="1">
        <w:r w:rsidR="00B21146" w:rsidRPr="00817473">
          <w:rPr>
            <w:rStyle w:val="Hyperlink"/>
            <w:noProof/>
          </w:rPr>
          <w:t>Optional protocol on the sale of children, child prostitution and child pornography</w:t>
        </w:r>
        <w:r w:rsidR="00B21146">
          <w:rPr>
            <w:noProof/>
            <w:webHidden/>
          </w:rPr>
          <w:tab/>
        </w:r>
        <w:r w:rsidR="00B21146">
          <w:rPr>
            <w:noProof/>
            <w:webHidden/>
          </w:rPr>
          <w:fldChar w:fldCharType="begin"/>
        </w:r>
        <w:r w:rsidR="00B21146">
          <w:rPr>
            <w:noProof/>
            <w:webHidden/>
          </w:rPr>
          <w:instrText xml:space="preserve"> PAGEREF _Toc122018865 \h </w:instrText>
        </w:r>
        <w:r w:rsidR="00B21146">
          <w:rPr>
            <w:noProof/>
            <w:webHidden/>
          </w:rPr>
        </w:r>
        <w:r w:rsidR="00B21146">
          <w:rPr>
            <w:noProof/>
            <w:webHidden/>
          </w:rPr>
          <w:fldChar w:fldCharType="separate"/>
        </w:r>
        <w:r w:rsidR="00B21146">
          <w:rPr>
            <w:noProof/>
            <w:webHidden/>
          </w:rPr>
          <w:t>93</w:t>
        </w:r>
        <w:r w:rsidR="00B21146">
          <w:rPr>
            <w:noProof/>
            <w:webHidden/>
          </w:rPr>
          <w:fldChar w:fldCharType="end"/>
        </w:r>
      </w:hyperlink>
    </w:p>
    <w:p w14:paraId="49CD77E4" w14:textId="08209E94" w:rsidR="00B21146" w:rsidRDefault="00FC03DC">
      <w:pPr>
        <w:pStyle w:val="TOC2"/>
        <w:tabs>
          <w:tab w:val="right" w:leader="dot" w:pos="8608"/>
        </w:tabs>
        <w:rPr>
          <w:rFonts w:eastAsiaTheme="minorEastAsia"/>
          <w:noProof/>
          <w:sz w:val="22"/>
          <w:lang w:eastAsia="en-GB"/>
        </w:rPr>
      </w:pPr>
      <w:hyperlink w:anchor="_Toc122018866" w:history="1">
        <w:r w:rsidR="00B21146" w:rsidRPr="00817473">
          <w:rPr>
            <w:rStyle w:val="Hyperlink"/>
            <w:noProof/>
          </w:rPr>
          <w:t>Trafficking and modern slavery</w:t>
        </w:r>
        <w:r w:rsidR="00B21146">
          <w:rPr>
            <w:noProof/>
            <w:webHidden/>
          </w:rPr>
          <w:tab/>
        </w:r>
        <w:r w:rsidR="00B21146">
          <w:rPr>
            <w:noProof/>
            <w:webHidden/>
          </w:rPr>
          <w:fldChar w:fldCharType="begin"/>
        </w:r>
        <w:r w:rsidR="00B21146">
          <w:rPr>
            <w:noProof/>
            <w:webHidden/>
          </w:rPr>
          <w:instrText xml:space="preserve"> PAGEREF _Toc122018866 \h </w:instrText>
        </w:r>
        <w:r w:rsidR="00B21146">
          <w:rPr>
            <w:noProof/>
            <w:webHidden/>
          </w:rPr>
        </w:r>
        <w:r w:rsidR="00B21146">
          <w:rPr>
            <w:noProof/>
            <w:webHidden/>
          </w:rPr>
          <w:fldChar w:fldCharType="separate"/>
        </w:r>
        <w:r w:rsidR="00B21146">
          <w:rPr>
            <w:noProof/>
            <w:webHidden/>
          </w:rPr>
          <w:t>93</w:t>
        </w:r>
        <w:r w:rsidR="00B21146">
          <w:rPr>
            <w:noProof/>
            <w:webHidden/>
          </w:rPr>
          <w:fldChar w:fldCharType="end"/>
        </w:r>
      </w:hyperlink>
    </w:p>
    <w:p w14:paraId="6A7D4D9A" w14:textId="2F78C017" w:rsidR="00B21146" w:rsidRDefault="00FC03DC">
      <w:pPr>
        <w:pStyle w:val="TOC1"/>
        <w:tabs>
          <w:tab w:val="right" w:leader="dot" w:pos="8608"/>
        </w:tabs>
        <w:rPr>
          <w:rFonts w:eastAsiaTheme="minorEastAsia"/>
          <w:b w:val="0"/>
          <w:noProof/>
          <w:sz w:val="22"/>
          <w:lang w:eastAsia="en-GB"/>
        </w:rPr>
      </w:pPr>
      <w:hyperlink w:anchor="_Toc122018867" w:history="1">
        <w:r w:rsidR="00B21146" w:rsidRPr="00817473">
          <w:rPr>
            <w:rStyle w:val="Hyperlink"/>
            <w:noProof/>
          </w:rPr>
          <w:t>Contacts</w:t>
        </w:r>
        <w:r w:rsidR="00B21146">
          <w:rPr>
            <w:noProof/>
            <w:webHidden/>
          </w:rPr>
          <w:tab/>
        </w:r>
        <w:r w:rsidR="00B21146">
          <w:rPr>
            <w:noProof/>
            <w:webHidden/>
          </w:rPr>
          <w:fldChar w:fldCharType="begin"/>
        </w:r>
        <w:r w:rsidR="00B21146">
          <w:rPr>
            <w:noProof/>
            <w:webHidden/>
          </w:rPr>
          <w:instrText xml:space="preserve"> PAGEREF _Toc122018867 \h </w:instrText>
        </w:r>
        <w:r w:rsidR="00B21146">
          <w:rPr>
            <w:noProof/>
            <w:webHidden/>
          </w:rPr>
        </w:r>
        <w:r w:rsidR="00B21146">
          <w:rPr>
            <w:noProof/>
            <w:webHidden/>
          </w:rPr>
          <w:fldChar w:fldCharType="separate"/>
        </w:r>
        <w:r w:rsidR="00B21146">
          <w:rPr>
            <w:noProof/>
            <w:webHidden/>
          </w:rPr>
          <w:t>96</w:t>
        </w:r>
        <w:r w:rsidR="00B21146">
          <w:rPr>
            <w:noProof/>
            <w:webHidden/>
          </w:rPr>
          <w:fldChar w:fldCharType="end"/>
        </w:r>
      </w:hyperlink>
    </w:p>
    <w:p w14:paraId="6416FCBD" w14:textId="623975B5" w:rsidR="00B21146" w:rsidRDefault="00FC03DC">
      <w:pPr>
        <w:pStyle w:val="TOC2"/>
        <w:tabs>
          <w:tab w:val="right" w:leader="dot" w:pos="8608"/>
        </w:tabs>
        <w:rPr>
          <w:rFonts w:eastAsiaTheme="minorEastAsia"/>
          <w:noProof/>
          <w:sz w:val="22"/>
          <w:lang w:eastAsia="en-GB"/>
        </w:rPr>
      </w:pPr>
      <w:hyperlink w:anchor="_Toc122018868" w:history="1">
        <w:r w:rsidR="00B21146" w:rsidRPr="00817473">
          <w:rPr>
            <w:rStyle w:val="Hyperlink"/>
            <w:noProof/>
          </w:rPr>
          <w:t>EASS</w:t>
        </w:r>
        <w:r w:rsidR="00B21146">
          <w:rPr>
            <w:noProof/>
            <w:webHidden/>
          </w:rPr>
          <w:tab/>
        </w:r>
        <w:r w:rsidR="00B21146">
          <w:rPr>
            <w:noProof/>
            <w:webHidden/>
          </w:rPr>
          <w:fldChar w:fldCharType="begin"/>
        </w:r>
        <w:r w:rsidR="00B21146">
          <w:rPr>
            <w:noProof/>
            <w:webHidden/>
          </w:rPr>
          <w:instrText xml:space="preserve"> PAGEREF _Toc122018868 \h </w:instrText>
        </w:r>
        <w:r w:rsidR="00B21146">
          <w:rPr>
            <w:noProof/>
            <w:webHidden/>
          </w:rPr>
        </w:r>
        <w:r w:rsidR="00B21146">
          <w:rPr>
            <w:noProof/>
            <w:webHidden/>
          </w:rPr>
          <w:fldChar w:fldCharType="separate"/>
        </w:r>
        <w:r w:rsidR="00B21146">
          <w:rPr>
            <w:noProof/>
            <w:webHidden/>
          </w:rPr>
          <w:t>96</w:t>
        </w:r>
        <w:r w:rsidR="00B21146">
          <w:rPr>
            <w:noProof/>
            <w:webHidden/>
          </w:rPr>
          <w:fldChar w:fldCharType="end"/>
        </w:r>
      </w:hyperlink>
    </w:p>
    <w:p w14:paraId="11135453" w14:textId="16A4526F" w:rsidR="00B277C1" w:rsidRDefault="00C50BF9" w:rsidP="00E45625">
      <w:pPr>
        <w:pBdr>
          <w:top w:val="dashSmallGap" w:sz="18" w:space="24" w:color="auto"/>
        </w:pBdr>
        <w:spacing w:before="960"/>
        <w:rPr>
          <w:rStyle w:val="Howtousethistemplate"/>
        </w:rPr>
      </w:pPr>
      <w:r>
        <w:fldChar w:fldCharType="end"/>
      </w:r>
    </w:p>
    <w:p w14:paraId="2D96B963" w14:textId="38A5EB63" w:rsidR="00B02B52" w:rsidRPr="00A82FF5" w:rsidRDefault="004D6A21" w:rsidP="00A82FF5">
      <w:pPr>
        <w:pStyle w:val="Heading1"/>
      </w:pPr>
      <w:bookmarkStart w:id="1" w:name="_Toc122018845"/>
      <w:r>
        <w:t>Introduction</w:t>
      </w:r>
      <w:bookmarkEnd w:id="1"/>
    </w:p>
    <w:p w14:paraId="0A52DE83" w14:textId="5A8A1A41" w:rsidR="004D6A21" w:rsidRPr="006E33D0" w:rsidRDefault="004D6A21" w:rsidP="004D6A21">
      <w:pPr>
        <w:spacing w:line="240" w:lineRule="auto"/>
        <w:rPr>
          <w:rFonts w:ascii="Arial" w:hAnsi="Arial" w:cs="Arial"/>
          <w:szCs w:val="24"/>
        </w:rPr>
      </w:pPr>
      <w:r w:rsidRPr="006E33D0">
        <w:rPr>
          <w:rFonts w:ascii="Arial" w:hAnsi="Arial" w:cs="Arial"/>
          <w:szCs w:val="24"/>
        </w:rPr>
        <w:t>The Equality an</w:t>
      </w:r>
      <w:r w:rsidR="00274A05">
        <w:rPr>
          <w:rFonts w:ascii="Arial" w:hAnsi="Arial" w:cs="Arial"/>
          <w:szCs w:val="24"/>
        </w:rPr>
        <w:t>d Human Rights Commission</w:t>
      </w:r>
      <w:r w:rsidRPr="006E33D0">
        <w:rPr>
          <w:rFonts w:ascii="Arial" w:hAnsi="Arial" w:cs="Arial"/>
          <w:szCs w:val="24"/>
        </w:rPr>
        <w:t xml:space="preserve"> is an independent statutory body and A-status National Human Rights Institution with a mandate covering equality and human rights. We are tasked by the United Kingdom (UK) Parliament with promoting understanding and protection of human rights and encouraging good practice.</w:t>
      </w:r>
      <w:r w:rsidRPr="006E33D0">
        <w:rPr>
          <w:rStyle w:val="FootnoteReference"/>
          <w:rFonts w:ascii="Arial" w:hAnsi="Arial" w:cs="Arial"/>
          <w:szCs w:val="24"/>
        </w:rPr>
        <w:footnoteReference w:id="1"/>
      </w:r>
      <w:r w:rsidRPr="006E33D0">
        <w:rPr>
          <w:rFonts w:ascii="Arial" w:hAnsi="Arial" w:cs="Arial"/>
          <w:szCs w:val="24"/>
        </w:rPr>
        <w:t xml:space="preserve"> This includes a responsibility to assess and report on the UK’s progress in upholding the human rights in the treaties it has chosen to ratify.</w:t>
      </w:r>
    </w:p>
    <w:p w14:paraId="282F0F5F" w14:textId="7671E3E8" w:rsidR="004D6A21" w:rsidRPr="006E33D0" w:rsidRDefault="004D6A21" w:rsidP="004D6A21">
      <w:pPr>
        <w:spacing w:line="240" w:lineRule="auto"/>
        <w:rPr>
          <w:rFonts w:ascii="Arial" w:hAnsi="Arial" w:cs="Arial"/>
          <w:szCs w:val="24"/>
        </w:rPr>
      </w:pPr>
      <w:r w:rsidRPr="006E33D0">
        <w:rPr>
          <w:rFonts w:ascii="Arial" w:hAnsi="Arial" w:cs="Arial"/>
          <w:szCs w:val="24"/>
        </w:rPr>
        <w:t xml:space="preserve">Following </w:t>
      </w:r>
      <w:hyperlink r:id="rId11" w:history="1">
        <w:r w:rsidRPr="006E33D0">
          <w:rPr>
            <w:rStyle w:val="Hyperlink"/>
            <w:rFonts w:ascii="Arial" w:hAnsi="Arial" w:cs="Arial"/>
            <w:szCs w:val="24"/>
          </w:rPr>
          <w:t>our submission in 2020</w:t>
        </w:r>
      </w:hyperlink>
      <w:r w:rsidR="006745C9">
        <w:rPr>
          <w:rFonts w:ascii="Arial" w:hAnsi="Arial" w:cs="Arial"/>
          <w:szCs w:val="24"/>
        </w:rPr>
        <w:t>, this report provides the United Nations</w:t>
      </w:r>
      <w:r w:rsidRPr="006E33D0">
        <w:rPr>
          <w:rFonts w:ascii="Arial" w:hAnsi="Arial" w:cs="Arial"/>
          <w:szCs w:val="24"/>
        </w:rPr>
        <w:t xml:space="preserve"> Committee on the Rights of the Child (UNCRC) with updated evidence on the fulfilment of the rights in the Convention on the Rights of the Child (CRC) in Great Britain and on the implementation of recommendations since its last review by the UNCRC in 2016. Evidence available up to 30 September 2022 has been used. </w:t>
      </w:r>
    </w:p>
    <w:p w14:paraId="306D89CD" w14:textId="77777777" w:rsidR="004D6A21" w:rsidRPr="006E33D0" w:rsidRDefault="004D6A21" w:rsidP="004D6A21">
      <w:pPr>
        <w:spacing w:line="240" w:lineRule="auto"/>
        <w:rPr>
          <w:rFonts w:ascii="Arial" w:hAnsi="Arial" w:cs="Arial"/>
          <w:szCs w:val="24"/>
        </w:rPr>
      </w:pPr>
      <w:r w:rsidRPr="006E33D0">
        <w:rPr>
          <w:rFonts w:ascii="Arial" w:hAnsi="Arial" w:cs="Arial"/>
          <w:szCs w:val="24"/>
        </w:rPr>
        <w:t xml:space="preserve">We encourage the UNCRC to view this report as a supplement to our 2020 submission, and to consider both together. </w:t>
      </w:r>
    </w:p>
    <w:p w14:paraId="754C5297" w14:textId="4B727BD5" w:rsidR="004D6A21" w:rsidRPr="006E33D0" w:rsidRDefault="004D6A21" w:rsidP="004D6A21">
      <w:pPr>
        <w:spacing w:line="240" w:lineRule="auto"/>
        <w:rPr>
          <w:rFonts w:ascii="Arial" w:hAnsi="Arial" w:cs="Arial"/>
          <w:szCs w:val="24"/>
        </w:rPr>
      </w:pPr>
      <w:r w:rsidRPr="006E33D0">
        <w:rPr>
          <w:rFonts w:ascii="Arial" w:hAnsi="Arial" w:cs="Arial"/>
          <w:szCs w:val="24"/>
        </w:rPr>
        <w:t>We welcome the UK’s overall commitment to children’s rights</w:t>
      </w:r>
      <w:r>
        <w:rPr>
          <w:rFonts w:ascii="Arial" w:hAnsi="Arial" w:cs="Arial"/>
          <w:szCs w:val="24"/>
        </w:rPr>
        <w:t xml:space="preserve"> in its </w:t>
      </w:r>
      <w:hyperlink r:id="rId12" w:history="1">
        <w:r w:rsidRPr="006337A9">
          <w:rPr>
            <w:rStyle w:val="Hyperlink"/>
            <w:rFonts w:ascii="Arial" w:hAnsi="Arial" w:cs="Arial"/>
            <w:szCs w:val="24"/>
          </w:rPr>
          <w:t>State party rep</w:t>
        </w:r>
        <w:r w:rsidR="00B01698">
          <w:rPr>
            <w:rStyle w:val="Hyperlink"/>
            <w:rFonts w:ascii="Arial" w:hAnsi="Arial" w:cs="Arial"/>
            <w:szCs w:val="24"/>
          </w:rPr>
          <w:t>ort in response to the UNCRC’s list of i</w:t>
        </w:r>
        <w:r w:rsidRPr="006337A9">
          <w:rPr>
            <w:rStyle w:val="Hyperlink"/>
            <w:rFonts w:ascii="Arial" w:hAnsi="Arial" w:cs="Arial"/>
            <w:szCs w:val="24"/>
          </w:rPr>
          <w:t xml:space="preserve">ssues </w:t>
        </w:r>
        <w:r w:rsidR="00B01698">
          <w:rPr>
            <w:rStyle w:val="Hyperlink"/>
            <w:rFonts w:ascii="Arial" w:hAnsi="Arial" w:cs="Arial"/>
            <w:szCs w:val="24"/>
          </w:rPr>
          <w:t>prior to r</w:t>
        </w:r>
        <w:r w:rsidRPr="006337A9">
          <w:rPr>
            <w:rStyle w:val="Hyperlink"/>
            <w:rFonts w:ascii="Arial" w:hAnsi="Arial" w:cs="Arial"/>
            <w:szCs w:val="24"/>
          </w:rPr>
          <w:t>eporting</w:t>
        </w:r>
      </w:hyperlink>
      <w:r w:rsidRPr="006E33D0">
        <w:rPr>
          <w:rFonts w:ascii="Arial" w:hAnsi="Arial" w:cs="Arial"/>
          <w:szCs w:val="24"/>
        </w:rPr>
        <w:t>. However, we consider that its response to the UNCRC provides insufficient detail, particularly on outcomes, to accurately reflect children’s rights in Britain.</w:t>
      </w:r>
    </w:p>
    <w:p w14:paraId="668E0CFD" w14:textId="77777777" w:rsidR="00B01698" w:rsidRDefault="004D6A21" w:rsidP="004D6A21">
      <w:pPr>
        <w:spacing w:line="240" w:lineRule="auto"/>
        <w:rPr>
          <w:rFonts w:ascii="Arial" w:hAnsi="Arial" w:cs="Arial"/>
          <w:szCs w:val="24"/>
        </w:rPr>
      </w:pPr>
      <w:r w:rsidRPr="006E33D0">
        <w:rPr>
          <w:rFonts w:ascii="Arial" w:hAnsi="Arial" w:cs="Arial"/>
          <w:szCs w:val="24"/>
        </w:rPr>
        <w:t xml:space="preserve">Britain has strong human rights protections, and progress has been made in areas of children and young people’s rights over recent years. Our report considers action taken by the UK and Welsh governments. We encourage both governments to use the CRC reporting process to continue to strengthen their efforts to assess progress and improve compliance with their human rights obligations. </w:t>
      </w:r>
    </w:p>
    <w:p w14:paraId="0C0951E3" w14:textId="3672A0C2" w:rsidR="004D6A21" w:rsidRPr="006E33D0" w:rsidRDefault="004D6A21" w:rsidP="004D6A21">
      <w:pPr>
        <w:spacing w:line="240" w:lineRule="auto"/>
        <w:rPr>
          <w:rFonts w:ascii="Arial" w:hAnsi="Arial" w:cs="Arial"/>
          <w:szCs w:val="24"/>
        </w:rPr>
      </w:pPr>
      <w:r w:rsidRPr="006E33D0">
        <w:rPr>
          <w:rFonts w:ascii="Arial" w:hAnsi="Arial" w:cs="Arial"/>
          <w:szCs w:val="24"/>
        </w:rPr>
        <w:t>This report therefore identifies gaps in protections for children and makes recommendations where further action is required. Equality and non-discrimination are essential to the full realisation of all CRC rights, and we have included evidence about the experience of those sharing particular ‘protected characteristics’, including but not limited to the protected characteristic of age, under British equality law.</w:t>
      </w:r>
    </w:p>
    <w:p w14:paraId="5C971BA6" w14:textId="5821DB33" w:rsidR="004D6A21" w:rsidRPr="006E33D0" w:rsidRDefault="004D6A21" w:rsidP="004D6A21">
      <w:pPr>
        <w:spacing w:line="240" w:lineRule="auto"/>
        <w:rPr>
          <w:rFonts w:ascii="Arial" w:hAnsi="Arial" w:cs="Arial"/>
          <w:szCs w:val="24"/>
        </w:rPr>
      </w:pPr>
      <w:r w:rsidRPr="006E33D0">
        <w:rPr>
          <w:rFonts w:ascii="Arial" w:eastAsia="Calibri" w:hAnsi="Arial" w:cs="Arial"/>
          <w:szCs w:val="24"/>
        </w:rPr>
        <w:t xml:space="preserve">Implementation of the 2030 Sustainable Development </w:t>
      </w:r>
      <w:r w:rsidR="00ED1A20">
        <w:rPr>
          <w:rFonts w:ascii="Arial" w:eastAsia="Calibri" w:hAnsi="Arial" w:cs="Arial"/>
          <w:szCs w:val="24"/>
        </w:rPr>
        <w:t>Goals (SDGs), which ‘</w:t>
      </w:r>
      <w:r w:rsidRPr="006E33D0">
        <w:rPr>
          <w:rFonts w:ascii="Arial" w:eastAsia="Calibri" w:hAnsi="Arial" w:cs="Arial"/>
          <w:szCs w:val="24"/>
        </w:rPr>
        <w:t xml:space="preserve">seek to </w:t>
      </w:r>
      <w:r w:rsidR="00ED1A20">
        <w:rPr>
          <w:rFonts w:ascii="Arial" w:eastAsia="Calibri" w:hAnsi="Arial" w:cs="Arial"/>
          <w:szCs w:val="24"/>
        </w:rPr>
        <w:t>realise the human rights of all’</w:t>
      </w:r>
      <w:r w:rsidRPr="006E33D0">
        <w:rPr>
          <w:rFonts w:ascii="Arial" w:eastAsia="Calibri" w:hAnsi="Arial" w:cs="Arial"/>
          <w:szCs w:val="24"/>
        </w:rPr>
        <w:t>,</w:t>
      </w:r>
      <w:r w:rsidRPr="006E33D0">
        <w:rPr>
          <w:rFonts w:ascii="Arial" w:eastAsia="Calibri" w:hAnsi="Arial" w:cs="Arial"/>
          <w:szCs w:val="24"/>
          <w:vertAlign w:val="superscript"/>
        </w:rPr>
        <w:footnoteReference w:id="2"/>
      </w:r>
      <w:r w:rsidRPr="006E33D0">
        <w:rPr>
          <w:rFonts w:ascii="Arial" w:eastAsia="Calibri" w:hAnsi="Arial" w:cs="Arial"/>
          <w:szCs w:val="24"/>
        </w:rPr>
        <w:t xml:space="preserve"> and to which the UK is a signatory, is inextricably linked to the fulfilment of human rights obligations. We therefore encourage the UK Government to ensure that imp</w:t>
      </w:r>
      <w:r w:rsidR="00274A05">
        <w:rPr>
          <w:rFonts w:ascii="Arial" w:eastAsia="Calibri" w:hAnsi="Arial" w:cs="Arial"/>
          <w:szCs w:val="24"/>
        </w:rPr>
        <w:t>lementation of the SDGs recognises</w:t>
      </w:r>
      <w:r w:rsidRPr="006E33D0">
        <w:rPr>
          <w:rFonts w:ascii="Arial" w:eastAsia="Calibri" w:hAnsi="Arial" w:cs="Arial"/>
          <w:szCs w:val="24"/>
        </w:rPr>
        <w:t xml:space="preserve"> human rights standards and obligations, and </w:t>
      </w:r>
      <w:r w:rsidR="00274A05">
        <w:rPr>
          <w:rFonts w:ascii="Arial" w:eastAsia="Calibri" w:hAnsi="Arial" w:cs="Arial"/>
          <w:szCs w:val="24"/>
        </w:rPr>
        <w:t xml:space="preserve">we </w:t>
      </w:r>
      <w:r w:rsidRPr="006E33D0">
        <w:rPr>
          <w:rFonts w:ascii="Arial" w:eastAsia="Calibri" w:hAnsi="Arial" w:cs="Arial"/>
          <w:szCs w:val="24"/>
        </w:rPr>
        <w:t>have included references to the SDGs throughout.</w:t>
      </w:r>
    </w:p>
    <w:p w14:paraId="2C0C9343" w14:textId="0923815E" w:rsidR="004D6A21" w:rsidRPr="006E33D0" w:rsidRDefault="004D6A21" w:rsidP="004D6A21">
      <w:pPr>
        <w:spacing w:line="240" w:lineRule="auto"/>
        <w:rPr>
          <w:rFonts w:ascii="Arial" w:hAnsi="Arial" w:cs="Arial"/>
          <w:szCs w:val="24"/>
        </w:rPr>
      </w:pPr>
      <w:r w:rsidRPr="006E33D0">
        <w:rPr>
          <w:rFonts w:ascii="Arial" w:hAnsi="Arial" w:cs="Arial"/>
          <w:szCs w:val="24"/>
        </w:rPr>
        <w:t>We recognise the unprecedented burden that the COVID-19 pandemic (the pandemic) has placed on public services. Many of the inequalities already facing children have been exacerbated or prolonged as a result</w:t>
      </w:r>
      <w:r>
        <w:rPr>
          <w:rFonts w:ascii="Arial" w:hAnsi="Arial" w:cs="Arial"/>
          <w:szCs w:val="24"/>
        </w:rPr>
        <w:t xml:space="preserve"> and, by many measures,</w:t>
      </w:r>
      <w:r w:rsidRPr="00DF1405">
        <w:rPr>
          <w:rFonts w:ascii="Arial" w:hAnsi="Arial" w:cs="Arial"/>
          <w:szCs w:val="24"/>
        </w:rPr>
        <w:t xml:space="preserve"> children</w:t>
      </w:r>
      <w:r w:rsidRPr="006E33D0">
        <w:rPr>
          <w:rFonts w:ascii="Arial" w:hAnsi="Arial" w:cs="Arial"/>
          <w:szCs w:val="24"/>
        </w:rPr>
        <w:t xml:space="preserve"> </w:t>
      </w:r>
      <w:r>
        <w:rPr>
          <w:rFonts w:ascii="Arial" w:hAnsi="Arial" w:cs="Arial"/>
          <w:szCs w:val="24"/>
        </w:rPr>
        <w:t xml:space="preserve">have been </w:t>
      </w:r>
      <w:r w:rsidRPr="006E33D0">
        <w:rPr>
          <w:rFonts w:ascii="Arial" w:hAnsi="Arial" w:cs="Arial"/>
          <w:szCs w:val="24"/>
        </w:rPr>
        <w:t xml:space="preserve">among the worst affected – including by disrupted education and worsening mental health. The rights, best interests and views of children must be central to recovery efforts. However, this will not be possible if the data gaps in many areas of children’s lives persist, </w:t>
      </w:r>
      <w:r w:rsidR="00274A05">
        <w:rPr>
          <w:rFonts w:ascii="Arial" w:hAnsi="Arial" w:cs="Arial"/>
          <w:szCs w:val="24"/>
        </w:rPr>
        <w:t>given the impact that the pandemic has had on the collection of data and the types of data available.</w:t>
      </w:r>
    </w:p>
    <w:p w14:paraId="797A30A7" w14:textId="7E00E634" w:rsidR="004D6A21" w:rsidRPr="006E33D0" w:rsidRDefault="00274A05" w:rsidP="004D6A21">
      <w:pPr>
        <w:spacing w:line="240" w:lineRule="auto"/>
        <w:rPr>
          <w:rFonts w:ascii="Arial" w:hAnsi="Arial" w:cs="Arial"/>
          <w:szCs w:val="24"/>
        </w:rPr>
      </w:pPr>
      <w:r>
        <w:rPr>
          <w:rFonts w:ascii="Arial" w:eastAsia="Calibri" w:hAnsi="Arial" w:cs="Arial"/>
          <w:szCs w:val="24"/>
        </w:rPr>
        <w:t>The full</w:t>
      </w:r>
      <w:r w:rsidR="004D6A21" w:rsidRPr="006E33D0">
        <w:rPr>
          <w:rFonts w:ascii="Arial" w:eastAsia="Calibri" w:hAnsi="Arial" w:cs="Arial"/>
          <w:szCs w:val="24"/>
        </w:rPr>
        <w:t xml:space="preserve"> impact of the pandemic on children’s living standards is not yet clear, though it is estimated that the consequences may be felt for decades, for example in limited social mobility</w:t>
      </w:r>
      <w:r w:rsidR="004D6A21" w:rsidRPr="006E33D0">
        <w:rPr>
          <w:rFonts w:ascii="Arial" w:eastAsia="Calibri" w:hAnsi="Arial" w:cs="Arial"/>
          <w:szCs w:val="24"/>
          <w:vertAlign w:val="superscript"/>
        </w:rPr>
        <w:footnoteReference w:id="3"/>
      </w:r>
      <w:r w:rsidR="004D6A21" w:rsidRPr="006E33D0">
        <w:rPr>
          <w:rFonts w:ascii="Arial" w:eastAsia="Calibri" w:hAnsi="Arial" w:cs="Arial"/>
          <w:szCs w:val="24"/>
        </w:rPr>
        <w:t xml:space="preserve"> and a reduction in future earnings as a result of lost learning.</w:t>
      </w:r>
      <w:r w:rsidR="004D6A21" w:rsidRPr="006E33D0">
        <w:rPr>
          <w:rFonts w:ascii="Arial" w:eastAsia="Calibri" w:hAnsi="Arial" w:cs="Arial"/>
          <w:szCs w:val="24"/>
          <w:vertAlign w:val="superscript"/>
        </w:rPr>
        <w:footnoteReference w:id="4"/>
      </w:r>
      <w:r w:rsidR="004D6A21" w:rsidRPr="006E33D0">
        <w:rPr>
          <w:rFonts w:ascii="Arial" w:eastAsia="Calibri" w:hAnsi="Arial" w:cs="Arial"/>
          <w:szCs w:val="24"/>
        </w:rPr>
        <w:t xml:space="preserve"> </w:t>
      </w:r>
    </w:p>
    <w:p w14:paraId="5FA9632A" w14:textId="2DD5669E" w:rsidR="004D6A21" w:rsidRPr="006E33D0" w:rsidRDefault="004D6A21" w:rsidP="004D6A21">
      <w:pPr>
        <w:spacing w:line="240" w:lineRule="auto"/>
        <w:rPr>
          <w:rFonts w:ascii="Arial" w:hAnsi="Arial" w:cs="Arial"/>
          <w:szCs w:val="24"/>
        </w:rPr>
      </w:pPr>
      <w:r w:rsidRPr="006E33D0">
        <w:rPr>
          <w:rFonts w:ascii="Arial" w:hAnsi="Arial" w:cs="Arial"/>
          <w:szCs w:val="24"/>
        </w:rPr>
        <w:t>We welcome the Office for Statistics Regulation’s proposals to include children in official statistics,</w:t>
      </w:r>
      <w:r w:rsidRPr="006E33D0">
        <w:rPr>
          <w:rStyle w:val="FootnoteReference"/>
          <w:rFonts w:ascii="Arial" w:hAnsi="Arial" w:cs="Arial"/>
          <w:szCs w:val="24"/>
        </w:rPr>
        <w:footnoteReference w:id="5"/>
      </w:r>
      <w:r w:rsidRPr="006E33D0">
        <w:rPr>
          <w:rFonts w:ascii="Arial" w:hAnsi="Arial" w:cs="Arial"/>
          <w:szCs w:val="24"/>
        </w:rPr>
        <w:t xml:space="preserve"> and were pleased that the scope of the UK public inquiry – to begin in 2023 – into the handling of the pandemic was broadened to include a focus on the health, wellbeing and education of children, in addition to a strengthened focus on inequalities.</w:t>
      </w:r>
      <w:r w:rsidRPr="006E33D0">
        <w:rPr>
          <w:rStyle w:val="FootnoteReference"/>
          <w:rFonts w:ascii="Arial" w:hAnsi="Arial" w:cs="Arial"/>
          <w:szCs w:val="24"/>
        </w:rPr>
        <w:footnoteReference w:id="6"/>
      </w:r>
      <w:r w:rsidRPr="006E33D0">
        <w:rPr>
          <w:rFonts w:ascii="Arial" w:hAnsi="Arial" w:cs="Arial"/>
          <w:szCs w:val="24"/>
        </w:rPr>
        <w:t xml:space="preserve"> But children cannot wait until the inquiry’s findings are published. Action must be taken now. </w:t>
      </w:r>
    </w:p>
    <w:p w14:paraId="004E1CB3" w14:textId="01D448A7" w:rsidR="004D6A21" w:rsidRPr="006E33D0" w:rsidRDefault="004D6A21" w:rsidP="004D6A21">
      <w:pPr>
        <w:spacing w:line="240" w:lineRule="auto"/>
        <w:rPr>
          <w:rFonts w:ascii="Arial" w:eastAsia="Calibri" w:hAnsi="Arial" w:cs="Arial"/>
        </w:rPr>
      </w:pPr>
      <w:r w:rsidRPr="006E33D0">
        <w:rPr>
          <w:rFonts w:ascii="Arial" w:eastAsia="Arial" w:hAnsi="Arial" w:cs="Arial"/>
        </w:rPr>
        <w:t>In addition to the impact of the pandemic, children face increased vu</w:t>
      </w:r>
      <w:r w:rsidR="00274A05">
        <w:rPr>
          <w:rFonts w:ascii="Arial" w:eastAsia="Arial" w:hAnsi="Arial" w:cs="Arial"/>
        </w:rPr>
        <w:t>lnerability to the current cost-of-</w:t>
      </w:r>
      <w:r w:rsidRPr="006E33D0">
        <w:rPr>
          <w:rFonts w:ascii="Arial" w:eastAsia="Arial" w:hAnsi="Arial" w:cs="Arial"/>
        </w:rPr>
        <w:t xml:space="preserve">living crisis and the risks associated with climate change (which will become cumulatively more severe over their lifetimes). </w:t>
      </w:r>
      <w:r w:rsidRPr="006E33D0">
        <w:rPr>
          <w:rFonts w:ascii="Arial" w:eastAsia="Calibri" w:hAnsi="Arial" w:cs="Arial"/>
        </w:rPr>
        <w:t>A 2021 survey of almost 50,000 children in the UK found that 95% were worried about climate change, while 81% did not feel that their voices are listened to.</w:t>
      </w:r>
      <w:r w:rsidRPr="006E33D0">
        <w:rPr>
          <w:rFonts w:ascii="Arial" w:eastAsia="Calibri" w:hAnsi="Arial" w:cs="Arial"/>
          <w:vertAlign w:val="superscript"/>
        </w:rPr>
        <w:footnoteReference w:id="7"/>
      </w:r>
      <w:r w:rsidRPr="006E33D0">
        <w:rPr>
          <w:rFonts w:ascii="Arial" w:eastAsia="Calibri" w:hAnsi="Arial" w:cs="Arial"/>
        </w:rPr>
        <w:t xml:space="preserve"> We are concerned that</w:t>
      </w:r>
      <w:r w:rsidR="00274A05">
        <w:rPr>
          <w:rFonts w:ascii="Arial" w:eastAsia="Calibri" w:hAnsi="Arial" w:cs="Arial"/>
        </w:rPr>
        <w:t>, if the effects on different groups are not factored into planning, climate change and the associated mitigation and adaption strategies could make current inequalities worse</w:t>
      </w:r>
      <w:r w:rsidRPr="006E33D0">
        <w:rPr>
          <w:rFonts w:ascii="Arial" w:eastAsia="Calibri" w:hAnsi="Arial" w:cs="Arial"/>
        </w:rPr>
        <w:t>.</w:t>
      </w:r>
      <w:r w:rsidRPr="006E33D0">
        <w:rPr>
          <w:rFonts w:ascii="Arial" w:eastAsia="Calibri" w:hAnsi="Arial" w:cs="Arial"/>
          <w:vertAlign w:val="superscript"/>
        </w:rPr>
        <w:footnoteReference w:id="8"/>
      </w:r>
      <w:r w:rsidRPr="006E33D0">
        <w:rPr>
          <w:rFonts w:ascii="Arial" w:eastAsia="Calibri" w:hAnsi="Arial" w:cs="Arial"/>
        </w:rPr>
        <w:t xml:space="preserve"> We therefore urge the UK and Welsh governments to ensure the rights and views of children are central to policy development and implementation of strategies to achieve net zero.</w:t>
      </w:r>
    </w:p>
    <w:p w14:paraId="4FAFBBB8" w14:textId="77777777" w:rsidR="004D6A21" w:rsidRPr="00B91A3D" w:rsidRDefault="004D6A21" w:rsidP="004D6A21">
      <w:pPr>
        <w:pStyle w:val="Heading3"/>
      </w:pPr>
      <w:r>
        <w:t>Devolution and geographic scope of this report</w:t>
      </w:r>
    </w:p>
    <w:p w14:paraId="23C160A2" w14:textId="77777777" w:rsidR="004D6A21" w:rsidRPr="006E33D0" w:rsidRDefault="004D6A21" w:rsidP="004D6A21">
      <w:pPr>
        <w:spacing w:line="240" w:lineRule="auto"/>
        <w:rPr>
          <w:rFonts w:ascii="Arial" w:eastAsia="Arial" w:hAnsi="Arial" w:cs="Arial"/>
        </w:rPr>
      </w:pPr>
      <w:r w:rsidRPr="006E33D0">
        <w:rPr>
          <w:rFonts w:ascii="Arial" w:eastAsia="Arial" w:hAnsi="Arial" w:cs="Arial"/>
        </w:rPr>
        <w:t xml:space="preserve">The UK Parliament has devolved various powers </w:t>
      </w:r>
      <w:r>
        <w:rPr>
          <w:rFonts w:ascii="Arial" w:eastAsia="Arial" w:hAnsi="Arial" w:cs="Arial"/>
        </w:rPr>
        <w:t xml:space="preserve">to the Scottish Parliament, the </w:t>
      </w:r>
      <w:r w:rsidRPr="006E33D0">
        <w:rPr>
          <w:rFonts w:ascii="Arial" w:eastAsia="Arial" w:hAnsi="Arial" w:cs="Arial"/>
        </w:rPr>
        <w:t xml:space="preserve">Welsh Parliament (Senedd Cymru) and the Northern Ireland Assembly. The UK Parliament retains responsibility for all matters in England and for matters in Scotland, Wales and Northern Ireland that it has specifically reserved. The UK Government and the devolved governments are responsible for implementing international human rights obligations. </w:t>
      </w:r>
    </w:p>
    <w:p w14:paraId="4CA4E019" w14:textId="77777777" w:rsidR="004D6A21" w:rsidRPr="006E33D0" w:rsidRDefault="004D6A21" w:rsidP="004D6A21">
      <w:pPr>
        <w:spacing w:line="240" w:lineRule="auto"/>
        <w:rPr>
          <w:rFonts w:ascii="Arial" w:eastAsia="Arial" w:hAnsi="Arial" w:cs="Arial"/>
        </w:rPr>
      </w:pPr>
      <w:r w:rsidRPr="006E33D0">
        <w:rPr>
          <w:rFonts w:ascii="Arial" w:eastAsia="Arial" w:hAnsi="Arial" w:cs="Arial"/>
        </w:rPr>
        <w:t xml:space="preserve">This submission covers England and Wales for all the thematic areas, and Scotland for those issues reserved to the UK Parliament, in line with our statutory mandate. Our recommendations are aimed at the UK and Welsh governments, though they may also be relevant to other devolved administrations. </w:t>
      </w:r>
    </w:p>
    <w:p w14:paraId="6C35F03A" w14:textId="00E6056A" w:rsidR="004D6A21" w:rsidRPr="00F2721D" w:rsidRDefault="00F2721D" w:rsidP="00F2721D">
      <w:pPr>
        <w:pStyle w:val="Heading1"/>
      </w:pPr>
      <w:bookmarkStart w:id="2" w:name="_Toc122018846"/>
      <w:r>
        <w:t>General measures of implementation</w:t>
      </w:r>
      <w:r w:rsidRPr="00A26DF5">
        <w:t xml:space="preserve"> </w:t>
      </w:r>
      <w:r>
        <w:rPr>
          <w:rStyle w:val="Howtousethistemplate"/>
          <w:sz w:val="52"/>
        </w:rPr>
        <w:t>(Articles 4, 42 and 44</w:t>
      </w:r>
      <w:r w:rsidR="00B448D3">
        <w:rPr>
          <w:rStyle w:val="Howtousethistemplate"/>
          <w:sz w:val="52"/>
        </w:rPr>
        <w:t xml:space="preserve"> </w:t>
      </w:r>
      <w:r>
        <w:rPr>
          <w:rStyle w:val="Howtousethistemplate"/>
          <w:sz w:val="52"/>
        </w:rPr>
        <w:t>(6))</w:t>
      </w:r>
      <w:bookmarkEnd w:id="2"/>
    </w:p>
    <w:p w14:paraId="6C4DD668" w14:textId="77777777" w:rsidR="003B7D03" w:rsidRPr="000530C5" w:rsidRDefault="00F2721D" w:rsidP="00A82FF5">
      <w:pPr>
        <w:pStyle w:val="Heading2"/>
      </w:pPr>
      <w:bookmarkStart w:id="3" w:name="_Toc122018847"/>
      <w:r>
        <w:t>Reservations and legislation</w:t>
      </w:r>
      <w:bookmarkEnd w:id="3"/>
    </w:p>
    <w:p w14:paraId="01273F02" w14:textId="6647D1D9" w:rsidR="00F2721D" w:rsidRPr="006E33D0" w:rsidRDefault="00F2721D" w:rsidP="00F2721D">
      <w:pPr>
        <w:keepNext/>
        <w:pBdr>
          <w:top w:val="single" w:sz="24" w:space="8" w:color="DDDE45"/>
          <w:left w:val="single" w:sz="24" w:space="4" w:color="F1F1B4"/>
          <w:bottom w:val="single" w:sz="48" w:space="1" w:color="F1F1B4"/>
          <w:right w:val="single" w:sz="24" w:space="4" w:color="F1F1B4"/>
        </w:pBdr>
        <w:shd w:val="clear" w:color="auto" w:fill="F1F1B4"/>
        <w:spacing w:before="120" w:line="240" w:lineRule="auto"/>
        <w:ind w:left="142" w:right="198"/>
        <w:rPr>
          <w:rFonts w:ascii="Arial" w:eastAsia="Arial" w:hAnsi="Arial" w:cs="Arial"/>
          <w:b/>
          <w:szCs w:val="24"/>
        </w:rPr>
      </w:pPr>
      <w:r w:rsidRPr="006E33D0">
        <w:rPr>
          <w:rFonts w:ascii="Arial" w:eastAsia="Arial" w:hAnsi="Arial" w:cs="Arial"/>
          <w:b/>
          <w:szCs w:val="24"/>
        </w:rPr>
        <w:t xml:space="preserve">See: </w:t>
      </w:r>
      <w:hyperlink r:id="rId13" w:history="1">
        <w:r w:rsidRPr="006E33D0">
          <w:rPr>
            <w:rFonts w:ascii="Arial" w:eastAsia="Arial" w:hAnsi="Arial" w:cs="Arial"/>
            <w:b/>
            <w:szCs w:val="24"/>
            <w:u w:val="single" w:color="009C98"/>
          </w:rPr>
          <w:t>Our 2020 submission</w:t>
        </w:r>
      </w:hyperlink>
      <w:r w:rsidR="00A94349">
        <w:rPr>
          <w:rFonts w:ascii="Arial" w:eastAsia="Arial" w:hAnsi="Arial" w:cs="Arial"/>
          <w:b/>
          <w:szCs w:val="24"/>
        </w:rPr>
        <w:t xml:space="preserve"> (pages 6–</w:t>
      </w:r>
      <w:r w:rsidRPr="006E33D0">
        <w:rPr>
          <w:rFonts w:ascii="Arial" w:eastAsia="Arial" w:hAnsi="Arial" w:cs="Arial"/>
          <w:b/>
          <w:szCs w:val="24"/>
        </w:rPr>
        <w:t xml:space="preserve">11); </w:t>
      </w:r>
      <w:hyperlink r:id="rId14" w:history="1">
        <w:r w:rsidRPr="006E33D0">
          <w:rPr>
            <w:rFonts w:ascii="Arial" w:eastAsia="Arial" w:hAnsi="Arial" w:cs="Arial"/>
            <w:b/>
            <w:szCs w:val="24"/>
            <w:u w:val="single" w:color="009C98"/>
          </w:rPr>
          <w:t>UNCRC List of Issues</w:t>
        </w:r>
      </w:hyperlink>
      <w:r w:rsidRPr="006E33D0">
        <w:rPr>
          <w:rFonts w:ascii="Arial" w:eastAsia="Arial" w:hAnsi="Arial" w:cs="Arial"/>
          <w:b/>
          <w:szCs w:val="24"/>
        </w:rPr>
        <w:t xml:space="preserve"> (para 5); </w:t>
      </w:r>
      <w:hyperlink r:id="rId15" w:history="1">
        <w:r w:rsidRPr="006E33D0">
          <w:rPr>
            <w:rFonts w:ascii="Arial" w:eastAsia="Arial" w:hAnsi="Arial" w:cs="Arial"/>
            <w:b/>
            <w:szCs w:val="24"/>
            <w:u w:val="single" w:color="009C98"/>
          </w:rPr>
          <w:t>UN Sustainable Development Goals</w:t>
        </w:r>
      </w:hyperlink>
      <w:r w:rsidRPr="006E33D0">
        <w:rPr>
          <w:rFonts w:ascii="Arial" w:eastAsia="Arial" w:hAnsi="Arial" w:cs="Arial"/>
          <w:b/>
          <w:szCs w:val="24"/>
        </w:rPr>
        <w:t xml:space="preserve"> (Goals 10 and 16)</w:t>
      </w:r>
    </w:p>
    <w:p w14:paraId="59A8E081" w14:textId="0B7C57D2" w:rsidR="00F2721D" w:rsidRPr="006E33D0" w:rsidRDefault="00F2721D" w:rsidP="00F2721D">
      <w:pPr>
        <w:spacing w:before="120" w:line="240" w:lineRule="auto"/>
        <w:rPr>
          <w:rFonts w:ascii="Arial" w:eastAsia="Calibri" w:hAnsi="Arial" w:cs="Arial"/>
        </w:rPr>
      </w:pPr>
      <w:r w:rsidRPr="006E33D0">
        <w:rPr>
          <w:rFonts w:ascii="Arial" w:eastAsia="Calibri" w:hAnsi="Arial" w:cs="Arial"/>
        </w:rPr>
        <w:t>Direct incorporation of the CRC into domestic law would bring additional safeguards for children by helping fill gaps in protections.</w:t>
      </w:r>
      <w:r w:rsidRPr="006E33D0">
        <w:rPr>
          <w:rFonts w:ascii="Arial" w:eastAsia="Calibri" w:hAnsi="Arial" w:cs="Arial"/>
          <w:vertAlign w:val="superscript"/>
        </w:rPr>
        <w:footnoteReference w:id="9"/>
      </w:r>
      <w:r w:rsidRPr="006E33D0">
        <w:rPr>
          <w:rFonts w:ascii="Arial" w:eastAsia="Calibri" w:hAnsi="Arial" w:cs="Arial"/>
        </w:rPr>
        <w:t xml:space="preserve"> The UK Government</w:t>
      </w:r>
      <w:r w:rsidR="006745C9">
        <w:rPr>
          <w:rFonts w:ascii="Arial" w:eastAsia="Calibri" w:hAnsi="Arial" w:cs="Arial"/>
        </w:rPr>
        <w:t xml:space="preserve"> has reiterated its view that United Nations (UN)</w:t>
      </w:r>
      <w:r w:rsidRPr="006E33D0">
        <w:rPr>
          <w:rFonts w:ascii="Arial" w:eastAsia="Calibri" w:hAnsi="Arial" w:cs="Arial"/>
        </w:rPr>
        <w:t xml:space="preserve"> human rights treaties do not need to be incorpor</w:t>
      </w:r>
      <w:r w:rsidR="00B448D3">
        <w:rPr>
          <w:rFonts w:ascii="Arial" w:eastAsia="Calibri" w:hAnsi="Arial" w:cs="Arial"/>
        </w:rPr>
        <w:t>ated into UK law to ensure the</w:t>
      </w:r>
      <w:r w:rsidRPr="006E33D0">
        <w:rPr>
          <w:rFonts w:ascii="Arial" w:eastAsia="Calibri" w:hAnsi="Arial" w:cs="Arial"/>
        </w:rPr>
        <w:t xml:space="preserve"> full protection</w:t>
      </w:r>
      <w:r w:rsidR="00B448D3">
        <w:rPr>
          <w:rFonts w:ascii="Arial" w:eastAsia="Calibri" w:hAnsi="Arial" w:cs="Arial"/>
        </w:rPr>
        <w:t xml:space="preserve"> of the rights contained within these treaties</w:t>
      </w:r>
      <w:r w:rsidRPr="006E33D0">
        <w:rPr>
          <w:rFonts w:ascii="Arial" w:eastAsia="Calibri" w:hAnsi="Arial" w:cs="Arial"/>
        </w:rPr>
        <w:t>.</w:t>
      </w:r>
      <w:r w:rsidRPr="006E33D0">
        <w:rPr>
          <w:rFonts w:ascii="Arial" w:eastAsia="Calibri" w:hAnsi="Arial" w:cs="Arial"/>
          <w:vertAlign w:val="superscript"/>
        </w:rPr>
        <w:footnoteReference w:id="10"/>
      </w:r>
      <w:r w:rsidRPr="006E33D0">
        <w:rPr>
          <w:rFonts w:ascii="Arial" w:eastAsia="Calibri" w:hAnsi="Arial" w:cs="Arial"/>
        </w:rPr>
        <w:t xml:space="preserve"> As a result, while many of the rights contained in the CRC enjoy some level of protection under current domestic legislation, the general principles of the CRC and its substantive provisions can only be enforced by domestic courts in certain circumstances.</w:t>
      </w:r>
      <w:r w:rsidRPr="006E33D0">
        <w:rPr>
          <w:rFonts w:ascii="Arial" w:eastAsia="Calibri" w:hAnsi="Arial" w:cs="Arial"/>
          <w:vertAlign w:val="superscript"/>
        </w:rPr>
        <w:footnoteReference w:id="11"/>
      </w:r>
      <w:r w:rsidRPr="006E33D0">
        <w:rPr>
          <w:rFonts w:ascii="Arial" w:eastAsia="Calibri" w:hAnsi="Arial" w:cs="Arial"/>
        </w:rPr>
        <w:t xml:space="preserve"> </w:t>
      </w:r>
    </w:p>
    <w:p w14:paraId="3EB99838" w14:textId="711F004E" w:rsidR="00F2721D" w:rsidRPr="006E33D0" w:rsidRDefault="00F2721D" w:rsidP="00F2721D">
      <w:pPr>
        <w:spacing w:before="120" w:line="240" w:lineRule="auto"/>
        <w:rPr>
          <w:rFonts w:ascii="Arial" w:eastAsia="Calibri" w:hAnsi="Arial" w:cs="Arial"/>
        </w:rPr>
      </w:pPr>
      <w:r w:rsidRPr="006E33D0">
        <w:rPr>
          <w:rFonts w:ascii="Arial" w:eastAsia="Calibri" w:hAnsi="Arial" w:cs="Arial"/>
        </w:rPr>
        <w:t>In Wales, while the Human Rights Act 1998 (HRA) is reserved</w:t>
      </w:r>
      <w:r w:rsidR="00B448D3">
        <w:rPr>
          <w:rFonts w:ascii="Arial" w:eastAsia="Calibri" w:hAnsi="Arial" w:cs="Arial"/>
        </w:rPr>
        <w:t xml:space="preserve"> to the UK Parliament</w:t>
      </w:r>
      <w:r w:rsidRPr="006E33D0">
        <w:rPr>
          <w:rFonts w:ascii="Arial" w:eastAsia="Calibri" w:hAnsi="Arial" w:cs="Arial"/>
        </w:rPr>
        <w:t>, human rights in relation to devolved matters are not. The Rights of Children and Young Persons (Wales) Measure 2011 incorporates the CRC into Welsh legislation, to the extent that it requires Welsh ministers to have ‘due regard’ to the CRC when carrying out any of their functions. The Welsh Government has accepted in principle a recommendation to introduce a Human Rights (Wales) Act, which could seek to further incorporate UN treaties into Welsh law, including children’s rights.</w:t>
      </w:r>
      <w:r w:rsidRPr="006E33D0">
        <w:rPr>
          <w:rFonts w:ascii="Arial" w:eastAsia="Calibri" w:hAnsi="Arial" w:cs="Arial"/>
          <w:vertAlign w:val="superscript"/>
        </w:rPr>
        <w:footnoteReference w:id="12"/>
      </w:r>
      <w:r w:rsidRPr="006E33D0">
        <w:rPr>
          <w:rFonts w:ascii="Arial" w:eastAsia="Calibri" w:hAnsi="Arial" w:cs="Arial"/>
        </w:rPr>
        <w:t xml:space="preserve"> The Welsh Government has established a taskforce to examine options. </w:t>
      </w:r>
    </w:p>
    <w:p w14:paraId="5760428A" w14:textId="42E87149" w:rsidR="00BC34D8" w:rsidRDefault="00F2721D" w:rsidP="00F2721D">
      <w:pPr>
        <w:spacing w:before="120" w:line="240" w:lineRule="auto"/>
        <w:rPr>
          <w:rFonts w:ascii="Arial" w:eastAsia="Calibri" w:hAnsi="Arial" w:cs="Arial"/>
        </w:rPr>
      </w:pPr>
      <w:r w:rsidRPr="006E33D0">
        <w:rPr>
          <w:rFonts w:ascii="Arial" w:eastAsia="Calibri" w:hAnsi="Arial" w:cs="Arial"/>
        </w:rPr>
        <w:t>In December 2021, the UK Government announced plans to replace the HRA with a Bill of Rights, initially publishing draft legislation in June 2022.</w:t>
      </w:r>
      <w:r w:rsidRPr="006E33D0">
        <w:rPr>
          <w:rFonts w:ascii="Arial" w:eastAsia="Calibri" w:hAnsi="Arial" w:cs="Arial"/>
          <w:vertAlign w:val="superscript"/>
        </w:rPr>
        <w:footnoteReference w:id="13"/>
      </w:r>
      <w:r w:rsidRPr="006E33D0">
        <w:rPr>
          <w:rFonts w:ascii="Arial" w:eastAsia="Calibri" w:hAnsi="Arial" w:cs="Arial"/>
        </w:rPr>
        <w:t xml:space="preserve"> We believe that the HRA works well and </w:t>
      </w:r>
      <w:r w:rsidR="00B448D3">
        <w:rPr>
          <w:rFonts w:ascii="Arial" w:eastAsia="Calibri" w:hAnsi="Arial" w:cs="Arial"/>
        </w:rPr>
        <w:t xml:space="preserve">we </w:t>
      </w:r>
      <w:r w:rsidRPr="006E33D0">
        <w:rPr>
          <w:rFonts w:ascii="Arial" w:eastAsia="Calibri" w:hAnsi="Arial" w:cs="Arial"/>
        </w:rPr>
        <w:t>are concerned that some elements of the Bill could reduce human rights protections and access to redress, including for children.</w:t>
      </w:r>
      <w:r w:rsidRPr="006E33D0">
        <w:rPr>
          <w:rFonts w:ascii="Arial" w:eastAsia="Calibri" w:hAnsi="Arial" w:cs="Arial"/>
          <w:vertAlign w:val="superscript"/>
        </w:rPr>
        <w:footnoteReference w:id="14"/>
      </w:r>
      <w:r w:rsidRPr="006E33D0">
        <w:rPr>
          <w:rFonts w:ascii="Arial" w:eastAsia="Calibri" w:hAnsi="Arial" w:cs="Arial"/>
        </w:rPr>
        <w:t xml:space="preserve"> Any proposals to amend the HRA should be subject to a rigorous and transparent pr</w:t>
      </w:r>
      <w:r w:rsidR="00B448D3">
        <w:rPr>
          <w:rFonts w:ascii="Arial" w:eastAsia="Calibri" w:hAnsi="Arial" w:cs="Arial"/>
        </w:rPr>
        <w:t>ocess of parliamentary scrutiny</w:t>
      </w:r>
      <w:r w:rsidRPr="006E33D0">
        <w:rPr>
          <w:rFonts w:ascii="Arial" w:eastAsia="Calibri" w:hAnsi="Arial" w:cs="Arial"/>
        </w:rPr>
        <w:t xml:space="preserve"> to ensure that human rights protections for children are not weakened and that children can exercise their right to be heard.</w:t>
      </w:r>
    </w:p>
    <w:p w14:paraId="41F00511" w14:textId="38D9D679" w:rsidR="00BC34D8" w:rsidRPr="00BC34D8" w:rsidRDefault="00BC34D8" w:rsidP="00BC34D8">
      <w:pPr>
        <w:pStyle w:val="Heading4"/>
      </w:pPr>
      <w:r>
        <w:t xml:space="preserve">Recommendations </w:t>
      </w:r>
    </w:p>
    <w:p w14:paraId="2096B837" w14:textId="77777777" w:rsidR="00F2721D" w:rsidRPr="006E33D0" w:rsidRDefault="00F2721D" w:rsidP="00F2721D">
      <w:pPr>
        <w:spacing w:before="120" w:line="240" w:lineRule="auto"/>
        <w:rPr>
          <w:rFonts w:ascii="Arial" w:eastAsia="Arial" w:hAnsi="Arial" w:cs="Arial"/>
          <w:u w:val="single"/>
        </w:rPr>
      </w:pPr>
      <w:r w:rsidRPr="006E33D0">
        <w:rPr>
          <w:rFonts w:ascii="Arial" w:eastAsia="Arial" w:hAnsi="Arial" w:cs="Arial"/>
          <w:u w:val="single"/>
        </w:rPr>
        <w:t>The UK Government should:</w:t>
      </w:r>
    </w:p>
    <w:p w14:paraId="5125E268" w14:textId="77777777" w:rsidR="00F2721D" w:rsidRPr="00F2721D" w:rsidRDefault="00F2721D" w:rsidP="00627673">
      <w:pPr>
        <w:pStyle w:val="ListParagraph"/>
        <w:numPr>
          <w:ilvl w:val="0"/>
          <w:numId w:val="17"/>
        </w:numPr>
        <w:spacing w:before="120" w:after="120" w:line="240" w:lineRule="auto"/>
        <w:rPr>
          <w:rFonts w:ascii="Arial" w:eastAsia="Calibri" w:hAnsi="Arial" w:cs="Arial"/>
        </w:rPr>
      </w:pPr>
      <w:r w:rsidRPr="00F2721D">
        <w:rPr>
          <w:rFonts w:ascii="Arial" w:eastAsia="Calibri" w:hAnsi="Arial" w:cs="Arial"/>
        </w:rPr>
        <w:t>Give legal effect to the provisions of the CRC in domestic law, with a specific focus on filling existing gaps in rights protections, to ensure that children can enforce their rights under the CRC in domestic courts. The UK Government should establish a children’s rights working group to advise on treaty incorporation and carry out public consultation, with mechanisms and resources to ensure children’s participation.</w:t>
      </w:r>
    </w:p>
    <w:p w14:paraId="356B941C" w14:textId="77777777" w:rsidR="00F2721D" w:rsidRPr="00F2721D" w:rsidRDefault="00F2721D" w:rsidP="00627673">
      <w:pPr>
        <w:pStyle w:val="ListParagraph"/>
        <w:numPr>
          <w:ilvl w:val="0"/>
          <w:numId w:val="17"/>
        </w:numPr>
        <w:spacing w:before="120" w:after="120" w:line="240" w:lineRule="auto"/>
        <w:rPr>
          <w:rFonts w:ascii="Arial" w:eastAsia="Calibri" w:hAnsi="Arial" w:cs="Arial"/>
        </w:rPr>
      </w:pPr>
      <w:r w:rsidRPr="00F2721D">
        <w:rPr>
          <w:rFonts w:ascii="Arial" w:eastAsia="Calibri" w:hAnsi="Arial" w:cs="Arial"/>
        </w:rPr>
        <w:t>Ensure that any proposals to modify domestic human rights protections do not reduce protection for children’s rights or limit access to redress. Any changes must be subject to parliamentary and other scrutiny, including by children.</w:t>
      </w:r>
    </w:p>
    <w:p w14:paraId="7B1DD853" w14:textId="77777777" w:rsidR="00F2721D" w:rsidRPr="006E33D0" w:rsidRDefault="00F2721D" w:rsidP="00F2721D">
      <w:pPr>
        <w:spacing w:before="120" w:line="240" w:lineRule="auto"/>
        <w:rPr>
          <w:rFonts w:ascii="Arial" w:eastAsia="Calibri" w:hAnsi="Arial" w:cs="Arial"/>
          <w:u w:val="single"/>
        </w:rPr>
      </w:pPr>
      <w:r w:rsidRPr="006E33D0">
        <w:rPr>
          <w:rFonts w:ascii="Arial" w:eastAsia="Calibri" w:hAnsi="Arial" w:cs="Arial"/>
          <w:u w:val="single"/>
        </w:rPr>
        <w:t>The Welsh Government should:</w:t>
      </w:r>
    </w:p>
    <w:p w14:paraId="4300E668" w14:textId="77777777" w:rsidR="00F2721D" w:rsidRPr="00F2721D" w:rsidRDefault="00F2721D" w:rsidP="00627673">
      <w:pPr>
        <w:pStyle w:val="ListParagraph"/>
        <w:numPr>
          <w:ilvl w:val="0"/>
          <w:numId w:val="18"/>
        </w:numPr>
        <w:spacing w:before="120" w:after="120" w:line="240" w:lineRule="auto"/>
        <w:rPr>
          <w:rFonts w:ascii="Arial" w:eastAsia="Arial" w:hAnsi="Arial" w:cs="Arial"/>
        </w:rPr>
      </w:pPr>
      <w:r w:rsidRPr="00F2721D">
        <w:rPr>
          <w:rFonts w:ascii="Arial" w:eastAsia="Calibri" w:hAnsi="Arial" w:cs="Arial"/>
        </w:rPr>
        <w:t xml:space="preserve">Take steps to further incorporate the rights within the CRC in domestic law to ensure that children can enforce their rights in domestic courts. </w:t>
      </w:r>
    </w:p>
    <w:p w14:paraId="1494002C" w14:textId="77777777" w:rsidR="00F2721D" w:rsidRDefault="00F2721D" w:rsidP="00A26DF5"/>
    <w:p w14:paraId="606BD7C7" w14:textId="646FABA1" w:rsidR="00654EBF" w:rsidRPr="000530C5" w:rsidRDefault="00654EBF" w:rsidP="00654EBF">
      <w:pPr>
        <w:pStyle w:val="Heading2"/>
      </w:pPr>
      <w:bookmarkStart w:id="4" w:name="_Toc122018848"/>
      <w:r>
        <w:t>Comprehensive policy, strategy and coordination</w:t>
      </w:r>
      <w:bookmarkEnd w:id="4"/>
    </w:p>
    <w:p w14:paraId="0A728749" w14:textId="181446FF" w:rsidR="00654EBF" w:rsidRPr="006E33D0" w:rsidRDefault="00654EBF" w:rsidP="00654EBF">
      <w:pPr>
        <w:keepNext/>
        <w:pBdr>
          <w:top w:val="single" w:sz="24" w:space="8" w:color="DDDE45"/>
          <w:left w:val="single" w:sz="24" w:space="4" w:color="F1F1B4"/>
          <w:bottom w:val="single" w:sz="48" w:space="1" w:color="F1F1B4"/>
          <w:right w:val="single" w:sz="24" w:space="4" w:color="F1F1B4"/>
        </w:pBdr>
        <w:shd w:val="clear" w:color="auto" w:fill="F1F1B4"/>
        <w:spacing w:before="120" w:line="240" w:lineRule="auto"/>
        <w:ind w:left="142" w:right="198"/>
        <w:rPr>
          <w:rFonts w:ascii="Arial" w:eastAsia="Arial" w:hAnsi="Arial" w:cs="Arial"/>
          <w:b/>
          <w:szCs w:val="24"/>
        </w:rPr>
      </w:pPr>
      <w:r w:rsidRPr="006E33D0">
        <w:rPr>
          <w:rFonts w:ascii="Arial" w:eastAsia="Arial" w:hAnsi="Arial" w:cs="Arial"/>
          <w:b/>
          <w:szCs w:val="24"/>
        </w:rPr>
        <w:t xml:space="preserve">See: </w:t>
      </w:r>
      <w:hyperlink r:id="rId16" w:history="1">
        <w:r w:rsidRPr="006E33D0">
          <w:rPr>
            <w:rFonts w:ascii="Arial" w:eastAsia="Arial" w:hAnsi="Arial" w:cs="Arial"/>
            <w:b/>
            <w:szCs w:val="24"/>
            <w:u w:val="single" w:color="009C98"/>
          </w:rPr>
          <w:t>Our 2020 submission</w:t>
        </w:r>
      </w:hyperlink>
      <w:r w:rsidR="00A94349">
        <w:rPr>
          <w:rFonts w:ascii="Arial" w:eastAsia="Arial" w:hAnsi="Arial" w:cs="Arial"/>
          <w:b/>
          <w:szCs w:val="24"/>
        </w:rPr>
        <w:t xml:space="preserve"> (pages 12–</w:t>
      </w:r>
      <w:r w:rsidRPr="006E33D0">
        <w:rPr>
          <w:rFonts w:ascii="Arial" w:eastAsia="Arial" w:hAnsi="Arial" w:cs="Arial"/>
          <w:b/>
          <w:szCs w:val="24"/>
        </w:rPr>
        <w:t xml:space="preserve">13); </w:t>
      </w:r>
      <w:hyperlink r:id="rId17" w:history="1">
        <w:r w:rsidRPr="006E33D0">
          <w:rPr>
            <w:rFonts w:ascii="Arial" w:eastAsia="Arial" w:hAnsi="Arial" w:cs="Arial"/>
            <w:b/>
            <w:szCs w:val="24"/>
            <w:u w:val="single" w:color="009C98"/>
          </w:rPr>
          <w:t>UNCRC List of Issues</w:t>
        </w:r>
      </w:hyperlink>
      <w:r w:rsidR="00285DAE">
        <w:rPr>
          <w:rFonts w:ascii="Arial" w:eastAsia="Arial" w:hAnsi="Arial" w:cs="Arial"/>
          <w:b/>
          <w:szCs w:val="24"/>
        </w:rPr>
        <w:t xml:space="preserve"> (para</w:t>
      </w:r>
      <w:r w:rsidRPr="006E33D0">
        <w:rPr>
          <w:rFonts w:ascii="Arial" w:eastAsia="Arial" w:hAnsi="Arial" w:cs="Arial"/>
          <w:b/>
          <w:szCs w:val="24"/>
        </w:rPr>
        <w:t xml:space="preserve"> 6); </w:t>
      </w:r>
      <w:hyperlink r:id="rId18" w:history="1">
        <w:r w:rsidRPr="006E33D0">
          <w:rPr>
            <w:rFonts w:ascii="Arial" w:eastAsia="Arial" w:hAnsi="Arial" w:cs="Arial"/>
            <w:b/>
            <w:szCs w:val="24"/>
            <w:u w:val="single" w:color="009C98"/>
          </w:rPr>
          <w:t>UN Sustainable Development Goals</w:t>
        </w:r>
      </w:hyperlink>
      <w:r w:rsidRPr="006E33D0">
        <w:rPr>
          <w:rFonts w:ascii="Arial" w:eastAsia="Arial" w:hAnsi="Arial" w:cs="Arial"/>
          <w:b/>
          <w:szCs w:val="24"/>
        </w:rPr>
        <w:t xml:space="preserve"> (Goals 10 and 16)</w:t>
      </w:r>
    </w:p>
    <w:p w14:paraId="161B70D1" w14:textId="77777777" w:rsidR="00A94349" w:rsidRDefault="00B448D3" w:rsidP="00654EBF">
      <w:pPr>
        <w:spacing w:before="120" w:line="240" w:lineRule="auto"/>
        <w:rPr>
          <w:rFonts w:ascii="Arial" w:eastAsia="Calibri" w:hAnsi="Arial" w:cs="Arial"/>
        </w:rPr>
      </w:pPr>
      <w:r>
        <w:rPr>
          <w:rFonts w:ascii="Arial" w:eastAsia="Calibri" w:hAnsi="Arial" w:cs="Arial"/>
        </w:rPr>
        <w:t>We believe</w:t>
      </w:r>
      <w:r w:rsidR="00654EBF" w:rsidRPr="006E33D0">
        <w:rPr>
          <w:rFonts w:ascii="Arial" w:eastAsia="Calibri" w:hAnsi="Arial" w:cs="Arial"/>
        </w:rPr>
        <w:t xml:space="preserve"> there is a need for a stronger accountability mechanism for overseeing the implementation of the UK’s human rights obligations and the recommendations</w:t>
      </w:r>
      <w:r>
        <w:rPr>
          <w:rFonts w:ascii="Arial" w:eastAsia="Calibri" w:hAnsi="Arial" w:cs="Arial"/>
        </w:rPr>
        <w:t xml:space="preserve"> the UK</w:t>
      </w:r>
      <w:r w:rsidR="00654EBF" w:rsidRPr="006E33D0">
        <w:rPr>
          <w:rFonts w:ascii="Arial" w:eastAsia="Calibri" w:hAnsi="Arial" w:cs="Arial"/>
        </w:rPr>
        <w:t xml:space="preserve"> receives from UN treaty bodies and the Univer</w:t>
      </w:r>
      <w:r>
        <w:rPr>
          <w:rFonts w:ascii="Arial" w:eastAsia="Calibri" w:hAnsi="Arial" w:cs="Arial"/>
        </w:rPr>
        <w:t>sal Periodic Review process. A national mechanism for implementation, reporting and f</w:t>
      </w:r>
      <w:r w:rsidR="00654EBF" w:rsidRPr="006E33D0">
        <w:rPr>
          <w:rFonts w:ascii="Arial" w:eastAsia="Calibri" w:hAnsi="Arial" w:cs="Arial"/>
        </w:rPr>
        <w:t xml:space="preserve">ollow-up is likely to ensure a more coordinated approach to reporting to and engaging with UN human rights reviews. </w:t>
      </w:r>
    </w:p>
    <w:p w14:paraId="66BCA69A" w14:textId="59F48EE9" w:rsidR="00654EBF" w:rsidRPr="006E33D0" w:rsidRDefault="00654EBF" w:rsidP="00654EBF">
      <w:pPr>
        <w:spacing w:before="120" w:line="240" w:lineRule="auto"/>
        <w:rPr>
          <w:rFonts w:ascii="Arial" w:eastAsia="Calibri" w:hAnsi="Arial" w:cs="Arial"/>
        </w:rPr>
      </w:pPr>
      <w:r w:rsidRPr="006E33D0">
        <w:rPr>
          <w:rFonts w:ascii="Arial" w:eastAsia="Calibri" w:hAnsi="Arial" w:cs="Arial"/>
        </w:rPr>
        <w:t>The recommendation to establish such a mechanism is supported by the UK Parliament’s Women and Equalities Committee</w:t>
      </w:r>
      <w:r w:rsidRPr="006E33D0">
        <w:rPr>
          <w:rFonts w:ascii="Arial" w:eastAsia="Calibri" w:hAnsi="Arial" w:cs="Arial"/>
          <w:vertAlign w:val="superscript"/>
        </w:rPr>
        <w:footnoteReference w:id="15"/>
      </w:r>
      <w:r w:rsidRPr="006E33D0">
        <w:rPr>
          <w:rFonts w:ascii="Arial" w:eastAsia="Calibri" w:hAnsi="Arial" w:cs="Arial"/>
        </w:rPr>
        <w:t xml:space="preserve"> and others, but has been rejected by the UK Government.</w:t>
      </w:r>
      <w:r w:rsidRPr="006E33D0">
        <w:rPr>
          <w:rFonts w:ascii="Arial" w:eastAsia="Calibri" w:hAnsi="Arial" w:cs="Arial"/>
          <w:vertAlign w:val="superscript"/>
        </w:rPr>
        <w:footnoteReference w:id="16"/>
      </w:r>
      <w:r w:rsidRPr="006E33D0">
        <w:rPr>
          <w:rFonts w:ascii="Arial" w:eastAsia="Calibri" w:hAnsi="Arial" w:cs="Arial"/>
        </w:rPr>
        <w:t xml:space="preserve"> Research commissioned by the Welsh Government recommended embedding human rights in action planning.</w:t>
      </w:r>
      <w:r w:rsidRPr="006E33D0">
        <w:rPr>
          <w:rFonts w:ascii="Arial" w:eastAsia="Calibri" w:hAnsi="Arial" w:cs="Arial"/>
          <w:vertAlign w:val="superscript"/>
        </w:rPr>
        <w:footnoteReference w:id="17"/>
      </w:r>
      <w:r w:rsidRPr="006E33D0">
        <w:rPr>
          <w:rFonts w:ascii="Arial" w:eastAsia="Calibri" w:hAnsi="Arial" w:cs="Arial"/>
        </w:rPr>
        <w:t xml:space="preserve"> Although the Welsh Government accepted the recommendation, it did not commit to establishing a mechanism for monitoring and reporting.</w:t>
      </w:r>
      <w:r w:rsidRPr="006E33D0">
        <w:rPr>
          <w:rFonts w:ascii="Arial" w:eastAsia="Calibri" w:hAnsi="Arial" w:cs="Arial"/>
          <w:vertAlign w:val="superscript"/>
        </w:rPr>
        <w:footnoteReference w:id="18"/>
      </w:r>
      <w:r w:rsidRPr="006E33D0">
        <w:rPr>
          <w:rFonts w:ascii="Arial" w:eastAsia="Calibri" w:hAnsi="Arial" w:cs="Arial"/>
        </w:rPr>
        <w:t xml:space="preserve"> </w:t>
      </w:r>
    </w:p>
    <w:p w14:paraId="6E504CCA" w14:textId="77777777" w:rsidR="00654EBF" w:rsidRPr="006E33D0" w:rsidRDefault="00654EBF" w:rsidP="00654EBF">
      <w:pPr>
        <w:spacing w:before="120" w:line="240" w:lineRule="auto"/>
        <w:rPr>
          <w:rFonts w:ascii="Arial" w:eastAsia="Calibri" w:hAnsi="Arial" w:cs="Arial"/>
        </w:rPr>
      </w:pPr>
      <w:r w:rsidRPr="006E33D0">
        <w:rPr>
          <w:rFonts w:ascii="Arial" w:eastAsia="Calibri" w:hAnsi="Arial" w:cs="Arial"/>
        </w:rPr>
        <w:t>The UK Government has not addressed calls for greater action, such as through the publication of implementation plans or updates on UN recommendations. To partially fill this gap, we created an online Human Rights Tracker in 2019 to improve accountability, transparency and understanding of progress against the UK and Welsh governments’ human rights obligations,</w:t>
      </w:r>
      <w:r w:rsidRPr="006E33D0">
        <w:rPr>
          <w:rFonts w:ascii="Arial" w:eastAsia="Calibri" w:hAnsi="Arial" w:cs="Arial"/>
          <w:vertAlign w:val="superscript"/>
        </w:rPr>
        <w:footnoteReference w:id="19"/>
      </w:r>
      <w:r w:rsidRPr="006E33D0">
        <w:rPr>
          <w:rFonts w:ascii="Arial" w:eastAsia="Calibri" w:hAnsi="Arial" w:cs="Arial"/>
        </w:rPr>
        <w:t xml:space="preserve"> but this is no substitute for the State adopting a more coordinated approach to monitoring, reporting and implementation.</w:t>
      </w:r>
    </w:p>
    <w:p w14:paraId="2621E849" w14:textId="0C199058" w:rsidR="00BC34D8" w:rsidRDefault="00654EBF" w:rsidP="00654EBF">
      <w:pPr>
        <w:spacing w:before="120" w:line="240" w:lineRule="auto"/>
        <w:rPr>
          <w:rFonts w:ascii="Arial" w:eastAsia="Calibri" w:hAnsi="Arial" w:cs="Arial"/>
          <w:lang w:eastAsia="en-GB"/>
        </w:rPr>
      </w:pPr>
      <w:r w:rsidRPr="006E33D0">
        <w:rPr>
          <w:rFonts w:ascii="Arial" w:eastAsia="Calibri" w:hAnsi="Arial" w:cs="Arial"/>
          <w:lang w:eastAsia="en-GB"/>
        </w:rPr>
        <w:t xml:space="preserve">In response to a 2020 report of the Welsh Parliament’s </w:t>
      </w:r>
      <w:r w:rsidRPr="006E33D0">
        <w:rPr>
          <w:rFonts w:ascii="Arial" w:eastAsia="Calibri" w:hAnsi="Arial" w:cs="Arial"/>
        </w:rPr>
        <w:t>Children, Young People and Education Committee,</w:t>
      </w:r>
      <w:r w:rsidRPr="006E33D0">
        <w:rPr>
          <w:rFonts w:ascii="Arial" w:eastAsia="Calibri" w:hAnsi="Arial" w:cs="Arial"/>
          <w:vertAlign w:val="superscript"/>
        </w:rPr>
        <w:footnoteReference w:id="20"/>
      </w:r>
      <w:r w:rsidRPr="006E33D0">
        <w:rPr>
          <w:rFonts w:ascii="Arial" w:eastAsia="Calibri" w:hAnsi="Arial" w:cs="Arial"/>
        </w:rPr>
        <w:t xml:space="preserve"> </w:t>
      </w:r>
      <w:r w:rsidRPr="006E33D0">
        <w:rPr>
          <w:rFonts w:ascii="Arial" w:eastAsia="Calibri" w:hAnsi="Arial" w:cs="Arial"/>
          <w:lang w:eastAsia="en-GB"/>
        </w:rPr>
        <w:t>the Welsh Government committed to monitoring and implementing children’s rights, including to provide regular updates on its progress in implementing recommendations from the UNCRC.</w:t>
      </w:r>
      <w:r w:rsidRPr="006E33D0">
        <w:rPr>
          <w:rFonts w:ascii="Arial" w:eastAsia="Calibri" w:hAnsi="Arial" w:cs="Arial"/>
          <w:vertAlign w:val="superscript"/>
          <w:lang w:eastAsia="en-GB"/>
        </w:rPr>
        <w:footnoteReference w:id="21"/>
      </w:r>
      <w:r w:rsidRPr="006E33D0">
        <w:rPr>
          <w:rFonts w:ascii="Arial" w:eastAsia="Calibri" w:hAnsi="Arial" w:cs="Arial"/>
          <w:lang w:eastAsia="en-GB"/>
        </w:rPr>
        <w:t xml:space="preserve"> The most recent update on progress was published in 2021.</w:t>
      </w:r>
      <w:r w:rsidRPr="006E33D0">
        <w:rPr>
          <w:rFonts w:ascii="Arial" w:eastAsia="Calibri" w:hAnsi="Arial" w:cs="Arial"/>
          <w:vertAlign w:val="superscript"/>
          <w:lang w:eastAsia="en-GB"/>
        </w:rPr>
        <w:footnoteReference w:id="22"/>
      </w:r>
      <w:r w:rsidRPr="006E33D0">
        <w:rPr>
          <w:rFonts w:ascii="Arial" w:eastAsia="Calibri" w:hAnsi="Arial" w:cs="Arial"/>
          <w:lang w:eastAsia="en-GB"/>
        </w:rPr>
        <w:t xml:space="preserve"> </w:t>
      </w:r>
    </w:p>
    <w:p w14:paraId="51B9127F" w14:textId="091D8D77" w:rsidR="00BC34D8" w:rsidRPr="00BC34D8" w:rsidRDefault="00BC34D8" w:rsidP="00BC34D8">
      <w:pPr>
        <w:pStyle w:val="Heading4"/>
      </w:pPr>
      <w:r>
        <w:t xml:space="preserve">Recommendations </w:t>
      </w:r>
    </w:p>
    <w:p w14:paraId="75FFD84F" w14:textId="7FB94739" w:rsidR="00654EBF" w:rsidRPr="006E33D0" w:rsidRDefault="00654EBF" w:rsidP="00654EBF">
      <w:pPr>
        <w:spacing w:before="120" w:line="240" w:lineRule="auto"/>
        <w:rPr>
          <w:rFonts w:ascii="Arial" w:eastAsia="Calibri" w:hAnsi="Arial" w:cs="Arial"/>
          <w:u w:val="single"/>
        </w:rPr>
      </w:pPr>
      <w:r w:rsidRPr="006E33D0">
        <w:rPr>
          <w:rFonts w:ascii="Arial" w:eastAsia="Calibri" w:hAnsi="Arial" w:cs="Arial"/>
          <w:u w:val="single"/>
        </w:rPr>
        <w:t>The UK and Welsh governments should:</w:t>
      </w:r>
    </w:p>
    <w:p w14:paraId="731A42AF" w14:textId="7041A4D3" w:rsidR="00654EBF" w:rsidRPr="00654EBF" w:rsidRDefault="00654EBF" w:rsidP="00627673">
      <w:pPr>
        <w:pStyle w:val="ListParagraph"/>
        <w:numPr>
          <w:ilvl w:val="0"/>
          <w:numId w:val="18"/>
        </w:numPr>
        <w:spacing w:before="120" w:after="120" w:line="240" w:lineRule="auto"/>
        <w:rPr>
          <w:rFonts w:ascii="Arial" w:eastAsia="Calibri" w:hAnsi="Arial" w:cs="Arial"/>
        </w:rPr>
      </w:pPr>
      <w:r w:rsidRPr="00654EBF">
        <w:rPr>
          <w:rFonts w:ascii="Arial" w:eastAsia="Calibri" w:hAnsi="Arial" w:cs="Arial"/>
        </w:rPr>
        <w:t>Reconsider the decision no</w:t>
      </w:r>
      <w:r w:rsidR="00B448D3">
        <w:rPr>
          <w:rFonts w:ascii="Arial" w:eastAsia="Calibri" w:hAnsi="Arial" w:cs="Arial"/>
        </w:rPr>
        <w:t>t to establish a mechanism for implementation, reporting and f</w:t>
      </w:r>
      <w:r w:rsidRPr="00654EBF">
        <w:rPr>
          <w:rFonts w:ascii="Arial" w:eastAsia="Calibri" w:hAnsi="Arial" w:cs="Arial"/>
        </w:rPr>
        <w:t>ollow-up to implement the recommendations made by UN treaty bodies and under the Universal Periodic Review.</w:t>
      </w:r>
    </w:p>
    <w:p w14:paraId="517D3AAB" w14:textId="6FF60D62" w:rsidR="00654EBF" w:rsidRPr="00654EBF" w:rsidRDefault="00654EBF" w:rsidP="00627673">
      <w:pPr>
        <w:pStyle w:val="ListParagraph"/>
        <w:numPr>
          <w:ilvl w:val="0"/>
          <w:numId w:val="18"/>
        </w:numPr>
        <w:spacing w:before="120" w:after="120" w:line="240" w:lineRule="auto"/>
        <w:rPr>
          <w:rFonts w:ascii="Arial" w:eastAsia="Calibri" w:hAnsi="Arial" w:cs="Arial"/>
        </w:rPr>
      </w:pPr>
      <w:r w:rsidRPr="00654EBF">
        <w:rPr>
          <w:rFonts w:ascii="Arial" w:eastAsia="Calibri" w:hAnsi="Arial" w:cs="Arial"/>
        </w:rPr>
        <w:t xml:space="preserve">Publish and implement a Children’s Rights Action Plan setting out specific steps to implement the recommendations issued by the UNCRC, and recognising the need for urgency to </w:t>
      </w:r>
      <w:r w:rsidR="00B448D3">
        <w:rPr>
          <w:rFonts w:ascii="Arial" w:eastAsia="Calibri" w:hAnsi="Arial" w:cs="Arial"/>
        </w:rPr>
        <w:t>reduce the impact of the</w:t>
      </w:r>
      <w:r w:rsidRPr="00654EBF">
        <w:rPr>
          <w:rFonts w:ascii="Arial" w:eastAsia="Calibri" w:hAnsi="Arial" w:cs="Arial"/>
        </w:rPr>
        <w:t xml:space="preserve"> pandemic.</w:t>
      </w:r>
    </w:p>
    <w:p w14:paraId="0CD74A0A" w14:textId="77777777" w:rsidR="00F2721D" w:rsidRDefault="00F2721D" w:rsidP="00A26DF5"/>
    <w:p w14:paraId="3A4021FF" w14:textId="77777777" w:rsidR="00F2721D" w:rsidRDefault="00F2721D" w:rsidP="00A26DF5"/>
    <w:p w14:paraId="49650E99" w14:textId="77777777" w:rsidR="00F2721D" w:rsidRDefault="00F2721D" w:rsidP="00A26DF5"/>
    <w:p w14:paraId="44EDF10D" w14:textId="77777777" w:rsidR="00F2721D" w:rsidRDefault="00F2721D" w:rsidP="00A26DF5"/>
    <w:p w14:paraId="77456805" w14:textId="77777777" w:rsidR="00F2721D" w:rsidRDefault="00F2721D" w:rsidP="00A26DF5"/>
    <w:p w14:paraId="3CB48206" w14:textId="77777777" w:rsidR="00F2721D" w:rsidRDefault="00F2721D" w:rsidP="00A26DF5"/>
    <w:p w14:paraId="73ED03E8" w14:textId="77777777" w:rsidR="00F2721D" w:rsidRDefault="00F2721D" w:rsidP="00A26DF5"/>
    <w:p w14:paraId="20005045" w14:textId="11AF8AB2" w:rsidR="00F2721D" w:rsidRDefault="00F2721D" w:rsidP="00A26DF5"/>
    <w:p w14:paraId="2CA368CE" w14:textId="299B9720" w:rsidR="00654EBF" w:rsidRPr="00F2721D" w:rsidRDefault="00654EBF" w:rsidP="00654EBF">
      <w:pPr>
        <w:pStyle w:val="Heading1"/>
      </w:pPr>
      <w:bookmarkStart w:id="5" w:name="_Toc122018849"/>
      <w:r>
        <w:t>Civil rights and freedoms</w:t>
      </w:r>
      <w:r w:rsidRPr="00A26DF5">
        <w:t xml:space="preserve"> </w:t>
      </w:r>
      <w:r>
        <w:rPr>
          <w:rStyle w:val="Howtousethistemplate"/>
          <w:sz w:val="52"/>
        </w:rPr>
        <w:t>(Articles 7, 8 and 13-17)</w:t>
      </w:r>
      <w:bookmarkEnd w:id="5"/>
    </w:p>
    <w:p w14:paraId="13F86986" w14:textId="33CBB86C" w:rsidR="00654EBF" w:rsidRPr="000530C5" w:rsidRDefault="00654EBF" w:rsidP="00654EBF">
      <w:pPr>
        <w:pStyle w:val="Heading2"/>
      </w:pPr>
      <w:bookmarkStart w:id="6" w:name="_Toc122018850"/>
      <w:r>
        <w:t>Nationality</w:t>
      </w:r>
      <w:bookmarkEnd w:id="6"/>
      <w:r>
        <w:t xml:space="preserve"> </w:t>
      </w:r>
    </w:p>
    <w:p w14:paraId="2E89DBAA" w14:textId="59E81E4C" w:rsidR="00654EBF" w:rsidRPr="006E33D0" w:rsidRDefault="00654EBF" w:rsidP="00654EBF">
      <w:pPr>
        <w:keepNext/>
        <w:pBdr>
          <w:top w:val="single" w:sz="24" w:space="8" w:color="DDDE45"/>
          <w:left w:val="single" w:sz="24" w:space="4" w:color="F1F1B4"/>
          <w:bottom w:val="single" w:sz="48" w:space="1" w:color="F1F1B4"/>
          <w:right w:val="single" w:sz="24" w:space="4" w:color="F1F1B4"/>
        </w:pBdr>
        <w:shd w:val="clear" w:color="auto" w:fill="F1F1B4"/>
        <w:spacing w:before="120" w:line="240" w:lineRule="auto"/>
        <w:ind w:left="142" w:right="198"/>
        <w:rPr>
          <w:rFonts w:ascii="Arial" w:eastAsia="Arial" w:hAnsi="Arial" w:cs="Arial"/>
          <w:b/>
          <w:szCs w:val="24"/>
        </w:rPr>
      </w:pPr>
      <w:r w:rsidRPr="006E33D0">
        <w:rPr>
          <w:rFonts w:ascii="Arial" w:eastAsia="Arial" w:hAnsi="Arial" w:cs="Arial"/>
          <w:b/>
          <w:szCs w:val="24"/>
        </w:rPr>
        <w:t xml:space="preserve">See: </w:t>
      </w:r>
      <w:hyperlink r:id="rId19" w:history="1">
        <w:r w:rsidRPr="006E33D0">
          <w:rPr>
            <w:rFonts w:ascii="Arial" w:eastAsia="Arial" w:hAnsi="Arial" w:cs="Arial"/>
            <w:b/>
            <w:szCs w:val="24"/>
            <w:u w:val="single" w:color="009C98"/>
          </w:rPr>
          <w:t>Our 2020 submission</w:t>
        </w:r>
      </w:hyperlink>
      <w:r w:rsidR="00A94349">
        <w:rPr>
          <w:rFonts w:ascii="Arial" w:eastAsia="Arial" w:hAnsi="Arial" w:cs="Arial"/>
          <w:b/>
          <w:szCs w:val="24"/>
        </w:rPr>
        <w:t xml:space="preserve"> (pages 71–</w:t>
      </w:r>
      <w:r w:rsidRPr="006E33D0">
        <w:rPr>
          <w:rFonts w:ascii="Arial" w:eastAsia="Arial" w:hAnsi="Arial" w:cs="Arial"/>
          <w:b/>
          <w:szCs w:val="24"/>
        </w:rPr>
        <w:t xml:space="preserve">75); </w:t>
      </w:r>
      <w:hyperlink r:id="rId20" w:history="1">
        <w:r w:rsidRPr="006E33D0">
          <w:rPr>
            <w:rFonts w:ascii="Arial" w:eastAsia="Arial" w:hAnsi="Arial" w:cs="Arial"/>
            <w:b/>
            <w:szCs w:val="24"/>
            <w:u w:val="single" w:color="009C98"/>
          </w:rPr>
          <w:t>UNCRC Lis</w:t>
        </w:r>
        <w:r w:rsidR="00A94349">
          <w:rPr>
            <w:rFonts w:ascii="Arial" w:eastAsia="Arial" w:hAnsi="Arial" w:cs="Arial"/>
            <w:b/>
            <w:szCs w:val="24"/>
            <w:u w:val="single" w:color="009C98"/>
          </w:rPr>
          <w:t>t of i</w:t>
        </w:r>
        <w:r w:rsidRPr="006E33D0">
          <w:rPr>
            <w:rFonts w:ascii="Arial" w:eastAsia="Arial" w:hAnsi="Arial" w:cs="Arial"/>
            <w:b/>
            <w:szCs w:val="24"/>
            <w:u w:val="single" w:color="009C98"/>
          </w:rPr>
          <w:t>ssues</w:t>
        </w:r>
      </w:hyperlink>
      <w:r w:rsidRPr="006E33D0">
        <w:rPr>
          <w:rFonts w:ascii="Arial" w:eastAsia="Arial" w:hAnsi="Arial" w:cs="Arial"/>
          <w:b/>
          <w:szCs w:val="24"/>
        </w:rPr>
        <w:t xml:space="preserve"> (para 16); </w:t>
      </w:r>
      <w:hyperlink r:id="rId21" w:history="1">
        <w:r w:rsidRPr="006E33D0">
          <w:rPr>
            <w:rFonts w:ascii="Arial" w:eastAsia="Arial" w:hAnsi="Arial" w:cs="Arial"/>
            <w:b/>
            <w:szCs w:val="24"/>
            <w:u w:val="single" w:color="009C98"/>
          </w:rPr>
          <w:t>UN Sustainable Development Goals</w:t>
        </w:r>
      </w:hyperlink>
      <w:r w:rsidRPr="006E33D0">
        <w:rPr>
          <w:rFonts w:ascii="Arial" w:eastAsia="Arial" w:hAnsi="Arial" w:cs="Arial"/>
          <w:b/>
          <w:szCs w:val="24"/>
        </w:rPr>
        <w:t xml:space="preserve"> (Goals 10 and 16)</w:t>
      </w:r>
    </w:p>
    <w:p w14:paraId="79BCD781" w14:textId="77777777" w:rsidR="00654EBF" w:rsidRPr="006E33D0" w:rsidRDefault="00654EBF" w:rsidP="00654EBF">
      <w:pPr>
        <w:spacing w:before="120" w:line="240" w:lineRule="auto"/>
        <w:rPr>
          <w:rFonts w:ascii="Arial" w:eastAsia="Calibri" w:hAnsi="Arial" w:cs="Arial"/>
          <w:lang w:eastAsia="en-GB"/>
        </w:rPr>
      </w:pPr>
      <w:r w:rsidRPr="006E33D0">
        <w:rPr>
          <w:rFonts w:ascii="Arial" w:eastAsia="Calibri" w:hAnsi="Arial" w:cs="Arial"/>
          <w:lang w:eastAsia="en-GB"/>
        </w:rPr>
        <w:t xml:space="preserve">Article 7 of the CRC enshrines the right of a child to acquire a nationality and requires States to implement this right in accordance with their international obligations, particularly when the child would otherwise be stateless. </w:t>
      </w:r>
    </w:p>
    <w:p w14:paraId="5CA46C65" w14:textId="4FB6CB4D" w:rsidR="00654EBF" w:rsidRPr="006E33D0" w:rsidRDefault="00654EBF" w:rsidP="00654EBF">
      <w:pPr>
        <w:spacing w:before="120" w:line="240" w:lineRule="auto"/>
        <w:rPr>
          <w:rFonts w:ascii="Arial" w:eastAsia="Calibri" w:hAnsi="Arial" w:cs="Arial"/>
        </w:rPr>
      </w:pPr>
      <w:r w:rsidRPr="006E33D0">
        <w:rPr>
          <w:rFonts w:ascii="Arial" w:eastAsia="Calibri" w:hAnsi="Arial" w:cs="Arial"/>
        </w:rPr>
        <w:t>In April 2022, the Nationality and Borders Act 2022 be</w:t>
      </w:r>
      <w:r w:rsidR="00E00ADC">
        <w:rPr>
          <w:rFonts w:ascii="Arial" w:eastAsia="Calibri" w:hAnsi="Arial" w:cs="Arial"/>
        </w:rPr>
        <w:t>came law. Some provisions in this</w:t>
      </w:r>
      <w:r w:rsidRPr="006E33D0">
        <w:rPr>
          <w:rFonts w:ascii="Arial" w:eastAsia="Calibri" w:hAnsi="Arial" w:cs="Arial"/>
        </w:rPr>
        <w:t xml:space="preserve"> Act respond to ‘historical legislative unfairness’</w:t>
      </w:r>
      <w:r w:rsidR="0014239C">
        <w:rPr>
          <w:rFonts w:ascii="Arial" w:eastAsia="Calibri" w:hAnsi="Arial" w:cs="Arial"/>
        </w:rPr>
        <w:t>,</w:t>
      </w:r>
      <w:r w:rsidRPr="006E33D0">
        <w:rPr>
          <w:rFonts w:ascii="Arial" w:eastAsia="Calibri" w:hAnsi="Arial" w:cs="Arial"/>
        </w:rPr>
        <w:t xml:space="preserve"> which limited the ability of some children to register for British citizenship.</w:t>
      </w:r>
      <w:r w:rsidRPr="006E33D0">
        <w:rPr>
          <w:rFonts w:ascii="Arial" w:eastAsia="Calibri" w:hAnsi="Arial" w:cs="Arial"/>
          <w:vertAlign w:val="superscript"/>
        </w:rPr>
        <w:footnoteReference w:id="23"/>
      </w:r>
      <w:r w:rsidRPr="006E33D0">
        <w:rPr>
          <w:rFonts w:ascii="Arial" w:eastAsia="Calibri" w:hAnsi="Arial" w:cs="Arial"/>
        </w:rPr>
        <w:t xml:space="preserve"> We welcome these provisions, which respond to case law developments, including a ruling that UK nationality law discriminated against certain children with British biological fathers by giving them unequal access to citizenship based on their mother’s marriage to someone other than their biological father.</w:t>
      </w:r>
      <w:r w:rsidRPr="006E33D0">
        <w:rPr>
          <w:rFonts w:ascii="Arial" w:eastAsia="Calibri" w:hAnsi="Arial" w:cs="Arial"/>
          <w:vertAlign w:val="superscript"/>
        </w:rPr>
        <w:footnoteReference w:id="24"/>
      </w:r>
      <w:r w:rsidRPr="006E33D0">
        <w:rPr>
          <w:rFonts w:ascii="Arial" w:eastAsia="Calibri" w:hAnsi="Arial" w:cs="Arial"/>
        </w:rPr>
        <w:t xml:space="preserve"> </w:t>
      </w:r>
    </w:p>
    <w:p w14:paraId="2ADF3456" w14:textId="378183FC" w:rsidR="00654EBF" w:rsidRPr="006E33D0" w:rsidRDefault="00E00ADC" w:rsidP="00654EBF">
      <w:pPr>
        <w:spacing w:before="120" w:line="240" w:lineRule="auto"/>
        <w:rPr>
          <w:rFonts w:ascii="Arial" w:eastAsia="Calibri" w:hAnsi="Arial" w:cs="Arial"/>
          <w:shd w:val="clear" w:color="auto" w:fill="FFFFFF"/>
        </w:rPr>
      </w:pPr>
      <w:r>
        <w:rPr>
          <w:rFonts w:ascii="Arial" w:eastAsia="Calibri" w:hAnsi="Arial" w:cs="Arial"/>
        </w:rPr>
        <w:t>However, other provisions in this</w:t>
      </w:r>
      <w:r w:rsidR="00654EBF" w:rsidRPr="006E33D0">
        <w:rPr>
          <w:rFonts w:ascii="Arial" w:eastAsia="Calibri" w:hAnsi="Arial" w:cs="Arial"/>
        </w:rPr>
        <w:t xml:space="preserve"> Act pose risks to children’s right to acquire a nationality. One provides that, where a </w:t>
      </w:r>
      <w:r w:rsidR="0014239C">
        <w:rPr>
          <w:rFonts w:ascii="Arial" w:eastAsia="Calibri" w:hAnsi="Arial" w:cs="Arial"/>
        </w:rPr>
        <w:t xml:space="preserve">stateless child aged 5–17 </w:t>
      </w:r>
      <w:r w:rsidR="00654EBF" w:rsidRPr="006E33D0">
        <w:rPr>
          <w:rFonts w:ascii="Arial" w:eastAsia="Calibri" w:hAnsi="Arial" w:cs="Arial"/>
        </w:rPr>
        <w:t>seeks to register for citizenship, the Secretary of State must be sa</w:t>
      </w:r>
      <w:r>
        <w:rPr>
          <w:rFonts w:ascii="Arial" w:eastAsia="Calibri" w:hAnsi="Arial" w:cs="Arial"/>
        </w:rPr>
        <w:t>tisfied that the applicant is ‘</w:t>
      </w:r>
      <w:r w:rsidR="00654EBF" w:rsidRPr="006E33D0">
        <w:rPr>
          <w:rFonts w:ascii="Arial" w:eastAsia="Calibri" w:hAnsi="Arial" w:cs="Arial"/>
        </w:rPr>
        <w:t>unable</w:t>
      </w:r>
      <w:r>
        <w:rPr>
          <w:rFonts w:ascii="Arial" w:eastAsia="Calibri" w:hAnsi="Arial" w:cs="Arial"/>
        </w:rPr>
        <w:t xml:space="preserve"> to acquire another nationality’</w:t>
      </w:r>
      <w:r w:rsidR="00654EBF" w:rsidRPr="006E33D0">
        <w:rPr>
          <w:rFonts w:ascii="Arial" w:eastAsia="Calibri" w:hAnsi="Arial" w:cs="Arial"/>
        </w:rPr>
        <w:t>.</w:t>
      </w:r>
      <w:r w:rsidR="00654EBF" w:rsidRPr="006E33D0">
        <w:rPr>
          <w:rFonts w:ascii="Arial" w:eastAsia="Calibri" w:hAnsi="Arial" w:cs="Arial"/>
          <w:vertAlign w:val="superscript"/>
        </w:rPr>
        <w:footnoteReference w:id="25"/>
      </w:r>
      <w:r w:rsidR="00654EBF" w:rsidRPr="006E33D0">
        <w:rPr>
          <w:rFonts w:ascii="Arial" w:eastAsia="Calibri" w:hAnsi="Arial" w:cs="Arial"/>
        </w:rPr>
        <w:t xml:space="preserve"> This raises the threshold for a stateless child to be conferred B</w:t>
      </w:r>
      <w:r>
        <w:rPr>
          <w:rFonts w:ascii="Arial" w:eastAsia="Calibri" w:hAnsi="Arial" w:cs="Arial"/>
        </w:rPr>
        <w:t>ritish citizenship and gives a g</w:t>
      </w:r>
      <w:r w:rsidR="00654EBF" w:rsidRPr="006E33D0">
        <w:rPr>
          <w:rFonts w:ascii="Arial" w:eastAsia="Calibri" w:hAnsi="Arial" w:cs="Arial"/>
        </w:rPr>
        <w:t>overnment minister significant discretion in determining when a stateless child has met the criterion.</w:t>
      </w:r>
      <w:r w:rsidR="00654EBF" w:rsidRPr="006E33D0">
        <w:rPr>
          <w:rFonts w:ascii="Arial" w:eastAsia="Calibri" w:hAnsi="Arial" w:cs="Arial"/>
          <w:vertAlign w:val="superscript"/>
        </w:rPr>
        <w:footnoteReference w:id="26"/>
      </w:r>
      <w:r w:rsidR="00654EBF" w:rsidRPr="006E33D0">
        <w:rPr>
          <w:rFonts w:ascii="Arial" w:eastAsia="Calibri" w:hAnsi="Arial" w:cs="Arial"/>
        </w:rPr>
        <w:t xml:space="preserve"> In its scrutiny of the Bill, the UK Parliament’s Joint Committee on Human Rights found that the provision </w:t>
      </w:r>
      <w:r>
        <w:rPr>
          <w:rFonts w:ascii="Arial" w:eastAsia="Calibri" w:hAnsi="Arial" w:cs="Arial"/>
        </w:rPr>
        <w:t>‘</w:t>
      </w:r>
      <w:r w:rsidR="00654EBF" w:rsidRPr="006E33D0">
        <w:rPr>
          <w:rFonts w:ascii="Arial" w:eastAsia="Calibri" w:hAnsi="Arial" w:cs="Arial"/>
          <w:shd w:val="clear" w:color="auto" w:fill="FFFFFF"/>
        </w:rPr>
        <w:t>risks perpe</w:t>
      </w:r>
      <w:r>
        <w:rPr>
          <w:rFonts w:ascii="Arial" w:eastAsia="Calibri" w:hAnsi="Arial" w:cs="Arial"/>
          <w:shd w:val="clear" w:color="auto" w:fill="FFFFFF"/>
        </w:rPr>
        <w:t>tuating a child’s statelessness’</w:t>
      </w:r>
      <w:r w:rsidR="00654EBF" w:rsidRPr="006E33D0">
        <w:rPr>
          <w:rFonts w:ascii="Arial" w:eastAsia="Calibri" w:hAnsi="Arial" w:cs="Arial"/>
          <w:shd w:val="clear" w:color="auto" w:fill="FFFFFF"/>
        </w:rPr>
        <w:t>, such as when children have difficulty in accessing another nationality.</w:t>
      </w:r>
      <w:r w:rsidR="00654EBF" w:rsidRPr="006E33D0">
        <w:rPr>
          <w:rFonts w:ascii="Arial" w:eastAsia="Calibri" w:hAnsi="Arial" w:cs="Arial"/>
          <w:shd w:val="clear" w:color="auto" w:fill="FFFFFF"/>
          <w:vertAlign w:val="superscript"/>
        </w:rPr>
        <w:footnoteReference w:id="27"/>
      </w:r>
      <w:r w:rsidR="00654EBF" w:rsidRPr="006E33D0">
        <w:rPr>
          <w:rFonts w:ascii="Arial" w:eastAsia="Calibri" w:hAnsi="Arial" w:cs="Arial"/>
          <w:shd w:val="clear" w:color="auto" w:fill="FFFFFF"/>
        </w:rPr>
        <w:t xml:space="preserve"> </w:t>
      </w:r>
    </w:p>
    <w:p w14:paraId="334F7AD0" w14:textId="0021519E" w:rsidR="00BC34D8" w:rsidRPr="00BC3776" w:rsidRDefault="00654EBF" w:rsidP="00654EBF">
      <w:pPr>
        <w:spacing w:before="120" w:line="240" w:lineRule="auto"/>
        <w:rPr>
          <w:rFonts w:ascii="Arial" w:eastAsia="Calibri" w:hAnsi="Arial" w:cs="Arial"/>
        </w:rPr>
      </w:pPr>
      <w:r w:rsidRPr="006E33D0">
        <w:rPr>
          <w:rFonts w:ascii="Arial" w:eastAsia="Calibri" w:hAnsi="Arial" w:cs="Arial"/>
          <w:shd w:val="clear" w:color="auto" w:fill="FFFFFF"/>
        </w:rPr>
        <w:t>A further provision in the Act allows the Secretary of State to deprive a person (including a child) of citizenship in certain circumstances without providing them with notice of that decision.</w:t>
      </w:r>
      <w:r w:rsidRPr="006E33D0">
        <w:rPr>
          <w:rFonts w:ascii="Arial" w:eastAsia="Calibri" w:hAnsi="Arial" w:cs="Arial"/>
          <w:shd w:val="clear" w:color="auto" w:fill="FFFFFF"/>
          <w:vertAlign w:val="superscript"/>
        </w:rPr>
        <w:footnoteReference w:id="28"/>
      </w:r>
      <w:r w:rsidRPr="006E33D0">
        <w:rPr>
          <w:rFonts w:ascii="Arial" w:eastAsia="Calibri" w:hAnsi="Arial" w:cs="Arial"/>
          <w:shd w:val="clear" w:color="auto" w:fill="FFFFFF"/>
        </w:rPr>
        <w:t xml:space="preserve"> The UN Refugee Agency warned that such a provision, which limits the possibility of exercising</w:t>
      </w:r>
      <w:r w:rsidR="00E00ADC">
        <w:rPr>
          <w:rFonts w:ascii="Arial" w:eastAsia="Calibri" w:hAnsi="Arial" w:cs="Arial"/>
          <w:shd w:val="clear" w:color="auto" w:fill="FFFFFF"/>
        </w:rPr>
        <w:t xml:space="preserve"> an effective right to appeal, ‘</w:t>
      </w:r>
      <w:r w:rsidRPr="006E33D0">
        <w:rPr>
          <w:rFonts w:ascii="Arial" w:eastAsia="Calibri" w:hAnsi="Arial" w:cs="Arial"/>
          <w:shd w:val="clear" w:color="auto" w:fill="FFFFFF"/>
        </w:rPr>
        <w:t>creates a real risk of arbit</w:t>
      </w:r>
      <w:r w:rsidR="00E00ADC">
        <w:rPr>
          <w:rFonts w:ascii="Arial" w:eastAsia="Calibri" w:hAnsi="Arial" w:cs="Arial"/>
          <w:shd w:val="clear" w:color="auto" w:fill="FFFFFF"/>
        </w:rPr>
        <w:t>rary deprivation of nationality’</w:t>
      </w:r>
      <w:r w:rsidRPr="006E33D0">
        <w:rPr>
          <w:rFonts w:ascii="Arial" w:eastAsia="Calibri" w:hAnsi="Arial" w:cs="Arial"/>
          <w:shd w:val="clear" w:color="auto" w:fill="FFFFFF"/>
        </w:rPr>
        <w:t>.</w:t>
      </w:r>
      <w:r w:rsidRPr="006E33D0">
        <w:rPr>
          <w:rFonts w:ascii="Arial" w:eastAsia="Calibri" w:hAnsi="Arial" w:cs="Arial"/>
          <w:shd w:val="clear" w:color="auto" w:fill="FFFFFF"/>
          <w:vertAlign w:val="superscript"/>
        </w:rPr>
        <w:footnoteReference w:id="29"/>
      </w:r>
    </w:p>
    <w:p w14:paraId="44451C07" w14:textId="7232B4E9" w:rsidR="00BC34D8" w:rsidRPr="00BC34D8" w:rsidRDefault="00BC34D8" w:rsidP="00BC34D8">
      <w:pPr>
        <w:pStyle w:val="Heading4"/>
      </w:pPr>
      <w:r>
        <w:t xml:space="preserve">Recommendations </w:t>
      </w:r>
    </w:p>
    <w:p w14:paraId="6E370EC2" w14:textId="12E05C64" w:rsidR="00654EBF" w:rsidRPr="006E33D0" w:rsidRDefault="00654EBF" w:rsidP="00654EBF">
      <w:pPr>
        <w:spacing w:before="120" w:line="240" w:lineRule="auto"/>
        <w:rPr>
          <w:rFonts w:ascii="Arial" w:eastAsia="Calibri" w:hAnsi="Arial" w:cs="Arial"/>
          <w:u w:val="single"/>
        </w:rPr>
      </w:pPr>
      <w:r w:rsidRPr="006E33D0">
        <w:rPr>
          <w:rFonts w:ascii="Arial" w:eastAsia="Calibri" w:hAnsi="Arial" w:cs="Arial"/>
          <w:u w:val="single"/>
        </w:rPr>
        <w:t xml:space="preserve">The UK Government should: </w:t>
      </w:r>
    </w:p>
    <w:p w14:paraId="513E119A" w14:textId="3F5F2176" w:rsidR="00654EBF" w:rsidRPr="00654EBF" w:rsidRDefault="00654EBF" w:rsidP="00627673">
      <w:pPr>
        <w:pStyle w:val="ListParagraph"/>
        <w:numPr>
          <w:ilvl w:val="0"/>
          <w:numId w:val="19"/>
        </w:numPr>
        <w:spacing w:before="120" w:after="120" w:line="240" w:lineRule="auto"/>
        <w:rPr>
          <w:rFonts w:ascii="Arial" w:eastAsia="Calibri" w:hAnsi="Arial" w:cs="Arial"/>
        </w:rPr>
      </w:pPr>
      <w:r w:rsidRPr="00654EBF">
        <w:rPr>
          <w:rFonts w:ascii="Arial" w:eastAsia="Calibri" w:hAnsi="Arial" w:cs="Arial"/>
        </w:rPr>
        <w:t>Ensure that any changes to the UK’s nationality and immigration law, policy and processes consider children’s rights, including the child’s best interests, in line with</w:t>
      </w:r>
      <w:r w:rsidR="00E00ADC">
        <w:rPr>
          <w:rFonts w:ascii="Arial" w:eastAsia="Calibri" w:hAnsi="Arial" w:cs="Arial"/>
        </w:rPr>
        <w:t xml:space="preserve"> its legal obligation to do so.</w:t>
      </w:r>
    </w:p>
    <w:p w14:paraId="553614CA" w14:textId="0FA38D9B" w:rsidR="00654EBF" w:rsidRPr="00654EBF" w:rsidRDefault="00654EBF" w:rsidP="00627673">
      <w:pPr>
        <w:pStyle w:val="ListParagraph"/>
        <w:numPr>
          <w:ilvl w:val="0"/>
          <w:numId w:val="19"/>
        </w:numPr>
        <w:spacing w:before="120" w:after="120" w:line="240" w:lineRule="auto"/>
        <w:rPr>
          <w:rFonts w:ascii="Arial" w:eastAsia="Calibri" w:hAnsi="Arial" w:cs="Arial"/>
        </w:rPr>
      </w:pPr>
      <w:r w:rsidRPr="00654EBF">
        <w:rPr>
          <w:rFonts w:ascii="Arial" w:eastAsia="Calibri" w:hAnsi="Arial" w:cs="Arial"/>
        </w:rPr>
        <w:t xml:space="preserve">Emphasise in secondary legislation and guidance on implementation of the Nationality and Borders Act 2022 that the best interests of the child, particularly in not being stateless, should be the </w:t>
      </w:r>
      <w:r w:rsidR="0014239C">
        <w:rPr>
          <w:rFonts w:ascii="Arial" w:eastAsia="Calibri" w:hAnsi="Arial" w:cs="Arial"/>
        </w:rPr>
        <w:t>primary</w:t>
      </w:r>
      <w:r w:rsidRPr="00654EBF">
        <w:rPr>
          <w:rFonts w:ascii="Arial" w:eastAsia="Calibri" w:hAnsi="Arial" w:cs="Arial"/>
        </w:rPr>
        <w:t xml:space="preserve"> consideration and that children have a right to acquire or retain nationality. The use and impact of provisions on stateless children should be monitored and, if the effect is to perpetuate statelessness, amended.</w:t>
      </w:r>
    </w:p>
    <w:p w14:paraId="6E26295C" w14:textId="3799DCD0" w:rsidR="00F2721D" w:rsidRDefault="00F2721D" w:rsidP="00A26DF5"/>
    <w:p w14:paraId="67E60739" w14:textId="547147DC" w:rsidR="00654EBF" w:rsidRPr="000530C5" w:rsidRDefault="00654EBF" w:rsidP="00654EBF">
      <w:pPr>
        <w:pStyle w:val="Heading2"/>
      </w:pPr>
      <w:bookmarkStart w:id="7" w:name="_Toc122018851"/>
      <w:r>
        <w:t>Right to privacy</w:t>
      </w:r>
      <w:bookmarkEnd w:id="7"/>
    </w:p>
    <w:p w14:paraId="7928AD4F" w14:textId="70207A6B" w:rsidR="00654EBF" w:rsidRPr="006E33D0" w:rsidRDefault="00654EBF" w:rsidP="00654EBF">
      <w:pPr>
        <w:keepNext/>
        <w:pBdr>
          <w:top w:val="single" w:sz="24" w:space="8" w:color="DDDE45"/>
          <w:left w:val="single" w:sz="24" w:space="4" w:color="F1F1B4"/>
          <w:bottom w:val="single" w:sz="48" w:space="1" w:color="F1F1B4"/>
          <w:right w:val="single" w:sz="24" w:space="4" w:color="F1F1B4"/>
        </w:pBdr>
        <w:shd w:val="clear" w:color="auto" w:fill="F1F1B4"/>
        <w:spacing w:before="120" w:line="240" w:lineRule="auto"/>
        <w:ind w:left="142" w:right="198"/>
        <w:rPr>
          <w:rFonts w:ascii="Arial" w:eastAsia="Arial" w:hAnsi="Arial" w:cs="Arial"/>
          <w:b/>
          <w:szCs w:val="24"/>
        </w:rPr>
      </w:pPr>
      <w:r w:rsidRPr="006E33D0">
        <w:rPr>
          <w:rFonts w:ascii="Arial" w:eastAsia="Arial" w:hAnsi="Arial" w:cs="Arial"/>
          <w:b/>
          <w:szCs w:val="24"/>
        </w:rPr>
        <w:t xml:space="preserve">See: </w:t>
      </w:r>
      <w:hyperlink r:id="rId22" w:history="1">
        <w:r w:rsidRPr="006E33D0">
          <w:rPr>
            <w:rFonts w:ascii="Arial" w:eastAsia="Arial" w:hAnsi="Arial" w:cs="Arial"/>
            <w:b/>
            <w:szCs w:val="24"/>
            <w:u w:val="single" w:color="009C98"/>
          </w:rPr>
          <w:t>Our 2020 submission</w:t>
        </w:r>
      </w:hyperlink>
      <w:r w:rsidRPr="006E33D0">
        <w:rPr>
          <w:rFonts w:ascii="Arial" w:eastAsia="Arial" w:hAnsi="Arial" w:cs="Arial"/>
          <w:b/>
          <w:szCs w:val="24"/>
        </w:rPr>
        <w:t xml:space="preserve"> (pages 65-67); </w:t>
      </w:r>
      <w:hyperlink r:id="rId23" w:history="1">
        <w:r w:rsidR="00E00ADC">
          <w:rPr>
            <w:rFonts w:ascii="Arial" w:eastAsia="Arial" w:hAnsi="Arial" w:cs="Arial"/>
            <w:b/>
            <w:szCs w:val="24"/>
            <w:u w:val="single" w:color="009C98"/>
          </w:rPr>
          <w:t>UNCRC list of i</w:t>
        </w:r>
        <w:r w:rsidRPr="006E33D0">
          <w:rPr>
            <w:rFonts w:ascii="Arial" w:eastAsia="Arial" w:hAnsi="Arial" w:cs="Arial"/>
            <w:b/>
            <w:szCs w:val="24"/>
            <w:u w:val="single" w:color="009C98"/>
          </w:rPr>
          <w:t>ssues</w:t>
        </w:r>
      </w:hyperlink>
      <w:r w:rsidRPr="006E33D0">
        <w:rPr>
          <w:rFonts w:ascii="Arial" w:eastAsia="Arial" w:hAnsi="Arial" w:cs="Arial"/>
          <w:b/>
          <w:szCs w:val="24"/>
        </w:rPr>
        <w:t xml:space="preserve"> (paras 18 and 19); </w:t>
      </w:r>
      <w:hyperlink r:id="rId24" w:history="1">
        <w:r w:rsidRPr="006E33D0">
          <w:rPr>
            <w:rFonts w:ascii="Arial" w:eastAsia="Arial" w:hAnsi="Arial" w:cs="Arial"/>
            <w:b/>
            <w:szCs w:val="24"/>
            <w:u w:val="single" w:color="009C98"/>
          </w:rPr>
          <w:t>UN Sustainable Development Goals</w:t>
        </w:r>
      </w:hyperlink>
      <w:r w:rsidRPr="006E33D0">
        <w:rPr>
          <w:rFonts w:ascii="Arial" w:eastAsia="Arial" w:hAnsi="Arial" w:cs="Arial"/>
          <w:b/>
          <w:szCs w:val="24"/>
        </w:rPr>
        <w:t xml:space="preserve"> (Goals 10 and 16)</w:t>
      </w:r>
    </w:p>
    <w:p w14:paraId="288DB9F2" w14:textId="29613291" w:rsidR="00654EBF" w:rsidRPr="006E33D0" w:rsidRDefault="00654EBF" w:rsidP="00654EBF">
      <w:pPr>
        <w:spacing w:line="240" w:lineRule="auto"/>
        <w:rPr>
          <w:rFonts w:ascii="Arial" w:eastAsia="Calibri" w:hAnsi="Arial" w:cs="Arial"/>
          <w:szCs w:val="24"/>
          <w:lang w:eastAsia="en-GB"/>
        </w:rPr>
      </w:pPr>
      <w:r w:rsidRPr="006E33D0">
        <w:rPr>
          <w:rFonts w:ascii="Arial" w:eastAsia="Calibri" w:hAnsi="Arial" w:cs="Arial"/>
          <w:szCs w:val="24"/>
          <w:lang w:eastAsia="en-GB"/>
        </w:rPr>
        <w:t>The ability of police officers to stop and search children engages a child’s rights to privacy and freedom of association, among others. In 2020/21, the Home Office expanded the range of data it collects on the use of stop and search to include individuals’ age and gender,</w:t>
      </w:r>
      <w:r w:rsidRPr="006E33D0">
        <w:rPr>
          <w:rFonts w:ascii="Arial" w:eastAsia="Calibri" w:hAnsi="Arial" w:cs="Arial"/>
          <w:szCs w:val="24"/>
          <w:vertAlign w:val="superscript"/>
          <w:lang w:eastAsia="en-GB"/>
        </w:rPr>
        <w:footnoteReference w:id="30"/>
      </w:r>
      <w:r w:rsidRPr="006E33D0">
        <w:rPr>
          <w:rFonts w:ascii="Arial" w:eastAsia="Calibri" w:hAnsi="Arial" w:cs="Arial"/>
          <w:szCs w:val="24"/>
          <w:lang w:eastAsia="en-GB"/>
        </w:rPr>
        <w:t xml:space="preserve"> enabling more detailed analysis in future. Data for 2020/21 show</w:t>
      </w:r>
      <w:r w:rsidR="0014239C">
        <w:rPr>
          <w:rFonts w:ascii="Arial" w:eastAsia="Calibri" w:hAnsi="Arial" w:cs="Arial"/>
          <w:szCs w:val="24"/>
          <w:lang w:eastAsia="en-GB"/>
        </w:rPr>
        <w:t>s</w:t>
      </w:r>
      <w:r w:rsidRPr="006E33D0">
        <w:rPr>
          <w:rFonts w:ascii="Arial" w:eastAsia="Calibri" w:hAnsi="Arial" w:cs="Arial"/>
          <w:szCs w:val="24"/>
          <w:lang w:eastAsia="en-GB"/>
        </w:rPr>
        <w:t xml:space="preserve"> that the highest rate of stop and search in England and Wales was for males aged 15</w:t>
      </w:r>
      <w:r w:rsidR="0014239C">
        <w:rPr>
          <w:rFonts w:ascii="Arial" w:eastAsia="Calibri" w:hAnsi="Arial" w:cs="Arial"/>
          <w:szCs w:val="24"/>
          <w:lang w:eastAsia="en-GB"/>
        </w:rPr>
        <w:t>–</w:t>
      </w:r>
      <w:r w:rsidR="00B21804">
        <w:rPr>
          <w:rFonts w:ascii="Arial" w:eastAsia="Calibri" w:hAnsi="Arial" w:cs="Arial"/>
          <w:szCs w:val="24"/>
          <w:lang w:eastAsia="en-GB"/>
        </w:rPr>
        <w:t xml:space="preserve">19, with a rate of 99 stop and </w:t>
      </w:r>
      <w:r w:rsidRPr="006E33D0">
        <w:rPr>
          <w:rFonts w:ascii="Arial" w:eastAsia="Calibri" w:hAnsi="Arial" w:cs="Arial"/>
          <w:szCs w:val="24"/>
          <w:lang w:eastAsia="en-GB"/>
        </w:rPr>
        <w:t xml:space="preserve">searches per 1,000 population, rising to 208 per 1,000 if they belonged to a Black, Asian or other ethnic </w:t>
      </w:r>
      <w:r w:rsidR="0014239C">
        <w:rPr>
          <w:rFonts w:ascii="Arial" w:eastAsia="Calibri" w:hAnsi="Arial" w:cs="Arial"/>
          <w:szCs w:val="24"/>
          <w:lang w:eastAsia="en-GB"/>
        </w:rPr>
        <w:t xml:space="preserve">minority </w:t>
      </w:r>
      <w:r w:rsidRPr="006E33D0">
        <w:rPr>
          <w:rFonts w:ascii="Arial" w:eastAsia="Calibri" w:hAnsi="Arial" w:cs="Arial"/>
          <w:szCs w:val="24"/>
          <w:lang w:eastAsia="en-GB"/>
        </w:rPr>
        <w:t>group.</w:t>
      </w:r>
      <w:r w:rsidRPr="006E33D0">
        <w:rPr>
          <w:rFonts w:ascii="Arial" w:eastAsia="Calibri" w:hAnsi="Arial" w:cs="Arial"/>
          <w:szCs w:val="24"/>
          <w:vertAlign w:val="superscript"/>
          <w:lang w:eastAsia="en-GB"/>
        </w:rPr>
        <w:footnoteReference w:id="31"/>
      </w:r>
      <w:r w:rsidRPr="006E33D0">
        <w:rPr>
          <w:rFonts w:ascii="Arial" w:eastAsia="Calibri" w:hAnsi="Arial" w:cs="Arial"/>
          <w:szCs w:val="24"/>
          <w:lang w:eastAsia="en-GB"/>
        </w:rPr>
        <w:t xml:space="preserve"> Children and young people aged 15-19 from Black, Asian, Mixed or Other ethnic groups were stopped and searched 2.7 times more than those of White ethnicity.</w:t>
      </w:r>
      <w:r w:rsidRPr="006E33D0">
        <w:rPr>
          <w:rFonts w:ascii="Arial" w:eastAsia="Calibri" w:hAnsi="Arial" w:cs="Arial"/>
          <w:szCs w:val="24"/>
          <w:vertAlign w:val="superscript"/>
          <w:lang w:eastAsia="en-GB"/>
        </w:rPr>
        <w:footnoteReference w:id="32"/>
      </w:r>
      <w:r w:rsidRPr="006E33D0">
        <w:rPr>
          <w:rFonts w:ascii="Arial" w:eastAsia="Calibri" w:hAnsi="Arial" w:cs="Arial"/>
          <w:szCs w:val="24"/>
          <w:lang w:eastAsia="en-GB"/>
        </w:rPr>
        <w:t xml:space="preserve"> Stop and search tends to be used more often in particular areas, such as those with higher levels of deprivation.</w:t>
      </w:r>
      <w:r w:rsidRPr="006E33D0">
        <w:rPr>
          <w:rFonts w:ascii="Arial" w:eastAsia="Calibri" w:hAnsi="Arial" w:cs="Arial"/>
          <w:szCs w:val="24"/>
          <w:vertAlign w:val="superscript"/>
          <w:lang w:eastAsia="en-GB"/>
        </w:rPr>
        <w:footnoteReference w:id="33"/>
      </w:r>
      <w:r w:rsidRPr="006E33D0">
        <w:rPr>
          <w:rFonts w:ascii="Arial" w:eastAsia="Calibri" w:hAnsi="Arial" w:cs="Arial"/>
          <w:szCs w:val="24"/>
          <w:lang w:eastAsia="en-GB"/>
        </w:rPr>
        <w:t xml:space="preserve"> </w:t>
      </w:r>
    </w:p>
    <w:p w14:paraId="60233155" w14:textId="3FCD2714" w:rsidR="00654EBF" w:rsidRPr="006E33D0" w:rsidRDefault="00654EBF" w:rsidP="00654EBF">
      <w:pPr>
        <w:spacing w:line="240" w:lineRule="auto"/>
        <w:rPr>
          <w:rFonts w:ascii="Arial" w:eastAsia="Calibri" w:hAnsi="Arial" w:cs="Arial"/>
          <w:szCs w:val="24"/>
          <w:lang w:eastAsia="en-GB"/>
        </w:rPr>
      </w:pPr>
      <w:r w:rsidRPr="006E33D0">
        <w:rPr>
          <w:rFonts w:ascii="Arial" w:eastAsia="Calibri" w:hAnsi="Arial" w:cs="Arial"/>
          <w:szCs w:val="24"/>
          <w:lang w:eastAsia="en-GB"/>
        </w:rPr>
        <w:t>In May 2022, the UK Government announced permanent removal of the restrictions on suspicion-less stop and search</w:t>
      </w:r>
      <w:r w:rsidR="0014239C">
        <w:rPr>
          <w:rFonts w:ascii="Arial" w:eastAsia="Calibri" w:hAnsi="Arial" w:cs="Arial"/>
          <w:szCs w:val="24"/>
          <w:lang w:eastAsia="en-GB"/>
        </w:rPr>
        <w:t>.</w:t>
      </w:r>
      <w:r w:rsidRPr="006E33D0">
        <w:rPr>
          <w:rFonts w:ascii="Arial" w:eastAsia="Calibri" w:hAnsi="Arial" w:cs="Arial"/>
          <w:szCs w:val="24"/>
          <w:vertAlign w:val="superscript"/>
          <w:lang w:eastAsia="en-GB"/>
        </w:rPr>
        <w:footnoteReference w:id="34"/>
      </w:r>
      <w:r w:rsidRPr="006E33D0">
        <w:rPr>
          <w:rFonts w:ascii="Arial" w:eastAsia="Calibri" w:hAnsi="Arial" w:cs="Arial"/>
          <w:szCs w:val="24"/>
          <w:lang w:eastAsia="en-GB"/>
        </w:rPr>
        <w:t xml:space="preserve"> </w:t>
      </w:r>
      <w:r w:rsidR="0014239C">
        <w:rPr>
          <w:rFonts w:ascii="Arial" w:eastAsia="Calibri" w:hAnsi="Arial" w:cs="Arial"/>
          <w:szCs w:val="24"/>
          <w:lang w:eastAsia="en-GB"/>
        </w:rPr>
        <w:t>T</w:t>
      </w:r>
      <w:r w:rsidRPr="006E33D0">
        <w:rPr>
          <w:rFonts w:ascii="Arial" w:eastAsia="Calibri" w:hAnsi="Arial" w:cs="Arial"/>
          <w:szCs w:val="24"/>
          <w:lang w:eastAsia="en-GB"/>
        </w:rPr>
        <w:t xml:space="preserve">he accompanying equality impact assessment </w:t>
      </w:r>
      <w:r w:rsidR="0014239C">
        <w:rPr>
          <w:rFonts w:ascii="Arial" w:eastAsia="Calibri" w:hAnsi="Arial" w:cs="Arial"/>
          <w:szCs w:val="24"/>
          <w:lang w:eastAsia="en-GB"/>
        </w:rPr>
        <w:t>noted</w:t>
      </w:r>
      <w:r w:rsidR="0014239C" w:rsidRPr="006E33D0">
        <w:rPr>
          <w:rFonts w:ascii="Arial" w:eastAsia="Calibri" w:hAnsi="Arial" w:cs="Arial"/>
          <w:szCs w:val="24"/>
          <w:lang w:eastAsia="en-GB"/>
        </w:rPr>
        <w:t xml:space="preserve"> </w:t>
      </w:r>
      <w:r w:rsidRPr="006E33D0">
        <w:rPr>
          <w:rFonts w:ascii="Arial" w:eastAsia="Calibri" w:hAnsi="Arial" w:cs="Arial"/>
          <w:szCs w:val="24"/>
          <w:lang w:eastAsia="en-GB"/>
        </w:rPr>
        <w:t xml:space="preserve">that </w:t>
      </w:r>
      <w:r w:rsidR="0014239C">
        <w:rPr>
          <w:rFonts w:ascii="Arial" w:eastAsia="Calibri" w:hAnsi="Arial" w:cs="Arial"/>
          <w:szCs w:val="24"/>
          <w:lang w:eastAsia="en-GB"/>
        </w:rPr>
        <w:t>such</w:t>
      </w:r>
      <w:r w:rsidRPr="006E33D0">
        <w:rPr>
          <w:rFonts w:ascii="Arial" w:eastAsia="Calibri" w:hAnsi="Arial" w:cs="Arial"/>
          <w:szCs w:val="24"/>
          <w:lang w:eastAsia="en-GB"/>
        </w:rPr>
        <w:t xml:space="preserve"> relaxation of the restrictions could increase existing </w:t>
      </w:r>
      <w:r w:rsidR="00BB08A0">
        <w:rPr>
          <w:rFonts w:ascii="Arial" w:eastAsia="Calibri" w:hAnsi="Arial" w:cs="Arial"/>
          <w:szCs w:val="24"/>
          <w:lang w:eastAsia="en-GB"/>
        </w:rPr>
        <w:t xml:space="preserve">levels of </w:t>
      </w:r>
      <w:r w:rsidRPr="006E33D0">
        <w:rPr>
          <w:rFonts w:ascii="Arial" w:eastAsia="Calibri" w:hAnsi="Arial" w:cs="Arial"/>
          <w:szCs w:val="24"/>
          <w:lang w:eastAsia="en-GB"/>
        </w:rPr>
        <w:t>racial disproportionality.</w:t>
      </w:r>
      <w:r w:rsidRPr="006E33D0">
        <w:rPr>
          <w:rFonts w:ascii="Arial" w:eastAsia="Calibri" w:hAnsi="Arial" w:cs="Arial"/>
          <w:szCs w:val="24"/>
          <w:vertAlign w:val="superscript"/>
          <w:lang w:eastAsia="en-GB"/>
        </w:rPr>
        <w:footnoteReference w:id="35"/>
      </w:r>
      <w:r w:rsidRPr="006E33D0">
        <w:rPr>
          <w:rFonts w:ascii="Arial" w:eastAsia="Calibri" w:hAnsi="Arial" w:cs="Arial"/>
          <w:szCs w:val="24"/>
          <w:lang w:eastAsia="en-GB"/>
        </w:rPr>
        <w:t xml:space="preserve"> The presence of an appropriate adult is not generally required for the stop and search of children. Children are often unaware of the legal basis for the search, and the searches can be traumatic.</w:t>
      </w:r>
      <w:r w:rsidRPr="006E33D0">
        <w:rPr>
          <w:rFonts w:ascii="Arial" w:eastAsia="Calibri" w:hAnsi="Arial" w:cs="Arial"/>
          <w:szCs w:val="24"/>
          <w:vertAlign w:val="superscript"/>
          <w:lang w:eastAsia="en-GB"/>
        </w:rPr>
        <w:footnoteReference w:id="36"/>
      </w:r>
      <w:r w:rsidRPr="006E33D0">
        <w:rPr>
          <w:rFonts w:ascii="Arial" w:eastAsia="Calibri" w:hAnsi="Arial" w:cs="Arial"/>
          <w:szCs w:val="24"/>
          <w:lang w:eastAsia="en-GB"/>
        </w:rPr>
        <w:t xml:space="preserve"> A reduction in the use of safeguards for suspicion-less stop and search is </w:t>
      </w:r>
      <w:r w:rsidR="00BB08A0">
        <w:rPr>
          <w:rFonts w:ascii="Arial" w:eastAsia="Calibri" w:hAnsi="Arial" w:cs="Arial"/>
          <w:szCs w:val="24"/>
          <w:lang w:eastAsia="en-GB"/>
        </w:rPr>
        <w:t xml:space="preserve">therefore </w:t>
      </w:r>
      <w:r w:rsidRPr="006E33D0">
        <w:rPr>
          <w:rFonts w:ascii="Arial" w:eastAsia="Calibri" w:hAnsi="Arial" w:cs="Arial"/>
          <w:szCs w:val="24"/>
          <w:lang w:eastAsia="en-GB"/>
        </w:rPr>
        <w:t xml:space="preserve">particularly concerning in this context. </w:t>
      </w:r>
    </w:p>
    <w:p w14:paraId="41288177" w14:textId="1DCFB345" w:rsidR="00654EBF" w:rsidRPr="006E33D0" w:rsidRDefault="00654EBF" w:rsidP="00654EBF">
      <w:pPr>
        <w:spacing w:line="240" w:lineRule="auto"/>
        <w:rPr>
          <w:rFonts w:ascii="Arial" w:eastAsia="Calibri" w:hAnsi="Arial" w:cs="Arial"/>
          <w:szCs w:val="24"/>
          <w:lang w:eastAsia="en-GB"/>
        </w:rPr>
      </w:pPr>
      <w:r w:rsidRPr="006E33D0">
        <w:rPr>
          <w:rFonts w:ascii="Arial" w:eastAsia="Calibri" w:hAnsi="Arial" w:cs="Arial"/>
          <w:szCs w:val="24"/>
          <w:lang w:eastAsia="en-GB"/>
        </w:rPr>
        <w:t>Analysis by the Children’s Commissioner for England found that 650 children were strip</w:t>
      </w:r>
      <w:r w:rsidR="00BB08A0">
        <w:rPr>
          <w:rFonts w:ascii="Arial" w:eastAsia="Calibri" w:hAnsi="Arial" w:cs="Arial"/>
          <w:szCs w:val="24"/>
          <w:lang w:eastAsia="en-GB"/>
        </w:rPr>
        <w:t>-</w:t>
      </w:r>
      <w:r w:rsidRPr="006E33D0">
        <w:rPr>
          <w:rFonts w:ascii="Arial" w:eastAsia="Calibri" w:hAnsi="Arial" w:cs="Arial"/>
          <w:szCs w:val="24"/>
          <w:lang w:eastAsia="en-GB"/>
        </w:rPr>
        <w:t>searched by London’s Metropolitan Police between 2018 and 2020</w:t>
      </w:r>
      <w:r w:rsidR="00BB08A0">
        <w:rPr>
          <w:rFonts w:ascii="Arial" w:eastAsia="Calibri" w:hAnsi="Arial" w:cs="Arial"/>
          <w:szCs w:val="24"/>
          <w:lang w:eastAsia="en-GB"/>
        </w:rPr>
        <w:t>.</w:t>
      </w:r>
      <w:r w:rsidRPr="006E33D0">
        <w:rPr>
          <w:rFonts w:ascii="Arial" w:eastAsia="Calibri" w:hAnsi="Arial" w:cs="Arial"/>
          <w:szCs w:val="24"/>
          <w:lang w:eastAsia="en-GB"/>
        </w:rPr>
        <w:t xml:space="preserve"> </w:t>
      </w:r>
      <w:r w:rsidR="00BB08A0">
        <w:rPr>
          <w:rFonts w:ascii="Arial" w:eastAsia="Calibri" w:hAnsi="Arial" w:cs="Arial"/>
          <w:szCs w:val="24"/>
          <w:lang w:eastAsia="en-GB"/>
        </w:rPr>
        <w:t>The analysis revealed</w:t>
      </w:r>
      <w:r w:rsidRPr="006E33D0">
        <w:rPr>
          <w:rFonts w:ascii="Arial" w:eastAsia="Calibri" w:hAnsi="Arial" w:cs="Arial"/>
          <w:szCs w:val="24"/>
          <w:lang w:eastAsia="en-GB"/>
        </w:rPr>
        <w:t xml:space="preserve"> that an appropriate adult was not present during 23% of these incidents, despite being require</w:t>
      </w:r>
      <w:r w:rsidR="00BB08A0">
        <w:rPr>
          <w:rFonts w:ascii="Arial" w:eastAsia="Calibri" w:hAnsi="Arial" w:cs="Arial"/>
          <w:szCs w:val="24"/>
          <w:lang w:eastAsia="en-GB"/>
        </w:rPr>
        <w:t>d</w:t>
      </w:r>
      <w:r w:rsidRPr="006E33D0">
        <w:rPr>
          <w:rFonts w:ascii="Arial" w:eastAsia="Calibri" w:hAnsi="Arial" w:cs="Arial"/>
          <w:szCs w:val="24"/>
          <w:lang w:eastAsia="en-GB"/>
        </w:rPr>
        <w:t xml:space="preserve"> under current statutory guidance </w:t>
      </w:r>
      <w:r w:rsidR="00BB08A0">
        <w:rPr>
          <w:rFonts w:ascii="Arial" w:eastAsia="Calibri" w:hAnsi="Arial" w:cs="Arial"/>
          <w:szCs w:val="24"/>
          <w:lang w:eastAsia="en-GB"/>
        </w:rPr>
        <w:t xml:space="preserve">(apart </w:t>
      </w:r>
      <w:r w:rsidRPr="006E33D0">
        <w:rPr>
          <w:rFonts w:ascii="Arial" w:eastAsia="Calibri" w:hAnsi="Arial" w:cs="Arial"/>
          <w:szCs w:val="24"/>
          <w:lang w:eastAsia="en-GB"/>
        </w:rPr>
        <w:t xml:space="preserve">from </w:t>
      </w:r>
      <w:r w:rsidR="00B21804">
        <w:rPr>
          <w:rFonts w:ascii="Arial" w:eastAsia="Calibri" w:hAnsi="Arial" w:cs="Arial"/>
          <w:szCs w:val="24"/>
          <w:lang w:eastAsia="en-GB"/>
        </w:rPr>
        <w:t xml:space="preserve">in </w:t>
      </w:r>
      <w:r w:rsidR="00BB08A0">
        <w:rPr>
          <w:rFonts w:ascii="Arial" w:eastAsia="Calibri" w:hAnsi="Arial" w:cs="Arial"/>
          <w:szCs w:val="24"/>
          <w:lang w:eastAsia="en-GB"/>
        </w:rPr>
        <w:t>urgent</w:t>
      </w:r>
      <w:r w:rsidRPr="006E33D0">
        <w:rPr>
          <w:rFonts w:ascii="Arial" w:eastAsia="Calibri" w:hAnsi="Arial" w:cs="Arial"/>
          <w:szCs w:val="24"/>
          <w:lang w:eastAsia="en-GB"/>
        </w:rPr>
        <w:t xml:space="preserve"> cases</w:t>
      </w:r>
      <w:r w:rsidR="00BB08A0">
        <w:rPr>
          <w:rFonts w:ascii="Arial" w:eastAsia="Calibri" w:hAnsi="Arial" w:cs="Arial"/>
          <w:szCs w:val="24"/>
          <w:lang w:eastAsia="en-GB"/>
        </w:rPr>
        <w:t>)</w:t>
      </w:r>
      <w:r w:rsidRPr="006E33D0">
        <w:rPr>
          <w:rFonts w:ascii="Arial" w:eastAsia="Calibri" w:hAnsi="Arial" w:cs="Arial"/>
          <w:szCs w:val="24"/>
          <w:lang w:eastAsia="en-GB"/>
        </w:rPr>
        <w:t>.</w:t>
      </w:r>
      <w:r w:rsidRPr="006E33D0">
        <w:rPr>
          <w:rFonts w:ascii="Arial" w:eastAsia="Calibri" w:hAnsi="Arial" w:cs="Arial"/>
          <w:szCs w:val="24"/>
          <w:vertAlign w:val="superscript"/>
          <w:lang w:eastAsia="en-GB"/>
        </w:rPr>
        <w:footnoteReference w:id="37"/>
      </w:r>
      <w:r w:rsidRPr="006E33D0">
        <w:rPr>
          <w:rFonts w:ascii="Arial" w:eastAsia="Calibri" w:hAnsi="Arial" w:cs="Arial"/>
          <w:szCs w:val="24"/>
          <w:lang w:eastAsia="en-GB"/>
        </w:rPr>
        <w:t xml:space="preserve"> The analysis also found that Black boys were disproportionately </w:t>
      </w:r>
      <w:r>
        <w:rPr>
          <w:rFonts w:ascii="Arial" w:eastAsia="Calibri" w:hAnsi="Arial" w:cs="Arial"/>
          <w:szCs w:val="24"/>
          <w:lang w:eastAsia="en-GB"/>
        </w:rPr>
        <w:t xml:space="preserve">more </w:t>
      </w:r>
      <w:r w:rsidRPr="006E33D0">
        <w:rPr>
          <w:rFonts w:ascii="Arial" w:eastAsia="Calibri" w:hAnsi="Arial" w:cs="Arial"/>
          <w:szCs w:val="24"/>
          <w:lang w:eastAsia="en-GB"/>
        </w:rPr>
        <w:t>likely to be strip</w:t>
      </w:r>
      <w:r w:rsidR="00BB08A0">
        <w:rPr>
          <w:rFonts w:ascii="Arial" w:eastAsia="Calibri" w:hAnsi="Arial" w:cs="Arial"/>
          <w:szCs w:val="24"/>
          <w:lang w:eastAsia="en-GB"/>
        </w:rPr>
        <w:t>-</w:t>
      </w:r>
      <w:r w:rsidRPr="006E33D0">
        <w:rPr>
          <w:rFonts w:ascii="Arial" w:eastAsia="Calibri" w:hAnsi="Arial" w:cs="Arial"/>
          <w:szCs w:val="24"/>
          <w:lang w:eastAsia="en-GB"/>
        </w:rPr>
        <w:t>searched</w:t>
      </w:r>
      <w:r w:rsidRPr="00DF1405">
        <w:rPr>
          <w:rFonts w:ascii="Arial" w:eastAsia="Calibri" w:hAnsi="Arial" w:cs="Arial"/>
          <w:szCs w:val="24"/>
          <w:lang w:eastAsia="en-GB"/>
        </w:rPr>
        <w:t>.</w:t>
      </w:r>
      <w:r w:rsidRPr="000309D0" w:rsidDel="000F2969">
        <w:rPr>
          <w:rFonts w:ascii="Arial" w:eastAsia="Calibri" w:hAnsi="Arial" w:cs="Arial"/>
          <w:szCs w:val="24"/>
          <w:vertAlign w:val="superscript"/>
          <w:lang w:eastAsia="en-GB"/>
        </w:rPr>
        <w:t xml:space="preserve"> </w:t>
      </w:r>
    </w:p>
    <w:p w14:paraId="6BE94BBD" w14:textId="77777777" w:rsidR="000D1F10" w:rsidRDefault="00654EBF" w:rsidP="00654EBF">
      <w:pPr>
        <w:spacing w:line="240" w:lineRule="auto"/>
        <w:rPr>
          <w:rFonts w:ascii="Arial" w:eastAsia="Calibri" w:hAnsi="Arial" w:cs="Arial"/>
          <w:szCs w:val="24"/>
        </w:rPr>
      </w:pPr>
      <w:r w:rsidRPr="006E33D0">
        <w:rPr>
          <w:rFonts w:ascii="Arial" w:eastAsia="Calibri" w:hAnsi="Arial" w:cs="Arial"/>
          <w:szCs w:val="24"/>
        </w:rPr>
        <w:t>Children’s right to privacy online is also increasingly under threat. The UN Special Rapporteur on the right to privacy has suggested that 80% of children living in developed Western countries may have an online digital footprint before the age of two.</w:t>
      </w:r>
      <w:r w:rsidRPr="006E33D0">
        <w:rPr>
          <w:rFonts w:ascii="Arial" w:eastAsia="Calibri" w:hAnsi="Arial" w:cs="Arial"/>
          <w:szCs w:val="24"/>
          <w:vertAlign w:val="superscript"/>
        </w:rPr>
        <w:footnoteReference w:id="38"/>
      </w:r>
      <w:r w:rsidRPr="006E33D0">
        <w:rPr>
          <w:rFonts w:ascii="Arial" w:eastAsia="Calibri" w:hAnsi="Arial" w:cs="Arial"/>
          <w:szCs w:val="24"/>
        </w:rPr>
        <w:t xml:space="preserve"> Increased use of social media and online learning, the collection of children’s personal data without informed consent, and the targeting of children online by ‘surveillance advertising’</w:t>
      </w:r>
      <w:r w:rsidRPr="006E33D0">
        <w:rPr>
          <w:rFonts w:ascii="Arial" w:eastAsia="Calibri" w:hAnsi="Arial" w:cs="Arial"/>
          <w:szCs w:val="24"/>
          <w:vertAlign w:val="superscript"/>
        </w:rPr>
        <w:footnoteReference w:id="39"/>
      </w:r>
      <w:r w:rsidRPr="006E33D0">
        <w:rPr>
          <w:rFonts w:ascii="Arial" w:eastAsia="Calibri" w:hAnsi="Arial" w:cs="Arial"/>
          <w:szCs w:val="24"/>
        </w:rPr>
        <w:t xml:space="preserve"> pose new challenges that governments must address. </w:t>
      </w:r>
    </w:p>
    <w:p w14:paraId="49FB882C" w14:textId="5299A8B0" w:rsidR="00654EBF" w:rsidRDefault="00654EBF" w:rsidP="00654EBF">
      <w:pPr>
        <w:spacing w:line="240" w:lineRule="auto"/>
        <w:rPr>
          <w:rFonts w:ascii="Arial" w:eastAsia="Calibri" w:hAnsi="Arial" w:cs="Arial"/>
          <w:szCs w:val="24"/>
        </w:rPr>
      </w:pPr>
      <w:r w:rsidRPr="006E33D0">
        <w:rPr>
          <w:rFonts w:ascii="Arial" w:eastAsia="Calibri" w:hAnsi="Arial" w:cs="Arial"/>
          <w:szCs w:val="24"/>
        </w:rPr>
        <w:t>The UK Government’s Online Safety Bill</w:t>
      </w:r>
      <w:r w:rsidR="00BB08A0">
        <w:rPr>
          <w:rFonts w:ascii="Arial" w:eastAsia="Calibri" w:hAnsi="Arial" w:cs="Arial"/>
          <w:szCs w:val="24"/>
        </w:rPr>
        <w:t xml:space="preserve"> (OSB)</w:t>
      </w:r>
      <w:r w:rsidRPr="006E33D0">
        <w:rPr>
          <w:rFonts w:ascii="Arial" w:eastAsia="Calibri" w:hAnsi="Arial" w:cs="Arial"/>
          <w:szCs w:val="24"/>
        </w:rPr>
        <w:t xml:space="preserve">, covered in more detail </w:t>
      </w:r>
      <w:r w:rsidR="000D1F10">
        <w:rPr>
          <w:rFonts w:ascii="Arial" w:eastAsia="Calibri" w:hAnsi="Arial" w:cs="Arial"/>
          <w:szCs w:val="24"/>
        </w:rPr>
        <w:t>below</w:t>
      </w:r>
      <w:r w:rsidRPr="006E33D0">
        <w:rPr>
          <w:rFonts w:ascii="Arial" w:eastAsia="Calibri" w:hAnsi="Arial" w:cs="Arial"/>
          <w:szCs w:val="24"/>
        </w:rPr>
        <w:t>,</w:t>
      </w:r>
      <w:r w:rsidR="000D1F10">
        <w:rPr>
          <w:rStyle w:val="FootnoteReference"/>
          <w:rFonts w:ascii="Arial" w:eastAsia="Calibri" w:hAnsi="Arial" w:cs="Arial"/>
          <w:szCs w:val="24"/>
        </w:rPr>
        <w:footnoteReference w:id="40"/>
      </w:r>
      <w:r w:rsidRPr="006E33D0">
        <w:rPr>
          <w:rFonts w:ascii="Arial" w:eastAsia="Calibri" w:hAnsi="Arial" w:cs="Arial"/>
          <w:szCs w:val="24"/>
        </w:rPr>
        <w:t xml:space="preserve"> has prioritised protecting children from harm online. The UK Government also launched a consultation in 2021 </w:t>
      </w:r>
      <w:r w:rsidR="00BB08A0">
        <w:rPr>
          <w:rFonts w:ascii="Arial" w:eastAsia="Calibri" w:hAnsi="Arial" w:cs="Arial"/>
          <w:szCs w:val="24"/>
        </w:rPr>
        <w:t>to consider</w:t>
      </w:r>
      <w:r w:rsidRPr="006E33D0">
        <w:rPr>
          <w:rFonts w:ascii="Arial" w:eastAsia="Calibri" w:hAnsi="Arial" w:cs="Arial"/>
          <w:szCs w:val="24"/>
        </w:rPr>
        <w:t xml:space="preserve"> reforms to the UK’s data protection regime,</w:t>
      </w:r>
      <w:r w:rsidRPr="006E33D0">
        <w:rPr>
          <w:rFonts w:ascii="Arial" w:eastAsia="Calibri" w:hAnsi="Arial" w:cs="Arial"/>
          <w:szCs w:val="24"/>
          <w:vertAlign w:val="superscript"/>
        </w:rPr>
        <w:footnoteReference w:id="41"/>
      </w:r>
      <w:r w:rsidRPr="006E33D0">
        <w:rPr>
          <w:rFonts w:ascii="Arial" w:eastAsia="Calibri" w:hAnsi="Arial" w:cs="Arial"/>
          <w:szCs w:val="24"/>
        </w:rPr>
        <w:t xml:space="preserve"> including proposals to reverse important privacy protections offered by the newly introduced Children’s Code.</w:t>
      </w:r>
      <w:r w:rsidRPr="006E33D0">
        <w:rPr>
          <w:rFonts w:ascii="Arial" w:eastAsia="Calibri" w:hAnsi="Arial" w:cs="Arial"/>
          <w:szCs w:val="24"/>
          <w:vertAlign w:val="superscript"/>
        </w:rPr>
        <w:footnoteReference w:id="42"/>
      </w:r>
      <w:r w:rsidRPr="006E33D0">
        <w:rPr>
          <w:rFonts w:ascii="Arial" w:eastAsia="Calibri" w:hAnsi="Arial" w:cs="Arial"/>
          <w:szCs w:val="24"/>
        </w:rPr>
        <w:t xml:space="preserve"> The proposals would, for example, permit children’s data to be shared without a compelling reason and without </w:t>
      </w:r>
      <w:r w:rsidR="00BB08A0">
        <w:rPr>
          <w:rFonts w:ascii="Arial" w:eastAsia="Calibri" w:hAnsi="Arial" w:cs="Arial"/>
          <w:szCs w:val="24"/>
        </w:rPr>
        <w:t>considering</w:t>
      </w:r>
      <w:r w:rsidRPr="006E33D0">
        <w:rPr>
          <w:rFonts w:ascii="Arial" w:eastAsia="Calibri" w:hAnsi="Arial" w:cs="Arial"/>
          <w:szCs w:val="24"/>
        </w:rPr>
        <w:t xml:space="preserve"> the best interests of the child, and would weaken the existing obligation not to use data in ways that have been shown to be detrimental to children’s wellbeing.</w:t>
      </w:r>
      <w:r w:rsidRPr="006E33D0">
        <w:rPr>
          <w:rFonts w:ascii="Arial" w:eastAsia="Calibri" w:hAnsi="Arial" w:cs="Arial"/>
          <w:szCs w:val="24"/>
          <w:vertAlign w:val="superscript"/>
        </w:rPr>
        <w:footnoteReference w:id="43"/>
      </w:r>
      <w:r w:rsidRPr="006E33D0">
        <w:rPr>
          <w:rFonts w:ascii="Arial" w:eastAsia="Calibri" w:hAnsi="Arial" w:cs="Arial"/>
          <w:szCs w:val="24"/>
        </w:rPr>
        <w:t xml:space="preserve"> </w:t>
      </w:r>
    </w:p>
    <w:p w14:paraId="3CCBA77E" w14:textId="156D22BE" w:rsidR="00BC34D8" w:rsidRPr="006E33D0" w:rsidRDefault="00BC34D8" w:rsidP="00BC34D8">
      <w:pPr>
        <w:pStyle w:val="Heading4"/>
        <w:rPr>
          <w:rFonts w:ascii="Arial" w:eastAsia="Calibri" w:hAnsi="Arial" w:cs="Arial"/>
          <w:sz w:val="24"/>
          <w:szCs w:val="24"/>
        </w:rPr>
      </w:pPr>
      <w:r>
        <w:t>Recommendations</w:t>
      </w:r>
    </w:p>
    <w:p w14:paraId="6E537F6F" w14:textId="59633E6D" w:rsidR="00BC34D8" w:rsidRPr="00527C4A" w:rsidRDefault="00BC34D8" w:rsidP="00527C4A">
      <w:pPr>
        <w:spacing w:before="120" w:line="240" w:lineRule="auto"/>
        <w:rPr>
          <w:rFonts w:ascii="Arial" w:eastAsia="Calibri" w:hAnsi="Arial" w:cs="Arial"/>
          <w:u w:val="single"/>
        </w:rPr>
      </w:pPr>
      <w:r w:rsidRPr="006E33D0">
        <w:rPr>
          <w:rFonts w:ascii="Arial" w:eastAsia="Calibri" w:hAnsi="Arial" w:cs="Arial"/>
          <w:u w:val="single"/>
        </w:rPr>
        <w:t>The UK Government should:</w:t>
      </w:r>
    </w:p>
    <w:p w14:paraId="144CBB6A" w14:textId="3C6546EA" w:rsidR="00BC34D8" w:rsidRPr="00BC34D8" w:rsidRDefault="00BC34D8" w:rsidP="00527C4A">
      <w:pPr>
        <w:pStyle w:val="ListParagraph"/>
        <w:numPr>
          <w:ilvl w:val="0"/>
          <w:numId w:val="20"/>
        </w:numPr>
        <w:spacing w:before="120" w:after="120" w:line="240" w:lineRule="auto"/>
        <w:rPr>
          <w:rFonts w:ascii="Arial" w:eastAsia="Calibri" w:hAnsi="Arial" w:cs="Arial"/>
        </w:rPr>
      </w:pPr>
      <w:r w:rsidRPr="00BC34D8">
        <w:rPr>
          <w:rFonts w:ascii="Arial" w:eastAsia="Calibri" w:hAnsi="Arial" w:cs="Arial"/>
        </w:rPr>
        <w:t xml:space="preserve">Analyse any racial disproportionality of suspicion-less stops by police, publish </w:t>
      </w:r>
      <w:r w:rsidR="00BB08A0">
        <w:rPr>
          <w:rFonts w:ascii="Arial" w:eastAsia="Calibri" w:hAnsi="Arial" w:cs="Arial"/>
        </w:rPr>
        <w:t xml:space="preserve">the </w:t>
      </w:r>
      <w:r w:rsidRPr="00BC34D8">
        <w:rPr>
          <w:rFonts w:ascii="Arial" w:eastAsia="Calibri" w:hAnsi="Arial" w:cs="Arial"/>
        </w:rPr>
        <w:t>findings, and take mitigating action, in line with its obligations under the Public Sector Equality Duty.</w:t>
      </w:r>
    </w:p>
    <w:p w14:paraId="5EBE8F2C" w14:textId="3072463B" w:rsidR="00BC34D8" w:rsidRPr="00BC34D8" w:rsidRDefault="00BC34D8" w:rsidP="00527C4A">
      <w:pPr>
        <w:pStyle w:val="ListParagraph"/>
        <w:numPr>
          <w:ilvl w:val="0"/>
          <w:numId w:val="20"/>
        </w:numPr>
        <w:spacing w:before="120" w:after="120" w:line="240" w:lineRule="auto"/>
        <w:rPr>
          <w:rFonts w:ascii="Arial" w:eastAsia="Calibri" w:hAnsi="Arial" w:cs="Arial"/>
        </w:rPr>
      </w:pPr>
      <w:r w:rsidRPr="00BC34D8">
        <w:rPr>
          <w:rFonts w:ascii="Arial" w:eastAsia="Calibri" w:hAnsi="Arial" w:cs="Arial"/>
        </w:rPr>
        <w:t xml:space="preserve">Adopt safeguards to ensure that powers to stop and search children, and to conduct other searches of children, are used by police in a lawful, non-discriminatory manner and only </w:t>
      </w:r>
      <w:r w:rsidR="00BB08A0">
        <w:rPr>
          <w:rFonts w:ascii="Arial" w:eastAsia="Calibri" w:hAnsi="Arial" w:cs="Arial"/>
        </w:rPr>
        <w:t>when there is</w:t>
      </w:r>
      <w:r w:rsidRPr="00BC34D8">
        <w:rPr>
          <w:rFonts w:ascii="Arial" w:eastAsia="Calibri" w:hAnsi="Arial" w:cs="Arial"/>
        </w:rPr>
        <w:t xml:space="preserve"> reasonable suspicion. The safeguards must include the presence of an appropriate adult other than in defined exceptional circumstances.</w:t>
      </w:r>
    </w:p>
    <w:p w14:paraId="01544434" w14:textId="2BE1A6CF" w:rsidR="00F2721D" w:rsidRDefault="00BC34D8" w:rsidP="00527C4A">
      <w:pPr>
        <w:pStyle w:val="ListParagraph"/>
        <w:numPr>
          <w:ilvl w:val="0"/>
          <w:numId w:val="20"/>
        </w:numPr>
        <w:spacing w:before="120" w:line="240" w:lineRule="auto"/>
      </w:pPr>
      <w:r w:rsidRPr="00BC34D8">
        <w:rPr>
          <w:rFonts w:ascii="Arial" w:eastAsia="Calibri" w:hAnsi="Arial" w:cs="Arial"/>
        </w:rPr>
        <w:t>Ensure that its proposed reforms to data protection do not weaken existing obligations under the Children’s Code, and protect the privacy rights of children.</w:t>
      </w:r>
    </w:p>
    <w:p w14:paraId="264AE4D0" w14:textId="6656000F" w:rsidR="00BC34D8" w:rsidRPr="00F2721D" w:rsidRDefault="00BC34D8" w:rsidP="00BC34D8">
      <w:pPr>
        <w:pStyle w:val="Heading1"/>
      </w:pPr>
      <w:bookmarkStart w:id="8" w:name="_Toc122018852"/>
      <w:r>
        <w:t>Violence against children</w:t>
      </w:r>
      <w:r w:rsidRPr="00A26DF5">
        <w:t xml:space="preserve"> </w:t>
      </w:r>
      <w:r>
        <w:rPr>
          <w:rStyle w:val="Howtousethistemplate"/>
          <w:sz w:val="52"/>
        </w:rPr>
        <w:t>(Articles 19, 24</w:t>
      </w:r>
      <w:r w:rsidR="00BB08A0">
        <w:rPr>
          <w:rStyle w:val="Howtousethistemplate"/>
          <w:sz w:val="52"/>
        </w:rPr>
        <w:t xml:space="preserve"> </w:t>
      </w:r>
      <w:r>
        <w:rPr>
          <w:rStyle w:val="Howtousethistemplate"/>
          <w:sz w:val="52"/>
        </w:rPr>
        <w:t>(3), 28</w:t>
      </w:r>
      <w:r w:rsidR="00BB08A0">
        <w:rPr>
          <w:rStyle w:val="Howtousethistemplate"/>
          <w:sz w:val="52"/>
        </w:rPr>
        <w:t xml:space="preserve"> </w:t>
      </w:r>
      <w:r>
        <w:rPr>
          <w:rStyle w:val="Howtousethistemplate"/>
          <w:sz w:val="52"/>
        </w:rPr>
        <w:t>(2), 34, 37</w:t>
      </w:r>
      <w:r w:rsidR="00BB08A0">
        <w:rPr>
          <w:rStyle w:val="Howtousethistemplate"/>
          <w:sz w:val="52"/>
        </w:rPr>
        <w:t xml:space="preserve"> </w:t>
      </w:r>
      <w:r>
        <w:rPr>
          <w:rStyle w:val="Howtousethistemplate"/>
          <w:sz w:val="52"/>
        </w:rPr>
        <w:t>(a) and 39)</w:t>
      </w:r>
      <w:bookmarkEnd w:id="8"/>
    </w:p>
    <w:p w14:paraId="2238CBC4" w14:textId="163E0F14" w:rsidR="00BC34D8" w:rsidRPr="000530C5" w:rsidRDefault="00BC34D8" w:rsidP="00BC34D8">
      <w:pPr>
        <w:pStyle w:val="Heading2"/>
      </w:pPr>
      <w:bookmarkStart w:id="9" w:name="_Toc122018853"/>
      <w:r>
        <w:t>Torture and other cruel, inhuman or degrading treatment or punishment</w:t>
      </w:r>
      <w:bookmarkEnd w:id="9"/>
    </w:p>
    <w:p w14:paraId="10048241" w14:textId="65EA82BF" w:rsidR="00BC34D8" w:rsidRPr="006E33D0" w:rsidRDefault="00BC34D8" w:rsidP="00BC34D8">
      <w:pPr>
        <w:keepNext/>
        <w:pBdr>
          <w:top w:val="single" w:sz="24" w:space="8" w:color="DDDE45"/>
          <w:left w:val="single" w:sz="24" w:space="4" w:color="F1F1B4"/>
          <w:bottom w:val="single" w:sz="48" w:space="1" w:color="F1F1B4"/>
          <w:right w:val="single" w:sz="24" w:space="4" w:color="F1F1B4"/>
        </w:pBdr>
        <w:shd w:val="clear" w:color="auto" w:fill="F1F1B4"/>
        <w:spacing w:before="120" w:line="240" w:lineRule="auto"/>
        <w:ind w:left="142" w:right="198"/>
        <w:rPr>
          <w:rFonts w:ascii="Arial" w:eastAsia="Arial" w:hAnsi="Arial" w:cs="Arial"/>
          <w:b/>
          <w:szCs w:val="24"/>
        </w:rPr>
      </w:pPr>
      <w:r w:rsidRPr="006E33D0">
        <w:rPr>
          <w:rFonts w:ascii="Arial" w:eastAsia="Arial" w:hAnsi="Arial" w:cs="Arial"/>
          <w:b/>
          <w:szCs w:val="24"/>
        </w:rPr>
        <w:t xml:space="preserve">See: </w:t>
      </w:r>
      <w:hyperlink r:id="rId25" w:history="1">
        <w:r w:rsidRPr="006E33D0">
          <w:rPr>
            <w:rFonts w:ascii="Arial" w:eastAsia="Arial" w:hAnsi="Arial" w:cs="Arial"/>
            <w:b/>
            <w:szCs w:val="24"/>
            <w:u w:val="single" w:color="009C98"/>
          </w:rPr>
          <w:t>Our 2020 submission</w:t>
        </w:r>
      </w:hyperlink>
      <w:r w:rsidR="00E06460">
        <w:rPr>
          <w:rFonts w:ascii="Arial" w:eastAsia="Arial" w:hAnsi="Arial" w:cs="Arial"/>
          <w:b/>
          <w:szCs w:val="24"/>
        </w:rPr>
        <w:t xml:space="preserve"> (pages 35–42 and 51–</w:t>
      </w:r>
      <w:r w:rsidRPr="006E33D0">
        <w:rPr>
          <w:rFonts w:ascii="Arial" w:eastAsia="Arial" w:hAnsi="Arial" w:cs="Arial"/>
          <w:b/>
          <w:szCs w:val="24"/>
        </w:rPr>
        <w:t xml:space="preserve">67); </w:t>
      </w:r>
      <w:hyperlink r:id="rId26" w:history="1">
        <w:r w:rsidR="00E06460">
          <w:rPr>
            <w:rFonts w:ascii="Arial" w:eastAsia="Arial" w:hAnsi="Arial" w:cs="Arial"/>
            <w:b/>
            <w:szCs w:val="24"/>
            <w:u w:val="single" w:color="009C98"/>
          </w:rPr>
          <w:t>UNCRC list of i</w:t>
        </w:r>
        <w:r w:rsidRPr="006E33D0">
          <w:rPr>
            <w:rFonts w:ascii="Arial" w:eastAsia="Arial" w:hAnsi="Arial" w:cs="Arial"/>
            <w:b/>
            <w:szCs w:val="24"/>
            <w:u w:val="single" w:color="009C98"/>
          </w:rPr>
          <w:t>ssues</w:t>
        </w:r>
      </w:hyperlink>
      <w:r w:rsidRPr="006E33D0">
        <w:rPr>
          <w:rFonts w:ascii="Arial" w:eastAsia="Arial" w:hAnsi="Arial" w:cs="Arial"/>
          <w:b/>
          <w:szCs w:val="24"/>
        </w:rPr>
        <w:t xml:space="preserve"> (para 20); </w:t>
      </w:r>
      <w:hyperlink r:id="rId27" w:history="1">
        <w:r w:rsidRPr="006E33D0">
          <w:rPr>
            <w:rFonts w:ascii="Arial" w:eastAsia="Arial" w:hAnsi="Arial" w:cs="Arial"/>
            <w:b/>
            <w:szCs w:val="24"/>
            <w:u w:val="single" w:color="009C98"/>
          </w:rPr>
          <w:t>UN Sustainable Development Goals</w:t>
        </w:r>
      </w:hyperlink>
      <w:r w:rsidRPr="006E33D0">
        <w:rPr>
          <w:rFonts w:ascii="Arial" w:eastAsia="Arial" w:hAnsi="Arial" w:cs="Arial"/>
          <w:b/>
          <w:szCs w:val="24"/>
        </w:rPr>
        <w:t xml:space="preserve"> (Goals </w:t>
      </w:r>
      <w:r>
        <w:rPr>
          <w:rFonts w:ascii="Arial" w:eastAsia="Arial" w:hAnsi="Arial" w:cs="Arial"/>
          <w:b/>
          <w:szCs w:val="24"/>
        </w:rPr>
        <w:t xml:space="preserve">3, </w:t>
      </w:r>
      <w:r w:rsidRPr="006E33D0">
        <w:rPr>
          <w:rFonts w:ascii="Arial" w:eastAsia="Arial" w:hAnsi="Arial" w:cs="Arial"/>
          <w:b/>
          <w:szCs w:val="24"/>
        </w:rPr>
        <w:t>4, 10 and 16)</w:t>
      </w:r>
    </w:p>
    <w:p w14:paraId="7665C484" w14:textId="5E9DC78B" w:rsidR="00BC34D8" w:rsidRPr="00B91A3D" w:rsidRDefault="00BC34D8" w:rsidP="00BC34D8">
      <w:pPr>
        <w:pStyle w:val="Heading3"/>
      </w:pPr>
      <w:r>
        <w:t xml:space="preserve">Policing </w:t>
      </w:r>
    </w:p>
    <w:p w14:paraId="60848A50" w14:textId="2F79380B" w:rsidR="00BC34D8" w:rsidRPr="006E33D0" w:rsidRDefault="00BC34D8" w:rsidP="00BC34D8">
      <w:pPr>
        <w:spacing w:before="120" w:line="240" w:lineRule="auto"/>
        <w:rPr>
          <w:rFonts w:ascii="Arial" w:eastAsia="Calibri" w:hAnsi="Arial" w:cs="Arial"/>
          <w:szCs w:val="24"/>
        </w:rPr>
      </w:pPr>
      <w:r w:rsidRPr="006E33D0">
        <w:rPr>
          <w:rFonts w:ascii="Arial" w:eastAsia="Calibri" w:hAnsi="Arial" w:cs="Arial"/>
          <w:szCs w:val="24"/>
        </w:rPr>
        <w:t>All children have the right to be free from torture or other cruel, inhuman or degrading treatment or punishment. However, despite repeated calls for the prohibition</w:t>
      </w:r>
      <w:r w:rsidR="00BB08A0">
        <w:rPr>
          <w:rFonts w:ascii="Arial" w:eastAsia="Calibri" w:hAnsi="Arial" w:cs="Arial"/>
          <w:szCs w:val="24"/>
        </w:rPr>
        <w:t xml:space="preserve"> of Tasers against children</w:t>
      </w:r>
      <w:r w:rsidRPr="006E33D0">
        <w:rPr>
          <w:rFonts w:ascii="Arial" w:eastAsia="Calibri" w:hAnsi="Arial" w:cs="Arial"/>
          <w:szCs w:val="24"/>
        </w:rPr>
        <w:t>,</w:t>
      </w:r>
      <w:r w:rsidRPr="006E33D0">
        <w:rPr>
          <w:rFonts w:ascii="Arial" w:eastAsia="Calibri" w:hAnsi="Arial" w:cs="Arial"/>
          <w:szCs w:val="24"/>
          <w:vertAlign w:val="superscript"/>
        </w:rPr>
        <w:footnoteReference w:id="44"/>
      </w:r>
      <w:r w:rsidRPr="006E33D0">
        <w:rPr>
          <w:rFonts w:ascii="Arial" w:eastAsia="Calibri" w:hAnsi="Arial" w:cs="Arial"/>
          <w:szCs w:val="24"/>
        </w:rPr>
        <w:t xml:space="preserve"> </w:t>
      </w:r>
      <w:r w:rsidR="00BB08A0">
        <w:rPr>
          <w:rFonts w:ascii="Arial" w:eastAsia="Calibri" w:hAnsi="Arial" w:cs="Arial"/>
          <w:szCs w:val="24"/>
        </w:rPr>
        <w:t xml:space="preserve">not only do </w:t>
      </w:r>
      <w:r w:rsidRPr="006E33D0">
        <w:rPr>
          <w:rFonts w:ascii="Arial" w:eastAsia="Calibri" w:hAnsi="Arial" w:cs="Arial"/>
          <w:szCs w:val="24"/>
        </w:rPr>
        <w:t xml:space="preserve">police in England and Wales continue to </w:t>
      </w:r>
      <w:r w:rsidR="00BB08A0">
        <w:rPr>
          <w:rFonts w:ascii="Arial" w:eastAsia="Calibri" w:hAnsi="Arial" w:cs="Arial"/>
          <w:szCs w:val="24"/>
        </w:rPr>
        <w:t>use them, but they also use them more often</w:t>
      </w:r>
      <w:r w:rsidRPr="006E33D0">
        <w:rPr>
          <w:rFonts w:ascii="Arial" w:eastAsia="Calibri" w:hAnsi="Arial" w:cs="Arial"/>
          <w:szCs w:val="24"/>
        </w:rPr>
        <w:t>. In 2020/21</w:t>
      </w:r>
      <w:r w:rsidR="00D62FC4">
        <w:rPr>
          <w:rFonts w:ascii="Arial" w:eastAsia="Calibri" w:hAnsi="Arial" w:cs="Arial"/>
          <w:szCs w:val="24"/>
        </w:rPr>
        <w:t>,</w:t>
      </w:r>
      <w:r w:rsidRPr="006E33D0">
        <w:rPr>
          <w:rFonts w:ascii="Arial" w:eastAsia="Calibri" w:hAnsi="Arial" w:cs="Arial"/>
          <w:szCs w:val="24"/>
        </w:rPr>
        <w:t xml:space="preserve"> there were 2,591 incidents involving Tasers against children aged 17 or younger (compared </w:t>
      </w:r>
      <w:r w:rsidR="00D62FC4">
        <w:rPr>
          <w:rFonts w:ascii="Arial" w:eastAsia="Calibri" w:hAnsi="Arial" w:cs="Arial"/>
          <w:szCs w:val="24"/>
        </w:rPr>
        <w:t>with</w:t>
      </w:r>
      <w:r w:rsidRPr="006E33D0">
        <w:rPr>
          <w:rFonts w:ascii="Arial" w:eastAsia="Calibri" w:hAnsi="Arial" w:cs="Arial"/>
          <w:szCs w:val="24"/>
        </w:rPr>
        <w:t xml:space="preserve"> 954 in 2017/18),</w:t>
      </w:r>
      <w:r w:rsidRPr="006E33D0">
        <w:rPr>
          <w:rFonts w:ascii="Arial" w:eastAsia="Calibri" w:hAnsi="Arial" w:cs="Arial"/>
          <w:szCs w:val="24"/>
          <w:vertAlign w:val="superscript"/>
        </w:rPr>
        <w:footnoteReference w:id="45"/>
      </w:r>
      <w:r w:rsidRPr="006E33D0">
        <w:rPr>
          <w:rFonts w:ascii="Arial" w:eastAsia="Calibri" w:hAnsi="Arial" w:cs="Arial"/>
          <w:szCs w:val="24"/>
        </w:rPr>
        <w:t xml:space="preserve"> including six incidents involving children aged 10 or younger.</w:t>
      </w:r>
      <w:r w:rsidRPr="006E33D0">
        <w:rPr>
          <w:rFonts w:ascii="Arial" w:eastAsia="Calibri" w:hAnsi="Arial" w:cs="Arial"/>
          <w:szCs w:val="24"/>
          <w:vertAlign w:val="superscript"/>
        </w:rPr>
        <w:footnoteReference w:id="46"/>
      </w:r>
      <w:r w:rsidRPr="006E33D0">
        <w:rPr>
          <w:rFonts w:ascii="Arial" w:eastAsia="Calibri" w:hAnsi="Arial" w:cs="Arial"/>
          <w:szCs w:val="24"/>
        </w:rPr>
        <w:t xml:space="preserve"> </w:t>
      </w:r>
    </w:p>
    <w:p w14:paraId="57BB1200" w14:textId="5C003343" w:rsidR="00BC34D8" w:rsidRPr="006E33D0" w:rsidRDefault="00BC34D8" w:rsidP="00BC34D8">
      <w:pPr>
        <w:spacing w:before="120" w:line="240" w:lineRule="auto"/>
        <w:rPr>
          <w:rFonts w:ascii="Arial" w:eastAsia="Calibri" w:hAnsi="Arial" w:cs="Arial"/>
          <w:szCs w:val="24"/>
        </w:rPr>
      </w:pPr>
      <w:r w:rsidRPr="006E33D0">
        <w:rPr>
          <w:rFonts w:ascii="Arial" w:eastAsia="Calibri" w:hAnsi="Arial" w:cs="Arial"/>
          <w:szCs w:val="24"/>
        </w:rPr>
        <w:t xml:space="preserve">The rise in recorded Taser use may be a result </w:t>
      </w:r>
      <w:r w:rsidR="00D62FC4">
        <w:rPr>
          <w:rFonts w:ascii="Arial" w:eastAsia="Calibri" w:hAnsi="Arial" w:cs="Arial"/>
          <w:szCs w:val="24"/>
        </w:rPr>
        <w:t>not only of the Home Office increasing the number of Tasers available to police forces and the number of officers trained in their use, but also improved data collection</w:t>
      </w:r>
      <w:r w:rsidRPr="006E33D0">
        <w:rPr>
          <w:rFonts w:ascii="Arial" w:eastAsia="Calibri" w:hAnsi="Arial" w:cs="Arial"/>
          <w:szCs w:val="24"/>
        </w:rPr>
        <w:t>.</w:t>
      </w:r>
      <w:r w:rsidRPr="006E33D0">
        <w:rPr>
          <w:rFonts w:ascii="Arial" w:eastAsia="Calibri" w:hAnsi="Arial" w:cs="Arial"/>
          <w:szCs w:val="24"/>
          <w:vertAlign w:val="superscript"/>
        </w:rPr>
        <w:footnoteReference w:id="47"/>
      </w:r>
      <w:r w:rsidRPr="006E33D0">
        <w:rPr>
          <w:rFonts w:ascii="Arial" w:eastAsia="Calibri" w:hAnsi="Arial" w:cs="Arial"/>
          <w:szCs w:val="24"/>
        </w:rPr>
        <w:t xml:space="preserve"> We are concerned that the UK Government’s 2022 decision to allow volunteer police officers</w:t>
      </w:r>
      <w:r w:rsidR="00D62FC4">
        <w:rPr>
          <w:rFonts w:ascii="Arial" w:eastAsia="Calibri" w:hAnsi="Arial" w:cs="Arial"/>
          <w:szCs w:val="24"/>
        </w:rPr>
        <w:t xml:space="preserve"> –</w:t>
      </w:r>
      <w:r w:rsidR="006B3809">
        <w:rPr>
          <w:rFonts w:ascii="Arial" w:eastAsia="Calibri" w:hAnsi="Arial" w:cs="Arial"/>
          <w:szCs w:val="24"/>
        </w:rPr>
        <w:t xml:space="preserve"> </w:t>
      </w:r>
      <w:r w:rsidRPr="006E33D0">
        <w:rPr>
          <w:rFonts w:ascii="Arial" w:eastAsia="Calibri" w:hAnsi="Arial" w:cs="Arial"/>
          <w:szCs w:val="24"/>
        </w:rPr>
        <w:t>known as special constables</w:t>
      </w:r>
      <w:r w:rsidR="00D62FC4">
        <w:rPr>
          <w:rFonts w:ascii="Arial" w:eastAsia="Calibri" w:hAnsi="Arial" w:cs="Arial"/>
          <w:szCs w:val="24"/>
        </w:rPr>
        <w:t xml:space="preserve"> – </w:t>
      </w:r>
      <w:r w:rsidRPr="006E33D0">
        <w:rPr>
          <w:rFonts w:ascii="Arial" w:eastAsia="Calibri" w:hAnsi="Arial" w:cs="Arial"/>
          <w:szCs w:val="24"/>
        </w:rPr>
        <w:t xml:space="preserve">to use Tasers will </w:t>
      </w:r>
      <w:r w:rsidR="00D62FC4">
        <w:rPr>
          <w:rFonts w:ascii="Arial" w:eastAsia="Calibri" w:hAnsi="Arial" w:cs="Arial"/>
          <w:szCs w:val="24"/>
        </w:rPr>
        <w:t>also</w:t>
      </w:r>
      <w:r w:rsidRPr="006E33D0">
        <w:rPr>
          <w:rFonts w:ascii="Arial" w:eastAsia="Calibri" w:hAnsi="Arial" w:cs="Arial"/>
          <w:szCs w:val="24"/>
        </w:rPr>
        <w:t xml:space="preserve"> increase </w:t>
      </w:r>
      <w:r w:rsidR="00D62FC4">
        <w:rPr>
          <w:rFonts w:ascii="Arial" w:eastAsia="Calibri" w:hAnsi="Arial" w:cs="Arial"/>
          <w:szCs w:val="24"/>
        </w:rPr>
        <w:t>their</w:t>
      </w:r>
      <w:r w:rsidRPr="006E33D0">
        <w:rPr>
          <w:rFonts w:ascii="Arial" w:eastAsia="Calibri" w:hAnsi="Arial" w:cs="Arial"/>
          <w:szCs w:val="24"/>
        </w:rPr>
        <w:t xml:space="preserve"> use.</w:t>
      </w:r>
      <w:r w:rsidRPr="006E33D0">
        <w:rPr>
          <w:rFonts w:ascii="Arial" w:eastAsia="Calibri" w:hAnsi="Arial" w:cs="Arial"/>
          <w:szCs w:val="24"/>
          <w:vertAlign w:val="superscript"/>
        </w:rPr>
        <w:footnoteReference w:id="48"/>
      </w:r>
      <w:r w:rsidRPr="006E33D0">
        <w:rPr>
          <w:rFonts w:ascii="Arial" w:eastAsia="Calibri" w:hAnsi="Arial" w:cs="Arial"/>
          <w:szCs w:val="24"/>
        </w:rPr>
        <w:t xml:space="preserve"> Despite recommendations from the Independent Office for Police Conduct (IOPC),</w:t>
      </w:r>
      <w:r w:rsidRPr="006E33D0">
        <w:rPr>
          <w:rFonts w:ascii="Arial" w:eastAsia="Calibri" w:hAnsi="Arial" w:cs="Arial"/>
          <w:szCs w:val="24"/>
          <w:vertAlign w:val="superscript"/>
        </w:rPr>
        <w:footnoteReference w:id="49"/>
      </w:r>
      <w:r w:rsidRPr="006E33D0">
        <w:rPr>
          <w:rFonts w:ascii="Arial" w:eastAsia="Calibri" w:hAnsi="Arial" w:cs="Arial"/>
          <w:szCs w:val="24"/>
        </w:rPr>
        <w:t xml:space="preserve"> and College of Policing recognition that the physiology of children is a risk factor in Taser usage,</w:t>
      </w:r>
      <w:r w:rsidRPr="006E33D0">
        <w:rPr>
          <w:rStyle w:val="FootnoteReference"/>
          <w:rFonts w:ascii="Arial" w:eastAsia="Calibri" w:hAnsi="Arial" w:cs="Arial"/>
          <w:szCs w:val="24"/>
        </w:rPr>
        <w:footnoteReference w:id="50"/>
      </w:r>
      <w:r w:rsidRPr="006E33D0">
        <w:rPr>
          <w:rFonts w:ascii="Arial" w:eastAsia="Calibri" w:hAnsi="Arial" w:cs="Arial"/>
          <w:szCs w:val="24"/>
        </w:rPr>
        <w:t xml:space="preserve"> there is no specific training or guidance for police officers in the use of Tasers against children. </w:t>
      </w:r>
    </w:p>
    <w:p w14:paraId="3EAE7C44" w14:textId="74B5A7EB" w:rsidR="00BC34D8" w:rsidRPr="006E33D0" w:rsidRDefault="00BC34D8" w:rsidP="00BC34D8">
      <w:pPr>
        <w:spacing w:before="120" w:line="240" w:lineRule="auto"/>
        <w:rPr>
          <w:rFonts w:ascii="Arial" w:eastAsia="Calibri" w:hAnsi="Arial" w:cs="Arial"/>
          <w:szCs w:val="24"/>
        </w:rPr>
      </w:pPr>
      <w:r w:rsidRPr="006E33D0">
        <w:rPr>
          <w:rFonts w:ascii="Arial" w:eastAsia="Calibri" w:hAnsi="Arial" w:cs="Arial"/>
          <w:szCs w:val="24"/>
        </w:rPr>
        <w:t xml:space="preserve">A 2021 review by the IOPC found that there was disproportionate use of Tasers </w:t>
      </w:r>
      <w:r w:rsidR="00D62FC4">
        <w:rPr>
          <w:rFonts w:ascii="Arial" w:eastAsia="Calibri" w:hAnsi="Arial" w:cs="Arial"/>
          <w:szCs w:val="24"/>
        </w:rPr>
        <w:t>against</w:t>
      </w:r>
      <w:r w:rsidRPr="006E33D0">
        <w:rPr>
          <w:rFonts w:ascii="Arial" w:eastAsia="Calibri" w:hAnsi="Arial" w:cs="Arial"/>
          <w:szCs w:val="24"/>
        </w:rPr>
        <w:t xml:space="preserve"> ethnic minority children, but the Home Office does not provide a breakdown of the ethnicity of </w:t>
      </w:r>
      <w:r w:rsidR="00D62FC4">
        <w:rPr>
          <w:rFonts w:ascii="Arial" w:eastAsia="Calibri" w:hAnsi="Arial" w:cs="Arial"/>
          <w:szCs w:val="24"/>
        </w:rPr>
        <w:t xml:space="preserve">the </w:t>
      </w:r>
      <w:r w:rsidRPr="006E33D0">
        <w:rPr>
          <w:rFonts w:ascii="Arial" w:eastAsia="Calibri" w:hAnsi="Arial" w:cs="Arial"/>
          <w:szCs w:val="24"/>
        </w:rPr>
        <w:t>children involved.</w:t>
      </w:r>
      <w:r w:rsidRPr="006E33D0">
        <w:rPr>
          <w:rFonts w:ascii="Arial" w:eastAsia="Calibri" w:hAnsi="Arial" w:cs="Arial"/>
          <w:szCs w:val="24"/>
          <w:vertAlign w:val="superscript"/>
        </w:rPr>
        <w:footnoteReference w:id="51"/>
      </w:r>
      <w:r w:rsidRPr="006E33D0">
        <w:rPr>
          <w:rFonts w:ascii="Arial" w:eastAsia="Calibri" w:hAnsi="Arial" w:cs="Arial"/>
          <w:szCs w:val="24"/>
        </w:rPr>
        <w:t xml:space="preserve"> In 2020, evidence from 27 UK police forces suggested that children from ethnic minorities were almost three times as likely to have a Taser used against them as White children.</w:t>
      </w:r>
      <w:r w:rsidRPr="006E33D0">
        <w:rPr>
          <w:rFonts w:ascii="Arial" w:eastAsia="Calibri" w:hAnsi="Arial" w:cs="Arial"/>
          <w:szCs w:val="24"/>
          <w:vertAlign w:val="superscript"/>
        </w:rPr>
        <w:footnoteReference w:id="52"/>
      </w:r>
      <w:r w:rsidRPr="006E33D0">
        <w:rPr>
          <w:rFonts w:ascii="Arial" w:eastAsia="Calibri" w:hAnsi="Arial" w:cs="Arial"/>
          <w:szCs w:val="24"/>
        </w:rPr>
        <w:t xml:space="preserve"> The IOPC has urged police forces in England and Wales to ensure that eff</w:t>
      </w:r>
      <w:r w:rsidR="006B3809">
        <w:rPr>
          <w:rFonts w:ascii="Arial" w:eastAsia="Calibri" w:hAnsi="Arial" w:cs="Arial"/>
          <w:szCs w:val="24"/>
        </w:rPr>
        <w:t>ective mechanisms are in place ‘</w:t>
      </w:r>
      <w:r w:rsidRPr="006E33D0">
        <w:rPr>
          <w:rFonts w:ascii="Arial" w:eastAsia="Calibri" w:hAnsi="Arial" w:cs="Arial"/>
          <w:szCs w:val="24"/>
        </w:rPr>
        <w:t xml:space="preserve">for robust monitoring and scrutiny of the use of Taser </w:t>
      </w:r>
      <w:r w:rsidR="006B3809">
        <w:rPr>
          <w:rFonts w:ascii="Arial" w:eastAsia="Calibri" w:hAnsi="Arial" w:cs="Arial"/>
          <w:szCs w:val="24"/>
        </w:rPr>
        <w:t>against children’,</w:t>
      </w:r>
      <w:r w:rsidRPr="006E33D0">
        <w:rPr>
          <w:rFonts w:ascii="Arial" w:eastAsia="Calibri" w:hAnsi="Arial" w:cs="Arial"/>
          <w:szCs w:val="24"/>
          <w:vertAlign w:val="superscript"/>
        </w:rPr>
        <w:footnoteReference w:id="53"/>
      </w:r>
      <w:r w:rsidRPr="006E33D0">
        <w:rPr>
          <w:rFonts w:ascii="Arial" w:eastAsia="Calibri" w:hAnsi="Arial" w:cs="Arial"/>
          <w:szCs w:val="24"/>
        </w:rPr>
        <w:t xml:space="preserve"> including ethnic minorities.</w:t>
      </w:r>
      <w:r w:rsidRPr="006E33D0">
        <w:rPr>
          <w:rFonts w:ascii="Arial" w:eastAsia="Calibri" w:hAnsi="Arial" w:cs="Arial"/>
          <w:szCs w:val="24"/>
          <w:vertAlign w:val="superscript"/>
        </w:rPr>
        <w:footnoteReference w:id="54"/>
      </w:r>
    </w:p>
    <w:p w14:paraId="46E2169E" w14:textId="6EFCE6A5" w:rsidR="00BC34D8" w:rsidRPr="006E33D0" w:rsidRDefault="00BC34D8" w:rsidP="00BC34D8">
      <w:pPr>
        <w:spacing w:before="120" w:line="240" w:lineRule="auto"/>
        <w:rPr>
          <w:rFonts w:ascii="Arial" w:eastAsia="Calibri" w:hAnsi="Arial" w:cs="Arial"/>
          <w:szCs w:val="24"/>
        </w:rPr>
      </w:pPr>
      <w:r w:rsidRPr="006E33D0">
        <w:rPr>
          <w:rFonts w:ascii="Arial" w:eastAsia="Calibri" w:hAnsi="Arial" w:cs="Arial"/>
          <w:szCs w:val="24"/>
        </w:rPr>
        <w:t>Similarly, despite fears about their safety, and calls for them to be banned,</w:t>
      </w:r>
      <w:r w:rsidRPr="006E33D0">
        <w:rPr>
          <w:rFonts w:ascii="Arial" w:eastAsia="Calibri" w:hAnsi="Arial" w:cs="Arial"/>
          <w:szCs w:val="24"/>
          <w:vertAlign w:val="superscript"/>
        </w:rPr>
        <w:footnoteReference w:id="55"/>
      </w:r>
      <w:r w:rsidRPr="006E33D0">
        <w:rPr>
          <w:rFonts w:ascii="Arial" w:eastAsia="Calibri" w:hAnsi="Arial" w:cs="Arial"/>
          <w:szCs w:val="24"/>
        </w:rPr>
        <w:t xml:space="preserve"> the use of spit-hoods</w:t>
      </w:r>
      <w:r w:rsidRPr="006E33D0">
        <w:rPr>
          <w:rFonts w:ascii="Arial" w:eastAsia="Calibri" w:hAnsi="Arial" w:cs="Arial"/>
          <w:szCs w:val="24"/>
          <w:vertAlign w:val="superscript"/>
        </w:rPr>
        <w:footnoteReference w:id="56"/>
      </w:r>
      <w:r w:rsidRPr="006E33D0">
        <w:rPr>
          <w:rFonts w:ascii="Arial" w:eastAsia="Calibri" w:hAnsi="Arial" w:cs="Arial"/>
          <w:szCs w:val="24"/>
        </w:rPr>
        <w:t xml:space="preserve"> by police against children has continued to increase, from 166 incidents in 2017</w:t>
      </w:r>
      <w:r>
        <w:rPr>
          <w:rFonts w:ascii="Arial" w:eastAsia="Calibri" w:hAnsi="Arial" w:cs="Arial"/>
          <w:szCs w:val="24"/>
        </w:rPr>
        <w:t>/</w:t>
      </w:r>
      <w:r w:rsidRPr="006E33D0">
        <w:rPr>
          <w:rFonts w:ascii="Arial" w:eastAsia="Calibri" w:hAnsi="Arial" w:cs="Arial"/>
          <w:szCs w:val="24"/>
        </w:rPr>
        <w:t>18 to 654 in 2020/21.</w:t>
      </w:r>
      <w:r w:rsidRPr="006E33D0">
        <w:rPr>
          <w:rFonts w:ascii="Arial" w:eastAsia="Calibri" w:hAnsi="Arial" w:cs="Arial"/>
          <w:szCs w:val="24"/>
          <w:vertAlign w:val="superscript"/>
        </w:rPr>
        <w:footnoteReference w:id="57"/>
      </w:r>
      <w:r w:rsidRPr="006E33D0">
        <w:rPr>
          <w:rFonts w:ascii="Arial" w:eastAsia="Calibri" w:hAnsi="Arial" w:cs="Arial"/>
          <w:szCs w:val="24"/>
        </w:rPr>
        <w:t xml:space="preserve"> This coincides with the rapid roll-out of spit-hoods to almost every police force in England and Wales.</w:t>
      </w:r>
      <w:r w:rsidRPr="006E33D0">
        <w:rPr>
          <w:rFonts w:ascii="Arial" w:eastAsia="Calibri" w:hAnsi="Arial" w:cs="Arial"/>
          <w:szCs w:val="24"/>
          <w:vertAlign w:val="superscript"/>
        </w:rPr>
        <w:footnoteReference w:id="58"/>
      </w:r>
    </w:p>
    <w:p w14:paraId="4757B705" w14:textId="468008D2" w:rsidR="00BC34D8" w:rsidRPr="00B91A3D" w:rsidRDefault="00BC34D8" w:rsidP="00BC34D8">
      <w:pPr>
        <w:pStyle w:val="Heading3"/>
      </w:pPr>
      <w:r>
        <w:t xml:space="preserve">Restraint </w:t>
      </w:r>
    </w:p>
    <w:p w14:paraId="0104E8A5" w14:textId="534FE103" w:rsidR="00BC34D8" w:rsidRPr="006E33D0" w:rsidRDefault="00BC34D8" w:rsidP="00BC34D8">
      <w:pPr>
        <w:spacing w:before="120" w:line="240" w:lineRule="auto"/>
        <w:rPr>
          <w:rFonts w:ascii="Arial" w:eastAsia="Calibri" w:hAnsi="Arial" w:cs="Arial"/>
          <w:szCs w:val="24"/>
        </w:rPr>
      </w:pPr>
      <w:r w:rsidRPr="006E33D0">
        <w:rPr>
          <w:rFonts w:ascii="Arial" w:eastAsia="Calibri" w:hAnsi="Arial" w:cs="Arial"/>
          <w:szCs w:val="24"/>
        </w:rPr>
        <w:t>We are concerned that restraint continues to be used against children in different settings, such as custody,</w:t>
      </w:r>
      <w:r w:rsidRPr="006E33D0">
        <w:rPr>
          <w:rStyle w:val="FootnoteReference"/>
          <w:rFonts w:ascii="Arial" w:eastAsia="Calibri" w:hAnsi="Arial" w:cs="Arial"/>
          <w:szCs w:val="24"/>
        </w:rPr>
        <w:footnoteReference w:id="59"/>
      </w:r>
      <w:r w:rsidRPr="006E33D0">
        <w:rPr>
          <w:rFonts w:ascii="Arial" w:eastAsia="Calibri" w:hAnsi="Arial" w:cs="Arial"/>
          <w:szCs w:val="24"/>
        </w:rPr>
        <w:t xml:space="preserve"> inpatient care,</w:t>
      </w:r>
      <w:r w:rsidRPr="006E33D0">
        <w:rPr>
          <w:rStyle w:val="FootnoteReference"/>
          <w:rFonts w:ascii="Arial" w:eastAsia="Calibri" w:hAnsi="Arial" w:cs="Arial"/>
          <w:szCs w:val="24"/>
        </w:rPr>
        <w:footnoteReference w:id="60"/>
      </w:r>
      <w:r w:rsidRPr="006E33D0">
        <w:rPr>
          <w:rFonts w:ascii="Arial" w:eastAsia="Calibri" w:hAnsi="Arial" w:cs="Arial"/>
          <w:szCs w:val="24"/>
        </w:rPr>
        <w:t xml:space="preserve"> and schools.</w:t>
      </w:r>
    </w:p>
    <w:p w14:paraId="345DB7E4" w14:textId="54AEA60A" w:rsidR="00BC34D8" w:rsidRPr="006E33D0" w:rsidRDefault="00BC34D8" w:rsidP="00BC34D8">
      <w:pPr>
        <w:spacing w:before="120" w:line="240" w:lineRule="auto"/>
        <w:rPr>
          <w:rFonts w:ascii="Arial" w:eastAsia="Calibri" w:hAnsi="Arial" w:cs="Arial"/>
          <w:szCs w:val="24"/>
        </w:rPr>
      </w:pPr>
      <w:r w:rsidRPr="006E33D0">
        <w:rPr>
          <w:rFonts w:ascii="Arial" w:eastAsia="Calibri" w:hAnsi="Arial" w:cs="Arial"/>
          <w:szCs w:val="24"/>
        </w:rPr>
        <w:t>The UNCRC</w:t>
      </w:r>
      <w:r w:rsidRPr="006E33D0">
        <w:rPr>
          <w:rFonts w:ascii="Arial" w:eastAsia="Calibri" w:hAnsi="Arial" w:cs="Arial"/>
          <w:szCs w:val="24"/>
          <w:vertAlign w:val="superscript"/>
        </w:rPr>
        <w:footnoteReference w:id="61"/>
      </w:r>
      <w:r w:rsidRPr="006E33D0">
        <w:rPr>
          <w:rFonts w:ascii="Arial" w:eastAsia="Calibri" w:hAnsi="Arial" w:cs="Arial"/>
          <w:szCs w:val="24"/>
        </w:rPr>
        <w:t xml:space="preserve"> and </w:t>
      </w:r>
      <w:r>
        <w:rPr>
          <w:rFonts w:ascii="Arial" w:eastAsia="Calibri" w:hAnsi="Arial" w:cs="Arial"/>
          <w:szCs w:val="24"/>
        </w:rPr>
        <w:t>our</w:t>
      </w:r>
      <w:r w:rsidRPr="006E33D0">
        <w:rPr>
          <w:rFonts w:ascii="Arial" w:eastAsia="Calibri" w:hAnsi="Arial" w:cs="Arial"/>
          <w:szCs w:val="24"/>
        </w:rPr>
        <w:t xml:space="preserve"> own Human Rights Framework for Restraint</w:t>
      </w:r>
      <w:r w:rsidRPr="006E33D0">
        <w:rPr>
          <w:rFonts w:ascii="Arial" w:eastAsia="Calibri" w:hAnsi="Arial" w:cs="Arial"/>
          <w:szCs w:val="24"/>
          <w:vertAlign w:val="superscript"/>
        </w:rPr>
        <w:footnoteReference w:id="62"/>
      </w:r>
      <w:r w:rsidRPr="006E33D0">
        <w:rPr>
          <w:rFonts w:ascii="Arial" w:eastAsia="Calibri" w:hAnsi="Arial" w:cs="Arial"/>
          <w:szCs w:val="24"/>
        </w:rPr>
        <w:t xml:space="preserve"> state that techniques intended to inflict pain as a means of control must not be used when restraining a child. However, these pain-inducing techniques continue to be used in custodial settings</w:t>
      </w:r>
      <w:r w:rsidR="000D1F10">
        <w:rPr>
          <w:rFonts w:ascii="Arial" w:eastAsia="Calibri" w:hAnsi="Arial" w:cs="Arial"/>
          <w:szCs w:val="24"/>
        </w:rPr>
        <w:t>.</w:t>
      </w:r>
      <w:r w:rsidR="000D1F10">
        <w:rPr>
          <w:rStyle w:val="FootnoteReference"/>
          <w:rFonts w:ascii="Arial" w:eastAsia="Calibri" w:hAnsi="Arial" w:cs="Arial"/>
          <w:szCs w:val="24"/>
        </w:rPr>
        <w:footnoteReference w:id="63"/>
      </w:r>
    </w:p>
    <w:p w14:paraId="0A647748" w14:textId="4E0F25DA" w:rsidR="00BC34D8" w:rsidRPr="006E33D0" w:rsidRDefault="00BC34D8" w:rsidP="00BC34D8">
      <w:pPr>
        <w:spacing w:before="120" w:line="240" w:lineRule="auto"/>
        <w:rPr>
          <w:rFonts w:ascii="Arial" w:eastAsia="Calibri" w:hAnsi="Arial" w:cs="Arial"/>
          <w:szCs w:val="24"/>
        </w:rPr>
      </w:pPr>
      <w:r w:rsidRPr="006E33D0">
        <w:rPr>
          <w:rFonts w:ascii="Arial" w:eastAsia="Calibri" w:hAnsi="Arial" w:cs="Arial"/>
          <w:szCs w:val="24"/>
        </w:rPr>
        <w:t xml:space="preserve">We welcome that the UK Government has accepted many recommendations </w:t>
      </w:r>
      <w:r w:rsidR="002F5B80">
        <w:rPr>
          <w:rFonts w:ascii="Arial" w:eastAsia="Calibri" w:hAnsi="Arial" w:cs="Arial"/>
          <w:szCs w:val="24"/>
        </w:rPr>
        <w:t>from the ‘Independent review of pain-inducing t</w:t>
      </w:r>
      <w:r w:rsidRPr="006E33D0">
        <w:rPr>
          <w:rFonts w:ascii="Arial" w:eastAsia="Calibri" w:hAnsi="Arial" w:cs="Arial"/>
          <w:szCs w:val="24"/>
        </w:rPr>
        <w:t>echniques</w:t>
      </w:r>
      <w:r w:rsidR="002F5B80">
        <w:rPr>
          <w:rFonts w:ascii="Arial" w:eastAsia="Calibri" w:hAnsi="Arial" w:cs="Arial"/>
          <w:szCs w:val="24"/>
        </w:rPr>
        <w:t>’</w:t>
      </w:r>
      <w:r w:rsidRPr="006E33D0">
        <w:rPr>
          <w:rFonts w:ascii="Arial" w:eastAsia="Calibri" w:hAnsi="Arial" w:cs="Arial"/>
          <w:szCs w:val="24"/>
        </w:rPr>
        <w:t xml:space="preserve"> in 2020,</w:t>
      </w:r>
      <w:r w:rsidRPr="006E33D0">
        <w:rPr>
          <w:rFonts w:ascii="Arial" w:eastAsia="Calibri" w:hAnsi="Arial" w:cs="Arial"/>
          <w:szCs w:val="24"/>
          <w:vertAlign w:val="superscript"/>
        </w:rPr>
        <w:footnoteReference w:id="64"/>
      </w:r>
      <w:r w:rsidRPr="006E33D0">
        <w:rPr>
          <w:rFonts w:ascii="Arial" w:eastAsia="Calibri" w:hAnsi="Arial" w:cs="Arial"/>
          <w:szCs w:val="24"/>
        </w:rPr>
        <w:t xml:space="preserve"> including to remove these techniques from custodial staff training manuals, though few changes have been fully introduced</w:t>
      </w:r>
      <w:r w:rsidR="00D62FC4">
        <w:rPr>
          <w:rFonts w:ascii="Arial" w:eastAsia="Calibri" w:hAnsi="Arial" w:cs="Arial"/>
          <w:szCs w:val="24"/>
        </w:rPr>
        <w:t xml:space="preserve"> to date</w:t>
      </w:r>
      <w:r w:rsidRPr="006E33D0">
        <w:rPr>
          <w:rFonts w:ascii="Arial" w:eastAsia="Calibri" w:hAnsi="Arial" w:cs="Arial"/>
          <w:szCs w:val="24"/>
        </w:rPr>
        <w:t>. In 2021, the Welsh Government published a framework on reducing restrictive practices, for use across childcare, education, health and soci</w:t>
      </w:r>
      <w:r w:rsidR="002F5B80">
        <w:rPr>
          <w:rFonts w:ascii="Arial" w:eastAsia="Calibri" w:hAnsi="Arial" w:cs="Arial"/>
          <w:szCs w:val="24"/>
        </w:rPr>
        <w:t>al care settings, stating that ‘</w:t>
      </w:r>
      <w:r w:rsidRPr="006E33D0">
        <w:rPr>
          <w:rFonts w:ascii="Arial" w:eastAsia="Calibri" w:hAnsi="Arial" w:cs="Arial"/>
          <w:szCs w:val="24"/>
        </w:rPr>
        <w:t>restraints that cause pain int</w:t>
      </w:r>
      <w:r w:rsidR="002F5B80">
        <w:rPr>
          <w:rFonts w:ascii="Arial" w:eastAsia="Calibri" w:hAnsi="Arial" w:cs="Arial"/>
          <w:szCs w:val="24"/>
        </w:rPr>
        <w:t>entionally should never be used’</w:t>
      </w:r>
      <w:r w:rsidRPr="006E33D0">
        <w:rPr>
          <w:rFonts w:ascii="Arial" w:eastAsia="Calibri" w:hAnsi="Arial" w:cs="Arial"/>
          <w:szCs w:val="24"/>
        </w:rPr>
        <w:t>.</w:t>
      </w:r>
      <w:r w:rsidRPr="006E33D0">
        <w:rPr>
          <w:rFonts w:ascii="Arial" w:eastAsia="Calibri" w:hAnsi="Arial" w:cs="Arial"/>
          <w:szCs w:val="24"/>
          <w:vertAlign w:val="superscript"/>
        </w:rPr>
        <w:footnoteReference w:id="65"/>
      </w:r>
      <w:r w:rsidRPr="006E33D0">
        <w:rPr>
          <w:rFonts w:ascii="Arial" w:eastAsia="Calibri" w:hAnsi="Arial" w:cs="Arial"/>
          <w:szCs w:val="24"/>
        </w:rPr>
        <w:t xml:space="preserve"> Welsh </w:t>
      </w:r>
      <w:r w:rsidR="00D62FC4">
        <w:rPr>
          <w:rFonts w:ascii="Arial" w:eastAsia="Calibri" w:hAnsi="Arial" w:cs="Arial"/>
          <w:szCs w:val="24"/>
        </w:rPr>
        <w:t>m</w:t>
      </w:r>
      <w:r w:rsidRPr="006E33D0">
        <w:rPr>
          <w:rFonts w:ascii="Arial" w:eastAsia="Calibri" w:hAnsi="Arial" w:cs="Arial"/>
          <w:szCs w:val="24"/>
        </w:rPr>
        <w:t>inisters will consider a review of the implementation of the framework and its impact in 2024.</w:t>
      </w:r>
      <w:r w:rsidRPr="006E33D0">
        <w:rPr>
          <w:rStyle w:val="FootnoteReference"/>
          <w:rFonts w:ascii="Arial" w:eastAsia="Calibri" w:hAnsi="Arial" w:cs="Arial"/>
          <w:szCs w:val="24"/>
        </w:rPr>
        <w:footnoteReference w:id="66"/>
      </w:r>
    </w:p>
    <w:p w14:paraId="6C5D02DF" w14:textId="77777777" w:rsidR="002F5B80" w:rsidRDefault="00BC34D8" w:rsidP="00BC34D8">
      <w:pPr>
        <w:spacing w:before="120" w:line="240" w:lineRule="auto"/>
        <w:rPr>
          <w:rFonts w:ascii="Arial" w:eastAsia="Calibri" w:hAnsi="Arial" w:cs="Arial"/>
          <w:szCs w:val="24"/>
        </w:rPr>
      </w:pPr>
      <w:r w:rsidRPr="006E33D0">
        <w:rPr>
          <w:rFonts w:ascii="Arial" w:eastAsia="Calibri" w:hAnsi="Arial" w:cs="Arial"/>
          <w:szCs w:val="24"/>
        </w:rPr>
        <w:t>In March 2021, experimental statistics</w:t>
      </w:r>
      <w:r>
        <w:rPr>
          <w:rStyle w:val="FootnoteReference"/>
          <w:rFonts w:ascii="Arial" w:eastAsia="Calibri" w:hAnsi="Arial" w:cs="Arial"/>
          <w:szCs w:val="24"/>
        </w:rPr>
        <w:footnoteReference w:id="67"/>
      </w:r>
      <w:r w:rsidRPr="006E33D0">
        <w:rPr>
          <w:rFonts w:ascii="Arial" w:eastAsia="Calibri" w:hAnsi="Arial" w:cs="Arial"/>
          <w:szCs w:val="24"/>
        </w:rPr>
        <w:t xml:space="preserve"> suggested that there were 1,290 recorded incidents of restrictive interventions against children with a learning disability and / or autism in mental health inpatient settings in England</w:t>
      </w:r>
      <w:r w:rsidRPr="006E33D0">
        <w:rPr>
          <w:rFonts w:ascii="Arial" w:eastAsia="Calibri" w:hAnsi="Arial" w:cs="Arial"/>
          <w:szCs w:val="24"/>
          <w:vertAlign w:val="superscript"/>
        </w:rPr>
        <w:footnoteReference w:id="68"/>
      </w:r>
      <w:r w:rsidRPr="006E33D0">
        <w:rPr>
          <w:rFonts w:ascii="Arial" w:eastAsia="Calibri" w:hAnsi="Arial" w:cs="Arial"/>
          <w:szCs w:val="24"/>
        </w:rPr>
        <w:t xml:space="preserve"> – potentially more than double the number from the same period in 2020.</w:t>
      </w:r>
      <w:r w:rsidRPr="006E33D0">
        <w:rPr>
          <w:rFonts w:ascii="Arial" w:eastAsia="Calibri" w:hAnsi="Arial" w:cs="Arial"/>
          <w:szCs w:val="24"/>
          <w:vertAlign w:val="superscript"/>
        </w:rPr>
        <w:footnoteReference w:id="69"/>
      </w:r>
      <w:r w:rsidRPr="006E33D0">
        <w:rPr>
          <w:rFonts w:ascii="Arial" w:eastAsia="Calibri" w:hAnsi="Arial" w:cs="Arial"/>
          <w:szCs w:val="24"/>
        </w:rPr>
        <w:t xml:space="preserve"> These incidents, which can be traumatic and dangerous, include chemical, physical and mechanical restraint, and the use of segregation and seclusion. </w:t>
      </w:r>
    </w:p>
    <w:p w14:paraId="7F776240" w14:textId="2190D015" w:rsidR="002F5B80" w:rsidRDefault="00BC34D8" w:rsidP="00BC34D8">
      <w:pPr>
        <w:spacing w:before="120" w:line="240" w:lineRule="auto"/>
        <w:rPr>
          <w:rFonts w:ascii="Arial" w:eastAsia="Calibri" w:hAnsi="Arial" w:cs="Arial"/>
          <w:szCs w:val="24"/>
        </w:rPr>
      </w:pPr>
      <w:r w:rsidRPr="006E33D0">
        <w:rPr>
          <w:rFonts w:ascii="Arial" w:eastAsia="Calibri" w:hAnsi="Arial" w:cs="Arial"/>
          <w:szCs w:val="24"/>
        </w:rPr>
        <w:t>Of these incidents, prone (face-down) restraint – which is prohibited unless in particular circumstances,</w:t>
      </w:r>
      <w:r w:rsidRPr="006E33D0">
        <w:rPr>
          <w:rStyle w:val="FootnoteReference"/>
          <w:rFonts w:ascii="Arial" w:eastAsia="Calibri" w:hAnsi="Arial" w:cs="Arial"/>
          <w:szCs w:val="24"/>
        </w:rPr>
        <w:footnoteReference w:id="70"/>
      </w:r>
      <w:r w:rsidRPr="006E33D0">
        <w:rPr>
          <w:rFonts w:ascii="Arial" w:eastAsia="Calibri" w:hAnsi="Arial" w:cs="Arial"/>
          <w:szCs w:val="24"/>
        </w:rPr>
        <w:t xml:space="preserve"> and can be fatal</w:t>
      </w:r>
      <w:r w:rsidRPr="006E33D0">
        <w:rPr>
          <w:rFonts w:ascii="Arial" w:eastAsia="Calibri" w:hAnsi="Arial" w:cs="Arial"/>
          <w:szCs w:val="24"/>
          <w:vertAlign w:val="superscript"/>
        </w:rPr>
        <w:footnoteReference w:id="71"/>
      </w:r>
      <w:r w:rsidRPr="006E33D0">
        <w:rPr>
          <w:rFonts w:ascii="Arial" w:eastAsia="Calibri" w:hAnsi="Arial" w:cs="Arial"/>
          <w:szCs w:val="24"/>
        </w:rPr>
        <w:t xml:space="preserve"> – was used 125 times.</w:t>
      </w:r>
      <w:r w:rsidRPr="006E33D0">
        <w:rPr>
          <w:rFonts w:ascii="Arial" w:eastAsia="Calibri" w:hAnsi="Arial" w:cs="Arial"/>
          <w:szCs w:val="24"/>
          <w:vertAlign w:val="superscript"/>
        </w:rPr>
        <w:footnoteReference w:id="72"/>
      </w:r>
      <w:r w:rsidRPr="006E33D0">
        <w:rPr>
          <w:rFonts w:ascii="Arial" w:eastAsia="Calibri" w:hAnsi="Arial" w:cs="Arial"/>
          <w:szCs w:val="24"/>
        </w:rPr>
        <w:t xml:space="preserve"> Explanations for this rise may include the normalisation of restraint as a reaction to children’s challenging behaviour, an increase in the severity of mental ill</w:t>
      </w:r>
      <w:r w:rsidR="00404620">
        <w:rPr>
          <w:rFonts w:ascii="Arial" w:eastAsia="Calibri" w:hAnsi="Arial" w:cs="Arial"/>
          <w:szCs w:val="24"/>
        </w:rPr>
        <w:t>nesses</w:t>
      </w:r>
      <w:r w:rsidRPr="006E33D0">
        <w:rPr>
          <w:rFonts w:ascii="Arial" w:eastAsia="Calibri" w:hAnsi="Arial" w:cs="Arial"/>
          <w:szCs w:val="24"/>
        </w:rPr>
        <w:t xml:space="preserve"> among children, and improved reporting.</w:t>
      </w:r>
      <w:r w:rsidRPr="006E33D0">
        <w:rPr>
          <w:rFonts w:ascii="Arial" w:eastAsia="Calibri" w:hAnsi="Arial" w:cs="Arial"/>
          <w:szCs w:val="24"/>
          <w:vertAlign w:val="superscript"/>
        </w:rPr>
        <w:footnoteReference w:id="73"/>
      </w:r>
      <w:r w:rsidRPr="006E33D0">
        <w:rPr>
          <w:rFonts w:ascii="Arial" w:eastAsia="Calibri" w:hAnsi="Arial" w:cs="Arial"/>
          <w:szCs w:val="24"/>
        </w:rPr>
        <w:t xml:space="preserve"> </w:t>
      </w:r>
    </w:p>
    <w:p w14:paraId="4B40AEC7" w14:textId="167D2ED1" w:rsidR="00BC34D8" w:rsidRPr="006E33D0" w:rsidRDefault="00BC34D8" w:rsidP="00BC34D8">
      <w:pPr>
        <w:spacing w:before="120" w:line="240" w:lineRule="auto"/>
        <w:rPr>
          <w:rFonts w:ascii="Arial" w:eastAsia="Calibri" w:hAnsi="Arial" w:cs="Arial"/>
          <w:szCs w:val="24"/>
        </w:rPr>
      </w:pPr>
      <w:r w:rsidRPr="006E33D0">
        <w:rPr>
          <w:rFonts w:ascii="Arial" w:eastAsia="Calibri" w:hAnsi="Arial" w:cs="Arial"/>
          <w:szCs w:val="24"/>
        </w:rPr>
        <w:t>The UK Parliament’s Joint Committee on Human Rights made recommendations in 2019 to improve conditions of detention for children with a learning disability and / or autism,</w:t>
      </w:r>
      <w:r w:rsidRPr="006E33D0">
        <w:rPr>
          <w:rFonts w:ascii="Arial" w:eastAsia="Calibri" w:hAnsi="Arial" w:cs="Arial"/>
          <w:szCs w:val="24"/>
          <w:vertAlign w:val="superscript"/>
        </w:rPr>
        <w:footnoteReference w:id="74"/>
      </w:r>
      <w:r w:rsidRPr="006E33D0">
        <w:rPr>
          <w:rFonts w:ascii="Arial" w:eastAsia="Calibri" w:hAnsi="Arial" w:cs="Arial"/>
          <w:szCs w:val="24"/>
        </w:rPr>
        <w:t xml:space="preserve"> and in 2021 the Health and Social Care Committee recommended banning the use of prone restraint on children.</w:t>
      </w:r>
      <w:r w:rsidRPr="006E33D0">
        <w:rPr>
          <w:rFonts w:ascii="Arial" w:eastAsia="Calibri" w:hAnsi="Arial" w:cs="Arial"/>
          <w:szCs w:val="24"/>
          <w:vertAlign w:val="superscript"/>
        </w:rPr>
        <w:footnoteReference w:id="75"/>
      </w:r>
      <w:r w:rsidRPr="006E33D0">
        <w:rPr>
          <w:rFonts w:ascii="Arial" w:eastAsia="Calibri" w:hAnsi="Arial" w:cs="Arial"/>
          <w:szCs w:val="24"/>
        </w:rPr>
        <w:t xml:space="preserve"> The UK Government has not yet agreed to fully prohibit the practice.</w:t>
      </w:r>
      <w:r w:rsidRPr="006E33D0">
        <w:rPr>
          <w:rFonts w:ascii="Arial" w:eastAsia="Calibri" w:hAnsi="Arial" w:cs="Arial"/>
          <w:szCs w:val="24"/>
          <w:vertAlign w:val="superscript"/>
        </w:rPr>
        <w:footnoteReference w:id="76"/>
      </w:r>
    </w:p>
    <w:p w14:paraId="0B7DF189" w14:textId="372089C5" w:rsidR="00BC34D8" w:rsidRPr="006E33D0" w:rsidRDefault="00BC34D8" w:rsidP="00BC34D8">
      <w:pPr>
        <w:spacing w:before="120" w:line="240" w:lineRule="auto"/>
        <w:rPr>
          <w:rFonts w:ascii="Arial" w:eastAsia="Calibri" w:hAnsi="Arial" w:cs="Times New Roman"/>
          <w:szCs w:val="24"/>
          <w:vertAlign w:val="superscript"/>
        </w:rPr>
      </w:pPr>
      <w:r w:rsidRPr="006E33D0">
        <w:rPr>
          <w:rFonts w:ascii="Arial" w:eastAsia="Calibri" w:hAnsi="Arial" w:cs="Times New Roman"/>
          <w:szCs w:val="24"/>
          <w:lang w:eastAsia="en-GB"/>
        </w:rPr>
        <w:t>States have a duty to ensure that sch</w:t>
      </w:r>
      <w:r w:rsidR="002F5B80">
        <w:rPr>
          <w:rFonts w:ascii="Arial" w:eastAsia="Calibri" w:hAnsi="Arial" w:cs="Times New Roman"/>
          <w:szCs w:val="24"/>
          <w:lang w:eastAsia="en-GB"/>
        </w:rPr>
        <w:t>ool discipline is administered ‘</w:t>
      </w:r>
      <w:r w:rsidRPr="006E33D0">
        <w:rPr>
          <w:rFonts w:ascii="Arial" w:eastAsia="Calibri" w:hAnsi="Arial" w:cs="Times New Roman"/>
          <w:szCs w:val="24"/>
          <w:lang w:eastAsia="en-GB"/>
        </w:rPr>
        <w:t>in a manner consistent</w:t>
      </w:r>
      <w:r w:rsidR="002F5B80">
        <w:rPr>
          <w:rFonts w:ascii="Arial" w:eastAsia="Calibri" w:hAnsi="Arial" w:cs="Times New Roman"/>
          <w:szCs w:val="24"/>
          <w:lang w:eastAsia="en-GB"/>
        </w:rPr>
        <w:t xml:space="preserve"> with the child’s human dignity’</w:t>
      </w:r>
      <w:r w:rsidRPr="006E33D0">
        <w:rPr>
          <w:rFonts w:ascii="Arial" w:eastAsia="Calibri" w:hAnsi="Arial" w:cs="Times New Roman"/>
          <w:szCs w:val="24"/>
          <w:lang w:eastAsia="en-GB"/>
        </w:rPr>
        <w:t>.</w:t>
      </w:r>
      <w:r w:rsidRPr="006E33D0">
        <w:rPr>
          <w:rFonts w:ascii="Arial" w:eastAsia="Calibri" w:hAnsi="Arial" w:cs="Times New Roman"/>
          <w:szCs w:val="24"/>
          <w:vertAlign w:val="superscript"/>
          <w:lang w:eastAsia="en-GB"/>
        </w:rPr>
        <w:footnoteReference w:id="77"/>
      </w:r>
      <w:r w:rsidRPr="006E33D0">
        <w:rPr>
          <w:rFonts w:ascii="Arial" w:eastAsia="Calibri" w:hAnsi="Arial" w:cs="Times New Roman"/>
          <w:szCs w:val="24"/>
          <w:lang w:eastAsia="en-GB"/>
        </w:rPr>
        <w:t xml:space="preserve"> </w:t>
      </w:r>
      <w:r w:rsidRPr="006E33D0">
        <w:rPr>
          <w:rFonts w:ascii="Arial" w:eastAsia="Calibri" w:hAnsi="Arial" w:cs="Arial"/>
          <w:szCs w:val="24"/>
        </w:rPr>
        <w:t xml:space="preserve">There has been significant progress in England and Wales towards providing better protections for children against the misuse of restraint in schools. However, </w:t>
      </w:r>
      <w:r w:rsidRPr="006E33D0">
        <w:rPr>
          <w:rFonts w:ascii="Arial" w:eastAsia="Calibri" w:hAnsi="Arial" w:cs="Arial"/>
          <w:color w:val="0B0C0C"/>
          <w:szCs w:val="24"/>
        </w:rPr>
        <w:t xml:space="preserve">we continue to be concerned that schools are not using restraint </w:t>
      </w:r>
      <w:r w:rsidR="007B3416">
        <w:rPr>
          <w:rFonts w:ascii="Arial" w:eastAsia="Calibri" w:hAnsi="Arial" w:cs="Arial"/>
          <w:color w:val="0B0C0C"/>
          <w:szCs w:val="24"/>
        </w:rPr>
        <w:t xml:space="preserve">proportionately or </w:t>
      </w:r>
      <w:r w:rsidRPr="006E33D0">
        <w:rPr>
          <w:rFonts w:ascii="Arial" w:eastAsia="Calibri" w:hAnsi="Arial" w:cs="Arial"/>
          <w:color w:val="0B0C0C"/>
          <w:szCs w:val="24"/>
        </w:rPr>
        <w:t>as a last resort when responding to ‘challenging’ behaviour.</w:t>
      </w:r>
      <w:r w:rsidRPr="006E33D0">
        <w:rPr>
          <w:rFonts w:ascii="Arial" w:eastAsia="Calibri" w:hAnsi="Arial" w:cs="Arial"/>
          <w:color w:val="0B0C0C"/>
          <w:szCs w:val="24"/>
          <w:vertAlign w:val="superscript"/>
        </w:rPr>
        <w:footnoteReference w:id="78"/>
      </w:r>
      <w:r w:rsidRPr="006E33D0">
        <w:rPr>
          <w:rFonts w:ascii="Arial" w:eastAsia="Calibri" w:hAnsi="Arial" w:cs="Times New Roman"/>
          <w:szCs w:val="24"/>
          <w:vertAlign w:val="superscript"/>
        </w:rPr>
        <w:t xml:space="preserve"> </w:t>
      </w:r>
    </w:p>
    <w:p w14:paraId="2A8E3F76" w14:textId="77777777" w:rsidR="00ED1F70" w:rsidRDefault="007B3416" w:rsidP="00BC34D8">
      <w:pPr>
        <w:spacing w:before="120" w:line="240" w:lineRule="auto"/>
        <w:rPr>
          <w:rFonts w:ascii="Arial" w:eastAsia="Calibri" w:hAnsi="Arial" w:cs="Arial"/>
          <w:color w:val="0B0C0C"/>
          <w:szCs w:val="24"/>
        </w:rPr>
      </w:pPr>
      <w:r>
        <w:rPr>
          <w:rFonts w:ascii="Arial" w:eastAsia="Calibri" w:hAnsi="Arial" w:cs="Arial"/>
          <w:color w:val="0B0C0C"/>
          <w:szCs w:val="24"/>
        </w:rPr>
        <w:t>Some evidence suggests that</w:t>
      </w:r>
      <w:r w:rsidR="00BC34D8" w:rsidRPr="006E33D0">
        <w:rPr>
          <w:rFonts w:ascii="Arial" w:eastAsia="Calibri" w:hAnsi="Arial" w:cs="Arial"/>
          <w:color w:val="0B0C0C"/>
          <w:szCs w:val="24"/>
        </w:rPr>
        <w:t xml:space="preserve"> unlawful or abusive practices</w:t>
      </w:r>
      <w:r>
        <w:rPr>
          <w:rFonts w:ascii="Arial" w:eastAsia="Calibri" w:hAnsi="Arial" w:cs="Arial"/>
          <w:color w:val="0B0C0C"/>
          <w:szCs w:val="24"/>
        </w:rPr>
        <w:t xml:space="preserve"> are being employed</w:t>
      </w:r>
      <w:r w:rsidR="00BC34D8" w:rsidRPr="006E33D0">
        <w:rPr>
          <w:rFonts w:ascii="Arial" w:eastAsia="Calibri" w:hAnsi="Arial" w:cs="Arial"/>
          <w:color w:val="0B0C0C"/>
          <w:szCs w:val="24"/>
        </w:rPr>
        <w:t>,</w:t>
      </w:r>
      <w:r w:rsidR="00BC34D8" w:rsidRPr="006E33D0">
        <w:rPr>
          <w:rFonts w:ascii="Arial" w:eastAsia="Calibri" w:hAnsi="Arial" w:cs="Arial"/>
          <w:color w:val="0B0C0C"/>
          <w:szCs w:val="24"/>
          <w:vertAlign w:val="superscript"/>
        </w:rPr>
        <w:footnoteReference w:id="79"/>
      </w:r>
      <w:r w:rsidR="00BC34D8" w:rsidRPr="006E33D0">
        <w:rPr>
          <w:rFonts w:ascii="Arial" w:eastAsia="Calibri" w:hAnsi="Arial" w:cs="Arial"/>
          <w:color w:val="0B0C0C"/>
          <w:szCs w:val="24"/>
        </w:rPr>
        <w:t xml:space="preserve"> and families are not always informed when restraint is used. A UK-wide survey of </w:t>
      </w:r>
      <w:r w:rsidR="00BC34D8" w:rsidRPr="006E33D0">
        <w:rPr>
          <w:rFonts w:ascii="Arial" w:eastAsia="Calibri" w:hAnsi="Arial" w:cs="Times New Roman"/>
          <w:szCs w:val="24"/>
        </w:rPr>
        <w:t>family carers for</w:t>
      </w:r>
      <w:r w:rsidR="00813BDA">
        <w:rPr>
          <w:rFonts w:ascii="Arial" w:eastAsia="Calibri" w:hAnsi="Arial" w:cs="Times New Roman"/>
          <w:szCs w:val="24"/>
        </w:rPr>
        <w:t xml:space="preserve"> children</w:t>
      </w:r>
      <w:r w:rsidR="00BC34D8" w:rsidRPr="006E33D0">
        <w:rPr>
          <w:rFonts w:ascii="Arial" w:eastAsia="Calibri" w:hAnsi="Arial" w:cs="Times New Roman"/>
          <w:szCs w:val="24"/>
        </w:rPr>
        <w:t xml:space="preserve"> who had experienced restrictive intervention</w:t>
      </w:r>
      <w:r w:rsidR="00BC34D8" w:rsidRPr="006E33D0">
        <w:rPr>
          <w:rFonts w:ascii="Arial" w:eastAsia="Calibri" w:hAnsi="Arial" w:cs="Arial"/>
          <w:color w:val="0B0C0C"/>
          <w:szCs w:val="24"/>
        </w:rPr>
        <w:t xml:space="preserve"> suggest</w:t>
      </w:r>
      <w:r>
        <w:rPr>
          <w:rFonts w:ascii="Arial" w:eastAsia="Calibri" w:hAnsi="Arial" w:cs="Arial"/>
          <w:color w:val="0B0C0C"/>
          <w:szCs w:val="24"/>
        </w:rPr>
        <w:t>ed that</w:t>
      </w:r>
      <w:r w:rsidR="00BC34D8" w:rsidRPr="006E33D0">
        <w:rPr>
          <w:rFonts w:ascii="Arial" w:eastAsia="Calibri" w:hAnsi="Arial" w:cs="Arial"/>
          <w:color w:val="0B0C0C"/>
          <w:szCs w:val="24"/>
        </w:rPr>
        <w:t xml:space="preserve"> restraint was sometimes used as a punishment, and 86.5% of respondents reported that their child had been physically injured during a restrictive intervention.</w:t>
      </w:r>
      <w:r w:rsidR="00BC34D8" w:rsidRPr="006E33D0">
        <w:rPr>
          <w:rFonts w:ascii="Arial" w:eastAsia="Calibri" w:hAnsi="Arial" w:cs="Arial"/>
          <w:color w:val="0B0C0C"/>
          <w:szCs w:val="24"/>
          <w:vertAlign w:val="superscript"/>
        </w:rPr>
        <w:footnoteReference w:id="80"/>
      </w:r>
      <w:r w:rsidR="00BC34D8" w:rsidRPr="006E33D0">
        <w:rPr>
          <w:rFonts w:ascii="Arial" w:eastAsia="Calibri" w:hAnsi="Arial" w:cs="Arial"/>
          <w:color w:val="0B0C0C"/>
          <w:szCs w:val="24"/>
        </w:rPr>
        <w:t xml:space="preserve"> </w:t>
      </w:r>
    </w:p>
    <w:p w14:paraId="79A7B97B" w14:textId="1C788748" w:rsidR="00BC34D8" w:rsidRPr="006E33D0" w:rsidRDefault="00BC34D8" w:rsidP="00BC34D8">
      <w:pPr>
        <w:spacing w:before="120" w:line="240" w:lineRule="auto"/>
        <w:rPr>
          <w:rFonts w:ascii="Arial" w:eastAsia="Calibri" w:hAnsi="Arial" w:cs="Arial"/>
          <w:color w:val="FF0000"/>
          <w:szCs w:val="24"/>
        </w:rPr>
      </w:pPr>
      <w:r w:rsidRPr="006E33D0">
        <w:rPr>
          <w:rFonts w:ascii="Arial" w:eastAsia="Calibri" w:hAnsi="Arial" w:cs="Arial"/>
          <w:color w:val="0B0C0C"/>
          <w:szCs w:val="24"/>
        </w:rPr>
        <w:t>An inquiry by the mental health charity Mind found that physical restraint was used against 10% of secondary school pupils who reported being disciplined for behaviour that was due to their mental health.</w:t>
      </w:r>
      <w:r w:rsidRPr="006E33D0">
        <w:rPr>
          <w:rFonts w:ascii="Arial" w:eastAsia="Calibri" w:hAnsi="Arial" w:cs="Arial"/>
          <w:color w:val="0B0C0C"/>
          <w:szCs w:val="24"/>
          <w:vertAlign w:val="superscript"/>
        </w:rPr>
        <w:footnoteReference w:id="81"/>
      </w:r>
      <w:r w:rsidRPr="006E33D0">
        <w:rPr>
          <w:rFonts w:ascii="Arial" w:eastAsia="Calibri" w:hAnsi="Arial" w:cs="Arial"/>
          <w:color w:val="0B0C0C"/>
          <w:szCs w:val="24"/>
        </w:rPr>
        <w:t xml:space="preserve"> We are particularly concerned about the use of restraint on disabled children</w:t>
      </w:r>
      <w:r w:rsidR="007B3416">
        <w:rPr>
          <w:rFonts w:ascii="Arial" w:eastAsia="Calibri" w:hAnsi="Arial" w:cs="Arial"/>
          <w:color w:val="0B0C0C"/>
          <w:szCs w:val="24"/>
        </w:rPr>
        <w:t>:</w:t>
      </w:r>
      <w:r w:rsidRPr="006E33D0">
        <w:rPr>
          <w:rFonts w:ascii="Arial" w:eastAsia="Calibri" w:hAnsi="Arial" w:cs="Arial"/>
          <w:color w:val="0B0C0C"/>
          <w:szCs w:val="24"/>
        </w:rPr>
        <w:t xml:space="preserve"> </w:t>
      </w:r>
      <w:r w:rsidR="007B3416">
        <w:rPr>
          <w:rFonts w:ascii="Arial" w:eastAsia="Calibri" w:hAnsi="Arial" w:cs="Arial"/>
          <w:color w:val="0B0C0C"/>
          <w:szCs w:val="24"/>
        </w:rPr>
        <w:t>some reports suggest</w:t>
      </w:r>
      <w:r w:rsidRPr="006E33D0">
        <w:rPr>
          <w:rFonts w:ascii="Arial" w:eastAsia="Calibri" w:hAnsi="Arial" w:cs="Arial"/>
          <w:color w:val="0B0C0C"/>
          <w:szCs w:val="24"/>
        </w:rPr>
        <w:t xml:space="preserve"> that children in special schools have sustained injuries, including from the use of prone restraint or from being strapped into chairs.</w:t>
      </w:r>
      <w:r w:rsidRPr="006E33D0">
        <w:rPr>
          <w:rFonts w:ascii="Arial" w:eastAsia="Calibri" w:hAnsi="Arial" w:cs="Arial"/>
          <w:color w:val="0B0C0C"/>
          <w:szCs w:val="24"/>
          <w:vertAlign w:val="superscript"/>
        </w:rPr>
        <w:footnoteReference w:id="82"/>
      </w:r>
      <w:r w:rsidRPr="006E33D0">
        <w:rPr>
          <w:rFonts w:ascii="Arial" w:eastAsia="Calibri" w:hAnsi="Arial" w:cs="Arial"/>
          <w:color w:val="0B0C0C"/>
          <w:szCs w:val="24"/>
        </w:rPr>
        <w:t xml:space="preserve"> </w:t>
      </w:r>
    </w:p>
    <w:p w14:paraId="0B70E648" w14:textId="77777777" w:rsidR="00ED1F70" w:rsidRDefault="00ED1F70" w:rsidP="00BC34D8">
      <w:pPr>
        <w:spacing w:before="120" w:line="240" w:lineRule="auto"/>
        <w:rPr>
          <w:rFonts w:ascii="Arial" w:eastAsia="Calibri" w:hAnsi="Arial" w:cs="Arial"/>
          <w:color w:val="0B0C0C"/>
          <w:szCs w:val="24"/>
        </w:rPr>
      </w:pPr>
      <w:r>
        <w:rPr>
          <w:rFonts w:ascii="Arial" w:eastAsia="Calibri" w:hAnsi="Arial" w:cs="Arial"/>
          <w:color w:val="0B0C0C"/>
          <w:szCs w:val="24"/>
        </w:rPr>
        <w:t xml:space="preserve">Residential special schools </w:t>
      </w:r>
      <w:r w:rsidR="00BC34D8" w:rsidRPr="006E33D0">
        <w:rPr>
          <w:rFonts w:ascii="Arial" w:eastAsia="Calibri" w:hAnsi="Arial" w:cs="Arial"/>
          <w:color w:val="0B0C0C"/>
          <w:szCs w:val="24"/>
        </w:rPr>
        <w:t xml:space="preserve">in England and Wales must record the use of </w:t>
      </w:r>
      <w:r>
        <w:rPr>
          <w:rFonts w:ascii="Arial" w:eastAsia="Calibri" w:hAnsi="Arial" w:cs="Arial"/>
          <w:color w:val="0B0C0C"/>
          <w:szCs w:val="24"/>
        </w:rPr>
        <w:t xml:space="preserve">reasonable force, but otherwise </w:t>
      </w:r>
      <w:r w:rsidR="00BC34D8" w:rsidRPr="006E33D0">
        <w:rPr>
          <w:rFonts w:ascii="Arial" w:eastAsia="Calibri" w:hAnsi="Arial" w:cs="Arial"/>
          <w:color w:val="0B0C0C"/>
          <w:szCs w:val="24"/>
        </w:rPr>
        <w:t>schools in England or Wales are not legally required to record the use of restraint.</w:t>
      </w:r>
      <w:r w:rsidR="00BC34D8" w:rsidRPr="006E33D0">
        <w:rPr>
          <w:rFonts w:ascii="Arial" w:eastAsia="Calibri" w:hAnsi="Arial" w:cs="Arial"/>
          <w:color w:val="0B0C0C"/>
          <w:szCs w:val="24"/>
          <w:vertAlign w:val="superscript"/>
        </w:rPr>
        <w:footnoteReference w:id="83"/>
      </w:r>
      <w:r w:rsidR="00BC34D8" w:rsidRPr="006E33D0">
        <w:rPr>
          <w:rFonts w:ascii="Arial" w:eastAsia="Calibri" w:hAnsi="Arial" w:cs="Arial"/>
          <w:color w:val="0B0C0C"/>
          <w:szCs w:val="24"/>
        </w:rPr>
        <w:t xml:space="preserve"> Due to this lack of standardised recording and monitoring, it is not possible to fully assess the prevalence of restraint, including any disproportionate use on children with certain protected characteristics. This makes it difficult for schools and gove</w:t>
      </w:r>
      <w:r>
        <w:rPr>
          <w:rFonts w:ascii="Arial" w:eastAsia="Calibri" w:hAnsi="Arial" w:cs="Arial"/>
          <w:color w:val="0B0C0C"/>
          <w:szCs w:val="24"/>
        </w:rPr>
        <w:t>rnments to monitor restraint usage</w:t>
      </w:r>
      <w:r w:rsidR="00BC34D8" w:rsidRPr="006E33D0">
        <w:rPr>
          <w:rFonts w:ascii="Arial" w:eastAsia="Calibri" w:hAnsi="Arial" w:cs="Arial"/>
          <w:color w:val="0B0C0C"/>
          <w:szCs w:val="24"/>
        </w:rPr>
        <w:t xml:space="preserve"> or to minimise it. </w:t>
      </w:r>
    </w:p>
    <w:p w14:paraId="3283A409" w14:textId="0B5723B1" w:rsidR="00BC34D8" w:rsidRPr="006E33D0" w:rsidRDefault="00BC34D8" w:rsidP="00BC34D8">
      <w:pPr>
        <w:spacing w:before="120" w:line="240" w:lineRule="auto"/>
        <w:rPr>
          <w:rFonts w:ascii="Arial" w:eastAsia="Calibri" w:hAnsi="Arial" w:cs="Arial"/>
          <w:szCs w:val="24"/>
        </w:rPr>
      </w:pPr>
      <w:r w:rsidRPr="006E33D0">
        <w:rPr>
          <w:rFonts w:ascii="Arial" w:eastAsia="Calibri" w:hAnsi="Arial" w:cs="Arial"/>
          <w:color w:val="0B0C0C"/>
          <w:szCs w:val="24"/>
        </w:rPr>
        <w:t>In response to the lack of standard national data, in 2021 we undertook an inquiry into school recording practices in England and Wales.</w:t>
      </w:r>
      <w:r w:rsidRPr="006E33D0">
        <w:rPr>
          <w:rFonts w:ascii="Arial" w:eastAsia="Calibri" w:hAnsi="Arial" w:cs="Arial"/>
          <w:color w:val="0B0C0C"/>
          <w:szCs w:val="24"/>
          <w:vertAlign w:val="superscript"/>
        </w:rPr>
        <w:footnoteReference w:id="84"/>
      </w:r>
      <w:r w:rsidRPr="006E33D0">
        <w:rPr>
          <w:rFonts w:ascii="Arial" w:eastAsia="Calibri" w:hAnsi="Arial" w:cs="Arial"/>
          <w:color w:val="0B0C0C"/>
          <w:szCs w:val="24"/>
        </w:rPr>
        <w:t xml:space="preserve"> </w:t>
      </w:r>
      <w:r w:rsidRPr="006E33D0">
        <w:rPr>
          <w:rFonts w:ascii="Arial" w:eastAsia="Calibri" w:hAnsi="Arial" w:cs="Arial"/>
          <w:szCs w:val="24"/>
        </w:rPr>
        <w:t>We found that schools need more help to understand what constitutes restraint, what should be recorded, and how data analysis can help both staff and pupils. This should be done in line with the requirements for exclusions.</w:t>
      </w:r>
      <w:r w:rsidRPr="006E33D0">
        <w:rPr>
          <w:rFonts w:ascii="Arial" w:eastAsia="Calibri" w:hAnsi="Arial" w:cs="Arial"/>
          <w:szCs w:val="24"/>
          <w:vertAlign w:val="superscript"/>
        </w:rPr>
        <w:footnoteReference w:id="85"/>
      </w:r>
    </w:p>
    <w:p w14:paraId="7F38CCF3" w14:textId="542CBFF0" w:rsidR="00BC34D8" w:rsidRPr="006E33D0" w:rsidRDefault="00BC34D8" w:rsidP="00BC34D8">
      <w:pPr>
        <w:shd w:val="clear" w:color="auto" w:fill="FFFFFF"/>
        <w:spacing w:before="120" w:line="240" w:lineRule="auto"/>
        <w:rPr>
          <w:rFonts w:ascii="Arial" w:eastAsia="Calibri" w:hAnsi="Arial" w:cs="Arial"/>
          <w:color w:val="0B0C0C"/>
          <w:szCs w:val="24"/>
        </w:rPr>
      </w:pPr>
      <w:r w:rsidRPr="006E33D0">
        <w:rPr>
          <w:rFonts w:ascii="Arial" w:eastAsia="Calibri" w:hAnsi="Arial" w:cs="Arial"/>
          <w:szCs w:val="24"/>
        </w:rPr>
        <w:t>In response, the UK Government has made a number of welcome commitments, including providing updated guidance on restraint, and bringing into force primary legislation to make the recording and reporting of physical force mandatory in schools.</w:t>
      </w:r>
      <w:r w:rsidRPr="006E33D0">
        <w:rPr>
          <w:rFonts w:ascii="Arial" w:eastAsia="Calibri" w:hAnsi="Arial" w:cs="Arial"/>
          <w:color w:val="0B0C0C"/>
          <w:szCs w:val="24"/>
        </w:rPr>
        <w:t xml:space="preserve"> </w:t>
      </w:r>
      <w:r w:rsidRPr="006E33D0">
        <w:rPr>
          <w:rFonts w:ascii="Arial" w:eastAsia="Calibri" w:hAnsi="Arial" w:cs="Arial"/>
          <w:szCs w:val="24"/>
        </w:rPr>
        <w:t>These measures are important steps towards providing oversight on the use of restraint in schools. However, they will only be effective if schools, Multi-Academy Trusts</w:t>
      </w:r>
      <w:r>
        <w:rPr>
          <w:rFonts w:ascii="Arial" w:eastAsia="Calibri" w:hAnsi="Arial" w:cs="Arial"/>
          <w:szCs w:val="24"/>
        </w:rPr>
        <w:t>,</w:t>
      </w:r>
      <w:r w:rsidRPr="006E33D0">
        <w:rPr>
          <w:rFonts w:ascii="Arial" w:eastAsia="Calibri" w:hAnsi="Arial" w:cs="Arial"/>
          <w:szCs w:val="24"/>
          <w:vertAlign w:val="superscript"/>
        </w:rPr>
        <w:footnoteReference w:id="86"/>
      </w:r>
      <w:r w:rsidRPr="006E33D0">
        <w:rPr>
          <w:rFonts w:ascii="Arial" w:eastAsia="Calibri" w:hAnsi="Arial" w:cs="Arial"/>
          <w:szCs w:val="24"/>
        </w:rPr>
        <w:t xml:space="preserve"> Ofsted, and the </w:t>
      </w:r>
      <w:r>
        <w:rPr>
          <w:rFonts w:ascii="Arial" w:eastAsia="Calibri" w:hAnsi="Arial" w:cs="Arial"/>
          <w:szCs w:val="24"/>
        </w:rPr>
        <w:t>UK Government’s Department for Education (</w:t>
      </w:r>
      <w:r w:rsidRPr="006E33D0">
        <w:rPr>
          <w:rFonts w:ascii="Arial" w:eastAsia="Calibri" w:hAnsi="Arial" w:cs="Arial"/>
          <w:szCs w:val="24"/>
        </w:rPr>
        <w:t>DfE</w:t>
      </w:r>
      <w:r>
        <w:rPr>
          <w:rFonts w:ascii="Arial" w:eastAsia="Calibri" w:hAnsi="Arial" w:cs="Arial"/>
          <w:szCs w:val="24"/>
        </w:rPr>
        <w:t>)</w:t>
      </w:r>
      <w:r w:rsidRPr="006E33D0">
        <w:rPr>
          <w:rFonts w:ascii="Arial" w:eastAsia="Calibri" w:hAnsi="Arial" w:cs="Arial"/>
          <w:szCs w:val="24"/>
        </w:rPr>
        <w:t xml:space="preserve"> use the information to monitor practice, tackle failings, promote accountability and minimise restraint. </w:t>
      </w:r>
    </w:p>
    <w:p w14:paraId="411B84C2" w14:textId="30C61226" w:rsidR="00BC34D8" w:rsidRPr="006E33D0" w:rsidRDefault="00BC34D8" w:rsidP="00BC34D8">
      <w:pPr>
        <w:shd w:val="clear" w:color="auto" w:fill="FFFFFF"/>
        <w:spacing w:before="120" w:line="240" w:lineRule="auto"/>
        <w:rPr>
          <w:rFonts w:ascii="Arial" w:eastAsia="Calibri" w:hAnsi="Arial" w:cs="Arial"/>
          <w:color w:val="0B0C0C"/>
          <w:szCs w:val="24"/>
        </w:rPr>
      </w:pPr>
      <w:r w:rsidRPr="006E33D0">
        <w:rPr>
          <w:rFonts w:ascii="Arial" w:eastAsia="Calibri" w:hAnsi="Arial" w:cs="Arial"/>
          <w:color w:val="0B0C0C"/>
          <w:szCs w:val="24"/>
        </w:rPr>
        <w:t>The Welsh Government’s 2021 framework on reducing restrictive practices in various settings takes account of our Human Rights Framework for Restraint, and encourages schools to record and analyse data on restraint.</w:t>
      </w:r>
      <w:r w:rsidRPr="006E33D0">
        <w:rPr>
          <w:rFonts w:ascii="Arial" w:eastAsia="Calibri" w:hAnsi="Arial" w:cs="Arial"/>
          <w:color w:val="0B0C0C"/>
          <w:szCs w:val="24"/>
          <w:vertAlign w:val="superscript"/>
        </w:rPr>
        <w:footnoteReference w:id="87"/>
      </w:r>
      <w:r w:rsidRPr="006E33D0">
        <w:rPr>
          <w:rFonts w:ascii="Arial" w:eastAsia="Calibri" w:hAnsi="Arial" w:cs="Arial"/>
          <w:color w:val="0B0C0C"/>
          <w:szCs w:val="24"/>
        </w:rPr>
        <w:t xml:space="preserve"> However, it </w:t>
      </w:r>
      <w:r w:rsidR="007B3416">
        <w:rPr>
          <w:rFonts w:ascii="Arial" w:eastAsia="Calibri" w:hAnsi="Arial" w:cs="Arial"/>
          <w:color w:val="0B0C0C"/>
          <w:szCs w:val="24"/>
        </w:rPr>
        <w:t>neither</w:t>
      </w:r>
      <w:r w:rsidRPr="006E33D0">
        <w:rPr>
          <w:rFonts w:ascii="Arial" w:eastAsia="Calibri" w:hAnsi="Arial" w:cs="Arial"/>
          <w:color w:val="0B0C0C"/>
          <w:szCs w:val="24"/>
        </w:rPr>
        <w:t xml:space="preserve"> constitute</w:t>
      </w:r>
      <w:r w:rsidR="007B3416">
        <w:rPr>
          <w:rFonts w:ascii="Arial" w:eastAsia="Calibri" w:hAnsi="Arial" w:cs="Arial"/>
          <w:color w:val="0B0C0C"/>
          <w:szCs w:val="24"/>
        </w:rPr>
        <w:t>s</w:t>
      </w:r>
      <w:r w:rsidRPr="006E33D0">
        <w:rPr>
          <w:rFonts w:ascii="Arial" w:eastAsia="Calibri" w:hAnsi="Arial" w:cs="Arial"/>
          <w:color w:val="0B0C0C"/>
          <w:szCs w:val="24"/>
        </w:rPr>
        <w:t xml:space="preserve"> statutory guidance nor </w:t>
      </w:r>
      <w:r w:rsidR="007B3416">
        <w:rPr>
          <w:rFonts w:ascii="Arial" w:eastAsia="Calibri" w:hAnsi="Arial" w:cs="Arial"/>
          <w:color w:val="0B0C0C"/>
          <w:szCs w:val="24"/>
        </w:rPr>
        <w:t>requires</w:t>
      </w:r>
      <w:r w:rsidRPr="006E33D0">
        <w:rPr>
          <w:rFonts w:ascii="Arial" w:eastAsia="Calibri" w:hAnsi="Arial" w:cs="Arial"/>
          <w:color w:val="0B0C0C"/>
          <w:szCs w:val="24"/>
        </w:rPr>
        <w:t xml:space="preserve"> the collection of restraint data in schools. </w:t>
      </w:r>
    </w:p>
    <w:p w14:paraId="57C0D154" w14:textId="77777777" w:rsidR="00BC34D8" w:rsidRPr="006E33D0" w:rsidRDefault="00BC34D8" w:rsidP="00BC34D8">
      <w:pPr>
        <w:shd w:val="clear" w:color="auto" w:fill="FFFFFF"/>
        <w:spacing w:before="120" w:line="240" w:lineRule="auto"/>
        <w:rPr>
          <w:rFonts w:ascii="Arial" w:eastAsia="Calibri" w:hAnsi="Arial" w:cs="Arial"/>
          <w:szCs w:val="24"/>
        </w:rPr>
      </w:pPr>
      <w:r w:rsidRPr="006E33D0">
        <w:rPr>
          <w:rFonts w:ascii="Arial" w:eastAsia="Calibri" w:hAnsi="Arial" w:cs="Arial"/>
          <w:szCs w:val="24"/>
        </w:rPr>
        <w:t xml:space="preserve">While we are encouraged by the increased understanding of the value of recording and monitoring, the UK and Welsh governments have yet to table proposals for national oversight of the use of restraint in schools. </w:t>
      </w:r>
    </w:p>
    <w:p w14:paraId="1B2B6EF7" w14:textId="022CB33F" w:rsidR="00BC34D8" w:rsidRPr="006E33D0" w:rsidRDefault="00BC34D8" w:rsidP="00BC34D8">
      <w:pPr>
        <w:spacing w:before="120" w:line="240" w:lineRule="auto"/>
        <w:rPr>
          <w:rFonts w:ascii="Arial" w:eastAsia="Calibri" w:hAnsi="Arial" w:cs="Arial"/>
          <w:szCs w:val="24"/>
        </w:rPr>
      </w:pPr>
      <w:r w:rsidRPr="006E33D0">
        <w:rPr>
          <w:rFonts w:ascii="Arial" w:eastAsia="Calibri" w:hAnsi="Arial" w:cs="Arial"/>
          <w:szCs w:val="24"/>
        </w:rPr>
        <w:t>Although the detention of children in mental health settings did not feature in the UNCRC’s L</w:t>
      </w:r>
      <w:r w:rsidR="00285DAE">
        <w:rPr>
          <w:rFonts w:ascii="Arial" w:eastAsia="Calibri" w:hAnsi="Arial" w:cs="Arial"/>
          <w:szCs w:val="24"/>
        </w:rPr>
        <w:t>ist of Issues Prior to Reporting</w:t>
      </w:r>
      <w:r w:rsidRPr="006E33D0">
        <w:rPr>
          <w:rFonts w:ascii="Arial" w:eastAsia="Calibri" w:hAnsi="Arial" w:cs="Arial"/>
          <w:szCs w:val="24"/>
        </w:rPr>
        <w:t>, we remain concerned about aspects of detention under the Mental Health Act 1983 (MHA)</w:t>
      </w:r>
      <w:r w:rsidR="00766D03">
        <w:rPr>
          <w:rFonts w:ascii="Arial" w:eastAsia="Calibri" w:hAnsi="Arial" w:cs="Arial"/>
          <w:szCs w:val="24"/>
        </w:rPr>
        <w:t>, which the UK Government has committed to reforming,</w:t>
      </w:r>
      <w:r w:rsidRPr="006E33D0">
        <w:rPr>
          <w:rFonts w:ascii="Arial" w:eastAsia="Calibri" w:hAnsi="Arial" w:cs="Arial"/>
          <w:szCs w:val="24"/>
        </w:rPr>
        <w:t xml:space="preserve"> and the inappropriate and / or long-term detention of children with a learning disability and / or autism.</w:t>
      </w:r>
      <w:r w:rsidRPr="006E33D0">
        <w:rPr>
          <w:rFonts w:ascii="Arial" w:eastAsia="Calibri" w:hAnsi="Arial" w:cs="Arial"/>
          <w:szCs w:val="24"/>
          <w:vertAlign w:val="superscript"/>
        </w:rPr>
        <w:footnoteReference w:id="88"/>
      </w:r>
      <w:r w:rsidRPr="006E33D0">
        <w:rPr>
          <w:rFonts w:ascii="Arial" w:eastAsia="Calibri" w:hAnsi="Arial" w:cs="Arial"/>
          <w:szCs w:val="24"/>
        </w:rPr>
        <w:t xml:space="preserve"> </w:t>
      </w:r>
    </w:p>
    <w:p w14:paraId="52115B07" w14:textId="21951565" w:rsidR="00BC34D8" w:rsidRPr="00B91A3D" w:rsidRDefault="00BC34D8" w:rsidP="00BC34D8">
      <w:pPr>
        <w:pStyle w:val="Heading4"/>
      </w:pPr>
      <w:r>
        <w:t xml:space="preserve">Recommendations </w:t>
      </w:r>
    </w:p>
    <w:p w14:paraId="6F86ECEC" w14:textId="33009EF6" w:rsidR="00BC34D8" w:rsidRPr="006E33D0" w:rsidRDefault="00BC34D8" w:rsidP="00BC34D8">
      <w:pPr>
        <w:spacing w:before="120" w:line="240" w:lineRule="auto"/>
        <w:rPr>
          <w:rFonts w:ascii="Arial" w:eastAsia="Calibri" w:hAnsi="Arial" w:cs="Arial"/>
          <w:u w:val="single"/>
        </w:rPr>
      </w:pPr>
      <w:r w:rsidRPr="006E33D0">
        <w:rPr>
          <w:rFonts w:ascii="Arial" w:eastAsia="Calibri" w:hAnsi="Arial" w:cs="Arial"/>
          <w:u w:val="single"/>
        </w:rPr>
        <w:t>The UK and Welsh governments</w:t>
      </w:r>
      <w:r w:rsidR="00144DAD">
        <w:rPr>
          <w:rFonts w:ascii="Arial" w:eastAsia="Calibri" w:hAnsi="Arial" w:cs="Arial"/>
          <w:u w:val="single"/>
        </w:rPr>
        <w:t>, where relevant,</w:t>
      </w:r>
      <w:r w:rsidRPr="006E33D0">
        <w:rPr>
          <w:rFonts w:ascii="Arial" w:eastAsia="Calibri" w:hAnsi="Arial" w:cs="Arial"/>
          <w:u w:val="single"/>
        </w:rPr>
        <w:t xml:space="preserve"> should:</w:t>
      </w:r>
    </w:p>
    <w:p w14:paraId="263C11FF" w14:textId="77777777" w:rsidR="00BC34D8" w:rsidRPr="00BC34D8" w:rsidRDefault="00BC34D8" w:rsidP="00627673">
      <w:pPr>
        <w:pStyle w:val="ListParagraph"/>
        <w:numPr>
          <w:ilvl w:val="0"/>
          <w:numId w:val="23"/>
        </w:numPr>
        <w:spacing w:before="120" w:after="120" w:line="240" w:lineRule="auto"/>
        <w:rPr>
          <w:rFonts w:ascii="Arial" w:eastAsia="Calibri" w:hAnsi="Arial" w:cs="Arial"/>
        </w:rPr>
      </w:pPr>
      <w:r w:rsidRPr="00BC34D8">
        <w:rPr>
          <w:rFonts w:ascii="Arial" w:eastAsia="Calibri" w:hAnsi="Arial" w:cs="Arial"/>
        </w:rPr>
        <w:t>Prohibit the use of Tasers and spit-hoods on children.</w:t>
      </w:r>
    </w:p>
    <w:p w14:paraId="698B2BA4" w14:textId="52B7AE8B" w:rsidR="00BC34D8" w:rsidRPr="00BC34D8" w:rsidRDefault="00BC34D8" w:rsidP="00627673">
      <w:pPr>
        <w:pStyle w:val="ListParagraph"/>
        <w:numPr>
          <w:ilvl w:val="0"/>
          <w:numId w:val="22"/>
        </w:numPr>
        <w:spacing w:before="120" w:after="120" w:line="240" w:lineRule="auto"/>
        <w:rPr>
          <w:rFonts w:ascii="Arial" w:eastAsia="Calibri" w:hAnsi="Arial" w:cs="Arial"/>
        </w:rPr>
      </w:pPr>
      <w:r w:rsidRPr="00BC34D8">
        <w:rPr>
          <w:rFonts w:ascii="Arial" w:eastAsia="Calibri" w:hAnsi="Arial" w:cs="Arial"/>
        </w:rPr>
        <w:t xml:space="preserve">Implement the recommendations of the Joint Committee on Human Rights </w:t>
      </w:r>
      <w:r w:rsidR="007B3416">
        <w:rPr>
          <w:rFonts w:ascii="Arial" w:eastAsia="Calibri" w:hAnsi="Arial" w:cs="Arial"/>
        </w:rPr>
        <w:t>i</w:t>
      </w:r>
      <w:r w:rsidRPr="00BC34D8">
        <w:rPr>
          <w:rFonts w:ascii="Arial" w:eastAsia="Calibri" w:hAnsi="Arial" w:cs="Arial"/>
        </w:rPr>
        <w:t>nquiry int</w:t>
      </w:r>
      <w:r w:rsidR="00813BDA">
        <w:rPr>
          <w:rFonts w:ascii="Arial" w:eastAsia="Calibri" w:hAnsi="Arial" w:cs="Arial"/>
        </w:rPr>
        <w:t xml:space="preserve">o the detention of </w:t>
      </w:r>
      <w:r w:rsidRPr="00BC34D8">
        <w:rPr>
          <w:rFonts w:ascii="Arial" w:eastAsia="Calibri" w:hAnsi="Arial" w:cs="Arial"/>
        </w:rPr>
        <w:t>young people with a learning disability and / or autism</w:t>
      </w:r>
      <w:r w:rsidR="00AE2FEF">
        <w:rPr>
          <w:rFonts w:ascii="Arial" w:eastAsia="Calibri" w:hAnsi="Arial" w:cs="Arial"/>
        </w:rPr>
        <w:t>,</w:t>
      </w:r>
      <w:r w:rsidRPr="00BC34D8">
        <w:rPr>
          <w:rFonts w:ascii="Arial" w:eastAsia="Calibri" w:hAnsi="Arial" w:cs="Arial"/>
        </w:rPr>
        <w:t xml:space="preserve"> and the recommendati</w:t>
      </w:r>
      <w:r w:rsidR="00AE2FEF">
        <w:rPr>
          <w:rFonts w:ascii="Arial" w:eastAsia="Calibri" w:hAnsi="Arial" w:cs="Arial"/>
        </w:rPr>
        <w:t xml:space="preserve">on from the </w:t>
      </w:r>
      <w:r w:rsidRPr="00BC34D8">
        <w:rPr>
          <w:rFonts w:ascii="Arial" w:eastAsia="Calibri" w:hAnsi="Arial" w:cs="Arial"/>
        </w:rPr>
        <w:t>Health and Social Care Committee to ban the use of prone restraint on children in mental health settings.</w:t>
      </w:r>
    </w:p>
    <w:p w14:paraId="1B1621C6" w14:textId="77777777" w:rsidR="00BC34D8" w:rsidRPr="00BC34D8" w:rsidRDefault="00BC34D8" w:rsidP="00627673">
      <w:pPr>
        <w:pStyle w:val="ListParagraph"/>
        <w:numPr>
          <w:ilvl w:val="0"/>
          <w:numId w:val="21"/>
        </w:numPr>
        <w:autoSpaceDE w:val="0"/>
        <w:autoSpaceDN w:val="0"/>
        <w:adjustRightInd w:val="0"/>
        <w:spacing w:before="120" w:after="120" w:line="240" w:lineRule="auto"/>
        <w:rPr>
          <w:rFonts w:ascii="Arial" w:eastAsia="Calibri" w:hAnsi="Arial" w:cs="Arial"/>
          <w:color w:val="000000"/>
          <w:lang w:eastAsia="en-GB"/>
        </w:rPr>
      </w:pPr>
      <w:r w:rsidRPr="00BC34D8">
        <w:rPr>
          <w:rFonts w:ascii="Arial" w:eastAsia="Calibri" w:hAnsi="Arial" w:cs="Arial"/>
          <w:color w:val="000000"/>
          <w:lang w:eastAsia="en-GB"/>
        </w:rPr>
        <w:t>Ensure that restraint against children is used proportionately, and as a last resort, in line with our H</w:t>
      </w:r>
      <w:r w:rsidRPr="00BC34D8">
        <w:rPr>
          <w:rFonts w:ascii="Arial" w:eastAsia="Calibri" w:hAnsi="Arial" w:cs="Arial"/>
          <w:lang w:eastAsia="en-GB"/>
        </w:rPr>
        <w:t>uman Rights Framework for Restraint. This includes prohibiting, in all settings, the use of restraint for disciplinary reasons and techniques that deliberately inflict pain on children</w:t>
      </w:r>
      <w:r w:rsidRPr="00BC34D8">
        <w:rPr>
          <w:rFonts w:ascii="Arial" w:eastAsia="Calibri" w:hAnsi="Arial" w:cs="Arial"/>
          <w:color w:val="000000"/>
          <w:lang w:eastAsia="en-GB"/>
        </w:rPr>
        <w:t xml:space="preserve">. </w:t>
      </w:r>
    </w:p>
    <w:p w14:paraId="3B1A71B0" w14:textId="561DC8B6" w:rsidR="00BC34D8" w:rsidRPr="00BC34D8" w:rsidRDefault="00BC34D8" w:rsidP="00627673">
      <w:pPr>
        <w:pStyle w:val="ListParagraph"/>
        <w:numPr>
          <w:ilvl w:val="0"/>
          <w:numId w:val="21"/>
        </w:numPr>
        <w:autoSpaceDE w:val="0"/>
        <w:autoSpaceDN w:val="0"/>
        <w:adjustRightInd w:val="0"/>
        <w:spacing w:before="120" w:after="120" w:line="240" w:lineRule="auto"/>
        <w:rPr>
          <w:rFonts w:ascii="Arial" w:eastAsia="Calibri" w:hAnsi="Arial" w:cs="Arial"/>
          <w:color w:val="000000"/>
          <w:lang w:eastAsia="en-GB"/>
        </w:rPr>
      </w:pPr>
      <w:r w:rsidRPr="00BC34D8">
        <w:rPr>
          <w:rFonts w:ascii="Arial" w:eastAsia="Calibri" w:hAnsi="Arial" w:cs="Arial"/>
          <w:color w:val="000000"/>
          <w:lang w:eastAsia="en-GB"/>
        </w:rPr>
        <w:t xml:space="preserve">Collect, collate, publish and analyse data on all forms of restraint in schools, including by protected characteristic. This </w:t>
      </w:r>
      <w:r w:rsidR="007B3416">
        <w:rPr>
          <w:rFonts w:ascii="Arial" w:eastAsia="Calibri" w:hAnsi="Arial" w:cs="Arial"/>
          <w:color w:val="000000"/>
          <w:lang w:eastAsia="en-GB"/>
        </w:rPr>
        <w:t xml:space="preserve">data </w:t>
      </w:r>
      <w:r w:rsidRPr="00BC34D8">
        <w:rPr>
          <w:rFonts w:ascii="Arial" w:eastAsia="Calibri" w:hAnsi="Arial" w:cs="Arial"/>
          <w:color w:val="000000"/>
          <w:lang w:eastAsia="en-GB"/>
        </w:rPr>
        <w:t xml:space="preserve">should be used to identify and address any disproportionate use </w:t>
      </w:r>
      <w:r w:rsidR="007B3416">
        <w:rPr>
          <w:rFonts w:ascii="Arial" w:eastAsia="Calibri" w:hAnsi="Arial" w:cs="Arial"/>
          <w:color w:val="000000"/>
          <w:lang w:eastAsia="en-GB"/>
        </w:rPr>
        <w:t xml:space="preserve">of restraint </w:t>
      </w:r>
      <w:r w:rsidRPr="00BC34D8">
        <w:rPr>
          <w:rFonts w:ascii="Arial" w:eastAsia="Calibri" w:hAnsi="Arial" w:cs="Arial"/>
          <w:color w:val="000000"/>
          <w:lang w:eastAsia="en-GB"/>
        </w:rPr>
        <w:t xml:space="preserve">against certain groups of children. </w:t>
      </w:r>
    </w:p>
    <w:p w14:paraId="00882EBB" w14:textId="76356100" w:rsidR="00BC34D8" w:rsidRPr="00BC34D8" w:rsidRDefault="00BC34D8" w:rsidP="00627673">
      <w:pPr>
        <w:pStyle w:val="ListParagraph"/>
        <w:numPr>
          <w:ilvl w:val="0"/>
          <w:numId w:val="21"/>
        </w:numPr>
        <w:autoSpaceDE w:val="0"/>
        <w:autoSpaceDN w:val="0"/>
        <w:adjustRightInd w:val="0"/>
        <w:spacing w:before="120" w:after="120" w:line="240" w:lineRule="auto"/>
        <w:rPr>
          <w:rFonts w:ascii="Arial" w:eastAsia="Calibri" w:hAnsi="Arial" w:cs="Arial"/>
          <w:color w:val="000000"/>
          <w:lang w:eastAsia="en-GB"/>
        </w:rPr>
      </w:pPr>
      <w:r w:rsidRPr="00BC34D8">
        <w:rPr>
          <w:rFonts w:ascii="Arial" w:eastAsia="Calibri" w:hAnsi="Arial" w:cs="Arial"/>
          <w:lang w:eastAsia="en-GB"/>
        </w:rPr>
        <w:t xml:space="preserve">Develop national training standards for restraint. These </w:t>
      </w:r>
      <w:r w:rsidR="007B3416">
        <w:rPr>
          <w:rFonts w:ascii="Arial" w:eastAsia="Calibri" w:hAnsi="Arial" w:cs="Arial"/>
          <w:lang w:eastAsia="en-GB"/>
        </w:rPr>
        <w:t xml:space="preserve">standards </w:t>
      </w:r>
      <w:r w:rsidRPr="00BC34D8">
        <w:rPr>
          <w:rFonts w:ascii="Arial" w:eastAsia="Calibri" w:hAnsi="Arial" w:cs="Arial"/>
          <w:lang w:eastAsia="en-GB"/>
        </w:rPr>
        <w:t xml:space="preserve">should take a human rights approach to minimising the use of restraint and draw on existing resources, such as the Restraint Reduction Network training standards. </w:t>
      </w:r>
    </w:p>
    <w:p w14:paraId="03755B7C" w14:textId="77777777" w:rsidR="00BC34D8" w:rsidRPr="006E33D0" w:rsidRDefault="00BC34D8" w:rsidP="00BC34D8">
      <w:pPr>
        <w:autoSpaceDE w:val="0"/>
        <w:autoSpaceDN w:val="0"/>
        <w:adjustRightInd w:val="0"/>
        <w:spacing w:before="120" w:line="240" w:lineRule="auto"/>
        <w:rPr>
          <w:rFonts w:ascii="Arial" w:eastAsia="Calibri" w:hAnsi="Arial" w:cs="Arial"/>
          <w:bCs/>
          <w:color w:val="000000"/>
          <w:u w:val="single"/>
          <w:lang w:eastAsia="en-GB"/>
        </w:rPr>
      </w:pPr>
      <w:r w:rsidRPr="006E33D0">
        <w:rPr>
          <w:rFonts w:ascii="Arial" w:eastAsia="Calibri" w:hAnsi="Arial" w:cs="Arial"/>
          <w:bCs/>
          <w:color w:val="000000"/>
          <w:u w:val="single"/>
          <w:lang w:eastAsia="en-GB"/>
        </w:rPr>
        <w:t>The Welsh Government should:</w:t>
      </w:r>
    </w:p>
    <w:p w14:paraId="5CC1DB7A" w14:textId="50228647" w:rsidR="00F2721D" w:rsidRPr="00ED1F70" w:rsidRDefault="00BC34D8" w:rsidP="00A26DF5">
      <w:pPr>
        <w:pStyle w:val="ListParagraph"/>
        <w:numPr>
          <w:ilvl w:val="0"/>
          <w:numId w:val="24"/>
        </w:numPr>
        <w:spacing w:before="120" w:line="240" w:lineRule="auto"/>
        <w:rPr>
          <w:rFonts w:ascii="Arial" w:eastAsia="Calibri" w:hAnsi="Arial" w:cs="Arial"/>
          <w:bCs/>
          <w:color w:val="000000"/>
          <w:lang w:eastAsia="en-GB"/>
        </w:rPr>
      </w:pPr>
      <w:r w:rsidRPr="00BC34D8">
        <w:rPr>
          <w:rFonts w:ascii="Arial" w:eastAsia="Calibri" w:hAnsi="Arial" w:cs="Arial"/>
          <w:bCs/>
          <w:color w:val="000000"/>
          <w:lang w:eastAsia="en-GB"/>
        </w:rPr>
        <w:t>Consider making any gu</w:t>
      </w:r>
      <w:r w:rsidR="00ED1F70">
        <w:rPr>
          <w:rFonts w:ascii="Arial" w:eastAsia="Calibri" w:hAnsi="Arial" w:cs="Arial"/>
          <w:bCs/>
          <w:color w:val="000000"/>
          <w:lang w:eastAsia="en-GB"/>
        </w:rPr>
        <w:t>idance related to the ‘Reducing restrictive p</w:t>
      </w:r>
      <w:r w:rsidRPr="00BC34D8">
        <w:rPr>
          <w:rFonts w:ascii="Arial" w:eastAsia="Calibri" w:hAnsi="Arial" w:cs="Arial"/>
          <w:bCs/>
          <w:color w:val="000000"/>
          <w:lang w:eastAsia="en-GB"/>
        </w:rPr>
        <w:t>ractice</w:t>
      </w:r>
      <w:r w:rsidR="007B3416">
        <w:rPr>
          <w:rFonts w:ascii="Arial" w:eastAsia="Calibri" w:hAnsi="Arial" w:cs="Arial"/>
          <w:bCs/>
          <w:color w:val="000000"/>
          <w:lang w:eastAsia="en-GB"/>
        </w:rPr>
        <w:t>s</w:t>
      </w:r>
      <w:r w:rsidR="00ED1F70">
        <w:rPr>
          <w:rFonts w:ascii="Arial" w:eastAsia="Calibri" w:hAnsi="Arial" w:cs="Arial"/>
          <w:bCs/>
          <w:color w:val="000000"/>
          <w:lang w:eastAsia="en-GB"/>
        </w:rPr>
        <w:t xml:space="preserve"> f</w:t>
      </w:r>
      <w:r w:rsidRPr="00BC34D8">
        <w:rPr>
          <w:rFonts w:ascii="Arial" w:eastAsia="Calibri" w:hAnsi="Arial" w:cs="Arial"/>
          <w:bCs/>
          <w:color w:val="000000"/>
          <w:lang w:eastAsia="en-GB"/>
        </w:rPr>
        <w:t>ramework</w:t>
      </w:r>
      <w:r w:rsidR="00ED1F70">
        <w:rPr>
          <w:rFonts w:ascii="Arial" w:eastAsia="Calibri" w:hAnsi="Arial" w:cs="Arial"/>
          <w:bCs/>
          <w:color w:val="000000"/>
          <w:lang w:eastAsia="en-GB"/>
        </w:rPr>
        <w:t>’</w:t>
      </w:r>
      <w:r w:rsidRPr="00BC34D8">
        <w:rPr>
          <w:rFonts w:ascii="Arial" w:eastAsia="Calibri" w:hAnsi="Arial" w:cs="Arial"/>
          <w:bCs/>
          <w:color w:val="000000"/>
          <w:lang w:eastAsia="en-GB"/>
        </w:rPr>
        <w:t xml:space="preserve"> statutory for schools and other settings.</w:t>
      </w:r>
    </w:p>
    <w:p w14:paraId="281B0776" w14:textId="13A505ED" w:rsidR="00BC34D8" w:rsidRPr="000530C5" w:rsidRDefault="00BC34D8" w:rsidP="00BC34D8">
      <w:pPr>
        <w:pStyle w:val="Heading2"/>
      </w:pPr>
      <w:bookmarkStart w:id="10" w:name="_Toc122018854"/>
      <w:r>
        <w:t>Freedom of the child from all forms of violence</w:t>
      </w:r>
      <w:bookmarkEnd w:id="10"/>
    </w:p>
    <w:p w14:paraId="2D042DA6" w14:textId="6988D1D3" w:rsidR="00BC34D8" w:rsidRPr="006E33D0" w:rsidRDefault="00BC34D8" w:rsidP="00BC34D8">
      <w:pPr>
        <w:keepNext/>
        <w:pBdr>
          <w:top w:val="single" w:sz="24" w:space="8" w:color="DDDE45"/>
          <w:left w:val="single" w:sz="24" w:space="4" w:color="F1F1B4"/>
          <w:bottom w:val="single" w:sz="48" w:space="1" w:color="F1F1B4"/>
          <w:right w:val="single" w:sz="24" w:space="4" w:color="F1F1B4"/>
        </w:pBdr>
        <w:shd w:val="clear" w:color="auto" w:fill="F1F1B4"/>
        <w:spacing w:before="120" w:line="240" w:lineRule="auto"/>
        <w:ind w:left="142" w:right="198"/>
        <w:rPr>
          <w:rFonts w:ascii="Arial" w:eastAsia="Arial" w:hAnsi="Arial" w:cs="Arial"/>
          <w:b/>
          <w:szCs w:val="24"/>
        </w:rPr>
      </w:pPr>
      <w:r w:rsidRPr="006E33D0">
        <w:rPr>
          <w:rFonts w:ascii="Arial" w:eastAsia="Arial" w:hAnsi="Arial" w:cs="Arial"/>
          <w:b/>
          <w:szCs w:val="24"/>
        </w:rPr>
        <w:t xml:space="preserve">See: </w:t>
      </w:r>
      <w:hyperlink r:id="rId28" w:history="1">
        <w:r w:rsidRPr="006E33D0">
          <w:rPr>
            <w:rFonts w:ascii="Arial" w:eastAsia="Arial" w:hAnsi="Arial" w:cs="Arial"/>
            <w:b/>
            <w:szCs w:val="24"/>
            <w:u w:val="single" w:color="009C98"/>
          </w:rPr>
          <w:t>Our 2020 submission</w:t>
        </w:r>
      </w:hyperlink>
      <w:r w:rsidR="001459AF">
        <w:rPr>
          <w:rFonts w:ascii="Arial" w:eastAsia="Arial" w:hAnsi="Arial" w:cs="Arial"/>
          <w:b/>
          <w:szCs w:val="24"/>
        </w:rPr>
        <w:t xml:space="preserve"> (pages 94–</w:t>
      </w:r>
      <w:r w:rsidRPr="006E33D0">
        <w:rPr>
          <w:rFonts w:ascii="Arial" w:eastAsia="Arial" w:hAnsi="Arial" w:cs="Arial"/>
          <w:b/>
          <w:szCs w:val="24"/>
        </w:rPr>
        <w:t xml:space="preserve">101); </w:t>
      </w:r>
      <w:hyperlink r:id="rId29" w:history="1">
        <w:r w:rsidRPr="006E33D0">
          <w:rPr>
            <w:rFonts w:ascii="Arial" w:eastAsia="Arial" w:hAnsi="Arial" w:cs="Arial"/>
            <w:b/>
            <w:szCs w:val="24"/>
            <w:u w:val="single" w:color="009C98"/>
          </w:rPr>
          <w:t>UNCRC List of Issues</w:t>
        </w:r>
      </w:hyperlink>
      <w:r w:rsidRPr="006E33D0">
        <w:rPr>
          <w:rFonts w:ascii="Arial" w:eastAsia="Arial" w:hAnsi="Arial" w:cs="Arial"/>
          <w:b/>
          <w:szCs w:val="24"/>
        </w:rPr>
        <w:t xml:space="preserve"> (paras </w:t>
      </w:r>
      <w:r>
        <w:rPr>
          <w:rFonts w:ascii="Arial" w:eastAsia="Arial" w:hAnsi="Arial" w:cs="Arial"/>
          <w:b/>
          <w:szCs w:val="24"/>
        </w:rPr>
        <w:t xml:space="preserve">14, </w:t>
      </w:r>
      <w:r w:rsidRPr="006E33D0">
        <w:rPr>
          <w:rFonts w:ascii="Arial" w:eastAsia="Arial" w:hAnsi="Arial" w:cs="Arial"/>
          <w:b/>
          <w:szCs w:val="24"/>
        </w:rPr>
        <w:t xml:space="preserve">19, 21 and 22); </w:t>
      </w:r>
      <w:hyperlink r:id="rId30" w:history="1">
        <w:r w:rsidRPr="006E33D0">
          <w:rPr>
            <w:rFonts w:ascii="Arial" w:eastAsia="Arial" w:hAnsi="Arial" w:cs="Arial"/>
            <w:b/>
            <w:szCs w:val="24"/>
            <w:u w:val="single" w:color="009C98"/>
          </w:rPr>
          <w:t>UN Sustainable Development Goals</w:t>
        </w:r>
      </w:hyperlink>
      <w:r w:rsidRPr="006E33D0">
        <w:rPr>
          <w:rFonts w:ascii="Arial" w:eastAsia="Arial" w:hAnsi="Arial" w:cs="Arial"/>
          <w:b/>
          <w:szCs w:val="24"/>
        </w:rPr>
        <w:t xml:space="preserve"> (Goals </w:t>
      </w:r>
      <w:r>
        <w:rPr>
          <w:rFonts w:ascii="Arial" w:eastAsia="Arial" w:hAnsi="Arial" w:cs="Arial"/>
          <w:b/>
          <w:szCs w:val="24"/>
        </w:rPr>
        <w:t xml:space="preserve">3, </w:t>
      </w:r>
      <w:r w:rsidRPr="006E33D0">
        <w:rPr>
          <w:rFonts w:ascii="Arial" w:eastAsia="Arial" w:hAnsi="Arial" w:cs="Arial"/>
          <w:b/>
          <w:szCs w:val="24"/>
        </w:rPr>
        <w:t>5, 10 and 16)</w:t>
      </w:r>
    </w:p>
    <w:p w14:paraId="76EB6044" w14:textId="77777777" w:rsidR="008F49EF" w:rsidRDefault="00BC34D8" w:rsidP="00BC34D8">
      <w:pPr>
        <w:spacing w:line="240" w:lineRule="auto"/>
        <w:rPr>
          <w:rFonts w:ascii="Arial" w:eastAsia="Calibri" w:hAnsi="Arial" w:cs="Arial"/>
          <w:szCs w:val="24"/>
        </w:rPr>
      </w:pPr>
      <w:r w:rsidRPr="006E33D0">
        <w:rPr>
          <w:rFonts w:ascii="Arial" w:eastAsia="Calibri" w:hAnsi="Arial" w:cs="Arial"/>
          <w:szCs w:val="24"/>
        </w:rPr>
        <w:t xml:space="preserve">Children continue to be exposed and subjected to forms of violence, abuse and exploitation. These experiences can have </w:t>
      </w:r>
      <w:r>
        <w:rPr>
          <w:rFonts w:ascii="Arial" w:eastAsia="Calibri" w:hAnsi="Arial" w:cs="Arial"/>
          <w:szCs w:val="24"/>
        </w:rPr>
        <w:t xml:space="preserve">devastating </w:t>
      </w:r>
      <w:r w:rsidRPr="006E33D0">
        <w:rPr>
          <w:rFonts w:ascii="Arial" w:eastAsia="Calibri" w:hAnsi="Arial" w:cs="Arial"/>
          <w:szCs w:val="24"/>
        </w:rPr>
        <w:t xml:space="preserve">lifelong consequences </w:t>
      </w:r>
      <w:r w:rsidR="000D500B">
        <w:rPr>
          <w:rFonts w:ascii="Arial" w:eastAsia="Calibri" w:hAnsi="Arial" w:cs="Arial"/>
          <w:szCs w:val="24"/>
        </w:rPr>
        <w:t>for</w:t>
      </w:r>
      <w:r w:rsidRPr="006E33D0">
        <w:rPr>
          <w:rFonts w:ascii="Arial" w:eastAsia="Calibri" w:hAnsi="Arial" w:cs="Arial"/>
          <w:szCs w:val="24"/>
        </w:rPr>
        <w:t xml:space="preserve"> every aspect of a child’s life. However, it </w:t>
      </w:r>
      <w:r>
        <w:rPr>
          <w:rFonts w:ascii="Arial" w:eastAsia="Calibri" w:hAnsi="Arial" w:cs="Arial"/>
          <w:szCs w:val="24"/>
        </w:rPr>
        <w:t>is</w:t>
      </w:r>
      <w:r w:rsidRPr="006E33D0">
        <w:rPr>
          <w:rFonts w:ascii="Arial" w:eastAsia="Calibri" w:hAnsi="Arial" w:cs="Arial"/>
          <w:szCs w:val="24"/>
        </w:rPr>
        <w:t xml:space="preserve"> difficult to measure the true prevalence of abuse.</w:t>
      </w:r>
      <w:r w:rsidRPr="006E33D0">
        <w:rPr>
          <w:rFonts w:ascii="Arial" w:eastAsia="Calibri" w:hAnsi="Arial" w:cs="Arial"/>
          <w:szCs w:val="24"/>
          <w:vertAlign w:val="superscript"/>
        </w:rPr>
        <w:footnoteReference w:id="89"/>
      </w:r>
      <w:r w:rsidRPr="006E33D0">
        <w:rPr>
          <w:rFonts w:ascii="Arial" w:eastAsia="Calibri" w:hAnsi="Arial" w:cs="Arial"/>
          <w:szCs w:val="24"/>
        </w:rPr>
        <w:t xml:space="preserve"> Official figures indicate that almost 260,000 children experienced domestic violence in England</w:t>
      </w:r>
      <w:r w:rsidR="000D500B">
        <w:rPr>
          <w:rFonts w:ascii="Arial" w:eastAsia="Calibri" w:hAnsi="Arial" w:cs="Arial"/>
          <w:szCs w:val="24"/>
        </w:rPr>
        <w:t xml:space="preserve"> in 2021</w:t>
      </w:r>
      <w:r w:rsidRPr="006E33D0">
        <w:rPr>
          <w:rFonts w:ascii="Arial" w:eastAsia="Calibri" w:hAnsi="Arial" w:cs="Arial"/>
          <w:szCs w:val="24"/>
        </w:rPr>
        <w:t>.</w:t>
      </w:r>
      <w:r w:rsidRPr="006E33D0">
        <w:rPr>
          <w:rFonts w:ascii="Arial" w:eastAsia="Calibri" w:hAnsi="Arial" w:cs="Arial"/>
          <w:szCs w:val="24"/>
          <w:vertAlign w:val="superscript"/>
        </w:rPr>
        <w:footnoteReference w:id="90"/>
      </w:r>
      <w:r w:rsidRPr="006E33D0">
        <w:rPr>
          <w:rFonts w:ascii="Arial" w:eastAsia="Calibri" w:hAnsi="Arial" w:cs="Arial"/>
          <w:szCs w:val="24"/>
        </w:rPr>
        <w:t xml:space="preserve"> Some </w:t>
      </w:r>
      <w:r w:rsidR="000D500B">
        <w:rPr>
          <w:rFonts w:ascii="Arial" w:eastAsia="Calibri" w:hAnsi="Arial" w:cs="Arial"/>
          <w:szCs w:val="24"/>
        </w:rPr>
        <w:t xml:space="preserve">have </w:t>
      </w:r>
      <w:r w:rsidRPr="006E33D0">
        <w:rPr>
          <w:rFonts w:ascii="Arial" w:eastAsia="Calibri" w:hAnsi="Arial" w:cs="Arial"/>
          <w:szCs w:val="24"/>
        </w:rPr>
        <w:t>estimate</w:t>
      </w:r>
      <w:r w:rsidR="000D500B">
        <w:rPr>
          <w:rFonts w:ascii="Arial" w:eastAsia="Calibri" w:hAnsi="Arial" w:cs="Arial"/>
          <w:szCs w:val="24"/>
        </w:rPr>
        <w:t>d</w:t>
      </w:r>
      <w:r w:rsidRPr="006E33D0">
        <w:rPr>
          <w:rFonts w:ascii="Arial" w:eastAsia="Calibri" w:hAnsi="Arial" w:cs="Arial"/>
          <w:szCs w:val="24"/>
        </w:rPr>
        <w:t xml:space="preserve"> the figure to be significantly higher.</w:t>
      </w:r>
      <w:r w:rsidRPr="006E33D0">
        <w:rPr>
          <w:rFonts w:ascii="Arial" w:eastAsia="Calibri" w:hAnsi="Arial" w:cs="Arial"/>
          <w:szCs w:val="24"/>
          <w:vertAlign w:val="superscript"/>
        </w:rPr>
        <w:footnoteReference w:id="91"/>
      </w:r>
      <w:r w:rsidRPr="006E33D0">
        <w:rPr>
          <w:rFonts w:ascii="Arial" w:eastAsia="Calibri" w:hAnsi="Arial" w:cs="Arial"/>
          <w:szCs w:val="24"/>
        </w:rPr>
        <w:t xml:space="preserve"> Comparable data for Wales </w:t>
      </w:r>
      <w:r w:rsidR="000D500B">
        <w:rPr>
          <w:rFonts w:ascii="Arial" w:eastAsia="Calibri" w:hAnsi="Arial" w:cs="Arial"/>
          <w:szCs w:val="24"/>
        </w:rPr>
        <w:t>is</w:t>
      </w:r>
      <w:r w:rsidRPr="006E33D0">
        <w:rPr>
          <w:rFonts w:ascii="Arial" w:eastAsia="Calibri" w:hAnsi="Arial" w:cs="Arial"/>
          <w:szCs w:val="24"/>
        </w:rPr>
        <w:t xml:space="preserve"> not available, though the proportion </w:t>
      </w:r>
      <w:r>
        <w:rPr>
          <w:rFonts w:ascii="Arial" w:eastAsia="Calibri" w:hAnsi="Arial" w:cs="Arial"/>
          <w:szCs w:val="24"/>
        </w:rPr>
        <w:t xml:space="preserve">of children receiving care and support in Wales </w:t>
      </w:r>
      <w:r w:rsidRPr="006E33D0">
        <w:rPr>
          <w:rFonts w:ascii="Arial" w:eastAsia="Calibri" w:hAnsi="Arial" w:cs="Arial"/>
          <w:szCs w:val="24"/>
        </w:rPr>
        <w:t>who are recorded as having experienced domestic abuse rose from 25% to 31% between 2017 and 2021.</w:t>
      </w:r>
      <w:r w:rsidRPr="006E33D0">
        <w:rPr>
          <w:rStyle w:val="FootnoteReference"/>
          <w:rFonts w:ascii="Arial" w:eastAsia="Calibri" w:hAnsi="Arial" w:cs="Arial"/>
          <w:szCs w:val="24"/>
        </w:rPr>
        <w:footnoteReference w:id="92"/>
      </w:r>
      <w:r w:rsidRPr="006E33D0">
        <w:rPr>
          <w:rFonts w:ascii="Arial" w:eastAsia="Calibri" w:hAnsi="Arial" w:cs="Arial"/>
          <w:szCs w:val="24"/>
        </w:rPr>
        <w:t xml:space="preserve"> Girls are disproportionately </w:t>
      </w:r>
      <w:r w:rsidR="000D500B">
        <w:rPr>
          <w:rFonts w:ascii="Arial" w:eastAsia="Calibri" w:hAnsi="Arial" w:cs="Arial"/>
          <w:szCs w:val="24"/>
        </w:rPr>
        <w:t>affected</w:t>
      </w:r>
      <w:r w:rsidR="000D500B" w:rsidRPr="006E33D0">
        <w:rPr>
          <w:rFonts w:ascii="Arial" w:eastAsia="Calibri" w:hAnsi="Arial" w:cs="Arial"/>
          <w:szCs w:val="24"/>
        </w:rPr>
        <w:t xml:space="preserve"> </w:t>
      </w:r>
      <w:r w:rsidRPr="006E33D0">
        <w:rPr>
          <w:rFonts w:ascii="Arial" w:eastAsia="Calibri" w:hAnsi="Arial" w:cs="Arial"/>
          <w:szCs w:val="24"/>
        </w:rPr>
        <w:t>by almost every type of abuse.</w:t>
      </w:r>
      <w:r w:rsidRPr="006E33D0">
        <w:rPr>
          <w:rFonts w:ascii="Arial" w:eastAsia="Calibri" w:hAnsi="Arial" w:cs="Arial"/>
          <w:szCs w:val="24"/>
          <w:vertAlign w:val="superscript"/>
        </w:rPr>
        <w:footnoteReference w:id="93"/>
      </w:r>
      <w:r w:rsidRPr="006E33D0">
        <w:rPr>
          <w:rFonts w:ascii="Arial" w:eastAsia="Calibri" w:hAnsi="Arial" w:cs="Arial"/>
          <w:szCs w:val="24"/>
        </w:rPr>
        <w:t xml:space="preserve"> </w:t>
      </w:r>
    </w:p>
    <w:p w14:paraId="1457F5C6" w14:textId="02439D04" w:rsidR="00BC34D8" w:rsidRPr="006E33D0" w:rsidRDefault="00BC34D8" w:rsidP="00BC34D8">
      <w:pPr>
        <w:spacing w:line="240" w:lineRule="auto"/>
        <w:rPr>
          <w:rFonts w:ascii="Arial" w:eastAsia="Calibri" w:hAnsi="Arial" w:cs="Arial"/>
          <w:szCs w:val="24"/>
        </w:rPr>
      </w:pPr>
      <w:r w:rsidRPr="006E33D0">
        <w:rPr>
          <w:rFonts w:ascii="Arial" w:eastAsia="Calibri" w:hAnsi="Arial" w:cs="Arial"/>
          <w:szCs w:val="24"/>
        </w:rPr>
        <w:t>In 2021</w:t>
      </w:r>
      <w:r>
        <w:rPr>
          <w:rFonts w:ascii="Arial" w:eastAsia="Calibri" w:hAnsi="Arial" w:cs="Arial"/>
          <w:szCs w:val="24"/>
        </w:rPr>
        <w:t>,</w:t>
      </w:r>
      <w:r w:rsidRPr="006E33D0">
        <w:rPr>
          <w:rFonts w:ascii="Arial" w:eastAsia="Calibri" w:hAnsi="Arial" w:cs="Arial"/>
          <w:szCs w:val="24"/>
        </w:rPr>
        <w:t xml:space="preserve"> the Office for National Statistics consulted on proposals to measure the prevalence of child abuse in the UK, though this was paused due to lack of funding.</w:t>
      </w:r>
      <w:r w:rsidRPr="006E33D0">
        <w:rPr>
          <w:rFonts w:ascii="Arial" w:eastAsia="Calibri" w:hAnsi="Arial" w:cs="Arial"/>
          <w:szCs w:val="24"/>
          <w:vertAlign w:val="superscript"/>
        </w:rPr>
        <w:footnoteReference w:id="94"/>
      </w:r>
      <w:r w:rsidRPr="006E33D0">
        <w:rPr>
          <w:rFonts w:ascii="Arial" w:eastAsia="Calibri" w:hAnsi="Arial" w:cs="Arial"/>
          <w:szCs w:val="24"/>
        </w:rPr>
        <w:t xml:space="preserve"> Only 4% of identifiable child abuse offences result in a criminal charge, according to the latest figures for England and Wales</w:t>
      </w:r>
      <w:r>
        <w:rPr>
          <w:rFonts w:ascii="Arial" w:eastAsia="Calibri" w:hAnsi="Arial" w:cs="Arial"/>
          <w:szCs w:val="24"/>
        </w:rPr>
        <w:t xml:space="preserve"> from 2018/19</w:t>
      </w:r>
      <w:r w:rsidRPr="006E33D0">
        <w:rPr>
          <w:rFonts w:ascii="Arial" w:eastAsia="Calibri" w:hAnsi="Arial" w:cs="Arial"/>
          <w:szCs w:val="24"/>
        </w:rPr>
        <w:t>.</w:t>
      </w:r>
      <w:r w:rsidRPr="006E33D0">
        <w:rPr>
          <w:rFonts w:ascii="Arial" w:eastAsia="Calibri" w:hAnsi="Arial" w:cs="Arial"/>
          <w:szCs w:val="24"/>
          <w:vertAlign w:val="superscript"/>
        </w:rPr>
        <w:footnoteReference w:id="95"/>
      </w:r>
    </w:p>
    <w:p w14:paraId="0D7C76D0" w14:textId="1084123F" w:rsidR="00BC34D8" w:rsidRPr="006E33D0" w:rsidRDefault="00BC34D8" w:rsidP="00BC34D8">
      <w:pPr>
        <w:spacing w:line="240" w:lineRule="auto"/>
        <w:rPr>
          <w:rFonts w:ascii="Arial" w:eastAsia="Calibri" w:hAnsi="Arial" w:cs="Arial"/>
          <w:szCs w:val="24"/>
        </w:rPr>
      </w:pPr>
      <w:r w:rsidRPr="006E33D0">
        <w:rPr>
          <w:rFonts w:ascii="Arial" w:eastAsia="Calibri" w:hAnsi="Arial" w:cs="Arial"/>
          <w:szCs w:val="24"/>
        </w:rPr>
        <w:t xml:space="preserve">We are concerned that the pandemic may have </w:t>
      </w:r>
      <w:r w:rsidR="000D500B">
        <w:rPr>
          <w:rFonts w:ascii="Arial" w:eastAsia="Calibri" w:hAnsi="Arial" w:cs="Arial"/>
          <w:szCs w:val="24"/>
        </w:rPr>
        <w:t>increased</w:t>
      </w:r>
      <w:r w:rsidR="000D500B" w:rsidRPr="006E33D0">
        <w:rPr>
          <w:rFonts w:ascii="Arial" w:eastAsia="Calibri" w:hAnsi="Arial" w:cs="Arial"/>
          <w:szCs w:val="24"/>
        </w:rPr>
        <w:t xml:space="preserve"> </w:t>
      </w:r>
      <w:r w:rsidRPr="006E33D0">
        <w:rPr>
          <w:rFonts w:ascii="Arial" w:eastAsia="Calibri" w:hAnsi="Arial" w:cs="Arial"/>
          <w:szCs w:val="24"/>
        </w:rPr>
        <w:t>violence against children. The number of serious incident notifications</w:t>
      </w:r>
      <w:r w:rsidRPr="006E33D0">
        <w:rPr>
          <w:rFonts w:ascii="Arial" w:eastAsia="Calibri" w:hAnsi="Arial" w:cs="Arial"/>
          <w:szCs w:val="24"/>
          <w:vertAlign w:val="superscript"/>
        </w:rPr>
        <w:footnoteReference w:id="96"/>
      </w:r>
      <w:r w:rsidRPr="006E33D0">
        <w:rPr>
          <w:rFonts w:ascii="Arial" w:eastAsia="Calibri" w:hAnsi="Arial" w:cs="Arial"/>
          <w:szCs w:val="24"/>
        </w:rPr>
        <w:t xml:space="preserve"> in England increased by 19% between 2019/20 and 2020/21,</w:t>
      </w:r>
      <w:r w:rsidRPr="006E33D0">
        <w:rPr>
          <w:rFonts w:ascii="Arial" w:eastAsia="Calibri" w:hAnsi="Arial" w:cs="Arial"/>
          <w:szCs w:val="24"/>
          <w:vertAlign w:val="superscript"/>
        </w:rPr>
        <w:footnoteReference w:id="97"/>
      </w:r>
      <w:r w:rsidRPr="006E33D0">
        <w:rPr>
          <w:rFonts w:ascii="Arial" w:eastAsia="Calibri" w:hAnsi="Arial" w:cs="Arial"/>
          <w:szCs w:val="24"/>
        </w:rPr>
        <w:t xml:space="preserve"> with infants, boys and ethnic minorities most at risk. Police in England and Wales made over 244,000 referrals to social services for domestic abuse involving children in 2020/21.</w:t>
      </w:r>
      <w:r w:rsidRPr="006E33D0">
        <w:rPr>
          <w:rFonts w:ascii="Arial" w:eastAsia="Calibri" w:hAnsi="Arial" w:cs="Arial"/>
          <w:szCs w:val="24"/>
          <w:vertAlign w:val="superscript"/>
        </w:rPr>
        <w:footnoteReference w:id="98"/>
      </w:r>
      <w:r w:rsidRPr="006E33D0">
        <w:rPr>
          <w:rFonts w:ascii="Arial" w:eastAsia="Calibri" w:hAnsi="Arial" w:cs="Arial"/>
          <w:szCs w:val="24"/>
        </w:rPr>
        <w:t xml:space="preserve"> This is the highest number of referrals from the available evidence </w:t>
      </w:r>
      <w:r w:rsidR="000D500B">
        <w:rPr>
          <w:rFonts w:ascii="Arial" w:eastAsia="Calibri" w:hAnsi="Arial" w:cs="Arial"/>
          <w:szCs w:val="24"/>
        </w:rPr>
        <w:t>in</w:t>
      </w:r>
      <w:r w:rsidR="000D500B" w:rsidRPr="006E33D0">
        <w:rPr>
          <w:rFonts w:ascii="Arial" w:eastAsia="Calibri" w:hAnsi="Arial" w:cs="Arial"/>
          <w:szCs w:val="24"/>
        </w:rPr>
        <w:t xml:space="preserve"> </w:t>
      </w:r>
      <w:r w:rsidRPr="006E33D0">
        <w:rPr>
          <w:rFonts w:ascii="Arial" w:eastAsia="Calibri" w:hAnsi="Arial" w:cs="Arial"/>
          <w:szCs w:val="24"/>
        </w:rPr>
        <w:t>recent years, yet not all police forces submitted data. A 2020 survey of leaders of pregnancy-to-age-two services found that 80% of respondents had experienced increased professional exposure to domestic conflict, child abuse or neglect during the pandemic.</w:t>
      </w:r>
      <w:r w:rsidRPr="006E33D0">
        <w:rPr>
          <w:rFonts w:ascii="Arial" w:eastAsia="Calibri" w:hAnsi="Arial" w:cs="Arial"/>
          <w:szCs w:val="24"/>
          <w:vertAlign w:val="superscript"/>
        </w:rPr>
        <w:footnoteReference w:id="99"/>
      </w:r>
      <w:r w:rsidRPr="006E33D0">
        <w:rPr>
          <w:rFonts w:ascii="Arial" w:eastAsia="Calibri" w:hAnsi="Arial" w:cs="Arial"/>
          <w:szCs w:val="24"/>
        </w:rPr>
        <w:t xml:space="preserve"> </w:t>
      </w:r>
    </w:p>
    <w:p w14:paraId="6DDE3D7A" w14:textId="24234B3C" w:rsidR="008F49EF" w:rsidRDefault="00BC34D8" w:rsidP="00BC34D8">
      <w:pPr>
        <w:spacing w:line="240" w:lineRule="auto"/>
        <w:rPr>
          <w:rFonts w:ascii="Arial" w:eastAsia="Calibri" w:hAnsi="Arial" w:cs="Arial"/>
          <w:szCs w:val="24"/>
        </w:rPr>
      </w:pPr>
      <w:r w:rsidRPr="006E33D0">
        <w:rPr>
          <w:rFonts w:ascii="Arial" w:eastAsia="Calibri" w:hAnsi="Arial" w:cs="Arial"/>
          <w:szCs w:val="24"/>
        </w:rPr>
        <w:t xml:space="preserve">Particular safeguarding risks </w:t>
      </w:r>
      <w:r w:rsidR="000D500B">
        <w:rPr>
          <w:rFonts w:ascii="Arial" w:eastAsia="Calibri" w:hAnsi="Arial" w:cs="Arial"/>
          <w:szCs w:val="24"/>
        </w:rPr>
        <w:t xml:space="preserve">have </w:t>
      </w:r>
      <w:r w:rsidRPr="006E33D0">
        <w:rPr>
          <w:rFonts w:ascii="Arial" w:eastAsia="Calibri" w:hAnsi="Arial" w:cs="Arial"/>
          <w:szCs w:val="24"/>
        </w:rPr>
        <w:t>also emerged during the pandemic, with the proportion of children who were persistently absent from school in England increasing from 0.9% to 1.4% between 2019 and 2021 – totalling almost 100,000 pupils.</w:t>
      </w:r>
      <w:r w:rsidRPr="006E33D0">
        <w:rPr>
          <w:rFonts w:ascii="Arial" w:eastAsia="Calibri" w:hAnsi="Arial" w:cs="Arial"/>
          <w:szCs w:val="24"/>
          <w:vertAlign w:val="superscript"/>
        </w:rPr>
        <w:footnoteReference w:id="100"/>
      </w:r>
      <w:r w:rsidRPr="006E33D0">
        <w:rPr>
          <w:rFonts w:ascii="Arial" w:eastAsia="Calibri" w:hAnsi="Arial" w:cs="Arial"/>
          <w:szCs w:val="24"/>
        </w:rPr>
        <w:t xml:space="preserve"> A similar increase in absences has been recorded in Wales.</w:t>
      </w:r>
      <w:r w:rsidRPr="006E33D0">
        <w:rPr>
          <w:rStyle w:val="FootnoteReference"/>
          <w:rFonts w:ascii="Arial" w:eastAsia="Calibri" w:hAnsi="Arial" w:cs="Arial"/>
          <w:szCs w:val="24"/>
        </w:rPr>
        <w:footnoteReference w:id="101"/>
      </w:r>
      <w:r w:rsidRPr="006E33D0">
        <w:rPr>
          <w:rFonts w:ascii="Arial" w:eastAsia="Calibri" w:hAnsi="Arial" w:cs="Arial"/>
          <w:szCs w:val="24"/>
        </w:rPr>
        <w:t xml:space="preserve"> The Chief Inspector of Ofsted, the schools inspectorate in England, said that the UK Government had no knowledge of the identities or whereabouts of those children.</w:t>
      </w:r>
      <w:r w:rsidRPr="006E33D0">
        <w:rPr>
          <w:rFonts w:ascii="Arial" w:eastAsia="Calibri" w:hAnsi="Arial" w:cs="Arial"/>
          <w:szCs w:val="24"/>
          <w:vertAlign w:val="superscript"/>
        </w:rPr>
        <w:footnoteReference w:id="102"/>
      </w:r>
      <w:r w:rsidRPr="006E33D0">
        <w:rPr>
          <w:rFonts w:ascii="Arial" w:eastAsia="Calibri" w:hAnsi="Arial" w:cs="Arial"/>
          <w:szCs w:val="24"/>
        </w:rPr>
        <w:t xml:space="preserve"> </w:t>
      </w:r>
    </w:p>
    <w:p w14:paraId="7AE6C0C8" w14:textId="294F389A" w:rsidR="00BC34D8" w:rsidRPr="006E33D0" w:rsidRDefault="00BC34D8" w:rsidP="00BC34D8">
      <w:pPr>
        <w:spacing w:line="240" w:lineRule="auto"/>
        <w:rPr>
          <w:rFonts w:ascii="Arial" w:eastAsia="Calibri" w:hAnsi="Arial" w:cs="Arial"/>
          <w:szCs w:val="24"/>
        </w:rPr>
      </w:pPr>
      <w:r w:rsidRPr="006E33D0">
        <w:rPr>
          <w:rFonts w:ascii="Arial" w:eastAsia="Calibri" w:hAnsi="Arial" w:cs="Arial"/>
          <w:szCs w:val="24"/>
        </w:rPr>
        <w:t>After the 2020 murder of a six</w:t>
      </w:r>
      <w:r w:rsidR="000D500B">
        <w:rPr>
          <w:rFonts w:ascii="Arial" w:eastAsia="Calibri" w:hAnsi="Arial" w:cs="Arial"/>
          <w:szCs w:val="24"/>
        </w:rPr>
        <w:t>-</w:t>
      </w:r>
      <w:r w:rsidRPr="006E33D0">
        <w:rPr>
          <w:rFonts w:ascii="Arial" w:eastAsia="Calibri" w:hAnsi="Arial" w:cs="Arial"/>
          <w:szCs w:val="24"/>
        </w:rPr>
        <w:t>year-old child who did not return to school following the first nationwide lockdown,</w:t>
      </w:r>
      <w:r w:rsidRPr="006E33D0">
        <w:rPr>
          <w:rFonts w:ascii="Arial" w:eastAsia="Calibri" w:hAnsi="Arial" w:cs="Arial"/>
          <w:szCs w:val="24"/>
          <w:vertAlign w:val="superscript"/>
        </w:rPr>
        <w:footnoteReference w:id="103"/>
      </w:r>
      <w:r w:rsidRPr="006E33D0">
        <w:rPr>
          <w:rFonts w:ascii="Arial" w:eastAsia="Calibri" w:hAnsi="Arial" w:cs="Arial"/>
          <w:szCs w:val="24"/>
        </w:rPr>
        <w:t xml:space="preserve"> the UK Government launched a review by the National Child Safeguarding Practice Review Panel.</w:t>
      </w:r>
      <w:r w:rsidRPr="006E33D0">
        <w:rPr>
          <w:rFonts w:ascii="Arial" w:eastAsia="Calibri" w:hAnsi="Arial" w:cs="Arial"/>
          <w:szCs w:val="24"/>
          <w:vertAlign w:val="superscript"/>
        </w:rPr>
        <w:footnoteReference w:id="104"/>
      </w:r>
      <w:r w:rsidRPr="006E33D0">
        <w:rPr>
          <w:rFonts w:ascii="Arial" w:eastAsia="Calibri" w:hAnsi="Arial" w:cs="Arial"/>
          <w:szCs w:val="24"/>
        </w:rPr>
        <w:t xml:space="preserve"> The Children’s Commissioner for England conducted an inquiry in 2022 to identify children who have disappeared from official view and are therefore at greater risk of abuse. It found that local authorities do not know how many children there are in England, where they are or </w:t>
      </w:r>
      <w:r w:rsidR="000D500B">
        <w:rPr>
          <w:rFonts w:ascii="Arial" w:eastAsia="Calibri" w:hAnsi="Arial" w:cs="Arial"/>
          <w:szCs w:val="24"/>
        </w:rPr>
        <w:t>how many</w:t>
      </w:r>
      <w:r w:rsidRPr="006E33D0">
        <w:rPr>
          <w:rFonts w:ascii="Arial" w:eastAsia="Calibri" w:hAnsi="Arial" w:cs="Arial"/>
          <w:szCs w:val="24"/>
        </w:rPr>
        <w:t xml:space="preserve"> children </w:t>
      </w:r>
      <w:r w:rsidR="000D500B">
        <w:rPr>
          <w:rFonts w:ascii="Arial" w:eastAsia="Calibri" w:hAnsi="Arial" w:cs="Arial"/>
          <w:szCs w:val="24"/>
        </w:rPr>
        <w:t xml:space="preserve">are </w:t>
      </w:r>
      <w:r w:rsidRPr="006E33D0">
        <w:rPr>
          <w:rFonts w:ascii="Arial" w:eastAsia="Calibri" w:hAnsi="Arial" w:cs="Arial"/>
          <w:szCs w:val="24"/>
        </w:rPr>
        <w:t>not receiving an education.</w:t>
      </w:r>
      <w:r w:rsidRPr="006E33D0">
        <w:rPr>
          <w:rFonts w:ascii="Arial" w:eastAsia="Calibri" w:hAnsi="Arial" w:cs="Arial"/>
          <w:szCs w:val="24"/>
          <w:vertAlign w:val="superscript"/>
        </w:rPr>
        <w:footnoteReference w:id="105"/>
      </w:r>
      <w:r w:rsidRPr="006E33D0">
        <w:rPr>
          <w:rFonts w:ascii="Arial" w:eastAsia="Calibri" w:hAnsi="Arial" w:cs="Arial"/>
          <w:szCs w:val="24"/>
        </w:rPr>
        <w:t xml:space="preserve"> </w:t>
      </w:r>
    </w:p>
    <w:p w14:paraId="667CAF71" w14:textId="776EC548" w:rsidR="00BC34D8" w:rsidRPr="00B91A3D" w:rsidRDefault="00BC34D8" w:rsidP="00BC34D8">
      <w:pPr>
        <w:pStyle w:val="Heading3"/>
      </w:pPr>
      <w:r>
        <w:t>Child sexual exploitation and abuse</w:t>
      </w:r>
    </w:p>
    <w:p w14:paraId="4B2069B8" w14:textId="3C1A7212" w:rsidR="00BC34D8" w:rsidRPr="006E33D0" w:rsidRDefault="00BC34D8" w:rsidP="00BC34D8">
      <w:pPr>
        <w:spacing w:line="240" w:lineRule="auto"/>
        <w:rPr>
          <w:rFonts w:ascii="Arial" w:eastAsia="Calibri" w:hAnsi="Arial" w:cs="Arial"/>
          <w:szCs w:val="24"/>
        </w:rPr>
      </w:pPr>
      <w:r w:rsidRPr="006E33D0">
        <w:rPr>
          <w:rFonts w:ascii="Arial" w:eastAsia="Calibri" w:hAnsi="Arial" w:cs="Arial"/>
          <w:szCs w:val="24"/>
        </w:rPr>
        <w:t xml:space="preserve">Reported incidents of child sexual exploitation and abuse increased in the years </w:t>
      </w:r>
      <w:r w:rsidR="000D500B">
        <w:rPr>
          <w:rFonts w:ascii="Arial" w:eastAsia="Calibri" w:hAnsi="Arial" w:cs="Arial"/>
          <w:szCs w:val="24"/>
        </w:rPr>
        <w:t>before</w:t>
      </w:r>
      <w:r w:rsidRPr="006E33D0">
        <w:rPr>
          <w:rFonts w:ascii="Arial" w:eastAsia="Calibri" w:hAnsi="Arial" w:cs="Arial"/>
          <w:szCs w:val="24"/>
        </w:rPr>
        <w:t xml:space="preserve"> the pandemic, with the number of recorded ‘episodes of need’</w:t>
      </w:r>
      <w:r w:rsidRPr="006E33D0">
        <w:rPr>
          <w:rFonts w:ascii="Arial" w:eastAsia="Calibri" w:hAnsi="Arial" w:cs="Arial"/>
          <w:szCs w:val="24"/>
          <w:vertAlign w:val="superscript"/>
        </w:rPr>
        <w:footnoteReference w:id="106"/>
      </w:r>
      <w:r w:rsidRPr="006E33D0">
        <w:rPr>
          <w:rFonts w:ascii="Arial" w:eastAsia="Calibri" w:hAnsi="Arial" w:cs="Arial"/>
          <w:szCs w:val="24"/>
        </w:rPr>
        <w:t xml:space="preserve"> involving either child sexual exploitation or sexual abuse growing in England between 2015/16 and 2019/20.</w:t>
      </w:r>
      <w:r w:rsidRPr="006E33D0">
        <w:rPr>
          <w:rFonts w:ascii="Arial" w:eastAsia="Calibri" w:hAnsi="Arial" w:cs="Arial"/>
          <w:szCs w:val="24"/>
          <w:vertAlign w:val="superscript"/>
        </w:rPr>
        <w:footnoteReference w:id="107"/>
      </w:r>
      <w:r w:rsidRPr="006E33D0">
        <w:rPr>
          <w:rFonts w:ascii="Arial" w:eastAsia="Calibri" w:hAnsi="Arial" w:cs="Arial"/>
          <w:szCs w:val="24"/>
        </w:rPr>
        <w:t xml:space="preserve"> Numbers decreased in 2020/21, partly due to the challenges of disclosure during the pandemic.</w:t>
      </w:r>
      <w:r w:rsidRPr="006E33D0">
        <w:rPr>
          <w:rFonts w:ascii="Arial" w:eastAsia="Calibri" w:hAnsi="Arial" w:cs="Arial"/>
          <w:szCs w:val="24"/>
          <w:vertAlign w:val="superscript"/>
        </w:rPr>
        <w:footnoteReference w:id="108"/>
      </w:r>
      <w:r w:rsidRPr="006E33D0">
        <w:rPr>
          <w:rFonts w:ascii="Arial" w:eastAsia="Calibri" w:hAnsi="Arial" w:cs="Arial"/>
          <w:szCs w:val="24"/>
        </w:rPr>
        <w:t xml:space="preserve"> Indeed, some evidence suggests that sexual abuse may have increased, with </w:t>
      </w:r>
      <w:r>
        <w:rPr>
          <w:rFonts w:ascii="Arial" w:eastAsia="Calibri" w:hAnsi="Arial" w:cs="Arial"/>
          <w:szCs w:val="24"/>
        </w:rPr>
        <w:t xml:space="preserve">the UK charity </w:t>
      </w:r>
      <w:r w:rsidRPr="006E33D0">
        <w:rPr>
          <w:rFonts w:ascii="Arial" w:eastAsia="Calibri" w:hAnsi="Arial" w:cs="Arial"/>
          <w:szCs w:val="24"/>
        </w:rPr>
        <w:t>Childline reporting a threefold rise in counselling sessions on sexual abuse in the family during 2020.</w:t>
      </w:r>
      <w:r w:rsidRPr="006E33D0">
        <w:rPr>
          <w:rFonts w:ascii="Arial" w:eastAsia="Calibri" w:hAnsi="Arial" w:cs="Arial"/>
          <w:szCs w:val="24"/>
          <w:vertAlign w:val="superscript"/>
        </w:rPr>
        <w:footnoteReference w:id="109"/>
      </w:r>
      <w:r w:rsidRPr="006E33D0">
        <w:rPr>
          <w:rFonts w:ascii="Arial" w:eastAsia="Calibri" w:hAnsi="Arial" w:cs="Arial"/>
          <w:szCs w:val="24"/>
        </w:rPr>
        <w:t xml:space="preserve"> </w:t>
      </w:r>
    </w:p>
    <w:p w14:paraId="5F472BE4" w14:textId="4AE7A63B" w:rsidR="00F2721D" w:rsidRPr="007A49F5" w:rsidRDefault="00BC34D8" w:rsidP="007A49F5">
      <w:pPr>
        <w:spacing w:line="240" w:lineRule="auto"/>
        <w:rPr>
          <w:rFonts w:ascii="Arial" w:eastAsia="Calibri" w:hAnsi="Arial" w:cs="Arial"/>
          <w:szCs w:val="24"/>
        </w:rPr>
      </w:pPr>
      <w:r w:rsidRPr="006E33D0">
        <w:rPr>
          <w:rFonts w:ascii="Arial" w:eastAsia="Calibri" w:hAnsi="Arial" w:cs="Arial"/>
          <w:szCs w:val="24"/>
        </w:rPr>
        <w:t>Since 2017, the Independent Inquiry into Child Sexual Abuse (IICSA) has investigated child sexual abuse in different settings, such as religious institutions and youth custody. It has highlighted widespread institutional failures to protect children and made recommendations for change.</w:t>
      </w:r>
      <w:r w:rsidRPr="006E33D0">
        <w:rPr>
          <w:rFonts w:ascii="Arial" w:eastAsia="Calibri" w:hAnsi="Arial" w:cs="Arial"/>
          <w:szCs w:val="24"/>
          <w:vertAlign w:val="superscript"/>
        </w:rPr>
        <w:footnoteReference w:id="110"/>
      </w:r>
      <w:r w:rsidRPr="006E33D0">
        <w:rPr>
          <w:rFonts w:ascii="Arial" w:eastAsia="Calibri" w:hAnsi="Arial" w:cs="Arial"/>
          <w:szCs w:val="24"/>
        </w:rPr>
        <w:t xml:space="preserve"> Evidence published by the IICSA in 2021 found that 73% of survivors of child sexual abuse who chose to take part in an IICSA consultation felt that their protected characteristics </w:t>
      </w:r>
      <w:r w:rsidR="000D500B">
        <w:rPr>
          <w:rFonts w:ascii="Arial" w:eastAsia="Calibri" w:hAnsi="Arial" w:cs="Arial"/>
          <w:szCs w:val="24"/>
        </w:rPr>
        <w:t>affected</w:t>
      </w:r>
      <w:r w:rsidR="000D500B" w:rsidRPr="006E33D0">
        <w:rPr>
          <w:rFonts w:ascii="Arial" w:eastAsia="Calibri" w:hAnsi="Arial" w:cs="Arial"/>
          <w:szCs w:val="24"/>
        </w:rPr>
        <w:t xml:space="preserve"> </w:t>
      </w:r>
      <w:r w:rsidRPr="006E33D0">
        <w:rPr>
          <w:rFonts w:ascii="Arial" w:eastAsia="Calibri" w:hAnsi="Arial" w:cs="Arial"/>
          <w:szCs w:val="24"/>
        </w:rPr>
        <w:t>their interaction with institutions.</w:t>
      </w:r>
      <w:r w:rsidRPr="006E33D0">
        <w:rPr>
          <w:rFonts w:ascii="Arial" w:eastAsia="Calibri" w:hAnsi="Arial" w:cs="Arial"/>
          <w:szCs w:val="24"/>
          <w:vertAlign w:val="superscript"/>
        </w:rPr>
        <w:footnoteReference w:id="111"/>
      </w:r>
      <w:r w:rsidRPr="006E33D0">
        <w:rPr>
          <w:rFonts w:ascii="Arial" w:eastAsia="Calibri" w:hAnsi="Arial" w:cs="Arial"/>
          <w:szCs w:val="24"/>
        </w:rPr>
        <w:t xml:space="preserve"> Some described barriers to reporting, not being believed, and a lack of institutional support, which was often linked to age, sex, race, disability, or religion. The UK Government has taken the welcome step of developing a strategy </w:t>
      </w:r>
      <w:r w:rsidR="000D500B">
        <w:rPr>
          <w:rFonts w:ascii="Arial" w:eastAsia="Calibri" w:hAnsi="Arial" w:cs="Arial"/>
          <w:szCs w:val="24"/>
        </w:rPr>
        <w:t>to</w:t>
      </w:r>
      <w:r w:rsidRPr="006E33D0">
        <w:rPr>
          <w:rFonts w:ascii="Arial" w:eastAsia="Calibri" w:hAnsi="Arial" w:cs="Arial"/>
          <w:szCs w:val="24"/>
        </w:rPr>
        <w:t xml:space="preserve"> tackl</w:t>
      </w:r>
      <w:r w:rsidR="000D500B">
        <w:rPr>
          <w:rFonts w:ascii="Arial" w:eastAsia="Calibri" w:hAnsi="Arial" w:cs="Arial"/>
          <w:szCs w:val="24"/>
        </w:rPr>
        <w:t>e</w:t>
      </w:r>
      <w:r w:rsidRPr="006E33D0">
        <w:rPr>
          <w:rFonts w:ascii="Arial" w:eastAsia="Calibri" w:hAnsi="Arial" w:cs="Arial"/>
          <w:szCs w:val="24"/>
        </w:rPr>
        <w:t xml:space="preserve"> child sexual abuse.</w:t>
      </w:r>
      <w:r w:rsidRPr="006E33D0">
        <w:rPr>
          <w:rFonts w:ascii="Arial" w:eastAsia="Calibri" w:hAnsi="Arial" w:cs="Arial"/>
          <w:szCs w:val="24"/>
          <w:vertAlign w:val="superscript"/>
        </w:rPr>
        <w:footnoteReference w:id="112"/>
      </w:r>
    </w:p>
    <w:p w14:paraId="562F1FFD" w14:textId="0EC91F16" w:rsidR="001A6181" w:rsidRPr="00B91A3D" w:rsidRDefault="001A6181" w:rsidP="001A6181">
      <w:pPr>
        <w:pStyle w:val="Heading3"/>
      </w:pPr>
      <w:r>
        <w:t>Support for children who have experienced abuse</w:t>
      </w:r>
    </w:p>
    <w:p w14:paraId="310435A6" w14:textId="70A6224E" w:rsidR="001A6181" w:rsidRPr="006E33D0" w:rsidRDefault="001A6181" w:rsidP="001A6181">
      <w:pPr>
        <w:spacing w:line="240" w:lineRule="auto"/>
        <w:rPr>
          <w:rFonts w:ascii="Arial" w:eastAsia="Calibri" w:hAnsi="Arial" w:cs="Arial"/>
          <w:szCs w:val="24"/>
        </w:rPr>
      </w:pPr>
      <w:r w:rsidRPr="006E33D0">
        <w:rPr>
          <w:rFonts w:ascii="Arial" w:eastAsia="Calibri" w:hAnsi="Arial" w:cs="Arial"/>
          <w:szCs w:val="24"/>
        </w:rPr>
        <w:t>The passage of the Domestic Abuse Act 2021 was welcome. The Act explicitly recognises children</w:t>
      </w:r>
      <w:r w:rsidR="000D500B">
        <w:rPr>
          <w:rFonts w:ascii="Arial" w:eastAsia="Calibri" w:hAnsi="Arial" w:cs="Arial"/>
          <w:szCs w:val="24"/>
        </w:rPr>
        <w:t xml:space="preserve"> –</w:t>
      </w:r>
      <w:r w:rsidRPr="006E33D0">
        <w:rPr>
          <w:rFonts w:ascii="Arial" w:eastAsia="Calibri" w:hAnsi="Arial" w:cs="Arial"/>
          <w:szCs w:val="24"/>
        </w:rPr>
        <w:t xml:space="preserve"> including those who see, hear or experience the effects of abuse</w:t>
      </w:r>
      <w:r w:rsidR="000D500B">
        <w:rPr>
          <w:rFonts w:ascii="Arial" w:eastAsia="Calibri" w:hAnsi="Arial" w:cs="Arial"/>
          <w:szCs w:val="24"/>
        </w:rPr>
        <w:t xml:space="preserve"> –</w:t>
      </w:r>
      <w:r w:rsidRPr="006E33D0">
        <w:rPr>
          <w:rFonts w:ascii="Arial" w:eastAsia="Calibri" w:hAnsi="Arial" w:cs="Arial"/>
          <w:szCs w:val="24"/>
        </w:rPr>
        <w:t xml:space="preserve"> as victims of domestic abuse.</w:t>
      </w:r>
      <w:r w:rsidRPr="006E33D0">
        <w:rPr>
          <w:rFonts w:ascii="Arial" w:eastAsia="Calibri" w:hAnsi="Arial" w:cs="Arial"/>
          <w:szCs w:val="24"/>
          <w:vertAlign w:val="superscript"/>
        </w:rPr>
        <w:footnoteReference w:id="113"/>
      </w:r>
      <w:r w:rsidRPr="006E33D0">
        <w:rPr>
          <w:rFonts w:ascii="Arial" w:eastAsia="Calibri" w:hAnsi="Arial" w:cs="Arial"/>
          <w:szCs w:val="24"/>
        </w:rPr>
        <w:t xml:space="preserve"> In England, it places a duty on local authorities to provide support to victims and their children in refuges and other ‘relevant accommodation’.</w:t>
      </w:r>
      <w:r w:rsidRPr="006E33D0">
        <w:rPr>
          <w:rFonts w:ascii="Arial" w:eastAsia="Calibri" w:hAnsi="Arial" w:cs="Arial"/>
          <w:szCs w:val="24"/>
          <w:vertAlign w:val="superscript"/>
        </w:rPr>
        <w:footnoteReference w:id="114"/>
      </w:r>
    </w:p>
    <w:p w14:paraId="63A7107E" w14:textId="77777777" w:rsidR="007A49F5" w:rsidRDefault="001A6181" w:rsidP="001A6181">
      <w:pPr>
        <w:spacing w:line="240" w:lineRule="auto"/>
        <w:rPr>
          <w:rFonts w:ascii="Arial" w:eastAsia="Calibri" w:hAnsi="Arial" w:cs="Arial"/>
          <w:szCs w:val="24"/>
        </w:rPr>
      </w:pPr>
      <w:r w:rsidRPr="006E33D0">
        <w:rPr>
          <w:rFonts w:ascii="Arial" w:eastAsia="Calibri" w:hAnsi="Arial" w:cs="Arial"/>
          <w:szCs w:val="24"/>
        </w:rPr>
        <w:t>Current provision of specialist services is inadequate to meet the new requirements of this Act and the needs of children,</w:t>
      </w:r>
      <w:r w:rsidRPr="006E33D0">
        <w:rPr>
          <w:rFonts w:ascii="Arial" w:eastAsia="Calibri" w:hAnsi="Arial" w:cs="Arial"/>
          <w:szCs w:val="24"/>
          <w:vertAlign w:val="superscript"/>
        </w:rPr>
        <w:footnoteReference w:id="115"/>
      </w:r>
      <w:r w:rsidRPr="006E33D0">
        <w:rPr>
          <w:rFonts w:ascii="Arial" w:eastAsia="Calibri" w:hAnsi="Arial" w:cs="Arial"/>
          <w:szCs w:val="24"/>
        </w:rPr>
        <w:t xml:space="preserve"> with varying availability across England and Wales.</w:t>
      </w:r>
      <w:r w:rsidRPr="006E33D0">
        <w:rPr>
          <w:rFonts w:ascii="Arial" w:eastAsia="Calibri" w:hAnsi="Arial" w:cs="Arial"/>
          <w:szCs w:val="24"/>
          <w:vertAlign w:val="superscript"/>
        </w:rPr>
        <w:footnoteReference w:id="116"/>
      </w:r>
      <w:r w:rsidRPr="006E33D0">
        <w:rPr>
          <w:rFonts w:ascii="Arial" w:eastAsia="Calibri" w:hAnsi="Arial" w:cs="Arial"/>
          <w:szCs w:val="24"/>
        </w:rPr>
        <w:t xml:space="preserve"> There are gaps in specific provision for minority groups, and no requirement for local authorities to provide community-based, long-term therapeutic support outside ‘relevant accommodation’ or refuge settings.</w:t>
      </w:r>
      <w:r w:rsidRPr="006E33D0">
        <w:rPr>
          <w:rFonts w:ascii="Arial" w:eastAsia="Calibri" w:hAnsi="Arial" w:cs="Arial"/>
          <w:szCs w:val="24"/>
          <w:vertAlign w:val="superscript"/>
        </w:rPr>
        <w:footnoteReference w:id="117"/>
      </w:r>
      <w:r w:rsidRPr="006E33D0">
        <w:rPr>
          <w:rFonts w:ascii="Arial" w:eastAsia="Calibri" w:hAnsi="Arial" w:cs="Arial"/>
          <w:szCs w:val="24"/>
        </w:rPr>
        <w:t xml:space="preserve"> </w:t>
      </w:r>
    </w:p>
    <w:p w14:paraId="098AF800" w14:textId="40AFEC9A" w:rsidR="001A6181" w:rsidRPr="006E33D0" w:rsidRDefault="001A6181" w:rsidP="001A6181">
      <w:pPr>
        <w:spacing w:line="240" w:lineRule="auto"/>
        <w:rPr>
          <w:rFonts w:ascii="Arial" w:eastAsia="Calibri" w:hAnsi="Arial" w:cs="Arial"/>
          <w:szCs w:val="24"/>
        </w:rPr>
      </w:pPr>
      <w:r w:rsidRPr="006E33D0">
        <w:rPr>
          <w:rFonts w:ascii="Arial" w:eastAsia="Calibri" w:hAnsi="Arial" w:cs="Arial"/>
          <w:szCs w:val="24"/>
        </w:rPr>
        <w:t>In Wales, there is no requirement for local authorities to use funding to provide specific services for children and most do not adequately account for children in their domestic abuse strategies.</w:t>
      </w:r>
      <w:r w:rsidRPr="006E33D0">
        <w:rPr>
          <w:rFonts w:ascii="Arial" w:eastAsia="Calibri" w:hAnsi="Arial" w:cs="Arial"/>
          <w:szCs w:val="24"/>
          <w:vertAlign w:val="superscript"/>
        </w:rPr>
        <w:footnoteReference w:id="118"/>
      </w:r>
      <w:r w:rsidRPr="006E33D0">
        <w:rPr>
          <w:rFonts w:ascii="Arial" w:eastAsia="Calibri" w:hAnsi="Arial" w:cs="Arial"/>
          <w:szCs w:val="24"/>
        </w:rPr>
        <w:t xml:space="preserve"> A lack of long-term funding commitments for spec</w:t>
      </w:r>
      <w:r w:rsidR="00813BDA">
        <w:rPr>
          <w:rFonts w:ascii="Arial" w:eastAsia="Calibri" w:hAnsi="Arial" w:cs="Arial"/>
          <w:szCs w:val="24"/>
        </w:rPr>
        <w:t>ialist children</w:t>
      </w:r>
      <w:r w:rsidRPr="006E33D0">
        <w:rPr>
          <w:rFonts w:ascii="Arial" w:eastAsia="Calibri" w:hAnsi="Arial" w:cs="Arial"/>
          <w:szCs w:val="24"/>
        </w:rPr>
        <w:t xml:space="preserve">’s services risks </w:t>
      </w:r>
      <w:r w:rsidR="000D500B">
        <w:rPr>
          <w:rFonts w:ascii="Arial" w:eastAsia="Calibri" w:hAnsi="Arial" w:cs="Arial"/>
          <w:szCs w:val="24"/>
        </w:rPr>
        <w:t>widening the</w:t>
      </w:r>
      <w:r w:rsidRPr="006E33D0">
        <w:rPr>
          <w:rFonts w:ascii="Arial" w:eastAsia="Calibri" w:hAnsi="Arial" w:cs="Arial"/>
          <w:szCs w:val="24"/>
        </w:rPr>
        <w:t xml:space="preserve"> gap in provision.</w:t>
      </w:r>
      <w:r w:rsidRPr="006E33D0">
        <w:rPr>
          <w:rFonts w:ascii="Arial" w:eastAsia="Calibri" w:hAnsi="Arial" w:cs="Arial"/>
          <w:szCs w:val="24"/>
          <w:vertAlign w:val="superscript"/>
        </w:rPr>
        <w:footnoteReference w:id="119"/>
      </w:r>
      <w:r w:rsidRPr="006E33D0">
        <w:rPr>
          <w:rFonts w:ascii="Arial" w:eastAsia="Calibri" w:hAnsi="Arial" w:cs="Arial"/>
          <w:szCs w:val="24"/>
        </w:rPr>
        <w:t xml:space="preserve"> </w:t>
      </w:r>
    </w:p>
    <w:p w14:paraId="3358D18C" w14:textId="3292B1B1" w:rsidR="001A6181" w:rsidRPr="006E33D0" w:rsidRDefault="001A6181" w:rsidP="001A6181">
      <w:pPr>
        <w:spacing w:line="240" w:lineRule="auto"/>
        <w:rPr>
          <w:rFonts w:ascii="Arial" w:eastAsia="Calibri" w:hAnsi="Arial" w:cs="Arial"/>
          <w:szCs w:val="24"/>
        </w:rPr>
      </w:pPr>
      <w:r w:rsidRPr="006E33D0">
        <w:rPr>
          <w:rFonts w:ascii="Arial" w:eastAsia="Calibri" w:hAnsi="Arial" w:cs="Arial"/>
          <w:szCs w:val="24"/>
        </w:rPr>
        <w:t xml:space="preserve">The Domestic Abuse Commissioner has urged the UK Government to ensure there is sufficient support for migrant victims who are unable to access public funds and </w:t>
      </w:r>
      <w:r w:rsidR="000D500B">
        <w:rPr>
          <w:rFonts w:ascii="Arial" w:eastAsia="Calibri" w:hAnsi="Arial" w:cs="Arial"/>
          <w:szCs w:val="24"/>
        </w:rPr>
        <w:t>who may</w:t>
      </w:r>
      <w:r w:rsidRPr="006E33D0">
        <w:rPr>
          <w:rFonts w:ascii="Arial" w:eastAsia="Calibri" w:hAnsi="Arial" w:cs="Arial"/>
          <w:szCs w:val="24"/>
        </w:rPr>
        <w:t xml:space="preserve"> be forced to stay with their abusers.</w:t>
      </w:r>
      <w:r w:rsidRPr="006E33D0">
        <w:rPr>
          <w:rFonts w:ascii="Arial" w:eastAsia="Calibri" w:hAnsi="Arial" w:cs="Arial"/>
          <w:szCs w:val="24"/>
          <w:vertAlign w:val="superscript"/>
        </w:rPr>
        <w:footnoteReference w:id="120"/>
      </w:r>
      <w:r w:rsidRPr="006E33D0">
        <w:rPr>
          <w:rFonts w:ascii="Arial" w:eastAsia="Calibri" w:hAnsi="Arial" w:cs="Arial"/>
          <w:szCs w:val="24"/>
        </w:rPr>
        <w:t xml:space="preserve"> The UK House of Commons Work and Pensions Committee echoed this in 2022, reporting that children from families with no recourse to public funds (NRPF) face safeguarding risks and lack the necessary support to escape abuse.</w:t>
      </w:r>
      <w:r w:rsidRPr="006E33D0">
        <w:rPr>
          <w:rFonts w:ascii="Arial" w:eastAsia="Calibri" w:hAnsi="Arial" w:cs="Arial"/>
          <w:szCs w:val="24"/>
          <w:vertAlign w:val="superscript"/>
        </w:rPr>
        <w:footnoteReference w:id="121"/>
      </w:r>
    </w:p>
    <w:p w14:paraId="716BAE84" w14:textId="3D95BED1" w:rsidR="001A6181" w:rsidRPr="006E33D0" w:rsidRDefault="001A6181" w:rsidP="001A6181">
      <w:pPr>
        <w:spacing w:line="240" w:lineRule="auto"/>
        <w:rPr>
          <w:rFonts w:ascii="Arial" w:eastAsia="Calibri" w:hAnsi="Arial" w:cs="Arial"/>
          <w:szCs w:val="24"/>
        </w:rPr>
      </w:pPr>
      <w:r w:rsidRPr="006E33D0">
        <w:rPr>
          <w:rFonts w:ascii="Arial" w:eastAsia="Calibri" w:hAnsi="Arial" w:cs="Arial"/>
          <w:szCs w:val="24"/>
        </w:rPr>
        <w:t>In 2021</w:t>
      </w:r>
      <w:r>
        <w:rPr>
          <w:rFonts w:ascii="Arial" w:eastAsia="Calibri" w:hAnsi="Arial" w:cs="Arial"/>
          <w:szCs w:val="24"/>
        </w:rPr>
        <w:t>,</w:t>
      </w:r>
      <w:r w:rsidRPr="006E33D0">
        <w:rPr>
          <w:rFonts w:ascii="Arial" w:eastAsia="Calibri" w:hAnsi="Arial" w:cs="Arial"/>
          <w:szCs w:val="24"/>
        </w:rPr>
        <w:t xml:space="preserve"> the UK Government rejected an amendment to the Domestic Abuse Act that would place a statutory duty on local authorities to provide community-based services as well as accommodation-based services.</w:t>
      </w:r>
      <w:r w:rsidRPr="006E33D0">
        <w:rPr>
          <w:rFonts w:ascii="Arial" w:eastAsia="Calibri" w:hAnsi="Arial" w:cs="Arial"/>
          <w:szCs w:val="24"/>
          <w:vertAlign w:val="superscript"/>
        </w:rPr>
        <w:footnoteReference w:id="122"/>
      </w:r>
      <w:r w:rsidRPr="006E33D0">
        <w:rPr>
          <w:rFonts w:ascii="Arial" w:eastAsia="Calibri" w:hAnsi="Arial" w:cs="Arial"/>
          <w:szCs w:val="24"/>
        </w:rPr>
        <w:t xml:space="preserve"> It did, however, consult on these services in 2021/22 as part of a proposed ‘Victims’ Law’,</w:t>
      </w:r>
      <w:r w:rsidRPr="006E33D0">
        <w:rPr>
          <w:rFonts w:ascii="Arial" w:eastAsia="Calibri" w:hAnsi="Arial" w:cs="Arial"/>
          <w:szCs w:val="24"/>
          <w:vertAlign w:val="superscript"/>
        </w:rPr>
        <w:footnoteReference w:id="123"/>
      </w:r>
      <w:r w:rsidRPr="006E33D0">
        <w:rPr>
          <w:rFonts w:ascii="Arial" w:eastAsia="Calibri" w:hAnsi="Arial" w:cs="Arial"/>
          <w:szCs w:val="24"/>
        </w:rPr>
        <w:t xml:space="preserve"> and place a statutory duty on the Domestic Abuse Commissioner to report on the provision of and need for community-based services.</w:t>
      </w:r>
      <w:r w:rsidRPr="006E33D0">
        <w:rPr>
          <w:rFonts w:ascii="Arial" w:eastAsia="Calibri" w:hAnsi="Arial" w:cs="Arial"/>
          <w:szCs w:val="24"/>
          <w:vertAlign w:val="superscript"/>
        </w:rPr>
        <w:footnoteReference w:id="124"/>
      </w:r>
      <w:r w:rsidRPr="006E33D0">
        <w:rPr>
          <w:rFonts w:ascii="Arial" w:eastAsia="Calibri" w:hAnsi="Arial" w:cs="Arial"/>
          <w:szCs w:val="24"/>
        </w:rPr>
        <w:t xml:space="preserve"> A strategy </w:t>
      </w:r>
      <w:r w:rsidR="000D500B">
        <w:rPr>
          <w:rFonts w:ascii="Arial" w:eastAsia="Calibri" w:hAnsi="Arial" w:cs="Arial"/>
          <w:szCs w:val="24"/>
        </w:rPr>
        <w:t>to</w:t>
      </w:r>
      <w:r w:rsidRPr="006E33D0">
        <w:rPr>
          <w:rFonts w:ascii="Arial" w:eastAsia="Calibri" w:hAnsi="Arial" w:cs="Arial"/>
          <w:szCs w:val="24"/>
        </w:rPr>
        <w:t xml:space="preserve"> tackl</w:t>
      </w:r>
      <w:r w:rsidR="000D500B">
        <w:rPr>
          <w:rFonts w:ascii="Arial" w:eastAsia="Calibri" w:hAnsi="Arial" w:cs="Arial"/>
          <w:szCs w:val="24"/>
        </w:rPr>
        <w:t>e</w:t>
      </w:r>
      <w:r w:rsidRPr="006E33D0">
        <w:rPr>
          <w:rFonts w:ascii="Arial" w:eastAsia="Calibri" w:hAnsi="Arial" w:cs="Arial"/>
          <w:szCs w:val="24"/>
        </w:rPr>
        <w:t xml:space="preserve"> violence against women and girls has also been developed.</w:t>
      </w:r>
      <w:r w:rsidRPr="006E33D0">
        <w:rPr>
          <w:rFonts w:ascii="Arial" w:eastAsia="Calibri" w:hAnsi="Arial" w:cs="Arial"/>
          <w:szCs w:val="24"/>
          <w:vertAlign w:val="superscript"/>
        </w:rPr>
        <w:footnoteReference w:id="125"/>
      </w:r>
      <w:r w:rsidRPr="006E33D0">
        <w:rPr>
          <w:rFonts w:ascii="Arial" w:eastAsia="Calibri" w:hAnsi="Arial" w:cs="Arial"/>
          <w:szCs w:val="24"/>
        </w:rPr>
        <w:t xml:space="preserve"> </w:t>
      </w:r>
    </w:p>
    <w:p w14:paraId="4B12E2CE" w14:textId="1C7599D4" w:rsidR="001A6181" w:rsidRPr="006E33D0" w:rsidRDefault="001A6181" w:rsidP="001A6181">
      <w:pPr>
        <w:spacing w:line="240" w:lineRule="auto"/>
        <w:rPr>
          <w:rFonts w:ascii="Arial" w:eastAsia="Calibri" w:hAnsi="Arial" w:cs="Arial"/>
          <w:szCs w:val="24"/>
        </w:rPr>
      </w:pPr>
      <w:r w:rsidRPr="006E33D0">
        <w:rPr>
          <w:rFonts w:ascii="Arial" w:eastAsia="Calibri" w:hAnsi="Arial" w:cs="Arial"/>
          <w:szCs w:val="24"/>
        </w:rPr>
        <w:t>In Wales, progress has been made implementing the provisions of the Violence against Women, Domestic Abuse and Sexual Violence (VAWDASV) Act 2015,</w:t>
      </w:r>
      <w:r w:rsidRPr="006E33D0">
        <w:rPr>
          <w:rFonts w:ascii="Arial" w:eastAsia="Calibri" w:hAnsi="Arial" w:cs="Arial"/>
          <w:szCs w:val="24"/>
          <w:vertAlign w:val="superscript"/>
        </w:rPr>
        <w:footnoteReference w:id="126"/>
      </w:r>
      <w:r w:rsidRPr="006E33D0">
        <w:rPr>
          <w:rFonts w:ascii="Arial" w:eastAsia="Calibri" w:hAnsi="Arial" w:cs="Arial"/>
          <w:szCs w:val="24"/>
        </w:rPr>
        <w:t xml:space="preserve"> and, following a consultation, the Welsh Government published an updated VAWDASV strategy in 2022.</w:t>
      </w:r>
      <w:r w:rsidRPr="006E33D0">
        <w:rPr>
          <w:rFonts w:ascii="Arial" w:eastAsia="Calibri" w:hAnsi="Arial" w:cs="Arial"/>
          <w:szCs w:val="24"/>
          <w:vertAlign w:val="superscript"/>
        </w:rPr>
        <w:footnoteReference w:id="127"/>
      </w:r>
      <w:r w:rsidRPr="006E33D0">
        <w:rPr>
          <w:rFonts w:ascii="Arial" w:eastAsia="Calibri" w:hAnsi="Arial" w:cs="Arial"/>
          <w:szCs w:val="24"/>
        </w:rPr>
        <w:t xml:space="preserve"> The UK Government ratified the Istanbul Convention in 2022,</w:t>
      </w:r>
      <w:r w:rsidRPr="006E33D0">
        <w:rPr>
          <w:rFonts w:ascii="Arial" w:eastAsia="Calibri" w:hAnsi="Arial" w:cs="Arial"/>
          <w:szCs w:val="24"/>
          <w:vertAlign w:val="superscript"/>
        </w:rPr>
        <w:footnoteReference w:id="128"/>
      </w:r>
      <w:r w:rsidRPr="006E33D0">
        <w:rPr>
          <w:rFonts w:ascii="Arial" w:eastAsia="Calibri" w:hAnsi="Arial" w:cs="Arial"/>
          <w:szCs w:val="24"/>
        </w:rPr>
        <w:t xml:space="preserve"> guaranteeing a range of protections for girls</w:t>
      </w:r>
      <w:r w:rsidR="000D500B">
        <w:rPr>
          <w:rFonts w:ascii="Arial" w:eastAsia="Calibri" w:hAnsi="Arial" w:cs="Arial"/>
          <w:szCs w:val="24"/>
        </w:rPr>
        <w:t xml:space="preserve"> –</w:t>
      </w:r>
      <w:r w:rsidRPr="006E33D0">
        <w:rPr>
          <w:rFonts w:ascii="Arial" w:eastAsia="Calibri" w:hAnsi="Arial" w:cs="Arial"/>
          <w:szCs w:val="24"/>
        </w:rPr>
        <w:t xml:space="preserve"> including better data gathering, adequate refuges and specialist services</w:t>
      </w:r>
      <w:r w:rsidR="000D500B">
        <w:rPr>
          <w:rFonts w:ascii="Arial" w:eastAsia="Calibri" w:hAnsi="Arial" w:cs="Arial"/>
          <w:szCs w:val="24"/>
        </w:rPr>
        <w:t xml:space="preserve"> –</w:t>
      </w:r>
      <w:r w:rsidRPr="006E33D0">
        <w:rPr>
          <w:rFonts w:ascii="Arial" w:eastAsia="Calibri" w:hAnsi="Arial" w:cs="Arial"/>
          <w:szCs w:val="24"/>
        </w:rPr>
        <w:t xml:space="preserve"> and psychological support for victims. We welcome ratification, though the UK Government has applied reservations to Article 44</w:t>
      </w:r>
      <w:r w:rsidR="000D500B">
        <w:rPr>
          <w:rFonts w:ascii="Arial" w:eastAsia="Calibri" w:hAnsi="Arial" w:cs="Arial"/>
          <w:szCs w:val="24"/>
        </w:rPr>
        <w:t xml:space="preserve"> </w:t>
      </w:r>
      <w:r w:rsidRPr="006E33D0">
        <w:rPr>
          <w:rFonts w:ascii="Arial" w:eastAsia="Calibri" w:hAnsi="Arial" w:cs="Arial"/>
          <w:szCs w:val="24"/>
        </w:rPr>
        <w:t>(3), which relates to extraterritorial jurisdiction and dual criminality, and Article 59, which relates to survivors whose residence status depends upon that of their spouse or partner, the latter pending the outcome of the Support for Migrant Victims Scheme.</w:t>
      </w:r>
      <w:r w:rsidRPr="006E33D0">
        <w:rPr>
          <w:rFonts w:ascii="Arial" w:eastAsia="Calibri" w:hAnsi="Arial" w:cs="Arial"/>
          <w:szCs w:val="24"/>
          <w:vertAlign w:val="superscript"/>
        </w:rPr>
        <w:footnoteReference w:id="129"/>
      </w:r>
    </w:p>
    <w:p w14:paraId="64D9DB29" w14:textId="37E74A10" w:rsidR="001A6181" w:rsidRPr="00B91A3D" w:rsidRDefault="001A6181" w:rsidP="001A6181">
      <w:pPr>
        <w:pStyle w:val="Heading3"/>
      </w:pPr>
      <w:r>
        <w:t>Safety of children online</w:t>
      </w:r>
    </w:p>
    <w:p w14:paraId="2BB0A9B6" w14:textId="77777777" w:rsidR="001A6181" w:rsidRPr="006E33D0" w:rsidRDefault="001A6181" w:rsidP="001A6181">
      <w:pPr>
        <w:spacing w:line="240" w:lineRule="auto"/>
        <w:rPr>
          <w:rFonts w:ascii="Arial" w:eastAsia="Calibri" w:hAnsi="Arial" w:cs="Arial"/>
          <w:szCs w:val="24"/>
        </w:rPr>
      </w:pPr>
      <w:r w:rsidRPr="006E33D0">
        <w:rPr>
          <w:rFonts w:ascii="Arial" w:eastAsia="Calibri" w:hAnsi="Arial" w:cs="Arial"/>
          <w:szCs w:val="24"/>
        </w:rPr>
        <w:t>Children must be afforded the opportunities that digital connectivity brings, including to enjoy their right to accessible information. But greater online engagement also puts children at increasing risk from abuse, exploitation and grooming.</w:t>
      </w:r>
      <w:r w:rsidRPr="006E33D0">
        <w:rPr>
          <w:rFonts w:ascii="Arial" w:eastAsia="Calibri" w:hAnsi="Arial" w:cs="Arial"/>
          <w:szCs w:val="24"/>
          <w:vertAlign w:val="superscript"/>
        </w:rPr>
        <w:footnoteReference w:id="130"/>
      </w:r>
      <w:r w:rsidRPr="006E33D0">
        <w:rPr>
          <w:rFonts w:ascii="Arial" w:eastAsia="Calibri" w:hAnsi="Arial" w:cs="Arial"/>
          <w:szCs w:val="24"/>
        </w:rPr>
        <w:t xml:space="preserve"> </w:t>
      </w:r>
    </w:p>
    <w:p w14:paraId="336B6543" w14:textId="26B3978D" w:rsidR="001A6181" w:rsidRPr="006E33D0" w:rsidRDefault="000D500B" w:rsidP="001A6181">
      <w:pPr>
        <w:spacing w:line="240" w:lineRule="auto"/>
        <w:rPr>
          <w:rFonts w:ascii="Arial" w:eastAsia="Calibri" w:hAnsi="Arial" w:cs="Arial"/>
          <w:szCs w:val="24"/>
        </w:rPr>
      </w:pPr>
      <w:r>
        <w:rPr>
          <w:rFonts w:ascii="Arial" w:eastAsia="Calibri" w:hAnsi="Arial" w:cs="Arial"/>
          <w:szCs w:val="24"/>
        </w:rPr>
        <w:t>Some 4</w:t>
      </w:r>
      <w:r w:rsidR="00813BDA">
        <w:rPr>
          <w:rFonts w:ascii="Arial" w:eastAsia="Calibri" w:hAnsi="Arial" w:cs="Arial"/>
          <w:szCs w:val="24"/>
        </w:rPr>
        <w:t xml:space="preserve"> in </w:t>
      </w:r>
      <w:r>
        <w:rPr>
          <w:rFonts w:ascii="Arial" w:eastAsia="Calibri" w:hAnsi="Arial" w:cs="Arial"/>
          <w:szCs w:val="24"/>
        </w:rPr>
        <w:t>10</w:t>
      </w:r>
      <w:r w:rsidR="00813BDA">
        <w:rPr>
          <w:rFonts w:ascii="Arial" w:eastAsia="Calibri" w:hAnsi="Arial" w:cs="Arial"/>
          <w:szCs w:val="24"/>
        </w:rPr>
        <w:t xml:space="preserve"> children</w:t>
      </w:r>
      <w:r w:rsidR="001A6181" w:rsidRPr="006E33D0">
        <w:rPr>
          <w:rFonts w:ascii="Arial" w:eastAsia="Calibri" w:hAnsi="Arial" w:cs="Arial"/>
          <w:szCs w:val="24"/>
        </w:rPr>
        <w:t xml:space="preserve"> who responded to a 2020 survey had experienced online abuse, and </w:t>
      </w:r>
      <w:r>
        <w:rPr>
          <w:rFonts w:ascii="Arial" w:eastAsia="Calibri" w:hAnsi="Arial" w:cs="Arial"/>
          <w:szCs w:val="24"/>
        </w:rPr>
        <w:t>1</w:t>
      </w:r>
      <w:r w:rsidR="001A6181" w:rsidRPr="006E33D0">
        <w:rPr>
          <w:rFonts w:ascii="Arial" w:eastAsia="Calibri" w:hAnsi="Arial" w:cs="Arial"/>
          <w:szCs w:val="24"/>
        </w:rPr>
        <w:t xml:space="preserve"> in </w:t>
      </w:r>
      <w:r>
        <w:rPr>
          <w:rFonts w:ascii="Arial" w:eastAsia="Calibri" w:hAnsi="Arial" w:cs="Arial"/>
          <w:szCs w:val="24"/>
        </w:rPr>
        <w:t>4</w:t>
      </w:r>
      <w:r w:rsidR="001A6181" w:rsidRPr="006E33D0">
        <w:rPr>
          <w:rFonts w:ascii="Arial" w:eastAsia="Calibri" w:hAnsi="Arial" w:cs="Arial"/>
          <w:szCs w:val="24"/>
        </w:rPr>
        <w:t xml:space="preserve"> had received an unwanted sexual message or image from a stranger online.</w:t>
      </w:r>
      <w:r w:rsidR="001A6181" w:rsidRPr="006E33D0">
        <w:rPr>
          <w:rFonts w:ascii="Arial" w:eastAsia="Calibri" w:hAnsi="Arial" w:cs="Arial"/>
          <w:szCs w:val="24"/>
          <w:vertAlign w:val="superscript"/>
        </w:rPr>
        <w:footnoteReference w:id="131"/>
      </w:r>
      <w:r w:rsidR="001A6181" w:rsidRPr="006E33D0">
        <w:rPr>
          <w:rFonts w:ascii="Arial" w:eastAsia="Calibri" w:hAnsi="Arial" w:cs="Arial"/>
          <w:szCs w:val="24"/>
        </w:rPr>
        <w:t xml:space="preserve"> Another survey suggest</w:t>
      </w:r>
      <w:r>
        <w:rPr>
          <w:rFonts w:ascii="Arial" w:eastAsia="Calibri" w:hAnsi="Arial" w:cs="Arial"/>
          <w:szCs w:val="24"/>
        </w:rPr>
        <w:t>ed</w:t>
      </w:r>
      <w:r w:rsidR="001A6181" w:rsidRPr="006E33D0">
        <w:rPr>
          <w:rFonts w:ascii="Arial" w:eastAsia="Calibri" w:hAnsi="Arial" w:cs="Arial"/>
          <w:szCs w:val="24"/>
        </w:rPr>
        <w:t xml:space="preserve"> that a growing proportion of children experienced racist or homophobic bullying or aggression online between 2015 and 2019 – with racist bullying rising from 4% to 13% and homophobic bullying rising from 4% to 15% in this period.</w:t>
      </w:r>
      <w:r w:rsidR="001A6181" w:rsidRPr="006E33D0">
        <w:rPr>
          <w:rFonts w:ascii="Arial" w:eastAsia="Calibri" w:hAnsi="Arial" w:cs="Arial"/>
          <w:szCs w:val="24"/>
          <w:vertAlign w:val="superscript"/>
        </w:rPr>
        <w:footnoteReference w:id="132"/>
      </w:r>
      <w:r w:rsidR="001A6181" w:rsidRPr="006E33D0">
        <w:rPr>
          <w:rFonts w:ascii="Arial" w:eastAsia="Calibri" w:hAnsi="Arial" w:cs="Arial"/>
          <w:szCs w:val="24"/>
        </w:rPr>
        <w:t xml:space="preserve"> With children spending more time online during the pandemic, recorded incidents of abuse and exploitation against children o</w:t>
      </w:r>
      <w:r w:rsidR="00A64C7F">
        <w:rPr>
          <w:rFonts w:ascii="Arial" w:eastAsia="Calibri" w:hAnsi="Arial" w:cs="Arial"/>
          <w:szCs w:val="24"/>
        </w:rPr>
        <w:t xml:space="preserve">nline rose by 17% between April and </w:t>
      </w:r>
      <w:r w:rsidR="001A6181" w:rsidRPr="006E33D0">
        <w:rPr>
          <w:rFonts w:ascii="Arial" w:eastAsia="Calibri" w:hAnsi="Arial" w:cs="Arial"/>
          <w:szCs w:val="24"/>
        </w:rPr>
        <w:t>September 2019 and the same period in 2020.</w:t>
      </w:r>
      <w:r w:rsidR="001A6181" w:rsidRPr="006E33D0">
        <w:rPr>
          <w:rFonts w:ascii="Arial" w:eastAsia="Calibri" w:hAnsi="Arial" w:cs="Arial"/>
          <w:szCs w:val="24"/>
          <w:vertAlign w:val="superscript"/>
        </w:rPr>
        <w:footnoteReference w:id="133"/>
      </w:r>
      <w:r w:rsidR="001A6181" w:rsidRPr="006E33D0">
        <w:rPr>
          <w:rFonts w:ascii="Arial" w:eastAsia="Calibri" w:hAnsi="Arial" w:cs="Arial"/>
          <w:szCs w:val="24"/>
        </w:rPr>
        <w:t xml:space="preserve"> The number of online grooming crimes recorded by police rose by 84% between 2017</w:t>
      </w:r>
      <w:r w:rsidR="001A6181">
        <w:rPr>
          <w:rFonts w:ascii="Arial" w:eastAsia="Calibri" w:hAnsi="Arial" w:cs="Arial"/>
          <w:szCs w:val="24"/>
        </w:rPr>
        <w:t>/</w:t>
      </w:r>
      <w:r w:rsidR="001A6181" w:rsidRPr="006E33D0">
        <w:rPr>
          <w:rFonts w:ascii="Arial" w:eastAsia="Calibri" w:hAnsi="Arial" w:cs="Arial"/>
          <w:szCs w:val="24"/>
        </w:rPr>
        <w:t>18 and 2021/22, with 82% of crimes targeting girls.</w:t>
      </w:r>
      <w:r w:rsidR="001A6181" w:rsidRPr="006E33D0">
        <w:rPr>
          <w:rFonts w:ascii="Arial" w:eastAsia="Calibri" w:hAnsi="Arial" w:cs="Arial"/>
          <w:szCs w:val="24"/>
          <w:vertAlign w:val="superscript"/>
        </w:rPr>
        <w:footnoteReference w:id="134"/>
      </w:r>
    </w:p>
    <w:p w14:paraId="3A189362" w14:textId="1220AD85" w:rsidR="001A6181" w:rsidRPr="006E33D0" w:rsidRDefault="001A6181" w:rsidP="001A6181">
      <w:pPr>
        <w:spacing w:line="240" w:lineRule="auto"/>
        <w:rPr>
          <w:rFonts w:ascii="Arial" w:eastAsia="Calibri" w:hAnsi="Arial" w:cs="Arial"/>
          <w:szCs w:val="24"/>
        </w:rPr>
      </w:pPr>
      <w:r w:rsidRPr="006E33D0">
        <w:rPr>
          <w:rFonts w:ascii="Arial" w:eastAsia="Calibri" w:hAnsi="Arial" w:cs="Arial"/>
          <w:szCs w:val="24"/>
        </w:rPr>
        <w:t>There have been positive recent steps to make the digital environment a safer place for children, including the 2021 Children’s Code</w:t>
      </w:r>
      <w:r w:rsidRPr="006E33D0">
        <w:rPr>
          <w:rFonts w:ascii="Arial" w:eastAsia="Calibri" w:hAnsi="Arial" w:cs="Arial"/>
          <w:szCs w:val="24"/>
          <w:vertAlign w:val="superscript"/>
        </w:rPr>
        <w:footnoteReference w:id="135"/>
      </w:r>
      <w:r w:rsidRPr="006E33D0">
        <w:rPr>
          <w:rFonts w:ascii="Arial" w:eastAsia="Calibri" w:hAnsi="Arial" w:cs="Arial"/>
          <w:szCs w:val="24"/>
        </w:rPr>
        <w:t>, which aims to ensure online services protect children’s data, and, if enacted, the UK Government’s OSB, first introduced in 202</w:t>
      </w:r>
      <w:r>
        <w:rPr>
          <w:rFonts w:ascii="Arial" w:eastAsia="Calibri" w:hAnsi="Arial" w:cs="Arial"/>
          <w:szCs w:val="24"/>
        </w:rPr>
        <w:t>2</w:t>
      </w:r>
      <w:r w:rsidRPr="006E33D0">
        <w:rPr>
          <w:rFonts w:ascii="Arial" w:eastAsia="Calibri" w:hAnsi="Arial" w:cs="Arial"/>
          <w:szCs w:val="24"/>
        </w:rPr>
        <w:t>.</w:t>
      </w:r>
      <w:r w:rsidRPr="006E33D0">
        <w:rPr>
          <w:rFonts w:ascii="Arial" w:eastAsia="Calibri" w:hAnsi="Arial" w:cs="Arial"/>
          <w:szCs w:val="24"/>
          <w:vertAlign w:val="superscript"/>
        </w:rPr>
        <w:footnoteReference w:id="136"/>
      </w:r>
      <w:r w:rsidRPr="006E33D0">
        <w:rPr>
          <w:rFonts w:ascii="Arial" w:eastAsia="Calibri" w:hAnsi="Arial" w:cs="Arial"/>
          <w:szCs w:val="24"/>
        </w:rPr>
        <w:t xml:space="preserve"> </w:t>
      </w:r>
    </w:p>
    <w:p w14:paraId="5BDADA7C" w14:textId="36EB196A" w:rsidR="001A6181" w:rsidRDefault="001A6181" w:rsidP="001A6181">
      <w:pPr>
        <w:spacing w:line="240" w:lineRule="auto"/>
        <w:rPr>
          <w:rFonts w:ascii="Arial" w:eastAsia="Calibri" w:hAnsi="Arial" w:cs="Arial"/>
          <w:szCs w:val="24"/>
        </w:rPr>
      </w:pPr>
      <w:r w:rsidRPr="006E33D0">
        <w:rPr>
          <w:rFonts w:ascii="Arial" w:eastAsia="Calibri" w:hAnsi="Arial" w:cs="Arial"/>
          <w:szCs w:val="24"/>
        </w:rPr>
        <w:t xml:space="preserve">The OSB seeks to introduce a regulatory framework for user-to-user services and search providers. It proposes placing a proactive duty on regulated services to remove </w:t>
      </w:r>
      <w:r w:rsidR="001F6810">
        <w:rPr>
          <w:rFonts w:ascii="Arial" w:eastAsia="Calibri" w:hAnsi="Arial" w:cs="Arial"/>
          <w:szCs w:val="24"/>
        </w:rPr>
        <w:t>c</w:t>
      </w:r>
      <w:r w:rsidRPr="006E33D0">
        <w:rPr>
          <w:rFonts w:ascii="Arial" w:eastAsia="Calibri" w:hAnsi="Arial" w:cs="Arial"/>
          <w:szCs w:val="24"/>
        </w:rPr>
        <w:t xml:space="preserve">hild </w:t>
      </w:r>
      <w:r w:rsidR="001F6810">
        <w:rPr>
          <w:rFonts w:ascii="Arial" w:eastAsia="Calibri" w:hAnsi="Arial" w:cs="Arial"/>
          <w:szCs w:val="24"/>
        </w:rPr>
        <w:t>s</w:t>
      </w:r>
      <w:r w:rsidRPr="006E33D0">
        <w:rPr>
          <w:rFonts w:ascii="Arial" w:eastAsia="Calibri" w:hAnsi="Arial" w:cs="Arial"/>
          <w:szCs w:val="24"/>
        </w:rPr>
        <w:t xml:space="preserve">exual </w:t>
      </w:r>
      <w:r w:rsidR="001F6810">
        <w:rPr>
          <w:rFonts w:ascii="Arial" w:eastAsia="Calibri" w:hAnsi="Arial" w:cs="Arial"/>
          <w:szCs w:val="24"/>
        </w:rPr>
        <w:t>e</w:t>
      </w:r>
      <w:r w:rsidRPr="006E33D0">
        <w:rPr>
          <w:rFonts w:ascii="Arial" w:eastAsia="Calibri" w:hAnsi="Arial" w:cs="Arial"/>
          <w:szCs w:val="24"/>
        </w:rPr>
        <w:t xml:space="preserve">xploitation and </w:t>
      </w:r>
      <w:r w:rsidR="001F6810">
        <w:rPr>
          <w:rFonts w:ascii="Arial" w:eastAsia="Calibri" w:hAnsi="Arial" w:cs="Arial"/>
          <w:szCs w:val="24"/>
        </w:rPr>
        <w:t>a</w:t>
      </w:r>
      <w:r w:rsidRPr="006E33D0">
        <w:rPr>
          <w:rFonts w:ascii="Arial" w:eastAsia="Calibri" w:hAnsi="Arial" w:cs="Arial"/>
          <w:szCs w:val="24"/>
        </w:rPr>
        <w:t xml:space="preserve">buse and other illegal content. Specific protections relate to children, including a duty on services likely to be accessed by children to </w:t>
      </w:r>
      <w:r w:rsidR="001F6810">
        <w:rPr>
          <w:rFonts w:ascii="Arial" w:eastAsia="Calibri" w:hAnsi="Arial" w:cs="Arial"/>
          <w:szCs w:val="24"/>
        </w:rPr>
        <w:t>reduce</w:t>
      </w:r>
      <w:r w:rsidR="001F6810" w:rsidRPr="006E33D0">
        <w:rPr>
          <w:rFonts w:ascii="Arial" w:eastAsia="Calibri" w:hAnsi="Arial" w:cs="Arial"/>
          <w:szCs w:val="24"/>
        </w:rPr>
        <w:t xml:space="preserve"> </w:t>
      </w:r>
      <w:r w:rsidRPr="006E33D0">
        <w:rPr>
          <w:rFonts w:ascii="Arial" w:eastAsia="Calibri" w:hAnsi="Arial" w:cs="Arial"/>
          <w:szCs w:val="24"/>
        </w:rPr>
        <w:t xml:space="preserve">the risk of harm to children and to prevent them from encountering particular types of </w:t>
      </w:r>
      <w:r w:rsidRPr="00C260AD">
        <w:rPr>
          <w:rFonts w:ascii="Arial" w:eastAsia="Calibri" w:hAnsi="Arial" w:cs="Arial"/>
          <w:szCs w:val="24"/>
        </w:rPr>
        <w:t xml:space="preserve">harmful content. </w:t>
      </w:r>
    </w:p>
    <w:p w14:paraId="56A6BD21" w14:textId="77777777" w:rsidR="00A64C7F" w:rsidRDefault="00A64C7F" w:rsidP="001A6181">
      <w:pPr>
        <w:spacing w:line="240" w:lineRule="auto"/>
        <w:rPr>
          <w:rFonts w:ascii="Arial" w:eastAsia="Calibri" w:hAnsi="Arial" w:cs="Arial"/>
          <w:szCs w:val="24"/>
        </w:rPr>
      </w:pPr>
      <w:r>
        <w:rPr>
          <w:rFonts w:ascii="Arial" w:eastAsia="Calibri" w:hAnsi="Arial" w:cs="Arial"/>
          <w:szCs w:val="24"/>
        </w:rPr>
        <w:t>T</w:t>
      </w:r>
      <w:r w:rsidR="001A6181" w:rsidRPr="00C260AD">
        <w:rPr>
          <w:rFonts w:ascii="Arial" w:eastAsia="Calibri" w:hAnsi="Arial" w:cs="Arial"/>
          <w:szCs w:val="24"/>
        </w:rPr>
        <w:t>he draft Bill has been criticised, including by the Joint Committee on the Draft Online Safety Bill</w:t>
      </w:r>
      <w:r w:rsidR="001A6181" w:rsidRPr="00C260AD">
        <w:rPr>
          <w:rFonts w:ascii="Arial" w:eastAsia="Calibri" w:hAnsi="Arial" w:cs="Arial"/>
          <w:szCs w:val="24"/>
          <w:vertAlign w:val="superscript"/>
        </w:rPr>
        <w:footnoteReference w:id="137"/>
      </w:r>
      <w:r w:rsidR="001A6181" w:rsidRPr="00C260AD">
        <w:rPr>
          <w:rFonts w:ascii="Arial" w:eastAsia="Calibri" w:hAnsi="Arial" w:cs="Arial"/>
          <w:szCs w:val="24"/>
        </w:rPr>
        <w:t xml:space="preserve"> and the Digital, Culture, Media and Sport Committee, for missing opportunities to protect children.</w:t>
      </w:r>
      <w:r w:rsidR="001A6181" w:rsidRPr="00C260AD">
        <w:rPr>
          <w:rFonts w:ascii="Arial" w:eastAsia="Calibri" w:hAnsi="Arial" w:cs="Arial"/>
          <w:szCs w:val="24"/>
          <w:vertAlign w:val="superscript"/>
        </w:rPr>
        <w:footnoteReference w:id="138"/>
      </w:r>
      <w:r w:rsidR="001A6181" w:rsidRPr="00C260AD">
        <w:rPr>
          <w:rFonts w:ascii="Arial" w:eastAsia="Calibri" w:hAnsi="Arial" w:cs="Arial"/>
          <w:szCs w:val="24"/>
        </w:rPr>
        <w:t xml:space="preserve"> </w:t>
      </w:r>
      <w:r w:rsidR="001F6810">
        <w:rPr>
          <w:rFonts w:ascii="Arial" w:eastAsia="Calibri" w:hAnsi="Arial" w:cs="Arial"/>
          <w:szCs w:val="24"/>
        </w:rPr>
        <w:t>However, the UK Government has made some positive changes to the Bill as it continues its passage through Parliament, such as adding the Children’s Commissioner to a list of organisations the regulator must consult with when developing codes of practice</w:t>
      </w:r>
      <w:r w:rsidR="001A6181">
        <w:rPr>
          <w:rFonts w:ascii="Arial" w:eastAsia="Calibri" w:hAnsi="Arial" w:cs="Arial"/>
          <w:szCs w:val="24"/>
        </w:rPr>
        <w:t>.</w:t>
      </w:r>
      <w:r w:rsidR="001A6181">
        <w:rPr>
          <w:rStyle w:val="FootnoteReference"/>
          <w:rFonts w:ascii="Arial" w:eastAsia="Calibri" w:hAnsi="Arial" w:cs="Arial"/>
          <w:szCs w:val="24"/>
        </w:rPr>
        <w:footnoteReference w:id="139"/>
      </w:r>
      <w:r w:rsidR="001A6181">
        <w:rPr>
          <w:rFonts w:ascii="Arial" w:eastAsia="Calibri" w:hAnsi="Arial" w:cs="Arial"/>
          <w:szCs w:val="24"/>
        </w:rPr>
        <w:t xml:space="preserve"> </w:t>
      </w:r>
    </w:p>
    <w:p w14:paraId="75FCB69D" w14:textId="5F3385F4" w:rsidR="001A6181" w:rsidRPr="006E33D0" w:rsidRDefault="001F6810" w:rsidP="001A6181">
      <w:pPr>
        <w:spacing w:line="240" w:lineRule="auto"/>
        <w:rPr>
          <w:rFonts w:ascii="Arial" w:eastAsia="Calibri" w:hAnsi="Arial" w:cs="Arial"/>
          <w:szCs w:val="24"/>
        </w:rPr>
      </w:pPr>
      <w:r>
        <w:rPr>
          <w:rFonts w:ascii="Arial" w:eastAsia="Calibri" w:hAnsi="Arial" w:cs="Arial"/>
          <w:szCs w:val="24"/>
        </w:rPr>
        <w:t>Nonetheless</w:t>
      </w:r>
      <w:r w:rsidR="001A6181">
        <w:rPr>
          <w:rFonts w:ascii="Arial" w:eastAsia="Calibri" w:hAnsi="Arial" w:cs="Arial"/>
          <w:szCs w:val="24"/>
        </w:rPr>
        <w:t>, child rights groups continue to raise concerns about a lack of alignment with the existing Children’s Code, a failure to regulate harmful activity in addition to harmful content, and the focus on moderation over prevention.</w:t>
      </w:r>
      <w:r w:rsidR="001A6181">
        <w:rPr>
          <w:rStyle w:val="FootnoteReference"/>
          <w:rFonts w:ascii="Arial" w:eastAsia="Calibri" w:hAnsi="Arial" w:cs="Arial"/>
          <w:szCs w:val="24"/>
        </w:rPr>
        <w:footnoteReference w:id="140"/>
      </w:r>
      <w:r w:rsidR="001A6181">
        <w:rPr>
          <w:rFonts w:ascii="Arial" w:eastAsia="Calibri" w:hAnsi="Arial" w:cs="Arial"/>
          <w:szCs w:val="24"/>
        </w:rPr>
        <w:t xml:space="preserve"> </w:t>
      </w:r>
      <w:r w:rsidR="001A6181" w:rsidRPr="00C260AD">
        <w:rPr>
          <w:rFonts w:ascii="Arial" w:eastAsia="Calibri" w:hAnsi="Arial" w:cs="Arial"/>
          <w:szCs w:val="24"/>
        </w:rPr>
        <w:t xml:space="preserve">The UK Government has also been urged to broaden the scope of the OSB to include smaller services and all digital technologies that </w:t>
      </w:r>
      <w:r>
        <w:rPr>
          <w:rFonts w:ascii="Arial" w:eastAsia="Calibri" w:hAnsi="Arial" w:cs="Arial"/>
          <w:szCs w:val="24"/>
        </w:rPr>
        <w:t>affect</w:t>
      </w:r>
      <w:r w:rsidRPr="00C260AD">
        <w:rPr>
          <w:rFonts w:ascii="Arial" w:eastAsia="Calibri" w:hAnsi="Arial" w:cs="Arial"/>
          <w:szCs w:val="24"/>
        </w:rPr>
        <w:t xml:space="preserve"> </w:t>
      </w:r>
      <w:r w:rsidR="001A6181" w:rsidRPr="00C260AD">
        <w:rPr>
          <w:rFonts w:ascii="Arial" w:eastAsia="Calibri" w:hAnsi="Arial" w:cs="Arial"/>
          <w:szCs w:val="24"/>
        </w:rPr>
        <w:t>children, to close potential regulatory loopholes, and to address the high threshold for what is considered harmful, including by accounting for harm caused to groups of children, not just individuals.</w:t>
      </w:r>
      <w:r w:rsidR="001A6181" w:rsidRPr="00C260AD">
        <w:rPr>
          <w:rFonts w:ascii="Arial" w:eastAsia="Calibri" w:hAnsi="Arial" w:cs="Arial"/>
          <w:szCs w:val="24"/>
          <w:vertAlign w:val="superscript"/>
        </w:rPr>
        <w:footnoteReference w:id="141"/>
      </w:r>
    </w:p>
    <w:p w14:paraId="3E531B04" w14:textId="17DB85B2" w:rsidR="001A6181" w:rsidRPr="00B91A3D" w:rsidRDefault="001A6181" w:rsidP="001A6181">
      <w:pPr>
        <w:pStyle w:val="Heading3"/>
      </w:pPr>
      <w:r>
        <w:t>Corporal punishment</w:t>
      </w:r>
    </w:p>
    <w:p w14:paraId="08FCEC77" w14:textId="77777777" w:rsidR="001A6181" w:rsidRPr="006E33D0" w:rsidRDefault="001A6181" w:rsidP="001A6181">
      <w:pPr>
        <w:spacing w:line="240" w:lineRule="auto"/>
        <w:rPr>
          <w:rFonts w:ascii="Arial" w:eastAsia="Calibri" w:hAnsi="Arial" w:cs="Arial"/>
        </w:rPr>
      </w:pPr>
      <w:r w:rsidRPr="006E33D0">
        <w:rPr>
          <w:rFonts w:ascii="Arial" w:eastAsia="Calibri" w:hAnsi="Arial" w:cs="Arial"/>
        </w:rPr>
        <w:t>A review of 69 individual international studies of corporal punishment published in June 2021 concluded that physical punishment of children is ineffective and harmful, and is consistently linked to behavioural problems such as aggression.</w:t>
      </w:r>
      <w:r w:rsidRPr="006E33D0">
        <w:rPr>
          <w:rFonts w:ascii="Arial" w:eastAsia="Calibri" w:hAnsi="Arial" w:cs="Arial"/>
          <w:vertAlign w:val="superscript"/>
        </w:rPr>
        <w:footnoteReference w:id="142"/>
      </w:r>
      <w:r w:rsidRPr="006E33D0">
        <w:rPr>
          <w:rFonts w:ascii="Arial" w:eastAsia="Calibri" w:hAnsi="Arial" w:cs="Arial"/>
        </w:rPr>
        <w:t xml:space="preserve"> </w:t>
      </w:r>
    </w:p>
    <w:p w14:paraId="6A084FA5" w14:textId="4BC0E4A8" w:rsidR="001A6181" w:rsidRPr="006E33D0" w:rsidRDefault="001A6181" w:rsidP="001A6181">
      <w:pPr>
        <w:spacing w:line="240" w:lineRule="auto"/>
        <w:rPr>
          <w:rFonts w:ascii="Arial" w:eastAsia="Calibri" w:hAnsi="Arial" w:cs="Arial"/>
        </w:rPr>
      </w:pPr>
      <w:r w:rsidRPr="006E33D0">
        <w:rPr>
          <w:rFonts w:ascii="Arial" w:eastAsia="Calibri" w:hAnsi="Arial" w:cs="Arial"/>
        </w:rPr>
        <w:t xml:space="preserve">Article 19 of the CRC imposes a positive obligation on </w:t>
      </w:r>
      <w:r>
        <w:rPr>
          <w:rFonts w:ascii="Arial" w:eastAsia="Calibri" w:hAnsi="Arial" w:cs="Arial"/>
        </w:rPr>
        <w:t>S</w:t>
      </w:r>
      <w:r w:rsidR="00A64C7F">
        <w:rPr>
          <w:rFonts w:ascii="Arial" w:eastAsia="Calibri" w:hAnsi="Arial" w:cs="Arial"/>
        </w:rPr>
        <w:t>tates to ‘</w:t>
      </w:r>
      <w:r w:rsidRPr="006E33D0">
        <w:rPr>
          <w:rFonts w:ascii="Arial" w:eastAsia="Calibri" w:hAnsi="Arial" w:cs="Arial"/>
        </w:rPr>
        <w:t>take all appropriate</w:t>
      </w:r>
      <w:r w:rsidR="001F6810">
        <w:rPr>
          <w:rFonts w:ascii="Arial" w:eastAsia="Calibri" w:hAnsi="Arial" w:cs="Arial"/>
        </w:rPr>
        <w:t xml:space="preserve"> [</w:t>
      </w:r>
      <w:r w:rsidRPr="006E33D0">
        <w:rPr>
          <w:rFonts w:ascii="Arial" w:eastAsia="Calibri" w:hAnsi="Arial" w:cs="Arial"/>
        </w:rPr>
        <w:t>…</w:t>
      </w:r>
      <w:r w:rsidR="001F6810">
        <w:rPr>
          <w:rFonts w:ascii="Arial" w:eastAsia="Calibri" w:hAnsi="Arial" w:cs="Arial"/>
        </w:rPr>
        <w:t xml:space="preserve">] </w:t>
      </w:r>
      <w:r w:rsidRPr="006E33D0">
        <w:rPr>
          <w:rFonts w:ascii="Arial" w:eastAsia="Calibri" w:hAnsi="Arial" w:cs="Arial"/>
        </w:rPr>
        <w:t>measures to protect the child from all forms</w:t>
      </w:r>
      <w:r w:rsidR="00A64C7F">
        <w:rPr>
          <w:rFonts w:ascii="Arial" w:eastAsia="Calibri" w:hAnsi="Arial" w:cs="Arial"/>
        </w:rPr>
        <w:t xml:space="preserve"> of physical or mental violence’</w:t>
      </w:r>
      <w:r w:rsidRPr="006E33D0">
        <w:rPr>
          <w:rFonts w:ascii="Arial" w:eastAsia="Calibri" w:hAnsi="Arial" w:cs="Arial"/>
        </w:rPr>
        <w:t xml:space="preserve">. Similarly, the protection of respect for private life under Article 8 of the European Convention on </w:t>
      </w:r>
      <w:r w:rsidR="00E15371">
        <w:rPr>
          <w:rFonts w:ascii="Arial" w:eastAsia="Calibri" w:hAnsi="Arial" w:cs="Arial"/>
        </w:rPr>
        <w:t>Human Rights imposes a duty on S</w:t>
      </w:r>
      <w:r w:rsidRPr="006E33D0">
        <w:rPr>
          <w:rFonts w:ascii="Arial" w:eastAsia="Calibri" w:hAnsi="Arial" w:cs="Arial"/>
        </w:rPr>
        <w:t>tates to take positive action to ensure that children can enjoy their own family and private life by being protected from violence by private individuals, including their parents.</w:t>
      </w:r>
      <w:r w:rsidRPr="006E33D0">
        <w:rPr>
          <w:rFonts w:ascii="Arial" w:eastAsia="Calibri" w:hAnsi="Arial" w:cs="Arial"/>
          <w:vertAlign w:val="superscript"/>
        </w:rPr>
        <w:footnoteReference w:id="143"/>
      </w:r>
      <w:r w:rsidRPr="006E33D0">
        <w:rPr>
          <w:rFonts w:ascii="Arial" w:eastAsia="Calibri" w:hAnsi="Arial" w:cs="Arial"/>
        </w:rPr>
        <w:t xml:space="preserve"> The European Court of Human Rights has confirmed that the protections of Article 8 do not extend to a parental right to use violence, nor can they be used to justify arguments against banning all corporal punishment.</w:t>
      </w:r>
      <w:r w:rsidRPr="006E33D0">
        <w:rPr>
          <w:rFonts w:ascii="Arial" w:eastAsia="Calibri" w:hAnsi="Arial" w:cs="Arial"/>
          <w:vertAlign w:val="superscript"/>
        </w:rPr>
        <w:footnoteReference w:id="144"/>
      </w:r>
    </w:p>
    <w:p w14:paraId="5BE4528B" w14:textId="1ABF9A4D" w:rsidR="001A6181" w:rsidRPr="006E33D0" w:rsidRDefault="001A6181" w:rsidP="001A6181">
      <w:pPr>
        <w:spacing w:line="240" w:lineRule="auto"/>
        <w:rPr>
          <w:rFonts w:ascii="Arial" w:eastAsia="Calibri" w:hAnsi="Arial" w:cs="Arial"/>
        </w:rPr>
      </w:pPr>
      <w:r w:rsidRPr="006E33D0">
        <w:rPr>
          <w:rFonts w:ascii="Arial" w:eastAsia="Calibri" w:hAnsi="Arial" w:cs="Arial"/>
        </w:rPr>
        <w:t>However, parents and those acting ‘in loco parentis’ who are charged with the common assault of a child in England can still seek to rely on the common law defence of ‘reasonable punishment’ if the act is committed for the purpose of correcting the child’s behaviour. This means that children in England do not enjoy the same legal protection from violence as adults, despite the UNCRC repeatedly calling for the prohibition of corporal punishment,</w:t>
      </w:r>
      <w:r w:rsidRPr="006E33D0">
        <w:rPr>
          <w:rFonts w:ascii="Arial" w:eastAsia="Calibri" w:hAnsi="Arial" w:cs="Arial"/>
          <w:vertAlign w:val="superscript"/>
        </w:rPr>
        <w:footnoteReference w:id="145"/>
      </w:r>
      <w:r w:rsidR="00840474">
        <w:rPr>
          <w:rFonts w:ascii="Arial" w:eastAsia="Calibri" w:hAnsi="Arial" w:cs="Arial"/>
        </w:rPr>
        <w:t xml:space="preserve"> and clearly stating that ‘</w:t>
      </w:r>
      <w:r w:rsidRPr="006E33D0">
        <w:rPr>
          <w:rFonts w:ascii="Arial" w:eastAsia="Calibri" w:hAnsi="Arial" w:cs="Arial"/>
        </w:rPr>
        <w:t>the [CRC] requires the removal of any provisions</w:t>
      </w:r>
      <w:r w:rsidR="001F6810">
        <w:rPr>
          <w:rFonts w:ascii="Arial" w:eastAsia="Calibri" w:hAnsi="Arial" w:cs="Arial"/>
        </w:rPr>
        <w:t xml:space="preserve"> [</w:t>
      </w:r>
      <w:r w:rsidRPr="006E33D0">
        <w:rPr>
          <w:rFonts w:ascii="Arial" w:eastAsia="Calibri" w:hAnsi="Arial" w:cs="Arial"/>
        </w:rPr>
        <w:t>…</w:t>
      </w:r>
      <w:r w:rsidR="001F6810">
        <w:rPr>
          <w:rFonts w:ascii="Arial" w:eastAsia="Calibri" w:hAnsi="Arial" w:cs="Arial"/>
        </w:rPr>
        <w:t xml:space="preserve">] </w:t>
      </w:r>
      <w:r w:rsidRPr="006E33D0">
        <w:rPr>
          <w:rFonts w:ascii="Arial" w:eastAsia="Calibri" w:hAnsi="Arial" w:cs="Arial"/>
        </w:rPr>
        <w:t>that allow some degr</w:t>
      </w:r>
      <w:r w:rsidR="00840474">
        <w:rPr>
          <w:rFonts w:ascii="Arial" w:eastAsia="Calibri" w:hAnsi="Arial" w:cs="Arial"/>
        </w:rPr>
        <w:t>ee of violence against children’</w:t>
      </w:r>
      <w:r w:rsidRPr="006E33D0">
        <w:rPr>
          <w:rFonts w:ascii="Arial" w:eastAsia="Calibri" w:hAnsi="Arial" w:cs="Arial"/>
        </w:rPr>
        <w:t>.</w:t>
      </w:r>
      <w:r w:rsidRPr="006E33D0">
        <w:rPr>
          <w:rFonts w:ascii="Arial" w:eastAsia="Calibri" w:hAnsi="Arial" w:cs="Arial"/>
          <w:vertAlign w:val="superscript"/>
        </w:rPr>
        <w:footnoteReference w:id="146"/>
      </w:r>
      <w:r w:rsidRPr="006E33D0">
        <w:rPr>
          <w:rFonts w:ascii="Arial" w:eastAsia="Calibri" w:hAnsi="Arial" w:cs="Arial"/>
        </w:rPr>
        <w:t xml:space="preserve"> </w:t>
      </w:r>
    </w:p>
    <w:p w14:paraId="613F8406" w14:textId="48DA6A67" w:rsidR="001A6181" w:rsidRPr="006E33D0" w:rsidRDefault="001A6181" w:rsidP="001A6181">
      <w:pPr>
        <w:spacing w:line="240" w:lineRule="auto"/>
        <w:rPr>
          <w:rFonts w:ascii="Arial" w:eastAsia="Calibri" w:hAnsi="Arial" w:cs="Arial"/>
        </w:rPr>
      </w:pPr>
      <w:r w:rsidRPr="006E33D0">
        <w:rPr>
          <w:rFonts w:ascii="Arial" w:eastAsia="Calibri" w:hAnsi="Arial" w:cs="Arial"/>
        </w:rPr>
        <w:t>The UK Government has stated that it has no plans to repeal the legal defence of ‘reasonable punishment’.</w:t>
      </w:r>
      <w:r w:rsidRPr="006E33D0">
        <w:rPr>
          <w:rFonts w:ascii="Arial" w:eastAsia="Calibri" w:hAnsi="Arial" w:cs="Arial"/>
          <w:vertAlign w:val="superscript"/>
        </w:rPr>
        <w:footnoteReference w:id="147"/>
      </w:r>
      <w:r w:rsidRPr="006E33D0">
        <w:rPr>
          <w:rFonts w:ascii="Arial" w:eastAsia="Calibri" w:hAnsi="Arial" w:cs="Arial"/>
        </w:rPr>
        <w:t xml:space="preserve"> </w:t>
      </w:r>
      <w:r>
        <w:rPr>
          <w:rFonts w:ascii="Arial" w:eastAsia="Calibri" w:hAnsi="Arial" w:cs="Arial"/>
        </w:rPr>
        <w:t>T</w:t>
      </w:r>
      <w:r w:rsidRPr="006E33D0">
        <w:rPr>
          <w:rFonts w:ascii="Arial" w:eastAsia="Calibri" w:hAnsi="Arial" w:cs="Arial"/>
        </w:rPr>
        <w:t>he ability to use this defence has been removed in Scotland and Wales,</w:t>
      </w:r>
      <w:r w:rsidRPr="006E33D0">
        <w:rPr>
          <w:rFonts w:ascii="Arial" w:eastAsia="Calibri" w:hAnsi="Arial" w:cs="Arial"/>
          <w:vertAlign w:val="superscript"/>
        </w:rPr>
        <w:footnoteReference w:id="148"/>
      </w:r>
      <w:r w:rsidRPr="006E33D0">
        <w:rPr>
          <w:rFonts w:ascii="Arial" w:eastAsia="Calibri" w:hAnsi="Arial" w:cs="Arial"/>
        </w:rPr>
        <w:t xml:space="preserve"> in line with at least 63 </w:t>
      </w:r>
      <w:r>
        <w:rPr>
          <w:rFonts w:ascii="Arial" w:eastAsia="Calibri" w:hAnsi="Arial" w:cs="Arial"/>
        </w:rPr>
        <w:t>S</w:t>
      </w:r>
      <w:r w:rsidRPr="006E33D0">
        <w:rPr>
          <w:rFonts w:ascii="Arial" w:eastAsia="Calibri" w:hAnsi="Arial" w:cs="Arial"/>
        </w:rPr>
        <w:t xml:space="preserve">tates now prohibiting corporal punishment in the home, including most European </w:t>
      </w:r>
      <w:r>
        <w:rPr>
          <w:rFonts w:ascii="Arial" w:eastAsia="Calibri" w:hAnsi="Arial" w:cs="Arial"/>
        </w:rPr>
        <w:t>S</w:t>
      </w:r>
      <w:r w:rsidRPr="006E33D0">
        <w:rPr>
          <w:rFonts w:ascii="Arial" w:eastAsia="Calibri" w:hAnsi="Arial" w:cs="Arial"/>
        </w:rPr>
        <w:t>tates.</w:t>
      </w:r>
      <w:r w:rsidRPr="006E33D0">
        <w:rPr>
          <w:rFonts w:ascii="Arial" w:eastAsia="Calibri" w:hAnsi="Arial" w:cs="Arial"/>
          <w:vertAlign w:val="superscript"/>
        </w:rPr>
        <w:footnoteReference w:id="149"/>
      </w:r>
    </w:p>
    <w:p w14:paraId="328B43D3" w14:textId="34312A45" w:rsidR="001A6181" w:rsidRPr="00B91A3D" w:rsidRDefault="001A6181" w:rsidP="001A6181">
      <w:pPr>
        <w:pStyle w:val="Heading4"/>
      </w:pPr>
      <w:r>
        <w:t xml:space="preserve">Recommendations </w:t>
      </w:r>
    </w:p>
    <w:p w14:paraId="5504A7CD" w14:textId="1CE46A68" w:rsidR="00404620" w:rsidRPr="006E33D0" w:rsidRDefault="001A6181" w:rsidP="00527C4A">
      <w:pPr>
        <w:spacing w:before="120" w:line="240" w:lineRule="auto"/>
        <w:rPr>
          <w:rFonts w:ascii="Arial" w:eastAsia="Calibri" w:hAnsi="Arial" w:cs="Arial"/>
          <w:szCs w:val="24"/>
          <w:u w:val="single"/>
        </w:rPr>
      </w:pPr>
      <w:r w:rsidRPr="006E33D0">
        <w:rPr>
          <w:rFonts w:ascii="Arial" w:eastAsia="Calibri" w:hAnsi="Arial" w:cs="Arial"/>
          <w:szCs w:val="24"/>
          <w:u w:val="single"/>
        </w:rPr>
        <w:t>The UK and Welsh governments, where relevant, should:</w:t>
      </w:r>
    </w:p>
    <w:p w14:paraId="63210818" w14:textId="07751FAA" w:rsidR="006854C6" w:rsidRPr="00527C4A" w:rsidRDefault="001A6181" w:rsidP="00527C4A">
      <w:pPr>
        <w:pStyle w:val="ListParagraph"/>
        <w:numPr>
          <w:ilvl w:val="0"/>
          <w:numId w:val="24"/>
        </w:numPr>
        <w:spacing w:before="120" w:line="240" w:lineRule="auto"/>
        <w:rPr>
          <w:rFonts w:ascii="Arial" w:eastAsia="Calibri" w:hAnsi="Arial" w:cs="Arial"/>
          <w:szCs w:val="24"/>
        </w:rPr>
      </w:pPr>
      <w:r w:rsidRPr="001A6181">
        <w:rPr>
          <w:rFonts w:ascii="Arial" w:eastAsia="Calibri" w:hAnsi="Arial" w:cs="Arial"/>
          <w:szCs w:val="24"/>
        </w:rPr>
        <w:t xml:space="preserve">Respond to the recommendations of the Independent Inquiry into Child Sexual Abuse, including by </w:t>
      </w:r>
      <w:r w:rsidR="001F6810">
        <w:rPr>
          <w:rFonts w:ascii="Arial" w:eastAsia="Calibri" w:hAnsi="Arial" w:cs="Arial"/>
          <w:szCs w:val="24"/>
        </w:rPr>
        <w:t>removing</w:t>
      </w:r>
      <w:r w:rsidR="001F6810" w:rsidRPr="001A6181">
        <w:rPr>
          <w:rFonts w:ascii="Arial" w:eastAsia="Calibri" w:hAnsi="Arial" w:cs="Arial"/>
          <w:szCs w:val="24"/>
        </w:rPr>
        <w:t xml:space="preserve"> </w:t>
      </w:r>
      <w:r w:rsidRPr="001A6181">
        <w:rPr>
          <w:rFonts w:ascii="Arial" w:eastAsia="Calibri" w:hAnsi="Arial" w:cs="Arial"/>
          <w:szCs w:val="24"/>
        </w:rPr>
        <w:t>barriers to reporting abuse for children with certain protected characteristics.</w:t>
      </w:r>
    </w:p>
    <w:p w14:paraId="540E0653" w14:textId="35705BC5" w:rsidR="006854C6" w:rsidRPr="00527C4A" w:rsidRDefault="005E7683" w:rsidP="00527C4A">
      <w:pPr>
        <w:pStyle w:val="ListParagraph"/>
        <w:numPr>
          <w:ilvl w:val="0"/>
          <w:numId w:val="24"/>
        </w:numPr>
        <w:spacing w:before="120" w:after="120" w:line="240" w:lineRule="auto"/>
        <w:rPr>
          <w:rFonts w:ascii="Arial" w:eastAsia="Calibri" w:hAnsi="Arial" w:cs="Arial"/>
          <w:szCs w:val="24"/>
        </w:rPr>
      </w:pPr>
      <w:r>
        <w:rPr>
          <w:rFonts w:ascii="Arial" w:eastAsia="Calibri" w:hAnsi="Arial" w:cs="Arial"/>
          <w:szCs w:val="24"/>
        </w:rPr>
        <w:t>I</w:t>
      </w:r>
      <w:r w:rsidR="001A6181" w:rsidRPr="001A6181">
        <w:rPr>
          <w:rFonts w:ascii="Arial" w:eastAsia="Calibri" w:hAnsi="Arial" w:cs="Arial"/>
          <w:szCs w:val="24"/>
        </w:rPr>
        <w:t xml:space="preserve">ntroduce a statutory duty on </w:t>
      </w:r>
      <w:r>
        <w:rPr>
          <w:rFonts w:ascii="Arial" w:eastAsia="Calibri" w:hAnsi="Arial" w:cs="Arial"/>
          <w:szCs w:val="24"/>
        </w:rPr>
        <w:t>commissioning</w:t>
      </w:r>
      <w:r w:rsidR="001A6181" w:rsidRPr="001A6181">
        <w:rPr>
          <w:rFonts w:ascii="Arial" w:eastAsia="Calibri" w:hAnsi="Arial" w:cs="Arial"/>
          <w:szCs w:val="24"/>
        </w:rPr>
        <w:t xml:space="preserve"> authorities to provide community-based services to</w:t>
      </w:r>
      <w:r>
        <w:rPr>
          <w:rFonts w:ascii="Arial" w:eastAsia="Calibri" w:hAnsi="Arial" w:cs="Arial"/>
          <w:szCs w:val="24"/>
        </w:rPr>
        <w:t xml:space="preserve"> child</w:t>
      </w:r>
      <w:r w:rsidR="001A6181" w:rsidRPr="001A6181">
        <w:rPr>
          <w:rFonts w:ascii="Arial" w:eastAsia="Calibri" w:hAnsi="Arial" w:cs="Arial"/>
          <w:szCs w:val="24"/>
        </w:rPr>
        <w:t xml:space="preserve"> victims</w:t>
      </w:r>
      <w:r>
        <w:rPr>
          <w:rFonts w:ascii="Arial" w:eastAsia="Calibri" w:hAnsi="Arial" w:cs="Arial"/>
          <w:szCs w:val="24"/>
        </w:rPr>
        <w:t xml:space="preserve"> of violence and abuse</w:t>
      </w:r>
      <w:r w:rsidR="001A6181" w:rsidRPr="001A6181">
        <w:rPr>
          <w:rFonts w:ascii="Arial" w:eastAsia="Calibri" w:hAnsi="Arial" w:cs="Arial"/>
          <w:szCs w:val="24"/>
        </w:rPr>
        <w:t>, regardless of their immigration status.</w:t>
      </w:r>
    </w:p>
    <w:p w14:paraId="38CF98B5" w14:textId="1BCB5A1F" w:rsidR="001A6181" w:rsidRPr="006854C6" w:rsidRDefault="001A6181" w:rsidP="00527C4A">
      <w:pPr>
        <w:pStyle w:val="ListParagraph"/>
        <w:numPr>
          <w:ilvl w:val="0"/>
          <w:numId w:val="24"/>
        </w:numPr>
        <w:spacing w:before="120" w:after="120" w:line="240" w:lineRule="auto"/>
        <w:rPr>
          <w:rFonts w:ascii="Arial" w:eastAsia="Calibri" w:hAnsi="Arial" w:cs="Arial"/>
          <w:szCs w:val="24"/>
        </w:rPr>
      </w:pPr>
      <w:r w:rsidRPr="006854C6">
        <w:rPr>
          <w:rFonts w:ascii="Arial" w:eastAsia="Calibri" w:hAnsi="Arial" w:cs="Arial"/>
          <w:szCs w:val="24"/>
        </w:rPr>
        <w:t>Ensure children are protected from harassment and abuse online through the UK Government’s Online Safety Bill.</w:t>
      </w:r>
    </w:p>
    <w:p w14:paraId="2C72F866" w14:textId="3B7AAFA8" w:rsidR="00527C4A" w:rsidRPr="00527C4A" w:rsidRDefault="001A6181" w:rsidP="00527C4A">
      <w:pPr>
        <w:spacing w:before="120" w:line="240" w:lineRule="auto"/>
        <w:rPr>
          <w:rFonts w:ascii="Arial" w:eastAsia="Calibri" w:hAnsi="Arial" w:cs="Arial"/>
          <w:szCs w:val="24"/>
          <w:u w:val="single"/>
        </w:rPr>
      </w:pPr>
      <w:r>
        <w:rPr>
          <w:rFonts w:ascii="Arial" w:eastAsia="Calibri" w:hAnsi="Arial" w:cs="Arial"/>
          <w:szCs w:val="24"/>
          <w:u w:val="single"/>
        </w:rPr>
        <w:t>The UK Government should:</w:t>
      </w:r>
    </w:p>
    <w:p w14:paraId="20B74147" w14:textId="33FC3552" w:rsidR="006854C6" w:rsidRPr="00527C4A" w:rsidRDefault="006854C6" w:rsidP="00527C4A">
      <w:pPr>
        <w:pStyle w:val="ListParagraph"/>
        <w:numPr>
          <w:ilvl w:val="0"/>
          <w:numId w:val="25"/>
        </w:numPr>
        <w:spacing w:before="120" w:line="240" w:lineRule="auto"/>
        <w:rPr>
          <w:rFonts w:ascii="Arial" w:eastAsia="Calibri" w:hAnsi="Arial" w:cs="Arial"/>
          <w:szCs w:val="24"/>
        </w:rPr>
      </w:pPr>
      <w:r w:rsidRPr="001A6181">
        <w:rPr>
          <w:rFonts w:ascii="Arial" w:eastAsia="Calibri" w:hAnsi="Arial" w:cs="Arial"/>
          <w:szCs w:val="24"/>
        </w:rPr>
        <w:t xml:space="preserve">Evaluate the Support for Migrant Victims Scheme and carefully consider the implications of </w:t>
      </w:r>
      <w:r w:rsidR="001F6810">
        <w:rPr>
          <w:rFonts w:ascii="Arial" w:eastAsia="Calibri" w:hAnsi="Arial" w:cs="Arial"/>
          <w:szCs w:val="24"/>
        </w:rPr>
        <w:t>maintaining</w:t>
      </w:r>
      <w:r w:rsidR="001F6810" w:rsidRPr="001A6181">
        <w:rPr>
          <w:rFonts w:ascii="Arial" w:eastAsia="Calibri" w:hAnsi="Arial" w:cs="Arial"/>
          <w:szCs w:val="24"/>
        </w:rPr>
        <w:t xml:space="preserve"> </w:t>
      </w:r>
      <w:r w:rsidRPr="001A6181">
        <w:rPr>
          <w:rFonts w:ascii="Arial" w:eastAsia="Calibri" w:hAnsi="Arial" w:cs="Arial"/>
          <w:szCs w:val="24"/>
        </w:rPr>
        <w:t>its reservations to the Istanbul Convention for ensuring effective protection of all victims of abuse, irrespective of residency status.</w:t>
      </w:r>
    </w:p>
    <w:p w14:paraId="6E97308F" w14:textId="3BCA0566" w:rsidR="00967F79" w:rsidRPr="00840474" w:rsidRDefault="001A6181" w:rsidP="00527C4A">
      <w:pPr>
        <w:pStyle w:val="ListParagraph"/>
        <w:numPr>
          <w:ilvl w:val="0"/>
          <w:numId w:val="25"/>
        </w:numPr>
        <w:spacing w:before="120" w:after="120" w:line="240" w:lineRule="auto"/>
        <w:rPr>
          <w:rFonts w:ascii="Arial" w:eastAsia="Calibri" w:hAnsi="Arial" w:cs="Arial"/>
        </w:rPr>
      </w:pPr>
      <w:r w:rsidRPr="001A6181">
        <w:rPr>
          <w:rFonts w:ascii="Arial" w:eastAsia="Calibri" w:hAnsi="Arial" w:cs="Arial"/>
        </w:rPr>
        <w:t>Abolish the ‘reasonable punishment’ defence in England.</w:t>
      </w:r>
    </w:p>
    <w:p w14:paraId="3F3E08FF" w14:textId="3A676CF7" w:rsidR="00967F79" w:rsidRPr="000530C5" w:rsidRDefault="00967F79" w:rsidP="00967F79">
      <w:pPr>
        <w:pStyle w:val="Heading2"/>
      </w:pPr>
      <w:bookmarkStart w:id="11" w:name="_Toc122018855"/>
      <w:r>
        <w:t>Harmful practices</w:t>
      </w:r>
      <w:bookmarkEnd w:id="11"/>
    </w:p>
    <w:p w14:paraId="717B67D3" w14:textId="414192E2" w:rsidR="00967F79" w:rsidRPr="006E33D0" w:rsidRDefault="00967F79" w:rsidP="00967F79">
      <w:pPr>
        <w:keepNext/>
        <w:pBdr>
          <w:top w:val="single" w:sz="24" w:space="8" w:color="DDDE45"/>
          <w:left w:val="single" w:sz="24" w:space="4" w:color="F1F1B4"/>
          <w:bottom w:val="single" w:sz="48" w:space="1" w:color="F1F1B4"/>
          <w:right w:val="single" w:sz="24" w:space="4" w:color="F1F1B4"/>
        </w:pBdr>
        <w:shd w:val="clear" w:color="auto" w:fill="F1F1B4"/>
        <w:spacing w:before="120" w:line="240" w:lineRule="auto"/>
        <w:ind w:left="142" w:right="198"/>
        <w:rPr>
          <w:rFonts w:ascii="Arial" w:eastAsia="Arial" w:hAnsi="Arial" w:cs="Arial"/>
          <w:b/>
          <w:szCs w:val="24"/>
        </w:rPr>
      </w:pPr>
      <w:r w:rsidRPr="006E33D0">
        <w:rPr>
          <w:rFonts w:ascii="Arial" w:eastAsia="Arial" w:hAnsi="Arial" w:cs="Arial"/>
          <w:b/>
          <w:szCs w:val="24"/>
        </w:rPr>
        <w:t xml:space="preserve">See: </w:t>
      </w:r>
      <w:hyperlink r:id="rId31" w:history="1">
        <w:r w:rsidRPr="006E33D0">
          <w:rPr>
            <w:rFonts w:ascii="Arial" w:eastAsia="Arial" w:hAnsi="Arial" w:cs="Arial"/>
            <w:b/>
            <w:szCs w:val="24"/>
            <w:u w:val="single" w:color="009C98"/>
          </w:rPr>
          <w:t>Our 2020 submission</w:t>
        </w:r>
      </w:hyperlink>
      <w:r w:rsidRPr="006E33D0">
        <w:rPr>
          <w:rFonts w:ascii="Arial" w:eastAsia="Arial" w:hAnsi="Arial" w:cs="Arial"/>
          <w:b/>
          <w:szCs w:val="24"/>
        </w:rPr>
        <w:t xml:space="preserve"> (pages 15, 91, 93, 98-101); </w:t>
      </w:r>
      <w:hyperlink r:id="rId32" w:history="1">
        <w:r w:rsidR="00F67DF8">
          <w:rPr>
            <w:rFonts w:ascii="Arial" w:eastAsia="Arial" w:hAnsi="Arial" w:cs="Arial"/>
            <w:b/>
            <w:szCs w:val="24"/>
            <w:u w:val="single" w:color="009C98"/>
          </w:rPr>
          <w:t>UNCRC list of i</w:t>
        </w:r>
        <w:r w:rsidRPr="006E33D0">
          <w:rPr>
            <w:rFonts w:ascii="Arial" w:eastAsia="Arial" w:hAnsi="Arial" w:cs="Arial"/>
            <w:b/>
            <w:szCs w:val="24"/>
            <w:u w:val="single" w:color="009C98"/>
          </w:rPr>
          <w:t>ssues</w:t>
        </w:r>
      </w:hyperlink>
      <w:r w:rsidRPr="006E33D0">
        <w:rPr>
          <w:rFonts w:ascii="Arial" w:eastAsia="Arial" w:hAnsi="Arial" w:cs="Arial"/>
          <w:b/>
          <w:szCs w:val="24"/>
        </w:rPr>
        <w:t xml:space="preserve"> (paras 12 and 23); </w:t>
      </w:r>
      <w:hyperlink r:id="rId33" w:history="1">
        <w:r w:rsidRPr="006E33D0">
          <w:rPr>
            <w:rFonts w:ascii="Arial" w:eastAsia="Arial" w:hAnsi="Arial" w:cs="Arial"/>
            <w:b/>
            <w:szCs w:val="24"/>
            <w:u w:val="single" w:color="009C98"/>
          </w:rPr>
          <w:t>UN Sustainable Development Goals</w:t>
        </w:r>
      </w:hyperlink>
      <w:r w:rsidRPr="006E33D0">
        <w:rPr>
          <w:rFonts w:ascii="Arial" w:eastAsia="Arial" w:hAnsi="Arial" w:cs="Arial"/>
          <w:b/>
          <w:szCs w:val="24"/>
        </w:rPr>
        <w:t xml:space="preserve"> (Goals 3, 5, 10 and 16)</w:t>
      </w:r>
    </w:p>
    <w:p w14:paraId="264AFBD8" w14:textId="77777777" w:rsidR="00967F79" w:rsidRPr="006E33D0" w:rsidRDefault="00967F79" w:rsidP="00967F79">
      <w:pPr>
        <w:spacing w:line="240" w:lineRule="auto"/>
        <w:rPr>
          <w:rFonts w:ascii="Arial" w:eastAsia="Calibri" w:hAnsi="Arial" w:cs="Arial"/>
        </w:rPr>
      </w:pPr>
      <w:r w:rsidRPr="006E33D0">
        <w:rPr>
          <w:rFonts w:ascii="Arial" w:eastAsia="Calibri" w:hAnsi="Arial" w:cs="Arial"/>
        </w:rPr>
        <w:t>Some children continue to be subjected to harmful practices, such as so-called ‘honour-based’ abuse (HBA), female genital mutilation (FGM) and forced marriage. While protections for children are available in law, more preventative action is urgently needed. Prevalence is difficult to determine – for example, the Crime Survey for England and Wales does not collect data on these practices</w:t>
      </w:r>
      <w:r w:rsidRPr="006E33D0">
        <w:rPr>
          <w:rFonts w:ascii="Arial" w:eastAsia="Calibri" w:hAnsi="Arial" w:cs="Arial"/>
          <w:vertAlign w:val="superscript"/>
        </w:rPr>
        <w:footnoteReference w:id="150"/>
      </w:r>
      <w:r w:rsidRPr="006E33D0">
        <w:rPr>
          <w:rFonts w:ascii="Arial" w:eastAsia="Calibri" w:hAnsi="Arial" w:cs="Arial"/>
        </w:rPr>
        <w:t xml:space="preserve"> – and successful prosecutions are rare.</w:t>
      </w:r>
      <w:r w:rsidRPr="006E33D0">
        <w:rPr>
          <w:rFonts w:ascii="Arial" w:eastAsia="Calibri" w:hAnsi="Arial" w:cs="Arial"/>
          <w:vertAlign w:val="superscript"/>
        </w:rPr>
        <w:footnoteReference w:id="151"/>
      </w:r>
      <w:r w:rsidRPr="006E33D0">
        <w:rPr>
          <w:rFonts w:ascii="Arial" w:eastAsia="Calibri" w:hAnsi="Arial" w:cs="Arial"/>
        </w:rPr>
        <w:t xml:space="preserve"> </w:t>
      </w:r>
    </w:p>
    <w:p w14:paraId="25AC606B" w14:textId="531AC4A7" w:rsidR="00967F79" w:rsidRPr="006E33D0" w:rsidRDefault="00967F79" w:rsidP="00967F79">
      <w:pPr>
        <w:spacing w:line="240" w:lineRule="auto"/>
        <w:rPr>
          <w:rFonts w:ascii="Arial" w:eastAsia="Calibri" w:hAnsi="Arial" w:cs="Arial"/>
          <w:bCs/>
        </w:rPr>
      </w:pPr>
      <w:r w:rsidRPr="006E33D0">
        <w:rPr>
          <w:rFonts w:ascii="Arial" w:eastAsia="Calibri" w:hAnsi="Arial" w:cs="Arial"/>
          <w:bCs/>
        </w:rPr>
        <w:t>The Home Office has collected new experimental statistics</w:t>
      </w:r>
      <w:r w:rsidRPr="006E33D0">
        <w:rPr>
          <w:rFonts w:ascii="Arial" w:eastAsia="Calibri" w:hAnsi="Arial" w:cs="Arial"/>
          <w:bCs/>
          <w:vertAlign w:val="superscript"/>
        </w:rPr>
        <w:footnoteReference w:id="152"/>
      </w:r>
      <w:r w:rsidRPr="006E33D0">
        <w:rPr>
          <w:rFonts w:ascii="Arial" w:eastAsia="Calibri" w:hAnsi="Arial" w:cs="Arial"/>
          <w:bCs/>
        </w:rPr>
        <w:t xml:space="preserve"> on so-called HBA since April 2019: i</w:t>
      </w:r>
      <w:r w:rsidRPr="006E33D0">
        <w:rPr>
          <w:rFonts w:ascii="Arial" w:eastAsia="Calibri" w:hAnsi="Arial" w:cs="Arial"/>
        </w:rPr>
        <w:t>n 2020/21, police in England and Wales recorded 78 FGM offences</w:t>
      </w:r>
      <w:r w:rsidR="005811B1">
        <w:rPr>
          <w:rFonts w:ascii="Arial" w:eastAsia="Calibri" w:hAnsi="Arial" w:cs="Arial"/>
        </w:rPr>
        <w:t xml:space="preserve">, </w:t>
      </w:r>
      <w:r w:rsidRPr="006E33D0">
        <w:rPr>
          <w:rFonts w:ascii="Arial" w:eastAsia="Calibri" w:hAnsi="Arial" w:cs="Arial"/>
        </w:rPr>
        <w:t>125 forced marriage offences</w:t>
      </w:r>
      <w:r w:rsidR="005811B1">
        <w:rPr>
          <w:rFonts w:ascii="Arial" w:eastAsia="Calibri" w:hAnsi="Arial" w:cs="Arial"/>
        </w:rPr>
        <w:t xml:space="preserve"> and 2,522 other HBA-related offences</w:t>
      </w:r>
      <w:r w:rsidRPr="006E33D0">
        <w:rPr>
          <w:rFonts w:ascii="Arial" w:eastAsia="Calibri" w:hAnsi="Arial" w:cs="Arial"/>
        </w:rPr>
        <w:t>.</w:t>
      </w:r>
      <w:r w:rsidRPr="006E33D0">
        <w:rPr>
          <w:rFonts w:ascii="Arial" w:eastAsia="Calibri" w:hAnsi="Arial" w:cs="Arial"/>
          <w:vertAlign w:val="superscript"/>
        </w:rPr>
        <w:footnoteReference w:id="153"/>
      </w:r>
      <w:r w:rsidRPr="006E33D0">
        <w:rPr>
          <w:rFonts w:ascii="Arial" w:eastAsia="Calibri" w:hAnsi="Arial" w:cs="Arial"/>
        </w:rPr>
        <w:t xml:space="preserve"> </w:t>
      </w:r>
      <w:r w:rsidR="005811B1">
        <w:rPr>
          <w:rFonts w:ascii="Arial" w:eastAsia="Calibri" w:hAnsi="Arial" w:cs="Arial"/>
        </w:rPr>
        <w:t>Overall, t</w:t>
      </w:r>
      <w:r w:rsidRPr="006E33D0">
        <w:rPr>
          <w:rFonts w:ascii="Arial" w:eastAsia="Calibri" w:hAnsi="Arial" w:cs="Arial"/>
        </w:rPr>
        <w:t xml:space="preserve">his represents an increase of 18% compared </w:t>
      </w:r>
      <w:r w:rsidR="005811B1">
        <w:rPr>
          <w:rFonts w:ascii="Arial" w:eastAsia="Calibri" w:hAnsi="Arial" w:cs="Arial"/>
        </w:rPr>
        <w:t>with</w:t>
      </w:r>
      <w:r w:rsidRPr="006E33D0">
        <w:rPr>
          <w:rFonts w:ascii="Arial" w:eastAsia="Calibri" w:hAnsi="Arial" w:cs="Arial"/>
        </w:rPr>
        <w:t xml:space="preserve"> the previous year, though the reasons for this rise are unclear.</w:t>
      </w:r>
      <w:r w:rsidRPr="006E33D0">
        <w:rPr>
          <w:rFonts w:ascii="Arial" w:eastAsia="Calibri" w:hAnsi="Arial" w:cs="Arial"/>
          <w:vertAlign w:val="superscript"/>
        </w:rPr>
        <w:footnoteReference w:id="154"/>
      </w:r>
      <w:r w:rsidRPr="006E33D0">
        <w:rPr>
          <w:rFonts w:ascii="Arial" w:eastAsia="Calibri" w:hAnsi="Arial" w:cs="Arial"/>
        </w:rPr>
        <w:t xml:space="preserve"> </w:t>
      </w:r>
      <w:r w:rsidRPr="006E33D0">
        <w:rPr>
          <w:rFonts w:ascii="Arial" w:eastAsia="Calibri" w:hAnsi="Arial" w:cs="Arial"/>
          <w:bCs/>
        </w:rPr>
        <w:t>There</w:t>
      </w:r>
      <w:r w:rsidRPr="006E33D0">
        <w:rPr>
          <w:rFonts w:ascii="Arial" w:eastAsia="Calibri" w:hAnsi="Arial" w:cs="Arial"/>
        </w:rPr>
        <w:t xml:space="preserve"> are fears that the statistics represent a minority of cases.</w:t>
      </w:r>
      <w:r w:rsidRPr="006E33D0">
        <w:rPr>
          <w:rFonts w:ascii="Arial" w:eastAsia="Calibri" w:hAnsi="Arial" w:cs="Arial"/>
          <w:vertAlign w:val="superscript"/>
        </w:rPr>
        <w:footnoteReference w:id="155"/>
      </w:r>
      <w:r w:rsidRPr="006E33D0">
        <w:rPr>
          <w:rFonts w:ascii="Arial" w:eastAsia="Calibri" w:hAnsi="Arial" w:cs="Arial"/>
          <w:bCs/>
        </w:rPr>
        <w:t xml:space="preserve"> </w:t>
      </w:r>
    </w:p>
    <w:p w14:paraId="60FB9F44" w14:textId="7AB012EC" w:rsidR="00967F79" w:rsidRPr="006E33D0" w:rsidRDefault="00967F79" w:rsidP="00967F79">
      <w:pPr>
        <w:spacing w:line="240" w:lineRule="auto"/>
        <w:rPr>
          <w:rFonts w:ascii="Arial" w:eastAsia="Calibri" w:hAnsi="Arial" w:cs="Arial"/>
        </w:rPr>
      </w:pPr>
      <w:r w:rsidRPr="006E33D0">
        <w:rPr>
          <w:rFonts w:ascii="Arial" w:eastAsia="Calibri" w:hAnsi="Arial" w:cs="Arial"/>
        </w:rPr>
        <w:t xml:space="preserve">Each year since 2016, </w:t>
      </w:r>
      <w:r w:rsidR="00FE531F">
        <w:rPr>
          <w:rFonts w:ascii="Arial" w:eastAsia="Calibri" w:hAnsi="Arial" w:cs="Arial"/>
        </w:rPr>
        <w:t xml:space="preserve">healthcare providers in England have identified </w:t>
      </w:r>
      <w:r w:rsidRPr="006E33D0">
        <w:rPr>
          <w:rFonts w:ascii="Arial" w:eastAsia="Calibri" w:hAnsi="Arial" w:cs="Arial"/>
        </w:rPr>
        <w:t>at least 7,000 individual women or girls as having been subjected to FGM at some point in their lives.</w:t>
      </w:r>
      <w:r w:rsidRPr="006E33D0">
        <w:rPr>
          <w:rFonts w:ascii="Arial" w:eastAsia="Calibri" w:hAnsi="Arial" w:cs="Arial"/>
          <w:vertAlign w:val="superscript"/>
        </w:rPr>
        <w:footnoteReference w:id="156"/>
      </w:r>
      <w:r w:rsidRPr="006E33D0">
        <w:rPr>
          <w:rFonts w:ascii="Arial" w:eastAsia="Calibri" w:hAnsi="Arial" w:cs="Arial"/>
        </w:rPr>
        <w:t xml:space="preserve"> The UK Government’s Forced Marriage Unit (FMU) has identified over 1,000 cases of forced marriage across the UK every year since 2011.</w:t>
      </w:r>
      <w:r w:rsidRPr="006E33D0">
        <w:rPr>
          <w:rFonts w:ascii="Arial" w:eastAsia="Calibri" w:hAnsi="Arial" w:cs="Arial"/>
          <w:vertAlign w:val="superscript"/>
        </w:rPr>
        <w:footnoteReference w:id="157"/>
      </w:r>
      <w:r w:rsidRPr="006E33D0">
        <w:rPr>
          <w:rFonts w:ascii="Arial" w:eastAsia="Calibri" w:hAnsi="Arial" w:cs="Arial"/>
        </w:rPr>
        <w:t xml:space="preserve"> While this figure decreased to 759 in 2020, the FMU attributes this </w:t>
      </w:r>
      <w:r w:rsidR="00FE531F">
        <w:rPr>
          <w:rFonts w:ascii="Arial" w:eastAsia="Calibri" w:hAnsi="Arial" w:cs="Arial"/>
        </w:rPr>
        <w:t xml:space="preserve">apparent fall in cases largely </w:t>
      </w:r>
      <w:r w:rsidRPr="006E33D0">
        <w:rPr>
          <w:rFonts w:ascii="Arial" w:eastAsia="Calibri" w:hAnsi="Arial" w:cs="Arial"/>
        </w:rPr>
        <w:t>to the pandemic.</w:t>
      </w:r>
      <w:r>
        <w:rPr>
          <w:rFonts w:ascii="Arial" w:eastAsia="Calibri" w:hAnsi="Arial" w:cs="Arial"/>
        </w:rPr>
        <w:t xml:space="preserve"> </w:t>
      </w:r>
      <w:r w:rsidRPr="006E33D0">
        <w:rPr>
          <w:rFonts w:ascii="Arial" w:eastAsia="Calibri" w:hAnsi="Arial" w:cs="Arial"/>
        </w:rPr>
        <w:t>In 2020, 26% of the cases involved child victims.</w:t>
      </w:r>
      <w:r w:rsidRPr="006E33D0">
        <w:rPr>
          <w:rFonts w:ascii="Arial" w:eastAsia="Calibri" w:hAnsi="Arial" w:cs="Arial"/>
          <w:vertAlign w:val="superscript"/>
        </w:rPr>
        <w:footnoteReference w:id="158"/>
      </w:r>
      <w:r w:rsidRPr="006E33D0">
        <w:rPr>
          <w:rFonts w:ascii="Arial" w:eastAsia="Calibri" w:hAnsi="Arial" w:cs="Arial"/>
        </w:rPr>
        <w:t xml:space="preserve"> </w:t>
      </w:r>
    </w:p>
    <w:p w14:paraId="3019EEF6" w14:textId="6525285F" w:rsidR="00967F79" w:rsidRPr="006E33D0" w:rsidRDefault="00967F79" w:rsidP="00967F79">
      <w:pPr>
        <w:spacing w:line="240" w:lineRule="auto"/>
        <w:rPr>
          <w:rFonts w:ascii="Arial" w:eastAsia="Calibri" w:hAnsi="Arial" w:cs="Arial"/>
        </w:rPr>
      </w:pPr>
      <w:r w:rsidRPr="006E33D0">
        <w:rPr>
          <w:rFonts w:ascii="Arial" w:eastAsia="Calibri" w:hAnsi="Arial" w:cs="Arial"/>
        </w:rPr>
        <w:t xml:space="preserve">The Welsh Government </w:t>
      </w:r>
      <w:r w:rsidR="00FE531F">
        <w:rPr>
          <w:rFonts w:ascii="Arial" w:eastAsia="Calibri" w:hAnsi="Arial" w:cs="Arial"/>
        </w:rPr>
        <w:t>has stated that</w:t>
      </w:r>
      <w:r w:rsidRPr="006E33D0">
        <w:rPr>
          <w:rFonts w:ascii="Arial" w:eastAsia="Calibri" w:hAnsi="Arial" w:cs="Arial"/>
        </w:rPr>
        <w:t xml:space="preserve"> its 2022 updated VAWDASV strategy should </w:t>
      </w:r>
      <w:r w:rsidR="00743AC0">
        <w:rPr>
          <w:rFonts w:ascii="Arial" w:eastAsia="Calibri" w:hAnsi="Arial" w:cs="Arial"/>
        </w:rPr>
        <w:t>include</w:t>
      </w:r>
      <w:r w:rsidRPr="006E33D0">
        <w:rPr>
          <w:rFonts w:ascii="Arial" w:eastAsia="Calibri" w:hAnsi="Arial" w:cs="Arial"/>
        </w:rPr>
        <w:t xml:space="preserve"> practices such as FGM and HBA, and should be inclusive of children.</w:t>
      </w:r>
      <w:r w:rsidRPr="006E33D0">
        <w:rPr>
          <w:rFonts w:ascii="Arial" w:eastAsia="Calibri" w:hAnsi="Arial" w:cs="Arial"/>
          <w:vertAlign w:val="superscript"/>
        </w:rPr>
        <w:footnoteReference w:id="159"/>
      </w:r>
      <w:r w:rsidRPr="006E33D0">
        <w:rPr>
          <w:rFonts w:ascii="Arial" w:eastAsia="Calibri" w:hAnsi="Arial" w:cs="Arial"/>
        </w:rPr>
        <w:t xml:space="preserve"> However, no specific detail has been provided yet on addressing these issues.</w:t>
      </w:r>
    </w:p>
    <w:p w14:paraId="6DF1257C" w14:textId="27A690FD" w:rsidR="00967F79" w:rsidRPr="006E33D0" w:rsidRDefault="00967F79" w:rsidP="00967F79">
      <w:pPr>
        <w:spacing w:line="240" w:lineRule="auto"/>
        <w:rPr>
          <w:rFonts w:ascii="Arial" w:eastAsia="Calibri" w:hAnsi="Arial" w:cs="Arial"/>
        </w:rPr>
      </w:pPr>
      <w:r w:rsidRPr="006E33D0">
        <w:rPr>
          <w:rFonts w:ascii="Arial" w:eastAsia="Calibri" w:hAnsi="Arial" w:cs="Arial"/>
        </w:rPr>
        <w:t>UN bodies and others have repeatedly recommended that medical interventions on children born with variations in sex characteristics should be prohibited where there is no medical need.</w:t>
      </w:r>
      <w:r w:rsidRPr="006E33D0">
        <w:rPr>
          <w:rFonts w:ascii="Arial" w:eastAsia="Calibri" w:hAnsi="Arial" w:cs="Arial"/>
          <w:vertAlign w:val="superscript"/>
        </w:rPr>
        <w:footnoteReference w:id="160"/>
      </w:r>
      <w:r w:rsidRPr="006E33D0">
        <w:rPr>
          <w:rFonts w:ascii="Arial" w:eastAsia="Calibri" w:hAnsi="Arial" w:cs="Arial"/>
        </w:rPr>
        <w:t xml:space="preserve"> Such interventions can cause long-term harm, such as irreversible infertility and severe mental suffering.</w:t>
      </w:r>
      <w:r w:rsidRPr="006E33D0">
        <w:rPr>
          <w:rFonts w:ascii="Arial" w:eastAsia="Calibri" w:hAnsi="Arial" w:cs="Arial"/>
          <w:vertAlign w:val="superscript"/>
        </w:rPr>
        <w:footnoteReference w:id="161"/>
      </w:r>
      <w:r w:rsidRPr="006E33D0">
        <w:rPr>
          <w:rFonts w:ascii="Arial" w:eastAsia="Calibri" w:hAnsi="Arial" w:cs="Arial"/>
        </w:rPr>
        <w:t xml:space="preserve"> The UK Government launched a call for evidence in January 2019,</w:t>
      </w:r>
      <w:r w:rsidRPr="006E33D0">
        <w:rPr>
          <w:rFonts w:ascii="Arial" w:eastAsia="Calibri" w:hAnsi="Arial" w:cs="Arial"/>
          <w:vertAlign w:val="superscript"/>
        </w:rPr>
        <w:footnoteReference w:id="162"/>
      </w:r>
      <w:r w:rsidRPr="006E33D0">
        <w:rPr>
          <w:rFonts w:ascii="Arial" w:eastAsia="Calibri" w:hAnsi="Arial" w:cs="Arial"/>
        </w:rPr>
        <w:t xml:space="preserve"> but there has since been no update, </w:t>
      </w:r>
      <w:r w:rsidR="00FD714E">
        <w:rPr>
          <w:rFonts w:ascii="Arial" w:eastAsia="Calibri" w:hAnsi="Arial" w:cs="Arial"/>
        </w:rPr>
        <w:t>which leaves</w:t>
      </w:r>
      <w:r w:rsidRPr="006E33D0">
        <w:rPr>
          <w:rFonts w:ascii="Arial" w:eastAsia="Calibri" w:hAnsi="Arial" w:cs="Arial"/>
        </w:rPr>
        <w:t xml:space="preserve"> children with variations in sex characteristics exposed to ongoing risk of harm.</w:t>
      </w:r>
    </w:p>
    <w:p w14:paraId="03CD41A2" w14:textId="77777777" w:rsidR="00FD714E" w:rsidRDefault="00967F79" w:rsidP="00967F79">
      <w:pPr>
        <w:spacing w:line="240" w:lineRule="auto"/>
        <w:rPr>
          <w:rFonts w:ascii="Arial" w:eastAsia="Calibri" w:hAnsi="Arial" w:cs="Arial"/>
        </w:rPr>
      </w:pPr>
      <w:r w:rsidRPr="006E33D0">
        <w:rPr>
          <w:rFonts w:ascii="Arial" w:eastAsia="Calibri" w:hAnsi="Arial" w:cs="Arial"/>
        </w:rPr>
        <w:t>Conversion practices</w:t>
      </w:r>
      <w:r>
        <w:rPr>
          <w:rFonts w:ascii="Arial" w:eastAsia="Calibri" w:hAnsi="Arial" w:cs="Arial"/>
        </w:rPr>
        <w:t>, intended to change a person’s sexual orientation or gender identity,</w:t>
      </w:r>
      <w:r w:rsidRPr="006E33D0">
        <w:rPr>
          <w:rFonts w:ascii="Arial" w:eastAsia="Calibri" w:hAnsi="Arial" w:cs="Arial"/>
        </w:rPr>
        <w:t xml:space="preserve"> are harmful</w:t>
      </w:r>
      <w:r w:rsidRPr="006E33D0">
        <w:rPr>
          <w:rFonts w:ascii="Arial" w:eastAsia="Calibri" w:hAnsi="Arial" w:cs="Arial"/>
          <w:vertAlign w:val="superscript"/>
        </w:rPr>
        <w:footnoteReference w:id="163"/>
      </w:r>
      <w:r w:rsidRPr="006E33D0">
        <w:rPr>
          <w:rFonts w:ascii="Arial" w:eastAsia="Calibri" w:hAnsi="Arial" w:cs="Arial"/>
        </w:rPr>
        <w:t xml:space="preserve"> and can result in severe psychological and physical damage</w:t>
      </w:r>
      <w:r>
        <w:rPr>
          <w:rFonts w:ascii="Arial" w:eastAsia="Calibri" w:hAnsi="Arial" w:cs="Arial"/>
        </w:rPr>
        <w:t>. C</w:t>
      </w:r>
      <w:r w:rsidRPr="006E33D0">
        <w:rPr>
          <w:rFonts w:ascii="Arial" w:eastAsia="Calibri" w:hAnsi="Arial" w:cs="Arial"/>
        </w:rPr>
        <w:t xml:space="preserve">hildren are particularly vulnerable to </w:t>
      </w:r>
      <w:r w:rsidR="00FE531F">
        <w:rPr>
          <w:rFonts w:ascii="Arial" w:eastAsia="Calibri" w:hAnsi="Arial" w:cs="Arial"/>
        </w:rPr>
        <w:t>the</w:t>
      </w:r>
      <w:r w:rsidRPr="006E33D0">
        <w:rPr>
          <w:rFonts w:ascii="Arial" w:eastAsia="Calibri" w:hAnsi="Arial" w:cs="Arial"/>
        </w:rPr>
        <w:t xml:space="preserve"> effects</w:t>
      </w:r>
      <w:r w:rsidR="00FE531F">
        <w:rPr>
          <w:rFonts w:ascii="Arial" w:eastAsia="Calibri" w:hAnsi="Arial" w:cs="Arial"/>
        </w:rPr>
        <w:t xml:space="preserve"> of conversion practices</w:t>
      </w:r>
      <w:r w:rsidRPr="006E33D0">
        <w:rPr>
          <w:rFonts w:ascii="Arial" w:eastAsia="Calibri" w:hAnsi="Arial" w:cs="Arial"/>
        </w:rPr>
        <w:t>.</w:t>
      </w:r>
      <w:r w:rsidRPr="006E33D0">
        <w:rPr>
          <w:rFonts w:ascii="Arial" w:eastAsia="Calibri" w:hAnsi="Arial" w:cs="Arial"/>
          <w:vertAlign w:val="superscript"/>
        </w:rPr>
        <w:footnoteReference w:id="164"/>
      </w:r>
      <w:r w:rsidRPr="006E33D0">
        <w:rPr>
          <w:rFonts w:ascii="Arial" w:eastAsia="Calibri" w:hAnsi="Arial" w:cs="Arial"/>
        </w:rPr>
        <w:t xml:space="preserve"> It is unclear how many lesbian, gay, bisexual and transgender (LGBT) children are subjected to conversion practices in England and Wales, though the UK Government’s </w:t>
      </w:r>
      <w:r w:rsidRPr="00C260AD">
        <w:rPr>
          <w:rFonts w:ascii="Arial" w:eastAsia="Calibri" w:hAnsi="Arial" w:cs="Arial"/>
        </w:rPr>
        <w:t>2017 National LGBT survey found that 4.1% of transgender respondents and 2.</w:t>
      </w:r>
      <w:r w:rsidR="00FD714E">
        <w:rPr>
          <w:rFonts w:ascii="Arial" w:eastAsia="Calibri" w:hAnsi="Arial" w:cs="Arial"/>
        </w:rPr>
        <w:t>2% of other respondents aged 16–</w:t>
      </w:r>
      <w:r w:rsidRPr="00C260AD">
        <w:rPr>
          <w:rFonts w:ascii="Arial" w:eastAsia="Calibri" w:hAnsi="Arial" w:cs="Arial"/>
        </w:rPr>
        <w:t xml:space="preserve">17 said that they had undergone </w:t>
      </w:r>
      <w:r w:rsidR="00FE531F">
        <w:rPr>
          <w:rFonts w:ascii="Arial" w:eastAsia="Calibri" w:hAnsi="Arial" w:cs="Arial"/>
        </w:rPr>
        <w:t>such practices</w:t>
      </w:r>
      <w:r w:rsidRPr="00C260AD">
        <w:rPr>
          <w:rFonts w:ascii="Arial" w:eastAsia="Calibri" w:hAnsi="Arial" w:cs="Arial"/>
        </w:rPr>
        <w:t>.</w:t>
      </w:r>
      <w:r w:rsidRPr="00C260AD">
        <w:rPr>
          <w:rFonts w:ascii="Arial" w:eastAsia="Calibri" w:hAnsi="Arial" w:cs="Arial"/>
          <w:vertAlign w:val="superscript"/>
        </w:rPr>
        <w:footnoteReference w:id="165"/>
      </w:r>
      <w:r w:rsidRPr="00C260AD">
        <w:rPr>
          <w:rFonts w:ascii="Arial" w:eastAsia="Calibri" w:hAnsi="Arial" w:cs="Arial"/>
        </w:rPr>
        <w:t xml:space="preserve"> </w:t>
      </w:r>
    </w:p>
    <w:p w14:paraId="5738093F" w14:textId="5A030193" w:rsidR="00967F79" w:rsidRPr="006E33D0" w:rsidRDefault="00967F79" w:rsidP="00967F79">
      <w:pPr>
        <w:spacing w:line="240" w:lineRule="auto"/>
        <w:rPr>
          <w:rFonts w:ascii="Arial" w:eastAsia="Calibri" w:hAnsi="Arial" w:cs="Arial"/>
        </w:rPr>
      </w:pPr>
      <w:r w:rsidRPr="00C260AD">
        <w:rPr>
          <w:rFonts w:ascii="Arial" w:eastAsia="Calibri" w:hAnsi="Arial" w:cs="Arial"/>
        </w:rPr>
        <w:t>In</w:t>
      </w:r>
      <w:r w:rsidRPr="006E33D0">
        <w:rPr>
          <w:rFonts w:ascii="Arial" w:eastAsia="Calibri" w:hAnsi="Arial" w:cs="Arial"/>
        </w:rPr>
        <w:t xml:space="preserve"> October 2021</w:t>
      </w:r>
      <w:r w:rsidR="00FE531F">
        <w:rPr>
          <w:rFonts w:ascii="Arial" w:eastAsia="Calibri" w:hAnsi="Arial" w:cs="Arial"/>
        </w:rPr>
        <w:t>,</w:t>
      </w:r>
      <w:r w:rsidRPr="006E33D0">
        <w:rPr>
          <w:rFonts w:ascii="Arial" w:eastAsia="Calibri" w:hAnsi="Arial" w:cs="Arial"/>
        </w:rPr>
        <w:t xml:space="preserve"> the UK Government launched a consultation on banning conversion practices in England and Wales, including proposals to provide stronger protections for those aged under 18 years.</w:t>
      </w:r>
      <w:r w:rsidRPr="006E33D0">
        <w:rPr>
          <w:rFonts w:ascii="Arial" w:eastAsia="Calibri" w:hAnsi="Arial" w:cs="Arial"/>
          <w:vertAlign w:val="superscript"/>
        </w:rPr>
        <w:footnoteReference w:id="166"/>
      </w:r>
      <w:r w:rsidRPr="006E33D0">
        <w:rPr>
          <w:rFonts w:ascii="Arial" w:eastAsia="Calibri" w:hAnsi="Arial" w:cs="Arial"/>
        </w:rPr>
        <w:t xml:space="preserve"> The Welsh Government’s 2021 Programme for Gover</w:t>
      </w:r>
      <w:r w:rsidR="00FD714E">
        <w:rPr>
          <w:rFonts w:ascii="Arial" w:eastAsia="Calibri" w:hAnsi="Arial" w:cs="Arial"/>
        </w:rPr>
        <w:t>nment includes a commitment to ‘</w:t>
      </w:r>
      <w:r w:rsidRPr="006E33D0">
        <w:rPr>
          <w:rFonts w:ascii="Arial" w:eastAsia="Calibri" w:hAnsi="Arial" w:cs="Arial"/>
        </w:rPr>
        <w:t>use all available powers to ban all aspec</w:t>
      </w:r>
      <w:r w:rsidR="00FD714E">
        <w:rPr>
          <w:rFonts w:ascii="Arial" w:eastAsia="Calibri" w:hAnsi="Arial" w:cs="Arial"/>
        </w:rPr>
        <w:t>ts of LGBTQ+ conversion therapy’</w:t>
      </w:r>
      <w:r w:rsidRPr="006E33D0">
        <w:rPr>
          <w:rFonts w:ascii="Arial" w:eastAsia="Calibri" w:hAnsi="Arial" w:cs="Arial"/>
        </w:rPr>
        <w:t>.</w:t>
      </w:r>
      <w:r w:rsidRPr="006E33D0">
        <w:rPr>
          <w:rFonts w:ascii="Arial" w:eastAsia="Calibri" w:hAnsi="Arial" w:cs="Arial"/>
          <w:vertAlign w:val="superscript"/>
        </w:rPr>
        <w:footnoteReference w:id="167"/>
      </w:r>
      <w:r w:rsidRPr="006E33D0">
        <w:rPr>
          <w:rFonts w:ascii="Arial" w:eastAsia="Calibri" w:hAnsi="Arial" w:cs="Arial"/>
        </w:rPr>
        <w:t xml:space="preserve"> Following the UK Government’s decision that it would consider </w:t>
      </w:r>
      <w:r w:rsidR="00FE531F">
        <w:rPr>
          <w:rFonts w:ascii="Arial" w:eastAsia="Calibri" w:hAnsi="Arial" w:cs="Arial"/>
        </w:rPr>
        <w:t xml:space="preserve">separately </w:t>
      </w:r>
      <w:r w:rsidRPr="006E33D0">
        <w:rPr>
          <w:rFonts w:ascii="Arial" w:eastAsia="Calibri" w:hAnsi="Arial" w:cs="Arial"/>
        </w:rPr>
        <w:t>the issue of transgender conversion practices,</w:t>
      </w:r>
      <w:r w:rsidRPr="006E33D0">
        <w:rPr>
          <w:rFonts w:ascii="Arial" w:eastAsia="Calibri" w:hAnsi="Arial" w:cs="Arial"/>
          <w:vertAlign w:val="superscript"/>
        </w:rPr>
        <w:footnoteReference w:id="168"/>
      </w:r>
      <w:r w:rsidRPr="006E33D0">
        <w:rPr>
          <w:rFonts w:ascii="Arial" w:eastAsia="Calibri" w:hAnsi="Arial" w:cs="Arial"/>
        </w:rPr>
        <w:t xml:space="preserve"> the Welsh Government outlined plans to ban all conversion therapy in Wales, including commissioning legal advice on the unilateral action that can be taken within the scope of devolution.</w:t>
      </w:r>
      <w:r w:rsidRPr="006E33D0">
        <w:rPr>
          <w:rFonts w:ascii="Arial" w:eastAsia="Calibri" w:hAnsi="Arial" w:cs="Arial"/>
          <w:vertAlign w:val="superscript"/>
        </w:rPr>
        <w:footnoteReference w:id="169"/>
      </w:r>
    </w:p>
    <w:p w14:paraId="4E87C12E" w14:textId="77777777" w:rsidR="00FD714E" w:rsidRDefault="00FD714E">
      <w:pPr>
        <w:keepLines w:val="0"/>
        <w:spacing w:before="0" w:after="160" w:line="259" w:lineRule="auto"/>
        <w:rPr>
          <w:rFonts w:asciiTheme="majorHAnsi" w:eastAsiaTheme="majorEastAsia" w:hAnsiTheme="majorHAnsi" w:cstheme="majorBidi"/>
          <w:b/>
          <w:color w:val="004E4B" w:themeColor="accent1" w:themeShade="80"/>
          <w:sz w:val="28"/>
          <w:szCs w:val="29"/>
        </w:rPr>
      </w:pPr>
      <w:r>
        <w:br w:type="page"/>
      </w:r>
    </w:p>
    <w:p w14:paraId="666B587F" w14:textId="5B39ABFC" w:rsidR="00967F79" w:rsidRPr="00B91A3D" w:rsidRDefault="00967F79" w:rsidP="00967F79">
      <w:pPr>
        <w:pStyle w:val="Heading4"/>
      </w:pPr>
      <w:r>
        <w:t xml:space="preserve">Recommendations </w:t>
      </w:r>
    </w:p>
    <w:p w14:paraId="08B976AF" w14:textId="627901AD" w:rsidR="00967F79" w:rsidRPr="00527C4A" w:rsidRDefault="00967F79" w:rsidP="00527C4A">
      <w:pPr>
        <w:spacing w:before="120" w:line="240" w:lineRule="auto"/>
        <w:rPr>
          <w:rFonts w:ascii="Arial" w:eastAsia="Calibri" w:hAnsi="Arial" w:cs="Arial"/>
          <w:u w:val="single"/>
        </w:rPr>
      </w:pPr>
      <w:r w:rsidRPr="006E33D0">
        <w:rPr>
          <w:rFonts w:ascii="Arial" w:eastAsia="Calibri" w:hAnsi="Arial" w:cs="Arial"/>
          <w:u w:val="single"/>
        </w:rPr>
        <w:t>The UK and Welsh governments, where relevant, should:</w:t>
      </w:r>
    </w:p>
    <w:p w14:paraId="44AE3D2F" w14:textId="75D2721D" w:rsidR="00527C4A" w:rsidRDefault="005E7683" w:rsidP="00527C4A">
      <w:pPr>
        <w:pStyle w:val="ListParagraph"/>
        <w:keepLines w:val="0"/>
        <w:numPr>
          <w:ilvl w:val="0"/>
          <w:numId w:val="25"/>
        </w:numPr>
        <w:spacing w:before="120" w:line="240" w:lineRule="auto"/>
        <w:ind w:left="714" w:hanging="357"/>
        <w:contextualSpacing/>
        <w:rPr>
          <w:rFonts w:ascii="Arial" w:eastAsia="Calibri" w:hAnsi="Arial" w:cs="Arial"/>
        </w:rPr>
      </w:pPr>
      <w:r>
        <w:rPr>
          <w:rFonts w:ascii="Arial" w:eastAsia="Calibri" w:hAnsi="Arial" w:cs="Arial"/>
        </w:rPr>
        <w:t xml:space="preserve">Develop an effective </w:t>
      </w:r>
      <w:r w:rsidR="00967F79" w:rsidRPr="00967F79">
        <w:rPr>
          <w:rFonts w:ascii="Arial" w:eastAsia="Calibri" w:hAnsi="Arial" w:cs="Arial"/>
        </w:rPr>
        <w:t xml:space="preserve">approach to tackling harmful practices </w:t>
      </w:r>
      <w:r w:rsidR="00FE531F">
        <w:rPr>
          <w:rFonts w:ascii="Arial" w:eastAsia="Calibri" w:hAnsi="Arial" w:cs="Arial"/>
        </w:rPr>
        <w:t>–</w:t>
      </w:r>
      <w:r w:rsidR="00967F79" w:rsidRPr="00967F79">
        <w:rPr>
          <w:rFonts w:ascii="Arial" w:eastAsia="Calibri" w:hAnsi="Arial" w:cs="Arial"/>
        </w:rPr>
        <w:t xml:space="preserve"> including FGM, HBA and forced</w:t>
      </w:r>
      <w:r w:rsidR="00D87A25">
        <w:rPr>
          <w:rFonts w:ascii="Arial" w:eastAsia="Calibri" w:hAnsi="Arial" w:cs="Arial"/>
        </w:rPr>
        <w:t xml:space="preserve"> </w:t>
      </w:r>
      <w:r>
        <w:rPr>
          <w:rFonts w:ascii="Arial" w:eastAsia="Calibri" w:hAnsi="Arial" w:cs="Arial"/>
        </w:rPr>
        <w:t>marriage</w:t>
      </w:r>
      <w:r w:rsidR="00FE531F">
        <w:rPr>
          <w:rFonts w:ascii="Arial" w:eastAsia="Calibri" w:hAnsi="Arial" w:cs="Arial"/>
        </w:rPr>
        <w:t xml:space="preserve"> – against children, </w:t>
      </w:r>
      <w:r>
        <w:rPr>
          <w:rFonts w:ascii="Arial" w:eastAsia="Calibri" w:hAnsi="Arial" w:cs="Arial"/>
        </w:rPr>
        <w:t>including by raising</w:t>
      </w:r>
      <w:r w:rsidR="00967F79" w:rsidRPr="00967F79">
        <w:rPr>
          <w:rFonts w:ascii="Arial" w:eastAsia="Calibri" w:hAnsi="Arial" w:cs="Arial"/>
        </w:rPr>
        <w:t xml:space="preserve"> </w:t>
      </w:r>
      <w:r>
        <w:rPr>
          <w:rFonts w:ascii="Arial" w:eastAsia="Calibri" w:hAnsi="Arial" w:cs="Arial"/>
        </w:rPr>
        <w:t>awareness, improving</w:t>
      </w:r>
      <w:r w:rsidR="00967F79" w:rsidRPr="00967F79">
        <w:rPr>
          <w:rFonts w:ascii="Arial" w:eastAsia="Calibri" w:hAnsi="Arial" w:cs="Arial"/>
        </w:rPr>
        <w:t xml:space="preserve"> identification of victims, and address</w:t>
      </w:r>
      <w:r>
        <w:rPr>
          <w:rFonts w:ascii="Arial" w:eastAsia="Calibri" w:hAnsi="Arial" w:cs="Arial"/>
        </w:rPr>
        <w:t>ing</w:t>
      </w:r>
      <w:r w:rsidR="00967F79" w:rsidRPr="00967F79">
        <w:rPr>
          <w:rFonts w:ascii="Arial" w:eastAsia="Calibri" w:hAnsi="Arial" w:cs="Arial"/>
        </w:rPr>
        <w:t xml:space="preserve"> data gaps, low rates of reporting and low rates of prosecution.</w:t>
      </w:r>
    </w:p>
    <w:p w14:paraId="2570B8A0" w14:textId="77777777" w:rsidR="00527C4A" w:rsidRDefault="00527C4A" w:rsidP="00527C4A">
      <w:pPr>
        <w:pStyle w:val="ListParagraph"/>
        <w:keepLines w:val="0"/>
        <w:spacing w:before="120" w:line="240" w:lineRule="auto"/>
        <w:ind w:left="714"/>
        <w:contextualSpacing/>
        <w:rPr>
          <w:rFonts w:ascii="Arial" w:eastAsia="Calibri" w:hAnsi="Arial" w:cs="Arial"/>
        </w:rPr>
      </w:pPr>
    </w:p>
    <w:p w14:paraId="288D6B41" w14:textId="77777777" w:rsidR="00527C4A" w:rsidRDefault="00967F79" w:rsidP="00527C4A">
      <w:pPr>
        <w:pStyle w:val="ListParagraph"/>
        <w:keepLines w:val="0"/>
        <w:numPr>
          <w:ilvl w:val="0"/>
          <w:numId w:val="25"/>
        </w:numPr>
        <w:spacing w:before="120" w:line="240" w:lineRule="auto"/>
        <w:ind w:left="714" w:hanging="357"/>
        <w:contextualSpacing/>
        <w:rPr>
          <w:rFonts w:ascii="Arial" w:eastAsia="Calibri" w:hAnsi="Arial" w:cs="Arial"/>
        </w:rPr>
      </w:pPr>
      <w:r w:rsidRPr="00527C4A">
        <w:rPr>
          <w:rFonts w:ascii="Arial" w:eastAsia="Calibri" w:hAnsi="Arial" w:cs="Arial"/>
        </w:rPr>
        <w:t>Legislate to ensure that non-urgent medical interventions are not carried out on children with variations in sex characteristics until there is informed consent, and make available adequate information, counselling and psychological services for families and children.</w:t>
      </w:r>
    </w:p>
    <w:p w14:paraId="0259B22B" w14:textId="77777777" w:rsidR="00527C4A" w:rsidRPr="00527C4A" w:rsidRDefault="00527C4A" w:rsidP="00527C4A">
      <w:pPr>
        <w:pStyle w:val="ListParagraph"/>
        <w:rPr>
          <w:rFonts w:ascii="Arial" w:eastAsia="Calibri" w:hAnsi="Arial" w:cs="Arial"/>
        </w:rPr>
      </w:pPr>
    </w:p>
    <w:p w14:paraId="73C2BCB1" w14:textId="660352D4" w:rsidR="00D87A25" w:rsidRPr="00527C4A" w:rsidRDefault="00967F79" w:rsidP="00527C4A">
      <w:pPr>
        <w:pStyle w:val="ListParagraph"/>
        <w:keepLines w:val="0"/>
        <w:numPr>
          <w:ilvl w:val="0"/>
          <w:numId w:val="25"/>
        </w:numPr>
        <w:spacing w:before="120" w:line="240" w:lineRule="auto"/>
        <w:ind w:left="714" w:hanging="357"/>
        <w:contextualSpacing/>
        <w:rPr>
          <w:rFonts w:ascii="Arial" w:eastAsia="Calibri" w:hAnsi="Arial" w:cs="Arial"/>
        </w:rPr>
      </w:pPr>
      <w:r w:rsidRPr="00527C4A">
        <w:rPr>
          <w:rFonts w:ascii="Arial" w:eastAsia="Calibri" w:hAnsi="Arial" w:cs="Arial"/>
        </w:rPr>
        <w:t>Legislate to end</w:t>
      </w:r>
      <w:r w:rsidRPr="00967F79">
        <w:t xml:space="preserve"> </w:t>
      </w:r>
      <w:r w:rsidRPr="00527C4A">
        <w:rPr>
          <w:rFonts w:ascii="Arial" w:eastAsia="Calibri" w:hAnsi="Arial" w:cs="Arial"/>
        </w:rPr>
        <w:t>harmful conversion practices that seek to change a young person’s sexual orientation and</w:t>
      </w:r>
      <w:r w:rsidR="00FD714E" w:rsidRPr="00527C4A">
        <w:rPr>
          <w:rFonts w:ascii="Arial" w:eastAsia="Calibri" w:hAnsi="Arial" w:cs="Arial"/>
        </w:rPr>
        <w:t xml:space="preserve"> </w:t>
      </w:r>
      <w:r w:rsidRPr="00527C4A">
        <w:rPr>
          <w:rFonts w:ascii="Arial" w:eastAsia="Calibri" w:hAnsi="Arial" w:cs="Arial"/>
        </w:rPr>
        <w:t>/</w:t>
      </w:r>
      <w:r w:rsidR="00FD714E" w:rsidRPr="00527C4A">
        <w:rPr>
          <w:rFonts w:ascii="Arial" w:eastAsia="Calibri" w:hAnsi="Arial" w:cs="Arial"/>
        </w:rPr>
        <w:t xml:space="preserve"> </w:t>
      </w:r>
      <w:r w:rsidRPr="00527C4A">
        <w:rPr>
          <w:rFonts w:ascii="Arial" w:eastAsia="Calibri" w:hAnsi="Arial" w:cs="Arial"/>
        </w:rPr>
        <w:t xml:space="preserve">or </w:t>
      </w:r>
      <w:r w:rsidR="00404620" w:rsidRPr="00527C4A">
        <w:rPr>
          <w:rFonts w:ascii="Arial" w:eastAsia="Calibri" w:hAnsi="Arial" w:cs="Arial"/>
        </w:rPr>
        <w:t>gender identity</w:t>
      </w:r>
      <w:r w:rsidRPr="00527C4A">
        <w:rPr>
          <w:rFonts w:ascii="Arial" w:eastAsia="Calibri" w:hAnsi="Arial" w:cs="Arial"/>
        </w:rPr>
        <w:t>, while taking the appropriate steps to define key terminology and ensure that legitimate medical, spiritual or counselling practices are not impinged upon.</w:t>
      </w:r>
    </w:p>
    <w:p w14:paraId="48DEE33F" w14:textId="79BC8A9C" w:rsidR="00D87A25" w:rsidRPr="00F2721D" w:rsidRDefault="00D87A25" w:rsidP="00D87A25">
      <w:pPr>
        <w:pStyle w:val="Heading1"/>
      </w:pPr>
      <w:bookmarkStart w:id="12" w:name="_Toc122018856"/>
      <w:r>
        <w:t>Basic health and welfare</w:t>
      </w:r>
      <w:r w:rsidRPr="00A26DF5">
        <w:t xml:space="preserve"> </w:t>
      </w:r>
      <w:r>
        <w:rPr>
          <w:rStyle w:val="Howtousethistemplate"/>
          <w:sz w:val="52"/>
        </w:rPr>
        <w:t>(Articles 6, 18</w:t>
      </w:r>
      <w:r w:rsidR="00FE531F">
        <w:rPr>
          <w:rStyle w:val="Howtousethistemplate"/>
          <w:sz w:val="52"/>
        </w:rPr>
        <w:t xml:space="preserve"> </w:t>
      </w:r>
      <w:r>
        <w:rPr>
          <w:rStyle w:val="Howtousethistemplate"/>
          <w:sz w:val="52"/>
        </w:rPr>
        <w:t>(3), 24, 26, 27</w:t>
      </w:r>
      <w:r w:rsidR="00FE531F">
        <w:rPr>
          <w:rStyle w:val="Howtousethistemplate"/>
          <w:sz w:val="52"/>
        </w:rPr>
        <w:t xml:space="preserve"> </w:t>
      </w:r>
      <w:r>
        <w:rPr>
          <w:rStyle w:val="Howtousethistemplate"/>
          <w:sz w:val="52"/>
        </w:rPr>
        <w:t>(1-3) and 33)</w:t>
      </w:r>
      <w:bookmarkEnd w:id="12"/>
    </w:p>
    <w:p w14:paraId="29C0CE9D" w14:textId="4F6ABFA3" w:rsidR="00D87A25" w:rsidRPr="000530C5" w:rsidRDefault="00D87A25" w:rsidP="00D87A25">
      <w:pPr>
        <w:pStyle w:val="Heading2"/>
      </w:pPr>
      <w:bookmarkStart w:id="13" w:name="_Toc122018857"/>
      <w:r>
        <w:t>Health and health services</w:t>
      </w:r>
      <w:bookmarkEnd w:id="13"/>
    </w:p>
    <w:p w14:paraId="609413F1" w14:textId="46D18577" w:rsidR="00D87A25" w:rsidRPr="006E33D0" w:rsidRDefault="00D87A25" w:rsidP="00D87A25">
      <w:pPr>
        <w:keepNext/>
        <w:pBdr>
          <w:top w:val="single" w:sz="24" w:space="8" w:color="DDDE45"/>
          <w:left w:val="single" w:sz="24" w:space="4" w:color="F1F1B4"/>
          <w:bottom w:val="single" w:sz="48" w:space="1" w:color="F1F1B4"/>
          <w:right w:val="single" w:sz="24" w:space="4" w:color="F1F1B4"/>
        </w:pBdr>
        <w:shd w:val="clear" w:color="auto" w:fill="F1F1B4"/>
        <w:spacing w:before="120" w:line="240" w:lineRule="auto"/>
        <w:ind w:left="142" w:right="198"/>
        <w:rPr>
          <w:rFonts w:ascii="Arial" w:eastAsia="Arial" w:hAnsi="Arial" w:cs="Arial"/>
          <w:b/>
          <w:szCs w:val="24"/>
        </w:rPr>
      </w:pPr>
      <w:r w:rsidRPr="006E33D0">
        <w:rPr>
          <w:rFonts w:ascii="Arial" w:eastAsia="Arial" w:hAnsi="Arial" w:cs="Arial"/>
          <w:b/>
          <w:szCs w:val="24"/>
        </w:rPr>
        <w:t xml:space="preserve">See: </w:t>
      </w:r>
      <w:hyperlink r:id="rId34" w:history="1">
        <w:r w:rsidRPr="006E33D0">
          <w:rPr>
            <w:rFonts w:ascii="Arial" w:eastAsia="Arial" w:hAnsi="Arial" w:cs="Arial"/>
            <w:b/>
            <w:szCs w:val="24"/>
            <w:u w:val="single" w:color="009C98"/>
          </w:rPr>
          <w:t>Our 2020 submission</w:t>
        </w:r>
      </w:hyperlink>
      <w:r w:rsidRPr="006E33D0">
        <w:rPr>
          <w:rFonts w:ascii="Arial" w:eastAsia="Arial" w:hAnsi="Arial" w:cs="Arial"/>
          <w:b/>
          <w:szCs w:val="24"/>
        </w:rPr>
        <w:t xml:space="preserve"> (pages 51-57 and 82-93); </w:t>
      </w:r>
      <w:hyperlink r:id="rId35" w:history="1">
        <w:r w:rsidR="00FA3563">
          <w:rPr>
            <w:rFonts w:ascii="Arial" w:eastAsia="Arial" w:hAnsi="Arial" w:cs="Arial"/>
            <w:b/>
            <w:szCs w:val="24"/>
            <w:u w:val="single" w:color="009C98"/>
          </w:rPr>
          <w:t>UNCRC list of i</w:t>
        </w:r>
        <w:r w:rsidRPr="006E33D0">
          <w:rPr>
            <w:rFonts w:ascii="Arial" w:eastAsia="Arial" w:hAnsi="Arial" w:cs="Arial"/>
            <w:b/>
            <w:szCs w:val="24"/>
            <w:u w:val="single" w:color="009C98"/>
          </w:rPr>
          <w:t>ssues</w:t>
        </w:r>
      </w:hyperlink>
      <w:r w:rsidRPr="006E33D0">
        <w:rPr>
          <w:rFonts w:ascii="Arial" w:eastAsia="Arial" w:hAnsi="Arial" w:cs="Arial"/>
          <w:b/>
          <w:szCs w:val="24"/>
        </w:rPr>
        <w:t xml:space="preserve"> (paras 14 and 26); </w:t>
      </w:r>
      <w:hyperlink r:id="rId36" w:history="1">
        <w:r w:rsidRPr="006E33D0">
          <w:rPr>
            <w:rFonts w:ascii="Arial" w:eastAsia="Arial" w:hAnsi="Arial" w:cs="Arial"/>
            <w:b/>
            <w:szCs w:val="24"/>
            <w:u w:val="single" w:color="009C98"/>
          </w:rPr>
          <w:t>UN Sustainable Development Goals</w:t>
        </w:r>
      </w:hyperlink>
      <w:r w:rsidRPr="006E33D0">
        <w:rPr>
          <w:rFonts w:ascii="Arial" w:eastAsia="Arial" w:hAnsi="Arial" w:cs="Arial"/>
          <w:b/>
          <w:szCs w:val="24"/>
        </w:rPr>
        <w:t xml:space="preserve"> (Goal</w:t>
      </w:r>
      <w:r w:rsidR="00E3303C">
        <w:rPr>
          <w:rFonts w:ascii="Arial" w:eastAsia="Arial" w:hAnsi="Arial" w:cs="Arial"/>
          <w:b/>
          <w:szCs w:val="24"/>
        </w:rPr>
        <w:t>s</w:t>
      </w:r>
      <w:r w:rsidRPr="006E33D0">
        <w:rPr>
          <w:rFonts w:ascii="Arial" w:eastAsia="Arial" w:hAnsi="Arial" w:cs="Arial"/>
          <w:b/>
          <w:szCs w:val="24"/>
        </w:rPr>
        <w:t xml:space="preserve"> 3</w:t>
      </w:r>
      <w:r w:rsidR="00E3303C">
        <w:rPr>
          <w:rFonts w:ascii="Arial" w:eastAsia="Arial" w:hAnsi="Arial" w:cs="Arial"/>
          <w:b/>
          <w:szCs w:val="24"/>
        </w:rPr>
        <w:t xml:space="preserve"> and 10</w:t>
      </w:r>
      <w:r w:rsidRPr="006E33D0">
        <w:rPr>
          <w:rFonts w:ascii="Arial" w:eastAsia="Arial" w:hAnsi="Arial" w:cs="Arial"/>
          <w:b/>
          <w:szCs w:val="24"/>
        </w:rPr>
        <w:t>)</w:t>
      </w:r>
    </w:p>
    <w:p w14:paraId="2BCDF1F3" w14:textId="213AF76A" w:rsidR="00D87A25" w:rsidRPr="006E33D0" w:rsidRDefault="00D87A25" w:rsidP="00D87A25">
      <w:pPr>
        <w:spacing w:before="120" w:line="240" w:lineRule="auto"/>
        <w:rPr>
          <w:rFonts w:ascii="Arial" w:eastAsia="Calibri" w:hAnsi="Arial" w:cs="Arial"/>
        </w:rPr>
      </w:pPr>
      <w:r w:rsidRPr="006E33D0">
        <w:rPr>
          <w:rFonts w:ascii="Arial" w:eastAsia="Calibri" w:hAnsi="Arial" w:cs="Arial"/>
        </w:rPr>
        <w:t>All children have a right to the highest attainable standard of health. While healthcare remains free at the point of use across Britain, some children face access and outcomes inequalities. There is significant evidence that demonstrates the deteriorating mental health of children in Britain. Without a robust response, the long-term effects for children’s wellbeing may be severe.</w:t>
      </w:r>
    </w:p>
    <w:p w14:paraId="4EE68A81" w14:textId="0839F2B8" w:rsidR="00D87A25" w:rsidRPr="00B91A3D" w:rsidRDefault="00D87A25" w:rsidP="00D87A25">
      <w:pPr>
        <w:pStyle w:val="Heading3"/>
      </w:pPr>
      <w:r>
        <w:t>Mental health outcomes</w:t>
      </w:r>
    </w:p>
    <w:p w14:paraId="5E168A7B" w14:textId="7885F6AB"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 xml:space="preserve">The mental health of children in the UK was declining </w:t>
      </w:r>
      <w:r w:rsidR="00FE531F">
        <w:rPr>
          <w:rFonts w:ascii="Arial" w:eastAsia="Calibri" w:hAnsi="Arial" w:cs="Arial"/>
          <w:szCs w:val="24"/>
        </w:rPr>
        <w:t>before</w:t>
      </w:r>
      <w:r w:rsidRPr="006E33D0">
        <w:rPr>
          <w:rFonts w:ascii="Arial" w:eastAsia="Calibri" w:hAnsi="Arial" w:cs="Arial"/>
          <w:szCs w:val="24"/>
        </w:rPr>
        <w:t xml:space="preserve"> the pandemic.</w:t>
      </w:r>
      <w:r w:rsidRPr="006E33D0">
        <w:rPr>
          <w:rFonts w:ascii="Arial" w:eastAsia="Calibri" w:hAnsi="Arial" w:cs="Arial"/>
          <w:szCs w:val="24"/>
          <w:vertAlign w:val="superscript"/>
        </w:rPr>
        <w:footnoteReference w:id="170"/>
      </w:r>
      <w:r w:rsidRPr="006E33D0">
        <w:rPr>
          <w:rFonts w:ascii="Arial" w:eastAsia="Calibri" w:hAnsi="Arial" w:cs="Arial"/>
          <w:szCs w:val="24"/>
        </w:rPr>
        <w:t xml:space="preserve"> An ongoing NHS study of children and young people in England recently found that the proportion with a ‘probable mental disorder’ increased significantly between 2017 and 2021, rising from 11.6% of 6</w:t>
      </w:r>
      <w:r w:rsidR="00FE531F">
        <w:rPr>
          <w:rFonts w:ascii="Arial" w:eastAsia="Calibri" w:hAnsi="Arial" w:cs="Arial"/>
          <w:szCs w:val="24"/>
        </w:rPr>
        <w:t>–</w:t>
      </w:r>
      <w:r w:rsidRPr="006E33D0">
        <w:rPr>
          <w:rFonts w:ascii="Arial" w:eastAsia="Calibri" w:hAnsi="Arial" w:cs="Arial"/>
          <w:szCs w:val="24"/>
        </w:rPr>
        <w:t>16</w:t>
      </w:r>
      <w:r w:rsidR="00FE531F">
        <w:rPr>
          <w:rFonts w:ascii="Arial" w:eastAsia="Calibri" w:hAnsi="Arial" w:cs="Arial"/>
          <w:szCs w:val="24"/>
        </w:rPr>
        <w:t>-</w:t>
      </w:r>
      <w:r w:rsidRPr="006E33D0">
        <w:rPr>
          <w:rFonts w:ascii="Arial" w:eastAsia="Calibri" w:hAnsi="Arial" w:cs="Arial"/>
          <w:szCs w:val="24"/>
        </w:rPr>
        <w:t>year</w:t>
      </w:r>
      <w:r w:rsidR="00FE531F">
        <w:rPr>
          <w:rFonts w:ascii="Arial" w:eastAsia="Calibri" w:hAnsi="Arial" w:cs="Arial"/>
          <w:szCs w:val="24"/>
        </w:rPr>
        <w:t>-</w:t>
      </w:r>
      <w:r w:rsidRPr="006E33D0">
        <w:rPr>
          <w:rFonts w:ascii="Arial" w:eastAsia="Calibri" w:hAnsi="Arial" w:cs="Arial"/>
          <w:szCs w:val="24"/>
        </w:rPr>
        <w:t>olds, to 17.4% in 2021.</w:t>
      </w:r>
      <w:r w:rsidRPr="006E33D0">
        <w:rPr>
          <w:rFonts w:ascii="Arial" w:eastAsia="Calibri" w:hAnsi="Arial" w:cs="Arial"/>
          <w:szCs w:val="24"/>
          <w:vertAlign w:val="superscript"/>
        </w:rPr>
        <w:footnoteReference w:id="171"/>
      </w:r>
      <w:r w:rsidRPr="006E33D0">
        <w:rPr>
          <w:rFonts w:ascii="Arial" w:eastAsia="Calibri" w:hAnsi="Arial" w:cs="Arial"/>
          <w:szCs w:val="24"/>
        </w:rPr>
        <w:t xml:space="preserve"> Data in Wales is limited, though </w:t>
      </w:r>
      <w:r w:rsidR="00FE531F">
        <w:rPr>
          <w:rFonts w:ascii="Arial" w:eastAsia="Calibri" w:hAnsi="Arial" w:cs="Arial"/>
          <w:szCs w:val="24"/>
        </w:rPr>
        <w:t xml:space="preserve">a survey covering 2019/20 found that </w:t>
      </w:r>
      <w:r w:rsidRPr="006E33D0">
        <w:rPr>
          <w:rFonts w:ascii="Arial" w:eastAsia="Calibri" w:hAnsi="Arial" w:cs="Arial"/>
          <w:szCs w:val="24"/>
        </w:rPr>
        <w:t>19% of pupils in years 7</w:t>
      </w:r>
      <w:r w:rsidR="00FE531F">
        <w:rPr>
          <w:rFonts w:ascii="Arial" w:eastAsia="Calibri" w:hAnsi="Arial" w:cs="Arial"/>
          <w:szCs w:val="24"/>
        </w:rPr>
        <w:t>–</w:t>
      </w:r>
      <w:r w:rsidRPr="006E33D0">
        <w:rPr>
          <w:rFonts w:ascii="Arial" w:eastAsia="Calibri" w:hAnsi="Arial" w:cs="Arial"/>
          <w:szCs w:val="24"/>
        </w:rPr>
        <w:t>11 reported ‘very high’ mental health symptoms.</w:t>
      </w:r>
      <w:r w:rsidRPr="006E33D0">
        <w:rPr>
          <w:rFonts w:ascii="Arial" w:eastAsia="Calibri" w:hAnsi="Arial" w:cs="Arial"/>
          <w:szCs w:val="24"/>
          <w:vertAlign w:val="superscript"/>
        </w:rPr>
        <w:footnoteReference w:id="172"/>
      </w:r>
      <w:r w:rsidRPr="006E33D0">
        <w:rPr>
          <w:rFonts w:ascii="Arial" w:eastAsia="Calibri" w:hAnsi="Arial" w:cs="Arial"/>
          <w:szCs w:val="24"/>
        </w:rPr>
        <w:t xml:space="preserve"> Long-term studies of children across the UK have also found a steady decline in overall happiness since 2009/10.</w:t>
      </w:r>
      <w:r w:rsidRPr="006E33D0">
        <w:rPr>
          <w:rFonts w:ascii="Arial" w:eastAsia="Calibri" w:hAnsi="Arial" w:cs="Arial"/>
          <w:szCs w:val="24"/>
          <w:vertAlign w:val="superscript"/>
        </w:rPr>
        <w:footnoteReference w:id="173"/>
      </w:r>
    </w:p>
    <w:p w14:paraId="15D0E099" w14:textId="77777777" w:rsidR="00FA3563" w:rsidRDefault="00D87A25" w:rsidP="00D87A25">
      <w:pPr>
        <w:spacing w:before="120" w:line="240" w:lineRule="auto"/>
        <w:rPr>
          <w:rFonts w:ascii="Arial" w:eastAsia="Calibri" w:hAnsi="Arial" w:cs="Arial"/>
          <w:szCs w:val="24"/>
        </w:rPr>
      </w:pPr>
      <w:r w:rsidRPr="006E33D0">
        <w:rPr>
          <w:rFonts w:ascii="Arial" w:eastAsia="Calibri" w:hAnsi="Arial" w:cs="Arial"/>
          <w:szCs w:val="24"/>
        </w:rPr>
        <w:t>The NHS study found that rates</w:t>
      </w:r>
      <w:r w:rsidR="00FE531F">
        <w:rPr>
          <w:rFonts w:ascii="Arial" w:eastAsia="Calibri" w:hAnsi="Arial" w:cs="Arial"/>
          <w:szCs w:val="24"/>
        </w:rPr>
        <w:t xml:space="preserve"> of mental illness</w:t>
      </w:r>
      <w:r w:rsidRPr="006E33D0">
        <w:rPr>
          <w:rFonts w:ascii="Arial" w:eastAsia="Calibri" w:hAnsi="Arial" w:cs="Arial"/>
          <w:szCs w:val="24"/>
        </w:rPr>
        <w:t xml:space="preserve"> increased among boys between 2017 and 2020, and that </w:t>
      </w:r>
      <w:r w:rsidR="00EE2A83">
        <w:rPr>
          <w:rFonts w:ascii="Arial" w:eastAsia="Calibri" w:hAnsi="Arial" w:cs="Arial"/>
          <w:szCs w:val="24"/>
        </w:rPr>
        <w:t>younger boys were</w:t>
      </w:r>
      <w:r w:rsidRPr="006E33D0">
        <w:rPr>
          <w:rFonts w:ascii="Arial" w:eastAsia="Calibri" w:hAnsi="Arial" w:cs="Arial"/>
          <w:szCs w:val="24"/>
        </w:rPr>
        <w:t xml:space="preserve"> more likely </w:t>
      </w:r>
      <w:r w:rsidR="00EE2A83">
        <w:rPr>
          <w:rFonts w:ascii="Arial" w:eastAsia="Calibri" w:hAnsi="Arial" w:cs="Arial"/>
          <w:szCs w:val="24"/>
        </w:rPr>
        <w:t>to be affected</w:t>
      </w:r>
      <w:r w:rsidRPr="006E33D0">
        <w:rPr>
          <w:rFonts w:ascii="Arial" w:eastAsia="Calibri" w:hAnsi="Arial" w:cs="Arial"/>
          <w:szCs w:val="24"/>
        </w:rPr>
        <w:t>.</w:t>
      </w:r>
      <w:r w:rsidRPr="006E33D0">
        <w:rPr>
          <w:rStyle w:val="FootnoteReference"/>
          <w:rFonts w:ascii="Arial" w:eastAsia="Calibri" w:hAnsi="Arial" w:cs="Arial"/>
          <w:szCs w:val="24"/>
        </w:rPr>
        <w:footnoteReference w:id="174"/>
      </w:r>
      <w:r w:rsidRPr="006E33D0">
        <w:rPr>
          <w:rFonts w:ascii="Arial" w:eastAsia="Calibri" w:hAnsi="Arial" w:cs="Arial"/>
          <w:szCs w:val="24"/>
        </w:rPr>
        <w:t xml:space="preserve"> However, </w:t>
      </w:r>
      <w:r w:rsidR="00EE2A83">
        <w:rPr>
          <w:rFonts w:ascii="Arial" w:eastAsia="Calibri" w:hAnsi="Arial" w:cs="Arial"/>
          <w:szCs w:val="24"/>
        </w:rPr>
        <w:t xml:space="preserve">rates of mental illness increased more sharply among </w:t>
      </w:r>
      <w:r w:rsidRPr="006E33D0">
        <w:rPr>
          <w:rFonts w:ascii="Arial" w:eastAsia="Calibri" w:hAnsi="Arial" w:cs="Arial"/>
          <w:szCs w:val="24"/>
        </w:rPr>
        <w:t>girls, in particular among older groups, with the proportion of girls aged 17</w:t>
      </w:r>
      <w:r w:rsidR="00EE2A83">
        <w:rPr>
          <w:rFonts w:ascii="Arial" w:eastAsia="Calibri" w:hAnsi="Arial" w:cs="Arial"/>
          <w:szCs w:val="24"/>
        </w:rPr>
        <w:t>–</w:t>
      </w:r>
      <w:r w:rsidRPr="006E33D0">
        <w:rPr>
          <w:rFonts w:ascii="Arial" w:eastAsia="Calibri" w:hAnsi="Arial" w:cs="Arial"/>
          <w:szCs w:val="24"/>
        </w:rPr>
        <w:t xml:space="preserve">19 with probable mental disorders </w:t>
      </w:r>
      <w:r w:rsidR="00EE2A83">
        <w:rPr>
          <w:rFonts w:ascii="Arial" w:eastAsia="Calibri" w:hAnsi="Arial" w:cs="Arial"/>
          <w:szCs w:val="24"/>
        </w:rPr>
        <w:t xml:space="preserve">(24.8%) </w:t>
      </w:r>
      <w:r w:rsidRPr="006E33D0">
        <w:rPr>
          <w:rFonts w:ascii="Arial" w:eastAsia="Calibri" w:hAnsi="Arial" w:cs="Arial"/>
          <w:szCs w:val="24"/>
        </w:rPr>
        <w:t xml:space="preserve">more than double the proportion of boys </w:t>
      </w:r>
      <w:r w:rsidR="00EE2A83">
        <w:rPr>
          <w:rFonts w:ascii="Arial" w:eastAsia="Calibri" w:hAnsi="Arial" w:cs="Arial"/>
          <w:szCs w:val="24"/>
        </w:rPr>
        <w:t xml:space="preserve">of the same age </w:t>
      </w:r>
      <w:r w:rsidRPr="006E33D0">
        <w:rPr>
          <w:rFonts w:ascii="Arial" w:eastAsia="Calibri" w:hAnsi="Arial" w:cs="Arial"/>
          <w:szCs w:val="24"/>
        </w:rPr>
        <w:t>in 2021.</w:t>
      </w:r>
      <w:r w:rsidRPr="006E33D0">
        <w:rPr>
          <w:rFonts w:ascii="Arial" w:eastAsia="Calibri" w:hAnsi="Arial" w:cs="Arial"/>
          <w:szCs w:val="24"/>
          <w:vertAlign w:val="superscript"/>
        </w:rPr>
        <w:footnoteReference w:id="175"/>
      </w:r>
      <w:r w:rsidRPr="006E33D0">
        <w:rPr>
          <w:rFonts w:ascii="Arial" w:eastAsia="Calibri" w:hAnsi="Arial" w:cs="Arial"/>
          <w:szCs w:val="24"/>
        </w:rPr>
        <w:t xml:space="preserve"> </w:t>
      </w:r>
    </w:p>
    <w:p w14:paraId="21CB8B58" w14:textId="74161F6E"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 xml:space="preserve">The survey of pupil wellbeing in Wales found that older children, girls and those from more socio-economically disadvantaged backgrounds are disproportionately </w:t>
      </w:r>
      <w:r w:rsidR="00EE2A83">
        <w:rPr>
          <w:rFonts w:ascii="Arial" w:eastAsia="Calibri" w:hAnsi="Arial" w:cs="Arial"/>
          <w:szCs w:val="24"/>
        </w:rPr>
        <w:t>affected</w:t>
      </w:r>
      <w:r w:rsidR="00EE2A83" w:rsidRPr="006E33D0">
        <w:rPr>
          <w:rFonts w:ascii="Arial" w:eastAsia="Calibri" w:hAnsi="Arial" w:cs="Arial"/>
          <w:szCs w:val="24"/>
        </w:rPr>
        <w:t xml:space="preserve"> </w:t>
      </w:r>
      <w:r w:rsidRPr="006E33D0">
        <w:rPr>
          <w:rFonts w:ascii="Arial" w:eastAsia="Calibri" w:hAnsi="Arial" w:cs="Arial"/>
          <w:szCs w:val="24"/>
        </w:rPr>
        <w:t>by mental health difficulties.</w:t>
      </w:r>
      <w:r w:rsidRPr="006E33D0">
        <w:rPr>
          <w:rFonts w:ascii="Arial" w:eastAsia="Calibri" w:hAnsi="Arial" w:cs="Arial"/>
          <w:szCs w:val="24"/>
          <w:vertAlign w:val="superscript"/>
        </w:rPr>
        <w:footnoteReference w:id="176"/>
      </w:r>
      <w:r w:rsidRPr="006E33D0">
        <w:rPr>
          <w:rFonts w:ascii="Arial" w:eastAsia="Calibri" w:hAnsi="Arial" w:cs="Arial"/>
          <w:szCs w:val="24"/>
        </w:rPr>
        <w:t xml:space="preserve"> In 2021, 56.7% of children with special educational needs and disabilities (SEND) in England had a probable mental disorder.</w:t>
      </w:r>
      <w:r w:rsidRPr="006E33D0">
        <w:rPr>
          <w:rFonts w:ascii="Arial" w:eastAsia="Calibri" w:hAnsi="Arial" w:cs="Arial"/>
          <w:szCs w:val="24"/>
          <w:vertAlign w:val="superscript"/>
        </w:rPr>
        <w:footnoteReference w:id="177"/>
      </w:r>
      <w:r w:rsidRPr="006E33D0">
        <w:rPr>
          <w:rFonts w:ascii="Arial" w:eastAsia="Calibri" w:hAnsi="Arial" w:cs="Arial"/>
          <w:szCs w:val="24"/>
        </w:rPr>
        <w:t xml:space="preserve"> </w:t>
      </w:r>
      <w:r w:rsidR="00EE2A83">
        <w:rPr>
          <w:rFonts w:ascii="Arial" w:eastAsia="Calibri" w:hAnsi="Arial" w:cs="Arial"/>
          <w:szCs w:val="24"/>
        </w:rPr>
        <w:t>This compares with 12.5% of children without SEND who have a probable mental disorder.</w:t>
      </w:r>
    </w:p>
    <w:p w14:paraId="18AD6FB6" w14:textId="77F6E8B3"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 xml:space="preserve">The NHS study also found increasing rates of eating disorders, sleep problems and loneliness. </w:t>
      </w:r>
      <w:r w:rsidR="00EE2A83">
        <w:rPr>
          <w:rFonts w:ascii="Arial" w:eastAsia="Calibri" w:hAnsi="Arial" w:cs="Arial"/>
          <w:szCs w:val="24"/>
        </w:rPr>
        <w:t>E</w:t>
      </w:r>
      <w:r w:rsidRPr="006E33D0">
        <w:rPr>
          <w:rFonts w:ascii="Arial" w:eastAsia="Calibri" w:hAnsi="Arial" w:cs="Arial"/>
          <w:szCs w:val="24"/>
        </w:rPr>
        <w:t>ating disorder cases ha</w:t>
      </w:r>
      <w:r w:rsidR="00EE2A83">
        <w:rPr>
          <w:rFonts w:ascii="Arial" w:eastAsia="Calibri" w:hAnsi="Arial" w:cs="Arial"/>
          <w:szCs w:val="24"/>
        </w:rPr>
        <w:t>ve</w:t>
      </w:r>
      <w:r w:rsidRPr="006E33D0">
        <w:rPr>
          <w:rFonts w:ascii="Arial" w:eastAsia="Calibri" w:hAnsi="Arial" w:cs="Arial"/>
          <w:szCs w:val="24"/>
        </w:rPr>
        <w:t xml:space="preserve"> surged, with almost 10,000 children starting treatment in England between April and December 2021, an increase of a quarter since the previous year.</w:t>
      </w:r>
      <w:r w:rsidRPr="006E33D0">
        <w:rPr>
          <w:rStyle w:val="FootnoteReference"/>
          <w:rFonts w:ascii="Arial" w:eastAsia="Calibri" w:hAnsi="Arial" w:cs="Arial"/>
          <w:szCs w:val="24"/>
        </w:rPr>
        <w:footnoteReference w:id="178"/>
      </w:r>
      <w:r w:rsidRPr="006E33D0">
        <w:rPr>
          <w:rFonts w:ascii="Arial" w:eastAsia="Calibri" w:hAnsi="Arial" w:cs="Arial"/>
          <w:szCs w:val="24"/>
        </w:rPr>
        <w:t xml:space="preserve"> In Wales, there are significant gaps in the collection of data on eating disorders.</w:t>
      </w:r>
      <w:r w:rsidRPr="006E33D0">
        <w:rPr>
          <w:rStyle w:val="FootnoteReference"/>
          <w:rFonts w:ascii="Arial" w:eastAsia="Calibri" w:hAnsi="Arial" w:cs="Arial"/>
          <w:szCs w:val="24"/>
        </w:rPr>
        <w:footnoteReference w:id="179"/>
      </w:r>
      <w:r w:rsidRPr="006E33D0">
        <w:rPr>
          <w:rFonts w:ascii="Arial" w:eastAsia="Calibri" w:hAnsi="Arial" w:cs="Arial"/>
          <w:szCs w:val="24"/>
        </w:rPr>
        <w:t xml:space="preserve"> </w:t>
      </w:r>
    </w:p>
    <w:p w14:paraId="1EF87941" w14:textId="77777777" w:rsidR="00FA3563" w:rsidRDefault="00D87A25" w:rsidP="00D87A25">
      <w:pPr>
        <w:spacing w:before="120" w:line="240" w:lineRule="auto"/>
        <w:rPr>
          <w:rFonts w:ascii="Arial" w:eastAsia="Calibri" w:hAnsi="Arial" w:cs="Arial"/>
          <w:szCs w:val="24"/>
        </w:rPr>
      </w:pPr>
      <w:r w:rsidRPr="006E33D0">
        <w:rPr>
          <w:rFonts w:ascii="Arial" w:eastAsia="Calibri" w:hAnsi="Arial" w:cs="Arial"/>
          <w:szCs w:val="24"/>
        </w:rPr>
        <w:t>NHS data from England indicates that hospital admissions of children for self-harm increased every y</w:t>
      </w:r>
      <w:r w:rsidR="00FA3563">
        <w:rPr>
          <w:rFonts w:ascii="Arial" w:eastAsia="Calibri" w:hAnsi="Arial" w:cs="Arial"/>
          <w:szCs w:val="24"/>
        </w:rPr>
        <w:t>ear between 2016/17 and 2019/20</w:t>
      </w:r>
      <w:r w:rsidRPr="006E33D0">
        <w:rPr>
          <w:rFonts w:ascii="Arial" w:eastAsia="Calibri" w:hAnsi="Arial" w:cs="Arial"/>
          <w:szCs w:val="24"/>
        </w:rPr>
        <w:t xml:space="preserve"> to more than 20,000.</w:t>
      </w:r>
      <w:r w:rsidRPr="006E33D0">
        <w:rPr>
          <w:rFonts w:ascii="Arial" w:eastAsia="Calibri" w:hAnsi="Arial" w:cs="Arial"/>
          <w:szCs w:val="24"/>
          <w:vertAlign w:val="superscript"/>
        </w:rPr>
        <w:footnoteReference w:id="180"/>
      </w:r>
      <w:r w:rsidRPr="006E33D0">
        <w:rPr>
          <w:rFonts w:ascii="Arial" w:eastAsia="Calibri" w:hAnsi="Arial" w:cs="Arial"/>
          <w:szCs w:val="24"/>
        </w:rPr>
        <w:t xml:space="preserve"> One analysis found that the UK-wide rate of hospital admissions for self-harm among </w:t>
      </w:r>
      <w:r w:rsidR="00FA3563">
        <w:rPr>
          <w:rFonts w:ascii="Arial" w:eastAsia="Calibri" w:hAnsi="Arial" w:cs="Arial"/>
          <w:szCs w:val="24"/>
        </w:rPr>
        <w:t xml:space="preserve">9- to </w:t>
      </w:r>
      <w:r w:rsidRPr="006E33D0">
        <w:rPr>
          <w:rFonts w:ascii="Arial" w:eastAsia="Calibri" w:hAnsi="Arial" w:cs="Arial"/>
          <w:szCs w:val="24"/>
        </w:rPr>
        <w:t>12-year-olds doubled between 2015 and 2021.</w:t>
      </w:r>
      <w:r w:rsidRPr="006E33D0">
        <w:rPr>
          <w:rFonts w:ascii="Arial" w:eastAsia="Calibri" w:hAnsi="Arial" w:cs="Arial"/>
          <w:szCs w:val="24"/>
          <w:vertAlign w:val="superscript"/>
        </w:rPr>
        <w:footnoteReference w:id="181"/>
      </w:r>
      <w:r w:rsidRPr="006E33D0">
        <w:rPr>
          <w:rFonts w:ascii="Arial" w:eastAsia="Calibri" w:hAnsi="Arial" w:cs="Arial"/>
          <w:szCs w:val="24"/>
        </w:rPr>
        <w:t xml:space="preserve"> </w:t>
      </w:r>
    </w:p>
    <w:p w14:paraId="50A34A32" w14:textId="10B0C93B"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 xml:space="preserve">Evidence shows that, at age 17, girls and </w:t>
      </w:r>
      <w:r w:rsidR="006D08B0">
        <w:rPr>
          <w:rFonts w:ascii="Arial" w:eastAsia="Calibri" w:hAnsi="Arial" w:cs="Arial"/>
          <w:szCs w:val="24"/>
        </w:rPr>
        <w:t>lesbian, gay and bisexual</w:t>
      </w:r>
      <w:r w:rsidR="00CC01B0">
        <w:rPr>
          <w:rFonts w:ascii="Arial" w:eastAsia="Calibri" w:hAnsi="Arial" w:cs="Arial"/>
          <w:szCs w:val="24"/>
        </w:rPr>
        <w:t xml:space="preserve"> (LGB)</w:t>
      </w:r>
      <w:r w:rsidRPr="006E33D0">
        <w:rPr>
          <w:rFonts w:ascii="Arial" w:eastAsia="Calibri" w:hAnsi="Arial" w:cs="Arial"/>
          <w:szCs w:val="24"/>
        </w:rPr>
        <w:t xml:space="preserve"> children have higher rates of self-harm and attempted suicide than others.</w:t>
      </w:r>
      <w:r w:rsidRPr="006E33D0">
        <w:rPr>
          <w:rFonts w:ascii="Arial" w:eastAsia="Calibri" w:hAnsi="Arial" w:cs="Arial"/>
          <w:szCs w:val="24"/>
          <w:vertAlign w:val="superscript"/>
        </w:rPr>
        <w:footnoteReference w:id="182"/>
      </w:r>
      <w:r w:rsidRPr="006E33D0">
        <w:rPr>
          <w:rFonts w:ascii="Arial" w:eastAsia="Calibri" w:hAnsi="Arial" w:cs="Arial"/>
          <w:szCs w:val="24"/>
        </w:rPr>
        <w:t xml:space="preserve"> Suicide rates among children in England and Wales have increased since 2016.</w:t>
      </w:r>
      <w:r w:rsidRPr="006E33D0">
        <w:rPr>
          <w:rFonts w:ascii="Arial" w:eastAsia="Calibri" w:hAnsi="Arial" w:cs="Arial"/>
          <w:szCs w:val="24"/>
          <w:vertAlign w:val="superscript"/>
        </w:rPr>
        <w:footnoteReference w:id="183"/>
      </w:r>
      <w:r w:rsidRPr="006E33D0">
        <w:rPr>
          <w:rFonts w:ascii="Arial" w:eastAsia="Calibri" w:hAnsi="Arial" w:cs="Arial"/>
          <w:szCs w:val="24"/>
        </w:rPr>
        <w:t xml:space="preserve"> A study of 17-year-olds found that 7% had attempted suicide in their lifetime and 24% had self-harmed between 2018 and 2019.</w:t>
      </w:r>
      <w:r w:rsidRPr="006E33D0">
        <w:rPr>
          <w:rFonts w:ascii="Arial" w:eastAsia="Calibri" w:hAnsi="Arial" w:cs="Arial"/>
          <w:szCs w:val="24"/>
          <w:vertAlign w:val="superscript"/>
        </w:rPr>
        <w:footnoteReference w:id="184"/>
      </w:r>
      <w:r w:rsidRPr="006E33D0">
        <w:rPr>
          <w:rFonts w:ascii="Arial" w:eastAsia="Calibri" w:hAnsi="Arial" w:cs="Arial"/>
          <w:szCs w:val="24"/>
        </w:rPr>
        <w:t xml:space="preserve"> It also found that girls, White children, LGB children and those from deprived households experienced the worst mental health outcomes.</w:t>
      </w:r>
    </w:p>
    <w:p w14:paraId="23623908" w14:textId="1BA020B0"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Th</w:t>
      </w:r>
      <w:r w:rsidR="006D08B0">
        <w:rPr>
          <w:rFonts w:ascii="Arial" w:eastAsia="Calibri" w:hAnsi="Arial" w:cs="Arial"/>
          <w:szCs w:val="24"/>
        </w:rPr>
        <w:t>e</w:t>
      </w:r>
      <w:r w:rsidRPr="006E33D0">
        <w:rPr>
          <w:rFonts w:ascii="Arial" w:eastAsia="Calibri" w:hAnsi="Arial" w:cs="Arial"/>
          <w:szCs w:val="24"/>
        </w:rPr>
        <w:t xml:space="preserve"> </w:t>
      </w:r>
      <w:r w:rsidR="00CC01B0">
        <w:rPr>
          <w:rFonts w:ascii="Arial" w:eastAsia="Calibri" w:hAnsi="Arial" w:cs="Arial"/>
          <w:szCs w:val="24"/>
        </w:rPr>
        <w:t>situation</w:t>
      </w:r>
      <w:r w:rsidRPr="006E33D0">
        <w:rPr>
          <w:rFonts w:ascii="Arial" w:eastAsia="Calibri" w:hAnsi="Arial" w:cs="Arial"/>
          <w:szCs w:val="24"/>
        </w:rPr>
        <w:t xml:space="preserve"> </w:t>
      </w:r>
      <w:r w:rsidR="006D08B0">
        <w:rPr>
          <w:rFonts w:ascii="Arial" w:eastAsia="Calibri" w:hAnsi="Arial" w:cs="Arial"/>
          <w:szCs w:val="24"/>
        </w:rPr>
        <w:t>continues to worsen</w:t>
      </w:r>
      <w:r w:rsidRPr="006E33D0">
        <w:rPr>
          <w:rFonts w:ascii="Arial" w:eastAsia="Calibri" w:hAnsi="Arial" w:cs="Arial"/>
          <w:szCs w:val="24"/>
        </w:rPr>
        <w:t xml:space="preserve"> despite attempts from successive governments to address mental illness among children through initiatives </w:t>
      </w:r>
      <w:r w:rsidR="006D08B0">
        <w:rPr>
          <w:rFonts w:ascii="Arial" w:eastAsia="Calibri" w:hAnsi="Arial" w:cs="Arial"/>
          <w:szCs w:val="24"/>
        </w:rPr>
        <w:t>such as</w:t>
      </w:r>
      <w:r w:rsidR="006D08B0" w:rsidRPr="006E33D0">
        <w:rPr>
          <w:rFonts w:ascii="Arial" w:eastAsia="Calibri" w:hAnsi="Arial" w:cs="Arial"/>
          <w:szCs w:val="24"/>
        </w:rPr>
        <w:t xml:space="preserve"> </w:t>
      </w:r>
      <w:r w:rsidRPr="006E33D0">
        <w:rPr>
          <w:rFonts w:ascii="Arial" w:eastAsia="Calibri" w:hAnsi="Arial" w:cs="Arial"/>
          <w:szCs w:val="24"/>
        </w:rPr>
        <w:t>the NHS Long Term Plan (2019),</w:t>
      </w:r>
      <w:r w:rsidRPr="006E33D0">
        <w:rPr>
          <w:rFonts w:ascii="Arial" w:eastAsia="Calibri" w:hAnsi="Arial" w:cs="Arial"/>
          <w:szCs w:val="24"/>
          <w:vertAlign w:val="superscript"/>
        </w:rPr>
        <w:footnoteReference w:id="185"/>
      </w:r>
      <w:r w:rsidRPr="006E33D0">
        <w:rPr>
          <w:rFonts w:ascii="Arial" w:eastAsia="Calibri" w:hAnsi="Arial" w:cs="Arial"/>
          <w:szCs w:val="24"/>
        </w:rPr>
        <w:t xml:space="preserve"> the Five Year Forward View for Mental Health (2016),</w:t>
      </w:r>
      <w:r w:rsidRPr="006E33D0">
        <w:rPr>
          <w:rFonts w:ascii="Arial" w:eastAsia="Calibri" w:hAnsi="Arial" w:cs="Arial"/>
          <w:szCs w:val="24"/>
          <w:vertAlign w:val="superscript"/>
        </w:rPr>
        <w:footnoteReference w:id="186"/>
      </w:r>
      <w:r w:rsidRPr="006E33D0">
        <w:rPr>
          <w:rFonts w:ascii="Arial" w:eastAsia="Calibri" w:hAnsi="Arial" w:cs="Arial"/>
          <w:szCs w:val="24"/>
        </w:rPr>
        <w:t xml:space="preserve"> the Green Paper on children and young people’s mental health (2017),</w:t>
      </w:r>
      <w:r w:rsidRPr="006E33D0">
        <w:rPr>
          <w:rFonts w:ascii="Arial" w:eastAsia="Calibri" w:hAnsi="Arial" w:cs="Arial"/>
          <w:szCs w:val="24"/>
          <w:vertAlign w:val="superscript"/>
        </w:rPr>
        <w:footnoteReference w:id="187"/>
      </w:r>
      <w:r w:rsidRPr="006E33D0">
        <w:rPr>
          <w:rFonts w:ascii="Arial" w:eastAsia="Calibri" w:hAnsi="Arial" w:cs="Arial"/>
          <w:szCs w:val="24"/>
        </w:rPr>
        <w:t xml:space="preserve"> and the national suicide prevention plan.</w:t>
      </w:r>
      <w:r w:rsidRPr="006E33D0">
        <w:rPr>
          <w:rFonts w:ascii="Arial" w:eastAsia="Calibri" w:hAnsi="Arial" w:cs="Arial"/>
          <w:szCs w:val="24"/>
          <w:vertAlign w:val="superscript"/>
        </w:rPr>
        <w:footnoteReference w:id="188"/>
      </w:r>
      <w:r w:rsidRPr="006E33D0">
        <w:rPr>
          <w:rFonts w:ascii="Arial" w:eastAsia="Calibri" w:hAnsi="Arial" w:cs="Arial"/>
          <w:szCs w:val="24"/>
        </w:rPr>
        <w:t xml:space="preserve"> Similar initiatives have been introduced by the Welsh Government,</w:t>
      </w:r>
      <w:r w:rsidRPr="006E33D0">
        <w:rPr>
          <w:rFonts w:ascii="Arial" w:eastAsia="Calibri" w:hAnsi="Arial" w:cs="Arial"/>
          <w:szCs w:val="24"/>
          <w:vertAlign w:val="superscript"/>
        </w:rPr>
        <w:footnoteReference w:id="189"/>
      </w:r>
      <w:r w:rsidRPr="006E33D0">
        <w:rPr>
          <w:rFonts w:ascii="Arial" w:eastAsia="Calibri" w:hAnsi="Arial" w:cs="Arial"/>
          <w:szCs w:val="24"/>
        </w:rPr>
        <w:t xml:space="preserve"> such as the pledge to </w:t>
      </w:r>
      <w:r>
        <w:rPr>
          <w:rFonts w:ascii="Arial" w:eastAsia="Calibri" w:hAnsi="Arial" w:cs="Arial"/>
          <w:szCs w:val="24"/>
        </w:rPr>
        <w:t>provide</w:t>
      </w:r>
      <w:r w:rsidRPr="006E33D0">
        <w:rPr>
          <w:rFonts w:ascii="Arial" w:eastAsia="Calibri" w:hAnsi="Arial" w:cs="Arial"/>
          <w:szCs w:val="24"/>
        </w:rPr>
        <w:t xml:space="preserve"> mental health services in schools in 2022/23.</w:t>
      </w:r>
      <w:r w:rsidRPr="006E33D0">
        <w:rPr>
          <w:rFonts w:ascii="Arial" w:eastAsia="Calibri" w:hAnsi="Arial" w:cs="Arial"/>
          <w:szCs w:val="24"/>
          <w:vertAlign w:val="superscript"/>
        </w:rPr>
        <w:footnoteReference w:id="190"/>
      </w:r>
      <w:r w:rsidRPr="006E33D0">
        <w:rPr>
          <w:rFonts w:ascii="Arial" w:eastAsia="Calibri" w:hAnsi="Arial" w:cs="Arial"/>
          <w:szCs w:val="24"/>
        </w:rPr>
        <w:t xml:space="preserve"> These services are led by health boards and </w:t>
      </w:r>
      <w:r w:rsidR="006D08B0">
        <w:rPr>
          <w:rFonts w:ascii="Arial" w:eastAsia="Calibri" w:hAnsi="Arial" w:cs="Arial"/>
          <w:szCs w:val="24"/>
        </w:rPr>
        <w:t xml:space="preserve">some </w:t>
      </w:r>
      <w:r w:rsidRPr="006E33D0">
        <w:rPr>
          <w:rFonts w:ascii="Arial" w:eastAsia="Calibri" w:hAnsi="Arial" w:cs="Arial"/>
          <w:szCs w:val="24"/>
        </w:rPr>
        <w:t xml:space="preserve">have </w:t>
      </w:r>
      <w:r w:rsidR="006D08B0">
        <w:rPr>
          <w:rFonts w:ascii="Arial" w:eastAsia="Calibri" w:hAnsi="Arial" w:cs="Arial"/>
          <w:szCs w:val="24"/>
        </w:rPr>
        <w:t>already been</w:t>
      </w:r>
      <w:r w:rsidRPr="006E33D0">
        <w:rPr>
          <w:rFonts w:ascii="Arial" w:eastAsia="Calibri" w:hAnsi="Arial" w:cs="Arial"/>
          <w:szCs w:val="24"/>
        </w:rPr>
        <w:t xml:space="preserve"> launch</w:t>
      </w:r>
      <w:r w:rsidR="006D08B0">
        <w:rPr>
          <w:rFonts w:ascii="Arial" w:eastAsia="Calibri" w:hAnsi="Arial" w:cs="Arial"/>
          <w:szCs w:val="24"/>
        </w:rPr>
        <w:t>ed</w:t>
      </w:r>
      <w:r w:rsidRPr="006E33D0">
        <w:rPr>
          <w:rFonts w:ascii="Arial" w:eastAsia="Calibri" w:hAnsi="Arial" w:cs="Arial"/>
          <w:szCs w:val="24"/>
        </w:rPr>
        <w:t xml:space="preserve"> across Wales. </w:t>
      </w:r>
      <w:r w:rsidR="006D08B0">
        <w:rPr>
          <w:rFonts w:ascii="Arial" w:eastAsia="Calibri" w:hAnsi="Arial" w:cs="Arial"/>
          <w:szCs w:val="24"/>
        </w:rPr>
        <w:t xml:space="preserve">The </w:t>
      </w:r>
      <w:r w:rsidRPr="006E33D0">
        <w:rPr>
          <w:rFonts w:ascii="Arial" w:eastAsia="Calibri" w:hAnsi="Arial" w:cs="Arial"/>
          <w:szCs w:val="24"/>
        </w:rPr>
        <w:t>UK and Welsh governments have taken welcome steps to incorporate mental health and wellbeing in</w:t>
      </w:r>
      <w:r w:rsidR="006D08B0">
        <w:rPr>
          <w:rFonts w:ascii="Arial" w:eastAsia="Calibri" w:hAnsi="Arial" w:cs="Arial"/>
          <w:szCs w:val="24"/>
        </w:rPr>
        <w:t>to</w:t>
      </w:r>
      <w:r w:rsidRPr="006E33D0">
        <w:rPr>
          <w:rFonts w:ascii="Arial" w:eastAsia="Calibri" w:hAnsi="Arial" w:cs="Arial"/>
          <w:szCs w:val="24"/>
        </w:rPr>
        <w:t xml:space="preserve"> the school curriculum.</w:t>
      </w:r>
      <w:r w:rsidRPr="006E33D0">
        <w:rPr>
          <w:rFonts w:ascii="Arial" w:eastAsia="Calibri" w:hAnsi="Arial" w:cs="Arial"/>
          <w:szCs w:val="24"/>
          <w:vertAlign w:val="superscript"/>
        </w:rPr>
        <w:footnoteReference w:id="191"/>
      </w:r>
    </w:p>
    <w:p w14:paraId="121B761A" w14:textId="7C30502E" w:rsidR="00D87A25" w:rsidRPr="00B91A3D" w:rsidRDefault="00D87A25" w:rsidP="00D87A25">
      <w:pPr>
        <w:pStyle w:val="Heading3"/>
      </w:pPr>
      <w:r>
        <w:t>Access to mental health treatment</w:t>
      </w:r>
    </w:p>
    <w:p w14:paraId="72218C17" w14:textId="7F10B193"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Access to mental health services is a challenge for many children. Spending on specialist mental health services has increased in England; however, it has been criticised as being insufficient to keep up with the growing demand.</w:t>
      </w:r>
      <w:r w:rsidRPr="006E33D0">
        <w:rPr>
          <w:rFonts w:ascii="Arial" w:eastAsia="Calibri" w:hAnsi="Arial" w:cs="Arial"/>
          <w:szCs w:val="24"/>
          <w:vertAlign w:val="superscript"/>
        </w:rPr>
        <w:footnoteReference w:id="192"/>
      </w:r>
      <w:r w:rsidRPr="006E33D0">
        <w:rPr>
          <w:rFonts w:ascii="Arial" w:eastAsia="Calibri" w:hAnsi="Arial" w:cs="Arial"/>
          <w:szCs w:val="24"/>
        </w:rPr>
        <w:t xml:space="preserve"> Similarly, although spending has also increased in Wales,</w:t>
      </w:r>
      <w:r w:rsidRPr="006E33D0">
        <w:rPr>
          <w:rFonts w:ascii="Arial" w:eastAsia="Calibri" w:hAnsi="Arial" w:cs="Arial"/>
          <w:szCs w:val="24"/>
          <w:vertAlign w:val="superscript"/>
        </w:rPr>
        <w:footnoteReference w:id="193"/>
      </w:r>
      <w:r w:rsidRPr="006E33D0">
        <w:rPr>
          <w:rFonts w:ascii="Arial" w:eastAsia="Calibri" w:hAnsi="Arial" w:cs="Arial"/>
          <w:szCs w:val="24"/>
        </w:rPr>
        <w:t xml:space="preserve"> concerns have been raised that change is not happening quickly enough.</w:t>
      </w:r>
      <w:r w:rsidRPr="006E33D0">
        <w:rPr>
          <w:rFonts w:ascii="Arial" w:eastAsia="Calibri" w:hAnsi="Arial" w:cs="Arial"/>
          <w:szCs w:val="24"/>
          <w:vertAlign w:val="superscript"/>
        </w:rPr>
        <w:footnoteReference w:id="194"/>
      </w:r>
      <w:r w:rsidRPr="006E33D0">
        <w:rPr>
          <w:rFonts w:ascii="Arial" w:eastAsia="Calibri" w:hAnsi="Arial" w:cs="Arial"/>
          <w:szCs w:val="24"/>
        </w:rPr>
        <w:t xml:space="preserve"> Significant regional disparities persist: annual spending per child in 2020/21 varied from more than £150 in some areas of England to as low as £16 </w:t>
      </w:r>
      <w:r w:rsidR="006D08B0">
        <w:rPr>
          <w:rFonts w:ascii="Arial" w:eastAsia="Calibri" w:hAnsi="Arial" w:cs="Arial"/>
          <w:szCs w:val="24"/>
        </w:rPr>
        <w:t>in other areas of England</w:t>
      </w:r>
      <w:r w:rsidRPr="006E33D0">
        <w:rPr>
          <w:rFonts w:ascii="Arial" w:eastAsia="Calibri" w:hAnsi="Arial" w:cs="Arial"/>
          <w:szCs w:val="24"/>
        </w:rPr>
        <w:t>.</w:t>
      </w:r>
      <w:r w:rsidRPr="006E33D0">
        <w:rPr>
          <w:rFonts w:ascii="Arial" w:eastAsia="Calibri" w:hAnsi="Arial" w:cs="Arial"/>
          <w:szCs w:val="24"/>
          <w:vertAlign w:val="superscript"/>
        </w:rPr>
        <w:footnoteReference w:id="195"/>
      </w:r>
      <w:r w:rsidRPr="006E33D0">
        <w:rPr>
          <w:rFonts w:ascii="Arial" w:eastAsia="Calibri" w:hAnsi="Arial" w:cs="Arial"/>
          <w:szCs w:val="24"/>
        </w:rPr>
        <w:t xml:space="preserve"> While most areas saw an increase in spending per child from 2019/20 to 2020/21, 18% of NHS regional bodies in England reduced their spending in 2020/21, despite the growing need caused, in part, by the pandemic.</w:t>
      </w:r>
      <w:r w:rsidRPr="006E33D0">
        <w:rPr>
          <w:rFonts w:ascii="Arial" w:eastAsia="Calibri" w:hAnsi="Arial" w:cs="Arial"/>
          <w:szCs w:val="24"/>
          <w:vertAlign w:val="superscript"/>
        </w:rPr>
        <w:footnoteReference w:id="196"/>
      </w:r>
      <w:r w:rsidRPr="006E33D0">
        <w:rPr>
          <w:rFonts w:ascii="Arial" w:eastAsia="Calibri" w:hAnsi="Arial" w:cs="Arial"/>
          <w:szCs w:val="24"/>
        </w:rPr>
        <w:t xml:space="preserve"> </w:t>
      </w:r>
    </w:p>
    <w:p w14:paraId="12DC160E" w14:textId="77777777" w:rsidR="00CC01B0" w:rsidRDefault="00D87A25" w:rsidP="00D87A25">
      <w:pPr>
        <w:spacing w:before="120" w:line="240" w:lineRule="auto"/>
        <w:rPr>
          <w:rFonts w:ascii="Arial" w:eastAsia="Calibri" w:hAnsi="Arial" w:cs="Arial"/>
          <w:szCs w:val="24"/>
        </w:rPr>
      </w:pPr>
      <w:r w:rsidRPr="006E33D0">
        <w:rPr>
          <w:rFonts w:ascii="Arial" w:eastAsia="Calibri" w:hAnsi="Arial" w:cs="Arial"/>
          <w:szCs w:val="24"/>
        </w:rPr>
        <w:t xml:space="preserve">Some progress has been made </w:t>
      </w:r>
      <w:r>
        <w:rPr>
          <w:rFonts w:ascii="Arial" w:eastAsia="Calibri" w:hAnsi="Arial" w:cs="Arial"/>
          <w:szCs w:val="24"/>
        </w:rPr>
        <w:t xml:space="preserve">to </w:t>
      </w:r>
      <w:r w:rsidRPr="006E33D0">
        <w:rPr>
          <w:rFonts w:ascii="Arial" w:eastAsia="Calibri" w:hAnsi="Arial" w:cs="Arial"/>
          <w:szCs w:val="24"/>
        </w:rPr>
        <w:t>address long waiting times,</w:t>
      </w:r>
      <w:r w:rsidRPr="006E33D0">
        <w:rPr>
          <w:rFonts w:ascii="Arial" w:eastAsia="Calibri" w:hAnsi="Arial" w:cs="Arial"/>
          <w:szCs w:val="24"/>
          <w:vertAlign w:val="superscript"/>
        </w:rPr>
        <w:footnoteReference w:id="197"/>
      </w:r>
      <w:r w:rsidRPr="006E33D0">
        <w:rPr>
          <w:rFonts w:ascii="Arial" w:eastAsia="Calibri" w:hAnsi="Arial" w:cs="Arial"/>
          <w:szCs w:val="24"/>
        </w:rPr>
        <w:t xml:space="preserve"> though at the end of March 2021, 37% of children on waiting lists in England were still waiting for treatment to begin.</w:t>
      </w:r>
      <w:r w:rsidRPr="006E33D0">
        <w:rPr>
          <w:rFonts w:ascii="Arial" w:eastAsia="Calibri" w:hAnsi="Arial" w:cs="Arial"/>
          <w:szCs w:val="24"/>
          <w:vertAlign w:val="superscript"/>
        </w:rPr>
        <w:footnoteReference w:id="198"/>
      </w:r>
      <w:r w:rsidRPr="006E33D0">
        <w:rPr>
          <w:rFonts w:ascii="Arial" w:eastAsia="Calibri" w:hAnsi="Arial" w:cs="Arial"/>
          <w:szCs w:val="24"/>
        </w:rPr>
        <w:t xml:space="preserve"> </w:t>
      </w:r>
      <w:r>
        <w:rPr>
          <w:rFonts w:ascii="Arial" w:eastAsia="Calibri" w:hAnsi="Arial" w:cs="Arial"/>
          <w:szCs w:val="24"/>
        </w:rPr>
        <w:t xml:space="preserve">Geographical differences exist, however: </w:t>
      </w:r>
      <w:r w:rsidRPr="006E33D0">
        <w:rPr>
          <w:rFonts w:ascii="Arial" w:eastAsia="Calibri" w:hAnsi="Arial" w:cs="Arial"/>
          <w:szCs w:val="24"/>
        </w:rPr>
        <w:t>the percentage of children still waiting for treatment at the end of 2020/21 varied from 14% in some areas to 78% in others.</w:t>
      </w:r>
      <w:r w:rsidRPr="006E33D0">
        <w:rPr>
          <w:rFonts w:ascii="Arial" w:eastAsia="Calibri" w:hAnsi="Arial" w:cs="Arial"/>
          <w:szCs w:val="24"/>
          <w:vertAlign w:val="superscript"/>
        </w:rPr>
        <w:footnoteReference w:id="199"/>
      </w:r>
      <w:r w:rsidRPr="006E33D0">
        <w:rPr>
          <w:rFonts w:ascii="Arial" w:eastAsia="Calibri" w:hAnsi="Arial" w:cs="Arial"/>
          <w:szCs w:val="24"/>
        </w:rPr>
        <w:t xml:space="preserve"> </w:t>
      </w:r>
    </w:p>
    <w:p w14:paraId="51FF42F8" w14:textId="77777777" w:rsidR="00CC01B0" w:rsidRDefault="00D87A25" w:rsidP="00D87A25">
      <w:pPr>
        <w:spacing w:before="120" w:line="240" w:lineRule="auto"/>
        <w:rPr>
          <w:rFonts w:ascii="Arial" w:eastAsia="Calibri" w:hAnsi="Arial" w:cs="Arial"/>
          <w:szCs w:val="24"/>
        </w:rPr>
      </w:pPr>
      <w:r w:rsidRPr="006E33D0">
        <w:rPr>
          <w:rFonts w:ascii="Arial" w:eastAsia="Calibri" w:hAnsi="Arial" w:cs="Arial"/>
          <w:szCs w:val="24"/>
        </w:rPr>
        <w:t>Access to some specialist treatments has worsened. For example, the number of children in England waiting for urgent and routine treatments for eating disorders rose by 270% and 315% respectively between 2020 and 2021.</w:t>
      </w:r>
      <w:r w:rsidRPr="006E33D0">
        <w:rPr>
          <w:rFonts w:ascii="Arial" w:eastAsia="Calibri" w:hAnsi="Arial" w:cs="Arial"/>
          <w:szCs w:val="24"/>
          <w:vertAlign w:val="superscript"/>
        </w:rPr>
        <w:footnoteReference w:id="200"/>
      </w:r>
      <w:r w:rsidRPr="006E33D0">
        <w:rPr>
          <w:rFonts w:ascii="Arial" w:eastAsia="Calibri" w:hAnsi="Arial" w:cs="Arial"/>
          <w:szCs w:val="24"/>
        </w:rPr>
        <w:t xml:space="preserve"> In some areas of Wales, specialist treatment for certain eating disorders is only available to those who have already become severely ill.</w:t>
      </w:r>
      <w:r w:rsidRPr="006E33D0">
        <w:rPr>
          <w:rFonts w:ascii="Arial" w:eastAsia="Calibri" w:hAnsi="Arial" w:cs="Arial"/>
          <w:szCs w:val="24"/>
          <w:vertAlign w:val="superscript"/>
        </w:rPr>
        <w:footnoteReference w:id="201"/>
      </w:r>
      <w:r w:rsidRPr="006E33D0">
        <w:rPr>
          <w:rFonts w:ascii="Arial" w:eastAsia="Calibri" w:hAnsi="Arial" w:cs="Arial"/>
          <w:szCs w:val="24"/>
        </w:rPr>
        <w:t xml:space="preserve"> </w:t>
      </w:r>
    </w:p>
    <w:p w14:paraId="0C08354F" w14:textId="2136F631"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 xml:space="preserve">Access to specialist child and adolescent mental health services in Wales has varied in recent years, with 38% of children waiting more than four weeks for a first appointment in August 2022, compared </w:t>
      </w:r>
      <w:r w:rsidR="006D08B0">
        <w:rPr>
          <w:rFonts w:ascii="Arial" w:eastAsia="Calibri" w:hAnsi="Arial" w:cs="Arial"/>
          <w:szCs w:val="24"/>
        </w:rPr>
        <w:t>with</w:t>
      </w:r>
      <w:r w:rsidRPr="006E33D0">
        <w:rPr>
          <w:rFonts w:ascii="Arial" w:eastAsia="Calibri" w:hAnsi="Arial" w:cs="Arial"/>
          <w:szCs w:val="24"/>
        </w:rPr>
        <w:t xml:space="preserve"> 65% in August 2021 and 27% in August 2020.</w:t>
      </w:r>
      <w:r w:rsidRPr="006E33D0">
        <w:rPr>
          <w:rFonts w:ascii="Arial" w:eastAsia="Calibri" w:hAnsi="Arial" w:cs="Arial"/>
          <w:szCs w:val="24"/>
          <w:vertAlign w:val="superscript"/>
        </w:rPr>
        <w:footnoteReference w:id="202"/>
      </w:r>
      <w:r w:rsidRPr="006E33D0">
        <w:rPr>
          <w:rFonts w:ascii="Arial" w:eastAsia="Calibri" w:hAnsi="Arial" w:cs="Arial"/>
          <w:szCs w:val="24"/>
        </w:rPr>
        <w:t xml:space="preserve"> A 2022 report from Public Health Wales, which recommends several areas of action for the Welsh Government, presented evidence suggesting reduced confidence among young people in accessing mental health information and support online.</w:t>
      </w:r>
      <w:r w:rsidRPr="006E33D0">
        <w:rPr>
          <w:rFonts w:ascii="Arial" w:eastAsia="Calibri" w:hAnsi="Arial" w:cs="Arial"/>
          <w:szCs w:val="24"/>
          <w:vertAlign w:val="superscript"/>
        </w:rPr>
        <w:footnoteReference w:id="203"/>
      </w:r>
    </w:p>
    <w:p w14:paraId="31F1E15B" w14:textId="34E0E9EA" w:rsidR="00D87A25" w:rsidRPr="006E33D0" w:rsidRDefault="00D87A25" w:rsidP="00D87A25">
      <w:pPr>
        <w:spacing w:before="120" w:line="240" w:lineRule="auto"/>
      </w:pPr>
      <w:r w:rsidRPr="006E33D0">
        <w:rPr>
          <w:rFonts w:ascii="Arial" w:eastAsia="Calibri" w:hAnsi="Arial" w:cs="Arial"/>
          <w:szCs w:val="24"/>
        </w:rPr>
        <w:t xml:space="preserve">In addition to clinical services, community-based early intervention and mental health support in schools can be crucial </w:t>
      </w:r>
      <w:r w:rsidR="006D08B0">
        <w:rPr>
          <w:rFonts w:ascii="Arial" w:eastAsia="Calibri" w:hAnsi="Arial" w:cs="Arial"/>
          <w:szCs w:val="24"/>
        </w:rPr>
        <w:t>in</w:t>
      </w:r>
      <w:r w:rsidRPr="006E33D0">
        <w:rPr>
          <w:rFonts w:ascii="Arial" w:eastAsia="Calibri" w:hAnsi="Arial" w:cs="Arial"/>
          <w:szCs w:val="24"/>
        </w:rPr>
        <w:t xml:space="preserve"> addressing child mental </w:t>
      </w:r>
      <w:r w:rsidR="00CC01B0">
        <w:rPr>
          <w:rFonts w:ascii="Arial" w:eastAsia="Calibri" w:hAnsi="Arial" w:cs="Arial"/>
          <w:szCs w:val="24"/>
        </w:rPr>
        <w:t>illness. Mental health support t</w:t>
      </w:r>
      <w:r w:rsidRPr="006E33D0">
        <w:rPr>
          <w:rFonts w:ascii="Arial" w:eastAsia="Calibri" w:hAnsi="Arial" w:cs="Arial"/>
          <w:szCs w:val="24"/>
        </w:rPr>
        <w:t xml:space="preserve">eams are being </w:t>
      </w:r>
      <w:r>
        <w:rPr>
          <w:rFonts w:ascii="Arial" w:eastAsia="Calibri" w:hAnsi="Arial" w:cs="Arial"/>
          <w:szCs w:val="24"/>
        </w:rPr>
        <w:t>put in place</w:t>
      </w:r>
      <w:r w:rsidRPr="006E33D0">
        <w:rPr>
          <w:rFonts w:ascii="Arial" w:eastAsia="Calibri" w:hAnsi="Arial" w:cs="Arial"/>
          <w:szCs w:val="24"/>
        </w:rPr>
        <w:t xml:space="preserve"> in schools and colleges across England, with national coverage expected to reach 35% by 2023.</w:t>
      </w:r>
      <w:r w:rsidRPr="006E33D0">
        <w:rPr>
          <w:rFonts w:ascii="Arial" w:eastAsia="Calibri" w:hAnsi="Arial" w:cs="Arial"/>
          <w:szCs w:val="24"/>
          <w:vertAlign w:val="superscript"/>
        </w:rPr>
        <w:footnoteReference w:id="204"/>
      </w:r>
      <w:r w:rsidRPr="006E33D0">
        <w:rPr>
          <w:rFonts w:ascii="Arial" w:eastAsia="Calibri" w:hAnsi="Arial" w:cs="Arial"/>
          <w:szCs w:val="24"/>
        </w:rPr>
        <w:t xml:space="preserve"> By </w:t>
      </w:r>
      <w:r>
        <w:rPr>
          <w:rFonts w:ascii="Arial" w:eastAsia="Calibri" w:hAnsi="Arial" w:cs="Arial"/>
          <w:szCs w:val="24"/>
        </w:rPr>
        <w:t>s</w:t>
      </w:r>
      <w:r w:rsidRPr="006E33D0">
        <w:rPr>
          <w:rFonts w:ascii="Arial" w:eastAsia="Calibri" w:hAnsi="Arial" w:cs="Arial"/>
          <w:szCs w:val="24"/>
        </w:rPr>
        <w:t>pring 2022, coverage in England was 26%.</w:t>
      </w:r>
      <w:r w:rsidRPr="006E33D0">
        <w:rPr>
          <w:rStyle w:val="FootnoteReference"/>
          <w:rFonts w:ascii="Arial" w:eastAsia="Calibri" w:hAnsi="Arial" w:cs="Arial"/>
          <w:szCs w:val="24"/>
        </w:rPr>
        <w:footnoteReference w:id="205"/>
      </w:r>
      <w:r w:rsidRPr="006E33D0">
        <w:rPr>
          <w:rFonts w:ascii="Arial" w:eastAsia="Calibri" w:hAnsi="Arial" w:cs="Arial"/>
          <w:szCs w:val="24"/>
        </w:rPr>
        <w:t xml:space="preserve"> Concerns have been expressed that some children will not have access to this support for years and that the original targets were not ambitious enough.</w:t>
      </w:r>
      <w:r w:rsidRPr="006E33D0">
        <w:rPr>
          <w:rFonts w:ascii="Arial" w:eastAsia="Calibri" w:hAnsi="Arial" w:cs="Arial"/>
          <w:szCs w:val="24"/>
          <w:vertAlign w:val="superscript"/>
        </w:rPr>
        <w:footnoteReference w:id="206"/>
      </w:r>
      <w:r w:rsidRPr="006E33D0">
        <w:rPr>
          <w:rFonts w:ascii="Arial" w:eastAsia="Calibri" w:hAnsi="Arial" w:cs="Arial"/>
          <w:szCs w:val="24"/>
        </w:rPr>
        <w:t xml:space="preserve"> The UK Parliament’s Health and Social Care Committee noted in </w:t>
      </w:r>
      <w:r w:rsidR="00FB139B">
        <w:rPr>
          <w:rFonts w:ascii="Arial" w:eastAsia="Calibri" w:hAnsi="Arial" w:cs="Arial"/>
          <w:szCs w:val="24"/>
        </w:rPr>
        <w:t xml:space="preserve">its </w:t>
      </w:r>
      <w:r w:rsidRPr="006E33D0">
        <w:rPr>
          <w:rFonts w:ascii="Arial" w:eastAsia="Calibri" w:hAnsi="Arial" w:cs="Arial"/>
          <w:szCs w:val="24"/>
        </w:rPr>
        <w:t xml:space="preserve">2021 </w:t>
      </w:r>
      <w:r w:rsidR="00FB139B">
        <w:rPr>
          <w:rFonts w:ascii="Arial" w:eastAsia="Calibri" w:hAnsi="Arial" w:cs="Arial"/>
          <w:szCs w:val="24"/>
        </w:rPr>
        <w:t xml:space="preserve">report on children’s mental health </w:t>
      </w:r>
      <w:r w:rsidRPr="006E33D0">
        <w:rPr>
          <w:rFonts w:ascii="Arial" w:eastAsia="Calibri" w:hAnsi="Arial" w:cs="Arial"/>
          <w:szCs w:val="24"/>
        </w:rPr>
        <w:t>that community-based support continues to be undervalued, with spending on youth services in England decreasing by 71% since 2010.</w:t>
      </w:r>
      <w:r w:rsidRPr="006E33D0">
        <w:rPr>
          <w:rFonts w:ascii="Arial" w:eastAsia="Calibri" w:hAnsi="Arial" w:cs="Arial"/>
          <w:szCs w:val="24"/>
          <w:vertAlign w:val="superscript"/>
        </w:rPr>
        <w:footnoteReference w:id="207"/>
      </w:r>
    </w:p>
    <w:p w14:paraId="4171EE2F" w14:textId="28AB8AAF" w:rsidR="00D87A25" w:rsidRPr="00B91A3D" w:rsidRDefault="00D87A25" w:rsidP="00D87A25">
      <w:pPr>
        <w:pStyle w:val="Heading3"/>
      </w:pPr>
      <w:r>
        <w:t>Impact of the pandemic</w:t>
      </w:r>
    </w:p>
    <w:p w14:paraId="0F931A88" w14:textId="77777777" w:rsidR="00CC01B0" w:rsidRDefault="006D08B0" w:rsidP="00D87A25">
      <w:pPr>
        <w:spacing w:before="120" w:line="240" w:lineRule="auto"/>
        <w:rPr>
          <w:rFonts w:ascii="Arial" w:eastAsia="Calibri" w:hAnsi="Arial" w:cs="Arial"/>
          <w:szCs w:val="24"/>
        </w:rPr>
      </w:pPr>
      <w:r>
        <w:rPr>
          <w:rFonts w:ascii="Arial" w:eastAsia="Calibri" w:hAnsi="Arial" w:cs="Arial"/>
          <w:szCs w:val="24"/>
        </w:rPr>
        <w:t>The pandemic has exacerbated existing</w:t>
      </w:r>
      <w:r w:rsidR="00D87A25" w:rsidRPr="006E33D0">
        <w:rPr>
          <w:rFonts w:ascii="Arial" w:eastAsia="Calibri" w:hAnsi="Arial" w:cs="Arial"/>
          <w:szCs w:val="24"/>
        </w:rPr>
        <w:t xml:space="preserve"> pressures</w:t>
      </w:r>
      <w:r w:rsidR="00CC01B0">
        <w:rPr>
          <w:rFonts w:ascii="Arial" w:eastAsia="Calibri" w:hAnsi="Arial" w:cs="Arial"/>
          <w:szCs w:val="24"/>
        </w:rPr>
        <w:t>. L</w:t>
      </w:r>
      <w:r w:rsidR="00D87A25" w:rsidRPr="006E33D0">
        <w:rPr>
          <w:rFonts w:ascii="Arial" w:eastAsia="Calibri" w:hAnsi="Arial" w:cs="Arial"/>
          <w:szCs w:val="24"/>
        </w:rPr>
        <w:t xml:space="preserve">ocal councils in England and Wales </w:t>
      </w:r>
      <w:r>
        <w:rPr>
          <w:rFonts w:ascii="Arial" w:eastAsia="Calibri" w:hAnsi="Arial" w:cs="Arial"/>
          <w:szCs w:val="24"/>
        </w:rPr>
        <w:t xml:space="preserve">have </w:t>
      </w:r>
      <w:r w:rsidR="00D87A25" w:rsidRPr="006E33D0">
        <w:rPr>
          <w:rFonts w:ascii="Arial" w:eastAsia="Calibri" w:hAnsi="Arial" w:cs="Arial"/>
          <w:szCs w:val="24"/>
        </w:rPr>
        <w:t>report</w:t>
      </w:r>
      <w:r>
        <w:rPr>
          <w:rFonts w:ascii="Arial" w:eastAsia="Calibri" w:hAnsi="Arial" w:cs="Arial"/>
          <w:szCs w:val="24"/>
        </w:rPr>
        <w:t>ed that, between March 2019 and March 2021, the number of children they assessed as having a mental health need increased by</w:t>
      </w:r>
      <w:r w:rsidR="00D87A25" w:rsidRPr="006E33D0">
        <w:rPr>
          <w:rFonts w:ascii="Arial" w:eastAsia="Calibri" w:hAnsi="Arial" w:cs="Arial"/>
          <w:szCs w:val="24"/>
        </w:rPr>
        <w:t xml:space="preserve"> 25%.</w:t>
      </w:r>
      <w:r w:rsidR="00D87A25" w:rsidRPr="006E33D0">
        <w:rPr>
          <w:rFonts w:ascii="Arial" w:eastAsia="Calibri" w:hAnsi="Arial" w:cs="Arial"/>
          <w:szCs w:val="24"/>
          <w:vertAlign w:val="superscript"/>
        </w:rPr>
        <w:footnoteReference w:id="208"/>
      </w:r>
      <w:r w:rsidR="00D87A25" w:rsidRPr="006E33D0">
        <w:rPr>
          <w:rFonts w:ascii="Arial" w:eastAsia="Calibri" w:hAnsi="Arial" w:cs="Arial"/>
          <w:szCs w:val="24"/>
        </w:rPr>
        <w:t xml:space="preserve"> Between April and June 2021, the number of children referred to mental health services increased by 134% compared </w:t>
      </w:r>
      <w:r>
        <w:rPr>
          <w:rFonts w:ascii="Arial" w:eastAsia="Calibri" w:hAnsi="Arial" w:cs="Arial"/>
          <w:szCs w:val="24"/>
        </w:rPr>
        <w:t>with</w:t>
      </w:r>
      <w:r w:rsidRPr="006E33D0">
        <w:rPr>
          <w:rFonts w:ascii="Arial" w:eastAsia="Calibri" w:hAnsi="Arial" w:cs="Arial"/>
          <w:szCs w:val="24"/>
        </w:rPr>
        <w:t xml:space="preserve"> </w:t>
      </w:r>
      <w:r w:rsidR="00D87A25" w:rsidRPr="006E33D0">
        <w:rPr>
          <w:rFonts w:ascii="Arial" w:eastAsia="Calibri" w:hAnsi="Arial" w:cs="Arial"/>
          <w:szCs w:val="24"/>
        </w:rPr>
        <w:t xml:space="preserve">the same period in 2020, and by 96% compared </w:t>
      </w:r>
      <w:r>
        <w:rPr>
          <w:rFonts w:ascii="Arial" w:eastAsia="Calibri" w:hAnsi="Arial" w:cs="Arial"/>
          <w:szCs w:val="24"/>
        </w:rPr>
        <w:t>with</w:t>
      </w:r>
      <w:r w:rsidRPr="006E33D0">
        <w:rPr>
          <w:rFonts w:ascii="Arial" w:eastAsia="Calibri" w:hAnsi="Arial" w:cs="Arial"/>
          <w:szCs w:val="24"/>
        </w:rPr>
        <w:t xml:space="preserve"> </w:t>
      </w:r>
      <w:r w:rsidR="00D87A25" w:rsidRPr="006E33D0">
        <w:rPr>
          <w:rFonts w:ascii="Arial" w:eastAsia="Calibri" w:hAnsi="Arial" w:cs="Arial"/>
          <w:szCs w:val="24"/>
        </w:rPr>
        <w:t>pre-pandemic levels.</w:t>
      </w:r>
      <w:r w:rsidR="00D87A25" w:rsidRPr="006E33D0">
        <w:rPr>
          <w:rFonts w:ascii="Arial" w:eastAsia="Calibri" w:hAnsi="Arial" w:cs="Arial"/>
          <w:szCs w:val="24"/>
          <w:vertAlign w:val="superscript"/>
        </w:rPr>
        <w:footnoteReference w:id="209"/>
      </w:r>
      <w:r w:rsidR="00D87A25" w:rsidRPr="006E33D0">
        <w:rPr>
          <w:rFonts w:ascii="Arial" w:eastAsia="Calibri" w:hAnsi="Arial" w:cs="Arial"/>
          <w:szCs w:val="24"/>
        </w:rPr>
        <w:t xml:space="preserve"> With waiting lists already under pressure </w:t>
      </w:r>
      <w:r>
        <w:rPr>
          <w:rFonts w:ascii="Arial" w:eastAsia="Calibri" w:hAnsi="Arial" w:cs="Arial"/>
          <w:szCs w:val="24"/>
        </w:rPr>
        <w:t>before</w:t>
      </w:r>
      <w:r w:rsidR="00D87A25" w:rsidRPr="006E33D0">
        <w:rPr>
          <w:rFonts w:ascii="Arial" w:eastAsia="Calibri" w:hAnsi="Arial" w:cs="Arial"/>
          <w:szCs w:val="24"/>
        </w:rPr>
        <w:t xml:space="preserve"> the pandemic, we are concerned that the rapid increase in demand will </w:t>
      </w:r>
      <w:r>
        <w:rPr>
          <w:rFonts w:ascii="Arial" w:eastAsia="Calibri" w:hAnsi="Arial" w:cs="Arial"/>
          <w:szCs w:val="24"/>
        </w:rPr>
        <w:t>make it even harder for children to access the treatment they need</w:t>
      </w:r>
      <w:r w:rsidR="00D87A25" w:rsidRPr="006E33D0">
        <w:rPr>
          <w:rFonts w:ascii="Arial" w:eastAsia="Calibri" w:hAnsi="Arial" w:cs="Arial"/>
          <w:szCs w:val="24"/>
        </w:rPr>
        <w:t>.</w:t>
      </w:r>
      <w:r w:rsidR="00D87A25" w:rsidRPr="006E33D0">
        <w:rPr>
          <w:rFonts w:ascii="Arial" w:eastAsia="Calibri" w:hAnsi="Arial" w:cs="Arial"/>
          <w:szCs w:val="24"/>
          <w:vertAlign w:val="superscript"/>
        </w:rPr>
        <w:footnoteReference w:id="210"/>
      </w:r>
      <w:r w:rsidR="00D87A25" w:rsidRPr="006E33D0">
        <w:rPr>
          <w:rFonts w:ascii="Arial" w:eastAsia="Calibri" w:hAnsi="Arial" w:cs="Arial"/>
          <w:szCs w:val="24"/>
        </w:rPr>
        <w:t xml:space="preserve"> </w:t>
      </w:r>
    </w:p>
    <w:p w14:paraId="29EB5E43" w14:textId="4F0A2665"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 xml:space="preserve">Children’s mental health was disproportionately </w:t>
      </w:r>
      <w:r w:rsidR="00CC01B0">
        <w:rPr>
          <w:rFonts w:ascii="Arial" w:eastAsia="Calibri" w:hAnsi="Arial" w:cs="Arial"/>
          <w:szCs w:val="24"/>
        </w:rPr>
        <w:t>affected by the pandemic. R</w:t>
      </w:r>
      <w:r w:rsidRPr="006E33D0">
        <w:rPr>
          <w:rFonts w:ascii="Arial" w:eastAsia="Calibri" w:hAnsi="Arial" w:cs="Arial"/>
          <w:szCs w:val="24"/>
        </w:rPr>
        <w:t>eferrals for children’s mental health services in England rose by 81% between April and September 2021, compared with the same period in 2020, while the increase was just 11% for adults.</w:t>
      </w:r>
      <w:r w:rsidRPr="006E33D0">
        <w:rPr>
          <w:rFonts w:ascii="Arial" w:eastAsia="Calibri" w:hAnsi="Arial" w:cs="Arial"/>
          <w:szCs w:val="24"/>
          <w:vertAlign w:val="superscript"/>
        </w:rPr>
        <w:footnoteReference w:id="211"/>
      </w:r>
      <w:r w:rsidRPr="006E33D0">
        <w:rPr>
          <w:rFonts w:ascii="Arial" w:eastAsia="Calibri" w:hAnsi="Arial" w:cs="Arial"/>
          <w:szCs w:val="24"/>
        </w:rPr>
        <w:t xml:space="preserve"> A study in Wales found that mental health outcomes </w:t>
      </w:r>
      <w:r w:rsidR="006D08B0">
        <w:rPr>
          <w:rFonts w:ascii="Arial" w:eastAsia="Calibri" w:hAnsi="Arial" w:cs="Arial"/>
          <w:szCs w:val="24"/>
        </w:rPr>
        <w:t xml:space="preserve">were significantly worse </w:t>
      </w:r>
      <w:r w:rsidRPr="006E33D0">
        <w:rPr>
          <w:rFonts w:ascii="Arial" w:eastAsia="Calibri" w:hAnsi="Arial" w:cs="Arial"/>
          <w:szCs w:val="24"/>
        </w:rPr>
        <w:t>for children who shielded</w:t>
      </w:r>
      <w:r w:rsidR="006D08B0">
        <w:rPr>
          <w:rFonts w:ascii="Arial" w:eastAsia="Calibri" w:hAnsi="Arial" w:cs="Arial"/>
          <w:szCs w:val="24"/>
        </w:rPr>
        <w:t xml:space="preserve"> or were</w:t>
      </w:r>
      <w:r w:rsidRPr="006E33D0">
        <w:rPr>
          <w:rFonts w:ascii="Arial" w:eastAsia="Calibri" w:hAnsi="Arial" w:cs="Arial"/>
          <w:szCs w:val="24"/>
        </w:rPr>
        <w:t xml:space="preserve"> living in shielding households</w:t>
      </w:r>
      <w:r w:rsidR="00275EBC">
        <w:rPr>
          <w:rFonts w:ascii="Arial" w:eastAsia="Calibri" w:hAnsi="Arial" w:cs="Arial"/>
          <w:szCs w:val="24"/>
        </w:rPr>
        <w:t xml:space="preserve"> </w:t>
      </w:r>
      <w:r w:rsidRPr="006E33D0">
        <w:rPr>
          <w:rFonts w:ascii="Arial" w:eastAsia="Calibri" w:hAnsi="Arial" w:cs="Arial"/>
          <w:szCs w:val="24"/>
        </w:rPr>
        <w:t>than for children in the general population.</w:t>
      </w:r>
      <w:r w:rsidRPr="006E33D0">
        <w:rPr>
          <w:rFonts w:ascii="Arial" w:eastAsia="Calibri" w:hAnsi="Arial" w:cs="Arial"/>
          <w:szCs w:val="24"/>
          <w:vertAlign w:val="superscript"/>
        </w:rPr>
        <w:footnoteReference w:id="212"/>
      </w:r>
      <w:r w:rsidRPr="006E33D0">
        <w:rPr>
          <w:rFonts w:ascii="Arial" w:eastAsia="Calibri" w:hAnsi="Arial" w:cs="Arial"/>
          <w:szCs w:val="24"/>
        </w:rPr>
        <w:t xml:space="preserve"> </w:t>
      </w:r>
    </w:p>
    <w:p w14:paraId="151ADECA" w14:textId="5C6635A2" w:rsidR="00CC01B0" w:rsidRDefault="00D87A25" w:rsidP="00D87A25">
      <w:pPr>
        <w:spacing w:before="120" w:line="240" w:lineRule="auto"/>
        <w:rPr>
          <w:rFonts w:ascii="Arial" w:eastAsia="Calibri" w:hAnsi="Arial" w:cs="Arial"/>
          <w:szCs w:val="24"/>
        </w:rPr>
      </w:pPr>
      <w:r w:rsidRPr="006E33D0">
        <w:rPr>
          <w:rFonts w:ascii="Arial" w:eastAsia="Calibri" w:hAnsi="Arial" w:cs="Arial"/>
          <w:szCs w:val="24"/>
        </w:rPr>
        <w:t>Evidence shows that children from the poorest backgrounds and those with SEND reported the highest levels of anxiety and lowest levels o</w:t>
      </w:r>
      <w:r w:rsidR="00C221BF">
        <w:rPr>
          <w:rFonts w:ascii="Arial" w:eastAsia="Calibri" w:hAnsi="Arial" w:cs="Arial"/>
          <w:szCs w:val="24"/>
        </w:rPr>
        <w:t>f wellbeing during the 2021/22 a</w:t>
      </w:r>
      <w:r w:rsidRPr="006E33D0">
        <w:rPr>
          <w:rFonts w:ascii="Arial" w:eastAsia="Calibri" w:hAnsi="Arial" w:cs="Arial"/>
          <w:szCs w:val="24"/>
        </w:rPr>
        <w:t>utumn term.</w:t>
      </w:r>
      <w:r w:rsidRPr="006E33D0">
        <w:rPr>
          <w:rFonts w:ascii="Arial" w:eastAsia="Calibri" w:hAnsi="Arial" w:cs="Arial"/>
          <w:szCs w:val="24"/>
          <w:vertAlign w:val="superscript"/>
        </w:rPr>
        <w:footnoteReference w:id="213"/>
      </w:r>
      <w:r w:rsidRPr="006E33D0">
        <w:rPr>
          <w:rFonts w:ascii="Arial" w:eastAsia="Calibri" w:hAnsi="Arial" w:cs="Arial"/>
          <w:szCs w:val="24"/>
        </w:rPr>
        <w:t xml:space="preserve"> Those in the North of England spent more time in lockdown than elsewhere in England, which is likely to contribute to a disproportionate deterioration in mental health.</w:t>
      </w:r>
      <w:r w:rsidRPr="006E33D0">
        <w:rPr>
          <w:rFonts w:ascii="Arial" w:eastAsia="Calibri" w:hAnsi="Arial" w:cs="Arial"/>
          <w:szCs w:val="24"/>
          <w:vertAlign w:val="superscript"/>
        </w:rPr>
        <w:footnoteReference w:id="214"/>
      </w:r>
      <w:r w:rsidRPr="006E33D0">
        <w:rPr>
          <w:rFonts w:ascii="Arial" w:eastAsia="Calibri" w:hAnsi="Arial" w:cs="Arial"/>
          <w:szCs w:val="24"/>
        </w:rPr>
        <w:t xml:space="preserve"> </w:t>
      </w:r>
    </w:p>
    <w:p w14:paraId="458BF5A6" w14:textId="4965B9EF"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 xml:space="preserve">In addition to household stress, financial insecurity, and the psychological impact of lockdowns, some children experienced increased stress </w:t>
      </w:r>
      <w:r w:rsidR="00CC01B0">
        <w:rPr>
          <w:rFonts w:ascii="Arial" w:eastAsia="Calibri" w:hAnsi="Arial" w:cs="Arial"/>
          <w:szCs w:val="24"/>
        </w:rPr>
        <w:t>because of</w:t>
      </w:r>
      <w:r w:rsidRPr="006E33D0">
        <w:rPr>
          <w:rFonts w:ascii="Arial" w:eastAsia="Calibri" w:hAnsi="Arial" w:cs="Arial"/>
          <w:szCs w:val="24"/>
        </w:rPr>
        <w:t xml:space="preserve"> changes to school exams,</w:t>
      </w:r>
      <w:r w:rsidRPr="006E33D0">
        <w:rPr>
          <w:rFonts w:ascii="Arial" w:eastAsia="Calibri" w:hAnsi="Arial" w:cs="Arial"/>
          <w:szCs w:val="24"/>
          <w:vertAlign w:val="superscript"/>
        </w:rPr>
        <w:footnoteReference w:id="215"/>
      </w:r>
      <w:r w:rsidRPr="006E33D0">
        <w:rPr>
          <w:rFonts w:ascii="Arial" w:eastAsia="Calibri" w:hAnsi="Arial" w:cs="Arial"/>
          <w:szCs w:val="24"/>
        </w:rPr>
        <w:t xml:space="preserve"> school closures</w:t>
      </w:r>
      <w:r w:rsidRPr="006E33D0">
        <w:rPr>
          <w:rFonts w:ascii="Arial" w:eastAsia="Calibri" w:hAnsi="Arial" w:cs="Arial"/>
          <w:szCs w:val="24"/>
          <w:vertAlign w:val="superscript"/>
        </w:rPr>
        <w:footnoteReference w:id="216"/>
      </w:r>
      <w:r w:rsidRPr="006E33D0">
        <w:rPr>
          <w:rFonts w:ascii="Arial" w:eastAsia="Calibri" w:hAnsi="Arial" w:cs="Arial"/>
          <w:szCs w:val="24"/>
        </w:rPr>
        <w:t xml:space="preserve"> and reduced social interaction.</w:t>
      </w:r>
      <w:r w:rsidRPr="006E33D0">
        <w:rPr>
          <w:rFonts w:ascii="Arial" w:eastAsia="Calibri" w:hAnsi="Arial" w:cs="Arial"/>
          <w:szCs w:val="24"/>
          <w:vertAlign w:val="superscript"/>
        </w:rPr>
        <w:footnoteReference w:id="217"/>
      </w:r>
      <w:r w:rsidRPr="006E33D0">
        <w:rPr>
          <w:rFonts w:ascii="Arial" w:eastAsia="Calibri" w:hAnsi="Arial" w:cs="Arial"/>
          <w:szCs w:val="24"/>
        </w:rPr>
        <w:t xml:space="preserve"> </w:t>
      </w:r>
      <w:r w:rsidR="009E71F5">
        <w:rPr>
          <w:rFonts w:ascii="Arial" w:eastAsia="Calibri" w:hAnsi="Arial" w:cs="Arial"/>
          <w:szCs w:val="24"/>
        </w:rPr>
        <w:t>T</w:t>
      </w:r>
      <w:r w:rsidR="00802C23">
        <w:rPr>
          <w:rFonts w:ascii="Arial" w:eastAsia="Calibri" w:hAnsi="Arial" w:cs="Arial"/>
          <w:szCs w:val="24"/>
        </w:rPr>
        <w:t>he</w:t>
      </w:r>
      <w:r w:rsidRPr="006E33D0">
        <w:rPr>
          <w:rFonts w:ascii="Arial" w:eastAsia="Calibri" w:hAnsi="Arial" w:cs="Arial"/>
          <w:szCs w:val="24"/>
        </w:rPr>
        <w:t xml:space="preserve"> UK</w:t>
      </w:r>
      <w:r w:rsidRPr="006E33D0">
        <w:rPr>
          <w:rFonts w:ascii="Arial" w:eastAsia="Calibri" w:hAnsi="Arial" w:cs="Arial"/>
          <w:szCs w:val="24"/>
          <w:vertAlign w:val="superscript"/>
        </w:rPr>
        <w:footnoteReference w:id="218"/>
      </w:r>
      <w:r w:rsidRPr="006E33D0">
        <w:rPr>
          <w:rFonts w:ascii="Arial" w:eastAsia="Calibri" w:hAnsi="Arial" w:cs="Arial"/>
          <w:szCs w:val="24"/>
        </w:rPr>
        <w:t xml:space="preserve"> and Welsh</w:t>
      </w:r>
      <w:r w:rsidRPr="006E33D0">
        <w:rPr>
          <w:rFonts w:ascii="Arial" w:eastAsia="Calibri" w:hAnsi="Arial" w:cs="Arial"/>
          <w:szCs w:val="24"/>
          <w:vertAlign w:val="superscript"/>
        </w:rPr>
        <w:footnoteReference w:id="219"/>
      </w:r>
      <w:r w:rsidRPr="006E33D0">
        <w:rPr>
          <w:rFonts w:ascii="Arial" w:eastAsia="Calibri" w:hAnsi="Arial" w:cs="Arial"/>
          <w:szCs w:val="24"/>
        </w:rPr>
        <w:t xml:space="preserve"> governments </w:t>
      </w:r>
      <w:r w:rsidR="00CC01B0">
        <w:rPr>
          <w:rFonts w:ascii="Arial" w:eastAsia="Calibri" w:hAnsi="Arial" w:cs="Arial"/>
          <w:szCs w:val="24"/>
        </w:rPr>
        <w:t>have</w:t>
      </w:r>
      <w:r w:rsidR="00802C23">
        <w:rPr>
          <w:rFonts w:ascii="Arial" w:eastAsia="Calibri" w:hAnsi="Arial" w:cs="Arial"/>
          <w:szCs w:val="24"/>
        </w:rPr>
        <w:t xml:space="preserve"> taken steps </w:t>
      </w:r>
      <w:r w:rsidRPr="006E33D0">
        <w:rPr>
          <w:rFonts w:ascii="Arial" w:eastAsia="Calibri" w:hAnsi="Arial" w:cs="Arial"/>
          <w:szCs w:val="24"/>
        </w:rPr>
        <w:t xml:space="preserve">to </w:t>
      </w:r>
      <w:r w:rsidR="00802C23">
        <w:rPr>
          <w:rFonts w:ascii="Arial" w:eastAsia="Calibri" w:hAnsi="Arial" w:cs="Arial"/>
          <w:szCs w:val="24"/>
        </w:rPr>
        <w:t>reduce</w:t>
      </w:r>
      <w:r w:rsidR="00802C23" w:rsidRPr="006E33D0">
        <w:rPr>
          <w:rFonts w:ascii="Arial" w:eastAsia="Calibri" w:hAnsi="Arial" w:cs="Arial"/>
          <w:szCs w:val="24"/>
        </w:rPr>
        <w:t xml:space="preserve"> </w:t>
      </w:r>
      <w:r w:rsidRPr="006E33D0">
        <w:rPr>
          <w:rFonts w:ascii="Arial" w:eastAsia="Calibri" w:hAnsi="Arial" w:cs="Arial"/>
          <w:szCs w:val="24"/>
        </w:rPr>
        <w:t>the impact of the pandemic on children’s mental health</w:t>
      </w:r>
      <w:r w:rsidR="00802C23">
        <w:rPr>
          <w:rFonts w:ascii="Arial" w:eastAsia="Calibri" w:hAnsi="Arial" w:cs="Arial"/>
          <w:szCs w:val="24"/>
        </w:rPr>
        <w:t xml:space="preserve"> by</w:t>
      </w:r>
      <w:r w:rsidRPr="006E33D0">
        <w:rPr>
          <w:rFonts w:ascii="Arial" w:eastAsia="Calibri" w:hAnsi="Arial" w:cs="Arial"/>
          <w:szCs w:val="24"/>
        </w:rPr>
        <w:t xml:space="preserve">, </w:t>
      </w:r>
      <w:r w:rsidR="00802C23">
        <w:rPr>
          <w:rFonts w:ascii="Arial" w:eastAsia="Calibri" w:hAnsi="Arial" w:cs="Arial"/>
          <w:szCs w:val="24"/>
        </w:rPr>
        <w:t>for instance</w:t>
      </w:r>
      <w:r w:rsidR="009E71F5">
        <w:rPr>
          <w:rFonts w:ascii="Arial" w:eastAsia="Calibri" w:hAnsi="Arial" w:cs="Arial"/>
          <w:szCs w:val="24"/>
        </w:rPr>
        <w:t>,</w:t>
      </w:r>
      <w:r w:rsidR="00802C23">
        <w:rPr>
          <w:rFonts w:ascii="Arial" w:eastAsia="Calibri" w:hAnsi="Arial" w:cs="Arial"/>
          <w:szCs w:val="24"/>
        </w:rPr>
        <w:t xml:space="preserve"> </w:t>
      </w:r>
      <w:r w:rsidRPr="006E33D0">
        <w:rPr>
          <w:rFonts w:ascii="Arial" w:eastAsia="Calibri" w:hAnsi="Arial" w:cs="Arial"/>
          <w:szCs w:val="24"/>
        </w:rPr>
        <w:t>increas</w:t>
      </w:r>
      <w:r w:rsidR="00802C23">
        <w:rPr>
          <w:rFonts w:ascii="Arial" w:eastAsia="Calibri" w:hAnsi="Arial" w:cs="Arial"/>
          <w:szCs w:val="24"/>
        </w:rPr>
        <w:t>ing</w:t>
      </w:r>
      <w:r w:rsidRPr="006E33D0">
        <w:rPr>
          <w:rFonts w:ascii="Arial" w:eastAsia="Calibri" w:hAnsi="Arial" w:cs="Arial"/>
          <w:szCs w:val="24"/>
        </w:rPr>
        <w:t xml:space="preserve"> investment in mental health services</w:t>
      </w:r>
      <w:r w:rsidR="009E71F5">
        <w:rPr>
          <w:rFonts w:ascii="Arial" w:eastAsia="Calibri" w:hAnsi="Arial" w:cs="Arial"/>
          <w:szCs w:val="24"/>
        </w:rPr>
        <w:t xml:space="preserve">. However, </w:t>
      </w:r>
      <w:r w:rsidRPr="006E33D0">
        <w:rPr>
          <w:rFonts w:ascii="Arial" w:eastAsia="Calibri" w:hAnsi="Arial" w:cs="Arial"/>
          <w:szCs w:val="24"/>
        </w:rPr>
        <w:t xml:space="preserve">the policy response does not match the scale of </w:t>
      </w:r>
      <w:r w:rsidR="00802C23">
        <w:rPr>
          <w:rFonts w:ascii="Arial" w:eastAsia="Calibri" w:hAnsi="Arial" w:cs="Arial"/>
          <w:szCs w:val="24"/>
        </w:rPr>
        <w:t xml:space="preserve">the </w:t>
      </w:r>
      <w:r w:rsidRPr="006E33D0">
        <w:rPr>
          <w:rFonts w:ascii="Arial" w:eastAsia="Calibri" w:hAnsi="Arial" w:cs="Arial"/>
          <w:szCs w:val="24"/>
        </w:rPr>
        <w:t>need.</w:t>
      </w:r>
      <w:r w:rsidRPr="006E33D0">
        <w:rPr>
          <w:rFonts w:ascii="Arial" w:eastAsia="Calibri" w:hAnsi="Arial" w:cs="Arial"/>
          <w:szCs w:val="24"/>
          <w:vertAlign w:val="superscript"/>
        </w:rPr>
        <w:footnoteReference w:id="220"/>
      </w:r>
    </w:p>
    <w:p w14:paraId="43F7377B" w14:textId="2813BF4C" w:rsidR="00EC0716" w:rsidRDefault="00D87A25" w:rsidP="00D87A25">
      <w:pPr>
        <w:spacing w:before="120" w:line="240" w:lineRule="auto"/>
        <w:rPr>
          <w:rFonts w:ascii="Arial" w:eastAsia="Calibri" w:hAnsi="Arial" w:cs="Arial"/>
          <w:szCs w:val="24"/>
        </w:rPr>
      </w:pPr>
      <w:r w:rsidRPr="006E33D0">
        <w:rPr>
          <w:rFonts w:ascii="Arial" w:eastAsia="Calibri" w:hAnsi="Arial" w:cs="Arial"/>
          <w:szCs w:val="24"/>
        </w:rPr>
        <w:t xml:space="preserve">The implications of the pandemic for children’s physical health </w:t>
      </w:r>
      <w:r w:rsidR="00802C23">
        <w:rPr>
          <w:rFonts w:ascii="Arial" w:eastAsia="Calibri" w:hAnsi="Arial" w:cs="Arial"/>
          <w:szCs w:val="24"/>
        </w:rPr>
        <w:t>are</w:t>
      </w:r>
      <w:r w:rsidRPr="006E33D0">
        <w:rPr>
          <w:rFonts w:ascii="Arial" w:eastAsia="Calibri" w:hAnsi="Arial" w:cs="Arial"/>
          <w:szCs w:val="24"/>
        </w:rPr>
        <w:t xml:space="preserve"> significant. Waiting times</w:t>
      </w:r>
      <w:r w:rsidR="00802C23">
        <w:rPr>
          <w:rFonts w:ascii="Arial" w:eastAsia="Calibri" w:hAnsi="Arial" w:cs="Arial"/>
          <w:szCs w:val="24"/>
        </w:rPr>
        <w:t xml:space="preserve"> have</w:t>
      </w:r>
      <w:r w:rsidRPr="006E33D0">
        <w:rPr>
          <w:rFonts w:ascii="Arial" w:eastAsia="Calibri" w:hAnsi="Arial" w:cs="Arial"/>
          <w:szCs w:val="24"/>
        </w:rPr>
        <w:t xml:space="preserve"> increased across the health service, including for suspected childhood cancers, and the waiting list for planned paediatric hospital care in England grew by 22% between April and November 2021, compared </w:t>
      </w:r>
      <w:r w:rsidR="00802C23">
        <w:rPr>
          <w:rFonts w:ascii="Arial" w:eastAsia="Calibri" w:hAnsi="Arial" w:cs="Arial"/>
          <w:szCs w:val="24"/>
        </w:rPr>
        <w:t>with</w:t>
      </w:r>
      <w:r w:rsidR="00802C23" w:rsidRPr="006E33D0">
        <w:rPr>
          <w:rFonts w:ascii="Arial" w:eastAsia="Calibri" w:hAnsi="Arial" w:cs="Arial"/>
          <w:szCs w:val="24"/>
        </w:rPr>
        <w:t xml:space="preserve"> </w:t>
      </w:r>
      <w:r w:rsidRPr="006E33D0">
        <w:rPr>
          <w:rFonts w:ascii="Arial" w:eastAsia="Calibri" w:hAnsi="Arial" w:cs="Arial"/>
          <w:szCs w:val="24"/>
        </w:rPr>
        <w:t>a 17% increase for all age groups.</w:t>
      </w:r>
      <w:r w:rsidRPr="006E33D0">
        <w:rPr>
          <w:rFonts w:ascii="Arial" w:eastAsia="Calibri" w:hAnsi="Arial" w:cs="Arial"/>
          <w:szCs w:val="24"/>
          <w:vertAlign w:val="superscript"/>
        </w:rPr>
        <w:footnoteReference w:id="221"/>
      </w:r>
      <w:r w:rsidRPr="006E33D0">
        <w:rPr>
          <w:rFonts w:ascii="Arial" w:eastAsia="Calibri" w:hAnsi="Arial" w:cs="Arial"/>
          <w:szCs w:val="24"/>
        </w:rPr>
        <w:t xml:space="preserve"> The number of urgent GP referrals made for children in England rose sharply in 2021, surpassing pre-pandemic levels, which may indicate an overall deterioration in children’s health.</w:t>
      </w:r>
      <w:r w:rsidRPr="006E33D0">
        <w:rPr>
          <w:rFonts w:ascii="Arial" w:eastAsia="Calibri" w:hAnsi="Arial" w:cs="Arial"/>
          <w:szCs w:val="24"/>
          <w:vertAlign w:val="superscript"/>
        </w:rPr>
        <w:footnoteReference w:id="222"/>
      </w:r>
      <w:r w:rsidRPr="006E33D0">
        <w:rPr>
          <w:rFonts w:ascii="Arial" w:eastAsia="Calibri" w:hAnsi="Arial" w:cs="Arial"/>
          <w:szCs w:val="24"/>
        </w:rPr>
        <w:t xml:space="preserve"> Equivalent data for Wales is not published. </w:t>
      </w:r>
    </w:p>
    <w:p w14:paraId="255BBBD2" w14:textId="6E94225D"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In response, NHS England published plans to address the ‘pandemic backlog’ of elective care in 2022, though there are no specific targets for paediatric provision.</w:t>
      </w:r>
      <w:r w:rsidRPr="006E33D0">
        <w:rPr>
          <w:rFonts w:ascii="Arial" w:eastAsia="Calibri" w:hAnsi="Arial" w:cs="Arial"/>
          <w:szCs w:val="24"/>
          <w:vertAlign w:val="superscript"/>
        </w:rPr>
        <w:footnoteReference w:id="223"/>
      </w:r>
      <w:r w:rsidRPr="006E33D0">
        <w:rPr>
          <w:rFonts w:ascii="Arial" w:eastAsia="Calibri" w:hAnsi="Arial" w:cs="Arial"/>
          <w:szCs w:val="24"/>
        </w:rPr>
        <w:t xml:space="preserve"> The Welsh Government’s 2022 plan to reduce waiting times and alleviate the backlog of appointments and treatments gives explicit priority to children.</w:t>
      </w:r>
      <w:r w:rsidRPr="006E33D0">
        <w:rPr>
          <w:rFonts w:ascii="Arial" w:eastAsia="Calibri" w:hAnsi="Arial" w:cs="Arial"/>
          <w:szCs w:val="24"/>
          <w:vertAlign w:val="superscript"/>
        </w:rPr>
        <w:footnoteReference w:id="224"/>
      </w:r>
    </w:p>
    <w:p w14:paraId="50BF5D93" w14:textId="77777777" w:rsidR="002002CD" w:rsidRDefault="00D87A25" w:rsidP="00802C23">
      <w:pPr>
        <w:spacing w:before="120" w:line="240" w:lineRule="auto"/>
        <w:rPr>
          <w:rFonts w:ascii="Arial" w:eastAsia="Calibri" w:hAnsi="Arial" w:cs="Arial"/>
          <w:szCs w:val="24"/>
        </w:rPr>
      </w:pPr>
      <w:r w:rsidRPr="006E33D0">
        <w:rPr>
          <w:rFonts w:ascii="Arial" w:eastAsia="Calibri" w:hAnsi="Arial" w:cs="Arial"/>
          <w:szCs w:val="24"/>
        </w:rPr>
        <w:t xml:space="preserve">The pandemic </w:t>
      </w:r>
      <w:r w:rsidR="00802C23">
        <w:rPr>
          <w:rFonts w:ascii="Arial" w:eastAsia="Calibri" w:hAnsi="Arial" w:cs="Arial"/>
          <w:szCs w:val="24"/>
        </w:rPr>
        <w:t xml:space="preserve">has </w:t>
      </w:r>
      <w:r w:rsidRPr="006E33D0">
        <w:rPr>
          <w:rFonts w:ascii="Arial" w:eastAsia="Calibri" w:hAnsi="Arial" w:cs="Arial"/>
          <w:szCs w:val="24"/>
        </w:rPr>
        <w:t>created new risk factors for the health, well</w:t>
      </w:r>
      <w:r w:rsidR="002002CD">
        <w:rPr>
          <w:rFonts w:ascii="Arial" w:eastAsia="Calibri" w:hAnsi="Arial" w:cs="Arial"/>
          <w:szCs w:val="24"/>
        </w:rPr>
        <w:t xml:space="preserve">being and development of infants, </w:t>
      </w:r>
      <w:r w:rsidRPr="006E33D0">
        <w:rPr>
          <w:rFonts w:ascii="Arial" w:eastAsia="Calibri" w:hAnsi="Arial" w:cs="Arial"/>
          <w:szCs w:val="24"/>
        </w:rPr>
        <w:t>includ</w:t>
      </w:r>
      <w:r w:rsidR="00D17138">
        <w:rPr>
          <w:rFonts w:ascii="Arial" w:eastAsia="Calibri" w:hAnsi="Arial" w:cs="Arial"/>
          <w:szCs w:val="24"/>
        </w:rPr>
        <w:t>ing</w:t>
      </w:r>
      <w:r w:rsidR="002002CD">
        <w:rPr>
          <w:rFonts w:ascii="Arial" w:eastAsia="Calibri" w:hAnsi="Arial" w:cs="Arial"/>
          <w:szCs w:val="24"/>
        </w:rPr>
        <w:t>:</w:t>
      </w:r>
      <w:r w:rsidRPr="006E33D0">
        <w:rPr>
          <w:rFonts w:ascii="Arial" w:eastAsia="Calibri" w:hAnsi="Arial" w:cs="Arial"/>
          <w:szCs w:val="24"/>
        </w:rPr>
        <w:t xml:space="preserve"> restrict</w:t>
      </w:r>
      <w:r w:rsidR="00D17138">
        <w:rPr>
          <w:rFonts w:ascii="Arial" w:eastAsia="Calibri" w:hAnsi="Arial" w:cs="Arial"/>
          <w:szCs w:val="24"/>
        </w:rPr>
        <w:t>ed</w:t>
      </w:r>
      <w:r w:rsidRPr="006E33D0">
        <w:rPr>
          <w:rFonts w:ascii="Arial" w:eastAsia="Calibri" w:hAnsi="Arial" w:cs="Arial"/>
          <w:szCs w:val="24"/>
        </w:rPr>
        <w:t xml:space="preserve"> access to health services, including </w:t>
      </w:r>
      <w:r w:rsidR="00D17138">
        <w:rPr>
          <w:rFonts w:ascii="Arial" w:eastAsia="Calibri" w:hAnsi="Arial" w:cs="Arial"/>
          <w:szCs w:val="24"/>
        </w:rPr>
        <w:t xml:space="preserve">for </w:t>
      </w:r>
      <w:r w:rsidRPr="006E33D0">
        <w:rPr>
          <w:rFonts w:ascii="Arial" w:eastAsia="Calibri" w:hAnsi="Arial" w:cs="Arial"/>
          <w:szCs w:val="24"/>
        </w:rPr>
        <w:t>health visitors and general practice;</w:t>
      </w:r>
      <w:r w:rsidRPr="006E33D0">
        <w:rPr>
          <w:rFonts w:ascii="Arial" w:eastAsia="Calibri" w:hAnsi="Arial" w:cs="Arial"/>
          <w:szCs w:val="24"/>
          <w:vertAlign w:val="superscript"/>
        </w:rPr>
        <w:footnoteReference w:id="225"/>
      </w:r>
      <w:r w:rsidRPr="006E33D0">
        <w:rPr>
          <w:rFonts w:ascii="Arial" w:eastAsia="Calibri" w:hAnsi="Arial" w:cs="Arial"/>
          <w:szCs w:val="24"/>
        </w:rPr>
        <w:t xml:space="preserve"> </w:t>
      </w:r>
      <w:r w:rsidR="00D17138">
        <w:rPr>
          <w:rFonts w:ascii="Arial" w:eastAsia="Calibri" w:hAnsi="Arial" w:cs="Arial"/>
          <w:szCs w:val="24"/>
        </w:rPr>
        <w:t>fewer</w:t>
      </w:r>
      <w:r w:rsidRPr="006E33D0">
        <w:rPr>
          <w:rFonts w:ascii="Arial" w:eastAsia="Calibri" w:hAnsi="Arial" w:cs="Arial"/>
          <w:szCs w:val="24"/>
        </w:rPr>
        <w:t xml:space="preserve"> educational and social interactions due to lockdowns and social distancing measures; increased levels of stress; and increased levels of material deprivation.</w:t>
      </w:r>
      <w:r w:rsidRPr="006E33D0">
        <w:rPr>
          <w:rFonts w:ascii="Arial" w:eastAsia="Calibri" w:hAnsi="Arial" w:cs="Arial"/>
          <w:szCs w:val="24"/>
          <w:vertAlign w:val="superscript"/>
        </w:rPr>
        <w:footnoteReference w:id="226"/>
      </w:r>
      <w:r w:rsidRPr="006E33D0">
        <w:rPr>
          <w:rFonts w:ascii="Arial" w:eastAsia="Calibri" w:hAnsi="Arial" w:cs="Arial"/>
          <w:szCs w:val="24"/>
        </w:rPr>
        <w:t xml:space="preserve"> </w:t>
      </w:r>
    </w:p>
    <w:p w14:paraId="7D5DEA32" w14:textId="67D9DE8C" w:rsidR="002002CD" w:rsidRDefault="00D87A25" w:rsidP="00802C23">
      <w:pPr>
        <w:spacing w:before="120" w:line="240" w:lineRule="auto"/>
        <w:rPr>
          <w:rFonts w:ascii="Arial" w:eastAsia="Calibri" w:hAnsi="Arial" w:cs="Arial"/>
          <w:szCs w:val="24"/>
        </w:rPr>
      </w:pPr>
      <w:r w:rsidRPr="006E33D0">
        <w:rPr>
          <w:rFonts w:ascii="Arial" w:eastAsia="Calibri" w:hAnsi="Arial" w:cs="Arial"/>
          <w:szCs w:val="24"/>
        </w:rPr>
        <w:t>Th</w:t>
      </w:r>
      <w:r w:rsidR="00D17138">
        <w:rPr>
          <w:rFonts w:ascii="Arial" w:eastAsia="Calibri" w:hAnsi="Arial" w:cs="Arial"/>
          <w:szCs w:val="24"/>
        </w:rPr>
        <w:t>ese new risk factors are</w:t>
      </w:r>
      <w:r w:rsidRPr="006E33D0">
        <w:rPr>
          <w:rFonts w:ascii="Arial" w:eastAsia="Calibri" w:hAnsi="Arial" w:cs="Arial"/>
          <w:szCs w:val="24"/>
        </w:rPr>
        <w:t xml:space="preserve"> in addition to existing inequalities in child development, with boys, ethnic minorities and those from more deprived areas consistently showing poorer developmental outcomes.</w:t>
      </w:r>
      <w:r w:rsidRPr="006E33D0">
        <w:rPr>
          <w:rFonts w:ascii="Arial" w:eastAsia="Calibri" w:hAnsi="Arial" w:cs="Arial"/>
          <w:szCs w:val="24"/>
          <w:vertAlign w:val="superscript"/>
        </w:rPr>
        <w:footnoteReference w:id="227"/>
      </w:r>
      <w:r w:rsidRPr="006E33D0">
        <w:rPr>
          <w:rFonts w:ascii="Arial" w:eastAsia="Calibri" w:hAnsi="Arial" w:cs="Arial"/>
          <w:szCs w:val="24"/>
        </w:rPr>
        <w:t xml:space="preserve"> In 2020, infant mortality rates in the most deprived areas</w:t>
      </w:r>
      <w:r w:rsidRPr="006E33D0">
        <w:rPr>
          <w:rFonts w:ascii="Arial" w:eastAsia="Calibri" w:hAnsi="Arial" w:cs="Arial"/>
          <w:szCs w:val="24"/>
          <w:vertAlign w:val="superscript"/>
        </w:rPr>
        <w:footnoteReference w:id="228"/>
      </w:r>
      <w:r w:rsidRPr="006E33D0">
        <w:rPr>
          <w:rFonts w:ascii="Arial" w:eastAsia="Calibri" w:hAnsi="Arial" w:cs="Arial"/>
          <w:szCs w:val="24"/>
        </w:rPr>
        <w:t xml:space="preserve"> </w:t>
      </w:r>
      <w:r w:rsidR="002002CD">
        <w:rPr>
          <w:rFonts w:ascii="Arial" w:eastAsia="Calibri" w:hAnsi="Arial" w:cs="Arial"/>
          <w:szCs w:val="24"/>
        </w:rPr>
        <w:t>of</w:t>
      </w:r>
      <w:r w:rsidRPr="006E33D0">
        <w:rPr>
          <w:rFonts w:ascii="Arial" w:eastAsia="Calibri" w:hAnsi="Arial" w:cs="Arial"/>
          <w:szCs w:val="24"/>
        </w:rPr>
        <w:t xml:space="preserve"> England</w:t>
      </w:r>
      <w:r>
        <w:rPr>
          <w:rFonts w:ascii="Arial" w:eastAsia="Calibri" w:hAnsi="Arial" w:cs="Arial"/>
          <w:szCs w:val="24"/>
        </w:rPr>
        <w:t xml:space="preserve"> were more than double</w:t>
      </w:r>
      <w:r w:rsidRPr="006E33D0">
        <w:rPr>
          <w:rFonts w:ascii="Arial" w:eastAsia="Calibri" w:hAnsi="Arial" w:cs="Arial"/>
          <w:szCs w:val="24"/>
        </w:rPr>
        <w:t xml:space="preserve"> the </w:t>
      </w:r>
      <w:r w:rsidR="00D17138">
        <w:rPr>
          <w:rFonts w:ascii="Arial" w:eastAsia="Calibri" w:hAnsi="Arial" w:cs="Arial"/>
          <w:szCs w:val="24"/>
        </w:rPr>
        <w:t>infant mortality rates in the</w:t>
      </w:r>
      <w:r w:rsidRPr="006E33D0">
        <w:rPr>
          <w:rFonts w:ascii="Arial" w:eastAsia="Calibri" w:hAnsi="Arial" w:cs="Arial"/>
          <w:szCs w:val="24"/>
        </w:rPr>
        <w:t xml:space="preserve"> least deprived</w:t>
      </w:r>
      <w:r w:rsidR="00D17138">
        <w:rPr>
          <w:rFonts w:ascii="Arial" w:eastAsia="Calibri" w:hAnsi="Arial" w:cs="Arial"/>
          <w:szCs w:val="24"/>
        </w:rPr>
        <w:t xml:space="preserve"> areas</w:t>
      </w:r>
      <w:r w:rsidRPr="006E33D0">
        <w:rPr>
          <w:rFonts w:ascii="Arial" w:eastAsia="Calibri" w:hAnsi="Arial" w:cs="Arial"/>
          <w:szCs w:val="24"/>
        </w:rPr>
        <w:t>.</w:t>
      </w:r>
      <w:r w:rsidRPr="006E33D0">
        <w:rPr>
          <w:rStyle w:val="FootnoteReference"/>
          <w:rFonts w:ascii="Arial" w:eastAsia="Calibri" w:hAnsi="Arial" w:cs="Arial"/>
          <w:szCs w:val="24"/>
        </w:rPr>
        <w:footnoteReference w:id="229"/>
      </w:r>
      <w:r w:rsidRPr="006E33D0">
        <w:rPr>
          <w:rFonts w:ascii="Arial" w:eastAsia="Calibri" w:hAnsi="Arial" w:cs="Arial"/>
          <w:szCs w:val="24"/>
        </w:rPr>
        <w:t xml:space="preserve"> </w:t>
      </w:r>
      <w:r w:rsidR="002002CD">
        <w:rPr>
          <w:rFonts w:ascii="Arial" w:eastAsia="Calibri" w:hAnsi="Arial" w:cs="Arial"/>
          <w:szCs w:val="24"/>
        </w:rPr>
        <w:t xml:space="preserve"> </w:t>
      </w:r>
      <w:r w:rsidRPr="006E33D0">
        <w:rPr>
          <w:rFonts w:ascii="Arial" w:eastAsia="Calibri" w:hAnsi="Arial" w:cs="Arial"/>
          <w:szCs w:val="24"/>
        </w:rPr>
        <w:t xml:space="preserve">Between 2011 and 2020, the death rate for children </w:t>
      </w:r>
      <w:r w:rsidR="00D17138">
        <w:rPr>
          <w:rFonts w:ascii="Arial" w:eastAsia="Calibri" w:hAnsi="Arial" w:cs="Arial"/>
          <w:szCs w:val="24"/>
        </w:rPr>
        <w:t>living in</w:t>
      </w:r>
      <w:r w:rsidRPr="006E33D0">
        <w:rPr>
          <w:rFonts w:ascii="Arial" w:eastAsia="Calibri" w:hAnsi="Arial" w:cs="Arial"/>
          <w:szCs w:val="24"/>
        </w:rPr>
        <w:t xml:space="preserve"> the most deprived areas in Wales was 70% higher than among children living in the least deprived areas.</w:t>
      </w:r>
      <w:r w:rsidRPr="006E33D0">
        <w:rPr>
          <w:rFonts w:ascii="Arial" w:eastAsia="Calibri" w:hAnsi="Arial" w:cs="Arial"/>
          <w:szCs w:val="24"/>
          <w:vertAlign w:val="superscript"/>
        </w:rPr>
        <w:footnoteReference w:id="230"/>
      </w:r>
      <w:r w:rsidRPr="006E33D0">
        <w:rPr>
          <w:rFonts w:ascii="Arial" w:eastAsia="Calibri" w:hAnsi="Arial" w:cs="Arial"/>
          <w:szCs w:val="24"/>
        </w:rPr>
        <w:t xml:space="preserve"> </w:t>
      </w:r>
    </w:p>
    <w:p w14:paraId="47B7992B" w14:textId="6D2670D7" w:rsidR="00D87A25" w:rsidRDefault="00D87A25" w:rsidP="00802C23">
      <w:pPr>
        <w:spacing w:before="120" w:line="240" w:lineRule="auto"/>
      </w:pPr>
      <w:r w:rsidRPr="006E33D0">
        <w:rPr>
          <w:rFonts w:ascii="Arial" w:eastAsia="Calibri" w:hAnsi="Arial" w:cs="Arial"/>
          <w:szCs w:val="24"/>
        </w:rPr>
        <w:t xml:space="preserve">The infant mortality rate </w:t>
      </w:r>
      <w:r w:rsidR="00AC5728">
        <w:rPr>
          <w:rFonts w:ascii="Arial" w:eastAsia="Calibri" w:hAnsi="Arial" w:cs="Arial"/>
          <w:szCs w:val="24"/>
        </w:rPr>
        <w:t xml:space="preserve">(deaths per 1,000 live births) in 2020 </w:t>
      </w:r>
      <w:r w:rsidRPr="006E33D0">
        <w:rPr>
          <w:rFonts w:ascii="Arial" w:eastAsia="Calibri" w:hAnsi="Arial" w:cs="Arial"/>
          <w:szCs w:val="24"/>
        </w:rPr>
        <w:t>in England and Wales remain</w:t>
      </w:r>
      <w:r w:rsidR="00AC5728">
        <w:rPr>
          <w:rFonts w:ascii="Arial" w:eastAsia="Calibri" w:hAnsi="Arial" w:cs="Arial"/>
          <w:szCs w:val="24"/>
        </w:rPr>
        <w:t>ed</w:t>
      </w:r>
      <w:r w:rsidRPr="006E33D0">
        <w:rPr>
          <w:rFonts w:ascii="Arial" w:eastAsia="Calibri" w:hAnsi="Arial" w:cs="Arial"/>
          <w:szCs w:val="24"/>
        </w:rPr>
        <w:t xml:space="preserve"> disproportionately high among babies with an Any Other Black Background</w:t>
      </w:r>
      <w:r w:rsidR="00AC5728">
        <w:rPr>
          <w:rFonts w:ascii="Arial" w:eastAsia="Calibri" w:hAnsi="Arial" w:cs="Arial"/>
          <w:szCs w:val="24"/>
        </w:rPr>
        <w:t xml:space="preserve"> (6.2)</w:t>
      </w:r>
      <w:r w:rsidRPr="006E33D0">
        <w:rPr>
          <w:rFonts w:ascii="Arial" w:eastAsia="Calibri" w:hAnsi="Arial" w:cs="Arial"/>
          <w:szCs w:val="24"/>
        </w:rPr>
        <w:t>, Black Caribbean</w:t>
      </w:r>
      <w:r w:rsidR="00AC5728">
        <w:rPr>
          <w:rFonts w:ascii="Arial" w:eastAsia="Calibri" w:hAnsi="Arial" w:cs="Arial"/>
          <w:szCs w:val="24"/>
        </w:rPr>
        <w:t xml:space="preserve"> (6.1)</w:t>
      </w:r>
      <w:r w:rsidRPr="006E33D0">
        <w:rPr>
          <w:rFonts w:ascii="Arial" w:eastAsia="Calibri" w:hAnsi="Arial" w:cs="Arial"/>
          <w:szCs w:val="24"/>
        </w:rPr>
        <w:t xml:space="preserve">, or Pakistani </w:t>
      </w:r>
      <w:r w:rsidR="00AC5728">
        <w:rPr>
          <w:rFonts w:ascii="Arial" w:eastAsia="Calibri" w:hAnsi="Arial" w:cs="Arial"/>
          <w:szCs w:val="24"/>
        </w:rPr>
        <w:t xml:space="preserve">(5.3) </w:t>
      </w:r>
      <w:r w:rsidRPr="006E33D0">
        <w:rPr>
          <w:rFonts w:ascii="Arial" w:eastAsia="Calibri" w:hAnsi="Arial" w:cs="Arial"/>
          <w:szCs w:val="24"/>
        </w:rPr>
        <w:t>ethnicity</w:t>
      </w:r>
      <w:r w:rsidR="00622046">
        <w:rPr>
          <w:rFonts w:ascii="Arial" w:eastAsia="Calibri" w:hAnsi="Arial" w:cs="Arial"/>
          <w:szCs w:val="24"/>
        </w:rPr>
        <w:t xml:space="preserve"> compared with an overall mortality rate of 3.6</w:t>
      </w:r>
      <w:r w:rsidR="00CF1576">
        <w:rPr>
          <w:rFonts w:ascii="Arial" w:eastAsia="Calibri" w:hAnsi="Arial" w:cs="Arial"/>
          <w:szCs w:val="24"/>
        </w:rPr>
        <w:t>.</w:t>
      </w:r>
      <w:r w:rsidRPr="006E33D0">
        <w:rPr>
          <w:rFonts w:ascii="Arial" w:eastAsia="Calibri" w:hAnsi="Arial" w:cs="Arial"/>
          <w:szCs w:val="24"/>
          <w:vertAlign w:val="superscript"/>
        </w:rPr>
        <w:footnoteReference w:id="231"/>
      </w:r>
      <w:r w:rsidRPr="006E33D0">
        <w:rPr>
          <w:rFonts w:ascii="Arial" w:eastAsia="Calibri" w:hAnsi="Arial" w:cs="Arial"/>
          <w:szCs w:val="24"/>
        </w:rPr>
        <w:t xml:space="preserve"> The pandemic, which </w:t>
      </w:r>
      <w:r w:rsidR="00D17138">
        <w:rPr>
          <w:rFonts w:ascii="Arial" w:eastAsia="Calibri" w:hAnsi="Arial" w:cs="Arial"/>
          <w:szCs w:val="24"/>
        </w:rPr>
        <w:t xml:space="preserve">has </w:t>
      </w:r>
      <w:r w:rsidRPr="006E33D0">
        <w:rPr>
          <w:rFonts w:ascii="Arial" w:eastAsia="Calibri" w:hAnsi="Arial" w:cs="Arial"/>
          <w:szCs w:val="24"/>
        </w:rPr>
        <w:t>disproportionately</w:t>
      </w:r>
      <w:r w:rsidR="002002CD">
        <w:rPr>
          <w:rFonts w:ascii="Arial" w:eastAsia="Calibri" w:hAnsi="Arial" w:cs="Arial"/>
          <w:szCs w:val="24"/>
        </w:rPr>
        <w:t xml:space="preserve"> affected</w:t>
      </w:r>
      <w:r w:rsidRPr="006E33D0">
        <w:rPr>
          <w:rFonts w:ascii="Arial" w:eastAsia="Calibri" w:hAnsi="Arial" w:cs="Arial"/>
          <w:szCs w:val="24"/>
        </w:rPr>
        <w:t xml:space="preserve"> ethnic minority and low-income households, may widen these inequalities in early childhood.</w:t>
      </w:r>
      <w:r w:rsidRPr="006E33D0">
        <w:rPr>
          <w:rFonts w:ascii="Arial" w:eastAsia="Calibri" w:hAnsi="Arial" w:cs="Arial"/>
          <w:szCs w:val="24"/>
          <w:vertAlign w:val="superscript"/>
        </w:rPr>
        <w:footnoteReference w:id="232"/>
      </w:r>
    </w:p>
    <w:p w14:paraId="10A1E5EB" w14:textId="5D5AC05A" w:rsidR="00D87A25" w:rsidRPr="00B91A3D" w:rsidRDefault="00D87A25" w:rsidP="00D87A25">
      <w:pPr>
        <w:pStyle w:val="Heading3"/>
      </w:pPr>
      <w:r>
        <w:t>Children in mental health detention</w:t>
      </w:r>
    </w:p>
    <w:p w14:paraId="5DE346C3" w14:textId="77777777" w:rsidR="00766D03" w:rsidRDefault="00D87A25" w:rsidP="00D87A25">
      <w:pPr>
        <w:spacing w:before="120" w:line="240" w:lineRule="auto"/>
        <w:rPr>
          <w:rFonts w:ascii="Arial" w:eastAsia="Calibri" w:hAnsi="Arial" w:cs="Arial"/>
          <w:szCs w:val="24"/>
        </w:rPr>
      </w:pPr>
      <w:r w:rsidRPr="006E33D0">
        <w:rPr>
          <w:rFonts w:ascii="Arial" w:eastAsia="Calibri" w:hAnsi="Arial" w:cs="Arial"/>
          <w:szCs w:val="24"/>
        </w:rPr>
        <w:t xml:space="preserve">Children detained </w:t>
      </w:r>
      <w:r w:rsidR="00622046">
        <w:rPr>
          <w:rFonts w:ascii="Arial" w:eastAsia="Calibri" w:hAnsi="Arial" w:cs="Arial"/>
          <w:szCs w:val="24"/>
        </w:rPr>
        <w:t>because</w:t>
      </w:r>
      <w:r w:rsidRPr="006E33D0">
        <w:rPr>
          <w:rFonts w:ascii="Arial" w:eastAsia="Calibri" w:hAnsi="Arial" w:cs="Arial"/>
          <w:szCs w:val="24"/>
        </w:rPr>
        <w:t xml:space="preserve"> of mental illness are particularly </w:t>
      </w:r>
      <w:r w:rsidR="00622046">
        <w:rPr>
          <w:rFonts w:ascii="Arial" w:eastAsia="Calibri" w:hAnsi="Arial" w:cs="Arial"/>
          <w:szCs w:val="24"/>
        </w:rPr>
        <w:t>at risk of having their rights violated</w:t>
      </w:r>
      <w:r w:rsidRPr="006E33D0">
        <w:rPr>
          <w:rFonts w:ascii="Arial" w:eastAsia="Calibri" w:hAnsi="Arial" w:cs="Arial"/>
          <w:szCs w:val="24"/>
        </w:rPr>
        <w:t>. Despite the MHA already making clear that children should not be detained in adult settings, the practice continues, raising questions about safeguarding and welfare.</w:t>
      </w:r>
      <w:r w:rsidRPr="006E33D0">
        <w:rPr>
          <w:rFonts w:ascii="Arial" w:eastAsia="Calibri" w:hAnsi="Arial" w:cs="Arial"/>
          <w:szCs w:val="24"/>
          <w:vertAlign w:val="superscript"/>
        </w:rPr>
        <w:footnoteReference w:id="233"/>
      </w:r>
      <w:r w:rsidRPr="006E33D0">
        <w:rPr>
          <w:rFonts w:ascii="Arial" w:eastAsia="Calibri" w:hAnsi="Arial" w:cs="Arial"/>
          <w:szCs w:val="24"/>
        </w:rPr>
        <w:t xml:space="preserve"> A 2022 report by the Care Quality Commission found that most admissions to adult settings were caused by a lack of age-appropriate alternatives.</w:t>
      </w:r>
      <w:r w:rsidRPr="006E33D0">
        <w:rPr>
          <w:rFonts w:ascii="Arial" w:eastAsia="Calibri" w:hAnsi="Arial" w:cs="Arial"/>
          <w:szCs w:val="24"/>
          <w:vertAlign w:val="superscript"/>
        </w:rPr>
        <w:footnoteReference w:id="234"/>
      </w:r>
      <w:r w:rsidRPr="006E33D0">
        <w:rPr>
          <w:rFonts w:ascii="Arial" w:eastAsia="Calibri" w:hAnsi="Arial" w:cs="Arial"/>
          <w:szCs w:val="24"/>
        </w:rPr>
        <w:t xml:space="preserve"> </w:t>
      </w:r>
    </w:p>
    <w:p w14:paraId="6A5103C9" w14:textId="3A9E16F3" w:rsidR="002002CD" w:rsidRDefault="00D87A25" w:rsidP="00D87A25">
      <w:pPr>
        <w:spacing w:before="120" w:line="240" w:lineRule="auto"/>
        <w:rPr>
          <w:rFonts w:ascii="Arial" w:eastAsia="Calibri" w:hAnsi="Arial" w:cs="Arial"/>
          <w:szCs w:val="24"/>
        </w:rPr>
      </w:pPr>
      <w:r w:rsidRPr="006E33D0">
        <w:rPr>
          <w:rFonts w:ascii="Arial" w:eastAsia="Calibri" w:hAnsi="Arial" w:cs="Arial"/>
          <w:szCs w:val="24"/>
        </w:rPr>
        <w:t xml:space="preserve">In England, Independent Mental Health Advocates (IMHAs), who provide support and help children understand their rights, are only available to children detained formally under the MHA. </w:t>
      </w:r>
      <w:r w:rsidR="00622046">
        <w:rPr>
          <w:rFonts w:ascii="Arial" w:eastAsia="Calibri" w:hAnsi="Arial" w:cs="Arial"/>
          <w:szCs w:val="24"/>
        </w:rPr>
        <w:t>IMHAs are not available for children detained informally – usually on the basis of consent from the child or parent – despite living under the same conditions as children detained formally and a widespread lack of understanding of their rights</w:t>
      </w:r>
      <w:r w:rsidRPr="006E33D0">
        <w:rPr>
          <w:rFonts w:ascii="Arial" w:eastAsia="Calibri" w:hAnsi="Arial" w:cs="Arial"/>
          <w:szCs w:val="24"/>
        </w:rPr>
        <w:t>.</w:t>
      </w:r>
      <w:r w:rsidRPr="006E33D0">
        <w:rPr>
          <w:rFonts w:ascii="Arial" w:eastAsia="Calibri" w:hAnsi="Arial" w:cs="Arial"/>
          <w:szCs w:val="24"/>
          <w:vertAlign w:val="superscript"/>
        </w:rPr>
        <w:footnoteReference w:id="235"/>
      </w:r>
      <w:r w:rsidRPr="006E33D0">
        <w:rPr>
          <w:rFonts w:ascii="Arial" w:eastAsia="Calibri" w:hAnsi="Arial" w:cs="Arial"/>
          <w:szCs w:val="24"/>
        </w:rPr>
        <w:t xml:space="preserve"> In Wales, IMHAs are available to all inpatients. </w:t>
      </w:r>
    </w:p>
    <w:p w14:paraId="1009A359" w14:textId="79AC8401"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As outlined in our 2020 submission,</w:t>
      </w:r>
      <w:r w:rsidRPr="006E33D0">
        <w:rPr>
          <w:rFonts w:ascii="Arial" w:eastAsia="Calibri" w:hAnsi="Arial" w:cs="Arial"/>
          <w:szCs w:val="24"/>
          <w:vertAlign w:val="superscript"/>
        </w:rPr>
        <w:footnoteReference w:id="236"/>
      </w:r>
      <w:r w:rsidRPr="006E33D0">
        <w:rPr>
          <w:rFonts w:ascii="Arial" w:eastAsia="Calibri" w:hAnsi="Arial" w:cs="Arial"/>
          <w:szCs w:val="24"/>
        </w:rPr>
        <w:t xml:space="preserve"> we remain concerned about the persistence of inappropriate, and often long-term, detention of children with a learning disability and / or autism.</w:t>
      </w:r>
      <w:r w:rsidRPr="006E33D0">
        <w:rPr>
          <w:rStyle w:val="FootnoteReference"/>
          <w:rFonts w:ascii="Arial" w:eastAsia="Calibri" w:hAnsi="Arial" w:cs="Arial"/>
          <w:szCs w:val="24"/>
        </w:rPr>
        <w:footnoteReference w:id="237"/>
      </w:r>
    </w:p>
    <w:p w14:paraId="5CCC41EE" w14:textId="0AFB1EC5" w:rsidR="00D87A25" w:rsidRPr="006E33D0" w:rsidRDefault="00D87A25" w:rsidP="00D87A25">
      <w:pPr>
        <w:spacing w:before="120" w:line="240" w:lineRule="auto"/>
        <w:rPr>
          <w:rFonts w:ascii="Arial" w:hAnsi="Arial" w:cs="Arial"/>
          <w:szCs w:val="24"/>
        </w:rPr>
      </w:pPr>
      <w:r w:rsidRPr="006E33D0">
        <w:rPr>
          <w:rFonts w:ascii="Arial" w:eastAsia="Calibri" w:hAnsi="Arial" w:cs="Arial"/>
          <w:szCs w:val="24"/>
        </w:rPr>
        <w:t>We welcome many aspects of the UK Government’s plans to reform the MHA, including extending automatic access to IMHAs for all children who are inpatients, whether voluntarily or involuntarily.</w:t>
      </w:r>
      <w:r w:rsidRPr="006E33D0">
        <w:rPr>
          <w:rFonts w:ascii="Arial" w:eastAsia="Calibri" w:hAnsi="Arial" w:cs="Arial"/>
          <w:szCs w:val="24"/>
          <w:vertAlign w:val="superscript"/>
        </w:rPr>
        <w:footnoteReference w:id="238"/>
      </w:r>
      <w:r w:rsidRPr="006E33D0">
        <w:rPr>
          <w:rFonts w:ascii="Arial" w:eastAsia="Calibri" w:hAnsi="Arial" w:cs="Arial"/>
          <w:szCs w:val="24"/>
        </w:rPr>
        <w:t xml:space="preserve"> However, the Bill </w:t>
      </w:r>
      <w:r w:rsidR="00622046">
        <w:rPr>
          <w:rFonts w:ascii="Arial" w:eastAsia="Calibri" w:hAnsi="Arial" w:cs="Arial"/>
          <w:szCs w:val="24"/>
        </w:rPr>
        <w:t>neither</w:t>
      </w:r>
      <w:r w:rsidRPr="006E33D0">
        <w:rPr>
          <w:rFonts w:ascii="Arial" w:eastAsia="Calibri" w:hAnsi="Arial" w:cs="Arial"/>
          <w:szCs w:val="24"/>
        </w:rPr>
        <w:t xml:space="preserve"> make</w:t>
      </w:r>
      <w:r w:rsidR="00622046">
        <w:rPr>
          <w:rFonts w:ascii="Arial" w:eastAsia="Calibri" w:hAnsi="Arial" w:cs="Arial"/>
          <w:szCs w:val="24"/>
        </w:rPr>
        <w:t>s</w:t>
      </w:r>
      <w:r w:rsidRPr="006E33D0">
        <w:rPr>
          <w:rFonts w:ascii="Arial" w:eastAsia="Calibri" w:hAnsi="Arial" w:cs="Arial"/>
          <w:szCs w:val="24"/>
        </w:rPr>
        <w:t xml:space="preserve"> many specific provisions for the needs of children with mental illness nor address</w:t>
      </w:r>
      <w:r w:rsidR="00622046">
        <w:rPr>
          <w:rFonts w:ascii="Arial" w:eastAsia="Calibri" w:hAnsi="Arial" w:cs="Arial"/>
          <w:szCs w:val="24"/>
        </w:rPr>
        <w:t>es</w:t>
      </w:r>
      <w:r w:rsidRPr="006E33D0">
        <w:rPr>
          <w:rFonts w:ascii="Arial" w:eastAsia="Calibri" w:hAnsi="Arial" w:cs="Arial"/>
          <w:szCs w:val="24"/>
        </w:rPr>
        <w:t xml:space="preserve"> the placement of children in adult settings. While the proposals include welcome steps to reduce the number of autistic children who are detained, </w:t>
      </w:r>
      <w:r w:rsidR="00622046">
        <w:rPr>
          <w:rFonts w:ascii="Arial" w:eastAsia="Calibri" w:hAnsi="Arial" w:cs="Arial"/>
          <w:szCs w:val="24"/>
        </w:rPr>
        <w:t>we</w:t>
      </w:r>
      <w:r w:rsidRPr="006E33D0">
        <w:rPr>
          <w:rFonts w:ascii="Arial" w:eastAsia="Calibri" w:hAnsi="Arial" w:cs="Arial"/>
          <w:szCs w:val="24"/>
        </w:rPr>
        <w:t xml:space="preserve"> are concern</w:t>
      </w:r>
      <w:r w:rsidR="00622046">
        <w:rPr>
          <w:rFonts w:ascii="Arial" w:eastAsia="Calibri" w:hAnsi="Arial" w:cs="Arial"/>
          <w:szCs w:val="24"/>
        </w:rPr>
        <w:t>ed</w:t>
      </w:r>
      <w:r w:rsidRPr="006E33D0">
        <w:rPr>
          <w:rFonts w:ascii="Arial" w:eastAsia="Calibri" w:hAnsi="Arial" w:cs="Arial"/>
          <w:szCs w:val="24"/>
        </w:rPr>
        <w:t xml:space="preserve"> that, without adequate community support in place as an alternative, the changes will not lead to improved care.</w:t>
      </w:r>
      <w:r w:rsidRPr="006E33D0">
        <w:rPr>
          <w:rFonts w:ascii="Arial" w:eastAsia="Calibri" w:hAnsi="Arial" w:cs="Arial"/>
          <w:szCs w:val="24"/>
          <w:vertAlign w:val="superscript"/>
        </w:rPr>
        <w:footnoteReference w:id="239"/>
      </w:r>
    </w:p>
    <w:p w14:paraId="66338B91" w14:textId="1990E8DA" w:rsidR="00D87A25" w:rsidRPr="00B91A3D" w:rsidRDefault="00D87A25" w:rsidP="00D87A25">
      <w:pPr>
        <w:pStyle w:val="Heading4"/>
      </w:pPr>
      <w:r>
        <w:t xml:space="preserve">Recommendations </w:t>
      </w:r>
    </w:p>
    <w:p w14:paraId="12E2AD22" w14:textId="77777777" w:rsidR="00D87A25" w:rsidRPr="006E33D0" w:rsidRDefault="00D87A25" w:rsidP="00D87A25">
      <w:pPr>
        <w:spacing w:before="120" w:line="240" w:lineRule="auto"/>
        <w:rPr>
          <w:rFonts w:ascii="Arial" w:eastAsia="Calibri" w:hAnsi="Arial" w:cs="Arial"/>
          <w:u w:val="single"/>
        </w:rPr>
      </w:pPr>
      <w:r w:rsidRPr="006E33D0">
        <w:rPr>
          <w:rFonts w:ascii="Arial" w:eastAsia="Calibri" w:hAnsi="Arial" w:cs="Arial"/>
          <w:u w:val="single"/>
        </w:rPr>
        <w:t>The UK and Welsh governments should:</w:t>
      </w:r>
    </w:p>
    <w:p w14:paraId="3A876AF8" w14:textId="3380E2CE" w:rsidR="002002CD" w:rsidRDefault="0026506A" w:rsidP="00627673">
      <w:pPr>
        <w:pStyle w:val="ListParagraph"/>
        <w:numPr>
          <w:ilvl w:val="0"/>
          <w:numId w:val="26"/>
        </w:numPr>
        <w:spacing w:before="120" w:after="120" w:line="240" w:lineRule="auto"/>
        <w:rPr>
          <w:rFonts w:ascii="Arial" w:eastAsia="Calibri" w:hAnsi="Arial" w:cs="Arial"/>
        </w:rPr>
      </w:pPr>
      <w:r>
        <w:rPr>
          <w:rFonts w:ascii="Arial" w:eastAsia="Calibri" w:hAnsi="Arial" w:cs="Arial"/>
        </w:rPr>
        <w:t>Introduce a cross-government</w:t>
      </w:r>
      <w:r w:rsidR="00D87A25" w:rsidRPr="00D87A25">
        <w:rPr>
          <w:rFonts w:ascii="Arial" w:eastAsia="Calibri" w:hAnsi="Arial" w:cs="Arial"/>
        </w:rPr>
        <w:t xml:space="preserve"> child mental health s</w:t>
      </w:r>
      <w:r>
        <w:rPr>
          <w:rFonts w:ascii="Arial" w:eastAsia="Calibri" w:hAnsi="Arial" w:cs="Arial"/>
        </w:rPr>
        <w:t>trategy</w:t>
      </w:r>
      <w:r w:rsidR="00D87A25" w:rsidRPr="00D87A25">
        <w:rPr>
          <w:rFonts w:ascii="Arial" w:eastAsia="Calibri" w:hAnsi="Arial" w:cs="Arial"/>
        </w:rPr>
        <w:t xml:space="preserve"> to: </w:t>
      </w:r>
    </w:p>
    <w:p w14:paraId="33699B63" w14:textId="77777777" w:rsidR="002002CD" w:rsidRDefault="00D87A25" w:rsidP="002002CD">
      <w:pPr>
        <w:pStyle w:val="ListParagraph"/>
        <w:numPr>
          <w:ilvl w:val="1"/>
          <w:numId w:val="26"/>
        </w:numPr>
        <w:spacing w:before="120" w:after="120" w:line="240" w:lineRule="auto"/>
        <w:rPr>
          <w:rFonts w:ascii="Arial" w:eastAsia="Calibri" w:hAnsi="Arial" w:cs="Arial"/>
        </w:rPr>
      </w:pPr>
      <w:r w:rsidRPr="00D87A25">
        <w:rPr>
          <w:rFonts w:ascii="Arial" w:eastAsia="Calibri" w:hAnsi="Arial" w:cs="Arial"/>
        </w:rPr>
        <w:t xml:space="preserve">ensure the availability of services such as </w:t>
      </w:r>
      <w:r w:rsidR="006D08B0">
        <w:rPr>
          <w:rFonts w:ascii="Arial" w:eastAsia="Calibri" w:hAnsi="Arial" w:cs="Arial"/>
        </w:rPr>
        <w:t>child and adolescent mental health services</w:t>
      </w:r>
      <w:r w:rsidRPr="00D87A25">
        <w:rPr>
          <w:rFonts w:ascii="Arial" w:eastAsia="Calibri" w:hAnsi="Arial" w:cs="Arial"/>
        </w:rPr>
        <w:t>, therapeutic care in schools, and community-b</w:t>
      </w:r>
      <w:r w:rsidR="002002CD">
        <w:rPr>
          <w:rFonts w:ascii="Arial" w:eastAsia="Calibri" w:hAnsi="Arial" w:cs="Arial"/>
        </w:rPr>
        <w:t>ased services for all children</w:t>
      </w:r>
    </w:p>
    <w:p w14:paraId="6B947007" w14:textId="77777777" w:rsidR="002002CD" w:rsidRDefault="00D87A25" w:rsidP="002002CD">
      <w:pPr>
        <w:pStyle w:val="ListParagraph"/>
        <w:numPr>
          <w:ilvl w:val="1"/>
          <w:numId w:val="26"/>
        </w:numPr>
        <w:spacing w:before="120" w:after="120" w:line="240" w:lineRule="auto"/>
        <w:rPr>
          <w:rFonts w:ascii="Arial" w:eastAsia="Calibri" w:hAnsi="Arial" w:cs="Arial"/>
        </w:rPr>
      </w:pPr>
      <w:r w:rsidRPr="00D87A25">
        <w:rPr>
          <w:rFonts w:ascii="Arial" w:eastAsia="Calibri" w:hAnsi="Arial" w:cs="Arial"/>
        </w:rPr>
        <w:t>reduce disproportionate rates of mental health disorder</w:t>
      </w:r>
      <w:r w:rsidR="002002CD">
        <w:rPr>
          <w:rFonts w:ascii="Arial" w:eastAsia="Calibri" w:hAnsi="Arial" w:cs="Arial"/>
        </w:rPr>
        <w:t>s among certain at-risk groups</w:t>
      </w:r>
    </w:p>
    <w:p w14:paraId="2CD03DDF" w14:textId="77777777" w:rsidR="002002CD" w:rsidRDefault="00D87A25" w:rsidP="002002CD">
      <w:pPr>
        <w:pStyle w:val="ListParagraph"/>
        <w:numPr>
          <w:ilvl w:val="1"/>
          <w:numId w:val="26"/>
        </w:numPr>
        <w:spacing w:before="120" w:after="120" w:line="240" w:lineRule="auto"/>
        <w:rPr>
          <w:rFonts w:ascii="Arial" w:eastAsia="Calibri" w:hAnsi="Arial" w:cs="Arial"/>
        </w:rPr>
      </w:pPr>
      <w:r w:rsidRPr="00D87A25">
        <w:rPr>
          <w:rFonts w:ascii="Arial" w:eastAsia="Calibri" w:hAnsi="Arial" w:cs="Arial"/>
        </w:rPr>
        <w:t>address geogr</w:t>
      </w:r>
      <w:r w:rsidR="002002CD">
        <w:rPr>
          <w:rFonts w:ascii="Arial" w:eastAsia="Calibri" w:hAnsi="Arial" w:cs="Arial"/>
        </w:rPr>
        <w:t>aphic disparities in treatment,</w:t>
      </w:r>
      <w:r w:rsidRPr="00D87A25">
        <w:rPr>
          <w:rFonts w:ascii="Arial" w:eastAsia="Calibri" w:hAnsi="Arial" w:cs="Arial"/>
        </w:rPr>
        <w:t xml:space="preserve"> and </w:t>
      </w:r>
    </w:p>
    <w:p w14:paraId="23EF8AD0" w14:textId="77777777" w:rsidR="002002CD" w:rsidRDefault="00D87A25" w:rsidP="002002CD">
      <w:pPr>
        <w:pStyle w:val="ListParagraph"/>
        <w:numPr>
          <w:ilvl w:val="1"/>
          <w:numId w:val="26"/>
        </w:numPr>
        <w:spacing w:before="120" w:after="120" w:line="240" w:lineRule="auto"/>
        <w:rPr>
          <w:rFonts w:ascii="Arial" w:eastAsia="Calibri" w:hAnsi="Arial" w:cs="Arial"/>
        </w:rPr>
      </w:pPr>
      <w:r w:rsidRPr="00D87A25">
        <w:rPr>
          <w:rFonts w:ascii="Arial" w:eastAsia="Calibri" w:hAnsi="Arial" w:cs="Arial"/>
        </w:rPr>
        <w:t xml:space="preserve">reduce waiting times. </w:t>
      </w:r>
    </w:p>
    <w:p w14:paraId="77A38887" w14:textId="47B37278" w:rsidR="002002CD" w:rsidRPr="002002CD" w:rsidRDefault="00D87A25" w:rsidP="002002CD">
      <w:pPr>
        <w:pStyle w:val="ListParagraph"/>
        <w:numPr>
          <w:ilvl w:val="0"/>
          <w:numId w:val="26"/>
        </w:numPr>
        <w:spacing w:before="120" w:after="120" w:line="240" w:lineRule="auto"/>
        <w:rPr>
          <w:rFonts w:ascii="Arial" w:eastAsia="Calibri" w:hAnsi="Arial" w:cs="Arial"/>
        </w:rPr>
      </w:pPr>
      <w:r w:rsidRPr="00D87A25">
        <w:rPr>
          <w:rFonts w:ascii="Arial" w:eastAsia="Calibri" w:hAnsi="Arial" w:cs="Arial"/>
        </w:rPr>
        <w:t xml:space="preserve">Assess the short- and long-term impacts of the pandemic on the health, wellbeing and development of all children </w:t>
      </w:r>
      <w:r w:rsidR="00622046">
        <w:rPr>
          <w:rFonts w:ascii="Arial" w:eastAsia="Calibri" w:hAnsi="Arial" w:cs="Arial"/>
        </w:rPr>
        <w:t xml:space="preserve">– </w:t>
      </w:r>
      <w:r w:rsidRPr="00D87A25">
        <w:rPr>
          <w:rFonts w:ascii="Arial" w:eastAsia="Calibri" w:hAnsi="Arial" w:cs="Arial"/>
        </w:rPr>
        <w:t>particularly those facing existing disparities</w:t>
      </w:r>
      <w:r w:rsidR="002002CD">
        <w:rPr>
          <w:rFonts w:ascii="Arial" w:eastAsia="Calibri" w:hAnsi="Arial" w:cs="Arial"/>
        </w:rPr>
        <w:t xml:space="preserve"> –</w:t>
      </w:r>
      <w:r w:rsidRPr="00D87A25">
        <w:rPr>
          <w:rFonts w:ascii="Arial" w:eastAsia="Calibri" w:hAnsi="Arial" w:cs="Arial"/>
        </w:rPr>
        <w:t xml:space="preserve"> and take decisive, evidence-</w:t>
      </w:r>
      <w:r w:rsidR="0026506A">
        <w:rPr>
          <w:rFonts w:ascii="Arial" w:eastAsia="Calibri" w:hAnsi="Arial" w:cs="Arial"/>
        </w:rPr>
        <w:t xml:space="preserve">based steps to improve </w:t>
      </w:r>
      <w:r w:rsidRPr="00D87A25">
        <w:rPr>
          <w:rFonts w:ascii="Arial" w:eastAsia="Calibri" w:hAnsi="Arial" w:cs="Arial"/>
        </w:rPr>
        <w:t>access and provision, reduce inequalities and inform any future pandemic response.</w:t>
      </w:r>
    </w:p>
    <w:p w14:paraId="1ED70E23" w14:textId="77777777" w:rsidR="002002CD" w:rsidRDefault="002002CD">
      <w:pPr>
        <w:keepLines w:val="0"/>
        <w:spacing w:before="0" w:after="160" w:line="259" w:lineRule="auto"/>
        <w:rPr>
          <w:rFonts w:ascii="Arial" w:eastAsia="Calibri" w:hAnsi="Arial" w:cs="Arial"/>
          <w:u w:val="single"/>
        </w:rPr>
      </w:pPr>
      <w:r>
        <w:rPr>
          <w:rFonts w:ascii="Arial" w:eastAsia="Calibri" w:hAnsi="Arial" w:cs="Arial"/>
          <w:u w:val="single"/>
        </w:rPr>
        <w:br w:type="page"/>
      </w:r>
    </w:p>
    <w:p w14:paraId="489F7EC9" w14:textId="057CC67B" w:rsidR="00D87A25" w:rsidRPr="006E33D0" w:rsidRDefault="00D87A25" w:rsidP="00D87A25">
      <w:pPr>
        <w:spacing w:before="120" w:line="240" w:lineRule="auto"/>
        <w:rPr>
          <w:rFonts w:ascii="Arial" w:eastAsia="Calibri" w:hAnsi="Arial" w:cs="Arial"/>
          <w:u w:val="single"/>
        </w:rPr>
      </w:pPr>
      <w:r w:rsidRPr="006E33D0">
        <w:rPr>
          <w:rFonts w:ascii="Arial" w:eastAsia="Calibri" w:hAnsi="Arial" w:cs="Arial"/>
          <w:u w:val="single"/>
        </w:rPr>
        <w:t>The UK Government should:</w:t>
      </w:r>
    </w:p>
    <w:p w14:paraId="21D40FDB" w14:textId="1B3449C6" w:rsidR="00D87A25" w:rsidRPr="00D87A25" w:rsidRDefault="00D87A25" w:rsidP="00627673">
      <w:pPr>
        <w:pStyle w:val="ListParagraph"/>
        <w:numPr>
          <w:ilvl w:val="0"/>
          <w:numId w:val="27"/>
        </w:numPr>
        <w:spacing w:before="120" w:after="120" w:line="240" w:lineRule="auto"/>
        <w:rPr>
          <w:rFonts w:ascii="Arial" w:eastAsia="Calibri" w:hAnsi="Arial" w:cs="Arial"/>
        </w:rPr>
      </w:pPr>
      <w:r w:rsidRPr="00D87A25">
        <w:rPr>
          <w:rFonts w:ascii="Arial" w:eastAsia="Calibri" w:hAnsi="Arial" w:cs="Arial"/>
        </w:rPr>
        <w:t xml:space="preserve">Consider the recommendations of the Health and Social Care Committee’s report on children and young people in England and ensure that reforms to the Mental Health Act take account of the needs of children, including the expansion of access to Independent Mental Health Advocates for all children in </w:t>
      </w:r>
      <w:r w:rsidR="00527C4A">
        <w:rPr>
          <w:rFonts w:ascii="Arial" w:eastAsia="Calibri" w:hAnsi="Arial" w:cs="Arial"/>
        </w:rPr>
        <w:t>detention</w:t>
      </w:r>
      <w:r w:rsidRPr="00D87A25">
        <w:rPr>
          <w:rFonts w:ascii="Arial" w:eastAsia="Calibri" w:hAnsi="Arial" w:cs="Arial"/>
        </w:rPr>
        <w:t>.</w:t>
      </w:r>
    </w:p>
    <w:p w14:paraId="5F70FFD3" w14:textId="77777777" w:rsidR="00D87A25" w:rsidRPr="006E33D0" w:rsidRDefault="00D87A25" w:rsidP="00D87A25">
      <w:pPr>
        <w:spacing w:before="120" w:line="240" w:lineRule="auto"/>
        <w:rPr>
          <w:rFonts w:ascii="Arial" w:eastAsia="Calibri" w:hAnsi="Arial" w:cs="Arial"/>
          <w:u w:val="single"/>
        </w:rPr>
      </w:pPr>
      <w:r w:rsidRPr="006E33D0">
        <w:rPr>
          <w:rFonts w:ascii="Arial" w:eastAsia="Calibri" w:hAnsi="Arial" w:cs="Arial"/>
          <w:u w:val="single"/>
        </w:rPr>
        <w:t>The Welsh Government should:</w:t>
      </w:r>
    </w:p>
    <w:p w14:paraId="0D13357F" w14:textId="60C44301" w:rsidR="00D87A25" w:rsidRPr="00D87A25" w:rsidRDefault="00D87A25" w:rsidP="00627673">
      <w:pPr>
        <w:pStyle w:val="ListParagraph"/>
        <w:numPr>
          <w:ilvl w:val="0"/>
          <w:numId w:val="27"/>
        </w:numPr>
        <w:spacing w:before="120" w:after="120" w:line="240" w:lineRule="auto"/>
        <w:rPr>
          <w:rFonts w:ascii="Arial" w:eastAsia="Calibri" w:hAnsi="Arial" w:cs="Arial"/>
        </w:rPr>
      </w:pPr>
      <w:r w:rsidRPr="00D87A25">
        <w:rPr>
          <w:rFonts w:ascii="Arial" w:eastAsia="Calibri" w:hAnsi="Arial" w:cs="Arial"/>
        </w:rPr>
        <w:t>Consider the actions recommended in Public Health Wales’</w:t>
      </w:r>
      <w:r w:rsidR="00622046">
        <w:rPr>
          <w:rFonts w:ascii="Arial" w:eastAsia="Calibri" w:hAnsi="Arial" w:cs="Arial"/>
        </w:rPr>
        <w:t>s</w:t>
      </w:r>
      <w:r w:rsidRPr="00D87A25">
        <w:rPr>
          <w:rFonts w:ascii="Arial" w:eastAsia="Calibri" w:hAnsi="Arial" w:cs="Arial"/>
        </w:rPr>
        <w:t xml:space="preserve"> report on protecting the mental wellbeing of future generations, and report on</w:t>
      </w:r>
      <w:r w:rsidR="00D33944">
        <w:rPr>
          <w:rFonts w:ascii="Arial" w:eastAsia="Calibri" w:hAnsi="Arial" w:cs="Arial"/>
        </w:rPr>
        <w:t xml:space="preserve"> </w:t>
      </w:r>
      <w:r w:rsidRPr="00D87A25">
        <w:rPr>
          <w:rFonts w:ascii="Arial" w:eastAsia="Calibri" w:hAnsi="Arial" w:cs="Arial"/>
        </w:rPr>
        <w:t>progress.</w:t>
      </w:r>
    </w:p>
    <w:p w14:paraId="4F9B0F4B" w14:textId="6E47ED5C" w:rsidR="002002CD" w:rsidRDefault="00D87A25" w:rsidP="00A26DF5">
      <w:pPr>
        <w:pStyle w:val="ListParagraph"/>
        <w:numPr>
          <w:ilvl w:val="0"/>
          <w:numId w:val="27"/>
        </w:numPr>
        <w:spacing w:before="120" w:after="120" w:line="240" w:lineRule="auto"/>
        <w:rPr>
          <w:rFonts w:ascii="Arial" w:eastAsia="Calibri" w:hAnsi="Arial" w:cs="Arial"/>
        </w:rPr>
      </w:pPr>
      <w:r w:rsidRPr="00D87A25">
        <w:rPr>
          <w:rFonts w:ascii="Arial" w:eastAsia="Calibri" w:hAnsi="Arial" w:cs="Arial"/>
        </w:rPr>
        <w:t>Strengthen data collection on the mental health and wellbeing of children in Wales to support effective interventions.</w:t>
      </w:r>
    </w:p>
    <w:p w14:paraId="3B89803D" w14:textId="30ACD62B" w:rsidR="00D87A25" w:rsidRPr="002002CD" w:rsidRDefault="002002CD" w:rsidP="002002CD">
      <w:pPr>
        <w:keepLines w:val="0"/>
        <w:spacing w:before="0" w:after="160" w:line="259" w:lineRule="auto"/>
        <w:rPr>
          <w:rFonts w:ascii="Arial" w:eastAsia="Calibri" w:hAnsi="Arial" w:cs="Arial"/>
        </w:rPr>
      </w:pPr>
      <w:r>
        <w:rPr>
          <w:rFonts w:ascii="Arial" w:eastAsia="Calibri" w:hAnsi="Arial" w:cs="Arial"/>
        </w:rPr>
        <w:br w:type="page"/>
      </w:r>
    </w:p>
    <w:p w14:paraId="41BAF1C6" w14:textId="18DF6A0C" w:rsidR="00D87A25" w:rsidRPr="000530C5" w:rsidRDefault="00D87A25" w:rsidP="00D87A25">
      <w:pPr>
        <w:pStyle w:val="Heading2"/>
      </w:pPr>
      <w:bookmarkStart w:id="14" w:name="_Toc122018858"/>
      <w:r>
        <w:t>Standard of living</w:t>
      </w:r>
      <w:bookmarkEnd w:id="14"/>
    </w:p>
    <w:p w14:paraId="2BA31C2B" w14:textId="395839BE" w:rsidR="00D87A25" w:rsidRPr="006E33D0" w:rsidRDefault="00D87A25" w:rsidP="00D87A25">
      <w:pPr>
        <w:keepNext/>
        <w:pBdr>
          <w:top w:val="single" w:sz="24" w:space="8" w:color="DDDE45"/>
          <w:left w:val="single" w:sz="24" w:space="4" w:color="F1F1B4"/>
          <w:bottom w:val="single" w:sz="48" w:space="1" w:color="F1F1B4"/>
          <w:right w:val="single" w:sz="24" w:space="4" w:color="F1F1B4"/>
        </w:pBdr>
        <w:shd w:val="clear" w:color="auto" w:fill="F1F1B4"/>
        <w:spacing w:before="120" w:line="240" w:lineRule="auto"/>
        <w:ind w:left="142" w:right="198"/>
        <w:rPr>
          <w:rFonts w:ascii="Arial" w:eastAsia="Arial" w:hAnsi="Arial" w:cs="Arial"/>
          <w:b/>
        </w:rPr>
      </w:pPr>
      <w:r w:rsidRPr="006E33D0">
        <w:rPr>
          <w:rFonts w:ascii="Arial" w:eastAsia="Arial" w:hAnsi="Arial" w:cs="Arial"/>
          <w:b/>
        </w:rPr>
        <w:t xml:space="preserve">See: </w:t>
      </w:r>
      <w:hyperlink r:id="rId37" w:history="1">
        <w:r w:rsidRPr="006E33D0">
          <w:rPr>
            <w:rFonts w:ascii="Arial" w:eastAsia="Arial" w:hAnsi="Arial" w:cs="Arial"/>
            <w:b/>
            <w:u w:val="single" w:color="009C98"/>
          </w:rPr>
          <w:t>Our 2020 submission</w:t>
        </w:r>
      </w:hyperlink>
      <w:r w:rsidRPr="006E33D0">
        <w:rPr>
          <w:rFonts w:ascii="Arial" w:eastAsia="Arial" w:hAnsi="Arial" w:cs="Arial"/>
          <w:b/>
        </w:rPr>
        <w:t xml:space="preserve"> (pages 16-27); </w:t>
      </w:r>
      <w:hyperlink r:id="rId38" w:history="1">
        <w:r w:rsidR="008A4735">
          <w:rPr>
            <w:rFonts w:ascii="Arial" w:eastAsia="Arial" w:hAnsi="Arial" w:cs="Arial"/>
            <w:b/>
            <w:u w:val="single" w:color="009C98"/>
          </w:rPr>
          <w:t>UNCRC list of i</w:t>
        </w:r>
        <w:r w:rsidRPr="006E33D0">
          <w:rPr>
            <w:rFonts w:ascii="Arial" w:eastAsia="Arial" w:hAnsi="Arial" w:cs="Arial"/>
            <w:b/>
            <w:u w:val="single" w:color="009C98"/>
          </w:rPr>
          <w:t>ssues</w:t>
        </w:r>
      </w:hyperlink>
      <w:r w:rsidRPr="006E33D0">
        <w:rPr>
          <w:rFonts w:ascii="Arial" w:eastAsia="Arial" w:hAnsi="Arial" w:cs="Arial"/>
          <w:b/>
        </w:rPr>
        <w:t xml:space="preserve"> (paras 7 and 27); </w:t>
      </w:r>
      <w:hyperlink r:id="rId39" w:history="1">
        <w:r w:rsidRPr="006E33D0">
          <w:rPr>
            <w:rFonts w:ascii="Arial" w:eastAsia="Arial" w:hAnsi="Arial" w:cs="Arial"/>
            <w:b/>
            <w:u w:val="single" w:color="009C98"/>
          </w:rPr>
          <w:t>UN Sustainable Development Goals</w:t>
        </w:r>
      </w:hyperlink>
      <w:r w:rsidRPr="006E33D0">
        <w:rPr>
          <w:rFonts w:ascii="Arial" w:eastAsia="Arial" w:hAnsi="Arial" w:cs="Arial"/>
          <w:b/>
        </w:rPr>
        <w:t xml:space="preserve"> (Goals 1, 2, 7, 8 and 10)</w:t>
      </w:r>
    </w:p>
    <w:p w14:paraId="2B7C6A9D" w14:textId="5A7711A9"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 xml:space="preserve">Poverty severely </w:t>
      </w:r>
      <w:r w:rsidR="00622046">
        <w:rPr>
          <w:rFonts w:ascii="Arial" w:eastAsia="Calibri" w:hAnsi="Arial" w:cs="Arial"/>
          <w:szCs w:val="24"/>
        </w:rPr>
        <w:t>affects children’s ability to enjoy</w:t>
      </w:r>
      <w:r w:rsidRPr="006E33D0">
        <w:rPr>
          <w:rFonts w:ascii="Arial" w:eastAsia="Calibri" w:hAnsi="Arial" w:cs="Arial"/>
          <w:szCs w:val="24"/>
        </w:rPr>
        <w:t xml:space="preserve"> basic rights. It can contribute to negative outcomes related to educational attainment, ill health, reduced development, bullying, contact with the criminal justice system and the risk of criminal exploitation.</w:t>
      </w:r>
      <w:r w:rsidRPr="006E33D0">
        <w:rPr>
          <w:rStyle w:val="FootnoteReference"/>
          <w:rFonts w:ascii="Arial" w:eastAsia="Calibri" w:hAnsi="Arial" w:cs="Arial"/>
          <w:szCs w:val="24"/>
        </w:rPr>
        <w:footnoteReference w:id="240"/>
      </w:r>
      <w:r w:rsidRPr="006E33D0">
        <w:rPr>
          <w:rFonts w:ascii="Arial" w:eastAsia="Calibri" w:hAnsi="Arial" w:cs="Arial"/>
          <w:szCs w:val="24"/>
        </w:rPr>
        <w:t xml:space="preserve"> </w:t>
      </w:r>
    </w:p>
    <w:p w14:paraId="196E181A" w14:textId="5E7A9ABE" w:rsidR="008A4735" w:rsidRDefault="00D87A25" w:rsidP="00D87A25">
      <w:pPr>
        <w:spacing w:before="120" w:line="240" w:lineRule="auto"/>
        <w:rPr>
          <w:rFonts w:ascii="Arial" w:eastAsia="Calibri" w:hAnsi="Arial" w:cs="Arial"/>
          <w:szCs w:val="24"/>
        </w:rPr>
      </w:pPr>
      <w:r w:rsidRPr="006E33D0">
        <w:rPr>
          <w:rFonts w:ascii="Arial" w:eastAsia="Calibri" w:hAnsi="Arial" w:cs="Arial"/>
          <w:szCs w:val="24"/>
        </w:rPr>
        <w:t>The number of children living in relative poverty</w:t>
      </w:r>
      <w:r w:rsidRPr="006E33D0">
        <w:rPr>
          <w:rFonts w:ascii="Arial" w:eastAsia="Calibri" w:hAnsi="Arial" w:cs="Arial"/>
          <w:szCs w:val="24"/>
          <w:vertAlign w:val="superscript"/>
        </w:rPr>
        <w:footnoteReference w:id="241"/>
      </w:r>
      <w:r w:rsidRPr="006E33D0">
        <w:rPr>
          <w:rFonts w:ascii="Arial" w:eastAsia="Calibri" w:hAnsi="Arial" w:cs="Arial"/>
          <w:szCs w:val="24"/>
        </w:rPr>
        <w:t xml:space="preserve"> across the UK has grow</w:t>
      </w:r>
      <w:r>
        <w:rPr>
          <w:rFonts w:ascii="Arial" w:eastAsia="Calibri" w:hAnsi="Arial" w:cs="Arial"/>
          <w:szCs w:val="24"/>
        </w:rPr>
        <w:t>n</w:t>
      </w:r>
      <w:r w:rsidRPr="006E33D0">
        <w:rPr>
          <w:rFonts w:ascii="Arial" w:eastAsia="Calibri" w:hAnsi="Arial" w:cs="Arial"/>
          <w:szCs w:val="24"/>
        </w:rPr>
        <w:t>, reaching a 20-year high of 4.3 million in 2019/20,</w:t>
      </w:r>
      <w:r w:rsidRPr="006E33D0">
        <w:rPr>
          <w:rFonts w:ascii="Arial" w:eastAsia="Calibri" w:hAnsi="Arial" w:cs="Arial"/>
          <w:szCs w:val="24"/>
          <w:vertAlign w:val="superscript"/>
        </w:rPr>
        <w:footnoteReference w:id="242"/>
      </w:r>
      <w:r w:rsidRPr="006E33D0">
        <w:rPr>
          <w:rFonts w:ascii="Arial" w:eastAsia="Calibri" w:hAnsi="Arial" w:cs="Arial"/>
          <w:szCs w:val="24"/>
        </w:rPr>
        <w:t xml:space="preserve"> representing almost one</w:t>
      </w:r>
      <w:r w:rsidR="00622046">
        <w:rPr>
          <w:rFonts w:ascii="Arial" w:eastAsia="Calibri" w:hAnsi="Arial" w:cs="Arial"/>
          <w:szCs w:val="24"/>
        </w:rPr>
        <w:t>-</w:t>
      </w:r>
      <w:r w:rsidRPr="006E33D0">
        <w:rPr>
          <w:rFonts w:ascii="Arial" w:eastAsia="Calibri" w:hAnsi="Arial" w:cs="Arial"/>
          <w:szCs w:val="24"/>
        </w:rPr>
        <w:t>third of all children.</w:t>
      </w:r>
      <w:r w:rsidRPr="006E33D0">
        <w:rPr>
          <w:rFonts w:ascii="Arial" w:eastAsia="Calibri" w:hAnsi="Arial" w:cs="Arial"/>
          <w:szCs w:val="24"/>
          <w:vertAlign w:val="superscript"/>
        </w:rPr>
        <w:footnoteReference w:id="243"/>
      </w:r>
      <w:r w:rsidRPr="006E33D0">
        <w:rPr>
          <w:rFonts w:ascii="Arial" w:eastAsia="Calibri" w:hAnsi="Arial" w:cs="Arial"/>
          <w:szCs w:val="24"/>
        </w:rPr>
        <w:t xml:space="preserve"> England and Wales have the highest child poverty rates in the UK, at 30% and 31% respectively in 2019/20.</w:t>
      </w:r>
      <w:r w:rsidRPr="006E33D0">
        <w:rPr>
          <w:rFonts w:ascii="Arial" w:eastAsia="Calibri" w:hAnsi="Arial" w:cs="Arial"/>
          <w:szCs w:val="24"/>
          <w:vertAlign w:val="superscript"/>
        </w:rPr>
        <w:footnoteReference w:id="244"/>
      </w:r>
      <w:r w:rsidRPr="006E33D0">
        <w:rPr>
          <w:rFonts w:ascii="Arial" w:eastAsia="Calibri" w:hAnsi="Arial" w:cs="Arial"/>
          <w:szCs w:val="24"/>
        </w:rPr>
        <w:t xml:space="preserve"> </w:t>
      </w:r>
    </w:p>
    <w:p w14:paraId="5F12C1B8" w14:textId="75B770C4"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The Welsh Government has had a child poverty strategy since 2011 and a child poverty income maximisation action plan since 2020,</w:t>
      </w:r>
      <w:r w:rsidRPr="006E33D0">
        <w:rPr>
          <w:rFonts w:ascii="Arial" w:eastAsia="Calibri" w:hAnsi="Arial" w:cs="Arial"/>
          <w:szCs w:val="24"/>
          <w:vertAlign w:val="superscript"/>
        </w:rPr>
        <w:footnoteReference w:id="245"/>
      </w:r>
      <w:r w:rsidRPr="006E33D0">
        <w:rPr>
          <w:rFonts w:ascii="Arial" w:eastAsia="Calibri" w:hAnsi="Arial" w:cs="Arial"/>
          <w:szCs w:val="24"/>
        </w:rPr>
        <w:t xml:space="preserve"> but child poverty remains persistently high. </w:t>
      </w:r>
      <w:r>
        <w:rPr>
          <w:rFonts w:ascii="Arial" w:eastAsia="Calibri" w:hAnsi="Arial" w:cs="Arial"/>
          <w:szCs w:val="24"/>
        </w:rPr>
        <w:t>The UK Government has no child poverty reduction strategy.</w:t>
      </w:r>
    </w:p>
    <w:p w14:paraId="6D9E8645" w14:textId="2C21879F"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 xml:space="preserve">The fall in </w:t>
      </w:r>
      <w:r w:rsidR="00CF1576">
        <w:rPr>
          <w:rFonts w:ascii="Arial" w:eastAsia="Calibri" w:hAnsi="Arial" w:cs="Arial"/>
          <w:szCs w:val="24"/>
        </w:rPr>
        <w:t>the UK child poverty figure</w:t>
      </w:r>
      <w:r w:rsidRPr="006E33D0">
        <w:rPr>
          <w:rFonts w:ascii="Arial" w:eastAsia="Calibri" w:hAnsi="Arial" w:cs="Arial"/>
          <w:szCs w:val="24"/>
        </w:rPr>
        <w:t xml:space="preserve"> </w:t>
      </w:r>
      <w:r w:rsidR="00622046">
        <w:rPr>
          <w:rFonts w:ascii="Arial" w:eastAsia="Calibri" w:hAnsi="Arial" w:cs="Arial"/>
          <w:szCs w:val="24"/>
        </w:rPr>
        <w:t xml:space="preserve">from 4.3 million in 2019/20 to 3.9 million </w:t>
      </w:r>
      <w:r w:rsidRPr="006E33D0">
        <w:rPr>
          <w:rFonts w:ascii="Arial" w:eastAsia="Calibri" w:hAnsi="Arial" w:cs="Arial"/>
          <w:szCs w:val="24"/>
        </w:rPr>
        <w:t>in 2020/21</w:t>
      </w:r>
      <w:r w:rsidRPr="006E33D0">
        <w:rPr>
          <w:rFonts w:ascii="Arial" w:eastAsia="Calibri" w:hAnsi="Arial" w:cs="Arial"/>
          <w:szCs w:val="24"/>
          <w:vertAlign w:val="superscript"/>
        </w:rPr>
        <w:footnoteReference w:id="246"/>
      </w:r>
      <w:r w:rsidRPr="006E33D0">
        <w:rPr>
          <w:rFonts w:ascii="Arial" w:eastAsia="Calibri" w:hAnsi="Arial" w:cs="Arial"/>
          <w:szCs w:val="24"/>
        </w:rPr>
        <w:t xml:space="preserve"> was encouraging, although data collection was affected by the pandemic and is therefore subject to uncertainty.</w:t>
      </w:r>
      <w:r w:rsidRPr="006E33D0">
        <w:rPr>
          <w:rFonts w:ascii="Arial" w:eastAsia="Calibri" w:hAnsi="Arial" w:cs="Arial"/>
          <w:szCs w:val="24"/>
          <w:vertAlign w:val="superscript"/>
        </w:rPr>
        <w:footnoteReference w:id="247"/>
      </w:r>
      <w:r w:rsidRPr="006E33D0">
        <w:rPr>
          <w:rFonts w:ascii="Arial" w:eastAsia="Calibri" w:hAnsi="Arial" w:cs="Arial"/>
          <w:szCs w:val="24"/>
        </w:rPr>
        <w:t xml:space="preserve"> This welcome reduction may be attributed to the UK Government’s comprehensive package of </w:t>
      </w:r>
      <w:r w:rsidR="0062633C">
        <w:rPr>
          <w:rFonts w:ascii="Arial" w:eastAsia="Calibri" w:hAnsi="Arial" w:cs="Arial"/>
          <w:szCs w:val="24"/>
        </w:rPr>
        <w:t xml:space="preserve">temporary </w:t>
      </w:r>
      <w:r w:rsidRPr="006E33D0">
        <w:rPr>
          <w:rFonts w:ascii="Arial" w:eastAsia="Calibri" w:hAnsi="Arial" w:cs="Arial"/>
          <w:szCs w:val="24"/>
        </w:rPr>
        <w:t>social security measures introduced in response to the pandemic.</w:t>
      </w:r>
      <w:r w:rsidRPr="006E33D0">
        <w:rPr>
          <w:rFonts w:ascii="Arial" w:eastAsia="Calibri" w:hAnsi="Arial" w:cs="Arial"/>
          <w:szCs w:val="24"/>
          <w:vertAlign w:val="superscript"/>
        </w:rPr>
        <w:footnoteReference w:id="248"/>
      </w:r>
      <w:r w:rsidRPr="006E33D0">
        <w:rPr>
          <w:rFonts w:ascii="Arial" w:eastAsia="Calibri" w:hAnsi="Arial" w:cs="Arial"/>
          <w:szCs w:val="24"/>
        </w:rPr>
        <w:t xml:space="preserve"> </w:t>
      </w:r>
      <w:r w:rsidR="00622046">
        <w:rPr>
          <w:rFonts w:ascii="Arial" w:eastAsia="Calibri" w:hAnsi="Arial" w:cs="Arial"/>
          <w:szCs w:val="24"/>
        </w:rPr>
        <w:t>However, w</w:t>
      </w:r>
      <w:r w:rsidRPr="006E33D0">
        <w:rPr>
          <w:rFonts w:ascii="Arial" w:eastAsia="Calibri" w:hAnsi="Arial" w:cs="Arial"/>
          <w:szCs w:val="24"/>
        </w:rPr>
        <w:t>e are concerned that removal</w:t>
      </w:r>
      <w:r w:rsidR="0062633C">
        <w:rPr>
          <w:rFonts w:ascii="Arial" w:eastAsia="Calibri" w:hAnsi="Arial" w:cs="Arial"/>
          <w:szCs w:val="24"/>
        </w:rPr>
        <w:t xml:space="preserve"> of these measures</w:t>
      </w:r>
      <w:r w:rsidRPr="006E33D0">
        <w:rPr>
          <w:rFonts w:ascii="Arial" w:eastAsia="Calibri" w:hAnsi="Arial" w:cs="Arial"/>
          <w:szCs w:val="24"/>
        </w:rPr>
        <w:t>, alongside the falling value of benefits</w:t>
      </w:r>
      <w:r>
        <w:rPr>
          <w:rFonts w:ascii="Arial" w:eastAsia="Calibri" w:hAnsi="Arial" w:cs="Arial"/>
          <w:szCs w:val="24"/>
        </w:rPr>
        <w:t xml:space="preserve"> and</w:t>
      </w:r>
      <w:r w:rsidRPr="006E33D0">
        <w:rPr>
          <w:rFonts w:ascii="Arial" w:eastAsia="Calibri" w:hAnsi="Arial" w:cs="Arial"/>
          <w:szCs w:val="24"/>
        </w:rPr>
        <w:t xml:space="preserve"> the cost-of-living crisis</w:t>
      </w:r>
      <w:r w:rsidR="0062633C">
        <w:rPr>
          <w:rFonts w:ascii="Arial" w:eastAsia="Calibri" w:hAnsi="Arial" w:cs="Arial"/>
          <w:szCs w:val="24"/>
        </w:rPr>
        <w:t>,</w:t>
      </w:r>
      <w:r w:rsidRPr="006E33D0">
        <w:rPr>
          <w:rFonts w:ascii="Arial" w:eastAsia="Calibri" w:hAnsi="Arial" w:cs="Arial"/>
          <w:szCs w:val="24"/>
        </w:rPr>
        <w:t xml:space="preserve"> </w:t>
      </w:r>
      <w:r>
        <w:rPr>
          <w:rFonts w:ascii="Arial" w:eastAsia="Calibri" w:hAnsi="Arial" w:cs="Arial"/>
          <w:szCs w:val="24"/>
        </w:rPr>
        <w:t>may</w:t>
      </w:r>
      <w:r w:rsidRPr="006E33D0">
        <w:rPr>
          <w:rFonts w:ascii="Arial" w:eastAsia="Calibri" w:hAnsi="Arial" w:cs="Arial"/>
          <w:szCs w:val="24"/>
        </w:rPr>
        <w:t xml:space="preserve"> reverse this positive trend.</w:t>
      </w:r>
      <w:r w:rsidRPr="006E33D0">
        <w:rPr>
          <w:rFonts w:ascii="Arial" w:eastAsia="Calibri" w:hAnsi="Arial" w:cs="Arial"/>
          <w:szCs w:val="24"/>
          <w:vertAlign w:val="superscript"/>
        </w:rPr>
        <w:footnoteReference w:id="249"/>
      </w:r>
      <w:r w:rsidRPr="006E33D0">
        <w:rPr>
          <w:rFonts w:ascii="Arial" w:eastAsia="Calibri" w:hAnsi="Arial" w:cs="Arial"/>
          <w:szCs w:val="24"/>
        </w:rPr>
        <w:t xml:space="preserve"> </w:t>
      </w:r>
    </w:p>
    <w:p w14:paraId="75920617" w14:textId="7BDF4D4D" w:rsidR="00D87A25" w:rsidRPr="006E33D0" w:rsidRDefault="00D87A25" w:rsidP="00D87A25">
      <w:pPr>
        <w:spacing w:before="120" w:line="240" w:lineRule="auto"/>
        <w:rPr>
          <w:rFonts w:ascii="Arial" w:eastAsia="Arial" w:hAnsi="Arial" w:cs="Arial"/>
          <w:bCs/>
          <w:szCs w:val="24"/>
        </w:rPr>
      </w:pPr>
      <w:r w:rsidRPr="006E33D0">
        <w:rPr>
          <w:rFonts w:ascii="Arial" w:eastAsia="Calibri" w:hAnsi="Arial" w:cs="Arial"/>
          <w:szCs w:val="24"/>
        </w:rPr>
        <w:t xml:space="preserve">Ethnic minority children and those living in households where someone is disabled are disproportionately </w:t>
      </w:r>
      <w:r w:rsidR="0062633C">
        <w:rPr>
          <w:rFonts w:ascii="Arial" w:eastAsia="Calibri" w:hAnsi="Arial" w:cs="Arial"/>
          <w:szCs w:val="24"/>
        </w:rPr>
        <w:t>affected</w:t>
      </w:r>
      <w:r w:rsidR="0062633C" w:rsidRPr="006E33D0">
        <w:rPr>
          <w:rFonts w:ascii="Arial" w:eastAsia="Calibri" w:hAnsi="Arial" w:cs="Arial"/>
          <w:szCs w:val="24"/>
        </w:rPr>
        <w:t xml:space="preserve"> </w:t>
      </w:r>
      <w:r w:rsidRPr="006E33D0">
        <w:rPr>
          <w:rFonts w:ascii="Arial" w:eastAsia="Calibri" w:hAnsi="Arial" w:cs="Arial"/>
          <w:szCs w:val="24"/>
        </w:rPr>
        <w:t>by poverty.</w:t>
      </w:r>
      <w:r w:rsidRPr="006E33D0">
        <w:rPr>
          <w:rFonts w:ascii="Arial" w:eastAsia="Calibri" w:hAnsi="Arial" w:cs="Arial"/>
          <w:szCs w:val="24"/>
          <w:vertAlign w:val="superscript"/>
        </w:rPr>
        <w:footnoteReference w:id="250"/>
      </w:r>
      <w:r w:rsidRPr="006E33D0">
        <w:rPr>
          <w:rFonts w:ascii="Arial" w:eastAsia="Calibri" w:hAnsi="Arial" w:cs="Arial"/>
          <w:szCs w:val="24"/>
        </w:rPr>
        <w:t xml:space="preserve"> These disparities may be the result of a range of factors, including the higher likelihood of ethnic minority parents being in lower paid employment and the lower employment rate among families </w:t>
      </w:r>
      <w:r w:rsidR="0062633C">
        <w:rPr>
          <w:rFonts w:ascii="Arial" w:eastAsia="Calibri" w:hAnsi="Arial" w:cs="Arial"/>
          <w:szCs w:val="24"/>
        </w:rPr>
        <w:t>with a disabled member</w:t>
      </w:r>
      <w:r w:rsidRPr="006E33D0">
        <w:rPr>
          <w:rFonts w:ascii="Arial" w:eastAsia="Calibri" w:hAnsi="Arial" w:cs="Arial"/>
          <w:szCs w:val="24"/>
        </w:rPr>
        <w:t>.</w:t>
      </w:r>
      <w:r w:rsidRPr="006E33D0">
        <w:rPr>
          <w:rFonts w:ascii="Arial" w:eastAsia="Calibri" w:hAnsi="Arial" w:cs="Arial"/>
          <w:szCs w:val="24"/>
          <w:vertAlign w:val="superscript"/>
        </w:rPr>
        <w:footnoteReference w:id="251"/>
      </w:r>
      <w:r w:rsidRPr="006E33D0">
        <w:rPr>
          <w:rFonts w:ascii="Arial" w:eastAsia="Calibri" w:hAnsi="Arial" w:cs="Arial"/>
          <w:szCs w:val="24"/>
        </w:rPr>
        <w:t xml:space="preserve"> Significant regional disparities also exist, with children in the North East of England and Inner London far more likely to be living in poverty than in other areas.</w:t>
      </w:r>
      <w:r w:rsidRPr="006E33D0">
        <w:rPr>
          <w:rFonts w:ascii="Arial" w:eastAsia="Calibri" w:hAnsi="Arial" w:cs="Arial"/>
          <w:szCs w:val="24"/>
          <w:vertAlign w:val="superscript"/>
        </w:rPr>
        <w:footnoteReference w:id="252"/>
      </w:r>
    </w:p>
    <w:p w14:paraId="3CA2985B" w14:textId="4A9B205B" w:rsidR="00D87A25" w:rsidRPr="00B91A3D" w:rsidRDefault="00D87A25" w:rsidP="00D87A25">
      <w:pPr>
        <w:pStyle w:val="Heading3"/>
      </w:pPr>
      <w:r>
        <w:t>Social security</w:t>
      </w:r>
    </w:p>
    <w:p w14:paraId="21B36426" w14:textId="0C3A3927"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 xml:space="preserve">The UK Government’s Welfare Reform and Work Act 2016 reduced the </w:t>
      </w:r>
      <w:r w:rsidR="00D33944">
        <w:rPr>
          <w:rFonts w:ascii="Arial" w:eastAsia="Calibri" w:hAnsi="Arial" w:cs="Arial"/>
          <w:szCs w:val="24"/>
        </w:rPr>
        <w:t xml:space="preserve">support available for children </w:t>
      </w:r>
      <w:r>
        <w:rPr>
          <w:rFonts w:ascii="Arial" w:eastAsia="Calibri" w:hAnsi="Arial" w:cs="Arial"/>
          <w:szCs w:val="24"/>
        </w:rPr>
        <w:t>by</w:t>
      </w:r>
      <w:r w:rsidR="0062633C">
        <w:rPr>
          <w:rFonts w:ascii="Arial" w:eastAsia="Calibri" w:hAnsi="Arial" w:cs="Arial"/>
          <w:szCs w:val="24"/>
        </w:rPr>
        <w:t>, for example,</w:t>
      </w:r>
      <w:r>
        <w:rPr>
          <w:rFonts w:ascii="Arial" w:eastAsia="Calibri" w:hAnsi="Arial" w:cs="Arial"/>
          <w:szCs w:val="24"/>
        </w:rPr>
        <w:t xml:space="preserve"> </w:t>
      </w:r>
      <w:r w:rsidRPr="006E33D0">
        <w:rPr>
          <w:rFonts w:ascii="Arial" w:eastAsia="Calibri" w:hAnsi="Arial" w:cs="Arial"/>
          <w:szCs w:val="24"/>
        </w:rPr>
        <w:t xml:space="preserve">introducing </w:t>
      </w:r>
      <w:r w:rsidR="0062633C">
        <w:rPr>
          <w:rFonts w:ascii="Arial" w:eastAsia="Calibri" w:hAnsi="Arial" w:cs="Arial"/>
          <w:szCs w:val="24"/>
        </w:rPr>
        <w:t>a</w:t>
      </w:r>
      <w:r w:rsidR="0062633C" w:rsidRPr="006E33D0">
        <w:rPr>
          <w:rFonts w:ascii="Arial" w:eastAsia="Calibri" w:hAnsi="Arial" w:cs="Arial"/>
          <w:szCs w:val="24"/>
        </w:rPr>
        <w:t xml:space="preserve"> </w:t>
      </w:r>
      <w:r w:rsidRPr="006E33D0">
        <w:rPr>
          <w:rFonts w:ascii="Arial" w:eastAsia="Calibri" w:hAnsi="Arial" w:cs="Arial"/>
          <w:szCs w:val="24"/>
        </w:rPr>
        <w:t xml:space="preserve">two-child limit for certain benefits, </w:t>
      </w:r>
      <w:r w:rsidR="0062633C">
        <w:rPr>
          <w:rFonts w:ascii="Arial" w:eastAsia="Calibri" w:hAnsi="Arial" w:cs="Arial"/>
          <w:szCs w:val="24"/>
        </w:rPr>
        <w:t>freezing</w:t>
      </w:r>
      <w:r w:rsidRPr="006E33D0">
        <w:rPr>
          <w:rFonts w:ascii="Arial" w:eastAsia="Calibri" w:hAnsi="Arial" w:cs="Arial"/>
          <w:szCs w:val="24"/>
        </w:rPr>
        <w:t xml:space="preserve"> certain welfare benefits</w:t>
      </w:r>
      <w:r w:rsidR="0062633C">
        <w:rPr>
          <w:rFonts w:ascii="Arial" w:eastAsia="Calibri" w:hAnsi="Arial" w:cs="Arial"/>
          <w:szCs w:val="24"/>
        </w:rPr>
        <w:t xml:space="preserve"> for four years</w:t>
      </w:r>
      <w:r w:rsidRPr="006E33D0">
        <w:rPr>
          <w:rFonts w:ascii="Arial" w:eastAsia="Calibri" w:hAnsi="Arial" w:cs="Arial"/>
          <w:szCs w:val="24"/>
        </w:rPr>
        <w:t>, and reducing the benefit cap. Children are among the hardest hit by these changes to the benefits system,</w:t>
      </w:r>
      <w:r w:rsidRPr="006E33D0">
        <w:rPr>
          <w:rFonts w:ascii="Arial" w:eastAsia="Calibri" w:hAnsi="Arial" w:cs="Arial"/>
          <w:szCs w:val="24"/>
          <w:vertAlign w:val="superscript"/>
        </w:rPr>
        <w:footnoteReference w:id="253"/>
      </w:r>
      <w:r w:rsidRPr="006E33D0">
        <w:rPr>
          <w:rFonts w:ascii="Arial" w:eastAsia="Calibri" w:hAnsi="Arial" w:cs="Arial"/>
          <w:szCs w:val="24"/>
        </w:rPr>
        <w:t xml:space="preserve"> with 87% of households subject to the benefit cap consisting of families with children.</w:t>
      </w:r>
      <w:r w:rsidRPr="006E33D0">
        <w:rPr>
          <w:rFonts w:ascii="Arial" w:eastAsia="Calibri" w:hAnsi="Arial" w:cs="Arial"/>
          <w:szCs w:val="24"/>
          <w:vertAlign w:val="superscript"/>
        </w:rPr>
        <w:footnoteReference w:id="254"/>
      </w:r>
    </w:p>
    <w:p w14:paraId="6B453257" w14:textId="63DB620E" w:rsidR="008A4735" w:rsidRDefault="00D87A25" w:rsidP="00D87A25">
      <w:pPr>
        <w:spacing w:before="120" w:line="240" w:lineRule="auto"/>
        <w:rPr>
          <w:rFonts w:ascii="Arial" w:eastAsia="Calibri" w:hAnsi="Arial" w:cs="Arial"/>
          <w:szCs w:val="24"/>
        </w:rPr>
      </w:pPr>
      <w:r w:rsidRPr="006E33D0">
        <w:rPr>
          <w:rFonts w:ascii="Arial" w:eastAsia="Calibri" w:hAnsi="Arial" w:cs="Arial"/>
          <w:szCs w:val="24"/>
        </w:rPr>
        <w:t>Of the recent changes to the welfare system, the two-child limit on Universal Credit (UC) and Child Tax Credit has been reported as th</w:t>
      </w:r>
      <w:r w:rsidR="00D33944">
        <w:rPr>
          <w:rFonts w:ascii="Arial" w:eastAsia="Calibri" w:hAnsi="Arial" w:cs="Arial"/>
          <w:szCs w:val="24"/>
        </w:rPr>
        <w:t>e single most significant cause</w:t>
      </w:r>
      <w:r w:rsidRPr="006E33D0">
        <w:rPr>
          <w:rFonts w:ascii="Arial" w:eastAsia="Calibri" w:hAnsi="Arial" w:cs="Arial"/>
          <w:szCs w:val="24"/>
        </w:rPr>
        <w:t xml:space="preserve"> of child poverty.</w:t>
      </w:r>
      <w:r w:rsidRPr="006E33D0">
        <w:rPr>
          <w:rFonts w:ascii="Arial" w:eastAsia="Calibri" w:hAnsi="Arial" w:cs="Arial"/>
          <w:szCs w:val="24"/>
          <w:vertAlign w:val="superscript"/>
        </w:rPr>
        <w:footnoteReference w:id="255"/>
      </w:r>
      <w:r w:rsidRPr="006E33D0">
        <w:rPr>
          <w:rFonts w:ascii="Arial" w:eastAsia="Calibri" w:hAnsi="Arial" w:cs="Arial"/>
          <w:szCs w:val="24"/>
        </w:rPr>
        <w:t xml:space="preserve"> It has affected more than 1.3 million children across the UK,</w:t>
      </w:r>
      <w:r w:rsidRPr="006E33D0">
        <w:rPr>
          <w:rFonts w:ascii="Arial" w:eastAsia="Calibri" w:hAnsi="Arial" w:cs="Arial"/>
          <w:szCs w:val="24"/>
          <w:vertAlign w:val="superscript"/>
        </w:rPr>
        <w:footnoteReference w:id="256"/>
      </w:r>
      <w:r w:rsidRPr="006E33D0">
        <w:rPr>
          <w:rFonts w:ascii="Arial" w:eastAsia="Calibri" w:hAnsi="Arial" w:cs="Arial"/>
          <w:szCs w:val="24"/>
        </w:rPr>
        <w:t xml:space="preserve"> with this number expected to grow as more children are born. </w:t>
      </w:r>
    </w:p>
    <w:p w14:paraId="7A15B9A7" w14:textId="3D998F43"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Data shows that in the three years following the introduction of the two-child limit, the proportion of children in families of three or more children who live in poverty increased from 41% to 47%.</w:t>
      </w:r>
      <w:r w:rsidR="00766D03">
        <w:rPr>
          <w:rStyle w:val="FootnoteReference"/>
          <w:rFonts w:ascii="Arial" w:eastAsia="Calibri" w:hAnsi="Arial" w:cs="Arial"/>
          <w:szCs w:val="24"/>
        </w:rPr>
        <w:footnoteReference w:id="257"/>
      </w:r>
      <w:r w:rsidRPr="006E33D0">
        <w:rPr>
          <w:rFonts w:ascii="Arial" w:eastAsia="Calibri" w:hAnsi="Arial" w:cs="Arial"/>
          <w:szCs w:val="24"/>
        </w:rPr>
        <w:t xml:space="preserve"> This is compared </w:t>
      </w:r>
      <w:r w:rsidR="0062633C">
        <w:rPr>
          <w:rFonts w:ascii="Arial" w:eastAsia="Calibri" w:hAnsi="Arial" w:cs="Arial"/>
          <w:szCs w:val="24"/>
        </w:rPr>
        <w:t>with</w:t>
      </w:r>
      <w:r w:rsidR="0062633C" w:rsidRPr="006E33D0">
        <w:rPr>
          <w:rFonts w:ascii="Arial" w:eastAsia="Calibri" w:hAnsi="Arial" w:cs="Arial"/>
          <w:szCs w:val="24"/>
        </w:rPr>
        <w:t xml:space="preserve"> </w:t>
      </w:r>
      <w:r w:rsidRPr="006E33D0">
        <w:rPr>
          <w:rFonts w:ascii="Arial" w:eastAsia="Calibri" w:hAnsi="Arial" w:cs="Arial"/>
          <w:szCs w:val="24"/>
        </w:rPr>
        <w:t>a poverty rate of 24% for children in one- or two-child families.</w:t>
      </w:r>
      <w:r w:rsidRPr="006E33D0">
        <w:rPr>
          <w:rFonts w:ascii="Arial" w:eastAsia="Calibri" w:hAnsi="Arial" w:cs="Arial"/>
          <w:szCs w:val="24"/>
          <w:vertAlign w:val="superscript"/>
        </w:rPr>
        <w:footnoteReference w:id="258"/>
      </w:r>
      <w:r w:rsidRPr="006E33D0">
        <w:rPr>
          <w:rFonts w:ascii="Arial" w:eastAsia="Calibri" w:hAnsi="Arial" w:cs="Arial"/>
          <w:szCs w:val="24"/>
        </w:rPr>
        <w:t xml:space="preserve"> It is estimated that by 2023/24 more than half of UK children in families with more than two children will live in poverty.</w:t>
      </w:r>
      <w:r w:rsidRPr="006E33D0">
        <w:rPr>
          <w:rFonts w:ascii="Arial" w:eastAsia="Calibri" w:hAnsi="Arial" w:cs="Arial"/>
          <w:szCs w:val="24"/>
          <w:vertAlign w:val="superscript"/>
        </w:rPr>
        <w:footnoteReference w:id="259"/>
      </w:r>
    </w:p>
    <w:p w14:paraId="0DEF8E25" w14:textId="77777777" w:rsidR="008A4735" w:rsidRDefault="00D87A25" w:rsidP="00D87A25">
      <w:pPr>
        <w:spacing w:before="120" w:line="240" w:lineRule="auto"/>
        <w:rPr>
          <w:rFonts w:ascii="Arial" w:eastAsia="Calibri" w:hAnsi="Arial" w:cs="Arial"/>
          <w:szCs w:val="24"/>
        </w:rPr>
      </w:pPr>
      <w:r w:rsidRPr="006E33D0">
        <w:rPr>
          <w:rFonts w:ascii="Arial" w:eastAsia="Calibri" w:hAnsi="Arial" w:cs="Arial"/>
          <w:szCs w:val="24"/>
        </w:rPr>
        <w:t>Following the r</w:t>
      </w:r>
      <w:r w:rsidR="008A4735">
        <w:rPr>
          <w:rFonts w:ascii="Arial" w:eastAsia="Calibri" w:hAnsi="Arial" w:cs="Arial"/>
          <w:szCs w:val="24"/>
        </w:rPr>
        <w:t>oll-out of UC, parents under 25-</w:t>
      </w:r>
      <w:r w:rsidRPr="006E33D0">
        <w:rPr>
          <w:rFonts w:ascii="Arial" w:eastAsia="Calibri" w:hAnsi="Arial" w:cs="Arial"/>
          <w:szCs w:val="24"/>
        </w:rPr>
        <w:t>years old receive less than older parents and, despite the rising cost of living and the impact of the pandemic, the value of UC has been decreasing since its introduction.</w:t>
      </w:r>
      <w:r w:rsidRPr="006E33D0">
        <w:rPr>
          <w:rFonts w:ascii="Arial" w:eastAsia="Calibri" w:hAnsi="Arial" w:cs="Arial"/>
          <w:szCs w:val="24"/>
          <w:vertAlign w:val="superscript"/>
        </w:rPr>
        <w:footnoteReference w:id="260"/>
      </w:r>
      <w:r w:rsidRPr="006E33D0">
        <w:rPr>
          <w:rFonts w:ascii="Arial" w:eastAsia="Calibri" w:hAnsi="Arial" w:cs="Arial"/>
          <w:szCs w:val="24"/>
        </w:rPr>
        <w:t xml:space="preserve"> </w:t>
      </w:r>
    </w:p>
    <w:p w14:paraId="2E80302F" w14:textId="6053E7C6"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The five-week wait for initial UC payments can increase hardship and debt.</w:t>
      </w:r>
      <w:r w:rsidRPr="006E33D0">
        <w:rPr>
          <w:rFonts w:ascii="Arial" w:eastAsia="Calibri" w:hAnsi="Arial" w:cs="Arial"/>
          <w:szCs w:val="24"/>
          <w:vertAlign w:val="superscript"/>
        </w:rPr>
        <w:footnoteReference w:id="261"/>
      </w:r>
      <w:r w:rsidRPr="006E33D0">
        <w:rPr>
          <w:rFonts w:ascii="Arial" w:eastAsia="Calibri" w:hAnsi="Arial" w:cs="Arial"/>
          <w:szCs w:val="24"/>
        </w:rPr>
        <w:t xml:space="preserve"> Demand for food banks rose by 52% in areas where UC has been rolled out for at least a year, compared with 13% elsewhere.</w:t>
      </w:r>
      <w:r w:rsidRPr="006E33D0">
        <w:rPr>
          <w:rFonts w:ascii="Arial" w:eastAsia="Calibri" w:hAnsi="Arial" w:cs="Arial"/>
          <w:szCs w:val="24"/>
          <w:vertAlign w:val="superscript"/>
        </w:rPr>
        <w:footnoteReference w:id="262"/>
      </w:r>
      <w:r w:rsidRPr="006E33D0">
        <w:rPr>
          <w:rFonts w:ascii="Arial" w:eastAsia="Calibri" w:hAnsi="Arial" w:cs="Arial"/>
          <w:szCs w:val="24"/>
        </w:rPr>
        <w:t xml:space="preserve"> This is caused, in part, by waiting times for UC payments, a lack of statutory support during this waiting period, and the inadequacy of the UC award in covering the rising cost of living.</w:t>
      </w:r>
      <w:r w:rsidRPr="006E33D0">
        <w:rPr>
          <w:rFonts w:ascii="Arial" w:eastAsia="Calibri" w:hAnsi="Arial" w:cs="Arial"/>
          <w:szCs w:val="24"/>
          <w:vertAlign w:val="superscript"/>
        </w:rPr>
        <w:footnoteReference w:id="263"/>
      </w:r>
    </w:p>
    <w:p w14:paraId="06C53FF0" w14:textId="70935F02"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Pressure on the welfare system, and</w:t>
      </w:r>
      <w:r w:rsidR="0062633C">
        <w:rPr>
          <w:rFonts w:ascii="Arial" w:eastAsia="Calibri" w:hAnsi="Arial" w:cs="Arial"/>
          <w:szCs w:val="24"/>
        </w:rPr>
        <w:t xml:space="preserve"> on</w:t>
      </w:r>
      <w:r w:rsidRPr="006E33D0">
        <w:rPr>
          <w:rFonts w:ascii="Arial" w:eastAsia="Calibri" w:hAnsi="Arial" w:cs="Arial"/>
          <w:szCs w:val="24"/>
        </w:rPr>
        <w:t xml:space="preserve"> those who rely on it, intensified during the pandemic, and groups who </w:t>
      </w:r>
      <w:r w:rsidR="0062633C">
        <w:rPr>
          <w:rFonts w:ascii="Arial" w:eastAsia="Calibri" w:hAnsi="Arial" w:cs="Arial"/>
          <w:szCs w:val="24"/>
        </w:rPr>
        <w:t xml:space="preserve">were already </w:t>
      </w:r>
      <w:r w:rsidRPr="006E33D0">
        <w:rPr>
          <w:rFonts w:ascii="Arial" w:eastAsia="Calibri" w:hAnsi="Arial" w:cs="Arial"/>
          <w:szCs w:val="24"/>
        </w:rPr>
        <w:t>experienc</w:t>
      </w:r>
      <w:r w:rsidR="0062633C">
        <w:rPr>
          <w:rFonts w:ascii="Arial" w:eastAsia="Calibri" w:hAnsi="Arial" w:cs="Arial"/>
          <w:szCs w:val="24"/>
        </w:rPr>
        <w:t>ing</w:t>
      </w:r>
      <w:r w:rsidRPr="006E33D0">
        <w:rPr>
          <w:rFonts w:ascii="Arial" w:eastAsia="Calibri" w:hAnsi="Arial" w:cs="Arial"/>
          <w:szCs w:val="24"/>
        </w:rPr>
        <w:t xml:space="preserve"> poverty were more likely than others to see their income reduced.</w:t>
      </w:r>
      <w:r w:rsidRPr="006E33D0">
        <w:rPr>
          <w:rFonts w:ascii="Arial" w:eastAsia="Calibri" w:hAnsi="Arial" w:cs="Arial"/>
          <w:szCs w:val="24"/>
          <w:vertAlign w:val="superscript"/>
        </w:rPr>
        <w:footnoteReference w:id="264"/>
      </w:r>
      <w:r w:rsidRPr="006E33D0">
        <w:rPr>
          <w:rFonts w:ascii="Arial" w:eastAsia="Calibri" w:hAnsi="Arial" w:cs="Arial"/>
          <w:szCs w:val="24"/>
        </w:rPr>
        <w:t xml:space="preserve"> </w:t>
      </w:r>
    </w:p>
    <w:p w14:paraId="64BB8396" w14:textId="77777777" w:rsidR="0004477D" w:rsidRDefault="0062633C" w:rsidP="00D87A25">
      <w:pPr>
        <w:spacing w:before="120" w:line="240" w:lineRule="auto"/>
        <w:rPr>
          <w:rFonts w:ascii="Arial" w:eastAsia="Calibri" w:hAnsi="Arial" w:cs="Arial"/>
          <w:szCs w:val="24"/>
        </w:rPr>
      </w:pPr>
      <w:r>
        <w:rPr>
          <w:rFonts w:ascii="Arial" w:eastAsia="Calibri" w:hAnsi="Arial" w:cs="Arial"/>
          <w:szCs w:val="24"/>
        </w:rPr>
        <w:t>The UK Government introduced s</w:t>
      </w:r>
      <w:r w:rsidR="00D87A25" w:rsidRPr="006E33D0">
        <w:rPr>
          <w:rFonts w:ascii="Arial" w:eastAsia="Calibri" w:hAnsi="Arial" w:cs="Arial"/>
          <w:szCs w:val="24"/>
        </w:rPr>
        <w:t xml:space="preserve">ocial security measures </w:t>
      </w:r>
      <w:r w:rsidR="00715703">
        <w:rPr>
          <w:rFonts w:ascii="Arial" w:eastAsia="Calibri" w:hAnsi="Arial" w:cs="Arial"/>
          <w:szCs w:val="24"/>
        </w:rPr>
        <w:t>on a time-limited basis</w:t>
      </w:r>
      <w:r w:rsidR="00D87A25" w:rsidRPr="006E33D0">
        <w:rPr>
          <w:rFonts w:ascii="Arial" w:eastAsia="Calibri" w:hAnsi="Arial" w:cs="Arial"/>
          <w:szCs w:val="24"/>
        </w:rPr>
        <w:t xml:space="preserve"> in response to the pandemic</w:t>
      </w:r>
      <w:r>
        <w:rPr>
          <w:rFonts w:ascii="Arial" w:eastAsia="Calibri" w:hAnsi="Arial" w:cs="Arial"/>
          <w:szCs w:val="24"/>
        </w:rPr>
        <w:t>, including</w:t>
      </w:r>
      <w:r w:rsidR="00D87A25" w:rsidRPr="006E33D0">
        <w:rPr>
          <w:rFonts w:ascii="Arial" w:eastAsia="Calibri" w:hAnsi="Arial" w:cs="Arial"/>
          <w:szCs w:val="24"/>
        </w:rPr>
        <w:t xml:space="preserve"> the furlough scheme for workers and the free school meals (FSM) voucher scheme.</w:t>
      </w:r>
      <w:r w:rsidR="00D87A25" w:rsidRPr="006E33D0">
        <w:rPr>
          <w:rFonts w:ascii="Arial" w:eastAsia="Calibri" w:hAnsi="Arial" w:cs="Arial"/>
          <w:szCs w:val="24"/>
          <w:vertAlign w:val="superscript"/>
        </w:rPr>
        <w:footnoteReference w:id="265"/>
      </w:r>
      <w:r w:rsidR="00D87A25" w:rsidRPr="006E33D0">
        <w:rPr>
          <w:rFonts w:ascii="Arial" w:eastAsia="Calibri" w:hAnsi="Arial" w:cs="Arial"/>
          <w:szCs w:val="24"/>
        </w:rPr>
        <w:t xml:space="preserve"> The Welsh Government similarly took steps to provide FSM during lockdown.</w:t>
      </w:r>
      <w:r w:rsidR="00D87A25" w:rsidRPr="006E33D0">
        <w:rPr>
          <w:rFonts w:ascii="Arial" w:eastAsia="Calibri" w:hAnsi="Arial" w:cs="Arial"/>
          <w:szCs w:val="24"/>
          <w:vertAlign w:val="superscript"/>
        </w:rPr>
        <w:footnoteReference w:id="266"/>
      </w:r>
      <w:r w:rsidR="00D87A25" w:rsidRPr="006E33D0">
        <w:rPr>
          <w:rFonts w:ascii="Arial" w:eastAsia="Calibri" w:hAnsi="Arial" w:cs="Arial"/>
          <w:szCs w:val="24"/>
        </w:rPr>
        <w:t xml:space="preserve"> </w:t>
      </w:r>
    </w:p>
    <w:p w14:paraId="5202200B" w14:textId="77777777" w:rsidR="0004477D" w:rsidRDefault="00D87A25" w:rsidP="00D87A25">
      <w:pPr>
        <w:spacing w:before="120" w:line="240" w:lineRule="auto"/>
        <w:rPr>
          <w:rFonts w:ascii="Arial" w:eastAsia="Calibri" w:hAnsi="Arial" w:cs="Arial"/>
          <w:szCs w:val="24"/>
        </w:rPr>
      </w:pPr>
      <w:r w:rsidRPr="006E33D0">
        <w:rPr>
          <w:rFonts w:ascii="Arial" w:eastAsia="Calibri" w:hAnsi="Arial" w:cs="Arial"/>
          <w:szCs w:val="24"/>
        </w:rPr>
        <w:t>The UC standard allowance increased by £20 per week in 2020 when restrictions affected the ability of working age claimants to find work,</w:t>
      </w:r>
      <w:r w:rsidRPr="006E33D0">
        <w:rPr>
          <w:rFonts w:ascii="Arial" w:eastAsia="Calibri" w:hAnsi="Arial" w:cs="Arial"/>
          <w:szCs w:val="24"/>
          <w:vertAlign w:val="superscript"/>
        </w:rPr>
        <w:footnoteReference w:id="267"/>
      </w:r>
      <w:r w:rsidRPr="006E33D0">
        <w:rPr>
          <w:rFonts w:ascii="Arial" w:eastAsia="Calibri" w:hAnsi="Arial" w:cs="Arial"/>
          <w:szCs w:val="24"/>
        </w:rPr>
        <w:t xml:space="preserve"> which effectively shielded many children from poverty.</w:t>
      </w:r>
      <w:r w:rsidRPr="006E33D0">
        <w:rPr>
          <w:rStyle w:val="FootnoteReference"/>
          <w:rFonts w:ascii="Arial" w:eastAsia="Calibri" w:hAnsi="Arial" w:cs="Arial"/>
          <w:szCs w:val="24"/>
        </w:rPr>
        <w:footnoteReference w:id="268"/>
      </w:r>
      <w:r w:rsidRPr="006E33D0">
        <w:rPr>
          <w:rFonts w:ascii="Arial" w:eastAsia="Calibri" w:hAnsi="Arial" w:cs="Arial"/>
          <w:szCs w:val="24"/>
        </w:rPr>
        <w:t xml:space="preserve"> </w:t>
      </w:r>
      <w:r w:rsidR="0062633C">
        <w:rPr>
          <w:rFonts w:ascii="Arial" w:eastAsia="Calibri" w:hAnsi="Arial" w:cs="Arial"/>
          <w:szCs w:val="24"/>
        </w:rPr>
        <w:t>However, t</w:t>
      </w:r>
      <w:r w:rsidRPr="006E33D0">
        <w:rPr>
          <w:rFonts w:ascii="Arial" w:eastAsia="Calibri" w:hAnsi="Arial" w:cs="Arial"/>
          <w:szCs w:val="24"/>
        </w:rPr>
        <w:t xml:space="preserve">he UK Government ended </w:t>
      </w:r>
      <w:r w:rsidRPr="002E4C83">
        <w:rPr>
          <w:rFonts w:ascii="Arial" w:eastAsia="Calibri" w:hAnsi="Arial" w:cs="Arial"/>
          <w:szCs w:val="24"/>
        </w:rPr>
        <w:t xml:space="preserve">this </w:t>
      </w:r>
      <w:r w:rsidR="0062633C">
        <w:rPr>
          <w:rFonts w:ascii="Arial" w:eastAsia="Calibri" w:hAnsi="Arial" w:cs="Arial"/>
          <w:szCs w:val="24"/>
        </w:rPr>
        <w:t>increase</w:t>
      </w:r>
      <w:r w:rsidR="0062633C" w:rsidRPr="002E4C83">
        <w:rPr>
          <w:rFonts w:ascii="Arial" w:eastAsia="Calibri" w:hAnsi="Arial" w:cs="Arial"/>
          <w:szCs w:val="24"/>
        </w:rPr>
        <w:t xml:space="preserve"> </w:t>
      </w:r>
      <w:r w:rsidRPr="002E4C83">
        <w:rPr>
          <w:rFonts w:ascii="Arial" w:eastAsia="Calibri" w:hAnsi="Arial" w:cs="Arial"/>
          <w:szCs w:val="24"/>
        </w:rPr>
        <w:t>when restrictions were eased in 2021</w:t>
      </w:r>
      <w:r>
        <w:rPr>
          <w:rFonts w:ascii="Arial" w:eastAsia="Calibri" w:hAnsi="Arial" w:cs="Arial"/>
          <w:szCs w:val="24"/>
        </w:rPr>
        <w:t>.</w:t>
      </w:r>
      <w:r w:rsidR="000254D5">
        <w:rPr>
          <w:rFonts w:ascii="Arial" w:eastAsia="Calibri" w:hAnsi="Arial" w:cs="Arial"/>
          <w:szCs w:val="24"/>
        </w:rPr>
        <w:t xml:space="preserve"> </w:t>
      </w:r>
    </w:p>
    <w:p w14:paraId="58328AE4" w14:textId="1AD87F13" w:rsidR="00D87A25" w:rsidRPr="006E33D0" w:rsidRDefault="00371A7D" w:rsidP="00D87A25">
      <w:pPr>
        <w:spacing w:before="120" w:line="240" w:lineRule="auto"/>
        <w:rPr>
          <w:rFonts w:ascii="Arial" w:eastAsia="Calibri" w:hAnsi="Arial" w:cs="Arial"/>
          <w:szCs w:val="24"/>
        </w:rPr>
      </w:pPr>
      <w:r>
        <w:rPr>
          <w:rFonts w:ascii="Arial" w:eastAsia="Calibri" w:hAnsi="Arial" w:cs="Arial"/>
          <w:szCs w:val="24"/>
        </w:rPr>
        <w:t>Civil society groups have estimated that t</w:t>
      </w:r>
      <w:r w:rsidR="00D87A25" w:rsidRPr="002E4C83">
        <w:rPr>
          <w:rFonts w:ascii="Arial" w:eastAsia="Calibri" w:hAnsi="Arial" w:cs="Arial"/>
          <w:szCs w:val="24"/>
        </w:rPr>
        <w:t>he</w:t>
      </w:r>
      <w:r w:rsidR="00D87A25" w:rsidRPr="006E33D0">
        <w:rPr>
          <w:rFonts w:ascii="Arial" w:eastAsia="Calibri" w:hAnsi="Arial" w:cs="Arial"/>
          <w:szCs w:val="24"/>
        </w:rPr>
        <w:t xml:space="preserve"> cut to UC </w:t>
      </w:r>
      <w:r>
        <w:rPr>
          <w:rFonts w:ascii="Arial" w:eastAsia="Calibri" w:hAnsi="Arial" w:cs="Arial"/>
          <w:szCs w:val="24"/>
        </w:rPr>
        <w:t>will</w:t>
      </w:r>
      <w:r w:rsidR="00D87A25" w:rsidRPr="006E33D0">
        <w:rPr>
          <w:rFonts w:ascii="Arial" w:eastAsia="Calibri" w:hAnsi="Arial" w:cs="Arial"/>
          <w:szCs w:val="24"/>
        </w:rPr>
        <w:t xml:space="preserve"> push 200,000 additional children into relative poverty</w:t>
      </w:r>
      <w:r>
        <w:rPr>
          <w:rFonts w:ascii="Arial" w:eastAsia="Calibri" w:hAnsi="Arial" w:cs="Arial"/>
          <w:szCs w:val="24"/>
        </w:rPr>
        <w:t>.</w:t>
      </w:r>
      <w:r w:rsidR="00D87A25" w:rsidRPr="006E33D0">
        <w:rPr>
          <w:rFonts w:ascii="Arial" w:eastAsia="Calibri" w:hAnsi="Arial" w:cs="Arial"/>
          <w:szCs w:val="24"/>
          <w:vertAlign w:val="superscript"/>
        </w:rPr>
        <w:footnoteReference w:id="269"/>
      </w:r>
      <w:r>
        <w:rPr>
          <w:rFonts w:ascii="Arial" w:eastAsia="Calibri" w:hAnsi="Arial" w:cs="Arial"/>
          <w:szCs w:val="24"/>
        </w:rPr>
        <w:t xml:space="preserve"> F</w:t>
      </w:r>
      <w:r w:rsidR="00D87A25" w:rsidRPr="006E33D0">
        <w:rPr>
          <w:rFonts w:ascii="Arial" w:eastAsia="Calibri" w:hAnsi="Arial" w:cs="Arial"/>
          <w:szCs w:val="24"/>
        </w:rPr>
        <w:t xml:space="preserve">urther changes </w:t>
      </w:r>
      <w:r>
        <w:rPr>
          <w:rFonts w:ascii="Arial" w:eastAsia="Calibri" w:hAnsi="Arial" w:cs="Arial"/>
          <w:szCs w:val="24"/>
        </w:rPr>
        <w:t xml:space="preserve">to UC, </w:t>
      </w:r>
      <w:r w:rsidR="00D87A25" w:rsidRPr="006E33D0">
        <w:rPr>
          <w:rFonts w:ascii="Arial" w:eastAsia="Calibri" w:hAnsi="Arial" w:cs="Arial"/>
          <w:szCs w:val="24"/>
        </w:rPr>
        <w:t>announced in 2021</w:t>
      </w:r>
      <w:r>
        <w:rPr>
          <w:rFonts w:ascii="Arial" w:eastAsia="Calibri" w:hAnsi="Arial" w:cs="Arial"/>
          <w:szCs w:val="24"/>
        </w:rPr>
        <w:t>,</w:t>
      </w:r>
      <w:r w:rsidR="00D87A25" w:rsidRPr="006E33D0">
        <w:rPr>
          <w:rFonts w:ascii="Arial" w:eastAsia="Calibri" w:hAnsi="Arial" w:cs="Arial"/>
          <w:szCs w:val="24"/>
        </w:rPr>
        <w:t xml:space="preserve"> mean</w:t>
      </w:r>
      <w:r w:rsidR="00D87A25" w:rsidRPr="006E33D0" w:rsidDel="002F10F7">
        <w:rPr>
          <w:rFonts w:ascii="Arial" w:eastAsia="Calibri" w:hAnsi="Arial" w:cs="Arial"/>
          <w:szCs w:val="24"/>
        </w:rPr>
        <w:t xml:space="preserve"> </w:t>
      </w:r>
      <w:r w:rsidR="00D87A25" w:rsidRPr="006E33D0">
        <w:rPr>
          <w:rFonts w:ascii="Arial" w:eastAsia="Calibri" w:hAnsi="Arial" w:cs="Arial"/>
          <w:szCs w:val="24"/>
        </w:rPr>
        <w:t>that</w:t>
      </w:r>
      <w:r>
        <w:rPr>
          <w:rFonts w:ascii="Arial" w:eastAsia="Calibri" w:hAnsi="Arial" w:cs="Arial"/>
          <w:szCs w:val="24"/>
        </w:rPr>
        <w:t>, while 27% of families receiving UC are expected to see their incomes rise in 2022/23, the remaining 73% of families, primarily those already worse-off,</w:t>
      </w:r>
      <w:r w:rsidR="00D87A25" w:rsidRPr="006E33D0">
        <w:rPr>
          <w:rFonts w:ascii="Arial" w:eastAsia="Calibri" w:hAnsi="Arial" w:cs="Arial"/>
          <w:szCs w:val="24"/>
        </w:rPr>
        <w:t xml:space="preserve"> are expected to s</w:t>
      </w:r>
      <w:r>
        <w:rPr>
          <w:rFonts w:ascii="Arial" w:eastAsia="Calibri" w:hAnsi="Arial" w:cs="Arial"/>
          <w:szCs w:val="24"/>
        </w:rPr>
        <w:t>ee their incomes fall</w:t>
      </w:r>
      <w:r w:rsidR="00D87A25" w:rsidRPr="006E33D0">
        <w:rPr>
          <w:rFonts w:ascii="Arial" w:eastAsia="Calibri" w:hAnsi="Arial" w:cs="Arial"/>
          <w:szCs w:val="24"/>
        </w:rPr>
        <w:t>.</w:t>
      </w:r>
      <w:r w:rsidR="00D87A25" w:rsidRPr="006E33D0">
        <w:rPr>
          <w:rFonts w:ascii="Arial" w:eastAsia="Calibri" w:hAnsi="Arial" w:cs="Arial"/>
          <w:szCs w:val="24"/>
          <w:vertAlign w:val="superscript"/>
        </w:rPr>
        <w:footnoteReference w:id="270"/>
      </w:r>
    </w:p>
    <w:p w14:paraId="49AF05A4" w14:textId="3138F525" w:rsidR="00D87A25" w:rsidRPr="00B91A3D" w:rsidRDefault="00D87A25" w:rsidP="00D87A25">
      <w:pPr>
        <w:pStyle w:val="Heading3"/>
      </w:pPr>
      <w:r>
        <w:t>Cost of living</w:t>
      </w:r>
    </w:p>
    <w:p w14:paraId="1058F6B1" w14:textId="66457BC1"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 xml:space="preserve">Increases in inflation, taxation and the cost of living throughout 2021/22 </w:t>
      </w:r>
      <w:r w:rsidR="0062633C">
        <w:rPr>
          <w:rFonts w:ascii="Arial" w:eastAsia="Calibri" w:hAnsi="Arial" w:cs="Arial"/>
          <w:szCs w:val="24"/>
        </w:rPr>
        <w:t xml:space="preserve">have </w:t>
      </w:r>
      <w:r w:rsidRPr="006E33D0">
        <w:rPr>
          <w:rFonts w:ascii="Arial" w:eastAsia="Calibri" w:hAnsi="Arial" w:cs="Arial"/>
          <w:szCs w:val="24"/>
        </w:rPr>
        <w:t xml:space="preserve">compounded worsening living standards, </w:t>
      </w:r>
      <w:r w:rsidR="0062633C">
        <w:rPr>
          <w:rFonts w:ascii="Arial" w:eastAsia="Calibri" w:hAnsi="Arial" w:cs="Arial"/>
          <w:szCs w:val="24"/>
        </w:rPr>
        <w:t>and</w:t>
      </w:r>
      <w:r w:rsidR="0062633C" w:rsidRPr="006E33D0">
        <w:rPr>
          <w:rFonts w:ascii="Arial" w:eastAsia="Calibri" w:hAnsi="Arial" w:cs="Arial"/>
          <w:szCs w:val="24"/>
        </w:rPr>
        <w:t xml:space="preserve"> </w:t>
      </w:r>
      <w:r w:rsidRPr="006E33D0">
        <w:rPr>
          <w:rFonts w:ascii="Arial" w:eastAsia="Calibri" w:hAnsi="Arial" w:cs="Arial"/>
          <w:szCs w:val="24"/>
        </w:rPr>
        <w:t xml:space="preserve">families with children </w:t>
      </w:r>
      <w:r w:rsidR="0062633C">
        <w:rPr>
          <w:rFonts w:ascii="Arial" w:eastAsia="Calibri" w:hAnsi="Arial" w:cs="Arial"/>
          <w:szCs w:val="24"/>
        </w:rPr>
        <w:t xml:space="preserve">are the </w:t>
      </w:r>
      <w:r w:rsidRPr="006E33D0">
        <w:rPr>
          <w:rFonts w:ascii="Arial" w:eastAsia="Calibri" w:hAnsi="Arial" w:cs="Arial"/>
          <w:szCs w:val="24"/>
        </w:rPr>
        <w:t xml:space="preserve">worst affected. </w:t>
      </w:r>
      <w:r>
        <w:rPr>
          <w:rFonts w:ascii="Arial" w:eastAsia="Calibri" w:hAnsi="Arial" w:cs="Arial"/>
          <w:szCs w:val="24"/>
        </w:rPr>
        <w:t>O</w:t>
      </w:r>
      <w:r w:rsidRPr="006E33D0">
        <w:rPr>
          <w:rFonts w:ascii="Arial" w:eastAsia="Calibri" w:hAnsi="Arial" w:cs="Arial"/>
          <w:szCs w:val="24"/>
        </w:rPr>
        <w:t>f those who reported increases in their cost</w:t>
      </w:r>
      <w:r w:rsidR="0004477D">
        <w:rPr>
          <w:rFonts w:ascii="Arial" w:eastAsia="Calibri" w:hAnsi="Arial" w:cs="Arial"/>
          <w:szCs w:val="24"/>
        </w:rPr>
        <w:t xml:space="preserve"> </w:t>
      </w:r>
      <w:r w:rsidRPr="006E33D0">
        <w:rPr>
          <w:rFonts w:ascii="Arial" w:eastAsia="Calibri" w:hAnsi="Arial" w:cs="Arial"/>
          <w:szCs w:val="24"/>
        </w:rPr>
        <w:t>of</w:t>
      </w:r>
      <w:r w:rsidR="0004477D">
        <w:rPr>
          <w:rFonts w:ascii="Arial" w:eastAsia="Calibri" w:hAnsi="Arial" w:cs="Arial"/>
          <w:szCs w:val="24"/>
        </w:rPr>
        <w:t xml:space="preserve"> </w:t>
      </w:r>
      <w:r w:rsidRPr="006E33D0">
        <w:rPr>
          <w:rFonts w:ascii="Arial" w:eastAsia="Calibri" w:hAnsi="Arial" w:cs="Arial"/>
          <w:szCs w:val="24"/>
        </w:rPr>
        <w:t xml:space="preserve">living from March to June 2022, 40% of parents with children over </w:t>
      </w:r>
      <w:r w:rsidR="0062633C">
        <w:rPr>
          <w:rFonts w:ascii="Arial" w:eastAsia="Calibri" w:hAnsi="Arial" w:cs="Arial"/>
          <w:szCs w:val="24"/>
        </w:rPr>
        <w:t>five</w:t>
      </w:r>
      <w:r w:rsidR="0004477D">
        <w:rPr>
          <w:rFonts w:ascii="Arial" w:eastAsia="Calibri" w:hAnsi="Arial" w:cs="Arial"/>
          <w:szCs w:val="24"/>
        </w:rPr>
        <w:t>-</w:t>
      </w:r>
      <w:r w:rsidRPr="006E33D0">
        <w:rPr>
          <w:rFonts w:ascii="Arial" w:eastAsia="Calibri" w:hAnsi="Arial" w:cs="Arial"/>
          <w:szCs w:val="24"/>
        </w:rPr>
        <w:t xml:space="preserve">years old had to cut back on essentials, including food, compared </w:t>
      </w:r>
      <w:r w:rsidR="0062633C">
        <w:rPr>
          <w:rFonts w:ascii="Arial" w:eastAsia="Calibri" w:hAnsi="Arial" w:cs="Arial"/>
          <w:szCs w:val="24"/>
        </w:rPr>
        <w:t>with</w:t>
      </w:r>
      <w:r w:rsidR="0062633C" w:rsidRPr="006E33D0">
        <w:rPr>
          <w:rFonts w:ascii="Arial" w:eastAsia="Calibri" w:hAnsi="Arial" w:cs="Arial"/>
          <w:szCs w:val="24"/>
        </w:rPr>
        <w:t xml:space="preserve"> </w:t>
      </w:r>
      <w:r w:rsidRPr="006E33D0">
        <w:rPr>
          <w:rFonts w:ascii="Arial" w:eastAsia="Calibri" w:hAnsi="Arial" w:cs="Arial"/>
          <w:szCs w:val="24"/>
        </w:rPr>
        <w:t>34% of people without dependent children.</w:t>
      </w:r>
      <w:r w:rsidRPr="006E33D0">
        <w:rPr>
          <w:rFonts w:ascii="Arial" w:eastAsia="Calibri" w:hAnsi="Arial" w:cs="Arial"/>
          <w:szCs w:val="24"/>
          <w:vertAlign w:val="superscript"/>
        </w:rPr>
        <w:footnoteReference w:id="271"/>
      </w:r>
      <w:r w:rsidRPr="006E33D0">
        <w:rPr>
          <w:rFonts w:ascii="Arial" w:eastAsia="Calibri" w:hAnsi="Arial" w:cs="Arial"/>
          <w:szCs w:val="24"/>
        </w:rPr>
        <w:t xml:space="preserve"> </w:t>
      </w:r>
    </w:p>
    <w:p w14:paraId="3FFC9A06" w14:textId="42B81B95" w:rsidR="00D87A25" w:rsidRPr="006E33D0" w:rsidRDefault="0062633C" w:rsidP="00D87A25">
      <w:pPr>
        <w:spacing w:before="120" w:line="240" w:lineRule="auto"/>
        <w:rPr>
          <w:rFonts w:ascii="Arial" w:eastAsia="Calibri" w:hAnsi="Arial" w:cs="Arial"/>
          <w:szCs w:val="24"/>
        </w:rPr>
      </w:pPr>
      <w:r>
        <w:rPr>
          <w:rFonts w:ascii="Arial" w:eastAsia="Calibri" w:hAnsi="Arial" w:cs="Arial"/>
          <w:szCs w:val="24"/>
        </w:rPr>
        <w:t>Before</w:t>
      </w:r>
      <w:r w:rsidR="00D87A25" w:rsidRPr="006E33D0">
        <w:rPr>
          <w:rFonts w:ascii="Arial" w:eastAsia="Calibri" w:hAnsi="Arial" w:cs="Arial"/>
          <w:szCs w:val="24"/>
        </w:rPr>
        <w:t xml:space="preserve"> these </w:t>
      </w:r>
      <w:r>
        <w:rPr>
          <w:rFonts w:ascii="Arial" w:eastAsia="Calibri" w:hAnsi="Arial" w:cs="Arial"/>
          <w:szCs w:val="24"/>
        </w:rPr>
        <w:t>increases</w:t>
      </w:r>
      <w:r w:rsidR="00D87A25" w:rsidRPr="006E33D0">
        <w:rPr>
          <w:rFonts w:ascii="Arial" w:eastAsia="Calibri" w:hAnsi="Arial" w:cs="Arial"/>
          <w:szCs w:val="24"/>
        </w:rPr>
        <w:t xml:space="preserve">, fuel poverty affected </w:t>
      </w:r>
      <w:r w:rsidR="0004477D">
        <w:rPr>
          <w:rFonts w:ascii="Arial" w:eastAsia="Calibri" w:hAnsi="Arial" w:cs="Arial"/>
          <w:szCs w:val="24"/>
        </w:rPr>
        <w:t>1</w:t>
      </w:r>
      <w:r w:rsidR="00D87A25" w:rsidRPr="006E33D0">
        <w:rPr>
          <w:rFonts w:ascii="Arial" w:eastAsia="Calibri" w:hAnsi="Arial" w:cs="Arial"/>
          <w:szCs w:val="24"/>
        </w:rPr>
        <w:t xml:space="preserve"> in </w:t>
      </w:r>
      <w:r w:rsidR="0004477D">
        <w:rPr>
          <w:rFonts w:ascii="Arial" w:eastAsia="Calibri" w:hAnsi="Arial" w:cs="Arial"/>
          <w:szCs w:val="24"/>
        </w:rPr>
        <w:t>5</w:t>
      </w:r>
      <w:r w:rsidR="00D87A25" w:rsidRPr="006E33D0">
        <w:rPr>
          <w:rFonts w:ascii="Arial" w:eastAsia="Calibri" w:hAnsi="Arial" w:cs="Arial"/>
          <w:szCs w:val="24"/>
        </w:rPr>
        <w:t xml:space="preserve"> households with dependent children,</w:t>
      </w:r>
      <w:r w:rsidR="00D87A25" w:rsidRPr="006E33D0">
        <w:rPr>
          <w:rFonts w:ascii="Arial" w:eastAsia="Calibri" w:hAnsi="Arial" w:cs="Arial"/>
          <w:szCs w:val="24"/>
          <w:vertAlign w:val="superscript"/>
        </w:rPr>
        <w:footnoteReference w:id="272"/>
      </w:r>
      <w:r w:rsidR="00D87A25" w:rsidRPr="006E33D0">
        <w:rPr>
          <w:rFonts w:ascii="Arial" w:eastAsia="Calibri" w:hAnsi="Arial" w:cs="Arial"/>
          <w:szCs w:val="24"/>
        </w:rPr>
        <w:t xml:space="preserve"> contributing to a range of poor outcomes, including in physical health, mental health and childhood development.</w:t>
      </w:r>
      <w:r w:rsidR="00D87A25" w:rsidRPr="006E33D0">
        <w:rPr>
          <w:rFonts w:ascii="Arial" w:eastAsia="Calibri" w:hAnsi="Arial" w:cs="Arial"/>
          <w:szCs w:val="24"/>
          <w:vertAlign w:val="superscript"/>
        </w:rPr>
        <w:footnoteReference w:id="273"/>
      </w:r>
      <w:r w:rsidR="00D87A25" w:rsidRPr="006E33D0">
        <w:rPr>
          <w:rFonts w:ascii="Arial" w:eastAsia="Calibri" w:hAnsi="Arial" w:cs="Arial"/>
          <w:szCs w:val="24"/>
        </w:rPr>
        <w:t xml:space="preserve"> </w:t>
      </w:r>
      <w:r w:rsidR="00D87A25">
        <w:rPr>
          <w:rFonts w:ascii="Arial" w:eastAsia="Calibri" w:hAnsi="Arial" w:cs="Arial"/>
          <w:szCs w:val="24"/>
        </w:rPr>
        <w:t>O</w:t>
      </w:r>
      <w:r w:rsidR="00D87A25" w:rsidRPr="00545B66">
        <w:rPr>
          <w:rFonts w:ascii="Arial" w:eastAsia="Calibri" w:hAnsi="Arial" w:cs="Arial"/>
          <w:szCs w:val="24"/>
        </w:rPr>
        <w:t>ne study</w:t>
      </w:r>
      <w:r>
        <w:rPr>
          <w:rFonts w:ascii="Arial" w:eastAsia="Calibri" w:hAnsi="Arial" w:cs="Arial"/>
          <w:szCs w:val="24"/>
        </w:rPr>
        <w:t xml:space="preserve"> has</w:t>
      </w:r>
      <w:r w:rsidR="00D87A25" w:rsidRPr="00545B66">
        <w:rPr>
          <w:rFonts w:ascii="Arial" w:eastAsia="Calibri" w:hAnsi="Arial" w:cs="Arial"/>
          <w:szCs w:val="24"/>
        </w:rPr>
        <w:t xml:space="preserve"> estimate</w:t>
      </w:r>
      <w:r>
        <w:rPr>
          <w:rFonts w:ascii="Arial" w:eastAsia="Calibri" w:hAnsi="Arial" w:cs="Arial"/>
          <w:szCs w:val="24"/>
        </w:rPr>
        <w:t>d</w:t>
      </w:r>
      <w:r w:rsidR="00D87A25" w:rsidRPr="00545B66">
        <w:rPr>
          <w:rFonts w:ascii="Arial" w:eastAsia="Calibri" w:hAnsi="Arial" w:cs="Arial"/>
          <w:szCs w:val="24"/>
        </w:rPr>
        <w:t xml:space="preserve"> that over half of all households could face fuel poverty by April</w:t>
      </w:r>
      <w:r w:rsidR="00D87A25" w:rsidRPr="006E33D0">
        <w:rPr>
          <w:rFonts w:ascii="Arial" w:eastAsia="Calibri" w:hAnsi="Arial" w:cs="Arial"/>
          <w:szCs w:val="24"/>
        </w:rPr>
        <w:t xml:space="preserve"> 2023</w:t>
      </w:r>
      <w:r w:rsidR="00D87A25">
        <w:rPr>
          <w:rFonts w:ascii="Arial" w:eastAsia="Calibri" w:hAnsi="Arial" w:cs="Arial"/>
          <w:szCs w:val="24"/>
        </w:rPr>
        <w:t>,</w:t>
      </w:r>
      <w:r w:rsidR="00D87A25" w:rsidRPr="006E33D0">
        <w:rPr>
          <w:rStyle w:val="FootnoteReference"/>
          <w:rFonts w:ascii="Arial" w:eastAsia="Calibri" w:hAnsi="Arial" w:cs="Arial"/>
          <w:szCs w:val="24"/>
        </w:rPr>
        <w:footnoteReference w:id="274"/>
      </w:r>
      <w:r w:rsidR="00D87A25">
        <w:rPr>
          <w:rFonts w:ascii="Arial" w:eastAsia="Calibri" w:hAnsi="Arial" w:cs="Arial"/>
          <w:szCs w:val="24"/>
        </w:rPr>
        <w:t xml:space="preserve"> though t</w:t>
      </w:r>
      <w:r w:rsidR="00D87A25" w:rsidRPr="00545B66">
        <w:rPr>
          <w:rFonts w:ascii="Arial" w:eastAsia="Calibri" w:hAnsi="Arial" w:cs="Arial"/>
          <w:szCs w:val="24"/>
        </w:rPr>
        <w:t>he impact of UK Government commitments to address rising energy prices is not yet clear</w:t>
      </w:r>
      <w:r w:rsidR="00D87A25">
        <w:rPr>
          <w:rFonts w:ascii="Arial" w:eastAsia="Calibri" w:hAnsi="Arial" w:cs="Arial"/>
          <w:szCs w:val="24"/>
        </w:rPr>
        <w:t>.</w:t>
      </w:r>
    </w:p>
    <w:p w14:paraId="58ADBB15" w14:textId="0E23CC2C"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 xml:space="preserve">Overall, the steps taken by the UK Government in response to the rising cost of living </w:t>
      </w:r>
      <w:r>
        <w:rPr>
          <w:rFonts w:ascii="Arial" w:eastAsia="Calibri" w:hAnsi="Arial" w:cs="Arial"/>
          <w:szCs w:val="24"/>
        </w:rPr>
        <w:t>may</w:t>
      </w:r>
      <w:r w:rsidRPr="006E33D0">
        <w:rPr>
          <w:rFonts w:ascii="Arial" w:eastAsia="Calibri" w:hAnsi="Arial" w:cs="Arial"/>
          <w:szCs w:val="24"/>
        </w:rPr>
        <w:t xml:space="preserve"> not be sufficient to adequately protect all children, with relative child poverty estimated to hit 33% by 2026/27 as a result.</w:t>
      </w:r>
      <w:r w:rsidRPr="006E33D0">
        <w:rPr>
          <w:rFonts w:ascii="Arial" w:eastAsia="Calibri" w:hAnsi="Arial" w:cs="Arial"/>
          <w:szCs w:val="24"/>
          <w:vertAlign w:val="superscript"/>
        </w:rPr>
        <w:footnoteReference w:id="275"/>
      </w:r>
      <w:r w:rsidRPr="006E33D0">
        <w:rPr>
          <w:rFonts w:ascii="Arial" w:eastAsia="Calibri" w:hAnsi="Arial" w:cs="Arial"/>
          <w:szCs w:val="24"/>
        </w:rPr>
        <w:t xml:space="preserve"> The poorest households are likely to see their incomes fall by more than others, widening inequalities </w:t>
      </w:r>
      <w:r w:rsidR="0062633C">
        <w:rPr>
          <w:rFonts w:ascii="Arial" w:eastAsia="Calibri" w:hAnsi="Arial" w:cs="Arial"/>
          <w:szCs w:val="24"/>
        </w:rPr>
        <w:t xml:space="preserve">even </w:t>
      </w:r>
      <w:r w:rsidRPr="006E33D0">
        <w:rPr>
          <w:rFonts w:ascii="Arial" w:eastAsia="Calibri" w:hAnsi="Arial" w:cs="Arial"/>
          <w:szCs w:val="24"/>
        </w:rPr>
        <w:t>further.</w:t>
      </w:r>
      <w:r w:rsidRPr="006E33D0">
        <w:rPr>
          <w:rFonts w:ascii="Arial" w:eastAsia="Calibri" w:hAnsi="Arial" w:cs="Arial"/>
          <w:szCs w:val="24"/>
          <w:vertAlign w:val="superscript"/>
        </w:rPr>
        <w:footnoteReference w:id="276"/>
      </w:r>
      <w:r w:rsidRPr="006E33D0">
        <w:rPr>
          <w:rFonts w:ascii="Arial" w:eastAsia="Calibri" w:hAnsi="Arial" w:cs="Arial"/>
          <w:szCs w:val="24"/>
        </w:rPr>
        <w:t xml:space="preserve"> </w:t>
      </w:r>
    </w:p>
    <w:p w14:paraId="17122DB0" w14:textId="475C9703" w:rsidR="00D87A25" w:rsidRPr="00B91A3D" w:rsidRDefault="00D87A25" w:rsidP="00D87A25">
      <w:pPr>
        <w:pStyle w:val="Heading3"/>
      </w:pPr>
      <w:r>
        <w:t>Food poverty</w:t>
      </w:r>
    </w:p>
    <w:p w14:paraId="7B486C85" w14:textId="7F2DD37C"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 xml:space="preserve">Growing numbers of children face difficulty accessing necessities such as food. In Wales, </w:t>
      </w:r>
      <w:r w:rsidR="0062633C">
        <w:rPr>
          <w:rFonts w:ascii="Arial" w:eastAsia="Calibri" w:hAnsi="Arial" w:cs="Arial"/>
          <w:szCs w:val="24"/>
        </w:rPr>
        <w:t>1</w:t>
      </w:r>
      <w:r w:rsidRPr="006E33D0">
        <w:rPr>
          <w:rFonts w:ascii="Arial" w:eastAsia="Calibri" w:hAnsi="Arial" w:cs="Arial"/>
          <w:szCs w:val="24"/>
        </w:rPr>
        <w:t xml:space="preserve"> in </w:t>
      </w:r>
      <w:r w:rsidR="0062633C">
        <w:rPr>
          <w:rFonts w:ascii="Arial" w:eastAsia="Calibri" w:hAnsi="Arial" w:cs="Arial"/>
          <w:szCs w:val="24"/>
        </w:rPr>
        <w:t>10</w:t>
      </w:r>
      <w:r w:rsidRPr="006E33D0">
        <w:rPr>
          <w:rFonts w:ascii="Arial" w:eastAsia="Calibri" w:hAnsi="Arial" w:cs="Arial"/>
          <w:szCs w:val="24"/>
        </w:rPr>
        <w:t xml:space="preserve"> households with two children </w:t>
      </w:r>
      <w:r w:rsidR="0062633C">
        <w:rPr>
          <w:rFonts w:ascii="Arial" w:eastAsia="Calibri" w:hAnsi="Arial" w:cs="Arial"/>
          <w:szCs w:val="24"/>
        </w:rPr>
        <w:t xml:space="preserve">have </w:t>
      </w:r>
      <w:r w:rsidRPr="006E33D0">
        <w:rPr>
          <w:rFonts w:ascii="Arial" w:eastAsia="Calibri" w:hAnsi="Arial" w:cs="Arial"/>
          <w:szCs w:val="24"/>
        </w:rPr>
        <w:t>had to cut back on food during the pandemic,</w:t>
      </w:r>
      <w:r w:rsidRPr="006E33D0">
        <w:rPr>
          <w:rFonts w:ascii="Arial" w:eastAsia="Calibri" w:hAnsi="Arial" w:cs="Arial"/>
          <w:szCs w:val="24"/>
          <w:vertAlign w:val="superscript"/>
        </w:rPr>
        <w:footnoteReference w:id="277"/>
      </w:r>
      <w:r w:rsidRPr="006E33D0">
        <w:rPr>
          <w:rFonts w:ascii="Arial" w:eastAsia="Calibri" w:hAnsi="Arial" w:cs="Arial"/>
          <w:szCs w:val="24"/>
        </w:rPr>
        <w:t xml:space="preserve"> doubling to </w:t>
      </w:r>
      <w:r w:rsidR="0062633C">
        <w:rPr>
          <w:rFonts w:ascii="Arial" w:eastAsia="Calibri" w:hAnsi="Arial" w:cs="Arial"/>
          <w:szCs w:val="24"/>
        </w:rPr>
        <w:t>1</w:t>
      </w:r>
      <w:r w:rsidR="0062633C" w:rsidRPr="006E33D0">
        <w:rPr>
          <w:rFonts w:ascii="Arial" w:eastAsia="Calibri" w:hAnsi="Arial" w:cs="Arial"/>
          <w:szCs w:val="24"/>
        </w:rPr>
        <w:t xml:space="preserve"> </w:t>
      </w:r>
      <w:r w:rsidRPr="006E33D0">
        <w:rPr>
          <w:rFonts w:ascii="Arial" w:eastAsia="Calibri" w:hAnsi="Arial" w:cs="Arial"/>
          <w:szCs w:val="24"/>
        </w:rPr>
        <w:t xml:space="preserve">in </w:t>
      </w:r>
      <w:r w:rsidR="0062633C">
        <w:rPr>
          <w:rFonts w:ascii="Arial" w:eastAsia="Calibri" w:hAnsi="Arial" w:cs="Arial"/>
          <w:szCs w:val="24"/>
        </w:rPr>
        <w:t>5</w:t>
      </w:r>
      <w:r w:rsidR="0062633C" w:rsidRPr="006E33D0">
        <w:rPr>
          <w:rFonts w:ascii="Arial" w:eastAsia="Calibri" w:hAnsi="Arial" w:cs="Arial"/>
          <w:szCs w:val="24"/>
        </w:rPr>
        <w:t xml:space="preserve"> </w:t>
      </w:r>
      <w:r w:rsidRPr="006E33D0">
        <w:rPr>
          <w:rFonts w:ascii="Arial" w:eastAsia="Calibri" w:hAnsi="Arial" w:cs="Arial"/>
          <w:szCs w:val="24"/>
        </w:rPr>
        <w:t>by July 2022.</w:t>
      </w:r>
      <w:r w:rsidRPr="006E33D0">
        <w:rPr>
          <w:rFonts w:ascii="Arial" w:eastAsia="Calibri" w:hAnsi="Arial" w:cs="Arial"/>
          <w:szCs w:val="24"/>
          <w:vertAlign w:val="superscript"/>
        </w:rPr>
        <w:footnoteReference w:id="278"/>
      </w:r>
      <w:r w:rsidRPr="006E33D0">
        <w:rPr>
          <w:rFonts w:ascii="Arial" w:eastAsia="Calibri" w:hAnsi="Arial" w:cs="Arial"/>
          <w:szCs w:val="24"/>
        </w:rPr>
        <w:t xml:space="preserve"> In England, the </w:t>
      </w:r>
      <w:r w:rsidR="0062633C">
        <w:rPr>
          <w:rFonts w:ascii="Arial" w:eastAsia="Calibri" w:hAnsi="Arial" w:cs="Arial"/>
          <w:szCs w:val="24"/>
        </w:rPr>
        <w:t>proportion</w:t>
      </w:r>
      <w:r w:rsidR="0062633C" w:rsidRPr="006E33D0">
        <w:rPr>
          <w:rFonts w:ascii="Arial" w:eastAsia="Calibri" w:hAnsi="Arial" w:cs="Arial"/>
          <w:szCs w:val="24"/>
        </w:rPr>
        <w:t xml:space="preserve"> </w:t>
      </w:r>
      <w:r w:rsidRPr="006E33D0">
        <w:rPr>
          <w:rFonts w:ascii="Arial" w:eastAsia="Calibri" w:hAnsi="Arial" w:cs="Arial"/>
          <w:szCs w:val="24"/>
        </w:rPr>
        <w:t>of children eligible for FSM rose from 13.6% of all pupils in 2017/18 to 22.5% in 2021/22,</w:t>
      </w:r>
      <w:r w:rsidRPr="006E33D0">
        <w:rPr>
          <w:rFonts w:ascii="Arial" w:eastAsia="Calibri" w:hAnsi="Arial" w:cs="Arial"/>
          <w:szCs w:val="24"/>
          <w:vertAlign w:val="superscript"/>
        </w:rPr>
        <w:footnoteReference w:id="279"/>
      </w:r>
      <w:r w:rsidRPr="006E33D0">
        <w:rPr>
          <w:rFonts w:ascii="Arial" w:eastAsia="Calibri" w:hAnsi="Arial" w:cs="Arial"/>
          <w:szCs w:val="24"/>
        </w:rPr>
        <w:t xml:space="preserve"> with the </w:t>
      </w:r>
      <w:r w:rsidR="0062633C">
        <w:rPr>
          <w:rFonts w:ascii="Arial" w:eastAsia="Calibri" w:hAnsi="Arial" w:cs="Arial"/>
          <w:szCs w:val="24"/>
        </w:rPr>
        <w:t>proportion</w:t>
      </w:r>
      <w:r w:rsidR="0062633C" w:rsidRPr="006E33D0">
        <w:rPr>
          <w:rFonts w:ascii="Arial" w:eastAsia="Calibri" w:hAnsi="Arial" w:cs="Arial"/>
          <w:szCs w:val="24"/>
        </w:rPr>
        <w:t xml:space="preserve"> </w:t>
      </w:r>
      <w:r w:rsidRPr="006E33D0">
        <w:rPr>
          <w:rFonts w:ascii="Arial" w:eastAsia="Calibri" w:hAnsi="Arial" w:cs="Arial"/>
          <w:szCs w:val="24"/>
        </w:rPr>
        <w:t xml:space="preserve">highest in the North East at 29.1%. In Wales, where the </w:t>
      </w:r>
      <w:r w:rsidR="0062633C">
        <w:rPr>
          <w:rFonts w:ascii="Arial" w:eastAsia="Calibri" w:hAnsi="Arial" w:cs="Arial"/>
          <w:szCs w:val="24"/>
        </w:rPr>
        <w:t>proportion of children eligible for FSM</w:t>
      </w:r>
      <w:r w:rsidRPr="006E33D0">
        <w:rPr>
          <w:rFonts w:ascii="Arial" w:eastAsia="Calibri" w:hAnsi="Arial" w:cs="Arial"/>
          <w:szCs w:val="24"/>
        </w:rPr>
        <w:t xml:space="preserve"> rose from 19.9% </w:t>
      </w:r>
      <w:r w:rsidR="0062633C">
        <w:rPr>
          <w:rFonts w:ascii="Arial" w:eastAsia="Calibri" w:hAnsi="Arial" w:cs="Arial"/>
          <w:szCs w:val="24"/>
        </w:rPr>
        <w:t xml:space="preserve">of all pupils </w:t>
      </w:r>
      <w:r w:rsidRPr="006E33D0">
        <w:rPr>
          <w:rFonts w:ascii="Arial" w:eastAsia="Calibri" w:hAnsi="Arial" w:cs="Arial"/>
          <w:szCs w:val="24"/>
        </w:rPr>
        <w:t>in January 2020 to 23.3% in February 2022,</w:t>
      </w:r>
      <w:r w:rsidRPr="006E33D0">
        <w:rPr>
          <w:rFonts w:ascii="Arial" w:eastAsia="Calibri" w:hAnsi="Arial" w:cs="Arial"/>
          <w:szCs w:val="24"/>
          <w:vertAlign w:val="superscript"/>
        </w:rPr>
        <w:footnoteReference w:id="280"/>
      </w:r>
      <w:r w:rsidRPr="006E33D0">
        <w:rPr>
          <w:rFonts w:ascii="Arial" w:eastAsia="Calibri" w:hAnsi="Arial" w:cs="Arial"/>
          <w:szCs w:val="24"/>
        </w:rPr>
        <w:t xml:space="preserve"> the Welsh Government has committed to rolling out FSM to all primary</w:t>
      </w:r>
      <w:r w:rsidR="00626199">
        <w:rPr>
          <w:rFonts w:ascii="Arial" w:eastAsia="Calibri" w:hAnsi="Arial" w:cs="Arial"/>
          <w:szCs w:val="24"/>
        </w:rPr>
        <w:t xml:space="preserve"> school</w:t>
      </w:r>
      <w:r w:rsidRPr="006E33D0">
        <w:rPr>
          <w:rFonts w:ascii="Arial" w:eastAsia="Calibri" w:hAnsi="Arial" w:cs="Arial"/>
          <w:szCs w:val="24"/>
        </w:rPr>
        <w:t xml:space="preserve"> pupils by 2024.</w:t>
      </w:r>
      <w:r w:rsidRPr="006E33D0">
        <w:rPr>
          <w:rFonts w:ascii="Arial" w:eastAsia="Calibri" w:hAnsi="Arial" w:cs="Arial"/>
          <w:szCs w:val="24"/>
          <w:vertAlign w:val="superscript"/>
        </w:rPr>
        <w:footnoteReference w:id="281"/>
      </w:r>
      <w:r w:rsidRPr="006E33D0">
        <w:rPr>
          <w:rFonts w:ascii="Arial" w:eastAsia="Calibri" w:hAnsi="Arial" w:cs="Arial"/>
          <w:szCs w:val="24"/>
        </w:rPr>
        <w:t xml:space="preserve"> The eligibility criteria for FSM in England do not extend to all those in need, with </w:t>
      </w:r>
      <w:r w:rsidR="00626199">
        <w:rPr>
          <w:rFonts w:ascii="Arial" w:eastAsia="Calibri" w:hAnsi="Arial" w:cs="Arial"/>
          <w:szCs w:val="24"/>
        </w:rPr>
        <w:t xml:space="preserve">1 </w:t>
      </w:r>
      <w:r w:rsidRPr="006E33D0">
        <w:rPr>
          <w:rFonts w:ascii="Arial" w:eastAsia="Calibri" w:hAnsi="Arial" w:cs="Arial"/>
          <w:szCs w:val="24"/>
        </w:rPr>
        <w:t xml:space="preserve">in </w:t>
      </w:r>
      <w:r w:rsidR="00626199">
        <w:rPr>
          <w:rFonts w:ascii="Arial" w:eastAsia="Calibri" w:hAnsi="Arial" w:cs="Arial"/>
          <w:szCs w:val="24"/>
        </w:rPr>
        <w:t>3</w:t>
      </w:r>
      <w:r w:rsidRPr="006E33D0">
        <w:rPr>
          <w:rFonts w:ascii="Arial" w:eastAsia="Calibri" w:hAnsi="Arial" w:cs="Arial"/>
          <w:szCs w:val="24"/>
        </w:rPr>
        <w:t xml:space="preserve"> </w:t>
      </w:r>
      <w:r w:rsidRPr="00545B66">
        <w:rPr>
          <w:rFonts w:ascii="Arial" w:eastAsia="Calibri" w:hAnsi="Arial" w:cs="Arial"/>
          <w:szCs w:val="24"/>
        </w:rPr>
        <w:t xml:space="preserve">children living in relative poverty still </w:t>
      </w:r>
      <w:r>
        <w:rPr>
          <w:rFonts w:ascii="Arial" w:eastAsia="Calibri" w:hAnsi="Arial" w:cs="Arial"/>
          <w:szCs w:val="24"/>
        </w:rPr>
        <w:t>not eligible for</w:t>
      </w:r>
      <w:r w:rsidRPr="00545B66">
        <w:rPr>
          <w:rFonts w:ascii="Arial" w:eastAsia="Calibri" w:hAnsi="Arial" w:cs="Arial"/>
          <w:szCs w:val="24"/>
        </w:rPr>
        <w:t xml:space="preserve"> FSM</w:t>
      </w:r>
      <w:r w:rsidRPr="006E33D0">
        <w:rPr>
          <w:rFonts w:ascii="Arial" w:eastAsia="Calibri" w:hAnsi="Arial" w:cs="Arial"/>
          <w:szCs w:val="24"/>
        </w:rPr>
        <w:t>.</w:t>
      </w:r>
      <w:r w:rsidRPr="006E33D0">
        <w:rPr>
          <w:rFonts w:ascii="Arial" w:eastAsia="Calibri" w:hAnsi="Arial" w:cs="Arial"/>
          <w:szCs w:val="24"/>
          <w:vertAlign w:val="superscript"/>
        </w:rPr>
        <w:footnoteReference w:id="282"/>
      </w:r>
      <w:r w:rsidRPr="006E33D0">
        <w:rPr>
          <w:rFonts w:ascii="Arial" w:eastAsia="Calibri" w:hAnsi="Arial" w:cs="Arial"/>
          <w:szCs w:val="24"/>
        </w:rPr>
        <w:t xml:space="preserve"> </w:t>
      </w:r>
    </w:p>
    <w:p w14:paraId="247814F1" w14:textId="34011775" w:rsidR="00D87A25" w:rsidRPr="006E33D0" w:rsidRDefault="00D87A25" w:rsidP="00D87A25">
      <w:pPr>
        <w:spacing w:before="120" w:line="240" w:lineRule="auto"/>
        <w:rPr>
          <w:rFonts w:ascii="Arial" w:eastAsia="Calibri" w:hAnsi="Arial" w:cs="Arial"/>
          <w:szCs w:val="24"/>
        </w:rPr>
      </w:pPr>
      <w:r w:rsidRPr="006E33D0">
        <w:rPr>
          <w:rFonts w:ascii="Arial" w:eastAsia="Calibri" w:hAnsi="Arial" w:cs="Arial"/>
          <w:szCs w:val="24"/>
        </w:rPr>
        <w:t>Overall food insecurity has ris</w:t>
      </w:r>
      <w:r>
        <w:rPr>
          <w:rFonts w:ascii="Arial" w:eastAsia="Calibri" w:hAnsi="Arial" w:cs="Arial"/>
          <w:szCs w:val="24"/>
        </w:rPr>
        <w:t>en</w:t>
      </w:r>
      <w:r w:rsidRPr="006E33D0">
        <w:rPr>
          <w:rFonts w:ascii="Arial" w:eastAsia="Calibri" w:hAnsi="Arial" w:cs="Arial"/>
          <w:szCs w:val="24"/>
        </w:rPr>
        <w:t xml:space="preserve"> sharply, from 11% </w:t>
      </w:r>
      <w:r w:rsidR="0062633C">
        <w:rPr>
          <w:rFonts w:ascii="Arial" w:eastAsia="Calibri" w:hAnsi="Arial" w:cs="Arial"/>
          <w:szCs w:val="24"/>
        </w:rPr>
        <w:t xml:space="preserve">to 17.2% </w:t>
      </w:r>
      <w:r w:rsidRPr="006E33D0">
        <w:rPr>
          <w:rFonts w:ascii="Arial" w:eastAsia="Calibri" w:hAnsi="Arial" w:cs="Arial"/>
          <w:szCs w:val="24"/>
        </w:rPr>
        <w:t xml:space="preserve">of households with children in the months between July 2021 and April 2022, representing more than </w:t>
      </w:r>
      <w:r w:rsidR="00EF274A">
        <w:rPr>
          <w:rFonts w:ascii="Arial" w:eastAsia="Calibri" w:hAnsi="Arial" w:cs="Arial"/>
          <w:szCs w:val="24"/>
        </w:rPr>
        <w:t>2</w:t>
      </w:r>
      <w:r w:rsidR="00EF274A" w:rsidRPr="006E33D0">
        <w:rPr>
          <w:rFonts w:ascii="Arial" w:eastAsia="Calibri" w:hAnsi="Arial" w:cs="Arial"/>
          <w:szCs w:val="24"/>
        </w:rPr>
        <w:t xml:space="preserve"> </w:t>
      </w:r>
      <w:r w:rsidRPr="006E33D0">
        <w:rPr>
          <w:rFonts w:ascii="Arial" w:eastAsia="Calibri" w:hAnsi="Arial" w:cs="Arial"/>
          <w:szCs w:val="24"/>
        </w:rPr>
        <w:t>million children.</w:t>
      </w:r>
      <w:r w:rsidRPr="006E33D0">
        <w:rPr>
          <w:rFonts w:ascii="Arial" w:eastAsia="Calibri" w:hAnsi="Arial" w:cs="Arial"/>
          <w:szCs w:val="24"/>
          <w:vertAlign w:val="superscript"/>
        </w:rPr>
        <w:footnoteReference w:id="283"/>
      </w:r>
      <w:r w:rsidRPr="006E33D0">
        <w:rPr>
          <w:rFonts w:ascii="Arial" w:eastAsia="Calibri" w:hAnsi="Arial" w:cs="Arial"/>
          <w:szCs w:val="24"/>
        </w:rPr>
        <w:t xml:space="preserve"> Available evidence suggests that reliance on food banks has also increased, with one leading provider seeing the number of food parcels given to children rising by 140% in England and by 54% in Wales, between 2016/17 and 2020/21.</w:t>
      </w:r>
      <w:r w:rsidRPr="006E33D0">
        <w:rPr>
          <w:rFonts w:ascii="Arial" w:eastAsia="Calibri" w:hAnsi="Arial" w:cs="Arial"/>
          <w:szCs w:val="24"/>
          <w:vertAlign w:val="superscript"/>
        </w:rPr>
        <w:footnoteReference w:id="284"/>
      </w:r>
      <w:r w:rsidRPr="006E33D0">
        <w:rPr>
          <w:rFonts w:ascii="Arial" w:eastAsia="Calibri" w:hAnsi="Arial" w:cs="Arial"/>
          <w:szCs w:val="24"/>
        </w:rPr>
        <w:t xml:space="preserve"> </w:t>
      </w:r>
    </w:p>
    <w:p w14:paraId="1C818007" w14:textId="14B4DA06" w:rsidR="00D87A25" w:rsidRPr="00B91A3D" w:rsidRDefault="00D87A25" w:rsidP="00D87A25">
      <w:pPr>
        <w:pStyle w:val="Heading3"/>
      </w:pPr>
      <w:r>
        <w:t>No recourse to public funds (NRPF)</w:t>
      </w:r>
    </w:p>
    <w:p w14:paraId="29C1393B" w14:textId="77777777" w:rsidR="00626199" w:rsidRDefault="00D87A25" w:rsidP="00D87A25">
      <w:pPr>
        <w:spacing w:before="120" w:line="240" w:lineRule="auto"/>
        <w:rPr>
          <w:rFonts w:ascii="Arial" w:eastAsia="Calibri" w:hAnsi="Arial" w:cs="Arial"/>
          <w:szCs w:val="24"/>
        </w:rPr>
      </w:pPr>
      <w:r w:rsidRPr="00FF3E83">
        <w:rPr>
          <w:rFonts w:ascii="Arial" w:eastAsia="Calibri" w:hAnsi="Arial" w:cs="Arial"/>
          <w:szCs w:val="24"/>
        </w:rPr>
        <w:t>An estimated 175,000 children live in families with NRPF, due to their immigration status.</w:t>
      </w:r>
      <w:r w:rsidRPr="00FF3E83">
        <w:rPr>
          <w:rFonts w:ascii="Arial" w:eastAsia="Calibri" w:hAnsi="Arial" w:cs="Arial"/>
          <w:szCs w:val="24"/>
          <w:vertAlign w:val="superscript"/>
        </w:rPr>
        <w:footnoteReference w:id="285"/>
      </w:r>
      <w:r w:rsidRPr="00FF3E83">
        <w:rPr>
          <w:rFonts w:ascii="Arial" w:eastAsia="Calibri" w:hAnsi="Arial" w:cs="Arial"/>
          <w:szCs w:val="24"/>
        </w:rPr>
        <w:t xml:space="preserve"> As a result, these families are not always eligible for mainstream benefits or other forms of support. We are therefore particularly concerned about the vulnerability of these children to poverty, and the associated risks that this may bring.</w:t>
      </w:r>
      <w:r>
        <w:rPr>
          <w:rStyle w:val="FootnoteReference"/>
          <w:rFonts w:ascii="Arial" w:eastAsia="Calibri" w:hAnsi="Arial" w:cs="Arial"/>
          <w:szCs w:val="24"/>
        </w:rPr>
        <w:footnoteReference w:id="286"/>
      </w:r>
      <w:r w:rsidRPr="00FF3E83">
        <w:rPr>
          <w:rFonts w:ascii="Arial" w:eastAsia="Calibri" w:hAnsi="Arial" w:cs="Arial"/>
          <w:szCs w:val="24"/>
        </w:rPr>
        <w:t xml:space="preserve"> </w:t>
      </w:r>
    </w:p>
    <w:p w14:paraId="74D95C0F" w14:textId="0F07652D" w:rsidR="00D87A25" w:rsidRPr="006E33D0" w:rsidRDefault="00D87A25" w:rsidP="00D87A25">
      <w:pPr>
        <w:spacing w:before="120" w:line="240" w:lineRule="auto"/>
        <w:rPr>
          <w:rFonts w:ascii="Arial" w:eastAsia="Calibri" w:hAnsi="Arial" w:cs="Arial"/>
          <w:szCs w:val="24"/>
        </w:rPr>
      </w:pPr>
      <w:r w:rsidRPr="00FF3E83">
        <w:rPr>
          <w:rFonts w:ascii="Arial" w:eastAsia="Calibri" w:hAnsi="Arial" w:cs="Arial"/>
          <w:szCs w:val="24"/>
        </w:rPr>
        <w:t>In April 2021,</w:t>
      </w:r>
      <w:r>
        <w:rPr>
          <w:rFonts w:ascii="Arial" w:eastAsia="Calibri" w:hAnsi="Arial" w:cs="Arial"/>
          <w:szCs w:val="24"/>
        </w:rPr>
        <w:t xml:space="preserve"> and again in June 2022,</w:t>
      </w:r>
      <w:r w:rsidRPr="00FF3E83">
        <w:rPr>
          <w:rFonts w:ascii="Arial" w:eastAsia="Calibri" w:hAnsi="Arial" w:cs="Arial"/>
          <w:szCs w:val="24"/>
        </w:rPr>
        <w:t xml:space="preserve"> the High Court ruled that </w:t>
      </w:r>
      <w:r>
        <w:rPr>
          <w:rFonts w:ascii="Arial" w:eastAsia="Calibri" w:hAnsi="Arial" w:cs="Arial"/>
          <w:szCs w:val="24"/>
        </w:rPr>
        <w:t xml:space="preserve">aspects of </w:t>
      </w:r>
      <w:r w:rsidRPr="00FF3E83">
        <w:rPr>
          <w:rFonts w:ascii="Arial" w:eastAsia="Calibri" w:hAnsi="Arial" w:cs="Arial"/>
          <w:szCs w:val="24"/>
        </w:rPr>
        <w:t>the UK Government’s NRPF scheme w</w:t>
      </w:r>
      <w:r>
        <w:rPr>
          <w:rFonts w:ascii="Arial" w:eastAsia="Calibri" w:hAnsi="Arial" w:cs="Arial"/>
          <w:szCs w:val="24"/>
        </w:rPr>
        <w:t>ere</w:t>
      </w:r>
      <w:r w:rsidRPr="00FF3E83">
        <w:rPr>
          <w:rFonts w:ascii="Arial" w:eastAsia="Calibri" w:hAnsi="Arial" w:cs="Arial"/>
          <w:szCs w:val="24"/>
        </w:rPr>
        <w:t xml:space="preserve"> unlawful because immigration caseworkers were not required to give primary consideration</w:t>
      </w:r>
      <w:r w:rsidRPr="006E33D0">
        <w:rPr>
          <w:rFonts w:ascii="Arial" w:eastAsia="Calibri" w:hAnsi="Arial" w:cs="Arial"/>
          <w:szCs w:val="24"/>
        </w:rPr>
        <w:t xml:space="preserve"> to a child’s best interests when deciding whether to impose a</w:t>
      </w:r>
      <w:r w:rsidR="00EF274A">
        <w:rPr>
          <w:rFonts w:ascii="Arial" w:eastAsia="Calibri" w:hAnsi="Arial" w:cs="Arial"/>
          <w:szCs w:val="24"/>
        </w:rPr>
        <w:t>n</w:t>
      </w:r>
      <w:r w:rsidRPr="006E33D0">
        <w:rPr>
          <w:rFonts w:ascii="Arial" w:eastAsia="Calibri" w:hAnsi="Arial" w:cs="Arial"/>
          <w:szCs w:val="24"/>
        </w:rPr>
        <w:t xml:space="preserve"> NRPF condition.</w:t>
      </w:r>
      <w:r w:rsidRPr="006E33D0">
        <w:rPr>
          <w:rFonts w:ascii="Arial" w:eastAsia="Calibri" w:hAnsi="Arial" w:cs="Arial"/>
          <w:szCs w:val="24"/>
          <w:vertAlign w:val="superscript"/>
        </w:rPr>
        <w:footnoteReference w:id="287"/>
      </w:r>
      <w:r w:rsidRPr="006E33D0">
        <w:rPr>
          <w:rFonts w:ascii="Arial" w:eastAsia="Calibri" w:hAnsi="Arial" w:cs="Arial"/>
          <w:szCs w:val="24"/>
        </w:rPr>
        <w:t xml:space="preserve"> The UK Government’s decision in 2022 to permanently extend FSM eligibility to these children is therefore welcome,</w:t>
      </w:r>
      <w:r w:rsidRPr="006E33D0">
        <w:rPr>
          <w:rFonts w:ascii="Arial" w:eastAsia="Calibri" w:hAnsi="Arial" w:cs="Arial"/>
          <w:szCs w:val="24"/>
          <w:vertAlign w:val="superscript"/>
        </w:rPr>
        <w:footnoteReference w:id="288"/>
      </w:r>
      <w:r w:rsidRPr="006E33D0">
        <w:rPr>
          <w:rFonts w:ascii="Arial" w:eastAsia="Calibri" w:hAnsi="Arial" w:cs="Arial"/>
          <w:szCs w:val="24"/>
        </w:rPr>
        <w:t xml:space="preserve"> but more </w:t>
      </w:r>
      <w:r>
        <w:rPr>
          <w:rFonts w:ascii="Arial" w:eastAsia="Calibri" w:hAnsi="Arial" w:cs="Arial"/>
          <w:szCs w:val="24"/>
        </w:rPr>
        <w:t>can</w:t>
      </w:r>
      <w:r w:rsidRPr="006E33D0">
        <w:rPr>
          <w:rFonts w:ascii="Arial" w:eastAsia="Calibri" w:hAnsi="Arial" w:cs="Arial"/>
          <w:szCs w:val="24"/>
        </w:rPr>
        <w:t xml:space="preserve"> be done to support children in families with NRPF.</w:t>
      </w:r>
      <w:r w:rsidRPr="006E33D0">
        <w:rPr>
          <w:rFonts w:ascii="Arial" w:eastAsia="Calibri" w:hAnsi="Arial" w:cs="Arial"/>
          <w:szCs w:val="24"/>
          <w:vertAlign w:val="superscript"/>
        </w:rPr>
        <w:footnoteReference w:id="289"/>
      </w:r>
    </w:p>
    <w:p w14:paraId="5812610B" w14:textId="2CEF077C" w:rsidR="00D87A25" w:rsidRPr="00B91A3D" w:rsidRDefault="00BF790B" w:rsidP="00D87A25">
      <w:pPr>
        <w:pStyle w:val="Heading3"/>
      </w:pPr>
      <w:r>
        <w:t>The Socio-economic D</w:t>
      </w:r>
      <w:r w:rsidR="00D87A25">
        <w:t>uty</w:t>
      </w:r>
    </w:p>
    <w:p w14:paraId="43C841B0" w14:textId="77777777" w:rsidR="00626199" w:rsidRDefault="00D87A25" w:rsidP="00D87A25">
      <w:pPr>
        <w:spacing w:before="120" w:line="240" w:lineRule="auto"/>
        <w:rPr>
          <w:rFonts w:ascii="Arial" w:eastAsia="Calibri" w:hAnsi="Arial" w:cs="Arial"/>
        </w:rPr>
      </w:pPr>
      <w:r w:rsidRPr="006E33D0">
        <w:rPr>
          <w:rFonts w:ascii="Arial" w:eastAsia="Calibri" w:hAnsi="Arial" w:cs="Arial"/>
        </w:rPr>
        <w:t xml:space="preserve">An enhanced status for socio-economic rights in domestic law would lead to improvements in rights protections, including the right of children to an adequate standard of living. The Equality Act 2010 provided a framework for reducing the inequalities of outcome resulting from socio-economic disadvantage through the Socio-economic Duty. In the context of the pandemic, the Socio-economic Duty would have, for example, required the UK Government to consider how the strategic decision to close schools in England would affect children in receipt of FSM. </w:t>
      </w:r>
    </w:p>
    <w:p w14:paraId="6F69F823" w14:textId="28579A54" w:rsidR="00D87A25" w:rsidRPr="006E33D0" w:rsidRDefault="00D87A25" w:rsidP="00D87A25">
      <w:pPr>
        <w:spacing w:before="120" w:line="240" w:lineRule="auto"/>
        <w:rPr>
          <w:rFonts w:ascii="Arial" w:eastAsia="Calibri" w:hAnsi="Arial" w:cs="Arial"/>
        </w:rPr>
      </w:pPr>
      <w:r w:rsidRPr="006E33D0">
        <w:rPr>
          <w:rFonts w:ascii="Arial" w:eastAsia="Calibri" w:hAnsi="Arial" w:cs="Arial"/>
        </w:rPr>
        <w:t xml:space="preserve">The UK Government has chosen not to implement the </w:t>
      </w:r>
      <w:r w:rsidR="00626199">
        <w:rPr>
          <w:rFonts w:ascii="Arial" w:eastAsia="Calibri" w:hAnsi="Arial" w:cs="Arial"/>
        </w:rPr>
        <w:t>S</w:t>
      </w:r>
      <w:r w:rsidR="00EF274A">
        <w:rPr>
          <w:rFonts w:ascii="Arial" w:eastAsia="Calibri" w:hAnsi="Arial" w:cs="Arial"/>
        </w:rPr>
        <w:t xml:space="preserve">ocio-economic </w:t>
      </w:r>
      <w:r w:rsidR="00626199">
        <w:rPr>
          <w:rFonts w:ascii="Arial" w:eastAsia="Calibri" w:hAnsi="Arial" w:cs="Arial"/>
        </w:rPr>
        <w:t>D</w:t>
      </w:r>
      <w:r w:rsidRPr="006E33D0">
        <w:rPr>
          <w:rFonts w:ascii="Arial" w:eastAsia="Calibri" w:hAnsi="Arial" w:cs="Arial"/>
        </w:rPr>
        <w:t>uty in England.</w:t>
      </w:r>
      <w:r w:rsidRPr="006E33D0">
        <w:rPr>
          <w:rFonts w:ascii="Arial" w:eastAsia="Calibri" w:hAnsi="Arial" w:cs="Arial"/>
          <w:vertAlign w:val="superscript"/>
        </w:rPr>
        <w:footnoteReference w:id="290"/>
      </w:r>
      <w:r w:rsidRPr="006E33D0">
        <w:rPr>
          <w:rFonts w:ascii="Arial" w:eastAsia="Calibri" w:hAnsi="Arial" w:cs="Arial"/>
        </w:rPr>
        <w:t xml:space="preserve"> It has been introduced in Scotland</w:t>
      </w:r>
      <w:r w:rsidRPr="006E33D0">
        <w:rPr>
          <w:rFonts w:ascii="Arial" w:eastAsia="Calibri" w:hAnsi="Arial" w:cs="Arial"/>
          <w:vertAlign w:val="superscript"/>
        </w:rPr>
        <w:footnoteReference w:id="291"/>
      </w:r>
      <w:r w:rsidRPr="006E33D0">
        <w:rPr>
          <w:rFonts w:ascii="Arial" w:eastAsia="Calibri" w:hAnsi="Arial" w:cs="Arial"/>
        </w:rPr>
        <w:t xml:space="preserve"> (as the Fairer Scotland Duty) and </w:t>
      </w:r>
      <w:r w:rsidR="00EF274A">
        <w:rPr>
          <w:rFonts w:ascii="Arial" w:eastAsia="Calibri" w:hAnsi="Arial" w:cs="Arial"/>
        </w:rPr>
        <w:t xml:space="preserve">in </w:t>
      </w:r>
      <w:r w:rsidRPr="006E33D0">
        <w:rPr>
          <w:rFonts w:ascii="Arial" w:eastAsia="Calibri" w:hAnsi="Arial" w:cs="Arial"/>
        </w:rPr>
        <w:t>Wales.</w:t>
      </w:r>
      <w:r w:rsidRPr="006E33D0">
        <w:rPr>
          <w:rFonts w:ascii="Arial" w:eastAsia="Calibri" w:hAnsi="Arial" w:cs="Arial"/>
          <w:vertAlign w:val="superscript"/>
        </w:rPr>
        <w:footnoteReference w:id="292"/>
      </w:r>
    </w:p>
    <w:p w14:paraId="28A04457" w14:textId="76366585" w:rsidR="00D87A25" w:rsidRPr="00B91A3D" w:rsidRDefault="00D87A25" w:rsidP="00D87A25">
      <w:pPr>
        <w:pStyle w:val="Heading4"/>
      </w:pPr>
      <w:r>
        <w:t xml:space="preserve">Recommendations </w:t>
      </w:r>
    </w:p>
    <w:p w14:paraId="1A1F7638" w14:textId="77777777" w:rsidR="00D87A25" w:rsidRPr="006E33D0" w:rsidRDefault="00D87A25" w:rsidP="00D87A25">
      <w:pPr>
        <w:spacing w:before="120" w:line="240" w:lineRule="auto"/>
        <w:rPr>
          <w:rFonts w:ascii="Arial" w:eastAsia="Calibri" w:hAnsi="Arial" w:cs="Arial"/>
          <w:u w:val="single"/>
        </w:rPr>
      </w:pPr>
      <w:r w:rsidRPr="006E33D0">
        <w:rPr>
          <w:rFonts w:ascii="Arial" w:eastAsia="Calibri" w:hAnsi="Arial" w:cs="Arial"/>
          <w:u w:val="single"/>
        </w:rPr>
        <w:t>The UK and Welsh governments should:</w:t>
      </w:r>
    </w:p>
    <w:p w14:paraId="440714B1" w14:textId="77777777" w:rsidR="00D87A25" w:rsidRPr="00D87A25" w:rsidRDefault="00D87A25" w:rsidP="00627673">
      <w:pPr>
        <w:pStyle w:val="ListParagraph"/>
        <w:numPr>
          <w:ilvl w:val="0"/>
          <w:numId w:val="29"/>
        </w:numPr>
        <w:spacing w:before="120" w:after="120" w:line="240" w:lineRule="auto"/>
        <w:rPr>
          <w:rFonts w:ascii="Arial" w:eastAsia="Calibri" w:hAnsi="Arial" w:cs="Arial"/>
        </w:rPr>
      </w:pPr>
      <w:r w:rsidRPr="00D87A25">
        <w:rPr>
          <w:rFonts w:ascii="Arial" w:eastAsia="Calibri" w:hAnsi="Arial" w:cs="Arial"/>
        </w:rPr>
        <w:t>Extend eligibility for free school meals to children living in relative poverty.</w:t>
      </w:r>
    </w:p>
    <w:p w14:paraId="5EB195AD" w14:textId="77777777" w:rsidR="00D87A25" w:rsidRPr="00D87A25" w:rsidRDefault="00D87A25" w:rsidP="00627673">
      <w:pPr>
        <w:pStyle w:val="ListParagraph"/>
        <w:numPr>
          <w:ilvl w:val="0"/>
          <w:numId w:val="29"/>
        </w:numPr>
        <w:spacing w:before="120" w:after="120" w:line="240" w:lineRule="auto"/>
        <w:rPr>
          <w:rFonts w:ascii="Arial" w:eastAsia="Calibri" w:hAnsi="Arial" w:cs="Arial"/>
        </w:rPr>
      </w:pPr>
      <w:r w:rsidRPr="00D87A25">
        <w:rPr>
          <w:rFonts w:ascii="Arial" w:eastAsia="Calibri" w:hAnsi="Arial" w:cs="Arial"/>
        </w:rPr>
        <w:t>Reintroduce income poverty-related targets for the eradication of child poverty, establish accountability mechanisms and indicators for meeting these targets, and report annually on progress.</w:t>
      </w:r>
    </w:p>
    <w:p w14:paraId="5DC803B5" w14:textId="77777777" w:rsidR="00D87A25" w:rsidRPr="006E33D0" w:rsidRDefault="00D87A25" w:rsidP="00D87A25">
      <w:pPr>
        <w:spacing w:before="120" w:line="240" w:lineRule="auto"/>
        <w:rPr>
          <w:rFonts w:ascii="Arial" w:eastAsia="Calibri" w:hAnsi="Arial" w:cs="Arial"/>
          <w:u w:val="single"/>
        </w:rPr>
      </w:pPr>
      <w:r w:rsidRPr="006E33D0">
        <w:rPr>
          <w:rFonts w:ascii="Arial" w:eastAsia="Calibri" w:hAnsi="Arial" w:cs="Arial"/>
          <w:u w:val="single"/>
        </w:rPr>
        <w:t>The UK Government should:</w:t>
      </w:r>
    </w:p>
    <w:p w14:paraId="5D432C3D" w14:textId="77777777" w:rsidR="00D87A25" w:rsidRPr="00D87A25" w:rsidRDefault="00D87A25" w:rsidP="00627673">
      <w:pPr>
        <w:pStyle w:val="ListParagraph"/>
        <w:numPr>
          <w:ilvl w:val="0"/>
          <w:numId w:val="30"/>
        </w:numPr>
        <w:spacing w:before="120" w:after="120" w:line="240" w:lineRule="auto"/>
        <w:rPr>
          <w:rFonts w:ascii="Arial" w:eastAsia="Calibri" w:hAnsi="Arial" w:cs="Arial"/>
          <w:u w:val="single"/>
        </w:rPr>
      </w:pPr>
      <w:r w:rsidRPr="00D87A25">
        <w:rPr>
          <w:rFonts w:ascii="Arial" w:eastAsia="Calibri" w:hAnsi="Arial" w:cs="Arial"/>
        </w:rPr>
        <w:t>Ensure that the social security system provides adequate support to tackle child poverty, with a focus on supporting groups who disproportionately experience poverty and mitigating the impact of the pandemic and the increased cost of living. This should include scrapping the two-child limit and the benefit cap; permanently reducing the five-week wait for a first Universal Credit payment; and ensuring the rate of child benefit remains in line with inflation.</w:t>
      </w:r>
    </w:p>
    <w:p w14:paraId="5FA36DDF" w14:textId="77777777" w:rsidR="00D87A25" w:rsidRPr="00FE2884" w:rsidRDefault="00D87A25" w:rsidP="00627673">
      <w:pPr>
        <w:pStyle w:val="ListParagraph"/>
        <w:numPr>
          <w:ilvl w:val="0"/>
          <w:numId w:val="30"/>
        </w:numPr>
        <w:spacing w:before="120" w:after="120" w:line="240" w:lineRule="auto"/>
        <w:rPr>
          <w:rFonts w:ascii="Arial" w:eastAsia="Calibri" w:hAnsi="Arial" w:cs="Arial"/>
          <w:u w:val="single"/>
        </w:rPr>
      </w:pPr>
      <w:r w:rsidRPr="00FE2884">
        <w:rPr>
          <w:rFonts w:ascii="Arial" w:eastAsia="Calibri" w:hAnsi="Arial" w:cs="Arial"/>
        </w:rPr>
        <w:t>Develop a comprehensive child poverty strategy for England, with actions to eradicate child poverty and address the inequalities faced by children and young people that have been exacerbated by the pandemic and the increased cost of living, ensuring that the best interests of the child are taken as a primary consideration in line with its obligation under the CRC.</w:t>
      </w:r>
    </w:p>
    <w:p w14:paraId="0F42AB58" w14:textId="5A40E4A7" w:rsidR="00235DF5" w:rsidRPr="000254D5" w:rsidRDefault="00D87A25" w:rsidP="00A26DF5">
      <w:pPr>
        <w:pStyle w:val="ListParagraph"/>
        <w:numPr>
          <w:ilvl w:val="0"/>
          <w:numId w:val="30"/>
        </w:numPr>
        <w:spacing w:line="240" w:lineRule="auto"/>
        <w:contextualSpacing/>
        <w:rPr>
          <w:rFonts w:ascii="Arial" w:eastAsia="Calibri" w:hAnsi="Arial" w:cs="Arial"/>
          <w:u w:val="single"/>
        </w:rPr>
      </w:pPr>
      <w:r w:rsidRPr="00FE2884">
        <w:rPr>
          <w:rFonts w:ascii="Arial" w:eastAsia="Calibri" w:hAnsi="Arial" w:cs="Arial"/>
        </w:rPr>
        <w:t>Assess the impact of no recourse to public funds conditions on children’s rights, including through improved data collection, and take steps to mitigate any harmful outcomes for children.</w:t>
      </w:r>
    </w:p>
    <w:p w14:paraId="6379F34B" w14:textId="0797BDDE" w:rsidR="00235DF5" w:rsidRPr="00F2721D" w:rsidRDefault="00235DF5" w:rsidP="00235DF5">
      <w:pPr>
        <w:pStyle w:val="Heading1"/>
      </w:pPr>
      <w:bookmarkStart w:id="15" w:name="_Toc122018859"/>
      <w:r>
        <w:t>Education, leisure and cultural activities</w:t>
      </w:r>
      <w:r w:rsidRPr="00A26DF5">
        <w:t xml:space="preserve"> </w:t>
      </w:r>
      <w:r>
        <w:rPr>
          <w:rStyle w:val="Howtousethistemplate"/>
          <w:sz w:val="52"/>
        </w:rPr>
        <w:t>(Articles 28-31)</w:t>
      </w:r>
      <w:bookmarkEnd w:id="15"/>
    </w:p>
    <w:p w14:paraId="58777F0D" w14:textId="1961AFCB" w:rsidR="00235DF5" w:rsidRPr="000530C5" w:rsidRDefault="00235DF5" w:rsidP="00235DF5">
      <w:pPr>
        <w:pStyle w:val="Heading2"/>
      </w:pPr>
      <w:bookmarkStart w:id="16" w:name="_Toc122018860"/>
      <w:r>
        <w:t>The right to education</w:t>
      </w:r>
      <w:bookmarkEnd w:id="16"/>
    </w:p>
    <w:p w14:paraId="7156A300" w14:textId="0F1C970E" w:rsidR="00235DF5" w:rsidRPr="006E33D0" w:rsidRDefault="00235DF5" w:rsidP="00235DF5">
      <w:pPr>
        <w:keepNext/>
        <w:pBdr>
          <w:top w:val="single" w:sz="24" w:space="8" w:color="DDDE45"/>
          <w:left w:val="single" w:sz="24" w:space="4" w:color="F1F1B4"/>
          <w:bottom w:val="single" w:sz="48" w:space="1" w:color="F1F1B4"/>
          <w:right w:val="single" w:sz="24" w:space="4" w:color="F1F1B4"/>
        </w:pBdr>
        <w:shd w:val="clear" w:color="auto" w:fill="F1F1B4"/>
        <w:spacing w:before="120" w:line="240" w:lineRule="auto"/>
        <w:ind w:left="142" w:right="198"/>
        <w:rPr>
          <w:rFonts w:ascii="Arial" w:eastAsia="Arial" w:hAnsi="Arial" w:cs="Arial"/>
          <w:b/>
          <w:szCs w:val="24"/>
        </w:rPr>
      </w:pPr>
      <w:r w:rsidRPr="006E33D0">
        <w:rPr>
          <w:rFonts w:ascii="Arial" w:eastAsia="Arial" w:hAnsi="Arial" w:cs="Arial"/>
          <w:b/>
          <w:szCs w:val="24"/>
        </w:rPr>
        <w:t xml:space="preserve">See: </w:t>
      </w:r>
      <w:hyperlink r:id="rId40" w:history="1">
        <w:r w:rsidRPr="006E33D0">
          <w:rPr>
            <w:rFonts w:ascii="Arial" w:eastAsia="Arial" w:hAnsi="Arial" w:cs="Arial"/>
            <w:b/>
            <w:szCs w:val="24"/>
            <w:u w:val="single" w:color="009C98"/>
          </w:rPr>
          <w:t>Our 2020 submission</w:t>
        </w:r>
      </w:hyperlink>
      <w:r w:rsidRPr="006E33D0">
        <w:rPr>
          <w:rFonts w:ascii="Arial" w:eastAsia="Arial" w:hAnsi="Arial" w:cs="Arial"/>
          <w:b/>
          <w:szCs w:val="24"/>
        </w:rPr>
        <w:t xml:space="preserve"> (pages 30-35 and 46-50); </w:t>
      </w:r>
      <w:hyperlink r:id="rId41" w:history="1">
        <w:r w:rsidR="004B398A">
          <w:rPr>
            <w:rFonts w:ascii="Arial" w:eastAsia="Arial" w:hAnsi="Arial" w:cs="Arial"/>
            <w:b/>
            <w:szCs w:val="24"/>
            <w:u w:val="single" w:color="009C98"/>
          </w:rPr>
          <w:t>UNCRC list of i</w:t>
        </w:r>
        <w:r w:rsidRPr="006E33D0">
          <w:rPr>
            <w:rFonts w:ascii="Arial" w:eastAsia="Arial" w:hAnsi="Arial" w:cs="Arial"/>
            <w:b/>
            <w:szCs w:val="24"/>
            <w:u w:val="single" w:color="009C98"/>
          </w:rPr>
          <w:t>ssues</w:t>
        </w:r>
      </w:hyperlink>
      <w:r w:rsidRPr="006E33D0">
        <w:rPr>
          <w:rFonts w:ascii="Arial" w:eastAsia="Arial" w:hAnsi="Arial" w:cs="Arial"/>
          <w:b/>
          <w:szCs w:val="24"/>
        </w:rPr>
        <w:t xml:space="preserve"> (paras 19 and 29); </w:t>
      </w:r>
      <w:hyperlink r:id="rId42" w:history="1">
        <w:r w:rsidRPr="006E33D0">
          <w:rPr>
            <w:rFonts w:ascii="Arial" w:eastAsia="Arial" w:hAnsi="Arial" w:cs="Arial"/>
            <w:b/>
            <w:szCs w:val="24"/>
            <w:u w:val="single" w:color="009C98"/>
          </w:rPr>
          <w:t>UN Sustainable Development Goals</w:t>
        </w:r>
      </w:hyperlink>
      <w:r w:rsidRPr="006E33D0">
        <w:rPr>
          <w:rFonts w:ascii="Arial" w:eastAsia="Arial" w:hAnsi="Arial" w:cs="Arial"/>
          <w:b/>
          <w:szCs w:val="24"/>
        </w:rPr>
        <w:t xml:space="preserve"> (Goals 4 and 10)</w:t>
      </w:r>
    </w:p>
    <w:p w14:paraId="23B824EC" w14:textId="77777777" w:rsidR="00235DF5" w:rsidRPr="000131F4" w:rsidRDefault="00235DF5" w:rsidP="00235DF5">
      <w:pPr>
        <w:pStyle w:val="NoSpacing"/>
        <w:spacing w:before="120" w:after="120"/>
        <w:rPr>
          <w:rFonts w:ascii="Arial" w:hAnsi="Arial" w:cs="Arial"/>
          <w:sz w:val="24"/>
          <w:lang w:eastAsia="en-GB"/>
        </w:rPr>
      </w:pPr>
      <w:r w:rsidRPr="006E33D0">
        <w:rPr>
          <w:rFonts w:ascii="Arial" w:hAnsi="Arial" w:cs="Arial"/>
          <w:sz w:val="24"/>
          <w:lang w:eastAsia="en-GB"/>
        </w:rPr>
        <w:t>All children have a right to education on the basis of equal opportunity. However, some children face barriers to accessing education</w:t>
      </w:r>
      <w:r>
        <w:rPr>
          <w:rFonts w:ascii="Arial" w:hAnsi="Arial" w:cs="Arial"/>
          <w:sz w:val="24"/>
          <w:lang w:eastAsia="en-GB"/>
        </w:rPr>
        <w:t>,</w:t>
      </w:r>
      <w:r w:rsidRPr="006E33D0">
        <w:rPr>
          <w:rFonts w:ascii="Arial" w:hAnsi="Arial" w:cs="Arial"/>
          <w:sz w:val="24"/>
          <w:lang w:eastAsia="en-GB"/>
        </w:rPr>
        <w:t xml:space="preserve"> and</w:t>
      </w:r>
      <w:r>
        <w:rPr>
          <w:rFonts w:ascii="Arial" w:hAnsi="Arial" w:cs="Arial"/>
          <w:sz w:val="24"/>
          <w:lang w:eastAsia="en-GB"/>
        </w:rPr>
        <w:t xml:space="preserve"> experienc</w:t>
      </w:r>
      <w:r w:rsidRPr="000131F4">
        <w:rPr>
          <w:rFonts w:ascii="Arial" w:hAnsi="Arial" w:cs="Arial"/>
          <w:sz w:val="24"/>
          <w:lang w:eastAsia="en-GB"/>
        </w:rPr>
        <w:t xml:space="preserve">e inequalities in </w:t>
      </w:r>
      <w:r>
        <w:rPr>
          <w:rFonts w:ascii="Arial" w:hAnsi="Arial" w:cs="Arial"/>
          <w:sz w:val="24"/>
          <w:lang w:eastAsia="en-GB"/>
        </w:rPr>
        <w:t xml:space="preserve">educational </w:t>
      </w:r>
      <w:r w:rsidRPr="000131F4">
        <w:rPr>
          <w:rFonts w:ascii="Arial" w:hAnsi="Arial" w:cs="Arial"/>
          <w:sz w:val="24"/>
          <w:lang w:eastAsia="en-GB"/>
        </w:rPr>
        <w:t>attainment, many of which were heightened by the pandemic.</w:t>
      </w:r>
    </w:p>
    <w:p w14:paraId="1BD1D77A" w14:textId="5F4D0ED5" w:rsidR="00235DF5" w:rsidRPr="00B91A3D" w:rsidRDefault="00235DF5" w:rsidP="00235DF5">
      <w:pPr>
        <w:pStyle w:val="Heading3"/>
      </w:pPr>
      <w:r>
        <w:t>Educational attainment</w:t>
      </w:r>
    </w:p>
    <w:p w14:paraId="1171DC04" w14:textId="1FBF38C4" w:rsidR="00235DF5" w:rsidRPr="006E33D0" w:rsidRDefault="00EF274A" w:rsidP="00235DF5">
      <w:pPr>
        <w:pStyle w:val="NoSpacing"/>
        <w:spacing w:before="120" w:after="120"/>
        <w:rPr>
          <w:rFonts w:ascii="Arial" w:hAnsi="Arial" w:cs="Arial"/>
          <w:sz w:val="24"/>
          <w:szCs w:val="24"/>
          <w:lang w:eastAsia="en-GB"/>
        </w:rPr>
      </w:pPr>
      <w:r>
        <w:rPr>
          <w:rFonts w:ascii="Arial" w:hAnsi="Arial" w:cs="Arial"/>
          <w:sz w:val="24"/>
          <w:szCs w:val="24"/>
          <w:lang w:eastAsia="en-GB"/>
        </w:rPr>
        <w:t>Before</w:t>
      </w:r>
      <w:r w:rsidR="00235DF5" w:rsidRPr="006E33D0">
        <w:rPr>
          <w:rFonts w:ascii="Arial" w:hAnsi="Arial" w:cs="Arial"/>
          <w:sz w:val="24"/>
          <w:szCs w:val="24"/>
          <w:lang w:eastAsia="en-GB"/>
        </w:rPr>
        <w:t xml:space="preserve"> the pandemic, gaps in educational attainment negatively </w:t>
      </w:r>
      <w:r>
        <w:rPr>
          <w:rFonts w:ascii="Arial" w:hAnsi="Arial" w:cs="Arial"/>
          <w:sz w:val="24"/>
          <w:szCs w:val="24"/>
          <w:lang w:eastAsia="en-GB"/>
        </w:rPr>
        <w:t>affected</w:t>
      </w:r>
      <w:r w:rsidRPr="006E33D0">
        <w:rPr>
          <w:rFonts w:ascii="Arial" w:hAnsi="Arial" w:cs="Arial"/>
          <w:sz w:val="24"/>
          <w:szCs w:val="24"/>
          <w:lang w:eastAsia="en-GB"/>
        </w:rPr>
        <w:t xml:space="preserve"> </w:t>
      </w:r>
      <w:r w:rsidR="00235DF5" w:rsidRPr="006E33D0">
        <w:rPr>
          <w:rFonts w:ascii="Arial" w:hAnsi="Arial" w:cs="Arial"/>
          <w:sz w:val="24"/>
          <w:szCs w:val="24"/>
          <w:lang w:eastAsia="en-GB"/>
        </w:rPr>
        <w:t>boys,</w:t>
      </w:r>
      <w:r w:rsidR="00235DF5" w:rsidRPr="006E33D0">
        <w:rPr>
          <w:rStyle w:val="FootnoteReference"/>
          <w:rFonts w:ascii="Arial" w:hAnsi="Arial" w:cs="Arial"/>
          <w:sz w:val="24"/>
          <w:szCs w:val="24"/>
          <w:lang w:eastAsia="en-GB"/>
        </w:rPr>
        <w:footnoteReference w:id="293"/>
      </w:r>
      <w:r w:rsidR="00235DF5" w:rsidRPr="006E33D0">
        <w:rPr>
          <w:rFonts w:ascii="Arial" w:hAnsi="Arial" w:cs="Arial"/>
          <w:sz w:val="24"/>
          <w:szCs w:val="24"/>
          <w:lang w:eastAsia="en-GB"/>
        </w:rPr>
        <w:t xml:space="preserve"> disabled children,</w:t>
      </w:r>
      <w:r w:rsidR="00235DF5" w:rsidRPr="006E33D0">
        <w:rPr>
          <w:rStyle w:val="FootnoteReference"/>
          <w:rFonts w:ascii="Arial" w:hAnsi="Arial" w:cs="Arial"/>
          <w:sz w:val="24"/>
          <w:szCs w:val="24"/>
          <w:lang w:eastAsia="en-GB"/>
        </w:rPr>
        <w:footnoteReference w:id="294"/>
      </w:r>
      <w:r w:rsidR="00235DF5" w:rsidRPr="006E33D0">
        <w:rPr>
          <w:rFonts w:ascii="Arial" w:hAnsi="Arial" w:cs="Arial"/>
          <w:sz w:val="24"/>
          <w:szCs w:val="24"/>
          <w:lang w:eastAsia="en-GB"/>
        </w:rPr>
        <w:t xml:space="preserve"> socio-economically disadvantaged children,</w:t>
      </w:r>
      <w:r w:rsidR="00235DF5" w:rsidRPr="006E33D0">
        <w:rPr>
          <w:rStyle w:val="FootnoteReference"/>
          <w:rFonts w:ascii="Arial" w:hAnsi="Arial" w:cs="Arial"/>
          <w:sz w:val="24"/>
          <w:szCs w:val="24"/>
          <w:lang w:eastAsia="en-GB"/>
        </w:rPr>
        <w:footnoteReference w:id="295"/>
      </w:r>
      <w:r w:rsidR="00235DF5" w:rsidRPr="006E33D0">
        <w:rPr>
          <w:rFonts w:ascii="Arial" w:hAnsi="Arial" w:cs="Arial"/>
          <w:sz w:val="24"/>
          <w:szCs w:val="24"/>
          <w:lang w:eastAsia="en-GB"/>
        </w:rPr>
        <w:t xml:space="preserve"> and </w:t>
      </w:r>
      <w:r>
        <w:rPr>
          <w:rFonts w:ascii="Arial" w:hAnsi="Arial" w:cs="Arial"/>
          <w:sz w:val="24"/>
          <w:szCs w:val="24"/>
          <w:lang w:eastAsia="en-GB"/>
        </w:rPr>
        <w:t>children</w:t>
      </w:r>
      <w:r w:rsidRPr="006E33D0">
        <w:rPr>
          <w:rFonts w:ascii="Arial" w:hAnsi="Arial" w:cs="Arial"/>
          <w:sz w:val="24"/>
          <w:szCs w:val="24"/>
          <w:lang w:eastAsia="en-GB"/>
        </w:rPr>
        <w:t xml:space="preserve"> </w:t>
      </w:r>
      <w:r w:rsidR="00235DF5" w:rsidRPr="006E33D0">
        <w:rPr>
          <w:rFonts w:ascii="Arial" w:hAnsi="Arial" w:cs="Arial"/>
          <w:sz w:val="24"/>
          <w:szCs w:val="24"/>
          <w:lang w:eastAsia="en-GB"/>
        </w:rPr>
        <w:t>from certain ethnic groups.</w:t>
      </w:r>
      <w:r w:rsidR="00235DF5" w:rsidRPr="006E33D0">
        <w:rPr>
          <w:rStyle w:val="FootnoteReference"/>
          <w:rFonts w:ascii="Arial" w:hAnsi="Arial" w:cs="Arial"/>
          <w:sz w:val="24"/>
          <w:szCs w:val="24"/>
          <w:lang w:eastAsia="en-GB"/>
        </w:rPr>
        <w:footnoteReference w:id="296"/>
      </w:r>
      <w:r w:rsidR="00235DF5" w:rsidRPr="006E33D0">
        <w:rPr>
          <w:rFonts w:ascii="Arial" w:hAnsi="Arial" w:cs="Arial"/>
          <w:sz w:val="24"/>
          <w:szCs w:val="24"/>
          <w:lang w:eastAsia="en-GB"/>
        </w:rPr>
        <w:t xml:space="preserve"> In some cases these gaps were widening.</w:t>
      </w:r>
      <w:r w:rsidR="00235DF5" w:rsidRPr="006E33D0">
        <w:rPr>
          <w:rStyle w:val="FootnoteReference"/>
          <w:rFonts w:ascii="Arial" w:hAnsi="Arial" w:cs="Arial"/>
          <w:sz w:val="24"/>
          <w:szCs w:val="24"/>
          <w:lang w:eastAsia="en-GB"/>
        </w:rPr>
        <w:footnoteReference w:id="297"/>
      </w:r>
      <w:r w:rsidR="00235DF5" w:rsidRPr="006E33D0">
        <w:rPr>
          <w:rFonts w:ascii="Arial" w:hAnsi="Arial" w:cs="Arial"/>
          <w:sz w:val="24"/>
          <w:szCs w:val="24"/>
          <w:lang w:eastAsia="en-GB"/>
        </w:rPr>
        <w:t xml:space="preserve"> However, there have been changes to </w:t>
      </w:r>
      <w:r>
        <w:rPr>
          <w:rFonts w:ascii="Arial" w:hAnsi="Arial" w:cs="Arial"/>
          <w:sz w:val="24"/>
          <w:szCs w:val="24"/>
          <w:lang w:eastAsia="en-GB"/>
        </w:rPr>
        <w:t xml:space="preserve">measures of </w:t>
      </w:r>
      <w:r w:rsidR="00235DF5" w:rsidRPr="006E33D0">
        <w:rPr>
          <w:rFonts w:ascii="Arial" w:hAnsi="Arial" w:cs="Arial"/>
          <w:sz w:val="24"/>
          <w:szCs w:val="24"/>
          <w:lang w:eastAsia="en-GB"/>
        </w:rPr>
        <w:t>attainment</w:t>
      </w:r>
      <w:r>
        <w:rPr>
          <w:rFonts w:ascii="Arial" w:hAnsi="Arial" w:cs="Arial"/>
          <w:sz w:val="24"/>
          <w:szCs w:val="24"/>
          <w:lang w:eastAsia="en-GB"/>
        </w:rPr>
        <w:t xml:space="preserve">, </w:t>
      </w:r>
      <w:r w:rsidR="00235DF5" w:rsidRPr="006E33D0">
        <w:rPr>
          <w:rFonts w:ascii="Arial" w:hAnsi="Arial" w:cs="Arial"/>
          <w:sz w:val="24"/>
          <w:szCs w:val="24"/>
          <w:lang w:eastAsia="en-GB"/>
        </w:rPr>
        <w:t>which affect comparability over time.</w:t>
      </w:r>
    </w:p>
    <w:p w14:paraId="58124178" w14:textId="67E48FAA" w:rsidR="00235DF5" w:rsidRPr="006E33D0" w:rsidRDefault="00235DF5" w:rsidP="00235DF5">
      <w:pPr>
        <w:spacing w:before="120" w:line="240" w:lineRule="auto"/>
        <w:rPr>
          <w:rFonts w:ascii="Arial" w:eastAsia="Calibri" w:hAnsi="Arial" w:cs="Arial"/>
          <w:szCs w:val="24"/>
        </w:rPr>
      </w:pPr>
      <w:r w:rsidRPr="006E33D0">
        <w:rPr>
          <w:rFonts w:ascii="Arial" w:eastAsia="Calibri" w:hAnsi="Arial" w:cs="Arial"/>
          <w:szCs w:val="24"/>
        </w:rPr>
        <w:t xml:space="preserve">The causes of persistent attainment gaps are complex. For example, the socio-economic attainment gap is </w:t>
      </w:r>
      <w:r w:rsidR="00EF274A">
        <w:rPr>
          <w:rFonts w:ascii="Arial" w:eastAsia="Calibri" w:hAnsi="Arial" w:cs="Arial"/>
          <w:szCs w:val="24"/>
        </w:rPr>
        <w:t>affected</w:t>
      </w:r>
      <w:r w:rsidR="00EF274A" w:rsidRPr="006E33D0">
        <w:rPr>
          <w:rFonts w:ascii="Arial" w:eastAsia="Calibri" w:hAnsi="Arial" w:cs="Arial"/>
          <w:szCs w:val="24"/>
        </w:rPr>
        <w:t xml:space="preserve"> </w:t>
      </w:r>
      <w:r w:rsidRPr="006E33D0">
        <w:rPr>
          <w:rFonts w:ascii="Arial" w:eastAsia="Calibri" w:hAnsi="Arial" w:cs="Arial"/>
          <w:szCs w:val="24"/>
        </w:rPr>
        <w:t xml:space="preserve">by multiple factors, which are often linked to protected characteristics, including greater likelihood of poverty among certain </w:t>
      </w:r>
      <w:r w:rsidRPr="00605915">
        <w:rPr>
          <w:rFonts w:ascii="Arial" w:eastAsia="Calibri" w:hAnsi="Arial" w:cs="Arial"/>
          <w:szCs w:val="24"/>
        </w:rPr>
        <w:t xml:space="preserve">groups, </w:t>
      </w:r>
      <w:r w:rsidR="00371A7D">
        <w:rPr>
          <w:rFonts w:ascii="Arial" w:eastAsia="Calibri" w:hAnsi="Arial" w:cs="Arial"/>
          <w:szCs w:val="24"/>
        </w:rPr>
        <w:t xml:space="preserve">lower quality teaching and curricula, family stress, grouping of pupils according to early attainment, </w:t>
      </w:r>
      <w:r w:rsidRPr="00605915">
        <w:rPr>
          <w:rFonts w:ascii="Arial" w:eastAsia="Calibri" w:hAnsi="Arial" w:cs="Arial"/>
          <w:szCs w:val="24"/>
        </w:rPr>
        <w:t>and</w:t>
      </w:r>
      <w:r w:rsidRPr="006E33D0">
        <w:rPr>
          <w:rFonts w:ascii="Arial" w:eastAsia="Calibri" w:hAnsi="Arial" w:cs="Arial"/>
          <w:szCs w:val="24"/>
        </w:rPr>
        <w:t xml:space="preserve"> a lack of social and cultural capital.</w:t>
      </w:r>
      <w:r w:rsidRPr="006E33D0">
        <w:rPr>
          <w:rFonts w:ascii="Arial" w:eastAsia="Calibri" w:hAnsi="Arial" w:cs="Arial"/>
          <w:szCs w:val="24"/>
          <w:vertAlign w:val="superscript"/>
        </w:rPr>
        <w:footnoteReference w:id="298"/>
      </w:r>
      <w:r w:rsidRPr="006E33D0">
        <w:rPr>
          <w:rFonts w:ascii="Arial" w:eastAsia="Calibri" w:hAnsi="Arial" w:cs="Arial"/>
          <w:szCs w:val="24"/>
        </w:rPr>
        <w:t xml:space="preserve"> </w:t>
      </w:r>
      <w:r>
        <w:rPr>
          <w:rFonts w:ascii="Arial" w:eastAsia="Calibri" w:hAnsi="Arial" w:cs="Arial"/>
          <w:szCs w:val="24"/>
        </w:rPr>
        <w:t>L</w:t>
      </w:r>
      <w:r w:rsidRPr="006E33D0">
        <w:rPr>
          <w:rFonts w:ascii="Arial" w:eastAsia="Calibri" w:hAnsi="Arial" w:cs="Arial"/>
          <w:szCs w:val="24"/>
        </w:rPr>
        <w:t>ow educational attainment for disabled pupils can be influenced by factors such as lower parental expectations and bullying.</w:t>
      </w:r>
      <w:r w:rsidRPr="006E33D0">
        <w:rPr>
          <w:rFonts w:ascii="Arial" w:eastAsia="Calibri" w:hAnsi="Arial" w:cs="Arial"/>
          <w:szCs w:val="24"/>
          <w:vertAlign w:val="superscript"/>
        </w:rPr>
        <w:footnoteReference w:id="299"/>
      </w:r>
    </w:p>
    <w:p w14:paraId="4F668564" w14:textId="51279803" w:rsidR="00235DF5" w:rsidRPr="006E33D0" w:rsidRDefault="00235DF5" w:rsidP="00235DF5">
      <w:pPr>
        <w:pStyle w:val="NoSpacing"/>
        <w:spacing w:before="120" w:after="120"/>
        <w:rPr>
          <w:rFonts w:ascii="Arial" w:hAnsi="Arial" w:cs="Arial"/>
          <w:sz w:val="24"/>
          <w:szCs w:val="24"/>
          <w:lang w:eastAsia="en-GB"/>
        </w:rPr>
      </w:pPr>
      <w:r w:rsidRPr="006E33D0">
        <w:rPr>
          <w:rFonts w:ascii="Arial" w:eastAsia="Calibri" w:hAnsi="Arial" w:cs="Arial"/>
          <w:color w:val="0B0C0C"/>
          <w:sz w:val="24"/>
          <w:szCs w:val="24"/>
          <w:shd w:val="clear" w:color="auto" w:fill="FFFFFF"/>
        </w:rPr>
        <w:t xml:space="preserve">School exams were cancelled </w:t>
      </w:r>
      <w:r w:rsidR="00EF274A">
        <w:rPr>
          <w:rFonts w:ascii="Arial" w:eastAsia="Calibri" w:hAnsi="Arial" w:cs="Arial"/>
          <w:color w:val="0B0C0C"/>
          <w:sz w:val="24"/>
          <w:szCs w:val="24"/>
          <w:shd w:val="clear" w:color="auto" w:fill="FFFFFF"/>
        </w:rPr>
        <w:t>because of</w:t>
      </w:r>
      <w:r w:rsidR="004B398A">
        <w:rPr>
          <w:rFonts w:ascii="Arial" w:eastAsia="Calibri" w:hAnsi="Arial" w:cs="Arial"/>
          <w:color w:val="0B0C0C"/>
          <w:sz w:val="24"/>
          <w:szCs w:val="24"/>
          <w:shd w:val="clear" w:color="auto" w:fill="FFFFFF"/>
        </w:rPr>
        <w:t xml:space="preserve"> the pandemic in </w:t>
      </w:r>
      <w:r w:rsidRPr="006E33D0">
        <w:rPr>
          <w:rFonts w:ascii="Arial" w:eastAsia="Calibri" w:hAnsi="Arial" w:cs="Arial"/>
          <w:color w:val="0B0C0C"/>
          <w:sz w:val="24"/>
          <w:szCs w:val="24"/>
          <w:shd w:val="clear" w:color="auto" w:fill="FFFFFF"/>
        </w:rPr>
        <w:t>2020 and 2021</w:t>
      </w:r>
      <w:r w:rsidR="004B398A">
        <w:rPr>
          <w:rFonts w:ascii="Arial" w:eastAsia="Calibri" w:hAnsi="Arial" w:cs="Arial"/>
          <w:color w:val="0B0C0C"/>
          <w:sz w:val="24"/>
          <w:szCs w:val="24"/>
          <w:shd w:val="clear" w:color="auto" w:fill="FFFFFF"/>
        </w:rPr>
        <w:t>,</w:t>
      </w:r>
      <w:r w:rsidRPr="006E33D0">
        <w:rPr>
          <w:rFonts w:ascii="Arial" w:eastAsia="Calibri" w:hAnsi="Arial" w:cs="Arial"/>
          <w:color w:val="0B0C0C"/>
          <w:sz w:val="24"/>
          <w:szCs w:val="24"/>
          <w:shd w:val="clear" w:color="auto" w:fill="FFFFFF"/>
        </w:rPr>
        <w:t xml:space="preserve"> and alternative processes, including teacher-assessed grades and centre-assessed grades, were used </w:t>
      </w:r>
      <w:r w:rsidR="00EF274A">
        <w:rPr>
          <w:rFonts w:ascii="Arial" w:eastAsia="Calibri" w:hAnsi="Arial" w:cs="Arial"/>
          <w:color w:val="0B0C0C"/>
          <w:sz w:val="24"/>
          <w:szCs w:val="24"/>
          <w:shd w:val="clear" w:color="auto" w:fill="FFFFFF"/>
        </w:rPr>
        <w:t xml:space="preserve">instead </w:t>
      </w:r>
      <w:r w:rsidRPr="006E33D0">
        <w:rPr>
          <w:rFonts w:ascii="Arial" w:eastAsia="Calibri" w:hAnsi="Arial" w:cs="Arial"/>
          <w:color w:val="0B0C0C"/>
          <w:sz w:val="24"/>
          <w:szCs w:val="24"/>
          <w:shd w:val="clear" w:color="auto" w:fill="FFFFFF"/>
        </w:rPr>
        <w:t>to award grades.</w:t>
      </w:r>
      <w:r w:rsidR="00AA34C8">
        <w:rPr>
          <w:rFonts w:ascii="Arial" w:eastAsia="Calibri" w:hAnsi="Arial" w:cs="Arial"/>
          <w:color w:val="0B0C0C"/>
          <w:sz w:val="24"/>
          <w:szCs w:val="24"/>
          <w:shd w:val="clear" w:color="auto" w:fill="FFFFFF"/>
        </w:rPr>
        <w:t xml:space="preserve"> </w:t>
      </w:r>
      <w:r w:rsidRPr="006E33D0">
        <w:rPr>
          <w:rFonts w:ascii="Arial" w:eastAsia="Calibri" w:hAnsi="Arial" w:cs="Arial"/>
          <w:color w:val="0B0C0C"/>
          <w:sz w:val="24"/>
          <w:szCs w:val="24"/>
          <w:shd w:val="clear" w:color="auto" w:fill="FFFFFF"/>
        </w:rPr>
        <w:t xml:space="preserve">This </w:t>
      </w:r>
      <w:r w:rsidRPr="006E33D0">
        <w:rPr>
          <w:rFonts w:ascii="Arial" w:eastAsia="Calibri" w:hAnsi="Arial" w:cs="Arial"/>
          <w:sz w:val="24"/>
          <w:szCs w:val="24"/>
          <w:lang w:eastAsia="en-GB"/>
        </w:rPr>
        <w:t xml:space="preserve">further complicates the ability to understand the impact </w:t>
      </w:r>
      <w:r w:rsidR="00EF274A">
        <w:rPr>
          <w:rFonts w:ascii="Arial" w:eastAsia="Calibri" w:hAnsi="Arial" w:cs="Arial"/>
          <w:sz w:val="24"/>
          <w:szCs w:val="24"/>
          <w:lang w:eastAsia="en-GB"/>
        </w:rPr>
        <w:t>that the pandemic has had on attainment based on exams.</w:t>
      </w:r>
    </w:p>
    <w:p w14:paraId="15EF2335" w14:textId="61C749DF" w:rsidR="00235DF5" w:rsidRPr="00B91A3D" w:rsidRDefault="00235DF5" w:rsidP="00235DF5">
      <w:pPr>
        <w:pStyle w:val="Heading3"/>
      </w:pPr>
      <w:r>
        <w:t>Access to education</w:t>
      </w:r>
    </w:p>
    <w:p w14:paraId="34594115" w14:textId="6E7893B5" w:rsidR="004B398A" w:rsidRDefault="00235DF5" w:rsidP="00235DF5">
      <w:pPr>
        <w:pStyle w:val="NoSpacing"/>
        <w:spacing w:before="120" w:after="120"/>
        <w:rPr>
          <w:rFonts w:ascii="Arial" w:hAnsi="Arial" w:cs="Arial"/>
          <w:sz w:val="24"/>
          <w:szCs w:val="24"/>
          <w:lang w:eastAsia="en-GB"/>
        </w:rPr>
      </w:pPr>
      <w:r w:rsidRPr="006E33D0">
        <w:rPr>
          <w:rFonts w:ascii="Arial" w:hAnsi="Arial" w:cs="Arial"/>
          <w:sz w:val="24"/>
          <w:szCs w:val="24"/>
          <w:lang w:eastAsia="en-GB"/>
        </w:rPr>
        <w:t>The UK Parliament’s Public Accounts Committee concl</w:t>
      </w:r>
      <w:r>
        <w:rPr>
          <w:rFonts w:ascii="Arial" w:hAnsi="Arial" w:cs="Arial"/>
          <w:sz w:val="24"/>
          <w:szCs w:val="24"/>
          <w:lang w:eastAsia="en-GB"/>
        </w:rPr>
        <w:t>uded in 2021 that the DfE</w:t>
      </w:r>
      <w:r w:rsidRPr="006E33D0">
        <w:rPr>
          <w:rFonts w:ascii="Arial" w:hAnsi="Arial" w:cs="Arial"/>
          <w:sz w:val="24"/>
          <w:szCs w:val="24"/>
          <w:lang w:eastAsia="en-GB"/>
        </w:rPr>
        <w:t xml:space="preserve"> was unprepared to manage the </w:t>
      </w:r>
      <w:r w:rsidR="00EF274A">
        <w:rPr>
          <w:rFonts w:ascii="Arial" w:hAnsi="Arial" w:cs="Arial"/>
          <w:sz w:val="24"/>
          <w:szCs w:val="24"/>
          <w:lang w:eastAsia="en-GB"/>
        </w:rPr>
        <w:t>effect</w:t>
      </w:r>
      <w:r w:rsidR="00EF274A" w:rsidRPr="006E33D0">
        <w:rPr>
          <w:rFonts w:ascii="Arial" w:hAnsi="Arial" w:cs="Arial"/>
          <w:sz w:val="24"/>
          <w:szCs w:val="24"/>
          <w:lang w:eastAsia="en-GB"/>
        </w:rPr>
        <w:t xml:space="preserve"> </w:t>
      </w:r>
      <w:r w:rsidRPr="006E33D0">
        <w:rPr>
          <w:rFonts w:ascii="Arial" w:hAnsi="Arial" w:cs="Arial"/>
          <w:sz w:val="24"/>
          <w:szCs w:val="24"/>
          <w:lang w:eastAsia="en-GB"/>
        </w:rPr>
        <w:t>of the pandemic on children’s education in England, despite part</w:t>
      </w:r>
      <w:r w:rsidR="00EF274A">
        <w:rPr>
          <w:rFonts w:ascii="Arial" w:hAnsi="Arial" w:cs="Arial"/>
          <w:sz w:val="24"/>
          <w:szCs w:val="24"/>
          <w:lang w:eastAsia="en-GB"/>
        </w:rPr>
        <w:t>icipating</w:t>
      </w:r>
      <w:r w:rsidRPr="006E33D0">
        <w:rPr>
          <w:rFonts w:ascii="Arial" w:hAnsi="Arial" w:cs="Arial"/>
          <w:sz w:val="24"/>
          <w:szCs w:val="24"/>
          <w:lang w:eastAsia="en-GB"/>
        </w:rPr>
        <w:t xml:space="preserve"> in a 2016 exercise </w:t>
      </w:r>
      <w:r w:rsidR="00EF274A">
        <w:rPr>
          <w:rFonts w:ascii="Arial" w:hAnsi="Arial" w:cs="Arial"/>
          <w:sz w:val="24"/>
          <w:szCs w:val="24"/>
          <w:lang w:eastAsia="en-GB"/>
        </w:rPr>
        <w:t>to</w:t>
      </w:r>
      <w:r w:rsidRPr="006E33D0">
        <w:rPr>
          <w:rFonts w:ascii="Arial" w:hAnsi="Arial" w:cs="Arial"/>
          <w:sz w:val="24"/>
          <w:szCs w:val="24"/>
          <w:lang w:eastAsia="en-GB"/>
        </w:rPr>
        <w:t xml:space="preserve"> </w:t>
      </w:r>
      <w:r w:rsidR="00EF274A">
        <w:rPr>
          <w:rFonts w:ascii="Arial" w:hAnsi="Arial" w:cs="Arial"/>
          <w:sz w:val="24"/>
          <w:szCs w:val="24"/>
          <w:lang w:eastAsia="en-GB"/>
        </w:rPr>
        <w:t>prepare</w:t>
      </w:r>
      <w:r w:rsidR="00EF274A" w:rsidRPr="006E33D0">
        <w:rPr>
          <w:rFonts w:ascii="Arial" w:hAnsi="Arial" w:cs="Arial"/>
          <w:sz w:val="24"/>
          <w:szCs w:val="24"/>
          <w:lang w:eastAsia="en-GB"/>
        </w:rPr>
        <w:t xml:space="preserve"> </w:t>
      </w:r>
      <w:r w:rsidRPr="006E33D0">
        <w:rPr>
          <w:rFonts w:ascii="Arial" w:hAnsi="Arial" w:cs="Arial"/>
          <w:sz w:val="24"/>
          <w:szCs w:val="24"/>
          <w:lang w:eastAsia="en-GB"/>
        </w:rPr>
        <w:t>for a flu pandemic.</w:t>
      </w:r>
      <w:r w:rsidRPr="006E33D0">
        <w:rPr>
          <w:rStyle w:val="FootnoteReference"/>
          <w:rFonts w:ascii="Arial" w:hAnsi="Arial" w:cs="Arial"/>
          <w:sz w:val="24"/>
          <w:szCs w:val="24"/>
          <w:lang w:eastAsia="en-GB"/>
        </w:rPr>
        <w:footnoteReference w:id="300"/>
      </w:r>
      <w:r w:rsidRPr="006E33D0">
        <w:rPr>
          <w:rFonts w:ascii="Arial" w:hAnsi="Arial" w:cs="Arial"/>
          <w:sz w:val="24"/>
          <w:szCs w:val="24"/>
          <w:lang w:eastAsia="en-GB"/>
        </w:rPr>
        <w:t xml:space="preserve"> </w:t>
      </w:r>
    </w:p>
    <w:p w14:paraId="31A33F62" w14:textId="77777777" w:rsidR="004B398A" w:rsidRDefault="00235DF5" w:rsidP="00235DF5">
      <w:pPr>
        <w:pStyle w:val="NoSpacing"/>
        <w:spacing w:before="120" w:after="120"/>
        <w:rPr>
          <w:rFonts w:ascii="Arial" w:hAnsi="Arial" w:cs="Arial"/>
          <w:sz w:val="24"/>
          <w:szCs w:val="24"/>
          <w:shd w:val="clear" w:color="auto" w:fill="FFFFFF"/>
        </w:rPr>
      </w:pPr>
      <w:r w:rsidRPr="006E33D0">
        <w:rPr>
          <w:rFonts w:ascii="Arial" w:hAnsi="Arial" w:cs="Arial"/>
          <w:sz w:val="24"/>
          <w:szCs w:val="24"/>
          <w:lang w:eastAsia="en-GB"/>
        </w:rPr>
        <w:t>At times through the pandemic, schools closed to all except vulnerable children and th</w:t>
      </w:r>
      <w:r w:rsidR="00EF274A">
        <w:rPr>
          <w:rFonts w:ascii="Arial" w:hAnsi="Arial" w:cs="Arial"/>
          <w:sz w:val="24"/>
          <w:szCs w:val="24"/>
          <w:lang w:eastAsia="en-GB"/>
        </w:rPr>
        <w:t>e children</w:t>
      </w:r>
      <w:r w:rsidRPr="006E33D0">
        <w:rPr>
          <w:rFonts w:ascii="Arial" w:hAnsi="Arial" w:cs="Arial"/>
          <w:sz w:val="24"/>
          <w:szCs w:val="24"/>
          <w:lang w:eastAsia="en-GB"/>
        </w:rPr>
        <w:t xml:space="preserve"> of critical workers, although attendance levels for vulnerable children remained low.</w:t>
      </w:r>
      <w:r w:rsidRPr="006E33D0">
        <w:rPr>
          <w:rStyle w:val="FootnoteReference"/>
          <w:rFonts w:ascii="Arial" w:hAnsi="Arial" w:cs="Arial"/>
          <w:sz w:val="24"/>
          <w:szCs w:val="24"/>
          <w:lang w:eastAsia="en-GB"/>
        </w:rPr>
        <w:footnoteReference w:id="301"/>
      </w:r>
      <w:r w:rsidRPr="006E33D0">
        <w:rPr>
          <w:rFonts w:ascii="Arial" w:hAnsi="Arial" w:cs="Arial"/>
          <w:sz w:val="24"/>
          <w:szCs w:val="24"/>
          <w:lang w:eastAsia="en-GB"/>
        </w:rPr>
        <w:t xml:space="preserve"> Between March 2020 and April 2021, pupils </w:t>
      </w:r>
      <w:r w:rsidR="00EF274A">
        <w:rPr>
          <w:rFonts w:ascii="Arial" w:hAnsi="Arial" w:cs="Arial"/>
          <w:sz w:val="24"/>
          <w:szCs w:val="24"/>
          <w:lang w:eastAsia="en-GB"/>
        </w:rPr>
        <w:t xml:space="preserve">in England </w:t>
      </w:r>
      <w:r w:rsidRPr="006E33D0">
        <w:rPr>
          <w:rFonts w:ascii="Arial" w:hAnsi="Arial" w:cs="Arial"/>
          <w:sz w:val="24"/>
          <w:szCs w:val="24"/>
          <w:lang w:eastAsia="en-GB"/>
        </w:rPr>
        <w:t>lost an average of 61 days of schooling</w:t>
      </w:r>
      <w:r w:rsidR="00EF274A">
        <w:rPr>
          <w:rFonts w:ascii="Arial" w:hAnsi="Arial" w:cs="Arial"/>
          <w:sz w:val="24"/>
          <w:szCs w:val="24"/>
          <w:lang w:eastAsia="en-GB"/>
        </w:rPr>
        <w:t>, and pupils</w:t>
      </w:r>
      <w:r w:rsidRPr="006E33D0">
        <w:rPr>
          <w:rFonts w:ascii="Arial" w:hAnsi="Arial" w:cs="Arial"/>
          <w:sz w:val="24"/>
          <w:szCs w:val="24"/>
          <w:lang w:eastAsia="en-GB"/>
        </w:rPr>
        <w:t xml:space="preserve"> in Wales</w:t>
      </w:r>
      <w:r w:rsidR="00EF274A">
        <w:rPr>
          <w:rFonts w:ascii="Arial" w:hAnsi="Arial" w:cs="Arial"/>
          <w:sz w:val="24"/>
          <w:szCs w:val="24"/>
          <w:lang w:eastAsia="en-GB"/>
        </w:rPr>
        <w:t xml:space="preserve"> lost an average of 66 days of schooling</w:t>
      </w:r>
      <w:r w:rsidRPr="006E33D0">
        <w:rPr>
          <w:rFonts w:ascii="Arial" w:hAnsi="Arial" w:cs="Arial"/>
          <w:sz w:val="24"/>
          <w:szCs w:val="24"/>
          <w:lang w:eastAsia="en-GB"/>
        </w:rPr>
        <w:t>.</w:t>
      </w:r>
      <w:r w:rsidRPr="006E33D0">
        <w:rPr>
          <w:rStyle w:val="FootnoteReference"/>
          <w:rFonts w:ascii="Arial" w:hAnsi="Arial" w:cs="Arial"/>
          <w:sz w:val="24"/>
          <w:szCs w:val="24"/>
          <w:lang w:eastAsia="en-GB"/>
        </w:rPr>
        <w:footnoteReference w:id="302"/>
      </w:r>
      <w:r w:rsidRPr="006E33D0">
        <w:rPr>
          <w:rFonts w:ascii="Arial" w:hAnsi="Arial" w:cs="Arial"/>
          <w:sz w:val="24"/>
          <w:szCs w:val="24"/>
          <w:lang w:eastAsia="en-GB"/>
        </w:rPr>
        <w:t xml:space="preserve"> Pupils from </w:t>
      </w:r>
      <w:r w:rsidRPr="006E33D0">
        <w:rPr>
          <w:rFonts w:ascii="Arial" w:hAnsi="Arial" w:cs="Arial"/>
          <w:sz w:val="24"/>
          <w:szCs w:val="24"/>
          <w:shd w:val="clear" w:color="auto" w:fill="FFFFFF"/>
        </w:rPr>
        <w:t>disadvantaged backgrounds experienced greater learning losses of both time and their reading and mathematical development.</w:t>
      </w:r>
      <w:r w:rsidRPr="006E33D0">
        <w:rPr>
          <w:rStyle w:val="FootnoteReference"/>
          <w:rFonts w:ascii="Arial" w:hAnsi="Arial" w:cs="Arial"/>
          <w:sz w:val="24"/>
          <w:szCs w:val="24"/>
          <w:shd w:val="clear" w:color="auto" w:fill="FFFFFF"/>
        </w:rPr>
        <w:footnoteReference w:id="303"/>
      </w:r>
      <w:r w:rsidRPr="006E33D0">
        <w:rPr>
          <w:rFonts w:ascii="Arial" w:hAnsi="Arial" w:cs="Arial"/>
          <w:sz w:val="24"/>
          <w:szCs w:val="24"/>
          <w:shd w:val="clear" w:color="auto" w:fill="FFFFFF"/>
        </w:rPr>
        <w:t xml:space="preserve"> </w:t>
      </w:r>
    </w:p>
    <w:p w14:paraId="07E7DB18" w14:textId="146A828D" w:rsidR="004B398A" w:rsidRDefault="00605915" w:rsidP="00235DF5">
      <w:pPr>
        <w:pStyle w:val="NoSpacing"/>
        <w:spacing w:before="120" w:after="120"/>
        <w:rPr>
          <w:rFonts w:ascii="Arial" w:hAnsi="Arial" w:cs="Arial"/>
          <w:sz w:val="24"/>
          <w:szCs w:val="24"/>
          <w:lang w:eastAsia="en-GB"/>
        </w:rPr>
      </w:pPr>
      <w:r>
        <w:rPr>
          <w:rFonts w:ascii="Arial" w:hAnsi="Arial" w:cs="Arial"/>
          <w:sz w:val="24"/>
          <w:szCs w:val="24"/>
          <w:shd w:val="clear" w:color="auto" w:fill="FFFFFF"/>
        </w:rPr>
        <w:t>R</w:t>
      </w:r>
      <w:r w:rsidR="00235DF5" w:rsidRPr="006E33D0">
        <w:rPr>
          <w:rFonts w:ascii="Arial" w:hAnsi="Arial" w:cs="Arial"/>
          <w:sz w:val="24"/>
          <w:szCs w:val="24"/>
          <w:shd w:val="clear" w:color="auto" w:fill="FFFFFF"/>
        </w:rPr>
        <w:t xml:space="preserve">esearch </w:t>
      </w:r>
      <w:r w:rsidR="00EF274A">
        <w:rPr>
          <w:rFonts w:ascii="Arial" w:hAnsi="Arial" w:cs="Arial"/>
          <w:sz w:val="24"/>
          <w:szCs w:val="24"/>
          <w:shd w:val="clear" w:color="auto" w:fill="FFFFFF"/>
        </w:rPr>
        <w:t xml:space="preserve">has </w:t>
      </w:r>
      <w:r w:rsidR="00235DF5" w:rsidRPr="006E33D0">
        <w:rPr>
          <w:rFonts w:ascii="Arial" w:hAnsi="Arial" w:cs="Arial"/>
          <w:sz w:val="24"/>
          <w:szCs w:val="24"/>
          <w:shd w:val="clear" w:color="auto" w:fill="FFFFFF"/>
        </w:rPr>
        <w:t>suggest</w:t>
      </w:r>
      <w:r w:rsidR="00EF274A">
        <w:rPr>
          <w:rFonts w:ascii="Arial" w:hAnsi="Arial" w:cs="Arial"/>
          <w:sz w:val="24"/>
          <w:szCs w:val="24"/>
          <w:shd w:val="clear" w:color="auto" w:fill="FFFFFF"/>
        </w:rPr>
        <w:t>ed</w:t>
      </w:r>
      <w:r w:rsidR="00235DF5" w:rsidRPr="006E33D0">
        <w:rPr>
          <w:rFonts w:ascii="Arial" w:hAnsi="Arial" w:cs="Arial"/>
          <w:sz w:val="24"/>
          <w:szCs w:val="24"/>
          <w:shd w:val="clear" w:color="auto" w:fill="FFFFFF"/>
        </w:rPr>
        <w:t xml:space="preserve"> that disadvantaged secondary school pupils were on average 3.5 months behind in reading in the 2021/22 </w:t>
      </w:r>
      <w:r w:rsidR="00C221BF">
        <w:rPr>
          <w:rFonts w:ascii="Arial" w:hAnsi="Arial" w:cs="Arial"/>
          <w:sz w:val="24"/>
          <w:szCs w:val="24"/>
          <w:shd w:val="clear" w:color="auto" w:fill="FFFFFF"/>
        </w:rPr>
        <w:t>a</w:t>
      </w:r>
      <w:r w:rsidR="00235DF5" w:rsidRPr="006E33D0">
        <w:rPr>
          <w:rFonts w:ascii="Arial" w:hAnsi="Arial" w:cs="Arial"/>
          <w:sz w:val="24"/>
          <w:szCs w:val="24"/>
          <w:shd w:val="clear" w:color="auto" w:fill="FFFFFF"/>
        </w:rPr>
        <w:t xml:space="preserve">utumn term, compared </w:t>
      </w:r>
      <w:r w:rsidR="00EF274A">
        <w:rPr>
          <w:rFonts w:ascii="Arial" w:hAnsi="Arial" w:cs="Arial"/>
          <w:sz w:val="24"/>
          <w:szCs w:val="24"/>
          <w:shd w:val="clear" w:color="auto" w:fill="FFFFFF"/>
        </w:rPr>
        <w:t>with</w:t>
      </w:r>
      <w:r w:rsidR="00EF274A" w:rsidRPr="006E33D0">
        <w:rPr>
          <w:rFonts w:ascii="Arial" w:hAnsi="Arial" w:cs="Arial"/>
          <w:sz w:val="24"/>
          <w:szCs w:val="24"/>
          <w:shd w:val="clear" w:color="auto" w:fill="FFFFFF"/>
        </w:rPr>
        <w:t xml:space="preserve"> </w:t>
      </w:r>
      <w:r w:rsidR="00235DF5" w:rsidRPr="006E33D0">
        <w:rPr>
          <w:rFonts w:ascii="Arial" w:hAnsi="Arial" w:cs="Arial"/>
          <w:sz w:val="24"/>
          <w:szCs w:val="24"/>
          <w:shd w:val="clear" w:color="auto" w:fill="FFFFFF"/>
        </w:rPr>
        <w:t>2.0 months for non-disadvantaged pupils.</w:t>
      </w:r>
      <w:r w:rsidR="00235DF5" w:rsidRPr="006E33D0" w:rsidDel="00CA7D58">
        <w:rPr>
          <w:rStyle w:val="FootnoteReference"/>
          <w:rFonts w:ascii="Arial" w:hAnsi="Arial" w:cs="Arial"/>
          <w:sz w:val="24"/>
          <w:szCs w:val="24"/>
          <w:shd w:val="clear" w:color="auto" w:fill="FFFFFF"/>
        </w:rPr>
        <w:footnoteReference w:id="304"/>
      </w:r>
      <w:r w:rsidR="00235DF5" w:rsidRPr="006E33D0">
        <w:rPr>
          <w:rFonts w:ascii="Arial" w:hAnsi="Arial" w:cs="Arial"/>
          <w:sz w:val="24"/>
          <w:szCs w:val="24"/>
          <w:lang w:eastAsia="en-GB"/>
        </w:rPr>
        <w:t xml:space="preserve"> </w:t>
      </w:r>
      <w:r w:rsidR="00235DF5">
        <w:rPr>
          <w:rFonts w:ascii="Arial" w:hAnsi="Arial" w:cs="Arial"/>
          <w:sz w:val="24"/>
          <w:szCs w:val="24"/>
          <w:lang w:eastAsia="en-GB"/>
        </w:rPr>
        <w:t>E</w:t>
      </w:r>
      <w:r w:rsidR="00235DF5" w:rsidRPr="006E33D0">
        <w:rPr>
          <w:rFonts w:ascii="Arial" w:hAnsi="Arial" w:cs="Arial"/>
          <w:sz w:val="24"/>
          <w:szCs w:val="24"/>
          <w:lang w:eastAsia="en-GB"/>
        </w:rPr>
        <w:t>vidence from an assessment provider, derived from aggregated results from 700,000 primary school tests, suggests that the gaps between disadvantaged primary pupils a</w:t>
      </w:r>
      <w:r w:rsidR="00C221BF">
        <w:rPr>
          <w:rFonts w:ascii="Arial" w:hAnsi="Arial" w:cs="Arial"/>
          <w:sz w:val="24"/>
          <w:szCs w:val="24"/>
          <w:lang w:eastAsia="en-GB"/>
        </w:rPr>
        <w:t>nd their peers were smaller in s</w:t>
      </w:r>
      <w:r w:rsidR="00235DF5" w:rsidRPr="006E33D0">
        <w:rPr>
          <w:rFonts w:ascii="Arial" w:hAnsi="Arial" w:cs="Arial"/>
          <w:sz w:val="24"/>
          <w:szCs w:val="24"/>
          <w:lang w:eastAsia="en-GB"/>
        </w:rPr>
        <w:t xml:space="preserve">pring 2022 compared </w:t>
      </w:r>
      <w:r w:rsidR="00EF274A">
        <w:rPr>
          <w:rFonts w:ascii="Arial" w:hAnsi="Arial" w:cs="Arial"/>
          <w:sz w:val="24"/>
          <w:szCs w:val="24"/>
          <w:lang w:eastAsia="en-GB"/>
        </w:rPr>
        <w:t>with</w:t>
      </w:r>
      <w:r w:rsidR="00EF274A" w:rsidRPr="006E33D0">
        <w:rPr>
          <w:rFonts w:ascii="Arial" w:hAnsi="Arial" w:cs="Arial"/>
          <w:sz w:val="24"/>
          <w:szCs w:val="24"/>
          <w:lang w:eastAsia="en-GB"/>
        </w:rPr>
        <w:t xml:space="preserve"> </w:t>
      </w:r>
      <w:r w:rsidR="00C221BF">
        <w:rPr>
          <w:rFonts w:ascii="Arial" w:hAnsi="Arial" w:cs="Arial"/>
          <w:sz w:val="24"/>
          <w:szCs w:val="24"/>
          <w:lang w:eastAsia="en-GB"/>
        </w:rPr>
        <w:t>s</w:t>
      </w:r>
      <w:r w:rsidR="00235DF5" w:rsidRPr="006E33D0">
        <w:rPr>
          <w:rFonts w:ascii="Arial" w:hAnsi="Arial" w:cs="Arial"/>
          <w:sz w:val="24"/>
          <w:szCs w:val="24"/>
          <w:lang w:eastAsia="en-GB"/>
        </w:rPr>
        <w:t>pring 2021. However, the disadvantage gap at primary level still appears to be larger than it was pre-pandemic in some areas of the curriculum.</w:t>
      </w:r>
      <w:r w:rsidR="00235DF5" w:rsidRPr="006E33D0">
        <w:rPr>
          <w:rStyle w:val="FootnoteReference"/>
          <w:rFonts w:ascii="Arial" w:hAnsi="Arial" w:cs="Arial"/>
          <w:sz w:val="24"/>
          <w:szCs w:val="24"/>
          <w:lang w:eastAsia="en-GB"/>
        </w:rPr>
        <w:footnoteReference w:id="305"/>
      </w:r>
      <w:r w:rsidR="00235DF5" w:rsidRPr="006E33D0">
        <w:rPr>
          <w:rFonts w:ascii="Arial" w:hAnsi="Arial" w:cs="Arial"/>
          <w:sz w:val="24"/>
          <w:szCs w:val="24"/>
          <w:lang w:eastAsia="en-GB"/>
        </w:rPr>
        <w:t xml:space="preserve"> </w:t>
      </w:r>
    </w:p>
    <w:p w14:paraId="35531F19" w14:textId="64937477" w:rsidR="00235DF5" w:rsidRPr="004B398A" w:rsidRDefault="00235DF5" w:rsidP="00235DF5">
      <w:pPr>
        <w:pStyle w:val="NoSpacing"/>
        <w:spacing w:before="120" w:after="120"/>
        <w:rPr>
          <w:rFonts w:ascii="Arial" w:hAnsi="Arial" w:cs="Arial"/>
          <w:sz w:val="24"/>
          <w:szCs w:val="24"/>
          <w:lang w:eastAsia="en-GB"/>
        </w:rPr>
      </w:pPr>
      <w:r w:rsidRPr="006E33D0">
        <w:rPr>
          <w:rFonts w:ascii="Arial" w:hAnsi="Arial" w:cs="Arial"/>
          <w:sz w:val="24"/>
          <w:szCs w:val="24"/>
          <w:lang w:eastAsia="en-GB"/>
        </w:rPr>
        <w:t xml:space="preserve">The loss of face-to-face schooling is expected to significantly </w:t>
      </w:r>
      <w:r w:rsidR="004B398A">
        <w:rPr>
          <w:rFonts w:ascii="Arial" w:hAnsi="Arial" w:cs="Arial"/>
          <w:sz w:val="24"/>
          <w:szCs w:val="24"/>
          <w:lang w:eastAsia="en-GB"/>
        </w:rPr>
        <w:t>affect</w:t>
      </w:r>
      <w:r w:rsidRPr="006E33D0">
        <w:rPr>
          <w:rFonts w:ascii="Arial" w:hAnsi="Arial" w:cs="Arial"/>
          <w:sz w:val="24"/>
          <w:szCs w:val="24"/>
          <w:lang w:eastAsia="en-GB"/>
        </w:rPr>
        <w:t xml:space="preserve"> the lifetime earnings of a generation of children,</w:t>
      </w:r>
      <w:r w:rsidRPr="006E33D0">
        <w:rPr>
          <w:rStyle w:val="FootnoteReference"/>
          <w:rFonts w:ascii="Arial" w:hAnsi="Arial" w:cs="Arial"/>
          <w:sz w:val="24"/>
          <w:szCs w:val="24"/>
          <w:lang w:eastAsia="en-GB"/>
        </w:rPr>
        <w:footnoteReference w:id="306"/>
      </w:r>
      <w:r w:rsidRPr="006E33D0">
        <w:rPr>
          <w:rFonts w:ascii="Arial" w:hAnsi="Arial" w:cs="Arial"/>
          <w:sz w:val="24"/>
          <w:szCs w:val="24"/>
          <w:lang w:eastAsia="en-GB"/>
        </w:rPr>
        <w:t xml:space="preserve"> although disaggregated data</w:t>
      </w:r>
      <w:r w:rsidRPr="006E33D0">
        <w:rPr>
          <w:rFonts w:ascii="Arial" w:eastAsia="Arial" w:hAnsi="Arial" w:cs="Arial"/>
          <w:sz w:val="24"/>
          <w:szCs w:val="24"/>
        </w:rPr>
        <w:t xml:space="preserve"> on the impact </w:t>
      </w:r>
      <w:r w:rsidRPr="006E33D0" w:rsidDel="00FA4487">
        <w:rPr>
          <w:rFonts w:ascii="Arial" w:eastAsia="Arial" w:hAnsi="Arial" w:cs="Arial"/>
          <w:sz w:val="24"/>
          <w:szCs w:val="24"/>
        </w:rPr>
        <w:t xml:space="preserve">of the pandemic </w:t>
      </w:r>
      <w:r w:rsidRPr="006E33D0">
        <w:rPr>
          <w:rFonts w:ascii="Arial" w:eastAsia="Arial" w:hAnsi="Arial" w:cs="Arial"/>
          <w:sz w:val="24"/>
          <w:szCs w:val="24"/>
        </w:rPr>
        <w:t>on children’s education is limited,</w:t>
      </w:r>
      <w:r w:rsidRPr="006E33D0">
        <w:rPr>
          <w:rFonts w:ascii="Arial" w:eastAsia="Arial" w:hAnsi="Arial" w:cs="Arial"/>
          <w:sz w:val="24"/>
          <w:szCs w:val="24"/>
          <w:vertAlign w:val="superscript"/>
        </w:rPr>
        <w:footnoteReference w:id="307"/>
      </w:r>
      <w:r w:rsidRPr="006E33D0">
        <w:rPr>
          <w:rFonts w:ascii="Arial" w:eastAsia="Arial" w:hAnsi="Arial" w:cs="Arial"/>
          <w:sz w:val="24"/>
          <w:szCs w:val="24"/>
        </w:rPr>
        <w:t xml:space="preserve"> despite attempts to include data on certain protected characteristics in UK Government research reports</w:t>
      </w:r>
      <w:r w:rsidRPr="006E33D0">
        <w:rPr>
          <w:rFonts w:ascii="Arial" w:eastAsia="Arial" w:hAnsi="Arial" w:cs="Arial"/>
          <w:i/>
          <w:sz w:val="24"/>
          <w:szCs w:val="24"/>
        </w:rPr>
        <w:t>.</w:t>
      </w:r>
      <w:r w:rsidRPr="006E33D0">
        <w:rPr>
          <w:rFonts w:ascii="Arial" w:eastAsia="Arial" w:hAnsi="Arial" w:cs="Arial"/>
          <w:sz w:val="24"/>
          <w:szCs w:val="24"/>
          <w:vertAlign w:val="superscript"/>
        </w:rPr>
        <w:footnoteReference w:id="308"/>
      </w:r>
    </w:p>
    <w:p w14:paraId="50DCDB9F" w14:textId="67AF3056" w:rsidR="00235DF5" w:rsidRPr="006E33D0" w:rsidRDefault="00235DF5" w:rsidP="00235DF5">
      <w:pPr>
        <w:pStyle w:val="NoSpacing"/>
        <w:spacing w:before="120" w:after="120"/>
        <w:rPr>
          <w:rFonts w:ascii="Arial" w:hAnsi="Arial" w:cs="Arial"/>
          <w:sz w:val="24"/>
          <w:szCs w:val="24"/>
          <w:lang w:eastAsia="en-GB"/>
        </w:rPr>
      </w:pPr>
      <w:r w:rsidRPr="006E33D0">
        <w:rPr>
          <w:rFonts w:ascii="Arial" w:hAnsi="Arial" w:cs="Arial"/>
          <w:sz w:val="24"/>
          <w:szCs w:val="24"/>
          <w:lang w:eastAsia="en-GB"/>
        </w:rPr>
        <w:t>The shift to remote learning exacerbated some existing educational inequalities.</w:t>
      </w:r>
      <w:r w:rsidRPr="006E33D0">
        <w:rPr>
          <w:rStyle w:val="FootnoteReference"/>
          <w:rFonts w:ascii="Arial" w:hAnsi="Arial" w:cs="Arial"/>
          <w:sz w:val="24"/>
          <w:szCs w:val="24"/>
          <w:lang w:eastAsia="en-GB"/>
        </w:rPr>
        <w:footnoteReference w:id="309"/>
      </w:r>
      <w:r w:rsidRPr="006E33D0">
        <w:rPr>
          <w:rFonts w:ascii="Arial" w:hAnsi="Arial" w:cs="Arial"/>
          <w:sz w:val="24"/>
          <w:szCs w:val="24"/>
          <w:lang w:eastAsia="en-GB"/>
        </w:rPr>
        <w:t xml:space="preserve"> </w:t>
      </w:r>
      <w:r>
        <w:rPr>
          <w:rFonts w:ascii="Arial" w:hAnsi="Arial" w:cs="Arial"/>
          <w:sz w:val="24"/>
          <w:szCs w:val="24"/>
          <w:lang w:eastAsia="en-GB"/>
        </w:rPr>
        <w:t>M</w:t>
      </w:r>
      <w:r w:rsidRPr="006E33D0">
        <w:rPr>
          <w:rFonts w:ascii="Arial" w:hAnsi="Arial" w:cs="Arial"/>
          <w:sz w:val="24"/>
          <w:szCs w:val="24"/>
          <w:lang w:eastAsia="en-GB"/>
        </w:rPr>
        <w:t>any children lacked adequate access to computers and the internet at the start of the pandemic.</w:t>
      </w:r>
      <w:r w:rsidRPr="006E33D0">
        <w:rPr>
          <w:rStyle w:val="FootnoteReference"/>
          <w:rFonts w:ascii="Arial" w:hAnsi="Arial" w:cs="Arial"/>
          <w:sz w:val="24"/>
          <w:szCs w:val="24"/>
          <w:lang w:eastAsia="en-GB"/>
        </w:rPr>
        <w:footnoteReference w:id="310"/>
      </w:r>
      <w:r w:rsidRPr="006E33D0">
        <w:rPr>
          <w:rFonts w:ascii="Arial" w:hAnsi="Arial" w:cs="Arial"/>
          <w:sz w:val="24"/>
          <w:szCs w:val="24"/>
          <w:lang w:eastAsia="en-GB"/>
        </w:rPr>
        <w:t xml:space="preserve"> The UK and Welsh governments provided free laptops and online services to children who were ‘digitally excluded’. However, in England, </w:t>
      </w:r>
      <w:r>
        <w:rPr>
          <w:rFonts w:ascii="Arial" w:hAnsi="Arial" w:cs="Arial"/>
          <w:sz w:val="24"/>
          <w:szCs w:val="24"/>
          <w:lang w:eastAsia="en-GB"/>
        </w:rPr>
        <w:t xml:space="preserve">there were variations in access for certain groups, as well as </w:t>
      </w:r>
      <w:r w:rsidRPr="006E33D0">
        <w:rPr>
          <w:rFonts w:ascii="Arial" w:hAnsi="Arial" w:cs="Arial"/>
          <w:sz w:val="24"/>
          <w:szCs w:val="24"/>
          <w:lang w:eastAsia="en-GB"/>
        </w:rPr>
        <w:t>initial delays,</w:t>
      </w:r>
      <w:r w:rsidRPr="006E33D0">
        <w:rPr>
          <w:rStyle w:val="FootnoteReference"/>
          <w:rFonts w:ascii="Arial" w:hAnsi="Arial" w:cs="Arial"/>
          <w:sz w:val="24"/>
          <w:szCs w:val="24"/>
          <w:lang w:eastAsia="en-GB"/>
        </w:rPr>
        <w:footnoteReference w:id="311"/>
      </w:r>
      <w:r w:rsidRPr="006E33D0">
        <w:rPr>
          <w:rFonts w:ascii="Arial" w:hAnsi="Arial" w:cs="Arial"/>
          <w:sz w:val="24"/>
          <w:szCs w:val="24"/>
          <w:lang w:eastAsia="en-GB"/>
        </w:rPr>
        <w:t xml:space="preserve"> although this scheme was later expanded.</w:t>
      </w:r>
      <w:r w:rsidRPr="006E33D0">
        <w:rPr>
          <w:rStyle w:val="FootnoteReference"/>
          <w:rFonts w:ascii="Arial" w:hAnsi="Arial" w:cs="Arial"/>
          <w:sz w:val="24"/>
          <w:szCs w:val="24"/>
          <w:lang w:eastAsia="en-GB"/>
        </w:rPr>
        <w:footnoteReference w:id="312"/>
      </w:r>
      <w:r w:rsidRPr="006E33D0">
        <w:rPr>
          <w:rFonts w:ascii="Arial" w:hAnsi="Arial" w:cs="Arial"/>
          <w:sz w:val="24"/>
          <w:szCs w:val="24"/>
          <w:lang w:eastAsia="en-GB"/>
        </w:rPr>
        <w:t xml:space="preserve"> In Wales, head teachers reported frustration at the slow speed of supply,</w:t>
      </w:r>
      <w:r w:rsidRPr="006E33D0">
        <w:rPr>
          <w:rStyle w:val="FootnoteReference"/>
          <w:rFonts w:ascii="Arial" w:hAnsi="Arial" w:cs="Arial"/>
          <w:sz w:val="24"/>
          <w:szCs w:val="24"/>
          <w:lang w:eastAsia="en-GB"/>
        </w:rPr>
        <w:footnoteReference w:id="313"/>
      </w:r>
      <w:r w:rsidRPr="006E33D0">
        <w:rPr>
          <w:rFonts w:ascii="Arial" w:hAnsi="Arial" w:cs="Arial"/>
          <w:sz w:val="24"/>
          <w:szCs w:val="24"/>
          <w:lang w:eastAsia="en-GB"/>
        </w:rPr>
        <w:t xml:space="preserve"> and provision of remote learning was found to be variable.</w:t>
      </w:r>
      <w:r w:rsidRPr="006E33D0">
        <w:rPr>
          <w:rStyle w:val="FootnoteReference"/>
          <w:rFonts w:ascii="Arial" w:hAnsi="Arial" w:cs="Arial"/>
          <w:sz w:val="24"/>
          <w:szCs w:val="24"/>
          <w:lang w:eastAsia="en-GB"/>
        </w:rPr>
        <w:footnoteReference w:id="314"/>
      </w:r>
      <w:r w:rsidRPr="006E33D0">
        <w:rPr>
          <w:rFonts w:ascii="Arial" w:hAnsi="Arial" w:cs="Arial"/>
          <w:sz w:val="24"/>
          <w:szCs w:val="24"/>
          <w:lang w:eastAsia="en-GB"/>
        </w:rPr>
        <w:t xml:space="preserve"> </w:t>
      </w:r>
    </w:p>
    <w:p w14:paraId="43E24D4F" w14:textId="2F4E0A12" w:rsidR="00235DF5" w:rsidRPr="006E33D0" w:rsidRDefault="00235DF5" w:rsidP="00235DF5">
      <w:pPr>
        <w:pStyle w:val="NoSpacing"/>
        <w:spacing w:before="120" w:after="120"/>
        <w:rPr>
          <w:rFonts w:ascii="Arial" w:hAnsi="Arial" w:cs="Arial"/>
          <w:sz w:val="24"/>
          <w:szCs w:val="24"/>
          <w:lang w:eastAsia="en-GB"/>
        </w:rPr>
      </w:pPr>
      <w:r w:rsidRPr="006E33D0">
        <w:rPr>
          <w:rFonts w:ascii="Arial" w:hAnsi="Arial" w:cs="Arial"/>
          <w:sz w:val="24"/>
          <w:szCs w:val="24"/>
          <w:lang w:eastAsia="en-GB"/>
        </w:rPr>
        <w:t xml:space="preserve">Evidence suggests that, in Wales, children from ethnic minorities experienced disproportionately poor access to technology </w:t>
      </w:r>
      <w:r w:rsidR="00DC12CB">
        <w:rPr>
          <w:rFonts w:ascii="Arial" w:hAnsi="Arial" w:cs="Arial"/>
          <w:sz w:val="24"/>
          <w:szCs w:val="24"/>
          <w:lang w:eastAsia="en-GB"/>
        </w:rPr>
        <w:t>because of</w:t>
      </w:r>
      <w:r w:rsidRPr="006E33D0">
        <w:rPr>
          <w:rFonts w:ascii="Arial" w:hAnsi="Arial" w:cs="Arial"/>
          <w:sz w:val="24"/>
          <w:szCs w:val="24"/>
          <w:lang w:eastAsia="en-GB"/>
        </w:rPr>
        <w:t xml:space="preserve"> higher poverty levels.</w:t>
      </w:r>
      <w:r w:rsidRPr="006E33D0">
        <w:rPr>
          <w:rStyle w:val="FootnoteReference"/>
          <w:rFonts w:ascii="Arial" w:hAnsi="Arial" w:cs="Arial"/>
          <w:sz w:val="24"/>
          <w:szCs w:val="24"/>
          <w:lang w:eastAsia="en-GB"/>
        </w:rPr>
        <w:footnoteReference w:id="315"/>
      </w:r>
      <w:r w:rsidRPr="006E33D0">
        <w:rPr>
          <w:rFonts w:ascii="Arial" w:hAnsi="Arial" w:cs="Arial"/>
          <w:sz w:val="24"/>
          <w:szCs w:val="24"/>
          <w:lang w:eastAsia="en-GB"/>
        </w:rPr>
        <w:t xml:space="preserve"> </w:t>
      </w:r>
      <w:r w:rsidR="00DC12CB">
        <w:rPr>
          <w:rFonts w:ascii="Arial" w:hAnsi="Arial" w:cs="Arial"/>
          <w:sz w:val="24"/>
          <w:szCs w:val="24"/>
          <w:lang w:eastAsia="en-GB"/>
        </w:rPr>
        <w:t>C</w:t>
      </w:r>
      <w:r w:rsidRPr="006E33D0">
        <w:rPr>
          <w:rFonts w:ascii="Arial" w:hAnsi="Arial" w:cs="Arial"/>
          <w:sz w:val="24"/>
          <w:szCs w:val="24"/>
          <w:lang w:eastAsia="en-GB"/>
        </w:rPr>
        <w:t>hildren in the North of England</w:t>
      </w:r>
      <w:r w:rsidR="00DC12CB">
        <w:rPr>
          <w:rFonts w:ascii="Arial" w:hAnsi="Arial" w:cs="Arial"/>
          <w:sz w:val="24"/>
          <w:szCs w:val="24"/>
          <w:lang w:eastAsia="en-GB"/>
        </w:rPr>
        <w:t xml:space="preserve"> experienced the same issues</w:t>
      </w:r>
      <w:r w:rsidRPr="006E33D0">
        <w:rPr>
          <w:rFonts w:ascii="Arial" w:hAnsi="Arial" w:cs="Arial"/>
          <w:sz w:val="24"/>
          <w:szCs w:val="24"/>
          <w:lang w:eastAsia="en-GB"/>
        </w:rPr>
        <w:t xml:space="preserve">, </w:t>
      </w:r>
      <w:r w:rsidR="00DC12CB">
        <w:rPr>
          <w:rFonts w:ascii="Arial" w:hAnsi="Arial" w:cs="Arial"/>
          <w:sz w:val="24"/>
          <w:szCs w:val="24"/>
          <w:lang w:eastAsia="en-GB"/>
        </w:rPr>
        <w:t>also because of</w:t>
      </w:r>
      <w:r w:rsidRPr="006E33D0">
        <w:rPr>
          <w:rFonts w:ascii="Arial" w:hAnsi="Arial" w:cs="Arial"/>
          <w:sz w:val="24"/>
          <w:szCs w:val="24"/>
          <w:lang w:eastAsia="en-GB"/>
        </w:rPr>
        <w:t xml:space="preserve"> higher levels of child poverty and economic insecurity</w:t>
      </w:r>
      <w:r w:rsidR="00DC12CB">
        <w:rPr>
          <w:rFonts w:ascii="Arial" w:hAnsi="Arial" w:cs="Arial"/>
          <w:sz w:val="24"/>
          <w:szCs w:val="24"/>
          <w:lang w:eastAsia="en-GB"/>
        </w:rPr>
        <w:t>.</w:t>
      </w:r>
      <w:r w:rsidRPr="006E33D0">
        <w:rPr>
          <w:rFonts w:ascii="Arial" w:hAnsi="Arial" w:cs="Arial"/>
          <w:sz w:val="24"/>
          <w:szCs w:val="24"/>
          <w:vertAlign w:val="superscript"/>
          <w:lang w:eastAsia="en-GB"/>
        </w:rPr>
        <w:footnoteReference w:id="316"/>
      </w:r>
      <w:r w:rsidRPr="006E33D0">
        <w:rPr>
          <w:rFonts w:ascii="Arial" w:hAnsi="Arial" w:cs="Arial"/>
          <w:sz w:val="24"/>
          <w:szCs w:val="24"/>
          <w:lang w:eastAsia="en-GB"/>
        </w:rPr>
        <w:t> </w:t>
      </w:r>
      <w:r w:rsidR="00DC12CB">
        <w:rPr>
          <w:rFonts w:ascii="Arial" w:hAnsi="Arial" w:cs="Arial"/>
          <w:sz w:val="24"/>
          <w:szCs w:val="24"/>
          <w:lang w:eastAsia="en-GB"/>
        </w:rPr>
        <w:t>Furthermore,</w:t>
      </w:r>
      <w:r w:rsidRPr="006E33D0">
        <w:rPr>
          <w:rFonts w:ascii="Arial" w:hAnsi="Arial" w:cs="Arial"/>
          <w:sz w:val="24"/>
          <w:szCs w:val="24"/>
          <w:lang w:eastAsia="en-GB"/>
        </w:rPr>
        <w:t xml:space="preserve"> Gypsy, Roma and Traveller children and those from certain migrant backgrounds, whose parents can face language or literacy barriers, </w:t>
      </w:r>
      <w:r w:rsidR="00DC12CB">
        <w:rPr>
          <w:rFonts w:ascii="Arial" w:hAnsi="Arial" w:cs="Arial"/>
          <w:sz w:val="24"/>
          <w:szCs w:val="24"/>
          <w:lang w:eastAsia="en-GB"/>
        </w:rPr>
        <w:t>were</w:t>
      </w:r>
      <w:r w:rsidRPr="006E33D0">
        <w:rPr>
          <w:rFonts w:ascii="Arial" w:hAnsi="Arial" w:cs="Arial"/>
          <w:sz w:val="24"/>
          <w:szCs w:val="24"/>
          <w:lang w:eastAsia="en-GB"/>
        </w:rPr>
        <w:t xml:space="preserve"> less able to </w:t>
      </w:r>
      <w:r w:rsidR="00DC12CB">
        <w:rPr>
          <w:rFonts w:ascii="Arial" w:hAnsi="Arial" w:cs="Arial"/>
          <w:sz w:val="24"/>
          <w:szCs w:val="24"/>
          <w:lang w:eastAsia="en-GB"/>
        </w:rPr>
        <w:t>understand</w:t>
      </w:r>
      <w:r w:rsidR="00DC12CB" w:rsidRPr="006E33D0">
        <w:rPr>
          <w:rFonts w:ascii="Arial" w:hAnsi="Arial" w:cs="Arial"/>
          <w:sz w:val="24"/>
          <w:szCs w:val="24"/>
          <w:lang w:eastAsia="en-GB"/>
        </w:rPr>
        <w:t xml:space="preserve"> </w:t>
      </w:r>
      <w:r w:rsidRPr="006E33D0">
        <w:rPr>
          <w:rFonts w:ascii="Arial" w:hAnsi="Arial" w:cs="Arial"/>
          <w:sz w:val="24"/>
          <w:szCs w:val="24"/>
          <w:lang w:eastAsia="en-GB"/>
        </w:rPr>
        <w:t>the information received from schools.</w:t>
      </w:r>
      <w:r w:rsidRPr="006E33D0">
        <w:rPr>
          <w:rFonts w:ascii="Arial" w:hAnsi="Arial" w:cs="Arial"/>
          <w:sz w:val="24"/>
          <w:szCs w:val="24"/>
          <w:vertAlign w:val="superscript"/>
          <w:lang w:eastAsia="en-GB"/>
        </w:rPr>
        <w:footnoteReference w:id="317"/>
      </w:r>
      <w:r w:rsidRPr="006E33D0">
        <w:rPr>
          <w:rFonts w:ascii="Arial" w:hAnsi="Arial" w:cs="Arial"/>
          <w:sz w:val="24"/>
          <w:szCs w:val="24"/>
          <w:lang w:eastAsia="en-GB"/>
        </w:rPr>
        <w:t xml:space="preserve"> Across England and Wales</w:t>
      </w:r>
      <w:r>
        <w:rPr>
          <w:rFonts w:ascii="Arial" w:hAnsi="Arial" w:cs="Arial"/>
          <w:sz w:val="24"/>
          <w:szCs w:val="24"/>
          <w:lang w:eastAsia="en-GB"/>
        </w:rPr>
        <w:t>,</w:t>
      </w:r>
      <w:r w:rsidRPr="006E33D0">
        <w:rPr>
          <w:rFonts w:ascii="Arial" w:hAnsi="Arial" w:cs="Arial"/>
          <w:sz w:val="24"/>
          <w:szCs w:val="24"/>
          <w:lang w:eastAsia="en-GB"/>
        </w:rPr>
        <w:t xml:space="preserve"> the pandemic </w:t>
      </w:r>
      <w:r w:rsidR="00DC12CB">
        <w:rPr>
          <w:rFonts w:ascii="Arial" w:hAnsi="Arial" w:cs="Arial"/>
          <w:sz w:val="24"/>
          <w:szCs w:val="24"/>
          <w:lang w:eastAsia="en-GB"/>
        </w:rPr>
        <w:t xml:space="preserve">has </w:t>
      </w:r>
      <w:r w:rsidRPr="006E33D0">
        <w:rPr>
          <w:rFonts w:ascii="Arial" w:hAnsi="Arial" w:cs="Arial"/>
          <w:sz w:val="24"/>
          <w:szCs w:val="24"/>
          <w:lang w:eastAsia="en-GB"/>
        </w:rPr>
        <w:t xml:space="preserve">presented particular challenges for disabled pupils, including access </w:t>
      </w:r>
      <w:r w:rsidR="00DC12CB">
        <w:rPr>
          <w:rFonts w:ascii="Arial" w:hAnsi="Arial" w:cs="Arial"/>
          <w:sz w:val="24"/>
          <w:szCs w:val="24"/>
          <w:lang w:eastAsia="en-GB"/>
        </w:rPr>
        <w:t>to</w:t>
      </w:r>
      <w:r w:rsidRPr="006E33D0">
        <w:rPr>
          <w:rFonts w:ascii="Arial" w:hAnsi="Arial" w:cs="Arial"/>
          <w:sz w:val="24"/>
          <w:szCs w:val="24"/>
          <w:lang w:eastAsia="en-GB"/>
        </w:rPr>
        <w:t xml:space="preserve"> remote learning, therapies and equipment.</w:t>
      </w:r>
      <w:r w:rsidRPr="006E33D0">
        <w:rPr>
          <w:rFonts w:ascii="Arial" w:hAnsi="Arial" w:cs="Arial"/>
          <w:sz w:val="24"/>
          <w:szCs w:val="24"/>
          <w:vertAlign w:val="superscript"/>
          <w:lang w:eastAsia="en-GB"/>
        </w:rPr>
        <w:footnoteReference w:id="318"/>
      </w:r>
    </w:p>
    <w:p w14:paraId="5BBCB4C7" w14:textId="4A9D95A2" w:rsidR="00235DF5" w:rsidRPr="006E33D0" w:rsidRDefault="00235DF5" w:rsidP="00235DF5">
      <w:pPr>
        <w:pStyle w:val="NoSpacing"/>
        <w:spacing w:before="120" w:after="120"/>
        <w:rPr>
          <w:rFonts w:ascii="Arial" w:hAnsi="Arial" w:cs="Arial"/>
          <w:sz w:val="24"/>
          <w:szCs w:val="24"/>
          <w:lang w:eastAsia="en-GB"/>
        </w:rPr>
      </w:pPr>
      <w:r w:rsidRPr="006E33D0">
        <w:rPr>
          <w:rFonts w:ascii="Arial" w:hAnsi="Arial" w:cs="Arial"/>
          <w:sz w:val="24"/>
          <w:szCs w:val="24"/>
          <w:lang w:eastAsia="en-GB"/>
        </w:rPr>
        <w:t xml:space="preserve">The UK and Welsh governments </w:t>
      </w:r>
      <w:r w:rsidR="00DC12CB">
        <w:rPr>
          <w:rFonts w:ascii="Arial" w:hAnsi="Arial" w:cs="Arial"/>
          <w:sz w:val="24"/>
          <w:szCs w:val="24"/>
          <w:lang w:eastAsia="en-GB"/>
        </w:rPr>
        <w:t xml:space="preserve">have </w:t>
      </w:r>
      <w:r w:rsidRPr="006E33D0">
        <w:rPr>
          <w:rFonts w:ascii="Arial" w:hAnsi="Arial" w:cs="Arial"/>
          <w:sz w:val="24"/>
          <w:szCs w:val="24"/>
          <w:lang w:eastAsia="en-GB"/>
        </w:rPr>
        <w:t>committed significant fund</w:t>
      </w:r>
      <w:r w:rsidR="00DC12CB">
        <w:rPr>
          <w:rFonts w:ascii="Arial" w:hAnsi="Arial" w:cs="Arial"/>
          <w:sz w:val="24"/>
          <w:szCs w:val="24"/>
          <w:lang w:eastAsia="en-GB"/>
        </w:rPr>
        <w:t>s</w:t>
      </w:r>
      <w:r w:rsidRPr="006E33D0">
        <w:rPr>
          <w:rFonts w:ascii="Arial" w:hAnsi="Arial" w:cs="Arial"/>
          <w:sz w:val="24"/>
          <w:szCs w:val="24"/>
          <w:lang w:eastAsia="en-GB"/>
        </w:rPr>
        <w:t xml:space="preserve"> to address learning disruption caused by the pandemic. In England, this included catch-up premiums and the education recovery programme</w:t>
      </w:r>
      <w:r w:rsidR="00DC12CB">
        <w:rPr>
          <w:rFonts w:ascii="Arial" w:hAnsi="Arial" w:cs="Arial"/>
          <w:sz w:val="24"/>
          <w:szCs w:val="24"/>
          <w:lang w:eastAsia="en-GB"/>
        </w:rPr>
        <w:t xml:space="preserve">, which </w:t>
      </w:r>
      <w:r w:rsidRPr="006E33D0">
        <w:rPr>
          <w:rFonts w:ascii="Arial" w:hAnsi="Arial" w:cs="Arial"/>
          <w:sz w:val="24"/>
          <w:szCs w:val="24"/>
          <w:lang w:eastAsia="en-GB"/>
        </w:rPr>
        <w:t xml:space="preserve">consists primarily of small-group tutoring support. </w:t>
      </w:r>
      <w:r w:rsidR="00DC12CB">
        <w:rPr>
          <w:rFonts w:ascii="Arial" w:hAnsi="Arial" w:cs="Arial"/>
          <w:sz w:val="24"/>
          <w:szCs w:val="24"/>
          <w:lang w:eastAsia="en-GB"/>
        </w:rPr>
        <w:t>Nevertheless, f</w:t>
      </w:r>
      <w:r w:rsidRPr="006E33D0">
        <w:rPr>
          <w:rFonts w:ascii="Arial" w:hAnsi="Arial" w:cs="Arial"/>
          <w:sz w:val="24"/>
          <w:szCs w:val="24"/>
          <w:lang w:eastAsia="en-GB"/>
        </w:rPr>
        <w:t xml:space="preserve">unding levels in England </w:t>
      </w:r>
      <w:r w:rsidR="00DC12CB">
        <w:rPr>
          <w:rFonts w:ascii="Arial" w:hAnsi="Arial" w:cs="Arial"/>
          <w:sz w:val="24"/>
          <w:szCs w:val="24"/>
          <w:lang w:eastAsia="en-GB"/>
        </w:rPr>
        <w:t>have been</w:t>
      </w:r>
      <w:r w:rsidRPr="006E33D0">
        <w:rPr>
          <w:rFonts w:ascii="Arial" w:hAnsi="Arial" w:cs="Arial"/>
          <w:sz w:val="24"/>
          <w:szCs w:val="24"/>
          <w:lang w:eastAsia="en-GB"/>
        </w:rPr>
        <w:t xml:space="preserve"> criticised for falling below what </w:t>
      </w:r>
      <w:r>
        <w:rPr>
          <w:rFonts w:ascii="Arial" w:hAnsi="Arial" w:cs="Arial"/>
          <w:sz w:val="24"/>
          <w:szCs w:val="24"/>
          <w:lang w:eastAsia="en-GB"/>
        </w:rPr>
        <w:t>was</w:t>
      </w:r>
      <w:r w:rsidRPr="006E33D0">
        <w:rPr>
          <w:rFonts w:ascii="Arial" w:hAnsi="Arial" w:cs="Arial"/>
          <w:sz w:val="24"/>
          <w:szCs w:val="24"/>
          <w:lang w:eastAsia="en-GB"/>
        </w:rPr>
        <w:t xml:space="preserve"> needed.</w:t>
      </w:r>
      <w:r w:rsidRPr="006E33D0">
        <w:rPr>
          <w:rFonts w:ascii="Arial" w:hAnsi="Arial" w:cs="Arial"/>
          <w:sz w:val="24"/>
          <w:szCs w:val="24"/>
          <w:vertAlign w:val="superscript"/>
          <w:lang w:eastAsia="en-GB"/>
        </w:rPr>
        <w:footnoteReference w:id="319"/>
      </w:r>
      <w:r w:rsidRPr="006E33D0">
        <w:rPr>
          <w:rFonts w:ascii="Arial" w:hAnsi="Arial" w:cs="Arial"/>
          <w:sz w:val="24"/>
          <w:szCs w:val="24"/>
          <w:lang w:eastAsia="en-GB"/>
        </w:rPr>
        <w:t xml:space="preserve"> </w:t>
      </w:r>
      <w:r>
        <w:rPr>
          <w:rFonts w:ascii="Arial" w:hAnsi="Arial" w:cs="Arial"/>
          <w:sz w:val="24"/>
          <w:szCs w:val="24"/>
          <w:lang w:eastAsia="en-GB"/>
        </w:rPr>
        <w:t xml:space="preserve">The UK Parliament’s Education Committee found that the </w:t>
      </w:r>
      <w:r w:rsidR="004B398A">
        <w:rPr>
          <w:rFonts w:ascii="Arial" w:hAnsi="Arial" w:cs="Arial"/>
          <w:sz w:val="24"/>
          <w:szCs w:val="24"/>
          <w:lang w:eastAsia="en-GB"/>
        </w:rPr>
        <w:t>UK Government’s recovery plans ‘do not go far enough’</w:t>
      </w:r>
      <w:r>
        <w:rPr>
          <w:rFonts w:ascii="Arial" w:hAnsi="Arial" w:cs="Arial"/>
          <w:sz w:val="24"/>
          <w:szCs w:val="24"/>
          <w:lang w:eastAsia="en-GB"/>
        </w:rPr>
        <w:t xml:space="preserve"> and noted that the DfE had assessed </w:t>
      </w:r>
      <w:r w:rsidR="00DC12CB">
        <w:rPr>
          <w:rFonts w:ascii="Arial" w:hAnsi="Arial" w:cs="Arial"/>
          <w:sz w:val="24"/>
          <w:szCs w:val="24"/>
          <w:lang w:eastAsia="en-GB"/>
        </w:rPr>
        <w:t>as ‘critical</w:t>
      </w:r>
      <w:r w:rsidR="004B398A">
        <w:rPr>
          <w:rFonts w:ascii="Arial" w:hAnsi="Arial" w:cs="Arial"/>
          <w:sz w:val="24"/>
          <w:szCs w:val="24"/>
          <w:lang w:eastAsia="en-GB"/>
        </w:rPr>
        <w:t xml:space="preserve"> </w:t>
      </w:r>
      <w:r w:rsidR="00DC12CB">
        <w:rPr>
          <w:rFonts w:ascii="Arial" w:hAnsi="Arial" w:cs="Arial"/>
          <w:sz w:val="24"/>
          <w:szCs w:val="24"/>
          <w:lang w:eastAsia="en-GB"/>
        </w:rPr>
        <w:t>/</w:t>
      </w:r>
      <w:r w:rsidR="004B398A">
        <w:rPr>
          <w:rFonts w:ascii="Arial" w:hAnsi="Arial" w:cs="Arial"/>
          <w:sz w:val="24"/>
          <w:szCs w:val="24"/>
          <w:lang w:eastAsia="en-GB"/>
        </w:rPr>
        <w:t xml:space="preserve"> </w:t>
      </w:r>
      <w:r w:rsidR="00DC12CB">
        <w:rPr>
          <w:rFonts w:ascii="Arial" w:hAnsi="Arial" w:cs="Arial"/>
          <w:sz w:val="24"/>
          <w:szCs w:val="24"/>
          <w:lang w:eastAsia="en-GB"/>
        </w:rPr>
        <w:t xml:space="preserve">very likely’ </w:t>
      </w:r>
      <w:r>
        <w:rPr>
          <w:rFonts w:ascii="Arial" w:hAnsi="Arial" w:cs="Arial"/>
          <w:sz w:val="24"/>
          <w:szCs w:val="24"/>
          <w:lang w:eastAsia="en-GB"/>
        </w:rPr>
        <w:t>the risk of measures not mitigating the impact of lost learning.</w:t>
      </w:r>
      <w:r>
        <w:rPr>
          <w:rStyle w:val="FootnoteReference"/>
          <w:rFonts w:ascii="Arial" w:hAnsi="Arial" w:cs="Arial"/>
          <w:sz w:val="24"/>
          <w:szCs w:val="24"/>
          <w:lang w:eastAsia="en-GB"/>
        </w:rPr>
        <w:footnoteReference w:id="320"/>
      </w:r>
      <w:r w:rsidR="00605915">
        <w:rPr>
          <w:rFonts w:ascii="Arial" w:hAnsi="Arial" w:cs="Arial"/>
          <w:sz w:val="24"/>
          <w:szCs w:val="24"/>
          <w:lang w:eastAsia="en-GB"/>
        </w:rPr>
        <w:t xml:space="preserve"> </w:t>
      </w:r>
      <w:r w:rsidRPr="006E33D0">
        <w:rPr>
          <w:rFonts w:ascii="Arial" w:hAnsi="Arial" w:cs="Arial"/>
          <w:sz w:val="24"/>
          <w:szCs w:val="24"/>
          <w:lang w:eastAsia="en-GB"/>
        </w:rPr>
        <w:t>There are particular concerns that the plans do not meet the specific needs of disabled children.</w:t>
      </w:r>
      <w:r w:rsidRPr="006E33D0">
        <w:rPr>
          <w:rStyle w:val="FootnoteReference"/>
          <w:rFonts w:ascii="Arial" w:hAnsi="Arial" w:cs="Arial"/>
          <w:sz w:val="24"/>
          <w:szCs w:val="24"/>
          <w:lang w:eastAsia="en-GB"/>
        </w:rPr>
        <w:footnoteReference w:id="321"/>
      </w:r>
    </w:p>
    <w:p w14:paraId="71701167" w14:textId="392563B4" w:rsidR="00235DF5" w:rsidRPr="006E33D0" w:rsidRDefault="00235DF5" w:rsidP="00235DF5">
      <w:pPr>
        <w:pStyle w:val="NoSpacing"/>
        <w:spacing w:before="120" w:after="120"/>
        <w:rPr>
          <w:rFonts w:ascii="Arial" w:hAnsi="Arial" w:cs="Arial"/>
          <w:sz w:val="24"/>
          <w:szCs w:val="24"/>
          <w:lang w:eastAsia="en-GB"/>
        </w:rPr>
      </w:pPr>
      <w:r w:rsidRPr="006E33D0">
        <w:rPr>
          <w:rFonts w:ascii="Arial" w:hAnsi="Arial" w:cs="Arial"/>
          <w:sz w:val="24"/>
          <w:szCs w:val="24"/>
          <w:lang w:eastAsia="en-GB"/>
        </w:rPr>
        <w:t>The Welsh Government’s education recovery plan recognises the particular impact of the pandemic on ‘disadvantaged and vulnerable learners’, including those with additional learning needs (ALN), children from poorer backgrounds, Black, Asian and ethnic minority pupils, and looked</w:t>
      </w:r>
      <w:r w:rsidR="00DC12CB">
        <w:rPr>
          <w:rFonts w:ascii="Arial" w:hAnsi="Arial" w:cs="Arial"/>
          <w:sz w:val="24"/>
          <w:szCs w:val="24"/>
          <w:lang w:eastAsia="en-GB"/>
        </w:rPr>
        <w:t>-</w:t>
      </w:r>
      <w:r w:rsidRPr="006E33D0">
        <w:rPr>
          <w:rFonts w:ascii="Arial" w:hAnsi="Arial" w:cs="Arial"/>
          <w:sz w:val="24"/>
          <w:szCs w:val="24"/>
          <w:lang w:eastAsia="en-GB"/>
        </w:rPr>
        <w:t>after children.</w:t>
      </w:r>
      <w:r w:rsidRPr="006E33D0">
        <w:rPr>
          <w:rStyle w:val="FootnoteReference"/>
          <w:rFonts w:ascii="Arial" w:hAnsi="Arial" w:cs="Arial"/>
          <w:sz w:val="24"/>
          <w:szCs w:val="24"/>
          <w:lang w:eastAsia="en-GB"/>
        </w:rPr>
        <w:footnoteReference w:id="322"/>
      </w:r>
      <w:r w:rsidRPr="006E33D0">
        <w:rPr>
          <w:rFonts w:ascii="Arial" w:hAnsi="Arial" w:cs="Arial"/>
          <w:sz w:val="24"/>
          <w:szCs w:val="24"/>
          <w:lang w:eastAsia="en-GB"/>
        </w:rPr>
        <w:t xml:space="preserve"> However, it is unclear how the Welsh Government</w:t>
      </w:r>
      <w:r w:rsidR="00DC12CB">
        <w:rPr>
          <w:rFonts w:ascii="Arial" w:hAnsi="Arial" w:cs="Arial"/>
          <w:sz w:val="24"/>
          <w:szCs w:val="24"/>
          <w:lang w:eastAsia="en-GB"/>
        </w:rPr>
        <w:t>’s evaluation of the recovery plan’s success</w:t>
      </w:r>
      <w:r w:rsidRPr="006E33D0">
        <w:rPr>
          <w:rFonts w:ascii="Arial" w:hAnsi="Arial" w:cs="Arial"/>
          <w:sz w:val="24"/>
          <w:szCs w:val="24"/>
          <w:lang w:eastAsia="en-GB"/>
        </w:rPr>
        <w:t xml:space="preserve"> will reflect children’s rights and protected characteristics. </w:t>
      </w:r>
    </w:p>
    <w:p w14:paraId="735897D2" w14:textId="42353965" w:rsidR="00235DF5" w:rsidRPr="006E33D0" w:rsidRDefault="00235DF5" w:rsidP="00235DF5">
      <w:pPr>
        <w:pStyle w:val="NoSpacing"/>
        <w:spacing w:before="120" w:after="120"/>
        <w:rPr>
          <w:rFonts w:ascii="Arial" w:hAnsi="Arial" w:cs="Arial"/>
          <w:sz w:val="24"/>
          <w:szCs w:val="24"/>
          <w:lang w:eastAsia="en-GB"/>
        </w:rPr>
      </w:pPr>
      <w:r w:rsidRPr="006E33D0">
        <w:rPr>
          <w:rFonts w:ascii="Arial" w:hAnsi="Arial" w:cs="Arial"/>
          <w:sz w:val="24"/>
          <w:szCs w:val="24"/>
          <w:lang w:eastAsia="en-GB"/>
        </w:rPr>
        <w:t xml:space="preserve">The UK and Welsh governments </w:t>
      </w:r>
      <w:r w:rsidR="00DC12CB">
        <w:rPr>
          <w:rFonts w:ascii="Arial" w:hAnsi="Arial" w:cs="Arial"/>
          <w:sz w:val="24"/>
          <w:szCs w:val="24"/>
          <w:lang w:eastAsia="en-GB"/>
        </w:rPr>
        <w:t>have tried</w:t>
      </w:r>
      <w:r w:rsidR="00DC12CB" w:rsidRPr="006E33D0">
        <w:rPr>
          <w:rFonts w:ascii="Arial" w:hAnsi="Arial" w:cs="Arial"/>
          <w:sz w:val="24"/>
          <w:szCs w:val="24"/>
          <w:lang w:eastAsia="en-GB"/>
        </w:rPr>
        <w:t xml:space="preserve"> </w:t>
      </w:r>
      <w:r w:rsidRPr="006E33D0">
        <w:rPr>
          <w:rFonts w:ascii="Arial" w:hAnsi="Arial" w:cs="Arial"/>
          <w:sz w:val="24"/>
          <w:szCs w:val="24"/>
          <w:lang w:eastAsia="en-GB"/>
        </w:rPr>
        <w:t xml:space="preserve">to minimise educational disruption by keeping schools open for all children during the later stages of the pandemic. However, some schools in England </w:t>
      </w:r>
      <w:r w:rsidR="00DC12CB">
        <w:rPr>
          <w:rFonts w:ascii="Arial" w:hAnsi="Arial" w:cs="Arial"/>
          <w:sz w:val="24"/>
          <w:szCs w:val="24"/>
          <w:lang w:eastAsia="en-GB"/>
        </w:rPr>
        <w:t xml:space="preserve">have </w:t>
      </w:r>
      <w:r w:rsidRPr="006E33D0">
        <w:rPr>
          <w:rFonts w:ascii="Arial" w:hAnsi="Arial" w:cs="Arial"/>
          <w:sz w:val="24"/>
          <w:szCs w:val="24"/>
          <w:lang w:eastAsia="en-GB"/>
        </w:rPr>
        <w:t xml:space="preserve">struggled to maintain high levels of </w:t>
      </w:r>
      <w:r w:rsidR="00DC12CB">
        <w:rPr>
          <w:rFonts w:ascii="Arial" w:hAnsi="Arial" w:cs="Arial"/>
          <w:sz w:val="24"/>
          <w:szCs w:val="24"/>
          <w:lang w:eastAsia="en-GB"/>
        </w:rPr>
        <w:t xml:space="preserve">pupil </w:t>
      </w:r>
      <w:r w:rsidRPr="006E33D0">
        <w:rPr>
          <w:rFonts w:ascii="Arial" w:hAnsi="Arial" w:cs="Arial"/>
          <w:sz w:val="24"/>
          <w:szCs w:val="24"/>
          <w:lang w:eastAsia="en-GB"/>
        </w:rPr>
        <w:t xml:space="preserve">attendance </w:t>
      </w:r>
      <w:r w:rsidR="00DC12CB">
        <w:rPr>
          <w:rFonts w:ascii="Arial" w:hAnsi="Arial" w:cs="Arial"/>
          <w:sz w:val="24"/>
          <w:szCs w:val="24"/>
          <w:lang w:eastAsia="en-GB"/>
        </w:rPr>
        <w:t>because of</w:t>
      </w:r>
      <w:r w:rsidRPr="006E33D0">
        <w:rPr>
          <w:rFonts w:ascii="Arial" w:hAnsi="Arial" w:cs="Arial"/>
          <w:sz w:val="24"/>
          <w:szCs w:val="24"/>
          <w:lang w:eastAsia="en-GB"/>
        </w:rPr>
        <w:t>, for example, COVID-19-related illness</w:t>
      </w:r>
      <w:r w:rsidR="00DC12CB">
        <w:rPr>
          <w:rFonts w:ascii="Arial" w:hAnsi="Arial" w:cs="Arial"/>
          <w:sz w:val="24"/>
          <w:szCs w:val="24"/>
          <w:lang w:eastAsia="en-GB"/>
        </w:rPr>
        <w:t>es</w:t>
      </w:r>
      <w:r w:rsidRPr="006E33D0">
        <w:rPr>
          <w:rStyle w:val="FootnoteReference"/>
          <w:rFonts w:ascii="Arial" w:hAnsi="Arial" w:cs="Arial"/>
          <w:sz w:val="24"/>
          <w:szCs w:val="24"/>
          <w:lang w:eastAsia="en-GB"/>
        </w:rPr>
        <w:footnoteReference w:id="323"/>
      </w:r>
      <w:r w:rsidRPr="006E33D0">
        <w:rPr>
          <w:rFonts w:ascii="Arial" w:hAnsi="Arial" w:cs="Arial"/>
          <w:sz w:val="24"/>
          <w:szCs w:val="24"/>
          <w:lang w:eastAsia="en-GB"/>
        </w:rPr>
        <w:t xml:space="preserve"> and a lack of support </w:t>
      </w:r>
      <w:r w:rsidR="00DC12CB">
        <w:rPr>
          <w:rFonts w:ascii="Arial" w:hAnsi="Arial" w:cs="Arial"/>
          <w:sz w:val="24"/>
          <w:szCs w:val="24"/>
          <w:lang w:eastAsia="en-GB"/>
        </w:rPr>
        <w:t>for</w:t>
      </w:r>
      <w:r w:rsidR="00DC12CB" w:rsidRPr="006E33D0">
        <w:rPr>
          <w:rFonts w:ascii="Arial" w:hAnsi="Arial" w:cs="Arial"/>
          <w:sz w:val="24"/>
          <w:szCs w:val="24"/>
          <w:lang w:eastAsia="en-GB"/>
        </w:rPr>
        <w:t xml:space="preserve"> </w:t>
      </w:r>
      <w:r w:rsidRPr="006E33D0">
        <w:rPr>
          <w:rFonts w:ascii="Arial" w:hAnsi="Arial" w:cs="Arial"/>
          <w:sz w:val="24"/>
          <w:szCs w:val="24"/>
          <w:lang w:eastAsia="en-GB"/>
        </w:rPr>
        <w:t>mental health, emotional and care needs.</w:t>
      </w:r>
      <w:r w:rsidRPr="006E33D0">
        <w:rPr>
          <w:rStyle w:val="FootnoteReference"/>
          <w:rFonts w:ascii="Arial" w:hAnsi="Arial" w:cs="Arial"/>
          <w:sz w:val="24"/>
          <w:szCs w:val="24"/>
          <w:lang w:eastAsia="en-GB"/>
        </w:rPr>
        <w:footnoteReference w:id="324"/>
      </w:r>
      <w:r w:rsidRPr="006E33D0">
        <w:rPr>
          <w:rFonts w:ascii="Arial" w:hAnsi="Arial" w:cs="Arial"/>
          <w:sz w:val="24"/>
          <w:szCs w:val="24"/>
          <w:lang w:eastAsia="en-GB"/>
        </w:rPr>
        <w:t xml:space="preserve"> </w:t>
      </w:r>
    </w:p>
    <w:p w14:paraId="28C559C9" w14:textId="0B230A2E" w:rsidR="00235DF5" w:rsidRPr="006E33D0" w:rsidRDefault="00235DF5" w:rsidP="00235DF5">
      <w:pPr>
        <w:pStyle w:val="NoSpacing"/>
        <w:spacing w:before="120" w:after="120"/>
        <w:rPr>
          <w:rFonts w:ascii="Arial" w:hAnsi="Arial" w:cs="Arial"/>
          <w:sz w:val="24"/>
          <w:szCs w:val="24"/>
          <w:lang w:eastAsia="en-GB"/>
        </w:rPr>
      </w:pPr>
      <w:r w:rsidRPr="006E33D0">
        <w:rPr>
          <w:rFonts w:ascii="Arial" w:hAnsi="Arial" w:cs="Arial"/>
          <w:sz w:val="24"/>
          <w:szCs w:val="24"/>
          <w:lang w:eastAsia="en-GB"/>
        </w:rPr>
        <w:t>Persistent absence</w:t>
      </w:r>
      <w:r w:rsidRPr="006E33D0">
        <w:rPr>
          <w:rStyle w:val="FootnoteReference"/>
          <w:rFonts w:ascii="Arial" w:hAnsi="Arial" w:cs="Arial"/>
          <w:sz w:val="24"/>
          <w:szCs w:val="24"/>
          <w:lang w:eastAsia="en-GB"/>
        </w:rPr>
        <w:footnoteReference w:id="325"/>
      </w:r>
      <w:r w:rsidRPr="006E33D0">
        <w:rPr>
          <w:rFonts w:ascii="Arial" w:hAnsi="Arial" w:cs="Arial"/>
          <w:sz w:val="24"/>
          <w:szCs w:val="24"/>
          <w:lang w:eastAsia="en-GB"/>
        </w:rPr>
        <w:t xml:space="preserve"> from school was rising </w:t>
      </w:r>
      <w:r w:rsidR="00DC12CB">
        <w:rPr>
          <w:rFonts w:ascii="Arial" w:hAnsi="Arial" w:cs="Arial"/>
          <w:sz w:val="24"/>
          <w:szCs w:val="24"/>
          <w:lang w:eastAsia="en-GB"/>
        </w:rPr>
        <w:t>before</w:t>
      </w:r>
      <w:r w:rsidRPr="006E33D0">
        <w:rPr>
          <w:rFonts w:ascii="Arial" w:hAnsi="Arial" w:cs="Arial"/>
          <w:sz w:val="24"/>
          <w:szCs w:val="24"/>
          <w:lang w:eastAsia="en-GB"/>
        </w:rPr>
        <w:t xml:space="preserve"> the pandemic and continues to do so.</w:t>
      </w:r>
      <w:r w:rsidRPr="006E33D0">
        <w:rPr>
          <w:rStyle w:val="FootnoteReference"/>
          <w:rFonts w:ascii="Arial" w:hAnsi="Arial" w:cs="Arial"/>
          <w:sz w:val="24"/>
          <w:szCs w:val="24"/>
          <w:lang w:eastAsia="en-GB"/>
        </w:rPr>
        <w:footnoteReference w:id="326"/>
      </w:r>
      <w:r w:rsidRPr="006E33D0">
        <w:rPr>
          <w:rFonts w:ascii="Arial" w:hAnsi="Arial" w:cs="Arial"/>
          <w:sz w:val="24"/>
          <w:szCs w:val="24"/>
          <w:lang w:eastAsia="en-GB"/>
        </w:rPr>
        <w:t xml:space="preserve"> In England, in 2020/21, 12.1% of pupils were persistently absent, equating to </w:t>
      </w:r>
      <w:r w:rsidR="00DC12CB">
        <w:rPr>
          <w:rFonts w:ascii="Arial" w:hAnsi="Arial" w:cs="Arial"/>
          <w:sz w:val="24"/>
          <w:szCs w:val="24"/>
          <w:lang w:eastAsia="en-GB"/>
        </w:rPr>
        <w:t>about</w:t>
      </w:r>
      <w:r w:rsidR="00DC12CB" w:rsidRPr="006E33D0">
        <w:rPr>
          <w:rFonts w:ascii="Arial" w:hAnsi="Arial" w:cs="Arial"/>
          <w:sz w:val="24"/>
          <w:szCs w:val="24"/>
          <w:lang w:eastAsia="en-GB"/>
        </w:rPr>
        <w:t xml:space="preserve"> </w:t>
      </w:r>
      <w:r w:rsidRPr="006E33D0">
        <w:rPr>
          <w:rFonts w:ascii="Arial" w:hAnsi="Arial" w:cs="Arial"/>
          <w:sz w:val="24"/>
          <w:szCs w:val="24"/>
          <w:lang w:eastAsia="en-GB"/>
        </w:rPr>
        <w:t xml:space="preserve">870,000 children, up from </w:t>
      </w:r>
      <w:r w:rsidR="00E3303C">
        <w:rPr>
          <w:rFonts w:ascii="Arial" w:hAnsi="Arial" w:cs="Arial"/>
          <w:sz w:val="24"/>
          <w:szCs w:val="24"/>
          <w:lang w:eastAsia="en-GB"/>
        </w:rPr>
        <w:t xml:space="preserve">around </w:t>
      </w:r>
      <w:r w:rsidRPr="006E33D0">
        <w:rPr>
          <w:rFonts w:ascii="Arial" w:hAnsi="Arial" w:cs="Arial"/>
          <w:sz w:val="24"/>
          <w:szCs w:val="24"/>
          <w:lang w:eastAsia="en-GB"/>
        </w:rPr>
        <w:t xml:space="preserve">11% </w:t>
      </w:r>
      <w:r w:rsidR="00DC12CB">
        <w:rPr>
          <w:rFonts w:ascii="Arial" w:hAnsi="Arial" w:cs="Arial"/>
          <w:sz w:val="24"/>
          <w:szCs w:val="24"/>
          <w:lang w:eastAsia="en-GB"/>
        </w:rPr>
        <w:t>before</w:t>
      </w:r>
      <w:r w:rsidRPr="006E33D0">
        <w:rPr>
          <w:rFonts w:ascii="Arial" w:hAnsi="Arial" w:cs="Arial"/>
          <w:sz w:val="24"/>
          <w:szCs w:val="24"/>
          <w:lang w:eastAsia="en-GB"/>
        </w:rPr>
        <w:t xml:space="preserve"> the pandemic.</w:t>
      </w:r>
      <w:r w:rsidRPr="006E33D0">
        <w:rPr>
          <w:rStyle w:val="FootnoteReference"/>
          <w:rFonts w:ascii="Arial" w:hAnsi="Arial" w:cs="Arial"/>
          <w:sz w:val="24"/>
          <w:szCs w:val="24"/>
          <w:lang w:eastAsia="en-GB"/>
        </w:rPr>
        <w:footnoteReference w:id="327"/>
      </w:r>
      <w:r w:rsidRPr="006E33D0">
        <w:rPr>
          <w:rFonts w:ascii="Arial" w:hAnsi="Arial" w:cs="Arial"/>
          <w:sz w:val="24"/>
          <w:szCs w:val="24"/>
          <w:lang w:eastAsia="en-GB"/>
        </w:rPr>
        <w:t xml:space="preserve"> By the 2021/22 </w:t>
      </w:r>
      <w:r w:rsidR="00C221BF">
        <w:rPr>
          <w:rFonts w:ascii="Arial" w:hAnsi="Arial" w:cs="Arial"/>
          <w:sz w:val="24"/>
          <w:szCs w:val="24"/>
          <w:lang w:eastAsia="en-GB"/>
        </w:rPr>
        <w:t>a</w:t>
      </w:r>
      <w:r w:rsidRPr="006E33D0">
        <w:rPr>
          <w:rFonts w:ascii="Arial" w:hAnsi="Arial" w:cs="Arial"/>
          <w:sz w:val="24"/>
          <w:szCs w:val="24"/>
          <w:lang w:eastAsia="en-GB"/>
        </w:rPr>
        <w:t>utumn term this had risen to 23.5%.</w:t>
      </w:r>
      <w:r w:rsidRPr="006E33D0">
        <w:rPr>
          <w:rStyle w:val="FootnoteReference"/>
          <w:rFonts w:ascii="Arial" w:hAnsi="Arial" w:cs="Arial"/>
          <w:sz w:val="24"/>
          <w:szCs w:val="24"/>
          <w:lang w:eastAsia="en-GB"/>
        </w:rPr>
        <w:footnoteReference w:id="328"/>
      </w:r>
      <w:r w:rsidRPr="006E33D0">
        <w:rPr>
          <w:rFonts w:ascii="Arial" w:hAnsi="Arial" w:cs="Arial"/>
          <w:sz w:val="24"/>
          <w:szCs w:val="24"/>
          <w:lang w:eastAsia="en-GB"/>
        </w:rPr>
        <w:t xml:space="preserve"> A particularly alarming rise in persistent absence occurred in special schools, from 28.8% in 2018</w:t>
      </w:r>
      <w:r>
        <w:rPr>
          <w:rFonts w:ascii="Arial" w:hAnsi="Arial" w:cs="Arial"/>
          <w:sz w:val="24"/>
          <w:szCs w:val="24"/>
          <w:lang w:eastAsia="en-GB"/>
        </w:rPr>
        <w:t>/</w:t>
      </w:r>
      <w:r w:rsidRPr="006E33D0">
        <w:rPr>
          <w:rFonts w:ascii="Arial" w:hAnsi="Arial" w:cs="Arial"/>
          <w:sz w:val="24"/>
          <w:szCs w:val="24"/>
          <w:lang w:eastAsia="en-GB"/>
        </w:rPr>
        <w:t>19 to 48.9% in 2020/21.</w:t>
      </w:r>
      <w:r w:rsidRPr="006E33D0">
        <w:rPr>
          <w:rStyle w:val="FootnoteReference"/>
          <w:rFonts w:ascii="Arial" w:hAnsi="Arial" w:cs="Arial"/>
          <w:sz w:val="24"/>
          <w:szCs w:val="24"/>
          <w:lang w:eastAsia="en-GB"/>
        </w:rPr>
        <w:footnoteReference w:id="329"/>
      </w:r>
      <w:r w:rsidRPr="006E33D0">
        <w:rPr>
          <w:rFonts w:ascii="Arial" w:hAnsi="Arial" w:cs="Arial"/>
          <w:sz w:val="24"/>
          <w:szCs w:val="24"/>
          <w:lang w:eastAsia="en-GB"/>
        </w:rPr>
        <w:t xml:space="preserve"> In the 2021/22 </w:t>
      </w:r>
      <w:r w:rsidR="00C221BF">
        <w:rPr>
          <w:rFonts w:ascii="Arial" w:hAnsi="Arial" w:cs="Arial"/>
          <w:sz w:val="24"/>
          <w:szCs w:val="24"/>
          <w:lang w:eastAsia="en-GB"/>
        </w:rPr>
        <w:t>a</w:t>
      </w:r>
      <w:r w:rsidRPr="006E33D0">
        <w:rPr>
          <w:rFonts w:ascii="Arial" w:hAnsi="Arial" w:cs="Arial"/>
          <w:sz w:val="24"/>
          <w:szCs w:val="24"/>
          <w:lang w:eastAsia="en-GB"/>
        </w:rPr>
        <w:t xml:space="preserve">utumn term, 98,000 children were absent for 50% or more sessions – up from 60,200 in </w:t>
      </w:r>
      <w:r>
        <w:rPr>
          <w:rFonts w:ascii="Arial" w:hAnsi="Arial" w:cs="Arial"/>
          <w:sz w:val="24"/>
          <w:szCs w:val="24"/>
          <w:lang w:eastAsia="en-GB"/>
        </w:rPr>
        <w:t>a</w:t>
      </w:r>
      <w:r w:rsidRPr="006E33D0">
        <w:rPr>
          <w:rFonts w:ascii="Arial" w:hAnsi="Arial" w:cs="Arial"/>
          <w:sz w:val="24"/>
          <w:szCs w:val="24"/>
          <w:lang w:eastAsia="en-GB"/>
        </w:rPr>
        <w:t>utumn 2019.</w:t>
      </w:r>
      <w:r w:rsidRPr="006E33D0">
        <w:rPr>
          <w:rStyle w:val="FootnoteReference"/>
          <w:rFonts w:ascii="Arial" w:hAnsi="Arial" w:cs="Arial"/>
          <w:sz w:val="24"/>
          <w:szCs w:val="24"/>
          <w:lang w:eastAsia="en-GB"/>
        </w:rPr>
        <w:footnoteReference w:id="330"/>
      </w:r>
      <w:r w:rsidRPr="006E33D0">
        <w:rPr>
          <w:rFonts w:ascii="Arial" w:hAnsi="Arial" w:cs="Arial"/>
          <w:sz w:val="24"/>
          <w:szCs w:val="24"/>
          <w:lang w:eastAsia="en-GB"/>
        </w:rPr>
        <w:t xml:space="preserve"> Similarly</w:t>
      </w:r>
      <w:r w:rsidR="00C221BF">
        <w:rPr>
          <w:rFonts w:ascii="Arial" w:hAnsi="Arial" w:cs="Arial"/>
          <w:sz w:val="24"/>
          <w:szCs w:val="24"/>
          <w:lang w:eastAsia="en-GB"/>
        </w:rPr>
        <w:t>,</w:t>
      </w:r>
      <w:r w:rsidRPr="006E33D0">
        <w:rPr>
          <w:rFonts w:ascii="Arial" w:hAnsi="Arial" w:cs="Arial"/>
          <w:sz w:val="24"/>
          <w:szCs w:val="24"/>
          <w:lang w:eastAsia="en-GB"/>
        </w:rPr>
        <w:t xml:space="preserve"> in Wales, </w:t>
      </w:r>
      <w:r w:rsidR="00DC12CB">
        <w:rPr>
          <w:rFonts w:ascii="Arial" w:hAnsi="Arial" w:cs="Arial"/>
          <w:sz w:val="24"/>
          <w:szCs w:val="24"/>
          <w:lang w:eastAsia="en-GB"/>
        </w:rPr>
        <w:t xml:space="preserve">the </w:t>
      </w:r>
      <w:r w:rsidRPr="006E33D0">
        <w:rPr>
          <w:rFonts w:ascii="Arial" w:hAnsi="Arial" w:cs="Arial"/>
          <w:sz w:val="24"/>
          <w:szCs w:val="24"/>
          <w:lang w:eastAsia="en-GB"/>
        </w:rPr>
        <w:t>data show</w:t>
      </w:r>
      <w:r w:rsidR="00DC12CB">
        <w:rPr>
          <w:rFonts w:ascii="Arial" w:hAnsi="Arial" w:cs="Arial"/>
          <w:sz w:val="24"/>
          <w:szCs w:val="24"/>
          <w:lang w:eastAsia="en-GB"/>
        </w:rPr>
        <w:t>s</w:t>
      </w:r>
      <w:r w:rsidRPr="006E33D0">
        <w:rPr>
          <w:rFonts w:ascii="Arial" w:hAnsi="Arial" w:cs="Arial"/>
          <w:sz w:val="24"/>
          <w:szCs w:val="24"/>
          <w:lang w:eastAsia="en-GB"/>
        </w:rPr>
        <w:t xml:space="preserve"> a continued increase in the number of children who are absent for significant periods, </w:t>
      </w:r>
      <w:r w:rsidR="00DC12CB">
        <w:rPr>
          <w:rFonts w:ascii="Arial" w:hAnsi="Arial" w:cs="Arial"/>
          <w:sz w:val="24"/>
          <w:szCs w:val="24"/>
          <w:lang w:eastAsia="en-GB"/>
        </w:rPr>
        <w:t>with</w:t>
      </w:r>
      <w:r w:rsidR="00DC12CB" w:rsidRPr="006E33D0">
        <w:rPr>
          <w:rFonts w:ascii="Arial" w:hAnsi="Arial" w:cs="Arial"/>
          <w:sz w:val="24"/>
          <w:szCs w:val="24"/>
          <w:lang w:eastAsia="en-GB"/>
        </w:rPr>
        <w:t xml:space="preserve"> </w:t>
      </w:r>
      <w:r w:rsidRPr="006E33D0">
        <w:rPr>
          <w:rFonts w:ascii="Arial" w:hAnsi="Arial" w:cs="Arial"/>
          <w:sz w:val="24"/>
          <w:szCs w:val="24"/>
          <w:lang w:eastAsia="en-GB"/>
        </w:rPr>
        <w:t>a particularly high rate among Gypsy and Traveller pupils, those eligible for FSM, and those with special educational needs (SEN).</w:t>
      </w:r>
      <w:r w:rsidRPr="006E33D0">
        <w:rPr>
          <w:rStyle w:val="FootnoteReference"/>
          <w:rFonts w:ascii="Arial" w:hAnsi="Arial" w:cs="Arial"/>
          <w:sz w:val="24"/>
          <w:szCs w:val="24"/>
          <w:lang w:eastAsia="en-GB"/>
        </w:rPr>
        <w:footnoteReference w:id="331"/>
      </w:r>
    </w:p>
    <w:p w14:paraId="36124FA8" w14:textId="62959246" w:rsidR="00235DF5" w:rsidRPr="006E33D0" w:rsidRDefault="00235DF5" w:rsidP="00235DF5">
      <w:pPr>
        <w:pStyle w:val="NoSpacing"/>
        <w:spacing w:before="120" w:after="120"/>
        <w:rPr>
          <w:rFonts w:ascii="Arial" w:hAnsi="Arial" w:cs="Arial"/>
          <w:sz w:val="24"/>
          <w:szCs w:val="24"/>
        </w:rPr>
      </w:pPr>
      <w:r w:rsidRPr="006E33D0">
        <w:rPr>
          <w:rFonts w:ascii="Arial" w:hAnsi="Arial" w:cs="Arial"/>
          <w:sz w:val="24"/>
          <w:szCs w:val="24"/>
        </w:rPr>
        <w:t>Evidence suggests that the number of children who are in elective home education (EHE) has increased significantly in England and Wales in recent years.</w:t>
      </w:r>
      <w:r w:rsidRPr="006E33D0">
        <w:rPr>
          <w:rStyle w:val="FootnoteReference"/>
          <w:rFonts w:ascii="Arial" w:hAnsi="Arial" w:cs="Arial"/>
          <w:sz w:val="24"/>
          <w:szCs w:val="24"/>
        </w:rPr>
        <w:footnoteReference w:id="332"/>
      </w:r>
      <w:r w:rsidRPr="006E33D0">
        <w:rPr>
          <w:rFonts w:ascii="Arial" w:hAnsi="Arial" w:cs="Arial"/>
          <w:sz w:val="24"/>
          <w:szCs w:val="24"/>
        </w:rPr>
        <w:t xml:space="preserve"> National data is not yet collected, but evidence suggests that Gypsy, Roma and Traveller children, and those with SEND, may be over</w:t>
      </w:r>
      <w:r w:rsidR="00072C29">
        <w:rPr>
          <w:rFonts w:ascii="Arial" w:hAnsi="Arial" w:cs="Arial"/>
          <w:sz w:val="24"/>
          <w:szCs w:val="24"/>
        </w:rPr>
        <w:t xml:space="preserve"> </w:t>
      </w:r>
      <w:r w:rsidRPr="006E33D0">
        <w:rPr>
          <w:rFonts w:ascii="Arial" w:hAnsi="Arial" w:cs="Arial"/>
          <w:sz w:val="24"/>
          <w:szCs w:val="24"/>
        </w:rPr>
        <w:t>represented among those in EHE.</w:t>
      </w:r>
      <w:r w:rsidRPr="006E33D0">
        <w:rPr>
          <w:rStyle w:val="FootnoteReference"/>
          <w:rFonts w:ascii="Arial" w:hAnsi="Arial" w:cs="Arial"/>
          <w:sz w:val="24"/>
          <w:szCs w:val="24"/>
        </w:rPr>
        <w:footnoteReference w:id="333"/>
      </w:r>
      <w:r w:rsidRPr="006E33D0">
        <w:rPr>
          <w:rFonts w:ascii="Arial" w:hAnsi="Arial" w:cs="Arial"/>
          <w:sz w:val="24"/>
          <w:szCs w:val="24"/>
        </w:rPr>
        <w:t xml:space="preserve"> While EHE is a positive choice for many families, other reasons for EHE can include health anxieties related to COVID-1</w:t>
      </w:r>
      <w:r w:rsidR="00072C29">
        <w:rPr>
          <w:rFonts w:ascii="Arial" w:hAnsi="Arial" w:cs="Arial"/>
          <w:sz w:val="24"/>
          <w:szCs w:val="24"/>
        </w:rPr>
        <w:t xml:space="preserve">9, insufficient SEN support </w:t>
      </w:r>
      <w:r w:rsidRPr="006E33D0">
        <w:rPr>
          <w:rFonts w:ascii="Arial" w:hAnsi="Arial" w:cs="Arial"/>
          <w:sz w:val="24"/>
          <w:szCs w:val="24"/>
        </w:rPr>
        <w:t xml:space="preserve">in the school system, and the prevalence of bullying which </w:t>
      </w:r>
      <w:r>
        <w:rPr>
          <w:rFonts w:ascii="Arial" w:hAnsi="Arial" w:cs="Arial"/>
          <w:sz w:val="24"/>
          <w:szCs w:val="24"/>
        </w:rPr>
        <w:t>may</w:t>
      </w:r>
      <w:r w:rsidRPr="006E33D0">
        <w:rPr>
          <w:rFonts w:ascii="Arial" w:hAnsi="Arial" w:cs="Arial"/>
          <w:sz w:val="24"/>
          <w:szCs w:val="24"/>
        </w:rPr>
        <w:t xml:space="preserve"> be related to a child’s protected characteristics.</w:t>
      </w:r>
      <w:r w:rsidRPr="006E33D0">
        <w:rPr>
          <w:rStyle w:val="FootnoteReference"/>
          <w:rFonts w:ascii="Arial" w:hAnsi="Arial" w:cs="Arial"/>
          <w:sz w:val="24"/>
          <w:szCs w:val="24"/>
        </w:rPr>
        <w:footnoteReference w:id="334"/>
      </w:r>
      <w:r w:rsidRPr="006E33D0">
        <w:rPr>
          <w:rFonts w:ascii="Arial" w:hAnsi="Arial" w:cs="Arial"/>
          <w:sz w:val="24"/>
          <w:szCs w:val="24"/>
        </w:rPr>
        <w:t xml:space="preserve"> There are concerns that not all children in EHE will be receiving appropriate education and that, for some, there may be ‘exposure to greater safeguarding risks’.</w:t>
      </w:r>
      <w:r w:rsidRPr="006E33D0">
        <w:rPr>
          <w:rStyle w:val="FootnoteReference"/>
          <w:rFonts w:ascii="Arial" w:hAnsi="Arial" w:cs="Arial"/>
          <w:sz w:val="24"/>
          <w:szCs w:val="24"/>
        </w:rPr>
        <w:footnoteReference w:id="335"/>
      </w:r>
      <w:r w:rsidRPr="006E33D0">
        <w:rPr>
          <w:rFonts w:ascii="Arial" w:hAnsi="Arial" w:cs="Arial"/>
          <w:sz w:val="24"/>
          <w:szCs w:val="24"/>
        </w:rPr>
        <w:t xml:space="preserve"> </w:t>
      </w:r>
    </w:p>
    <w:p w14:paraId="7786BF7D" w14:textId="77777777" w:rsidR="00235DF5" w:rsidRPr="006E33D0" w:rsidRDefault="00235DF5" w:rsidP="00235DF5">
      <w:pPr>
        <w:pStyle w:val="NoSpacing"/>
        <w:spacing w:before="120" w:after="120"/>
        <w:rPr>
          <w:rFonts w:ascii="Arial" w:hAnsi="Arial" w:cs="Arial"/>
          <w:sz w:val="24"/>
          <w:szCs w:val="24"/>
          <w:lang w:eastAsia="en-GB"/>
        </w:rPr>
      </w:pPr>
      <w:r w:rsidRPr="006E33D0">
        <w:rPr>
          <w:rFonts w:ascii="Arial" w:hAnsi="Arial" w:cs="Arial"/>
          <w:sz w:val="24"/>
          <w:szCs w:val="24"/>
          <w:lang w:eastAsia="en-GB"/>
        </w:rPr>
        <w:t>The UK Government introduced a Schools Bill in 2022, which includes proposals to create a register of children not in school.</w:t>
      </w:r>
      <w:r w:rsidRPr="006E33D0">
        <w:rPr>
          <w:rStyle w:val="FootnoteReference"/>
          <w:rFonts w:ascii="Arial" w:hAnsi="Arial" w:cs="Arial"/>
          <w:sz w:val="24"/>
          <w:szCs w:val="24"/>
          <w:lang w:eastAsia="en-GB"/>
        </w:rPr>
        <w:footnoteReference w:id="336"/>
      </w:r>
      <w:r w:rsidRPr="006E33D0">
        <w:rPr>
          <w:rFonts w:ascii="Arial" w:hAnsi="Arial" w:cs="Arial"/>
          <w:sz w:val="24"/>
          <w:szCs w:val="24"/>
          <w:lang w:eastAsia="en-GB"/>
        </w:rPr>
        <w:t xml:space="preserve"> We support this in principle, including the collection of voluntarily provided data on the protected characteristics of children, as well as the reasons for home schooling. The Bill also aims to reduce pupil absence rates, including by improving attendance support and allowing for fixed penalty notices to be issued.</w:t>
      </w:r>
      <w:r w:rsidRPr="006E33D0">
        <w:rPr>
          <w:rStyle w:val="FootnoteReference"/>
          <w:rFonts w:ascii="Arial" w:hAnsi="Arial" w:cs="Arial"/>
          <w:sz w:val="24"/>
          <w:szCs w:val="24"/>
          <w:lang w:eastAsia="en-GB"/>
        </w:rPr>
        <w:footnoteReference w:id="337"/>
      </w:r>
    </w:p>
    <w:p w14:paraId="076D07FD" w14:textId="3891D8D0" w:rsidR="00235DF5" w:rsidRPr="006E33D0" w:rsidRDefault="00235DF5" w:rsidP="00235DF5">
      <w:pPr>
        <w:pStyle w:val="NoSpacing"/>
        <w:spacing w:before="120" w:after="120"/>
        <w:rPr>
          <w:rFonts w:ascii="Arial" w:hAnsi="Arial" w:cs="Arial"/>
          <w:sz w:val="24"/>
          <w:szCs w:val="24"/>
          <w:lang w:eastAsia="en-GB"/>
        </w:rPr>
      </w:pPr>
      <w:r w:rsidRPr="006E33D0">
        <w:rPr>
          <w:rFonts w:ascii="Arial" w:hAnsi="Arial" w:cs="Arial"/>
          <w:sz w:val="24"/>
          <w:szCs w:val="24"/>
          <w:lang w:eastAsia="en-GB"/>
        </w:rPr>
        <w:t>The Welsh Government delayed the introduction of statutory guidance and regulations governing the collection of data on EHE in 2020,</w:t>
      </w:r>
      <w:r w:rsidRPr="006E33D0">
        <w:rPr>
          <w:rStyle w:val="FootnoteReference"/>
          <w:rFonts w:ascii="Arial" w:hAnsi="Arial" w:cs="Arial"/>
          <w:sz w:val="24"/>
          <w:szCs w:val="24"/>
          <w:lang w:eastAsia="en-GB"/>
        </w:rPr>
        <w:footnoteReference w:id="338"/>
      </w:r>
      <w:r w:rsidRPr="006E33D0">
        <w:rPr>
          <w:rFonts w:ascii="Arial" w:hAnsi="Arial" w:cs="Arial"/>
          <w:sz w:val="24"/>
          <w:szCs w:val="24"/>
          <w:lang w:eastAsia="en-GB"/>
        </w:rPr>
        <w:t xml:space="preserve"> meaning that many local authorities continue to have limited responsibilities </w:t>
      </w:r>
      <w:r w:rsidR="0083015B">
        <w:rPr>
          <w:rFonts w:ascii="Arial" w:hAnsi="Arial" w:cs="Arial"/>
          <w:sz w:val="24"/>
          <w:szCs w:val="24"/>
          <w:lang w:eastAsia="en-GB"/>
        </w:rPr>
        <w:t xml:space="preserve">for </w:t>
      </w:r>
      <w:r w:rsidRPr="006E33D0">
        <w:rPr>
          <w:rFonts w:ascii="Arial" w:hAnsi="Arial" w:cs="Arial"/>
          <w:sz w:val="24"/>
          <w:szCs w:val="24"/>
          <w:lang w:eastAsia="en-GB"/>
        </w:rPr>
        <w:t xml:space="preserve">and powers </w:t>
      </w:r>
      <w:r w:rsidR="0083015B">
        <w:rPr>
          <w:rFonts w:ascii="Arial" w:hAnsi="Arial" w:cs="Arial"/>
          <w:sz w:val="24"/>
          <w:szCs w:val="24"/>
          <w:lang w:eastAsia="en-GB"/>
        </w:rPr>
        <w:t>over</w:t>
      </w:r>
      <w:r w:rsidRPr="006E33D0">
        <w:rPr>
          <w:rFonts w:ascii="Arial" w:hAnsi="Arial" w:cs="Arial"/>
          <w:sz w:val="24"/>
          <w:szCs w:val="24"/>
          <w:lang w:eastAsia="en-GB"/>
        </w:rPr>
        <w:t xml:space="preserve"> children educated at home.</w:t>
      </w:r>
      <w:r w:rsidRPr="006E33D0">
        <w:rPr>
          <w:rStyle w:val="FootnoteReference"/>
          <w:rFonts w:ascii="Arial" w:hAnsi="Arial" w:cs="Arial"/>
          <w:sz w:val="24"/>
          <w:szCs w:val="24"/>
          <w:lang w:eastAsia="en-GB"/>
        </w:rPr>
        <w:footnoteReference w:id="339"/>
      </w:r>
    </w:p>
    <w:p w14:paraId="110DB2E4" w14:textId="1C3C82C5" w:rsidR="00235DF5" w:rsidRPr="00B91A3D" w:rsidRDefault="00235DF5" w:rsidP="00235DF5">
      <w:pPr>
        <w:pStyle w:val="Heading3"/>
      </w:pPr>
      <w:r>
        <w:t>Inclusive education</w:t>
      </w:r>
    </w:p>
    <w:p w14:paraId="04F8E5BF" w14:textId="7C45A7E5" w:rsidR="00235DF5" w:rsidRPr="006E33D0" w:rsidRDefault="00235DF5" w:rsidP="00235DF5">
      <w:pPr>
        <w:spacing w:before="120" w:line="240" w:lineRule="auto"/>
        <w:rPr>
          <w:rFonts w:ascii="Arial" w:eastAsia="Calibri" w:hAnsi="Arial" w:cs="Arial"/>
          <w:szCs w:val="24"/>
        </w:rPr>
      </w:pPr>
      <w:r w:rsidRPr="006E33D0">
        <w:rPr>
          <w:rFonts w:ascii="Arial" w:eastAsia="Calibri" w:hAnsi="Arial" w:cs="Arial"/>
          <w:color w:val="0B0C0C"/>
          <w:szCs w:val="24"/>
          <w:shd w:val="clear" w:color="auto" w:fill="FFFFFF"/>
        </w:rPr>
        <w:t>The percentage of pupils with an education, health and care (EHC) plan</w:t>
      </w:r>
      <w:r w:rsidR="00133102">
        <w:rPr>
          <w:rFonts w:ascii="Arial" w:eastAsia="Calibri" w:hAnsi="Arial" w:cs="Arial"/>
          <w:color w:val="0B0C0C"/>
          <w:szCs w:val="24"/>
          <w:shd w:val="clear" w:color="auto" w:fill="FFFFFF"/>
        </w:rPr>
        <w:t>,</w:t>
      </w:r>
      <w:r w:rsidRPr="006E33D0">
        <w:rPr>
          <w:rFonts w:ascii="Arial" w:eastAsia="Calibri" w:hAnsi="Arial" w:cs="Arial"/>
          <w:color w:val="0B0C0C"/>
          <w:szCs w:val="24"/>
          <w:shd w:val="clear" w:color="auto" w:fill="FFFFFF"/>
          <w:vertAlign w:val="superscript"/>
        </w:rPr>
        <w:footnoteReference w:id="340"/>
      </w:r>
      <w:r w:rsidRPr="006E33D0">
        <w:rPr>
          <w:rFonts w:ascii="Arial" w:eastAsia="Calibri" w:hAnsi="Arial" w:cs="Arial"/>
          <w:color w:val="0B0C0C"/>
          <w:szCs w:val="24"/>
          <w:shd w:val="clear" w:color="auto" w:fill="FFFFFF"/>
        </w:rPr>
        <w:t xml:space="preserve"> or SEN support</w:t>
      </w:r>
      <w:r w:rsidR="00133102">
        <w:rPr>
          <w:rFonts w:ascii="Arial" w:eastAsia="Calibri" w:hAnsi="Arial" w:cs="Arial"/>
          <w:color w:val="0B0C0C"/>
          <w:szCs w:val="24"/>
          <w:shd w:val="clear" w:color="auto" w:fill="FFFFFF"/>
        </w:rPr>
        <w:t>,</w:t>
      </w:r>
      <w:r w:rsidRPr="006E33D0">
        <w:rPr>
          <w:rFonts w:ascii="Arial" w:eastAsia="Calibri" w:hAnsi="Arial" w:cs="Arial"/>
          <w:color w:val="0B0C0C"/>
          <w:szCs w:val="24"/>
          <w:shd w:val="clear" w:color="auto" w:fill="FFFFFF"/>
        </w:rPr>
        <w:t xml:space="preserve"> has been increasing in England since 2016.</w:t>
      </w:r>
      <w:r w:rsidRPr="006E33D0">
        <w:rPr>
          <w:rFonts w:ascii="Arial" w:eastAsia="Calibri" w:hAnsi="Arial" w:cs="Arial"/>
          <w:color w:val="0B0C0C"/>
          <w:szCs w:val="24"/>
          <w:shd w:val="clear" w:color="auto" w:fill="FFFFFF"/>
          <w:vertAlign w:val="superscript"/>
        </w:rPr>
        <w:footnoteReference w:id="341"/>
      </w:r>
      <w:r w:rsidRPr="006E33D0">
        <w:rPr>
          <w:rFonts w:ascii="Arial" w:eastAsia="Calibri" w:hAnsi="Arial" w:cs="Arial"/>
          <w:color w:val="0B0C0C"/>
          <w:szCs w:val="24"/>
          <w:shd w:val="clear" w:color="auto" w:fill="FFFFFF"/>
        </w:rPr>
        <w:t xml:space="preserve"> </w:t>
      </w:r>
      <w:r w:rsidRPr="006E33D0">
        <w:rPr>
          <w:rFonts w:ascii="Arial" w:eastAsia="Calibri" w:hAnsi="Arial" w:cs="Arial"/>
          <w:szCs w:val="24"/>
        </w:rPr>
        <w:t>Evidence shows that SEN identified by schools is more prevalent in certain groups,</w:t>
      </w:r>
      <w:r w:rsidR="00133102">
        <w:rPr>
          <w:rFonts w:ascii="Arial" w:eastAsia="Calibri" w:hAnsi="Arial" w:cs="Arial"/>
          <w:color w:val="0B0C0C"/>
          <w:szCs w:val="24"/>
        </w:rPr>
        <w:t xml:space="preserve"> </w:t>
      </w:r>
      <w:r w:rsidRPr="006E33D0">
        <w:rPr>
          <w:rFonts w:ascii="Arial" w:eastAsia="Calibri" w:hAnsi="Arial" w:cs="Arial"/>
          <w:color w:val="0B0C0C"/>
          <w:szCs w:val="24"/>
        </w:rPr>
        <w:t xml:space="preserve">including boys, those eligible for FSM, and some </w:t>
      </w:r>
      <w:r w:rsidRPr="006E33D0">
        <w:rPr>
          <w:rFonts w:ascii="Arial" w:eastAsia="Calibri" w:hAnsi="Arial" w:cs="Arial"/>
          <w:szCs w:val="24"/>
        </w:rPr>
        <w:t>ethnic minorities including Gypsy, Roma</w:t>
      </w:r>
      <w:r w:rsidR="0099249F">
        <w:rPr>
          <w:rFonts w:ascii="Arial" w:eastAsia="Calibri" w:hAnsi="Arial" w:cs="Arial"/>
          <w:szCs w:val="24"/>
        </w:rPr>
        <w:t xml:space="preserve">, </w:t>
      </w:r>
      <w:r w:rsidRPr="006E33D0">
        <w:rPr>
          <w:rFonts w:ascii="Arial" w:eastAsia="Calibri" w:hAnsi="Arial" w:cs="Arial"/>
          <w:szCs w:val="24"/>
        </w:rPr>
        <w:t>Traveller and Black Caribbean children</w:t>
      </w:r>
      <w:r w:rsidRPr="006E33D0">
        <w:rPr>
          <w:rFonts w:ascii="Arial" w:eastAsia="Calibri" w:hAnsi="Arial" w:cs="Arial"/>
          <w:color w:val="0B0C0C"/>
          <w:szCs w:val="24"/>
        </w:rPr>
        <w:t>.</w:t>
      </w:r>
      <w:r w:rsidRPr="006E33D0">
        <w:rPr>
          <w:rFonts w:ascii="Arial" w:eastAsia="Calibri" w:hAnsi="Arial" w:cs="Arial"/>
          <w:color w:val="0B0C0C"/>
          <w:szCs w:val="24"/>
          <w:vertAlign w:val="superscript"/>
        </w:rPr>
        <w:footnoteReference w:id="342"/>
      </w:r>
      <w:r w:rsidRPr="006E33D0">
        <w:rPr>
          <w:rFonts w:ascii="Arial" w:eastAsia="Calibri" w:hAnsi="Arial" w:cs="Arial"/>
          <w:szCs w:val="24"/>
        </w:rPr>
        <w:t xml:space="preserve"> The number of childre</w:t>
      </w:r>
      <w:r w:rsidR="006745C9">
        <w:rPr>
          <w:rFonts w:ascii="Arial" w:eastAsia="Calibri" w:hAnsi="Arial" w:cs="Arial"/>
          <w:szCs w:val="24"/>
        </w:rPr>
        <w:t>n in Wales with ALN</w:t>
      </w:r>
      <w:r w:rsidR="00840660">
        <w:rPr>
          <w:rFonts w:ascii="Arial" w:eastAsia="Calibri" w:hAnsi="Arial" w:cs="Arial"/>
          <w:szCs w:val="24"/>
        </w:rPr>
        <w:t xml:space="preserve"> or SEN</w:t>
      </w:r>
      <w:r w:rsidRPr="006E33D0">
        <w:rPr>
          <w:rFonts w:ascii="Arial" w:eastAsia="Calibri" w:hAnsi="Arial" w:cs="Arial"/>
          <w:szCs w:val="24"/>
        </w:rPr>
        <w:t xml:space="preserve"> has been decreasing since 2017/18</w:t>
      </w:r>
      <w:r>
        <w:rPr>
          <w:rFonts w:ascii="Arial" w:eastAsia="Calibri" w:hAnsi="Arial" w:cs="Arial"/>
          <w:szCs w:val="24"/>
        </w:rPr>
        <w:t>.</w:t>
      </w:r>
      <w:r w:rsidRPr="006E33D0">
        <w:rPr>
          <w:rStyle w:val="FootnoteReference"/>
          <w:rFonts w:ascii="Arial" w:eastAsia="Calibri" w:hAnsi="Arial" w:cs="Arial"/>
          <w:szCs w:val="24"/>
        </w:rPr>
        <w:footnoteReference w:id="343"/>
      </w:r>
      <w:r w:rsidRPr="006E33D0">
        <w:rPr>
          <w:rFonts w:ascii="Arial" w:eastAsia="Calibri" w:hAnsi="Arial" w:cs="Arial"/>
          <w:szCs w:val="24"/>
        </w:rPr>
        <w:t xml:space="preserve"> </w:t>
      </w:r>
      <w:r>
        <w:rPr>
          <w:rFonts w:ascii="Arial" w:eastAsia="Calibri" w:hAnsi="Arial" w:cs="Arial"/>
          <w:szCs w:val="24"/>
        </w:rPr>
        <w:t>H</w:t>
      </w:r>
      <w:r w:rsidRPr="006E33D0">
        <w:rPr>
          <w:rFonts w:ascii="Arial" w:eastAsia="Calibri" w:hAnsi="Arial" w:cs="Arial"/>
          <w:szCs w:val="24"/>
        </w:rPr>
        <w:t>owever</w:t>
      </w:r>
      <w:r>
        <w:rPr>
          <w:rFonts w:ascii="Arial" w:eastAsia="Calibri" w:hAnsi="Arial" w:cs="Arial"/>
          <w:szCs w:val="24"/>
        </w:rPr>
        <w:t>,</w:t>
      </w:r>
      <w:r w:rsidRPr="006E33D0">
        <w:rPr>
          <w:rFonts w:ascii="Arial" w:eastAsia="Calibri" w:hAnsi="Arial" w:cs="Arial"/>
          <w:szCs w:val="24"/>
        </w:rPr>
        <w:t xml:space="preserve"> this is likely to be due to the new ALN system and changes in the way that </w:t>
      </w:r>
      <w:r w:rsidR="00133102">
        <w:rPr>
          <w:rFonts w:ascii="Arial" w:eastAsia="Calibri" w:hAnsi="Arial" w:cs="Arial"/>
          <w:szCs w:val="24"/>
        </w:rPr>
        <w:t xml:space="preserve">ALN and </w:t>
      </w:r>
      <w:r w:rsidRPr="006E33D0">
        <w:rPr>
          <w:rFonts w:ascii="Arial" w:eastAsia="Calibri" w:hAnsi="Arial" w:cs="Arial"/>
          <w:szCs w:val="24"/>
        </w:rPr>
        <w:t xml:space="preserve">SEN </w:t>
      </w:r>
      <w:r w:rsidR="0099249F">
        <w:rPr>
          <w:rFonts w:ascii="Arial" w:eastAsia="Calibri" w:hAnsi="Arial" w:cs="Arial"/>
          <w:szCs w:val="24"/>
        </w:rPr>
        <w:t>are</w:t>
      </w:r>
      <w:r w:rsidRPr="006E33D0">
        <w:rPr>
          <w:rFonts w:ascii="Arial" w:eastAsia="Calibri" w:hAnsi="Arial" w:cs="Arial"/>
          <w:szCs w:val="24"/>
        </w:rPr>
        <w:t xml:space="preserve"> identified.</w:t>
      </w:r>
      <w:r w:rsidRPr="006E33D0">
        <w:rPr>
          <w:rStyle w:val="FootnoteReference"/>
          <w:rFonts w:ascii="Arial" w:eastAsia="Calibri" w:hAnsi="Arial" w:cs="Arial"/>
          <w:szCs w:val="24"/>
        </w:rPr>
        <w:footnoteReference w:id="344"/>
      </w:r>
      <w:r w:rsidRPr="006E33D0">
        <w:rPr>
          <w:rFonts w:ascii="Arial" w:eastAsia="Calibri" w:hAnsi="Arial" w:cs="Arial"/>
          <w:szCs w:val="24"/>
        </w:rPr>
        <w:t xml:space="preserve"> </w:t>
      </w:r>
    </w:p>
    <w:p w14:paraId="5B927C71" w14:textId="3D490B88" w:rsidR="00235DF5" w:rsidRPr="006E33D0" w:rsidRDefault="00235DF5" w:rsidP="00235DF5">
      <w:pPr>
        <w:spacing w:before="120" w:line="240" w:lineRule="auto"/>
        <w:rPr>
          <w:rFonts w:ascii="Arial" w:eastAsia="Calibri" w:hAnsi="Arial" w:cs="Arial"/>
          <w:szCs w:val="24"/>
        </w:rPr>
      </w:pPr>
      <w:r w:rsidRPr="006E33D0">
        <w:rPr>
          <w:rFonts w:ascii="Arial" w:eastAsia="Calibri" w:hAnsi="Arial" w:cs="Arial"/>
          <w:szCs w:val="24"/>
        </w:rPr>
        <w:t>Article 24 of the UN Convention on the Rights of Persons with Disabilities (CRPD) enshrines the right of disabled people to access inclusive, quality and free primary and secondary education on an equal basis. The UN Committee on the Rights of Persons with Disabilities has stated that the duty to progressively realise this right is incompatible with the maintenance of two systems of education: one mainstream system and one special or segregated system.</w:t>
      </w:r>
      <w:r w:rsidRPr="006E33D0">
        <w:rPr>
          <w:rFonts w:ascii="Arial" w:eastAsia="Calibri" w:hAnsi="Arial" w:cs="Arial"/>
          <w:szCs w:val="24"/>
          <w:vertAlign w:val="superscript"/>
        </w:rPr>
        <w:footnoteReference w:id="345"/>
      </w:r>
      <w:r w:rsidRPr="006E33D0">
        <w:rPr>
          <w:rFonts w:ascii="Arial" w:eastAsia="Calibri" w:hAnsi="Arial" w:cs="Arial"/>
          <w:szCs w:val="24"/>
        </w:rPr>
        <w:t xml:space="preserve"> However, the UK is one of only two signatories to retain a reservation and an interpretive declaration to Article 24 (2) (a) and (b) of the CRPD, and </w:t>
      </w:r>
      <w:r w:rsidRPr="006E33D0">
        <w:rPr>
          <w:rFonts w:ascii="Arial" w:eastAsia="Calibri" w:hAnsi="Arial" w:cs="Arial"/>
          <w:szCs w:val="24"/>
          <w:lang w:eastAsia="en-GB"/>
        </w:rPr>
        <w:t xml:space="preserve">trends point to a system that </w:t>
      </w:r>
      <w:r>
        <w:rPr>
          <w:rFonts w:ascii="Arial" w:eastAsia="Calibri" w:hAnsi="Arial" w:cs="Arial"/>
          <w:szCs w:val="24"/>
          <w:lang w:eastAsia="en-GB"/>
        </w:rPr>
        <w:t>may be</w:t>
      </w:r>
      <w:r w:rsidRPr="006E33D0">
        <w:rPr>
          <w:rFonts w:ascii="Arial" w:eastAsia="Calibri" w:hAnsi="Arial" w:cs="Arial"/>
          <w:szCs w:val="24"/>
          <w:lang w:eastAsia="en-GB"/>
        </w:rPr>
        <w:t xml:space="preserve"> becoming less inclusive.</w:t>
      </w:r>
    </w:p>
    <w:p w14:paraId="1DBCF3C3" w14:textId="041D1260" w:rsidR="00235DF5" w:rsidRPr="006E33D0" w:rsidRDefault="00235DF5" w:rsidP="00235DF5">
      <w:pPr>
        <w:pStyle w:val="NoSpacing"/>
        <w:spacing w:before="120" w:after="120"/>
        <w:rPr>
          <w:rFonts w:ascii="Arial" w:eastAsia="Calibri" w:hAnsi="Arial" w:cs="Arial"/>
          <w:sz w:val="24"/>
          <w:szCs w:val="24"/>
          <w:lang w:eastAsia="en-GB"/>
        </w:rPr>
      </w:pPr>
      <w:r w:rsidRPr="006E33D0">
        <w:rPr>
          <w:rFonts w:ascii="Arial" w:eastAsia="Calibri" w:hAnsi="Arial" w:cs="Arial"/>
          <w:sz w:val="24"/>
          <w:szCs w:val="24"/>
          <w:lang w:eastAsia="en-GB"/>
        </w:rPr>
        <w:t xml:space="preserve">There has been a consistent increase in the </w:t>
      </w:r>
      <w:r w:rsidR="00D33944">
        <w:rPr>
          <w:rFonts w:ascii="Arial" w:eastAsia="Calibri" w:hAnsi="Arial" w:cs="Arial"/>
          <w:sz w:val="24"/>
          <w:szCs w:val="24"/>
          <w:lang w:eastAsia="en-GB"/>
        </w:rPr>
        <w:t xml:space="preserve">percentage of children with SEN or </w:t>
      </w:r>
      <w:r w:rsidRPr="006E33D0">
        <w:rPr>
          <w:rFonts w:ascii="Arial" w:eastAsia="Calibri" w:hAnsi="Arial" w:cs="Arial"/>
          <w:sz w:val="24"/>
          <w:szCs w:val="24"/>
          <w:lang w:eastAsia="en-GB"/>
        </w:rPr>
        <w:t>ALN</w:t>
      </w:r>
      <w:r w:rsidRPr="006E33D0">
        <w:rPr>
          <w:rFonts w:ascii="Arial" w:eastAsia="Calibri" w:hAnsi="Arial" w:cs="Arial"/>
          <w:sz w:val="24"/>
          <w:szCs w:val="24"/>
          <w:vertAlign w:val="superscript"/>
          <w:lang w:eastAsia="en-GB"/>
        </w:rPr>
        <w:footnoteReference w:id="346"/>
      </w:r>
      <w:r w:rsidRPr="006E33D0">
        <w:rPr>
          <w:rFonts w:ascii="Arial" w:eastAsia="Calibri" w:hAnsi="Arial" w:cs="Arial"/>
          <w:sz w:val="24"/>
          <w:szCs w:val="24"/>
          <w:lang w:eastAsia="en-GB"/>
        </w:rPr>
        <w:t xml:space="preserve"> being educated outside mainstream schools. In England, 9.6% of pupils with SEN a</w:t>
      </w:r>
      <w:r w:rsidR="00D46781">
        <w:rPr>
          <w:rFonts w:ascii="Arial" w:eastAsia="Calibri" w:hAnsi="Arial" w:cs="Arial"/>
          <w:sz w:val="24"/>
          <w:szCs w:val="24"/>
          <w:lang w:eastAsia="en-GB"/>
        </w:rPr>
        <w:t>ttended special schools in 2021/22, compared with 9.1% in 2018/</w:t>
      </w:r>
      <w:r w:rsidRPr="006E33D0">
        <w:rPr>
          <w:rFonts w:ascii="Arial" w:eastAsia="Calibri" w:hAnsi="Arial" w:cs="Arial"/>
          <w:sz w:val="24"/>
          <w:szCs w:val="24"/>
          <w:lang w:eastAsia="en-GB"/>
        </w:rPr>
        <w:t>19.</w:t>
      </w:r>
      <w:r w:rsidRPr="006E33D0">
        <w:rPr>
          <w:rFonts w:ascii="Arial" w:eastAsia="Calibri" w:hAnsi="Arial" w:cs="Arial"/>
          <w:sz w:val="24"/>
          <w:szCs w:val="24"/>
          <w:vertAlign w:val="superscript"/>
          <w:lang w:eastAsia="en-GB"/>
        </w:rPr>
        <w:footnoteReference w:id="347"/>
      </w:r>
      <w:r w:rsidRPr="006E33D0">
        <w:rPr>
          <w:rFonts w:ascii="Arial" w:eastAsia="Calibri" w:hAnsi="Arial" w:cs="Arial"/>
          <w:sz w:val="24"/>
          <w:szCs w:val="24"/>
          <w:lang w:eastAsia="en-GB"/>
        </w:rPr>
        <w:t xml:space="preserve"> In Wales, the </w:t>
      </w:r>
      <w:r w:rsidR="00D33944">
        <w:rPr>
          <w:rFonts w:ascii="Arial" w:eastAsia="Calibri" w:hAnsi="Arial" w:cs="Arial"/>
          <w:sz w:val="24"/>
          <w:szCs w:val="24"/>
          <w:lang w:eastAsia="en-GB"/>
        </w:rPr>
        <w:t xml:space="preserve">percentage of children with SEN or </w:t>
      </w:r>
      <w:r w:rsidRPr="006E33D0">
        <w:rPr>
          <w:rFonts w:ascii="Arial" w:eastAsia="Calibri" w:hAnsi="Arial" w:cs="Arial"/>
          <w:sz w:val="24"/>
          <w:szCs w:val="24"/>
          <w:lang w:eastAsia="en-GB"/>
        </w:rPr>
        <w:t>AL</w:t>
      </w:r>
      <w:r w:rsidR="00133102">
        <w:rPr>
          <w:rFonts w:ascii="Arial" w:eastAsia="Calibri" w:hAnsi="Arial" w:cs="Arial"/>
          <w:sz w:val="24"/>
          <w:szCs w:val="24"/>
          <w:lang w:eastAsia="en-GB"/>
        </w:rPr>
        <w:t xml:space="preserve">N attending special schools has </w:t>
      </w:r>
      <w:r w:rsidR="00D46781">
        <w:rPr>
          <w:rFonts w:ascii="Arial" w:eastAsia="Calibri" w:hAnsi="Arial" w:cs="Arial"/>
          <w:sz w:val="24"/>
          <w:szCs w:val="24"/>
          <w:lang w:eastAsia="en-GB"/>
        </w:rPr>
        <w:t>increased every year since 2013/</w:t>
      </w:r>
      <w:r w:rsidRPr="006E33D0">
        <w:rPr>
          <w:rFonts w:ascii="Arial" w:eastAsia="Calibri" w:hAnsi="Arial" w:cs="Arial"/>
          <w:sz w:val="24"/>
          <w:szCs w:val="24"/>
          <w:lang w:eastAsia="en-GB"/>
        </w:rPr>
        <w:t>14, rising from 4.1% of pupi</w:t>
      </w:r>
      <w:r w:rsidR="00D46781">
        <w:rPr>
          <w:rFonts w:ascii="Arial" w:eastAsia="Calibri" w:hAnsi="Arial" w:cs="Arial"/>
          <w:sz w:val="24"/>
          <w:szCs w:val="24"/>
          <w:lang w:eastAsia="en-GB"/>
        </w:rPr>
        <w:t>ls to 7.3%</w:t>
      </w:r>
      <w:r w:rsidR="0099249F">
        <w:rPr>
          <w:rFonts w:ascii="Arial" w:eastAsia="Calibri" w:hAnsi="Arial" w:cs="Arial"/>
          <w:sz w:val="24"/>
          <w:szCs w:val="24"/>
          <w:lang w:eastAsia="en-GB"/>
        </w:rPr>
        <w:t xml:space="preserve"> of pupils</w:t>
      </w:r>
      <w:r w:rsidR="00D46781">
        <w:rPr>
          <w:rFonts w:ascii="Arial" w:eastAsia="Calibri" w:hAnsi="Arial" w:cs="Arial"/>
          <w:sz w:val="24"/>
          <w:szCs w:val="24"/>
          <w:lang w:eastAsia="en-GB"/>
        </w:rPr>
        <w:t xml:space="preserve"> in 2021/</w:t>
      </w:r>
      <w:r w:rsidRPr="006E33D0">
        <w:rPr>
          <w:rFonts w:ascii="Arial" w:eastAsia="Calibri" w:hAnsi="Arial" w:cs="Arial"/>
          <w:sz w:val="24"/>
          <w:szCs w:val="24"/>
          <w:lang w:eastAsia="en-GB"/>
        </w:rPr>
        <w:t>22.</w:t>
      </w:r>
      <w:r w:rsidRPr="006E33D0">
        <w:rPr>
          <w:rFonts w:ascii="Arial" w:eastAsia="Calibri" w:hAnsi="Arial" w:cs="Arial"/>
          <w:sz w:val="24"/>
          <w:szCs w:val="24"/>
          <w:vertAlign w:val="superscript"/>
          <w:lang w:eastAsia="en-GB"/>
        </w:rPr>
        <w:footnoteReference w:id="348"/>
      </w:r>
    </w:p>
    <w:p w14:paraId="74E04B37" w14:textId="38A5FEE1" w:rsidR="00235DF5" w:rsidRPr="006E33D0" w:rsidRDefault="0099249F" w:rsidP="00235DF5">
      <w:pPr>
        <w:spacing w:before="120" w:line="240" w:lineRule="auto"/>
        <w:rPr>
          <w:rFonts w:ascii="Arial" w:eastAsia="Calibri" w:hAnsi="Arial" w:cs="Arial"/>
          <w:szCs w:val="24"/>
        </w:rPr>
      </w:pPr>
      <w:r>
        <w:rPr>
          <w:rFonts w:ascii="Arial" w:eastAsia="Calibri" w:hAnsi="Arial" w:cs="Arial"/>
          <w:szCs w:val="24"/>
          <w:lang w:eastAsia="en-GB"/>
        </w:rPr>
        <w:t>C</w:t>
      </w:r>
      <w:r w:rsidR="00235DF5" w:rsidRPr="006E33D0">
        <w:rPr>
          <w:rFonts w:ascii="Arial" w:eastAsia="Calibri" w:hAnsi="Arial" w:cs="Arial"/>
          <w:szCs w:val="24"/>
          <w:lang w:eastAsia="en-GB"/>
        </w:rPr>
        <w:t xml:space="preserve">hallenges </w:t>
      </w:r>
      <w:r>
        <w:rPr>
          <w:rFonts w:ascii="Arial" w:eastAsia="Calibri" w:hAnsi="Arial" w:cs="Arial"/>
          <w:szCs w:val="24"/>
          <w:lang w:eastAsia="en-GB"/>
        </w:rPr>
        <w:t xml:space="preserve">remain </w:t>
      </w:r>
      <w:r w:rsidR="00235DF5" w:rsidRPr="006E33D0">
        <w:rPr>
          <w:rFonts w:ascii="Arial" w:eastAsia="Calibri" w:hAnsi="Arial" w:cs="Arial"/>
          <w:szCs w:val="24"/>
          <w:lang w:eastAsia="en-GB"/>
        </w:rPr>
        <w:t xml:space="preserve">in ensuring appropriate provision </w:t>
      </w:r>
      <w:r>
        <w:rPr>
          <w:rFonts w:ascii="Arial" w:eastAsia="Calibri" w:hAnsi="Arial" w:cs="Arial"/>
          <w:szCs w:val="24"/>
          <w:lang w:eastAsia="en-GB"/>
        </w:rPr>
        <w:t xml:space="preserve">of education </w:t>
      </w:r>
      <w:r w:rsidR="00D33944">
        <w:rPr>
          <w:rFonts w:ascii="Arial" w:eastAsia="Calibri" w:hAnsi="Arial" w:cs="Arial"/>
          <w:szCs w:val="24"/>
          <w:lang w:eastAsia="en-GB"/>
        </w:rPr>
        <w:t xml:space="preserve">for children with SEN or </w:t>
      </w:r>
      <w:r w:rsidR="00235DF5" w:rsidRPr="006E33D0">
        <w:rPr>
          <w:rFonts w:ascii="Arial" w:eastAsia="Calibri" w:hAnsi="Arial" w:cs="Arial"/>
          <w:szCs w:val="24"/>
          <w:lang w:eastAsia="en-GB"/>
        </w:rPr>
        <w:t>ALN in mainstream schools in England and Wales, including where there have been reports of funding pressures and insufficient staff training.</w:t>
      </w:r>
      <w:r w:rsidR="00235DF5" w:rsidRPr="006E33D0">
        <w:rPr>
          <w:rFonts w:ascii="Arial" w:eastAsia="Calibri" w:hAnsi="Arial" w:cs="Arial"/>
          <w:szCs w:val="24"/>
          <w:vertAlign w:val="superscript"/>
          <w:lang w:eastAsia="en-GB"/>
        </w:rPr>
        <w:footnoteReference w:id="349"/>
      </w:r>
      <w:r w:rsidR="00235DF5" w:rsidRPr="006E33D0">
        <w:rPr>
          <w:rFonts w:ascii="Arial" w:eastAsia="Calibri" w:hAnsi="Arial" w:cs="Arial"/>
          <w:szCs w:val="24"/>
          <w:lang w:eastAsia="en-GB"/>
        </w:rPr>
        <w:t xml:space="preserve"> In 2019, only 41% </w:t>
      </w:r>
      <w:r w:rsidR="00235DF5" w:rsidRPr="006E33D0">
        <w:rPr>
          <w:rFonts w:ascii="Arial" w:eastAsia="Calibri" w:hAnsi="Arial" w:cs="Arial"/>
          <w:szCs w:val="24"/>
        </w:rPr>
        <w:t>of teachers reported that there was appropriate training in place for all teachers supporting pupils receiving SEN Support.</w:t>
      </w:r>
      <w:r w:rsidR="00235DF5" w:rsidRPr="006E33D0">
        <w:rPr>
          <w:rFonts w:ascii="Arial" w:eastAsia="Calibri" w:hAnsi="Arial" w:cs="Arial"/>
          <w:szCs w:val="24"/>
          <w:vertAlign w:val="superscript"/>
        </w:rPr>
        <w:footnoteReference w:id="350"/>
      </w:r>
      <w:r w:rsidR="00235DF5" w:rsidRPr="006E33D0">
        <w:rPr>
          <w:rFonts w:ascii="Arial" w:eastAsia="Calibri" w:hAnsi="Arial" w:cs="Arial"/>
          <w:szCs w:val="24"/>
          <w:lang w:eastAsia="en-GB"/>
        </w:rPr>
        <w:t xml:space="preserve"> There are concerns about regional variations in provision,</w:t>
      </w:r>
      <w:r w:rsidR="00235DF5" w:rsidRPr="006E33D0">
        <w:rPr>
          <w:rFonts w:ascii="Arial" w:eastAsia="Calibri" w:hAnsi="Arial" w:cs="Arial"/>
          <w:szCs w:val="24"/>
          <w:vertAlign w:val="superscript"/>
          <w:lang w:eastAsia="en-GB"/>
        </w:rPr>
        <w:footnoteReference w:id="351"/>
      </w:r>
      <w:r w:rsidR="00235DF5" w:rsidRPr="006E33D0">
        <w:rPr>
          <w:rFonts w:ascii="Arial" w:eastAsia="Calibri" w:hAnsi="Arial" w:cs="Arial"/>
          <w:szCs w:val="24"/>
          <w:lang w:eastAsia="en-GB"/>
        </w:rPr>
        <w:t xml:space="preserve"> delays and inconsistencies in the process for identifying needs,</w:t>
      </w:r>
      <w:r w:rsidR="00235DF5" w:rsidRPr="006E33D0">
        <w:rPr>
          <w:rFonts w:ascii="Arial" w:eastAsia="Calibri" w:hAnsi="Arial" w:cs="Arial"/>
          <w:szCs w:val="24"/>
          <w:vertAlign w:val="superscript"/>
          <w:lang w:eastAsia="en-GB"/>
        </w:rPr>
        <w:footnoteReference w:id="352"/>
      </w:r>
      <w:r w:rsidR="00235DF5" w:rsidRPr="006E33D0">
        <w:rPr>
          <w:rFonts w:ascii="Arial" w:eastAsia="Calibri" w:hAnsi="Arial" w:cs="Arial"/>
          <w:szCs w:val="24"/>
          <w:lang w:eastAsia="en-GB"/>
        </w:rPr>
        <w:t xml:space="preserve"> and insufficient integration between education, health and care services.</w:t>
      </w:r>
      <w:r w:rsidR="00235DF5" w:rsidRPr="006E33D0">
        <w:rPr>
          <w:rFonts w:ascii="Arial" w:eastAsia="Calibri" w:hAnsi="Arial" w:cs="Arial"/>
          <w:szCs w:val="24"/>
          <w:vertAlign w:val="superscript"/>
          <w:lang w:eastAsia="en-GB"/>
        </w:rPr>
        <w:footnoteReference w:id="353"/>
      </w:r>
      <w:r w:rsidR="00235DF5" w:rsidRPr="006E33D0">
        <w:rPr>
          <w:rFonts w:ascii="Arial" w:eastAsia="Calibri" w:hAnsi="Arial" w:cs="Arial"/>
          <w:szCs w:val="24"/>
          <w:lang w:eastAsia="en-GB"/>
        </w:rPr>
        <w:t xml:space="preserve"> </w:t>
      </w:r>
    </w:p>
    <w:p w14:paraId="5BB272D7" w14:textId="748B8F50" w:rsidR="00235DF5" w:rsidRPr="006E33D0" w:rsidRDefault="00235DF5" w:rsidP="00235DF5">
      <w:pPr>
        <w:pStyle w:val="NoSpacing"/>
        <w:spacing w:before="120" w:after="120"/>
        <w:rPr>
          <w:rFonts w:ascii="Arial" w:eastAsia="Calibri" w:hAnsi="Arial" w:cs="Arial"/>
          <w:sz w:val="24"/>
          <w:szCs w:val="24"/>
          <w:lang w:eastAsia="en-GB"/>
        </w:rPr>
      </w:pPr>
      <w:r w:rsidRPr="006E33D0">
        <w:rPr>
          <w:rFonts w:ascii="Arial" w:eastAsia="Calibri" w:hAnsi="Arial" w:cs="Arial"/>
          <w:sz w:val="24"/>
          <w:szCs w:val="24"/>
          <w:lang w:eastAsia="en-GB"/>
        </w:rPr>
        <w:t>In September 2021, the Welsh Government began a three-year phased implementation of a new statutory framework to support children with ALN</w:t>
      </w:r>
      <w:r w:rsidRPr="006E33D0">
        <w:rPr>
          <w:rFonts w:ascii="Arial" w:eastAsia="Calibri" w:hAnsi="Arial" w:cs="Arial"/>
          <w:sz w:val="24"/>
          <w:szCs w:val="24"/>
          <w:vertAlign w:val="superscript"/>
          <w:lang w:eastAsia="en-GB"/>
        </w:rPr>
        <w:footnoteReference w:id="354"/>
      </w:r>
      <w:r w:rsidRPr="006E33D0">
        <w:rPr>
          <w:rFonts w:ascii="Arial" w:eastAsia="Calibri" w:hAnsi="Arial" w:cs="Arial"/>
          <w:sz w:val="24"/>
          <w:szCs w:val="24"/>
          <w:lang w:eastAsia="en-GB"/>
        </w:rPr>
        <w:t xml:space="preserve"> </w:t>
      </w:r>
      <w:r w:rsidR="0099249F">
        <w:rPr>
          <w:rFonts w:ascii="Arial" w:eastAsia="Calibri" w:hAnsi="Arial" w:cs="Arial"/>
          <w:sz w:val="24"/>
          <w:szCs w:val="24"/>
          <w:lang w:eastAsia="en-GB"/>
        </w:rPr>
        <w:t>in which e</w:t>
      </w:r>
      <w:r w:rsidRPr="006E33D0">
        <w:rPr>
          <w:rFonts w:ascii="Arial" w:eastAsia="Calibri" w:hAnsi="Arial" w:cs="Arial"/>
          <w:sz w:val="24"/>
          <w:szCs w:val="24"/>
          <w:lang w:eastAsia="en-GB"/>
        </w:rPr>
        <w:t>very learner with ALN will be given a statutory</w:t>
      </w:r>
      <w:r w:rsidRPr="006E33D0">
        <w:rPr>
          <w:rFonts w:ascii="Arial" w:eastAsia="Times New Roman" w:hAnsi="Arial" w:cs="Arial"/>
          <w:sz w:val="24"/>
          <w:szCs w:val="24"/>
          <w:lang w:eastAsia="en-GB"/>
        </w:rPr>
        <w:t xml:space="preserve"> I</w:t>
      </w:r>
      <w:r w:rsidR="00F47C94">
        <w:rPr>
          <w:rFonts w:ascii="Arial" w:eastAsia="Times New Roman" w:hAnsi="Arial" w:cs="Arial"/>
          <w:sz w:val="24"/>
          <w:szCs w:val="24"/>
          <w:lang w:eastAsia="en-GB"/>
        </w:rPr>
        <w:t>ndividual Development Plan</w:t>
      </w:r>
      <w:r w:rsidRPr="006E33D0">
        <w:rPr>
          <w:rFonts w:ascii="Arial" w:eastAsia="Times New Roman" w:hAnsi="Arial" w:cs="Arial"/>
          <w:sz w:val="24"/>
          <w:szCs w:val="24"/>
          <w:lang w:eastAsia="en-GB"/>
        </w:rPr>
        <w:t xml:space="preserve">. </w:t>
      </w:r>
      <w:r w:rsidR="0099249F">
        <w:rPr>
          <w:rFonts w:ascii="Arial" w:eastAsia="Times New Roman" w:hAnsi="Arial" w:cs="Arial"/>
          <w:sz w:val="24"/>
          <w:szCs w:val="24"/>
          <w:lang w:eastAsia="en-GB"/>
        </w:rPr>
        <w:t>Before this</w:t>
      </w:r>
      <w:r w:rsidRPr="006E33D0">
        <w:rPr>
          <w:rFonts w:ascii="Arial" w:eastAsia="Times New Roman" w:hAnsi="Arial" w:cs="Arial"/>
          <w:sz w:val="24"/>
          <w:szCs w:val="24"/>
          <w:lang w:eastAsia="en-GB"/>
        </w:rPr>
        <w:t xml:space="preserve">, only those with the most complex needs, </w:t>
      </w:r>
      <w:r w:rsidR="0099249F">
        <w:rPr>
          <w:rFonts w:ascii="Arial" w:eastAsia="Times New Roman" w:hAnsi="Arial" w:cs="Arial"/>
          <w:sz w:val="24"/>
          <w:szCs w:val="24"/>
          <w:lang w:eastAsia="en-GB"/>
        </w:rPr>
        <w:t>about</w:t>
      </w:r>
      <w:r w:rsidR="0099249F" w:rsidRPr="006E33D0">
        <w:rPr>
          <w:rFonts w:ascii="Arial" w:eastAsia="Times New Roman" w:hAnsi="Arial" w:cs="Arial"/>
          <w:sz w:val="24"/>
          <w:szCs w:val="24"/>
          <w:lang w:eastAsia="en-GB"/>
        </w:rPr>
        <w:t xml:space="preserve"> </w:t>
      </w:r>
      <w:r w:rsidRPr="006E33D0">
        <w:rPr>
          <w:rFonts w:ascii="Arial" w:eastAsia="Times New Roman" w:hAnsi="Arial" w:cs="Arial"/>
          <w:sz w:val="24"/>
          <w:szCs w:val="24"/>
          <w:lang w:eastAsia="en-GB"/>
        </w:rPr>
        <w:t>15%, had a statutory plan.</w:t>
      </w:r>
      <w:r w:rsidRPr="006E33D0">
        <w:rPr>
          <w:rFonts w:ascii="Arial" w:eastAsia="Times New Roman" w:hAnsi="Arial" w:cs="Arial"/>
          <w:sz w:val="24"/>
          <w:szCs w:val="24"/>
          <w:vertAlign w:val="superscript"/>
          <w:lang w:eastAsia="en-GB"/>
        </w:rPr>
        <w:footnoteReference w:id="355"/>
      </w:r>
      <w:r w:rsidRPr="006E33D0">
        <w:rPr>
          <w:rFonts w:ascii="Arial" w:eastAsia="Times New Roman" w:hAnsi="Arial" w:cs="Arial"/>
          <w:sz w:val="24"/>
          <w:szCs w:val="24"/>
          <w:lang w:eastAsia="en-GB"/>
        </w:rPr>
        <w:t xml:space="preserve"> </w:t>
      </w:r>
      <w:r w:rsidRPr="006E33D0">
        <w:rPr>
          <w:rFonts w:ascii="Arial" w:eastAsia="Calibri" w:hAnsi="Arial" w:cs="Arial"/>
          <w:sz w:val="24"/>
          <w:szCs w:val="24"/>
          <w:lang w:eastAsia="en-GB"/>
        </w:rPr>
        <w:t>However, funding uncertainty remains</w:t>
      </w:r>
      <w:r w:rsidRPr="006E33D0">
        <w:rPr>
          <w:rFonts w:ascii="Arial" w:eastAsia="Calibri" w:hAnsi="Arial" w:cs="Arial"/>
          <w:sz w:val="24"/>
          <w:szCs w:val="24"/>
          <w:vertAlign w:val="superscript"/>
          <w:lang w:eastAsia="en-GB"/>
        </w:rPr>
        <w:footnoteReference w:id="356"/>
      </w:r>
      <w:r w:rsidRPr="006E33D0">
        <w:rPr>
          <w:rFonts w:ascii="Arial" w:eastAsia="Calibri" w:hAnsi="Arial" w:cs="Arial"/>
          <w:sz w:val="24"/>
          <w:szCs w:val="24"/>
          <w:lang w:eastAsia="en-GB"/>
        </w:rPr>
        <w:t xml:space="preserve"> and</w:t>
      </w:r>
      <w:r w:rsidR="0099249F">
        <w:rPr>
          <w:rFonts w:ascii="Arial" w:eastAsia="Calibri" w:hAnsi="Arial" w:cs="Arial"/>
          <w:sz w:val="24"/>
          <w:szCs w:val="24"/>
          <w:lang w:eastAsia="en-GB"/>
        </w:rPr>
        <w:t>, following significant delays,</w:t>
      </w:r>
      <w:r w:rsidRPr="006E33D0">
        <w:rPr>
          <w:rFonts w:ascii="Arial" w:eastAsia="Calibri" w:hAnsi="Arial" w:cs="Arial"/>
          <w:sz w:val="24"/>
          <w:szCs w:val="24"/>
          <w:lang w:eastAsia="en-GB"/>
        </w:rPr>
        <w:t xml:space="preserve"> there are concerns about implementation.</w:t>
      </w:r>
    </w:p>
    <w:p w14:paraId="67EC97AA" w14:textId="03EF3FBD" w:rsidR="00235DF5" w:rsidRPr="006E33D0" w:rsidRDefault="00235DF5" w:rsidP="00235DF5">
      <w:pPr>
        <w:spacing w:before="120" w:line="240" w:lineRule="auto"/>
        <w:rPr>
          <w:rFonts w:ascii="Arial" w:eastAsia="Calibri" w:hAnsi="Arial" w:cs="Arial"/>
          <w:szCs w:val="24"/>
        </w:rPr>
      </w:pPr>
      <w:r w:rsidRPr="006E33D0">
        <w:rPr>
          <w:rFonts w:ascii="Arial" w:eastAsia="Times New Roman" w:hAnsi="Arial" w:cs="Arial"/>
          <w:szCs w:val="24"/>
          <w:lang w:eastAsia="en-GB"/>
        </w:rPr>
        <w:t xml:space="preserve">In 2022, the UK Government consulted on </w:t>
      </w:r>
      <w:r w:rsidRPr="006E33D0">
        <w:rPr>
          <w:rFonts w:ascii="Arial" w:eastAsia="Calibri" w:hAnsi="Arial" w:cs="Arial"/>
          <w:szCs w:val="24"/>
          <w:lang w:eastAsia="en-GB"/>
        </w:rPr>
        <w:t xml:space="preserve">proposals to reform the SEND system in England, recognising many of the </w:t>
      </w:r>
      <w:r>
        <w:rPr>
          <w:rFonts w:ascii="Arial" w:eastAsia="Calibri" w:hAnsi="Arial" w:cs="Arial"/>
          <w:szCs w:val="24"/>
          <w:lang w:eastAsia="en-GB"/>
        </w:rPr>
        <w:t xml:space="preserve">current </w:t>
      </w:r>
      <w:r w:rsidRPr="006E33D0">
        <w:rPr>
          <w:rFonts w:ascii="Arial" w:eastAsia="Calibri" w:hAnsi="Arial" w:cs="Arial"/>
          <w:szCs w:val="24"/>
          <w:lang w:eastAsia="en-GB"/>
        </w:rPr>
        <w:t>challenges</w:t>
      </w:r>
      <w:r w:rsidRPr="006E33D0">
        <w:rPr>
          <w:rFonts w:ascii="Arial" w:eastAsia="Calibri" w:hAnsi="Arial" w:cs="Arial"/>
          <w:szCs w:val="24"/>
        </w:rPr>
        <w:t>.</w:t>
      </w:r>
      <w:r w:rsidRPr="006E33D0">
        <w:rPr>
          <w:rFonts w:ascii="Arial" w:eastAsia="Calibri" w:hAnsi="Arial" w:cs="Arial"/>
          <w:szCs w:val="24"/>
          <w:vertAlign w:val="superscript"/>
        </w:rPr>
        <w:footnoteReference w:id="357"/>
      </w:r>
      <w:r w:rsidRPr="006E33D0">
        <w:rPr>
          <w:rFonts w:ascii="Arial" w:eastAsia="Calibri" w:hAnsi="Arial" w:cs="Arial"/>
          <w:szCs w:val="24"/>
        </w:rPr>
        <w:t xml:space="preserve"> However, given that the new standards will be statutory, fears have been raised </w:t>
      </w:r>
      <w:r w:rsidR="0099249F">
        <w:rPr>
          <w:rFonts w:ascii="Arial" w:eastAsia="Calibri" w:hAnsi="Arial" w:cs="Arial"/>
          <w:szCs w:val="24"/>
        </w:rPr>
        <w:t xml:space="preserve">not only </w:t>
      </w:r>
      <w:r w:rsidRPr="006E33D0">
        <w:rPr>
          <w:rFonts w:ascii="Arial" w:eastAsia="Calibri" w:hAnsi="Arial" w:cs="Arial"/>
          <w:szCs w:val="24"/>
        </w:rPr>
        <w:t>about the potential impact on the current SEND legal framework</w:t>
      </w:r>
      <w:r w:rsidR="0099249F">
        <w:rPr>
          <w:rFonts w:ascii="Arial" w:eastAsia="Calibri" w:hAnsi="Arial" w:cs="Arial"/>
          <w:szCs w:val="24"/>
        </w:rPr>
        <w:t xml:space="preserve"> –</w:t>
      </w:r>
      <w:r w:rsidR="00133102">
        <w:rPr>
          <w:rFonts w:ascii="Arial" w:eastAsia="Calibri" w:hAnsi="Arial" w:cs="Arial"/>
          <w:szCs w:val="24"/>
        </w:rPr>
        <w:t xml:space="preserve"> </w:t>
      </w:r>
      <w:r w:rsidRPr="006E33D0">
        <w:rPr>
          <w:rFonts w:ascii="Arial" w:eastAsia="Calibri" w:hAnsi="Arial" w:cs="Arial"/>
          <w:szCs w:val="24"/>
          <w:vertAlign w:val="superscript"/>
        </w:rPr>
        <w:footnoteReference w:id="358"/>
      </w:r>
      <w:r w:rsidRPr="006E33D0">
        <w:rPr>
          <w:rFonts w:ascii="Arial" w:eastAsia="Calibri" w:hAnsi="Arial" w:cs="Arial"/>
          <w:szCs w:val="24"/>
        </w:rPr>
        <w:t xml:space="preserve"> and whether this could lead to a reduction in legal rights</w:t>
      </w:r>
      <w:r w:rsidR="0099249F">
        <w:rPr>
          <w:rFonts w:ascii="Arial" w:eastAsia="Calibri" w:hAnsi="Arial" w:cs="Arial"/>
          <w:szCs w:val="24"/>
        </w:rPr>
        <w:t xml:space="preserve"> –</w:t>
      </w:r>
      <w:r w:rsidRPr="006E33D0">
        <w:rPr>
          <w:rFonts w:ascii="Arial" w:eastAsia="Calibri" w:hAnsi="Arial" w:cs="Arial"/>
          <w:szCs w:val="24"/>
        </w:rPr>
        <w:t xml:space="preserve"> </w:t>
      </w:r>
      <w:r w:rsidR="0099249F">
        <w:rPr>
          <w:rFonts w:ascii="Arial" w:eastAsia="Calibri" w:hAnsi="Arial" w:cs="Arial"/>
          <w:szCs w:val="24"/>
        </w:rPr>
        <w:t xml:space="preserve">but also </w:t>
      </w:r>
      <w:r w:rsidRPr="006E33D0">
        <w:rPr>
          <w:rFonts w:ascii="Arial" w:eastAsia="Calibri" w:hAnsi="Arial" w:cs="Arial"/>
          <w:szCs w:val="24"/>
        </w:rPr>
        <w:t>about any proposal to change the threshold for an EHC needs assessment.</w:t>
      </w:r>
      <w:r w:rsidRPr="006E33D0">
        <w:rPr>
          <w:rFonts w:ascii="Arial" w:eastAsia="Calibri" w:hAnsi="Arial" w:cs="Arial"/>
          <w:szCs w:val="24"/>
          <w:vertAlign w:val="superscript"/>
        </w:rPr>
        <w:footnoteReference w:id="359"/>
      </w:r>
      <w:r w:rsidRPr="006E33D0">
        <w:rPr>
          <w:rFonts w:ascii="Arial" w:eastAsia="Calibri" w:hAnsi="Arial" w:cs="Arial"/>
          <w:szCs w:val="24"/>
        </w:rPr>
        <w:t xml:space="preserve"> We are also worried about the </w:t>
      </w:r>
      <w:r w:rsidR="0099249F">
        <w:rPr>
          <w:rFonts w:ascii="Arial" w:eastAsia="Calibri" w:hAnsi="Arial" w:cs="Arial"/>
          <w:szCs w:val="24"/>
        </w:rPr>
        <w:t>effect</w:t>
      </w:r>
      <w:r w:rsidR="0099249F" w:rsidRPr="006E33D0">
        <w:rPr>
          <w:rFonts w:ascii="Arial" w:eastAsia="Calibri" w:hAnsi="Arial" w:cs="Arial"/>
          <w:szCs w:val="24"/>
        </w:rPr>
        <w:t xml:space="preserve"> </w:t>
      </w:r>
      <w:r w:rsidRPr="006E33D0">
        <w:rPr>
          <w:rFonts w:ascii="Arial" w:eastAsia="Calibri" w:hAnsi="Arial" w:cs="Arial"/>
          <w:szCs w:val="24"/>
        </w:rPr>
        <w:t xml:space="preserve">of a proposed move to mandatory mediation in cases relating to decisions on EHC needs assessments and plans, including that </w:t>
      </w:r>
      <w:r w:rsidR="0099249F">
        <w:rPr>
          <w:rFonts w:ascii="Arial" w:eastAsia="Calibri" w:hAnsi="Arial" w:cs="Arial"/>
          <w:szCs w:val="24"/>
        </w:rPr>
        <w:t>mandatory mediation</w:t>
      </w:r>
      <w:r w:rsidRPr="006E33D0">
        <w:rPr>
          <w:rFonts w:ascii="Arial" w:eastAsia="Calibri" w:hAnsi="Arial" w:cs="Arial"/>
          <w:szCs w:val="24"/>
        </w:rPr>
        <w:t xml:space="preserve"> may discourage parents or children from pursuing the provision they need.</w:t>
      </w:r>
      <w:r w:rsidRPr="006E33D0">
        <w:rPr>
          <w:rFonts w:ascii="Arial" w:eastAsia="Calibri" w:hAnsi="Arial" w:cs="Arial"/>
          <w:szCs w:val="24"/>
          <w:vertAlign w:val="superscript"/>
        </w:rPr>
        <w:footnoteReference w:id="360"/>
      </w:r>
      <w:r w:rsidRPr="006E33D0">
        <w:rPr>
          <w:rFonts w:ascii="Arial" w:eastAsia="Calibri" w:hAnsi="Arial" w:cs="Arial"/>
          <w:szCs w:val="24"/>
        </w:rPr>
        <w:t xml:space="preserve"> </w:t>
      </w:r>
    </w:p>
    <w:p w14:paraId="4CE1B94F" w14:textId="77777777" w:rsidR="00133102" w:rsidRDefault="00235DF5" w:rsidP="00235DF5">
      <w:pPr>
        <w:spacing w:before="120" w:line="240" w:lineRule="auto"/>
        <w:rPr>
          <w:rFonts w:ascii="Arial" w:eastAsia="Calibri" w:hAnsi="Arial" w:cs="Arial"/>
          <w:szCs w:val="24"/>
          <w:lang w:eastAsia="en-GB"/>
        </w:rPr>
      </w:pPr>
      <w:r w:rsidRPr="006E33D0">
        <w:rPr>
          <w:rFonts w:ascii="Arial" w:eastAsia="Calibri" w:hAnsi="Arial" w:cs="Arial"/>
          <w:szCs w:val="24"/>
          <w:lang w:eastAsia="en-GB"/>
        </w:rPr>
        <w:t xml:space="preserve">The pandemic </w:t>
      </w:r>
      <w:r w:rsidR="0099249F">
        <w:rPr>
          <w:rFonts w:ascii="Arial" w:eastAsia="Calibri" w:hAnsi="Arial" w:cs="Arial"/>
          <w:szCs w:val="24"/>
          <w:lang w:eastAsia="en-GB"/>
        </w:rPr>
        <w:t xml:space="preserve">has </w:t>
      </w:r>
      <w:r w:rsidRPr="006E33D0">
        <w:rPr>
          <w:rFonts w:ascii="Arial" w:eastAsia="Calibri" w:hAnsi="Arial" w:cs="Arial"/>
          <w:szCs w:val="24"/>
          <w:lang w:eastAsia="en-GB"/>
        </w:rPr>
        <w:t xml:space="preserve">significantly and disproportionately affected disabled children’s right to education </w:t>
      </w:r>
      <w:r w:rsidR="0099249F">
        <w:rPr>
          <w:rFonts w:ascii="Arial" w:eastAsia="Calibri" w:hAnsi="Arial" w:cs="Arial"/>
          <w:szCs w:val="24"/>
          <w:lang w:eastAsia="en-GB"/>
        </w:rPr>
        <w:t>by</w:t>
      </w:r>
      <w:r w:rsidRPr="006E33D0">
        <w:rPr>
          <w:rFonts w:ascii="Arial" w:eastAsia="Calibri" w:hAnsi="Arial" w:cs="Arial"/>
          <w:szCs w:val="24"/>
          <w:lang w:eastAsia="en-GB"/>
        </w:rPr>
        <w:t xml:space="preserve"> reduc</w:t>
      </w:r>
      <w:r w:rsidR="0099249F">
        <w:rPr>
          <w:rFonts w:ascii="Arial" w:eastAsia="Calibri" w:hAnsi="Arial" w:cs="Arial"/>
          <w:szCs w:val="24"/>
          <w:lang w:eastAsia="en-GB"/>
        </w:rPr>
        <w:t>ing</w:t>
      </w:r>
      <w:r w:rsidRPr="006E33D0">
        <w:rPr>
          <w:rFonts w:ascii="Arial" w:eastAsia="Calibri" w:hAnsi="Arial" w:cs="Arial"/>
          <w:szCs w:val="24"/>
          <w:lang w:eastAsia="en-GB"/>
        </w:rPr>
        <w:t xml:space="preserve"> </w:t>
      </w:r>
      <w:r w:rsidR="0099249F">
        <w:rPr>
          <w:rFonts w:ascii="Arial" w:eastAsia="Calibri" w:hAnsi="Arial" w:cs="Arial"/>
          <w:szCs w:val="24"/>
          <w:lang w:eastAsia="en-GB"/>
        </w:rPr>
        <w:t xml:space="preserve">access to </w:t>
      </w:r>
      <w:r w:rsidRPr="006E33D0">
        <w:rPr>
          <w:rFonts w:ascii="Arial" w:eastAsia="Calibri" w:hAnsi="Arial" w:cs="Arial"/>
          <w:szCs w:val="24"/>
          <w:lang w:eastAsia="en-GB"/>
        </w:rPr>
        <w:t>education and therapeutic support.</w:t>
      </w:r>
      <w:r w:rsidRPr="006E33D0">
        <w:rPr>
          <w:rFonts w:ascii="Arial" w:eastAsia="Calibri" w:hAnsi="Arial" w:cs="Arial"/>
          <w:szCs w:val="24"/>
          <w:vertAlign w:val="superscript"/>
          <w:lang w:eastAsia="en-GB"/>
        </w:rPr>
        <w:footnoteReference w:id="361"/>
      </w:r>
      <w:r w:rsidRPr="006E33D0">
        <w:rPr>
          <w:rFonts w:ascii="Arial" w:eastAsia="Calibri" w:hAnsi="Arial" w:cs="Arial"/>
          <w:szCs w:val="24"/>
          <w:lang w:eastAsia="en-GB"/>
        </w:rPr>
        <w:t xml:space="preserve"> Ofsted and the Care Quality Commission reported in 2021 that </w:t>
      </w:r>
      <w:r w:rsidR="0099249F">
        <w:rPr>
          <w:rFonts w:ascii="Arial" w:eastAsia="Calibri" w:hAnsi="Arial" w:cs="Arial"/>
          <w:szCs w:val="24"/>
          <w:lang w:eastAsia="en-GB"/>
        </w:rPr>
        <w:t xml:space="preserve">the pandemic has made </w:t>
      </w:r>
      <w:r w:rsidRPr="006E33D0">
        <w:rPr>
          <w:rFonts w:ascii="Arial" w:eastAsia="Calibri" w:hAnsi="Arial" w:cs="Arial"/>
          <w:szCs w:val="24"/>
          <w:lang w:eastAsia="en-GB"/>
        </w:rPr>
        <w:t xml:space="preserve">existing weaknesses in the SEND system in England </w:t>
      </w:r>
      <w:r w:rsidR="0099249F">
        <w:rPr>
          <w:rFonts w:ascii="Arial" w:eastAsia="Calibri" w:hAnsi="Arial" w:cs="Arial"/>
          <w:szCs w:val="24"/>
          <w:lang w:eastAsia="en-GB"/>
        </w:rPr>
        <w:t>worse</w:t>
      </w:r>
      <w:r w:rsidRPr="006E33D0">
        <w:rPr>
          <w:rFonts w:ascii="Arial" w:eastAsia="Calibri" w:hAnsi="Arial" w:cs="Arial"/>
          <w:szCs w:val="24"/>
          <w:lang w:eastAsia="en-GB"/>
        </w:rPr>
        <w:t>.</w:t>
      </w:r>
      <w:r w:rsidRPr="006E33D0">
        <w:rPr>
          <w:rFonts w:ascii="Arial" w:eastAsia="Calibri" w:hAnsi="Arial" w:cs="Arial"/>
          <w:szCs w:val="24"/>
          <w:vertAlign w:val="superscript"/>
          <w:lang w:eastAsia="en-GB"/>
        </w:rPr>
        <w:footnoteReference w:id="362"/>
      </w:r>
      <w:r w:rsidRPr="006E33D0">
        <w:rPr>
          <w:rFonts w:ascii="Arial" w:eastAsia="Calibri" w:hAnsi="Arial" w:cs="Arial"/>
          <w:szCs w:val="24"/>
          <w:lang w:eastAsia="en-GB"/>
        </w:rPr>
        <w:t xml:space="preserve"> </w:t>
      </w:r>
    </w:p>
    <w:p w14:paraId="7A8354BB" w14:textId="17E07171" w:rsidR="00235DF5" w:rsidRPr="006E33D0" w:rsidRDefault="00235DF5" w:rsidP="00235DF5">
      <w:pPr>
        <w:spacing w:before="120" w:line="240" w:lineRule="auto"/>
        <w:rPr>
          <w:rFonts w:ascii="Arial" w:eastAsia="Calibri" w:hAnsi="Arial" w:cs="Arial"/>
          <w:color w:val="0B0C0C"/>
          <w:szCs w:val="24"/>
          <w:shd w:val="clear" w:color="auto" w:fill="FFFFFF"/>
        </w:rPr>
      </w:pPr>
      <w:r w:rsidRPr="006E33D0">
        <w:rPr>
          <w:rFonts w:ascii="Arial" w:eastAsia="Calibri" w:hAnsi="Arial" w:cs="Arial"/>
          <w:szCs w:val="24"/>
          <w:lang w:eastAsia="en-GB"/>
        </w:rPr>
        <w:t xml:space="preserve">In England, this was </w:t>
      </w:r>
      <w:r w:rsidR="00047905">
        <w:rPr>
          <w:rFonts w:ascii="Arial" w:eastAsia="Calibri" w:hAnsi="Arial" w:cs="Arial"/>
          <w:szCs w:val="24"/>
          <w:lang w:eastAsia="en-GB"/>
        </w:rPr>
        <w:t>illustrated</w:t>
      </w:r>
      <w:r w:rsidRPr="006E33D0">
        <w:rPr>
          <w:rFonts w:ascii="Arial" w:eastAsia="Calibri" w:hAnsi="Arial" w:cs="Arial"/>
          <w:szCs w:val="24"/>
          <w:lang w:eastAsia="en-GB"/>
        </w:rPr>
        <w:t xml:space="preserve"> </w:t>
      </w:r>
      <w:r w:rsidRPr="006E33D0">
        <w:rPr>
          <w:rFonts w:ascii="Arial" w:eastAsia="Calibri" w:hAnsi="Arial" w:cs="Arial"/>
          <w:color w:val="0B0C0C"/>
          <w:szCs w:val="24"/>
          <w:shd w:val="clear" w:color="auto" w:fill="FFFFFF"/>
        </w:rPr>
        <w:t>by the temporary modification of local authorities’ legal obligations to support children with EHC plans, whereby local authorities and health commission</w:t>
      </w:r>
      <w:r w:rsidR="00244BA6">
        <w:rPr>
          <w:rFonts w:ascii="Arial" w:eastAsia="Calibri" w:hAnsi="Arial" w:cs="Arial"/>
          <w:color w:val="0B0C0C"/>
          <w:szCs w:val="24"/>
          <w:shd w:val="clear" w:color="auto" w:fill="FFFFFF"/>
        </w:rPr>
        <w:t>ers were only required to make ‘reasonable endeavours’</w:t>
      </w:r>
      <w:r w:rsidRPr="006E33D0">
        <w:rPr>
          <w:rFonts w:ascii="Arial" w:eastAsia="Calibri" w:hAnsi="Arial" w:cs="Arial"/>
          <w:color w:val="0B0C0C"/>
          <w:szCs w:val="24"/>
          <w:shd w:val="clear" w:color="auto" w:fill="FFFFFF"/>
        </w:rPr>
        <w:t xml:space="preserve"> to discharge their duties to secure or arrange the relevant support.</w:t>
      </w:r>
      <w:r w:rsidRPr="006E33D0">
        <w:rPr>
          <w:rFonts w:ascii="Arial" w:eastAsia="Calibri" w:hAnsi="Arial" w:cs="Arial"/>
          <w:color w:val="0B0C0C"/>
          <w:szCs w:val="24"/>
          <w:shd w:val="clear" w:color="auto" w:fill="FFFFFF"/>
          <w:vertAlign w:val="superscript"/>
        </w:rPr>
        <w:footnoteReference w:id="363"/>
      </w:r>
      <w:r w:rsidRPr="006E33D0">
        <w:rPr>
          <w:rFonts w:ascii="Arial" w:eastAsia="Calibri" w:hAnsi="Arial" w:cs="Arial"/>
          <w:color w:val="0B0C0C"/>
          <w:szCs w:val="24"/>
          <w:shd w:val="clear" w:color="auto" w:fill="FFFFFF"/>
        </w:rPr>
        <w:t xml:space="preserve"> The UK Parliament’s Women and Equalities Committee concluded that ‘some flexibility was needed’, but w</w:t>
      </w:r>
      <w:r w:rsidR="00047905">
        <w:rPr>
          <w:rFonts w:ascii="Arial" w:eastAsia="Calibri" w:hAnsi="Arial" w:cs="Arial"/>
          <w:color w:val="0B0C0C"/>
          <w:szCs w:val="24"/>
          <w:shd w:val="clear" w:color="auto" w:fill="FFFFFF"/>
        </w:rPr>
        <w:t>as</w:t>
      </w:r>
      <w:r w:rsidRPr="006E33D0">
        <w:rPr>
          <w:rFonts w:ascii="Arial" w:eastAsia="Calibri" w:hAnsi="Arial" w:cs="Arial"/>
          <w:color w:val="0B0C0C"/>
          <w:szCs w:val="24"/>
          <w:shd w:val="clear" w:color="auto" w:fill="FFFFFF"/>
        </w:rPr>
        <w:t xml:space="preserve"> concerned </w:t>
      </w:r>
      <w:r w:rsidR="00047905">
        <w:rPr>
          <w:rFonts w:ascii="Arial" w:eastAsia="Calibri" w:hAnsi="Arial" w:cs="Arial"/>
          <w:color w:val="0B0C0C"/>
          <w:szCs w:val="24"/>
          <w:shd w:val="clear" w:color="auto" w:fill="FFFFFF"/>
        </w:rPr>
        <w:t>that</w:t>
      </w:r>
      <w:r w:rsidR="00047905" w:rsidRPr="006E33D0">
        <w:rPr>
          <w:rFonts w:ascii="Arial" w:eastAsia="Calibri" w:hAnsi="Arial" w:cs="Arial"/>
          <w:color w:val="0B0C0C"/>
          <w:szCs w:val="24"/>
          <w:shd w:val="clear" w:color="auto" w:fill="FFFFFF"/>
        </w:rPr>
        <w:t xml:space="preserve"> </w:t>
      </w:r>
      <w:r w:rsidRPr="006E33D0">
        <w:rPr>
          <w:rFonts w:ascii="Arial" w:eastAsia="Calibri" w:hAnsi="Arial" w:cs="Arial"/>
          <w:color w:val="0B0C0C"/>
          <w:szCs w:val="24"/>
          <w:shd w:val="clear" w:color="auto" w:fill="FFFFFF"/>
        </w:rPr>
        <w:t xml:space="preserve">the duration of this modification </w:t>
      </w:r>
      <w:r w:rsidR="00047905">
        <w:rPr>
          <w:rFonts w:ascii="Arial" w:eastAsia="Calibri" w:hAnsi="Arial" w:cs="Arial"/>
          <w:color w:val="0B0C0C"/>
          <w:szCs w:val="24"/>
          <w:shd w:val="clear" w:color="auto" w:fill="FFFFFF"/>
        </w:rPr>
        <w:t xml:space="preserve">would leave </w:t>
      </w:r>
      <w:r w:rsidR="00244BA6">
        <w:rPr>
          <w:rFonts w:ascii="Arial" w:eastAsia="Calibri" w:hAnsi="Arial" w:cs="Arial"/>
          <w:color w:val="0B0C0C"/>
          <w:szCs w:val="24"/>
          <w:shd w:val="clear" w:color="auto" w:fill="FFFFFF"/>
        </w:rPr>
        <w:t>‘</w:t>
      </w:r>
      <w:r w:rsidRPr="006E33D0">
        <w:rPr>
          <w:rFonts w:ascii="Arial" w:eastAsia="Calibri" w:hAnsi="Arial" w:cs="Arial"/>
          <w:color w:val="0B0C0C"/>
          <w:szCs w:val="24"/>
          <w:shd w:val="clear" w:color="auto" w:fill="FFFFFF"/>
        </w:rPr>
        <w:t>many children and young people with special educational needs and disabilities with very little or no support for three months’.</w:t>
      </w:r>
      <w:r w:rsidRPr="006E33D0">
        <w:rPr>
          <w:rStyle w:val="FootnoteReference"/>
          <w:rFonts w:ascii="Arial" w:eastAsia="Calibri" w:hAnsi="Arial" w:cs="Arial"/>
          <w:color w:val="0B0C0C"/>
          <w:szCs w:val="24"/>
          <w:shd w:val="clear" w:color="auto" w:fill="FFFFFF"/>
        </w:rPr>
        <w:footnoteReference w:id="364"/>
      </w:r>
      <w:r w:rsidRPr="006E33D0">
        <w:rPr>
          <w:rFonts w:ascii="Arial" w:eastAsia="Calibri" w:hAnsi="Arial" w:cs="Arial"/>
          <w:color w:val="0B0C0C"/>
          <w:szCs w:val="24"/>
          <w:shd w:val="clear" w:color="auto" w:fill="FFFFFF"/>
        </w:rPr>
        <w:t xml:space="preserve"> </w:t>
      </w:r>
    </w:p>
    <w:p w14:paraId="1B56936E" w14:textId="7DD92E9E" w:rsidR="00235DF5" w:rsidRPr="006E33D0" w:rsidRDefault="00235DF5" w:rsidP="00235DF5">
      <w:pPr>
        <w:spacing w:before="120" w:line="240" w:lineRule="auto"/>
        <w:rPr>
          <w:rFonts w:ascii="Arial" w:eastAsia="Calibri" w:hAnsi="Arial" w:cs="Arial"/>
          <w:color w:val="0B0C0C"/>
          <w:szCs w:val="24"/>
          <w:shd w:val="clear" w:color="auto" w:fill="FFFFFF"/>
        </w:rPr>
      </w:pPr>
      <w:r w:rsidRPr="006E33D0">
        <w:rPr>
          <w:rFonts w:ascii="Arial" w:eastAsia="Calibri" w:hAnsi="Arial" w:cs="Arial"/>
          <w:color w:val="0B0C0C"/>
          <w:szCs w:val="24"/>
          <w:shd w:val="clear" w:color="auto" w:fill="FFFFFF"/>
        </w:rPr>
        <w:t xml:space="preserve">The Welsh Government announced additional funding in 2022 to provide tailored support for children with ALN who have been </w:t>
      </w:r>
      <w:r w:rsidR="00047905">
        <w:rPr>
          <w:rFonts w:ascii="Arial" w:eastAsia="Calibri" w:hAnsi="Arial" w:cs="Arial"/>
          <w:color w:val="0B0C0C"/>
          <w:szCs w:val="24"/>
          <w:shd w:val="clear" w:color="auto" w:fill="FFFFFF"/>
        </w:rPr>
        <w:t>affected</w:t>
      </w:r>
      <w:r w:rsidR="00047905" w:rsidRPr="006E33D0">
        <w:rPr>
          <w:rFonts w:ascii="Arial" w:eastAsia="Calibri" w:hAnsi="Arial" w:cs="Arial"/>
          <w:color w:val="0B0C0C"/>
          <w:szCs w:val="24"/>
          <w:shd w:val="clear" w:color="auto" w:fill="FFFFFF"/>
        </w:rPr>
        <w:t xml:space="preserve"> </w:t>
      </w:r>
      <w:r w:rsidRPr="006E33D0">
        <w:rPr>
          <w:rFonts w:ascii="Arial" w:eastAsia="Calibri" w:hAnsi="Arial" w:cs="Arial"/>
          <w:color w:val="0B0C0C"/>
          <w:szCs w:val="24"/>
          <w:shd w:val="clear" w:color="auto" w:fill="FFFFFF"/>
        </w:rPr>
        <w:t>by the pandemic.</w:t>
      </w:r>
      <w:r w:rsidRPr="006E33D0">
        <w:rPr>
          <w:rFonts w:ascii="Arial" w:eastAsia="Calibri" w:hAnsi="Arial" w:cs="Arial"/>
          <w:color w:val="0B0C0C"/>
          <w:szCs w:val="24"/>
          <w:shd w:val="clear" w:color="auto" w:fill="FFFFFF"/>
          <w:vertAlign w:val="superscript"/>
        </w:rPr>
        <w:footnoteReference w:id="365"/>
      </w:r>
      <w:r w:rsidRPr="006E33D0">
        <w:rPr>
          <w:rFonts w:ascii="Arial" w:eastAsia="Calibri" w:hAnsi="Arial" w:cs="Arial"/>
          <w:color w:val="0B0C0C"/>
          <w:szCs w:val="24"/>
          <w:shd w:val="clear" w:color="auto" w:fill="FFFFFF"/>
        </w:rPr>
        <w:t xml:space="preserve"> We are pleased that the UK Government’s education recovery programme includes a focus on pupils in specialist settings in England.</w:t>
      </w:r>
      <w:r w:rsidRPr="006E33D0">
        <w:rPr>
          <w:rFonts w:ascii="Arial" w:eastAsia="Calibri" w:hAnsi="Arial" w:cs="Arial"/>
          <w:color w:val="0B0C0C"/>
          <w:szCs w:val="24"/>
          <w:shd w:val="clear" w:color="auto" w:fill="FFFFFF"/>
          <w:vertAlign w:val="superscript"/>
        </w:rPr>
        <w:footnoteReference w:id="366"/>
      </w:r>
      <w:r w:rsidRPr="006E33D0">
        <w:rPr>
          <w:rFonts w:ascii="Arial" w:eastAsia="Calibri" w:hAnsi="Arial" w:cs="Arial"/>
          <w:color w:val="0B0C0C"/>
          <w:szCs w:val="24"/>
          <w:shd w:val="clear" w:color="auto" w:fill="FFFFFF"/>
        </w:rPr>
        <w:t xml:space="preserve"> However, parent and pupil surveys from England suggest there are still gaps in SEND provision.</w:t>
      </w:r>
      <w:r w:rsidRPr="006E33D0">
        <w:rPr>
          <w:rFonts w:ascii="Arial" w:eastAsia="Calibri" w:hAnsi="Arial" w:cs="Arial"/>
          <w:color w:val="0B0C0C"/>
          <w:szCs w:val="24"/>
          <w:shd w:val="clear" w:color="auto" w:fill="FFFFFF"/>
          <w:vertAlign w:val="superscript"/>
        </w:rPr>
        <w:footnoteReference w:id="367"/>
      </w:r>
      <w:r w:rsidRPr="006E33D0">
        <w:rPr>
          <w:rFonts w:ascii="Arial" w:eastAsia="Calibri" w:hAnsi="Arial" w:cs="Arial"/>
          <w:color w:val="0B0C0C"/>
          <w:szCs w:val="24"/>
          <w:shd w:val="clear" w:color="auto" w:fill="FFFFFF"/>
        </w:rPr>
        <w:t xml:space="preserve"> It is unclear whether the support for education recovery will be sufficient to </w:t>
      </w:r>
      <w:r w:rsidR="00047905">
        <w:rPr>
          <w:rFonts w:ascii="Arial" w:eastAsia="Calibri" w:hAnsi="Arial" w:cs="Arial"/>
          <w:color w:val="0B0C0C"/>
          <w:szCs w:val="24"/>
          <w:shd w:val="clear" w:color="auto" w:fill="FFFFFF"/>
        </w:rPr>
        <w:t>reduce</w:t>
      </w:r>
      <w:r w:rsidR="00047905" w:rsidRPr="006E33D0">
        <w:rPr>
          <w:rFonts w:ascii="Arial" w:eastAsia="Calibri" w:hAnsi="Arial" w:cs="Arial"/>
          <w:color w:val="0B0C0C"/>
          <w:szCs w:val="24"/>
          <w:shd w:val="clear" w:color="auto" w:fill="FFFFFF"/>
        </w:rPr>
        <w:t xml:space="preserve"> </w:t>
      </w:r>
      <w:r w:rsidRPr="006E33D0">
        <w:rPr>
          <w:rFonts w:ascii="Arial" w:eastAsia="Calibri" w:hAnsi="Arial" w:cs="Arial"/>
          <w:color w:val="0B0C0C"/>
          <w:szCs w:val="24"/>
          <w:shd w:val="clear" w:color="auto" w:fill="FFFFFF"/>
        </w:rPr>
        <w:t>the effects of the pandemic on disabled children.</w:t>
      </w:r>
      <w:r w:rsidRPr="006E33D0">
        <w:rPr>
          <w:rFonts w:ascii="Arial" w:eastAsia="Calibri" w:hAnsi="Arial" w:cs="Arial"/>
          <w:color w:val="0B0C0C"/>
          <w:szCs w:val="24"/>
          <w:shd w:val="clear" w:color="auto" w:fill="FFFFFF"/>
          <w:vertAlign w:val="superscript"/>
        </w:rPr>
        <w:footnoteReference w:id="368"/>
      </w:r>
    </w:p>
    <w:p w14:paraId="0C622B70" w14:textId="0B17BF34" w:rsidR="00235DF5" w:rsidRPr="00B91A3D" w:rsidRDefault="00235DF5" w:rsidP="00235DF5">
      <w:pPr>
        <w:pStyle w:val="Heading4"/>
      </w:pPr>
      <w:r>
        <w:t xml:space="preserve">Recommendations </w:t>
      </w:r>
    </w:p>
    <w:p w14:paraId="60E6631D" w14:textId="77777777" w:rsidR="00235DF5" w:rsidRPr="006E33D0" w:rsidRDefault="00235DF5" w:rsidP="00235DF5">
      <w:pPr>
        <w:spacing w:before="120" w:line="240" w:lineRule="auto"/>
        <w:rPr>
          <w:rFonts w:ascii="Arial" w:eastAsia="Calibri" w:hAnsi="Arial" w:cs="Times New Roman"/>
          <w:u w:val="single"/>
        </w:rPr>
      </w:pPr>
      <w:r w:rsidRPr="006E33D0">
        <w:rPr>
          <w:rFonts w:ascii="Arial" w:eastAsia="Calibri" w:hAnsi="Arial" w:cs="Times New Roman"/>
          <w:u w:val="single"/>
        </w:rPr>
        <w:t>The UK and Welsh governments</w:t>
      </w:r>
      <w:r>
        <w:rPr>
          <w:rFonts w:ascii="Arial" w:eastAsia="Calibri" w:hAnsi="Arial" w:cs="Times New Roman"/>
          <w:u w:val="single"/>
        </w:rPr>
        <w:t>, where relevant,</w:t>
      </w:r>
      <w:r w:rsidRPr="006E33D0">
        <w:rPr>
          <w:rFonts w:ascii="Arial" w:eastAsia="Calibri" w:hAnsi="Arial" w:cs="Times New Roman"/>
          <w:u w:val="single"/>
        </w:rPr>
        <w:t xml:space="preserve"> should:</w:t>
      </w:r>
    </w:p>
    <w:p w14:paraId="017526FB" w14:textId="6E050A4B" w:rsidR="00235DF5" w:rsidRPr="00235DF5" w:rsidRDefault="00235DF5" w:rsidP="00627673">
      <w:pPr>
        <w:pStyle w:val="ListParagraph"/>
        <w:numPr>
          <w:ilvl w:val="0"/>
          <w:numId w:val="31"/>
        </w:numPr>
        <w:spacing w:before="120" w:after="120" w:line="240" w:lineRule="auto"/>
        <w:rPr>
          <w:rFonts w:ascii="Arial" w:eastAsia="Calibri" w:hAnsi="Arial" w:cs="Times New Roman"/>
        </w:rPr>
      </w:pPr>
      <w:r w:rsidRPr="00235DF5">
        <w:rPr>
          <w:rFonts w:ascii="Arial" w:eastAsia="Calibri" w:hAnsi="Arial" w:cs="Times New Roman"/>
        </w:rPr>
        <w:t>Ensure that the education recovery programme takes into account the particular challenges faced by different groups of children during, and as a result of, the pandemic, including children with special education</w:t>
      </w:r>
      <w:r w:rsidR="00840660">
        <w:rPr>
          <w:rFonts w:ascii="Arial" w:eastAsia="Calibri" w:hAnsi="Arial" w:cs="Times New Roman"/>
        </w:rPr>
        <w:t>al</w:t>
      </w:r>
      <w:r w:rsidRPr="00235DF5">
        <w:rPr>
          <w:rFonts w:ascii="Arial" w:eastAsia="Calibri" w:hAnsi="Arial" w:cs="Times New Roman"/>
        </w:rPr>
        <w:t xml:space="preserve"> needs and disabilities, and additional learning needs. </w:t>
      </w:r>
    </w:p>
    <w:p w14:paraId="06651DB0" w14:textId="5FB0DB50" w:rsidR="00235DF5" w:rsidRPr="00235DF5" w:rsidRDefault="00235DF5" w:rsidP="00627673">
      <w:pPr>
        <w:pStyle w:val="ListParagraph"/>
        <w:numPr>
          <w:ilvl w:val="0"/>
          <w:numId w:val="31"/>
        </w:numPr>
        <w:spacing w:before="120" w:after="120" w:line="240" w:lineRule="auto"/>
        <w:rPr>
          <w:rFonts w:ascii="Arial" w:eastAsia="Calibri" w:hAnsi="Arial" w:cs="Times New Roman"/>
        </w:rPr>
      </w:pPr>
      <w:r w:rsidRPr="00235DF5">
        <w:rPr>
          <w:rFonts w:ascii="Arial" w:eastAsia="Calibri" w:hAnsi="Arial" w:cs="Times New Roman"/>
        </w:rPr>
        <w:t xml:space="preserve">Ensure that policies to improve </w:t>
      </w:r>
      <w:r w:rsidR="00047905">
        <w:rPr>
          <w:rFonts w:ascii="Arial" w:eastAsia="Calibri" w:hAnsi="Arial" w:cs="Times New Roman"/>
        </w:rPr>
        <w:t xml:space="preserve">school </w:t>
      </w:r>
      <w:r w:rsidRPr="00235DF5">
        <w:rPr>
          <w:rFonts w:ascii="Arial" w:eastAsia="Calibri" w:hAnsi="Arial" w:cs="Times New Roman"/>
        </w:rPr>
        <w:t>attendance rates include tackling barriers to education faced by children with particular protected characteristics, and ensure compliance with the Public Sector Equality Duty in the development and delivery of such policies.</w:t>
      </w:r>
    </w:p>
    <w:p w14:paraId="7030ACBF" w14:textId="3A63D30B" w:rsidR="00235DF5" w:rsidRPr="00235DF5" w:rsidRDefault="00235DF5" w:rsidP="00627673">
      <w:pPr>
        <w:pStyle w:val="ListParagraph"/>
        <w:numPr>
          <w:ilvl w:val="0"/>
          <w:numId w:val="31"/>
        </w:numPr>
        <w:spacing w:before="120" w:after="120" w:line="240" w:lineRule="auto"/>
        <w:rPr>
          <w:rFonts w:ascii="Arial" w:eastAsia="Calibri" w:hAnsi="Arial" w:cs="Times New Roman"/>
        </w:rPr>
      </w:pPr>
      <w:r w:rsidRPr="00235DF5">
        <w:rPr>
          <w:rFonts w:ascii="Arial" w:eastAsia="Calibri" w:hAnsi="Arial" w:cs="Times New Roman"/>
        </w:rPr>
        <w:t xml:space="preserve">Use evidence on access to, and outcomes from, education recovery programmes for protected characteristic groups to ensure that support is tailored to meet their needs. This </w:t>
      </w:r>
      <w:r w:rsidR="00047905">
        <w:rPr>
          <w:rFonts w:ascii="Arial" w:eastAsia="Calibri" w:hAnsi="Arial" w:cs="Times New Roman"/>
        </w:rPr>
        <w:t xml:space="preserve">evidence </w:t>
      </w:r>
      <w:r w:rsidRPr="00235DF5">
        <w:rPr>
          <w:rFonts w:ascii="Arial" w:eastAsia="Calibri" w:hAnsi="Arial" w:cs="Times New Roman"/>
        </w:rPr>
        <w:t>should also inform wider programmes</w:t>
      </w:r>
      <w:r w:rsidR="00047905">
        <w:rPr>
          <w:rFonts w:ascii="Arial" w:eastAsia="Calibri" w:hAnsi="Arial" w:cs="Times New Roman"/>
        </w:rPr>
        <w:t>,</w:t>
      </w:r>
      <w:r w:rsidRPr="00235DF5">
        <w:rPr>
          <w:rFonts w:ascii="Arial" w:eastAsia="Calibri" w:hAnsi="Arial" w:cs="Times New Roman"/>
        </w:rPr>
        <w:t xml:space="preserve"> such as those aimed at improving regional inequalities in educational performance.</w:t>
      </w:r>
    </w:p>
    <w:p w14:paraId="16600F7C" w14:textId="361469B5" w:rsidR="00235DF5" w:rsidRPr="00235DF5" w:rsidRDefault="00235DF5" w:rsidP="00627673">
      <w:pPr>
        <w:pStyle w:val="ListParagraph"/>
        <w:numPr>
          <w:ilvl w:val="0"/>
          <w:numId w:val="31"/>
        </w:numPr>
        <w:spacing w:before="120" w:line="240" w:lineRule="auto"/>
        <w:rPr>
          <w:rFonts w:ascii="Arial" w:eastAsia="Calibri" w:hAnsi="Arial" w:cs="Times New Roman"/>
        </w:rPr>
      </w:pPr>
      <w:r w:rsidRPr="00235DF5">
        <w:rPr>
          <w:rFonts w:ascii="Arial" w:eastAsia="Calibri" w:hAnsi="Arial" w:cs="Times New Roman"/>
        </w:rPr>
        <w:t>Ensure that actions to improve educational attainment and reduce attainment gaps are compliant with the Public Sector Equality Duty and take into account persistent inequalities for children with different protected characteristics.</w:t>
      </w:r>
    </w:p>
    <w:p w14:paraId="7E3ED871" w14:textId="55D6E5B4" w:rsidR="00235DF5" w:rsidRPr="00FB521C" w:rsidRDefault="00235DF5" w:rsidP="00627673">
      <w:pPr>
        <w:pStyle w:val="ListParagraph"/>
        <w:numPr>
          <w:ilvl w:val="0"/>
          <w:numId w:val="31"/>
        </w:numPr>
        <w:spacing w:before="120" w:after="120" w:line="240" w:lineRule="auto"/>
        <w:rPr>
          <w:rFonts w:ascii="Arial" w:eastAsia="Calibri" w:hAnsi="Arial" w:cs="Times New Roman"/>
        </w:rPr>
      </w:pPr>
      <w:r w:rsidRPr="00FB521C">
        <w:rPr>
          <w:rFonts w:ascii="Arial" w:eastAsia="Calibri" w:hAnsi="Arial" w:cs="Times New Roman"/>
        </w:rPr>
        <w:t>Remove the reservation and interpretive declaration on Article 24</w:t>
      </w:r>
      <w:r w:rsidR="00F47C94">
        <w:rPr>
          <w:rFonts w:ascii="Arial" w:eastAsia="Calibri" w:hAnsi="Arial" w:cs="Times New Roman"/>
        </w:rPr>
        <w:t xml:space="preserve"> of the UN Convention on the Rights of Persons with Disabilities</w:t>
      </w:r>
      <w:r w:rsidRPr="00FB521C">
        <w:rPr>
          <w:rFonts w:ascii="Arial" w:eastAsia="Calibri" w:hAnsi="Arial" w:cs="Times New Roman"/>
        </w:rPr>
        <w:t>, and take concrete steps to facilitate genuine family choice and realise the right of disabled children to inclusive education.</w:t>
      </w:r>
    </w:p>
    <w:p w14:paraId="4C02636E" w14:textId="13D3913E" w:rsidR="00235DF5" w:rsidRPr="00FB521C" w:rsidRDefault="00FB5339" w:rsidP="00627673">
      <w:pPr>
        <w:pStyle w:val="ListParagraph"/>
        <w:numPr>
          <w:ilvl w:val="0"/>
          <w:numId w:val="31"/>
        </w:numPr>
        <w:spacing w:before="120" w:after="120" w:line="240" w:lineRule="auto"/>
        <w:rPr>
          <w:rFonts w:ascii="Arial" w:eastAsia="Calibri" w:hAnsi="Arial" w:cs="Times New Roman"/>
        </w:rPr>
      </w:pPr>
      <w:r>
        <w:rPr>
          <w:rFonts w:ascii="Arial" w:eastAsia="Calibri" w:hAnsi="Arial" w:cs="Times New Roman"/>
        </w:rPr>
        <w:t>Ensure the long-term sustainability of SEND or</w:t>
      </w:r>
      <w:r w:rsidR="00D33944">
        <w:rPr>
          <w:rFonts w:ascii="Arial" w:eastAsia="Calibri" w:hAnsi="Arial" w:cs="Times New Roman"/>
        </w:rPr>
        <w:t xml:space="preserve"> </w:t>
      </w:r>
      <w:r>
        <w:rPr>
          <w:rFonts w:ascii="Arial" w:eastAsia="Calibri" w:hAnsi="Arial" w:cs="Times New Roman"/>
        </w:rPr>
        <w:t>ALN provision, including by ensuring</w:t>
      </w:r>
      <w:r w:rsidR="00235DF5" w:rsidRPr="00FB521C">
        <w:rPr>
          <w:rFonts w:ascii="Arial" w:eastAsia="Calibri" w:hAnsi="Arial" w:cs="Times New Roman"/>
        </w:rPr>
        <w:t xml:space="preserve"> that teachers and </w:t>
      </w:r>
      <w:r>
        <w:rPr>
          <w:rFonts w:ascii="Arial" w:eastAsia="Calibri" w:hAnsi="Arial" w:cs="Times New Roman"/>
        </w:rPr>
        <w:t xml:space="preserve">other school staff are </w:t>
      </w:r>
      <w:r w:rsidR="00235DF5" w:rsidRPr="00FB521C">
        <w:rPr>
          <w:rFonts w:ascii="Arial" w:eastAsia="Calibri" w:hAnsi="Arial" w:cs="Times New Roman"/>
        </w:rPr>
        <w:t xml:space="preserve">equipped to support </w:t>
      </w:r>
      <w:r w:rsidR="00D33944">
        <w:rPr>
          <w:rFonts w:ascii="Arial" w:eastAsia="Calibri" w:hAnsi="Arial" w:cs="Times New Roman"/>
        </w:rPr>
        <w:t xml:space="preserve">the needs of children with SEND or </w:t>
      </w:r>
      <w:r w:rsidR="00235DF5" w:rsidRPr="00FB521C">
        <w:rPr>
          <w:rFonts w:ascii="Arial" w:eastAsia="Calibri" w:hAnsi="Arial" w:cs="Times New Roman"/>
        </w:rPr>
        <w:t>ALN.</w:t>
      </w:r>
    </w:p>
    <w:p w14:paraId="12AD60E2" w14:textId="77777777" w:rsidR="00235DF5" w:rsidRPr="006E33D0" w:rsidRDefault="00235DF5" w:rsidP="00235DF5">
      <w:pPr>
        <w:spacing w:before="120" w:line="240" w:lineRule="auto"/>
        <w:rPr>
          <w:rFonts w:ascii="Arial" w:eastAsia="Calibri" w:hAnsi="Arial" w:cs="Times New Roman"/>
          <w:u w:val="single"/>
        </w:rPr>
      </w:pPr>
      <w:r w:rsidRPr="006E33D0">
        <w:rPr>
          <w:rFonts w:ascii="Arial" w:eastAsia="Calibri" w:hAnsi="Arial" w:cs="Times New Roman"/>
          <w:u w:val="single"/>
        </w:rPr>
        <w:t>The UK Government should:</w:t>
      </w:r>
    </w:p>
    <w:p w14:paraId="206A837D" w14:textId="77777777" w:rsidR="00235DF5" w:rsidRPr="00FB521C" w:rsidRDefault="00235DF5" w:rsidP="00627673">
      <w:pPr>
        <w:pStyle w:val="ListParagraph"/>
        <w:numPr>
          <w:ilvl w:val="0"/>
          <w:numId w:val="32"/>
        </w:numPr>
        <w:spacing w:before="120" w:after="120" w:line="240" w:lineRule="auto"/>
        <w:rPr>
          <w:rFonts w:ascii="Arial" w:eastAsia="Calibri" w:hAnsi="Arial" w:cs="Times New Roman"/>
        </w:rPr>
      </w:pPr>
      <w:r w:rsidRPr="00FB521C">
        <w:rPr>
          <w:rFonts w:ascii="Arial" w:eastAsia="Calibri" w:hAnsi="Arial" w:cs="Times New Roman"/>
        </w:rPr>
        <w:t>Ensure that the register of children not in school is used to understand disproportionality for any protected characteristics groups, and to support local authorities to fulfil their duties in relation to home-educated children.</w:t>
      </w:r>
    </w:p>
    <w:p w14:paraId="31430D88" w14:textId="77777777" w:rsidR="00235DF5" w:rsidRPr="00FB521C" w:rsidRDefault="00235DF5" w:rsidP="00627673">
      <w:pPr>
        <w:pStyle w:val="ListParagraph"/>
        <w:numPr>
          <w:ilvl w:val="0"/>
          <w:numId w:val="32"/>
        </w:numPr>
        <w:spacing w:before="120" w:after="120" w:line="240" w:lineRule="auto"/>
        <w:rPr>
          <w:rFonts w:ascii="Arial" w:eastAsia="Calibri" w:hAnsi="Arial" w:cs="Times New Roman"/>
        </w:rPr>
      </w:pPr>
      <w:r w:rsidRPr="00FB521C">
        <w:rPr>
          <w:rFonts w:ascii="Arial" w:eastAsia="Calibri" w:hAnsi="Arial" w:cs="Times New Roman"/>
        </w:rPr>
        <w:t>Under its proposed reforms to the SEND system, ensure that the introduction of national standards does not reduce the entitlements and rights that children and young people with SEND have under the current legal framework, or raise the thresholds for interventions, such as assessments, to take place.</w:t>
      </w:r>
    </w:p>
    <w:p w14:paraId="746AD9F1" w14:textId="77777777" w:rsidR="00235DF5" w:rsidRPr="006E33D0" w:rsidRDefault="00235DF5" w:rsidP="00235DF5">
      <w:pPr>
        <w:spacing w:before="120" w:line="240" w:lineRule="auto"/>
        <w:rPr>
          <w:rFonts w:ascii="Arial" w:eastAsia="Calibri" w:hAnsi="Arial" w:cs="Times New Roman"/>
          <w:u w:val="single"/>
        </w:rPr>
      </w:pPr>
      <w:r w:rsidRPr="006E33D0">
        <w:rPr>
          <w:rFonts w:ascii="Arial" w:eastAsia="Calibri" w:hAnsi="Arial" w:cs="Times New Roman"/>
          <w:u w:val="single"/>
        </w:rPr>
        <w:t>The Welsh Government should:</w:t>
      </w:r>
    </w:p>
    <w:p w14:paraId="4237F3F4" w14:textId="77777777" w:rsidR="00235DF5" w:rsidRPr="00FB521C" w:rsidRDefault="00235DF5" w:rsidP="00627673">
      <w:pPr>
        <w:pStyle w:val="ListParagraph"/>
        <w:numPr>
          <w:ilvl w:val="0"/>
          <w:numId w:val="33"/>
        </w:numPr>
        <w:spacing w:before="120" w:after="120" w:line="240" w:lineRule="auto"/>
        <w:rPr>
          <w:rFonts w:ascii="Arial" w:eastAsia="Calibri" w:hAnsi="Arial" w:cs="Times New Roman"/>
        </w:rPr>
      </w:pPr>
      <w:r w:rsidRPr="00FB521C">
        <w:rPr>
          <w:rFonts w:ascii="Arial" w:eastAsia="Calibri" w:hAnsi="Arial" w:cs="Times New Roman"/>
        </w:rPr>
        <w:t>Prioritise the introduction of statutory guidance on elective home education and the collection of data on those educated at home, including data on protected characteristics.</w:t>
      </w:r>
    </w:p>
    <w:p w14:paraId="31BFE00E" w14:textId="7E49B6C3" w:rsidR="00235DF5" w:rsidRPr="00244BA6" w:rsidRDefault="00235DF5" w:rsidP="00A26DF5">
      <w:pPr>
        <w:pStyle w:val="ListParagraph"/>
        <w:numPr>
          <w:ilvl w:val="0"/>
          <w:numId w:val="33"/>
        </w:numPr>
        <w:spacing w:before="120" w:after="120" w:line="240" w:lineRule="auto"/>
        <w:rPr>
          <w:rFonts w:ascii="Arial" w:eastAsia="Calibri" w:hAnsi="Arial" w:cs="Times New Roman"/>
        </w:rPr>
      </w:pPr>
      <w:r w:rsidRPr="00FB521C">
        <w:rPr>
          <w:rFonts w:ascii="Arial" w:eastAsia="Calibri" w:hAnsi="Arial" w:cs="Times New Roman"/>
        </w:rPr>
        <w:t>Monitor implementation of the Additional Learning Needs and Education Tribunal (Wales) Act for any disproportionate impacts on particular groups.</w:t>
      </w:r>
    </w:p>
    <w:p w14:paraId="029DC329" w14:textId="18A38CCA" w:rsidR="00FB521C" w:rsidRPr="000530C5" w:rsidRDefault="00FB521C" w:rsidP="00FB521C">
      <w:pPr>
        <w:pStyle w:val="Heading2"/>
      </w:pPr>
      <w:bookmarkStart w:id="17" w:name="_Toc122018861"/>
      <w:r>
        <w:t>Human rights education and bullying</w:t>
      </w:r>
      <w:bookmarkEnd w:id="17"/>
    </w:p>
    <w:p w14:paraId="20F2D6C5" w14:textId="388ECB38" w:rsidR="00FB521C" w:rsidRPr="006E33D0" w:rsidRDefault="00FB521C" w:rsidP="00FB521C">
      <w:pPr>
        <w:keepNext/>
        <w:pBdr>
          <w:top w:val="single" w:sz="24" w:space="8" w:color="DDDE45"/>
          <w:left w:val="single" w:sz="24" w:space="4" w:color="F1F1B4"/>
          <w:bottom w:val="single" w:sz="48" w:space="1" w:color="F1F1B4"/>
          <w:right w:val="single" w:sz="24" w:space="4" w:color="F1F1B4"/>
        </w:pBdr>
        <w:shd w:val="clear" w:color="auto" w:fill="F1F1B4"/>
        <w:spacing w:before="120" w:line="240" w:lineRule="auto"/>
        <w:ind w:left="142" w:right="198"/>
        <w:rPr>
          <w:rFonts w:ascii="Arial" w:eastAsia="Arial" w:hAnsi="Arial" w:cs="Arial"/>
          <w:b/>
          <w:szCs w:val="24"/>
        </w:rPr>
      </w:pPr>
      <w:r w:rsidRPr="006E33D0">
        <w:rPr>
          <w:rFonts w:ascii="Arial" w:eastAsia="Arial" w:hAnsi="Arial" w:cs="Arial"/>
          <w:b/>
          <w:szCs w:val="24"/>
        </w:rPr>
        <w:t xml:space="preserve">See: </w:t>
      </w:r>
      <w:hyperlink r:id="rId43" w:history="1">
        <w:r w:rsidRPr="006E33D0">
          <w:rPr>
            <w:rFonts w:ascii="Arial" w:eastAsia="Arial" w:hAnsi="Arial" w:cs="Arial"/>
            <w:b/>
            <w:szCs w:val="24"/>
            <w:u w:val="single" w:color="009C98"/>
          </w:rPr>
          <w:t>Our 2020 submission</w:t>
        </w:r>
      </w:hyperlink>
      <w:r w:rsidRPr="006E33D0">
        <w:rPr>
          <w:rFonts w:ascii="Arial" w:eastAsia="Arial" w:hAnsi="Arial" w:cs="Arial"/>
          <w:b/>
          <w:szCs w:val="24"/>
        </w:rPr>
        <w:t xml:space="preserve"> (pages 15 and 43-45); </w:t>
      </w:r>
      <w:hyperlink r:id="rId44" w:history="1">
        <w:r w:rsidR="00BE78B7">
          <w:rPr>
            <w:rFonts w:ascii="Arial" w:eastAsia="Arial" w:hAnsi="Arial" w:cs="Arial"/>
            <w:b/>
            <w:szCs w:val="24"/>
            <w:u w:val="single" w:color="009C98"/>
          </w:rPr>
          <w:t>UNCRC list of i</w:t>
        </w:r>
        <w:r w:rsidRPr="006E33D0">
          <w:rPr>
            <w:rFonts w:ascii="Arial" w:eastAsia="Arial" w:hAnsi="Arial" w:cs="Arial"/>
            <w:b/>
            <w:szCs w:val="24"/>
            <w:u w:val="single" w:color="009C98"/>
          </w:rPr>
          <w:t>ssues</w:t>
        </w:r>
      </w:hyperlink>
      <w:r w:rsidRPr="006E33D0">
        <w:rPr>
          <w:rFonts w:ascii="Arial" w:eastAsia="Arial" w:hAnsi="Arial" w:cs="Arial"/>
          <w:b/>
          <w:szCs w:val="24"/>
        </w:rPr>
        <w:t xml:space="preserve"> (paras 9, 22 and 29); </w:t>
      </w:r>
      <w:hyperlink r:id="rId45" w:history="1">
        <w:r w:rsidRPr="006E33D0">
          <w:rPr>
            <w:rFonts w:ascii="Arial" w:eastAsia="Arial" w:hAnsi="Arial" w:cs="Arial"/>
            <w:b/>
            <w:szCs w:val="24"/>
            <w:u w:val="single" w:color="009C98"/>
          </w:rPr>
          <w:t>UN Sustainable Development Goals</w:t>
        </w:r>
      </w:hyperlink>
      <w:r w:rsidRPr="006E33D0">
        <w:rPr>
          <w:rFonts w:ascii="Arial" w:eastAsia="Arial" w:hAnsi="Arial" w:cs="Arial"/>
          <w:b/>
          <w:szCs w:val="24"/>
        </w:rPr>
        <w:t xml:space="preserve"> (Goals 4, </w:t>
      </w:r>
      <w:r>
        <w:rPr>
          <w:rFonts w:ascii="Arial" w:eastAsia="Arial" w:hAnsi="Arial" w:cs="Arial"/>
          <w:b/>
          <w:szCs w:val="24"/>
        </w:rPr>
        <w:t xml:space="preserve">5, </w:t>
      </w:r>
      <w:r w:rsidRPr="006E33D0">
        <w:rPr>
          <w:rFonts w:ascii="Arial" w:eastAsia="Arial" w:hAnsi="Arial" w:cs="Arial"/>
          <w:b/>
          <w:szCs w:val="24"/>
        </w:rPr>
        <w:t>10 and 16)</w:t>
      </w:r>
    </w:p>
    <w:p w14:paraId="0231B36A" w14:textId="04ED32E3" w:rsidR="00FB521C" w:rsidRPr="00B91A3D" w:rsidRDefault="00FB521C" w:rsidP="00FB521C">
      <w:pPr>
        <w:pStyle w:val="Heading3"/>
      </w:pPr>
      <w:r>
        <w:t>Human rights education and the curriculum</w:t>
      </w:r>
    </w:p>
    <w:p w14:paraId="211208ED" w14:textId="521F68EF" w:rsidR="00E95094" w:rsidRDefault="00FB521C" w:rsidP="00FB521C">
      <w:pPr>
        <w:spacing w:before="120" w:line="240" w:lineRule="auto"/>
        <w:rPr>
          <w:rFonts w:ascii="Arial" w:eastAsia="Calibri" w:hAnsi="Arial" w:cs="Arial"/>
          <w:szCs w:val="24"/>
        </w:rPr>
      </w:pPr>
      <w:r w:rsidRPr="006E33D0">
        <w:rPr>
          <w:rFonts w:ascii="Arial" w:eastAsia="Calibri" w:hAnsi="Arial" w:cs="Arial"/>
          <w:szCs w:val="24"/>
        </w:rPr>
        <w:t xml:space="preserve">Children have a right to an education that develops their respect for human rights and fundamental freedoms. Teachers taking part in research </w:t>
      </w:r>
      <w:r w:rsidR="00047905">
        <w:rPr>
          <w:rFonts w:ascii="Arial" w:eastAsia="Calibri" w:hAnsi="Arial" w:cs="Arial"/>
          <w:szCs w:val="24"/>
        </w:rPr>
        <w:t xml:space="preserve">that we </w:t>
      </w:r>
      <w:r w:rsidR="00D33944">
        <w:rPr>
          <w:rFonts w:ascii="Arial" w:eastAsia="Calibri" w:hAnsi="Arial" w:cs="Arial"/>
          <w:szCs w:val="24"/>
        </w:rPr>
        <w:t xml:space="preserve">conducted </w:t>
      </w:r>
      <w:r w:rsidRPr="006E33D0">
        <w:rPr>
          <w:rFonts w:ascii="Arial" w:eastAsia="Calibri" w:hAnsi="Arial" w:cs="Arial"/>
          <w:szCs w:val="24"/>
        </w:rPr>
        <w:t xml:space="preserve">suggested that crucial features of a human rights-based approach include </w:t>
      </w:r>
      <w:r w:rsidRPr="006E33D0">
        <w:rPr>
          <w:rFonts w:ascii="Arial" w:eastAsia="Calibri" w:hAnsi="Arial" w:cs="Times New Roman"/>
          <w:szCs w:val="24"/>
        </w:rPr>
        <w:t>creating a rights-respecting ethos, integrating human rights across the curriculum, fostering pupil participation, and building an inclusive and fair learning environment</w:t>
      </w:r>
      <w:r w:rsidRPr="006E33D0">
        <w:rPr>
          <w:rFonts w:ascii="Arial" w:eastAsia="Calibri" w:hAnsi="Arial" w:cs="Arial"/>
          <w:szCs w:val="24"/>
        </w:rPr>
        <w:t>.</w:t>
      </w:r>
      <w:r w:rsidRPr="006E33D0">
        <w:rPr>
          <w:rFonts w:ascii="Arial" w:eastAsia="Calibri" w:hAnsi="Arial" w:cs="Arial"/>
          <w:szCs w:val="24"/>
          <w:vertAlign w:val="superscript"/>
        </w:rPr>
        <w:footnoteReference w:id="369"/>
      </w:r>
      <w:r w:rsidRPr="006E33D0">
        <w:rPr>
          <w:rFonts w:ascii="Arial" w:eastAsia="Calibri" w:hAnsi="Arial" w:cs="Arial"/>
          <w:szCs w:val="24"/>
        </w:rPr>
        <w:t xml:space="preserve"> </w:t>
      </w:r>
    </w:p>
    <w:p w14:paraId="1FEE213B" w14:textId="3280182E" w:rsidR="00FB521C" w:rsidRPr="006E33D0" w:rsidRDefault="00FB521C" w:rsidP="00FB521C">
      <w:pPr>
        <w:spacing w:before="120" w:line="240" w:lineRule="auto"/>
        <w:rPr>
          <w:rFonts w:ascii="Arial" w:eastAsia="Calibri" w:hAnsi="Arial" w:cs="Arial"/>
          <w:bCs/>
          <w:szCs w:val="24"/>
        </w:rPr>
      </w:pPr>
      <w:r w:rsidRPr="006E33D0">
        <w:rPr>
          <w:rFonts w:ascii="Arial" w:eastAsia="Calibri" w:hAnsi="Arial" w:cs="Arial"/>
          <w:szCs w:val="24"/>
        </w:rPr>
        <w:t>Schools reported various benefits of providing human rights education (HRE),</w:t>
      </w:r>
      <w:r w:rsidRPr="006E33D0">
        <w:rPr>
          <w:rFonts w:ascii="Arial" w:eastAsia="Calibri" w:hAnsi="Arial" w:cs="Arial"/>
          <w:szCs w:val="24"/>
          <w:vertAlign w:val="superscript"/>
        </w:rPr>
        <w:footnoteReference w:id="370"/>
      </w:r>
      <w:r w:rsidRPr="006E33D0">
        <w:rPr>
          <w:rFonts w:ascii="Arial" w:eastAsia="Calibri" w:hAnsi="Arial" w:cs="Arial"/>
          <w:szCs w:val="24"/>
        </w:rPr>
        <w:t xml:space="preserve"> including reductions in prejudice and improvements</w:t>
      </w:r>
      <w:r w:rsidR="00E95094">
        <w:rPr>
          <w:rFonts w:ascii="Arial" w:eastAsia="Calibri" w:hAnsi="Arial" w:cs="Arial"/>
          <w:szCs w:val="24"/>
        </w:rPr>
        <w:t xml:space="preserve"> in attainment, behaviour, well</w:t>
      </w:r>
      <w:r w:rsidRPr="006E33D0">
        <w:rPr>
          <w:rFonts w:ascii="Arial" w:eastAsia="Calibri" w:hAnsi="Arial" w:cs="Arial"/>
          <w:szCs w:val="24"/>
        </w:rPr>
        <w:t>being and engagement.</w:t>
      </w:r>
      <w:r w:rsidRPr="006E33D0">
        <w:rPr>
          <w:rFonts w:ascii="Arial" w:eastAsia="Calibri" w:hAnsi="Arial" w:cs="Arial"/>
          <w:szCs w:val="24"/>
          <w:vertAlign w:val="superscript"/>
        </w:rPr>
        <w:t xml:space="preserve"> </w:t>
      </w:r>
      <w:r w:rsidRPr="006E33D0">
        <w:rPr>
          <w:rFonts w:ascii="Arial" w:eastAsia="Calibri" w:hAnsi="Arial" w:cs="Arial"/>
          <w:szCs w:val="24"/>
          <w:vertAlign w:val="superscript"/>
        </w:rPr>
        <w:footnoteReference w:id="371"/>
      </w:r>
      <w:r w:rsidRPr="006E33D0">
        <w:rPr>
          <w:rFonts w:ascii="Arial" w:eastAsia="Calibri" w:hAnsi="Arial" w:cs="Arial"/>
          <w:szCs w:val="24"/>
        </w:rPr>
        <w:t xml:space="preserve"> Provision of HRE </w:t>
      </w:r>
      <w:r w:rsidRPr="006E33D0">
        <w:rPr>
          <w:rFonts w:ascii="Arial" w:eastAsia="Calibri" w:hAnsi="Arial" w:cs="Arial"/>
          <w:szCs w:val="24"/>
          <w:shd w:val="clear" w:color="auto" w:fill="FFFFFF"/>
        </w:rPr>
        <w:t>supports schools to comply with</w:t>
      </w:r>
      <w:r w:rsidRPr="006E33D0">
        <w:rPr>
          <w:rFonts w:ascii="Arial" w:eastAsia="Calibri" w:hAnsi="Arial" w:cs="Arial"/>
          <w:szCs w:val="24"/>
        </w:rPr>
        <w:t xml:space="preserve"> the Public Sector Equality Duty to have due regard to the need to eliminate discrimination, advance equality of opportunity and foster good relations</w:t>
      </w:r>
      <w:r w:rsidRPr="006E33D0">
        <w:rPr>
          <w:rFonts w:ascii="Arial" w:eastAsia="Calibri" w:hAnsi="Arial" w:cs="Arial"/>
          <w:bCs/>
          <w:szCs w:val="24"/>
        </w:rPr>
        <w:t>.</w:t>
      </w:r>
      <w:r w:rsidRPr="006E33D0">
        <w:rPr>
          <w:rFonts w:ascii="Arial" w:eastAsia="Calibri" w:hAnsi="Arial" w:cs="Arial"/>
          <w:bCs/>
          <w:szCs w:val="24"/>
          <w:vertAlign w:val="superscript"/>
        </w:rPr>
        <w:footnoteReference w:id="372"/>
      </w:r>
    </w:p>
    <w:p w14:paraId="0D7D903B" w14:textId="2D4B5573" w:rsidR="00FB521C" w:rsidRPr="006E33D0" w:rsidRDefault="00FB521C" w:rsidP="00FB521C">
      <w:pPr>
        <w:spacing w:before="120" w:line="240" w:lineRule="auto"/>
        <w:rPr>
          <w:rFonts w:ascii="Arial" w:eastAsia="Calibri" w:hAnsi="Arial" w:cs="Arial"/>
          <w:szCs w:val="24"/>
        </w:rPr>
      </w:pPr>
      <w:r w:rsidRPr="006E33D0">
        <w:rPr>
          <w:rFonts w:ascii="Arial" w:eastAsia="Calibri" w:hAnsi="Arial" w:cs="Arial"/>
          <w:szCs w:val="24"/>
          <w:shd w:val="clear" w:color="auto" w:fill="FFFFFF"/>
        </w:rPr>
        <w:t xml:space="preserve">Despite these benefits, and the UK Government’s obligations under the CRC to raise awareness of rights among children, </w:t>
      </w:r>
      <w:r w:rsidRPr="006E33D0">
        <w:rPr>
          <w:rFonts w:ascii="Arial" w:eastAsia="Calibri" w:hAnsi="Arial" w:cs="Arial"/>
          <w:szCs w:val="24"/>
        </w:rPr>
        <w:t>there are barriers to implementing HRE in England. There is insufficient knowledge among teachers about the CRC and the wider international human rights framework, and minimal provision in the national curriculum.</w:t>
      </w:r>
      <w:r w:rsidRPr="006E33D0">
        <w:rPr>
          <w:rFonts w:ascii="Arial" w:eastAsia="Calibri" w:hAnsi="Arial" w:cs="Arial"/>
          <w:szCs w:val="24"/>
          <w:vertAlign w:val="superscript"/>
        </w:rPr>
        <w:footnoteReference w:id="373"/>
      </w:r>
      <w:r w:rsidRPr="006E33D0">
        <w:rPr>
          <w:rFonts w:ascii="Arial" w:eastAsia="Calibri" w:hAnsi="Arial" w:cs="Arial"/>
          <w:szCs w:val="24"/>
        </w:rPr>
        <w:t xml:space="preserve"> There is insufficient attention paid to the broader elements of HRE, which involve </w:t>
      </w:r>
      <w:r w:rsidRPr="006E33D0">
        <w:rPr>
          <w:rFonts w:ascii="Arial" w:eastAsia="Calibri" w:hAnsi="Arial" w:cs="Times New Roman"/>
          <w:szCs w:val="24"/>
        </w:rPr>
        <w:t xml:space="preserve">learning and teaching in a way that respects the rights of both educators and learners, </w:t>
      </w:r>
      <w:r w:rsidRPr="006E33D0">
        <w:rPr>
          <w:rFonts w:ascii="Arial" w:eastAsia="Calibri" w:hAnsi="Arial" w:cs="Arial"/>
          <w:szCs w:val="24"/>
        </w:rPr>
        <w:t>and empowering children to exercise their rights. The UK Government’s Independent</w:t>
      </w:r>
      <w:r w:rsidR="00416D54">
        <w:rPr>
          <w:rFonts w:ascii="Arial" w:eastAsia="Calibri" w:hAnsi="Arial" w:cs="Arial"/>
          <w:szCs w:val="24"/>
        </w:rPr>
        <w:t xml:space="preserve"> Human Rights Act Review</w:t>
      </w:r>
      <w:r w:rsidRPr="006E33D0">
        <w:rPr>
          <w:rFonts w:ascii="Arial" w:eastAsia="Calibri" w:hAnsi="Arial" w:cs="Arial"/>
          <w:szCs w:val="24"/>
        </w:rPr>
        <w:t xml:space="preserve"> panel </w:t>
      </w:r>
      <w:r w:rsidR="00047905">
        <w:rPr>
          <w:rFonts w:ascii="Arial" w:eastAsia="Calibri" w:hAnsi="Arial" w:cs="Arial"/>
          <w:szCs w:val="24"/>
        </w:rPr>
        <w:t xml:space="preserve">has </w:t>
      </w:r>
      <w:r w:rsidRPr="006E33D0">
        <w:rPr>
          <w:rFonts w:ascii="Arial" w:eastAsia="Calibri" w:hAnsi="Arial" w:cs="Arial"/>
          <w:szCs w:val="24"/>
        </w:rPr>
        <w:t>recommended establishing a programme of HRE in schools, but this has not been agreed.</w:t>
      </w:r>
      <w:r w:rsidRPr="006E33D0">
        <w:rPr>
          <w:rFonts w:ascii="Arial" w:eastAsia="Calibri" w:hAnsi="Arial" w:cs="Arial"/>
          <w:szCs w:val="24"/>
          <w:vertAlign w:val="superscript"/>
        </w:rPr>
        <w:footnoteReference w:id="374"/>
      </w:r>
    </w:p>
    <w:p w14:paraId="32BF123B" w14:textId="77777777" w:rsidR="00FC1E80" w:rsidRDefault="00FB521C" w:rsidP="00FB521C">
      <w:pPr>
        <w:spacing w:before="120" w:line="240" w:lineRule="auto"/>
        <w:rPr>
          <w:rFonts w:ascii="Arial" w:eastAsia="Calibri" w:hAnsi="Arial" w:cs="Arial"/>
          <w:color w:val="0B0C0C"/>
          <w:szCs w:val="24"/>
        </w:rPr>
      </w:pPr>
      <w:r w:rsidRPr="006E33D0">
        <w:rPr>
          <w:rFonts w:ascii="Arial" w:eastAsia="Calibri" w:hAnsi="Arial" w:cs="Arial"/>
          <w:szCs w:val="24"/>
        </w:rPr>
        <w:t>We welcome the</w:t>
      </w:r>
      <w:r w:rsidR="00FC1E80">
        <w:rPr>
          <w:rFonts w:ascii="Arial" w:eastAsia="Calibri" w:hAnsi="Arial" w:cs="Arial"/>
          <w:color w:val="0B0C0C"/>
          <w:szCs w:val="24"/>
        </w:rPr>
        <w:t xml:space="preserve"> </w:t>
      </w:r>
      <w:r w:rsidRPr="006E33D0">
        <w:rPr>
          <w:rFonts w:ascii="Arial" w:eastAsia="Calibri" w:hAnsi="Arial" w:cs="Arial"/>
          <w:color w:val="0B0C0C"/>
          <w:szCs w:val="24"/>
        </w:rPr>
        <w:t>duty on schools in Wales to promote knowledge and understanding of the CRC among teachers and staff under the Curriculum and Assessment (Wales) Act 2021.</w:t>
      </w:r>
      <w:r w:rsidRPr="006E33D0">
        <w:rPr>
          <w:rFonts w:ascii="Arial" w:eastAsia="Calibri" w:hAnsi="Arial" w:cs="Arial"/>
          <w:color w:val="0B0C0C"/>
          <w:szCs w:val="24"/>
          <w:vertAlign w:val="superscript"/>
        </w:rPr>
        <w:footnoteReference w:id="375"/>
      </w:r>
      <w:r w:rsidRPr="006E33D0">
        <w:rPr>
          <w:rFonts w:ascii="Arial" w:eastAsia="Calibri" w:hAnsi="Arial" w:cs="Arial"/>
          <w:color w:val="0B0C0C"/>
          <w:szCs w:val="24"/>
        </w:rPr>
        <w:t xml:space="preserve"> However, early evidence has indicated a lack of awareness and understanding of this duty among school leaders.</w:t>
      </w:r>
      <w:r w:rsidRPr="006E33D0">
        <w:rPr>
          <w:rFonts w:ascii="Arial" w:eastAsia="Calibri" w:hAnsi="Arial" w:cs="Arial"/>
          <w:color w:val="0B0C0C"/>
          <w:szCs w:val="24"/>
          <w:vertAlign w:val="superscript"/>
        </w:rPr>
        <w:footnoteReference w:id="376"/>
      </w:r>
      <w:r w:rsidRPr="006E33D0">
        <w:rPr>
          <w:rFonts w:ascii="Arial" w:eastAsia="Calibri" w:hAnsi="Arial" w:cs="Arial"/>
          <w:color w:val="0B0C0C"/>
          <w:szCs w:val="24"/>
        </w:rPr>
        <w:t xml:space="preserve"> </w:t>
      </w:r>
    </w:p>
    <w:p w14:paraId="4373E14C" w14:textId="77777777" w:rsidR="00FC1E80" w:rsidRDefault="00FB521C" w:rsidP="00FB521C">
      <w:pPr>
        <w:spacing w:before="120" w:line="240" w:lineRule="auto"/>
        <w:rPr>
          <w:rFonts w:ascii="Arial" w:eastAsia="Calibri" w:hAnsi="Arial" w:cs="Arial"/>
          <w:szCs w:val="24"/>
        </w:rPr>
      </w:pPr>
      <w:r w:rsidRPr="006E33D0">
        <w:rPr>
          <w:rFonts w:ascii="Arial" w:eastAsia="Calibri" w:hAnsi="Arial" w:cs="Arial"/>
          <w:color w:val="0B0C0C"/>
          <w:szCs w:val="24"/>
        </w:rPr>
        <w:t xml:space="preserve">The new curriculum ensures that </w:t>
      </w:r>
      <w:r w:rsidRPr="006E33D0">
        <w:rPr>
          <w:rFonts w:ascii="Arial" w:eastAsia="Calibri" w:hAnsi="Arial" w:cs="Arial"/>
          <w:color w:val="0B0C0C"/>
          <w:szCs w:val="24"/>
          <w:shd w:val="clear" w:color="auto" w:fill="FFFFFF"/>
        </w:rPr>
        <w:t>HRE and the CRC will be</w:t>
      </w:r>
      <w:r w:rsidR="00FC1E80">
        <w:rPr>
          <w:rFonts w:ascii="Arial" w:eastAsia="Calibri" w:hAnsi="Arial" w:cs="Arial"/>
          <w:color w:val="0B0C0C"/>
          <w:szCs w:val="24"/>
          <w:shd w:val="clear" w:color="auto" w:fill="FFFFFF"/>
        </w:rPr>
        <w:t xml:space="preserve"> </w:t>
      </w:r>
      <w:r w:rsidRPr="006E33D0">
        <w:rPr>
          <w:rFonts w:ascii="Arial" w:eastAsia="Calibri" w:hAnsi="Arial" w:cs="Arial"/>
          <w:szCs w:val="24"/>
          <w:shd w:val="clear" w:color="auto" w:fill="FFFFFF"/>
        </w:rPr>
        <w:t>integrated across all areas of learning and experience</w:t>
      </w:r>
      <w:r w:rsidRPr="006E33D0">
        <w:rPr>
          <w:rFonts w:ascii="Arial" w:eastAsia="Calibri" w:hAnsi="Arial" w:cs="Arial"/>
          <w:color w:val="0B0C0C"/>
          <w:szCs w:val="24"/>
          <w:shd w:val="clear" w:color="auto" w:fill="FFFFFF"/>
        </w:rPr>
        <w:t>.</w:t>
      </w:r>
      <w:r w:rsidRPr="006E33D0">
        <w:rPr>
          <w:rFonts w:ascii="Arial" w:eastAsia="Calibri" w:hAnsi="Arial" w:cs="Arial"/>
          <w:color w:val="0B0C0C"/>
          <w:szCs w:val="24"/>
          <w:shd w:val="clear" w:color="auto" w:fill="FFFFFF"/>
          <w:vertAlign w:val="superscript"/>
        </w:rPr>
        <w:footnoteReference w:id="377"/>
      </w:r>
      <w:r w:rsidRPr="006E33D0">
        <w:rPr>
          <w:rFonts w:ascii="Arial" w:eastAsia="Calibri" w:hAnsi="Arial" w:cs="Arial"/>
          <w:color w:val="0B0C0C"/>
          <w:szCs w:val="24"/>
          <w:shd w:val="clear" w:color="auto" w:fill="FFFFFF"/>
        </w:rPr>
        <w:t xml:space="preserve"> Guidance states that</w:t>
      </w:r>
      <w:r w:rsidR="00FC1E80">
        <w:rPr>
          <w:rFonts w:ascii="Arial" w:eastAsia="Calibri" w:hAnsi="Arial" w:cs="Arial"/>
          <w:color w:val="0B0C0C"/>
          <w:szCs w:val="24"/>
          <w:shd w:val="clear" w:color="auto" w:fill="FFFFFF"/>
        </w:rPr>
        <w:t xml:space="preserve"> </w:t>
      </w:r>
      <w:r w:rsidRPr="006E33D0">
        <w:rPr>
          <w:rFonts w:ascii="Arial" w:eastAsia="Calibri" w:hAnsi="Arial" w:cs="Arial"/>
          <w:szCs w:val="24"/>
          <w:shd w:val="clear" w:color="auto" w:fill="FFFFFF"/>
        </w:rPr>
        <w:t xml:space="preserve">pupils should </w:t>
      </w:r>
      <w:r w:rsidRPr="006E33D0">
        <w:rPr>
          <w:rFonts w:ascii="Arial" w:eastAsia="Calibri" w:hAnsi="Arial" w:cs="Arial"/>
          <w:color w:val="0B0C0C"/>
          <w:szCs w:val="24"/>
          <w:shd w:val="clear" w:color="auto" w:fill="FFFFFF"/>
        </w:rPr>
        <w:t>be given opportunities to develop knowledge of their rights and the need to respect the rights of others.</w:t>
      </w:r>
      <w:r w:rsidRPr="006E33D0">
        <w:rPr>
          <w:rFonts w:ascii="Arial" w:eastAsia="Calibri" w:hAnsi="Arial" w:cs="Arial"/>
          <w:color w:val="0B0C0C"/>
          <w:szCs w:val="24"/>
          <w:shd w:val="clear" w:color="auto" w:fill="FFFFFF"/>
          <w:vertAlign w:val="superscript"/>
        </w:rPr>
        <w:footnoteReference w:id="378"/>
      </w:r>
      <w:r w:rsidRPr="006E33D0">
        <w:rPr>
          <w:rFonts w:ascii="Arial" w:eastAsia="Calibri" w:hAnsi="Arial" w:cs="Arial"/>
          <w:color w:val="0B0C0C"/>
          <w:szCs w:val="24"/>
          <w:shd w:val="clear" w:color="auto" w:fill="FFFFFF"/>
        </w:rPr>
        <w:t xml:space="preserve"> However, we have concerns about the variability of learning, with much of the content left to the discretion of schools.</w:t>
      </w:r>
      <w:r w:rsidRPr="006E33D0">
        <w:rPr>
          <w:rFonts w:ascii="Arial" w:eastAsia="Calibri" w:hAnsi="Arial" w:cs="Arial"/>
          <w:szCs w:val="24"/>
        </w:rPr>
        <w:t xml:space="preserve"> </w:t>
      </w:r>
    </w:p>
    <w:p w14:paraId="2512D8F7" w14:textId="07C9613E" w:rsidR="00FB521C" w:rsidRPr="006E33D0" w:rsidRDefault="00FB521C" w:rsidP="00FB521C">
      <w:pPr>
        <w:spacing w:before="120" w:line="240" w:lineRule="auto"/>
        <w:rPr>
          <w:rFonts w:ascii="Arial" w:eastAsia="Calibri" w:hAnsi="Arial" w:cs="Arial"/>
          <w:szCs w:val="24"/>
          <w:shd w:val="clear" w:color="auto" w:fill="FFFFFF"/>
        </w:rPr>
      </w:pPr>
      <w:r w:rsidRPr="006E33D0">
        <w:rPr>
          <w:rFonts w:ascii="Arial" w:eastAsia="Calibri" w:hAnsi="Arial" w:cs="Arial"/>
          <w:color w:val="0B0C0C"/>
          <w:szCs w:val="24"/>
        </w:rPr>
        <w:t xml:space="preserve">The Act also makes </w:t>
      </w:r>
      <w:r w:rsidRPr="006E33D0">
        <w:rPr>
          <w:rFonts w:ascii="Arial" w:eastAsia="Calibri" w:hAnsi="Arial" w:cs="Arial"/>
          <w:szCs w:val="24"/>
        </w:rPr>
        <w:t xml:space="preserve">relationships and sexuality education (RSE) mandatory in state-funded Welsh schools by embedding it into the curriculum. Statutory guidance for RSE in Wales contains mandatory requirements for schools, including </w:t>
      </w:r>
      <w:r w:rsidRPr="006E33D0">
        <w:rPr>
          <w:rFonts w:ascii="Arial" w:eastAsia="Calibri" w:hAnsi="Arial" w:cs="Arial"/>
          <w:szCs w:val="24"/>
          <w:shd w:val="clear" w:color="auto" w:fill="FFFFFF"/>
        </w:rPr>
        <w:t>that pupils understand and experience their rights, and that learning develops awareness and understanding of different identities, views and values, including</w:t>
      </w:r>
      <w:r w:rsidR="00605915">
        <w:rPr>
          <w:rFonts w:ascii="Arial" w:eastAsia="Calibri" w:hAnsi="Arial" w:cs="Arial"/>
          <w:szCs w:val="24"/>
          <w:shd w:val="clear" w:color="auto" w:fill="FFFFFF"/>
        </w:rPr>
        <w:t xml:space="preserve"> those who are </w:t>
      </w:r>
      <w:r w:rsidR="00047905">
        <w:rPr>
          <w:rFonts w:ascii="Arial" w:eastAsia="Calibri" w:hAnsi="Arial" w:cs="Arial"/>
          <w:szCs w:val="24"/>
          <w:shd w:val="clear" w:color="auto" w:fill="FFFFFF"/>
        </w:rPr>
        <w:t>LGBT</w:t>
      </w:r>
      <w:r w:rsidRPr="006E33D0">
        <w:rPr>
          <w:rFonts w:ascii="Arial" w:eastAsia="Calibri" w:hAnsi="Arial" w:cs="Arial"/>
          <w:szCs w:val="24"/>
          <w:shd w:val="clear" w:color="auto" w:fill="FFFFFF"/>
        </w:rPr>
        <w:t>.</w:t>
      </w:r>
      <w:r w:rsidRPr="006E33D0">
        <w:rPr>
          <w:rFonts w:ascii="Arial" w:eastAsia="Calibri" w:hAnsi="Arial" w:cs="Arial"/>
          <w:szCs w:val="24"/>
          <w:vertAlign w:val="superscript"/>
        </w:rPr>
        <w:footnoteReference w:id="379"/>
      </w:r>
      <w:r w:rsidRPr="006E33D0">
        <w:rPr>
          <w:rFonts w:ascii="Arial" w:eastAsia="Calibri" w:hAnsi="Arial" w:cs="Arial"/>
          <w:szCs w:val="24"/>
          <w:shd w:val="clear" w:color="auto" w:fill="FFFFFF"/>
        </w:rPr>
        <w:t xml:space="preserve"> This has been the subject of ongoing legal challenges by parents</w:t>
      </w:r>
      <w:r w:rsidR="00047905">
        <w:rPr>
          <w:rFonts w:ascii="Arial" w:eastAsia="Calibri" w:hAnsi="Arial" w:cs="Arial"/>
          <w:szCs w:val="24"/>
          <w:shd w:val="clear" w:color="auto" w:fill="FFFFFF"/>
        </w:rPr>
        <w:t>,</w:t>
      </w:r>
      <w:r w:rsidRPr="006E33D0">
        <w:rPr>
          <w:rFonts w:ascii="Arial" w:eastAsia="Calibri" w:hAnsi="Arial" w:cs="Arial"/>
          <w:szCs w:val="24"/>
          <w:shd w:val="clear" w:color="auto" w:fill="FFFFFF"/>
        </w:rPr>
        <w:t xml:space="preserve"> and a judicial review will be heard in late 2022.</w:t>
      </w:r>
      <w:r w:rsidRPr="006E33D0">
        <w:rPr>
          <w:rStyle w:val="FootnoteReference"/>
          <w:rFonts w:ascii="Arial" w:eastAsia="Calibri" w:hAnsi="Arial" w:cs="Arial"/>
          <w:szCs w:val="24"/>
          <w:shd w:val="clear" w:color="auto" w:fill="FFFFFF"/>
        </w:rPr>
        <w:footnoteReference w:id="380"/>
      </w:r>
    </w:p>
    <w:p w14:paraId="226EDBFA" w14:textId="77777777" w:rsidR="00FC1E80" w:rsidRDefault="00FB521C" w:rsidP="00FB521C">
      <w:pPr>
        <w:shd w:val="clear" w:color="auto" w:fill="FFFFFF"/>
        <w:spacing w:before="120" w:line="240" w:lineRule="auto"/>
        <w:rPr>
          <w:rFonts w:ascii="Arial" w:eastAsia="Calibri" w:hAnsi="Arial" w:cs="Arial"/>
          <w:color w:val="0B0C0C"/>
          <w:szCs w:val="24"/>
        </w:rPr>
      </w:pPr>
      <w:r w:rsidRPr="006E33D0">
        <w:rPr>
          <w:rFonts w:ascii="Arial" w:eastAsia="Calibri" w:hAnsi="Arial" w:cs="Arial"/>
          <w:szCs w:val="24"/>
        </w:rPr>
        <w:t>We welcome the introduction of compulsory Relationships, Sex and Health Education (RSHE) in England.</w:t>
      </w:r>
      <w:r w:rsidRPr="006E33D0">
        <w:rPr>
          <w:rFonts w:ascii="Arial" w:eastAsia="Calibri" w:hAnsi="Arial" w:cs="Arial"/>
          <w:szCs w:val="24"/>
          <w:vertAlign w:val="superscript"/>
        </w:rPr>
        <w:footnoteReference w:id="381"/>
      </w:r>
      <w:r w:rsidRPr="006E33D0">
        <w:rPr>
          <w:rFonts w:ascii="Arial" w:eastAsia="Calibri" w:hAnsi="Arial" w:cs="Arial"/>
          <w:szCs w:val="24"/>
        </w:rPr>
        <w:t xml:space="preserve"> </w:t>
      </w:r>
      <w:r w:rsidRPr="006E33D0">
        <w:rPr>
          <w:rFonts w:ascii="Arial" w:eastAsia="Calibri" w:hAnsi="Arial" w:cs="Arial"/>
          <w:color w:val="0B0C0C"/>
          <w:szCs w:val="24"/>
        </w:rPr>
        <w:t>This includes teaching tolerance of other people’s beliefs, how stereotypes can be damaging, and the legal rights and responsibilities regarding equality, with reference to protected characteristics.</w:t>
      </w:r>
    </w:p>
    <w:p w14:paraId="5F1A31AD" w14:textId="008227B0" w:rsidR="00FB521C" w:rsidRPr="00FE0068" w:rsidRDefault="00FB521C" w:rsidP="00FB521C">
      <w:pPr>
        <w:shd w:val="clear" w:color="auto" w:fill="FFFFFF"/>
        <w:spacing w:before="120" w:line="240" w:lineRule="auto"/>
        <w:rPr>
          <w:rFonts w:ascii="Arial" w:eastAsia="Calibri" w:hAnsi="Arial" w:cs="Arial"/>
          <w:szCs w:val="24"/>
        </w:rPr>
      </w:pPr>
      <w:r w:rsidRPr="006E33D0">
        <w:rPr>
          <w:rFonts w:ascii="Arial" w:eastAsia="Calibri" w:hAnsi="Arial" w:cs="Arial"/>
          <w:szCs w:val="24"/>
        </w:rPr>
        <w:t>The RSHE guidance requires ‘sensitive and well-judged teaching’ in primary schools about families that are ‘different’, and describes these families as taking ‘many forms’, including ‘LGBT parents’,</w:t>
      </w:r>
      <w:r w:rsidRPr="006E33D0">
        <w:rPr>
          <w:rFonts w:ascii="Arial" w:eastAsia="Calibri" w:hAnsi="Arial" w:cs="Arial"/>
          <w:szCs w:val="24"/>
          <w:vertAlign w:val="superscript"/>
        </w:rPr>
        <w:footnoteReference w:id="382"/>
      </w:r>
      <w:r w:rsidRPr="006E33D0">
        <w:rPr>
          <w:rFonts w:ascii="Arial" w:eastAsia="Calibri" w:hAnsi="Arial" w:cs="Arial"/>
          <w:szCs w:val="24"/>
        </w:rPr>
        <w:t xml:space="preserve"> although its FAQs only ‘strongly encourage’ primary schools ‘to cover LGBT content when teaching about different types of families’.</w:t>
      </w:r>
      <w:r w:rsidRPr="006E33D0">
        <w:rPr>
          <w:rFonts w:ascii="Arial" w:eastAsia="Calibri" w:hAnsi="Arial" w:cs="Arial"/>
          <w:szCs w:val="24"/>
          <w:vertAlign w:val="superscript"/>
        </w:rPr>
        <w:footnoteReference w:id="383"/>
      </w:r>
      <w:r w:rsidRPr="006E33D0">
        <w:rPr>
          <w:rFonts w:ascii="Arial" w:eastAsia="Calibri" w:hAnsi="Arial" w:cs="Arial"/>
          <w:szCs w:val="24"/>
        </w:rPr>
        <w:t xml:space="preserve"> Research</w:t>
      </w:r>
      <w:r w:rsidRPr="006E33D0">
        <w:rPr>
          <w:rFonts w:ascii="Arial" w:eastAsia="Calibri" w:hAnsi="Arial" w:cs="Arial"/>
          <w:color w:val="0B0C0C"/>
          <w:szCs w:val="24"/>
          <w:shd w:val="clear" w:color="auto" w:fill="FFFFFF"/>
        </w:rPr>
        <w:t xml:space="preserve"> by</w:t>
      </w:r>
      <w:r>
        <w:rPr>
          <w:rFonts w:ascii="Arial" w:eastAsia="Calibri" w:hAnsi="Arial" w:cs="Arial"/>
          <w:color w:val="0B0C0C"/>
          <w:szCs w:val="24"/>
          <w:shd w:val="clear" w:color="auto" w:fill="FFFFFF"/>
        </w:rPr>
        <w:t xml:space="preserve"> the education inspectorate for England,</w:t>
      </w:r>
      <w:r w:rsidRPr="006E33D0">
        <w:rPr>
          <w:rFonts w:ascii="Arial" w:eastAsia="Calibri" w:hAnsi="Arial" w:cs="Arial"/>
          <w:color w:val="0B0C0C"/>
          <w:szCs w:val="24"/>
          <w:shd w:val="clear" w:color="auto" w:fill="FFFFFF"/>
        </w:rPr>
        <w:t xml:space="preserve"> Ofsted</w:t>
      </w:r>
      <w:r>
        <w:rPr>
          <w:rFonts w:ascii="Arial" w:eastAsia="Calibri" w:hAnsi="Arial" w:cs="Arial"/>
          <w:color w:val="0B0C0C"/>
          <w:szCs w:val="24"/>
          <w:shd w:val="clear" w:color="auto" w:fill="FFFFFF"/>
        </w:rPr>
        <w:t>,</w:t>
      </w:r>
      <w:r w:rsidRPr="006E33D0">
        <w:rPr>
          <w:rFonts w:ascii="Arial" w:eastAsia="Calibri" w:hAnsi="Arial" w:cs="Arial"/>
          <w:color w:val="0B0C0C"/>
          <w:szCs w:val="24"/>
          <w:shd w:val="clear" w:color="auto" w:fill="FFFFFF"/>
        </w:rPr>
        <w:t xml:space="preserve"> found confusion about teaching obligations, including </w:t>
      </w:r>
      <w:r>
        <w:rPr>
          <w:rFonts w:ascii="Arial" w:eastAsia="Calibri" w:hAnsi="Arial" w:cs="Arial"/>
          <w:color w:val="0B0C0C"/>
          <w:szCs w:val="24"/>
          <w:shd w:val="clear" w:color="auto" w:fill="FFFFFF"/>
        </w:rPr>
        <w:t>whether</w:t>
      </w:r>
      <w:r w:rsidRPr="006E33D0">
        <w:rPr>
          <w:rFonts w:ascii="Arial" w:eastAsia="Calibri" w:hAnsi="Arial" w:cs="Arial"/>
          <w:color w:val="0B0C0C"/>
          <w:szCs w:val="24"/>
          <w:shd w:val="clear" w:color="auto" w:fill="FFFFFF"/>
        </w:rPr>
        <w:t xml:space="preserve"> primary schools </w:t>
      </w:r>
      <w:r>
        <w:rPr>
          <w:rFonts w:ascii="Arial" w:eastAsia="Calibri" w:hAnsi="Arial" w:cs="Arial"/>
          <w:color w:val="0B0C0C"/>
          <w:szCs w:val="24"/>
          <w:shd w:val="clear" w:color="auto" w:fill="FFFFFF"/>
        </w:rPr>
        <w:t>could</w:t>
      </w:r>
      <w:r w:rsidRPr="006E33D0">
        <w:rPr>
          <w:rFonts w:ascii="Arial" w:eastAsia="Calibri" w:hAnsi="Arial" w:cs="Arial"/>
          <w:color w:val="0B0C0C"/>
          <w:szCs w:val="24"/>
          <w:shd w:val="clear" w:color="auto" w:fill="FFFFFF"/>
        </w:rPr>
        <w:t xml:space="preserve"> opt</w:t>
      </w:r>
      <w:r w:rsidR="00047905">
        <w:rPr>
          <w:rFonts w:ascii="Arial" w:eastAsia="Calibri" w:hAnsi="Arial" w:cs="Arial"/>
          <w:color w:val="0B0C0C"/>
          <w:szCs w:val="24"/>
          <w:shd w:val="clear" w:color="auto" w:fill="FFFFFF"/>
        </w:rPr>
        <w:t xml:space="preserve"> </w:t>
      </w:r>
      <w:r w:rsidRPr="006E33D0">
        <w:rPr>
          <w:rFonts w:ascii="Arial" w:eastAsia="Calibri" w:hAnsi="Arial" w:cs="Arial"/>
          <w:color w:val="0B0C0C"/>
          <w:szCs w:val="24"/>
          <w:shd w:val="clear" w:color="auto" w:fill="FFFFFF"/>
        </w:rPr>
        <w:t xml:space="preserve">out of teaching LGBT issues, the </w:t>
      </w:r>
      <w:r w:rsidRPr="006E33D0">
        <w:rPr>
          <w:rFonts w:ascii="Arial" w:eastAsia="Times New Roman" w:hAnsi="Arial" w:cs="Arial"/>
          <w:color w:val="0B0C0C"/>
          <w:szCs w:val="24"/>
          <w:lang w:eastAsia="en-GB"/>
        </w:rPr>
        <w:t>lack of a detailed central curriculum and perceived contradictions in t</w:t>
      </w:r>
      <w:r w:rsidR="00FC1E80">
        <w:rPr>
          <w:rFonts w:ascii="Arial" w:eastAsia="Times New Roman" w:hAnsi="Arial" w:cs="Arial"/>
          <w:color w:val="0B0C0C"/>
          <w:szCs w:val="24"/>
          <w:lang w:eastAsia="en-GB"/>
        </w:rPr>
        <w:t xml:space="preserve">he information published by the </w:t>
      </w:r>
      <w:r w:rsidRPr="006E33D0">
        <w:rPr>
          <w:rFonts w:ascii="Arial" w:eastAsia="Times New Roman" w:hAnsi="Arial" w:cs="Arial"/>
          <w:color w:val="0B0C0C"/>
          <w:szCs w:val="24"/>
          <w:lang w:eastAsia="en-GB"/>
        </w:rPr>
        <w:t>DfE</w:t>
      </w:r>
      <w:r w:rsidRPr="006E33D0">
        <w:rPr>
          <w:rFonts w:ascii="Arial" w:eastAsia="Calibri" w:hAnsi="Arial" w:cs="Arial"/>
          <w:color w:val="0B0C0C"/>
          <w:szCs w:val="24"/>
          <w:shd w:val="clear" w:color="auto" w:fill="FFFFFF"/>
        </w:rPr>
        <w:t>.</w:t>
      </w:r>
      <w:r w:rsidRPr="006E33D0">
        <w:rPr>
          <w:rFonts w:ascii="Arial" w:eastAsia="Calibri" w:hAnsi="Arial" w:cs="Arial"/>
          <w:color w:val="0B0C0C"/>
          <w:szCs w:val="24"/>
          <w:shd w:val="clear" w:color="auto" w:fill="FFFFFF"/>
          <w:vertAlign w:val="superscript"/>
        </w:rPr>
        <w:footnoteReference w:id="384"/>
      </w:r>
    </w:p>
    <w:p w14:paraId="1835909E" w14:textId="7770F11F" w:rsidR="00FC1E80" w:rsidRDefault="00FB521C" w:rsidP="00FB521C">
      <w:pPr>
        <w:shd w:val="clear" w:color="auto" w:fill="FFFFFF"/>
        <w:spacing w:before="120" w:line="240" w:lineRule="auto"/>
        <w:rPr>
          <w:rFonts w:ascii="Arial" w:eastAsia="Calibri" w:hAnsi="Arial" w:cs="Arial"/>
          <w:color w:val="0B0C0C"/>
          <w:szCs w:val="24"/>
        </w:rPr>
      </w:pPr>
      <w:r w:rsidRPr="006E33D0">
        <w:rPr>
          <w:rFonts w:ascii="Arial" w:eastAsia="Calibri" w:hAnsi="Arial" w:cs="Arial"/>
          <w:color w:val="0B0C0C"/>
          <w:szCs w:val="24"/>
        </w:rPr>
        <w:t>Concerns have been raised that subjects throughout the curriculum for England do not adequately reflect the history, experiences and culture of ethnic minorities.</w:t>
      </w:r>
      <w:r w:rsidRPr="006E33D0">
        <w:rPr>
          <w:rFonts w:ascii="Arial" w:eastAsia="Calibri" w:hAnsi="Arial" w:cs="Arial"/>
          <w:color w:val="0B0C0C"/>
          <w:szCs w:val="24"/>
          <w:vertAlign w:val="superscript"/>
        </w:rPr>
        <w:footnoteReference w:id="385"/>
      </w:r>
      <w:r w:rsidRPr="006E33D0">
        <w:rPr>
          <w:rFonts w:ascii="Arial" w:eastAsia="Calibri" w:hAnsi="Arial" w:cs="Arial"/>
          <w:color w:val="0B0C0C"/>
          <w:szCs w:val="24"/>
        </w:rPr>
        <w:t xml:space="preserve"> The </w:t>
      </w:r>
      <w:r>
        <w:rPr>
          <w:rFonts w:ascii="Arial" w:eastAsia="Calibri" w:hAnsi="Arial" w:cs="Arial"/>
          <w:color w:val="0B0C0C"/>
          <w:szCs w:val="24"/>
        </w:rPr>
        <w:t>c</w:t>
      </w:r>
      <w:r w:rsidRPr="006E33D0">
        <w:rPr>
          <w:rFonts w:ascii="Arial" w:eastAsia="Calibri" w:hAnsi="Arial" w:cs="Arial"/>
          <w:color w:val="0B0C0C"/>
          <w:szCs w:val="24"/>
        </w:rPr>
        <w:t>itizenship curriculum includes teaching on ‘the diverse national, regional, religious and ethnic identities in the United Kingdom and the need for mutual respect and understanding’.</w:t>
      </w:r>
      <w:r w:rsidRPr="006E33D0">
        <w:rPr>
          <w:rFonts w:ascii="Arial" w:eastAsia="Calibri" w:hAnsi="Arial" w:cs="Arial"/>
          <w:color w:val="0B0C0C"/>
          <w:szCs w:val="24"/>
          <w:vertAlign w:val="superscript"/>
        </w:rPr>
        <w:footnoteReference w:id="386"/>
      </w:r>
      <w:r w:rsidRPr="006E33D0">
        <w:rPr>
          <w:rFonts w:ascii="Arial" w:eastAsia="Calibri" w:hAnsi="Arial" w:cs="Arial"/>
          <w:color w:val="0B0C0C"/>
          <w:szCs w:val="24"/>
        </w:rPr>
        <w:t xml:space="preserve"> However, the subject is not compulsory in primary school</w:t>
      </w:r>
      <w:r>
        <w:rPr>
          <w:rFonts w:ascii="Arial" w:eastAsia="Calibri" w:hAnsi="Arial" w:cs="Arial"/>
          <w:color w:val="0B0C0C"/>
          <w:szCs w:val="24"/>
        </w:rPr>
        <w:t>s</w:t>
      </w:r>
      <w:r w:rsidRPr="006E33D0">
        <w:rPr>
          <w:rFonts w:ascii="Arial" w:eastAsia="Calibri" w:hAnsi="Arial" w:cs="Arial"/>
          <w:color w:val="0B0C0C"/>
          <w:szCs w:val="24"/>
        </w:rPr>
        <w:t>, and there are concerns about how widely it is taught.</w:t>
      </w:r>
      <w:r w:rsidRPr="006E33D0">
        <w:rPr>
          <w:rFonts w:ascii="Arial" w:eastAsia="Calibri" w:hAnsi="Arial" w:cs="Arial"/>
          <w:color w:val="0B0C0C"/>
          <w:szCs w:val="24"/>
          <w:vertAlign w:val="superscript"/>
        </w:rPr>
        <w:footnoteReference w:id="387"/>
      </w:r>
      <w:r w:rsidRPr="006E33D0">
        <w:rPr>
          <w:rFonts w:ascii="Arial" w:eastAsia="Calibri" w:hAnsi="Arial" w:cs="Arial"/>
          <w:color w:val="0B0C0C"/>
          <w:szCs w:val="24"/>
        </w:rPr>
        <w:t xml:space="preserve"> </w:t>
      </w:r>
    </w:p>
    <w:p w14:paraId="0AF0B1A9" w14:textId="70C0E1FB" w:rsidR="00FB521C" w:rsidRPr="006E33D0" w:rsidRDefault="00FB521C" w:rsidP="00FB521C">
      <w:pPr>
        <w:shd w:val="clear" w:color="auto" w:fill="FFFFFF"/>
        <w:spacing w:before="120" w:line="240" w:lineRule="auto"/>
        <w:rPr>
          <w:rFonts w:ascii="Arial" w:eastAsia="Calibri" w:hAnsi="Arial" w:cs="Arial"/>
          <w:color w:val="0B0C0C"/>
          <w:szCs w:val="24"/>
        </w:rPr>
      </w:pPr>
      <w:r w:rsidRPr="006E33D0">
        <w:rPr>
          <w:rFonts w:ascii="Arial" w:eastAsia="Calibri" w:hAnsi="Arial" w:cs="Arial"/>
          <w:color w:val="0B0C0C"/>
          <w:szCs w:val="24"/>
        </w:rPr>
        <w:t xml:space="preserve">Similarly, though the </w:t>
      </w:r>
      <w:r>
        <w:rPr>
          <w:rFonts w:ascii="Arial" w:eastAsia="Calibri" w:hAnsi="Arial" w:cs="Arial"/>
          <w:color w:val="0B0C0C"/>
          <w:szCs w:val="24"/>
        </w:rPr>
        <w:t>h</w:t>
      </w:r>
      <w:r w:rsidRPr="006E33D0">
        <w:rPr>
          <w:rFonts w:ascii="Arial" w:eastAsia="Calibri" w:hAnsi="Arial" w:cs="Arial"/>
          <w:color w:val="0B0C0C"/>
          <w:szCs w:val="24"/>
        </w:rPr>
        <w:t>istory curriculum in England includes a</w:t>
      </w:r>
      <w:r w:rsidR="00FC1E80">
        <w:rPr>
          <w:rFonts w:ascii="Arial" w:eastAsia="Calibri" w:hAnsi="Arial" w:cs="Arial"/>
          <w:color w:val="0B0C0C"/>
          <w:szCs w:val="24"/>
        </w:rPr>
        <w:t xml:space="preserve"> </w:t>
      </w:r>
      <w:r w:rsidRPr="006E33D0">
        <w:rPr>
          <w:rFonts w:ascii="Arial" w:eastAsia="Calibri" w:hAnsi="Arial" w:cs="Arial"/>
          <w:szCs w:val="24"/>
        </w:rPr>
        <w:t xml:space="preserve">mandatory theme at key stage 3 </w:t>
      </w:r>
      <w:r w:rsidR="00FC1E80">
        <w:rPr>
          <w:rFonts w:ascii="Arial" w:eastAsia="Calibri" w:hAnsi="Arial" w:cs="Arial"/>
          <w:szCs w:val="24"/>
        </w:rPr>
        <w:t>(children aged 11</w:t>
      </w:r>
      <w:r w:rsidR="00FC1E80">
        <w:rPr>
          <w:rFonts w:cstheme="minorHAnsi"/>
          <w:szCs w:val="24"/>
        </w:rPr>
        <w:t>–</w:t>
      </w:r>
      <w:r>
        <w:rPr>
          <w:rFonts w:ascii="Arial" w:eastAsia="Calibri" w:hAnsi="Arial" w:cs="Arial"/>
          <w:szCs w:val="24"/>
        </w:rPr>
        <w:t xml:space="preserve">14) </w:t>
      </w:r>
      <w:r w:rsidRPr="006E33D0">
        <w:rPr>
          <w:rFonts w:ascii="Arial" w:eastAsia="Calibri" w:hAnsi="Arial" w:cs="Arial"/>
          <w:szCs w:val="24"/>
        </w:rPr>
        <w:t>titled ‘</w:t>
      </w:r>
      <w:r w:rsidRPr="006E33D0">
        <w:rPr>
          <w:rFonts w:ascii="Arial" w:eastAsia="Calibri" w:hAnsi="Arial" w:cs="Times New Roman"/>
          <w:szCs w:val="24"/>
        </w:rPr>
        <w:t>ideas, political power, industry and empi</w:t>
      </w:r>
      <w:r w:rsidR="00FC1E80">
        <w:rPr>
          <w:rFonts w:ascii="Arial" w:eastAsia="Calibri" w:hAnsi="Arial" w:cs="Times New Roman"/>
          <w:szCs w:val="24"/>
        </w:rPr>
        <w:t>re: Britain, 1745</w:t>
      </w:r>
      <w:r w:rsidR="00FC1E80">
        <w:rPr>
          <w:rFonts w:cstheme="minorHAnsi"/>
          <w:szCs w:val="24"/>
        </w:rPr>
        <w:t>–</w:t>
      </w:r>
      <w:r w:rsidRPr="006E33D0">
        <w:rPr>
          <w:rFonts w:ascii="Arial" w:eastAsia="Calibri" w:hAnsi="Arial" w:cs="Times New Roman"/>
          <w:szCs w:val="24"/>
        </w:rPr>
        <w:t>1901’, teachers have discretion over what topics are taught</w:t>
      </w:r>
      <w:r w:rsidR="00FC1E80">
        <w:rPr>
          <w:rFonts w:ascii="Arial" w:eastAsia="Calibri" w:hAnsi="Arial" w:cs="Times New Roman"/>
          <w:szCs w:val="24"/>
        </w:rPr>
        <w:t>,</w:t>
      </w:r>
      <w:r w:rsidRPr="006E33D0">
        <w:rPr>
          <w:rFonts w:ascii="Arial" w:eastAsia="Calibri" w:hAnsi="Arial" w:cs="Times New Roman"/>
          <w:szCs w:val="24"/>
        </w:rPr>
        <w:t xml:space="preserve"> lead</w:t>
      </w:r>
      <w:r>
        <w:rPr>
          <w:rFonts w:ascii="Arial" w:eastAsia="Calibri" w:hAnsi="Arial" w:cs="Times New Roman"/>
          <w:szCs w:val="24"/>
        </w:rPr>
        <w:t>ing</w:t>
      </w:r>
      <w:r w:rsidRPr="006E33D0">
        <w:rPr>
          <w:rFonts w:ascii="Arial" w:eastAsia="Calibri" w:hAnsi="Arial" w:cs="Times New Roman"/>
          <w:szCs w:val="24"/>
        </w:rPr>
        <w:t xml:space="preserve"> to variation between schools</w:t>
      </w:r>
      <w:r w:rsidRPr="006E33D0">
        <w:rPr>
          <w:rFonts w:ascii="Arial" w:eastAsia="Calibri" w:hAnsi="Arial" w:cs="Arial"/>
          <w:szCs w:val="24"/>
        </w:rPr>
        <w:t>.</w:t>
      </w:r>
      <w:r w:rsidRPr="006E33D0">
        <w:rPr>
          <w:rFonts w:ascii="Arial" w:eastAsia="Calibri" w:hAnsi="Arial" w:cs="Arial"/>
          <w:color w:val="0B0C0C"/>
          <w:szCs w:val="24"/>
          <w:vertAlign w:val="superscript"/>
        </w:rPr>
        <w:footnoteReference w:id="388"/>
      </w:r>
      <w:r w:rsidRPr="006E33D0">
        <w:rPr>
          <w:rFonts w:ascii="Arial" w:eastAsia="Calibri" w:hAnsi="Arial" w:cs="Arial"/>
          <w:color w:val="0B0C0C"/>
          <w:szCs w:val="24"/>
        </w:rPr>
        <w:t xml:space="preserve"> In response to the report of the Commission on Race and Ethnic Disparities, which recommended changes to the curriculum, </w:t>
      </w:r>
      <w:r>
        <w:rPr>
          <w:rFonts w:ascii="Arial" w:eastAsia="Calibri" w:hAnsi="Arial" w:cs="Arial"/>
          <w:color w:val="0B0C0C"/>
          <w:szCs w:val="24"/>
        </w:rPr>
        <w:t xml:space="preserve">the </w:t>
      </w:r>
      <w:r w:rsidRPr="006E33D0">
        <w:rPr>
          <w:rFonts w:ascii="Arial" w:eastAsia="Calibri" w:hAnsi="Arial" w:cs="Arial"/>
          <w:color w:val="0B0C0C"/>
          <w:szCs w:val="24"/>
        </w:rPr>
        <w:t>DfE ha</w:t>
      </w:r>
      <w:r w:rsidR="00047905">
        <w:rPr>
          <w:rFonts w:ascii="Arial" w:eastAsia="Calibri" w:hAnsi="Arial" w:cs="Arial"/>
          <w:color w:val="0B0C0C"/>
          <w:szCs w:val="24"/>
        </w:rPr>
        <w:t>s</w:t>
      </w:r>
      <w:r w:rsidRPr="006E33D0">
        <w:rPr>
          <w:rFonts w:ascii="Arial" w:eastAsia="Calibri" w:hAnsi="Arial" w:cs="Arial"/>
          <w:color w:val="0B0C0C"/>
          <w:szCs w:val="24"/>
        </w:rPr>
        <w:t xml:space="preserve"> stated that </w:t>
      </w:r>
      <w:r w:rsidR="00047905">
        <w:rPr>
          <w:rFonts w:ascii="Arial" w:eastAsia="Calibri" w:hAnsi="Arial" w:cs="Arial"/>
          <w:color w:val="0B0C0C"/>
          <w:szCs w:val="24"/>
        </w:rPr>
        <w:t>it</w:t>
      </w:r>
      <w:r w:rsidRPr="006E33D0">
        <w:rPr>
          <w:rFonts w:ascii="Arial" w:eastAsia="Calibri" w:hAnsi="Arial" w:cs="Arial"/>
          <w:color w:val="0B0C0C"/>
          <w:szCs w:val="24"/>
        </w:rPr>
        <w:t xml:space="preserve"> will work with experts </w:t>
      </w:r>
      <w:r w:rsidRPr="006E33D0">
        <w:rPr>
          <w:rFonts w:ascii="Arial" w:eastAsia="Calibri" w:hAnsi="Arial" w:cs="Arial"/>
          <w:szCs w:val="24"/>
        </w:rPr>
        <w:t xml:space="preserve">to develop a </w:t>
      </w:r>
      <w:r>
        <w:rPr>
          <w:rFonts w:ascii="Arial" w:eastAsia="Calibri" w:hAnsi="Arial" w:cs="Arial"/>
          <w:szCs w:val="24"/>
        </w:rPr>
        <w:t>‘m</w:t>
      </w:r>
      <w:r w:rsidRPr="006E33D0">
        <w:rPr>
          <w:rFonts w:ascii="Arial" w:eastAsia="Calibri" w:hAnsi="Arial" w:cs="Arial"/>
          <w:szCs w:val="24"/>
        </w:rPr>
        <w:t>odel</w:t>
      </w:r>
      <w:r>
        <w:rPr>
          <w:rFonts w:ascii="Arial" w:eastAsia="Calibri" w:hAnsi="Arial" w:cs="Arial"/>
          <w:szCs w:val="24"/>
        </w:rPr>
        <w:t>’</w:t>
      </w:r>
      <w:r w:rsidRPr="006E33D0">
        <w:rPr>
          <w:rFonts w:ascii="Arial" w:eastAsia="Calibri" w:hAnsi="Arial" w:cs="Arial"/>
          <w:szCs w:val="24"/>
        </w:rPr>
        <w:t xml:space="preserve"> </w:t>
      </w:r>
      <w:r w:rsidR="00605915">
        <w:rPr>
          <w:rFonts w:ascii="Arial" w:eastAsia="Calibri" w:hAnsi="Arial" w:cs="Arial"/>
          <w:szCs w:val="24"/>
        </w:rPr>
        <w:t>h</w:t>
      </w:r>
      <w:r w:rsidRPr="006E33D0">
        <w:rPr>
          <w:rFonts w:ascii="Arial" w:eastAsia="Calibri" w:hAnsi="Arial" w:cs="Arial"/>
          <w:szCs w:val="24"/>
        </w:rPr>
        <w:t>istory curriculum by 2024</w:t>
      </w:r>
      <w:r w:rsidRPr="006E33D0">
        <w:rPr>
          <w:rFonts w:ascii="Arial" w:eastAsia="Calibri" w:hAnsi="Arial" w:cs="Arial"/>
          <w:color w:val="0B0C0C"/>
          <w:szCs w:val="24"/>
        </w:rPr>
        <w:t>.</w:t>
      </w:r>
      <w:r w:rsidRPr="006E33D0">
        <w:rPr>
          <w:rFonts w:ascii="Arial" w:eastAsia="Calibri" w:hAnsi="Arial" w:cs="Arial"/>
          <w:color w:val="0B0C0C"/>
          <w:szCs w:val="24"/>
          <w:vertAlign w:val="superscript"/>
        </w:rPr>
        <w:footnoteReference w:id="389"/>
      </w:r>
    </w:p>
    <w:p w14:paraId="4EDC64E1" w14:textId="5E22BC63" w:rsidR="00FB521C" w:rsidRPr="006E33D0" w:rsidRDefault="00FB521C" w:rsidP="00FB521C">
      <w:pPr>
        <w:spacing w:before="120" w:line="240" w:lineRule="auto"/>
        <w:rPr>
          <w:rFonts w:ascii="Arial" w:eastAsia="Calibri" w:hAnsi="Arial" w:cs="Arial"/>
          <w:color w:val="0B0C0C"/>
          <w:szCs w:val="24"/>
        </w:rPr>
      </w:pPr>
      <w:r w:rsidRPr="006E33D0">
        <w:rPr>
          <w:rFonts w:ascii="Arial" w:eastAsia="Calibri" w:hAnsi="Arial" w:cs="Arial"/>
          <w:color w:val="0B0C0C"/>
          <w:szCs w:val="24"/>
        </w:rPr>
        <w:t xml:space="preserve">The Welsh Government has accepted </w:t>
      </w:r>
      <w:r w:rsidR="00047905">
        <w:rPr>
          <w:rFonts w:ascii="Arial" w:eastAsia="Calibri" w:hAnsi="Arial" w:cs="Arial"/>
          <w:color w:val="0B0C0C"/>
          <w:szCs w:val="24"/>
        </w:rPr>
        <w:t>all</w:t>
      </w:r>
      <w:r w:rsidRPr="006E33D0">
        <w:rPr>
          <w:rFonts w:ascii="Arial" w:eastAsia="Calibri" w:hAnsi="Arial" w:cs="Arial"/>
          <w:color w:val="0B0C0C"/>
          <w:szCs w:val="24"/>
        </w:rPr>
        <w:t xml:space="preserve"> the recommendations from a working group formed to improve teaching in Wales about the contributions of Black, Asian and Minority Ethnic communities.</w:t>
      </w:r>
      <w:r w:rsidRPr="006E33D0">
        <w:rPr>
          <w:rFonts w:ascii="Arial" w:eastAsia="Calibri" w:hAnsi="Arial" w:cs="Arial"/>
          <w:color w:val="0B0C0C"/>
          <w:szCs w:val="24"/>
          <w:vertAlign w:val="superscript"/>
        </w:rPr>
        <w:footnoteReference w:id="390"/>
      </w:r>
      <w:r w:rsidRPr="006E33D0">
        <w:rPr>
          <w:rFonts w:ascii="Arial" w:eastAsia="Calibri" w:hAnsi="Arial" w:cs="Arial"/>
          <w:color w:val="0B0C0C"/>
          <w:szCs w:val="24"/>
        </w:rPr>
        <w:t xml:space="preserve"> This includes updating the Welsh Government’s curriculum guidance to include learning about diversity of communities across all aspects of the curriculum, including the history of Black, Asian and Minority Ethnic people. In June 2022, the Welsh Government published an annual report </w:t>
      </w:r>
      <w:r w:rsidR="00047905">
        <w:rPr>
          <w:rFonts w:ascii="Arial" w:eastAsia="Calibri" w:hAnsi="Arial" w:cs="Arial"/>
          <w:color w:val="0B0C0C"/>
          <w:szCs w:val="24"/>
        </w:rPr>
        <w:t>in which it described</w:t>
      </w:r>
      <w:r w:rsidRPr="006E33D0">
        <w:rPr>
          <w:rFonts w:ascii="Arial" w:eastAsia="Calibri" w:hAnsi="Arial" w:cs="Arial"/>
          <w:color w:val="0B0C0C"/>
          <w:szCs w:val="24"/>
        </w:rPr>
        <w:t xml:space="preserve"> progress made in implementing the working group’s recommendations.</w:t>
      </w:r>
      <w:r w:rsidRPr="006E33D0">
        <w:rPr>
          <w:rStyle w:val="FootnoteReference"/>
          <w:rFonts w:ascii="Arial" w:eastAsia="Calibri" w:hAnsi="Arial" w:cs="Arial"/>
          <w:color w:val="0B0C0C"/>
          <w:szCs w:val="24"/>
        </w:rPr>
        <w:footnoteReference w:id="391"/>
      </w:r>
    </w:p>
    <w:p w14:paraId="49F3284F" w14:textId="7999DC07" w:rsidR="00FB521C" w:rsidRPr="00B91A3D" w:rsidRDefault="00FB521C" w:rsidP="00FB521C">
      <w:pPr>
        <w:pStyle w:val="Heading3"/>
      </w:pPr>
      <w:r>
        <w:t>Bullying and harassment</w:t>
      </w:r>
    </w:p>
    <w:p w14:paraId="731743FB" w14:textId="77777777" w:rsidR="00FC1E80" w:rsidRDefault="00FB521C" w:rsidP="00FB521C">
      <w:pPr>
        <w:spacing w:before="120" w:line="240" w:lineRule="auto"/>
        <w:rPr>
          <w:rFonts w:ascii="Arial" w:eastAsia="Calibri" w:hAnsi="Arial" w:cs="Arial"/>
          <w:szCs w:val="24"/>
        </w:rPr>
      </w:pPr>
      <w:r w:rsidRPr="006E33D0">
        <w:rPr>
          <w:rFonts w:ascii="Arial" w:eastAsia="Calibri" w:hAnsi="Arial" w:cs="Arial"/>
          <w:szCs w:val="24"/>
        </w:rPr>
        <w:t xml:space="preserve">Among other rights, bullying can violate a child’s right to non-discrimination and privacy under the CRC. </w:t>
      </w:r>
      <w:r w:rsidRPr="006E33D0">
        <w:rPr>
          <w:rFonts w:ascii="Arial" w:eastAsia="Calibri" w:hAnsi="Arial" w:cs="Arial"/>
          <w:color w:val="0B0C0C"/>
          <w:szCs w:val="24"/>
        </w:rPr>
        <w:t>Evidence suggests that, for some ch</w:t>
      </w:r>
      <w:r w:rsidR="00FC1E80">
        <w:rPr>
          <w:rFonts w:ascii="Arial" w:eastAsia="Calibri" w:hAnsi="Arial" w:cs="Arial"/>
          <w:color w:val="0B0C0C"/>
          <w:szCs w:val="24"/>
        </w:rPr>
        <w:t xml:space="preserve">ildren, bullying and harassment </w:t>
      </w:r>
      <w:r w:rsidRPr="006E33D0">
        <w:rPr>
          <w:rFonts w:ascii="Arial" w:eastAsia="Calibri" w:hAnsi="Arial" w:cs="Arial"/>
          <w:color w:val="0B0C0C"/>
          <w:szCs w:val="24"/>
        </w:rPr>
        <w:t xml:space="preserve">is linked to certain protected </w:t>
      </w:r>
      <w:r w:rsidRPr="006E33D0">
        <w:rPr>
          <w:rFonts w:ascii="Arial" w:eastAsia="Calibri" w:hAnsi="Arial" w:cs="Arial"/>
          <w:szCs w:val="24"/>
        </w:rPr>
        <w:t>characteristics and household income.</w:t>
      </w:r>
      <w:r w:rsidRPr="006E33D0">
        <w:rPr>
          <w:rFonts w:ascii="Arial" w:eastAsia="Calibri" w:hAnsi="Arial" w:cs="Arial"/>
          <w:szCs w:val="24"/>
          <w:vertAlign w:val="superscript"/>
        </w:rPr>
        <w:footnoteReference w:id="392"/>
      </w:r>
      <w:r w:rsidRPr="006E33D0">
        <w:rPr>
          <w:rFonts w:ascii="Arial" w:eastAsia="Calibri" w:hAnsi="Arial" w:cs="Arial"/>
          <w:szCs w:val="24"/>
        </w:rPr>
        <w:t xml:space="preserve"> </w:t>
      </w:r>
    </w:p>
    <w:p w14:paraId="301A5D71" w14:textId="2AE6CF48" w:rsidR="00FB521C" w:rsidRPr="006E33D0" w:rsidRDefault="009F66BE" w:rsidP="00FB521C">
      <w:pPr>
        <w:spacing w:before="120" w:line="240" w:lineRule="auto"/>
        <w:rPr>
          <w:rFonts w:ascii="Arial" w:eastAsia="Calibri" w:hAnsi="Arial" w:cs="Arial"/>
          <w:szCs w:val="24"/>
        </w:rPr>
      </w:pPr>
      <w:r>
        <w:rPr>
          <w:rFonts w:ascii="Arial" w:eastAsia="Calibri" w:hAnsi="Arial" w:cs="Arial"/>
          <w:szCs w:val="24"/>
        </w:rPr>
        <w:t>Among ethnic minority groups, t</w:t>
      </w:r>
      <w:r w:rsidR="00FB521C" w:rsidRPr="006E33D0">
        <w:rPr>
          <w:rFonts w:ascii="Arial" w:eastAsia="Calibri" w:hAnsi="Arial" w:cs="Arial"/>
          <w:szCs w:val="24"/>
        </w:rPr>
        <w:t>here is some evidence to suggest that Gypsy, Roma and Traveller children and mixed-race children may be more likely to be bullied.</w:t>
      </w:r>
      <w:r w:rsidR="00FB521C" w:rsidRPr="006E33D0">
        <w:rPr>
          <w:rFonts w:ascii="Arial" w:eastAsia="Calibri" w:hAnsi="Arial" w:cs="Arial"/>
          <w:szCs w:val="24"/>
          <w:vertAlign w:val="superscript"/>
        </w:rPr>
        <w:footnoteReference w:id="393"/>
      </w:r>
      <w:r w:rsidR="00FB521C" w:rsidRPr="006E33D0">
        <w:rPr>
          <w:rFonts w:ascii="Arial" w:eastAsia="Calibri" w:hAnsi="Arial" w:cs="Arial"/>
          <w:szCs w:val="24"/>
        </w:rPr>
        <w:t xml:space="preserve"> LGBT students, girls, Mu</w:t>
      </w:r>
      <w:r w:rsidR="00D33944">
        <w:rPr>
          <w:rFonts w:ascii="Arial" w:eastAsia="Calibri" w:hAnsi="Arial" w:cs="Arial"/>
          <w:szCs w:val="24"/>
        </w:rPr>
        <w:t xml:space="preserve">slim pupils and those with SEND or </w:t>
      </w:r>
      <w:r w:rsidR="00FB521C" w:rsidRPr="006E33D0">
        <w:rPr>
          <w:rFonts w:ascii="Arial" w:eastAsia="Calibri" w:hAnsi="Arial" w:cs="Arial"/>
          <w:szCs w:val="24"/>
        </w:rPr>
        <w:t>ALN have also reported significantly higher incidences of bullying.</w:t>
      </w:r>
      <w:r w:rsidR="00FB521C" w:rsidRPr="006E33D0">
        <w:rPr>
          <w:rFonts w:ascii="Arial" w:eastAsia="Calibri" w:hAnsi="Arial" w:cs="Arial"/>
          <w:szCs w:val="24"/>
          <w:vertAlign w:val="superscript"/>
        </w:rPr>
        <w:footnoteReference w:id="394"/>
      </w:r>
      <w:r w:rsidR="00FB521C" w:rsidRPr="006E33D0">
        <w:rPr>
          <w:rFonts w:ascii="Arial" w:eastAsia="Calibri" w:hAnsi="Arial" w:cs="Arial"/>
          <w:szCs w:val="24"/>
        </w:rPr>
        <w:t xml:space="preserve"> With </w:t>
      </w:r>
      <w:r w:rsidR="00FB521C" w:rsidRPr="006E33D0">
        <w:rPr>
          <w:rFonts w:ascii="Arial" w:eastAsia="Calibri" w:hAnsi="Arial" w:cs="Arial"/>
          <w:color w:val="0B0C0C"/>
          <w:szCs w:val="24"/>
        </w:rPr>
        <w:t>children spending significant time online, bullying is no</w:t>
      </w:r>
      <w:r w:rsidR="00FB521C">
        <w:rPr>
          <w:rFonts w:ascii="Arial" w:eastAsia="Calibri" w:hAnsi="Arial" w:cs="Arial"/>
          <w:color w:val="0B0C0C"/>
          <w:szCs w:val="24"/>
        </w:rPr>
        <w:t>t</w:t>
      </w:r>
      <w:r w:rsidR="00FB521C" w:rsidRPr="006E33D0">
        <w:rPr>
          <w:rFonts w:ascii="Arial" w:eastAsia="Calibri" w:hAnsi="Arial" w:cs="Arial"/>
          <w:color w:val="0B0C0C"/>
          <w:szCs w:val="24"/>
        </w:rPr>
        <w:t xml:space="preserve"> confined to schools. Survey evidence from 2020 s</w:t>
      </w:r>
      <w:r w:rsidR="00813BDA">
        <w:rPr>
          <w:rFonts w:ascii="Arial" w:eastAsia="Calibri" w:hAnsi="Arial" w:cs="Arial"/>
          <w:color w:val="0B0C0C"/>
          <w:szCs w:val="24"/>
        </w:rPr>
        <w:t>uggests that 1 in 3 children</w:t>
      </w:r>
      <w:r w:rsidR="00FB521C" w:rsidRPr="006E33D0">
        <w:rPr>
          <w:rFonts w:ascii="Arial" w:eastAsia="Calibri" w:hAnsi="Arial" w:cs="Arial"/>
          <w:color w:val="0B0C0C"/>
          <w:szCs w:val="24"/>
        </w:rPr>
        <w:t xml:space="preserve"> in the UK </w:t>
      </w:r>
      <w:r w:rsidR="00FB521C" w:rsidRPr="006E33D0">
        <w:rPr>
          <w:rFonts w:ascii="Arial" w:eastAsia="Calibri" w:hAnsi="Arial" w:cs="Arial"/>
          <w:szCs w:val="24"/>
        </w:rPr>
        <w:t xml:space="preserve">experienced online bullying </w:t>
      </w:r>
      <w:r w:rsidR="00047905">
        <w:rPr>
          <w:rFonts w:ascii="Arial" w:eastAsia="Calibri" w:hAnsi="Arial" w:cs="Arial"/>
          <w:szCs w:val="24"/>
        </w:rPr>
        <w:t>in</w:t>
      </w:r>
      <w:r w:rsidR="00047905" w:rsidRPr="006E33D0">
        <w:rPr>
          <w:rFonts w:ascii="Arial" w:eastAsia="Calibri" w:hAnsi="Arial" w:cs="Arial"/>
          <w:szCs w:val="24"/>
        </w:rPr>
        <w:t xml:space="preserve"> </w:t>
      </w:r>
      <w:r w:rsidR="00FB521C" w:rsidRPr="006E33D0">
        <w:rPr>
          <w:rFonts w:ascii="Arial" w:eastAsia="Calibri" w:hAnsi="Arial" w:cs="Arial"/>
          <w:szCs w:val="24"/>
        </w:rPr>
        <w:t>the previous 12 months.</w:t>
      </w:r>
      <w:r w:rsidR="00FB521C" w:rsidRPr="006E33D0">
        <w:rPr>
          <w:rFonts w:ascii="Arial" w:eastAsia="Calibri" w:hAnsi="Arial" w:cs="Arial"/>
          <w:szCs w:val="24"/>
          <w:vertAlign w:val="superscript"/>
        </w:rPr>
        <w:footnoteReference w:id="395"/>
      </w:r>
    </w:p>
    <w:p w14:paraId="7E7F9290" w14:textId="66C06C42" w:rsidR="00FB521C" w:rsidRPr="006E33D0" w:rsidRDefault="00FB521C" w:rsidP="00FB521C">
      <w:pPr>
        <w:spacing w:before="120" w:line="240" w:lineRule="auto"/>
        <w:rPr>
          <w:rFonts w:ascii="Arial" w:eastAsia="Calibri" w:hAnsi="Arial" w:cs="Arial"/>
          <w:szCs w:val="24"/>
        </w:rPr>
      </w:pPr>
      <w:r w:rsidRPr="006E33D0">
        <w:rPr>
          <w:rFonts w:ascii="Arial" w:eastAsia="Calibri" w:hAnsi="Arial" w:cs="Arial"/>
          <w:color w:val="0B0C0C"/>
          <w:szCs w:val="24"/>
        </w:rPr>
        <w:t xml:space="preserve">There </w:t>
      </w:r>
      <w:r>
        <w:rPr>
          <w:rFonts w:ascii="Arial" w:eastAsia="Calibri" w:hAnsi="Arial" w:cs="Arial"/>
          <w:color w:val="0B0C0C"/>
          <w:szCs w:val="24"/>
        </w:rPr>
        <w:t xml:space="preserve">remains </w:t>
      </w:r>
      <w:r w:rsidRPr="006E33D0">
        <w:rPr>
          <w:rFonts w:ascii="Arial" w:eastAsia="Calibri" w:hAnsi="Arial" w:cs="Arial"/>
          <w:color w:val="0B0C0C"/>
          <w:szCs w:val="24"/>
        </w:rPr>
        <w:t>concern about sexual harassment in schools, with over 50,000 testimonies submitted to the Everyone’s Invited website in 2021.</w:t>
      </w:r>
      <w:r w:rsidRPr="006E33D0">
        <w:rPr>
          <w:rFonts w:ascii="Arial" w:eastAsia="Calibri" w:hAnsi="Arial" w:cs="Arial"/>
          <w:color w:val="0B0C0C"/>
          <w:szCs w:val="24"/>
          <w:vertAlign w:val="superscript"/>
        </w:rPr>
        <w:footnoteReference w:id="396"/>
      </w:r>
      <w:r w:rsidRPr="006E33D0">
        <w:rPr>
          <w:rFonts w:ascii="Arial" w:eastAsia="Calibri" w:hAnsi="Arial" w:cs="Arial"/>
          <w:color w:val="0B0C0C"/>
          <w:szCs w:val="24"/>
        </w:rPr>
        <w:t xml:space="preserve"> Evidence from England shows that girls are most affected, with 92% stating that sexist </w:t>
      </w:r>
      <w:r w:rsidRPr="006E33D0">
        <w:rPr>
          <w:rFonts w:ascii="Arial" w:eastAsia="Calibri" w:hAnsi="Arial" w:cs="Arial"/>
          <w:color w:val="0B0C0C"/>
          <w:szCs w:val="24"/>
          <w:shd w:val="clear" w:color="auto" w:fill="FFFFFF"/>
        </w:rPr>
        <w:t xml:space="preserve">name-calling </w:t>
      </w:r>
      <w:r>
        <w:rPr>
          <w:rFonts w:ascii="Arial" w:eastAsia="Calibri" w:hAnsi="Arial" w:cs="Arial"/>
          <w:color w:val="0B0C0C"/>
          <w:szCs w:val="24"/>
          <w:shd w:val="clear" w:color="auto" w:fill="FFFFFF"/>
        </w:rPr>
        <w:t xml:space="preserve">from their peers </w:t>
      </w:r>
      <w:r w:rsidRPr="006E33D0">
        <w:rPr>
          <w:rFonts w:ascii="Arial" w:eastAsia="Calibri" w:hAnsi="Arial" w:cs="Arial"/>
          <w:color w:val="0B0C0C"/>
          <w:szCs w:val="24"/>
          <w:shd w:val="clear" w:color="auto" w:fill="FFFFFF"/>
        </w:rPr>
        <w:t xml:space="preserve">happens </w:t>
      </w:r>
      <w:r w:rsidR="00FC1E80">
        <w:rPr>
          <w:rFonts w:ascii="Arial" w:eastAsia="Calibri" w:hAnsi="Arial" w:cs="Arial"/>
          <w:color w:val="0B0C0C"/>
          <w:szCs w:val="24"/>
          <w:shd w:val="clear" w:color="auto" w:fill="FFFFFF"/>
        </w:rPr>
        <w:t>‘</w:t>
      </w:r>
      <w:r w:rsidRPr="006E33D0">
        <w:rPr>
          <w:rFonts w:ascii="Arial" w:eastAsia="Calibri" w:hAnsi="Arial" w:cs="Arial"/>
          <w:color w:val="0B0C0C"/>
          <w:szCs w:val="24"/>
          <w:shd w:val="clear" w:color="auto" w:fill="FFFFFF"/>
        </w:rPr>
        <w:t>a lot</w:t>
      </w:r>
      <w:r w:rsidR="00FC1E80">
        <w:rPr>
          <w:rFonts w:ascii="Arial" w:eastAsia="Calibri" w:hAnsi="Arial" w:cs="Arial"/>
          <w:color w:val="0B0C0C"/>
          <w:szCs w:val="24"/>
          <w:shd w:val="clear" w:color="auto" w:fill="FFFFFF"/>
        </w:rPr>
        <w:t>’</w:t>
      </w:r>
      <w:r w:rsidRPr="006E33D0">
        <w:rPr>
          <w:rFonts w:ascii="Arial" w:eastAsia="Calibri" w:hAnsi="Arial" w:cs="Arial"/>
          <w:color w:val="0B0C0C"/>
          <w:szCs w:val="24"/>
          <w:shd w:val="clear" w:color="auto" w:fill="FFFFFF"/>
        </w:rPr>
        <w:t xml:space="preserve"> or </w:t>
      </w:r>
      <w:r w:rsidR="00FC1E80">
        <w:rPr>
          <w:rFonts w:ascii="Arial" w:eastAsia="Calibri" w:hAnsi="Arial" w:cs="Arial"/>
          <w:color w:val="0B0C0C"/>
          <w:szCs w:val="24"/>
          <w:shd w:val="clear" w:color="auto" w:fill="FFFFFF"/>
        </w:rPr>
        <w:t>‘</w:t>
      </w:r>
      <w:r w:rsidRPr="006E33D0">
        <w:rPr>
          <w:rFonts w:ascii="Arial" w:eastAsia="Calibri" w:hAnsi="Arial" w:cs="Arial"/>
          <w:color w:val="0B0C0C"/>
          <w:szCs w:val="24"/>
          <w:shd w:val="clear" w:color="auto" w:fill="FFFFFF"/>
        </w:rPr>
        <w:t>sometimes</w:t>
      </w:r>
      <w:r w:rsidR="00FC1E80">
        <w:rPr>
          <w:rFonts w:ascii="Arial" w:eastAsia="Calibri" w:hAnsi="Arial" w:cs="Arial"/>
          <w:color w:val="0B0C0C"/>
          <w:szCs w:val="24"/>
          <w:shd w:val="clear" w:color="auto" w:fill="FFFFFF"/>
        </w:rPr>
        <w:t>’</w:t>
      </w:r>
      <w:r w:rsidRPr="006E33D0">
        <w:rPr>
          <w:rFonts w:ascii="Arial" w:eastAsia="Calibri" w:hAnsi="Arial" w:cs="Arial"/>
          <w:color w:val="0B0C0C"/>
          <w:szCs w:val="24"/>
          <w:shd w:val="clear" w:color="auto" w:fill="FFFFFF"/>
        </w:rPr>
        <w:t>,</w:t>
      </w:r>
      <w:r w:rsidRPr="006E33D0">
        <w:rPr>
          <w:rFonts w:ascii="Arial" w:eastAsia="Calibri" w:hAnsi="Arial" w:cs="Arial"/>
          <w:color w:val="0B0C0C"/>
          <w:szCs w:val="24"/>
        </w:rPr>
        <w:t xml:space="preserve"> and 90% stating </w:t>
      </w:r>
      <w:r w:rsidRPr="006E33D0">
        <w:rPr>
          <w:rFonts w:ascii="Arial" w:eastAsia="Calibri" w:hAnsi="Arial" w:cs="Arial"/>
          <w:color w:val="0B0C0C"/>
          <w:szCs w:val="24"/>
          <w:shd w:val="clear" w:color="auto" w:fill="FFFFFF"/>
        </w:rPr>
        <w:t xml:space="preserve">that being sent unsolicited explicit pictures or videos happens </w:t>
      </w:r>
      <w:r w:rsidR="00387371">
        <w:rPr>
          <w:rFonts w:ascii="Arial" w:eastAsia="Calibri" w:hAnsi="Arial" w:cs="Arial"/>
          <w:color w:val="0B0C0C"/>
          <w:szCs w:val="24"/>
          <w:shd w:val="clear" w:color="auto" w:fill="FFFFFF"/>
        </w:rPr>
        <w:t>‘</w:t>
      </w:r>
      <w:r w:rsidRPr="006E33D0">
        <w:rPr>
          <w:rFonts w:ascii="Arial" w:eastAsia="Calibri" w:hAnsi="Arial" w:cs="Arial"/>
          <w:color w:val="0B0C0C"/>
          <w:szCs w:val="24"/>
          <w:shd w:val="clear" w:color="auto" w:fill="FFFFFF"/>
        </w:rPr>
        <w:t>a lot</w:t>
      </w:r>
      <w:r w:rsidR="00387371">
        <w:rPr>
          <w:rFonts w:ascii="Arial" w:eastAsia="Calibri" w:hAnsi="Arial" w:cs="Arial"/>
          <w:color w:val="0B0C0C"/>
          <w:szCs w:val="24"/>
          <w:shd w:val="clear" w:color="auto" w:fill="FFFFFF"/>
        </w:rPr>
        <w:t>’</w:t>
      </w:r>
      <w:r w:rsidRPr="006E33D0">
        <w:rPr>
          <w:rFonts w:ascii="Arial" w:eastAsia="Calibri" w:hAnsi="Arial" w:cs="Arial"/>
          <w:color w:val="0B0C0C"/>
          <w:szCs w:val="24"/>
          <w:shd w:val="clear" w:color="auto" w:fill="FFFFFF"/>
        </w:rPr>
        <w:t xml:space="preserve"> or </w:t>
      </w:r>
      <w:r w:rsidR="00387371">
        <w:rPr>
          <w:rFonts w:ascii="Arial" w:eastAsia="Calibri" w:hAnsi="Arial" w:cs="Arial"/>
          <w:color w:val="0B0C0C"/>
          <w:szCs w:val="24"/>
          <w:shd w:val="clear" w:color="auto" w:fill="FFFFFF"/>
        </w:rPr>
        <w:t>‘</w:t>
      </w:r>
      <w:r w:rsidRPr="006E33D0">
        <w:rPr>
          <w:rFonts w:ascii="Arial" w:eastAsia="Calibri" w:hAnsi="Arial" w:cs="Arial"/>
          <w:color w:val="0B0C0C"/>
          <w:szCs w:val="24"/>
          <w:shd w:val="clear" w:color="auto" w:fill="FFFFFF"/>
        </w:rPr>
        <w:t>sometimes</w:t>
      </w:r>
      <w:r w:rsidR="00387371">
        <w:rPr>
          <w:rFonts w:ascii="Arial" w:eastAsia="Calibri" w:hAnsi="Arial" w:cs="Arial"/>
          <w:color w:val="0B0C0C"/>
          <w:szCs w:val="24"/>
          <w:shd w:val="clear" w:color="auto" w:fill="FFFFFF"/>
        </w:rPr>
        <w:t>’</w:t>
      </w:r>
      <w:r w:rsidRPr="006E33D0">
        <w:rPr>
          <w:rFonts w:ascii="Arial" w:eastAsia="Calibri" w:hAnsi="Arial" w:cs="Arial"/>
          <w:color w:val="0B0C0C"/>
          <w:szCs w:val="24"/>
          <w:shd w:val="clear" w:color="auto" w:fill="FFFFFF"/>
        </w:rPr>
        <w:t xml:space="preserve"> to them or their peers.</w:t>
      </w:r>
      <w:r w:rsidRPr="006E33D0">
        <w:rPr>
          <w:rFonts w:ascii="Arial" w:eastAsia="Calibri" w:hAnsi="Arial" w:cs="Arial"/>
          <w:color w:val="0B0C0C"/>
          <w:szCs w:val="24"/>
          <w:vertAlign w:val="superscript"/>
        </w:rPr>
        <w:footnoteReference w:id="397"/>
      </w:r>
      <w:r w:rsidRPr="006E33D0">
        <w:rPr>
          <w:rFonts w:ascii="Arial" w:eastAsia="Calibri" w:hAnsi="Arial" w:cs="Arial"/>
          <w:color w:val="0B0C0C"/>
          <w:szCs w:val="24"/>
          <w:shd w:val="clear" w:color="auto" w:fill="FFFFFF"/>
        </w:rPr>
        <w:t xml:space="preserve"> Evidence from Wales shows that 61% of female pupils had personal experience of peer</w:t>
      </w:r>
      <w:r>
        <w:rPr>
          <w:rFonts w:ascii="Arial" w:eastAsia="Calibri" w:hAnsi="Arial" w:cs="Arial"/>
          <w:color w:val="0B0C0C"/>
          <w:szCs w:val="24"/>
          <w:shd w:val="clear" w:color="auto" w:fill="FFFFFF"/>
        </w:rPr>
        <w:t>-</w:t>
      </w:r>
      <w:r w:rsidRPr="006E33D0">
        <w:rPr>
          <w:rFonts w:ascii="Arial" w:eastAsia="Calibri" w:hAnsi="Arial" w:cs="Arial"/>
          <w:color w:val="0B0C0C"/>
          <w:szCs w:val="24"/>
          <w:shd w:val="clear" w:color="auto" w:fill="FFFFFF"/>
        </w:rPr>
        <w:t>on</w:t>
      </w:r>
      <w:r>
        <w:rPr>
          <w:rFonts w:ascii="Arial" w:eastAsia="Calibri" w:hAnsi="Arial" w:cs="Arial"/>
          <w:color w:val="0B0C0C"/>
          <w:szCs w:val="24"/>
          <w:shd w:val="clear" w:color="auto" w:fill="FFFFFF"/>
        </w:rPr>
        <w:t>-</w:t>
      </w:r>
      <w:r w:rsidRPr="006E33D0">
        <w:rPr>
          <w:rFonts w:ascii="Arial" w:eastAsia="Calibri" w:hAnsi="Arial" w:cs="Arial"/>
          <w:color w:val="0B0C0C"/>
          <w:szCs w:val="24"/>
          <w:shd w:val="clear" w:color="auto" w:fill="FFFFFF"/>
        </w:rPr>
        <w:t>peer sexual harassment in school.</w:t>
      </w:r>
      <w:r w:rsidRPr="006E33D0">
        <w:rPr>
          <w:rFonts w:ascii="Arial" w:eastAsia="Calibri" w:hAnsi="Arial" w:cs="Arial"/>
          <w:color w:val="0B0C0C"/>
          <w:szCs w:val="24"/>
          <w:shd w:val="clear" w:color="auto" w:fill="FFFFFF"/>
          <w:vertAlign w:val="superscript"/>
        </w:rPr>
        <w:footnoteReference w:id="398"/>
      </w:r>
      <w:r w:rsidRPr="006E33D0">
        <w:rPr>
          <w:rFonts w:ascii="Arial" w:eastAsia="Calibri" w:hAnsi="Arial" w:cs="Arial"/>
          <w:color w:val="0B0C0C"/>
          <w:szCs w:val="24"/>
          <w:shd w:val="clear" w:color="auto" w:fill="FFFFFF"/>
        </w:rPr>
        <w:t xml:space="preserve"> In 2022, the Welsh Government accepted most of the recommendations made by the Children, Young People and Education Committee’s inquiry into sexual harassment in schools.</w:t>
      </w:r>
      <w:r w:rsidRPr="006E33D0">
        <w:rPr>
          <w:rFonts w:ascii="Arial" w:eastAsia="Calibri" w:hAnsi="Arial" w:cs="Arial"/>
          <w:color w:val="0B0C0C"/>
          <w:szCs w:val="24"/>
          <w:shd w:val="clear" w:color="auto" w:fill="FFFFFF"/>
          <w:vertAlign w:val="superscript"/>
        </w:rPr>
        <w:footnoteReference w:id="399"/>
      </w:r>
    </w:p>
    <w:p w14:paraId="283FFF5C" w14:textId="77777777" w:rsidR="00387371" w:rsidRDefault="00FB521C" w:rsidP="00FB521C">
      <w:pPr>
        <w:spacing w:before="120" w:line="240" w:lineRule="auto"/>
        <w:rPr>
          <w:rFonts w:ascii="Arial" w:eastAsia="Calibri" w:hAnsi="Arial" w:cs="Arial"/>
          <w:szCs w:val="24"/>
        </w:rPr>
      </w:pPr>
      <w:r w:rsidRPr="00FB521C">
        <w:rPr>
          <w:rStyle w:val="Howtousethistemplate"/>
          <w:rFonts w:ascii="Arial" w:eastAsia="Calibri" w:hAnsi="Arial" w:cs="Arial"/>
          <w:color w:val="auto"/>
          <w:szCs w:val="24"/>
        </w:rPr>
        <w:t xml:space="preserve">The UK Government’s RSHE curriculum </w:t>
      </w:r>
      <w:r w:rsidRPr="00FB521C">
        <w:rPr>
          <w:rFonts w:ascii="Arial" w:eastAsia="Calibri" w:hAnsi="Arial" w:cs="Arial"/>
          <w:szCs w:val="24"/>
        </w:rPr>
        <w:t xml:space="preserve">requires </w:t>
      </w:r>
      <w:r w:rsidRPr="006E33D0">
        <w:rPr>
          <w:rFonts w:ascii="Arial" w:eastAsia="Calibri" w:hAnsi="Arial" w:cs="Arial"/>
          <w:color w:val="0B0C0C"/>
          <w:szCs w:val="24"/>
        </w:rPr>
        <w:t xml:space="preserve">schools in England to teach about bullying and sexual harassment, including consent. However, the guidance does not take a human rights-based approach to the teaching of this subject. In research </w:t>
      </w:r>
      <w:r w:rsidR="00047905">
        <w:rPr>
          <w:rFonts w:ascii="Arial" w:eastAsia="Calibri" w:hAnsi="Arial" w:cs="Arial"/>
          <w:color w:val="0B0C0C"/>
          <w:szCs w:val="24"/>
        </w:rPr>
        <w:t xml:space="preserve">that we </w:t>
      </w:r>
      <w:r w:rsidRPr="006E33D0">
        <w:rPr>
          <w:rFonts w:ascii="Arial" w:eastAsia="Calibri" w:hAnsi="Arial" w:cs="Arial"/>
          <w:color w:val="0B0C0C"/>
          <w:szCs w:val="24"/>
        </w:rPr>
        <w:t xml:space="preserve">conducted, some schools </w:t>
      </w:r>
      <w:r w:rsidRPr="006E33D0">
        <w:rPr>
          <w:rFonts w:ascii="Arial" w:eastAsia="Calibri" w:hAnsi="Arial" w:cs="Arial"/>
          <w:szCs w:val="24"/>
        </w:rPr>
        <w:t xml:space="preserve">reported a reduction in bullying following the adoption of </w:t>
      </w:r>
      <w:r>
        <w:rPr>
          <w:rFonts w:ascii="Arial" w:eastAsia="Calibri" w:hAnsi="Arial" w:cs="Arial"/>
          <w:szCs w:val="24"/>
        </w:rPr>
        <w:t>a human rights-based</w:t>
      </w:r>
      <w:r w:rsidRPr="006E33D0">
        <w:rPr>
          <w:rFonts w:ascii="Arial" w:eastAsia="Calibri" w:hAnsi="Arial" w:cs="Arial"/>
          <w:szCs w:val="24"/>
        </w:rPr>
        <w:t xml:space="preserve"> approach.</w:t>
      </w:r>
      <w:r w:rsidRPr="006E33D0">
        <w:rPr>
          <w:rFonts w:ascii="Arial" w:eastAsia="Calibri" w:hAnsi="Arial" w:cs="Arial"/>
          <w:szCs w:val="24"/>
          <w:vertAlign w:val="superscript"/>
        </w:rPr>
        <w:footnoteReference w:id="400"/>
      </w:r>
      <w:r w:rsidRPr="006E33D0">
        <w:rPr>
          <w:rFonts w:ascii="Arial" w:eastAsia="Calibri" w:hAnsi="Arial" w:cs="Arial"/>
          <w:szCs w:val="24"/>
        </w:rPr>
        <w:t xml:space="preserve"> </w:t>
      </w:r>
    </w:p>
    <w:p w14:paraId="7F268855" w14:textId="65206E9A" w:rsidR="00FB521C" w:rsidRPr="006E33D0" w:rsidRDefault="00FB521C" w:rsidP="00FB521C">
      <w:pPr>
        <w:spacing w:before="120" w:line="240" w:lineRule="auto"/>
        <w:rPr>
          <w:rFonts w:ascii="Arial" w:eastAsia="Calibri" w:hAnsi="Arial" w:cs="Arial"/>
          <w:color w:val="0B0C0C"/>
          <w:szCs w:val="24"/>
        </w:rPr>
      </w:pPr>
      <w:r w:rsidRPr="006E33D0">
        <w:rPr>
          <w:rFonts w:ascii="Arial" w:eastAsia="Calibri" w:hAnsi="Arial" w:cs="Arial"/>
          <w:szCs w:val="24"/>
        </w:rPr>
        <w:t xml:space="preserve">In both England and Wales, </w:t>
      </w:r>
      <w:r w:rsidRPr="006E33D0">
        <w:rPr>
          <w:rFonts w:ascii="Arial" w:eastAsia="Calibri" w:hAnsi="Arial" w:cs="Arial"/>
          <w:color w:val="0B0C0C"/>
          <w:szCs w:val="24"/>
        </w:rPr>
        <w:t>tackling identity-based bullying and harassment is not a mandatory part of teacher training, though the Welsh Government has committed to ensuring resources are allocated to train staff on dealing with sexual harassment.</w:t>
      </w:r>
      <w:r w:rsidRPr="006E33D0">
        <w:rPr>
          <w:rFonts w:ascii="Arial" w:eastAsia="Calibri" w:hAnsi="Arial" w:cs="Arial"/>
          <w:color w:val="0B0C0C"/>
          <w:szCs w:val="24"/>
          <w:vertAlign w:val="superscript"/>
        </w:rPr>
        <w:footnoteReference w:id="401"/>
      </w:r>
    </w:p>
    <w:p w14:paraId="044925FC" w14:textId="2AEBC878" w:rsidR="00FB521C" w:rsidRPr="006E33D0" w:rsidRDefault="00FB521C" w:rsidP="00FB521C">
      <w:pPr>
        <w:spacing w:before="120" w:line="240" w:lineRule="auto"/>
        <w:rPr>
          <w:rFonts w:ascii="Arial" w:eastAsia="Calibri" w:hAnsi="Arial" w:cs="Arial"/>
          <w:color w:val="0B0C0C"/>
          <w:szCs w:val="24"/>
        </w:rPr>
      </w:pPr>
      <w:r w:rsidRPr="006E33D0">
        <w:rPr>
          <w:rFonts w:ascii="Arial" w:eastAsia="Calibri" w:hAnsi="Arial" w:cs="Arial"/>
          <w:color w:val="0B0C0C"/>
          <w:szCs w:val="24"/>
        </w:rPr>
        <w:t>Ofsted conducted a review of sexual abuse in schools and colleges in England in 2021. It found that s</w:t>
      </w:r>
      <w:r w:rsidRPr="006E33D0">
        <w:rPr>
          <w:rFonts w:ascii="Arial" w:eastAsia="Calibri" w:hAnsi="Arial" w:cs="Arial"/>
          <w:color w:val="0B0C0C"/>
          <w:szCs w:val="24"/>
          <w:shd w:val="clear" w:color="auto" w:fill="FFFFFF"/>
        </w:rPr>
        <w:t>exual harassment and online sexual abuse are much more prevalent than adults realise, and that some harmful sexual behaviours have been normalised</w:t>
      </w:r>
      <w:r w:rsidRPr="006E33D0">
        <w:rPr>
          <w:rFonts w:ascii="Arial" w:eastAsia="Calibri" w:hAnsi="Arial" w:cs="Arial"/>
          <w:color w:val="0B0C0C"/>
          <w:szCs w:val="24"/>
        </w:rPr>
        <w:t>.</w:t>
      </w:r>
      <w:r w:rsidRPr="006E33D0">
        <w:rPr>
          <w:rFonts w:ascii="Arial" w:eastAsia="Calibri" w:hAnsi="Arial" w:cs="Arial"/>
          <w:color w:val="0B0C0C"/>
          <w:szCs w:val="24"/>
          <w:vertAlign w:val="superscript"/>
        </w:rPr>
        <w:footnoteReference w:id="402"/>
      </w:r>
      <w:r w:rsidRPr="006E33D0">
        <w:rPr>
          <w:rFonts w:ascii="Arial" w:eastAsia="Calibri" w:hAnsi="Arial" w:cs="Arial"/>
          <w:color w:val="0B0C0C"/>
          <w:szCs w:val="24"/>
        </w:rPr>
        <w:t xml:space="preserve"> The DfE subsequently committed to developing resources to support teachers to teach about violence and abuse,</w:t>
      </w:r>
      <w:r w:rsidRPr="006E33D0">
        <w:rPr>
          <w:rFonts w:ascii="Arial" w:eastAsia="Calibri" w:hAnsi="Arial" w:cs="Arial"/>
          <w:color w:val="0B0C0C"/>
          <w:szCs w:val="24"/>
          <w:vertAlign w:val="superscript"/>
        </w:rPr>
        <w:footnoteReference w:id="403"/>
      </w:r>
      <w:r w:rsidRPr="006E33D0">
        <w:rPr>
          <w:rFonts w:ascii="Arial" w:eastAsia="Calibri" w:hAnsi="Arial" w:cs="Arial"/>
          <w:color w:val="0B0C0C"/>
          <w:szCs w:val="24"/>
        </w:rPr>
        <w:t xml:space="preserve"> and has updated guidance on keeping children safe in education</w:t>
      </w:r>
      <w:r w:rsidRPr="006E33D0">
        <w:rPr>
          <w:rFonts w:ascii="Arial" w:eastAsia="Calibri" w:hAnsi="Arial" w:cs="Arial"/>
          <w:szCs w:val="24"/>
        </w:rPr>
        <w:t>.</w:t>
      </w:r>
      <w:r w:rsidRPr="006E33D0">
        <w:rPr>
          <w:rFonts w:ascii="Arial" w:eastAsia="Calibri" w:hAnsi="Arial" w:cs="Arial"/>
          <w:szCs w:val="24"/>
          <w:vertAlign w:val="superscript"/>
        </w:rPr>
        <w:footnoteReference w:id="404"/>
      </w:r>
      <w:r w:rsidRPr="006E33D0">
        <w:rPr>
          <w:rFonts w:ascii="Arial" w:eastAsia="Calibri" w:hAnsi="Arial" w:cs="Arial"/>
          <w:szCs w:val="24"/>
        </w:rPr>
        <w:t xml:space="preserve"> </w:t>
      </w:r>
    </w:p>
    <w:p w14:paraId="0542E6D4" w14:textId="7B2C506E" w:rsidR="00FB521C" w:rsidRPr="006E33D0" w:rsidRDefault="00FB521C" w:rsidP="00FB521C">
      <w:pPr>
        <w:shd w:val="clear" w:color="auto" w:fill="FFFFFF"/>
        <w:spacing w:before="120" w:line="240" w:lineRule="auto"/>
        <w:rPr>
          <w:rFonts w:ascii="Arial" w:eastAsia="Calibri" w:hAnsi="Arial" w:cs="Arial"/>
          <w:color w:val="0B0C0C"/>
          <w:szCs w:val="24"/>
        </w:rPr>
      </w:pPr>
      <w:r w:rsidRPr="006E33D0">
        <w:rPr>
          <w:rFonts w:ascii="Arial" w:eastAsia="Calibri" w:hAnsi="Arial" w:cs="Arial"/>
          <w:color w:val="0B0C0C"/>
          <w:szCs w:val="24"/>
        </w:rPr>
        <w:t xml:space="preserve">The Curriculum for Wales RSE Code, introduced in 2022, requires schools to address all </w:t>
      </w:r>
      <w:r w:rsidRPr="006E33D0">
        <w:rPr>
          <w:rFonts w:ascii="Arial" w:eastAsia="Calibri" w:hAnsi="Arial" w:cs="Arial"/>
          <w:szCs w:val="24"/>
        </w:rPr>
        <w:t>forms of bullying, including when it takes place online.</w:t>
      </w:r>
      <w:r w:rsidRPr="006E33D0">
        <w:rPr>
          <w:rFonts w:ascii="Arial" w:eastAsia="Calibri" w:hAnsi="Arial" w:cs="Arial"/>
          <w:szCs w:val="24"/>
          <w:vertAlign w:val="superscript"/>
        </w:rPr>
        <w:footnoteReference w:id="405"/>
      </w:r>
      <w:r w:rsidRPr="006E33D0">
        <w:rPr>
          <w:rFonts w:ascii="Arial" w:eastAsia="Calibri" w:hAnsi="Arial" w:cs="Arial"/>
          <w:szCs w:val="24"/>
        </w:rPr>
        <w:t xml:space="preserve"> The</w:t>
      </w:r>
      <w:r w:rsidR="00387371">
        <w:rPr>
          <w:rFonts w:ascii="Arial" w:eastAsia="Calibri" w:hAnsi="Arial" w:cs="Arial"/>
          <w:color w:val="0B0C0C"/>
          <w:szCs w:val="24"/>
        </w:rPr>
        <w:t xml:space="preserve"> </w:t>
      </w:r>
      <w:r w:rsidRPr="006E33D0">
        <w:rPr>
          <w:rFonts w:ascii="Arial" w:eastAsia="Calibri" w:hAnsi="Arial" w:cs="Arial"/>
          <w:color w:val="0B0C0C"/>
          <w:szCs w:val="24"/>
        </w:rPr>
        <w:t>Welsh Government’s</w:t>
      </w:r>
      <w:r w:rsidR="00387371">
        <w:rPr>
          <w:rFonts w:ascii="Arial" w:eastAsia="Calibri" w:hAnsi="Arial" w:cs="Arial"/>
          <w:color w:val="0B0C0C"/>
          <w:szCs w:val="24"/>
        </w:rPr>
        <w:t xml:space="preserve"> statutory guidance for schools </w:t>
      </w:r>
      <w:r w:rsidRPr="006E33D0">
        <w:rPr>
          <w:rFonts w:ascii="Arial" w:eastAsia="Calibri" w:hAnsi="Arial" w:cs="Arial"/>
          <w:color w:val="0B0C0C"/>
          <w:szCs w:val="24"/>
        </w:rPr>
        <w:t>on bullying outlines different forms of prejudice-related bullying, and highlights prevention strategies.</w:t>
      </w:r>
      <w:r w:rsidRPr="006E33D0">
        <w:rPr>
          <w:rFonts w:ascii="Arial" w:eastAsia="Calibri" w:hAnsi="Arial" w:cs="Arial"/>
          <w:color w:val="0B0C0C"/>
          <w:szCs w:val="24"/>
          <w:vertAlign w:val="superscript"/>
        </w:rPr>
        <w:footnoteReference w:id="406"/>
      </w:r>
      <w:r w:rsidRPr="006E33D0">
        <w:rPr>
          <w:rFonts w:ascii="Arial" w:eastAsia="Calibri" w:hAnsi="Arial" w:cs="Arial"/>
          <w:color w:val="0B0C0C"/>
          <w:szCs w:val="24"/>
        </w:rPr>
        <w:t xml:space="preserve"> Commitments have been made to strengthen the guidance, with a focus on disciplinary procedures for handling identity-based bullying, though this has been delayed.</w:t>
      </w:r>
      <w:r w:rsidRPr="006E33D0">
        <w:rPr>
          <w:rFonts w:ascii="Arial" w:eastAsia="Calibri" w:hAnsi="Arial" w:cs="Arial"/>
          <w:color w:val="0B0C0C"/>
          <w:szCs w:val="24"/>
          <w:vertAlign w:val="superscript"/>
        </w:rPr>
        <w:footnoteReference w:id="407"/>
      </w:r>
    </w:p>
    <w:p w14:paraId="729E01EB" w14:textId="77777777" w:rsidR="00FB521C" w:rsidRPr="00FB521C" w:rsidRDefault="00FB521C" w:rsidP="00FB521C">
      <w:pPr>
        <w:spacing w:before="120" w:line="240" w:lineRule="auto"/>
        <w:rPr>
          <w:rFonts w:ascii="Arial" w:eastAsia="Calibri" w:hAnsi="Arial" w:cs="Arial"/>
          <w:szCs w:val="24"/>
        </w:rPr>
      </w:pPr>
      <w:r w:rsidRPr="00FB521C">
        <w:rPr>
          <w:rStyle w:val="Howtousethistemplate"/>
          <w:rFonts w:ascii="Arial" w:eastAsia="Calibri" w:hAnsi="Arial" w:cs="Arial"/>
          <w:color w:val="auto"/>
          <w:szCs w:val="24"/>
        </w:rPr>
        <w:t>Despite these developments, we are concerned that there is no mandatory duty on schools in England or Wales to record and report incidents of bullying.</w:t>
      </w:r>
    </w:p>
    <w:p w14:paraId="18C32DFA" w14:textId="2D343FFB" w:rsidR="00FB521C" w:rsidRPr="00B91A3D" w:rsidRDefault="00FB521C" w:rsidP="00FB521C">
      <w:pPr>
        <w:pStyle w:val="Heading4"/>
      </w:pPr>
      <w:r>
        <w:t xml:space="preserve">Recommendations </w:t>
      </w:r>
    </w:p>
    <w:p w14:paraId="437355F5" w14:textId="77777777" w:rsidR="00FB521C" w:rsidRPr="006E33D0" w:rsidRDefault="00FB521C" w:rsidP="00FB521C">
      <w:pPr>
        <w:tabs>
          <w:tab w:val="left" w:pos="1020"/>
        </w:tabs>
        <w:spacing w:before="120" w:line="240" w:lineRule="auto"/>
        <w:jc w:val="both"/>
        <w:rPr>
          <w:rFonts w:ascii="Arial" w:eastAsia="Calibri" w:hAnsi="Arial" w:cs="Arial"/>
          <w:u w:val="single"/>
        </w:rPr>
      </w:pPr>
      <w:r w:rsidRPr="006E33D0">
        <w:rPr>
          <w:rFonts w:ascii="Arial" w:eastAsia="Calibri" w:hAnsi="Arial" w:cs="Arial"/>
          <w:u w:val="single"/>
        </w:rPr>
        <w:t>The UK and Welsh governments should:</w:t>
      </w:r>
    </w:p>
    <w:p w14:paraId="3AB57B49" w14:textId="6149462A" w:rsidR="00FB521C" w:rsidRPr="00FB521C" w:rsidRDefault="00FB521C" w:rsidP="00627673">
      <w:pPr>
        <w:pStyle w:val="ListParagraph"/>
        <w:numPr>
          <w:ilvl w:val="0"/>
          <w:numId w:val="34"/>
        </w:numPr>
        <w:spacing w:before="120" w:after="120" w:line="240" w:lineRule="auto"/>
        <w:rPr>
          <w:rFonts w:ascii="Arial" w:eastAsia="Calibri" w:hAnsi="Arial" w:cs="Times New Roman"/>
          <w:iCs/>
          <w:lang w:eastAsia="en-GB"/>
        </w:rPr>
      </w:pPr>
      <w:r w:rsidRPr="00FB521C">
        <w:rPr>
          <w:rFonts w:ascii="Arial" w:eastAsia="Calibri" w:hAnsi="Arial" w:cs="Times New Roman"/>
          <w:iCs/>
        </w:rPr>
        <w:t xml:space="preserve">Support schools to adopt a human rights-based approach </w:t>
      </w:r>
      <w:r w:rsidR="00792D7F">
        <w:rPr>
          <w:rFonts w:ascii="Arial" w:eastAsia="Calibri" w:hAnsi="Arial" w:cs="Times New Roman"/>
          <w:iCs/>
        </w:rPr>
        <w:t>and implement the recommendation of</w:t>
      </w:r>
      <w:r w:rsidRPr="00FB521C">
        <w:rPr>
          <w:rFonts w:ascii="Arial" w:eastAsia="Calibri" w:hAnsi="Arial" w:cs="Times New Roman"/>
          <w:iCs/>
        </w:rPr>
        <w:t xml:space="preserve"> th</w:t>
      </w:r>
      <w:r w:rsidR="00792D7F">
        <w:rPr>
          <w:rFonts w:ascii="Arial" w:eastAsia="Calibri" w:hAnsi="Arial" w:cs="Times New Roman"/>
          <w:iCs/>
        </w:rPr>
        <w:t>e Independent Human Rights Act Review to develop a comprehensive programme of human rights education.</w:t>
      </w:r>
    </w:p>
    <w:p w14:paraId="5F476CD8" w14:textId="77777777" w:rsidR="00FB521C" w:rsidRPr="00FB521C" w:rsidRDefault="00FB521C" w:rsidP="00627673">
      <w:pPr>
        <w:pStyle w:val="ListParagraph"/>
        <w:numPr>
          <w:ilvl w:val="0"/>
          <w:numId w:val="34"/>
        </w:numPr>
        <w:spacing w:before="120" w:after="120" w:line="240" w:lineRule="auto"/>
        <w:rPr>
          <w:rFonts w:ascii="Arial" w:eastAsia="Calibri" w:hAnsi="Arial" w:cs="Times New Roman"/>
          <w:iCs/>
          <w:lang w:eastAsia="en-GB"/>
        </w:rPr>
      </w:pPr>
      <w:r w:rsidRPr="00FB521C">
        <w:rPr>
          <w:rFonts w:ascii="Arial" w:eastAsia="Calibri" w:hAnsi="Arial" w:cs="Arial"/>
        </w:rPr>
        <w:t>Ensure that teaching materials across the curriculum reflect the histories, cultures and contributions of ethnic minority people in Britain.</w:t>
      </w:r>
    </w:p>
    <w:p w14:paraId="522785B1" w14:textId="77777777" w:rsidR="00FB521C" w:rsidRPr="00FB521C" w:rsidRDefault="00FB521C" w:rsidP="00627673">
      <w:pPr>
        <w:pStyle w:val="ListParagraph"/>
        <w:numPr>
          <w:ilvl w:val="0"/>
          <w:numId w:val="34"/>
        </w:numPr>
        <w:spacing w:before="120" w:after="120" w:line="240" w:lineRule="auto"/>
        <w:rPr>
          <w:rFonts w:ascii="Arial" w:eastAsia="Calibri" w:hAnsi="Arial" w:cs="Times New Roman"/>
          <w:iCs/>
          <w:lang w:eastAsia="en-GB"/>
        </w:rPr>
      </w:pPr>
      <w:r w:rsidRPr="00FB521C">
        <w:rPr>
          <w:rFonts w:ascii="Arial" w:eastAsia="Calibri" w:hAnsi="Arial" w:cs="Arial"/>
          <w:bCs/>
          <w:color w:val="000000"/>
          <w:lang w:eastAsia="en-GB"/>
        </w:rPr>
        <w:t xml:space="preserve">Make human rights education, including knowledge of the CRC, a mandatory part of teacher training and continued professional development. </w:t>
      </w:r>
    </w:p>
    <w:p w14:paraId="5140AE5E" w14:textId="4C7E5BDF" w:rsidR="00FB521C" w:rsidRPr="00605915" w:rsidRDefault="00FB521C" w:rsidP="00627673">
      <w:pPr>
        <w:pStyle w:val="ListParagraph"/>
        <w:numPr>
          <w:ilvl w:val="0"/>
          <w:numId w:val="34"/>
        </w:numPr>
        <w:spacing w:before="120" w:after="120" w:line="240" w:lineRule="auto"/>
        <w:rPr>
          <w:rFonts w:ascii="Arial" w:eastAsia="Calibri" w:hAnsi="Arial" w:cs="Times New Roman"/>
          <w:iCs/>
          <w:lang w:eastAsia="en-GB"/>
        </w:rPr>
      </w:pPr>
      <w:r w:rsidRPr="00605915">
        <w:rPr>
          <w:rFonts w:ascii="Arial" w:eastAsia="Calibri" w:hAnsi="Arial" w:cs="Times New Roman"/>
          <w:iCs/>
          <w:lang w:eastAsia="en-GB"/>
        </w:rPr>
        <w:t xml:space="preserve">Require schools to record incidents of prejudice-based bullying, broken down by relevant protected characteristic, and use the information to inform their anti-bullying strategies. </w:t>
      </w:r>
    </w:p>
    <w:p w14:paraId="396E2889" w14:textId="77777777" w:rsidR="00FB521C" w:rsidRPr="00FB521C" w:rsidRDefault="00FB521C" w:rsidP="00627673">
      <w:pPr>
        <w:pStyle w:val="ListParagraph"/>
        <w:numPr>
          <w:ilvl w:val="0"/>
          <w:numId w:val="34"/>
        </w:numPr>
        <w:spacing w:before="120" w:after="120" w:line="240" w:lineRule="auto"/>
        <w:rPr>
          <w:rFonts w:ascii="Arial" w:eastAsia="Calibri" w:hAnsi="Arial" w:cs="Times New Roman"/>
          <w:iCs/>
          <w:lang w:eastAsia="en-GB"/>
        </w:rPr>
      </w:pPr>
      <w:r w:rsidRPr="00FB521C">
        <w:rPr>
          <w:rFonts w:ascii="Arial" w:eastAsia="Calibri" w:hAnsi="Arial" w:cs="Times New Roman"/>
          <w:iCs/>
          <w:lang w:eastAsia="en-GB"/>
        </w:rPr>
        <w:t xml:space="preserve">Ensure that teacher training includes guidance on how to recognise, respond to and counter identity-based bullying and harassment. </w:t>
      </w:r>
    </w:p>
    <w:p w14:paraId="5215E82F" w14:textId="77777777" w:rsidR="00FB521C" w:rsidRPr="006E33D0" w:rsidRDefault="00FB521C" w:rsidP="00FB521C">
      <w:pPr>
        <w:autoSpaceDE w:val="0"/>
        <w:autoSpaceDN w:val="0"/>
        <w:adjustRightInd w:val="0"/>
        <w:spacing w:before="120" w:line="240" w:lineRule="auto"/>
        <w:rPr>
          <w:rFonts w:ascii="Arial" w:eastAsia="Calibri" w:hAnsi="Arial" w:cs="Arial"/>
          <w:bCs/>
          <w:color w:val="000000"/>
          <w:u w:val="single"/>
          <w:lang w:eastAsia="en-GB"/>
        </w:rPr>
      </w:pPr>
      <w:r w:rsidRPr="006E33D0">
        <w:rPr>
          <w:rFonts w:ascii="Arial" w:eastAsia="Calibri" w:hAnsi="Arial" w:cs="Arial"/>
          <w:bCs/>
          <w:color w:val="000000"/>
          <w:u w:val="single"/>
          <w:lang w:eastAsia="en-GB"/>
        </w:rPr>
        <w:t>The UK Government should:</w:t>
      </w:r>
    </w:p>
    <w:p w14:paraId="2D7939CD" w14:textId="77777777" w:rsidR="00FB521C" w:rsidRPr="00FB521C" w:rsidRDefault="00FB521C" w:rsidP="00627673">
      <w:pPr>
        <w:pStyle w:val="ListParagraph"/>
        <w:numPr>
          <w:ilvl w:val="0"/>
          <w:numId w:val="35"/>
        </w:numPr>
        <w:autoSpaceDE w:val="0"/>
        <w:autoSpaceDN w:val="0"/>
        <w:adjustRightInd w:val="0"/>
        <w:spacing w:before="120" w:after="120" w:line="240" w:lineRule="auto"/>
        <w:rPr>
          <w:rFonts w:ascii="Arial" w:eastAsia="Calibri" w:hAnsi="Arial" w:cs="Arial"/>
          <w:bCs/>
          <w:color w:val="000000"/>
          <w:lang w:eastAsia="en-GB"/>
        </w:rPr>
      </w:pPr>
      <w:r w:rsidRPr="00FB521C">
        <w:rPr>
          <w:rFonts w:ascii="Arial" w:eastAsia="Calibri" w:hAnsi="Arial" w:cs="Arial"/>
          <w:bCs/>
          <w:color w:val="000000"/>
          <w:lang w:eastAsia="en-GB"/>
        </w:rPr>
        <w:t>Ensure that teaching about the diversity of family backgrounds is clearly part of the curriculum in primary schools, appropriate to age, and in accordance with obligations under domestic and international law.</w:t>
      </w:r>
    </w:p>
    <w:p w14:paraId="63D1DBC4" w14:textId="2CB16C6A" w:rsidR="00FB521C" w:rsidRPr="00387371" w:rsidRDefault="00FB521C" w:rsidP="00A26DF5">
      <w:pPr>
        <w:pStyle w:val="ListParagraph"/>
        <w:numPr>
          <w:ilvl w:val="0"/>
          <w:numId w:val="35"/>
        </w:numPr>
        <w:spacing w:before="120" w:line="240" w:lineRule="auto"/>
        <w:rPr>
          <w:rFonts w:ascii="Arial" w:eastAsia="Arial" w:hAnsi="Arial" w:cs="Arial"/>
        </w:rPr>
      </w:pPr>
      <w:r w:rsidRPr="00FB521C">
        <w:rPr>
          <w:rFonts w:ascii="Arial" w:eastAsia="Arial" w:hAnsi="Arial" w:cs="Arial"/>
        </w:rPr>
        <w:t xml:space="preserve">Ensure that schools are supported and encouraged to shape their RSHE curriculum in line with a rights-based approach, including prioritising a preventative approach to sexual harassment. This should include supporting children to understand that sexual harassment is a form of discrimination and a human rights violation, to understand when their rights are breached, and </w:t>
      </w:r>
      <w:r w:rsidR="008E41CE">
        <w:rPr>
          <w:rFonts w:ascii="Arial" w:eastAsia="Arial" w:hAnsi="Arial" w:cs="Arial"/>
        </w:rPr>
        <w:t xml:space="preserve">to know </w:t>
      </w:r>
      <w:r w:rsidRPr="00FB521C">
        <w:rPr>
          <w:rFonts w:ascii="Arial" w:eastAsia="Arial" w:hAnsi="Arial" w:cs="Arial"/>
        </w:rPr>
        <w:t>what to do to challenge or remedy such breaches. Children should also be involved in shaping the RSHE curriculum and wider school safeguarding policies to ensure that they are relevant and adapted to their needs.</w:t>
      </w:r>
    </w:p>
    <w:p w14:paraId="4E44017F" w14:textId="4E66E221" w:rsidR="00FB521C" w:rsidRPr="00F2721D" w:rsidRDefault="00FB521C" w:rsidP="00FB521C">
      <w:pPr>
        <w:pStyle w:val="Heading1"/>
      </w:pPr>
      <w:bookmarkStart w:id="18" w:name="_Toc122018862"/>
      <w:r>
        <w:t>Special protection measures</w:t>
      </w:r>
      <w:r w:rsidRPr="00A26DF5">
        <w:t xml:space="preserve"> </w:t>
      </w:r>
      <w:r>
        <w:rPr>
          <w:rStyle w:val="Howtousethistemplate"/>
          <w:sz w:val="52"/>
        </w:rPr>
        <w:t>(Articles 22, 30, 32, 33, 35, 36, 37</w:t>
      </w:r>
      <w:r w:rsidR="008E41CE">
        <w:rPr>
          <w:rStyle w:val="Howtousethistemplate"/>
          <w:sz w:val="52"/>
        </w:rPr>
        <w:t xml:space="preserve"> </w:t>
      </w:r>
      <w:r>
        <w:rPr>
          <w:rStyle w:val="Howtousethistemplate"/>
          <w:sz w:val="52"/>
        </w:rPr>
        <w:t>(b</w:t>
      </w:r>
      <w:r w:rsidR="00885F8B" w:rsidRPr="00885F8B">
        <w:rPr>
          <w:rStyle w:val="Howtousethistemplate"/>
          <w:sz w:val="52"/>
        </w:rPr>
        <w:t>–</w:t>
      </w:r>
      <w:r>
        <w:rPr>
          <w:rStyle w:val="Howtousethistemplate"/>
          <w:sz w:val="52"/>
        </w:rPr>
        <w:t>d) and 38</w:t>
      </w:r>
      <w:r w:rsidR="00885F8B" w:rsidRPr="00885F8B">
        <w:rPr>
          <w:rStyle w:val="Howtousethistemplate"/>
          <w:sz w:val="52"/>
        </w:rPr>
        <w:t>–</w:t>
      </w:r>
      <w:r>
        <w:rPr>
          <w:rStyle w:val="Howtousethistemplate"/>
          <w:sz w:val="52"/>
        </w:rPr>
        <w:t>40)</w:t>
      </w:r>
      <w:bookmarkEnd w:id="18"/>
    </w:p>
    <w:p w14:paraId="21FA4DD0" w14:textId="7106FC81" w:rsidR="00FB521C" w:rsidRPr="000530C5" w:rsidRDefault="00FB521C" w:rsidP="00FB521C">
      <w:pPr>
        <w:pStyle w:val="Heading2"/>
      </w:pPr>
      <w:bookmarkStart w:id="19" w:name="_Toc122018863"/>
      <w:r>
        <w:t>Asylum-seeking, refugee and migrant children</w:t>
      </w:r>
      <w:bookmarkEnd w:id="19"/>
    </w:p>
    <w:p w14:paraId="30744776" w14:textId="4140ACBE" w:rsidR="00FB521C" w:rsidRPr="006E33D0" w:rsidRDefault="00FB521C" w:rsidP="00FB521C">
      <w:pPr>
        <w:keepNext/>
        <w:pBdr>
          <w:top w:val="single" w:sz="24" w:space="8" w:color="DDDE45"/>
          <w:left w:val="single" w:sz="24" w:space="4" w:color="F1F1B4"/>
          <w:bottom w:val="single" w:sz="48" w:space="1" w:color="F1F1B4"/>
          <w:right w:val="single" w:sz="24" w:space="4" w:color="F1F1B4"/>
        </w:pBdr>
        <w:shd w:val="clear" w:color="auto" w:fill="F1F1B4"/>
        <w:spacing w:before="120" w:line="240" w:lineRule="auto"/>
        <w:ind w:left="142" w:right="198"/>
        <w:rPr>
          <w:rFonts w:ascii="Arial" w:eastAsia="Arial" w:hAnsi="Arial" w:cs="Arial"/>
          <w:b/>
          <w:szCs w:val="24"/>
        </w:rPr>
      </w:pPr>
      <w:r w:rsidRPr="006E33D0">
        <w:rPr>
          <w:rFonts w:ascii="Arial" w:eastAsia="Arial" w:hAnsi="Arial" w:cs="Arial"/>
          <w:b/>
          <w:szCs w:val="24"/>
        </w:rPr>
        <w:t xml:space="preserve">See: </w:t>
      </w:r>
      <w:hyperlink r:id="rId46" w:history="1">
        <w:r w:rsidRPr="006E33D0">
          <w:rPr>
            <w:rFonts w:ascii="Arial" w:eastAsia="Arial" w:hAnsi="Arial" w:cs="Arial"/>
            <w:b/>
            <w:szCs w:val="24"/>
            <w:u w:val="single" w:color="009C98"/>
          </w:rPr>
          <w:t>Our 2020 submission</w:t>
        </w:r>
      </w:hyperlink>
      <w:r w:rsidRPr="006E33D0">
        <w:rPr>
          <w:rFonts w:ascii="Arial" w:eastAsia="Arial" w:hAnsi="Arial" w:cs="Arial"/>
          <w:b/>
          <w:szCs w:val="24"/>
        </w:rPr>
        <w:t xml:space="preserve"> (pages 71-81); </w:t>
      </w:r>
      <w:hyperlink r:id="rId47" w:history="1">
        <w:r w:rsidR="00885F8B">
          <w:rPr>
            <w:rFonts w:ascii="Arial" w:eastAsia="Arial" w:hAnsi="Arial" w:cs="Arial"/>
            <w:b/>
            <w:szCs w:val="24"/>
            <w:u w:val="single" w:color="009C98"/>
          </w:rPr>
          <w:t>UNCRC list of i</w:t>
        </w:r>
        <w:r w:rsidRPr="006E33D0">
          <w:rPr>
            <w:rFonts w:ascii="Arial" w:eastAsia="Arial" w:hAnsi="Arial" w:cs="Arial"/>
            <w:b/>
            <w:szCs w:val="24"/>
            <w:u w:val="single" w:color="009C98"/>
          </w:rPr>
          <w:t>ssues</w:t>
        </w:r>
      </w:hyperlink>
      <w:r w:rsidRPr="006E33D0">
        <w:rPr>
          <w:rFonts w:ascii="Arial" w:eastAsia="Arial" w:hAnsi="Arial" w:cs="Arial"/>
          <w:b/>
          <w:szCs w:val="24"/>
        </w:rPr>
        <w:t xml:space="preserve"> (para 30); </w:t>
      </w:r>
      <w:hyperlink r:id="rId48" w:history="1">
        <w:r w:rsidRPr="006E33D0">
          <w:rPr>
            <w:rFonts w:ascii="Arial" w:eastAsia="Arial" w:hAnsi="Arial" w:cs="Arial"/>
            <w:b/>
            <w:szCs w:val="24"/>
            <w:u w:val="single" w:color="009C98"/>
          </w:rPr>
          <w:t>UN Sustainable Development Goals</w:t>
        </w:r>
      </w:hyperlink>
      <w:r w:rsidRPr="006E33D0">
        <w:rPr>
          <w:rFonts w:ascii="Arial" w:eastAsia="Arial" w:hAnsi="Arial" w:cs="Arial"/>
          <w:b/>
          <w:szCs w:val="24"/>
        </w:rPr>
        <w:t xml:space="preserve"> (Goal 10)</w:t>
      </w:r>
    </w:p>
    <w:p w14:paraId="4FEF478F" w14:textId="77777777" w:rsidR="00885F8B" w:rsidRDefault="00FB521C" w:rsidP="00FB521C">
      <w:pPr>
        <w:spacing w:before="120" w:line="240" w:lineRule="auto"/>
        <w:rPr>
          <w:rFonts w:ascii="Arial" w:eastAsia="Calibri" w:hAnsi="Arial" w:cs="Arial"/>
          <w:szCs w:val="24"/>
        </w:rPr>
      </w:pPr>
      <w:r w:rsidRPr="006E33D0">
        <w:rPr>
          <w:rFonts w:ascii="Arial" w:eastAsia="Calibri" w:hAnsi="Arial" w:cs="Arial"/>
          <w:szCs w:val="24"/>
        </w:rPr>
        <w:t>All immigration and asylum policies and decisions must</w:t>
      </w:r>
      <w:r w:rsidR="008E41CE">
        <w:rPr>
          <w:rFonts w:ascii="Arial" w:eastAsia="Calibri" w:hAnsi="Arial" w:cs="Arial"/>
          <w:szCs w:val="24"/>
        </w:rPr>
        <w:t xml:space="preserve"> prioritise</w:t>
      </w:r>
      <w:r w:rsidRPr="006E33D0">
        <w:rPr>
          <w:rFonts w:ascii="Arial" w:eastAsia="Calibri" w:hAnsi="Arial" w:cs="Arial"/>
          <w:szCs w:val="24"/>
        </w:rPr>
        <w:t xml:space="preserve"> the best interests of the child.</w:t>
      </w:r>
      <w:r w:rsidRPr="006E33D0">
        <w:rPr>
          <w:rFonts w:ascii="Arial" w:eastAsia="Calibri" w:hAnsi="Arial" w:cs="Arial"/>
          <w:szCs w:val="24"/>
          <w:vertAlign w:val="superscript"/>
        </w:rPr>
        <w:footnoteReference w:id="408"/>
      </w:r>
      <w:r w:rsidRPr="006E33D0">
        <w:rPr>
          <w:rFonts w:ascii="Arial" w:eastAsia="Calibri" w:hAnsi="Arial" w:cs="Arial"/>
          <w:szCs w:val="24"/>
        </w:rPr>
        <w:t xml:space="preserve"> </w:t>
      </w:r>
      <w:r w:rsidRPr="001B2C62">
        <w:rPr>
          <w:rFonts w:ascii="Arial" w:eastAsia="Calibri" w:hAnsi="Arial" w:cs="Arial"/>
          <w:szCs w:val="24"/>
        </w:rPr>
        <w:t xml:space="preserve">Article 22 of the CRC </w:t>
      </w:r>
      <w:r w:rsidR="008E41CE">
        <w:rPr>
          <w:rFonts w:ascii="Arial" w:eastAsia="Calibri" w:hAnsi="Arial" w:cs="Arial"/>
          <w:szCs w:val="24"/>
        </w:rPr>
        <w:t>requires</w:t>
      </w:r>
      <w:r w:rsidR="008E41CE" w:rsidRPr="001B2C62">
        <w:rPr>
          <w:rFonts w:ascii="Arial" w:eastAsia="Calibri" w:hAnsi="Arial" w:cs="Arial"/>
          <w:szCs w:val="24"/>
        </w:rPr>
        <w:t xml:space="preserve"> </w:t>
      </w:r>
      <w:r>
        <w:rPr>
          <w:rFonts w:ascii="Arial" w:eastAsia="Calibri" w:hAnsi="Arial" w:cs="Arial"/>
          <w:szCs w:val="24"/>
        </w:rPr>
        <w:t>S</w:t>
      </w:r>
      <w:r w:rsidRPr="001B2C62">
        <w:rPr>
          <w:rFonts w:ascii="Arial" w:eastAsia="Calibri" w:hAnsi="Arial" w:cs="Arial"/>
          <w:szCs w:val="24"/>
        </w:rPr>
        <w:t xml:space="preserve">tates to provide appropriate protection so that children seeking refugee status and those considered to be refugees can </w:t>
      </w:r>
      <w:r>
        <w:rPr>
          <w:rFonts w:ascii="Arial" w:eastAsia="Calibri" w:hAnsi="Arial" w:cs="Arial"/>
          <w:szCs w:val="24"/>
        </w:rPr>
        <w:t>access the rights to which they are entitled</w:t>
      </w:r>
      <w:r w:rsidRPr="001B2C62">
        <w:rPr>
          <w:rFonts w:ascii="Arial" w:eastAsia="Calibri" w:hAnsi="Arial" w:cs="Arial"/>
          <w:szCs w:val="24"/>
        </w:rPr>
        <w:t>.</w:t>
      </w:r>
    </w:p>
    <w:p w14:paraId="77E64192" w14:textId="0C877139" w:rsidR="00FB521C" w:rsidRPr="006E33D0" w:rsidRDefault="00FB521C" w:rsidP="00FB521C">
      <w:pPr>
        <w:spacing w:before="120" w:line="240" w:lineRule="auto"/>
        <w:rPr>
          <w:rFonts w:ascii="Arial" w:eastAsia="Calibri" w:hAnsi="Arial" w:cs="Arial"/>
          <w:szCs w:val="24"/>
        </w:rPr>
      </w:pPr>
      <w:r w:rsidRPr="001B2C62">
        <w:rPr>
          <w:rFonts w:ascii="Arial" w:eastAsia="Calibri" w:hAnsi="Arial" w:cs="Arial"/>
          <w:szCs w:val="24"/>
        </w:rPr>
        <w:t>Furthermore</w:t>
      </w:r>
      <w:r w:rsidRPr="006E33D0">
        <w:rPr>
          <w:rFonts w:ascii="Arial" w:eastAsia="Calibri" w:hAnsi="Arial" w:cs="Arial"/>
          <w:szCs w:val="24"/>
        </w:rPr>
        <w:t>, the Global Compact for Safe, Orderly and Regular Migration, endorsed by the UK</w:t>
      </w:r>
      <w:r w:rsidRPr="006E33D0">
        <w:rPr>
          <w:rFonts w:ascii="Arial" w:eastAsia="Calibri" w:hAnsi="Arial" w:cs="Arial"/>
          <w:szCs w:val="24"/>
          <w:vertAlign w:val="superscript"/>
        </w:rPr>
        <w:footnoteReference w:id="409"/>
      </w:r>
      <w:r w:rsidRPr="006E33D0">
        <w:rPr>
          <w:rFonts w:ascii="Arial" w:eastAsia="Calibri" w:hAnsi="Arial" w:cs="Arial"/>
          <w:szCs w:val="24"/>
        </w:rPr>
        <w:t xml:space="preserve"> and formally adopted by the UN General Assembly in December 2018, takes a child-sensitive approach and commits </w:t>
      </w:r>
      <w:r>
        <w:rPr>
          <w:rFonts w:ascii="Arial" w:eastAsia="Calibri" w:hAnsi="Arial" w:cs="Arial"/>
          <w:szCs w:val="24"/>
        </w:rPr>
        <w:t>S</w:t>
      </w:r>
      <w:r w:rsidRPr="006E33D0">
        <w:rPr>
          <w:rFonts w:ascii="Arial" w:eastAsia="Calibri" w:hAnsi="Arial" w:cs="Arial"/>
          <w:szCs w:val="24"/>
        </w:rPr>
        <w:t>tates to take action to protect unaccompanied and separated children, including th</w:t>
      </w:r>
      <w:r w:rsidR="00885F8B">
        <w:rPr>
          <w:rFonts w:ascii="Arial" w:eastAsia="Calibri" w:hAnsi="Arial" w:cs="Arial"/>
          <w:szCs w:val="24"/>
        </w:rPr>
        <w:t>rough family reunification and ‘</w:t>
      </w:r>
      <w:r w:rsidRPr="006E33D0">
        <w:rPr>
          <w:rFonts w:ascii="Arial" w:eastAsia="Calibri" w:hAnsi="Arial" w:cs="Arial"/>
          <w:szCs w:val="24"/>
        </w:rPr>
        <w:t>access to sustainable solutions t</w:t>
      </w:r>
      <w:r w:rsidR="00885F8B">
        <w:rPr>
          <w:rFonts w:ascii="Arial" w:eastAsia="Calibri" w:hAnsi="Arial" w:cs="Arial"/>
          <w:szCs w:val="24"/>
        </w:rPr>
        <w:t>hat are in their best interests’</w:t>
      </w:r>
      <w:r w:rsidRPr="006E33D0">
        <w:rPr>
          <w:rFonts w:ascii="Arial" w:eastAsia="Calibri" w:hAnsi="Arial" w:cs="Arial"/>
          <w:szCs w:val="24"/>
        </w:rPr>
        <w:t>.</w:t>
      </w:r>
      <w:r w:rsidRPr="006E33D0">
        <w:rPr>
          <w:rFonts w:ascii="Arial" w:eastAsia="Calibri" w:hAnsi="Arial" w:cs="Arial"/>
          <w:szCs w:val="24"/>
          <w:vertAlign w:val="superscript"/>
        </w:rPr>
        <w:footnoteReference w:id="410"/>
      </w:r>
      <w:r w:rsidRPr="006E33D0">
        <w:rPr>
          <w:rFonts w:ascii="Arial" w:eastAsia="Calibri" w:hAnsi="Arial" w:cs="Arial"/>
          <w:szCs w:val="24"/>
        </w:rPr>
        <w:t xml:space="preserve"> </w:t>
      </w:r>
    </w:p>
    <w:p w14:paraId="00F3851E" w14:textId="77777777" w:rsidR="00885F8B" w:rsidRDefault="00FB521C" w:rsidP="00FB521C">
      <w:pPr>
        <w:spacing w:before="120" w:line="240" w:lineRule="auto"/>
        <w:rPr>
          <w:rFonts w:ascii="Arial" w:eastAsia="Calibri" w:hAnsi="Arial" w:cs="Arial"/>
          <w:szCs w:val="24"/>
        </w:rPr>
      </w:pPr>
      <w:r w:rsidRPr="006E33D0">
        <w:rPr>
          <w:rFonts w:ascii="Arial" w:eastAsia="Calibri" w:hAnsi="Arial" w:cs="Arial"/>
          <w:szCs w:val="24"/>
        </w:rPr>
        <w:t xml:space="preserve">In 2021, there were 3,762 asylum applications made in the UK by unaccompanied children, compared </w:t>
      </w:r>
      <w:r w:rsidR="008E41CE">
        <w:rPr>
          <w:rFonts w:ascii="Arial" w:eastAsia="Calibri" w:hAnsi="Arial" w:cs="Arial"/>
          <w:szCs w:val="24"/>
        </w:rPr>
        <w:t>with</w:t>
      </w:r>
      <w:r w:rsidR="008E41CE" w:rsidRPr="006E33D0">
        <w:rPr>
          <w:rFonts w:ascii="Arial" w:eastAsia="Calibri" w:hAnsi="Arial" w:cs="Arial"/>
          <w:szCs w:val="24"/>
        </w:rPr>
        <w:t xml:space="preserve"> </w:t>
      </w:r>
      <w:r w:rsidRPr="006E33D0">
        <w:rPr>
          <w:rFonts w:ascii="Arial" w:eastAsia="Calibri" w:hAnsi="Arial" w:cs="Arial"/>
          <w:szCs w:val="24"/>
        </w:rPr>
        <w:t>2,773 in 2020, 3,775 in 2019 and 3,063 in 2018.</w:t>
      </w:r>
      <w:r w:rsidRPr="006E33D0">
        <w:rPr>
          <w:rFonts w:ascii="Arial" w:eastAsia="Calibri" w:hAnsi="Arial" w:cs="Arial"/>
          <w:szCs w:val="24"/>
          <w:vertAlign w:val="superscript"/>
        </w:rPr>
        <w:footnoteReference w:id="411"/>
      </w:r>
      <w:r w:rsidRPr="006E33D0">
        <w:rPr>
          <w:rFonts w:ascii="Arial" w:eastAsia="Calibri" w:hAnsi="Arial" w:cs="Arial"/>
          <w:szCs w:val="24"/>
        </w:rPr>
        <w:t xml:space="preserve"> In the context of a growing backlog of decisions across all asylum applications,</w:t>
      </w:r>
      <w:r w:rsidRPr="006E33D0">
        <w:rPr>
          <w:rFonts w:ascii="Arial" w:eastAsia="Calibri" w:hAnsi="Arial" w:cs="Arial"/>
          <w:szCs w:val="24"/>
          <w:vertAlign w:val="superscript"/>
        </w:rPr>
        <w:footnoteReference w:id="412"/>
      </w:r>
      <w:r w:rsidRPr="006E33D0">
        <w:rPr>
          <w:rFonts w:ascii="Arial" w:eastAsia="Calibri" w:hAnsi="Arial" w:cs="Arial"/>
          <w:szCs w:val="24"/>
        </w:rPr>
        <w:t xml:space="preserve"> figures from the Independent Chief Inspector of Borders and Immigration show that, for those receiving a decision in 2020, waiting times for unaccompanied children </w:t>
      </w:r>
      <w:r w:rsidR="008E41CE">
        <w:rPr>
          <w:rFonts w:ascii="Arial" w:eastAsia="Calibri" w:hAnsi="Arial" w:cs="Arial"/>
          <w:szCs w:val="24"/>
        </w:rPr>
        <w:t xml:space="preserve">seeking asylum </w:t>
      </w:r>
      <w:r w:rsidRPr="006E33D0">
        <w:rPr>
          <w:rFonts w:ascii="Arial" w:eastAsia="Calibri" w:hAnsi="Arial" w:cs="Arial"/>
          <w:szCs w:val="24"/>
        </w:rPr>
        <w:t>had risen to an average of 550 days</w:t>
      </w:r>
      <w:r w:rsidR="008E41CE">
        <w:rPr>
          <w:rFonts w:ascii="Arial" w:eastAsia="Calibri" w:hAnsi="Arial" w:cs="Arial"/>
          <w:szCs w:val="24"/>
        </w:rPr>
        <w:t xml:space="preserve">, </w:t>
      </w:r>
      <w:r w:rsidRPr="006E33D0">
        <w:rPr>
          <w:rFonts w:ascii="Arial" w:eastAsia="Calibri" w:hAnsi="Arial" w:cs="Arial"/>
          <w:szCs w:val="24"/>
        </w:rPr>
        <w:t>an increase from 359 days in 2017.</w:t>
      </w:r>
      <w:r w:rsidRPr="006E33D0">
        <w:rPr>
          <w:rFonts w:ascii="Arial" w:eastAsia="Calibri" w:hAnsi="Arial" w:cs="Arial"/>
          <w:szCs w:val="24"/>
          <w:vertAlign w:val="superscript"/>
        </w:rPr>
        <w:footnoteReference w:id="413"/>
      </w:r>
      <w:r w:rsidRPr="006E33D0">
        <w:rPr>
          <w:rFonts w:ascii="Arial" w:eastAsia="Calibri" w:hAnsi="Arial" w:cs="Arial"/>
          <w:szCs w:val="24"/>
        </w:rPr>
        <w:t xml:space="preserve"> </w:t>
      </w:r>
    </w:p>
    <w:p w14:paraId="576E77B9" w14:textId="284883C3" w:rsidR="00FB521C" w:rsidRPr="006E33D0" w:rsidRDefault="00FB521C" w:rsidP="00FB521C">
      <w:pPr>
        <w:spacing w:before="120" w:line="240" w:lineRule="auto"/>
        <w:rPr>
          <w:rFonts w:ascii="Arial" w:eastAsia="Calibri" w:hAnsi="Arial" w:cs="Arial"/>
          <w:szCs w:val="24"/>
        </w:rPr>
      </w:pPr>
      <w:r w:rsidRPr="006E33D0">
        <w:rPr>
          <w:rFonts w:ascii="Arial" w:eastAsia="Calibri" w:hAnsi="Arial" w:cs="Arial"/>
          <w:szCs w:val="24"/>
        </w:rPr>
        <w:t>In May 2019, the UK Government confirmed that it no longer followed the six</w:t>
      </w:r>
      <w:r>
        <w:rPr>
          <w:rFonts w:ascii="Arial" w:eastAsia="Calibri" w:hAnsi="Arial" w:cs="Arial"/>
          <w:szCs w:val="24"/>
        </w:rPr>
        <w:t>-</w:t>
      </w:r>
      <w:r w:rsidRPr="006E33D0">
        <w:rPr>
          <w:rFonts w:ascii="Arial" w:eastAsia="Calibri" w:hAnsi="Arial" w:cs="Arial"/>
          <w:szCs w:val="24"/>
        </w:rPr>
        <w:t>month service standard introduced in 2014 for processing ‘straightforward’ asylum applications. It stated that there would be a change in operations to prioritise groups in the most vulnerable situations and decisions that need to be reconsidered.</w:t>
      </w:r>
      <w:r w:rsidRPr="006E33D0">
        <w:rPr>
          <w:rFonts w:ascii="Arial" w:eastAsia="Calibri" w:hAnsi="Arial" w:cs="Arial"/>
          <w:szCs w:val="24"/>
          <w:vertAlign w:val="superscript"/>
        </w:rPr>
        <w:footnoteReference w:id="414"/>
      </w:r>
      <w:r w:rsidRPr="006E33D0">
        <w:rPr>
          <w:rFonts w:ascii="Arial" w:eastAsia="Calibri" w:hAnsi="Arial" w:cs="Arial"/>
          <w:szCs w:val="24"/>
        </w:rPr>
        <w:t xml:space="preserve"> The UK Government has not announced a new service standard on waiting times.</w:t>
      </w:r>
    </w:p>
    <w:p w14:paraId="43F3CD72" w14:textId="3DC0A6A9" w:rsidR="00FB521C" w:rsidRPr="006E33D0" w:rsidRDefault="00FB521C" w:rsidP="00FB521C">
      <w:pPr>
        <w:spacing w:before="120" w:line="240" w:lineRule="auto"/>
        <w:rPr>
          <w:rFonts w:ascii="Arial" w:eastAsia="Calibri" w:hAnsi="Arial" w:cs="Arial"/>
          <w:szCs w:val="24"/>
        </w:rPr>
      </w:pPr>
      <w:r w:rsidRPr="006E33D0">
        <w:rPr>
          <w:rFonts w:ascii="Arial" w:eastAsia="Calibri" w:hAnsi="Arial" w:cs="Arial"/>
          <w:szCs w:val="24"/>
        </w:rPr>
        <w:t>Delays have had a negative impact on the health and social relationships of children seeking asylum during the pandemic, when some systems for processing children’s asylum claims were suspended.</w:t>
      </w:r>
      <w:r w:rsidRPr="006E33D0">
        <w:rPr>
          <w:rFonts w:ascii="Arial" w:eastAsia="Calibri" w:hAnsi="Arial" w:cs="Arial"/>
          <w:szCs w:val="24"/>
          <w:vertAlign w:val="superscript"/>
        </w:rPr>
        <w:footnoteReference w:id="415"/>
      </w:r>
      <w:r w:rsidRPr="006E33D0">
        <w:rPr>
          <w:rFonts w:ascii="Arial" w:eastAsia="Calibri" w:hAnsi="Arial" w:cs="Arial"/>
          <w:szCs w:val="24"/>
        </w:rPr>
        <w:t xml:space="preserve"> During the period in which a child or young person has an insecure legal status, some </w:t>
      </w:r>
      <w:r>
        <w:rPr>
          <w:rFonts w:ascii="Arial" w:eastAsia="Calibri" w:hAnsi="Arial" w:cs="Arial"/>
          <w:szCs w:val="24"/>
        </w:rPr>
        <w:t xml:space="preserve">have </w:t>
      </w:r>
      <w:r w:rsidRPr="006E33D0">
        <w:rPr>
          <w:rFonts w:ascii="Arial" w:eastAsia="Calibri" w:hAnsi="Arial" w:cs="Arial"/>
          <w:szCs w:val="24"/>
        </w:rPr>
        <w:t>reported difficulties accessing services, including enrolling on educational courses.</w:t>
      </w:r>
      <w:r w:rsidRPr="006E33D0">
        <w:rPr>
          <w:rFonts w:ascii="Arial" w:eastAsia="Calibri" w:hAnsi="Arial" w:cs="Arial"/>
          <w:szCs w:val="24"/>
          <w:vertAlign w:val="superscript"/>
        </w:rPr>
        <w:footnoteReference w:id="416"/>
      </w:r>
      <w:r w:rsidRPr="006E33D0">
        <w:rPr>
          <w:rFonts w:ascii="Arial" w:eastAsia="Calibri" w:hAnsi="Arial" w:cs="Arial"/>
          <w:szCs w:val="24"/>
        </w:rPr>
        <w:t xml:space="preserve"> </w:t>
      </w:r>
    </w:p>
    <w:p w14:paraId="7B586DA5" w14:textId="77777777" w:rsidR="00F10F08" w:rsidRDefault="00FB521C" w:rsidP="00FB521C">
      <w:pPr>
        <w:spacing w:before="120" w:line="240" w:lineRule="auto"/>
        <w:rPr>
          <w:rFonts w:ascii="Arial" w:eastAsia="Calibri" w:hAnsi="Arial" w:cs="Arial"/>
          <w:szCs w:val="24"/>
        </w:rPr>
      </w:pPr>
      <w:r w:rsidRPr="006E33D0">
        <w:rPr>
          <w:rFonts w:ascii="Arial" w:eastAsia="Calibri" w:hAnsi="Arial" w:cs="Arial"/>
          <w:szCs w:val="24"/>
        </w:rPr>
        <w:t>Through the Nationality and Borders Act 2022, the UK Government has provided for differential treatment of recognised refugees (including children) according to the circumstances of their entry to the UK. Those who travelled to the UK through a ‘safe third country’ or did not present themselves to UK authorities ‘without delay’ may receive reduced entitlements</w:t>
      </w:r>
      <w:r w:rsidR="008E41CE">
        <w:rPr>
          <w:rFonts w:ascii="Arial" w:eastAsia="Calibri" w:hAnsi="Arial" w:cs="Arial"/>
          <w:szCs w:val="24"/>
        </w:rPr>
        <w:t>,</w:t>
      </w:r>
      <w:r w:rsidRPr="006E33D0">
        <w:rPr>
          <w:rFonts w:ascii="Arial" w:eastAsia="Calibri" w:hAnsi="Arial" w:cs="Arial"/>
          <w:szCs w:val="24"/>
        </w:rPr>
        <w:t xml:space="preserve"> such as restricted family reunion rights.</w:t>
      </w:r>
      <w:r w:rsidRPr="006E33D0">
        <w:rPr>
          <w:rFonts w:ascii="Arial" w:eastAsia="Calibri" w:hAnsi="Arial" w:cs="Arial"/>
          <w:szCs w:val="24"/>
          <w:vertAlign w:val="superscript"/>
        </w:rPr>
        <w:footnoteReference w:id="417"/>
      </w:r>
      <w:r w:rsidRPr="006E33D0">
        <w:rPr>
          <w:rFonts w:ascii="Arial" w:eastAsia="Calibri" w:hAnsi="Arial" w:cs="Arial"/>
          <w:szCs w:val="24"/>
        </w:rPr>
        <w:t xml:space="preserve"> </w:t>
      </w:r>
    </w:p>
    <w:p w14:paraId="7B1D7510" w14:textId="24268852" w:rsidR="00FB521C" w:rsidRPr="006E33D0" w:rsidRDefault="00FB521C" w:rsidP="00FB521C">
      <w:pPr>
        <w:spacing w:before="120" w:line="240" w:lineRule="auto"/>
        <w:rPr>
          <w:rFonts w:ascii="Arial" w:eastAsia="Calibri" w:hAnsi="Arial" w:cs="Arial"/>
          <w:szCs w:val="24"/>
        </w:rPr>
      </w:pPr>
      <w:r w:rsidRPr="006E33D0">
        <w:rPr>
          <w:rFonts w:ascii="Arial" w:eastAsia="Calibri" w:hAnsi="Arial" w:cs="Arial"/>
          <w:szCs w:val="24"/>
        </w:rPr>
        <w:t xml:space="preserve">The UN Refugee Agency has warned that reduced family reunion rights creates a risk that, in the absence of access to safe ways to reach their families, more women and children will </w:t>
      </w:r>
      <w:r w:rsidR="008E41CE">
        <w:rPr>
          <w:rFonts w:ascii="Arial" w:eastAsia="Calibri" w:hAnsi="Arial" w:cs="Arial"/>
          <w:szCs w:val="24"/>
        </w:rPr>
        <w:t>take more</w:t>
      </w:r>
      <w:r w:rsidRPr="006E33D0">
        <w:rPr>
          <w:rFonts w:ascii="Arial" w:eastAsia="Calibri" w:hAnsi="Arial" w:cs="Arial"/>
          <w:szCs w:val="24"/>
        </w:rPr>
        <w:t xml:space="preserve"> dangerous </w:t>
      </w:r>
      <w:r w:rsidR="008E41CE">
        <w:rPr>
          <w:rFonts w:ascii="Arial" w:eastAsia="Calibri" w:hAnsi="Arial" w:cs="Arial"/>
          <w:szCs w:val="24"/>
        </w:rPr>
        <w:t>options</w:t>
      </w:r>
      <w:r w:rsidRPr="006E33D0">
        <w:rPr>
          <w:rFonts w:ascii="Arial" w:eastAsia="Calibri" w:hAnsi="Arial" w:cs="Arial"/>
          <w:szCs w:val="24"/>
        </w:rPr>
        <w:t>.</w:t>
      </w:r>
      <w:r w:rsidRPr="006E33D0">
        <w:rPr>
          <w:rFonts w:ascii="Arial" w:eastAsia="Calibri" w:hAnsi="Arial" w:cs="Arial"/>
          <w:szCs w:val="24"/>
          <w:vertAlign w:val="superscript"/>
        </w:rPr>
        <w:footnoteReference w:id="418"/>
      </w:r>
      <w:r w:rsidRPr="006E33D0">
        <w:rPr>
          <w:rFonts w:ascii="Arial" w:eastAsia="Calibri" w:hAnsi="Arial" w:cs="Arial"/>
          <w:szCs w:val="24"/>
        </w:rPr>
        <w:t xml:space="preserve"> Resettlement is one such safe pathway, but only 1,587 people were resettled to the UK in 2021.</w:t>
      </w:r>
      <w:r w:rsidRPr="006E33D0">
        <w:rPr>
          <w:rFonts w:ascii="Arial" w:eastAsia="Calibri" w:hAnsi="Arial" w:cs="Arial"/>
          <w:szCs w:val="24"/>
          <w:vertAlign w:val="superscript"/>
        </w:rPr>
        <w:footnoteReference w:id="419"/>
      </w:r>
    </w:p>
    <w:p w14:paraId="3420E12C" w14:textId="6761BC69" w:rsidR="00FB521C" w:rsidRPr="006E33D0" w:rsidRDefault="00FB521C" w:rsidP="00FB521C">
      <w:pPr>
        <w:spacing w:before="120" w:line="240" w:lineRule="auto"/>
        <w:rPr>
          <w:rFonts w:ascii="Arial" w:eastAsia="Calibri" w:hAnsi="Arial" w:cs="Arial"/>
          <w:szCs w:val="24"/>
        </w:rPr>
      </w:pPr>
      <w:r w:rsidRPr="006E33D0">
        <w:rPr>
          <w:rFonts w:ascii="Arial" w:eastAsia="Calibri" w:hAnsi="Arial" w:cs="Arial"/>
          <w:szCs w:val="24"/>
        </w:rPr>
        <w:t xml:space="preserve">The </w:t>
      </w:r>
      <w:r w:rsidR="00F10F08" w:rsidRPr="006E33D0">
        <w:rPr>
          <w:rFonts w:ascii="Arial" w:eastAsia="Calibri" w:hAnsi="Arial" w:cs="Arial"/>
          <w:szCs w:val="24"/>
        </w:rPr>
        <w:t xml:space="preserve">Nationality and Borders Act </w:t>
      </w:r>
      <w:r w:rsidRPr="006E33D0">
        <w:rPr>
          <w:rFonts w:ascii="Arial" w:eastAsia="Calibri" w:hAnsi="Arial" w:cs="Arial"/>
          <w:szCs w:val="24"/>
        </w:rPr>
        <w:t xml:space="preserve">was developed in the context of other UK Government decisions </w:t>
      </w:r>
      <w:r w:rsidR="008E41CE">
        <w:rPr>
          <w:rFonts w:ascii="Arial" w:eastAsia="Calibri" w:hAnsi="Arial" w:cs="Arial"/>
          <w:szCs w:val="24"/>
        </w:rPr>
        <w:t>that</w:t>
      </w:r>
      <w:r w:rsidR="008E41CE" w:rsidRPr="006E33D0">
        <w:rPr>
          <w:rFonts w:ascii="Arial" w:eastAsia="Calibri" w:hAnsi="Arial" w:cs="Arial"/>
          <w:szCs w:val="24"/>
        </w:rPr>
        <w:t xml:space="preserve"> </w:t>
      </w:r>
      <w:r w:rsidRPr="006E33D0">
        <w:rPr>
          <w:rFonts w:ascii="Arial" w:eastAsia="Calibri" w:hAnsi="Arial" w:cs="Arial"/>
          <w:szCs w:val="24"/>
        </w:rPr>
        <w:t xml:space="preserve">make it </w:t>
      </w:r>
      <w:r>
        <w:rPr>
          <w:rFonts w:ascii="Arial" w:eastAsia="Calibri" w:hAnsi="Arial" w:cs="Arial"/>
          <w:szCs w:val="24"/>
        </w:rPr>
        <w:t>more</w:t>
      </w:r>
      <w:r w:rsidRPr="006E33D0">
        <w:rPr>
          <w:rFonts w:ascii="Arial" w:eastAsia="Calibri" w:hAnsi="Arial" w:cs="Arial"/>
          <w:szCs w:val="24"/>
        </w:rPr>
        <w:t xml:space="preserve"> difficult for children to access the protections afforded by refugee status and to be reunited with their families, as noted in our 2020 submission.</w:t>
      </w:r>
      <w:r w:rsidRPr="006E33D0">
        <w:rPr>
          <w:rFonts w:ascii="Arial" w:eastAsia="Calibri" w:hAnsi="Arial" w:cs="Arial"/>
          <w:szCs w:val="24"/>
          <w:vertAlign w:val="superscript"/>
        </w:rPr>
        <w:footnoteReference w:id="420"/>
      </w:r>
      <w:r w:rsidR="00FE0068">
        <w:rPr>
          <w:rFonts w:ascii="Arial" w:eastAsia="Calibri" w:hAnsi="Arial" w:cs="Arial"/>
          <w:szCs w:val="24"/>
        </w:rPr>
        <w:t xml:space="preserve"> </w:t>
      </w:r>
      <w:r w:rsidRPr="006E33D0">
        <w:rPr>
          <w:rFonts w:ascii="Arial" w:eastAsia="Calibri" w:hAnsi="Arial" w:cs="Arial"/>
          <w:szCs w:val="24"/>
        </w:rPr>
        <w:t xml:space="preserve">Family reunion provisions in the Dublin Regulation no longer apply in the UK, following the UK’s exit from the EU. MPs voted against an amendment to the EU (Withdrawal Agreement) Bill </w:t>
      </w:r>
      <w:r w:rsidR="008E41CE">
        <w:rPr>
          <w:rFonts w:ascii="Arial" w:eastAsia="Calibri" w:hAnsi="Arial" w:cs="Arial"/>
          <w:szCs w:val="24"/>
        </w:rPr>
        <w:t>that</w:t>
      </w:r>
      <w:r w:rsidR="008E41CE" w:rsidRPr="006E33D0">
        <w:rPr>
          <w:rFonts w:ascii="Arial" w:eastAsia="Calibri" w:hAnsi="Arial" w:cs="Arial"/>
          <w:szCs w:val="24"/>
        </w:rPr>
        <w:t xml:space="preserve"> </w:t>
      </w:r>
      <w:r w:rsidRPr="006E33D0">
        <w:rPr>
          <w:rFonts w:ascii="Arial" w:eastAsia="Calibri" w:hAnsi="Arial" w:cs="Arial"/>
          <w:szCs w:val="24"/>
        </w:rPr>
        <w:t>would have ensured reunion for unaccompanied child refugees in Europe with family members in the UK.</w:t>
      </w:r>
      <w:r w:rsidRPr="006E33D0">
        <w:rPr>
          <w:rFonts w:ascii="Arial" w:eastAsia="Calibri" w:hAnsi="Arial" w:cs="Arial"/>
          <w:szCs w:val="24"/>
          <w:vertAlign w:val="superscript"/>
        </w:rPr>
        <w:footnoteReference w:id="421"/>
      </w:r>
      <w:r w:rsidRPr="006E33D0">
        <w:rPr>
          <w:rFonts w:ascii="Arial" w:eastAsia="Calibri" w:hAnsi="Arial" w:cs="Arial"/>
          <w:szCs w:val="24"/>
        </w:rPr>
        <w:t xml:space="preserve"> The so-called ‘Dubs scheme’, which amended the Immigration Act 2016 to require relocation of unaccompanied children to the UK from European countries, has closed. </w:t>
      </w:r>
    </w:p>
    <w:p w14:paraId="6C6B2049" w14:textId="25C7B01B" w:rsidR="00FB521C" w:rsidRPr="006E33D0" w:rsidRDefault="00FB521C" w:rsidP="00FB521C">
      <w:pPr>
        <w:spacing w:before="120" w:line="240" w:lineRule="auto"/>
        <w:rPr>
          <w:rFonts w:ascii="Arial" w:eastAsia="Calibri" w:hAnsi="Arial" w:cs="Arial"/>
          <w:szCs w:val="24"/>
        </w:rPr>
      </w:pPr>
      <w:r w:rsidRPr="006E33D0">
        <w:rPr>
          <w:rFonts w:ascii="Arial" w:eastAsia="Calibri" w:hAnsi="Arial" w:cs="Arial"/>
          <w:szCs w:val="24"/>
        </w:rPr>
        <w:t xml:space="preserve">Uncertain migration status </w:t>
      </w:r>
      <w:r w:rsidR="008E41CE">
        <w:rPr>
          <w:rFonts w:ascii="Arial" w:eastAsia="Calibri" w:hAnsi="Arial" w:cs="Arial"/>
          <w:szCs w:val="24"/>
        </w:rPr>
        <w:t>because</w:t>
      </w:r>
      <w:r w:rsidRPr="006E33D0">
        <w:rPr>
          <w:rFonts w:ascii="Arial" w:eastAsia="Calibri" w:hAnsi="Arial" w:cs="Arial"/>
          <w:szCs w:val="24"/>
        </w:rPr>
        <w:t xml:space="preserve"> of the UK’s exit from the EU also affects children already in Britain.</w:t>
      </w:r>
      <w:r w:rsidRPr="006E33D0">
        <w:rPr>
          <w:rFonts w:ascii="Arial" w:eastAsia="Calibri" w:hAnsi="Arial" w:cs="Arial"/>
          <w:szCs w:val="24"/>
          <w:vertAlign w:val="superscript"/>
        </w:rPr>
        <w:footnoteReference w:id="422"/>
      </w:r>
      <w:r w:rsidRPr="006E33D0">
        <w:rPr>
          <w:rFonts w:ascii="Arial" w:eastAsia="Calibri" w:hAnsi="Arial" w:cs="Arial"/>
          <w:szCs w:val="24"/>
        </w:rPr>
        <w:t xml:space="preserve"> As of 31 March 2022, there had been over </w:t>
      </w:r>
      <w:r w:rsidR="008E41CE">
        <w:rPr>
          <w:rFonts w:ascii="Arial" w:eastAsia="Calibri" w:hAnsi="Arial" w:cs="Arial"/>
          <w:szCs w:val="24"/>
        </w:rPr>
        <w:t>1</w:t>
      </w:r>
      <w:r w:rsidRPr="006E33D0">
        <w:rPr>
          <w:rFonts w:ascii="Arial" w:eastAsia="Calibri" w:hAnsi="Arial" w:cs="Arial"/>
          <w:szCs w:val="24"/>
        </w:rPr>
        <w:t xml:space="preserve"> million applications to the EU Settlement Scheme from people under the age of 18. Of these, over 600,000 were granted settled status and over 41,000 were refused, primarily on eligibility grounds.</w:t>
      </w:r>
      <w:r w:rsidRPr="006E33D0">
        <w:rPr>
          <w:rFonts w:ascii="Arial" w:eastAsia="Calibri" w:hAnsi="Arial" w:cs="Arial"/>
          <w:szCs w:val="24"/>
          <w:vertAlign w:val="superscript"/>
        </w:rPr>
        <w:footnoteReference w:id="423"/>
      </w:r>
      <w:r w:rsidRPr="006E33D0">
        <w:rPr>
          <w:rFonts w:ascii="Arial" w:eastAsia="Calibri" w:hAnsi="Arial" w:cs="Arial"/>
          <w:szCs w:val="24"/>
        </w:rPr>
        <w:t xml:space="preserve"> Refusal of residency for either a parent or child has negative impacts on their rights to family life and other interrelated rights.</w:t>
      </w:r>
      <w:r w:rsidRPr="006E33D0">
        <w:rPr>
          <w:rFonts w:ascii="Arial" w:eastAsia="Calibri" w:hAnsi="Arial" w:cs="Arial"/>
          <w:szCs w:val="24"/>
          <w:vertAlign w:val="superscript"/>
        </w:rPr>
        <w:footnoteReference w:id="424"/>
      </w:r>
    </w:p>
    <w:p w14:paraId="5C45CC4F" w14:textId="77777777" w:rsidR="00F10F08" w:rsidRDefault="00FB521C" w:rsidP="00FB521C">
      <w:pPr>
        <w:spacing w:before="120" w:line="240" w:lineRule="auto"/>
        <w:rPr>
          <w:rFonts w:ascii="Arial" w:eastAsia="Calibri" w:hAnsi="Arial" w:cs="Arial"/>
          <w:szCs w:val="24"/>
          <w:lang w:eastAsia="en-GB"/>
        </w:rPr>
      </w:pPr>
      <w:r w:rsidRPr="006E33D0">
        <w:rPr>
          <w:rFonts w:ascii="Arial" w:eastAsia="Calibri" w:hAnsi="Arial" w:cs="Arial"/>
          <w:szCs w:val="24"/>
          <w:lang w:eastAsia="en-GB"/>
        </w:rPr>
        <w:t>In 2019, UK guidance on age assessments was found to be unlawful on the basis that some children would be incorrectly identified as adults in assessments of their physical appearance.</w:t>
      </w:r>
      <w:r w:rsidRPr="006E33D0">
        <w:rPr>
          <w:rFonts w:ascii="Arial" w:eastAsia="Calibri" w:hAnsi="Arial" w:cs="Arial"/>
          <w:szCs w:val="24"/>
          <w:vertAlign w:val="superscript"/>
          <w:lang w:eastAsia="en-GB"/>
        </w:rPr>
        <w:footnoteReference w:id="425"/>
      </w:r>
      <w:r w:rsidRPr="006E33D0">
        <w:rPr>
          <w:rFonts w:ascii="Arial" w:eastAsia="Calibri" w:hAnsi="Arial" w:cs="Arial"/>
          <w:szCs w:val="24"/>
          <w:lang w:eastAsia="en-GB"/>
        </w:rPr>
        <w:t xml:space="preserve"> Upon the UK Government’s appeal in 2021, the Supreme Court reversed the decision on the basis that the guidance sought to avoid adults being incorrectly identified as children.</w:t>
      </w:r>
      <w:r w:rsidRPr="006E33D0">
        <w:rPr>
          <w:rFonts w:ascii="Arial" w:eastAsia="Calibri" w:hAnsi="Arial" w:cs="Arial"/>
          <w:szCs w:val="24"/>
          <w:vertAlign w:val="superscript"/>
          <w:lang w:eastAsia="en-GB"/>
        </w:rPr>
        <w:footnoteReference w:id="426"/>
      </w:r>
      <w:r w:rsidRPr="006E33D0">
        <w:rPr>
          <w:rFonts w:ascii="Arial" w:eastAsia="Calibri" w:hAnsi="Arial" w:cs="Arial"/>
          <w:szCs w:val="24"/>
          <w:lang w:eastAsia="en-GB"/>
        </w:rPr>
        <w:t xml:space="preserve"> </w:t>
      </w:r>
    </w:p>
    <w:p w14:paraId="64C27F69" w14:textId="1766D4B3" w:rsidR="00FB521C" w:rsidRPr="006E33D0" w:rsidRDefault="00FB521C" w:rsidP="00FB521C">
      <w:pPr>
        <w:spacing w:before="120" w:line="240" w:lineRule="auto"/>
        <w:rPr>
          <w:rFonts w:ascii="Arial" w:eastAsia="Calibri" w:hAnsi="Arial" w:cs="Arial"/>
          <w:szCs w:val="24"/>
          <w:lang w:eastAsia="en-GB"/>
        </w:rPr>
      </w:pPr>
      <w:r w:rsidRPr="006E33D0">
        <w:rPr>
          <w:rFonts w:ascii="Arial" w:eastAsia="Calibri" w:hAnsi="Arial" w:cs="Arial"/>
          <w:szCs w:val="24"/>
          <w:lang w:eastAsia="en-GB"/>
        </w:rPr>
        <w:t>Current guida</w:t>
      </w:r>
      <w:r w:rsidR="00F10F08">
        <w:rPr>
          <w:rFonts w:ascii="Arial" w:eastAsia="Calibri" w:hAnsi="Arial" w:cs="Arial"/>
          <w:szCs w:val="24"/>
          <w:lang w:eastAsia="en-GB"/>
        </w:rPr>
        <w:t>nce directs decision-makers to ‘</w:t>
      </w:r>
      <w:r w:rsidRPr="006E33D0">
        <w:rPr>
          <w:rFonts w:ascii="Arial" w:eastAsia="Calibri" w:hAnsi="Arial" w:cs="Arial"/>
          <w:szCs w:val="24"/>
          <w:lang w:eastAsia="en-GB"/>
        </w:rPr>
        <w:t>treat the claimant as an adult if their physical appearance and demeanour very strongly suggests they are significantly over 18 years of age and there is little or no supporting</w:t>
      </w:r>
      <w:r w:rsidR="00F10F08">
        <w:rPr>
          <w:rFonts w:ascii="Arial" w:eastAsia="Calibri" w:hAnsi="Arial" w:cs="Arial"/>
          <w:szCs w:val="24"/>
          <w:lang w:eastAsia="en-GB"/>
        </w:rPr>
        <w:t xml:space="preserve"> evidence for their claimed age’</w:t>
      </w:r>
      <w:r w:rsidRPr="006E33D0">
        <w:rPr>
          <w:rFonts w:ascii="Arial" w:eastAsia="Calibri" w:hAnsi="Arial" w:cs="Arial"/>
          <w:szCs w:val="24"/>
          <w:lang w:eastAsia="en-GB"/>
        </w:rPr>
        <w:t>.</w:t>
      </w:r>
      <w:r w:rsidRPr="006E33D0">
        <w:rPr>
          <w:rFonts w:ascii="Arial" w:eastAsia="Calibri" w:hAnsi="Arial" w:cs="Arial"/>
          <w:szCs w:val="24"/>
          <w:vertAlign w:val="superscript"/>
          <w:lang w:eastAsia="en-GB"/>
        </w:rPr>
        <w:footnoteReference w:id="427"/>
      </w:r>
      <w:r w:rsidRPr="006E33D0">
        <w:rPr>
          <w:rFonts w:ascii="Arial" w:eastAsia="Calibri" w:hAnsi="Arial" w:cs="Arial"/>
          <w:szCs w:val="24"/>
          <w:lang w:eastAsia="en-GB"/>
        </w:rPr>
        <w:t xml:space="preserve"> There remain risks associated with visual age assessments</w:t>
      </w:r>
      <w:r w:rsidR="008E41CE">
        <w:rPr>
          <w:rFonts w:ascii="Arial" w:eastAsia="Calibri" w:hAnsi="Arial" w:cs="Arial"/>
          <w:szCs w:val="24"/>
          <w:lang w:eastAsia="en-GB"/>
        </w:rPr>
        <w:t xml:space="preserve">: a </w:t>
      </w:r>
      <w:r w:rsidRPr="006E33D0">
        <w:rPr>
          <w:rFonts w:ascii="Arial" w:eastAsia="Calibri" w:hAnsi="Arial" w:cs="Arial"/>
          <w:szCs w:val="24"/>
          <w:lang w:eastAsia="en-GB"/>
        </w:rPr>
        <w:t xml:space="preserve">recent case involving a Sudanese unaccompanied child </w:t>
      </w:r>
      <w:r>
        <w:rPr>
          <w:rFonts w:ascii="Arial" w:eastAsia="Calibri" w:hAnsi="Arial" w:cs="Arial"/>
          <w:szCs w:val="24"/>
          <w:lang w:eastAsia="en-GB"/>
        </w:rPr>
        <w:t xml:space="preserve">who was wrongly treated as an adult and inappropriately placed in adult accommodation </w:t>
      </w:r>
      <w:r w:rsidRPr="006E33D0">
        <w:rPr>
          <w:rFonts w:ascii="Arial" w:eastAsia="Calibri" w:hAnsi="Arial" w:cs="Arial"/>
          <w:szCs w:val="24"/>
          <w:lang w:eastAsia="en-GB"/>
        </w:rPr>
        <w:t>found that, as well as being procedurally unfair, the age assessment placed inappropriate weight on the applicant’s physical appearance.</w:t>
      </w:r>
      <w:r w:rsidRPr="006E33D0">
        <w:rPr>
          <w:rFonts w:ascii="Arial" w:eastAsia="Calibri" w:hAnsi="Arial" w:cs="Arial"/>
          <w:szCs w:val="24"/>
          <w:vertAlign w:val="superscript"/>
          <w:lang w:eastAsia="en-GB"/>
        </w:rPr>
        <w:footnoteReference w:id="428"/>
      </w:r>
      <w:r w:rsidRPr="006E33D0">
        <w:rPr>
          <w:rFonts w:ascii="Arial" w:eastAsia="Calibri" w:hAnsi="Arial" w:cs="Arial"/>
          <w:szCs w:val="24"/>
          <w:lang w:eastAsia="en-GB"/>
        </w:rPr>
        <w:t xml:space="preserve"> </w:t>
      </w:r>
    </w:p>
    <w:p w14:paraId="1C10D1F8" w14:textId="77777777" w:rsidR="00F10F08" w:rsidRDefault="00FB521C" w:rsidP="00FB521C">
      <w:pPr>
        <w:spacing w:before="120" w:line="240" w:lineRule="auto"/>
        <w:rPr>
          <w:rFonts w:ascii="Arial" w:eastAsia="Calibri" w:hAnsi="Arial" w:cs="Arial"/>
          <w:szCs w:val="24"/>
          <w:lang w:eastAsia="en-GB"/>
        </w:rPr>
      </w:pPr>
      <w:r w:rsidRPr="006E33D0">
        <w:rPr>
          <w:rFonts w:ascii="Arial" w:eastAsia="Calibri" w:hAnsi="Arial" w:cs="Arial"/>
          <w:szCs w:val="24"/>
          <w:lang w:eastAsia="en-GB"/>
        </w:rPr>
        <w:t xml:space="preserve">The Nationality and Borders Act </w:t>
      </w:r>
      <w:r w:rsidR="008E41CE">
        <w:rPr>
          <w:rFonts w:ascii="Arial" w:eastAsia="Calibri" w:hAnsi="Arial" w:cs="Arial"/>
          <w:szCs w:val="24"/>
          <w:lang w:eastAsia="en-GB"/>
        </w:rPr>
        <w:t xml:space="preserve">2022 </w:t>
      </w:r>
      <w:r w:rsidRPr="006E33D0">
        <w:rPr>
          <w:rFonts w:ascii="Arial" w:eastAsia="Calibri" w:hAnsi="Arial" w:cs="Arial"/>
          <w:szCs w:val="24"/>
          <w:lang w:eastAsia="en-GB"/>
        </w:rPr>
        <w:t xml:space="preserve">makes provision for significant revisions to the </w:t>
      </w:r>
      <w:r w:rsidR="008E41CE">
        <w:rPr>
          <w:rFonts w:ascii="Arial" w:eastAsia="Calibri" w:hAnsi="Arial" w:cs="Arial"/>
          <w:szCs w:val="24"/>
          <w:lang w:eastAsia="en-GB"/>
        </w:rPr>
        <w:t xml:space="preserve">process for assessing the </w:t>
      </w:r>
      <w:r w:rsidRPr="006E33D0">
        <w:rPr>
          <w:rFonts w:ascii="Arial" w:eastAsia="Calibri" w:hAnsi="Arial" w:cs="Arial"/>
          <w:szCs w:val="24"/>
          <w:lang w:eastAsia="en-GB"/>
        </w:rPr>
        <w:t xml:space="preserve">age of people </w:t>
      </w:r>
      <w:r w:rsidR="00F10F08">
        <w:rPr>
          <w:rFonts w:ascii="Arial" w:eastAsia="Calibri" w:hAnsi="Arial" w:cs="Arial"/>
          <w:szCs w:val="24"/>
          <w:lang w:eastAsia="en-GB"/>
        </w:rPr>
        <w:t>seeking asylum. For example, this</w:t>
      </w:r>
      <w:r w:rsidRPr="006E33D0">
        <w:rPr>
          <w:rFonts w:ascii="Arial" w:eastAsia="Calibri" w:hAnsi="Arial" w:cs="Arial"/>
          <w:szCs w:val="24"/>
          <w:lang w:eastAsia="en-GB"/>
        </w:rPr>
        <w:t xml:space="preserve"> Act provides for the specification </w:t>
      </w:r>
      <w:r w:rsidR="008E41CE">
        <w:rPr>
          <w:rFonts w:ascii="Arial" w:eastAsia="Calibri" w:hAnsi="Arial" w:cs="Arial"/>
          <w:szCs w:val="24"/>
          <w:lang w:eastAsia="en-GB"/>
        </w:rPr>
        <w:t xml:space="preserve">in regulations </w:t>
      </w:r>
      <w:r w:rsidRPr="006E33D0">
        <w:rPr>
          <w:rFonts w:ascii="Arial" w:eastAsia="Calibri" w:hAnsi="Arial" w:cs="Arial"/>
          <w:szCs w:val="24"/>
          <w:lang w:eastAsia="en-GB"/>
        </w:rPr>
        <w:t>of ‘scientific methods’ to assess age, including x-rays and the examination of medical samples.</w:t>
      </w:r>
      <w:r w:rsidRPr="006E33D0">
        <w:rPr>
          <w:rFonts w:ascii="Arial" w:eastAsia="Calibri" w:hAnsi="Arial" w:cs="Arial"/>
          <w:szCs w:val="24"/>
          <w:vertAlign w:val="superscript"/>
          <w:lang w:eastAsia="en-GB"/>
        </w:rPr>
        <w:footnoteReference w:id="429"/>
      </w:r>
      <w:r w:rsidRPr="006E33D0">
        <w:rPr>
          <w:rFonts w:ascii="Arial" w:eastAsia="Calibri" w:hAnsi="Arial" w:cs="Arial"/>
          <w:szCs w:val="24"/>
          <w:lang w:eastAsia="en-GB"/>
        </w:rPr>
        <w:t xml:space="preserve"> If a person does not consent to</w:t>
      </w:r>
      <w:r>
        <w:rPr>
          <w:rFonts w:ascii="Arial" w:eastAsia="Calibri" w:hAnsi="Arial" w:cs="Arial"/>
          <w:szCs w:val="24"/>
          <w:lang w:eastAsia="en-GB"/>
        </w:rPr>
        <w:t xml:space="preserve"> the</w:t>
      </w:r>
      <w:r w:rsidRPr="006E33D0">
        <w:rPr>
          <w:rFonts w:ascii="Arial" w:eastAsia="Calibri" w:hAnsi="Arial" w:cs="Arial"/>
          <w:szCs w:val="24"/>
          <w:lang w:eastAsia="en-GB"/>
        </w:rPr>
        <w:t xml:space="preserve"> assessment specified in regulations, the Act instructs decision-makers to </w:t>
      </w:r>
      <w:r w:rsidR="008E41CE">
        <w:rPr>
          <w:rFonts w:ascii="Arial" w:eastAsia="Calibri" w:hAnsi="Arial" w:cs="Arial"/>
          <w:szCs w:val="24"/>
          <w:lang w:eastAsia="en-GB"/>
        </w:rPr>
        <w:t xml:space="preserve">consider </w:t>
      </w:r>
      <w:r w:rsidRPr="006E33D0">
        <w:rPr>
          <w:rFonts w:ascii="Arial" w:eastAsia="Calibri" w:hAnsi="Arial" w:cs="Arial"/>
          <w:szCs w:val="24"/>
          <w:lang w:eastAsia="en-GB"/>
        </w:rPr>
        <w:t>that refusal as damaging the credibility of that person’s claimed age, if that person does not have ‘reasonable’ grounds for refusing.</w:t>
      </w:r>
      <w:r w:rsidRPr="006E33D0">
        <w:rPr>
          <w:rFonts w:ascii="Arial" w:eastAsia="Calibri" w:hAnsi="Arial" w:cs="Arial"/>
          <w:szCs w:val="24"/>
          <w:vertAlign w:val="superscript"/>
          <w:lang w:eastAsia="en-GB"/>
        </w:rPr>
        <w:footnoteReference w:id="430"/>
      </w:r>
      <w:r w:rsidRPr="006E33D0">
        <w:rPr>
          <w:rFonts w:ascii="Arial" w:eastAsia="Calibri" w:hAnsi="Arial" w:cs="Arial"/>
          <w:szCs w:val="24"/>
          <w:lang w:eastAsia="en-GB"/>
        </w:rPr>
        <w:t xml:space="preserve"> </w:t>
      </w:r>
    </w:p>
    <w:p w14:paraId="149ED8C2" w14:textId="1ABB1F5A" w:rsidR="00FB521C" w:rsidRPr="006E33D0" w:rsidRDefault="00FB521C" w:rsidP="00FB521C">
      <w:pPr>
        <w:spacing w:before="120" w:line="240" w:lineRule="auto"/>
        <w:rPr>
          <w:rFonts w:ascii="Arial" w:eastAsia="Calibri" w:hAnsi="Arial" w:cs="Arial"/>
          <w:szCs w:val="24"/>
          <w:lang w:eastAsia="en-GB"/>
        </w:rPr>
      </w:pPr>
      <w:r w:rsidRPr="006E33D0">
        <w:rPr>
          <w:rFonts w:ascii="Arial" w:eastAsia="Calibri" w:hAnsi="Arial" w:cs="Arial"/>
          <w:szCs w:val="24"/>
          <w:lang w:eastAsia="en-GB"/>
        </w:rPr>
        <w:t>UN Committee</w:t>
      </w:r>
      <w:r w:rsidR="00F10F08">
        <w:rPr>
          <w:rFonts w:ascii="Arial" w:eastAsia="Calibri" w:hAnsi="Arial" w:cs="Arial"/>
          <w:szCs w:val="24"/>
          <w:lang w:eastAsia="en-GB"/>
        </w:rPr>
        <w:t>s have recommended that States ‘</w:t>
      </w:r>
      <w:r w:rsidRPr="006E33D0">
        <w:rPr>
          <w:rFonts w:ascii="Arial" w:eastAsia="Calibri" w:hAnsi="Arial" w:cs="Arial"/>
          <w:szCs w:val="24"/>
          <w:lang w:eastAsia="en-GB"/>
        </w:rPr>
        <w:t>ref</w:t>
      </w:r>
      <w:r w:rsidR="00F10F08">
        <w:rPr>
          <w:rFonts w:ascii="Arial" w:eastAsia="Calibri" w:hAnsi="Arial" w:cs="Arial"/>
          <w:szCs w:val="24"/>
          <w:lang w:eastAsia="en-GB"/>
        </w:rPr>
        <w:t>rain from using medical methods’</w:t>
      </w:r>
      <w:r w:rsidRPr="006E33D0">
        <w:rPr>
          <w:rFonts w:ascii="Arial" w:eastAsia="Calibri" w:hAnsi="Arial" w:cs="Arial"/>
          <w:szCs w:val="24"/>
          <w:lang w:eastAsia="en-GB"/>
        </w:rPr>
        <w:t>, such as bone and den</w:t>
      </w:r>
      <w:r w:rsidR="00F10F08">
        <w:rPr>
          <w:rFonts w:ascii="Arial" w:eastAsia="Calibri" w:hAnsi="Arial" w:cs="Arial"/>
          <w:szCs w:val="24"/>
          <w:lang w:eastAsia="en-GB"/>
        </w:rPr>
        <w:t>tal analysis, noting that they ‘</w:t>
      </w:r>
      <w:r w:rsidRPr="006E33D0">
        <w:rPr>
          <w:rFonts w:ascii="Arial" w:eastAsia="Calibri" w:hAnsi="Arial" w:cs="Arial"/>
          <w:szCs w:val="24"/>
          <w:lang w:eastAsia="en-GB"/>
        </w:rPr>
        <w:t>may be inaccurate, with wide margins of e</w:t>
      </w:r>
      <w:r w:rsidR="00F10F08">
        <w:rPr>
          <w:rFonts w:ascii="Arial" w:eastAsia="Calibri" w:hAnsi="Arial" w:cs="Arial"/>
          <w:szCs w:val="24"/>
          <w:lang w:eastAsia="en-GB"/>
        </w:rPr>
        <w:t>rror, and can also be traumatic’</w:t>
      </w:r>
      <w:r w:rsidRPr="006E33D0">
        <w:rPr>
          <w:rFonts w:ascii="Arial" w:eastAsia="Calibri" w:hAnsi="Arial" w:cs="Arial"/>
          <w:szCs w:val="24"/>
          <w:lang w:eastAsia="en-GB"/>
        </w:rPr>
        <w:t>.</w:t>
      </w:r>
      <w:r w:rsidRPr="006E33D0">
        <w:rPr>
          <w:rFonts w:ascii="Arial" w:eastAsia="Calibri" w:hAnsi="Arial" w:cs="Arial"/>
          <w:szCs w:val="24"/>
          <w:vertAlign w:val="superscript"/>
          <w:lang w:eastAsia="en-GB"/>
        </w:rPr>
        <w:footnoteReference w:id="431"/>
      </w:r>
      <w:r w:rsidRPr="006E33D0">
        <w:rPr>
          <w:rFonts w:ascii="Arial" w:eastAsia="Calibri" w:hAnsi="Arial" w:cs="Arial"/>
          <w:szCs w:val="24"/>
          <w:lang w:eastAsia="en-GB"/>
        </w:rPr>
        <w:t xml:space="preserve"> During the Act’s development, the UN Refugee Agency stated that these provisions risk harming children,</w:t>
      </w:r>
      <w:r w:rsidRPr="006E33D0">
        <w:rPr>
          <w:rFonts w:ascii="Arial" w:eastAsia="Calibri" w:hAnsi="Arial" w:cs="Arial"/>
          <w:szCs w:val="24"/>
          <w:vertAlign w:val="superscript"/>
          <w:lang w:eastAsia="en-GB"/>
        </w:rPr>
        <w:footnoteReference w:id="432"/>
      </w:r>
      <w:r w:rsidRPr="006E33D0">
        <w:rPr>
          <w:rFonts w:ascii="Arial" w:eastAsia="Calibri" w:hAnsi="Arial" w:cs="Arial"/>
          <w:szCs w:val="24"/>
          <w:lang w:eastAsia="en-GB"/>
        </w:rPr>
        <w:t xml:space="preserve"> and </w:t>
      </w:r>
      <w:r w:rsidR="008E41CE">
        <w:rPr>
          <w:rFonts w:ascii="Arial" w:eastAsia="Calibri" w:hAnsi="Arial" w:cs="Arial"/>
          <w:szCs w:val="24"/>
          <w:lang w:eastAsia="en-GB"/>
        </w:rPr>
        <w:t>parliamentary scrutiny has raised additional</w:t>
      </w:r>
      <w:r w:rsidRPr="006E33D0">
        <w:rPr>
          <w:rFonts w:ascii="Arial" w:eastAsia="Calibri" w:hAnsi="Arial" w:cs="Arial"/>
          <w:szCs w:val="24"/>
          <w:lang w:eastAsia="en-GB"/>
        </w:rPr>
        <w:t xml:space="preserve"> fears </w:t>
      </w:r>
      <w:r w:rsidR="008E41CE">
        <w:rPr>
          <w:rFonts w:ascii="Arial" w:eastAsia="Calibri" w:hAnsi="Arial" w:cs="Arial"/>
          <w:szCs w:val="24"/>
          <w:lang w:eastAsia="en-GB"/>
        </w:rPr>
        <w:t>about</w:t>
      </w:r>
      <w:r w:rsidRPr="006E33D0">
        <w:rPr>
          <w:rFonts w:ascii="Arial" w:eastAsia="Calibri" w:hAnsi="Arial" w:cs="Arial"/>
          <w:szCs w:val="24"/>
          <w:lang w:eastAsia="en-GB"/>
        </w:rPr>
        <w:t xml:space="preserve"> the impact on children.</w:t>
      </w:r>
      <w:r w:rsidRPr="006E33D0">
        <w:rPr>
          <w:rFonts w:ascii="Arial" w:eastAsia="Calibri" w:hAnsi="Arial" w:cs="Arial"/>
          <w:szCs w:val="24"/>
          <w:vertAlign w:val="superscript"/>
          <w:lang w:eastAsia="en-GB"/>
        </w:rPr>
        <w:footnoteReference w:id="433"/>
      </w:r>
      <w:r w:rsidRPr="006E33D0">
        <w:rPr>
          <w:rFonts w:ascii="Arial" w:eastAsia="Calibri" w:hAnsi="Arial" w:cs="Arial"/>
          <w:szCs w:val="24"/>
          <w:lang w:eastAsia="en-GB"/>
        </w:rPr>
        <w:t xml:space="preserve"> </w:t>
      </w:r>
    </w:p>
    <w:p w14:paraId="2AEEE6DA" w14:textId="77777777" w:rsidR="00F10F08" w:rsidRDefault="00FB521C" w:rsidP="00FB521C">
      <w:pPr>
        <w:spacing w:before="120" w:line="240" w:lineRule="auto"/>
        <w:rPr>
          <w:rFonts w:ascii="Arial" w:eastAsia="Calibri" w:hAnsi="Arial" w:cs="Arial"/>
          <w:szCs w:val="24"/>
          <w:lang w:eastAsia="en-GB"/>
        </w:rPr>
      </w:pPr>
      <w:r w:rsidRPr="006E33D0">
        <w:rPr>
          <w:rFonts w:ascii="Arial" w:eastAsia="Calibri" w:hAnsi="Arial" w:cs="Arial"/>
          <w:szCs w:val="24"/>
          <w:lang w:eastAsia="en-GB"/>
        </w:rPr>
        <w:t>UK law allows for the immigration detention of children in certain limited circumstances. In 2021, there were 100 occurrences of children entering immigration detention</w:t>
      </w:r>
      <w:r w:rsidR="008E41CE">
        <w:rPr>
          <w:rFonts w:ascii="Arial" w:eastAsia="Calibri" w:hAnsi="Arial" w:cs="Arial"/>
          <w:szCs w:val="24"/>
          <w:lang w:eastAsia="en-GB"/>
        </w:rPr>
        <w:t xml:space="preserve"> – </w:t>
      </w:r>
      <w:r w:rsidRPr="006E33D0">
        <w:rPr>
          <w:rFonts w:ascii="Arial" w:eastAsia="Calibri" w:hAnsi="Arial" w:cs="Arial"/>
          <w:szCs w:val="24"/>
          <w:lang w:eastAsia="en-GB"/>
        </w:rPr>
        <w:t>the highest figure since 2016.</w:t>
      </w:r>
      <w:r w:rsidRPr="006E33D0">
        <w:rPr>
          <w:rFonts w:ascii="Arial" w:eastAsia="Calibri" w:hAnsi="Arial" w:cs="Arial"/>
          <w:szCs w:val="24"/>
          <w:vertAlign w:val="superscript"/>
          <w:lang w:eastAsia="en-GB"/>
        </w:rPr>
        <w:footnoteReference w:id="434"/>
      </w:r>
      <w:r w:rsidRPr="006E33D0">
        <w:rPr>
          <w:rFonts w:ascii="Arial" w:eastAsia="Calibri" w:hAnsi="Arial" w:cs="Arial"/>
          <w:szCs w:val="24"/>
          <w:lang w:eastAsia="en-GB"/>
        </w:rPr>
        <w:t xml:space="preserve"> </w:t>
      </w:r>
    </w:p>
    <w:p w14:paraId="2CEE3663" w14:textId="6FA73D9D" w:rsidR="00FB521C" w:rsidRPr="006E33D0" w:rsidRDefault="00FB521C" w:rsidP="00FB521C">
      <w:pPr>
        <w:spacing w:before="120" w:line="240" w:lineRule="auto"/>
        <w:rPr>
          <w:rFonts w:ascii="Arial" w:eastAsia="Calibri" w:hAnsi="Arial" w:cs="Arial"/>
          <w:szCs w:val="24"/>
        </w:rPr>
      </w:pPr>
      <w:r w:rsidRPr="006E33D0">
        <w:rPr>
          <w:rFonts w:ascii="Arial" w:eastAsia="Calibri" w:hAnsi="Arial" w:cs="Arial"/>
          <w:szCs w:val="24"/>
          <w:lang w:eastAsia="en-GB"/>
        </w:rPr>
        <w:t>UN C</w:t>
      </w:r>
      <w:r w:rsidR="00F10F08">
        <w:rPr>
          <w:rFonts w:ascii="Arial" w:eastAsia="Calibri" w:hAnsi="Arial" w:cs="Arial"/>
          <w:szCs w:val="24"/>
          <w:lang w:eastAsia="en-GB"/>
        </w:rPr>
        <w:t>ommittees have emphasised that ‘</w:t>
      </w:r>
      <w:r w:rsidRPr="006E33D0">
        <w:rPr>
          <w:rFonts w:ascii="Arial" w:eastAsia="Calibri" w:hAnsi="Arial" w:cs="Arial"/>
          <w:szCs w:val="24"/>
          <w:lang w:eastAsia="en-GB"/>
        </w:rPr>
        <w:t>[a]ny kind of child immigration detention should be forbidden by law and such prohibition should b</w:t>
      </w:r>
      <w:r w:rsidR="00F10F08">
        <w:rPr>
          <w:rFonts w:ascii="Arial" w:eastAsia="Calibri" w:hAnsi="Arial" w:cs="Arial"/>
          <w:szCs w:val="24"/>
          <w:lang w:eastAsia="en-GB"/>
        </w:rPr>
        <w:t>e fully implemented in practice’</w:t>
      </w:r>
      <w:r w:rsidRPr="006E33D0">
        <w:rPr>
          <w:rFonts w:ascii="Arial" w:eastAsia="Calibri" w:hAnsi="Arial" w:cs="Arial"/>
          <w:szCs w:val="24"/>
          <w:lang w:eastAsia="en-GB"/>
        </w:rPr>
        <w:t>.</w:t>
      </w:r>
      <w:r w:rsidRPr="006E33D0">
        <w:rPr>
          <w:rFonts w:ascii="Arial" w:eastAsia="Calibri" w:hAnsi="Arial" w:cs="Arial"/>
          <w:szCs w:val="24"/>
          <w:vertAlign w:val="superscript"/>
          <w:lang w:eastAsia="en-GB"/>
        </w:rPr>
        <w:footnoteReference w:id="435"/>
      </w:r>
      <w:r w:rsidRPr="006E33D0">
        <w:rPr>
          <w:rFonts w:ascii="Arial" w:eastAsia="Calibri" w:hAnsi="Arial" w:cs="Arial"/>
          <w:szCs w:val="24"/>
          <w:lang w:eastAsia="en-GB"/>
        </w:rPr>
        <w:t xml:space="preserve"> </w:t>
      </w:r>
      <w:r w:rsidRPr="006E33D0">
        <w:rPr>
          <w:rFonts w:ascii="Arial" w:eastAsia="Calibri" w:hAnsi="Arial" w:cs="Arial"/>
          <w:szCs w:val="24"/>
        </w:rPr>
        <w:t xml:space="preserve">Significant concerns have been raised about detention facilities for people arriving in </w:t>
      </w:r>
      <w:r>
        <w:rPr>
          <w:rFonts w:ascii="Arial" w:eastAsia="Calibri" w:hAnsi="Arial" w:cs="Arial"/>
          <w:szCs w:val="24"/>
        </w:rPr>
        <w:t xml:space="preserve">England in </w:t>
      </w:r>
      <w:r w:rsidRPr="006E33D0">
        <w:rPr>
          <w:rFonts w:ascii="Arial" w:eastAsia="Calibri" w:hAnsi="Arial" w:cs="Arial"/>
          <w:szCs w:val="24"/>
        </w:rPr>
        <w:t>small boats, including poor and unsanitary conditions, failures to identify vulnerability, and unaccompanied children being held overnight with adults or sent to adult detention facilities.</w:t>
      </w:r>
      <w:r w:rsidRPr="006E33D0">
        <w:rPr>
          <w:rFonts w:ascii="Arial" w:eastAsia="Calibri" w:hAnsi="Arial" w:cs="Arial"/>
          <w:szCs w:val="24"/>
          <w:vertAlign w:val="superscript"/>
        </w:rPr>
        <w:footnoteReference w:id="436"/>
      </w:r>
    </w:p>
    <w:p w14:paraId="7A69625F" w14:textId="507B84FF" w:rsidR="008916D8" w:rsidRDefault="00FB521C" w:rsidP="00FB521C">
      <w:pPr>
        <w:spacing w:before="120" w:line="240" w:lineRule="auto"/>
        <w:rPr>
          <w:rFonts w:ascii="Arial" w:hAnsi="Arial" w:cs="Arial"/>
          <w:szCs w:val="24"/>
        </w:rPr>
      </w:pPr>
      <w:r w:rsidRPr="006E33D0">
        <w:rPr>
          <w:rFonts w:ascii="Arial" w:hAnsi="Arial" w:cs="Arial"/>
          <w:szCs w:val="24"/>
        </w:rPr>
        <w:t>In 2022, the UK Government announced plans to relocate some people seeking asylum to Rwanda,</w:t>
      </w:r>
      <w:r w:rsidRPr="006E33D0">
        <w:rPr>
          <w:rFonts w:ascii="Arial" w:hAnsi="Arial" w:cs="Arial"/>
          <w:szCs w:val="24"/>
          <w:vertAlign w:val="superscript"/>
        </w:rPr>
        <w:footnoteReference w:id="437"/>
      </w:r>
      <w:r w:rsidRPr="006E33D0">
        <w:rPr>
          <w:rFonts w:ascii="Arial" w:hAnsi="Arial" w:cs="Arial"/>
          <w:szCs w:val="24"/>
        </w:rPr>
        <w:t xml:space="preserve"> though </w:t>
      </w:r>
      <w:r>
        <w:rPr>
          <w:rFonts w:ascii="Arial" w:hAnsi="Arial" w:cs="Arial"/>
          <w:szCs w:val="24"/>
        </w:rPr>
        <w:t xml:space="preserve">aspects of </w:t>
      </w:r>
      <w:r w:rsidRPr="006E33D0">
        <w:rPr>
          <w:rFonts w:ascii="Arial" w:hAnsi="Arial" w:cs="Arial"/>
          <w:szCs w:val="24"/>
        </w:rPr>
        <w:t xml:space="preserve">the </w:t>
      </w:r>
      <w:r w:rsidR="00715703">
        <w:rPr>
          <w:rFonts w:ascii="Arial" w:hAnsi="Arial" w:cs="Arial"/>
          <w:szCs w:val="24"/>
        </w:rPr>
        <w:t>approach</w:t>
      </w:r>
      <w:r w:rsidRPr="006E33D0">
        <w:rPr>
          <w:rFonts w:ascii="Arial" w:hAnsi="Arial" w:cs="Arial"/>
          <w:szCs w:val="24"/>
        </w:rPr>
        <w:t xml:space="preserve"> </w:t>
      </w:r>
      <w:r>
        <w:rPr>
          <w:rFonts w:ascii="Arial" w:hAnsi="Arial" w:cs="Arial"/>
          <w:szCs w:val="24"/>
        </w:rPr>
        <w:t>are</w:t>
      </w:r>
      <w:r w:rsidRPr="006E33D0">
        <w:rPr>
          <w:rFonts w:ascii="Arial" w:hAnsi="Arial" w:cs="Arial"/>
          <w:szCs w:val="24"/>
        </w:rPr>
        <w:t xml:space="preserve"> currently being challenged in the courts.</w:t>
      </w:r>
      <w:r w:rsidRPr="006E33D0">
        <w:rPr>
          <w:rFonts w:ascii="Arial" w:hAnsi="Arial" w:cs="Arial"/>
          <w:szCs w:val="24"/>
          <w:vertAlign w:val="superscript"/>
        </w:rPr>
        <w:footnoteReference w:id="438"/>
      </w:r>
      <w:r w:rsidRPr="006E33D0">
        <w:rPr>
          <w:rFonts w:ascii="Arial" w:hAnsi="Arial" w:cs="Arial"/>
          <w:szCs w:val="24"/>
        </w:rPr>
        <w:t xml:space="preserve"> The associated Equality Impact Assessment explains that unaccompanied children </w:t>
      </w:r>
      <w:r w:rsidR="008E41CE">
        <w:rPr>
          <w:rFonts w:ascii="Arial" w:hAnsi="Arial" w:cs="Arial"/>
          <w:szCs w:val="24"/>
        </w:rPr>
        <w:t xml:space="preserve">seeking asylum </w:t>
      </w:r>
      <w:r w:rsidRPr="006E33D0">
        <w:rPr>
          <w:rFonts w:ascii="Arial" w:hAnsi="Arial" w:cs="Arial"/>
          <w:szCs w:val="24"/>
        </w:rPr>
        <w:t>would not be subject to relocation to Rwanda; instead, their asylum application would be considered in the UK.</w:t>
      </w:r>
      <w:r w:rsidRPr="006E33D0">
        <w:rPr>
          <w:rFonts w:ascii="Arial" w:hAnsi="Arial" w:cs="Arial"/>
          <w:szCs w:val="24"/>
          <w:vertAlign w:val="superscript"/>
        </w:rPr>
        <w:footnoteReference w:id="439"/>
      </w:r>
      <w:r w:rsidRPr="006E33D0">
        <w:rPr>
          <w:rFonts w:ascii="Arial" w:hAnsi="Arial" w:cs="Arial"/>
          <w:szCs w:val="24"/>
        </w:rPr>
        <w:t xml:space="preserve"> However, we are concerned that unaccompanied children wrongly identified as adults could be relocated to Rwanda, with potentially damaging effects on their safety and wellbeing.</w:t>
      </w:r>
      <w:r w:rsidRPr="006E33D0">
        <w:rPr>
          <w:rFonts w:ascii="Arial" w:hAnsi="Arial" w:cs="Arial"/>
          <w:szCs w:val="24"/>
          <w:vertAlign w:val="superscript"/>
        </w:rPr>
        <w:footnoteReference w:id="440"/>
      </w:r>
      <w:r w:rsidRPr="006E33D0">
        <w:rPr>
          <w:rFonts w:ascii="Arial" w:hAnsi="Arial" w:cs="Arial"/>
          <w:szCs w:val="24"/>
        </w:rPr>
        <w:t xml:space="preserve"> </w:t>
      </w:r>
    </w:p>
    <w:p w14:paraId="49A93860" w14:textId="0576C5E2" w:rsidR="00FB521C" w:rsidRPr="006E33D0" w:rsidRDefault="00FB521C" w:rsidP="00FB521C">
      <w:pPr>
        <w:spacing w:before="120" w:line="240" w:lineRule="auto"/>
        <w:rPr>
          <w:rFonts w:ascii="Arial" w:eastAsia="Calibri" w:hAnsi="Arial" w:cs="Arial"/>
          <w:color w:val="722856" w:themeColor="accent5"/>
          <w:szCs w:val="24"/>
          <w:lang w:eastAsia="en-GB"/>
        </w:rPr>
      </w:pPr>
      <w:r w:rsidRPr="006E33D0">
        <w:rPr>
          <w:rFonts w:ascii="Arial" w:hAnsi="Arial" w:cs="Arial"/>
          <w:szCs w:val="24"/>
        </w:rPr>
        <w:t>We acknowledge the UK Government’s commitment to further as</w:t>
      </w:r>
      <w:r w:rsidR="008916D8">
        <w:rPr>
          <w:rFonts w:ascii="Arial" w:hAnsi="Arial" w:cs="Arial"/>
          <w:szCs w:val="24"/>
        </w:rPr>
        <w:t>sess Rwanda’s ‘</w:t>
      </w:r>
      <w:r w:rsidRPr="006E33D0">
        <w:rPr>
          <w:rFonts w:ascii="Arial" w:hAnsi="Arial" w:cs="Arial"/>
          <w:szCs w:val="24"/>
        </w:rPr>
        <w:t>c</w:t>
      </w:r>
      <w:r w:rsidR="008916D8">
        <w:rPr>
          <w:rFonts w:ascii="Arial" w:hAnsi="Arial" w:cs="Arial"/>
          <w:szCs w:val="24"/>
        </w:rPr>
        <w:t>apacity to accommodate children’</w:t>
      </w:r>
      <w:r w:rsidRPr="006E33D0">
        <w:rPr>
          <w:rFonts w:ascii="Arial" w:hAnsi="Arial" w:cs="Arial"/>
          <w:szCs w:val="24"/>
        </w:rPr>
        <w:t>, but remain concerned that accompanied children seeking asylum may be relocated under the policy.</w:t>
      </w:r>
      <w:r w:rsidRPr="006E33D0">
        <w:rPr>
          <w:rFonts w:ascii="Arial" w:hAnsi="Arial" w:cs="Arial"/>
          <w:szCs w:val="24"/>
          <w:vertAlign w:val="superscript"/>
        </w:rPr>
        <w:footnoteReference w:id="441"/>
      </w:r>
      <w:r w:rsidRPr="006E33D0">
        <w:rPr>
          <w:rFonts w:ascii="Arial" w:hAnsi="Arial" w:cs="Arial"/>
          <w:szCs w:val="24"/>
        </w:rPr>
        <w:t xml:space="preserve"> The UN Refugee Agency has expressed strong opposition to the policy.</w:t>
      </w:r>
      <w:r w:rsidRPr="006E33D0">
        <w:rPr>
          <w:rFonts w:ascii="Arial" w:hAnsi="Arial" w:cs="Arial"/>
          <w:szCs w:val="24"/>
          <w:vertAlign w:val="superscript"/>
        </w:rPr>
        <w:footnoteReference w:id="442"/>
      </w:r>
      <w:r w:rsidRPr="006E33D0">
        <w:rPr>
          <w:rFonts w:ascii="Arial" w:hAnsi="Arial" w:cs="Arial"/>
          <w:szCs w:val="24"/>
        </w:rPr>
        <w:t xml:space="preserve"> </w:t>
      </w:r>
    </w:p>
    <w:p w14:paraId="20A3783D" w14:textId="56DB5554" w:rsidR="00FB521C" w:rsidRPr="00B91A3D" w:rsidRDefault="00FB521C" w:rsidP="00FB521C">
      <w:pPr>
        <w:pStyle w:val="Heading4"/>
      </w:pPr>
      <w:r>
        <w:t xml:space="preserve">Recommendations </w:t>
      </w:r>
    </w:p>
    <w:p w14:paraId="426BBE00" w14:textId="77777777" w:rsidR="00FB521C" w:rsidRPr="006E33D0" w:rsidRDefault="00FB521C" w:rsidP="00FB521C">
      <w:pPr>
        <w:spacing w:before="120" w:line="240" w:lineRule="auto"/>
        <w:rPr>
          <w:rFonts w:ascii="Arial" w:eastAsia="Calibri" w:hAnsi="Arial" w:cs="Arial"/>
          <w:szCs w:val="24"/>
          <w:u w:val="single"/>
        </w:rPr>
      </w:pPr>
      <w:r w:rsidRPr="006E33D0">
        <w:rPr>
          <w:rFonts w:ascii="Arial" w:eastAsia="Calibri" w:hAnsi="Arial" w:cs="Arial"/>
          <w:szCs w:val="24"/>
          <w:u w:val="single"/>
        </w:rPr>
        <w:t>The UK Government should:</w:t>
      </w:r>
    </w:p>
    <w:p w14:paraId="4D1C938F" w14:textId="123EC9D6" w:rsidR="00FB521C" w:rsidRPr="00605915" w:rsidRDefault="00FB521C" w:rsidP="00605915">
      <w:pPr>
        <w:pStyle w:val="ListParagraph"/>
        <w:numPr>
          <w:ilvl w:val="0"/>
          <w:numId w:val="39"/>
        </w:numPr>
        <w:spacing w:before="120" w:after="120" w:line="240" w:lineRule="auto"/>
        <w:rPr>
          <w:rFonts w:ascii="Arial" w:eastAsia="Calibri" w:hAnsi="Arial" w:cs="Arial"/>
          <w:szCs w:val="24"/>
        </w:rPr>
      </w:pPr>
      <w:r w:rsidRPr="00605915">
        <w:rPr>
          <w:rFonts w:ascii="Arial" w:eastAsia="Calibri" w:hAnsi="Arial" w:cs="Arial"/>
          <w:szCs w:val="24"/>
        </w:rPr>
        <w:t xml:space="preserve">Ensure that guidance on age assessments for unaccompanied migrant </w:t>
      </w:r>
      <w:r w:rsidR="008E41CE">
        <w:rPr>
          <w:rFonts w:ascii="Arial" w:eastAsia="Calibri" w:hAnsi="Arial" w:cs="Arial"/>
          <w:szCs w:val="24"/>
        </w:rPr>
        <w:t xml:space="preserve">children </w:t>
      </w:r>
      <w:r w:rsidRPr="00605915">
        <w:rPr>
          <w:rFonts w:ascii="Arial" w:eastAsia="Calibri" w:hAnsi="Arial" w:cs="Arial"/>
          <w:szCs w:val="24"/>
        </w:rPr>
        <w:t>and children</w:t>
      </w:r>
      <w:r w:rsidR="008E41CE">
        <w:rPr>
          <w:rFonts w:ascii="Arial" w:eastAsia="Calibri" w:hAnsi="Arial" w:cs="Arial"/>
          <w:szCs w:val="24"/>
        </w:rPr>
        <w:t xml:space="preserve"> seeking asylum</w:t>
      </w:r>
      <w:r w:rsidRPr="00605915">
        <w:rPr>
          <w:rFonts w:ascii="Arial" w:eastAsia="Calibri" w:hAnsi="Arial" w:cs="Arial"/>
          <w:szCs w:val="24"/>
        </w:rPr>
        <w:t xml:space="preserve"> contains a presumption that, where their age is uncertain, they must be treated as a child</w:t>
      </w:r>
      <w:r w:rsidR="008E41CE">
        <w:rPr>
          <w:rFonts w:ascii="Arial" w:eastAsia="Calibri" w:hAnsi="Arial" w:cs="Arial"/>
          <w:szCs w:val="24"/>
        </w:rPr>
        <w:t xml:space="preserve"> – </w:t>
      </w:r>
      <w:r w:rsidRPr="00605915">
        <w:rPr>
          <w:rFonts w:ascii="Arial" w:eastAsia="Calibri" w:hAnsi="Arial" w:cs="Arial"/>
          <w:szCs w:val="24"/>
        </w:rPr>
        <w:t>including not being detained alongside adults</w:t>
      </w:r>
      <w:r w:rsidR="008E41CE">
        <w:rPr>
          <w:rFonts w:ascii="Arial" w:eastAsia="Calibri" w:hAnsi="Arial" w:cs="Arial"/>
          <w:szCs w:val="24"/>
        </w:rPr>
        <w:t xml:space="preserve"> – </w:t>
      </w:r>
      <w:r w:rsidRPr="00605915">
        <w:rPr>
          <w:rFonts w:ascii="Arial" w:eastAsia="Calibri" w:hAnsi="Arial" w:cs="Arial"/>
          <w:szCs w:val="24"/>
        </w:rPr>
        <w:t>until their age has been assessed objectively by independent, multidisciplinary experts with attention to the best interests of the child.</w:t>
      </w:r>
    </w:p>
    <w:p w14:paraId="5C55B05C" w14:textId="5A182777" w:rsidR="00FB521C" w:rsidRPr="00605915" w:rsidRDefault="00FB521C" w:rsidP="00605915">
      <w:pPr>
        <w:pStyle w:val="ListParagraph"/>
        <w:numPr>
          <w:ilvl w:val="0"/>
          <w:numId w:val="39"/>
        </w:numPr>
        <w:spacing w:before="120" w:after="120" w:line="240" w:lineRule="auto"/>
        <w:rPr>
          <w:rFonts w:ascii="Arial" w:eastAsia="Calibri" w:hAnsi="Arial" w:cs="Arial"/>
          <w:szCs w:val="24"/>
        </w:rPr>
      </w:pPr>
      <w:r w:rsidRPr="00605915">
        <w:rPr>
          <w:rFonts w:ascii="Arial" w:eastAsia="Calibri" w:hAnsi="Arial" w:cs="Arial"/>
          <w:szCs w:val="24"/>
        </w:rPr>
        <w:t>Cease the immigration detention of children and make suitable alternatives</w:t>
      </w:r>
      <w:r w:rsidR="008E41CE">
        <w:rPr>
          <w:rFonts w:ascii="Arial" w:eastAsia="Calibri" w:hAnsi="Arial" w:cs="Arial"/>
          <w:szCs w:val="24"/>
        </w:rPr>
        <w:t xml:space="preserve"> available</w:t>
      </w:r>
      <w:r w:rsidRPr="00605915">
        <w:rPr>
          <w:rFonts w:ascii="Arial" w:eastAsia="Calibri" w:hAnsi="Arial" w:cs="Arial"/>
          <w:szCs w:val="24"/>
        </w:rPr>
        <w:t>.</w:t>
      </w:r>
    </w:p>
    <w:p w14:paraId="5E5BAA56" w14:textId="77777777" w:rsidR="00FB521C" w:rsidRPr="00605915" w:rsidRDefault="00FB521C" w:rsidP="00605915">
      <w:pPr>
        <w:pStyle w:val="ListParagraph"/>
        <w:numPr>
          <w:ilvl w:val="0"/>
          <w:numId w:val="39"/>
        </w:numPr>
        <w:spacing w:before="120" w:after="120" w:line="240" w:lineRule="auto"/>
        <w:rPr>
          <w:rFonts w:ascii="Arial" w:eastAsia="Calibri" w:hAnsi="Arial" w:cs="Arial"/>
          <w:szCs w:val="24"/>
        </w:rPr>
      </w:pPr>
      <w:r w:rsidRPr="00605915">
        <w:rPr>
          <w:rFonts w:ascii="Arial" w:eastAsia="Calibri" w:hAnsi="Arial" w:cs="Arial"/>
          <w:szCs w:val="24"/>
        </w:rPr>
        <w:t>Reduce the waiting times of status determination processes for children seeking asylum, including by setting out service standards to ensure the timely processing of claims.</w:t>
      </w:r>
    </w:p>
    <w:p w14:paraId="0A9024C1" w14:textId="2A33244E" w:rsidR="00FB521C" w:rsidRPr="008916D8" w:rsidRDefault="00FB521C" w:rsidP="00A26DF5">
      <w:pPr>
        <w:pStyle w:val="ListParagraph"/>
        <w:numPr>
          <w:ilvl w:val="0"/>
          <w:numId w:val="39"/>
        </w:numPr>
        <w:spacing w:before="120" w:after="120" w:line="240" w:lineRule="auto"/>
        <w:rPr>
          <w:rFonts w:ascii="Arial" w:eastAsia="Calibri" w:hAnsi="Arial" w:cs="Arial"/>
          <w:szCs w:val="24"/>
        </w:rPr>
      </w:pPr>
      <w:r w:rsidRPr="00605915">
        <w:rPr>
          <w:rFonts w:ascii="Arial" w:eastAsia="Calibri" w:hAnsi="Arial" w:cs="Arial"/>
          <w:szCs w:val="24"/>
        </w:rPr>
        <w:t xml:space="preserve">Commit to not relocating children seeking asylum, including both unaccompanied and accompanied children, to Rwanda in light of safeguarding risks, </w:t>
      </w:r>
      <w:r w:rsidR="008916D8">
        <w:rPr>
          <w:rFonts w:ascii="Arial" w:eastAsia="Calibri" w:hAnsi="Arial" w:cs="Arial"/>
          <w:szCs w:val="24"/>
        </w:rPr>
        <w:t xml:space="preserve">and ensure future asylum policy </w:t>
      </w:r>
      <w:r w:rsidRPr="00605915">
        <w:rPr>
          <w:rFonts w:ascii="Arial" w:eastAsia="Calibri" w:hAnsi="Arial" w:cs="Arial"/>
          <w:szCs w:val="24"/>
        </w:rPr>
        <w:t>making complies with the Public Sector Equality Duty and all relevant rights under the CRC</w:t>
      </w:r>
      <w:r w:rsidR="008916D8">
        <w:rPr>
          <w:rFonts w:ascii="Arial" w:eastAsia="Calibri" w:hAnsi="Arial" w:cs="Arial"/>
          <w:szCs w:val="24"/>
        </w:rPr>
        <w:t>.</w:t>
      </w:r>
    </w:p>
    <w:p w14:paraId="73F14609" w14:textId="6E104C81" w:rsidR="00FB521C" w:rsidRPr="000530C5" w:rsidRDefault="00FB521C" w:rsidP="00FB521C">
      <w:pPr>
        <w:pStyle w:val="Heading2"/>
      </w:pPr>
      <w:bookmarkStart w:id="20" w:name="_Toc122018864"/>
      <w:r>
        <w:t>Administration of child justice</w:t>
      </w:r>
      <w:bookmarkEnd w:id="20"/>
    </w:p>
    <w:p w14:paraId="265A8765" w14:textId="34ED1CD3" w:rsidR="00FB521C" w:rsidRPr="00F535D9" w:rsidRDefault="00FB521C" w:rsidP="00F535D9">
      <w:pPr>
        <w:keepNext/>
        <w:pBdr>
          <w:top w:val="single" w:sz="24" w:space="8" w:color="DDDE45"/>
          <w:left w:val="single" w:sz="24" w:space="4" w:color="F1F1B4"/>
          <w:bottom w:val="single" w:sz="48" w:space="1" w:color="F1F1B4"/>
          <w:right w:val="single" w:sz="24" w:space="4" w:color="F1F1B4"/>
        </w:pBdr>
        <w:shd w:val="clear" w:color="auto" w:fill="F1F1B4"/>
        <w:spacing w:before="120" w:line="240" w:lineRule="auto"/>
        <w:ind w:left="142" w:right="198"/>
        <w:rPr>
          <w:rFonts w:ascii="Arial" w:eastAsia="Arial" w:hAnsi="Arial" w:cs="Arial"/>
          <w:b/>
          <w:szCs w:val="24"/>
        </w:rPr>
      </w:pPr>
      <w:r w:rsidRPr="006E33D0">
        <w:rPr>
          <w:rFonts w:ascii="Arial" w:eastAsia="Arial" w:hAnsi="Arial" w:cs="Arial"/>
          <w:b/>
          <w:szCs w:val="24"/>
        </w:rPr>
        <w:t xml:space="preserve">See: </w:t>
      </w:r>
      <w:hyperlink r:id="rId49" w:history="1">
        <w:r w:rsidRPr="006E33D0">
          <w:rPr>
            <w:rFonts w:ascii="Arial" w:eastAsia="Arial" w:hAnsi="Arial" w:cs="Arial"/>
            <w:b/>
            <w:szCs w:val="24"/>
            <w:u w:val="single" w:color="009C98"/>
          </w:rPr>
          <w:t>Our 2020 submission</w:t>
        </w:r>
      </w:hyperlink>
      <w:r w:rsidRPr="006E33D0">
        <w:rPr>
          <w:rFonts w:ascii="Arial" w:eastAsia="Arial" w:hAnsi="Arial" w:cs="Arial"/>
          <w:b/>
          <w:szCs w:val="24"/>
        </w:rPr>
        <w:t xml:space="preserve"> (pages 58-64); </w:t>
      </w:r>
      <w:hyperlink r:id="rId50" w:history="1">
        <w:r w:rsidR="005E0ED9">
          <w:rPr>
            <w:rFonts w:ascii="Arial" w:eastAsia="Arial" w:hAnsi="Arial" w:cs="Arial"/>
            <w:b/>
            <w:szCs w:val="24"/>
            <w:u w:val="single" w:color="009C98"/>
          </w:rPr>
          <w:t>UNCRC list of i</w:t>
        </w:r>
        <w:r w:rsidRPr="006E33D0">
          <w:rPr>
            <w:rFonts w:ascii="Arial" w:eastAsia="Arial" w:hAnsi="Arial" w:cs="Arial"/>
            <w:b/>
            <w:szCs w:val="24"/>
            <w:u w:val="single" w:color="009C98"/>
          </w:rPr>
          <w:t>ssues</w:t>
        </w:r>
      </w:hyperlink>
      <w:r w:rsidRPr="006E33D0">
        <w:rPr>
          <w:rFonts w:ascii="Arial" w:eastAsia="Arial" w:hAnsi="Arial" w:cs="Arial"/>
          <w:b/>
          <w:szCs w:val="24"/>
        </w:rPr>
        <w:t xml:space="preserve"> (para 31); </w:t>
      </w:r>
      <w:hyperlink r:id="rId51" w:history="1">
        <w:r w:rsidRPr="006E33D0">
          <w:rPr>
            <w:rFonts w:ascii="Arial" w:eastAsia="Arial" w:hAnsi="Arial" w:cs="Arial"/>
            <w:b/>
            <w:szCs w:val="24"/>
            <w:u w:val="single" w:color="009C98"/>
          </w:rPr>
          <w:t>UN Sustainable Development Goals</w:t>
        </w:r>
      </w:hyperlink>
      <w:r w:rsidRPr="006E33D0">
        <w:rPr>
          <w:rFonts w:ascii="Arial" w:eastAsia="Arial" w:hAnsi="Arial" w:cs="Arial"/>
          <w:b/>
          <w:szCs w:val="24"/>
        </w:rPr>
        <w:t xml:space="preserve"> (Goals 3, 4, 10 and 16)</w:t>
      </w:r>
    </w:p>
    <w:p w14:paraId="53250C3A" w14:textId="77777777" w:rsidR="005E0ED9" w:rsidRDefault="00FB521C" w:rsidP="00FB521C">
      <w:pPr>
        <w:autoSpaceDE w:val="0"/>
        <w:autoSpaceDN w:val="0"/>
        <w:adjustRightInd w:val="0"/>
        <w:spacing w:before="120" w:line="240" w:lineRule="auto"/>
        <w:rPr>
          <w:rFonts w:ascii="Arial" w:eastAsia="Calibri" w:hAnsi="Arial" w:cs="Arial"/>
          <w:color w:val="000000"/>
          <w:szCs w:val="24"/>
          <w:lang w:eastAsia="en-GB"/>
        </w:rPr>
      </w:pPr>
      <w:r w:rsidRPr="006E33D0">
        <w:rPr>
          <w:rFonts w:ascii="Arial" w:eastAsia="Calibri" w:hAnsi="Arial" w:cs="Arial"/>
          <w:color w:val="000000"/>
          <w:szCs w:val="24"/>
          <w:lang w:eastAsia="en-GB"/>
        </w:rPr>
        <w:t xml:space="preserve">The minimum age at which a child can be held criminally responsible in England and Wales </w:t>
      </w:r>
      <w:r>
        <w:rPr>
          <w:rFonts w:ascii="Arial" w:eastAsia="Calibri" w:hAnsi="Arial" w:cs="Arial"/>
          <w:color w:val="000000"/>
          <w:szCs w:val="24"/>
          <w:lang w:eastAsia="en-GB"/>
        </w:rPr>
        <w:t>is</w:t>
      </w:r>
      <w:r w:rsidRPr="006E33D0">
        <w:rPr>
          <w:rFonts w:ascii="Arial" w:eastAsia="Calibri" w:hAnsi="Arial" w:cs="Arial"/>
          <w:color w:val="000000"/>
          <w:szCs w:val="24"/>
          <w:lang w:eastAsia="en-GB"/>
        </w:rPr>
        <w:t xml:space="preserve"> 10 years old.</w:t>
      </w:r>
      <w:r w:rsidRPr="006E33D0">
        <w:rPr>
          <w:rFonts w:ascii="Arial" w:eastAsia="Calibri" w:hAnsi="Arial" w:cs="Arial"/>
          <w:color w:val="000000"/>
          <w:szCs w:val="24"/>
          <w:vertAlign w:val="superscript"/>
          <w:lang w:eastAsia="en-GB"/>
        </w:rPr>
        <w:footnoteReference w:id="443"/>
      </w:r>
      <w:r w:rsidRPr="006E33D0">
        <w:rPr>
          <w:rFonts w:ascii="Arial" w:eastAsia="Calibri" w:hAnsi="Arial" w:cs="Arial"/>
          <w:color w:val="000000"/>
          <w:szCs w:val="24"/>
          <w:lang w:eastAsia="en-GB"/>
        </w:rPr>
        <w:t xml:space="preserve"> This is inconsistent with international human rights standards,</w:t>
      </w:r>
      <w:r w:rsidRPr="006E33D0">
        <w:rPr>
          <w:rFonts w:ascii="Arial" w:eastAsia="Calibri" w:hAnsi="Arial" w:cs="Arial"/>
          <w:color w:val="000000"/>
          <w:szCs w:val="24"/>
          <w:vertAlign w:val="superscript"/>
          <w:lang w:eastAsia="en-GB"/>
        </w:rPr>
        <w:footnoteReference w:id="444"/>
      </w:r>
      <w:r w:rsidRPr="006E33D0">
        <w:rPr>
          <w:rFonts w:ascii="Arial" w:eastAsia="Calibri" w:hAnsi="Arial" w:cs="Arial"/>
          <w:color w:val="000000"/>
          <w:szCs w:val="24"/>
          <w:lang w:eastAsia="en-GB"/>
        </w:rPr>
        <w:t xml:space="preserve"> including the UNCRC’s recommendation for States to increase the </w:t>
      </w:r>
      <w:r w:rsidR="008E41CE">
        <w:rPr>
          <w:rFonts w:ascii="Arial" w:eastAsia="Calibri" w:hAnsi="Arial" w:cs="Arial"/>
          <w:color w:val="000000"/>
          <w:szCs w:val="24"/>
          <w:lang w:eastAsia="en-GB"/>
        </w:rPr>
        <w:t xml:space="preserve">minimum </w:t>
      </w:r>
      <w:r w:rsidRPr="006E33D0">
        <w:rPr>
          <w:rFonts w:ascii="Arial" w:eastAsia="Calibri" w:hAnsi="Arial" w:cs="Arial"/>
          <w:color w:val="000000"/>
          <w:szCs w:val="24"/>
          <w:lang w:eastAsia="en-GB"/>
        </w:rPr>
        <w:t>age to at least 14.</w:t>
      </w:r>
      <w:r w:rsidRPr="006E33D0">
        <w:rPr>
          <w:rFonts w:ascii="Arial" w:eastAsia="Calibri" w:hAnsi="Arial" w:cs="Arial"/>
          <w:color w:val="000000"/>
          <w:szCs w:val="24"/>
          <w:vertAlign w:val="superscript"/>
          <w:lang w:eastAsia="en-GB"/>
        </w:rPr>
        <w:footnoteReference w:id="445"/>
      </w:r>
      <w:r w:rsidRPr="006E33D0">
        <w:rPr>
          <w:rFonts w:ascii="Arial" w:eastAsia="Calibri" w:hAnsi="Arial" w:cs="Arial"/>
          <w:color w:val="000000"/>
          <w:szCs w:val="24"/>
          <w:lang w:eastAsia="en-GB"/>
        </w:rPr>
        <w:t xml:space="preserve"> It is also significantly lower than </w:t>
      </w:r>
      <w:r w:rsidR="008E41CE">
        <w:rPr>
          <w:rFonts w:ascii="Arial" w:eastAsia="Calibri" w:hAnsi="Arial" w:cs="Arial"/>
          <w:color w:val="000000"/>
          <w:szCs w:val="24"/>
          <w:lang w:eastAsia="en-GB"/>
        </w:rPr>
        <w:t>most</w:t>
      </w:r>
      <w:r w:rsidR="008E41CE" w:rsidRPr="006E33D0">
        <w:rPr>
          <w:rFonts w:ascii="Arial" w:eastAsia="Calibri" w:hAnsi="Arial" w:cs="Arial"/>
          <w:color w:val="000000"/>
          <w:szCs w:val="24"/>
          <w:lang w:eastAsia="en-GB"/>
        </w:rPr>
        <w:t xml:space="preserve"> </w:t>
      </w:r>
      <w:r w:rsidRPr="006E33D0">
        <w:rPr>
          <w:rFonts w:ascii="Arial" w:eastAsia="Calibri" w:hAnsi="Arial" w:cs="Arial"/>
          <w:color w:val="000000"/>
          <w:szCs w:val="24"/>
          <w:lang w:eastAsia="en-GB"/>
        </w:rPr>
        <w:t>countr</w:t>
      </w:r>
      <w:r w:rsidR="008E41CE">
        <w:rPr>
          <w:rFonts w:ascii="Arial" w:eastAsia="Calibri" w:hAnsi="Arial" w:cs="Arial"/>
          <w:color w:val="000000"/>
          <w:szCs w:val="24"/>
          <w:lang w:eastAsia="en-GB"/>
        </w:rPr>
        <w:t>ies</w:t>
      </w:r>
      <w:r w:rsidRPr="006E33D0">
        <w:rPr>
          <w:rFonts w:ascii="Arial" w:eastAsia="Calibri" w:hAnsi="Arial" w:cs="Arial"/>
          <w:color w:val="000000"/>
          <w:szCs w:val="24"/>
          <w:lang w:eastAsia="en-GB"/>
        </w:rPr>
        <w:t xml:space="preserve"> in Europe, with the exception </w:t>
      </w:r>
      <w:r w:rsidR="008E41CE">
        <w:rPr>
          <w:rFonts w:ascii="Arial" w:eastAsia="Calibri" w:hAnsi="Arial" w:cs="Arial"/>
          <w:color w:val="000000"/>
          <w:szCs w:val="24"/>
          <w:lang w:eastAsia="en-GB"/>
        </w:rPr>
        <w:t xml:space="preserve">only </w:t>
      </w:r>
      <w:r w:rsidRPr="006E33D0">
        <w:rPr>
          <w:rFonts w:ascii="Arial" w:eastAsia="Calibri" w:hAnsi="Arial" w:cs="Arial"/>
          <w:color w:val="000000"/>
          <w:szCs w:val="24"/>
          <w:lang w:eastAsia="en-GB"/>
        </w:rPr>
        <w:t>of Ireland and Switzerland.</w:t>
      </w:r>
      <w:r w:rsidRPr="006E33D0">
        <w:rPr>
          <w:rFonts w:ascii="Arial" w:eastAsia="Calibri" w:hAnsi="Arial" w:cs="Arial"/>
          <w:color w:val="000000"/>
          <w:szCs w:val="24"/>
          <w:vertAlign w:val="superscript"/>
          <w:lang w:eastAsia="en-GB"/>
        </w:rPr>
        <w:footnoteReference w:id="446"/>
      </w:r>
      <w:r w:rsidRPr="006E33D0">
        <w:rPr>
          <w:rFonts w:ascii="Arial" w:eastAsia="Calibri" w:hAnsi="Arial" w:cs="Arial"/>
          <w:color w:val="000000"/>
          <w:szCs w:val="24"/>
          <w:lang w:eastAsia="en-GB"/>
        </w:rPr>
        <w:t xml:space="preserve"> </w:t>
      </w:r>
    </w:p>
    <w:p w14:paraId="53EF4D99" w14:textId="5EC74440" w:rsidR="00FB521C" w:rsidRPr="006E33D0" w:rsidRDefault="00FB521C" w:rsidP="00FB521C">
      <w:pPr>
        <w:autoSpaceDE w:val="0"/>
        <w:autoSpaceDN w:val="0"/>
        <w:adjustRightInd w:val="0"/>
        <w:spacing w:before="120" w:line="240" w:lineRule="auto"/>
        <w:rPr>
          <w:rFonts w:ascii="Arial" w:eastAsia="Calibri" w:hAnsi="Arial" w:cs="Arial"/>
          <w:color w:val="000000"/>
          <w:szCs w:val="24"/>
          <w:lang w:eastAsia="en-GB"/>
        </w:rPr>
      </w:pPr>
      <w:r w:rsidRPr="006E33D0">
        <w:rPr>
          <w:rFonts w:ascii="Arial" w:eastAsia="Calibri" w:hAnsi="Arial" w:cs="Arial"/>
          <w:color w:val="000000"/>
          <w:szCs w:val="24"/>
          <w:lang w:eastAsia="en-GB"/>
        </w:rPr>
        <w:t xml:space="preserve">There is strong evidence </w:t>
      </w:r>
      <w:r w:rsidR="008E41CE">
        <w:rPr>
          <w:rFonts w:ascii="Arial" w:eastAsia="Calibri" w:hAnsi="Arial" w:cs="Arial"/>
          <w:color w:val="000000"/>
          <w:szCs w:val="24"/>
          <w:lang w:eastAsia="en-GB"/>
        </w:rPr>
        <w:t xml:space="preserve">from research </w:t>
      </w:r>
      <w:r w:rsidRPr="006E33D0">
        <w:rPr>
          <w:rFonts w:ascii="Arial" w:eastAsia="Calibri" w:hAnsi="Arial" w:cs="Arial"/>
          <w:color w:val="000000"/>
          <w:szCs w:val="24"/>
          <w:lang w:eastAsia="en-GB"/>
        </w:rPr>
        <w:t xml:space="preserve">on brain and behavioural development that children aged 10 are unlikely to fully understand the </w:t>
      </w:r>
      <w:r w:rsidR="008E41CE">
        <w:rPr>
          <w:rFonts w:ascii="Arial" w:eastAsia="Calibri" w:hAnsi="Arial" w:cs="Arial"/>
          <w:color w:val="000000"/>
          <w:szCs w:val="24"/>
          <w:lang w:eastAsia="en-GB"/>
        </w:rPr>
        <w:t>effect</w:t>
      </w:r>
      <w:r w:rsidR="008E41CE" w:rsidRPr="006E33D0">
        <w:rPr>
          <w:rFonts w:ascii="Arial" w:eastAsia="Calibri" w:hAnsi="Arial" w:cs="Arial"/>
          <w:color w:val="000000"/>
          <w:szCs w:val="24"/>
          <w:lang w:eastAsia="en-GB"/>
        </w:rPr>
        <w:t xml:space="preserve"> </w:t>
      </w:r>
      <w:r w:rsidRPr="006E33D0">
        <w:rPr>
          <w:rFonts w:ascii="Arial" w:eastAsia="Calibri" w:hAnsi="Arial" w:cs="Arial"/>
          <w:color w:val="000000"/>
          <w:szCs w:val="24"/>
          <w:lang w:eastAsia="en-GB"/>
        </w:rPr>
        <w:t>of their actions or to comprehend criminal proceedings.</w:t>
      </w:r>
      <w:r w:rsidRPr="006E33D0">
        <w:rPr>
          <w:rFonts w:ascii="Arial" w:eastAsia="Calibri" w:hAnsi="Arial" w:cs="Arial"/>
          <w:color w:val="000000"/>
          <w:szCs w:val="24"/>
          <w:vertAlign w:val="superscript"/>
          <w:lang w:eastAsia="en-GB"/>
        </w:rPr>
        <w:footnoteReference w:id="447"/>
      </w:r>
      <w:r w:rsidRPr="006E33D0">
        <w:rPr>
          <w:rFonts w:ascii="Arial" w:eastAsia="Calibri" w:hAnsi="Arial" w:cs="Arial"/>
          <w:color w:val="000000"/>
          <w:szCs w:val="24"/>
          <w:lang w:eastAsia="en-GB"/>
        </w:rPr>
        <w:t xml:space="preserve"> </w:t>
      </w:r>
      <w:r w:rsidRPr="004A6265">
        <w:rPr>
          <w:rFonts w:ascii="Arial" w:eastAsia="Calibri" w:hAnsi="Arial" w:cs="Arial"/>
          <w:color w:val="000000"/>
          <w:szCs w:val="24"/>
          <w:lang w:eastAsia="en-GB"/>
        </w:rPr>
        <w:t>Despite this, the UK Government has rejected calls to review or change the minimum age.</w:t>
      </w:r>
      <w:r w:rsidRPr="004A6265">
        <w:rPr>
          <w:rFonts w:ascii="Arial" w:eastAsia="Calibri" w:hAnsi="Arial" w:cs="Arial"/>
          <w:color w:val="000000"/>
          <w:szCs w:val="24"/>
          <w:vertAlign w:val="superscript"/>
          <w:lang w:eastAsia="en-GB"/>
        </w:rPr>
        <w:footnoteReference w:id="448"/>
      </w:r>
    </w:p>
    <w:p w14:paraId="04AA2E5D" w14:textId="77777777" w:rsidR="005E0ED9" w:rsidRDefault="00FB521C" w:rsidP="00FB521C">
      <w:pPr>
        <w:spacing w:before="120" w:line="240" w:lineRule="auto"/>
        <w:rPr>
          <w:rFonts w:ascii="Arial" w:eastAsia="Calibri" w:hAnsi="Arial" w:cs="Arial"/>
          <w:szCs w:val="24"/>
        </w:rPr>
      </w:pPr>
      <w:r w:rsidRPr="006E33D0">
        <w:rPr>
          <w:rFonts w:ascii="Arial" w:eastAsia="Calibri" w:hAnsi="Arial" w:cs="Arial"/>
          <w:szCs w:val="24"/>
        </w:rPr>
        <w:t>Some aspects of the youth justice system in England and Wales continue to present challenges for the realisation of children’s rights. In the year to March 2021, children on remand made up the highest proportion of children in custody in England and Wales for the first time, and spent an average of over two weeks longer on remand than the previous year.</w:t>
      </w:r>
      <w:r w:rsidRPr="006E33D0">
        <w:rPr>
          <w:rFonts w:ascii="Arial" w:eastAsia="Calibri" w:hAnsi="Arial" w:cs="Arial"/>
          <w:szCs w:val="24"/>
          <w:vertAlign w:val="superscript"/>
        </w:rPr>
        <w:footnoteReference w:id="449"/>
      </w:r>
      <w:r w:rsidRPr="006E33D0">
        <w:rPr>
          <w:rFonts w:ascii="Arial" w:eastAsia="Calibri" w:hAnsi="Arial" w:cs="Arial"/>
          <w:szCs w:val="24"/>
        </w:rPr>
        <w:t xml:space="preserve"> </w:t>
      </w:r>
    </w:p>
    <w:p w14:paraId="1E80D926" w14:textId="261B697A" w:rsidR="00FB521C" w:rsidRPr="006E33D0" w:rsidRDefault="00FB521C" w:rsidP="00FB521C">
      <w:pPr>
        <w:spacing w:before="120" w:line="240" w:lineRule="auto"/>
        <w:rPr>
          <w:rFonts w:ascii="Arial" w:eastAsia="Calibri" w:hAnsi="Arial" w:cs="Arial"/>
          <w:szCs w:val="24"/>
        </w:rPr>
      </w:pPr>
      <w:r w:rsidRPr="006E33D0">
        <w:rPr>
          <w:rFonts w:ascii="Arial" w:eastAsia="Calibri" w:hAnsi="Arial" w:cs="Arial"/>
          <w:szCs w:val="24"/>
        </w:rPr>
        <w:t>Court closures during the pandemic and backlogs in the courts are likely to have been factors in these changes.</w:t>
      </w:r>
      <w:r w:rsidRPr="006E33D0">
        <w:rPr>
          <w:rFonts w:ascii="Arial" w:eastAsia="Calibri" w:hAnsi="Arial" w:cs="Arial"/>
          <w:szCs w:val="24"/>
          <w:vertAlign w:val="superscript"/>
        </w:rPr>
        <w:footnoteReference w:id="450"/>
      </w:r>
      <w:r w:rsidRPr="006E33D0">
        <w:rPr>
          <w:rFonts w:ascii="Arial" w:eastAsia="Calibri" w:hAnsi="Arial" w:cs="Arial"/>
          <w:szCs w:val="24"/>
        </w:rPr>
        <w:t xml:space="preserve"> Almost three-quarters of children remanded to youth detention accommodation did not go on to receive a custodial sentence, suggesting custodial remand </w:t>
      </w:r>
      <w:r>
        <w:rPr>
          <w:rFonts w:ascii="Arial" w:eastAsia="Calibri" w:hAnsi="Arial" w:cs="Arial"/>
          <w:szCs w:val="24"/>
        </w:rPr>
        <w:t>may not</w:t>
      </w:r>
      <w:r w:rsidRPr="006E33D0">
        <w:rPr>
          <w:rFonts w:ascii="Arial" w:eastAsia="Calibri" w:hAnsi="Arial" w:cs="Arial"/>
          <w:szCs w:val="24"/>
        </w:rPr>
        <w:t xml:space="preserve"> have been appropriate.</w:t>
      </w:r>
      <w:r w:rsidRPr="006E33D0">
        <w:rPr>
          <w:rFonts w:ascii="Arial" w:eastAsia="Calibri" w:hAnsi="Arial" w:cs="Arial"/>
          <w:szCs w:val="24"/>
          <w:vertAlign w:val="superscript"/>
        </w:rPr>
        <w:footnoteReference w:id="451"/>
      </w:r>
      <w:r w:rsidRPr="006E33D0">
        <w:rPr>
          <w:rFonts w:ascii="Arial" w:eastAsia="Calibri" w:hAnsi="Arial" w:cs="Arial"/>
          <w:szCs w:val="24"/>
        </w:rPr>
        <w:t xml:space="preserve"> </w:t>
      </w:r>
    </w:p>
    <w:p w14:paraId="33F9C025" w14:textId="77777777" w:rsidR="005E0ED9" w:rsidRDefault="00FB521C" w:rsidP="00FB521C">
      <w:pPr>
        <w:spacing w:before="120" w:line="240" w:lineRule="auto"/>
        <w:rPr>
          <w:rFonts w:ascii="Arial" w:eastAsia="Calibri" w:hAnsi="Arial" w:cs="Arial"/>
          <w:szCs w:val="24"/>
        </w:rPr>
      </w:pPr>
      <w:r w:rsidRPr="006E33D0">
        <w:rPr>
          <w:rFonts w:ascii="Arial" w:eastAsia="Calibri" w:hAnsi="Arial" w:cs="Arial"/>
          <w:szCs w:val="24"/>
        </w:rPr>
        <w:t xml:space="preserve">We welcome the provisions in the UK Government’s Police, Crime, Sentencing and Courts (PCSC) Act 2022 </w:t>
      </w:r>
      <w:r w:rsidR="00037DC7">
        <w:rPr>
          <w:rFonts w:ascii="Arial" w:eastAsia="Calibri" w:hAnsi="Arial" w:cs="Arial"/>
          <w:szCs w:val="24"/>
        </w:rPr>
        <w:t>that</w:t>
      </w:r>
      <w:r w:rsidR="00037DC7" w:rsidRPr="006E33D0">
        <w:rPr>
          <w:rFonts w:ascii="Arial" w:eastAsia="Calibri" w:hAnsi="Arial" w:cs="Arial"/>
          <w:szCs w:val="24"/>
        </w:rPr>
        <w:t xml:space="preserve"> </w:t>
      </w:r>
      <w:r w:rsidRPr="006E33D0">
        <w:rPr>
          <w:rFonts w:ascii="Arial" w:eastAsia="Calibri" w:hAnsi="Arial" w:cs="Arial"/>
          <w:szCs w:val="24"/>
        </w:rPr>
        <w:t xml:space="preserve">tighten the test used by the courts to remand children </w:t>
      </w:r>
      <w:r w:rsidR="00037DC7">
        <w:rPr>
          <w:rFonts w:ascii="Arial" w:eastAsia="Calibri" w:hAnsi="Arial" w:cs="Arial"/>
          <w:szCs w:val="24"/>
        </w:rPr>
        <w:t>in</w:t>
      </w:r>
      <w:r w:rsidRPr="006E33D0">
        <w:rPr>
          <w:rFonts w:ascii="Arial" w:eastAsia="Calibri" w:hAnsi="Arial" w:cs="Arial"/>
          <w:szCs w:val="24"/>
        </w:rPr>
        <w:t xml:space="preserve"> custody.</w:t>
      </w:r>
      <w:r w:rsidRPr="006E33D0">
        <w:rPr>
          <w:rFonts w:ascii="Arial" w:eastAsia="Calibri" w:hAnsi="Arial" w:cs="Arial"/>
          <w:szCs w:val="24"/>
          <w:vertAlign w:val="superscript"/>
        </w:rPr>
        <w:footnoteReference w:id="452"/>
      </w:r>
      <w:r w:rsidRPr="006E33D0">
        <w:rPr>
          <w:rFonts w:ascii="Arial" w:eastAsia="Calibri" w:hAnsi="Arial" w:cs="Arial"/>
          <w:szCs w:val="24"/>
        </w:rPr>
        <w:t xml:space="preserve"> The UK Government’s review of custodial remand for children identifies further steps </w:t>
      </w:r>
      <w:r w:rsidR="00037DC7">
        <w:rPr>
          <w:rFonts w:ascii="Arial" w:eastAsia="Calibri" w:hAnsi="Arial" w:cs="Arial"/>
          <w:szCs w:val="24"/>
        </w:rPr>
        <w:t>that</w:t>
      </w:r>
      <w:r w:rsidR="00037DC7" w:rsidRPr="006E33D0">
        <w:rPr>
          <w:rFonts w:ascii="Arial" w:eastAsia="Calibri" w:hAnsi="Arial" w:cs="Arial"/>
          <w:szCs w:val="24"/>
        </w:rPr>
        <w:t xml:space="preserve"> </w:t>
      </w:r>
      <w:r w:rsidRPr="006E33D0">
        <w:rPr>
          <w:rFonts w:ascii="Arial" w:eastAsia="Calibri" w:hAnsi="Arial" w:cs="Arial"/>
          <w:szCs w:val="24"/>
        </w:rPr>
        <w:t>must be taken to reduce the inappropriate use of custodial remand, including ensuring that safe alternatives in the community are available.</w:t>
      </w:r>
      <w:r w:rsidRPr="006E33D0">
        <w:rPr>
          <w:rFonts w:ascii="Arial" w:eastAsia="Calibri" w:hAnsi="Arial" w:cs="Arial"/>
          <w:szCs w:val="24"/>
          <w:vertAlign w:val="superscript"/>
        </w:rPr>
        <w:footnoteReference w:id="453"/>
      </w:r>
      <w:r w:rsidRPr="006E33D0">
        <w:rPr>
          <w:rFonts w:ascii="Arial" w:eastAsia="Calibri" w:hAnsi="Arial" w:cs="Arial"/>
          <w:szCs w:val="24"/>
        </w:rPr>
        <w:t xml:space="preserve"> </w:t>
      </w:r>
    </w:p>
    <w:p w14:paraId="5017563A" w14:textId="20C5643D" w:rsidR="00FB521C" w:rsidRPr="006E33D0" w:rsidRDefault="00FB521C" w:rsidP="00FB521C">
      <w:pPr>
        <w:spacing w:before="120" w:line="240" w:lineRule="auto"/>
        <w:rPr>
          <w:rFonts w:ascii="Arial" w:eastAsia="Calibri" w:hAnsi="Arial" w:cs="Arial"/>
          <w:szCs w:val="24"/>
        </w:rPr>
      </w:pPr>
      <w:r w:rsidRPr="006E33D0">
        <w:rPr>
          <w:rFonts w:ascii="Arial" w:eastAsia="Calibri" w:hAnsi="Arial" w:cs="Arial"/>
          <w:szCs w:val="24"/>
        </w:rPr>
        <w:t>In 2022, the Welsh Government published its approach to reforming the justice system, following the 2019 report by the Commission on Justice in Wales,</w:t>
      </w:r>
      <w:r w:rsidRPr="006E33D0">
        <w:rPr>
          <w:rFonts w:ascii="Arial" w:eastAsia="Calibri" w:hAnsi="Arial" w:cs="Arial"/>
          <w:szCs w:val="24"/>
          <w:vertAlign w:val="superscript"/>
        </w:rPr>
        <w:footnoteReference w:id="454"/>
      </w:r>
      <w:r w:rsidRPr="006E33D0">
        <w:rPr>
          <w:rFonts w:ascii="Arial" w:eastAsia="Calibri" w:hAnsi="Arial" w:cs="Arial"/>
          <w:szCs w:val="24"/>
        </w:rPr>
        <w:t xml:space="preserve"> including a commitment to work with partners, including the UK Government, to reduce the number of children held on remand.</w:t>
      </w:r>
      <w:r w:rsidRPr="006E33D0">
        <w:rPr>
          <w:rFonts w:ascii="Arial" w:eastAsia="Calibri" w:hAnsi="Arial" w:cs="Arial"/>
          <w:szCs w:val="24"/>
          <w:vertAlign w:val="superscript"/>
        </w:rPr>
        <w:footnoteReference w:id="455"/>
      </w:r>
      <w:r w:rsidRPr="006E33D0">
        <w:rPr>
          <w:rFonts w:ascii="Arial" w:eastAsia="Calibri" w:hAnsi="Arial" w:cs="Arial"/>
          <w:szCs w:val="24"/>
        </w:rPr>
        <w:t xml:space="preserve"> Evidence also shows that children in police custody are sometimes placed in holding areas or rooms with adult detainees, risking the safety and wellbeing of children.</w:t>
      </w:r>
      <w:r w:rsidRPr="006E33D0">
        <w:rPr>
          <w:rFonts w:ascii="Arial" w:eastAsia="Calibri" w:hAnsi="Arial" w:cs="Arial"/>
          <w:szCs w:val="24"/>
          <w:vertAlign w:val="superscript"/>
        </w:rPr>
        <w:footnoteReference w:id="456"/>
      </w:r>
    </w:p>
    <w:p w14:paraId="1EEC674D" w14:textId="401A8056" w:rsidR="005E0ED9" w:rsidRDefault="005E0ED9" w:rsidP="00FB521C">
      <w:pPr>
        <w:spacing w:before="120" w:line="240" w:lineRule="auto"/>
        <w:rPr>
          <w:rFonts w:ascii="Arial" w:eastAsia="Calibri" w:hAnsi="Arial" w:cs="Arial"/>
          <w:szCs w:val="24"/>
        </w:rPr>
      </w:pPr>
      <w:r>
        <w:rPr>
          <w:rFonts w:ascii="Arial" w:eastAsia="Calibri" w:hAnsi="Arial" w:cs="Arial"/>
          <w:szCs w:val="24"/>
        </w:rPr>
        <w:t>In the criminal justice system</w:t>
      </w:r>
      <w:r w:rsidR="00FB521C" w:rsidRPr="006E33D0">
        <w:rPr>
          <w:rFonts w:ascii="Arial" w:eastAsia="Calibri" w:hAnsi="Arial" w:cs="Arial"/>
          <w:szCs w:val="24"/>
        </w:rPr>
        <w:t xml:space="preserve"> children from ethnic minorities face significant disparities. Black children are more likely</w:t>
      </w:r>
      <w:r w:rsidR="00037DC7">
        <w:rPr>
          <w:rFonts w:ascii="Arial" w:eastAsia="Calibri" w:hAnsi="Arial" w:cs="Arial"/>
          <w:szCs w:val="24"/>
        </w:rPr>
        <w:t xml:space="preserve"> than children from all other ethnic groups</w:t>
      </w:r>
      <w:r w:rsidR="00FB521C" w:rsidRPr="006E33D0">
        <w:rPr>
          <w:rFonts w:ascii="Arial" w:eastAsia="Calibri" w:hAnsi="Arial" w:cs="Arial"/>
          <w:szCs w:val="24"/>
        </w:rPr>
        <w:t xml:space="preserve"> to be arrested, held on remand, sentenced to custody, assessed as at risk of serious harm, and to reoffend.</w:t>
      </w:r>
      <w:r w:rsidR="00FB521C" w:rsidRPr="006E33D0">
        <w:rPr>
          <w:rFonts w:ascii="Arial" w:eastAsia="Calibri" w:hAnsi="Arial" w:cs="Arial"/>
          <w:szCs w:val="24"/>
          <w:vertAlign w:val="superscript"/>
        </w:rPr>
        <w:footnoteReference w:id="457"/>
      </w:r>
      <w:r w:rsidR="00FB521C" w:rsidRPr="006E33D0">
        <w:rPr>
          <w:rFonts w:ascii="Arial" w:eastAsia="Calibri" w:hAnsi="Arial" w:cs="Arial"/>
          <w:szCs w:val="24"/>
        </w:rPr>
        <w:t xml:space="preserve"> </w:t>
      </w:r>
      <w:r w:rsidR="00FB521C" w:rsidRPr="004A6265">
        <w:rPr>
          <w:rFonts w:ascii="Arial" w:eastAsia="Calibri" w:hAnsi="Arial" w:cs="Arial"/>
          <w:szCs w:val="24"/>
        </w:rPr>
        <w:t xml:space="preserve">The proportion of children in custody who are Black is now 29%, up from 18% </w:t>
      </w:r>
      <w:r w:rsidR="00037DC7">
        <w:rPr>
          <w:rFonts w:ascii="Arial" w:eastAsia="Calibri" w:hAnsi="Arial" w:cs="Arial"/>
          <w:szCs w:val="24"/>
        </w:rPr>
        <w:t>10</w:t>
      </w:r>
      <w:r w:rsidR="00FB521C" w:rsidRPr="004A6265">
        <w:rPr>
          <w:rFonts w:ascii="Arial" w:eastAsia="Calibri" w:hAnsi="Arial" w:cs="Arial"/>
          <w:szCs w:val="24"/>
        </w:rPr>
        <w:t xml:space="preserve"> years ago.</w:t>
      </w:r>
      <w:r w:rsidR="00FB521C" w:rsidRPr="004A6265">
        <w:rPr>
          <w:rFonts w:ascii="Arial" w:eastAsia="Calibri" w:hAnsi="Arial" w:cs="Arial"/>
          <w:szCs w:val="24"/>
          <w:vertAlign w:val="superscript"/>
        </w:rPr>
        <w:footnoteReference w:id="458"/>
      </w:r>
      <w:r w:rsidR="00FB521C" w:rsidRPr="004A6265">
        <w:rPr>
          <w:rFonts w:ascii="Arial" w:eastAsia="Calibri" w:hAnsi="Arial" w:cs="Arial"/>
          <w:szCs w:val="24"/>
        </w:rPr>
        <w:t xml:space="preserve"> </w:t>
      </w:r>
      <w:r w:rsidR="00FB521C">
        <w:rPr>
          <w:rFonts w:ascii="Arial" w:eastAsia="Calibri" w:hAnsi="Arial" w:cs="Arial"/>
          <w:szCs w:val="24"/>
        </w:rPr>
        <w:t xml:space="preserve">This proportion is significantly higher than the proportion of people in the UK who are Black. </w:t>
      </w:r>
    </w:p>
    <w:p w14:paraId="2A53DD97" w14:textId="4A1E341C" w:rsidR="00FB521C" w:rsidRPr="006E33D0" w:rsidRDefault="00FB521C" w:rsidP="00FB521C">
      <w:pPr>
        <w:spacing w:before="120" w:line="240" w:lineRule="auto"/>
        <w:rPr>
          <w:rFonts w:ascii="Arial" w:eastAsia="Calibri" w:hAnsi="Arial" w:cs="Arial"/>
          <w:szCs w:val="24"/>
        </w:rPr>
      </w:pPr>
      <w:r w:rsidRPr="004A6265">
        <w:rPr>
          <w:rFonts w:ascii="Arial" w:eastAsia="Calibri" w:hAnsi="Arial" w:cs="Arial"/>
          <w:szCs w:val="24"/>
        </w:rPr>
        <w:t>Some</w:t>
      </w:r>
      <w:r w:rsidRPr="006E33D0">
        <w:rPr>
          <w:rFonts w:ascii="Arial" w:eastAsia="Calibri" w:hAnsi="Arial" w:cs="Arial"/>
          <w:szCs w:val="24"/>
        </w:rPr>
        <w:t xml:space="preserve"> of these disparities can be explained when factors such as demographic characteristics and offence type are </w:t>
      </w:r>
      <w:r w:rsidR="00037DC7">
        <w:rPr>
          <w:rFonts w:ascii="Arial" w:eastAsia="Calibri" w:hAnsi="Arial" w:cs="Arial"/>
          <w:szCs w:val="24"/>
        </w:rPr>
        <w:t>considered</w:t>
      </w:r>
      <w:r w:rsidRPr="006E33D0">
        <w:rPr>
          <w:rFonts w:ascii="Arial" w:eastAsia="Calibri" w:hAnsi="Arial" w:cs="Arial"/>
          <w:szCs w:val="24"/>
        </w:rPr>
        <w:t>.</w:t>
      </w:r>
      <w:r w:rsidRPr="006E33D0">
        <w:rPr>
          <w:rFonts w:ascii="Arial" w:eastAsia="Calibri" w:hAnsi="Arial" w:cs="Arial"/>
          <w:szCs w:val="24"/>
          <w:vertAlign w:val="superscript"/>
        </w:rPr>
        <w:footnoteReference w:id="459"/>
      </w:r>
      <w:r w:rsidRPr="006E33D0">
        <w:rPr>
          <w:rFonts w:ascii="Arial" w:eastAsia="Calibri" w:hAnsi="Arial" w:cs="Arial"/>
          <w:szCs w:val="24"/>
        </w:rPr>
        <w:t xml:space="preserve"> However, these factors do not always explain disproportionality. With a percentage of the ethnicity variance unexplained, we are concerned that factors related to race, including racial discrimination, may also be part of the explanation.</w:t>
      </w:r>
      <w:r w:rsidRPr="006E33D0">
        <w:rPr>
          <w:rFonts w:ascii="Arial" w:eastAsia="Calibri" w:hAnsi="Arial" w:cs="Arial"/>
          <w:szCs w:val="24"/>
          <w:vertAlign w:val="superscript"/>
        </w:rPr>
        <w:footnoteReference w:id="460"/>
      </w:r>
      <w:r w:rsidRPr="006E33D0">
        <w:rPr>
          <w:rFonts w:ascii="Arial" w:eastAsia="Calibri" w:hAnsi="Arial" w:cs="Arial"/>
          <w:szCs w:val="24"/>
        </w:rPr>
        <w:t xml:space="preserve"> It is disappointing that while some steps have been taken to better understand disparities,</w:t>
      </w:r>
      <w:r w:rsidRPr="006E33D0">
        <w:rPr>
          <w:rFonts w:ascii="Arial" w:eastAsia="Calibri" w:hAnsi="Arial" w:cs="Arial"/>
          <w:szCs w:val="24"/>
          <w:vertAlign w:val="superscript"/>
        </w:rPr>
        <w:footnoteReference w:id="461"/>
      </w:r>
      <w:r w:rsidRPr="006E33D0">
        <w:rPr>
          <w:rFonts w:ascii="Arial" w:eastAsia="Calibri" w:hAnsi="Arial" w:cs="Arial"/>
          <w:szCs w:val="24"/>
        </w:rPr>
        <w:t xml:space="preserve"> little progress has been made in tackling the underlying issues, with some disparities worsening since the 2017 Lammy Review into disproportionality.</w:t>
      </w:r>
      <w:r w:rsidRPr="006E33D0">
        <w:rPr>
          <w:rFonts w:ascii="Arial" w:eastAsia="Calibri" w:hAnsi="Arial" w:cs="Arial"/>
          <w:szCs w:val="24"/>
          <w:vertAlign w:val="superscript"/>
        </w:rPr>
        <w:footnoteReference w:id="462"/>
      </w:r>
      <w:r w:rsidRPr="006E33D0">
        <w:rPr>
          <w:rFonts w:ascii="Arial" w:eastAsia="Calibri" w:hAnsi="Arial" w:cs="Arial"/>
          <w:szCs w:val="24"/>
        </w:rPr>
        <w:t xml:space="preserve"> </w:t>
      </w:r>
    </w:p>
    <w:p w14:paraId="6E68C09F" w14:textId="750057B4" w:rsidR="00FB521C" w:rsidRPr="006E33D0" w:rsidRDefault="00FB521C" w:rsidP="00FB521C">
      <w:pPr>
        <w:spacing w:before="120" w:line="240" w:lineRule="auto"/>
        <w:rPr>
          <w:rFonts w:ascii="Arial" w:eastAsia="Calibri" w:hAnsi="Arial" w:cs="Arial"/>
          <w:szCs w:val="24"/>
        </w:rPr>
      </w:pPr>
      <w:r w:rsidRPr="006E33D0">
        <w:rPr>
          <w:rFonts w:ascii="Arial" w:eastAsia="Calibri" w:hAnsi="Arial" w:cs="Arial"/>
          <w:szCs w:val="24"/>
        </w:rPr>
        <w:t>We welcome the UK Government’s aim to tackle ethnic disparity in the criminalisation of young people, as outlined in the 2022 ‘Inclusive Britain’</w:t>
      </w:r>
      <w:r w:rsidR="00037DC7">
        <w:rPr>
          <w:rFonts w:ascii="Arial" w:eastAsia="Calibri" w:hAnsi="Arial" w:cs="Arial"/>
          <w:szCs w:val="24"/>
        </w:rPr>
        <w:t xml:space="preserve"> action plan</w:t>
      </w:r>
      <w:r w:rsidRPr="006E33D0">
        <w:rPr>
          <w:rFonts w:ascii="Arial" w:eastAsia="Calibri" w:hAnsi="Arial" w:cs="Arial"/>
          <w:szCs w:val="24"/>
        </w:rPr>
        <w:t>,</w:t>
      </w:r>
      <w:r w:rsidRPr="006E33D0">
        <w:rPr>
          <w:rFonts w:ascii="Arial" w:eastAsia="Calibri" w:hAnsi="Arial" w:cs="Arial"/>
          <w:szCs w:val="24"/>
          <w:vertAlign w:val="superscript"/>
        </w:rPr>
        <w:footnoteReference w:id="463"/>
      </w:r>
      <w:r w:rsidRPr="006E33D0">
        <w:rPr>
          <w:rFonts w:ascii="Arial" w:eastAsia="Calibri" w:hAnsi="Arial" w:cs="Arial"/>
          <w:szCs w:val="24"/>
        </w:rPr>
        <w:t xml:space="preserve"> though the plan does not address wider problems faced specifically by children in the youth justice system and lacks detail on how progress and impact will be monitored. </w:t>
      </w:r>
    </w:p>
    <w:p w14:paraId="43B27AA3" w14:textId="33A4EDA0" w:rsidR="00FB521C" w:rsidRPr="006E33D0" w:rsidRDefault="00FB521C" w:rsidP="00FB521C">
      <w:pPr>
        <w:spacing w:before="120" w:line="240" w:lineRule="auto"/>
        <w:rPr>
          <w:rFonts w:ascii="Arial" w:eastAsia="Calibri" w:hAnsi="Arial" w:cs="Arial"/>
          <w:szCs w:val="24"/>
        </w:rPr>
      </w:pPr>
      <w:r w:rsidRPr="006E33D0">
        <w:rPr>
          <w:rFonts w:ascii="Arial" w:eastAsia="Calibri" w:hAnsi="Arial" w:cs="Arial"/>
          <w:szCs w:val="24"/>
        </w:rPr>
        <w:t>We are concerned that provisions in the PCSC Act may be incompatible with the principle of imposing custody on children as a last resort and for t</w:t>
      </w:r>
      <w:r w:rsidR="005E0ED9">
        <w:rPr>
          <w:rFonts w:ascii="Arial" w:eastAsia="Calibri" w:hAnsi="Arial" w:cs="Arial"/>
          <w:szCs w:val="24"/>
        </w:rPr>
        <w:t>he shortest period possible. This</w:t>
      </w:r>
      <w:r w:rsidRPr="006E33D0">
        <w:rPr>
          <w:rFonts w:ascii="Arial" w:eastAsia="Calibri" w:hAnsi="Arial" w:cs="Arial"/>
          <w:szCs w:val="24"/>
        </w:rPr>
        <w:t xml:space="preserve"> Act restricts the circumstances in which courts can diverge from mandatory minimum sentences for certain offences committed by 16- and 17-year-olds. </w:t>
      </w:r>
      <w:r w:rsidR="00037DC7">
        <w:rPr>
          <w:rFonts w:ascii="Arial" w:eastAsia="Calibri" w:hAnsi="Arial" w:cs="Arial"/>
          <w:szCs w:val="24"/>
        </w:rPr>
        <w:t>Previously, c</w:t>
      </w:r>
      <w:r w:rsidRPr="006E33D0">
        <w:rPr>
          <w:rFonts w:ascii="Arial" w:eastAsia="Calibri" w:hAnsi="Arial" w:cs="Arial"/>
          <w:szCs w:val="24"/>
        </w:rPr>
        <w:t xml:space="preserve">hildren serving certain sentences were required to spend at least half of their sentence in custody, </w:t>
      </w:r>
      <w:r w:rsidR="00037DC7">
        <w:rPr>
          <w:rFonts w:ascii="Arial" w:eastAsia="Calibri" w:hAnsi="Arial" w:cs="Arial"/>
          <w:szCs w:val="24"/>
        </w:rPr>
        <w:t xml:space="preserve">but </w:t>
      </w:r>
      <w:r w:rsidRPr="006E33D0">
        <w:rPr>
          <w:rFonts w:ascii="Arial" w:eastAsia="Calibri" w:hAnsi="Arial" w:cs="Arial"/>
          <w:szCs w:val="24"/>
        </w:rPr>
        <w:t xml:space="preserve">this </w:t>
      </w:r>
      <w:r w:rsidR="00037DC7">
        <w:rPr>
          <w:rFonts w:ascii="Arial" w:eastAsia="Calibri" w:hAnsi="Arial" w:cs="Arial"/>
          <w:szCs w:val="24"/>
        </w:rPr>
        <w:t xml:space="preserve">proportion has </w:t>
      </w:r>
      <w:r w:rsidRPr="006E33D0">
        <w:rPr>
          <w:rFonts w:ascii="Arial" w:eastAsia="Calibri" w:hAnsi="Arial" w:cs="Arial"/>
          <w:szCs w:val="24"/>
        </w:rPr>
        <w:t xml:space="preserve">now </w:t>
      </w:r>
      <w:r w:rsidR="00037DC7">
        <w:rPr>
          <w:rFonts w:ascii="Arial" w:eastAsia="Calibri" w:hAnsi="Arial" w:cs="Arial"/>
          <w:szCs w:val="24"/>
        </w:rPr>
        <w:t xml:space="preserve">been </w:t>
      </w:r>
      <w:r w:rsidRPr="006E33D0">
        <w:rPr>
          <w:rFonts w:ascii="Arial" w:eastAsia="Calibri" w:hAnsi="Arial" w:cs="Arial"/>
          <w:szCs w:val="24"/>
        </w:rPr>
        <w:t>raised to two-thirds.</w:t>
      </w:r>
      <w:r w:rsidRPr="006E33D0">
        <w:rPr>
          <w:rFonts w:ascii="Arial" w:eastAsia="Calibri" w:hAnsi="Arial" w:cs="Arial"/>
          <w:szCs w:val="24"/>
          <w:vertAlign w:val="superscript"/>
        </w:rPr>
        <w:footnoteReference w:id="464"/>
      </w:r>
      <w:r w:rsidRPr="006E33D0">
        <w:rPr>
          <w:rFonts w:ascii="Arial" w:eastAsia="Calibri" w:hAnsi="Arial" w:cs="Arial"/>
          <w:szCs w:val="24"/>
        </w:rPr>
        <w:t xml:space="preserve"> </w:t>
      </w:r>
    </w:p>
    <w:p w14:paraId="739C25A2" w14:textId="1FF5ABDE" w:rsidR="00FB521C" w:rsidRPr="006E33D0" w:rsidRDefault="00FB521C" w:rsidP="00FB521C">
      <w:pPr>
        <w:spacing w:before="120" w:line="240" w:lineRule="auto"/>
        <w:rPr>
          <w:rFonts w:ascii="Arial" w:eastAsia="Calibri" w:hAnsi="Arial" w:cs="Arial"/>
          <w:szCs w:val="24"/>
        </w:rPr>
      </w:pPr>
      <w:r w:rsidRPr="006E33D0">
        <w:rPr>
          <w:rFonts w:ascii="Arial" w:eastAsia="Calibri" w:hAnsi="Arial" w:cs="Arial"/>
          <w:szCs w:val="24"/>
        </w:rPr>
        <w:t>Children who commit murder in England and Wales when aged 10</w:t>
      </w:r>
      <w:r w:rsidR="00037DC7">
        <w:rPr>
          <w:rFonts w:ascii="Arial" w:eastAsia="Calibri" w:hAnsi="Arial" w:cs="Arial"/>
          <w:szCs w:val="24"/>
        </w:rPr>
        <w:t>–</w:t>
      </w:r>
      <w:r w:rsidRPr="006E33D0">
        <w:rPr>
          <w:rFonts w:ascii="Arial" w:eastAsia="Calibri" w:hAnsi="Arial" w:cs="Arial"/>
          <w:szCs w:val="24"/>
        </w:rPr>
        <w:t>17</w:t>
      </w:r>
      <w:r w:rsidR="00DA6532">
        <w:rPr>
          <w:rFonts w:ascii="Arial" w:eastAsia="Calibri" w:hAnsi="Arial" w:cs="Arial"/>
          <w:szCs w:val="24"/>
        </w:rPr>
        <w:t xml:space="preserve"> </w:t>
      </w:r>
      <w:r w:rsidRPr="006E33D0">
        <w:rPr>
          <w:rFonts w:ascii="Arial" w:eastAsia="Calibri" w:hAnsi="Arial" w:cs="Arial"/>
          <w:szCs w:val="24"/>
        </w:rPr>
        <w:t>may be sentenced to effective life imprisonment,</w:t>
      </w:r>
      <w:r w:rsidRPr="006E33D0">
        <w:rPr>
          <w:rFonts w:ascii="Arial" w:eastAsia="Calibri" w:hAnsi="Arial" w:cs="Arial"/>
          <w:szCs w:val="24"/>
          <w:vertAlign w:val="superscript"/>
        </w:rPr>
        <w:footnoteReference w:id="465"/>
      </w:r>
      <w:r w:rsidRPr="006E33D0">
        <w:rPr>
          <w:rFonts w:ascii="Arial" w:eastAsia="Calibri" w:hAnsi="Arial" w:cs="Arial"/>
          <w:szCs w:val="24"/>
        </w:rPr>
        <w:t xml:space="preserve"> contrary to international human rights standards</w:t>
      </w:r>
      <w:r>
        <w:rPr>
          <w:rFonts w:ascii="Arial" w:eastAsia="Calibri" w:hAnsi="Arial" w:cs="Arial"/>
          <w:szCs w:val="24"/>
        </w:rPr>
        <w:t xml:space="preserve"> which call for an end to life imprisonment for all those under 18</w:t>
      </w:r>
      <w:r w:rsidRPr="006E33D0">
        <w:rPr>
          <w:rFonts w:ascii="Arial" w:eastAsia="Calibri" w:hAnsi="Arial" w:cs="Arial"/>
          <w:szCs w:val="24"/>
        </w:rPr>
        <w:t>.</w:t>
      </w:r>
      <w:r w:rsidRPr="006E33D0">
        <w:rPr>
          <w:rFonts w:ascii="Arial" w:eastAsia="Calibri" w:hAnsi="Arial" w:cs="Arial"/>
          <w:szCs w:val="24"/>
          <w:vertAlign w:val="superscript"/>
        </w:rPr>
        <w:footnoteReference w:id="466"/>
      </w:r>
      <w:r w:rsidRPr="006E33D0">
        <w:rPr>
          <w:rFonts w:ascii="Arial" w:eastAsia="Calibri" w:hAnsi="Arial" w:cs="Arial"/>
          <w:szCs w:val="24"/>
        </w:rPr>
        <w:t xml:space="preserve"> Provisions in the PCSC Act will increase the compulsory detention period for most children who receive these sentences, and reduce opportunities for the length of this period to be reviewed and shortened.</w:t>
      </w:r>
      <w:r w:rsidRPr="006E33D0">
        <w:rPr>
          <w:rFonts w:ascii="Arial" w:eastAsia="Calibri" w:hAnsi="Arial" w:cs="Arial"/>
          <w:szCs w:val="24"/>
          <w:vertAlign w:val="superscript"/>
        </w:rPr>
        <w:footnoteReference w:id="467"/>
      </w:r>
      <w:r w:rsidRPr="006E33D0">
        <w:rPr>
          <w:rFonts w:ascii="Arial" w:eastAsia="Calibri" w:hAnsi="Arial" w:cs="Arial"/>
          <w:szCs w:val="24"/>
        </w:rPr>
        <w:t xml:space="preserve"> </w:t>
      </w:r>
      <w:r>
        <w:rPr>
          <w:rFonts w:ascii="Arial" w:eastAsia="Calibri" w:hAnsi="Arial" w:cs="Arial"/>
          <w:szCs w:val="24"/>
        </w:rPr>
        <w:t>T</w:t>
      </w:r>
      <w:r w:rsidR="00DA6532">
        <w:rPr>
          <w:rFonts w:ascii="Arial" w:eastAsia="Calibri" w:hAnsi="Arial" w:cs="Arial"/>
          <w:szCs w:val="24"/>
        </w:rPr>
        <w:t>his</w:t>
      </w:r>
      <w:r w:rsidRPr="006E33D0">
        <w:rPr>
          <w:rFonts w:ascii="Arial" w:eastAsia="Calibri" w:hAnsi="Arial" w:cs="Arial"/>
          <w:szCs w:val="24"/>
        </w:rPr>
        <w:t xml:space="preserve"> Act is likely to result in children spending more time in custody, and the </w:t>
      </w:r>
      <w:r>
        <w:rPr>
          <w:rFonts w:ascii="Arial" w:eastAsia="Calibri" w:hAnsi="Arial" w:cs="Arial"/>
          <w:szCs w:val="24"/>
        </w:rPr>
        <w:t>UK G</w:t>
      </w:r>
      <w:r w:rsidRPr="006E33D0">
        <w:rPr>
          <w:rFonts w:ascii="Arial" w:eastAsia="Calibri" w:hAnsi="Arial" w:cs="Arial"/>
          <w:szCs w:val="24"/>
        </w:rPr>
        <w:t xml:space="preserve">overnment has recognised that the provisions are likely to have a disproportionate </w:t>
      </w:r>
      <w:r w:rsidR="00037DC7">
        <w:rPr>
          <w:rFonts w:ascii="Arial" w:eastAsia="Calibri" w:hAnsi="Arial" w:cs="Arial"/>
          <w:szCs w:val="24"/>
        </w:rPr>
        <w:t>effect</w:t>
      </w:r>
      <w:r w:rsidR="00037DC7" w:rsidRPr="006E33D0">
        <w:rPr>
          <w:rFonts w:ascii="Arial" w:eastAsia="Calibri" w:hAnsi="Arial" w:cs="Arial"/>
          <w:szCs w:val="24"/>
        </w:rPr>
        <w:t xml:space="preserve"> </w:t>
      </w:r>
      <w:r w:rsidRPr="006E33D0">
        <w:rPr>
          <w:rFonts w:ascii="Arial" w:eastAsia="Calibri" w:hAnsi="Arial" w:cs="Arial"/>
          <w:szCs w:val="24"/>
        </w:rPr>
        <w:t>on Black and ethnic minority children.</w:t>
      </w:r>
      <w:r w:rsidRPr="006E33D0">
        <w:rPr>
          <w:rFonts w:ascii="Arial" w:eastAsia="Calibri" w:hAnsi="Arial" w:cs="Arial"/>
          <w:szCs w:val="24"/>
          <w:vertAlign w:val="superscript"/>
        </w:rPr>
        <w:footnoteReference w:id="468"/>
      </w:r>
      <w:r w:rsidR="00FE0068">
        <w:rPr>
          <w:rFonts w:ascii="Arial" w:eastAsia="Calibri" w:hAnsi="Arial" w:cs="Arial"/>
          <w:szCs w:val="24"/>
        </w:rPr>
        <w:t xml:space="preserve"> </w:t>
      </w:r>
      <w:r w:rsidR="00037DC7">
        <w:rPr>
          <w:rFonts w:ascii="Arial" w:eastAsia="Calibri" w:hAnsi="Arial" w:cs="Arial"/>
          <w:szCs w:val="24"/>
        </w:rPr>
        <w:t>In cases w</w:t>
      </w:r>
      <w:r w:rsidRPr="006E33D0">
        <w:rPr>
          <w:rFonts w:ascii="Arial" w:eastAsia="Calibri" w:hAnsi="Arial" w:cs="Arial"/>
          <w:szCs w:val="24"/>
        </w:rPr>
        <w:t xml:space="preserve">here a child turns 18 between </w:t>
      </w:r>
      <w:r w:rsidR="00037DC7">
        <w:rPr>
          <w:rFonts w:ascii="Arial" w:eastAsia="Calibri" w:hAnsi="Arial" w:cs="Arial"/>
          <w:szCs w:val="24"/>
        </w:rPr>
        <w:t>committing</w:t>
      </w:r>
      <w:r w:rsidRPr="006E33D0">
        <w:rPr>
          <w:rFonts w:ascii="Arial" w:eastAsia="Calibri" w:hAnsi="Arial" w:cs="Arial"/>
          <w:szCs w:val="24"/>
        </w:rPr>
        <w:t xml:space="preserve"> an offence and </w:t>
      </w:r>
      <w:r w:rsidR="00037DC7">
        <w:rPr>
          <w:rFonts w:ascii="Arial" w:eastAsia="Calibri" w:hAnsi="Arial" w:cs="Arial"/>
          <w:szCs w:val="24"/>
        </w:rPr>
        <w:t xml:space="preserve">being </w:t>
      </w:r>
      <w:r w:rsidRPr="006E33D0">
        <w:rPr>
          <w:rFonts w:ascii="Arial" w:eastAsia="Calibri" w:hAnsi="Arial" w:cs="Arial"/>
          <w:szCs w:val="24"/>
        </w:rPr>
        <w:t>convict</w:t>
      </w:r>
      <w:r w:rsidR="00037DC7">
        <w:rPr>
          <w:rFonts w:ascii="Arial" w:eastAsia="Calibri" w:hAnsi="Arial" w:cs="Arial"/>
          <w:szCs w:val="24"/>
        </w:rPr>
        <w:t>ed</w:t>
      </w:r>
      <w:r w:rsidRPr="006E33D0">
        <w:rPr>
          <w:rFonts w:ascii="Arial" w:eastAsia="Calibri" w:hAnsi="Arial" w:cs="Arial"/>
          <w:szCs w:val="24"/>
        </w:rPr>
        <w:t>, they will be sentenced as an adult, although the starting point for the court will be the sentence that would have been passed at the time of the offence. As a result, stricter sentences may be imposed.</w:t>
      </w:r>
      <w:r w:rsidRPr="006E33D0">
        <w:rPr>
          <w:rFonts w:ascii="Arial" w:eastAsia="Calibri" w:hAnsi="Arial" w:cs="Arial"/>
          <w:szCs w:val="24"/>
          <w:vertAlign w:val="superscript"/>
        </w:rPr>
        <w:footnoteReference w:id="469"/>
      </w:r>
      <w:r w:rsidRPr="006E33D0">
        <w:rPr>
          <w:rFonts w:ascii="Arial" w:eastAsia="Calibri" w:hAnsi="Arial" w:cs="Arial"/>
          <w:szCs w:val="24"/>
        </w:rPr>
        <w:t xml:space="preserve"> The length of time from first listing in the court to completion increased between 2020 and 2021,</w:t>
      </w:r>
      <w:r w:rsidRPr="006E33D0">
        <w:rPr>
          <w:rFonts w:ascii="Arial" w:eastAsia="Calibri" w:hAnsi="Arial" w:cs="Arial"/>
          <w:szCs w:val="24"/>
          <w:vertAlign w:val="superscript"/>
        </w:rPr>
        <w:footnoteReference w:id="470"/>
      </w:r>
      <w:r w:rsidRPr="006E33D0">
        <w:rPr>
          <w:rFonts w:ascii="Arial" w:eastAsia="Calibri" w:hAnsi="Arial" w:cs="Arial"/>
          <w:szCs w:val="24"/>
        </w:rPr>
        <w:t xml:space="preserve"> likely due to the pandemic and resultant court closures and backlogs. As a result, more children are likely to have been affected by this sentencing policy.</w:t>
      </w:r>
    </w:p>
    <w:p w14:paraId="485C9CC8" w14:textId="6B19CD04" w:rsidR="00FB521C" w:rsidRPr="006E33D0" w:rsidRDefault="00FB521C" w:rsidP="00FB521C">
      <w:pPr>
        <w:spacing w:before="120" w:line="240" w:lineRule="auto"/>
        <w:rPr>
          <w:rFonts w:ascii="Arial" w:eastAsia="Calibri" w:hAnsi="Arial" w:cs="Arial"/>
          <w:szCs w:val="24"/>
        </w:rPr>
      </w:pPr>
      <w:r w:rsidRPr="006E33D0">
        <w:rPr>
          <w:rFonts w:ascii="Arial" w:eastAsia="Calibri" w:hAnsi="Arial" w:cs="Arial"/>
          <w:szCs w:val="24"/>
        </w:rPr>
        <w:t xml:space="preserve">At the start of the pandemic, </w:t>
      </w:r>
      <w:r w:rsidR="00037DC7">
        <w:rPr>
          <w:rFonts w:ascii="Arial" w:eastAsia="Calibri" w:hAnsi="Arial" w:cs="Arial"/>
          <w:szCs w:val="24"/>
        </w:rPr>
        <w:t>most</w:t>
      </w:r>
      <w:r w:rsidRPr="006E33D0">
        <w:rPr>
          <w:rFonts w:ascii="Arial" w:eastAsia="Calibri" w:hAnsi="Arial" w:cs="Arial"/>
          <w:szCs w:val="24"/>
        </w:rPr>
        <w:t xml:space="preserve"> court hearings were conducted by remote procedures.</w:t>
      </w:r>
      <w:r w:rsidRPr="006E33D0">
        <w:rPr>
          <w:rFonts w:ascii="Arial" w:eastAsia="Calibri" w:hAnsi="Arial" w:cs="Arial"/>
          <w:szCs w:val="24"/>
          <w:vertAlign w:val="superscript"/>
        </w:rPr>
        <w:footnoteReference w:id="471"/>
      </w:r>
      <w:r w:rsidRPr="006E33D0">
        <w:rPr>
          <w:rFonts w:ascii="Arial" w:eastAsia="Calibri" w:hAnsi="Arial" w:cs="Arial"/>
          <w:szCs w:val="24"/>
        </w:rPr>
        <w:t xml:space="preserve"> Though there has been a gradual increase in face</w:t>
      </w:r>
      <w:r w:rsidR="00037DC7">
        <w:rPr>
          <w:rFonts w:ascii="Arial" w:eastAsia="Calibri" w:hAnsi="Arial" w:cs="Arial"/>
          <w:szCs w:val="24"/>
        </w:rPr>
        <w:t>-</w:t>
      </w:r>
      <w:r w:rsidRPr="006E33D0">
        <w:rPr>
          <w:rFonts w:ascii="Arial" w:eastAsia="Calibri" w:hAnsi="Arial" w:cs="Arial"/>
          <w:szCs w:val="24"/>
        </w:rPr>
        <w:t>to</w:t>
      </w:r>
      <w:r w:rsidR="00037DC7">
        <w:rPr>
          <w:rFonts w:ascii="Arial" w:eastAsia="Calibri" w:hAnsi="Arial" w:cs="Arial"/>
          <w:szCs w:val="24"/>
        </w:rPr>
        <w:t>-</w:t>
      </w:r>
      <w:r w:rsidRPr="006E33D0">
        <w:rPr>
          <w:rFonts w:ascii="Arial" w:eastAsia="Calibri" w:hAnsi="Arial" w:cs="Arial"/>
          <w:szCs w:val="24"/>
        </w:rPr>
        <w:t xml:space="preserve">face hearings since 2020, </w:t>
      </w:r>
      <w:r w:rsidR="00037DC7">
        <w:rPr>
          <w:rFonts w:ascii="Arial" w:eastAsia="Calibri" w:hAnsi="Arial" w:cs="Arial"/>
          <w:szCs w:val="24"/>
        </w:rPr>
        <w:t>most</w:t>
      </w:r>
      <w:r w:rsidRPr="006E33D0">
        <w:rPr>
          <w:rFonts w:ascii="Arial" w:eastAsia="Calibri" w:hAnsi="Arial" w:cs="Arial"/>
          <w:szCs w:val="24"/>
        </w:rPr>
        <w:t xml:space="preserve"> hearings are still not conducted face to face. The use of video link in court proceedings can be beneficial in certain circumstances, but it can negatively affect the ability of some children</w:t>
      </w:r>
      <w:r w:rsidR="00037DC7">
        <w:rPr>
          <w:rFonts w:ascii="Arial" w:eastAsia="Calibri" w:hAnsi="Arial" w:cs="Arial"/>
          <w:szCs w:val="24"/>
        </w:rPr>
        <w:t xml:space="preserve"> –</w:t>
      </w:r>
      <w:r w:rsidRPr="006E33D0">
        <w:rPr>
          <w:rFonts w:ascii="Arial" w:eastAsia="Calibri" w:hAnsi="Arial" w:cs="Arial"/>
          <w:szCs w:val="24"/>
        </w:rPr>
        <w:t xml:space="preserve"> such as disabled children, younger children and those with mental health conditions</w:t>
      </w:r>
      <w:r w:rsidR="00037DC7">
        <w:rPr>
          <w:rFonts w:ascii="Arial" w:eastAsia="Calibri" w:hAnsi="Arial" w:cs="Arial"/>
          <w:szCs w:val="24"/>
        </w:rPr>
        <w:t xml:space="preserve"> –</w:t>
      </w:r>
      <w:r w:rsidRPr="006E33D0">
        <w:rPr>
          <w:rFonts w:ascii="Arial" w:eastAsia="Calibri" w:hAnsi="Arial" w:cs="Arial"/>
          <w:szCs w:val="24"/>
        </w:rPr>
        <w:t xml:space="preserve"> to understand and participate in proceedings. For example, although there is a lack of conclusive data, concerns have been raised that children appearing over video link may be less likely to be granted bail, and more likely to be remanded </w:t>
      </w:r>
      <w:r w:rsidR="00037DC7">
        <w:rPr>
          <w:rFonts w:ascii="Arial" w:eastAsia="Calibri" w:hAnsi="Arial" w:cs="Arial"/>
          <w:szCs w:val="24"/>
        </w:rPr>
        <w:t>in</w:t>
      </w:r>
      <w:r w:rsidRPr="006E33D0">
        <w:rPr>
          <w:rFonts w:ascii="Arial" w:eastAsia="Calibri" w:hAnsi="Arial" w:cs="Arial"/>
          <w:szCs w:val="24"/>
        </w:rPr>
        <w:t xml:space="preserve"> custody and to receive custodial sentences.</w:t>
      </w:r>
      <w:r w:rsidRPr="006E33D0">
        <w:rPr>
          <w:rFonts w:ascii="Arial" w:eastAsia="Calibri" w:hAnsi="Arial" w:cs="Arial"/>
          <w:szCs w:val="24"/>
          <w:vertAlign w:val="superscript"/>
        </w:rPr>
        <w:footnoteReference w:id="472"/>
      </w:r>
      <w:r w:rsidRPr="006E33D0">
        <w:rPr>
          <w:rFonts w:ascii="Arial" w:eastAsia="Calibri" w:hAnsi="Arial" w:cs="Arial"/>
          <w:szCs w:val="24"/>
        </w:rPr>
        <w:t xml:space="preserve"> </w:t>
      </w:r>
    </w:p>
    <w:p w14:paraId="23F771E9" w14:textId="142CFA04" w:rsidR="00FB521C" w:rsidRPr="006E33D0" w:rsidRDefault="00FB521C" w:rsidP="00FB521C">
      <w:pPr>
        <w:spacing w:before="120" w:line="240" w:lineRule="auto"/>
        <w:rPr>
          <w:rFonts w:ascii="Arial" w:eastAsia="Calibri" w:hAnsi="Arial" w:cs="Arial"/>
          <w:szCs w:val="24"/>
        </w:rPr>
      </w:pPr>
      <w:r>
        <w:rPr>
          <w:rFonts w:ascii="Arial" w:eastAsia="Calibri" w:hAnsi="Arial" w:cs="Arial"/>
          <w:szCs w:val="24"/>
        </w:rPr>
        <w:t>T</w:t>
      </w:r>
      <w:r w:rsidRPr="006E33D0">
        <w:rPr>
          <w:rFonts w:ascii="Arial" w:eastAsia="Calibri" w:hAnsi="Arial" w:cs="Arial"/>
          <w:szCs w:val="24"/>
        </w:rPr>
        <w:t xml:space="preserve">he UK Government’s Judicial Review and Courts Act 2022 contains provisions </w:t>
      </w:r>
      <w:r w:rsidR="00037DC7">
        <w:rPr>
          <w:rFonts w:ascii="Arial" w:eastAsia="Calibri" w:hAnsi="Arial" w:cs="Arial"/>
          <w:szCs w:val="24"/>
        </w:rPr>
        <w:t>that</w:t>
      </w:r>
      <w:r w:rsidR="00037DC7" w:rsidRPr="006E33D0">
        <w:rPr>
          <w:rFonts w:ascii="Arial" w:eastAsia="Calibri" w:hAnsi="Arial" w:cs="Arial"/>
          <w:szCs w:val="24"/>
        </w:rPr>
        <w:t xml:space="preserve"> </w:t>
      </w:r>
      <w:r w:rsidRPr="006E33D0">
        <w:rPr>
          <w:rFonts w:ascii="Arial" w:eastAsia="Calibri" w:hAnsi="Arial" w:cs="Arial"/>
          <w:szCs w:val="24"/>
        </w:rPr>
        <w:t>make it possible for children to plead guilty to offences online or in writing, without a court appearance, and for decisions to be made in the absence of the child defendant.</w:t>
      </w:r>
      <w:r w:rsidRPr="006E33D0">
        <w:rPr>
          <w:rFonts w:ascii="Arial" w:eastAsia="Calibri" w:hAnsi="Arial" w:cs="Arial"/>
          <w:szCs w:val="24"/>
          <w:vertAlign w:val="superscript"/>
        </w:rPr>
        <w:footnoteReference w:id="473"/>
      </w:r>
      <w:r w:rsidRPr="006E33D0">
        <w:rPr>
          <w:rFonts w:ascii="Arial" w:eastAsia="Calibri" w:hAnsi="Arial" w:cs="Arial"/>
          <w:szCs w:val="24"/>
        </w:rPr>
        <w:t xml:space="preserve"> We are concerned that the use of video link and the use of online and written procedures may reduce the ability of some children to participate meaningfully in proceedings affecting them. </w:t>
      </w:r>
    </w:p>
    <w:p w14:paraId="7ED2668C" w14:textId="37311272" w:rsidR="00F535D9" w:rsidRPr="00B91A3D" w:rsidRDefault="00F535D9" w:rsidP="00F535D9">
      <w:pPr>
        <w:pStyle w:val="Heading3"/>
      </w:pPr>
      <w:r>
        <w:t>Conditions in youth custody</w:t>
      </w:r>
    </w:p>
    <w:p w14:paraId="18991BCE" w14:textId="3352F1B8" w:rsidR="00F535D9" w:rsidRPr="006E33D0" w:rsidRDefault="00F535D9" w:rsidP="00F535D9">
      <w:pPr>
        <w:spacing w:before="120" w:line="240" w:lineRule="auto"/>
        <w:rPr>
          <w:rFonts w:ascii="Arial" w:eastAsia="Calibri" w:hAnsi="Arial" w:cs="Arial"/>
          <w:szCs w:val="24"/>
        </w:rPr>
      </w:pPr>
      <w:r w:rsidRPr="006E33D0">
        <w:rPr>
          <w:rFonts w:ascii="Arial" w:eastAsia="Calibri" w:hAnsi="Arial" w:cs="Arial"/>
          <w:szCs w:val="24"/>
        </w:rPr>
        <w:t>We welcome the overall reduction in the population</w:t>
      </w:r>
      <w:r w:rsidR="00037DC7">
        <w:rPr>
          <w:rFonts w:ascii="Arial" w:eastAsia="Calibri" w:hAnsi="Arial" w:cs="Arial"/>
          <w:szCs w:val="24"/>
        </w:rPr>
        <w:t xml:space="preserve"> of young people in custody</w:t>
      </w:r>
      <w:r w:rsidRPr="006E33D0">
        <w:rPr>
          <w:rFonts w:ascii="Arial" w:eastAsia="Calibri" w:hAnsi="Arial" w:cs="Arial"/>
          <w:szCs w:val="24"/>
        </w:rPr>
        <w:t>, to the lowest level since data collection started in 2001,</w:t>
      </w:r>
      <w:r w:rsidRPr="006E33D0">
        <w:rPr>
          <w:rFonts w:ascii="Arial" w:eastAsia="Calibri" w:hAnsi="Arial" w:cs="Arial"/>
          <w:szCs w:val="24"/>
          <w:vertAlign w:val="superscript"/>
        </w:rPr>
        <w:footnoteReference w:id="474"/>
      </w:r>
      <w:r w:rsidRPr="006E33D0">
        <w:rPr>
          <w:rFonts w:ascii="Arial" w:eastAsia="Calibri" w:hAnsi="Arial" w:cs="Arial"/>
          <w:szCs w:val="24"/>
        </w:rPr>
        <w:t xml:space="preserve"> though we are concerned that conditions for some of those who remain do not always meet international human rights standards.</w:t>
      </w:r>
    </w:p>
    <w:p w14:paraId="14FFD659" w14:textId="77777777" w:rsidR="00DA6532" w:rsidRDefault="00F535D9" w:rsidP="00F535D9">
      <w:pPr>
        <w:spacing w:before="120" w:line="240" w:lineRule="auto"/>
        <w:rPr>
          <w:rFonts w:ascii="Arial" w:eastAsia="Calibri" w:hAnsi="Arial" w:cs="Arial"/>
          <w:szCs w:val="24"/>
        </w:rPr>
      </w:pPr>
      <w:r w:rsidRPr="006E33D0">
        <w:rPr>
          <w:rFonts w:ascii="Arial" w:eastAsia="Calibri" w:hAnsi="Arial" w:cs="Arial"/>
          <w:szCs w:val="24"/>
        </w:rPr>
        <w:t>In 2022, Her Majesty</w:t>
      </w:r>
      <w:r w:rsidR="00037DC7">
        <w:rPr>
          <w:rFonts w:ascii="Arial" w:eastAsia="Calibri" w:hAnsi="Arial" w:cs="Arial"/>
          <w:szCs w:val="24"/>
        </w:rPr>
        <w:t>’</w:t>
      </w:r>
      <w:r w:rsidRPr="006E33D0">
        <w:rPr>
          <w:rFonts w:ascii="Arial" w:eastAsia="Calibri" w:hAnsi="Arial" w:cs="Arial"/>
          <w:szCs w:val="24"/>
        </w:rPr>
        <w:t xml:space="preserve">s Inspectorate of Prisons for England and Wales concluded that conditions in Secure Training Centres (STCs) had deteriorated in the previous year, and that 83% of previous recommendations relating to safety in Young Offender Institutions (YOIs) had not been </w:t>
      </w:r>
      <w:r w:rsidR="00037DC7">
        <w:rPr>
          <w:rFonts w:ascii="Arial" w:eastAsia="Calibri" w:hAnsi="Arial" w:cs="Arial"/>
          <w:szCs w:val="24"/>
        </w:rPr>
        <w:t>implemented</w:t>
      </w:r>
      <w:r w:rsidRPr="006E33D0">
        <w:rPr>
          <w:rFonts w:ascii="Arial" w:eastAsia="Calibri" w:hAnsi="Arial" w:cs="Arial"/>
          <w:szCs w:val="24"/>
        </w:rPr>
        <w:t>.</w:t>
      </w:r>
      <w:r w:rsidRPr="006E33D0">
        <w:rPr>
          <w:rFonts w:ascii="Arial" w:eastAsia="Calibri" w:hAnsi="Arial" w:cs="Arial"/>
          <w:szCs w:val="24"/>
          <w:vertAlign w:val="superscript"/>
        </w:rPr>
        <w:footnoteReference w:id="475"/>
      </w:r>
      <w:r w:rsidRPr="006E33D0">
        <w:rPr>
          <w:rFonts w:ascii="Arial" w:eastAsia="Calibri" w:hAnsi="Arial" w:cs="Arial"/>
          <w:szCs w:val="24"/>
        </w:rPr>
        <w:t xml:space="preserve"> </w:t>
      </w:r>
    </w:p>
    <w:p w14:paraId="44CC6A87" w14:textId="69DC3980" w:rsidR="00F535D9" w:rsidRPr="006E33D0" w:rsidRDefault="00037DC7" w:rsidP="00F535D9">
      <w:pPr>
        <w:spacing w:before="120" w:line="240" w:lineRule="auto"/>
        <w:rPr>
          <w:rFonts w:ascii="Arial" w:eastAsia="Calibri" w:hAnsi="Arial" w:cs="Arial"/>
          <w:szCs w:val="24"/>
        </w:rPr>
      </w:pPr>
      <w:r>
        <w:rPr>
          <w:rFonts w:ascii="Arial" w:eastAsia="Calibri" w:hAnsi="Arial" w:cs="Arial"/>
          <w:szCs w:val="24"/>
        </w:rPr>
        <w:t>The Inspectorate</w:t>
      </w:r>
      <w:r w:rsidR="00F535D9" w:rsidRPr="006E33D0">
        <w:rPr>
          <w:rFonts w:ascii="Arial" w:eastAsia="Calibri" w:hAnsi="Arial" w:cs="Arial"/>
          <w:szCs w:val="24"/>
        </w:rPr>
        <w:t xml:space="preserve"> also found that the response to the pandemic had negatively affected equality and diversity provision, such as the use of equality data to address disproportionate outcomes, with one site failing to investigate discrimination complaints entirely.</w:t>
      </w:r>
      <w:r w:rsidR="00F535D9" w:rsidRPr="006E33D0">
        <w:rPr>
          <w:rFonts w:ascii="Arial" w:eastAsia="Calibri" w:hAnsi="Arial" w:cs="Arial"/>
          <w:szCs w:val="24"/>
          <w:vertAlign w:val="superscript"/>
        </w:rPr>
        <w:footnoteReference w:id="476"/>
      </w:r>
    </w:p>
    <w:p w14:paraId="711F9BD3" w14:textId="74B5EF9B" w:rsidR="00F535D9" w:rsidRPr="006E33D0" w:rsidRDefault="00037DC7" w:rsidP="00F535D9">
      <w:pPr>
        <w:spacing w:before="120" w:line="240" w:lineRule="auto"/>
        <w:rPr>
          <w:rFonts w:ascii="Arial" w:eastAsia="Calibri" w:hAnsi="Arial" w:cs="Arial"/>
          <w:szCs w:val="24"/>
        </w:rPr>
      </w:pPr>
      <w:r>
        <w:rPr>
          <w:rFonts w:ascii="Arial" w:eastAsia="Calibri" w:hAnsi="Arial" w:cs="Arial"/>
          <w:szCs w:val="24"/>
        </w:rPr>
        <w:t>Before</w:t>
      </w:r>
      <w:r w:rsidR="00F535D9" w:rsidRPr="006E33D0">
        <w:rPr>
          <w:rFonts w:ascii="Arial" w:eastAsia="Calibri" w:hAnsi="Arial" w:cs="Arial"/>
          <w:szCs w:val="24"/>
        </w:rPr>
        <w:t xml:space="preserve"> the pandemic, the use of force against children in STCs and YOIs increased every year since 2016,</w:t>
      </w:r>
      <w:r w:rsidR="00F535D9" w:rsidRPr="006E33D0">
        <w:rPr>
          <w:rFonts w:ascii="Arial" w:eastAsia="Calibri" w:hAnsi="Arial" w:cs="Arial"/>
          <w:szCs w:val="24"/>
          <w:vertAlign w:val="superscript"/>
        </w:rPr>
        <w:footnoteReference w:id="477"/>
      </w:r>
      <w:r w:rsidR="00F535D9" w:rsidRPr="006E33D0">
        <w:rPr>
          <w:rFonts w:ascii="Arial" w:eastAsia="Calibri" w:hAnsi="Arial" w:cs="Arial"/>
          <w:szCs w:val="24"/>
        </w:rPr>
        <w:t xml:space="preserve"> with the number of ‘restrictive physical interventions’ almost doubling between 2016 and 2020, despite the significant drop in the custodial population in this time.</w:t>
      </w:r>
      <w:r w:rsidR="00F535D9" w:rsidRPr="006E33D0">
        <w:rPr>
          <w:rFonts w:ascii="Arial" w:eastAsia="Calibri" w:hAnsi="Arial" w:cs="Arial"/>
          <w:szCs w:val="24"/>
          <w:vertAlign w:val="superscript"/>
        </w:rPr>
        <w:footnoteReference w:id="478"/>
      </w:r>
      <w:r w:rsidR="00F535D9" w:rsidRPr="006E33D0">
        <w:rPr>
          <w:rFonts w:ascii="Arial" w:eastAsia="Calibri" w:hAnsi="Arial" w:cs="Arial"/>
          <w:szCs w:val="24"/>
        </w:rPr>
        <w:t xml:space="preserve"> Force continues to be used disproportionately against Black children and girls.</w:t>
      </w:r>
      <w:r w:rsidR="00F535D9" w:rsidRPr="006E33D0">
        <w:rPr>
          <w:rFonts w:ascii="Arial" w:eastAsia="Calibri" w:hAnsi="Arial" w:cs="Arial"/>
          <w:szCs w:val="24"/>
          <w:vertAlign w:val="superscript"/>
        </w:rPr>
        <w:footnoteReference w:id="479"/>
      </w:r>
    </w:p>
    <w:p w14:paraId="261944F0" w14:textId="77777777" w:rsidR="00DA6532" w:rsidRDefault="00F535D9" w:rsidP="00F535D9">
      <w:pPr>
        <w:spacing w:before="120" w:line="240" w:lineRule="auto"/>
        <w:rPr>
          <w:rFonts w:ascii="Arial" w:eastAsia="Calibri" w:hAnsi="Arial" w:cs="Arial"/>
          <w:szCs w:val="24"/>
        </w:rPr>
      </w:pPr>
      <w:r w:rsidRPr="006E33D0">
        <w:rPr>
          <w:rFonts w:ascii="Arial" w:eastAsia="Calibri" w:hAnsi="Arial" w:cs="Arial"/>
          <w:szCs w:val="24"/>
        </w:rPr>
        <w:t>We are concerned that pain-inducing restraint continues to be used against children.</w:t>
      </w:r>
      <w:r w:rsidRPr="006E33D0">
        <w:rPr>
          <w:rFonts w:ascii="Arial" w:eastAsia="Calibri" w:hAnsi="Arial" w:cs="Arial"/>
          <w:szCs w:val="24"/>
          <w:vertAlign w:val="superscript"/>
        </w:rPr>
        <w:footnoteReference w:id="480"/>
      </w:r>
      <w:r w:rsidRPr="006E33D0">
        <w:rPr>
          <w:rFonts w:ascii="Arial" w:eastAsia="Calibri" w:hAnsi="Arial" w:cs="Arial"/>
          <w:szCs w:val="24"/>
        </w:rPr>
        <w:t xml:space="preserve"> A 2020 review, c</w:t>
      </w:r>
      <w:r w:rsidR="00037DC7">
        <w:rPr>
          <w:rFonts w:ascii="Arial" w:eastAsia="Calibri" w:hAnsi="Arial" w:cs="Arial"/>
          <w:szCs w:val="24"/>
        </w:rPr>
        <w:t>onducted</w:t>
      </w:r>
      <w:r w:rsidRPr="006E33D0">
        <w:rPr>
          <w:rFonts w:ascii="Arial" w:eastAsia="Calibri" w:hAnsi="Arial" w:cs="Arial"/>
          <w:szCs w:val="24"/>
        </w:rPr>
        <w:t xml:space="preserve"> on behalf of the UK Ministry of Justice, concluded that such techniques could still be used,</w:t>
      </w:r>
      <w:r w:rsidRPr="006E33D0">
        <w:rPr>
          <w:rFonts w:ascii="Arial" w:eastAsia="Calibri" w:hAnsi="Arial" w:cs="Arial"/>
          <w:szCs w:val="24"/>
          <w:vertAlign w:val="superscript"/>
        </w:rPr>
        <w:footnoteReference w:id="481"/>
      </w:r>
      <w:r w:rsidRPr="006E33D0">
        <w:rPr>
          <w:rFonts w:ascii="Arial" w:eastAsia="Calibri" w:hAnsi="Arial" w:cs="Arial"/>
          <w:szCs w:val="24"/>
        </w:rPr>
        <w:t xml:space="preserve"> despite repeated calls </w:t>
      </w:r>
      <w:r w:rsidR="00037DC7">
        <w:rPr>
          <w:rFonts w:ascii="Arial" w:eastAsia="Calibri" w:hAnsi="Arial" w:cs="Arial"/>
          <w:szCs w:val="24"/>
        </w:rPr>
        <w:t>from UN bodies and others to</w:t>
      </w:r>
      <w:r w:rsidRPr="006E33D0">
        <w:rPr>
          <w:rFonts w:ascii="Arial" w:eastAsia="Calibri" w:hAnsi="Arial" w:cs="Arial"/>
          <w:szCs w:val="24"/>
        </w:rPr>
        <w:t xml:space="preserve"> prohibit</w:t>
      </w:r>
      <w:r w:rsidR="00037DC7">
        <w:rPr>
          <w:rFonts w:ascii="Arial" w:eastAsia="Calibri" w:hAnsi="Arial" w:cs="Arial"/>
          <w:szCs w:val="24"/>
        </w:rPr>
        <w:t xml:space="preserve"> them</w:t>
      </w:r>
      <w:r w:rsidRPr="006E33D0">
        <w:rPr>
          <w:rFonts w:ascii="Arial" w:eastAsia="Calibri" w:hAnsi="Arial" w:cs="Arial"/>
          <w:szCs w:val="24"/>
        </w:rPr>
        <w:t>.</w:t>
      </w:r>
      <w:r w:rsidRPr="006E33D0">
        <w:rPr>
          <w:rFonts w:ascii="Arial" w:eastAsia="Calibri" w:hAnsi="Arial" w:cs="Arial"/>
          <w:szCs w:val="24"/>
          <w:vertAlign w:val="superscript"/>
        </w:rPr>
        <w:footnoteReference w:id="482"/>
      </w:r>
    </w:p>
    <w:p w14:paraId="64A9E53C" w14:textId="5B255AF5" w:rsidR="00F535D9" w:rsidRPr="006E33D0" w:rsidRDefault="00F535D9" w:rsidP="00F535D9">
      <w:pPr>
        <w:spacing w:before="120" w:line="240" w:lineRule="auto"/>
        <w:rPr>
          <w:rFonts w:ascii="Arial" w:eastAsia="Calibri" w:hAnsi="Arial" w:cs="Arial"/>
          <w:szCs w:val="24"/>
        </w:rPr>
      </w:pPr>
      <w:r w:rsidRPr="006E33D0">
        <w:rPr>
          <w:rFonts w:ascii="Arial" w:eastAsia="Calibri" w:hAnsi="Arial" w:cs="Arial"/>
          <w:szCs w:val="24"/>
        </w:rPr>
        <w:t>The number of incidents in youth custody involving techniques that are officially recorded as inducing pain was lower in 2020/21 than in 2016/17.</w:t>
      </w:r>
      <w:r w:rsidRPr="006E33D0">
        <w:rPr>
          <w:rFonts w:ascii="Arial" w:eastAsia="Calibri" w:hAnsi="Arial" w:cs="Arial"/>
          <w:szCs w:val="24"/>
          <w:vertAlign w:val="superscript"/>
        </w:rPr>
        <w:footnoteReference w:id="483"/>
      </w:r>
      <w:r w:rsidRPr="006E33D0">
        <w:rPr>
          <w:rFonts w:ascii="Arial" w:eastAsia="Calibri" w:hAnsi="Arial" w:cs="Arial"/>
          <w:szCs w:val="24"/>
        </w:rPr>
        <w:t xml:space="preserve"> However, when ‘inverted wrist holds’, which the UK Government agreed in 2020 should be subject to the same scrutiny as </w:t>
      </w:r>
      <w:r w:rsidR="00DA6532">
        <w:rPr>
          <w:rFonts w:ascii="Arial" w:eastAsia="Calibri" w:hAnsi="Arial" w:cs="Arial"/>
          <w:szCs w:val="24"/>
        </w:rPr>
        <w:t>‘</w:t>
      </w:r>
      <w:r w:rsidRPr="006E33D0">
        <w:rPr>
          <w:rFonts w:ascii="Arial" w:eastAsia="Calibri" w:hAnsi="Arial" w:cs="Arial"/>
          <w:szCs w:val="24"/>
        </w:rPr>
        <w:t>other pain-inducing techniques</w:t>
      </w:r>
      <w:r w:rsidR="00DA6532">
        <w:rPr>
          <w:rFonts w:ascii="Arial" w:eastAsia="Calibri" w:hAnsi="Arial" w:cs="Arial"/>
          <w:szCs w:val="24"/>
        </w:rPr>
        <w:t>’</w:t>
      </w:r>
      <w:r w:rsidRPr="006E33D0">
        <w:rPr>
          <w:rFonts w:ascii="Arial" w:eastAsia="Calibri" w:hAnsi="Arial" w:cs="Arial"/>
          <w:szCs w:val="24"/>
          <w:vertAlign w:val="superscript"/>
        </w:rPr>
        <w:footnoteReference w:id="484"/>
      </w:r>
      <w:r w:rsidR="00037DC7">
        <w:rPr>
          <w:rFonts w:ascii="Arial" w:eastAsia="Calibri" w:hAnsi="Arial" w:cs="Arial"/>
          <w:szCs w:val="24"/>
        </w:rPr>
        <w:t xml:space="preserve"> are included,</w:t>
      </w:r>
      <w:r w:rsidRPr="006E33D0">
        <w:rPr>
          <w:rFonts w:ascii="Arial" w:eastAsia="Calibri" w:hAnsi="Arial" w:cs="Arial"/>
          <w:szCs w:val="24"/>
        </w:rPr>
        <w:t xml:space="preserve"> the </w:t>
      </w:r>
      <w:r w:rsidR="00037DC7">
        <w:rPr>
          <w:rFonts w:ascii="Arial" w:eastAsia="Calibri" w:hAnsi="Arial" w:cs="Arial"/>
          <w:szCs w:val="24"/>
        </w:rPr>
        <w:t>incidence</w:t>
      </w:r>
      <w:r w:rsidRPr="006E33D0">
        <w:rPr>
          <w:rFonts w:ascii="Arial" w:eastAsia="Calibri" w:hAnsi="Arial" w:cs="Arial"/>
          <w:szCs w:val="24"/>
        </w:rPr>
        <w:t xml:space="preserve"> of pain-inducing techniques rose by 18% between 2016</w:t>
      </w:r>
      <w:r>
        <w:rPr>
          <w:rFonts w:ascii="Arial" w:eastAsia="Calibri" w:hAnsi="Arial" w:cs="Arial"/>
          <w:szCs w:val="24"/>
        </w:rPr>
        <w:t>/</w:t>
      </w:r>
      <w:r w:rsidRPr="006E33D0">
        <w:rPr>
          <w:rFonts w:ascii="Arial" w:eastAsia="Calibri" w:hAnsi="Arial" w:cs="Arial"/>
          <w:szCs w:val="24"/>
        </w:rPr>
        <w:t>17 and 2020/21.</w:t>
      </w:r>
      <w:r w:rsidRPr="006E33D0">
        <w:rPr>
          <w:rFonts w:ascii="Arial" w:eastAsia="Calibri" w:hAnsi="Arial" w:cs="Arial"/>
          <w:szCs w:val="24"/>
          <w:vertAlign w:val="superscript"/>
        </w:rPr>
        <w:footnoteReference w:id="485"/>
      </w:r>
    </w:p>
    <w:p w14:paraId="64CC2B1A" w14:textId="5E216474" w:rsidR="00F535D9" w:rsidRPr="006E33D0" w:rsidRDefault="00F535D9" w:rsidP="00F535D9">
      <w:pPr>
        <w:spacing w:before="120" w:line="240" w:lineRule="auto"/>
        <w:rPr>
          <w:rFonts w:ascii="Arial" w:eastAsia="Calibri" w:hAnsi="Arial" w:cs="Arial"/>
          <w:szCs w:val="24"/>
        </w:rPr>
      </w:pPr>
      <w:r w:rsidRPr="006E33D0">
        <w:rPr>
          <w:rFonts w:ascii="Arial" w:eastAsia="Calibri" w:hAnsi="Arial" w:cs="Arial"/>
          <w:szCs w:val="24"/>
        </w:rPr>
        <w:t xml:space="preserve">In 2020/21, </w:t>
      </w:r>
      <w:r w:rsidR="00037DC7">
        <w:rPr>
          <w:rFonts w:ascii="Arial" w:eastAsia="Calibri" w:hAnsi="Arial" w:cs="Arial"/>
          <w:szCs w:val="24"/>
        </w:rPr>
        <w:t>about</w:t>
      </w:r>
      <w:r w:rsidR="00037DC7" w:rsidRPr="006E33D0">
        <w:rPr>
          <w:rFonts w:ascii="Arial" w:eastAsia="Calibri" w:hAnsi="Arial" w:cs="Arial"/>
          <w:szCs w:val="24"/>
        </w:rPr>
        <w:t xml:space="preserve"> </w:t>
      </w:r>
      <w:r w:rsidRPr="006E33D0">
        <w:rPr>
          <w:rFonts w:ascii="Arial" w:eastAsia="Calibri" w:hAnsi="Arial" w:cs="Arial"/>
          <w:szCs w:val="24"/>
        </w:rPr>
        <w:t>2,100 assaults took place in the youth estate,</w:t>
      </w:r>
      <w:r w:rsidRPr="006E33D0">
        <w:rPr>
          <w:rFonts w:ascii="Arial" w:eastAsia="Calibri" w:hAnsi="Arial" w:cs="Arial"/>
          <w:szCs w:val="24"/>
          <w:vertAlign w:val="superscript"/>
        </w:rPr>
        <w:footnoteReference w:id="486"/>
      </w:r>
      <w:r w:rsidRPr="006E33D0">
        <w:rPr>
          <w:rFonts w:ascii="Arial" w:eastAsia="Calibri" w:hAnsi="Arial" w:cs="Arial"/>
          <w:szCs w:val="24"/>
        </w:rPr>
        <w:t xml:space="preserve"> despite the population remaining mostly confined to their rooms</w:t>
      </w:r>
      <w:r w:rsidR="00037DC7">
        <w:rPr>
          <w:rFonts w:ascii="Arial" w:eastAsia="Calibri" w:hAnsi="Arial" w:cs="Arial"/>
          <w:szCs w:val="24"/>
        </w:rPr>
        <w:t xml:space="preserve"> because of</w:t>
      </w:r>
      <w:r w:rsidR="00DA6532">
        <w:rPr>
          <w:rFonts w:ascii="Arial" w:eastAsia="Calibri" w:hAnsi="Arial" w:cs="Arial"/>
          <w:szCs w:val="24"/>
        </w:rPr>
        <w:t xml:space="preserve"> the pandemic. Children aged 12 to </w:t>
      </w:r>
      <w:r w:rsidRPr="006E33D0">
        <w:rPr>
          <w:rFonts w:ascii="Arial" w:eastAsia="Calibri" w:hAnsi="Arial" w:cs="Arial"/>
          <w:szCs w:val="24"/>
        </w:rPr>
        <w:t xml:space="preserve">18 in YOIs and STCs in England and Wales were invited to complete a survey, with a high response rate of 78%. Over </w:t>
      </w:r>
      <w:r w:rsidR="00E15371">
        <w:rPr>
          <w:rFonts w:ascii="Arial" w:eastAsia="Calibri" w:hAnsi="Arial" w:cs="Arial"/>
          <w:szCs w:val="24"/>
        </w:rPr>
        <w:t>one-</w:t>
      </w:r>
      <w:r w:rsidRPr="006E33D0">
        <w:rPr>
          <w:rFonts w:ascii="Arial" w:eastAsia="Calibri" w:hAnsi="Arial" w:cs="Arial"/>
          <w:szCs w:val="24"/>
        </w:rPr>
        <w:t>third of respondents said they had felt unsafe in custody, with 10% feeling unsafe at the time of reporting.</w:t>
      </w:r>
      <w:r w:rsidRPr="006E33D0">
        <w:rPr>
          <w:rFonts w:ascii="Arial" w:eastAsia="Calibri" w:hAnsi="Arial" w:cs="Arial"/>
          <w:szCs w:val="24"/>
          <w:vertAlign w:val="superscript"/>
        </w:rPr>
        <w:footnoteReference w:id="487"/>
      </w:r>
      <w:r w:rsidRPr="006E33D0">
        <w:rPr>
          <w:rFonts w:ascii="Arial" w:eastAsia="Calibri" w:hAnsi="Arial" w:cs="Arial"/>
          <w:szCs w:val="24"/>
        </w:rPr>
        <w:t xml:space="preserve"> Disabled and Traveller children were significantly more likely to report feeling unsafe compared with their peers. More than a quarter of respondents had been threatened or intimidated by other children, with 22% experiencing physical assaults.</w:t>
      </w:r>
      <w:r w:rsidRPr="006E33D0">
        <w:rPr>
          <w:rFonts w:ascii="Arial" w:eastAsia="Calibri" w:hAnsi="Arial" w:cs="Arial"/>
          <w:szCs w:val="24"/>
          <w:vertAlign w:val="superscript"/>
        </w:rPr>
        <w:footnoteReference w:id="488"/>
      </w:r>
    </w:p>
    <w:p w14:paraId="079E6B67" w14:textId="134CF40D" w:rsidR="00F535D9" w:rsidRPr="006E33D0" w:rsidRDefault="00F535D9" w:rsidP="00F535D9">
      <w:pPr>
        <w:spacing w:before="120" w:line="240" w:lineRule="auto"/>
        <w:rPr>
          <w:rFonts w:ascii="Arial" w:eastAsia="Calibri" w:hAnsi="Arial" w:cs="Arial"/>
          <w:szCs w:val="24"/>
        </w:rPr>
      </w:pPr>
      <w:r w:rsidRPr="006E33D0">
        <w:rPr>
          <w:rFonts w:ascii="Arial" w:eastAsia="Calibri" w:hAnsi="Arial" w:cs="Arial"/>
          <w:szCs w:val="24"/>
        </w:rPr>
        <w:t>Some children are at risk of sexual abuse in custody, with evidence suggesting disabled children are significantly more likely than non-disabled children to report being sexually assaulted by other children.</w:t>
      </w:r>
      <w:r w:rsidRPr="006E33D0">
        <w:rPr>
          <w:rStyle w:val="FootnoteReference"/>
          <w:rFonts w:ascii="Arial" w:eastAsia="Calibri" w:hAnsi="Arial" w:cs="Arial"/>
          <w:szCs w:val="24"/>
        </w:rPr>
        <w:footnoteReference w:id="489"/>
      </w:r>
      <w:r w:rsidRPr="006E33D0">
        <w:rPr>
          <w:rFonts w:ascii="Arial" w:eastAsia="Calibri" w:hAnsi="Arial" w:cs="Arial"/>
          <w:szCs w:val="24"/>
        </w:rPr>
        <w:t xml:space="preserve"> An investigation by the IICSA found that many incidents </w:t>
      </w:r>
      <w:r w:rsidR="009F703F">
        <w:rPr>
          <w:rFonts w:ascii="Arial" w:eastAsia="Calibri" w:hAnsi="Arial" w:cs="Arial"/>
          <w:szCs w:val="24"/>
        </w:rPr>
        <w:t>we</w:t>
      </w:r>
      <w:r w:rsidRPr="006E33D0">
        <w:rPr>
          <w:rFonts w:ascii="Arial" w:eastAsia="Calibri" w:hAnsi="Arial" w:cs="Arial"/>
          <w:szCs w:val="24"/>
        </w:rPr>
        <w:t>re likely to go unreported, that complaints were rarely investigated properly, and noted links between sexual abuse and incidents of restraint.</w:t>
      </w:r>
      <w:r w:rsidRPr="006E33D0">
        <w:rPr>
          <w:rStyle w:val="FootnoteReference"/>
          <w:rFonts w:ascii="Arial" w:eastAsia="Calibri" w:hAnsi="Arial" w:cs="Arial"/>
          <w:szCs w:val="24"/>
        </w:rPr>
        <w:footnoteReference w:id="490"/>
      </w:r>
    </w:p>
    <w:p w14:paraId="638AF18F" w14:textId="6095299C" w:rsidR="00F535D9" w:rsidRPr="006E33D0" w:rsidRDefault="00F535D9" w:rsidP="00F535D9">
      <w:pPr>
        <w:spacing w:before="120" w:line="240" w:lineRule="auto"/>
        <w:rPr>
          <w:rFonts w:ascii="Arial" w:eastAsia="Calibri" w:hAnsi="Arial" w:cs="Arial"/>
          <w:szCs w:val="24"/>
        </w:rPr>
      </w:pPr>
      <w:r w:rsidRPr="006E33D0">
        <w:rPr>
          <w:rFonts w:ascii="Arial" w:eastAsia="Calibri" w:hAnsi="Arial" w:cs="Arial"/>
          <w:szCs w:val="24"/>
        </w:rPr>
        <w:t>Despite the prohibition of prolonged solitary confinement under international human rights standards,</w:t>
      </w:r>
      <w:r w:rsidRPr="006E33D0">
        <w:rPr>
          <w:rFonts w:ascii="Arial" w:eastAsia="Calibri" w:hAnsi="Arial" w:cs="Arial"/>
          <w:szCs w:val="24"/>
          <w:vertAlign w:val="superscript"/>
        </w:rPr>
        <w:footnoteReference w:id="491"/>
      </w:r>
      <w:r w:rsidRPr="006E33D0">
        <w:rPr>
          <w:rFonts w:ascii="Arial" w:eastAsia="Calibri" w:hAnsi="Arial" w:cs="Arial"/>
          <w:szCs w:val="24"/>
        </w:rPr>
        <w:t xml:space="preserve"> children in custody are locked in their rooms for </w:t>
      </w:r>
      <w:r w:rsidR="00BE14BD">
        <w:rPr>
          <w:rFonts w:ascii="Arial" w:eastAsia="Calibri" w:hAnsi="Arial" w:cs="Arial"/>
          <w:szCs w:val="24"/>
        </w:rPr>
        <w:t xml:space="preserve">long </w:t>
      </w:r>
      <w:r w:rsidRPr="006E33D0">
        <w:rPr>
          <w:rFonts w:ascii="Arial" w:eastAsia="Calibri" w:hAnsi="Arial" w:cs="Arial"/>
          <w:szCs w:val="24"/>
        </w:rPr>
        <w:t>periods</w:t>
      </w:r>
      <w:r w:rsidR="00BE14BD">
        <w:rPr>
          <w:rFonts w:ascii="Arial" w:eastAsia="Calibri" w:hAnsi="Arial" w:cs="Arial"/>
          <w:szCs w:val="24"/>
        </w:rPr>
        <w:t>,</w:t>
      </w:r>
      <w:r w:rsidRPr="006E33D0">
        <w:rPr>
          <w:rFonts w:ascii="Arial" w:eastAsia="Calibri" w:hAnsi="Arial" w:cs="Arial"/>
          <w:szCs w:val="24"/>
        </w:rPr>
        <w:t xml:space="preserve"> which can amount to solitary confinement.</w:t>
      </w:r>
      <w:r w:rsidRPr="006E33D0">
        <w:rPr>
          <w:rFonts w:ascii="Arial" w:eastAsia="Calibri" w:hAnsi="Arial" w:cs="Arial"/>
          <w:szCs w:val="24"/>
          <w:vertAlign w:val="superscript"/>
        </w:rPr>
        <w:footnoteReference w:id="492"/>
      </w:r>
      <w:r w:rsidRPr="006E33D0">
        <w:rPr>
          <w:rFonts w:ascii="Arial" w:eastAsia="Calibri" w:hAnsi="Arial" w:cs="Arial"/>
          <w:szCs w:val="24"/>
        </w:rPr>
        <w:t xml:space="preserve"> </w:t>
      </w:r>
      <w:r>
        <w:rPr>
          <w:rFonts w:ascii="Arial" w:eastAsia="Calibri" w:hAnsi="Arial" w:cs="Arial"/>
          <w:szCs w:val="24"/>
        </w:rPr>
        <w:t>R</w:t>
      </w:r>
      <w:r w:rsidRPr="006E33D0">
        <w:rPr>
          <w:rFonts w:ascii="Arial" w:eastAsia="Calibri" w:hAnsi="Arial" w:cs="Arial"/>
          <w:szCs w:val="24"/>
        </w:rPr>
        <w:t xml:space="preserve">estrictions imposed in response to the pandemic </w:t>
      </w:r>
      <w:r w:rsidR="00BE14BD">
        <w:rPr>
          <w:rFonts w:ascii="Arial" w:eastAsia="Calibri" w:hAnsi="Arial" w:cs="Arial"/>
          <w:szCs w:val="24"/>
        </w:rPr>
        <w:t xml:space="preserve">have deepened </w:t>
      </w:r>
      <w:r w:rsidRPr="006E33D0">
        <w:rPr>
          <w:rFonts w:ascii="Arial" w:eastAsia="Calibri" w:hAnsi="Arial" w:cs="Arial"/>
          <w:szCs w:val="24"/>
        </w:rPr>
        <w:t xml:space="preserve">existing </w:t>
      </w:r>
      <w:r>
        <w:rPr>
          <w:rFonts w:ascii="Arial" w:eastAsia="Calibri" w:hAnsi="Arial" w:cs="Arial"/>
          <w:szCs w:val="24"/>
        </w:rPr>
        <w:t xml:space="preserve">concerns about </w:t>
      </w:r>
      <w:r w:rsidR="00BE14BD">
        <w:rPr>
          <w:rFonts w:ascii="Arial" w:eastAsia="Calibri" w:hAnsi="Arial" w:cs="Arial"/>
          <w:szCs w:val="24"/>
        </w:rPr>
        <w:t>the use of confinement</w:t>
      </w:r>
      <w:r w:rsidRPr="006E33D0">
        <w:rPr>
          <w:rFonts w:ascii="Arial" w:eastAsia="Calibri" w:hAnsi="Arial" w:cs="Arial"/>
          <w:szCs w:val="24"/>
        </w:rPr>
        <w:t>.</w:t>
      </w:r>
      <w:r w:rsidR="0061277C">
        <w:rPr>
          <w:rFonts w:ascii="Arial" w:eastAsia="Calibri" w:hAnsi="Arial" w:cs="Arial"/>
          <w:szCs w:val="24"/>
        </w:rPr>
        <w:t xml:space="preserve"> </w:t>
      </w:r>
      <w:r>
        <w:rPr>
          <w:rFonts w:ascii="Arial" w:eastAsia="Calibri" w:hAnsi="Arial" w:cs="Arial"/>
          <w:szCs w:val="24"/>
        </w:rPr>
        <w:t>C</w:t>
      </w:r>
      <w:r w:rsidRPr="006E33D0">
        <w:rPr>
          <w:rFonts w:ascii="Arial" w:eastAsia="Calibri" w:hAnsi="Arial" w:cs="Arial"/>
          <w:szCs w:val="24"/>
        </w:rPr>
        <w:t>hildren in some institutions spent more than 22 hours per day in their rooms.</w:t>
      </w:r>
      <w:r w:rsidRPr="006E33D0">
        <w:rPr>
          <w:rFonts w:ascii="Arial" w:eastAsia="Calibri" w:hAnsi="Arial" w:cs="Arial"/>
          <w:szCs w:val="24"/>
          <w:vertAlign w:val="superscript"/>
        </w:rPr>
        <w:footnoteReference w:id="493"/>
      </w:r>
      <w:r w:rsidRPr="006E33D0">
        <w:rPr>
          <w:rFonts w:ascii="Arial" w:eastAsia="Calibri" w:hAnsi="Arial" w:cs="Arial"/>
          <w:szCs w:val="24"/>
        </w:rPr>
        <w:t xml:space="preserve">  </w:t>
      </w:r>
    </w:p>
    <w:p w14:paraId="6461DC0E" w14:textId="4052A248" w:rsidR="00F535D9" w:rsidRPr="006E33D0" w:rsidRDefault="00BE14BD" w:rsidP="00F535D9">
      <w:pPr>
        <w:spacing w:before="120" w:line="240" w:lineRule="auto"/>
        <w:rPr>
          <w:rFonts w:ascii="Arial" w:eastAsia="Calibri" w:hAnsi="Arial" w:cs="Arial"/>
          <w:szCs w:val="24"/>
        </w:rPr>
      </w:pPr>
      <w:r>
        <w:rPr>
          <w:rFonts w:ascii="Arial" w:eastAsia="Calibri" w:hAnsi="Arial" w:cs="Arial"/>
          <w:szCs w:val="24"/>
        </w:rPr>
        <w:t>Before</w:t>
      </w:r>
      <w:r w:rsidR="00F535D9" w:rsidRPr="006E33D0">
        <w:rPr>
          <w:rFonts w:ascii="Arial" w:eastAsia="Calibri" w:hAnsi="Arial" w:cs="Arial"/>
          <w:szCs w:val="24"/>
        </w:rPr>
        <w:t xml:space="preserve"> the pandemic, the recorded rates of self-harm incidents in youth custody had been growing rapidly. The number of incidents per 100 children per month more than doubled between 2016 and 2020.</w:t>
      </w:r>
      <w:r w:rsidR="00F535D9" w:rsidRPr="006E33D0">
        <w:rPr>
          <w:rFonts w:ascii="Arial" w:eastAsia="Calibri" w:hAnsi="Arial" w:cs="Arial"/>
          <w:szCs w:val="24"/>
          <w:vertAlign w:val="superscript"/>
        </w:rPr>
        <w:footnoteReference w:id="494"/>
      </w:r>
      <w:r w:rsidR="00F535D9" w:rsidRPr="006E33D0">
        <w:rPr>
          <w:rFonts w:ascii="Arial" w:eastAsia="Calibri" w:hAnsi="Arial" w:cs="Arial"/>
          <w:szCs w:val="24"/>
        </w:rPr>
        <w:t xml:space="preserve"> In 2021, while the average daily population in custody was just 651, an average of 121 self-harm incidents occurred per month. Girls are significantly more likely </w:t>
      </w:r>
      <w:r>
        <w:rPr>
          <w:rFonts w:ascii="Arial" w:eastAsia="Calibri" w:hAnsi="Arial" w:cs="Arial"/>
          <w:szCs w:val="24"/>
        </w:rPr>
        <w:t xml:space="preserve">than boys </w:t>
      </w:r>
      <w:r w:rsidR="00F535D9" w:rsidRPr="006E33D0">
        <w:rPr>
          <w:rFonts w:ascii="Arial" w:eastAsia="Calibri" w:hAnsi="Arial" w:cs="Arial"/>
          <w:szCs w:val="24"/>
        </w:rPr>
        <w:t>to self-harm.</w:t>
      </w:r>
      <w:r w:rsidR="00F535D9" w:rsidRPr="006E33D0">
        <w:rPr>
          <w:rFonts w:ascii="Arial" w:eastAsia="Calibri" w:hAnsi="Arial" w:cs="Arial"/>
          <w:szCs w:val="24"/>
          <w:vertAlign w:val="superscript"/>
        </w:rPr>
        <w:footnoteReference w:id="495"/>
      </w:r>
    </w:p>
    <w:p w14:paraId="1943EE83" w14:textId="4A0D5D6F" w:rsidR="00F535D9" w:rsidRPr="00F535D9" w:rsidRDefault="00F535D9" w:rsidP="00F535D9">
      <w:pPr>
        <w:spacing w:before="120" w:line="240" w:lineRule="auto"/>
        <w:rPr>
          <w:rFonts w:ascii="Arial" w:eastAsia="Calibri" w:hAnsi="Arial" w:cs="Arial"/>
          <w:szCs w:val="24"/>
        </w:rPr>
      </w:pPr>
      <w:r w:rsidRPr="00F535D9">
        <w:rPr>
          <w:rStyle w:val="Howtousethistemplate"/>
          <w:rFonts w:ascii="Arial" w:eastAsia="Calibri" w:hAnsi="Arial" w:cs="Arial"/>
          <w:color w:val="auto"/>
          <w:szCs w:val="24"/>
        </w:rPr>
        <w:t xml:space="preserve">We are concerned about persistent challenges </w:t>
      </w:r>
      <w:r w:rsidR="00BE14BD">
        <w:rPr>
          <w:rStyle w:val="Howtousethistemplate"/>
          <w:rFonts w:ascii="Arial" w:eastAsia="Calibri" w:hAnsi="Arial" w:cs="Arial"/>
          <w:color w:val="auto"/>
          <w:szCs w:val="24"/>
        </w:rPr>
        <w:t>– many of which were compounded by restrictions imposed during the pandemic – that</w:t>
      </w:r>
      <w:r w:rsidRPr="00F535D9">
        <w:rPr>
          <w:rStyle w:val="Howtousethistemplate"/>
          <w:rFonts w:ascii="Arial" w:eastAsia="Calibri" w:hAnsi="Arial" w:cs="Arial"/>
          <w:color w:val="auto"/>
          <w:szCs w:val="24"/>
        </w:rPr>
        <w:t xml:space="preserve"> children in custody </w:t>
      </w:r>
      <w:r w:rsidR="00BE14BD">
        <w:rPr>
          <w:rStyle w:val="Howtousethistemplate"/>
          <w:rFonts w:ascii="Arial" w:eastAsia="Calibri" w:hAnsi="Arial" w:cs="Arial"/>
          <w:color w:val="auto"/>
          <w:szCs w:val="24"/>
        </w:rPr>
        <w:t xml:space="preserve">face to </w:t>
      </w:r>
      <w:r w:rsidRPr="00F535D9">
        <w:rPr>
          <w:rStyle w:val="Howtousethistemplate"/>
          <w:rFonts w:ascii="Arial" w:eastAsia="Calibri" w:hAnsi="Arial" w:cs="Arial"/>
          <w:color w:val="auto"/>
          <w:szCs w:val="24"/>
        </w:rPr>
        <w:t>access mental health support,</w:t>
      </w:r>
      <w:r w:rsidRPr="00F535D9">
        <w:rPr>
          <w:rStyle w:val="FootnoteReference"/>
          <w:rFonts w:ascii="Arial" w:eastAsia="Calibri" w:hAnsi="Arial" w:cs="Arial"/>
          <w:szCs w:val="24"/>
        </w:rPr>
        <w:footnoteReference w:id="496"/>
      </w:r>
      <w:r w:rsidRPr="00F535D9">
        <w:rPr>
          <w:rStyle w:val="Howtousethistemplate"/>
          <w:rFonts w:ascii="Arial" w:eastAsia="Calibri" w:hAnsi="Arial" w:cs="Arial"/>
          <w:color w:val="auto"/>
          <w:szCs w:val="24"/>
        </w:rPr>
        <w:t xml:space="preserve"> healthcare provision</w:t>
      </w:r>
      <w:r w:rsidRPr="00F535D9">
        <w:rPr>
          <w:rStyle w:val="FootnoteReference"/>
          <w:rFonts w:ascii="Arial" w:eastAsia="Calibri" w:hAnsi="Arial" w:cs="Arial"/>
          <w:szCs w:val="24"/>
        </w:rPr>
        <w:footnoteReference w:id="497"/>
      </w:r>
      <w:r w:rsidRPr="00F535D9">
        <w:rPr>
          <w:rStyle w:val="Howtousethistemplate"/>
          <w:rFonts w:ascii="Arial" w:eastAsia="Calibri" w:hAnsi="Arial" w:cs="Arial"/>
          <w:color w:val="auto"/>
          <w:szCs w:val="24"/>
        </w:rPr>
        <w:t xml:space="preserve"> and education</w:t>
      </w:r>
      <w:r w:rsidRPr="00F535D9">
        <w:rPr>
          <w:rStyle w:val="FootnoteReference"/>
          <w:rFonts w:ascii="Arial" w:eastAsia="Calibri" w:hAnsi="Arial" w:cs="Arial"/>
          <w:szCs w:val="24"/>
        </w:rPr>
        <w:footnoteReference w:id="498"/>
      </w:r>
      <w:r w:rsidRPr="00F535D9">
        <w:rPr>
          <w:rStyle w:val="Howtousethistemplate"/>
          <w:rFonts w:ascii="Arial" w:eastAsia="Calibri" w:hAnsi="Arial" w:cs="Arial"/>
          <w:color w:val="auto"/>
          <w:szCs w:val="24"/>
        </w:rPr>
        <w:t>.</w:t>
      </w:r>
    </w:p>
    <w:p w14:paraId="71D0B3E2" w14:textId="0D7ADA30" w:rsidR="00F535D9" w:rsidRPr="00B91A3D" w:rsidRDefault="00F535D9" w:rsidP="00F535D9">
      <w:pPr>
        <w:pStyle w:val="Heading4"/>
      </w:pPr>
      <w:r>
        <w:t xml:space="preserve">Recommendations </w:t>
      </w:r>
    </w:p>
    <w:p w14:paraId="7620EAE0" w14:textId="77777777" w:rsidR="00F535D9" w:rsidRPr="006E33D0" w:rsidRDefault="00F535D9" w:rsidP="00F535D9">
      <w:pPr>
        <w:spacing w:before="120" w:line="240" w:lineRule="auto"/>
        <w:rPr>
          <w:rFonts w:ascii="Arial" w:eastAsia="Arial" w:hAnsi="Arial" w:cs="Arial"/>
          <w:szCs w:val="24"/>
          <w:u w:val="single"/>
        </w:rPr>
      </w:pPr>
      <w:r w:rsidRPr="006E33D0">
        <w:rPr>
          <w:rFonts w:ascii="Arial" w:eastAsia="Arial" w:hAnsi="Arial" w:cs="Arial"/>
          <w:szCs w:val="24"/>
          <w:u w:val="single"/>
        </w:rPr>
        <w:t>The UK Government should:</w:t>
      </w:r>
    </w:p>
    <w:p w14:paraId="67DF7C6C" w14:textId="649DD67F" w:rsidR="00F535D9" w:rsidRPr="00F535D9" w:rsidRDefault="00F535D9" w:rsidP="00627673">
      <w:pPr>
        <w:pStyle w:val="ListParagraph"/>
        <w:keepLines w:val="0"/>
        <w:numPr>
          <w:ilvl w:val="0"/>
          <w:numId w:val="37"/>
        </w:numPr>
        <w:autoSpaceDE w:val="0"/>
        <w:autoSpaceDN w:val="0"/>
        <w:adjustRightInd w:val="0"/>
        <w:spacing w:before="120" w:after="120" w:line="240" w:lineRule="auto"/>
        <w:rPr>
          <w:rFonts w:ascii="Arial" w:eastAsia="Calibri" w:hAnsi="Arial" w:cs="Arial"/>
          <w:color w:val="000000"/>
          <w:szCs w:val="24"/>
          <w:lang w:eastAsia="en-GB"/>
        </w:rPr>
      </w:pPr>
      <w:r w:rsidRPr="00F535D9">
        <w:rPr>
          <w:rFonts w:ascii="Arial" w:eastAsia="Calibri" w:hAnsi="Arial" w:cs="Arial"/>
          <w:color w:val="000000"/>
          <w:szCs w:val="24"/>
          <w:lang w:eastAsia="en-GB"/>
        </w:rPr>
        <w:t xml:space="preserve">Raise the age of criminal responsibility to 14, in line with international human rights standards. </w:t>
      </w:r>
    </w:p>
    <w:p w14:paraId="03B52E8E" w14:textId="77777777" w:rsidR="00F535D9" w:rsidRPr="00F535D9" w:rsidRDefault="00F535D9" w:rsidP="00627673">
      <w:pPr>
        <w:pStyle w:val="ListParagraph"/>
        <w:keepLines w:val="0"/>
        <w:numPr>
          <w:ilvl w:val="0"/>
          <w:numId w:val="37"/>
        </w:numPr>
        <w:autoSpaceDE w:val="0"/>
        <w:autoSpaceDN w:val="0"/>
        <w:adjustRightInd w:val="0"/>
        <w:spacing w:before="120" w:after="120" w:line="240" w:lineRule="auto"/>
        <w:rPr>
          <w:rFonts w:ascii="Arial" w:eastAsia="Calibri" w:hAnsi="Arial" w:cs="Arial"/>
          <w:color w:val="000000"/>
          <w:szCs w:val="24"/>
          <w:lang w:eastAsia="en-GB"/>
        </w:rPr>
      </w:pPr>
      <w:r w:rsidRPr="00F535D9">
        <w:rPr>
          <w:rFonts w:ascii="Arial" w:eastAsia="Calibri" w:hAnsi="Arial" w:cs="Arial"/>
          <w:szCs w:val="24"/>
        </w:rPr>
        <w:t xml:space="preserve">Ensure that measurable steps are taken to reduce the use of remand in custody for children, including by making available age-appropriate alternatives to custody in the community. </w:t>
      </w:r>
    </w:p>
    <w:p w14:paraId="58C79F9A" w14:textId="77777777" w:rsidR="00F535D9" w:rsidRPr="00F535D9" w:rsidRDefault="00F535D9" w:rsidP="00627673">
      <w:pPr>
        <w:pStyle w:val="ListParagraph"/>
        <w:numPr>
          <w:ilvl w:val="0"/>
          <w:numId w:val="37"/>
        </w:numPr>
        <w:spacing w:before="120" w:after="120" w:line="240" w:lineRule="auto"/>
        <w:rPr>
          <w:rFonts w:ascii="Arial" w:eastAsia="Calibri" w:hAnsi="Arial" w:cs="Arial"/>
          <w:szCs w:val="24"/>
        </w:rPr>
      </w:pPr>
      <w:r w:rsidRPr="00F535D9">
        <w:rPr>
          <w:rFonts w:ascii="Arial" w:eastAsia="Calibri" w:hAnsi="Arial" w:cs="Arial"/>
          <w:szCs w:val="24"/>
        </w:rPr>
        <w:t>Ensure compliance with the law that children in police custody are separated from adult detainees at all times.</w:t>
      </w:r>
    </w:p>
    <w:p w14:paraId="7D42C29D" w14:textId="77777777" w:rsidR="00F535D9" w:rsidRPr="00F535D9" w:rsidRDefault="00F535D9" w:rsidP="00627673">
      <w:pPr>
        <w:pStyle w:val="ListParagraph"/>
        <w:numPr>
          <w:ilvl w:val="0"/>
          <w:numId w:val="37"/>
        </w:numPr>
        <w:spacing w:before="120" w:after="120" w:line="240" w:lineRule="auto"/>
        <w:rPr>
          <w:rFonts w:ascii="Arial" w:eastAsia="Calibri" w:hAnsi="Arial" w:cs="Arial"/>
          <w:szCs w:val="24"/>
        </w:rPr>
      </w:pPr>
      <w:r w:rsidRPr="00F535D9">
        <w:rPr>
          <w:rFonts w:ascii="Arial" w:eastAsia="Calibri" w:hAnsi="Arial" w:cs="Arial"/>
          <w:szCs w:val="24"/>
        </w:rPr>
        <w:t>Implement the actions in the UK Government’s ‘Inclusive Britain’ report to tackle ethnic disparities in the criminalisation of young people, and develop a long-term strategy to ensure children from ethnic minorities are not subject to disproportionate treatment in the criminal justice system.</w:t>
      </w:r>
    </w:p>
    <w:p w14:paraId="053101EA" w14:textId="77777777" w:rsidR="00F535D9" w:rsidRPr="00F535D9" w:rsidRDefault="00F535D9" w:rsidP="00627673">
      <w:pPr>
        <w:pStyle w:val="ListParagraph"/>
        <w:numPr>
          <w:ilvl w:val="0"/>
          <w:numId w:val="37"/>
        </w:numPr>
        <w:spacing w:before="120" w:after="120" w:line="240" w:lineRule="auto"/>
        <w:rPr>
          <w:rFonts w:ascii="Arial" w:eastAsia="Calibri" w:hAnsi="Arial" w:cs="Arial"/>
          <w:szCs w:val="24"/>
        </w:rPr>
      </w:pPr>
      <w:r w:rsidRPr="00F535D9">
        <w:rPr>
          <w:rFonts w:ascii="Arial" w:eastAsia="Calibri" w:hAnsi="Arial" w:cs="Arial"/>
          <w:szCs w:val="24"/>
        </w:rPr>
        <w:t>End the use of mandatory life imprisonment sentences for children and take steps to ensure that children are given the shortest possible custodial sentences, including by enabling judicial discretion in sentencing.</w:t>
      </w:r>
    </w:p>
    <w:p w14:paraId="442331AB" w14:textId="4B7FB4AC" w:rsidR="00F535D9" w:rsidRPr="00F535D9" w:rsidRDefault="00F535D9" w:rsidP="00627673">
      <w:pPr>
        <w:pStyle w:val="ListParagraph"/>
        <w:numPr>
          <w:ilvl w:val="0"/>
          <w:numId w:val="37"/>
        </w:numPr>
        <w:spacing w:before="120" w:after="120" w:line="240" w:lineRule="auto"/>
        <w:rPr>
          <w:rFonts w:ascii="Arial" w:eastAsia="Calibri" w:hAnsi="Arial" w:cs="Arial"/>
          <w:szCs w:val="24"/>
        </w:rPr>
      </w:pPr>
      <w:r w:rsidRPr="00F535D9">
        <w:rPr>
          <w:rFonts w:ascii="Arial" w:eastAsia="Calibri" w:hAnsi="Arial" w:cs="Arial"/>
          <w:szCs w:val="24"/>
        </w:rPr>
        <w:t>Research the equality and human rights impact</w:t>
      </w:r>
      <w:r w:rsidR="00BE14BD">
        <w:rPr>
          <w:rFonts w:ascii="Arial" w:eastAsia="Calibri" w:hAnsi="Arial" w:cs="Arial"/>
          <w:szCs w:val="24"/>
        </w:rPr>
        <w:t>s</w:t>
      </w:r>
      <w:r w:rsidRPr="00F535D9">
        <w:rPr>
          <w:rFonts w:ascii="Arial" w:eastAsia="Calibri" w:hAnsi="Arial" w:cs="Arial"/>
          <w:szCs w:val="24"/>
        </w:rPr>
        <w:t xml:space="preserve"> of using live link, online or written procedures and other new technologies in criminal proceedings for child defendants before expanding their use. </w:t>
      </w:r>
    </w:p>
    <w:p w14:paraId="153547CA" w14:textId="77777777" w:rsidR="00F535D9" w:rsidRPr="00F535D9" w:rsidRDefault="00F535D9" w:rsidP="00627673">
      <w:pPr>
        <w:pStyle w:val="ListParagraph"/>
        <w:numPr>
          <w:ilvl w:val="0"/>
          <w:numId w:val="37"/>
        </w:numPr>
        <w:spacing w:before="120" w:after="120" w:line="240" w:lineRule="auto"/>
        <w:rPr>
          <w:rFonts w:ascii="Arial" w:eastAsia="Calibri" w:hAnsi="Arial" w:cs="Arial"/>
          <w:b/>
          <w:szCs w:val="24"/>
        </w:rPr>
      </w:pPr>
      <w:r w:rsidRPr="00F535D9">
        <w:rPr>
          <w:rFonts w:ascii="Arial" w:eastAsia="Calibri" w:hAnsi="Arial" w:cs="Arial"/>
          <w:szCs w:val="24"/>
        </w:rPr>
        <w:t xml:space="preserve">Ensure that measurable steps are taken to reduce violence in youth custody inflicted upon, and carried out by, children, including assaults and bullying, and take action in response to the recommendations of the Independent Inquiry into Child Sexual Abuse report on sexual abuse of children in youth custody. </w:t>
      </w:r>
    </w:p>
    <w:p w14:paraId="380FBB9E" w14:textId="77777777" w:rsidR="00F535D9" w:rsidRPr="00F535D9" w:rsidRDefault="00F535D9" w:rsidP="00627673">
      <w:pPr>
        <w:pStyle w:val="ListParagraph"/>
        <w:numPr>
          <w:ilvl w:val="0"/>
          <w:numId w:val="37"/>
        </w:numPr>
        <w:spacing w:before="120" w:after="120" w:line="240" w:lineRule="auto"/>
        <w:rPr>
          <w:rFonts w:ascii="Arial" w:eastAsia="Calibri" w:hAnsi="Arial" w:cs="Arial"/>
          <w:b/>
          <w:szCs w:val="24"/>
        </w:rPr>
      </w:pPr>
      <w:r w:rsidRPr="00F535D9">
        <w:rPr>
          <w:rFonts w:ascii="Arial" w:eastAsia="Calibri" w:hAnsi="Arial" w:cs="Arial"/>
          <w:szCs w:val="24"/>
        </w:rPr>
        <w:t xml:space="preserve">Improve the provision and availability of physical and mental health services in the youth secure estate. This should include timely support to prevent suicide and self-harm. </w:t>
      </w:r>
    </w:p>
    <w:p w14:paraId="4E9D6ED2" w14:textId="77777777" w:rsidR="00F535D9" w:rsidRPr="006E33D0" w:rsidRDefault="00F535D9" w:rsidP="00F535D9">
      <w:pPr>
        <w:spacing w:before="120" w:line="240" w:lineRule="auto"/>
        <w:rPr>
          <w:rFonts w:ascii="Arial" w:eastAsia="Calibri" w:hAnsi="Arial" w:cs="Arial"/>
          <w:szCs w:val="24"/>
          <w:u w:val="single"/>
        </w:rPr>
      </w:pPr>
      <w:r w:rsidRPr="006E33D0">
        <w:rPr>
          <w:rFonts w:ascii="Arial" w:eastAsia="Calibri" w:hAnsi="Arial" w:cs="Arial"/>
          <w:szCs w:val="24"/>
          <w:u w:val="single"/>
        </w:rPr>
        <w:t>The Welsh Government should:</w:t>
      </w:r>
    </w:p>
    <w:p w14:paraId="3BC1BF5F" w14:textId="12BA2EB8" w:rsidR="00FB521C" w:rsidRPr="00574F64" w:rsidRDefault="00F535D9" w:rsidP="00A26DF5">
      <w:pPr>
        <w:pStyle w:val="ListParagraph"/>
        <w:numPr>
          <w:ilvl w:val="0"/>
          <w:numId w:val="38"/>
        </w:numPr>
        <w:spacing w:before="120" w:after="120" w:line="240" w:lineRule="auto"/>
        <w:rPr>
          <w:rFonts w:ascii="Arial" w:eastAsia="MS Gothic" w:hAnsi="Arial" w:cs="Arial"/>
          <w:color w:val="722856"/>
          <w:szCs w:val="24"/>
        </w:rPr>
      </w:pPr>
      <w:r w:rsidRPr="00F535D9">
        <w:rPr>
          <w:rFonts w:ascii="Arial" w:eastAsia="Calibri" w:hAnsi="Arial" w:cs="Arial"/>
          <w:szCs w:val="24"/>
        </w:rPr>
        <w:t>Work with the UK Government to implement the recommendation from the Commission on Justice that each of the police, Crown Prosecution Service, the judiciary and HM Prison and Probation Service should publish a strategy in respect of Black, Asian and Minority Ethnic people in Wales, and report annually on their strategy to the Welsh Parliament (Senedd). These strategies must take into account the rights contained in the CRC and include a focus on specific disparities in the youth justice system.</w:t>
      </w:r>
    </w:p>
    <w:p w14:paraId="7C6F3E5C" w14:textId="0EEF930B" w:rsidR="00F535D9" w:rsidRPr="00574F64" w:rsidRDefault="00F535D9" w:rsidP="00574F64">
      <w:pPr>
        <w:pStyle w:val="Heading1"/>
      </w:pPr>
      <w:bookmarkStart w:id="21" w:name="_Toc122018865"/>
      <w:r w:rsidRPr="00574F64">
        <w:t>Optional protocol on the sale of c</w:t>
      </w:r>
      <w:r w:rsidR="00574F64">
        <w:t xml:space="preserve">hildren, child prostitution and </w:t>
      </w:r>
      <w:r w:rsidRPr="00574F64">
        <w:t>child pornography</w:t>
      </w:r>
      <w:bookmarkEnd w:id="21"/>
    </w:p>
    <w:p w14:paraId="52B83D31" w14:textId="68537D5E" w:rsidR="00F535D9" w:rsidRPr="000530C5" w:rsidRDefault="00F535D9" w:rsidP="00F535D9">
      <w:pPr>
        <w:pStyle w:val="Heading2"/>
      </w:pPr>
      <w:bookmarkStart w:id="22" w:name="_Toc122018866"/>
      <w:r>
        <w:t>Trafficking and modern slavery</w:t>
      </w:r>
      <w:bookmarkEnd w:id="22"/>
    </w:p>
    <w:p w14:paraId="213CF9F1" w14:textId="74E1B9CB" w:rsidR="00F535D9" w:rsidRPr="006E33D0" w:rsidRDefault="00F535D9" w:rsidP="00F535D9">
      <w:pPr>
        <w:keepNext/>
        <w:pBdr>
          <w:top w:val="single" w:sz="24" w:space="8" w:color="DDDE45"/>
          <w:left w:val="single" w:sz="24" w:space="4" w:color="F1F1B4"/>
          <w:bottom w:val="single" w:sz="48" w:space="1" w:color="F1F1B4"/>
          <w:right w:val="single" w:sz="24" w:space="4" w:color="F1F1B4"/>
        </w:pBdr>
        <w:shd w:val="clear" w:color="auto" w:fill="F1F1B4"/>
        <w:spacing w:before="120" w:line="240" w:lineRule="auto"/>
        <w:ind w:left="142" w:right="198"/>
        <w:rPr>
          <w:rFonts w:ascii="Arial" w:eastAsia="Arial" w:hAnsi="Arial" w:cs="Arial"/>
          <w:b/>
          <w:szCs w:val="24"/>
        </w:rPr>
      </w:pPr>
      <w:r w:rsidRPr="006E33D0">
        <w:rPr>
          <w:rFonts w:ascii="Arial" w:eastAsia="Arial" w:hAnsi="Arial" w:cs="Arial"/>
          <w:b/>
          <w:szCs w:val="24"/>
        </w:rPr>
        <w:t xml:space="preserve">See: </w:t>
      </w:r>
      <w:hyperlink r:id="rId52" w:history="1">
        <w:r w:rsidRPr="006E33D0">
          <w:rPr>
            <w:rFonts w:ascii="Arial" w:eastAsia="Arial" w:hAnsi="Arial" w:cs="Arial"/>
            <w:b/>
            <w:szCs w:val="24"/>
            <w:u w:val="single" w:color="009C98"/>
          </w:rPr>
          <w:t>Our 2020 submission</w:t>
        </w:r>
      </w:hyperlink>
      <w:r w:rsidRPr="006E33D0">
        <w:rPr>
          <w:rFonts w:ascii="Arial" w:eastAsia="Arial" w:hAnsi="Arial" w:cs="Arial"/>
          <w:b/>
          <w:szCs w:val="24"/>
        </w:rPr>
        <w:t xml:space="preserve"> (pages 101-104); </w:t>
      </w:r>
      <w:hyperlink r:id="rId53" w:history="1">
        <w:r w:rsidR="00574F64">
          <w:rPr>
            <w:rFonts w:ascii="Arial" w:eastAsia="Arial" w:hAnsi="Arial" w:cs="Arial"/>
            <w:b/>
            <w:szCs w:val="24"/>
            <w:u w:val="single" w:color="009C98"/>
          </w:rPr>
          <w:t>UNCRC list of i</w:t>
        </w:r>
        <w:r w:rsidRPr="006E33D0">
          <w:rPr>
            <w:rFonts w:ascii="Arial" w:eastAsia="Arial" w:hAnsi="Arial" w:cs="Arial"/>
            <w:b/>
            <w:szCs w:val="24"/>
            <w:u w:val="single" w:color="009C98"/>
          </w:rPr>
          <w:t>ssues</w:t>
        </w:r>
      </w:hyperlink>
      <w:r w:rsidRPr="006E33D0">
        <w:rPr>
          <w:rFonts w:ascii="Arial" w:eastAsia="Arial" w:hAnsi="Arial" w:cs="Arial"/>
          <w:b/>
          <w:szCs w:val="24"/>
        </w:rPr>
        <w:t xml:space="preserve"> (para 32); </w:t>
      </w:r>
      <w:hyperlink r:id="rId54" w:history="1">
        <w:r w:rsidRPr="006E33D0">
          <w:rPr>
            <w:rFonts w:ascii="Arial" w:eastAsia="Arial" w:hAnsi="Arial" w:cs="Arial"/>
            <w:b/>
            <w:szCs w:val="24"/>
            <w:u w:val="single" w:color="009C98"/>
          </w:rPr>
          <w:t>UN Sustainable Development Goals</w:t>
        </w:r>
      </w:hyperlink>
      <w:r w:rsidRPr="006E33D0">
        <w:rPr>
          <w:rFonts w:ascii="Arial" w:eastAsia="Arial" w:hAnsi="Arial" w:cs="Arial"/>
          <w:b/>
          <w:szCs w:val="24"/>
        </w:rPr>
        <w:t xml:space="preserve"> (Goals 5, 8 and 16)</w:t>
      </w:r>
    </w:p>
    <w:p w14:paraId="3B4D4F78" w14:textId="1169FFA7" w:rsidR="00F535D9" w:rsidRPr="006E33D0" w:rsidRDefault="00F535D9" w:rsidP="00F535D9">
      <w:pPr>
        <w:spacing w:before="120" w:line="240" w:lineRule="auto"/>
        <w:rPr>
          <w:rFonts w:ascii="Arial" w:eastAsia="Calibri" w:hAnsi="Arial" w:cs="Arial"/>
          <w:szCs w:val="24"/>
          <w:lang w:eastAsia="en-GB"/>
        </w:rPr>
      </w:pPr>
      <w:r w:rsidRPr="006E33D0">
        <w:rPr>
          <w:rFonts w:ascii="Arial" w:eastAsia="Calibri" w:hAnsi="Arial" w:cs="Arial"/>
          <w:szCs w:val="24"/>
          <w:lang w:eastAsia="en-GB"/>
        </w:rPr>
        <w:t>The number of child potential victims of trafficking and modern slavery referred to the National Referral Mechanism (NRM) continues to increase. In 2021, there were 5,468 referrals of child potential victims, up from 5,028 in 2020</w:t>
      </w:r>
      <w:r w:rsidR="00BE14BD">
        <w:rPr>
          <w:rFonts w:ascii="Arial" w:eastAsia="Calibri" w:hAnsi="Arial" w:cs="Arial"/>
          <w:szCs w:val="24"/>
          <w:lang w:eastAsia="en-GB"/>
        </w:rPr>
        <w:t xml:space="preserve">, </w:t>
      </w:r>
      <w:r w:rsidRPr="006E33D0">
        <w:rPr>
          <w:rFonts w:ascii="Arial" w:eastAsia="Calibri" w:hAnsi="Arial" w:cs="Arial"/>
          <w:szCs w:val="24"/>
          <w:lang w:eastAsia="en-GB"/>
        </w:rPr>
        <w:t>4,554 in 2019</w:t>
      </w:r>
      <w:r w:rsidR="00BE14BD">
        <w:rPr>
          <w:rFonts w:ascii="Arial" w:eastAsia="Calibri" w:hAnsi="Arial" w:cs="Arial"/>
          <w:szCs w:val="24"/>
          <w:lang w:eastAsia="en-GB"/>
        </w:rPr>
        <w:t xml:space="preserve"> and 1,281 in 2016</w:t>
      </w:r>
      <w:r w:rsidRPr="006E33D0">
        <w:rPr>
          <w:rFonts w:ascii="Arial" w:eastAsia="Calibri" w:hAnsi="Arial" w:cs="Arial"/>
          <w:szCs w:val="24"/>
          <w:lang w:eastAsia="en-GB"/>
        </w:rPr>
        <w:t>.</w:t>
      </w:r>
      <w:r w:rsidRPr="006E33D0">
        <w:rPr>
          <w:rFonts w:ascii="Arial" w:eastAsia="Calibri" w:hAnsi="Arial" w:cs="Arial"/>
          <w:szCs w:val="24"/>
          <w:vertAlign w:val="superscript"/>
          <w:lang w:eastAsia="en-GB"/>
        </w:rPr>
        <w:footnoteReference w:id="499"/>
      </w:r>
      <w:r w:rsidRPr="006E33D0">
        <w:rPr>
          <w:rFonts w:ascii="Arial" w:eastAsia="Calibri" w:hAnsi="Arial" w:cs="Arial"/>
          <w:szCs w:val="24"/>
          <w:lang w:eastAsia="en-GB"/>
        </w:rPr>
        <w:t xml:space="preserve"> Given the ‘hidden nature of the crime’,</w:t>
      </w:r>
      <w:r w:rsidRPr="006E33D0">
        <w:rPr>
          <w:rFonts w:ascii="Arial" w:eastAsia="Calibri" w:hAnsi="Arial" w:cs="Arial"/>
          <w:szCs w:val="24"/>
          <w:vertAlign w:val="superscript"/>
          <w:lang w:eastAsia="en-GB"/>
        </w:rPr>
        <w:footnoteReference w:id="500"/>
      </w:r>
      <w:r w:rsidRPr="006E33D0">
        <w:rPr>
          <w:rFonts w:ascii="Arial" w:eastAsia="Calibri" w:hAnsi="Arial" w:cs="Arial"/>
          <w:szCs w:val="24"/>
          <w:lang w:eastAsia="en-GB"/>
        </w:rPr>
        <w:t xml:space="preserve"> the actual figures on trafficked children may be significantly higher. </w:t>
      </w:r>
      <w:r w:rsidR="00BE14BD">
        <w:rPr>
          <w:rFonts w:ascii="Arial" w:eastAsia="Calibri" w:hAnsi="Arial" w:cs="Arial"/>
          <w:szCs w:val="24"/>
          <w:lang w:eastAsia="en-GB"/>
        </w:rPr>
        <w:t>Greater</w:t>
      </w:r>
      <w:r w:rsidRPr="006E33D0">
        <w:rPr>
          <w:rFonts w:ascii="Arial" w:eastAsia="Calibri" w:hAnsi="Arial" w:cs="Arial"/>
          <w:szCs w:val="24"/>
          <w:lang w:eastAsia="en-GB"/>
        </w:rPr>
        <w:t xml:space="preserve"> public awareness is likely to have contributed to recent increases</w:t>
      </w:r>
      <w:r w:rsidR="00BE14BD">
        <w:rPr>
          <w:rFonts w:ascii="Arial" w:eastAsia="Calibri" w:hAnsi="Arial" w:cs="Arial"/>
          <w:szCs w:val="24"/>
          <w:lang w:eastAsia="en-GB"/>
        </w:rPr>
        <w:t xml:space="preserve"> in referrals</w:t>
      </w:r>
      <w:r w:rsidRPr="006E33D0">
        <w:rPr>
          <w:rFonts w:ascii="Arial" w:eastAsia="Calibri" w:hAnsi="Arial" w:cs="Arial"/>
          <w:szCs w:val="24"/>
          <w:lang w:eastAsia="en-GB"/>
        </w:rPr>
        <w:t>.</w:t>
      </w:r>
      <w:r w:rsidRPr="006E33D0">
        <w:rPr>
          <w:rFonts w:ascii="Arial" w:eastAsia="Calibri" w:hAnsi="Arial" w:cs="Arial"/>
          <w:szCs w:val="24"/>
          <w:vertAlign w:val="superscript"/>
          <w:lang w:eastAsia="en-GB"/>
        </w:rPr>
        <w:footnoteReference w:id="501"/>
      </w:r>
      <w:r w:rsidRPr="006E33D0">
        <w:rPr>
          <w:rFonts w:ascii="Arial" w:eastAsia="Calibri" w:hAnsi="Arial" w:cs="Arial"/>
          <w:szCs w:val="24"/>
          <w:lang w:eastAsia="en-GB"/>
        </w:rPr>
        <w:t xml:space="preserve"> In 2021, 79% of child potential victims were male and over half were UK nationals.</w:t>
      </w:r>
      <w:r w:rsidRPr="006E33D0">
        <w:rPr>
          <w:rFonts w:ascii="Arial" w:eastAsia="Calibri" w:hAnsi="Arial" w:cs="Arial"/>
          <w:szCs w:val="24"/>
          <w:vertAlign w:val="superscript"/>
          <w:lang w:eastAsia="en-GB"/>
        </w:rPr>
        <w:footnoteReference w:id="502"/>
      </w:r>
      <w:r w:rsidRPr="006E33D0">
        <w:rPr>
          <w:rFonts w:ascii="Arial" w:eastAsia="Calibri" w:hAnsi="Arial" w:cs="Arial"/>
          <w:szCs w:val="24"/>
          <w:lang w:eastAsia="en-GB"/>
        </w:rPr>
        <w:t xml:space="preserve"> </w:t>
      </w:r>
    </w:p>
    <w:p w14:paraId="4BA7E0BA" w14:textId="77777777" w:rsidR="00574F64" w:rsidRDefault="00F535D9" w:rsidP="00F535D9">
      <w:pPr>
        <w:spacing w:before="120" w:line="240" w:lineRule="auto"/>
        <w:rPr>
          <w:rFonts w:ascii="Arial" w:eastAsia="Calibri" w:hAnsi="Arial" w:cs="Arial"/>
          <w:szCs w:val="24"/>
        </w:rPr>
      </w:pPr>
      <w:r w:rsidRPr="006E33D0">
        <w:rPr>
          <w:rFonts w:ascii="Arial" w:eastAsia="Calibri" w:hAnsi="Arial" w:cs="Arial"/>
          <w:szCs w:val="24"/>
          <w:lang w:eastAsia="en-GB"/>
        </w:rPr>
        <w:t>In our 2020 submission,</w:t>
      </w:r>
      <w:r w:rsidRPr="006E33D0">
        <w:rPr>
          <w:rFonts w:ascii="Arial" w:eastAsia="Calibri" w:hAnsi="Arial" w:cs="Arial"/>
          <w:szCs w:val="24"/>
          <w:vertAlign w:val="superscript"/>
          <w:lang w:eastAsia="en-GB"/>
        </w:rPr>
        <w:footnoteReference w:id="503"/>
      </w:r>
      <w:r w:rsidRPr="006E33D0">
        <w:rPr>
          <w:rFonts w:ascii="Arial" w:eastAsia="Calibri" w:hAnsi="Arial" w:cs="Arial"/>
          <w:szCs w:val="24"/>
          <w:lang w:eastAsia="en-GB"/>
        </w:rPr>
        <w:t xml:space="preserve"> we noted that </w:t>
      </w:r>
      <w:r w:rsidRPr="006E33D0">
        <w:rPr>
          <w:rFonts w:ascii="Arial" w:eastAsia="Calibri" w:hAnsi="Arial" w:cs="Arial"/>
          <w:szCs w:val="24"/>
        </w:rPr>
        <w:t>civil society organisations have called for a new approach to the NRM to ensure improved identification, specialist support provision and safeguarding of child survivors.</w:t>
      </w:r>
      <w:r w:rsidRPr="006E33D0">
        <w:rPr>
          <w:rFonts w:ascii="Arial" w:eastAsia="Calibri" w:hAnsi="Arial" w:cs="Arial"/>
          <w:szCs w:val="24"/>
          <w:vertAlign w:val="superscript"/>
        </w:rPr>
        <w:footnoteReference w:id="504"/>
      </w:r>
      <w:r w:rsidRPr="006E33D0">
        <w:rPr>
          <w:rFonts w:ascii="Arial" w:eastAsia="Calibri" w:hAnsi="Arial" w:cs="Arial"/>
          <w:szCs w:val="24"/>
        </w:rPr>
        <w:t xml:space="preserve"> Despite the initiation of an NRM transformation programme in summer 2020,</w:t>
      </w:r>
      <w:r w:rsidRPr="006E33D0">
        <w:rPr>
          <w:rFonts w:ascii="Arial" w:eastAsia="Calibri" w:hAnsi="Arial" w:cs="Arial"/>
          <w:szCs w:val="24"/>
          <w:vertAlign w:val="superscript"/>
        </w:rPr>
        <w:footnoteReference w:id="505"/>
      </w:r>
      <w:r w:rsidRPr="006E33D0">
        <w:rPr>
          <w:rFonts w:ascii="Arial" w:eastAsia="Calibri" w:hAnsi="Arial" w:cs="Arial"/>
          <w:szCs w:val="24"/>
        </w:rPr>
        <w:t xml:space="preserve"> the Independent Anti-Slave</w:t>
      </w:r>
      <w:r w:rsidR="00574F64">
        <w:rPr>
          <w:rFonts w:ascii="Arial" w:eastAsia="Calibri" w:hAnsi="Arial" w:cs="Arial"/>
          <w:szCs w:val="24"/>
        </w:rPr>
        <w:t>ry Commissioner has noted that ‘</w:t>
      </w:r>
      <w:r w:rsidRPr="006E33D0">
        <w:rPr>
          <w:rFonts w:ascii="Arial" w:eastAsia="Calibri" w:hAnsi="Arial" w:cs="Arial"/>
          <w:szCs w:val="24"/>
        </w:rPr>
        <w:t>progress in some asp</w:t>
      </w:r>
      <w:r w:rsidR="00574F64">
        <w:rPr>
          <w:rFonts w:ascii="Arial" w:eastAsia="Calibri" w:hAnsi="Arial" w:cs="Arial"/>
          <w:szCs w:val="24"/>
        </w:rPr>
        <w:t>ects of this work has been slow’</w:t>
      </w:r>
      <w:r w:rsidRPr="006E33D0">
        <w:rPr>
          <w:rFonts w:ascii="Arial" w:eastAsia="Calibri" w:hAnsi="Arial" w:cs="Arial"/>
          <w:szCs w:val="24"/>
        </w:rPr>
        <w:t xml:space="preserve"> and significant challenges remain, such as lengthy waiting times for NRM decisions.</w:t>
      </w:r>
      <w:r w:rsidRPr="006E33D0">
        <w:rPr>
          <w:rFonts w:ascii="Arial" w:eastAsia="Calibri" w:hAnsi="Arial" w:cs="Arial"/>
          <w:szCs w:val="24"/>
          <w:vertAlign w:val="superscript"/>
        </w:rPr>
        <w:footnoteReference w:id="506"/>
      </w:r>
      <w:r w:rsidRPr="006E33D0">
        <w:rPr>
          <w:rFonts w:ascii="Arial" w:eastAsia="Calibri" w:hAnsi="Arial" w:cs="Arial"/>
          <w:szCs w:val="24"/>
        </w:rPr>
        <w:t xml:space="preserve"> </w:t>
      </w:r>
    </w:p>
    <w:p w14:paraId="1FEE7BEC" w14:textId="51B81766" w:rsidR="00F535D9" w:rsidRPr="006E33D0" w:rsidRDefault="00F535D9" w:rsidP="00F535D9">
      <w:pPr>
        <w:spacing w:before="120" w:line="240" w:lineRule="auto"/>
        <w:rPr>
          <w:rFonts w:ascii="Arial" w:eastAsia="Calibri" w:hAnsi="Arial" w:cs="Arial"/>
          <w:szCs w:val="24"/>
          <w:lang w:eastAsia="en-GB"/>
        </w:rPr>
      </w:pPr>
      <w:r w:rsidRPr="006E33D0">
        <w:rPr>
          <w:rFonts w:ascii="Arial" w:eastAsia="Calibri" w:hAnsi="Arial" w:cs="Arial"/>
          <w:szCs w:val="24"/>
          <w:lang w:eastAsia="en-GB"/>
        </w:rPr>
        <w:t>In 2021, the Home Office launched a pilot to devolve NRM decision-making for child potential victims to local safeguarding partners, covering England, Wales and Scotland.</w:t>
      </w:r>
      <w:r w:rsidRPr="006E33D0">
        <w:rPr>
          <w:rFonts w:ascii="Arial" w:eastAsia="Calibri" w:hAnsi="Arial" w:cs="Arial"/>
          <w:szCs w:val="24"/>
          <w:vertAlign w:val="superscript"/>
          <w:lang w:eastAsia="en-GB"/>
        </w:rPr>
        <w:footnoteReference w:id="507"/>
      </w:r>
      <w:r w:rsidRPr="006E33D0">
        <w:rPr>
          <w:rFonts w:ascii="Arial" w:eastAsia="Calibri" w:hAnsi="Arial" w:cs="Arial"/>
          <w:szCs w:val="24"/>
          <w:lang w:eastAsia="en-GB"/>
        </w:rPr>
        <w:t xml:space="preserve"> Th</w:t>
      </w:r>
      <w:r w:rsidR="00574F64">
        <w:rPr>
          <w:rFonts w:ascii="Arial" w:eastAsia="Calibri" w:hAnsi="Arial" w:cs="Arial"/>
          <w:szCs w:val="24"/>
          <w:lang w:eastAsia="en-GB"/>
        </w:rPr>
        <w:t>e programme aims to understand ‘</w:t>
      </w:r>
      <w:r w:rsidRPr="006E33D0">
        <w:rPr>
          <w:rFonts w:ascii="Arial" w:eastAsia="Calibri" w:hAnsi="Arial" w:cs="Arial"/>
          <w:szCs w:val="24"/>
          <w:lang w:eastAsia="en-GB"/>
        </w:rPr>
        <w:t xml:space="preserve">the benefits of a local, multi-agency approach to identification of </w:t>
      </w:r>
      <w:r w:rsidR="00574F64">
        <w:rPr>
          <w:rFonts w:ascii="Arial" w:eastAsia="Calibri" w:hAnsi="Arial" w:cs="Arial"/>
          <w:szCs w:val="24"/>
          <w:lang w:eastAsia="en-GB"/>
        </w:rPr>
        <w:t>child victims of modern slavery’</w:t>
      </w:r>
      <w:r w:rsidRPr="006E33D0">
        <w:rPr>
          <w:rFonts w:ascii="Arial" w:eastAsia="Calibri" w:hAnsi="Arial" w:cs="Arial"/>
          <w:szCs w:val="24"/>
          <w:lang w:eastAsia="en-GB"/>
        </w:rPr>
        <w:t>.</w:t>
      </w:r>
      <w:r w:rsidRPr="006E33D0">
        <w:rPr>
          <w:rFonts w:ascii="Arial" w:eastAsia="Calibri" w:hAnsi="Arial" w:cs="Arial"/>
          <w:szCs w:val="24"/>
          <w:vertAlign w:val="superscript"/>
          <w:lang w:eastAsia="en-GB"/>
        </w:rPr>
        <w:footnoteReference w:id="508"/>
      </w:r>
      <w:r w:rsidRPr="006E33D0">
        <w:rPr>
          <w:rFonts w:ascii="Arial" w:eastAsia="Calibri" w:hAnsi="Arial" w:cs="Arial"/>
          <w:szCs w:val="24"/>
          <w:lang w:eastAsia="en-GB"/>
        </w:rPr>
        <w:t xml:space="preserve"> Experts </w:t>
      </w:r>
      <w:r w:rsidR="00BE14BD">
        <w:rPr>
          <w:rFonts w:ascii="Arial" w:eastAsia="Calibri" w:hAnsi="Arial" w:cs="Arial"/>
          <w:szCs w:val="24"/>
          <w:lang w:eastAsia="en-GB"/>
        </w:rPr>
        <w:t xml:space="preserve">have </w:t>
      </w:r>
      <w:r w:rsidRPr="006E33D0">
        <w:rPr>
          <w:rFonts w:ascii="Arial" w:eastAsia="Calibri" w:hAnsi="Arial" w:cs="Arial"/>
          <w:szCs w:val="24"/>
          <w:lang w:eastAsia="en-GB"/>
        </w:rPr>
        <w:t>report</w:t>
      </w:r>
      <w:r w:rsidR="00BE14BD">
        <w:rPr>
          <w:rFonts w:ascii="Arial" w:eastAsia="Calibri" w:hAnsi="Arial" w:cs="Arial"/>
          <w:szCs w:val="24"/>
          <w:lang w:eastAsia="en-GB"/>
        </w:rPr>
        <w:t>ed</w:t>
      </w:r>
      <w:r w:rsidRPr="006E33D0">
        <w:rPr>
          <w:rFonts w:ascii="Arial" w:eastAsia="Calibri" w:hAnsi="Arial" w:cs="Arial"/>
          <w:szCs w:val="24"/>
          <w:lang w:eastAsia="en-GB"/>
        </w:rPr>
        <w:t xml:space="preserve"> that initial feedback on the pilot has been positive, noting more streamlined evidence-gathering and an overall reduction in waiting times.</w:t>
      </w:r>
      <w:r w:rsidRPr="006E33D0">
        <w:rPr>
          <w:rFonts w:ascii="Arial" w:eastAsia="Calibri" w:hAnsi="Arial" w:cs="Arial"/>
          <w:szCs w:val="24"/>
          <w:vertAlign w:val="superscript"/>
          <w:lang w:eastAsia="en-GB"/>
        </w:rPr>
        <w:footnoteReference w:id="509"/>
      </w:r>
    </w:p>
    <w:p w14:paraId="596DB224" w14:textId="77777777" w:rsidR="009B2796" w:rsidRDefault="00F535D9" w:rsidP="00F535D9">
      <w:pPr>
        <w:spacing w:before="120" w:line="240" w:lineRule="auto"/>
        <w:rPr>
          <w:rFonts w:ascii="Arial" w:eastAsia="Calibri" w:hAnsi="Arial" w:cs="Arial"/>
          <w:szCs w:val="24"/>
          <w:lang w:eastAsia="en-GB"/>
        </w:rPr>
      </w:pPr>
      <w:r>
        <w:rPr>
          <w:rFonts w:ascii="Arial" w:eastAsia="Calibri" w:hAnsi="Arial" w:cs="Arial"/>
          <w:szCs w:val="24"/>
          <w:lang w:eastAsia="en-GB"/>
        </w:rPr>
        <w:t>The expansion</w:t>
      </w:r>
      <w:r w:rsidRPr="006E33D0">
        <w:rPr>
          <w:rFonts w:ascii="Arial" w:eastAsia="Calibri" w:hAnsi="Arial" w:cs="Arial"/>
          <w:szCs w:val="24"/>
          <w:lang w:eastAsia="en-GB"/>
        </w:rPr>
        <w:t xml:space="preserve"> of Independent Child Trafficking Guardian (ICTG) services is continuing, though there is no clear timescale for completion.</w:t>
      </w:r>
      <w:r w:rsidRPr="002B041F">
        <w:rPr>
          <w:rFonts w:ascii="Arial" w:eastAsia="Calibri" w:hAnsi="Arial" w:cs="Arial"/>
          <w:szCs w:val="24"/>
          <w:lang w:eastAsia="en-GB"/>
        </w:rPr>
        <w:t xml:space="preserve"> </w:t>
      </w:r>
      <w:r w:rsidRPr="006E33D0">
        <w:rPr>
          <w:rFonts w:ascii="Arial" w:eastAsia="Calibri" w:hAnsi="Arial" w:cs="Arial"/>
          <w:szCs w:val="24"/>
          <w:lang w:eastAsia="en-GB"/>
        </w:rPr>
        <w:t xml:space="preserve">Case studies </w:t>
      </w:r>
      <w:r w:rsidR="00BE14BD">
        <w:rPr>
          <w:rFonts w:ascii="Arial" w:eastAsia="Calibri" w:hAnsi="Arial" w:cs="Arial"/>
          <w:szCs w:val="24"/>
          <w:lang w:eastAsia="en-GB"/>
        </w:rPr>
        <w:t xml:space="preserve">have identified </w:t>
      </w:r>
      <w:r w:rsidRPr="006E33D0">
        <w:rPr>
          <w:rFonts w:ascii="Arial" w:eastAsia="Calibri" w:hAnsi="Arial" w:cs="Arial"/>
          <w:szCs w:val="24"/>
          <w:lang w:eastAsia="en-GB"/>
        </w:rPr>
        <w:t>some of the positive impact</w:t>
      </w:r>
      <w:r w:rsidR="00BE14BD">
        <w:rPr>
          <w:rFonts w:ascii="Arial" w:eastAsia="Calibri" w:hAnsi="Arial" w:cs="Arial"/>
          <w:szCs w:val="24"/>
          <w:lang w:eastAsia="en-GB"/>
        </w:rPr>
        <w:t>s</w:t>
      </w:r>
      <w:r w:rsidRPr="006E33D0">
        <w:rPr>
          <w:rFonts w:ascii="Arial" w:eastAsia="Calibri" w:hAnsi="Arial" w:cs="Arial"/>
          <w:szCs w:val="24"/>
          <w:lang w:eastAsia="en-GB"/>
        </w:rPr>
        <w:t xml:space="preserve"> of ICTG services.</w:t>
      </w:r>
      <w:r w:rsidRPr="006E33D0">
        <w:rPr>
          <w:rFonts w:ascii="Arial" w:eastAsia="Calibri" w:hAnsi="Arial" w:cs="Arial"/>
          <w:szCs w:val="24"/>
          <w:vertAlign w:val="superscript"/>
          <w:lang w:eastAsia="en-GB"/>
        </w:rPr>
        <w:footnoteReference w:id="510"/>
      </w:r>
      <w:r w:rsidRPr="006E33D0">
        <w:rPr>
          <w:rFonts w:ascii="Arial" w:eastAsia="Calibri" w:hAnsi="Arial" w:cs="Arial"/>
          <w:szCs w:val="24"/>
          <w:lang w:eastAsia="en-GB"/>
        </w:rPr>
        <w:t xml:space="preserve"> </w:t>
      </w:r>
    </w:p>
    <w:p w14:paraId="1B14D199" w14:textId="4705EE1D" w:rsidR="00F535D9" w:rsidRPr="006E33D0" w:rsidRDefault="00F535D9" w:rsidP="00F535D9">
      <w:pPr>
        <w:spacing w:before="120" w:line="240" w:lineRule="auto"/>
        <w:rPr>
          <w:rFonts w:ascii="Arial" w:eastAsia="Calibri" w:hAnsi="Arial" w:cs="Arial"/>
          <w:szCs w:val="24"/>
          <w:lang w:eastAsia="en-GB"/>
        </w:rPr>
      </w:pPr>
      <w:r w:rsidRPr="006E33D0">
        <w:rPr>
          <w:rFonts w:ascii="Arial" w:eastAsia="Calibri" w:hAnsi="Arial" w:cs="Arial"/>
          <w:szCs w:val="24"/>
          <w:lang w:eastAsia="en-GB"/>
        </w:rPr>
        <w:t>In November 2021, the UK Government published interim guidance for ICTG</w:t>
      </w:r>
      <w:r w:rsidR="00BE14BD">
        <w:rPr>
          <w:rFonts w:ascii="Arial" w:eastAsia="Calibri" w:hAnsi="Arial" w:cs="Arial"/>
          <w:szCs w:val="24"/>
          <w:lang w:eastAsia="en-GB"/>
        </w:rPr>
        <w:t xml:space="preserve"> services</w:t>
      </w:r>
      <w:r w:rsidRPr="006E33D0">
        <w:rPr>
          <w:rFonts w:ascii="Arial" w:eastAsia="Calibri" w:hAnsi="Arial" w:cs="Arial"/>
          <w:szCs w:val="24"/>
          <w:lang w:eastAsia="en-GB"/>
        </w:rPr>
        <w:t>, setting out roles and responsibilities in relation to children who have been trafficked.</w:t>
      </w:r>
      <w:r w:rsidRPr="006E33D0">
        <w:rPr>
          <w:rFonts w:ascii="Arial" w:eastAsia="Calibri" w:hAnsi="Arial" w:cs="Arial"/>
          <w:szCs w:val="24"/>
          <w:vertAlign w:val="superscript"/>
          <w:lang w:eastAsia="en-GB"/>
        </w:rPr>
        <w:footnoteReference w:id="511"/>
      </w:r>
      <w:r w:rsidRPr="006E33D0">
        <w:rPr>
          <w:rFonts w:ascii="Arial" w:eastAsia="Calibri" w:hAnsi="Arial" w:cs="Arial"/>
          <w:szCs w:val="24"/>
          <w:lang w:eastAsia="en-GB"/>
        </w:rPr>
        <w:t xml:space="preserve"> Three recommendations from the Independent Review of the Modern Slavery Act 2015 </w:t>
      </w:r>
      <w:r>
        <w:rPr>
          <w:rFonts w:ascii="Arial" w:eastAsia="Calibri" w:hAnsi="Arial" w:cs="Arial"/>
          <w:szCs w:val="24"/>
          <w:lang w:eastAsia="en-GB"/>
        </w:rPr>
        <w:t xml:space="preserve">to better support victims </w:t>
      </w:r>
      <w:r w:rsidRPr="006E33D0">
        <w:rPr>
          <w:rFonts w:ascii="Arial" w:eastAsia="Calibri" w:hAnsi="Arial" w:cs="Arial"/>
          <w:szCs w:val="24"/>
          <w:lang w:eastAsia="en-GB"/>
        </w:rPr>
        <w:t>are being tested through ICTG services</w:t>
      </w:r>
      <w:r>
        <w:rPr>
          <w:rFonts w:ascii="Arial" w:eastAsia="Calibri" w:hAnsi="Arial" w:cs="Arial"/>
          <w:szCs w:val="24"/>
          <w:lang w:eastAsia="en-GB"/>
        </w:rPr>
        <w:t>: first, the</w:t>
      </w:r>
      <w:r w:rsidRPr="006E33D0">
        <w:rPr>
          <w:rFonts w:ascii="Arial" w:eastAsia="Calibri" w:hAnsi="Arial" w:cs="Arial"/>
          <w:szCs w:val="24"/>
          <w:lang w:eastAsia="en-GB"/>
        </w:rPr>
        <w:t xml:space="preserve"> tailored allocation of one-to-one support</w:t>
      </w:r>
      <w:r w:rsidR="00BE14BD">
        <w:rPr>
          <w:rFonts w:ascii="Arial" w:eastAsia="Calibri" w:hAnsi="Arial" w:cs="Arial"/>
          <w:szCs w:val="24"/>
          <w:lang w:eastAsia="en-GB"/>
        </w:rPr>
        <w:t>;</w:t>
      </w:r>
      <w:r w:rsidRPr="006E33D0">
        <w:rPr>
          <w:rFonts w:ascii="Arial" w:eastAsia="Calibri" w:hAnsi="Arial" w:cs="Arial"/>
          <w:szCs w:val="24"/>
          <w:lang w:eastAsia="en-GB"/>
        </w:rPr>
        <w:t xml:space="preserve"> </w:t>
      </w:r>
      <w:r>
        <w:rPr>
          <w:rFonts w:ascii="Arial" w:eastAsia="Calibri" w:hAnsi="Arial" w:cs="Arial"/>
          <w:szCs w:val="24"/>
          <w:lang w:eastAsia="en-GB"/>
        </w:rPr>
        <w:t xml:space="preserve">second, the </w:t>
      </w:r>
      <w:r w:rsidRPr="006E33D0">
        <w:rPr>
          <w:rFonts w:ascii="Arial" w:eastAsia="Calibri" w:hAnsi="Arial" w:cs="Arial"/>
          <w:szCs w:val="24"/>
          <w:lang w:eastAsia="en-GB"/>
        </w:rPr>
        <w:t>extension of support beyond a child’s 18</w:t>
      </w:r>
      <w:r w:rsidRPr="006E33D0">
        <w:rPr>
          <w:rFonts w:ascii="Arial" w:eastAsia="Calibri" w:hAnsi="Arial" w:cs="Arial"/>
          <w:szCs w:val="24"/>
          <w:vertAlign w:val="superscript"/>
          <w:lang w:eastAsia="en-GB"/>
        </w:rPr>
        <w:t>th</w:t>
      </w:r>
      <w:r w:rsidRPr="006E33D0">
        <w:rPr>
          <w:rFonts w:ascii="Arial" w:eastAsia="Calibri" w:hAnsi="Arial" w:cs="Arial"/>
          <w:szCs w:val="24"/>
          <w:lang w:eastAsia="en-GB"/>
        </w:rPr>
        <w:t xml:space="preserve"> birthday as required</w:t>
      </w:r>
      <w:r w:rsidR="00BE14BD">
        <w:rPr>
          <w:rFonts w:ascii="Arial" w:eastAsia="Calibri" w:hAnsi="Arial" w:cs="Arial"/>
          <w:szCs w:val="24"/>
          <w:lang w:eastAsia="en-GB"/>
        </w:rPr>
        <w:t>;</w:t>
      </w:r>
      <w:r w:rsidRPr="006E33D0">
        <w:rPr>
          <w:rFonts w:ascii="Arial" w:eastAsia="Calibri" w:hAnsi="Arial" w:cs="Arial"/>
          <w:szCs w:val="24"/>
          <w:lang w:eastAsia="en-GB"/>
        </w:rPr>
        <w:t xml:space="preserve"> and </w:t>
      </w:r>
      <w:r>
        <w:rPr>
          <w:rFonts w:ascii="Arial" w:eastAsia="Calibri" w:hAnsi="Arial" w:cs="Arial"/>
          <w:szCs w:val="24"/>
          <w:lang w:eastAsia="en-GB"/>
        </w:rPr>
        <w:t>third</w:t>
      </w:r>
      <w:r w:rsidR="00BE14BD">
        <w:rPr>
          <w:rFonts w:ascii="Arial" w:eastAsia="Calibri" w:hAnsi="Arial" w:cs="Arial"/>
          <w:szCs w:val="24"/>
          <w:lang w:eastAsia="en-GB"/>
        </w:rPr>
        <w:t>,</w:t>
      </w:r>
      <w:r>
        <w:rPr>
          <w:rFonts w:ascii="Arial" w:eastAsia="Calibri" w:hAnsi="Arial" w:cs="Arial"/>
          <w:szCs w:val="24"/>
          <w:lang w:eastAsia="en-GB"/>
        </w:rPr>
        <w:t xml:space="preserve"> the </w:t>
      </w:r>
      <w:r w:rsidRPr="006E33D0">
        <w:rPr>
          <w:rFonts w:ascii="Arial" w:eastAsia="Calibri" w:hAnsi="Arial" w:cs="Arial"/>
          <w:szCs w:val="24"/>
          <w:lang w:eastAsia="en-GB"/>
        </w:rPr>
        <w:t>removal of the 18-month time limit on support as necessary.</w:t>
      </w:r>
      <w:r w:rsidRPr="006E33D0">
        <w:rPr>
          <w:rFonts w:ascii="Arial" w:eastAsia="Calibri" w:hAnsi="Arial" w:cs="Arial"/>
          <w:szCs w:val="24"/>
          <w:vertAlign w:val="superscript"/>
          <w:lang w:eastAsia="en-GB"/>
        </w:rPr>
        <w:footnoteReference w:id="512"/>
      </w:r>
      <w:r w:rsidRPr="006E33D0">
        <w:rPr>
          <w:rFonts w:ascii="Arial" w:eastAsia="Calibri" w:hAnsi="Arial" w:cs="Arial"/>
          <w:szCs w:val="24"/>
          <w:lang w:eastAsia="en-GB"/>
        </w:rPr>
        <w:t xml:space="preserve"> </w:t>
      </w:r>
    </w:p>
    <w:p w14:paraId="08B98B4A" w14:textId="1366C52C" w:rsidR="00F535D9" w:rsidRPr="006E33D0" w:rsidRDefault="00F535D9" w:rsidP="00F535D9">
      <w:pPr>
        <w:spacing w:before="120" w:line="240" w:lineRule="auto"/>
        <w:rPr>
          <w:rFonts w:ascii="Arial" w:eastAsia="Calibri" w:hAnsi="Arial" w:cs="Arial"/>
          <w:szCs w:val="24"/>
          <w:lang w:eastAsia="en-GB"/>
        </w:rPr>
      </w:pPr>
      <w:r w:rsidRPr="006E33D0">
        <w:rPr>
          <w:rFonts w:ascii="Arial" w:eastAsia="Calibri" w:hAnsi="Arial" w:cs="Arial"/>
          <w:szCs w:val="24"/>
          <w:lang w:eastAsia="en-GB"/>
        </w:rPr>
        <w:t>UN mechanisms and civil society organisations have raised concerns about the impact of modern slavery provisions in the Nationality and Borders Act 2022 on child victims.</w:t>
      </w:r>
      <w:r w:rsidRPr="006E33D0">
        <w:rPr>
          <w:rFonts w:ascii="Arial" w:eastAsia="Calibri" w:hAnsi="Arial" w:cs="Arial"/>
          <w:szCs w:val="24"/>
          <w:vertAlign w:val="superscript"/>
          <w:lang w:eastAsia="en-GB"/>
        </w:rPr>
        <w:footnoteReference w:id="513"/>
      </w:r>
      <w:r w:rsidR="009B2796">
        <w:rPr>
          <w:rFonts w:ascii="Arial" w:eastAsia="Calibri" w:hAnsi="Arial" w:cs="Arial"/>
          <w:szCs w:val="24"/>
          <w:lang w:eastAsia="en-GB"/>
        </w:rPr>
        <w:t xml:space="preserve"> Part 5 of this</w:t>
      </w:r>
      <w:r w:rsidRPr="006E33D0">
        <w:rPr>
          <w:rFonts w:ascii="Arial" w:eastAsia="Calibri" w:hAnsi="Arial" w:cs="Arial"/>
          <w:szCs w:val="24"/>
          <w:lang w:eastAsia="en-GB"/>
        </w:rPr>
        <w:t xml:space="preserve"> Act, on modern slavery, applies to both children and adults. For example, the grounds for disqualification from protection, which include where a person ‘is a threat to public order’, do not include special protections for children who have been exploited.</w:t>
      </w:r>
      <w:r w:rsidRPr="006E33D0">
        <w:rPr>
          <w:rFonts w:ascii="Arial" w:eastAsia="Calibri" w:hAnsi="Arial" w:cs="Arial"/>
          <w:szCs w:val="24"/>
          <w:vertAlign w:val="superscript"/>
          <w:lang w:eastAsia="en-GB"/>
        </w:rPr>
        <w:footnoteReference w:id="514"/>
      </w:r>
      <w:r w:rsidRPr="006E33D0">
        <w:rPr>
          <w:rFonts w:ascii="Arial" w:eastAsia="Calibri" w:hAnsi="Arial" w:cs="Arial"/>
          <w:szCs w:val="24"/>
          <w:lang w:eastAsia="en-GB"/>
        </w:rPr>
        <w:t xml:space="preserve"> </w:t>
      </w:r>
    </w:p>
    <w:p w14:paraId="194E3636" w14:textId="2B8DCAD4" w:rsidR="00F535D9" w:rsidRPr="00B91A3D" w:rsidRDefault="00F535D9" w:rsidP="00F535D9">
      <w:pPr>
        <w:pStyle w:val="Heading4"/>
      </w:pPr>
      <w:r>
        <w:t xml:space="preserve">Recommendations </w:t>
      </w:r>
    </w:p>
    <w:p w14:paraId="34EE4F11" w14:textId="77777777" w:rsidR="00F535D9" w:rsidRPr="006E33D0" w:rsidRDefault="00F535D9" w:rsidP="00F535D9">
      <w:pPr>
        <w:spacing w:before="120" w:line="240" w:lineRule="auto"/>
        <w:rPr>
          <w:rFonts w:ascii="Arial" w:eastAsia="Calibri" w:hAnsi="Arial" w:cs="Arial"/>
          <w:szCs w:val="24"/>
          <w:u w:val="single"/>
        </w:rPr>
      </w:pPr>
      <w:r w:rsidRPr="006E33D0">
        <w:rPr>
          <w:rFonts w:ascii="Arial" w:eastAsia="Calibri" w:hAnsi="Arial" w:cs="Arial"/>
          <w:szCs w:val="24"/>
          <w:u w:val="single"/>
        </w:rPr>
        <w:t>The UK Government should:</w:t>
      </w:r>
    </w:p>
    <w:p w14:paraId="2A9A1038" w14:textId="58338195" w:rsidR="00F535D9" w:rsidRPr="00F535D9" w:rsidRDefault="00F535D9" w:rsidP="00627673">
      <w:pPr>
        <w:pStyle w:val="ListParagraph"/>
        <w:numPr>
          <w:ilvl w:val="0"/>
          <w:numId w:val="38"/>
        </w:numPr>
        <w:spacing w:before="120" w:after="120" w:line="240" w:lineRule="auto"/>
        <w:rPr>
          <w:rFonts w:ascii="Arial" w:eastAsia="Calibri" w:hAnsi="Arial" w:cs="Arial"/>
          <w:szCs w:val="24"/>
        </w:rPr>
      </w:pPr>
      <w:r w:rsidRPr="00F535D9">
        <w:rPr>
          <w:rFonts w:ascii="Arial" w:eastAsia="Calibri" w:hAnsi="Arial" w:cs="Arial"/>
          <w:szCs w:val="24"/>
        </w:rPr>
        <w:t xml:space="preserve">Ensure that the evaluation of the pilot of devolved NRM decision-making analyses its equality and human rights impacts to ensure compliance with the Public Sector Equality Duty, and commit to implement measures identified to have positive impacts on children’s rights. </w:t>
      </w:r>
    </w:p>
    <w:p w14:paraId="736D0590" w14:textId="77777777" w:rsidR="00F535D9" w:rsidRPr="00F535D9" w:rsidRDefault="00F535D9" w:rsidP="00627673">
      <w:pPr>
        <w:pStyle w:val="ListParagraph"/>
        <w:numPr>
          <w:ilvl w:val="0"/>
          <w:numId w:val="38"/>
        </w:numPr>
        <w:spacing w:before="120" w:after="120" w:line="240" w:lineRule="auto"/>
        <w:rPr>
          <w:rFonts w:ascii="Arial" w:eastAsia="Calibri" w:hAnsi="Arial" w:cs="Arial"/>
          <w:szCs w:val="24"/>
        </w:rPr>
      </w:pPr>
      <w:r w:rsidRPr="00F535D9">
        <w:rPr>
          <w:rFonts w:ascii="Arial" w:eastAsia="Calibri" w:hAnsi="Arial" w:cs="Arial"/>
          <w:szCs w:val="24"/>
        </w:rPr>
        <w:t>Publish a plan for implementing the recommendations of the Independent Review of the Modern Slavery Act, including those relating to the Independent Child Trafficking Guardians service.</w:t>
      </w:r>
    </w:p>
    <w:p w14:paraId="720FD41A" w14:textId="6EDCEEBC" w:rsidR="00A26DF5" w:rsidRPr="00B46EE0" w:rsidRDefault="00F535D9" w:rsidP="00B46EE0">
      <w:pPr>
        <w:pStyle w:val="ListParagraph"/>
        <w:numPr>
          <w:ilvl w:val="0"/>
          <w:numId w:val="38"/>
        </w:numPr>
        <w:spacing w:before="120" w:after="120" w:line="240" w:lineRule="auto"/>
        <w:rPr>
          <w:rStyle w:val="Howtousethistemplate"/>
          <w:rFonts w:ascii="Arial" w:eastAsia="Calibri" w:hAnsi="Arial" w:cs="Arial"/>
          <w:color w:val="auto"/>
          <w:szCs w:val="24"/>
        </w:rPr>
      </w:pPr>
      <w:r w:rsidRPr="00F535D9">
        <w:rPr>
          <w:rFonts w:ascii="Arial" w:eastAsia="Calibri" w:hAnsi="Arial" w:cs="Arial"/>
          <w:szCs w:val="24"/>
        </w:rPr>
        <w:t>Monitor the impact of the Nationality and Borders Act on the recognition and protection of child victims of modern slavery and commit to taking mitigating actions to protect children where any h</w:t>
      </w:r>
      <w:r w:rsidR="009B2796">
        <w:rPr>
          <w:rFonts w:ascii="Arial" w:eastAsia="Calibri" w:hAnsi="Arial" w:cs="Arial"/>
          <w:szCs w:val="24"/>
        </w:rPr>
        <w:t>armful outcomes are identified.</w:t>
      </w:r>
    </w:p>
    <w:p w14:paraId="6448E7FF" w14:textId="77777777" w:rsidR="00A26DF5" w:rsidRDefault="00A26DF5" w:rsidP="00A26DF5">
      <w:pPr>
        <w:pStyle w:val="Heading1"/>
      </w:pPr>
      <w:bookmarkStart w:id="23" w:name="_Toc122018867"/>
      <w:r>
        <w:t>Contacts</w:t>
      </w:r>
      <w:bookmarkEnd w:id="23"/>
    </w:p>
    <w:p w14:paraId="7E63547B" w14:textId="77777777" w:rsidR="00B740F1" w:rsidRPr="009D0BF2" w:rsidRDefault="00B740F1" w:rsidP="004E2C9C">
      <w:r w:rsidRPr="009D0BF2">
        <w:t xml:space="preserve">This publication and related equality and human rights resources are available from </w:t>
      </w:r>
      <w:hyperlink r:id="rId55" w:history="1">
        <w:r w:rsidRPr="008116DB">
          <w:rPr>
            <w:rStyle w:val="Hyperlink"/>
            <w:kern w:val="28"/>
          </w:rPr>
          <w:t>our website</w:t>
        </w:r>
      </w:hyperlink>
      <w:r>
        <w:t>.</w:t>
      </w:r>
    </w:p>
    <w:p w14:paraId="43AD0146" w14:textId="77777777" w:rsidR="00B740F1" w:rsidRDefault="00B740F1" w:rsidP="004E2C9C">
      <w:r w:rsidRPr="009D0BF2">
        <w:t xml:space="preserve">Questions and comments regarding this publication may be addressed to: </w:t>
      </w:r>
      <w:hyperlink r:id="rId56" w:history="1">
        <w:r w:rsidRPr="00671F8C">
          <w:rPr>
            <w:rStyle w:val="Hyperlink"/>
            <w:kern w:val="28"/>
          </w:rPr>
          <w:t>correspondence@equalityhumanrights.com</w:t>
        </w:r>
      </w:hyperlink>
      <w:r w:rsidRPr="009D0BF2">
        <w:t xml:space="preserve">. </w:t>
      </w:r>
      <w:r>
        <w:t>We welcome</w:t>
      </w:r>
      <w:r w:rsidRPr="009D0BF2">
        <w:t xml:space="preserve"> your feedback</w:t>
      </w:r>
      <w:r>
        <w:t>.</w:t>
      </w:r>
    </w:p>
    <w:p w14:paraId="5F16A761" w14:textId="77777777" w:rsidR="00B740F1" w:rsidRPr="00B740F1" w:rsidRDefault="00B740F1" w:rsidP="004E2C9C">
      <w:pPr>
        <w:rPr>
          <w:rStyle w:val="Hyperlink"/>
          <w:kern w:val="28"/>
          <w:u w:val="none"/>
        </w:rPr>
      </w:pPr>
      <w:r w:rsidRPr="00D74E35">
        <w:t xml:space="preserve">For information on accessing </w:t>
      </w:r>
      <w:r>
        <w:t>one of our</w:t>
      </w:r>
      <w:r w:rsidRPr="00D74E35">
        <w:t xml:space="preserve"> publication</w:t>
      </w:r>
      <w:r>
        <w:t>s</w:t>
      </w:r>
      <w:r w:rsidRPr="00D74E35">
        <w:t xml:space="preserve"> in an alternative format, please contact: </w:t>
      </w:r>
      <w:hyperlink r:id="rId57" w:history="1">
        <w:r w:rsidRPr="00D74E35">
          <w:rPr>
            <w:rStyle w:val="Hyperlink"/>
            <w:kern w:val="28"/>
          </w:rPr>
          <w:t>correspondence@equalityhumanrights.com</w:t>
        </w:r>
      </w:hyperlink>
      <w:r w:rsidRPr="00D74E35">
        <w:rPr>
          <w:rStyle w:val="Hyperlink"/>
          <w:kern w:val="28"/>
        </w:rPr>
        <w:t>.</w:t>
      </w:r>
    </w:p>
    <w:p w14:paraId="032022FD" w14:textId="77777777" w:rsidR="00B740F1" w:rsidRPr="008116DB" w:rsidRDefault="00B740F1" w:rsidP="004E2C9C">
      <w:pPr>
        <w:rPr>
          <w:rStyle w:val="Hyperlink"/>
          <w:kern w:val="28"/>
        </w:rPr>
      </w:pPr>
      <w:r>
        <w:rPr>
          <w:rStyle w:val="Hyperlink"/>
          <w:kern w:val="28"/>
        </w:rPr>
        <w:t xml:space="preserve">Keep up to date with our latest news, events and publications by </w:t>
      </w:r>
      <w:hyperlink r:id="rId58" w:history="1">
        <w:r w:rsidRPr="008116DB">
          <w:rPr>
            <w:rStyle w:val="Hyperlink"/>
            <w:kern w:val="28"/>
          </w:rPr>
          <w:t>signing up to our e-newsletter</w:t>
        </w:r>
      </w:hyperlink>
      <w:r>
        <w:rPr>
          <w:rStyle w:val="Hyperlink"/>
          <w:kern w:val="28"/>
        </w:rPr>
        <w:t>.</w:t>
      </w:r>
    </w:p>
    <w:p w14:paraId="02EAE2DC" w14:textId="77777777" w:rsidR="00B740F1" w:rsidRPr="00E460A5" w:rsidRDefault="00B740F1" w:rsidP="00B740F1">
      <w:pPr>
        <w:pStyle w:val="Heading2"/>
      </w:pPr>
      <w:bookmarkStart w:id="24" w:name="_Toc122018868"/>
      <w:r w:rsidRPr="00E460A5">
        <w:t>EASS</w:t>
      </w:r>
      <w:bookmarkEnd w:id="24"/>
    </w:p>
    <w:p w14:paraId="080DC614" w14:textId="77777777" w:rsidR="00B740F1" w:rsidRPr="009D0BF2" w:rsidRDefault="00B740F1" w:rsidP="004E2C9C">
      <w:r w:rsidRPr="009D0BF2">
        <w:t xml:space="preserve">For advice, information or guidance on equality, discrimination or human rights issues, please contact the </w:t>
      </w:r>
      <w:hyperlink r:id="rId59" w:history="1">
        <w:r w:rsidRPr="008116DB">
          <w:rPr>
            <w:rStyle w:val="Hyperlink"/>
            <w:kern w:val="28"/>
          </w:rPr>
          <w:t>Equality Advisory and Support Service</w:t>
        </w:r>
      </w:hyperlink>
      <w:r w:rsidRPr="009D0BF2">
        <w:t>, a free and independent service.</w:t>
      </w:r>
    </w:p>
    <w:p w14:paraId="1374A190" w14:textId="77777777" w:rsidR="00B740F1" w:rsidRPr="009D0BF2" w:rsidRDefault="00B740F1" w:rsidP="004E2C9C">
      <w:pPr>
        <w:rPr>
          <w:color w:val="000000"/>
        </w:rPr>
      </w:pPr>
      <w:r w:rsidRPr="009D0BF2">
        <w:rPr>
          <w:color w:val="000000"/>
        </w:rPr>
        <w:t xml:space="preserve">Telephone </w:t>
      </w:r>
      <w:r w:rsidRPr="009D0BF2">
        <w:rPr>
          <w:color w:val="000000"/>
        </w:rPr>
        <w:tab/>
        <w:t>0808 800 0082</w:t>
      </w:r>
    </w:p>
    <w:p w14:paraId="7C66DB48" w14:textId="77777777" w:rsidR="00B740F1" w:rsidRPr="009D0BF2" w:rsidRDefault="00B740F1" w:rsidP="004E2C9C">
      <w:pPr>
        <w:rPr>
          <w:color w:val="000000"/>
        </w:rPr>
      </w:pPr>
      <w:r w:rsidRPr="009D0BF2">
        <w:rPr>
          <w:color w:val="000000"/>
        </w:rPr>
        <w:t xml:space="preserve">Textphone </w:t>
      </w:r>
      <w:r w:rsidRPr="009D0BF2">
        <w:rPr>
          <w:color w:val="000000"/>
        </w:rPr>
        <w:tab/>
        <w:t>0808 800 0084</w:t>
      </w:r>
    </w:p>
    <w:p w14:paraId="10F75C3A" w14:textId="77777777" w:rsidR="00B740F1" w:rsidRPr="009D0BF2" w:rsidRDefault="00B740F1" w:rsidP="004E2C9C">
      <w:pPr>
        <w:rPr>
          <w:color w:val="000000"/>
        </w:rPr>
      </w:pPr>
      <w:r>
        <w:rPr>
          <w:color w:val="000000"/>
        </w:rPr>
        <w:t xml:space="preserve">Hours </w:t>
      </w:r>
      <w:r>
        <w:rPr>
          <w:color w:val="000000"/>
        </w:rPr>
        <w:tab/>
      </w:r>
      <w:r>
        <w:rPr>
          <w:color w:val="000000"/>
        </w:rPr>
        <w:tab/>
        <w:t>09:00 to 19</w:t>
      </w:r>
      <w:r w:rsidRPr="009D0BF2">
        <w:rPr>
          <w:color w:val="000000"/>
        </w:rPr>
        <w:t>:00 (Monday to Friday)</w:t>
      </w:r>
    </w:p>
    <w:p w14:paraId="7C99E346" w14:textId="77777777" w:rsidR="00B740F1" w:rsidRPr="009D0BF2" w:rsidRDefault="00B740F1" w:rsidP="004E2C9C">
      <w:pPr>
        <w:rPr>
          <w:color w:val="000000"/>
        </w:rPr>
      </w:pPr>
      <w:r w:rsidRPr="009D0BF2">
        <w:rPr>
          <w:color w:val="000000"/>
        </w:rPr>
        <w:tab/>
      </w:r>
      <w:r w:rsidRPr="009D0BF2">
        <w:rPr>
          <w:color w:val="000000"/>
        </w:rPr>
        <w:tab/>
        <w:t>10:00 to 14:00 (Saturday)</w:t>
      </w:r>
    </w:p>
    <w:p w14:paraId="36B0FC33" w14:textId="77777777" w:rsidR="00B740F1" w:rsidRPr="004E2C9C" w:rsidRDefault="00B740F1" w:rsidP="004E2C9C">
      <w:pPr>
        <w:rPr>
          <w:color w:val="000000"/>
        </w:rPr>
      </w:pPr>
      <w:r w:rsidRPr="009D0BF2">
        <w:rPr>
          <w:color w:val="000000"/>
        </w:rPr>
        <w:t xml:space="preserve">Post </w:t>
      </w:r>
      <w:r w:rsidRPr="009D0BF2">
        <w:rPr>
          <w:color w:val="000000"/>
        </w:rPr>
        <w:tab/>
      </w:r>
      <w:r w:rsidRPr="009D0BF2">
        <w:rPr>
          <w:color w:val="000000"/>
        </w:rPr>
        <w:tab/>
        <w:t xml:space="preserve">FREEPOST </w:t>
      </w:r>
      <w:r>
        <w:rPr>
          <w:color w:val="000000"/>
        </w:rPr>
        <w:t xml:space="preserve">EASS HELPLINE </w:t>
      </w:r>
      <w:r w:rsidRPr="009D0BF2">
        <w:rPr>
          <w:color w:val="000000"/>
        </w:rPr>
        <w:t>FPN</w:t>
      </w:r>
      <w:r>
        <w:rPr>
          <w:color w:val="000000"/>
        </w:rPr>
        <w:t>6521</w:t>
      </w:r>
    </w:p>
    <w:p w14:paraId="3EC80F76" w14:textId="77777777" w:rsidR="00B740F1" w:rsidRPr="009D0BF2" w:rsidRDefault="00B740F1" w:rsidP="004E2C9C">
      <w:pPr>
        <w:spacing w:before="400"/>
      </w:pPr>
      <w:r>
        <w:t xml:space="preserve">© </w:t>
      </w:r>
      <w:r w:rsidR="00480FBF" w:rsidRPr="009B2796">
        <w:t>2022</w:t>
      </w:r>
      <w:r w:rsidRPr="009B2796">
        <w:t xml:space="preserve"> </w:t>
      </w:r>
      <w:r w:rsidRPr="009D0BF2">
        <w:t>Equality and Human Rights Commission</w:t>
      </w:r>
    </w:p>
    <w:p w14:paraId="1C060107" w14:textId="6985C399" w:rsidR="00B740F1" w:rsidRDefault="00B740F1" w:rsidP="004E2C9C">
      <w:r>
        <w:t xml:space="preserve">Published </w:t>
      </w:r>
      <w:r w:rsidR="009B2796">
        <w:t>December 2022</w:t>
      </w:r>
    </w:p>
    <w:p w14:paraId="2D62373F" w14:textId="3921C52A" w:rsidR="00155E46" w:rsidRPr="00B740F1" w:rsidRDefault="00B740F1" w:rsidP="004E2C9C">
      <w:pPr>
        <w:rPr>
          <w:b/>
        </w:rPr>
      </w:pPr>
      <w:r>
        <w:t xml:space="preserve">ISBN: </w:t>
      </w:r>
      <w:r w:rsidR="009B2796" w:rsidRPr="009B2796">
        <w:t>978-1-84206-869-4</w:t>
      </w:r>
    </w:p>
    <w:sectPr w:rsidR="00155E46" w:rsidRPr="00B740F1" w:rsidSect="00FB7D65">
      <w:headerReference w:type="default" r:id="rId60"/>
      <w:footerReference w:type="even" r:id="rId61"/>
      <w:footerReference w:type="default" r:id="rId62"/>
      <w:headerReference w:type="first" r:id="rId63"/>
      <w:footerReference w:type="first" r:id="rId64"/>
      <w:pgSz w:w="11906" w:h="16838"/>
      <w:pgMar w:top="1814" w:right="1644" w:bottom="567" w:left="1644" w:header="340" w:footer="454" w:gutter="0"/>
      <w:pgNumType w:start="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BDAF59" w14:textId="77777777" w:rsidR="0026506A" w:rsidRDefault="0026506A" w:rsidP="005E4512">
      <w:r>
        <w:separator/>
      </w:r>
    </w:p>
    <w:p w14:paraId="4FFCD7A0" w14:textId="77777777" w:rsidR="0026506A" w:rsidRDefault="0026506A"/>
  </w:endnote>
  <w:endnote w:type="continuationSeparator" w:id="0">
    <w:p w14:paraId="524C3292" w14:textId="77777777" w:rsidR="0026506A" w:rsidRDefault="0026506A" w:rsidP="005E4512">
      <w:r>
        <w:continuationSeparator/>
      </w:r>
    </w:p>
    <w:p w14:paraId="503CF2D0" w14:textId="77777777" w:rsidR="0026506A" w:rsidRDefault="002650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FD8F3" w14:textId="77777777" w:rsidR="0026506A" w:rsidRDefault="0026506A">
    <w:pPr>
      <w:pStyle w:val="Footer"/>
    </w:pPr>
  </w:p>
  <w:p w14:paraId="5952D3DE" w14:textId="77777777" w:rsidR="0026506A" w:rsidRDefault="0026506A"/>
  <w:p w14:paraId="5996D393" w14:textId="77777777" w:rsidR="0026506A" w:rsidRDefault="0026506A"/>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BA877" w14:textId="0D20DA0E" w:rsidR="0026506A" w:rsidRPr="00FB7D65" w:rsidRDefault="00FC03DC" w:rsidP="00FB7D65">
    <w:pPr>
      <w:pStyle w:val="Footer"/>
      <w:pBdr>
        <w:top w:val="single" w:sz="12" w:space="4" w:color="0B4E60" w:themeColor="text2"/>
      </w:pBdr>
      <w:ind w:left="-851" w:right="-738"/>
      <w:jc w:val="center"/>
    </w:pPr>
    <w:sdt>
      <w:sdtPr>
        <w:id w:val="-1629386642"/>
        <w:docPartObj>
          <w:docPartGallery w:val="Page Numbers (Bottom of Page)"/>
          <w:docPartUnique/>
        </w:docPartObj>
      </w:sdtPr>
      <w:sdtEndPr>
        <w:rPr>
          <w:noProof/>
        </w:rPr>
      </w:sdtEndPr>
      <w:sdtContent>
        <w:r w:rsidR="0026506A" w:rsidRPr="00325310">
          <w:fldChar w:fldCharType="begin"/>
        </w:r>
        <w:r w:rsidR="0026506A" w:rsidRPr="00325310">
          <w:instrText xml:space="preserve"> PAGE   \* MERGEFORMAT </w:instrText>
        </w:r>
        <w:r w:rsidR="0026506A" w:rsidRPr="00325310">
          <w:fldChar w:fldCharType="separate"/>
        </w:r>
        <w:r>
          <w:rPr>
            <w:noProof/>
          </w:rPr>
          <w:t>96</w:t>
        </w:r>
        <w:r w:rsidR="0026506A" w:rsidRPr="00325310">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2DE71" w14:textId="77777777" w:rsidR="0026506A" w:rsidRPr="00CF43D8" w:rsidRDefault="00FC03DC" w:rsidP="00A329F4">
    <w:pPr>
      <w:pStyle w:val="Footer"/>
      <w:ind w:right="-880"/>
      <w:jc w:val="right"/>
      <w:rPr>
        <w:b/>
        <w:color w:val="009C98" w:themeColor="accent1"/>
      </w:rPr>
    </w:pPr>
    <w:hyperlink r:id="rId1" w:history="1">
      <w:r w:rsidR="0026506A" w:rsidRPr="00CF43D8">
        <w:rPr>
          <w:rStyle w:val="Hyperlink"/>
          <w:b/>
          <w:color w:val="009C98" w:themeColor="accent1"/>
          <w:u w:val="none"/>
        </w:rPr>
        <w:t>equalityhumanrights.com</w:t>
      </w:r>
    </w:hyperlink>
  </w:p>
  <w:p w14:paraId="0B8C3AF8" w14:textId="77777777" w:rsidR="0026506A" w:rsidRDefault="0026506A" w:rsidP="00B54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0C9866" w14:textId="77777777" w:rsidR="0026506A" w:rsidRPr="00A91B02" w:rsidRDefault="0026506A" w:rsidP="00A91B02">
      <w:pPr>
        <w:pStyle w:val="Footer"/>
        <w:pBdr>
          <w:between w:val="single" w:sz="18" w:space="1" w:color="009C98" w:themeColor="accent1"/>
        </w:pBdr>
      </w:pPr>
      <w:r>
        <w:separator/>
      </w:r>
    </w:p>
    <w:p w14:paraId="163F6889" w14:textId="77777777" w:rsidR="0026506A" w:rsidRDefault="0026506A"/>
  </w:footnote>
  <w:footnote w:type="continuationSeparator" w:id="0">
    <w:p w14:paraId="439B23A5" w14:textId="77777777" w:rsidR="0026506A" w:rsidRDefault="0026506A" w:rsidP="005E4512">
      <w:r>
        <w:continuationSeparator/>
      </w:r>
    </w:p>
    <w:p w14:paraId="31B358DE" w14:textId="77777777" w:rsidR="0026506A" w:rsidRDefault="0026506A"/>
  </w:footnote>
  <w:footnote w:id="1">
    <w:p w14:paraId="75F2F011" w14:textId="77777777" w:rsidR="0026506A" w:rsidRPr="00BC3776" w:rsidRDefault="0026506A" w:rsidP="004D6A2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1" w:history="1">
        <w:r w:rsidRPr="00BC3776">
          <w:rPr>
            <w:rStyle w:val="Hyperlink"/>
            <w:rFonts w:cstheme="minorHAnsi"/>
            <w:szCs w:val="24"/>
          </w:rPr>
          <w:t>Equality Act 2006</w:t>
        </w:r>
      </w:hyperlink>
      <w:r w:rsidRPr="00BC3776">
        <w:rPr>
          <w:rFonts w:cstheme="minorHAnsi"/>
          <w:szCs w:val="24"/>
        </w:rPr>
        <w:t>, section 9(1).</w:t>
      </w:r>
    </w:p>
  </w:footnote>
  <w:footnote w:id="2">
    <w:p w14:paraId="03F0B138" w14:textId="4BECDEC6" w:rsidR="0026506A" w:rsidRPr="00BC3776" w:rsidRDefault="0026506A" w:rsidP="004D6A2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United Nations (2015), </w:t>
      </w:r>
      <w:hyperlink r:id="rId2" w:history="1">
        <w:r w:rsidRPr="00BC3776">
          <w:rPr>
            <w:rStyle w:val="Hyperlink"/>
            <w:rFonts w:cstheme="minorHAnsi"/>
            <w:szCs w:val="24"/>
          </w:rPr>
          <w:t>Transforming our world: the 2030 agenda for sustainable development</w:t>
        </w:r>
      </w:hyperlink>
      <w:r w:rsidRPr="00BC3776">
        <w:rPr>
          <w:rFonts w:cstheme="minorHAnsi"/>
          <w:szCs w:val="24"/>
        </w:rPr>
        <w:t xml:space="preserve"> [see Preamble</w:t>
      </w:r>
      <w:r>
        <w:rPr>
          <w:rFonts w:cstheme="minorHAnsi"/>
          <w:szCs w:val="24"/>
        </w:rPr>
        <w:t>, p.3</w:t>
      </w:r>
      <w:r w:rsidRPr="00BC3776">
        <w:rPr>
          <w:rFonts w:cstheme="minorHAnsi"/>
          <w:szCs w:val="24"/>
        </w:rPr>
        <w:t>] [accessed: 8 March 2022].</w:t>
      </w:r>
    </w:p>
  </w:footnote>
  <w:footnote w:id="3">
    <w:p w14:paraId="43CB5A54" w14:textId="77777777" w:rsidR="0026506A" w:rsidRPr="00BC3776" w:rsidRDefault="0026506A" w:rsidP="004D6A2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Social Mobility Commission (2021), </w:t>
      </w:r>
      <w:hyperlink r:id="rId3" w:history="1">
        <w:r w:rsidRPr="00BC3776">
          <w:rPr>
            <w:rStyle w:val="Hyperlink"/>
            <w:rFonts w:cstheme="minorHAnsi"/>
            <w:szCs w:val="24"/>
          </w:rPr>
          <w:t>State of the nation 2021: social mobility and the pandemic</w:t>
        </w:r>
      </w:hyperlink>
      <w:r w:rsidRPr="00BC3776">
        <w:rPr>
          <w:rFonts w:cstheme="minorHAnsi"/>
          <w:szCs w:val="24"/>
        </w:rPr>
        <w:t xml:space="preserve"> [accessed: 5 April 2022], p.28.</w:t>
      </w:r>
    </w:p>
  </w:footnote>
  <w:footnote w:id="4">
    <w:p w14:paraId="6B553010" w14:textId="77777777" w:rsidR="0026506A" w:rsidRPr="00BC3776" w:rsidRDefault="0026506A" w:rsidP="004D6A2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Institute for Fiscal Studies (2021), </w:t>
      </w:r>
      <w:hyperlink r:id="rId4" w:history="1">
        <w:r w:rsidRPr="00BC3776">
          <w:rPr>
            <w:rStyle w:val="Hyperlink"/>
            <w:rFonts w:cstheme="minorHAnsi"/>
            <w:szCs w:val="24"/>
          </w:rPr>
          <w:t>The crisis in lost learning calls for a massive national policy response</w:t>
        </w:r>
      </w:hyperlink>
      <w:r w:rsidRPr="00BC3776">
        <w:rPr>
          <w:rFonts w:cstheme="minorHAnsi"/>
          <w:szCs w:val="24"/>
          <w:u w:color="009C98" w:themeColor="accent1"/>
        </w:rPr>
        <w:t xml:space="preserve"> </w:t>
      </w:r>
      <w:r w:rsidRPr="00BC3776">
        <w:rPr>
          <w:rFonts w:cstheme="minorHAnsi"/>
          <w:szCs w:val="24"/>
        </w:rPr>
        <w:t>[accessed: 6 April 2022].</w:t>
      </w:r>
    </w:p>
  </w:footnote>
  <w:footnote w:id="5">
    <w:p w14:paraId="3E21D710" w14:textId="77777777" w:rsidR="0026506A" w:rsidRPr="00BC3776" w:rsidRDefault="0026506A" w:rsidP="004D6A2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Office for Statistics Regulation (2022), </w:t>
      </w:r>
      <w:hyperlink r:id="rId5" w:history="1">
        <w:r w:rsidRPr="00BC3776">
          <w:rPr>
            <w:rStyle w:val="Hyperlink"/>
            <w:rFonts w:cstheme="minorHAnsi"/>
            <w:szCs w:val="24"/>
          </w:rPr>
          <w:t>Systemic review programme – Visibility, vulnerability and voice – The importance of including children and young people in official statistics</w:t>
        </w:r>
      </w:hyperlink>
      <w:r w:rsidRPr="00BC3776">
        <w:rPr>
          <w:rFonts w:cstheme="minorHAnsi"/>
          <w:szCs w:val="24"/>
        </w:rPr>
        <w:t xml:space="preserve"> [accessed: 25 August 2022].</w:t>
      </w:r>
    </w:p>
  </w:footnote>
  <w:footnote w:id="6">
    <w:p w14:paraId="33446764" w14:textId="77777777" w:rsidR="0026506A" w:rsidRPr="00BC3776" w:rsidRDefault="0026506A" w:rsidP="004D6A2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sidRPr="00BC3776">
        <w:rPr>
          <w:rFonts w:cstheme="minorHAnsi"/>
          <w:szCs w:val="24"/>
          <w:u w:color="009C98" w:themeColor="accent1"/>
        </w:rPr>
        <w:t xml:space="preserve">UK Covid-19 Inquiry, </w:t>
      </w:r>
      <w:hyperlink r:id="rId6" w:history="1">
        <w:r w:rsidRPr="00BC3776">
          <w:rPr>
            <w:rStyle w:val="Hyperlink"/>
            <w:rFonts w:cstheme="minorHAnsi"/>
            <w:szCs w:val="24"/>
          </w:rPr>
          <w:t>Terms of reference</w:t>
        </w:r>
      </w:hyperlink>
      <w:r w:rsidRPr="00BC3776">
        <w:rPr>
          <w:rFonts w:cstheme="minorHAnsi"/>
          <w:szCs w:val="24"/>
          <w:u w:color="009C98" w:themeColor="accent1"/>
        </w:rPr>
        <w:t xml:space="preserve"> [accessed: 6 December 2022].</w:t>
      </w:r>
    </w:p>
  </w:footnote>
  <w:footnote w:id="7">
    <w:p w14:paraId="623F345A" w14:textId="6E20254C" w:rsidR="0026506A" w:rsidRPr="00BC3776" w:rsidRDefault="0026506A" w:rsidP="004D6A2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sidRPr="00B12368">
        <w:t xml:space="preserve">VotesforSchools and the UK Committee for UNICEF (UNICEF UK) (2021), </w:t>
      </w:r>
      <w:hyperlink r:id="rId7" w:history="1">
        <w:r w:rsidRPr="00BC3776">
          <w:rPr>
            <w:rStyle w:val="Hyperlink"/>
            <w:rFonts w:eastAsia="Times New Roman" w:cstheme="minorHAnsi"/>
            <w:szCs w:val="24"/>
            <w:lang w:eastAsia="en-GB"/>
          </w:rPr>
          <w:t xml:space="preserve">VotesforCOP26 </w:t>
        </w:r>
        <w:r>
          <w:rPr>
            <w:rStyle w:val="Hyperlink"/>
            <w:rFonts w:eastAsia="Times New Roman" w:cstheme="minorHAnsi"/>
            <w:szCs w:val="24"/>
            <w:lang w:eastAsia="en-GB"/>
          </w:rPr>
          <w:t>data r</w:t>
        </w:r>
        <w:r w:rsidRPr="00BC3776">
          <w:rPr>
            <w:rStyle w:val="Hyperlink"/>
            <w:rFonts w:eastAsia="Times New Roman" w:cstheme="minorHAnsi"/>
            <w:szCs w:val="24"/>
            <w:lang w:eastAsia="en-GB"/>
          </w:rPr>
          <w:t>eport</w:t>
        </w:r>
      </w:hyperlink>
      <w:r w:rsidRPr="00BC3776">
        <w:rPr>
          <w:rFonts w:eastAsia="Times New Roman" w:cstheme="minorHAnsi"/>
          <w:color w:val="1E1E1E"/>
          <w:szCs w:val="24"/>
          <w:lang w:eastAsia="en-GB"/>
        </w:rPr>
        <w:t xml:space="preserve"> [accessed: 18 May 2022], p.2.</w:t>
      </w:r>
    </w:p>
  </w:footnote>
  <w:footnote w:id="8">
    <w:p w14:paraId="2DC85669" w14:textId="3CE5DCE3" w:rsidR="0026506A" w:rsidRPr="00BC3776" w:rsidRDefault="0026506A" w:rsidP="004D6A2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Future Generations Commissioner for Wales (2021), </w:t>
      </w:r>
      <w:hyperlink r:id="rId8" w:history="1">
        <w:r w:rsidRPr="00BC3776">
          <w:rPr>
            <w:rStyle w:val="Hyperlink"/>
            <w:rFonts w:cstheme="minorHAnsi"/>
            <w:szCs w:val="24"/>
          </w:rPr>
          <w:t>Inequality in a Future Wales: Areas f</w:t>
        </w:r>
        <w:r>
          <w:rPr>
            <w:rStyle w:val="Hyperlink"/>
            <w:rFonts w:cstheme="minorHAnsi"/>
            <w:szCs w:val="24"/>
          </w:rPr>
          <w:t>or action in Work, climate and d</w:t>
        </w:r>
        <w:r w:rsidRPr="00BC3776">
          <w:rPr>
            <w:rStyle w:val="Hyperlink"/>
            <w:rFonts w:cstheme="minorHAnsi"/>
            <w:szCs w:val="24"/>
          </w:rPr>
          <w:t>emographic</w:t>
        </w:r>
        <w:r>
          <w:rPr>
            <w:rStyle w:val="Hyperlink"/>
            <w:rFonts w:cstheme="minorHAnsi"/>
            <w:szCs w:val="24"/>
          </w:rPr>
          <w:t xml:space="preserve"> c</w:t>
        </w:r>
        <w:r w:rsidRPr="00BC3776">
          <w:rPr>
            <w:rStyle w:val="Hyperlink"/>
            <w:rFonts w:cstheme="minorHAnsi"/>
            <w:szCs w:val="24"/>
          </w:rPr>
          <w:t>hange</w:t>
        </w:r>
      </w:hyperlink>
      <w:r w:rsidRPr="00BC3776">
        <w:rPr>
          <w:rFonts w:cstheme="minorHAnsi"/>
          <w:szCs w:val="24"/>
        </w:rPr>
        <w:t xml:space="preserve"> [accessed: 18 May 2022], p.5; Lindley, Sarah et al., (Joseph Rowntree Foundation) (2011), </w:t>
      </w:r>
      <w:hyperlink r:id="rId9" w:history="1">
        <w:r>
          <w:rPr>
            <w:rStyle w:val="Hyperlink"/>
            <w:rFonts w:cstheme="minorHAnsi"/>
            <w:iCs/>
            <w:szCs w:val="24"/>
          </w:rPr>
          <w:t>Climate change, j</w:t>
        </w:r>
        <w:r w:rsidRPr="00BC3776">
          <w:rPr>
            <w:rStyle w:val="Hyperlink"/>
            <w:rFonts w:cstheme="minorHAnsi"/>
            <w:iCs/>
            <w:szCs w:val="24"/>
          </w:rPr>
          <w:t>ustice and</w:t>
        </w:r>
        <w:r>
          <w:rPr>
            <w:rStyle w:val="Hyperlink"/>
            <w:rFonts w:cstheme="minorHAnsi"/>
            <w:iCs/>
            <w:szCs w:val="24"/>
          </w:rPr>
          <w:t xml:space="preserve"> v</w:t>
        </w:r>
        <w:r w:rsidRPr="00BC3776">
          <w:rPr>
            <w:rStyle w:val="Hyperlink"/>
            <w:rFonts w:cstheme="minorHAnsi"/>
            <w:iCs/>
            <w:szCs w:val="24"/>
          </w:rPr>
          <w:t>ulnerability</w:t>
        </w:r>
      </w:hyperlink>
      <w:r w:rsidRPr="00BC3776">
        <w:rPr>
          <w:rFonts w:cstheme="minorHAnsi"/>
          <w:szCs w:val="24"/>
        </w:rPr>
        <w:t xml:space="preserve"> [accessed: 18 May 2022].</w:t>
      </w:r>
    </w:p>
  </w:footnote>
  <w:footnote w:id="9">
    <w:p w14:paraId="79A7BB54" w14:textId="15AF464A" w:rsidR="0026506A" w:rsidRPr="00BC3776" w:rsidRDefault="0026506A" w:rsidP="00F2721D">
      <w:pPr>
        <w:pStyle w:val="FootnoteText"/>
        <w:spacing w:before="120"/>
        <w:rPr>
          <w:rFonts w:cstheme="minorHAnsi"/>
          <w:szCs w:val="24"/>
        </w:rPr>
      </w:pPr>
      <w:r w:rsidRPr="000D1F10">
        <w:rPr>
          <w:rStyle w:val="FootnoteReference"/>
          <w:rFonts w:cstheme="minorHAnsi"/>
          <w:szCs w:val="24"/>
        </w:rPr>
        <w:footnoteRef/>
      </w:r>
      <w:r w:rsidRPr="000D1F10">
        <w:rPr>
          <w:rFonts w:cstheme="minorHAnsi"/>
          <w:szCs w:val="24"/>
        </w:rPr>
        <w:t xml:space="preserve"> For example in practice, see discussion</w:t>
      </w:r>
      <w:r>
        <w:rPr>
          <w:rFonts w:cstheme="minorHAnsi"/>
          <w:szCs w:val="24"/>
        </w:rPr>
        <w:t xml:space="preserve"> of High Court ruling on p.</w:t>
      </w:r>
      <w:r w:rsidRPr="000D1F10">
        <w:rPr>
          <w:rFonts w:cstheme="minorHAnsi"/>
          <w:szCs w:val="24"/>
        </w:rPr>
        <w:t>54.</w:t>
      </w:r>
    </w:p>
  </w:footnote>
  <w:footnote w:id="10">
    <w:p w14:paraId="32CA86C5" w14:textId="4A43CB17" w:rsidR="0026506A" w:rsidRPr="00BC3776" w:rsidRDefault="0026506A" w:rsidP="00F2721D">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w:t>
      </w:r>
      <w:r w:rsidRPr="00BC3776">
        <w:rPr>
          <w:rFonts w:cstheme="minorHAnsi"/>
          <w:szCs w:val="24"/>
        </w:rPr>
        <w:t xml:space="preserve"> Committee on the Elimination of All Forms of Discrimination against Women (2021), </w:t>
      </w:r>
      <w:hyperlink r:id="rId10" w:history="1">
        <w:r w:rsidRPr="00BC3776">
          <w:rPr>
            <w:rStyle w:val="Hyperlink"/>
            <w:rFonts w:cstheme="minorHAnsi"/>
            <w:szCs w:val="24"/>
          </w:rPr>
          <w:t>Information received from the United Kingdom of Great Britain and Northern Ireland on follow-up to the concluding observations on its eighth periodic report</w:t>
        </w:r>
      </w:hyperlink>
      <w:r w:rsidRPr="00BC3776">
        <w:rPr>
          <w:rFonts w:cstheme="minorHAnsi"/>
          <w:szCs w:val="24"/>
        </w:rPr>
        <w:t xml:space="preserve"> [accessed: 6 December 2022], para 3.</w:t>
      </w:r>
    </w:p>
  </w:footnote>
  <w:footnote w:id="11">
    <w:p w14:paraId="1EA0F3C8" w14:textId="77777777" w:rsidR="0026506A" w:rsidRPr="00BC3776" w:rsidRDefault="0026506A" w:rsidP="00F2721D">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For example, the </w:t>
      </w:r>
      <w:hyperlink r:id="rId11" w:history="1">
        <w:r w:rsidRPr="00BC3776">
          <w:rPr>
            <w:rStyle w:val="Hyperlink"/>
            <w:rFonts w:cstheme="minorHAnsi"/>
            <w:szCs w:val="24"/>
          </w:rPr>
          <w:t>Children Act 1989</w:t>
        </w:r>
      </w:hyperlink>
      <w:r w:rsidRPr="00BC3776">
        <w:rPr>
          <w:rFonts w:cstheme="minorHAnsi"/>
          <w:szCs w:val="24"/>
        </w:rPr>
        <w:t xml:space="preserve">, section 11 of the </w:t>
      </w:r>
      <w:hyperlink r:id="rId12" w:history="1">
        <w:r w:rsidRPr="00BC3776">
          <w:rPr>
            <w:rStyle w:val="Hyperlink"/>
            <w:rFonts w:cstheme="minorHAnsi"/>
            <w:szCs w:val="24"/>
          </w:rPr>
          <w:t>Children Act 2004</w:t>
        </w:r>
      </w:hyperlink>
      <w:r w:rsidRPr="00BC3776">
        <w:rPr>
          <w:rFonts w:cstheme="minorHAnsi"/>
          <w:szCs w:val="24"/>
        </w:rPr>
        <w:t xml:space="preserve">, and section 55 of the </w:t>
      </w:r>
      <w:hyperlink r:id="rId13" w:history="1">
        <w:r w:rsidRPr="00BC3776">
          <w:rPr>
            <w:rStyle w:val="Hyperlink"/>
            <w:rFonts w:cstheme="minorHAnsi"/>
            <w:szCs w:val="24"/>
          </w:rPr>
          <w:t>Borders, Citizenship and Immigration Act 2009</w:t>
        </w:r>
      </w:hyperlink>
      <w:r w:rsidRPr="00BC3776">
        <w:rPr>
          <w:rFonts w:cstheme="minorHAnsi"/>
          <w:szCs w:val="24"/>
        </w:rPr>
        <w:t xml:space="preserve">. The CRC can be used as an aid to statutory interpretation when the courts are considering human rights, see </w:t>
      </w:r>
      <w:hyperlink r:id="rId14" w:history="1">
        <w:r w:rsidRPr="00BC3776">
          <w:rPr>
            <w:rStyle w:val="Hyperlink"/>
            <w:rFonts w:cstheme="minorHAnsi"/>
            <w:szCs w:val="24"/>
          </w:rPr>
          <w:t>ZH (Tanzania) (FC) (Appellant) v Secretary of State for the Home Department (Respondent), [2011] UKSC 4</w:t>
        </w:r>
      </w:hyperlink>
      <w:r w:rsidRPr="00BC3776">
        <w:rPr>
          <w:rFonts w:cstheme="minorHAnsi"/>
          <w:szCs w:val="24"/>
        </w:rPr>
        <w:t>.</w:t>
      </w:r>
    </w:p>
  </w:footnote>
  <w:footnote w:id="12">
    <w:p w14:paraId="1FB50CAF" w14:textId="77777777" w:rsidR="0026506A" w:rsidRPr="00BC3776" w:rsidRDefault="0026506A" w:rsidP="00F2721D">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(2022), </w:t>
      </w:r>
      <w:hyperlink r:id="rId15" w:history="1">
        <w:r w:rsidRPr="00BC3776">
          <w:rPr>
            <w:rStyle w:val="Hyperlink"/>
            <w:rFonts w:cstheme="minorHAnsi"/>
            <w:szCs w:val="24"/>
          </w:rPr>
          <w:t>Strengthening and advancing equality and human rights in Wales research report: Welsh Government response</w:t>
        </w:r>
      </w:hyperlink>
      <w:r w:rsidRPr="00BC3776">
        <w:rPr>
          <w:rFonts w:cstheme="minorHAnsi"/>
          <w:szCs w:val="24"/>
        </w:rPr>
        <w:t xml:space="preserve"> [accessed: 11 July 2022], p.13.</w:t>
      </w:r>
    </w:p>
  </w:footnote>
  <w:footnote w:id="13">
    <w:p w14:paraId="7FB464EB" w14:textId="77777777" w:rsidR="0026506A" w:rsidRPr="00BC3776" w:rsidRDefault="0026506A" w:rsidP="00F2721D">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Parliament (2022), </w:t>
      </w:r>
      <w:hyperlink r:id="rId16" w:history="1">
        <w:r w:rsidRPr="00BC3776">
          <w:rPr>
            <w:rStyle w:val="Hyperlink"/>
            <w:rFonts w:cstheme="minorHAnsi"/>
            <w:szCs w:val="24"/>
          </w:rPr>
          <w:t>Bill of Rights Bill</w:t>
        </w:r>
      </w:hyperlink>
      <w:r w:rsidRPr="00BC3776">
        <w:rPr>
          <w:rFonts w:cstheme="minorHAnsi"/>
          <w:szCs w:val="24"/>
        </w:rPr>
        <w:t xml:space="preserve"> [accessed: 24 August 2022]</w:t>
      </w:r>
    </w:p>
  </w:footnote>
  <w:footnote w:id="14">
    <w:p w14:paraId="46909949" w14:textId="77777777" w:rsidR="0026506A" w:rsidRPr="00BC3776" w:rsidRDefault="0026506A" w:rsidP="00F2721D">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(2022), </w:t>
      </w:r>
      <w:hyperlink r:id="rId17" w:history="1">
        <w:r w:rsidRPr="00BC3776">
          <w:rPr>
            <w:rStyle w:val="Hyperlink"/>
            <w:rFonts w:cstheme="minorHAnsi"/>
            <w:szCs w:val="24"/>
          </w:rPr>
          <w:t>Consultation Response: Human Rights Act Reform: A Modern Bill of Rights</w:t>
        </w:r>
      </w:hyperlink>
      <w:r w:rsidRPr="00BC3776">
        <w:rPr>
          <w:rFonts w:cstheme="minorHAnsi"/>
          <w:szCs w:val="24"/>
        </w:rPr>
        <w:t>.</w:t>
      </w:r>
    </w:p>
  </w:footnote>
  <w:footnote w:id="15">
    <w:p w14:paraId="7F5DC7F1"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House of Commons Women and Equalities Committee (2021), </w:t>
      </w:r>
      <w:hyperlink r:id="rId18" w:history="1">
        <w:r w:rsidRPr="00BC3776">
          <w:rPr>
            <w:rStyle w:val="Hyperlink"/>
            <w:rFonts w:cstheme="minorHAnsi"/>
            <w:szCs w:val="24"/>
          </w:rPr>
          <w:t>Levelling up and equality: a new framework for change</w:t>
        </w:r>
      </w:hyperlink>
      <w:r w:rsidRPr="00BC3776">
        <w:rPr>
          <w:rFonts w:cstheme="minorHAnsi"/>
          <w:szCs w:val="24"/>
        </w:rPr>
        <w:t xml:space="preserve"> [accessed: 9 March 2022], p.24.</w:t>
      </w:r>
    </w:p>
  </w:footnote>
  <w:footnote w:id="16">
    <w:p w14:paraId="4BCC6C6D"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House of Commons Women and Equalities Committee (2021), </w:t>
      </w:r>
      <w:hyperlink r:id="rId19" w:history="1">
        <w:r w:rsidRPr="00BC3776">
          <w:rPr>
            <w:rStyle w:val="Hyperlink"/>
            <w:rFonts w:cstheme="minorHAnsi"/>
            <w:szCs w:val="24"/>
          </w:rPr>
          <w:t>Levelling up and equality: a new framework for change: Government response to the Committee’s first report</w:t>
        </w:r>
      </w:hyperlink>
      <w:r w:rsidRPr="00BC3776">
        <w:rPr>
          <w:rFonts w:cstheme="minorHAnsi"/>
          <w:szCs w:val="24"/>
        </w:rPr>
        <w:t xml:space="preserve"> [accessed: 9 March 2022], p.16.</w:t>
      </w:r>
    </w:p>
  </w:footnote>
  <w:footnote w:id="17">
    <w:p w14:paraId="7C685F72"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Hoffman, S. et al (2021), </w:t>
      </w:r>
      <w:hyperlink r:id="rId20" w:history="1">
        <w:r w:rsidRPr="00BC3776">
          <w:rPr>
            <w:rStyle w:val="Hyperlink"/>
            <w:rFonts w:cstheme="minorHAnsi"/>
            <w:szCs w:val="24"/>
          </w:rPr>
          <w:t>Strengthening and advancing equality and human rights in Wales</w:t>
        </w:r>
      </w:hyperlink>
      <w:r w:rsidRPr="00BC3776">
        <w:rPr>
          <w:rFonts w:cstheme="minorHAnsi"/>
          <w:szCs w:val="24"/>
        </w:rPr>
        <w:t xml:space="preserve"> [accessed: 11 July 2022], p.127.</w:t>
      </w:r>
    </w:p>
  </w:footnote>
  <w:footnote w:id="18">
    <w:p w14:paraId="4B228E0D" w14:textId="4C7C246D"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(2022), </w:t>
      </w:r>
      <w:hyperlink r:id="rId21" w:history="1">
        <w:r w:rsidRPr="00BC3776">
          <w:rPr>
            <w:rStyle w:val="Hyperlink"/>
            <w:rFonts w:cstheme="minorHAnsi"/>
            <w:szCs w:val="24"/>
          </w:rPr>
          <w:t>Strengthening and advancing equality and human rights in Wales research report: Welsh Government response</w:t>
        </w:r>
      </w:hyperlink>
      <w:r w:rsidRPr="00BC3776">
        <w:rPr>
          <w:rFonts w:cstheme="minorHAnsi"/>
          <w:szCs w:val="24"/>
        </w:rPr>
        <w:t xml:space="preserve"> [ac</w:t>
      </w:r>
      <w:r>
        <w:rPr>
          <w:rFonts w:cstheme="minorHAnsi"/>
          <w:szCs w:val="24"/>
        </w:rPr>
        <w:t>cessed: 11 July 2022], pp. 4-5 and p.</w:t>
      </w:r>
      <w:r w:rsidRPr="00BC3776">
        <w:rPr>
          <w:rFonts w:cstheme="minorHAnsi"/>
          <w:szCs w:val="24"/>
        </w:rPr>
        <w:t>13.</w:t>
      </w:r>
    </w:p>
  </w:footnote>
  <w:footnote w:id="19">
    <w:p w14:paraId="07B06975"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22" w:history="1">
        <w:r w:rsidRPr="00BC3776">
          <w:rPr>
            <w:rStyle w:val="Hyperlink"/>
            <w:rFonts w:cstheme="minorHAnsi"/>
            <w:szCs w:val="24"/>
          </w:rPr>
          <w:t>www.humanrightstracker.com</w:t>
        </w:r>
      </w:hyperlink>
      <w:r w:rsidRPr="00BC3776">
        <w:rPr>
          <w:rFonts w:cstheme="minorHAnsi"/>
          <w:szCs w:val="24"/>
        </w:rPr>
        <w:t xml:space="preserve"> </w:t>
      </w:r>
    </w:p>
  </w:footnote>
  <w:footnote w:id="20">
    <w:p w14:paraId="15CA7417"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Parliament Children, Young People and Education Committee (2020), </w:t>
      </w:r>
      <w:hyperlink r:id="rId23" w:history="1">
        <w:r w:rsidRPr="00BC3776">
          <w:rPr>
            <w:rStyle w:val="Hyperlink"/>
            <w:rFonts w:cstheme="minorHAnsi"/>
            <w:szCs w:val="24"/>
          </w:rPr>
          <w:t>Children’s Rights in Wales</w:t>
        </w:r>
      </w:hyperlink>
      <w:r w:rsidRPr="00BC3776">
        <w:rPr>
          <w:rFonts w:cstheme="minorHAnsi"/>
          <w:szCs w:val="24"/>
        </w:rPr>
        <w:t xml:space="preserve"> [accessed: 16 May 2022].</w:t>
      </w:r>
    </w:p>
  </w:footnote>
  <w:footnote w:id="21">
    <w:p w14:paraId="12D44DE1"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(2020), </w:t>
      </w:r>
      <w:hyperlink r:id="rId24" w:history="1">
        <w:r w:rsidRPr="00BC3776">
          <w:rPr>
            <w:rStyle w:val="Hyperlink"/>
            <w:rFonts w:cstheme="minorHAnsi"/>
            <w:szCs w:val="24"/>
          </w:rPr>
          <w:t>Written response by the Welsh Government to the report of the Children, Young People and Education Committee entitled Children’s Rights in Wales</w:t>
        </w:r>
      </w:hyperlink>
      <w:r w:rsidRPr="00BC3776">
        <w:rPr>
          <w:rFonts w:cstheme="minorHAnsi"/>
          <w:szCs w:val="24"/>
        </w:rPr>
        <w:t xml:space="preserve"> [accessed: 5 April 2022].</w:t>
      </w:r>
    </w:p>
  </w:footnote>
  <w:footnote w:id="22">
    <w:p w14:paraId="75BC7B10"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(2021), </w:t>
      </w:r>
      <w:hyperlink r:id="rId25" w:history="1">
        <w:r w:rsidRPr="00BC3776">
          <w:rPr>
            <w:rStyle w:val="Hyperlink"/>
            <w:rFonts w:cstheme="minorHAnsi"/>
            <w:szCs w:val="24"/>
          </w:rPr>
          <w:t>United Nations Committee on the Rights of the Child, concluding observations UK report 2016: Welsh Government update</w:t>
        </w:r>
      </w:hyperlink>
      <w:r w:rsidRPr="00BC3776">
        <w:rPr>
          <w:rFonts w:cstheme="minorHAnsi"/>
          <w:szCs w:val="24"/>
        </w:rPr>
        <w:t xml:space="preserve"> [accessed: 11 July 2022].</w:t>
      </w:r>
    </w:p>
  </w:footnote>
  <w:footnote w:id="23">
    <w:p w14:paraId="01E52DC8"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Home Office (2021), </w:t>
      </w:r>
      <w:hyperlink r:id="rId26" w:history="1">
        <w:r w:rsidRPr="00BC3776">
          <w:rPr>
            <w:rStyle w:val="Hyperlink"/>
            <w:rFonts w:cstheme="minorHAnsi"/>
            <w:szCs w:val="24"/>
          </w:rPr>
          <w:t>Nationality and Borders Bill: European Convention on Human Rights Memorandum</w:t>
        </w:r>
      </w:hyperlink>
      <w:r w:rsidRPr="00BC3776">
        <w:rPr>
          <w:rFonts w:cstheme="minorHAnsi"/>
          <w:szCs w:val="24"/>
        </w:rPr>
        <w:t xml:space="preserve"> [accessed: 8 February 2022], para 5. </w:t>
      </w:r>
    </w:p>
  </w:footnote>
  <w:footnote w:id="24">
    <w:p w14:paraId="501A0AE7"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27" w:history="1">
        <w:r w:rsidRPr="00BC3776">
          <w:rPr>
            <w:rStyle w:val="Hyperlink"/>
            <w:rFonts w:cstheme="minorHAnsi"/>
            <w:szCs w:val="24"/>
          </w:rPr>
          <w:t>K (A Child) v The Secretary of State for the Home Department [2018] EWHC 1834 (Admin</w:t>
        </w:r>
      </w:hyperlink>
      <w:r w:rsidRPr="00BC3776">
        <w:rPr>
          <w:rFonts w:cstheme="minorHAnsi"/>
          <w:color w:val="000000"/>
          <w:szCs w:val="24"/>
        </w:rPr>
        <w:t>)</w:t>
      </w:r>
      <w:r w:rsidRPr="00BC3776">
        <w:rPr>
          <w:rFonts w:cstheme="minorHAnsi"/>
          <w:szCs w:val="24"/>
        </w:rPr>
        <w:t xml:space="preserve">; also see section 7 of the </w:t>
      </w:r>
      <w:hyperlink r:id="rId28" w:history="1">
        <w:r w:rsidRPr="00BC3776">
          <w:rPr>
            <w:rStyle w:val="Hyperlink"/>
            <w:rFonts w:cstheme="minorHAnsi"/>
            <w:szCs w:val="24"/>
          </w:rPr>
          <w:t>Nationality and Borders Act 2022</w:t>
        </w:r>
      </w:hyperlink>
      <w:r w:rsidRPr="00BC3776">
        <w:rPr>
          <w:rFonts w:cstheme="minorHAnsi"/>
          <w:szCs w:val="24"/>
        </w:rPr>
        <w:t>.</w:t>
      </w:r>
    </w:p>
  </w:footnote>
  <w:footnote w:id="25">
    <w:p w14:paraId="12211112"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29" w:history="1">
        <w:r w:rsidRPr="00BC3776">
          <w:rPr>
            <w:rStyle w:val="Hyperlink"/>
            <w:rFonts w:cstheme="minorHAnsi"/>
            <w:szCs w:val="24"/>
          </w:rPr>
          <w:t>Nationality and Borders Act 2022</w:t>
        </w:r>
      </w:hyperlink>
      <w:r w:rsidRPr="00BC3776">
        <w:rPr>
          <w:rFonts w:cstheme="minorHAnsi"/>
          <w:szCs w:val="24"/>
        </w:rPr>
        <w:t xml:space="preserve"> section 11(4). </w:t>
      </w:r>
    </w:p>
  </w:footnote>
  <w:footnote w:id="26">
    <w:p w14:paraId="19989F28" w14:textId="3621D244"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Immigration Law Practitioners’ Association (2021), </w:t>
      </w:r>
      <w:hyperlink r:id="rId30" w:history="1">
        <w:r w:rsidRPr="00BC3776">
          <w:rPr>
            <w:rStyle w:val="Hyperlink"/>
            <w:rFonts w:cstheme="minorHAnsi"/>
            <w:szCs w:val="24"/>
          </w:rPr>
          <w:t>General Briefing: Nationality and Borders Bill (Bill 141) House of Commons Second Reading – 19 and 20 July 2021</w:t>
        </w:r>
      </w:hyperlink>
      <w:r w:rsidRPr="00BC3776">
        <w:rPr>
          <w:rFonts w:cstheme="minorHAnsi"/>
          <w:szCs w:val="24"/>
        </w:rPr>
        <w:t xml:space="preserve"> [accessed: 8</w:t>
      </w:r>
      <w:r>
        <w:rPr>
          <w:rFonts w:cstheme="minorHAnsi"/>
          <w:szCs w:val="24"/>
        </w:rPr>
        <w:t xml:space="preserve"> February 2022], paras 6–1</w:t>
      </w:r>
      <w:r w:rsidRPr="00BC3776">
        <w:rPr>
          <w:rFonts w:cstheme="minorHAnsi"/>
          <w:szCs w:val="24"/>
        </w:rPr>
        <w:t>1.</w:t>
      </w:r>
    </w:p>
  </w:footnote>
  <w:footnote w:id="27">
    <w:p w14:paraId="0F1E7D2D"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Parliament Joint Committee on Human Rights (2021), </w:t>
      </w:r>
      <w:hyperlink r:id="rId31" w:anchor="_idTextAnchor026" w:history="1">
        <w:r w:rsidRPr="00BC3776">
          <w:rPr>
            <w:rStyle w:val="Hyperlink"/>
            <w:rFonts w:cstheme="minorHAnsi"/>
            <w:szCs w:val="24"/>
          </w:rPr>
          <w:t>Legislative Scrutiny: Nationality and Borders Bill (Part 1) – Nationality</w:t>
        </w:r>
      </w:hyperlink>
      <w:r w:rsidRPr="00BC3776">
        <w:rPr>
          <w:rFonts w:cstheme="minorHAnsi"/>
          <w:szCs w:val="24"/>
        </w:rPr>
        <w:t xml:space="preserve"> [accessed: 8 February 2022], para 51.</w:t>
      </w:r>
    </w:p>
  </w:footnote>
  <w:footnote w:id="28">
    <w:p w14:paraId="1FB4F14E"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32" w:history="1">
        <w:r w:rsidRPr="00BC3776">
          <w:rPr>
            <w:rStyle w:val="Hyperlink"/>
            <w:rFonts w:cstheme="minorHAnsi"/>
            <w:szCs w:val="24"/>
          </w:rPr>
          <w:t>Nationality and Borders Act 2022</w:t>
        </w:r>
      </w:hyperlink>
      <w:r w:rsidRPr="00BC3776">
        <w:rPr>
          <w:rFonts w:cstheme="minorHAnsi"/>
          <w:szCs w:val="24"/>
        </w:rPr>
        <w:t xml:space="preserve"> section 10. </w:t>
      </w:r>
    </w:p>
  </w:footnote>
  <w:footnote w:id="29">
    <w:p w14:paraId="7B99FB86" w14:textId="2F6B0094"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w:t>
      </w:r>
      <w:r w:rsidRPr="00BC3776">
        <w:rPr>
          <w:rFonts w:cstheme="minorHAnsi"/>
          <w:szCs w:val="24"/>
        </w:rPr>
        <w:t xml:space="preserve"> High Commissioner for Refugees (2022), </w:t>
      </w:r>
      <w:hyperlink r:id="rId33" w:history="1">
        <w:r w:rsidRPr="00BC3776">
          <w:rPr>
            <w:rStyle w:val="Hyperlink"/>
            <w:rFonts w:cstheme="minorHAnsi"/>
            <w:szCs w:val="24"/>
          </w:rPr>
          <w:t>UNHCR updated observations on the Nationality and Borders Bill, as amended</w:t>
        </w:r>
      </w:hyperlink>
      <w:r w:rsidRPr="00BC3776">
        <w:rPr>
          <w:rFonts w:cstheme="minorHAnsi"/>
          <w:szCs w:val="24"/>
        </w:rPr>
        <w:t xml:space="preserve"> [accessed: 8 February 2022], paras 71</w:t>
      </w:r>
      <w:r>
        <w:rPr>
          <w:rFonts w:cstheme="minorHAnsi"/>
          <w:szCs w:val="24"/>
        </w:rPr>
        <w:t>–</w:t>
      </w:r>
      <w:r w:rsidRPr="00BC3776">
        <w:rPr>
          <w:rFonts w:cstheme="minorHAnsi"/>
          <w:szCs w:val="24"/>
        </w:rPr>
        <w:t>3.</w:t>
      </w:r>
    </w:p>
  </w:footnote>
  <w:footnote w:id="30">
    <w:p w14:paraId="2790429C"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Home Office (2021), </w:t>
      </w:r>
      <w:hyperlink r:id="rId34" w:history="1">
        <w:r w:rsidRPr="00BC3776">
          <w:rPr>
            <w:rStyle w:val="Hyperlink"/>
            <w:rFonts w:cstheme="minorHAnsi"/>
            <w:szCs w:val="24"/>
          </w:rPr>
          <w:t>Police powers and procedures: Stop and search and arrests, England and Wales, year ending 31 March 2021</w:t>
        </w:r>
      </w:hyperlink>
      <w:r w:rsidRPr="00BC3776">
        <w:rPr>
          <w:rFonts w:cstheme="minorHAnsi"/>
          <w:szCs w:val="24"/>
        </w:rPr>
        <w:t xml:space="preserve"> [accessed: 15 February 2022].</w:t>
      </w:r>
    </w:p>
  </w:footnote>
  <w:footnote w:id="31">
    <w:p w14:paraId="64582DD7"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Ibid. </w:t>
      </w:r>
    </w:p>
  </w:footnote>
  <w:footnote w:id="32">
    <w:p w14:paraId="25E382C6"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Home Office (2021), </w:t>
      </w:r>
      <w:hyperlink r:id="rId35" w:history="1">
        <w:r w:rsidRPr="00BC3776">
          <w:rPr>
            <w:rStyle w:val="Hyperlink"/>
            <w:rFonts w:cstheme="minorHAnsi"/>
            <w:szCs w:val="24"/>
          </w:rPr>
          <w:t>Stop and search summary data tables: police powers and procedures, year ending 31 March 2021</w:t>
        </w:r>
      </w:hyperlink>
      <w:r w:rsidRPr="00BC3776">
        <w:rPr>
          <w:rFonts w:cstheme="minorHAnsi"/>
          <w:szCs w:val="24"/>
        </w:rPr>
        <w:t xml:space="preserve"> [accessed: 15 February 2022], table SS_34 and SS_35. </w:t>
      </w:r>
    </w:p>
  </w:footnote>
  <w:footnote w:id="33">
    <w:p w14:paraId="241CAE76"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Race Disparity Unit (2021), </w:t>
      </w:r>
      <w:hyperlink r:id="rId36" w:history="1">
        <w:r w:rsidRPr="00BC3776">
          <w:rPr>
            <w:rStyle w:val="Hyperlink"/>
            <w:rFonts w:cstheme="minorHAnsi"/>
            <w:szCs w:val="24"/>
          </w:rPr>
          <w:t>Stop and search data and the effect of geographical differences</w:t>
        </w:r>
      </w:hyperlink>
      <w:r w:rsidRPr="00BC3776">
        <w:rPr>
          <w:rFonts w:cstheme="minorHAnsi"/>
          <w:szCs w:val="24"/>
        </w:rPr>
        <w:t xml:space="preserve"> [accessed: 19 April 2022]; University College London (2020), </w:t>
      </w:r>
      <w:hyperlink r:id="rId37" w:history="1">
        <w:r w:rsidRPr="00BC3776">
          <w:rPr>
            <w:rStyle w:val="Hyperlink"/>
            <w:rFonts w:cstheme="minorHAnsi"/>
            <w:szCs w:val="24"/>
          </w:rPr>
          <w:t>London’s most deprived neighbourhoods see more stop and searches</w:t>
        </w:r>
      </w:hyperlink>
      <w:r w:rsidRPr="00BC3776">
        <w:rPr>
          <w:rFonts w:cstheme="minorHAnsi"/>
          <w:szCs w:val="24"/>
        </w:rPr>
        <w:t xml:space="preserve"> [accessed: 19 April 2022].</w:t>
      </w:r>
    </w:p>
  </w:footnote>
  <w:footnote w:id="34">
    <w:p w14:paraId="7B5DB81C"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Home Office (2022), </w:t>
      </w:r>
      <w:hyperlink r:id="rId38" w:history="1">
        <w:r w:rsidRPr="00BC3776">
          <w:rPr>
            <w:rStyle w:val="Hyperlink"/>
            <w:rFonts w:cstheme="minorHAnsi"/>
            <w:szCs w:val="24"/>
          </w:rPr>
          <w:t>Home Secretary backs police to increase stop and search</w:t>
        </w:r>
      </w:hyperlink>
      <w:r w:rsidRPr="00BC3776">
        <w:rPr>
          <w:rFonts w:cstheme="minorHAnsi"/>
          <w:szCs w:val="24"/>
        </w:rPr>
        <w:t xml:space="preserve"> [accessed: 19 May 2022].</w:t>
      </w:r>
    </w:p>
  </w:footnote>
  <w:footnote w:id="35">
    <w:p w14:paraId="556D02CE"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Home Office (2022), </w:t>
      </w:r>
      <w:hyperlink r:id="rId39" w:history="1">
        <w:r w:rsidRPr="00BC3776">
          <w:rPr>
            <w:rStyle w:val="Hyperlink"/>
            <w:rFonts w:cstheme="minorHAnsi"/>
            <w:szCs w:val="24"/>
          </w:rPr>
          <w:t>Stop and search section 60 relaxation: equality impact assessment</w:t>
        </w:r>
      </w:hyperlink>
      <w:r w:rsidRPr="00BC3776">
        <w:rPr>
          <w:rFonts w:cstheme="minorHAnsi"/>
          <w:szCs w:val="24"/>
        </w:rPr>
        <w:t xml:space="preserve"> [accessed: 9 June 2022].</w:t>
      </w:r>
    </w:p>
  </w:footnote>
  <w:footnote w:id="36">
    <w:p w14:paraId="521183C2"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Ali, A. and Champion, N. (2021), </w:t>
      </w:r>
      <w:hyperlink r:id="rId40" w:history="1">
        <w:r w:rsidRPr="00BC3776">
          <w:rPr>
            <w:rStyle w:val="Hyperlink"/>
            <w:rFonts w:cstheme="minorHAnsi"/>
            <w:szCs w:val="24"/>
          </w:rPr>
          <w:t>More harm than good: A super-complaint on the harms caused by ‘suspicion-less’ stop and searches and inadequate scrutiny of stop and search powers</w:t>
        </w:r>
      </w:hyperlink>
      <w:r w:rsidRPr="00BC3776">
        <w:rPr>
          <w:rFonts w:cstheme="minorHAnsi"/>
          <w:szCs w:val="24"/>
        </w:rPr>
        <w:t>, Criminal Justice Alliance [accessed: 15 February 2022], p. 25.</w:t>
      </w:r>
    </w:p>
  </w:footnote>
  <w:footnote w:id="37">
    <w:p w14:paraId="04F88B0A"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Children’s Commissioner for England (2022), </w:t>
      </w:r>
      <w:hyperlink r:id="rId41" w:history="1">
        <w:r w:rsidRPr="00BC3776">
          <w:rPr>
            <w:rStyle w:val="Hyperlink"/>
            <w:rFonts w:cstheme="minorHAnsi"/>
            <w:szCs w:val="24"/>
          </w:rPr>
          <w:t>Strip search of children by the Metropolitan Police Service – new analysis by the Children’s Commissioner for England</w:t>
        </w:r>
      </w:hyperlink>
      <w:r w:rsidRPr="00BC3776">
        <w:rPr>
          <w:rFonts w:cstheme="minorHAnsi"/>
          <w:szCs w:val="24"/>
        </w:rPr>
        <w:t xml:space="preserve"> [accessed: 30 August 2022], p.6.</w:t>
      </w:r>
    </w:p>
  </w:footnote>
  <w:footnote w:id="38">
    <w:p w14:paraId="4DFA9EC7" w14:textId="393F12AF"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Cannataci, J. A., United Nations</w:t>
      </w:r>
      <w:r w:rsidRPr="00BC3776">
        <w:rPr>
          <w:rFonts w:cstheme="minorHAnsi"/>
          <w:szCs w:val="24"/>
        </w:rPr>
        <w:t xml:space="preserve"> Special Rapporteur on the Right to Privacy (2021), </w:t>
      </w:r>
      <w:hyperlink r:id="rId42" w:history="1">
        <w:r w:rsidRPr="00BC3776">
          <w:rPr>
            <w:rStyle w:val="Hyperlink"/>
            <w:rFonts w:cstheme="minorHAnsi"/>
            <w:szCs w:val="24"/>
          </w:rPr>
          <w:t>Artificial intelligence and privacy, and children’s privacy, A/HRC/46/37</w:t>
        </w:r>
      </w:hyperlink>
      <w:r w:rsidRPr="00BC3776">
        <w:rPr>
          <w:rFonts w:cstheme="minorHAnsi"/>
          <w:szCs w:val="24"/>
          <w:u w:color="009C98" w:themeColor="accent1"/>
        </w:rPr>
        <w:t xml:space="preserve"> </w:t>
      </w:r>
      <w:r w:rsidRPr="00BC3776">
        <w:rPr>
          <w:rFonts w:cstheme="minorHAnsi"/>
          <w:szCs w:val="24"/>
        </w:rPr>
        <w:t>[accessed: 1 March 2022], para. 86.</w:t>
      </w:r>
    </w:p>
  </w:footnote>
  <w:footnote w:id="39">
    <w:p w14:paraId="22AA0F36" w14:textId="257B7354"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McCann, D. (2021), </w:t>
      </w:r>
      <w:hyperlink r:id="rId43" w:history="1">
        <w:r w:rsidRPr="00BC3776">
          <w:rPr>
            <w:rStyle w:val="Hyperlink"/>
            <w:rFonts w:cstheme="minorHAnsi"/>
            <w:szCs w:val="24"/>
          </w:rPr>
          <w:t>I-Spy: The billion dollar business of surveillance advertising to kids</w:t>
        </w:r>
      </w:hyperlink>
      <w:r w:rsidRPr="00BC3776">
        <w:rPr>
          <w:rFonts w:cstheme="minorHAnsi"/>
          <w:szCs w:val="24"/>
          <w:u w:color="009C98" w:themeColor="accent1"/>
        </w:rPr>
        <w:t>, New Economics Foundation</w:t>
      </w:r>
      <w:r w:rsidRPr="00BC3776">
        <w:rPr>
          <w:rFonts w:cstheme="minorHAnsi"/>
          <w:szCs w:val="24"/>
        </w:rPr>
        <w:t xml:space="preserve"> [accessed: 1 Mar</w:t>
      </w:r>
      <w:r>
        <w:rPr>
          <w:rFonts w:cstheme="minorHAnsi"/>
          <w:szCs w:val="24"/>
        </w:rPr>
        <w:t>ch 2022], for example see pp. 2–</w:t>
      </w:r>
      <w:r w:rsidRPr="00BC3776">
        <w:rPr>
          <w:rFonts w:cstheme="minorHAnsi"/>
          <w:szCs w:val="24"/>
        </w:rPr>
        <w:t>3.</w:t>
      </w:r>
    </w:p>
  </w:footnote>
  <w:footnote w:id="40">
    <w:p w14:paraId="561DEA60" w14:textId="5926583A" w:rsidR="0026506A" w:rsidRDefault="0026506A">
      <w:pPr>
        <w:pStyle w:val="FootnoteText"/>
      </w:pPr>
      <w:r>
        <w:rPr>
          <w:rStyle w:val="FootnoteReference"/>
        </w:rPr>
        <w:footnoteRef/>
      </w:r>
      <w:r>
        <w:t xml:space="preserve"> See pp. 29-30.</w:t>
      </w:r>
    </w:p>
  </w:footnote>
  <w:footnote w:id="41">
    <w:p w14:paraId="71165910"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Department for Digital, Culture, Media and Sport (2021), </w:t>
      </w:r>
      <w:hyperlink r:id="rId44" w:history="1">
        <w:r w:rsidRPr="00BC3776">
          <w:rPr>
            <w:rStyle w:val="Hyperlink"/>
            <w:rFonts w:cstheme="minorHAnsi"/>
            <w:szCs w:val="24"/>
          </w:rPr>
          <w:t>Data: a new direction</w:t>
        </w:r>
      </w:hyperlink>
      <w:r w:rsidRPr="00BC3776">
        <w:rPr>
          <w:rFonts w:cstheme="minorHAnsi"/>
          <w:szCs w:val="24"/>
        </w:rPr>
        <w:t xml:space="preserve"> [accessed: 1 March 2022].</w:t>
      </w:r>
    </w:p>
  </w:footnote>
  <w:footnote w:id="42">
    <w:p w14:paraId="0163C1D6"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Information Commissioner’s Office (2020), </w:t>
      </w:r>
      <w:hyperlink r:id="rId45" w:history="1">
        <w:r w:rsidRPr="00BC3776">
          <w:rPr>
            <w:rStyle w:val="Hyperlink"/>
            <w:rFonts w:cstheme="minorHAnsi"/>
            <w:szCs w:val="24"/>
          </w:rPr>
          <w:t>Age appropriate design: a code of practice for online services</w:t>
        </w:r>
      </w:hyperlink>
      <w:r w:rsidRPr="00BC3776">
        <w:rPr>
          <w:rFonts w:cstheme="minorHAnsi"/>
          <w:szCs w:val="24"/>
        </w:rPr>
        <w:t xml:space="preserve"> [accessed: 1 March 2022].</w:t>
      </w:r>
    </w:p>
  </w:footnote>
  <w:footnote w:id="43">
    <w:p w14:paraId="6B0FEE81" w14:textId="77777777" w:rsidR="0026506A" w:rsidRPr="00BC3776" w:rsidRDefault="0026506A" w:rsidP="00654EBF">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5Rights Foundation (2021), </w:t>
      </w:r>
      <w:hyperlink r:id="rId46" w:history="1">
        <w:r w:rsidRPr="00BC3776">
          <w:rPr>
            <w:rStyle w:val="Hyperlink"/>
            <w:rFonts w:cstheme="minorHAnsi"/>
            <w:szCs w:val="24"/>
          </w:rPr>
          <w:t>Why the UK's new data regime proposals could mean a setback for children's rights</w:t>
        </w:r>
      </w:hyperlink>
      <w:r w:rsidRPr="00BC3776">
        <w:rPr>
          <w:rFonts w:cstheme="minorHAnsi"/>
          <w:szCs w:val="24"/>
        </w:rPr>
        <w:t xml:space="preserve"> [accessed: 1 March 2022].</w:t>
      </w:r>
    </w:p>
  </w:footnote>
  <w:footnote w:id="44">
    <w:p w14:paraId="6A8A8409" w14:textId="3E89AF61"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 Committee on the Rights of the Child</w:t>
      </w:r>
      <w:r w:rsidRPr="00BC3776">
        <w:rPr>
          <w:rFonts w:cstheme="minorHAnsi"/>
          <w:szCs w:val="24"/>
        </w:rPr>
        <w:t xml:space="preserve"> (2016), </w:t>
      </w:r>
      <w:hyperlink r:id="rId47" w:history="1">
        <w:r w:rsidRPr="00BC3776">
          <w:rPr>
            <w:rStyle w:val="Hyperlink"/>
            <w:rFonts w:cstheme="minorHAnsi"/>
            <w:szCs w:val="24"/>
          </w:rPr>
          <w:t>Concluding observations on the fifth periodic report of the United Kingdom of Great Britain and Northern Ireland</w:t>
        </w:r>
      </w:hyperlink>
      <w:r w:rsidRPr="00BC3776">
        <w:rPr>
          <w:rFonts w:cstheme="minorHAnsi"/>
          <w:szCs w:val="24"/>
        </w:rPr>
        <w:t xml:space="preserve"> [accessed: 7 February 2022], para.40; Unicef UK (2020), </w:t>
      </w:r>
      <w:hyperlink r:id="rId48" w:history="1">
        <w:r w:rsidRPr="00BC3776">
          <w:rPr>
            <w:rStyle w:val="Hyperlink"/>
            <w:rFonts w:cstheme="minorHAnsi"/>
            <w:szCs w:val="24"/>
          </w:rPr>
          <w:t>A rights-based analysis of youth justice in the United Kingdom</w:t>
        </w:r>
      </w:hyperlink>
      <w:r w:rsidRPr="00BC3776">
        <w:rPr>
          <w:rFonts w:cstheme="minorHAnsi"/>
          <w:szCs w:val="24"/>
        </w:rPr>
        <w:t xml:space="preserve"> [</w:t>
      </w:r>
      <w:r>
        <w:rPr>
          <w:rFonts w:cstheme="minorHAnsi"/>
          <w:szCs w:val="24"/>
        </w:rPr>
        <w:t>accessed: 7 February 2022], p.</w:t>
      </w:r>
      <w:r w:rsidRPr="00BC3776">
        <w:rPr>
          <w:rFonts w:cstheme="minorHAnsi"/>
          <w:szCs w:val="24"/>
        </w:rPr>
        <w:t xml:space="preserve">55 and </w:t>
      </w:r>
      <w:r>
        <w:rPr>
          <w:rFonts w:cstheme="minorHAnsi"/>
          <w:szCs w:val="24"/>
        </w:rPr>
        <w:t>p.</w:t>
      </w:r>
      <w:r w:rsidRPr="00BC3776">
        <w:rPr>
          <w:rFonts w:cstheme="minorHAnsi"/>
          <w:szCs w:val="24"/>
        </w:rPr>
        <w:t>78.</w:t>
      </w:r>
    </w:p>
  </w:footnote>
  <w:footnote w:id="45">
    <w:p w14:paraId="5EF848E6"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Home Office (2019), </w:t>
      </w:r>
      <w:hyperlink r:id="rId49" w:history="1">
        <w:r w:rsidRPr="00BC3776">
          <w:rPr>
            <w:rStyle w:val="Hyperlink"/>
            <w:rFonts w:cstheme="minorHAnsi"/>
            <w:szCs w:val="24"/>
          </w:rPr>
          <w:t>Police use of force statistics, England and Wales: April 2017 to March 2018 – data tables</w:t>
        </w:r>
      </w:hyperlink>
      <w:r w:rsidRPr="00BC3776">
        <w:rPr>
          <w:rFonts w:cstheme="minorHAnsi"/>
          <w:szCs w:val="24"/>
        </w:rPr>
        <w:t xml:space="preserve"> [accessed: 22 July 2022], Table 2.</w:t>
      </w:r>
    </w:p>
  </w:footnote>
  <w:footnote w:id="46">
    <w:p w14:paraId="76119484"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Home Office (2021), </w:t>
      </w:r>
      <w:hyperlink r:id="rId50" w:history="1">
        <w:r w:rsidRPr="00BC3776">
          <w:rPr>
            <w:rStyle w:val="Hyperlink"/>
            <w:rFonts w:cstheme="minorHAnsi"/>
            <w:szCs w:val="24"/>
          </w:rPr>
          <w:t>Police use of force statistics, England and Wales: April 2020 to March 2021 – data tables</w:t>
        </w:r>
      </w:hyperlink>
      <w:r w:rsidRPr="00BC3776">
        <w:rPr>
          <w:rFonts w:cstheme="minorHAnsi"/>
          <w:szCs w:val="24"/>
        </w:rPr>
        <w:t xml:space="preserve"> [accessed: 7 February 2022], Table 2.</w:t>
      </w:r>
    </w:p>
  </w:footnote>
  <w:footnote w:id="47">
    <w:p w14:paraId="1B7B7A8D"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Independent Office for Police Conduct (2021), </w:t>
      </w:r>
      <w:hyperlink r:id="rId51" w:history="1">
        <w:r w:rsidRPr="00BC3776">
          <w:rPr>
            <w:rStyle w:val="Hyperlink"/>
            <w:rFonts w:cstheme="minorHAnsi"/>
            <w:szCs w:val="24"/>
          </w:rPr>
          <w:t>Review of IOPC cases involving the use of Taser 2015-2020</w:t>
        </w:r>
      </w:hyperlink>
      <w:r w:rsidRPr="00BC3776">
        <w:rPr>
          <w:rFonts w:cstheme="minorHAnsi"/>
          <w:szCs w:val="24"/>
        </w:rPr>
        <w:t xml:space="preserve"> [accessed: 7 February 2022], p.7; UK Government Home Office (2021), </w:t>
      </w:r>
      <w:hyperlink r:id="rId52" w:history="1">
        <w:r w:rsidRPr="00BC3776">
          <w:rPr>
            <w:rStyle w:val="Hyperlink"/>
            <w:rFonts w:cstheme="minorHAnsi"/>
            <w:szCs w:val="24"/>
          </w:rPr>
          <w:t>Police use of force statistics, England and Wales: April 2020 to March 2021</w:t>
        </w:r>
      </w:hyperlink>
      <w:r w:rsidRPr="00BC3776">
        <w:rPr>
          <w:rFonts w:cstheme="minorHAnsi"/>
          <w:szCs w:val="24"/>
        </w:rPr>
        <w:t xml:space="preserve"> [accessed: 22 July 2022], para. 6.2.</w:t>
      </w:r>
    </w:p>
  </w:footnote>
  <w:footnote w:id="48">
    <w:p w14:paraId="6B192A98"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Home Office (2022), </w:t>
      </w:r>
      <w:hyperlink r:id="rId53" w:history="1">
        <w:r w:rsidRPr="00BC3776">
          <w:rPr>
            <w:rStyle w:val="Hyperlink"/>
            <w:rFonts w:cstheme="minorHAnsi"/>
            <w:szCs w:val="24"/>
          </w:rPr>
          <w:t>Home Secretary’s speech to the Police Federation annual conference</w:t>
        </w:r>
      </w:hyperlink>
      <w:r w:rsidRPr="00BC3776">
        <w:rPr>
          <w:rFonts w:cstheme="minorHAnsi"/>
          <w:szCs w:val="24"/>
        </w:rPr>
        <w:t xml:space="preserve"> [accessed: 22 July 2022]; UK Government Home Office (2022), </w:t>
      </w:r>
      <w:hyperlink r:id="rId54" w:history="1">
        <w:r w:rsidRPr="00BC3776">
          <w:rPr>
            <w:rStyle w:val="Hyperlink"/>
            <w:rFonts w:cstheme="minorHAnsi"/>
            <w:szCs w:val="24"/>
          </w:rPr>
          <w:t>Taser carriage by special constables: equality impact assessment</w:t>
        </w:r>
      </w:hyperlink>
      <w:r w:rsidRPr="00BC3776">
        <w:rPr>
          <w:rFonts w:cstheme="minorHAnsi"/>
          <w:szCs w:val="24"/>
        </w:rPr>
        <w:t xml:space="preserve"> [accessed: 22 July 2022].</w:t>
      </w:r>
    </w:p>
  </w:footnote>
  <w:footnote w:id="49">
    <w:p w14:paraId="3F83EBF9" w14:textId="32C6EFBD"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Independent Office for Police Conduct (2021), </w:t>
      </w:r>
      <w:hyperlink r:id="rId55" w:history="1">
        <w:r w:rsidRPr="00BC3776">
          <w:rPr>
            <w:rStyle w:val="Hyperlink"/>
            <w:rFonts w:cstheme="minorHAnsi"/>
            <w:szCs w:val="24"/>
          </w:rPr>
          <w:t>Review of IOPC cases involving the use of Taser 2015-2020</w:t>
        </w:r>
      </w:hyperlink>
      <w:r w:rsidRPr="00BC3776">
        <w:rPr>
          <w:rFonts w:cstheme="minorHAnsi"/>
          <w:szCs w:val="24"/>
        </w:rPr>
        <w:t xml:space="preserve"> [acce</w:t>
      </w:r>
      <w:r>
        <w:rPr>
          <w:rFonts w:cstheme="minorHAnsi"/>
          <w:szCs w:val="24"/>
        </w:rPr>
        <w:t>ssed: 7 February 2022], pp. 116–</w:t>
      </w:r>
      <w:r w:rsidRPr="00BC3776">
        <w:rPr>
          <w:rFonts w:cstheme="minorHAnsi"/>
          <w:szCs w:val="24"/>
        </w:rPr>
        <w:t>118.</w:t>
      </w:r>
    </w:p>
  </w:footnote>
  <w:footnote w:id="50">
    <w:p w14:paraId="430098E2"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College of Policing (2022), </w:t>
      </w:r>
      <w:hyperlink r:id="rId56" w:history="1">
        <w:r w:rsidRPr="00BC3776">
          <w:rPr>
            <w:rStyle w:val="Hyperlink"/>
            <w:rFonts w:cstheme="minorHAnsi"/>
            <w:szCs w:val="24"/>
          </w:rPr>
          <w:t>Conducted energy devices (Taser) – Authorised Professional Practice</w:t>
        </w:r>
      </w:hyperlink>
      <w:r w:rsidRPr="00BC3776">
        <w:rPr>
          <w:rFonts w:cstheme="minorHAnsi"/>
          <w:szCs w:val="24"/>
        </w:rPr>
        <w:t>, see ‘Risk Factors’ [accessed: 22 July 2022].</w:t>
      </w:r>
    </w:p>
  </w:footnote>
  <w:footnote w:id="51">
    <w:p w14:paraId="08F5DF63" w14:textId="0554380E"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Independent Office for Police Conduct (2021), </w:t>
      </w:r>
      <w:hyperlink r:id="rId57" w:history="1">
        <w:r w:rsidRPr="00BC3776">
          <w:rPr>
            <w:rStyle w:val="Hyperlink"/>
            <w:rFonts w:cstheme="minorHAnsi"/>
            <w:szCs w:val="24"/>
          </w:rPr>
          <w:t>Review of IOPC cases involving the use of Taser 2015</w:t>
        </w:r>
        <w:r w:rsidRPr="006B3809">
          <w:rPr>
            <w:rStyle w:val="Hyperlink"/>
            <w:rFonts w:cstheme="minorHAnsi"/>
            <w:szCs w:val="24"/>
          </w:rPr>
          <w:t>–</w:t>
        </w:r>
        <w:r w:rsidRPr="00BC3776">
          <w:rPr>
            <w:rStyle w:val="Hyperlink"/>
            <w:rFonts w:cstheme="minorHAnsi"/>
            <w:szCs w:val="24"/>
          </w:rPr>
          <w:t>2020</w:t>
        </w:r>
      </w:hyperlink>
      <w:r w:rsidRPr="00BC3776">
        <w:rPr>
          <w:rFonts w:cstheme="minorHAnsi"/>
          <w:szCs w:val="24"/>
        </w:rPr>
        <w:t xml:space="preserve"> [accessed: 7 February 2022], p.107.</w:t>
      </w:r>
    </w:p>
  </w:footnote>
  <w:footnote w:id="52">
    <w:p w14:paraId="5B877ECD" w14:textId="1A122F7B"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Busby, M. (2020), </w:t>
      </w:r>
      <w:hyperlink r:id="rId58" w:history="1">
        <w:r w:rsidRPr="00BC3776">
          <w:rPr>
            <w:rStyle w:val="Hyperlink"/>
            <w:rFonts w:cstheme="minorHAnsi"/>
            <w:szCs w:val="24"/>
          </w:rPr>
          <w:t>BAME children three times more likely to have a Taser weapon used on them by police</w:t>
        </w:r>
      </w:hyperlink>
      <w:r w:rsidRPr="00BC3776">
        <w:rPr>
          <w:rFonts w:cstheme="minorHAnsi"/>
          <w:szCs w:val="24"/>
        </w:rPr>
        <w:t>, Guardian [accessed: 16 February 2022].</w:t>
      </w:r>
    </w:p>
  </w:footnote>
  <w:footnote w:id="53">
    <w:p w14:paraId="78187442" w14:textId="679DD1B1"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Independent Office for Police Conduct (2021), </w:t>
      </w:r>
      <w:hyperlink r:id="rId59" w:history="1">
        <w:r w:rsidRPr="00BC3776">
          <w:rPr>
            <w:rStyle w:val="Hyperlink"/>
            <w:rFonts w:cstheme="minorHAnsi"/>
            <w:szCs w:val="24"/>
          </w:rPr>
          <w:t>Review of IOPC cases involving the use of Taser 2015-2020</w:t>
        </w:r>
      </w:hyperlink>
      <w:r w:rsidRPr="00BC3776">
        <w:rPr>
          <w:rFonts w:cstheme="minorHAnsi"/>
          <w:szCs w:val="24"/>
        </w:rPr>
        <w:t xml:space="preserve"> [accessed</w:t>
      </w:r>
      <w:r>
        <w:rPr>
          <w:rFonts w:cstheme="minorHAnsi"/>
          <w:szCs w:val="24"/>
        </w:rPr>
        <w:t>:</w:t>
      </w:r>
      <w:r w:rsidRPr="00BC3776">
        <w:rPr>
          <w:rFonts w:cstheme="minorHAnsi"/>
          <w:szCs w:val="24"/>
        </w:rPr>
        <w:t xml:space="preserve"> 7 February 2022], p.125.</w:t>
      </w:r>
    </w:p>
  </w:footnote>
  <w:footnote w:id="54">
    <w:p w14:paraId="5D30F67F"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Ibid., p.122.</w:t>
      </w:r>
    </w:p>
  </w:footnote>
  <w:footnote w:id="55">
    <w:p w14:paraId="3A6D3CFB" w14:textId="0C344000"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 Committee on the Rights of the Child</w:t>
      </w:r>
      <w:r w:rsidRPr="00BC3776">
        <w:rPr>
          <w:rFonts w:cstheme="minorHAnsi"/>
          <w:szCs w:val="24"/>
        </w:rPr>
        <w:t xml:space="preserve"> (2016), </w:t>
      </w:r>
      <w:hyperlink r:id="rId60" w:history="1">
        <w:r w:rsidRPr="00BC3776">
          <w:rPr>
            <w:rStyle w:val="Hyperlink"/>
            <w:rFonts w:cstheme="minorHAnsi"/>
            <w:szCs w:val="24"/>
          </w:rPr>
          <w:t>Concluding Observations on the fifth periodic report of the United Kingdom of Great Britain and Northern Ireland</w:t>
        </w:r>
      </w:hyperlink>
      <w:r w:rsidRPr="00BC3776">
        <w:rPr>
          <w:rFonts w:cstheme="minorHAnsi"/>
          <w:szCs w:val="24"/>
        </w:rPr>
        <w:t xml:space="preserve">, CRC/C/GBR/CO/5 [accessed: 22 July 2022], para.40(a); Children’s Rights Alliance for England (2020), </w:t>
      </w:r>
      <w:hyperlink r:id="rId61" w:history="1">
        <w:r w:rsidRPr="00BC3776">
          <w:rPr>
            <w:rStyle w:val="Hyperlink"/>
            <w:rFonts w:cstheme="minorHAnsi"/>
            <w:szCs w:val="24"/>
          </w:rPr>
          <w:t>Children’s rights and policing: spit-hoods and children’s rights</w:t>
        </w:r>
      </w:hyperlink>
      <w:r w:rsidRPr="00BC3776">
        <w:rPr>
          <w:rFonts w:cstheme="minorHAnsi"/>
          <w:szCs w:val="24"/>
        </w:rPr>
        <w:t xml:space="preserve"> [accessed</w:t>
      </w:r>
      <w:r>
        <w:rPr>
          <w:rFonts w:cstheme="minorHAnsi"/>
          <w:szCs w:val="24"/>
        </w:rPr>
        <w:t>:</w:t>
      </w:r>
      <w:r w:rsidRPr="00BC3776">
        <w:rPr>
          <w:rFonts w:cstheme="minorHAnsi"/>
          <w:szCs w:val="24"/>
        </w:rPr>
        <w:t xml:space="preserve"> 30 March 2022].</w:t>
      </w:r>
    </w:p>
  </w:footnote>
  <w:footnote w:id="56">
    <w:p w14:paraId="0BC930AB"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Spit-hoods are mesh hoods placed over the face and head to prevent spitting. </w:t>
      </w:r>
    </w:p>
  </w:footnote>
  <w:footnote w:id="57">
    <w:p w14:paraId="405CCE89"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Home Office (2018), </w:t>
      </w:r>
      <w:hyperlink r:id="rId62" w:history="1">
        <w:r w:rsidRPr="00BC3776">
          <w:rPr>
            <w:rStyle w:val="Hyperlink"/>
            <w:rFonts w:cstheme="minorHAnsi"/>
            <w:szCs w:val="24"/>
          </w:rPr>
          <w:t>Police use of force statistics, England and Wales: April 2017 to March 2018 – data tables</w:t>
        </w:r>
      </w:hyperlink>
      <w:r w:rsidRPr="00BC3776">
        <w:rPr>
          <w:rFonts w:cstheme="minorHAnsi"/>
          <w:szCs w:val="24"/>
        </w:rPr>
        <w:t xml:space="preserve"> [accessed: 7 February 2022], Table 2; UK Government Home Office (2021), </w:t>
      </w:r>
      <w:hyperlink r:id="rId63" w:history="1">
        <w:r w:rsidRPr="00BC3776">
          <w:rPr>
            <w:rStyle w:val="Hyperlink"/>
            <w:rFonts w:cstheme="minorHAnsi"/>
            <w:szCs w:val="24"/>
          </w:rPr>
          <w:t>Police use of force statistics, England and Wales: April 2020 to March 2021 – data tables</w:t>
        </w:r>
      </w:hyperlink>
      <w:r w:rsidRPr="00BC3776">
        <w:rPr>
          <w:rFonts w:cstheme="minorHAnsi"/>
          <w:szCs w:val="24"/>
        </w:rPr>
        <w:t xml:space="preserve"> [accessed: 7 February 2022], Table 2.</w:t>
      </w:r>
    </w:p>
  </w:footnote>
  <w:footnote w:id="58">
    <w:p w14:paraId="436C435F"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Children’s Rights Alliance for England (2020), </w:t>
      </w:r>
      <w:hyperlink r:id="rId64" w:history="1">
        <w:r w:rsidRPr="00BC3776">
          <w:rPr>
            <w:rStyle w:val="Hyperlink"/>
            <w:rFonts w:cstheme="minorHAnsi"/>
            <w:szCs w:val="24"/>
          </w:rPr>
          <w:t>Children’s rights and policing: spit-hoods and children’s rights</w:t>
        </w:r>
      </w:hyperlink>
      <w:r w:rsidRPr="00BC3776">
        <w:rPr>
          <w:rFonts w:cstheme="minorHAnsi"/>
          <w:szCs w:val="24"/>
        </w:rPr>
        <w:t xml:space="preserve"> [accessed: 30 March 2022], p.1.</w:t>
      </w:r>
    </w:p>
  </w:footnote>
  <w:footnote w:id="59">
    <w:p w14:paraId="37D0D6B5" w14:textId="585B83F0"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sidRPr="000D1F10">
        <w:rPr>
          <w:rFonts w:cstheme="minorHAnsi"/>
          <w:szCs w:val="24"/>
        </w:rPr>
        <w:t xml:space="preserve">See </w:t>
      </w:r>
      <w:r>
        <w:rPr>
          <w:rFonts w:cstheme="minorHAnsi"/>
          <w:szCs w:val="24"/>
        </w:rPr>
        <w:t>pp.</w:t>
      </w:r>
      <w:r w:rsidRPr="000D1F10">
        <w:rPr>
          <w:rFonts w:cstheme="minorHAnsi"/>
          <w:szCs w:val="24"/>
        </w:rPr>
        <w:t xml:space="preserve"> 88-90.</w:t>
      </w:r>
    </w:p>
  </w:footnote>
  <w:footnote w:id="60">
    <w:p w14:paraId="61C9A16A" w14:textId="4AA814A4"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(2020), </w:t>
      </w:r>
      <w:hyperlink r:id="rId65" w:history="1">
        <w:r w:rsidRPr="00BC3776">
          <w:rPr>
            <w:rStyle w:val="Hyperlink"/>
            <w:rFonts w:cstheme="minorHAnsi"/>
            <w:szCs w:val="24"/>
          </w:rPr>
          <w:t>Children’s rights in Great Britain</w:t>
        </w:r>
      </w:hyperlink>
      <w:r w:rsidRPr="00BC3776">
        <w:rPr>
          <w:rFonts w:cstheme="minorHAnsi"/>
          <w:szCs w:val="24"/>
        </w:rPr>
        <w:t>, pp. 54</w:t>
      </w:r>
      <w:r>
        <w:rPr>
          <w:rFonts w:cstheme="minorHAnsi"/>
          <w:szCs w:val="24"/>
        </w:rPr>
        <w:t>–</w:t>
      </w:r>
      <w:r w:rsidRPr="00BC3776">
        <w:rPr>
          <w:rFonts w:cstheme="minorHAnsi"/>
          <w:szCs w:val="24"/>
        </w:rPr>
        <w:t>57.</w:t>
      </w:r>
    </w:p>
  </w:footnote>
  <w:footnote w:id="61">
    <w:p w14:paraId="0F423A2D" w14:textId="46BD7CC2"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 Committee on the Rights of the Child</w:t>
      </w:r>
      <w:r w:rsidRPr="00BC3776">
        <w:rPr>
          <w:rFonts w:cstheme="minorHAnsi"/>
          <w:szCs w:val="24"/>
        </w:rPr>
        <w:t xml:space="preserve"> (2006), </w:t>
      </w:r>
      <w:hyperlink r:id="rId66" w:history="1">
        <w:r w:rsidRPr="00BC3776">
          <w:rPr>
            <w:rStyle w:val="Hyperlink"/>
            <w:rFonts w:cstheme="minorHAnsi"/>
            <w:szCs w:val="24"/>
          </w:rPr>
          <w:t>General Comment No.8: The right of the child to protection from corporal punishment and other cruel or degrading forms of punishment</w:t>
        </w:r>
      </w:hyperlink>
      <w:r w:rsidRPr="00BC3776">
        <w:rPr>
          <w:rFonts w:cstheme="minorHAnsi"/>
          <w:szCs w:val="24"/>
        </w:rPr>
        <w:t>, para.15.</w:t>
      </w:r>
    </w:p>
  </w:footnote>
  <w:footnote w:id="62">
    <w:p w14:paraId="7ABE7B94"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(2019), </w:t>
      </w:r>
      <w:hyperlink r:id="rId67" w:history="1">
        <w:r w:rsidRPr="00BC3776">
          <w:rPr>
            <w:rStyle w:val="Hyperlink"/>
            <w:rFonts w:cstheme="minorHAnsi"/>
            <w:szCs w:val="24"/>
          </w:rPr>
          <w:t>Human rights framework for restraint</w:t>
        </w:r>
      </w:hyperlink>
      <w:r w:rsidRPr="00BC3776">
        <w:rPr>
          <w:rFonts w:cstheme="minorHAnsi"/>
          <w:szCs w:val="24"/>
        </w:rPr>
        <w:t>, p.8.</w:t>
      </w:r>
    </w:p>
  </w:footnote>
  <w:footnote w:id="63">
    <w:p w14:paraId="4B24BA47" w14:textId="4DA47E35" w:rsidR="0026506A" w:rsidRDefault="0026506A">
      <w:pPr>
        <w:pStyle w:val="FootnoteText"/>
      </w:pPr>
      <w:r>
        <w:rPr>
          <w:rStyle w:val="FootnoteReference"/>
        </w:rPr>
        <w:footnoteRef/>
      </w:r>
      <w:r>
        <w:t xml:space="preserve"> See pp. 88-89.</w:t>
      </w:r>
    </w:p>
  </w:footnote>
  <w:footnote w:id="64">
    <w:p w14:paraId="7897D58C"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Ministry of Justice (2020), </w:t>
      </w:r>
      <w:hyperlink r:id="rId68" w:history="1">
        <w:r w:rsidRPr="00BC3776">
          <w:rPr>
            <w:rStyle w:val="Hyperlink"/>
            <w:rFonts w:cstheme="minorHAnsi"/>
            <w:szCs w:val="24"/>
          </w:rPr>
          <w:t>Independent review of pain-inducing techniques – Government response</w:t>
        </w:r>
      </w:hyperlink>
      <w:r w:rsidRPr="00BC3776">
        <w:rPr>
          <w:rFonts w:cstheme="minorHAnsi"/>
          <w:szCs w:val="24"/>
        </w:rPr>
        <w:t xml:space="preserve"> [accessed: 7 February 2022].</w:t>
      </w:r>
    </w:p>
  </w:footnote>
  <w:footnote w:id="65">
    <w:p w14:paraId="73E85491"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(2021), </w:t>
      </w:r>
      <w:hyperlink r:id="rId69" w:history="1">
        <w:r w:rsidRPr="00BC3776">
          <w:rPr>
            <w:rStyle w:val="Hyperlink"/>
            <w:rFonts w:cstheme="minorHAnsi"/>
            <w:szCs w:val="24"/>
          </w:rPr>
          <w:t>Reducing restrictive practices framework</w:t>
        </w:r>
      </w:hyperlink>
      <w:r w:rsidRPr="00BC3776">
        <w:rPr>
          <w:rFonts w:cstheme="minorHAnsi"/>
          <w:szCs w:val="24"/>
        </w:rPr>
        <w:t xml:space="preserve"> [accessed: 7 February 2022], para.50.</w:t>
      </w:r>
    </w:p>
  </w:footnote>
  <w:footnote w:id="66">
    <w:p w14:paraId="3301307E"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(2022), </w:t>
      </w:r>
      <w:hyperlink r:id="rId70" w:anchor="section-106742" w:history="1">
        <w:r w:rsidRPr="00BC3776">
          <w:rPr>
            <w:rStyle w:val="Hyperlink"/>
            <w:rFonts w:cstheme="minorHAnsi"/>
            <w:szCs w:val="24"/>
          </w:rPr>
          <w:t>Guidance: reducing restrictive practices framework</w:t>
        </w:r>
      </w:hyperlink>
      <w:r w:rsidRPr="00BC3776">
        <w:rPr>
          <w:rFonts w:cstheme="minorHAnsi"/>
          <w:szCs w:val="24"/>
        </w:rPr>
        <w:t xml:space="preserve"> [accessed: 15 November 2022].</w:t>
      </w:r>
    </w:p>
  </w:footnote>
  <w:footnote w:id="67">
    <w:p w14:paraId="4FAE2851" w14:textId="77777777" w:rsidR="0026506A" w:rsidRPr="00BC3776" w:rsidRDefault="0026506A" w:rsidP="00BC34D8">
      <w:pPr>
        <w:pStyle w:val="FootnoteText"/>
        <w:rPr>
          <w:rFonts w:cstheme="minorHAnsi"/>
          <w:szCs w:val="24"/>
        </w:rPr>
      </w:pPr>
      <w:r w:rsidRPr="00BC3776">
        <w:rPr>
          <w:rStyle w:val="FootnoteReference"/>
          <w:rFonts w:cstheme="minorHAnsi"/>
          <w:szCs w:val="24"/>
        </w:rPr>
        <w:footnoteRef/>
      </w:r>
      <w:r w:rsidRPr="00BC3776">
        <w:rPr>
          <w:rFonts w:cstheme="minorHAnsi"/>
          <w:szCs w:val="24"/>
        </w:rPr>
        <w:t xml:space="preserve"> Experimental statistics are official statistics that are in the testing phase and not yet fully developed. See Office for National Statistics, </w:t>
      </w:r>
      <w:hyperlink r:id="rId71" w:anchor=":~:text=Experimental%20statistics%20are%20official%20statistics,clearly%20explained%20within%20the%20release." w:history="1">
        <w:r w:rsidRPr="00BC3776">
          <w:rPr>
            <w:rStyle w:val="Hyperlink"/>
            <w:rFonts w:cstheme="minorHAnsi"/>
            <w:szCs w:val="24"/>
          </w:rPr>
          <w:t>Guide to experimental statistics</w:t>
        </w:r>
      </w:hyperlink>
      <w:r w:rsidRPr="00BC3776">
        <w:rPr>
          <w:rFonts w:cstheme="minorHAnsi"/>
          <w:szCs w:val="24"/>
        </w:rPr>
        <w:t>.</w:t>
      </w:r>
    </w:p>
  </w:footnote>
  <w:footnote w:id="68">
    <w:p w14:paraId="674D7D65"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NHS Digital (2021), </w:t>
      </w:r>
      <w:hyperlink r:id="rId72" w:history="1">
        <w:r w:rsidRPr="00BC3776">
          <w:rPr>
            <w:rStyle w:val="Hyperlink"/>
            <w:rFonts w:cstheme="minorHAnsi"/>
            <w:szCs w:val="24"/>
          </w:rPr>
          <w:t>Learning disability services monthly statistics from MHSDS: data tables</w:t>
        </w:r>
      </w:hyperlink>
      <w:r w:rsidRPr="00BC3776">
        <w:rPr>
          <w:rFonts w:cstheme="minorHAnsi"/>
          <w:szCs w:val="24"/>
        </w:rPr>
        <w:t xml:space="preserve"> (see LDA monthly statistics from MHSDS – data tables - March 2021, reference table 17) [accessed: 17 February 2022].</w:t>
      </w:r>
    </w:p>
  </w:footnote>
  <w:footnote w:id="69">
    <w:p w14:paraId="22D080F5"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(2020), </w:t>
      </w:r>
      <w:hyperlink r:id="rId73" w:history="1">
        <w:r w:rsidRPr="00BC3776">
          <w:rPr>
            <w:rStyle w:val="Hyperlink"/>
            <w:rFonts w:cstheme="minorHAnsi"/>
            <w:szCs w:val="24"/>
          </w:rPr>
          <w:t>Children’s rights in Great Britain</w:t>
        </w:r>
      </w:hyperlink>
      <w:r w:rsidRPr="00BC3776">
        <w:rPr>
          <w:rFonts w:cstheme="minorHAnsi"/>
          <w:szCs w:val="24"/>
        </w:rPr>
        <w:t>, p.54.</w:t>
      </w:r>
    </w:p>
  </w:footnote>
  <w:footnote w:id="70">
    <w:p w14:paraId="33EFF4BF" w14:textId="50D86D47" w:rsidR="0026506A" w:rsidRPr="00BC3776" w:rsidRDefault="0026506A" w:rsidP="00BC34D8">
      <w:pPr>
        <w:spacing w:before="120" w:line="240" w:lineRule="auto"/>
        <w:contextualSpacing/>
        <w:rPr>
          <w:rFonts w:eastAsia="Calibri" w:cstheme="minorHAnsi"/>
          <w:szCs w:val="24"/>
        </w:rPr>
      </w:pPr>
      <w:r w:rsidRPr="00BC3776">
        <w:rPr>
          <w:rStyle w:val="FootnoteReference"/>
          <w:rFonts w:cstheme="minorHAnsi"/>
          <w:szCs w:val="24"/>
        </w:rPr>
        <w:footnoteRef/>
      </w:r>
      <w:r w:rsidRPr="00BC3776">
        <w:rPr>
          <w:rFonts w:cstheme="minorHAnsi"/>
          <w:szCs w:val="24"/>
        </w:rPr>
        <w:t xml:space="preserve"> </w:t>
      </w:r>
      <w:r w:rsidRPr="00BC3776">
        <w:rPr>
          <w:rFonts w:eastAsia="Calibri" w:cstheme="minorHAnsi"/>
          <w:color w:val="0B4E60" w:themeColor="text2"/>
          <w:szCs w:val="24"/>
        </w:rPr>
        <w:t>UK Government Department of Health and Social Care (2015),</w:t>
      </w:r>
      <w:r w:rsidRPr="00BC3776">
        <w:rPr>
          <w:rFonts w:eastAsia="Calibri" w:cstheme="minorHAnsi"/>
          <w:szCs w:val="24"/>
        </w:rPr>
        <w:t xml:space="preserve"> </w:t>
      </w:r>
      <w:hyperlink r:id="rId74" w:history="1">
        <w:r w:rsidRPr="00BC3776">
          <w:rPr>
            <w:rStyle w:val="Hyperlink"/>
            <w:rFonts w:eastAsia="Calibri" w:cstheme="minorHAnsi"/>
            <w:szCs w:val="24"/>
          </w:rPr>
          <w:t>Mental Health Act 1983: Code of Practice</w:t>
        </w:r>
      </w:hyperlink>
      <w:r w:rsidRPr="00BC3776">
        <w:rPr>
          <w:rFonts w:eastAsia="Calibri" w:cstheme="minorHAnsi"/>
          <w:szCs w:val="24"/>
        </w:rPr>
        <w:t xml:space="preserve"> </w:t>
      </w:r>
      <w:r w:rsidRPr="00BC3776">
        <w:rPr>
          <w:rFonts w:eastAsia="Calibri" w:cstheme="minorHAnsi"/>
          <w:color w:val="0B4E60" w:themeColor="text2"/>
          <w:szCs w:val="24"/>
        </w:rPr>
        <w:t>[accessed: 1 November 2022], para</w:t>
      </w:r>
      <w:r>
        <w:rPr>
          <w:rFonts w:eastAsia="Calibri" w:cstheme="minorHAnsi"/>
          <w:color w:val="0B4E60" w:themeColor="text2"/>
          <w:szCs w:val="24"/>
        </w:rPr>
        <w:t>.</w:t>
      </w:r>
      <w:r w:rsidRPr="00BC3776">
        <w:rPr>
          <w:rFonts w:eastAsia="Calibri" w:cstheme="minorHAnsi"/>
          <w:color w:val="0B4E60" w:themeColor="text2"/>
          <w:szCs w:val="24"/>
        </w:rPr>
        <w:t>26.70.</w:t>
      </w:r>
    </w:p>
  </w:footnote>
  <w:footnote w:id="71">
    <w:p w14:paraId="178D10A4" w14:textId="24B86105"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House of Commons Health and Social </w:t>
      </w:r>
      <w:r>
        <w:rPr>
          <w:rFonts w:cstheme="minorHAnsi"/>
          <w:szCs w:val="24"/>
        </w:rPr>
        <w:t xml:space="preserve">Care </w:t>
      </w:r>
      <w:r w:rsidRPr="00BC3776">
        <w:rPr>
          <w:rFonts w:cstheme="minorHAnsi"/>
          <w:szCs w:val="24"/>
        </w:rPr>
        <w:t xml:space="preserve">Committee (2021), </w:t>
      </w:r>
      <w:hyperlink r:id="rId75" w:history="1">
        <w:r>
          <w:rPr>
            <w:rStyle w:val="Hyperlink"/>
            <w:rFonts w:cstheme="minorHAnsi"/>
            <w:szCs w:val="24"/>
          </w:rPr>
          <w:t>Eighth Report of Session 2021–</w:t>
        </w:r>
        <w:r w:rsidRPr="00BC3776">
          <w:rPr>
            <w:rStyle w:val="Hyperlink"/>
            <w:rFonts w:cstheme="minorHAnsi"/>
            <w:szCs w:val="24"/>
          </w:rPr>
          <w:t>22: children and young people’s mental health</w:t>
        </w:r>
      </w:hyperlink>
      <w:r w:rsidRPr="00BC3776">
        <w:rPr>
          <w:rFonts w:cstheme="minorHAnsi"/>
          <w:szCs w:val="24"/>
        </w:rPr>
        <w:t xml:space="preserve"> [accessed: 30 March 2022], para.140.</w:t>
      </w:r>
    </w:p>
  </w:footnote>
  <w:footnote w:id="72">
    <w:p w14:paraId="19C42179"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NHS Digital (2021), </w:t>
      </w:r>
      <w:hyperlink r:id="rId76" w:history="1">
        <w:r w:rsidRPr="00BC3776">
          <w:rPr>
            <w:rStyle w:val="Hyperlink"/>
            <w:rFonts w:cstheme="minorHAnsi"/>
            <w:szCs w:val="24"/>
          </w:rPr>
          <w:t>Learning disability services monthly statistics from MHSDS: data tables</w:t>
        </w:r>
      </w:hyperlink>
      <w:r w:rsidRPr="00BC3776">
        <w:rPr>
          <w:rFonts w:cstheme="minorHAnsi"/>
          <w:szCs w:val="24"/>
        </w:rPr>
        <w:t xml:space="preserve"> (see LDA monthly statistics from MHSDS – data tables - March 2021, reference table 17) [accessed: 30 March 2022].</w:t>
      </w:r>
    </w:p>
  </w:footnote>
  <w:footnote w:id="73">
    <w:p w14:paraId="1444D3C9" w14:textId="7AEA7766"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House of Commons Health and Social </w:t>
      </w:r>
      <w:r>
        <w:rPr>
          <w:rFonts w:cstheme="minorHAnsi"/>
          <w:szCs w:val="24"/>
        </w:rPr>
        <w:t xml:space="preserve">Care </w:t>
      </w:r>
      <w:r w:rsidRPr="00BC3776">
        <w:rPr>
          <w:rFonts w:cstheme="minorHAnsi"/>
          <w:szCs w:val="24"/>
        </w:rPr>
        <w:t xml:space="preserve">Committee (2021), </w:t>
      </w:r>
      <w:hyperlink r:id="rId77" w:history="1">
        <w:r w:rsidRPr="00BC3776">
          <w:rPr>
            <w:rStyle w:val="Hyperlink"/>
            <w:rFonts w:cstheme="minorHAnsi"/>
            <w:szCs w:val="24"/>
          </w:rPr>
          <w:t>Eighth Report of Session 2021</w:t>
        </w:r>
        <w:r w:rsidRPr="002F5B80">
          <w:rPr>
            <w:rStyle w:val="Hyperlink"/>
            <w:rFonts w:cstheme="minorHAnsi"/>
            <w:szCs w:val="24"/>
          </w:rPr>
          <w:t>–</w:t>
        </w:r>
        <w:r w:rsidRPr="00BC3776">
          <w:rPr>
            <w:rStyle w:val="Hyperlink"/>
            <w:rFonts w:cstheme="minorHAnsi"/>
            <w:szCs w:val="24"/>
          </w:rPr>
          <w:t>22: children and young people’s mental health</w:t>
        </w:r>
      </w:hyperlink>
      <w:r w:rsidRPr="00BC3776">
        <w:rPr>
          <w:rFonts w:cstheme="minorHAnsi"/>
          <w:szCs w:val="24"/>
        </w:rPr>
        <w:t xml:space="preserve"> [accessed: 30 March 2022], para.139.</w:t>
      </w:r>
    </w:p>
  </w:footnote>
  <w:footnote w:id="74">
    <w:p w14:paraId="2F7D7BAB" w14:textId="29ECAEEC"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Parliament Joint Committee on Human Rights (2019), </w:t>
      </w:r>
      <w:hyperlink r:id="rId78" w:history="1">
        <w:r w:rsidRPr="00BC3776">
          <w:rPr>
            <w:rStyle w:val="Hyperlink"/>
            <w:rFonts w:cstheme="minorHAnsi"/>
            <w:szCs w:val="24"/>
          </w:rPr>
          <w:t>Second Report of Session 2019: The detention of young people with learning disabilities and</w:t>
        </w:r>
        <w:r>
          <w:rPr>
            <w:rStyle w:val="Hyperlink"/>
            <w:rFonts w:cstheme="minorHAnsi"/>
            <w:szCs w:val="24"/>
          </w:rPr>
          <w:t xml:space="preserve"> </w:t>
        </w:r>
        <w:r w:rsidRPr="00BC3776">
          <w:rPr>
            <w:rStyle w:val="Hyperlink"/>
            <w:rFonts w:cstheme="minorHAnsi"/>
            <w:szCs w:val="24"/>
          </w:rPr>
          <w:t>/</w:t>
        </w:r>
        <w:r>
          <w:rPr>
            <w:rStyle w:val="Hyperlink"/>
            <w:rFonts w:cstheme="minorHAnsi"/>
            <w:szCs w:val="24"/>
          </w:rPr>
          <w:t xml:space="preserve"> </w:t>
        </w:r>
        <w:r w:rsidRPr="00BC3776">
          <w:rPr>
            <w:rStyle w:val="Hyperlink"/>
            <w:rFonts w:cstheme="minorHAnsi"/>
            <w:szCs w:val="24"/>
          </w:rPr>
          <w:t>or autism</w:t>
        </w:r>
      </w:hyperlink>
      <w:r w:rsidRPr="00BC3776">
        <w:rPr>
          <w:rFonts w:cstheme="minorHAnsi"/>
          <w:szCs w:val="24"/>
        </w:rPr>
        <w:t xml:space="preserve"> [accessed</w:t>
      </w:r>
      <w:r>
        <w:rPr>
          <w:rFonts w:cstheme="minorHAnsi"/>
          <w:szCs w:val="24"/>
        </w:rPr>
        <w:t>:</w:t>
      </w:r>
      <w:r w:rsidRPr="00BC3776">
        <w:rPr>
          <w:rFonts w:cstheme="minorHAnsi"/>
          <w:szCs w:val="24"/>
        </w:rPr>
        <w:t xml:space="preserve"> 30 March].</w:t>
      </w:r>
    </w:p>
  </w:footnote>
  <w:footnote w:id="75">
    <w:p w14:paraId="7BFE2B0E" w14:textId="516D0BFE"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Parliament Health and Social </w:t>
      </w:r>
      <w:r>
        <w:rPr>
          <w:rFonts w:cstheme="minorHAnsi"/>
          <w:szCs w:val="24"/>
        </w:rPr>
        <w:t xml:space="preserve">Care </w:t>
      </w:r>
      <w:r w:rsidRPr="00BC3776">
        <w:rPr>
          <w:rFonts w:cstheme="minorHAnsi"/>
          <w:szCs w:val="24"/>
        </w:rPr>
        <w:t xml:space="preserve">Committee (2021), </w:t>
      </w:r>
      <w:hyperlink r:id="rId79" w:history="1">
        <w:r w:rsidRPr="00BC3776">
          <w:rPr>
            <w:rStyle w:val="Hyperlink"/>
            <w:rFonts w:cstheme="minorHAnsi"/>
            <w:szCs w:val="24"/>
          </w:rPr>
          <w:t>Eighth Report of Session 2021</w:t>
        </w:r>
        <w:r w:rsidRPr="002F5B80">
          <w:rPr>
            <w:rStyle w:val="Hyperlink"/>
            <w:rFonts w:cstheme="minorHAnsi"/>
            <w:szCs w:val="24"/>
          </w:rPr>
          <w:t>–</w:t>
        </w:r>
        <w:r w:rsidRPr="00BC3776">
          <w:rPr>
            <w:rStyle w:val="Hyperlink"/>
            <w:rFonts w:cstheme="minorHAnsi"/>
            <w:szCs w:val="24"/>
          </w:rPr>
          <w:t>22: children and young people’s mental health</w:t>
        </w:r>
      </w:hyperlink>
      <w:r w:rsidRPr="00BC3776">
        <w:rPr>
          <w:rFonts w:cstheme="minorHAnsi"/>
          <w:szCs w:val="24"/>
        </w:rPr>
        <w:t xml:space="preserve"> [accessed: 30 March 2022], para.150.</w:t>
      </w:r>
    </w:p>
  </w:footnote>
  <w:footnote w:id="76">
    <w:p w14:paraId="60C6B36B"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Department of Health and Social Care (2022), </w:t>
      </w:r>
      <w:hyperlink r:id="rId80" w:history="1">
        <w:r w:rsidRPr="00BC3776">
          <w:rPr>
            <w:rStyle w:val="Hyperlink"/>
            <w:rFonts w:cstheme="minorHAnsi"/>
            <w:szCs w:val="24"/>
          </w:rPr>
          <w:t>The government’s response to the health and social care committee report: children and young people’s mental health</w:t>
        </w:r>
      </w:hyperlink>
      <w:r w:rsidRPr="00BC3776">
        <w:rPr>
          <w:rFonts w:cstheme="minorHAnsi"/>
          <w:szCs w:val="24"/>
        </w:rPr>
        <w:t xml:space="preserve"> [accessed: 18 May 2022], para.147.</w:t>
      </w:r>
    </w:p>
  </w:footnote>
  <w:footnote w:id="77">
    <w:p w14:paraId="41DDE91C" w14:textId="6E87FA1F"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81" w:history="1">
        <w:r>
          <w:rPr>
            <w:rStyle w:val="Hyperlink"/>
            <w:rFonts w:cstheme="minorHAnsi"/>
            <w:szCs w:val="24"/>
          </w:rPr>
          <w:t>United Nations</w:t>
        </w:r>
        <w:r w:rsidRPr="00BC3776">
          <w:rPr>
            <w:rStyle w:val="Hyperlink"/>
            <w:rFonts w:cstheme="minorHAnsi"/>
            <w:szCs w:val="24"/>
          </w:rPr>
          <w:t xml:space="preserve"> Convention on the Rights of the Child</w:t>
        </w:r>
      </w:hyperlink>
      <w:r w:rsidRPr="00BC3776">
        <w:rPr>
          <w:rFonts w:cstheme="minorHAnsi"/>
          <w:szCs w:val="24"/>
        </w:rPr>
        <w:t>, Article 28.</w:t>
      </w:r>
    </w:p>
  </w:footnote>
  <w:footnote w:id="78">
    <w:p w14:paraId="7944BDD2"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(2021), </w:t>
      </w:r>
      <w:hyperlink r:id="rId82" w:history="1">
        <w:r w:rsidRPr="00BC3776">
          <w:rPr>
            <w:rStyle w:val="Hyperlink"/>
            <w:rFonts w:cstheme="minorHAnsi"/>
            <w:szCs w:val="24"/>
          </w:rPr>
          <w:t>Restraint in schools inquiry: using meaningful data to protect children’s rights</w:t>
        </w:r>
      </w:hyperlink>
      <w:r w:rsidRPr="00BC3776">
        <w:rPr>
          <w:rFonts w:cstheme="minorHAnsi"/>
          <w:szCs w:val="24"/>
        </w:rPr>
        <w:t xml:space="preserve"> [accessed: 6 October 2022]; Irwin Mitchell (2021), </w:t>
      </w:r>
      <w:hyperlink r:id="rId83" w:history="1">
        <w:r w:rsidRPr="00BC3776">
          <w:rPr>
            <w:rStyle w:val="Hyperlink"/>
            <w:rFonts w:cstheme="minorHAnsi"/>
            <w:szCs w:val="24"/>
          </w:rPr>
          <w:t>Children and their families call for an end to restraints in schools</w:t>
        </w:r>
      </w:hyperlink>
      <w:r w:rsidRPr="00BC3776">
        <w:rPr>
          <w:rFonts w:cstheme="minorHAnsi"/>
          <w:szCs w:val="24"/>
        </w:rPr>
        <w:t xml:space="preserve"> [accessed: 6 October 2022].</w:t>
      </w:r>
    </w:p>
  </w:footnote>
  <w:footnote w:id="79">
    <w:p w14:paraId="5D331BA5"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Challenging Behaviour Foundation and PABSS (2020), </w:t>
      </w:r>
      <w:hyperlink r:id="rId84" w:history="1">
        <w:r w:rsidRPr="00BC3776">
          <w:rPr>
            <w:rStyle w:val="Hyperlink"/>
            <w:rFonts w:cstheme="minorHAnsi"/>
            <w:szCs w:val="24"/>
          </w:rPr>
          <w:t>Reducing restrictive intervention of children and young people: update of case study results</w:t>
        </w:r>
      </w:hyperlink>
      <w:r w:rsidRPr="00BC3776">
        <w:rPr>
          <w:rFonts w:cstheme="minorHAnsi"/>
          <w:szCs w:val="24"/>
        </w:rPr>
        <w:t xml:space="preserve"> [accessed: 31 May 2022], pp. 24-25.</w:t>
      </w:r>
    </w:p>
  </w:footnote>
  <w:footnote w:id="80">
    <w:p w14:paraId="0CB87A9C"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Ibid., p.16; Challenging Behaviour Foundation and PABSS (2019), </w:t>
      </w:r>
      <w:hyperlink r:id="rId85" w:history="1">
        <w:r w:rsidRPr="00BC3776">
          <w:rPr>
            <w:rStyle w:val="Hyperlink"/>
            <w:rFonts w:cstheme="minorHAnsi"/>
            <w:szCs w:val="24"/>
          </w:rPr>
          <w:t>Reducing restrictive intervention of children and young people: case study and survey results</w:t>
        </w:r>
      </w:hyperlink>
      <w:r w:rsidRPr="00BC3776">
        <w:rPr>
          <w:rFonts w:cstheme="minorHAnsi"/>
          <w:szCs w:val="24"/>
        </w:rPr>
        <w:t xml:space="preserve"> [accessed: 31 May 2022].</w:t>
      </w:r>
    </w:p>
  </w:footnote>
  <w:footnote w:id="81">
    <w:p w14:paraId="1C447B34"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Mind (2021), </w:t>
      </w:r>
      <w:hyperlink r:id="rId86" w:history="1">
        <w:r w:rsidRPr="00BC3776">
          <w:rPr>
            <w:rStyle w:val="Hyperlink"/>
            <w:rFonts w:cstheme="minorHAnsi"/>
            <w:szCs w:val="24"/>
          </w:rPr>
          <w:t>Not making the grade: why our approach to mental health at secondary school is failing young people</w:t>
        </w:r>
      </w:hyperlink>
      <w:r w:rsidRPr="00BC3776">
        <w:rPr>
          <w:rFonts w:cstheme="minorHAnsi"/>
          <w:szCs w:val="24"/>
        </w:rPr>
        <w:t xml:space="preserve"> [accessed: 6 October 2022], p.36.</w:t>
      </w:r>
    </w:p>
  </w:footnote>
  <w:footnote w:id="82">
    <w:p w14:paraId="0A374D24"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Harte, A. (2019) </w:t>
      </w:r>
      <w:hyperlink r:id="rId87" w:history="1">
        <w:r w:rsidRPr="00BC3776">
          <w:rPr>
            <w:rStyle w:val="Hyperlink"/>
            <w:rFonts w:cstheme="minorHAnsi"/>
            <w:szCs w:val="24"/>
          </w:rPr>
          <w:t>Hundreds of 'restraint injuries' at special schools</w:t>
        </w:r>
      </w:hyperlink>
      <w:r w:rsidRPr="00BC3776">
        <w:rPr>
          <w:rFonts w:cstheme="minorHAnsi"/>
          <w:szCs w:val="24"/>
        </w:rPr>
        <w:t xml:space="preserve">, BBC News [accessed: 20 April 2022]. </w:t>
      </w:r>
    </w:p>
  </w:footnote>
  <w:footnote w:id="83">
    <w:p w14:paraId="069709FD"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Department for Education (2012), </w:t>
      </w:r>
      <w:hyperlink r:id="rId88" w:history="1">
        <w:r w:rsidRPr="00BC3776">
          <w:rPr>
            <w:rStyle w:val="Hyperlink"/>
            <w:rFonts w:cstheme="minorHAnsi"/>
            <w:szCs w:val="24"/>
          </w:rPr>
          <w:t>Guidance: National minimum standards for residential special schools</w:t>
        </w:r>
      </w:hyperlink>
      <w:r w:rsidRPr="00BC3776">
        <w:rPr>
          <w:rFonts w:cstheme="minorHAnsi"/>
          <w:szCs w:val="24"/>
          <w:u w:color="009C98" w:themeColor="accent1"/>
        </w:rPr>
        <w:t>, p.36</w:t>
      </w:r>
      <w:r w:rsidRPr="00BC3776">
        <w:rPr>
          <w:rFonts w:cstheme="minorHAnsi"/>
          <w:szCs w:val="24"/>
        </w:rPr>
        <w:t>; UK Government Department for Education (2013)</w:t>
      </w:r>
      <w:r w:rsidRPr="00BC3776">
        <w:rPr>
          <w:rFonts w:cstheme="minorHAnsi"/>
          <w:color w:val="0B0C0C"/>
          <w:szCs w:val="24"/>
        </w:rPr>
        <w:t xml:space="preserve">, </w:t>
      </w:r>
      <w:hyperlink r:id="rId89" w:history="1">
        <w:r w:rsidRPr="00BC3776">
          <w:rPr>
            <w:rStyle w:val="Hyperlink"/>
            <w:rFonts w:cstheme="minorHAnsi"/>
            <w:szCs w:val="24"/>
          </w:rPr>
          <w:t>Use of reasonable force in schools</w:t>
        </w:r>
      </w:hyperlink>
      <w:r w:rsidRPr="00BC3776">
        <w:rPr>
          <w:rFonts w:cstheme="minorHAnsi"/>
          <w:color w:val="0B0C0C"/>
          <w:szCs w:val="24"/>
        </w:rPr>
        <w:t xml:space="preserve">; </w:t>
      </w:r>
      <w:r w:rsidRPr="00BC3776">
        <w:rPr>
          <w:rFonts w:cstheme="minorHAnsi"/>
          <w:szCs w:val="24"/>
        </w:rPr>
        <w:t xml:space="preserve">Welsh Government (2013), </w:t>
      </w:r>
      <w:hyperlink r:id="rId90" w:history="1">
        <w:r w:rsidRPr="00BC3776">
          <w:rPr>
            <w:rStyle w:val="Hyperlink"/>
            <w:rFonts w:cstheme="minorHAnsi"/>
            <w:szCs w:val="24"/>
          </w:rPr>
          <w:t>Safe and effective intervention – use of reasonable force and searching for weapons.</w:t>
        </w:r>
      </w:hyperlink>
    </w:p>
  </w:footnote>
  <w:footnote w:id="84">
    <w:p w14:paraId="6B66F351"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(2021), </w:t>
      </w:r>
      <w:hyperlink r:id="rId91" w:history="1">
        <w:r w:rsidRPr="00BC3776">
          <w:rPr>
            <w:rStyle w:val="Hyperlink"/>
            <w:rFonts w:cstheme="minorHAnsi"/>
            <w:szCs w:val="24"/>
          </w:rPr>
          <w:t>Restraint in schools inquiry: using meaningful data to protect children’s rights</w:t>
        </w:r>
      </w:hyperlink>
      <w:r w:rsidRPr="00BC3776">
        <w:rPr>
          <w:rFonts w:cstheme="minorHAnsi"/>
          <w:szCs w:val="24"/>
        </w:rPr>
        <w:t>.</w:t>
      </w:r>
    </w:p>
  </w:footnote>
  <w:footnote w:id="85">
    <w:p w14:paraId="67916468"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Ibid., p.2.</w:t>
      </w:r>
    </w:p>
  </w:footnote>
  <w:footnote w:id="86">
    <w:p w14:paraId="4FC5DEE5"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Those with at least ten schools with secondary pupils.</w:t>
      </w:r>
    </w:p>
  </w:footnote>
  <w:footnote w:id="87">
    <w:p w14:paraId="7504CD5B"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(2021), </w:t>
      </w:r>
      <w:hyperlink r:id="rId92" w:history="1">
        <w:r w:rsidRPr="00BC3776">
          <w:rPr>
            <w:rStyle w:val="Hyperlink"/>
            <w:rFonts w:cstheme="minorHAnsi"/>
            <w:szCs w:val="24"/>
          </w:rPr>
          <w:t>Reducing restrictive practices framework</w:t>
        </w:r>
      </w:hyperlink>
      <w:r w:rsidRPr="00BC3776">
        <w:rPr>
          <w:rFonts w:cstheme="minorHAnsi"/>
          <w:szCs w:val="24"/>
        </w:rPr>
        <w:t xml:space="preserve"> [accessed: 6 October 2022].</w:t>
      </w:r>
    </w:p>
  </w:footnote>
  <w:footnote w:id="88">
    <w:p w14:paraId="544717EA" w14:textId="2029FD7F"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See pp. 45-46; and </w:t>
      </w:r>
      <w:r w:rsidRPr="00BC3776">
        <w:rPr>
          <w:rFonts w:cstheme="minorHAnsi"/>
          <w:szCs w:val="24"/>
        </w:rPr>
        <w:t xml:space="preserve">Equality and Human Rights Commission (2020), </w:t>
      </w:r>
      <w:hyperlink r:id="rId93" w:history="1">
        <w:r w:rsidRPr="00BC3776">
          <w:rPr>
            <w:rStyle w:val="Hyperlink"/>
            <w:rFonts w:cstheme="minorHAnsi"/>
            <w:szCs w:val="24"/>
          </w:rPr>
          <w:t>Children’s rights in Great Britain</w:t>
        </w:r>
      </w:hyperlink>
      <w:r w:rsidRPr="00BC3776">
        <w:rPr>
          <w:rFonts w:cstheme="minorHAnsi"/>
          <w:szCs w:val="24"/>
        </w:rPr>
        <w:t>, pp. 51</w:t>
      </w:r>
      <w:r>
        <w:rPr>
          <w:rFonts w:cstheme="minorHAnsi"/>
          <w:szCs w:val="24"/>
        </w:rPr>
        <w:t>–</w:t>
      </w:r>
      <w:r w:rsidRPr="00BC3776">
        <w:rPr>
          <w:rFonts w:cstheme="minorHAnsi"/>
          <w:szCs w:val="24"/>
        </w:rPr>
        <w:t>57.</w:t>
      </w:r>
    </w:p>
  </w:footnote>
  <w:footnote w:id="89">
    <w:p w14:paraId="017EB3D8"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Office for National Statistics (2020), </w:t>
      </w:r>
      <w:hyperlink r:id="rId94" w:history="1">
        <w:r w:rsidRPr="00BC3776">
          <w:rPr>
            <w:rStyle w:val="Hyperlink"/>
            <w:rFonts w:cstheme="minorHAnsi"/>
            <w:szCs w:val="24"/>
          </w:rPr>
          <w:t>Child abuse in England and Wales: March 2020</w:t>
        </w:r>
      </w:hyperlink>
      <w:r w:rsidRPr="00BC3776">
        <w:rPr>
          <w:rFonts w:cstheme="minorHAnsi"/>
          <w:szCs w:val="24"/>
        </w:rPr>
        <w:t xml:space="preserve"> [accessed: 22 February 2022].</w:t>
      </w:r>
    </w:p>
  </w:footnote>
  <w:footnote w:id="90">
    <w:p w14:paraId="74C60A41"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This figure includes domestic violence where there are concerns that a child, parent or another person is a victim. UK Government (2021), </w:t>
      </w:r>
      <w:hyperlink r:id="rId95" w:anchor="dataBlock-dd01cc49-7bcf-4125-951a-08d9986262b5-tables" w:history="1">
        <w:r w:rsidRPr="00BC3776">
          <w:rPr>
            <w:rStyle w:val="Hyperlink"/>
            <w:rFonts w:cstheme="minorHAnsi"/>
            <w:szCs w:val="24"/>
          </w:rPr>
          <w:t>Reporting Year 2021: Characteristics of children in need</w:t>
        </w:r>
      </w:hyperlink>
      <w:r w:rsidRPr="00BC3776">
        <w:rPr>
          <w:rFonts w:cstheme="minorHAnsi"/>
          <w:szCs w:val="24"/>
        </w:rPr>
        <w:t xml:space="preserve"> [accessed: 31 March 2022], see ‘Factors identified at the end of assessment’.</w:t>
      </w:r>
    </w:p>
  </w:footnote>
  <w:footnote w:id="91">
    <w:p w14:paraId="6C8466EF" w14:textId="1A78DF40"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Longfield, A. (2021), </w:t>
      </w:r>
      <w:hyperlink r:id="rId96" w:history="1">
        <w:r w:rsidRPr="00BC3776">
          <w:rPr>
            <w:rStyle w:val="Hyperlink"/>
            <w:rFonts w:cstheme="minorHAnsi"/>
            <w:szCs w:val="24"/>
          </w:rPr>
          <w:t>While calls for help about child abuse increase, 600,000 vulnerable children remain invisible to the state</w:t>
        </w:r>
      </w:hyperlink>
      <w:r w:rsidRPr="00BC3776">
        <w:rPr>
          <w:rFonts w:cstheme="minorHAnsi"/>
          <w:szCs w:val="24"/>
        </w:rPr>
        <w:t>, Politics Home [accessed</w:t>
      </w:r>
      <w:r>
        <w:rPr>
          <w:rFonts w:cstheme="minorHAnsi"/>
          <w:szCs w:val="24"/>
        </w:rPr>
        <w:t>:</w:t>
      </w:r>
      <w:r w:rsidRPr="00BC3776">
        <w:rPr>
          <w:rFonts w:cstheme="minorHAnsi"/>
          <w:szCs w:val="24"/>
        </w:rPr>
        <w:t xml:space="preserve"> 24 February 2022].</w:t>
      </w:r>
    </w:p>
  </w:footnote>
  <w:footnote w:id="92">
    <w:p w14:paraId="2E6DC5DA"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StatsWales, </w:t>
      </w:r>
      <w:hyperlink r:id="rId97" w:history="1">
        <w:r w:rsidRPr="00BC3776">
          <w:rPr>
            <w:rStyle w:val="Hyperlink"/>
            <w:rFonts w:cstheme="minorHAnsi"/>
            <w:szCs w:val="24"/>
          </w:rPr>
          <w:t>Parental factors of children receiving care and support by measure and year</w:t>
        </w:r>
      </w:hyperlink>
      <w:r w:rsidRPr="00BC3776">
        <w:rPr>
          <w:rFonts w:cstheme="minorHAnsi"/>
          <w:szCs w:val="24"/>
        </w:rPr>
        <w:t xml:space="preserve"> [accessed: 15 November 2022].</w:t>
      </w:r>
    </w:p>
  </w:footnote>
  <w:footnote w:id="93">
    <w:p w14:paraId="444C0CBE"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Office for National Statistics (2020), </w:t>
      </w:r>
      <w:hyperlink r:id="rId98" w:anchor="main-points" w:history="1">
        <w:r w:rsidRPr="00BC3776">
          <w:rPr>
            <w:rStyle w:val="Hyperlink"/>
            <w:rFonts w:cstheme="minorHAnsi"/>
            <w:szCs w:val="24"/>
          </w:rPr>
          <w:t>Child abuse in England and Wales: March 2020</w:t>
        </w:r>
      </w:hyperlink>
      <w:r w:rsidRPr="00BC3776">
        <w:rPr>
          <w:rFonts w:cstheme="minorHAnsi"/>
          <w:szCs w:val="24"/>
        </w:rPr>
        <w:t xml:space="preserve"> [accessed: 3 August 2022]. </w:t>
      </w:r>
    </w:p>
  </w:footnote>
  <w:footnote w:id="94">
    <w:p w14:paraId="3491B8FB"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Office for National Statistics (2022), </w:t>
      </w:r>
      <w:hyperlink r:id="rId99" w:history="1">
        <w:r w:rsidRPr="00BC3776">
          <w:rPr>
            <w:rStyle w:val="Hyperlink"/>
            <w:rFonts w:cstheme="minorHAnsi"/>
            <w:szCs w:val="24"/>
          </w:rPr>
          <w:t>Exploring the feasibility of a survey measuring child abuse in the UK: April 2022</w:t>
        </w:r>
      </w:hyperlink>
      <w:r w:rsidRPr="00BC3776">
        <w:rPr>
          <w:rFonts w:cstheme="minorHAnsi"/>
          <w:szCs w:val="24"/>
        </w:rPr>
        <w:t xml:space="preserve"> [accessed: 27 July 2022].</w:t>
      </w:r>
    </w:p>
  </w:footnote>
  <w:footnote w:id="95">
    <w:p w14:paraId="5572347F"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Office for National Statistics (2020), </w:t>
      </w:r>
      <w:hyperlink r:id="rId100" w:history="1">
        <w:r w:rsidRPr="00BC3776">
          <w:rPr>
            <w:rStyle w:val="Hyperlink"/>
            <w:rFonts w:cstheme="minorHAnsi"/>
            <w:szCs w:val="24"/>
          </w:rPr>
          <w:t>Child abuse and the criminal justice system, England and Wales: year ending March 2019</w:t>
        </w:r>
      </w:hyperlink>
      <w:r w:rsidRPr="00BC3776">
        <w:rPr>
          <w:rFonts w:cstheme="minorHAnsi"/>
          <w:szCs w:val="24"/>
        </w:rPr>
        <w:t xml:space="preserve"> [accessed: 24 February 2022].</w:t>
      </w:r>
    </w:p>
  </w:footnote>
  <w:footnote w:id="96">
    <w:p w14:paraId="1954D8A3"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Notifiable serious incidents are those that involve death or serious harm to a child where abuse or neglect is known or suspected, and any death of a looked after child.</w:t>
      </w:r>
    </w:p>
  </w:footnote>
  <w:footnote w:id="97">
    <w:p w14:paraId="6707994A"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(2021), </w:t>
      </w:r>
      <w:hyperlink r:id="rId101" w:history="1">
        <w:r w:rsidRPr="00BC3776">
          <w:rPr>
            <w:rStyle w:val="Hyperlink"/>
            <w:rFonts w:cstheme="minorHAnsi"/>
            <w:szCs w:val="24"/>
          </w:rPr>
          <w:t>Financial year 2020-21: Serious incident notifications</w:t>
        </w:r>
      </w:hyperlink>
      <w:r w:rsidRPr="00BC3776">
        <w:rPr>
          <w:rFonts w:cstheme="minorHAnsi"/>
          <w:szCs w:val="24"/>
        </w:rPr>
        <w:t xml:space="preserve"> [accessed: 22 February 2022].</w:t>
      </w:r>
    </w:p>
  </w:footnote>
  <w:footnote w:id="98">
    <w:p w14:paraId="29908EF1"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Office for National Statistics (2021), </w:t>
      </w:r>
      <w:hyperlink r:id="rId102" w:history="1">
        <w:r w:rsidRPr="00BC3776">
          <w:rPr>
            <w:rStyle w:val="Hyperlink"/>
            <w:rFonts w:cstheme="minorHAnsi"/>
            <w:szCs w:val="24"/>
          </w:rPr>
          <w:t>Domestic abuse and the criminal justice system</w:t>
        </w:r>
      </w:hyperlink>
      <w:r w:rsidRPr="00BC3776">
        <w:rPr>
          <w:rFonts w:cstheme="minorHAnsi"/>
          <w:szCs w:val="24"/>
        </w:rPr>
        <w:t>, November 2021 edition, Table 1 [accessed: 3 August 2022].</w:t>
      </w:r>
    </w:p>
  </w:footnote>
  <w:footnote w:id="99">
    <w:p w14:paraId="29C86BF9"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Isos Partnership (2021), </w:t>
      </w:r>
      <w:hyperlink r:id="rId103" w:history="1">
        <w:r w:rsidRPr="00BC3776">
          <w:rPr>
            <w:rStyle w:val="Hyperlink"/>
            <w:rFonts w:cstheme="minorHAnsi"/>
            <w:szCs w:val="24"/>
          </w:rPr>
          <w:t>Working for babies: lockdown lessons from local systems</w:t>
        </w:r>
      </w:hyperlink>
      <w:r w:rsidRPr="00BC3776">
        <w:rPr>
          <w:rFonts w:cstheme="minorHAnsi"/>
          <w:szCs w:val="24"/>
        </w:rPr>
        <w:t xml:space="preserve"> [accessed: 22 February 2022], p.16.</w:t>
      </w:r>
    </w:p>
  </w:footnote>
  <w:footnote w:id="100">
    <w:p w14:paraId="08E300AF" w14:textId="1B7FDA1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(2022), </w:t>
      </w:r>
      <w:hyperlink r:id="rId104" w:anchor="dataBlock-cd9d71e2-400a-4431-a985-575d41bdd96e-tables" w:history="1">
        <w:r w:rsidRPr="00BC3776">
          <w:rPr>
            <w:rStyle w:val="Hyperlink"/>
            <w:rFonts w:cstheme="minorHAnsi"/>
            <w:szCs w:val="24"/>
          </w:rPr>
          <w:t>Autu</w:t>
        </w:r>
        <w:r>
          <w:rPr>
            <w:rStyle w:val="Hyperlink"/>
            <w:rFonts w:cstheme="minorHAnsi"/>
            <w:szCs w:val="24"/>
          </w:rPr>
          <w:t>mn t</w:t>
        </w:r>
        <w:r w:rsidRPr="00BC3776">
          <w:rPr>
            <w:rStyle w:val="Hyperlink"/>
            <w:rFonts w:cstheme="minorHAnsi"/>
            <w:szCs w:val="24"/>
          </w:rPr>
          <w:t>erm 2021/22 – Pupil absence in schools in England: autumn term</w:t>
        </w:r>
      </w:hyperlink>
      <w:r w:rsidRPr="00BC3776">
        <w:rPr>
          <w:rFonts w:cstheme="minorHAnsi"/>
          <w:szCs w:val="24"/>
        </w:rPr>
        <w:t xml:space="preserve"> [accessed: 3 August 2022], see ‘Amount of absence and non-attendance’; The Centre for Social Justice (2022), </w:t>
      </w:r>
      <w:hyperlink r:id="rId105" w:history="1">
        <w:r w:rsidRPr="00BC3776">
          <w:rPr>
            <w:rStyle w:val="Hyperlink"/>
            <w:rFonts w:cstheme="minorHAnsi"/>
            <w:szCs w:val="24"/>
          </w:rPr>
          <w:t>Lost but not forgotten: the reality of severe absence in schools post-lockdown</w:t>
        </w:r>
      </w:hyperlink>
      <w:r w:rsidRPr="00BC3776">
        <w:rPr>
          <w:rFonts w:cstheme="minorHAnsi"/>
          <w:szCs w:val="24"/>
        </w:rPr>
        <w:t xml:space="preserve"> [accessed: 22 February 2022], for example see pp. 1-3.</w:t>
      </w:r>
    </w:p>
  </w:footnote>
  <w:footnote w:id="101">
    <w:p w14:paraId="079DE928"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(2022), </w:t>
      </w:r>
      <w:hyperlink r:id="rId106" w:history="1">
        <w:r w:rsidRPr="00BC3776">
          <w:rPr>
            <w:rStyle w:val="Hyperlink"/>
            <w:rFonts w:cstheme="minorHAnsi"/>
            <w:szCs w:val="24"/>
          </w:rPr>
          <w:t>Attendance review – implications of the COVID-19 pandemic for school attendance</w:t>
        </w:r>
      </w:hyperlink>
      <w:r w:rsidRPr="00BC3776">
        <w:rPr>
          <w:rFonts w:cstheme="minorHAnsi"/>
          <w:szCs w:val="24"/>
        </w:rPr>
        <w:t xml:space="preserve"> [accessed: 6 October 2022], for example see pp. 7-8.</w:t>
      </w:r>
    </w:p>
  </w:footnote>
  <w:footnote w:id="102">
    <w:p w14:paraId="5006641E" w14:textId="2424D0D5"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Bulman, M. (2021), </w:t>
      </w:r>
      <w:hyperlink r:id="rId107" w:history="1">
        <w:r w:rsidRPr="00BC3776">
          <w:rPr>
            <w:rStyle w:val="Hyperlink"/>
            <w:rFonts w:cstheme="minorHAnsi"/>
            <w:szCs w:val="24"/>
          </w:rPr>
          <w:t>Ministers have ‘no handle’ on thousands of ‘ghost children’ off radar in pandemic, says Ofsted</w:t>
        </w:r>
      </w:hyperlink>
      <w:r>
        <w:rPr>
          <w:rFonts w:cstheme="minorHAnsi"/>
          <w:szCs w:val="24"/>
        </w:rPr>
        <w:t xml:space="preserve">, </w:t>
      </w:r>
      <w:r w:rsidRPr="00BC3776">
        <w:rPr>
          <w:rFonts w:cstheme="minorHAnsi"/>
          <w:szCs w:val="24"/>
        </w:rPr>
        <w:t>Independent [accessed: 22 February 2022].</w:t>
      </w:r>
    </w:p>
  </w:footnote>
  <w:footnote w:id="103">
    <w:p w14:paraId="203BC2C5"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BBC News (2021), </w:t>
      </w:r>
      <w:hyperlink r:id="rId108" w:history="1">
        <w:r w:rsidRPr="00BC3776">
          <w:rPr>
            <w:rStyle w:val="Hyperlink"/>
            <w:rFonts w:cstheme="minorHAnsi"/>
            <w:szCs w:val="24"/>
          </w:rPr>
          <w:t>Arthur Labinjo-Hughes: what were the opportunities missed to save him?</w:t>
        </w:r>
      </w:hyperlink>
      <w:r w:rsidRPr="00BC3776">
        <w:rPr>
          <w:rFonts w:cstheme="minorHAnsi"/>
          <w:szCs w:val="24"/>
        </w:rPr>
        <w:t xml:space="preserve"> [accessed: 22 February 2022].</w:t>
      </w:r>
    </w:p>
  </w:footnote>
  <w:footnote w:id="104">
    <w:p w14:paraId="2FABBA50"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Department for Education (2021), </w:t>
      </w:r>
      <w:hyperlink r:id="rId109" w:history="1">
        <w:r w:rsidRPr="00BC3776">
          <w:rPr>
            <w:rStyle w:val="Hyperlink"/>
            <w:rFonts w:cstheme="minorHAnsi"/>
            <w:szCs w:val="24"/>
          </w:rPr>
          <w:t>Government action following murder of Arthur Labinjo-Hughes</w:t>
        </w:r>
      </w:hyperlink>
      <w:r w:rsidRPr="00BC3776">
        <w:rPr>
          <w:rFonts w:cstheme="minorHAnsi"/>
          <w:szCs w:val="24"/>
        </w:rPr>
        <w:t xml:space="preserve"> [accessed: 22 February 2022].</w:t>
      </w:r>
    </w:p>
  </w:footnote>
  <w:footnote w:id="105">
    <w:p w14:paraId="6A17521F" w14:textId="0F229A41"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Children’s Commissioner for England (2022), </w:t>
      </w:r>
      <w:hyperlink r:id="rId110" w:history="1">
        <w:r w:rsidRPr="00BC3776">
          <w:rPr>
            <w:rStyle w:val="Hyperlink"/>
            <w:rFonts w:cstheme="minorHAnsi"/>
            <w:szCs w:val="24"/>
          </w:rPr>
          <w:t>Voices of England’s missing children – the findings of the Children’s Commissioner’s attendance audit</w:t>
        </w:r>
      </w:hyperlink>
      <w:r w:rsidRPr="00BC3776">
        <w:rPr>
          <w:rFonts w:cstheme="minorHAnsi"/>
          <w:szCs w:val="24"/>
        </w:rPr>
        <w:t xml:space="preserve"> [accessed</w:t>
      </w:r>
      <w:r>
        <w:rPr>
          <w:rFonts w:cstheme="minorHAnsi"/>
          <w:szCs w:val="24"/>
        </w:rPr>
        <w:t>:</w:t>
      </w:r>
      <w:r w:rsidRPr="00BC3776">
        <w:rPr>
          <w:rFonts w:cstheme="minorHAnsi"/>
          <w:szCs w:val="24"/>
        </w:rPr>
        <w:t xml:space="preserve"> 31 August 2022], p.4.</w:t>
      </w:r>
    </w:p>
  </w:footnote>
  <w:footnote w:id="106">
    <w:p w14:paraId="3B962412"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A child begins an episode of need when they are referred to children’s social care services.</w:t>
      </w:r>
    </w:p>
  </w:footnote>
  <w:footnote w:id="107">
    <w:p w14:paraId="09F2A939" w14:textId="75A008DC"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(2020), </w:t>
      </w:r>
      <w:hyperlink r:id="rId111" w:history="1">
        <w:r w:rsidRPr="00BC3776">
          <w:rPr>
            <w:rStyle w:val="Hyperlink"/>
            <w:rFonts w:cstheme="minorHAnsi"/>
            <w:szCs w:val="24"/>
          </w:rPr>
          <w:t>Reporting year 2020: Characteristics of children in need</w:t>
        </w:r>
      </w:hyperlink>
      <w:r w:rsidRPr="00BC3776">
        <w:rPr>
          <w:rFonts w:cstheme="minorHAnsi"/>
          <w:szCs w:val="24"/>
        </w:rPr>
        <w:t xml:space="preserve"> [accessed</w:t>
      </w:r>
      <w:r>
        <w:rPr>
          <w:rFonts w:cstheme="minorHAnsi"/>
          <w:szCs w:val="24"/>
        </w:rPr>
        <w:t>:</w:t>
      </w:r>
      <w:r w:rsidRPr="00BC3776">
        <w:rPr>
          <w:rFonts w:cstheme="minorHAnsi"/>
          <w:szCs w:val="24"/>
        </w:rPr>
        <w:t xml:space="preserve"> 23 February 2022], see ‘Factors identified at the end of assessment’; UK Government (2016), </w:t>
      </w:r>
      <w:hyperlink r:id="rId112" w:history="1">
        <w:r w:rsidRPr="00BC3776">
          <w:rPr>
            <w:rStyle w:val="Hyperlink"/>
            <w:rFonts w:cstheme="minorHAnsi"/>
            <w:szCs w:val="24"/>
          </w:rPr>
          <w:t>Characteristics of children in need: 2015 to 2016</w:t>
        </w:r>
      </w:hyperlink>
      <w:r w:rsidRPr="00BC3776">
        <w:rPr>
          <w:rFonts w:cstheme="minorHAnsi"/>
          <w:szCs w:val="24"/>
        </w:rPr>
        <w:t>, Table C3 [accessed: 23 February 2022].</w:t>
      </w:r>
    </w:p>
  </w:footnote>
  <w:footnote w:id="108">
    <w:p w14:paraId="3D52ABA6"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(2021), </w:t>
      </w:r>
      <w:hyperlink r:id="rId113" w:anchor="dataBlock-dd01cc49-7bcf-4125-951a-08d9986262b5-tables" w:history="1">
        <w:r w:rsidRPr="00BC3776">
          <w:rPr>
            <w:rStyle w:val="Hyperlink"/>
            <w:rFonts w:cstheme="minorHAnsi"/>
            <w:szCs w:val="24"/>
          </w:rPr>
          <w:t>Reporting year 2021: Characteristics of children in need</w:t>
        </w:r>
      </w:hyperlink>
      <w:r w:rsidRPr="00BC3776">
        <w:rPr>
          <w:rFonts w:cstheme="minorHAnsi"/>
          <w:szCs w:val="24"/>
        </w:rPr>
        <w:t xml:space="preserve"> [accessed: 3 August 2022]. </w:t>
      </w:r>
    </w:p>
  </w:footnote>
  <w:footnote w:id="109">
    <w:p w14:paraId="278FE522"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NSPCC Learning (2020), </w:t>
      </w:r>
      <w:hyperlink r:id="rId114" w:history="1">
        <w:r w:rsidRPr="00BC3776">
          <w:rPr>
            <w:rStyle w:val="Hyperlink"/>
            <w:rFonts w:cstheme="minorHAnsi"/>
            <w:szCs w:val="24"/>
          </w:rPr>
          <w:t>The impact of the coronavirus pandemic on child welfare: sexual abuse</w:t>
        </w:r>
      </w:hyperlink>
      <w:r w:rsidRPr="00BC3776">
        <w:rPr>
          <w:rFonts w:cstheme="minorHAnsi"/>
          <w:szCs w:val="24"/>
        </w:rPr>
        <w:t xml:space="preserve"> [accessed: 23 February 2022], p.1.</w:t>
      </w:r>
    </w:p>
  </w:footnote>
  <w:footnote w:id="110">
    <w:p w14:paraId="56561D6C" w14:textId="39CBE0B3"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Independent Inquiry into Child Sexual Abuse (2018), </w:t>
      </w:r>
      <w:hyperlink r:id="rId115" w:history="1">
        <w:r w:rsidRPr="00BC3776">
          <w:rPr>
            <w:rStyle w:val="Hyperlink"/>
            <w:rFonts w:cstheme="minorHAnsi"/>
            <w:szCs w:val="24"/>
          </w:rPr>
          <w:t>Interim report of the Independent Inquiry into Child Sexual Abuse</w:t>
        </w:r>
      </w:hyperlink>
      <w:r w:rsidRPr="00BC3776">
        <w:rPr>
          <w:rFonts w:cstheme="minorHAnsi"/>
          <w:szCs w:val="24"/>
        </w:rPr>
        <w:t xml:space="preserve"> [accessed</w:t>
      </w:r>
      <w:r>
        <w:rPr>
          <w:rFonts w:cstheme="minorHAnsi"/>
          <w:szCs w:val="24"/>
        </w:rPr>
        <w:t>:</w:t>
      </w:r>
      <w:r w:rsidRPr="00BC3776">
        <w:rPr>
          <w:rFonts w:cstheme="minorHAnsi"/>
          <w:szCs w:val="24"/>
        </w:rPr>
        <w:t xml:space="preserve"> 23 February 2022].</w:t>
      </w:r>
    </w:p>
  </w:footnote>
  <w:footnote w:id="111">
    <w:p w14:paraId="40B38A6E" w14:textId="3E2BEDC4"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Independent Inquiry into Child Sexual Abuse (2021), </w:t>
      </w:r>
      <w:hyperlink r:id="rId116" w:history="1">
        <w:r w:rsidRPr="00BC3776">
          <w:rPr>
            <w:rStyle w:val="Hyperlink"/>
            <w:rFonts w:cstheme="minorHAnsi"/>
            <w:szCs w:val="24"/>
          </w:rPr>
          <w:t>Victims and survivors forum consultation on protected characteristics: summary report</w:t>
        </w:r>
      </w:hyperlink>
      <w:r w:rsidRPr="00BC3776">
        <w:rPr>
          <w:rFonts w:cstheme="minorHAnsi"/>
          <w:szCs w:val="24"/>
        </w:rPr>
        <w:t xml:space="preserve"> [accessed</w:t>
      </w:r>
      <w:r>
        <w:rPr>
          <w:rFonts w:cstheme="minorHAnsi"/>
          <w:szCs w:val="24"/>
        </w:rPr>
        <w:t>:</w:t>
      </w:r>
      <w:r w:rsidRPr="00BC3776">
        <w:rPr>
          <w:rFonts w:cstheme="minorHAnsi"/>
          <w:szCs w:val="24"/>
        </w:rPr>
        <w:t xml:space="preserve"> 23 February 2022], p.13; see also Independent Inquiry into Child Sexual Abuse (2022), </w:t>
      </w:r>
      <w:hyperlink r:id="rId117" w:history="1">
        <w:r w:rsidRPr="00BC3776">
          <w:rPr>
            <w:rStyle w:val="Hyperlink"/>
            <w:rFonts w:cstheme="minorHAnsi"/>
            <w:szCs w:val="24"/>
          </w:rPr>
          <w:t>Engagement with lesbian, gay, bisexual, transgender and queer/questioning + victims and survivors</w:t>
        </w:r>
      </w:hyperlink>
      <w:r w:rsidRPr="00BC3776">
        <w:rPr>
          <w:rFonts w:cstheme="minorHAnsi"/>
          <w:szCs w:val="24"/>
        </w:rPr>
        <w:t xml:space="preserve"> [accessed: 3 August 2022].</w:t>
      </w:r>
    </w:p>
  </w:footnote>
  <w:footnote w:id="112">
    <w:p w14:paraId="42D281C4" w14:textId="77777777" w:rsidR="0026506A" w:rsidRPr="00BC3776" w:rsidRDefault="0026506A" w:rsidP="00BC34D8">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Home Office (2021), </w:t>
      </w:r>
      <w:hyperlink r:id="rId118" w:history="1">
        <w:r w:rsidRPr="00BC3776">
          <w:rPr>
            <w:rStyle w:val="Hyperlink"/>
            <w:rFonts w:cstheme="minorHAnsi"/>
            <w:szCs w:val="24"/>
          </w:rPr>
          <w:t>Tackling child sexual abuse strategy</w:t>
        </w:r>
      </w:hyperlink>
      <w:r w:rsidRPr="00BC3776">
        <w:rPr>
          <w:rFonts w:cstheme="minorHAnsi"/>
          <w:szCs w:val="24"/>
        </w:rPr>
        <w:t xml:space="preserve"> [accessed: 22 February 2022].</w:t>
      </w:r>
    </w:p>
  </w:footnote>
  <w:footnote w:id="113">
    <w:p w14:paraId="2E93E58F"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119" w:history="1">
        <w:r w:rsidRPr="00BC3776">
          <w:rPr>
            <w:rStyle w:val="Hyperlink"/>
            <w:rFonts w:cstheme="minorHAnsi"/>
            <w:szCs w:val="24"/>
          </w:rPr>
          <w:t>Domestic Abuse Act 2021</w:t>
        </w:r>
      </w:hyperlink>
      <w:r w:rsidRPr="00BC3776">
        <w:rPr>
          <w:rFonts w:cstheme="minorHAnsi"/>
          <w:szCs w:val="24"/>
        </w:rPr>
        <w:t>, section 3.</w:t>
      </w:r>
    </w:p>
  </w:footnote>
  <w:footnote w:id="114">
    <w:p w14:paraId="7ADA67ED"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Ibid., section 57.</w:t>
      </w:r>
    </w:p>
  </w:footnote>
  <w:footnote w:id="115">
    <w:p w14:paraId="27D1EC28"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NSPCC (2022), </w:t>
      </w:r>
      <w:hyperlink r:id="rId120" w:history="1">
        <w:r w:rsidRPr="00BC3776">
          <w:rPr>
            <w:rStyle w:val="Hyperlink"/>
            <w:rFonts w:cstheme="minorHAnsi"/>
            <w:szCs w:val="24"/>
          </w:rPr>
          <w:t>Record numbers of children affected by domestic abuse leads to call for better recovery support</w:t>
        </w:r>
      </w:hyperlink>
      <w:r w:rsidRPr="00BC3776">
        <w:rPr>
          <w:rFonts w:cstheme="minorHAnsi"/>
          <w:szCs w:val="24"/>
        </w:rPr>
        <w:t xml:space="preserve"> [accessed: 24 February 2022].</w:t>
      </w:r>
    </w:p>
  </w:footnote>
  <w:footnote w:id="116">
    <w:p w14:paraId="3B5D7427"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Domestic Abuse Commissioner (2021), </w:t>
      </w:r>
      <w:hyperlink r:id="rId121" w:history="1">
        <w:r w:rsidRPr="00BC3776">
          <w:rPr>
            <w:rStyle w:val="Hyperlink"/>
            <w:rFonts w:cstheme="minorHAnsi"/>
            <w:szCs w:val="24"/>
          </w:rPr>
          <w:t>Domestic abuse commissioner pledges to end the ‘postcode lottery’ of domestic abuse services</w:t>
        </w:r>
      </w:hyperlink>
      <w:r w:rsidRPr="00BC3776">
        <w:rPr>
          <w:rFonts w:cstheme="minorHAnsi"/>
          <w:szCs w:val="24"/>
        </w:rPr>
        <w:t xml:space="preserve"> [accessed: 24 February 2022].</w:t>
      </w:r>
    </w:p>
  </w:footnote>
  <w:footnote w:id="117">
    <w:p w14:paraId="0B3DC9CC"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Lepper, J. (2022), </w:t>
      </w:r>
      <w:hyperlink r:id="rId122" w:history="1">
        <w:r w:rsidRPr="00BC3776">
          <w:rPr>
            <w:rStyle w:val="Hyperlink"/>
            <w:rFonts w:cstheme="minorHAnsi"/>
            <w:szCs w:val="24"/>
          </w:rPr>
          <w:t>Warning over gaps in support for child victims of domestic abuse</w:t>
        </w:r>
      </w:hyperlink>
      <w:r w:rsidRPr="00BC3776">
        <w:rPr>
          <w:rFonts w:cstheme="minorHAnsi"/>
          <w:szCs w:val="24"/>
        </w:rPr>
        <w:t>, Children and Young People Now [accessed: 24 February 2022].</w:t>
      </w:r>
    </w:p>
  </w:footnote>
  <w:footnote w:id="118">
    <w:p w14:paraId="5C73517A" w14:textId="0D714DE9"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Wales Centre for Public Policy (2020), </w:t>
      </w:r>
      <w:hyperlink r:id="rId123" w:history="1">
        <w:r w:rsidRPr="00BC3776">
          <w:rPr>
            <w:rStyle w:val="Hyperlink"/>
            <w:rFonts w:cstheme="minorHAnsi"/>
            <w:szCs w:val="24"/>
          </w:rPr>
          <w:t>Domestic abuse interventions in Wales</w:t>
        </w:r>
      </w:hyperlink>
      <w:r w:rsidRPr="00BC3776">
        <w:rPr>
          <w:rFonts w:cstheme="minorHAnsi"/>
          <w:szCs w:val="24"/>
        </w:rPr>
        <w:t xml:space="preserve"> [accessed</w:t>
      </w:r>
      <w:r>
        <w:rPr>
          <w:rFonts w:cstheme="minorHAnsi"/>
          <w:szCs w:val="24"/>
        </w:rPr>
        <w:t>:</w:t>
      </w:r>
      <w:r w:rsidRPr="00BC3776">
        <w:rPr>
          <w:rFonts w:cstheme="minorHAnsi"/>
          <w:szCs w:val="24"/>
        </w:rPr>
        <w:t xml:space="preserve"> 19 May 2022], p.19.</w:t>
      </w:r>
    </w:p>
  </w:footnote>
  <w:footnote w:id="119">
    <w:p w14:paraId="4F09A244"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Women’s Aid (2022), </w:t>
      </w:r>
      <w:hyperlink r:id="rId124" w:history="1">
        <w:r w:rsidRPr="00BC3776">
          <w:rPr>
            <w:rStyle w:val="Hyperlink"/>
            <w:rFonts w:cstheme="minorHAnsi"/>
            <w:szCs w:val="24"/>
          </w:rPr>
          <w:t>A duty to support: a research report reviewing support for children and young people experiencing violence and abuse in Wales</w:t>
        </w:r>
      </w:hyperlink>
      <w:r w:rsidRPr="00BC3776">
        <w:rPr>
          <w:rFonts w:cstheme="minorHAnsi"/>
          <w:szCs w:val="24"/>
        </w:rPr>
        <w:t xml:space="preserve"> [accessed: 3 August 2022], p.2; Welsh Women’s Aid (2021), </w:t>
      </w:r>
      <w:hyperlink r:id="rId125" w:history="1">
        <w:r w:rsidRPr="00BC3776">
          <w:rPr>
            <w:rStyle w:val="Hyperlink"/>
            <w:rFonts w:cstheme="minorHAnsi"/>
            <w:szCs w:val="24"/>
          </w:rPr>
          <w:t>State of the sector 2021: a strategy for sustainable support</w:t>
        </w:r>
      </w:hyperlink>
      <w:r w:rsidRPr="00BC3776">
        <w:rPr>
          <w:rFonts w:cstheme="minorHAnsi"/>
          <w:szCs w:val="24"/>
        </w:rPr>
        <w:t xml:space="preserve"> [accessed: 19 May 2022], p.10.</w:t>
      </w:r>
    </w:p>
  </w:footnote>
  <w:footnote w:id="120">
    <w:p w14:paraId="3FA2E897"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Domestic Abuse Commissioner (2022), </w:t>
      </w:r>
      <w:hyperlink r:id="rId126" w:history="1">
        <w:r w:rsidRPr="00BC3776">
          <w:rPr>
            <w:rStyle w:val="Hyperlink"/>
            <w:rFonts w:cstheme="minorHAnsi"/>
            <w:szCs w:val="24"/>
          </w:rPr>
          <w:t>Domestic abuse commissioner welcomes government commitment to migrant survivors but calls for funding to support ambition</w:t>
        </w:r>
      </w:hyperlink>
      <w:r w:rsidRPr="00BC3776">
        <w:rPr>
          <w:rFonts w:cstheme="minorHAnsi"/>
          <w:szCs w:val="24"/>
        </w:rPr>
        <w:t xml:space="preserve"> [accessed: 24 February 2022].</w:t>
      </w:r>
    </w:p>
  </w:footnote>
  <w:footnote w:id="121">
    <w:p w14:paraId="67C1B32F" w14:textId="03F78E8D"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House of Commons Work and Pensions Committee (2022), </w:t>
      </w:r>
      <w:hyperlink r:id="rId127" w:history="1">
        <w:r w:rsidRPr="00BC3776">
          <w:rPr>
            <w:rStyle w:val="Hyperlink"/>
            <w:rFonts w:cstheme="minorHAnsi"/>
            <w:szCs w:val="24"/>
          </w:rPr>
          <w:t>Children in poverty: no recourse to public funds</w:t>
        </w:r>
      </w:hyperlink>
      <w:r w:rsidRPr="00BC3776">
        <w:rPr>
          <w:rFonts w:cstheme="minorHAnsi"/>
          <w:szCs w:val="24"/>
        </w:rPr>
        <w:t xml:space="preserve"> [accessed: 18 May 2022], pp.</w:t>
      </w:r>
      <w:r>
        <w:rPr>
          <w:rFonts w:cstheme="minorHAnsi"/>
          <w:szCs w:val="24"/>
        </w:rPr>
        <w:t xml:space="preserve"> 1</w:t>
      </w:r>
      <w:r w:rsidRPr="00BC3776">
        <w:rPr>
          <w:rFonts w:cstheme="minorHAnsi"/>
          <w:szCs w:val="24"/>
        </w:rPr>
        <w:t>2</w:t>
      </w:r>
      <w:r>
        <w:rPr>
          <w:rFonts w:cstheme="minorHAnsi"/>
          <w:szCs w:val="24"/>
        </w:rPr>
        <w:t>–</w:t>
      </w:r>
      <w:r w:rsidRPr="00BC3776">
        <w:rPr>
          <w:rFonts w:cstheme="minorHAnsi"/>
          <w:szCs w:val="24"/>
        </w:rPr>
        <w:t>17.</w:t>
      </w:r>
    </w:p>
  </w:footnote>
  <w:footnote w:id="122">
    <w:p w14:paraId="0D03F31C"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House of Commons Library (2021), </w:t>
      </w:r>
      <w:hyperlink r:id="rId128" w:history="1">
        <w:r w:rsidRPr="00BC3776">
          <w:rPr>
            <w:rStyle w:val="Hyperlink"/>
            <w:rFonts w:cstheme="minorHAnsi"/>
            <w:szCs w:val="24"/>
          </w:rPr>
          <w:t>Domestic abuse: support for victims and survivors</w:t>
        </w:r>
      </w:hyperlink>
      <w:r w:rsidRPr="00BC3776">
        <w:rPr>
          <w:rFonts w:cstheme="minorHAnsi"/>
          <w:szCs w:val="24"/>
        </w:rPr>
        <w:t xml:space="preserve"> [accessed: 24 February 2022], p.6.</w:t>
      </w:r>
    </w:p>
  </w:footnote>
  <w:footnote w:id="123">
    <w:p w14:paraId="6B923543"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Ministry of Justice (2021), </w:t>
      </w:r>
      <w:hyperlink r:id="rId129" w:history="1">
        <w:r w:rsidRPr="00BC3776">
          <w:rPr>
            <w:rStyle w:val="Hyperlink"/>
            <w:rFonts w:cstheme="minorHAnsi"/>
            <w:szCs w:val="24"/>
          </w:rPr>
          <w:t>Delivering justice for victims: a consultation on improving victims’ experiences of the justice system</w:t>
        </w:r>
      </w:hyperlink>
      <w:r w:rsidRPr="00BC3776">
        <w:rPr>
          <w:rFonts w:cstheme="minorHAnsi"/>
          <w:szCs w:val="24"/>
        </w:rPr>
        <w:t xml:space="preserve"> [accessed: 24 February 2022].</w:t>
      </w:r>
    </w:p>
  </w:footnote>
  <w:footnote w:id="124">
    <w:p w14:paraId="63123F1A"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Action for Children (2021), </w:t>
      </w:r>
      <w:hyperlink r:id="rId130" w:history="1">
        <w:r w:rsidRPr="00BC3776">
          <w:rPr>
            <w:rStyle w:val="Hyperlink"/>
            <w:rFonts w:cstheme="minorHAnsi"/>
            <w:szCs w:val="24"/>
          </w:rPr>
          <w:t>The Domestic Abuse Bill: importance of community-based support – including for children – finally recognised</w:t>
        </w:r>
      </w:hyperlink>
      <w:r w:rsidRPr="00BC3776">
        <w:rPr>
          <w:rFonts w:cstheme="minorHAnsi"/>
          <w:szCs w:val="24"/>
        </w:rPr>
        <w:t xml:space="preserve"> [accessed: 24 February 2022].</w:t>
      </w:r>
    </w:p>
  </w:footnote>
  <w:footnote w:id="125">
    <w:p w14:paraId="4E0BBAB6"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Home Office (2021), </w:t>
      </w:r>
      <w:hyperlink r:id="rId131" w:history="1">
        <w:r w:rsidRPr="00BC3776">
          <w:rPr>
            <w:rStyle w:val="Hyperlink"/>
            <w:rFonts w:cstheme="minorHAnsi"/>
            <w:szCs w:val="24"/>
          </w:rPr>
          <w:t>Tackling violence against women and girls</w:t>
        </w:r>
      </w:hyperlink>
      <w:r w:rsidRPr="00BC3776">
        <w:rPr>
          <w:rFonts w:cstheme="minorHAnsi"/>
          <w:szCs w:val="24"/>
        </w:rPr>
        <w:t xml:space="preserve"> [accessed: 22 February 2022].</w:t>
      </w:r>
    </w:p>
  </w:footnote>
  <w:footnote w:id="126">
    <w:p w14:paraId="3306B208"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(2021), </w:t>
      </w:r>
      <w:hyperlink r:id="rId132" w:history="1">
        <w:r w:rsidRPr="00BC3776">
          <w:rPr>
            <w:rStyle w:val="Hyperlink"/>
            <w:rFonts w:cstheme="minorHAnsi"/>
            <w:szCs w:val="24"/>
          </w:rPr>
          <w:t>Violence against women, domestic abuse and sexual violence: national advisers annual report 2020 to 2021</w:t>
        </w:r>
      </w:hyperlink>
      <w:r w:rsidRPr="00BC3776">
        <w:rPr>
          <w:rFonts w:cstheme="minorHAnsi"/>
          <w:szCs w:val="24"/>
        </w:rPr>
        <w:t xml:space="preserve"> [accessed: 19 May 2022].</w:t>
      </w:r>
    </w:p>
  </w:footnote>
  <w:footnote w:id="127">
    <w:p w14:paraId="22E8B58C"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(2022), </w:t>
      </w:r>
      <w:hyperlink r:id="rId133" w:history="1">
        <w:r w:rsidRPr="00BC3776">
          <w:rPr>
            <w:rStyle w:val="Hyperlink"/>
            <w:rFonts w:cstheme="minorHAnsi"/>
            <w:szCs w:val="24"/>
          </w:rPr>
          <w:t>Violence against women, domestic abuse and sexual violence: strategy 2022 to 2026</w:t>
        </w:r>
      </w:hyperlink>
      <w:r w:rsidRPr="00BC3776">
        <w:rPr>
          <w:rFonts w:cstheme="minorHAnsi"/>
          <w:szCs w:val="24"/>
        </w:rPr>
        <w:t xml:space="preserve"> [accessed: 3 August 2022].</w:t>
      </w:r>
    </w:p>
  </w:footnote>
  <w:footnote w:id="128">
    <w:p w14:paraId="54899120"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Council of Europe (2022), </w:t>
      </w:r>
      <w:hyperlink r:id="rId134" w:history="1">
        <w:r w:rsidRPr="00BC3776">
          <w:rPr>
            <w:rStyle w:val="Hyperlink"/>
            <w:rFonts w:cstheme="minorHAnsi"/>
            <w:szCs w:val="24"/>
          </w:rPr>
          <w:t>The United Kingdom ratifies the Istanbul Convention</w:t>
        </w:r>
      </w:hyperlink>
      <w:r w:rsidRPr="00BC3776">
        <w:rPr>
          <w:rFonts w:cstheme="minorHAnsi"/>
          <w:szCs w:val="24"/>
        </w:rPr>
        <w:t xml:space="preserve"> [accessed: 3 August 2022].</w:t>
      </w:r>
    </w:p>
  </w:footnote>
  <w:footnote w:id="129">
    <w:p w14:paraId="3C916D97" w14:textId="6ECB1FA0"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Foreign, Commonwealth and Development Office (2022), </w:t>
      </w:r>
      <w:hyperlink r:id="rId135" w:history="1">
        <w:r w:rsidRPr="00BC3776">
          <w:rPr>
            <w:rStyle w:val="Hyperlink"/>
            <w:rFonts w:cstheme="minorHAnsi"/>
            <w:szCs w:val="24"/>
          </w:rPr>
          <w:t>Explanatory memorandum: council of Europe convention on preventing and combating violence against women and domestic violence</w:t>
        </w:r>
      </w:hyperlink>
      <w:r w:rsidRPr="00BC3776">
        <w:rPr>
          <w:rFonts w:cstheme="minorHAnsi"/>
          <w:szCs w:val="24"/>
        </w:rPr>
        <w:t xml:space="preserve"> [acc</w:t>
      </w:r>
      <w:r>
        <w:rPr>
          <w:rFonts w:cstheme="minorHAnsi"/>
          <w:szCs w:val="24"/>
        </w:rPr>
        <w:t>essed: 18 May 2022], paras.9.2–</w:t>
      </w:r>
      <w:r w:rsidRPr="00BC3776">
        <w:rPr>
          <w:rFonts w:cstheme="minorHAnsi"/>
          <w:szCs w:val="24"/>
        </w:rPr>
        <w:t>9.10.</w:t>
      </w:r>
    </w:p>
  </w:footnote>
  <w:footnote w:id="130">
    <w:p w14:paraId="7D5992E8"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NSPCC (2022), </w:t>
      </w:r>
      <w:hyperlink r:id="rId136" w:history="1">
        <w:r w:rsidRPr="00BC3776">
          <w:rPr>
            <w:rStyle w:val="Hyperlink"/>
            <w:rFonts w:cstheme="minorHAnsi"/>
            <w:szCs w:val="24"/>
          </w:rPr>
          <w:t>Online grooming crimes have risen by more than 80% in four years</w:t>
        </w:r>
      </w:hyperlink>
      <w:r w:rsidRPr="00BC3776">
        <w:rPr>
          <w:rFonts w:cstheme="minorHAnsi"/>
          <w:szCs w:val="24"/>
        </w:rPr>
        <w:t xml:space="preserve"> [accessed: 31 August 2022].</w:t>
      </w:r>
    </w:p>
  </w:footnote>
  <w:footnote w:id="131">
    <w:p w14:paraId="7065D5E6"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Ditch the Label (2021), </w:t>
      </w:r>
      <w:hyperlink r:id="rId137" w:history="1">
        <w:r w:rsidRPr="00BC3776">
          <w:rPr>
            <w:rStyle w:val="Hyperlink"/>
            <w:rFonts w:cstheme="minorHAnsi"/>
            <w:szCs w:val="24"/>
          </w:rPr>
          <w:t>The wireless report 2021</w:t>
        </w:r>
      </w:hyperlink>
      <w:r w:rsidRPr="00BC3776">
        <w:rPr>
          <w:rFonts w:cstheme="minorHAnsi"/>
          <w:szCs w:val="24"/>
        </w:rPr>
        <w:t xml:space="preserve"> [accessed: 24 February 2022].</w:t>
      </w:r>
    </w:p>
  </w:footnote>
  <w:footnote w:id="132">
    <w:p w14:paraId="0DCBD012"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Katz, A. and El Asam, A., </w:t>
      </w:r>
      <w:hyperlink r:id="rId138" w:history="1">
        <w:r w:rsidRPr="00BC3776">
          <w:rPr>
            <w:rStyle w:val="Hyperlink"/>
            <w:rFonts w:cstheme="minorHAnsi"/>
            <w:szCs w:val="24"/>
          </w:rPr>
          <w:t>The Cybersurvey – In their own words: The digital lives of schoolchildren</w:t>
        </w:r>
      </w:hyperlink>
      <w:r w:rsidRPr="00BC3776">
        <w:rPr>
          <w:rFonts w:cstheme="minorHAnsi"/>
          <w:szCs w:val="24"/>
        </w:rPr>
        <w:t>, Internetmatters.org [accessed: 3 August 2022], p.10.</w:t>
      </w:r>
    </w:p>
  </w:footnote>
  <w:footnote w:id="133">
    <w:p w14:paraId="5EF9EB39"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White, M. (2021), </w:t>
      </w:r>
      <w:hyperlink r:id="rId139" w:history="1">
        <w:r w:rsidRPr="00BC3776">
          <w:rPr>
            <w:rStyle w:val="Hyperlink"/>
            <w:rFonts w:cstheme="minorHAnsi"/>
            <w:szCs w:val="24"/>
          </w:rPr>
          <w:t>COVID-19: pandemic fuelling rise in online sex crimes against children, charity says</w:t>
        </w:r>
      </w:hyperlink>
      <w:r w:rsidRPr="00BC3776">
        <w:rPr>
          <w:rFonts w:cstheme="minorHAnsi"/>
          <w:szCs w:val="24"/>
        </w:rPr>
        <w:t>, Sky News [accessed: 24 February 2022].</w:t>
      </w:r>
    </w:p>
  </w:footnote>
  <w:footnote w:id="134">
    <w:p w14:paraId="34C1DBC0"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NSPCC (2022), </w:t>
      </w:r>
      <w:hyperlink r:id="rId140" w:history="1">
        <w:r w:rsidRPr="00BC3776">
          <w:rPr>
            <w:rStyle w:val="Hyperlink"/>
            <w:rFonts w:cstheme="minorHAnsi"/>
            <w:szCs w:val="24"/>
          </w:rPr>
          <w:t>Online grooming crimes have risen by more than 80% in four years</w:t>
        </w:r>
      </w:hyperlink>
      <w:r w:rsidRPr="00BC3776">
        <w:rPr>
          <w:rFonts w:cstheme="minorHAnsi"/>
          <w:szCs w:val="24"/>
        </w:rPr>
        <w:t xml:space="preserve"> [accessed: 31 August 2022].</w:t>
      </w:r>
    </w:p>
  </w:footnote>
  <w:footnote w:id="135">
    <w:p w14:paraId="0C1819C3"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Information Commissioner’s Office (2020), </w:t>
      </w:r>
      <w:hyperlink r:id="rId141" w:history="1">
        <w:r w:rsidRPr="00BC3776">
          <w:rPr>
            <w:rStyle w:val="Hyperlink"/>
            <w:rFonts w:cstheme="minorHAnsi"/>
            <w:szCs w:val="24"/>
          </w:rPr>
          <w:t>Age appropriate design: a code of practice for online services</w:t>
        </w:r>
      </w:hyperlink>
      <w:r w:rsidRPr="00BC3776">
        <w:rPr>
          <w:rFonts w:cstheme="minorHAnsi"/>
          <w:szCs w:val="24"/>
        </w:rPr>
        <w:t xml:space="preserve"> [accessed: 24 February 2022].</w:t>
      </w:r>
    </w:p>
  </w:footnote>
  <w:footnote w:id="136">
    <w:p w14:paraId="13A10C7C"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(2022), </w:t>
      </w:r>
      <w:hyperlink r:id="rId142" w:history="1">
        <w:r w:rsidRPr="00BC3776">
          <w:rPr>
            <w:rStyle w:val="Hyperlink"/>
            <w:rFonts w:cstheme="minorHAnsi"/>
            <w:szCs w:val="24"/>
          </w:rPr>
          <w:t>Online Safety Bill</w:t>
        </w:r>
      </w:hyperlink>
      <w:r w:rsidRPr="00BC3776">
        <w:rPr>
          <w:rFonts w:cstheme="minorHAnsi"/>
          <w:szCs w:val="24"/>
        </w:rPr>
        <w:t xml:space="preserve"> [accessed: 5 December 2022].</w:t>
      </w:r>
    </w:p>
  </w:footnote>
  <w:footnote w:id="137">
    <w:p w14:paraId="24689ED4"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Parliament Joint Committee on the Draft Online Safety Bill (2021), </w:t>
      </w:r>
      <w:hyperlink r:id="rId143" w:history="1">
        <w:r w:rsidRPr="00BC3776">
          <w:rPr>
            <w:rStyle w:val="Hyperlink"/>
            <w:rFonts w:cstheme="minorHAnsi"/>
            <w:szCs w:val="24"/>
          </w:rPr>
          <w:t>Draft online safety bill – Report of session 2021-22</w:t>
        </w:r>
      </w:hyperlink>
      <w:r w:rsidRPr="00BC3776">
        <w:rPr>
          <w:rFonts w:cstheme="minorHAnsi"/>
          <w:szCs w:val="24"/>
        </w:rPr>
        <w:t xml:space="preserve"> [accessed: 24 February 2022].</w:t>
      </w:r>
    </w:p>
  </w:footnote>
  <w:footnote w:id="138">
    <w:p w14:paraId="5CA2042E"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House of Commons Digital, Culture, Media and Sport Committee (2022), </w:t>
      </w:r>
      <w:hyperlink r:id="rId144" w:history="1">
        <w:r w:rsidRPr="00BC3776">
          <w:rPr>
            <w:rStyle w:val="Hyperlink"/>
            <w:rFonts w:cstheme="minorHAnsi"/>
            <w:szCs w:val="24"/>
          </w:rPr>
          <w:t>Illegal and harmful content could evade new online safety law, warn MPs</w:t>
        </w:r>
      </w:hyperlink>
      <w:r w:rsidRPr="00BC3776">
        <w:rPr>
          <w:rFonts w:cstheme="minorHAnsi"/>
          <w:szCs w:val="24"/>
        </w:rPr>
        <w:t xml:space="preserve"> [accessed: 1 March 2022].</w:t>
      </w:r>
    </w:p>
  </w:footnote>
  <w:footnote w:id="139">
    <w:p w14:paraId="348B52CF" w14:textId="20BA435B" w:rsidR="0026506A" w:rsidRPr="00BC3776" w:rsidRDefault="0026506A" w:rsidP="001A6181">
      <w:pPr>
        <w:pStyle w:val="FootnoteText"/>
        <w:rPr>
          <w:rFonts w:cstheme="minorHAnsi"/>
          <w:szCs w:val="24"/>
        </w:rPr>
      </w:pPr>
      <w:r w:rsidRPr="00BC3776">
        <w:rPr>
          <w:rStyle w:val="FootnoteReference"/>
          <w:rFonts w:cstheme="minorHAnsi"/>
          <w:szCs w:val="24"/>
        </w:rPr>
        <w:footnoteRef/>
      </w:r>
      <w:r w:rsidRPr="00BC3776">
        <w:rPr>
          <w:rFonts w:cstheme="minorHAnsi"/>
          <w:szCs w:val="24"/>
        </w:rPr>
        <w:t xml:space="preserve"> UK Parliament (2022) </w:t>
      </w:r>
      <w:hyperlink r:id="rId145" w:history="1">
        <w:r w:rsidRPr="00BC3776">
          <w:rPr>
            <w:rStyle w:val="Hyperlink"/>
            <w:rFonts w:cstheme="minorHAnsi"/>
            <w:szCs w:val="24"/>
          </w:rPr>
          <w:t>Statement made by Michelle Donelan, Secretary of State for Digital, Culture, Media and Sport</w:t>
        </w:r>
      </w:hyperlink>
      <w:r w:rsidRPr="00BC3776">
        <w:rPr>
          <w:rFonts w:cstheme="minorHAnsi"/>
          <w:szCs w:val="24"/>
        </w:rPr>
        <w:t xml:space="preserve"> [accessed</w:t>
      </w:r>
      <w:r>
        <w:rPr>
          <w:rFonts w:cstheme="minorHAnsi"/>
          <w:szCs w:val="24"/>
        </w:rPr>
        <w:t>:</w:t>
      </w:r>
      <w:r w:rsidRPr="00BC3776">
        <w:rPr>
          <w:rFonts w:cstheme="minorHAnsi"/>
          <w:szCs w:val="24"/>
        </w:rPr>
        <w:t xml:space="preserve"> 5 December 2022].</w:t>
      </w:r>
    </w:p>
  </w:footnote>
  <w:footnote w:id="140">
    <w:p w14:paraId="5FF49A0D" w14:textId="115C7B0D" w:rsidR="0026506A" w:rsidRPr="00BC3776" w:rsidRDefault="0026506A" w:rsidP="001A6181">
      <w:pPr>
        <w:pStyle w:val="FootnoteText"/>
        <w:rPr>
          <w:rFonts w:cstheme="minorHAnsi"/>
          <w:szCs w:val="24"/>
        </w:rPr>
      </w:pPr>
      <w:r w:rsidRPr="00BC3776">
        <w:rPr>
          <w:rStyle w:val="FootnoteReference"/>
          <w:rFonts w:cstheme="minorHAnsi"/>
          <w:szCs w:val="24"/>
        </w:rPr>
        <w:footnoteRef/>
      </w:r>
      <w:r w:rsidRPr="00BC3776">
        <w:rPr>
          <w:rFonts w:cstheme="minorHAnsi"/>
          <w:szCs w:val="24"/>
        </w:rPr>
        <w:t xml:space="preserve"> 5Rights Foundation (2022), </w:t>
      </w:r>
      <w:hyperlink r:id="rId146" w:history="1">
        <w:r w:rsidRPr="00BC3776">
          <w:rPr>
            <w:rStyle w:val="Hyperlink"/>
            <w:rFonts w:cstheme="minorHAnsi"/>
            <w:szCs w:val="24"/>
          </w:rPr>
          <w:t>5Rights responds to the Joint Committee’s report on the Online Safety Bill</w:t>
        </w:r>
      </w:hyperlink>
      <w:r w:rsidRPr="00BC3776">
        <w:rPr>
          <w:rFonts w:cstheme="minorHAnsi"/>
          <w:szCs w:val="24"/>
        </w:rPr>
        <w:t xml:space="preserve"> [accessed</w:t>
      </w:r>
      <w:r>
        <w:rPr>
          <w:rFonts w:cstheme="minorHAnsi"/>
          <w:szCs w:val="24"/>
        </w:rPr>
        <w:t>:</w:t>
      </w:r>
      <w:r w:rsidRPr="00BC3776">
        <w:rPr>
          <w:rFonts w:cstheme="minorHAnsi"/>
          <w:szCs w:val="24"/>
        </w:rPr>
        <w:t xml:space="preserve"> 24 February 2022].</w:t>
      </w:r>
    </w:p>
  </w:footnote>
  <w:footnote w:id="141">
    <w:p w14:paraId="45C6D02B"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5Rights Foundation (2021), </w:t>
      </w:r>
      <w:hyperlink r:id="rId147" w:history="1">
        <w:r w:rsidRPr="00BC3776">
          <w:rPr>
            <w:rStyle w:val="Hyperlink"/>
            <w:rFonts w:cstheme="minorHAnsi"/>
            <w:szCs w:val="24"/>
          </w:rPr>
          <w:t>Ambitions for the Online Safety Bill</w:t>
        </w:r>
      </w:hyperlink>
      <w:r w:rsidRPr="00BC3776">
        <w:rPr>
          <w:rFonts w:cstheme="minorHAnsi"/>
          <w:szCs w:val="24"/>
        </w:rPr>
        <w:t xml:space="preserve"> [accessed: 1 March 2022].</w:t>
      </w:r>
    </w:p>
  </w:footnote>
  <w:footnote w:id="142">
    <w:p w14:paraId="5CB8B8BD"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Note that the majority of studies reviewed were based in the USA. University College London (2021), </w:t>
      </w:r>
      <w:hyperlink r:id="rId148" w:history="1">
        <w:r w:rsidRPr="00BC3776">
          <w:rPr>
            <w:rStyle w:val="Hyperlink"/>
            <w:rFonts w:cstheme="minorHAnsi"/>
            <w:szCs w:val="24"/>
          </w:rPr>
          <w:t>UCL News: Physically punishing children in not effective and increases behavioural problems</w:t>
        </w:r>
      </w:hyperlink>
      <w:r w:rsidRPr="00BC3776">
        <w:rPr>
          <w:rFonts w:cstheme="minorHAnsi"/>
          <w:szCs w:val="24"/>
        </w:rPr>
        <w:t xml:space="preserve"> [accessed: 7 February 2022].</w:t>
      </w:r>
    </w:p>
  </w:footnote>
  <w:footnote w:id="143">
    <w:p w14:paraId="35940D57"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Adamson, B. (Children and Young People’s Commissioner Scotland) (2017), </w:t>
      </w:r>
      <w:hyperlink r:id="rId149" w:history="1">
        <w:r w:rsidRPr="00BC3776">
          <w:rPr>
            <w:rStyle w:val="Hyperlink"/>
            <w:rFonts w:cstheme="minorHAnsi"/>
            <w:szCs w:val="24"/>
          </w:rPr>
          <w:t>Law Society of Scotland: Children’s rights and physical punishment</w:t>
        </w:r>
      </w:hyperlink>
      <w:r w:rsidRPr="00BC3776">
        <w:rPr>
          <w:rFonts w:cstheme="minorHAnsi"/>
          <w:szCs w:val="24"/>
        </w:rPr>
        <w:t xml:space="preserve"> [accessed: 29 March 2022].</w:t>
      </w:r>
    </w:p>
  </w:footnote>
  <w:footnote w:id="144">
    <w:p w14:paraId="0BD0A4EA"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150" w:anchor="{%22itemid%22:[%22001-73804%22]}" w:history="1">
        <w:r w:rsidRPr="00BC3776">
          <w:rPr>
            <w:rStyle w:val="Hyperlink"/>
            <w:rFonts w:cstheme="minorHAnsi"/>
            <w:szCs w:val="24"/>
          </w:rPr>
          <w:t>Seven Individuals v. Sweden, 1982, application no. 8811/79</w:t>
        </w:r>
      </w:hyperlink>
      <w:r w:rsidRPr="00BC3776">
        <w:rPr>
          <w:rFonts w:cstheme="minorHAnsi"/>
          <w:szCs w:val="24"/>
        </w:rPr>
        <w:t xml:space="preserve">; European Court of Human Rights, decision on admissibility, Philip Williamson and Others v. UK, 2000; application no. 55211/00; Adamson, B. (Children and Young People’s Commissioner Scotland) (2017), </w:t>
      </w:r>
      <w:hyperlink r:id="rId151" w:history="1">
        <w:r w:rsidRPr="00BC3776">
          <w:rPr>
            <w:rStyle w:val="Hyperlink"/>
            <w:rFonts w:cstheme="minorHAnsi"/>
            <w:szCs w:val="24"/>
          </w:rPr>
          <w:t>Law Society of Scotland: Children’s rights and physical punishment</w:t>
        </w:r>
      </w:hyperlink>
      <w:r w:rsidRPr="00BC3776">
        <w:rPr>
          <w:rFonts w:cstheme="minorHAnsi"/>
          <w:szCs w:val="24"/>
        </w:rPr>
        <w:t xml:space="preserve"> [accessed: 29 March 2022].</w:t>
      </w:r>
    </w:p>
  </w:footnote>
  <w:footnote w:id="145">
    <w:p w14:paraId="5E536478" w14:textId="68CA8FF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 Committee on the Rights of the Child</w:t>
      </w:r>
      <w:r w:rsidRPr="00BC3776">
        <w:rPr>
          <w:rFonts w:cstheme="minorHAnsi"/>
          <w:szCs w:val="24"/>
        </w:rPr>
        <w:t xml:space="preserve"> (2016), </w:t>
      </w:r>
      <w:hyperlink r:id="rId152" w:history="1">
        <w:r w:rsidRPr="00BC3776">
          <w:rPr>
            <w:rStyle w:val="Hyperlink"/>
            <w:rFonts w:cstheme="minorHAnsi"/>
            <w:szCs w:val="24"/>
          </w:rPr>
          <w:t>Concluding observations on the fifth periodic report of the United Kingdom of Great Britain and Northern Ireland</w:t>
        </w:r>
      </w:hyperlink>
      <w:r w:rsidRPr="00BC3776">
        <w:rPr>
          <w:rFonts w:cstheme="minorHAnsi"/>
          <w:szCs w:val="24"/>
        </w:rPr>
        <w:t>, CRC/C/GBR/CO/5 [accessed: 22 July 2022], para.41.</w:t>
      </w:r>
    </w:p>
  </w:footnote>
  <w:footnote w:id="146">
    <w:p w14:paraId="40424A07" w14:textId="4EB0C435"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 Committee on the Rights of the Child</w:t>
      </w:r>
      <w:r w:rsidRPr="00BC3776">
        <w:rPr>
          <w:rFonts w:cstheme="minorHAnsi"/>
          <w:szCs w:val="24"/>
        </w:rPr>
        <w:t xml:space="preserve"> (2006), </w:t>
      </w:r>
      <w:hyperlink r:id="rId153" w:history="1">
        <w:r w:rsidRPr="00BC3776">
          <w:rPr>
            <w:rStyle w:val="Hyperlink"/>
            <w:rFonts w:cstheme="minorHAnsi"/>
            <w:szCs w:val="24"/>
          </w:rPr>
          <w:t>General Comment No.8: The right of the child to protection from corporal punishment and other cruel or degrading forms of punishment</w:t>
        </w:r>
      </w:hyperlink>
      <w:r w:rsidRPr="00BC3776">
        <w:rPr>
          <w:rFonts w:cstheme="minorHAnsi"/>
          <w:szCs w:val="24"/>
        </w:rPr>
        <w:t>, paras. 18 and 31.</w:t>
      </w:r>
    </w:p>
  </w:footnote>
  <w:footnote w:id="147">
    <w:p w14:paraId="4A1EC0BD" w14:textId="5BB76376"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 Committee on the Rights of the Child</w:t>
      </w:r>
      <w:r w:rsidRPr="00BC3776">
        <w:rPr>
          <w:rFonts w:cstheme="minorHAnsi"/>
          <w:szCs w:val="24"/>
        </w:rPr>
        <w:t xml:space="preserve"> (2022), </w:t>
      </w:r>
      <w:hyperlink r:id="rId154" w:history="1">
        <w:r w:rsidRPr="00BC3776">
          <w:rPr>
            <w:rStyle w:val="Hyperlink"/>
            <w:rFonts w:cstheme="minorHAnsi"/>
            <w:szCs w:val="24"/>
          </w:rPr>
          <w:t>Combined sixth and seventh periodic reports submitted by the United Kingdom of Great Britain and Northern Ireland under article 44 of the Convention, due in 2022, CRC/C/GBR/6-7</w:t>
        </w:r>
      </w:hyperlink>
      <w:r w:rsidRPr="00BC3776">
        <w:rPr>
          <w:rFonts w:cstheme="minorHAnsi"/>
          <w:szCs w:val="24"/>
        </w:rPr>
        <w:t xml:space="preserve"> [accessed: 22 July 2022], para.159.</w:t>
      </w:r>
    </w:p>
  </w:footnote>
  <w:footnote w:id="148">
    <w:p w14:paraId="18D4F678"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See the </w:t>
      </w:r>
      <w:hyperlink r:id="rId155" w:history="1">
        <w:r w:rsidRPr="00BC3776">
          <w:rPr>
            <w:rStyle w:val="Hyperlink"/>
            <w:rFonts w:cstheme="minorHAnsi"/>
            <w:szCs w:val="24"/>
          </w:rPr>
          <w:t>Children (Equal Protection from Assault) (Scotland) Act 2019</w:t>
        </w:r>
      </w:hyperlink>
      <w:r w:rsidRPr="00BC3776">
        <w:rPr>
          <w:rFonts w:cstheme="minorHAnsi"/>
          <w:szCs w:val="24"/>
        </w:rPr>
        <w:t xml:space="preserve"> and the </w:t>
      </w:r>
      <w:hyperlink r:id="rId156" w:history="1">
        <w:r w:rsidRPr="00BC3776">
          <w:rPr>
            <w:rStyle w:val="Hyperlink"/>
            <w:rFonts w:cstheme="minorHAnsi"/>
            <w:szCs w:val="24"/>
          </w:rPr>
          <w:t>Children (Abolition of Defence of Reasonable Punishment) (Wales) Act 2020</w:t>
        </w:r>
      </w:hyperlink>
      <w:r w:rsidRPr="00BC3776">
        <w:rPr>
          <w:rFonts w:cstheme="minorHAnsi"/>
          <w:szCs w:val="24"/>
        </w:rPr>
        <w:t>.</w:t>
      </w:r>
    </w:p>
  </w:footnote>
  <w:footnote w:id="149">
    <w:p w14:paraId="3D000AF9" w14:textId="77777777" w:rsidR="0026506A" w:rsidRPr="00BC3776" w:rsidRDefault="0026506A" w:rsidP="001A6181">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157" w:history="1">
        <w:r w:rsidRPr="00BC3776">
          <w:rPr>
            <w:rStyle w:val="Hyperlink"/>
            <w:rFonts w:cstheme="minorHAnsi"/>
            <w:szCs w:val="24"/>
          </w:rPr>
          <w:t>Global Initiative to end all Corporal Punishment of Children</w:t>
        </w:r>
      </w:hyperlink>
      <w:r w:rsidRPr="00BC3776">
        <w:rPr>
          <w:rFonts w:cstheme="minorHAnsi"/>
          <w:szCs w:val="24"/>
        </w:rPr>
        <w:t xml:space="preserve"> [accessed: 7 February 2022].</w:t>
      </w:r>
    </w:p>
  </w:footnote>
  <w:footnote w:id="150">
    <w:p w14:paraId="7843ED94" w14:textId="77777777"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Home Office (2021), </w:t>
      </w:r>
      <w:hyperlink r:id="rId158" w:history="1">
        <w:r w:rsidRPr="00BC3776">
          <w:rPr>
            <w:rStyle w:val="Hyperlink"/>
            <w:rFonts w:cstheme="minorHAnsi"/>
            <w:szCs w:val="24"/>
          </w:rPr>
          <w:t>Tackling violence against women and girls</w:t>
        </w:r>
      </w:hyperlink>
      <w:r w:rsidRPr="00BC3776">
        <w:rPr>
          <w:rFonts w:cstheme="minorHAnsi"/>
          <w:szCs w:val="24"/>
        </w:rPr>
        <w:t xml:space="preserve"> [accessed: 18 February 2022], p.26.</w:t>
      </w:r>
    </w:p>
  </w:footnote>
  <w:footnote w:id="151">
    <w:p w14:paraId="60FE35BC" w14:textId="77777777"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For example, see Library of Congress (2019), </w:t>
      </w:r>
      <w:hyperlink r:id="rId159" w:history="1">
        <w:r w:rsidRPr="00BC3776">
          <w:rPr>
            <w:rStyle w:val="Hyperlink"/>
            <w:rFonts w:cstheme="minorHAnsi"/>
            <w:szCs w:val="24"/>
          </w:rPr>
          <w:t>United Kingdom: first successful prosecution for female genital mutilation</w:t>
        </w:r>
      </w:hyperlink>
      <w:r w:rsidRPr="00BC3776">
        <w:rPr>
          <w:rFonts w:cstheme="minorHAnsi"/>
          <w:szCs w:val="24"/>
        </w:rPr>
        <w:t xml:space="preserve"> [accessed: 18 February 2022].</w:t>
      </w:r>
    </w:p>
  </w:footnote>
  <w:footnote w:id="152">
    <w:p w14:paraId="13604797" w14:textId="77777777" w:rsidR="0026506A" w:rsidRPr="00BC3776" w:rsidRDefault="0026506A" w:rsidP="00967F79">
      <w:pPr>
        <w:pStyle w:val="FootnoteText"/>
        <w:tabs>
          <w:tab w:val="right" w:pos="15398"/>
        </w:tabs>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This designation is used for newly developed or innovative official statistics that are undergoing evaluation.</w:t>
      </w:r>
      <w:r w:rsidRPr="00BC3776">
        <w:rPr>
          <w:rFonts w:cstheme="minorHAnsi"/>
          <w:szCs w:val="24"/>
        </w:rPr>
        <w:tab/>
      </w:r>
    </w:p>
  </w:footnote>
  <w:footnote w:id="153">
    <w:p w14:paraId="6FA71A9C" w14:textId="77777777" w:rsidR="0026506A" w:rsidRPr="00BC3776" w:rsidRDefault="0026506A" w:rsidP="00967F79">
      <w:pPr>
        <w:pStyle w:val="FootnoteText"/>
        <w:spacing w:before="120"/>
        <w:rPr>
          <w:rFonts w:cstheme="minorHAnsi"/>
          <w:bCs/>
          <w:szCs w:val="24"/>
        </w:rPr>
      </w:pPr>
      <w:r w:rsidRPr="00BC3776">
        <w:rPr>
          <w:rStyle w:val="FootnoteReference"/>
          <w:rFonts w:cstheme="minorHAnsi"/>
          <w:szCs w:val="24"/>
        </w:rPr>
        <w:footnoteRef/>
      </w:r>
      <w:r w:rsidRPr="00BC3776">
        <w:rPr>
          <w:rFonts w:cstheme="minorHAnsi"/>
          <w:szCs w:val="24"/>
        </w:rPr>
        <w:t xml:space="preserve"> UK Government Home Office (2021), </w:t>
      </w:r>
      <w:hyperlink r:id="rId160" w:history="1">
        <w:r w:rsidRPr="00BC3776">
          <w:rPr>
            <w:rStyle w:val="Hyperlink"/>
            <w:rFonts w:cstheme="minorHAnsi"/>
            <w:szCs w:val="24"/>
          </w:rPr>
          <w:t>Statistics on so called ‘honour-based’ abuse offences, England and Wales, 2020 to 2021</w:t>
        </w:r>
      </w:hyperlink>
      <w:r w:rsidRPr="00BC3776">
        <w:rPr>
          <w:rFonts w:cstheme="minorHAnsi"/>
          <w:szCs w:val="24"/>
        </w:rPr>
        <w:t>, [accessed: 18 February 2022], Table 1</w:t>
      </w:r>
      <w:r w:rsidRPr="00BC3776">
        <w:rPr>
          <w:rFonts w:cstheme="minorHAnsi"/>
          <w:bCs/>
          <w:szCs w:val="24"/>
        </w:rPr>
        <w:t>. Note: this excludes Greater Manchester Police.</w:t>
      </w:r>
    </w:p>
  </w:footnote>
  <w:footnote w:id="154">
    <w:p w14:paraId="78B4B9B2" w14:textId="77777777"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Home Office (2021), </w:t>
      </w:r>
      <w:hyperlink r:id="rId161" w:history="1">
        <w:r w:rsidRPr="00BC3776">
          <w:rPr>
            <w:rStyle w:val="Hyperlink"/>
            <w:rFonts w:cstheme="minorHAnsi"/>
            <w:szCs w:val="24"/>
          </w:rPr>
          <w:t>Statistics on so called ‘honour-based’ abuse offences, England and Wales, 2020 to 2021</w:t>
        </w:r>
      </w:hyperlink>
      <w:r w:rsidRPr="00BC3776">
        <w:rPr>
          <w:rFonts w:cstheme="minorHAnsi"/>
          <w:szCs w:val="24"/>
        </w:rPr>
        <w:t>, [accessed: 18 February 2022].</w:t>
      </w:r>
    </w:p>
  </w:footnote>
  <w:footnote w:id="155">
    <w:p w14:paraId="4844D893" w14:textId="77777777"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Honour Abuse Research Matrix (2021), </w:t>
      </w:r>
      <w:hyperlink r:id="rId162" w:history="1">
        <w:r w:rsidRPr="00BC3776">
          <w:rPr>
            <w:rStyle w:val="Hyperlink"/>
            <w:rFonts w:cstheme="minorHAnsi"/>
            <w:szCs w:val="24"/>
          </w:rPr>
          <w:t>‘Honour’ abuse, violence, and forced marriage in the UK</w:t>
        </w:r>
      </w:hyperlink>
      <w:r w:rsidRPr="00BC3776">
        <w:rPr>
          <w:rFonts w:cstheme="minorHAnsi"/>
          <w:szCs w:val="24"/>
        </w:rPr>
        <w:t xml:space="preserve"> [accessed: 18 February 2022], p.6.</w:t>
      </w:r>
    </w:p>
  </w:footnote>
  <w:footnote w:id="156">
    <w:p w14:paraId="1435636F" w14:textId="001C96C8"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NHS Digital (2021), </w:t>
      </w:r>
      <w:hyperlink r:id="rId163" w:history="1">
        <w:r w:rsidRPr="00BC3776">
          <w:rPr>
            <w:rStyle w:val="Hyperlink"/>
            <w:rFonts w:cstheme="minorHAnsi"/>
            <w:szCs w:val="24"/>
          </w:rPr>
          <w:t>Female genital mutilation – July 2021 to September 2021</w:t>
        </w:r>
      </w:hyperlink>
      <w:r w:rsidRPr="00BC3776">
        <w:rPr>
          <w:rFonts w:cstheme="minorHAnsi"/>
          <w:szCs w:val="24"/>
        </w:rPr>
        <w:t xml:space="preserve"> (Supporting data – see Table 1.3) [accessed</w:t>
      </w:r>
      <w:r>
        <w:rPr>
          <w:rFonts w:cstheme="minorHAnsi"/>
          <w:szCs w:val="24"/>
        </w:rPr>
        <w:t>:</w:t>
      </w:r>
      <w:r w:rsidRPr="00BC3776">
        <w:rPr>
          <w:rFonts w:cstheme="minorHAnsi"/>
          <w:szCs w:val="24"/>
        </w:rPr>
        <w:t xml:space="preserve"> 18 February 2022]; Note that </w:t>
      </w:r>
      <w:r>
        <w:rPr>
          <w:rFonts w:cstheme="minorHAnsi"/>
          <w:szCs w:val="24"/>
        </w:rPr>
        <w:t>‘</w:t>
      </w:r>
      <w:r w:rsidRPr="00FD714E">
        <w:rPr>
          <w:rFonts w:cstheme="minorHAnsi"/>
          <w:szCs w:val="24"/>
        </w:rPr>
        <w:t>Where information about when their FGM took place is known, most of these women and girls were under 18 when they underwent FGM</w:t>
      </w:r>
      <w:r>
        <w:rPr>
          <w:rFonts w:cstheme="minorHAnsi"/>
          <w:szCs w:val="24"/>
        </w:rPr>
        <w:t>’</w:t>
      </w:r>
      <w:r w:rsidRPr="00BC3776">
        <w:rPr>
          <w:rFonts w:cstheme="minorHAnsi"/>
          <w:szCs w:val="24"/>
        </w:rPr>
        <w:t xml:space="preserve"> (see UK Government Home Office (2021), </w:t>
      </w:r>
      <w:hyperlink r:id="rId164" w:history="1">
        <w:r w:rsidRPr="00BC3776">
          <w:rPr>
            <w:rStyle w:val="Hyperlink"/>
            <w:rFonts w:cstheme="minorHAnsi"/>
            <w:szCs w:val="24"/>
          </w:rPr>
          <w:t>Tackling violence against women and girls</w:t>
        </w:r>
      </w:hyperlink>
      <w:r w:rsidRPr="00BC3776">
        <w:rPr>
          <w:rFonts w:cstheme="minorHAnsi"/>
          <w:szCs w:val="24"/>
        </w:rPr>
        <w:t>, p.28, footnote 54).</w:t>
      </w:r>
    </w:p>
  </w:footnote>
  <w:footnote w:id="157">
    <w:p w14:paraId="5F345F9B" w14:textId="77777777"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(2021), </w:t>
      </w:r>
      <w:hyperlink r:id="rId165" w:history="1">
        <w:r w:rsidRPr="00BC3776">
          <w:rPr>
            <w:rStyle w:val="Hyperlink"/>
            <w:rFonts w:cstheme="minorHAnsi"/>
            <w:szCs w:val="24"/>
          </w:rPr>
          <w:t>Forced marriage unit statistics 2020</w:t>
        </w:r>
      </w:hyperlink>
      <w:r w:rsidRPr="00BC3776">
        <w:rPr>
          <w:rFonts w:cstheme="minorHAnsi"/>
          <w:szCs w:val="24"/>
        </w:rPr>
        <w:t xml:space="preserve"> [accessed: 18 February 2022].</w:t>
      </w:r>
    </w:p>
  </w:footnote>
  <w:footnote w:id="158">
    <w:p w14:paraId="7744A5AE" w14:textId="77777777"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Ibid.</w:t>
      </w:r>
    </w:p>
  </w:footnote>
  <w:footnote w:id="159">
    <w:p w14:paraId="1F950564" w14:textId="77777777"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(2022), </w:t>
      </w:r>
      <w:hyperlink r:id="rId166" w:history="1">
        <w:r w:rsidRPr="00BC3776">
          <w:rPr>
            <w:rStyle w:val="Hyperlink"/>
            <w:rFonts w:cstheme="minorHAnsi"/>
            <w:szCs w:val="24"/>
          </w:rPr>
          <w:t>Violence against women, domestic abuse and sexual violence: strategy 2022 to 2026</w:t>
        </w:r>
      </w:hyperlink>
      <w:r w:rsidRPr="00BC3776">
        <w:rPr>
          <w:rFonts w:cstheme="minorHAnsi"/>
          <w:szCs w:val="24"/>
        </w:rPr>
        <w:t xml:space="preserve"> [accessed: 27 July 2022].</w:t>
      </w:r>
    </w:p>
  </w:footnote>
  <w:footnote w:id="160">
    <w:p w14:paraId="32FC8680" w14:textId="77777777"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(2020), </w:t>
      </w:r>
      <w:hyperlink r:id="rId167" w:history="1">
        <w:r w:rsidRPr="00BC3776">
          <w:rPr>
            <w:rStyle w:val="Hyperlink"/>
            <w:rFonts w:cstheme="minorHAnsi"/>
            <w:szCs w:val="24"/>
          </w:rPr>
          <w:t>Children’s rights in Great Britain</w:t>
        </w:r>
      </w:hyperlink>
      <w:r w:rsidRPr="00BC3776">
        <w:rPr>
          <w:rFonts w:cstheme="minorHAnsi"/>
          <w:szCs w:val="24"/>
        </w:rPr>
        <w:t xml:space="preserve">, p.91; Note that countries such as Germany, Portugal and Malta have banned such practices in recent years (see Anarte, E. (2021), </w:t>
      </w:r>
      <w:hyperlink r:id="rId168" w:history="1">
        <w:r w:rsidRPr="00BC3776">
          <w:rPr>
            <w:rStyle w:val="Hyperlink"/>
            <w:rFonts w:cstheme="minorHAnsi"/>
            <w:szCs w:val="24"/>
          </w:rPr>
          <w:t>Germany bans surgeries on intersex babies, but loopholes feared</w:t>
        </w:r>
      </w:hyperlink>
      <w:r w:rsidRPr="00BC3776">
        <w:rPr>
          <w:rFonts w:cstheme="minorHAnsi"/>
          <w:szCs w:val="24"/>
        </w:rPr>
        <w:t>, Reuters [accessed: 18 February 2022].</w:t>
      </w:r>
    </w:p>
  </w:footnote>
  <w:footnote w:id="161">
    <w:p w14:paraId="1CC0A6AE" w14:textId="77777777"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Méndez, J. E. (2013), </w:t>
      </w:r>
      <w:hyperlink r:id="rId169" w:history="1">
        <w:r w:rsidRPr="00BC3776">
          <w:rPr>
            <w:rStyle w:val="Hyperlink"/>
            <w:rFonts w:cstheme="minorHAnsi"/>
            <w:szCs w:val="24"/>
          </w:rPr>
          <w:t>Report of the Special Rapporteur on torture and other cruel, inhuman or degrading treatment or punishment, A/HRC/22/53</w:t>
        </w:r>
      </w:hyperlink>
      <w:r w:rsidRPr="00BC3776">
        <w:rPr>
          <w:rFonts w:cstheme="minorHAnsi"/>
          <w:szCs w:val="24"/>
        </w:rPr>
        <w:t>, para. 77.</w:t>
      </w:r>
    </w:p>
  </w:footnote>
  <w:footnote w:id="162">
    <w:p w14:paraId="25C7344F" w14:textId="77777777"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Equalities Office (2019), </w:t>
      </w:r>
      <w:hyperlink r:id="rId170" w:history="1">
        <w:r w:rsidRPr="00BC3776">
          <w:rPr>
            <w:rStyle w:val="Hyperlink"/>
            <w:rFonts w:cstheme="minorHAnsi"/>
            <w:szCs w:val="24"/>
          </w:rPr>
          <w:t>Variations in sex characteristics call for evidence</w:t>
        </w:r>
      </w:hyperlink>
      <w:r w:rsidRPr="00BC3776">
        <w:rPr>
          <w:rFonts w:cstheme="minorHAnsi"/>
          <w:szCs w:val="24"/>
        </w:rPr>
        <w:t xml:space="preserve"> [accessed: 18 February 2022].</w:t>
      </w:r>
    </w:p>
  </w:footnote>
  <w:footnote w:id="163">
    <w:p w14:paraId="662E7F08" w14:textId="2BA8CB64"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w:t>
      </w:r>
      <w:r w:rsidRPr="00BC3776">
        <w:rPr>
          <w:rFonts w:cstheme="minorHAnsi"/>
          <w:szCs w:val="24"/>
        </w:rPr>
        <w:t xml:space="preserve"> Human Rights Council (2019), </w:t>
      </w:r>
      <w:hyperlink r:id="rId171" w:history="1">
        <w:r w:rsidRPr="00BC3776">
          <w:rPr>
            <w:rStyle w:val="Hyperlink"/>
            <w:rFonts w:cstheme="minorHAnsi"/>
            <w:szCs w:val="24"/>
          </w:rPr>
          <w:t>Right of everyone to the enjoyment of the highest attainable standard of physical and mental health – report of the special rapporteur, A/HRC/41/34</w:t>
        </w:r>
      </w:hyperlink>
      <w:r w:rsidRPr="00BC3776">
        <w:rPr>
          <w:rFonts w:cstheme="minorHAnsi"/>
          <w:szCs w:val="24"/>
        </w:rPr>
        <w:t xml:space="preserve"> [accessed: 18 February 2022], para.19.</w:t>
      </w:r>
    </w:p>
  </w:footnote>
  <w:footnote w:id="164">
    <w:p w14:paraId="20CC48EC" w14:textId="636CC00F"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Human Rights Council (2020), </w:t>
      </w:r>
      <w:hyperlink r:id="rId172" w:history="1">
        <w:r>
          <w:rPr>
            <w:rStyle w:val="Hyperlink"/>
            <w:rFonts w:cstheme="minorHAnsi"/>
            <w:szCs w:val="24"/>
          </w:rPr>
          <w:t>Practices of so-called ‘conversion therapy’</w:t>
        </w:r>
        <w:r w:rsidRPr="00BC3776">
          <w:rPr>
            <w:rStyle w:val="Hyperlink"/>
            <w:rFonts w:cstheme="minorHAnsi"/>
            <w:szCs w:val="24"/>
          </w:rPr>
          <w:t xml:space="preserve"> – Report of the Independent Expert on protection against violence and discrimination based on sexual orientation and gender identity, A/HRC/44/53</w:t>
        </w:r>
      </w:hyperlink>
      <w:r w:rsidRPr="00BC3776">
        <w:rPr>
          <w:rFonts w:cstheme="minorHAnsi"/>
          <w:szCs w:val="24"/>
        </w:rPr>
        <w:t xml:space="preserve"> [accessed: 18 February 2022], paras. 20 and 57.</w:t>
      </w:r>
    </w:p>
  </w:footnote>
  <w:footnote w:id="165">
    <w:p w14:paraId="5816589B" w14:textId="77777777"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Equalities Office (2018), </w:t>
      </w:r>
      <w:hyperlink r:id="rId173" w:history="1">
        <w:r w:rsidRPr="00BC3776">
          <w:rPr>
            <w:rStyle w:val="Hyperlink"/>
            <w:rFonts w:cstheme="minorHAnsi"/>
            <w:szCs w:val="24"/>
          </w:rPr>
          <w:t>National LGBT survey: research report</w:t>
        </w:r>
      </w:hyperlink>
      <w:r w:rsidRPr="00BC3776">
        <w:rPr>
          <w:rFonts w:cstheme="minorHAnsi"/>
          <w:szCs w:val="24"/>
        </w:rPr>
        <w:t xml:space="preserve"> [accessed: 18 February 2022], p.86, figure 5.33 and p.90, figure 5.35.</w:t>
      </w:r>
    </w:p>
  </w:footnote>
  <w:footnote w:id="166">
    <w:p w14:paraId="6C520819" w14:textId="77777777"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Equalities Office (2021), </w:t>
      </w:r>
      <w:hyperlink r:id="rId174" w:history="1">
        <w:r w:rsidRPr="00BC3776">
          <w:rPr>
            <w:rStyle w:val="Hyperlink"/>
            <w:rFonts w:cstheme="minorHAnsi"/>
            <w:szCs w:val="24"/>
          </w:rPr>
          <w:t>Consultation: banning conversion therapy</w:t>
        </w:r>
      </w:hyperlink>
      <w:r w:rsidRPr="00BC3776">
        <w:rPr>
          <w:rFonts w:cstheme="minorHAnsi"/>
          <w:szCs w:val="24"/>
        </w:rPr>
        <w:t xml:space="preserve"> [accessed: 18 February 2022].</w:t>
      </w:r>
    </w:p>
  </w:footnote>
  <w:footnote w:id="167">
    <w:p w14:paraId="220DA676" w14:textId="77777777"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(2021), </w:t>
      </w:r>
      <w:hyperlink r:id="rId175" w:history="1">
        <w:r w:rsidRPr="00BC3776">
          <w:rPr>
            <w:rStyle w:val="Hyperlink"/>
            <w:rFonts w:cstheme="minorHAnsi"/>
            <w:szCs w:val="24"/>
          </w:rPr>
          <w:t>Programme for government: update</w:t>
        </w:r>
      </w:hyperlink>
      <w:r w:rsidRPr="00BC3776">
        <w:rPr>
          <w:rFonts w:cstheme="minorHAnsi"/>
          <w:szCs w:val="24"/>
        </w:rPr>
        <w:t xml:space="preserve"> [accessed: 18 February 2022], p.15.</w:t>
      </w:r>
    </w:p>
  </w:footnote>
  <w:footnote w:id="168">
    <w:p w14:paraId="00B7CE9E" w14:textId="77777777"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(2022), </w:t>
      </w:r>
      <w:hyperlink r:id="rId176" w:history="1">
        <w:r w:rsidRPr="00BC3776">
          <w:rPr>
            <w:rStyle w:val="Hyperlink"/>
            <w:rFonts w:cstheme="minorHAnsi"/>
            <w:szCs w:val="24"/>
          </w:rPr>
          <w:t>Queen’s speech 2022: background briefing notes</w:t>
        </w:r>
      </w:hyperlink>
      <w:r w:rsidRPr="00BC3776">
        <w:rPr>
          <w:rFonts w:cstheme="minorHAnsi"/>
          <w:szCs w:val="24"/>
        </w:rPr>
        <w:t xml:space="preserve"> [accessed: 5 December 2022], pp. 128-129.</w:t>
      </w:r>
    </w:p>
  </w:footnote>
  <w:footnote w:id="169">
    <w:p w14:paraId="267E3D65" w14:textId="77777777" w:rsidR="0026506A" w:rsidRPr="00BC3776" w:rsidRDefault="0026506A" w:rsidP="00967F7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(2022), </w:t>
      </w:r>
      <w:hyperlink r:id="rId177" w:history="1">
        <w:r w:rsidRPr="00BC3776">
          <w:rPr>
            <w:rStyle w:val="Hyperlink"/>
            <w:rFonts w:cstheme="minorHAnsi"/>
            <w:szCs w:val="24"/>
          </w:rPr>
          <w:t>Conversion therapy ban moves forward in Wales</w:t>
        </w:r>
      </w:hyperlink>
      <w:r w:rsidRPr="00BC3776">
        <w:rPr>
          <w:rFonts w:cstheme="minorHAnsi"/>
          <w:szCs w:val="24"/>
        </w:rPr>
        <w:t xml:space="preserve"> [accessed: 27 July 2022].</w:t>
      </w:r>
    </w:p>
  </w:footnote>
  <w:footnote w:id="170">
    <w:p w14:paraId="0A32ABB8"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(2020), </w:t>
      </w:r>
      <w:hyperlink r:id="rId178" w:history="1">
        <w:r w:rsidRPr="00BC3776">
          <w:rPr>
            <w:rStyle w:val="Hyperlink"/>
            <w:rFonts w:cstheme="minorHAnsi"/>
            <w:szCs w:val="24"/>
          </w:rPr>
          <w:t>Children’s rights in Great Britain</w:t>
        </w:r>
      </w:hyperlink>
      <w:r w:rsidRPr="00BC3776">
        <w:rPr>
          <w:rFonts w:cstheme="minorHAnsi"/>
          <w:szCs w:val="24"/>
        </w:rPr>
        <w:t xml:space="preserve"> [accessed: 19 May 2022], p.82.</w:t>
      </w:r>
    </w:p>
  </w:footnote>
  <w:footnote w:id="171">
    <w:p w14:paraId="54F27414"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NHS Digital (2021), </w:t>
      </w:r>
      <w:hyperlink r:id="rId179" w:history="1">
        <w:r w:rsidRPr="00BC3776">
          <w:rPr>
            <w:rStyle w:val="Hyperlink"/>
            <w:rFonts w:cstheme="minorHAnsi"/>
            <w:szCs w:val="24"/>
          </w:rPr>
          <w:t>Mental health of children and young people in England 2021 – wave 2 follow up to the 2017 survey</w:t>
        </w:r>
      </w:hyperlink>
      <w:r w:rsidRPr="00BC3776">
        <w:rPr>
          <w:rFonts w:cstheme="minorHAnsi"/>
          <w:szCs w:val="24"/>
        </w:rPr>
        <w:t xml:space="preserve"> [accessed: 20 April 2022], see Main Report, p.15.</w:t>
      </w:r>
    </w:p>
  </w:footnote>
  <w:footnote w:id="172">
    <w:p w14:paraId="745C12FB"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Page N., et al. (2021), </w:t>
      </w:r>
      <w:hyperlink r:id="rId180" w:history="1">
        <w:r w:rsidRPr="00BC3776">
          <w:rPr>
            <w:rStyle w:val="Hyperlink"/>
            <w:rFonts w:cstheme="minorHAnsi"/>
            <w:szCs w:val="24"/>
          </w:rPr>
          <w:t>Student Health and Wellbeing in Wales: Report of the 2019/20 School Health Research Network Student Health and Wellbeing Survey</w:t>
        </w:r>
      </w:hyperlink>
      <w:r w:rsidRPr="00BC3776">
        <w:rPr>
          <w:rFonts w:cstheme="minorHAnsi"/>
          <w:szCs w:val="24"/>
        </w:rPr>
        <w:t>, School Health Research Network [accessed: 24 October 2022], p.20.</w:t>
      </w:r>
    </w:p>
  </w:footnote>
  <w:footnote w:id="173">
    <w:p w14:paraId="0B5120B9" w14:textId="4E653152"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The Children’s Society (2021), </w:t>
      </w:r>
      <w:hyperlink r:id="rId181" w:history="1">
        <w:r w:rsidRPr="00BC3776">
          <w:rPr>
            <w:rStyle w:val="Hyperlink"/>
            <w:rFonts w:cstheme="minorHAnsi"/>
            <w:szCs w:val="24"/>
          </w:rPr>
          <w:t>The good childhood report 2021</w:t>
        </w:r>
      </w:hyperlink>
      <w:r w:rsidRPr="00BC3776">
        <w:rPr>
          <w:rFonts w:cstheme="minorHAnsi"/>
          <w:szCs w:val="24"/>
        </w:rPr>
        <w:t xml:space="preserve"> </w:t>
      </w:r>
      <w:r>
        <w:rPr>
          <w:rFonts w:cstheme="minorHAnsi"/>
          <w:szCs w:val="24"/>
        </w:rPr>
        <w:t>[accessed: 26 April 2022], pp. 20–</w:t>
      </w:r>
      <w:r w:rsidRPr="00BC3776">
        <w:rPr>
          <w:rFonts w:cstheme="minorHAnsi"/>
          <w:szCs w:val="24"/>
        </w:rPr>
        <w:t>21.</w:t>
      </w:r>
    </w:p>
  </w:footnote>
  <w:footnote w:id="174">
    <w:p w14:paraId="4260FE4C" w14:textId="780A09EF"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NHS Digital (2021), </w:t>
      </w:r>
      <w:hyperlink r:id="rId182" w:history="1">
        <w:r w:rsidRPr="00BC3776">
          <w:rPr>
            <w:rStyle w:val="Hyperlink"/>
            <w:rFonts w:cstheme="minorHAnsi"/>
            <w:szCs w:val="24"/>
          </w:rPr>
          <w:t>Mental health of children and young people in England 2021 – wave 2 follow up to the 2017 survey</w:t>
        </w:r>
      </w:hyperlink>
      <w:r w:rsidRPr="00BC3776">
        <w:rPr>
          <w:rFonts w:cstheme="minorHAnsi"/>
          <w:szCs w:val="24"/>
        </w:rPr>
        <w:t xml:space="preserve"> [accessed</w:t>
      </w:r>
      <w:r>
        <w:rPr>
          <w:rFonts w:cstheme="minorHAnsi"/>
          <w:szCs w:val="24"/>
        </w:rPr>
        <w:t>:</w:t>
      </w:r>
      <w:r w:rsidRPr="00BC3776">
        <w:rPr>
          <w:rFonts w:cstheme="minorHAnsi"/>
          <w:szCs w:val="24"/>
        </w:rPr>
        <w:t xml:space="preserve"> 20 April 2022], see Main Report, p.16.</w:t>
      </w:r>
    </w:p>
  </w:footnote>
  <w:footnote w:id="175">
    <w:p w14:paraId="1E088014" w14:textId="0F9D205F"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Ibid., pp. 15–</w:t>
      </w:r>
      <w:r w:rsidRPr="00BC3776">
        <w:rPr>
          <w:rFonts w:cstheme="minorHAnsi"/>
          <w:szCs w:val="24"/>
        </w:rPr>
        <w:t>16.</w:t>
      </w:r>
    </w:p>
  </w:footnote>
  <w:footnote w:id="176">
    <w:p w14:paraId="47264A45" w14:textId="65AD8510"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Page N., et al. (2021), </w:t>
      </w:r>
      <w:hyperlink r:id="rId183" w:history="1">
        <w:r w:rsidRPr="00BC3776">
          <w:rPr>
            <w:rStyle w:val="Hyperlink"/>
            <w:rFonts w:cstheme="minorHAnsi"/>
            <w:szCs w:val="24"/>
          </w:rPr>
          <w:t>Student Health and Wellbeing in Wales: Report of the 2019/20 School Health Research Network Student Health and Wellbeing Survey</w:t>
        </w:r>
      </w:hyperlink>
      <w:r w:rsidRPr="00BC3776">
        <w:rPr>
          <w:rFonts w:cstheme="minorHAnsi"/>
          <w:szCs w:val="24"/>
        </w:rPr>
        <w:t>, School Health Research Nework [accessed</w:t>
      </w:r>
      <w:r>
        <w:rPr>
          <w:rFonts w:cstheme="minorHAnsi"/>
          <w:szCs w:val="24"/>
        </w:rPr>
        <w:t>:</w:t>
      </w:r>
      <w:r w:rsidRPr="00BC3776">
        <w:rPr>
          <w:rFonts w:cstheme="minorHAnsi"/>
          <w:szCs w:val="24"/>
        </w:rPr>
        <w:t xml:space="preserve"> 24 October 2022], pp.</w:t>
      </w:r>
      <w:r>
        <w:rPr>
          <w:rFonts w:cstheme="minorHAnsi"/>
          <w:szCs w:val="24"/>
        </w:rPr>
        <w:t xml:space="preserve"> </w:t>
      </w:r>
      <w:r w:rsidRPr="00BC3776">
        <w:rPr>
          <w:rFonts w:cstheme="minorHAnsi"/>
          <w:szCs w:val="24"/>
        </w:rPr>
        <w:t>20</w:t>
      </w:r>
      <w:r>
        <w:rPr>
          <w:rFonts w:cstheme="minorHAnsi"/>
          <w:szCs w:val="24"/>
        </w:rPr>
        <w:t>–</w:t>
      </w:r>
      <w:r w:rsidRPr="00BC3776">
        <w:rPr>
          <w:rFonts w:cstheme="minorHAnsi"/>
          <w:szCs w:val="24"/>
        </w:rPr>
        <w:t>21.</w:t>
      </w:r>
    </w:p>
  </w:footnote>
  <w:footnote w:id="177">
    <w:p w14:paraId="22FC0C17" w14:textId="11A4DE8E"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NHS Digital (2021), </w:t>
      </w:r>
      <w:hyperlink r:id="rId184" w:history="1">
        <w:r w:rsidRPr="00BC3776">
          <w:rPr>
            <w:rStyle w:val="Hyperlink"/>
            <w:rFonts w:cstheme="minorHAnsi"/>
            <w:szCs w:val="24"/>
          </w:rPr>
          <w:t>Mental health of children and young people in England 2021 – wave 2 follow up to the 2017 survey</w:t>
        </w:r>
      </w:hyperlink>
      <w:r w:rsidRPr="00BC3776">
        <w:rPr>
          <w:rFonts w:cstheme="minorHAnsi"/>
          <w:szCs w:val="24"/>
        </w:rPr>
        <w:t xml:space="preserve"> [accessed: 20 April 2022], see Main Report, pp.</w:t>
      </w:r>
      <w:r>
        <w:rPr>
          <w:rFonts w:cstheme="minorHAnsi"/>
          <w:szCs w:val="24"/>
        </w:rPr>
        <w:t xml:space="preserve"> </w:t>
      </w:r>
      <w:r w:rsidRPr="00BC3776">
        <w:rPr>
          <w:rFonts w:cstheme="minorHAnsi"/>
          <w:szCs w:val="24"/>
        </w:rPr>
        <w:t>19</w:t>
      </w:r>
      <w:r>
        <w:rPr>
          <w:rFonts w:cstheme="minorHAnsi"/>
          <w:szCs w:val="24"/>
        </w:rPr>
        <w:t>–</w:t>
      </w:r>
      <w:r w:rsidRPr="00BC3776">
        <w:rPr>
          <w:rFonts w:cstheme="minorHAnsi"/>
          <w:szCs w:val="24"/>
        </w:rPr>
        <w:t>20.</w:t>
      </w:r>
    </w:p>
  </w:footnote>
  <w:footnote w:id="178">
    <w:p w14:paraId="3A688BB9" w14:textId="77777777" w:rsidR="0026506A" w:rsidRPr="00BC3776" w:rsidRDefault="0026506A" w:rsidP="00D87A25">
      <w:pPr>
        <w:spacing w:before="120" w:line="240" w:lineRule="auto"/>
        <w:rPr>
          <w:rFonts w:eastAsia="Calibri" w:cstheme="minorHAnsi"/>
          <w:szCs w:val="24"/>
        </w:rPr>
      </w:pPr>
      <w:r w:rsidRPr="00BC3776">
        <w:rPr>
          <w:rStyle w:val="FootnoteReference"/>
          <w:rFonts w:cstheme="minorHAnsi"/>
          <w:szCs w:val="24"/>
        </w:rPr>
        <w:footnoteRef/>
      </w:r>
      <w:r w:rsidRPr="00BC3776">
        <w:rPr>
          <w:rFonts w:cstheme="minorHAnsi"/>
          <w:szCs w:val="24"/>
        </w:rPr>
        <w:t xml:space="preserve"> </w:t>
      </w:r>
      <w:r w:rsidRPr="00BC3776">
        <w:rPr>
          <w:rFonts w:eastAsia="Calibri" w:cstheme="minorHAnsi"/>
          <w:color w:val="0B4E60" w:themeColor="text2"/>
          <w:szCs w:val="24"/>
        </w:rPr>
        <w:t>NHS England (2022),</w:t>
      </w:r>
      <w:r w:rsidRPr="00BC3776">
        <w:rPr>
          <w:rFonts w:eastAsia="Calibri" w:cstheme="minorHAnsi"/>
          <w:szCs w:val="24"/>
        </w:rPr>
        <w:t xml:space="preserve"> </w:t>
      </w:r>
      <w:hyperlink r:id="rId185" w:history="1">
        <w:r w:rsidRPr="00BC3776">
          <w:rPr>
            <w:rStyle w:val="Hyperlink"/>
            <w:rFonts w:eastAsia="Calibri" w:cstheme="minorHAnsi"/>
            <w:szCs w:val="24"/>
          </w:rPr>
          <w:t>NHS treating record number of young people for eating disorders</w:t>
        </w:r>
      </w:hyperlink>
      <w:r w:rsidRPr="00BC3776">
        <w:rPr>
          <w:rFonts w:eastAsia="Calibri" w:cstheme="minorHAnsi"/>
          <w:szCs w:val="24"/>
        </w:rPr>
        <w:t xml:space="preserve"> </w:t>
      </w:r>
      <w:r w:rsidRPr="00BC3776">
        <w:rPr>
          <w:rFonts w:eastAsia="Calibri" w:cstheme="minorHAnsi"/>
          <w:color w:val="0B4E60" w:themeColor="text2"/>
          <w:szCs w:val="24"/>
        </w:rPr>
        <w:t>[accessed: 1 November 2022].</w:t>
      </w:r>
    </w:p>
  </w:footnote>
  <w:footnote w:id="179">
    <w:p w14:paraId="57C508FB"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Beat Eating Disorders (2022), </w:t>
      </w:r>
      <w:hyperlink r:id="rId186" w:history="1">
        <w:r w:rsidRPr="00BC3776">
          <w:rPr>
            <w:rStyle w:val="Hyperlink"/>
            <w:rFonts w:cstheme="minorHAnsi"/>
            <w:szCs w:val="24"/>
          </w:rPr>
          <w:t>The Welsh eating disorder service review: 3 years on</w:t>
        </w:r>
      </w:hyperlink>
      <w:r w:rsidRPr="00BC3776">
        <w:rPr>
          <w:rFonts w:cstheme="minorHAnsi"/>
          <w:szCs w:val="24"/>
        </w:rPr>
        <w:t xml:space="preserve"> [accessed: 15 November 2022], p.36.</w:t>
      </w:r>
    </w:p>
  </w:footnote>
  <w:footnote w:id="180">
    <w:p w14:paraId="3CF657AE"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NHS Digital (2021), </w:t>
      </w:r>
      <w:hyperlink r:id="rId187" w:history="1">
        <w:r w:rsidRPr="00BC3776">
          <w:rPr>
            <w:rStyle w:val="Hyperlink"/>
            <w:rFonts w:cstheme="minorHAnsi"/>
            <w:szCs w:val="24"/>
          </w:rPr>
          <w:t>Admissions for mental health and self-harm, by gender and age</w:t>
        </w:r>
      </w:hyperlink>
      <w:r w:rsidRPr="00BC3776">
        <w:rPr>
          <w:rFonts w:cstheme="minorHAnsi"/>
          <w:szCs w:val="24"/>
        </w:rPr>
        <w:t xml:space="preserve"> [accessed: 20 April 2022], see data table.</w:t>
      </w:r>
    </w:p>
  </w:footnote>
  <w:footnote w:id="181">
    <w:p w14:paraId="518E8786"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Whitworth, D. and Maybin, S. (2021) (BBC News), </w:t>
      </w:r>
      <w:hyperlink r:id="rId188" w:history="1">
        <w:r w:rsidRPr="00BC3776">
          <w:rPr>
            <w:rStyle w:val="Hyperlink"/>
            <w:rFonts w:cstheme="minorHAnsi"/>
            <w:szCs w:val="24"/>
          </w:rPr>
          <w:t>‘Concerning’ rise in pre-teens self-injuring</w:t>
        </w:r>
      </w:hyperlink>
      <w:r w:rsidRPr="00BC3776">
        <w:rPr>
          <w:rFonts w:cstheme="minorHAnsi"/>
          <w:szCs w:val="24"/>
        </w:rPr>
        <w:t xml:space="preserve"> [accessed: 20 April 2022].</w:t>
      </w:r>
    </w:p>
  </w:footnote>
  <w:footnote w:id="182">
    <w:p w14:paraId="63F20D4C"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The Children’s Society (2021), </w:t>
      </w:r>
      <w:hyperlink r:id="rId189" w:history="1">
        <w:r w:rsidRPr="00BC3776">
          <w:rPr>
            <w:rStyle w:val="Hyperlink"/>
            <w:rFonts w:cstheme="minorHAnsi"/>
            <w:szCs w:val="24"/>
          </w:rPr>
          <w:t>The Good Childhood Report 2021</w:t>
        </w:r>
      </w:hyperlink>
      <w:r w:rsidRPr="00BC3776">
        <w:rPr>
          <w:rFonts w:cstheme="minorHAnsi"/>
          <w:szCs w:val="24"/>
        </w:rPr>
        <w:t xml:space="preserve"> [accessed: 20 April 2022], p.37.</w:t>
      </w:r>
    </w:p>
  </w:footnote>
  <w:footnote w:id="183">
    <w:p w14:paraId="57F512D8"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Office for National Statistics (2021) </w:t>
      </w:r>
      <w:hyperlink r:id="rId190" w:history="1">
        <w:r w:rsidRPr="00BC3776">
          <w:rPr>
            <w:rStyle w:val="Hyperlink"/>
            <w:rFonts w:cstheme="minorHAnsi"/>
            <w:szCs w:val="24"/>
          </w:rPr>
          <w:t>Dataset: suicides in England and Wales</w:t>
        </w:r>
      </w:hyperlink>
      <w:r w:rsidRPr="00BC3776">
        <w:rPr>
          <w:rFonts w:cstheme="minorHAnsi"/>
          <w:szCs w:val="24"/>
        </w:rPr>
        <w:t xml:space="preserve"> [accessed: 21 April 2022], Table 5. </w:t>
      </w:r>
    </w:p>
  </w:footnote>
  <w:footnote w:id="184">
    <w:p w14:paraId="6FE0DA6F"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Patalay, P. and Fitzsimons, E. (2021), </w:t>
      </w:r>
      <w:hyperlink r:id="rId191" w:history="1">
        <w:r w:rsidRPr="00BC3776">
          <w:rPr>
            <w:rStyle w:val="Hyperlink"/>
            <w:rFonts w:cstheme="minorHAnsi"/>
            <w:szCs w:val="24"/>
          </w:rPr>
          <w:t>Psychological distress, self-harm and attempted suicide in UK 17-year olds: prevalence and sociodemographic inequalities</w:t>
        </w:r>
      </w:hyperlink>
      <w:r w:rsidRPr="00BC3776">
        <w:rPr>
          <w:rFonts w:cstheme="minorHAnsi"/>
          <w:szCs w:val="24"/>
        </w:rPr>
        <w:t>, The British Journal of Psychiatry [accessed: 21 April 2022].</w:t>
      </w:r>
    </w:p>
  </w:footnote>
  <w:footnote w:id="185">
    <w:p w14:paraId="2028B8BB"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NHS (2019), </w:t>
      </w:r>
      <w:hyperlink r:id="rId192" w:history="1">
        <w:r w:rsidRPr="00BC3776">
          <w:rPr>
            <w:rStyle w:val="Hyperlink"/>
            <w:rFonts w:cstheme="minorHAnsi"/>
            <w:szCs w:val="24"/>
          </w:rPr>
          <w:t>NHS long term plan</w:t>
        </w:r>
      </w:hyperlink>
      <w:r w:rsidRPr="00BC3776">
        <w:rPr>
          <w:rFonts w:cstheme="minorHAnsi"/>
          <w:szCs w:val="24"/>
        </w:rPr>
        <w:t xml:space="preserve"> [accessed: 2 May 2022].</w:t>
      </w:r>
    </w:p>
  </w:footnote>
  <w:footnote w:id="186">
    <w:p w14:paraId="5543A0B2"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The Mental Health Taskforce (2016), </w:t>
      </w:r>
      <w:hyperlink r:id="rId193" w:history="1">
        <w:r w:rsidRPr="00BC3776">
          <w:rPr>
            <w:rStyle w:val="Hyperlink"/>
            <w:rFonts w:cstheme="minorHAnsi"/>
            <w:szCs w:val="24"/>
          </w:rPr>
          <w:t>The five year forward view for mental health</w:t>
        </w:r>
      </w:hyperlink>
      <w:r w:rsidRPr="00BC3776">
        <w:rPr>
          <w:rFonts w:cstheme="minorHAnsi"/>
          <w:szCs w:val="24"/>
        </w:rPr>
        <w:t xml:space="preserve"> [accessed: 2 May 2022].</w:t>
      </w:r>
    </w:p>
  </w:footnote>
  <w:footnote w:id="187">
    <w:p w14:paraId="1E78A070"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(2017), </w:t>
      </w:r>
      <w:hyperlink r:id="rId194" w:history="1">
        <w:r w:rsidRPr="00BC3776">
          <w:rPr>
            <w:rStyle w:val="Hyperlink"/>
            <w:rFonts w:cstheme="minorHAnsi"/>
            <w:szCs w:val="24"/>
          </w:rPr>
          <w:t>Transforming children and young people’s mental health provision: a green paper</w:t>
        </w:r>
      </w:hyperlink>
      <w:r w:rsidRPr="00BC3776">
        <w:rPr>
          <w:rFonts w:cstheme="minorHAnsi"/>
          <w:szCs w:val="24"/>
        </w:rPr>
        <w:t xml:space="preserve"> [accessed: 2 May 2022].</w:t>
      </w:r>
    </w:p>
  </w:footnote>
  <w:footnote w:id="188">
    <w:p w14:paraId="14AF9F03"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(2019), </w:t>
      </w:r>
      <w:hyperlink r:id="rId195" w:history="1">
        <w:r w:rsidRPr="00BC3776">
          <w:rPr>
            <w:rStyle w:val="Hyperlink"/>
            <w:rFonts w:cstheme="minorHAnsi"/>
            <w:szCs w:val="24"/>
          </w:rPr>
          <w:t>Suicide prevention: cross-government plan</w:t>
        </w:r>
      </w:hyperlink>
      <w:r w:rsidRPr="00BC3776">
        <w:rPr>
          <w:rFonts w:cstheme="minorHAnsi"/>
          <w:szCs w:val="24"/>
        </w:rPr>
        <w:t xml:space="preserve"> [accessed: 2 May 2022].</w:t>
      </w:r>
    </w:p>
  </w:footnote>
  <w:footnote w:id="189">
    <w:p w14:paraId="30740404"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Dr Holtom, D et al. (2021), </w:t>
      </w:r>
      <w:hyperlink r:id="rId196" w:history="1">
        <w:r w:rsidRPr="00BC3776">
          <w:rPr>
            <w:rStyle w:val="Hyperlink"/>
            <w:rFonts w:cstheme="minorHAnsi"/>
            <w:szCs w:val="24"/>
          </w:rPr>
          <w:t>Evaluation of the child and adolescent mental health service (CAMHs) in-reach to schools pilot programme: final report</w:t>
        </w:r>
      </w:hyperlink>
      <w:r w:rsidRPr="00BC3776">
        <w:rPr>
          <w:rFonts w:cstheme="minorHAnsi"/>
          <w:szCs w:val="24"/>
        </w:rPr>
        <w:t>, Welsh Government, GSR report number 37/2021 [accessed: 2 May 2022], p.12.</w:t>
      </w:r>
    </w:p>
  </w:footnote>
  <w:footnote w:id="190">
    <w:p w14:paraId="6DCAE3B1"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(2022), </w:t>
      </w:r>
      <w:hyperlink r:id="rId197" w:history="1">
        <w:r w:rsidRPr="00BC3776">
          <w:rPr>
            <w:rStyle w:val="Hyperlink"/>
            <w:rFonts w:cstheme="minorHAnsi"/>
            <w:szCs w:val="24"/>
          </w:rPr>
          <w:t>Children and young people’s plan</w:t>
        </w:r>
      </w:hyperlink>
      <w:r w:rsidRPr="00BC3776">
        <w:rPr>
          <w:rFonts w:cstheme="minorHAnsi"/>
          <w:szCs w:val="24"/>
        </w:rPr>
        <w:t xml:space="preserve"> [accessed: 15 November 2022].</w:t>
      </w:r>
    </w:p>
  </w:footnote>
  <w:footnote w:id="191">
    <w:p w14:paraId="1B8E0021"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w:t>
      </w:r>
      <w:hyperlink r:id="rId198" w:history="1">
        <w:r w:rsidRPr="00BC3776">
          <w:rPr>
            <w:rStyle w:val="Hyperlink"/>
            <w:rFonts w:cstheme="minorHAnsi"/>
            <w:szCs w:val="24"/>
          </w:rPr>
          <w:t>Curriculum for Wales: Area of learning and experience: Health and well-being</w:t>
        </w:r>
      </w:hyperlink>
      <w:r w:rsidRPr="00BC3776">
        <w:rPr>
          <w:rFonts w:cstheme="minorHAnsi"/>
          <w:szCs w:val="24"/>
        </w:rPr>
        <w:t xml:space="preserve"> [accessed: 16 August 2022]; UK Government Department for Education (2019), </w:t>
      </w:r>
      <w:hyperlink r:id="rId199" w:history="1">
        <w:r w:rsidRPr="00BC3776">
          <w:rPr>
            <w:rStyle w:val="Hyperlink"/>
            <w:rFonts w:cstheme="minorHAnsi"/>
            <w:szCs w:val="24"/>
          </w:rPr>
          <w:t>Statutory guidance: Relationships and sex education (RSE) and health education</w:t>
        </w:r>
      </w:hyperlink>
      <w:r w:rsidRPr="00BC3776">
        <w:rPr>
          <w:rFonts w:cstheme="minorHAnsi"/>
          <w:szCs w:val="24"/>
        </w:rPr>
        <w:t xml:space="preserve"> [accessed: 24 October 2022].</w:t>
      </w:r>
    </w:p>
  </w:footnote>
  <w:footnote w:id="192">
    <w:p w14:paraId="275F28BE" w14:textId="6C305A5D"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House of Commons Health and Social Care Committee (2021), </w:t>
      </w:r>
      <w:hyperlink r:id="rId200" w:history="1">
        <w:r w:rsidRPr="00BC3776">
          <w:rPr>
            <w:rStyle w:val="Hyperlink"/>
            <w:rFonts w:cstheme="minorHAnsi"/>
            <w:szCs w:val="24"/>
          </w:rPr>
          <w:t>C</w:t>
        </w:r>
        <w:r>
          <w:rPr>
            <w:rStyle w:val="Hyperlink"/>
            <w:rFonts w:cstheme="minorHAnsi"/>
            <w:szCs w:val="24"/>
          </w:rPr>
          <w:t>Eighth Report of Session 2021-22: c</w:t>
        </w:r>
        <w:r w:rsidRPr="00BC3776">
          <w:rPr>
            <w:rStyle w:val="Hyperlink"/>
            <w:rFonts w:cstheme="minorHAnsi"/>
            <w:szCs w:val="24"/>
          </w:rPr>
          <w:t>hildren and young people’s mental health</w:t>
        </w:r>
      </w:hyperlink>
      <w:r w:rsidRPr="00BC3776">
        <w:rPr>
          <w:rFonts w:cstheme="minorHAnsi"/>
          <w:szCs w:val="24"/>
        </w:rPr>
        <w:t xml:space="preserve"> [accessed: 2 </w:t>
      </w:r>
      <w:r>
        <w:rPr>
          <w:rFonts w:cstheme="minorHAnsi"/>
          <w:szCs w:val="24"/>
        </w:rPr>
        <w:t>May 2022] for example see pp. 4–</w:t>
      </w:r>
      <w:r w:rsidRPr="00BC3776">
        <w:rPr>
          <w:rFonts w:cstheme="minorHAnsi"/>
          <w:szCs w:val="24"/>
        </w:rPr>
        <w:t xml:space="preserve">6; The Children’s Commissioner for England (2022), </w:t>
      </w:r>
      <w:hyperlink r:id="rId201" w:history="1">
        <w:r w:rsidRPr="00BC3776">
          <w:rPr>
            <w:rStyle w:val="Hyperlink"/>
            <w:rFonts w:cstheme="minorHAnsi"/>
            <w:szCs w:val="24"/>
          </w:rPr>
          <w:t>Children’s mental health services 2020/21</w:t>
        </w:r>
      </w:hyperlink>
      <w:r w:rsidRPr="00BC3776">
        <w:rPr>
          <w:rFonts w:cstheme="minorHAnsi"/>
          <w:szCs w:val="24"/>
        </w:rPr>
        <w:t xml:space="preserve"> [accessed: 26 April 2022], p.7.</w:t>
      </w:r>
    </w:p>
  </w:footnote>
  <w:footnote w:id="193">
    <w:p w14:paraId="08AABBD9"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StatsWales (2022), </w:t>
      </w:r>
      <w:hyperlink r:id="rId202" w:history="1">
        <w:r w:rsidRPr="00BC3776">
          <w:rPr>
            <w:rStyle w:val="Hyperlink"/>
            <w:rFonts w:cstheme="minorHAnsi"/>
            <w:szCs w:val="24"/>
          </w:rPr>
          <w:t>NHS expenditure by budget category and year</w:t>
        </w:r>
      </w:hyperlink>
      <w:r w:rsidRPr="00BC3776">
        <w:rPr>
          <w:rFonts w:cstheme="minorHAnsi"/>
          <w:szCs w:val="24"/>
        </w:rPr>
        <w:t xml:space="preserve"> [accessed: 16 August 2022].</w:t>
      </w:r>
    </w:p>
  </w:footnote>
  <w:footnote w:id="194">
    <w:p w14:paraId="18F51780"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Parliament Children, Young People and Education Committee (2020), </w:t>
      </w:r>
      <w:hyperlink r:id="rId203" w:history="1">
        <w:r w:rsidRPr="00BC3776">
          <w:rPr>
            <w:rStyle w:val="Hyperlink"/>
            <w:rFonts w:cstheme="minorHAnsi"/>
            <w:szCs w:val="24"/>
          </w:rPr>
          <w:t>Mind over matter: two years on</w:t>
        </w:r>
      </w:hyperlink>
      <w:r w:rsidRPr="00BC3776">
        <w:rPr>
          <w:rFonts w:cstheme="minorHAnsi"/>
          <w:szCs w:val="24"/>
        </w:rPr>
        <w:t xml:space="preserve"> [accessed: 16 August 2022], p.10.</w:t>
      </w:r>
    </w:p>
  </w:footnote>
  <w:footnote w:id="195">
    <w:p w14:paraId="0D934EAA" w14:textId="018B66B5"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The Children’s Commissioner for England (2022), </w:t>
      </w:r>
      <w:hyperlink r:id="rId204" w:history="1">
        <w:r w:rsidRPr="00BC3776">
          <w:rPr>
            <w:rStyle w:val="Hyperlink"/>
            <w:rFonts w:cstheme="minorHAnsi"/>
            <w:szCs w:val="24"/>
          </w:rPr>
          <w:t>Children’s mental health services 2020/21</w:t>
        </w:r>
      </w:hyperlink>
      <w:r w:rsidRPr="00BC3776">
        <w:rPr>
          <w:rFonts w:cstheme="minorHAnsi"/>
          <w:szCs w:val="24"/>
        </w:rPr>
        <w:t xml:space="preserve"> [accessed</w:t>
      </w:r>
      <w:r>
        <w:rPr>
          <w:rFonts w:cstheme="minorHAnsi"/>
          <w:szCs w:val="24"/>
        </w:rPr>
        <w:t>:</w:t>
      </w:r>
      <w:r w:rsidRPr="00BC3776">
        <w:rPr>
          <w:rFonts w:cstheme="minorHAnsi"/>
          <w:szCs w:val="24"/>
        </w:rPr>
        <w:t xml:space="preserve"> 26 April 2022], pp.</w:t>
      </w:r>
      <w:r>
        <w:rPr>
          <w:rFonts w:cstheme="minorHAnsi"/>
          <w:szCs w:val="24"/>
        </w:rPr>
        <w:t xml:space="preserve"> </w:t>
      </w:r>
      <w:r w:rsidRPr="00BC3776">
        <w:rPr>
          <w:rFonts w:cstheme="minorHAnsi"/>
          <w:szCs w:val="24"/>
        </w:rPr>
        <w:t>10-11.</w:t>
      </w:r>
    </w:p>
  </w:footnote>
  <w:footnote w:id="196">
    <w:p w14:paraId="673D75F8"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Ibid., p.9.</w:t>
      </w:r>
    </w:p>
  </w:footnote>
  <w:footnote w:id="197">
    <w:p w14:paraId="3BE39D5C"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Ibid., p.14.</w:t>
      </w:r>
    </w:p>
  </w:footnote>
  <w:footnote w:id="198">
    <w:p w14:paraId="2618AC56"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Ibid., p.15.</w:t>
      </w:r>
    </w:p>
  </w:footnote>
  <w:footnote w:id="199">
    <w:p w14:paraId="1B9837E3"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Ibid.</w:t>
      </w:r>
    </w:p>
  </w:footnote>
  <w:footnote w:id="200">
    <w:p w14:paraId="39A4AE5F" w14:textId="39677406"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The Royal College of Psychiatrists (2021), </w:t>
      </w:r>
      <w:hyperlink r:id="rId205" w:history="1">
        <w:r w:rsidRPr="00BC3776">
          <w:rPr>
            <w:rStyle w:val="Hyperlink"/>
            <w:rFonts w:cstheme="minorHAnsi"/>
            <w:szCs w:val="24"/>
          </w:rPr>
          <w:t>Record number of children and young people waiting for eating disorder treatment, as soaring demand overwhelms services</w:t>
        </w:r>
      </w:hyperlink>
      <w:r w:rsidRPr="00BC3776">
        <w:rPr>
          <w:rFonts w:cstheme="minorHAnsi"/>
          <w:szCs w:val="24"/>
        </w:rPr>
        <w:t xml:space="preserve"> [accessed</w:t>
      </w:r>
      <w:r>
        <w:rPr>
          <w:rFonts w:cstheme="minorHAnsi"/>
          <w:szCs w:val="24"/>
        </w:rPr>
        <w:t>:</w:t>
      </w:r>
      <w:r w:rsidRPr="00BC3776">
        <w:rPr>
          <w:rFonts w:cstheme="minorHAnsi"/>
          <w:szCs w:val="24"/>
        </w:rPr>
        <w:t xml:space="preserve"> 26 April 2022].</w:t>
      </w:r>
    </w:p>
  </w:footnote>
  <w:footnote w:id="201">
    <w:p w14:paraId="7DC2411C" w14:textId="7A1C01A3"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Beat Eating Disorders (2022), </w:t>
      </w:r>
      <w:hyperlink r:id="rId206" w:history="1">
        <w:r w:rsidRPr="00BC3776">
          <w:rPr>
            <w:rStyle w:val="Hyperlink"/>
            <w:rFonts w:cstheme="minorHAnsi"/>
            <w:szCs w:val="24"/>
          </w:rPr>
          <w:t>The Welsh eating disorder service review: 3 years on</w:t>
        </w:r>
      </w:hyperlink>
      <w:r w:rsidRPr="00BC3776">
        <w:rPr>
          <w:rFonts w:cstheme="minorHAnsi"/>
          <w:szCs w:val="24"/>
        </w:rPr>
        <w:t xml:space="preserve"> [accessed</w:t>
      </w:r>
      <w:r>
        <w:rPr>
          <w:rFonts w:cstheme="minorHAnsi"/>
          <w:szCs w:val="24"/>
        </w:rPr>
        <w:t>:</w:t>
      </w:r>
      <w:r w:rsidRPr="00BC3776">
        <w:rPr>
          <w:rFonts w:cstheme="minorHAnsi"/>
          <w:szCs w:val="24"/>
        </w:rPr>
        <w:t xml:space="preserve"> 16 August 2022], p.1.</w:t>
      </w:r>
    </w:p>
  </w:footnote>
  <w:footnote w:id="202">
    <w:p w14:paraId="2048BDC5" w14:textId="20733F2B"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StatsWales (2022), </w:t>
      </w:r>
      <w:hyperlink r:id="rId207" w:history="1">
        <w:r w:rsidRPr="00BC3776">
          <w:rPr>
            <w:rStyle w:val="Hyperlink"/>
            <w:rFonts w:cstheme="minorHAnsi"/>
            <w:szCs w:val="24"/>
          </w:rPr>
          <w:t>Percentage of sCAMHS patient pathways waiting for a first appointment within target time by month and grouped weeks</w:t>
        </w:r>
      </w:hyperlink>
      <w:r w:rsidRPr="00BC3776">
        <w:rPr>
          <w:rFonts w:cstheme="minorHAnsi"/>
          <w:szCs w:val="24"/>
        </w:rPr>
        <w:t xml:space="preserve"> [accessed</w:t>
      </w:r>
      <w:r>
        <w:rPr>
          <w:rFonts w:cstheme="minorHAnsi"/>
          <w:szCs w:val="24"/>
        </w:rPr>
        <w:t>:</w:t>
      </w:r>
      <w:r w:rsidRPr="00BC3776">
        <w:rPr>
          <w:rFonts w:cstheme="minorHAnsi"/>
          <w:szCs w:val="24"/>
        </w:rPr>
        <w:t xml:space="preserve"> 24 October 2022].</w:t>
      </w:r>
    </w:p>
  </w:footnote>
  <w:footnote w:id="203">
    <w:p w14:paraId="21A4E5F1"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Edmonds, N. et al. (2022), </w:t>
      </w:r>
      <w:hyperlink r:id="rId208" w:history="1">
        <w:r w:rsidRPr="00BC3776">
          <w:rPr>
            <w:rStyle w:val="Hyperlink"/>
            <w:rFonts w:cstheme="minorHAnsi"/>
            <w:szCs w:val="24"/>
          </w:rPr>
          <w:t>Protecting the mental wellbeing of our future generations: learning from COVID-19 for the long term – A mental wellbeing impact assessment approach</w:t>
        </w:r>
      </w:hyperlink>
      <w:r w:rsidRPr="00BC3776">
        <w:rPr>
          <w:rFonts w:cstheme="minorHAnsi"/>
          <w:szCs w:val="24"/>
        </w:rPr>
        <w:t>, Public Health Wales NHS Trust [accessed: 16 August 2022], p.80.</w:t>
      </w:r>
    </w:p>
  </w:footnote>
  <w:footnote w:id="204">
    <w:p w14:paraId="4E160AF1"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NHS England (2021), </w:t>
      </w:r>
      <w:hyperlink r:id="rId209" w:history="1">
        <w:r w:rsidRPr="00BC3776">
          <w:rPr>
            <w:rStyle w:val="Hyperlink"/>
            <w:rFonts w:cstheme="minorHAnsi"/>
            <w:szCs w:val="24"/>
          </w:rPr>
          <w:t>More than a million children given access to NHS mental health support at school</w:t>
        </w:r>
      </w:hyperlink>
      <w:r w:rsidRPr="00BC3776">
        <w:rPr>
          <w:rFonts w:cstheme="minorHAnsi"/>
          <w:szCs w:val="24"/>
        </w:rPr>
        <w:t xml:space="preserve"> [accessed: 25 October 2022].</w:t>
      </w:r>
    </w:p>
  </w:footnote>
  <w:footnote w:id="205">
    <w:p w14:paraId="3EAEA8D3"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NHS England (2022), </w:t>
      </w:r>
      <w:hyperlink r:id="rId210" w:history="1">
        <w:r w:rsidRPr="00BC3776">
          <w:rPr>
            <w:rStyle w:val="Hyperlink"/>
            <w:rFonts w:cstheme="minorHAnsi"/>
            <w:szCs w:val="24"/>
          </w:rPr>
          <w:t>Mental health support in schools and colleges</w:t>
        </w:r>
      </w:hyperlink>
      <w:r w:rsidRPr="00BC3776">
        <w:rPr>
          <w:rFonts w:cstheme="minorHAnsi"/>
          <w:szCs w:val="24"/>
        </w:rPr>
        <w:t xml:space="preserve"> [accessed: 25 October 2022].</w:t>
      </w:r>
    </w:p>
  </w:footnote>
  <w:footnote w:id="206">
    <w:p w14:paraId="4D8F885C" w14:textId="07000481"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House of Commons Health and Social Care Committee (2021), </w:t>
      </w:r>
      <w:hyperlink r:id="rId211" w:history="1">
        <w:r w:rsidRPr="00BC3776">
          <w:rPr>
            <w:rStyle w:val="Hyperlink"/>
            <w:rFonts w:cstheme="minorHAnsi"/>
            <w:szCs w:val="24"/>
          </w:rPr>
          <w:t>Children and young people’s mental health</w:t>
        </w:r>
      </w:hyperlink>
      <w:r w:rsidRPr="00BC3776">
        <w:rPr>
          <w:rFonts w:cstheme="minorHAnsi"/>
          <w:szCs w:val="24"/>
        </w:rPr>
        <w:t xml:space="preserve"> [accessed</w:t>
      </w:r>
      <w:r>
        <w:rPr>
          <w:rFonts w:cstheme="minorHAnsi"/>
          <w:szCs w:val="24"/>
        </w:rPr>
        <w:t>:</w:t>
      </w:r>
      <w:r w:rsidRPr="00BC3776">
        <w:rPr>
          <w:rFonts w:cstheme="minorHAnsi"/>
          <w:szCs w:val="24"/>
        </w:rPr>
        <w:t xml:space="preserve"> 2 May 2022], p.27.</w:t>
      </w:r>
    </w:p>
  </w:footnote>
  <w:footnote w:id="207">
    <w:p w14:paraId="166F05DE" w14:textId="504AA97C"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Ibid., pp.</w:t>
      </w:r>
      <w:r>
        <w:rPr>
          <w:rFonts w:cstheme="minorHAnsi"/>
          <w:szCs w:val="24"/>
        </w:rPr>
        <w:t xml:space="preserve"> </w:t>
      </w:r>
      <w:r w:rsidRPr="00BC3776">
        <w:rPr>
          <w:rFonts w:cstheme="minorHAnsi"/>
          <w:szCs w:val="24"/>
        </w:rPr>
        <w:t>32, 34.</w:t>
      </w:r>
    </w:p>
  </w:footnote>
  <w:footnote w:id="208">
    <w:p w14:paraId="1E1986F1"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Local Government Association (2022), </w:t>
      </w:r>
      <w:hyperlink r:id="rId212" w:history="1">
        <w:r w:rsidRPr="00BC3776">
          <w:rPr>
            <w:rStyle w:val="Hyperlink"/>
            <w:rFonts w:cstheme="minorHAnsi"/>
            <w:szCs w:val="24"/>
          </w:rPr>
          <w:t>Surge in children with mental health problems seen by councils during the pandemic</w:t>
        </w:r>
      </w:hyperlink>
      <w:r w:rsidRPr="00BC3776">
        <w:rPr>
          <w:rFonts w:cstheme="minorHAnsi"/>
          <w:szCs w:val="24"/>
        </w:rPr>
        <w:t xml:space="preserve"> [accessed: 2 May 2022].</w:t>
      </w:r>
    </w:p>
  </w:footnote>
  <w:footnote w:id="209">
    <w:p w14:paraId="545A9D26"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Royal College of Psychiatrists (2021), </w:t>
      </w:r>
      <w:hyperlink r:id="rId213" w:history="1">
        <w:r w:rsidRPr="00BC3776">
          <w:rPr>
            <w:rStyle w:val="Hyperlink"/>
            <w:rFonts w:cstheme="minorHAnsi"/>
            <w:szCs w:val="24"/>
          </w:rPr>
          <w:t>Record numbers of children and young people referred to mental health services as pandemic takes its toll</w:t>
        </w:r>
      </w:hyperlink>
      <w:r w:rsidRPr="00BC3776">
        <w:rPr>
          <w:rFonts w:cstheme="minorHAnsi"/>
          <w:szCs w:val="24"/>
        </w:rPr>
        <w:t xml:space="preserve"> [accessed: 2 May 2022].</w:t>
      </w:r>
    </w:p>
  </w:footnote>
  <w:footnote w:id="210">
    <w:p w14:paraId="334B8D3A"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The BMJ (2022), </w:t>
      </w:r>
      <w:hyperlink r:id="rId214" w:history="1">
        <w:r w:rsidRPr="00BC3776">
          <w:rPr>
            <w:rStyle w:val="Hyperlink"/>
            <w:rFonts w:cstheme="minorHAnsi"/>
            <w:szCs w:val="24"/>
          </w:rPr>
          <w:t>Covid-19: only a third of children in need accessed mental health support in the pandemic</w:t>
        </w:r>
      </w:hyperlink>
      <w:r w:rsidRPr="00BC3776">
        <w:rPr>
          <w:rFonts w:cstheme="minorHAnsi"/>
          <w:szCs w:val="24"/>
        </w:rPr>
        <w:t xml:space="preserve"> [accessed: 2 May 2022].</w:t>
      </w:r>
    </w:p>
  </w:footnote>
  <w:footnote w:id="211">
    <w:p w14:paraId="7475BC6A"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The BMJ (2022), </w:t>
      </w:r>
      <w:hyperlink r:id="rId215" w:history="1">
        <w:r w:rsidRPr="00BC3776">
          <w:rPr>
            <w:rStyle w:val="Hyperlink"/>
            <w:rFonts w:cstheme="minorHAnsi"/>
            <w:szCs w:val="24"/>
          </w:rPr>
          <w:t>Covid-19: pandemic has disproportionately harmed children’s mental health, report finds</w:t>
        </w:r>
      </w:hyperlink>
      <w:r w:rsidRPr="00BC3776">
        <w:rPr>
          <w:rFonts w:cstheme="minorHAnsi"/>
          <w:szCs w:val="24"/>
        </w:rPr>
        <w:t xml:space="preserve"> [accessed: 2 May 2022].</w:t>
      </w:r>
    </w:p>
  </w:footnote>
  <w:footnote w:id="212">
    <w:p w14:paraId="63CA203F"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Public Health Wales (2021) </w:t>
      </w:r>
      <w:hyperlink r:id="rId216" w:history="1">
        <w:r w:rsidRPr="00BC3776">
          <w:rPr>
            <w:rStyle w:val="Hyperlink"/>
            <w:rFonts w:cstheme="minorHAnsi"/>
            <w:szCs w:val="24"/>
          </w:rPr>
          <w:t>Effects of the COVID-19 Pandemic on the mental health of shielded children and children living in shielded households in Wales: a data linkage Study</w:t>
        </w:r>
      </w:hyperlink>
      <w:r w:rsidRPr="00BC3776">
        <w:rPr>
          <w:rFonts w:cstheme="minorHAnsi"/>
          <w:szCs w:val="24"/>
        </w:rPr>
        <w:t xml:space="preserve"> [accessed: 8 July 2022].</w:t>
      </w:r>
    </w:p>
  </w:footnote>
  <w:footnote w:id="213">
    <w:p w14:paraId="5C4406E6"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ImpactEd (2021), </w:t>
      </w:r>
      <w:hyperlink r:id="rId217" w:history="1">
        <w:r w:rsidRPr="00BC3776">
          <w:rPr>
            <w:rStyle w:val="Hyperlink"/>
            <w:rFonts w:cstheme="minorHAnsi"/>
            <w:szCs w:val="24"/>
          </w:rPr>
          <w:t>Impact in practice: lessons from schools in supporting pupil learning and wellbeing</w:t>
        </w:r>
      </w:hyperlink>
      <w:r w:rsidRPr="00BC3776">
        <w:rPr>
          <w:rFonts w:cstheme="minorHAnsi"/>
          <w:szCs w:val="24"/>
        </w:rPr>
        <w:t xml:space="preserve"> [accessed: 2 May 2022], p.6.</w:t>
      </w:r>
    </w:p>
  </w:footnote>
  <w:footnote w:id="214">
    <w:p w14:paraId="38C9829E"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Northern Health Science Alliance (2021), </w:t>
      </w:r>
      <w:hyperlink r:id="rId218" w:history="1">
        <w:r w:rsidRPr="00BC3776">
          <w:rPr>
            <w:rStyle w:val="Hyperlink"/>
            <w:rFonts w:cstheme="minorHAnsi"/>
            <w:szCs w:val="24"/>
          </w:rPr>
          <w:t>Child of the north: building a fairer future after COVID-19</w:t>
        </w:r>
      </w:hyperlink>
      <w:r w:rsidRPr="00BC3776">
        <w:rPr>
          <w:rFonts w:cstheme="minorHAnsi"/>
          <w:szCs w:val="24"/>
        </w:rPr>
        <w:t xml:space="preserve"> [accessed: 2 May 2022], p.25.</w:t>
      </w:r>
    </w:p>
  </w:footnote>
  <w:footnote w:id="215">
    <w:p w14:paraId="25A4B1CE" w14:textId="71E5C6AE"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Allegretti, A. (2021), </w:t>
      </w:r>
      <w:hyperlink r:id="rId219" w:history="1">
        <w:r w:rsidRPr="00BC3776">
          <w:rPr>
            <w:rStyle w:val="Hyperlink"/>
            <w:rFonts w:cstheme="minorHAnsi"/>
            <w:szCs w:val="24"/>
          </w:rPr>
          <w:t>Spike in students calling ChildLine about exam stress, report reveals</w:t>
        </w:r>
      </w:hyperlink>
      <w:r w:rsidRPr="00BC3776">
        <w:rPr>
          <w:rFonts w:cstheme="minorHAnsi"/>
          <w:szCs w:val="24"/>
        </w:rPr>
        <w:t>, Guardian [accessed: 2 May 2022].</w:t>
      </w:r>
    </w:p>
  </w:footnote>
  <w:footnote w:id="216">
    <w:p w14:paraId="3A45ED79" w14:textId="0E113872"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Northern Health Science Alliance (2021), </w:t>
      </w:r>
      <w:hyperlink r:id="rId220" w:history="1">
        <w:r w:rsidRPr="00BC3776">
          <w:rPr>
            <w:rStyle w:val="Hyperlink"/>
            <w:rFonts w:cstheme="minorHAnsi"/>
            <w:szCs w:val="24"/>
          </w:rPr>
          <w:t>Child of the north: building a fairer future after COVID-19</w:t>
        </w:r>
      </w:hyperlink>
      <w:r w:rsidRPr="00BC3776">
        <w:rPr>
          <w:rFonts w:cstheme="minorHAnsi"/>
          <w:szCs w:val="24"/>
        </w:rPr>
        <w:t xml:space="preserve"> [accessed</w:t>
      </w:r>
      <w:r>
        <w:rPr>
          <w:rFonts w:cstheme="minorHAnsi"/>
          <w:szCs w:val="24"/>
        </w:rPr>
        <w:t>:</w:t>
      </w:r>
      <w:r w:rsidRPr="00BC3776">
        <w:rPr>
          <w:rFonts w:cstheme="minorHAnsi"/>
          <w:szCs w:val="24"/>
        </w:rPr>
        <w:t xml:space="preserve"> 2 May 2022], p.25.</w:t>
      </w:r>
    </w:p>
  </w:footnote>
  <w:footnote w:id="217">
    <w:p w14:paraId="27B4194B"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Nuffield Trust (2022), </w:t>
      </w:r>
      <w:hyperlink r:id="rId221" w:history="1">
        <w:r w:rsidRPr="00BC3776">
          <w:rPr>
            <w:rStyle w:val="Hyperlink"/>
            <w:rFonts w:cstheme="minorHAnsi"/>
            <w:szCs w:val="24"/>
          </w:rPr>
          <w:t>Growing problems, in depth: the impact of Covid-19 on health care for children and young people in England</w:t>
        </w:r>
      </w:hyperlink>
      <w:r w:rsidRPr="00BC3776">
        <w:rPr>
          <w:rFonts w:cstheme="minorHAnsi"/>
          <w:szCs w:val="24"/>
        </w:rPr>
        <w:t xml:space="preserve"> [accessed: 2 May 2022].</w:t>
      </w:r>
    </w:p>
  </w:footnote>
  <w:footnote w:id="218">
    <w:p w14:paraId="433B2006"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Department for Education (2022), </w:t>
      </w:r>
      <w:hyperlink r:id="rId222" w:history="1">
        <w:r w:rsidRPr="00BC3776">
          <w:rPr>
            <w:rStyle w:val="Hyperlink"/>
            <w:rFonts w:cstheme="minorHAnsi"/>
            <w:szCs w:val="24"/>
          </w:rPr>
          <w:t>What we are doing to improve the mental health of children and young people</w:t>
        </w:r>
      </w:hyperlink>
      <w:r w:rsidRPr="00BC3776">
        <w:rPr>
          <w:rFonts w:cstheme="minorHAnsi"/>
          <w:szCs w:val="24"/>
        </w:rPr>
        <w:t xml:space="preserve"> [accessed: 2 May 2022].</w:t>
      </w:r>
    </w:p>
  </w:footnote>
  <w:footnote w:id="219">
    <w:p w14:paraId="4E484E7C"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(2021), </w:t>
      </w:r>
      <w:hyperlink r:id="rId223" w:history="1">
        <w:r w:rsidRPr="00BC3776">
          <w:rPr>
            <w:rStyle w:val="Hyperlink"/>
            <w:rFonts w:cstheme="minorHAnsi"/>
            <w:szCs w:val="24"/>
          </w:rPr>
          <w:t>Pledge to support youth with extra £9.4m investment in children and young people mental health services</w:t>
        </w:r>
      </w:hyperlink>
      <w:r w:rsidRPr="00BC3776">
        <w:rPr>
          <w:rFonts w:cstheme="minorHAnsi"/>
          <w:szCs w:val="24"/>
        </w:rPr>
        <w:t xml:space="preserve"> [accessed: 2 May 2022].</w:t>
      </w:r>
    </w:p>
  </w:footnote>
  <w:footnote w:id="220">
    <w:p w14:paraId="46F7CFC0" w14:textId="41892A4C"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Parliament (2021) </w:t>
      </w:r>
      <w:hyperlink r:id="rId224" w:history="1">
        <w:r w:rsidRPr="00BC3776">
          <w:rPr>
            <w:rStyle w:val="Hyperlink"/>
            <w:rFonts w:cstheme="minorHAnsi"/>
            <w:szCs w:val="24"/>
          </w:rPr>
          <w:t>Research briefing: children’s mental health and the COVID-19 pandemic</w:t>
        </w:r>
      </w:hyperlink>
      <w:r w:rsidRPr="00BC3776">
        <w:rPr>
          <w:rFonts w:cstheme="minorHAnsi"/>
          <w:szCs w:val="24"/>
        </w:rPr>
        <w:t xml:space="preserve"> [accessed: 2 May 2022</w:t>
      </w:r>
      <w:r>
        <w:rPr>
          <w:rFonts w:cstheme="minorHAnsi"/>
          <w:szCs w:val="24"/>
        </w:rPr>
        <w:t>], p.1</w:t>
      </w:r>
      <w:r w:rsidRPr="00BC3776">
        <w:rPr>
          <w:rFonts w:cstheme="minorHAnsi"/>
          <w:szCs w:val="24"/>
        </w:rPr>
        <w:t xml:space="preserve"> and </w:t>
      </w:r>
      <w:r>
        <w:rPr>
          <w:rFonts w:cstheme="minorHAnsi"/>
          <w:szCs w:val="24"/>
        </w:rPr>
        <w:t>p.</w:t>
      </w:r>
      <w:r w:rsidRPr="00BC3776">
        <w:rPr>
          <w:rFonts w:cstheme="minorHAnsi"/>
          <w:szCs w:val="24"/>
        </w:rPr>
        <w:t xml:space="preserve">4; Local Government Association (2022), </w:t>
      </w:r>
      <w:hyperlink r:id="rId225" w:history="1">
        <w:r w:rsidRPr="00BC3776">
          <w:rPr>
            <w:rStyle w:val="Hyperlink"/>
            <w:rFonts w:cstheme="minorHAnsi"/>
            <w:szCs w:val="24"/>
          </w:rPr>
          <w:t>Surge in children with mental health problems seen by councils during the pandemic</w:t>
        </w:r>
      </w:hyperlink>
      <w:r w:rsidRPr="00BC3776">
        <w:rPr>
          <w:rFonts w:cstheme="minorHAnsi"/>
          <w:szCs w:val="24"/>
        </w:rPr>
        <w:t xml:space="preserve"> [accessed: 2 May 2022]; Children’s Commissioner for England (2022), </w:t>
      </w:r>
      <w:hyperlink r:id="rId226" w:history="1">
        <w:r w:rsidRPr="00BC3776">
          <w:rPr>
            <w:rStyle w:val="Hyperlink"/>
            <w:rFonts w:cstheme="minorHAnsi"/>
            <w:szCs w:val="24"/>
          </w:rPr>
          <w:t>Briefing on children’s mental health services – 2020/2021</w:t>
        </w:r>
      </w:hyperlink>
      <w:r w:rsidRPr="00BC3776">
        <w:rPr>
          <w:rFonts w:cstheme="minorHAnsi"/>
          <w:szCs w:val="24"/>
        </w:rPr>
        <w:t xml:space="preserve"> [accessed: 2 May 2022].</w:t>
      </w:r>
    </w:p>
  </w:footnote>
  <w:footnote w:id="221">
    <w:p w14:paraId="2BE9D763"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Morris, J. and Dr Fisher, E (2022), </w:t>
      </w:r>
      <w:hyperlink r:id="rId227" w:history="1">
        <w:r w:rsidRPr="00BC3776">
          <w:rPr>
            <w:rStyle w:val="Hyperlink"/>
            <w:rFonts w:cstheme="minorHAnsi"/>
            <w:szCs w:val="24"/>
          </w:rPr>
          <w:t>Growing problems, in depth: the impact of Covid-19 on health care for children and young people in England</w:t>
        </w:r>
      </w:hyperlink>
      <w:r w:rsidRPr="00BC3776">
        <w:rPr>
          <w:rFonts w:cstheme="minorHAnsi"/>
          <w:szCs w:val="24"/>
        </w:rPr>
        <w:t>, Nuffield Trust [accessed: 19 April 2022].</w:t>
      </w:r>
    </w:p>
  </w:footnote>
  <w:footnote w:id="222">
    <w:p w14:paraId="44F8B440"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Ibid.</w:t>
      </w:r>
    </w:p>
  </w:footnote>
  <w:footnote w:id="223">
    <w:p w14:paraId="1427D970"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NHS England (2022), </w:t>
      </w:r>
      <w:hyperlink r:id="rId228" w:history="1">
        <w:r w:rsidRPr="00BC3776">
          <w:rPr>
            <w:rStyle w:val="Hyperlink"/>
            <w:rFonts w:cstheme="minorHAnsi"/>
            <w:szCs w:val="24"/>
          </w:rPr>
          <w:t>Delivery plan for tackling the COVID-19 backlog of elective care</w:t>
        </w:r>
      </w:hyperlink>
      <w:r w:rsidRPr="00BC3776">
        <w:rPr>
          <w:rFonts w:cstheme="minorHAnsi"/>
          <w:szCs w:val="24"/>
        </w:rPr>
        <w:t xml:space="preserve"> [accessed: 19 May 2022].</w:t>
      </w:r>
    </w:p>
  </w:footnote>
  <w:footnote w:id="224">
    <w:p w14:paraId="57CD5D86" w14:textId="47EF2F7A"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and NHS Wales (2022), </w:t>
      </w:r>
      <w:hyperlink r:id="rId229" w:history="1">
        <w:r w:rsidRPr="00BC3776">
          <w:rPr>
            <w:rStyle w:val="Hyperlink"/>
            <w:rFonts w:cstheme="minorHAnsi"/>
            <w:szCs w:val="24"/>
          </w:rPr>
          <w:t>Our programme for transforming and modernising planned care and reducing waiting lists in Wales</w:t>
        </w:r>
      </w:hyperlink>
      <w:r w:rsidRPr="00BC3776">
        <w:rPr>
          <w:rFonts w:cstheme="minorHAnsi"/>
          <w:szCs w:val="24"/>
        </w:rPr>
        <w:t xml:space="preserve"> [accessed:</w:t>
      </w:r>
      <w:r>
        <w:rPr>
          <w:rFonts w:cstheme="minorHAnsi"/>
          <w:szCs w:val="24"/>
        </w:rPr>
        <w:t xml:space="preserve"> 17 August 2022], for example p</w:t>
      </w:r>
      <w:r w:rsidRPr="00BC3776">
        <w:rPr>
          <w:rFonts w:cstheme="minorHAnsi"/>
          <w:szCs w:val="24"/>
        </w:rPr>
        <w:t xml:space="preserve">.2 and </w:t>
      </w:r>
      <w:r>
        <w:rPr>
          <w:rFonts w:cstheme="minorHAnsi"/>
          <w:szCs w:val="24"/>
        </w:rPr>
        <w:t>p.</w:t>
      </w:r>
      <w:r w:rsidRPr="00BC3776">
        <w:rPr>
          <w:rFonts w:cstheme="minorHAnsi"/>
          <w:szCs w:val="24"/>
        </w:rPr>
        <w:t>23.</w:t>
      </w:r>
    </w:p>
  </w:footnote>
  <w:footnote w:id="225">
    <w:p w14:paraId="7C89D496" w14:textId="7E2BCE89"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Best Beginnings, Home Start and Parent Infant Foundation (2021), </w:t>
      </w:r>
      <w:hyperlink r:id="rId230" w:history="1">
        <w:r w:rsidRPr="00BC3776">
          <w:rPr>
            <w:rStyle w:val="Hyperlink"/>
            <w:rFonts w:cstheme="minorHAnsi"/>
            <w:szCs w:val="24"/>
          </w:rPr>
          <w:t>‘Babies in Lockdown: No one wants to see my baby’</w:t>
        </w:r>
      </w:hyperlink>
      <w:r w:rsidRPr="00BC3776">
        <w:rPr>
          <w:rFonts w:cstheme="minorHAnsi"/>
          <w:szCs w:val="24"/>
        </w:rPr>
        <w:t xml:space="preserve"> [accessed: 17</w:t>
      </w:r>
      <w:r w:rsidRPr="00BC3776">
        <w:rPr>
          <w:rFonts w:cstheme="minorHAnsi"/>
          <w:szCs w:val="24"/>
          <w:vertAlign w:val="superscript"/>
        </w:rPr>
        <w:t xml:space="preserve"> </w:t>
      </w:r>
      <w:r w:rsidRPr="00BC3776">
        <w:rPr>
          <w:rFonts w:cstheme="minorHAnsi"/>
          <w:szCs w:val="24"/>
        </w:rPr>
        <w:t>February 2022], pp.</w:t>
      </w:r>
      <w:r>
        <w:rPr>
          <w:rFonts w:cstheme="minorHAnsi"/>
          <w:szCs w:val="24"/>
        </w:rPr>
        <w:t xml:space="preserve"> 11–</w:t>
      </w:r>
      <w:r w:rsidRPr="00BC3776">
        <w:rPr>
          <w:rFonts w:cstheme="minorHAnsi"/>
          <w:szCs w:val="24"/>
        </w:rPr>
        <w:t>14.</w:t>
      </w:r>
    </w:p>
  </w:footnote>
  <w:footnote w:id="226">
    <w:p w14:paraId="4EAD88CF"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Reed, J. and Parish, N. (2021), ‘</w:t>
      </w:r>
      <w:hyperlink r:id="rId231" w:history="1">
        <w:r w:rsidRPr="00BC3776">
          <w:rPr>
            <w:rStyle w:val="Hyperlink"/>
            <w:rFonts w:cstheme="minorHAnsi"/>
            <w:szCs w:val="24"/>
          </w:rPr>
          <w:t>Working for Babies: Lockdown lessons from local systems’</w:t>
        </w:r>
      </w:hyperlink>
      <w:r w:rsidRPr="00BC3776">
        <w:rPr>
          <w:rFonts w:cstheme="minorHAnsi"/>
          <w:szCs w:val="24"/>
        </w:rPr>
        <w:t>, Parent Infant Foundation [accessed: 17</w:t>
      </w:r>
      <w:r w:rsidRPr="00BC3776">
        <w:rPr>
          <w:rFonts w:cstheme="minorHAnsi"/>
          <w:szCs w:val="24"/>
          <w:vertAlign w:val="superscript"/>
        </w:rPr>
        <w:t xml:space="preserve"> </w:t>
      </w:r>
      <w:r w:rsidRPr="00BC3776">
        <w:rPr>
          <w:rFonts w:cstheme="minorHAnsi"/>
          <w:szCs w:val="24"/>
        </w:rPr>
        <w:t>February 2022], p.14.</w:t>
      </w:r>
    </w:p>
  </w:footnote>
  <w:footnote w:id="227">
    <w:p w14:paraId="72665306" w14:textId="2E7E1509"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Public Health England (2021), </w:t>
      </w:r>
      <w:hyperlink r:id="rId232" w:history="1">
        <w:r w:rsidRPr="00BC3776">
          <w:rPr>
            <w:rStyle w:val="Hyperlink"/>
            <w:rFonts w:cstheme="minorHAnsi"/>
            <w:szCs w:val="24"/>
          </w:rPr>
          <w:t>Inequalities in child development</w:t>
        </w:r>
      </w:hyperlink>
      <w:r w:rsidRPr="00BC3776">
        <w:rPr>
          <w:rFonts w:cstheme="minorHAnsi"/>
          <w:szCs w:val="24"/>
        </w:rPr>
        <w:t xml:space="preserve"> </w:t>
      </w:r>
      <w:r>
        <w:rPr>
          <w:rFonts w:cstheme="minorHAnsi"/>
          <w:szCs w:val="24"/>
        </w:rPr>
        <w:t>[accessed: 19 April 2022], see data t</w:t>
      </w:r>
      <w:r w:rsidRPr="00BC3776">
        <w:rPr>
          <w:rFonts w:cstheme="minorHAnsi"/>
          <w:szCs w:val="24"/>
        </w:rPr>
        <w:t>ables.</w:t>
      </w:r>
    </w:p>
  </w:footnote>
  <w:footnote w:id="228">
    <w:p w14:paraId="5A8C079C"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Measured according to the Index of Multiple Deprivation (IMD).</w:t>
      </w:r>
    </w:p>
  </w:footnote>
  <w:footnote w:id="229">
    <w:p w14:paraId="490CE462"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Office for National Statistics (2022), </w:t>
      </w:r>
      <w:hyperlink r:id="rId233" w:anchor=":~:text=In%202020%2C%20the%20infant%20mortality,remained%20fairly%20stable%20since%202014." w:history="1">
        <w:r w:rsidRPr="00BC3776">
          <w:rPr>
            <w:rStyle w:val="Hyperlink"/>
            <w:rFonts w:cstheme="minorHAnsi"/>
            <w:szCs w:val="24"/>
          </w:rPr>
          <w:t>Child and infant mortality in England and Wales: 2020</w:t>
        </w:r>
      </w:hyperlink>
      <w:r w:rsidRPr="00BC3776">
        <w:rPr>
          <w:rFonts w:cstheme="minorHAnsi"/>
          <w:szCs w:val="24"/>
        </w:rPr>
        <w:t xml:space="preserve"> [accessed: 20 July 2022].</w:t>
      </w:r>
    </w:p>
  </w:footnote>
  <w:footnote w:id="230">
    <w:p w14:paraId="0EA24EFC"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Public Health Wales (2022), </w:t>
      </w:r>
      <w:hyperlink r:id="rId234" w:history="1">
        <w:r w:rsidRPr="00BC3776">
          <w:rPr>
            <w:rStyle w:val="Hyperlink"/>
            <w:rFonts w:cstheme="minorHAnsi"/>
            <w:szCs w:val="24"/>
          </w:rPr>
          <w:t>Patterns and trends of child deaths in Wales 2011-2020</w:t>
        </w:r>
      </w:hyperlink>
      <w:r w:rsidRPr="00BC3776">
        <w:rPr>
          <w:rFonts w:cstheme="minorHAnsi"/>
          <w:szCs w:val="24"/>
        </w:rPr>
        <w:t xml:space="preserve"> [accessed: 9 June 2022], p.7.</w:t>
      </w:r>
    </w:p>
  </w:footnote>
  <w:footnote w:id="231">
    <w:p w14:paraId="03BCC2B0"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Office for National Statistics (2022), </w:t>
      </w:r>
      <w:hyperlink r:id="rId235" w:history="1">
        <w:r w:rsidRPr="00BC3776">
          <w:rPr>
            <w:rStyle w:val="Hyperlink"/>
            <w:rFonts w:cstheme="minorHAnsi"/>
            <w:szCs w:val="24"/>
          </w:rPr>
          <w:t>Child mortality (death cohort) tables in England and Wales: 2020</w:t>
        </w:r>
      </w:hyperlink>
      <w:r w:rsidRPr="00BC3776">
        <w:rPr>
          <w:rFonts w:cstheme="minorHAnsi"/>
          <w:szCs w:val="24"/>
        </w:rPr>
        <w:t>, Reference Table 18 [accessed: 17 February 2022].</w:t>
      </w:r>
    </w:p>
  </w:footnote>
  <w:footnote w:id="232">
    <w:p w14:paraId="7B8582B2"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Best Beginnings, Home Start and Parent-Infant Foundation (2021), </w:t>
      </w:r>
      <w:hyperlink r:id="rId236" w:history="1">
        <w:r w:rsidRPr="00BC3776">
          <w:rPr>
            <w:rStyle w:val="Hyperlink"/>
            <w:rFonts w:cstheme="minorHAnsi"/>
            <w:szCs w:val="24"/>
          </w:rPr>
          <w:t>Babies in lockdown: “no one wants to see my baby”: challenges to building back better for babies</w:t>
        </w:r>
      </w:hyperlink>
      <w:r w:rsidRPr="00BC3776">
        <w:rPr>
          <w:rFonts w:cstheme="minorHAnsi"/>
          <w:szCs w:val="24"/>
        </w:rPr>
        <w:t xml:space="preserve"> [accessed: 19 April 2022], p.6.</w:t>
      </w:r>
    </w:p>
  </w:footnote>
  <w:footnote w:id="233">
    <w:p w14:paraId="230A34EF"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Children and Young People’s Mental Health Coalition (2021), </w:t>
      </w:r>
      <w:hyperlink r:id="rId237" w:history="1">
        <w:r w:rsidRPr="00BC3776">
          <w:rPr>
            <w:rStyle w:val="Hyperlink"/>
            <w:rFonts w:cstheme="minorHAnsi"/>
            <w:szCs w:val="24"/>
          </w:rPr>
          <w:t>The Mental Health Act: what does it mean for children and young people?</w:t>
        </w:r>
      </w:hyperlink>
      <w:r w:rsidRPr="00BC3776">
        <w:rPr>
          <w:rFonts w:cstheme="minorHAnsi"/>
          <w:szCs w:val="24"/>
        </w:rPr>
        <w:t xml:space="preserve"> [accessed: 2 May 2022]; UK House of Commons Health and Social Care Committee (2021), </w:t>
      </w:r>
      <w:hyperlink r:id="rId238" w:history="1">
        <w:r w:rsidRPr="00BC3776">
          <w:rPr>
            <w:rStyle w:val="Hyperlink"/>
            <w:rFonts w:cstheme="minorHAnsi"/>
            <w:szCs w:val="24"/>
          </w:rPr>
          <w:t>Children and young people’s mental health</w:t>
        </w:r>
      </w:hyperlink>
      <w:r w:rsidRPr="00BC3776">
        <w:rPr>
          <w:rFonts w:cstheme="minorHAnsi"/>
          <w:szCs w:val="24"/>
        </w:rPr>
        <w:t xml:space="preserve"> [accessed: 2 May 2022], p.39.</w:t>
      </w:r>
    </w:p>
  </w:footnote>
  <w:footnote w:id="234">
    <w:p w14:paraId="599D76C3" w14:textId="4CE0F056"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Care Quality Commission (2022), </w:t>
      </w:r>
      <w:hyperlink r:id="rId239" w:history="1">
        <w:r w:rsidRPr="00BC3776">
          <w:rPr>
            <w:rStyle w:val="Hyperlink"/>
            <w:rFonts w:cstheme="minorHAnsi"/>
            <w:szCs w:val="24"/>
          </w:rPr>
          <w:t>Monitoring the Mental Health Act in 2020/21</w:t>
        </w:r>
      </w:hyperlink>
      <w:r w:rsidRPr="00BC3776">
        <w:rPr>
          <w:rFonts w:cstheme="minorHAnsi"/>
          <w:szCs w:val="24"/>
        </w:rPr>
        <w:t xml:space="preserve"> [accessed</w:t>
      </w:r>
      <w:r>
        <w:rPr>
          <w:rFonts w:cstheme="minorHAnsi"/>
          <w:szCs w:val="24"/>
        </w:rPr>
        <w:t>:</w:t>
      </w:r>
      <w:r w:rsidRPr="00BC3776">
        <w:rPr>
          <w:rFonts w:cstheme="minorHAnsi"/>
          <w:szCs w:val="24"/>
        </w:rPr>
        <w:t xml:space="preserve"> 15 September 2022], p.52.</w:t>
      </w:r>
    </w:p>
  </w:footnote>
  <w:footnote w:id="235">
    <w:p w14:paraId="08E1EAB0"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Article 39 (2020), </w:t>
      </w:r>
      <w:hyperlink r:id="rId240" w:history="1">
        <w:r w:rsidRPr="00BC3776">
          <w:rPr>
            <w:rStyle w:val="Hyperlink"/>
            <w:rFonts w:cstheme="minorHAnsi"/>
            <w:szCs w:val="24"/>
          </w:rPr>
          <w:t>A safe space? The rights of children in mental health inpatient care</w:t>
        </w:r>
      </w:hyperlink>
      <w:r w:rsidRPr="00BC3776">
        <w:rPr>
          <w:rFonts w:cstheme="minorHAnsi"/>
          <w:szCs w:val="24"/>
        </w:rPr>
        <w:t xml:space="preserve"> [accessed: 2 May 2022], p.4.</w:t>
      </w:r>
    </w:p>
  </w:footnote>
  <w:footnote w:id="236">
    <w:p w14:paraId="5DF51F3A"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(2020), </w:t>
      </w:r>
      <w:hyperlink r:id="rId241" w:history="1">
        <w:r w:rsidRPr="00BC3776">
          <w:rPr>
            <w:rStyle w:val="Hyperlink"/>
            <w:rFonts w:cstheme="minorHAnsi"/>
            <w:szCs w:val="24"/>
          </w:rPr>
          <w:t>Children’s rights in Great Britain</w:t>
        </w:r>
      </w:hyperlink>
      <w:r w:rsidRPr="00BC3776">
        <w:rPr>
          <w:rFonts w:cstheme="minorHAnsi"/>
          <w:szCs w:val="24"/>
        </w:rPr>
        <w:t>, p.53.</w:t>
      </w:r>
    </w:p>
  </w:footnote>
  <w:footnote w:id="237">
    <w:p w14:paraId="1FBBE43E" w14:textId="77777777" w:rsidR="0026506A" w:rsidRPr="00BC3776" w:rsidRDefault="0026506A" w:rsidP="00D87A25">
      <w:pPr>
        <w:spacing w:before="120" w:line="240" w:lineRule="auto"/>
        <w:rPr>
          <w:rFonts w:cstheme="minorHAnsi"/>
          <w:szCs w:val="24"/>
        </w:rPr>
      </w:pPr>
      <w:r w:rsidRPr="00BC3776">
        <w:rPr>
          <w:rStyle w:val="FootnoteReference"/>
          <w:rFonts w:cstheme="minorHAnsi"/>
          <w:szCs w:val="24"/>
        </w:rPr>
        <w:footnoteRef/>
      </w:r>
      <w:r w:rsidRPr="00BC3776">
        <w:rPr>
          <w:rFonts w:cstheme="minorHAnsi"/>
          <w:szCs w:val="24"/>
        </w:rPr>
        <w:t xml:space="preserve"> </w:t>
      </w:r>
      <w:r w:rsidRPr="00BC3776">
        <w:rPr>
          <w:rFonts w:cstheme="minorHAnsi"/>
          <w:color w:val="0B4E60" w:themeColor="text2"/>
          <w:szCs w:val="24"/>
        </w:rPr>
        <w:t xml:space="preserve">NHS Digital (2022), </w:t>
      </w:r>
      <w:hyperlink r:id="rId242" w:history="1">
        <w:r w:rsidRPr="00BC3776">
          <w:rPr>
            <w:rStyle w:val="Hyperlink"/>
            <w:rFonts w:cstheme="minorHAnsi"/>
            <w:szCs w:val="24"/>
          </w:rPr>
          <w:t>Learning disability services monthly statistics from Assuring Transformation dataset: Data tables</w:t>
        </w:r>
      </w:hyperlink>
      <w:r w:rsidRPr="00BC3776">
        <w:rPr>
          <w:rFonts w:cstheme="minorHAnsi"/>
          <w:szCs w:val="24"/>
        </w:rPr>
        <w:t xml:space="preserve"> </w:t>
      </w:r>
      <w:r w:rsidRPr="00BC3776">
        <w:rPr>
          <w:rFonts w:cstheme="minorHAnsi"/>
          <w:color w:val="0B4E60" w:themeColor="text2"/>
          <w:szCs w:val="24"/>
        </w:rPr>
        <w:t>[accessed: 1 November 2022].</w:t>
      </w:r>
    </w:p>
  </w:footnote>
  <w:footnote w:id="238">
    <w:p w14:paraId="062FCEC8" w14:textId="6B833D0D"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Department of Health and Social Care (2022), </w:t>
      </w:r>
      <w:hyperlink r:id="rId243" w:history="1">
        <w:r w:rsidRPr="00BC3776">
          <w:rPr>
            <w:rStyle w:val="Hyperlink"/>
            <w:rFonts w:cstheme="minorHAnsi"/>
            <w:szCs w:val="24"/>
          </w:rPr>
          <w:t>Policy paper: Draft Mental Health Bill 2022</w:t>
        </w:r>
      </w:hyperlink>
      <w:r w:rsidRPr="00BC3776">
        <w:rPr>
          <w:rFonts w:cstheme="minorHAnsi"/>
          <w:szCs w:val="24"/>
        </w:rPr>
        <w:t xml:space="preserve"> [accessed: 19 August 2022], for example see Explanatory Notes pp.</w:t>
      </w:r>
      <w:r>
        <w:rPr>
          <w:rFonts w:cstheme="minorHAnsi"/>
          <w:szCs w:val="24"/>
        </w:rPr>
        <w:t xml:space="preserve"> </w:t>
      </w:r>
      <w:r w:rsidRPr="00BC3776">
        <w:rPr>
          <w:rFonts w:cstheme="minorHAnsi"/>
          <w:szCs w:val="24"/>
        </w:rPr>
        <w:t>42-43.</w:t>
      </w:r>
    </w:p>
  </w:footnote>
  <w:footnote w:id="239">
    <w:p w14:paraId="731C813B"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(2022), </w:t>
      </w:r>
      <w:hyperlink r:id="rId244" w:history="1">
        <w:r w:rsidRPr="00BC3776">
          <w:rPr>
            <w:rStyle w:val="Hyperlink"/>
            <w:rFonts w:cstheme="minorHAnsi"/>
            <w:szCs w:val="24"/>
          </w:rPr>
          <w:t>Written evidence submitted by the Equality and Human Rights Commission (MHB0014) to the Joint Committee on the Draft Mental Health Bill</w:t>
        </w:r>
      </w:hyperlink>
      <w:r w:rsidRPr="00BC3776">
        <w:rPr>
          <w:rFonts w:cstheme="minorHAnsi"/>
          <w:szCs w:val="24"/>
        </w:rPr>
        <w:t xml:space="preserve"> [accessed: 10 October 2022], for example see paras. 9-10; The Association for Child and Adolescent Mental Health (2021), </w:t>
      </w:r>
      <w:hyperlink r:id="rId245" w:history="1">
        <w:r w:rsidRPr="00BC3776">
          <w:rPr>
            <w:rStyle w:val="Hyperlink"/>
            <w:rFonts w:cstheme="minorHAnsi"/>
            <w:szCs w:val="24"/>
          </w:rPr>
          <w:t>Mental Health Act white paper: potential implications for children and young people</w:t>
        </w:r>
      </w:hyperlink>
      <w:r w:rsidRPr="00BC3776">
        <w:rPr>
          <w:rFonts w:cstheme="minorHAnsi"/>
          <w:szCs w:val="24"/>
        </w:rPr>
        <w:t xml:space="preserve"> [accessed: 2 May 2022].</w:t>
      </w:r>
    </w:p>
  </w:footnote>
  <w:footnote w:id="240">
    <w:p w14:paraId="7E009876" w14:textId="679EF952" w:rsidR="0026506A" w:rsidRPr="00BC3776" w:rsidRDefault="0026506A" w:rsidP="00D87A25">
      <w:pPr>
        <w:pStyle w:val="FootnoteText"/>
        <w:rPr>
          <w:rFonts w:cstheme="minorHAnsi"/>
          <w:szCs w:val="24"/>
        </w:rPr>
      </w:pPr>
      <w:r w:rsidRPr="00BC3776">
        <w:rPr>
          <w:rStyle w:val="FootnoteReference"/>
          <w:rFonts w:cstheme="minorHAnsi"/>
          <w:szCs w:val="24"/>
        </w:rPr>
        <w:footnoteRef/>
      </w:r>
      <w:r w:rsidRPr="00BC3776">
        <w:rPr>
          <w:rFonts w:cstheme="minorHAnsi"/>
          <w:szCs w:val="24"/>
        </w:rPr>
        <w:t xml:space="preserve"> The Children’s Society, </w:t>
      </w:r>
      <w:hyperlink r:id="rId246" w:history="1">
        <w:r w:rsidRPr="00BC3776">
          <w:rPr>
            <w:rStyle w:val="Hyperlink"/>
            <w:rFonts w:cstheme="minorHAnsi"/>
            <w:szCs w:val="24"/>
          </w:rPr>
          <w:t>What are the effects of child poverty?</w:t>
        </w:r>
      </w:hyperlink>
      <w:r w:rsidRPr="00BC3776">
        <w:rPr>
          <w:rFonts w:cstheme="minorHAnsi"/>
          <w:szCs w:val="24"/>
        </w:rPr>
        <w:t xml:space="preserve"> [accessed</w:t>
      </w:r>
      <w:r>
        <w:rPr>
          <w:rFonts w:cstheme="minorHAnsi"/>
          <w:szCs w:val="24"/>
        </w:rPr>
        <w:t>:</w:t>
      </w:r>
      <w:r w:rsidRPr="00BC3776">
        <w:rPr>
          <w:rFonts w:cstheme="minorHAnsi"/>
          <w:szCs w:val="24"/>
        </w:rPr>
        <w:t xml:space="preserve"> 4 April 2022]; Social Mobility Commission (2021), </w:t>
      </w:r>
      <w:hyperlink r:id="rId247" w:history="1">
        <w:r w:rsidRPr="00BC3776">
          <w:rPr>
            <w:rStyle w:val="Hyperlink"/>
            <w:rFonts w:cstheme="minorHAnsi"/>
            <w:szCs w:val="24"/>
          </w:rPr>
          <w:t>State of the nation 2021: Social mobility and the pandemic</w:t>
        </w:r>
      </w:hyperlink>
      <w:r w:rsidRPr="00BC3776">
        <w:rPr>
          <w:rFonts w:cstheme="minorHAnsi"/>
          <w:szCs w:val="24"/>
        </w:rPr>
        <w:t xml:space="preserve"> [accessed: 4 April 2022], p.28; Chard, Dr. A., (West Midlands Combined Authority and West Midlands Police and Crime Commissioner) (2021), </w:t>
      </w:r>
      <w:hyperlink r:id="rId248" w:history="1">
        <w:r w:rsidRPr="00BC3776">
          <w:rPr>
            <w:rStyle w:val="Hyperlink"/>
            <w:rFonts w:cstheme="minorHAnsi"/>
            <w:szCs w:val="24"/>
          </w:rPr>
          <w:t>Punishing abuse: children in the West Midlands criminal justice system</w:t>
        </w:r>
      </w:hyperlink>
      <w:r w:rsidRPr="00BC3776">
        <w:rPr>
          <w:rFonts w:cstheme="minorHAnsi"/>
          <w:szCs w:val="24"/>
        </w:rPr>
        <w:t xml:space="preserve"> [accessed</w:t>
      </w:r>
      <w:r>
        <w:rPr>
          <w:rFonts w:cstheme="minorHAnsi"/>
          <w:szCs w:val="24"/>
        </w:rPr>
        <w:t>:</w:t>
      </w:r>
      <w:r w:rsidRPr="00BC3776">
        <w:rPr>
          <w:rFonts w:cstheme="minorHAnsi"/>
          <w:szCs w:val="24"/>
        </w:rPr>
        <w:t xml:space="preserve"> 30 September 2022].</w:t>
      </w:r>
    </w:p>
  </w:footnote>
  <w:footnote w:id="241">
    <w:p w14:paraId="77E5EDA9" w14:textId="7777777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Relative poverty measures household incomes below 60% of the median in that year, after housing costs. </w:t>
      </w:r>
    </w:p>
  </w:footnote>
  <w:footnote w:id="242">
    <w:p w14:paraId="4ADB63E8" w14:textId="0336DD9B"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w:t>
      </w:r>
      <w:r>
        <w:rPr>
          <w:rFonts w:cstheme="minorHAnsi"/>
          <w:szCs w:val="24"/>
        </w:rPr>
        <w:t xml:space="preserve">Department for Work and Pensions </w:t>
      </w:r>
      <w:r w:rsidRPr="00BC3776">
        <w:rPr>
          <w:rFonts w:cstheme="minorHAnsi"/>
          <w:szCs w:val="24"/>
        </w:rPr>
        <w:t xml:space="preserve">(2022), </w:t>
      </w:r>
      <w:hyperlink r:id="rId249" w:history="1">
        <w:r w:rsidRPr="00BC3776">
          <w:rPr>
            <w:rStyle w:val="Hyperlink"/>
            <w:rFonts w:cstheme="minorHAnsi"/>
            <w:szCs w:val="24"/>
          </w:rPr>
          <w:t>National statistics: Households below average income: for financial years ending 1995 to 2021</w:t>
        </w:r>
      </w:hyperlink>
      <w:r w:rsidRPr="00BC3776">
        <w:rPr>
          <w:rFonts w:cstheme="minorHAnsi"/>
          <w:szCs w:val="24"/>
        </w:rPr>
        <w:t>, HBAI summary results [accessed</w:t>
      </w:r>
      <w:r>
        <w:rPr>
          <w:rFonts w:cstheme="minorHAnsi"/>
          <w:szCs w:val="24"/>
        </w:rPr>
        <w:t>:</w:t>
      </w:r>
      <w:r w:rsidRPr="00BC3776">
        <w:rPr>
          <w:rFonts w:cstheme="minorHAnsi"/>
          <w:szCs w:val="24"/>
        </w:rPr>
        <w:t xml:space="preserve"> 4 April 2022], see Table 1_4b.</w:t>
      </w:r>
    </w:p>
  </w:footnote>
  <w:footnote w:id="243">
    <w:p w14:paraId="5D948A54" w14:textId="51912E80"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Joseph Rowntree Foundation (2022), </w:t>
      </w:r>
      <w:hyperlink r:id="rId250" w:history="1">
        <w:r w:rsidRPr="00BC3776">
          <w:rPr>
            <w:rStyle w:val="Hyperlink"/>
            <w:rFonts w:cstheme="minorHAnsi"/>
            <w:szCs w:val="24"/>
          </w:rPr>
          <w:t>UK Poverty 2022: the essential guide to understanding poverty in the UK</w:t>
        </w:r>
      </w:hyperlink>
      <w:r w:rsidRPr="00BC3776">
        <w:rPr>
          <w:rFonts w:cstheme="minorHAnsi"/>
          <w:szCs w:val="24"/>
        </w:rPr>
        <w:t xml:space="preserve"> [accessed</w:t>
      </w:r>
      <w:r>
        <w:rPr>
          <w:rFonts w:cstheme="minorHAnsi"/>
          <w:szCs w:val="24"/>
        </w:rPr>
        <w:t>:</w:t>
      </w:r>
      <w:r w:rsidRPr="00BC3776">
        <w:rPr>
          <w:rFonts w:cstheme="minorHAnsi"/>
          <w:szCs w:val="24"/>
        </w:rPr>
        <w:t xml:space="preserve"> 4 April 2022], p.11.</w:t>
      </w:r>
    </w:p>
  </w:footnote>
  <w:footnote w:id="244">
    <w:p w14:paraId="268BAA8F" w14:textId="3BD0F816"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w:t>
      </w:r>
      <w:r>
        <w:rPr>
          <w:rFonts w:cstheme="minorHAnsi"/>
          <w:szCs w:val="24"/>
        </w:rPr>
        <w:t xml:space="preserve">Department for Work and Pensions </w:t>
      </w:r>
      <w:r w:rsidRPr="00BC3776">
        <w:rPr>
          <w:rFonts w:cstheme="minorHAnsi"/>
          <w:szCs w:val="24"/>
        </w:rPr>
        <w:t xml:space="preserve">(2021), </w:t>
      </w:r>
      <w:hyperlink r:id="rId251" w:history="1">
        <w:r w:rsidRPr="00BC3776">
          <w:rPr>
            <w:rStyle w:val="Hyperlink"/>
            <w:rFonts w:cstheme="minorHAnsi"/>
            <w:szCs w:val="24"/>
          </w:rPr>
          <w:t>National statistics: Households below average income: for financial years ending 1995 to 2020</w:t>
        </w:r>
      </w:hyperlink>
      <w:r w:rsidRPr="00BC3776">
        <w:rPr>
          <w:rFonts w:cstheme="minorHAnsi"/>
          <w:szCs w:val="24"/>
        </w:rPr>
        <w:t>, Data tables, Children HBAI detailed breakdown 2019-20 tables [accessed</w:t>
      </w:r>
      <w:r>
        <w:rPr>
          <w:rFonts w:cstheme="minorHAnsi"/>
          <w:szCs w:val="24"/>
        </w:rPr>
        <w:t>:</w:t>
      </w:r>
      <w:r w:rsidRPr="00BC3776">
        <w:rPr>
          <w:rFonts w:cstheme="minorHAnsi"/>
          <w:szCs w:val="24"/>
        </w:rPr>
        <w:t xml:space="preserve"> 4 April 2022], see Table 4_6db.</w:t>
      </w:r>
    </w:p>
  </w:footnote>
  <w:footnote w:id="245">
    <w:p w14:paraId="571AF4F5" w14:textId="16A304BA"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(2015), </w:t>
      </w:r>
      <w:hyperlink r:id="rId252" w:history="1">
        <w:r w:rsidRPr="00BC3776">
          <w:rPr>
            <w:rStyle w:val="Hyperlink"/>
            <w:rFonts w:cstheme="minorHAnsi"/>
            <w:szCs w:val="24"/>
          </w:rPr>
          <w:t>Child poverty strategy for Wales</w:t>
        </w:r>
      </w:hyperlink>
      <w:r w:rsidRPr="00BC3776">
        <w:rPr>
          <w:rFonts w:cstheme="minorHAnsi"/>
          <w:szCs w:val="24"/>
        </w:rPr>
        <w:t xml:space="preserve"> [accessed</w:t>
      </w:r>
      <w:r>
        <w:rPr>
          <w:rFonts w:cstheme="minorHAnsi"/>
          <w:szCs w:val="24"/>
        </w:rPr>
        <w:t>:</w:t>
      </w:r>
      <w:r w:rsidRPr="00BC3776">
        <w:rPr>
          <w:rFonts w:cstheme="minorHAnsi"/>
          <w:szCs w:val="24"/>
        </w:rPr>
        <w:t xml:space="preserve"> 24 October 2022]; Welsh Government (2020), </w:t>
      </w:r>
      <w:hyperlink r:id="rId253" w:history="1">
        <w:r w:rsidRPr="00BC3776">
          <w:rPr>
            <w:rStyle w:val="Hyperlink"/>
            <w:rFonts w:cstheme="minorHAnsi"/>
            <w:szCs w:val="24"/>
          </w:rPr>
          <w:t>Child poverty: income maximisation action plan 2020 to 2021</w:t>
        </w:r>
      </w:hyperlink>
      <w:r w:rsidRPr="00BC3776">
        <w:rPr>
          <w:rFonts w:cstheme="minorHAnsi"/>
          <w:szCs w:val="24"/>
        </w:rPr>
        <w:t xml:space="preserve"> [accessed</w:t>
      </w:r>
      <w:r>
        <w:rPr>
          <w:rFonts w:cstheme="minorHAnsi"/>
          <w:szCs w:val="24"/>
        </w:rPr>
        <w:t>:</w:t>
      </w:r>
      <w:r w:rsidRPr="00BC3776">
        <w:rPr>
          <w:rFonts w:cstheme="minorHAnsi"/>
          <w:szCs w:val="24"/>
        </w:rPr>
        <w:t xml:space="preserve"> 6 April 2022].</w:t>
      </w:r>
    </w:p>
  </w:footnote>
  <w:footnote w:id="246">
    <w:p w14:paraId="40344002" w14:textId="67C70562"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w:t>
      </w:r>
      <w:r>
        <w:rPr>
          <w:rFonts w:cstheme="minorHAnsi"/>
          <w:szCs w:val="24"/>
        </w:rPr>
        <w:t xml:space="preserve">Department for Work and Pensions </w:t>
      </w:r>
      <w:r w:rsidRPr="00BC3776">
        <w:rPr>
          <w:rFonts w:cstheme="minorHAnsi"/>
          <w:szCs w:val="24"/>
        </w:rPr>
        <w:t xml:space="preserve">(2022), </w:t>
      </w:r>
      <w:hyperlink r:id="rId254" w:history="1">
        <w:r w:rsidRPr="00BC3776">
          <w:rPr>
            <w:rStyle w:val="Hyperlink"/>
            <w:rFonts w:cstheme="minorHAnsi"/>
            <w:szCs w:val="24"/>
          </w:rPr>
          <w:t>National statistics: Households below average income: for financial years ending 1995 to 2021</w:t>
        </w:r>
      </w:hyperlink>
      <w:r w:rsidRPr="00BC3776">
        <w:rPr>
          <w:rFonts w:cstheme="minorHAnsi"/>
          <w:szCs w:val="24"/>
        </w:rPr>
        <w:t>, HBAI summary results [accessed</w:t>
      </w:r>
      <w:r>
        <w:rPr>
          <w:rFonts w:cstheme="minorHAnsi"/>
          <w:szCs w:val="24"/>
        </w:rPr>
        <w:t>:</w:t>
      </w:r>
      <w:r w:rsidRPr="00BC3776">
        <w:rPr>
          <w:rFonts w:cstheme="minorHAnsi"/>
          <w:szCs w:val="24"/>
        </w:rPr>
        <w:t xml:space="preserve"> 4 April 2022], see Table 1_4b.</w:t>
      </w:r>
    </w:p>
  </w:footnote>
  <w:footnote w:id="247">
    <w:p w14:paraId="2F8860DF" w14:textId="082E9BE5"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(2022), </w:t>
      </w:r>
      <w:hyperlink r:id="rId255" w:history="1">
        <w:r w:rsidRPr="00BC3776">
          <w:rPr>
            <w:rStyle w:val="Hyperlink"/>
            <w:rFonts w:cstheme="minorHAnsi"/>
            <w:szCs w:val="24"/>
          </w:rPr>
          <w:t>National statistics – Technical report: assessment of the impact of COVID-19 on the HBAI statistics for FYE2021</w:t>
        </w:r>
      </w:hyperlink>
      <w:r w:rsidRPr="00BC3776">
        <w:rPr>
          <w:rFonts w:cstheme="minorHAnsi"/>
          <w:szCs w:val="24"/>
        </w:rPr>
        <w:t xml:space="preserve"> [accessed</w:t>
      </w:r>
      <w:r>
        <w:rPr>
          <w:rFonts w:cstheme="minorHAnsi"/>
          <w:szCs w:val="24"/>
        </w:rPr>
        <w:t>:</w:t>
      </w:r>
      <w:r w:rsidRPr="00BC3776">
        <w:rPr>
          <w:rFonts w:cstheme="minorHAnsi"/>
          <w:szCs w:val="24"/>
        </w:rPr>
        <w:t xml:space="preserve"> 19 August 2022].</w:t>
      </w:r>
    </w:p>
  </w:footnote>
  <w:footnote w:id="248">
    <w:p w14:paraId="1DF9242E" w14:textId="60406EC3"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Resolution Foundation (2022), </w:t>
      </w:r>
      <w:hyperlink r:id="rId256" w:history="1">
        <w:r w:rsidRPr="00BC3776">
          <w:rPr>
            <w:rStyle w:val="Hyperlink"/>
            <w:rFonts w:cstheme="minorHAnsi"/>
            <w:szCs w:val="24"/>
          </w:rPr>
          <w:t>The living standards outlook 2022</w:t>
        </w:r>
      </w:hyperlink>
      <w:r w:rsidRPr="00BC3776">
        <w:rPr>
          <w:rFonts w:cstheme="minorHAnsi"/>
          <w:szCs w:val="24"/>
        </w:rPr>
        <w:t xml:space="preserve"> [accessed</w:t>
      </w:r>
      <w:r>
        <w:rPr>
          <w:rFonts w:cstheme="minorHAnsi"/>
          <w:szCs w:val="24"/>
        </w:rPr>
        <w:t>: 19 May 2022], p.53 and</w:t>
      </w:r>
      <w:r w:rsidRPr="00BC3776">
        <w:rPr>
          <w:rFonts w:cstheme="minorHAnsi"/>
          <w:szCs w:val="24"/>
        </w:rPr>
        <w:t xml:space="preserve"> </w:t>
      </w:r>
      <w:r>
        <w:rPr>
          <w:rFonts w:cstheme="minorHAnsi"/>
          <w:szCs w:val="24"/>
        </w:rPr>
        <w:t>p.</w:t>
      </w:r>
      <w:r w:rsidRPr="00BC3776">
        <w:rPr>
          <w:rFonts w:cstheme="minorHAnsi"/>
          <w:szCs w:val="24"/>
        </w:rPr>
        <w:t>59.</w:t>
      </w:r>
    </w:p>
  </w:footnote>
  <w:footnote w:id="249">
    <w:p w14:paraId="79EDB207" w14:textId="75FA339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Ibid.</w:t>
      </w:r>
    </w:p>
  </w:footnote>
  <w:footnote w:id="250">
    <w:p w14:paraId="2ED3B506" w14:textId="055DFB6C"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w:t>
      </w:r>
      <w:r>
        <w:rPr>
          <w:rFonts w:cstheme="minorHAnsi"/>
          <w:szCs w:val="24"/>
        </w:rPr>
        <w:t xml:space="preserve">Department for Work and Pensions </w:t>
      </w:r>
      <w:r w:rsidRPr="00BC3776">
        <w:rPr>
          <w:rFonts w:cstheme="minorHAnsi"/>
          <w:szCs w:val="24"/>
        </w:rPr>
        <w:t xml:space="preserve">(2021), </w:t>
      </w:r>
      <w:hyperlink r:id="rId257" w:history="1">
        <w:r w:rsidRPr="00BC3776">
          <w:rPr>
            <w:rStyle w:val="Hyperlink"/>
            <w:rFonts w:cstheme="minorHAnsi"/>
            <w:szCs w:val="24"/>
          </w:rPr>
          <w:t>National statistics: Households below average income: for financial years ending 1995 to 2020</w:t>
        </w:r>
      </w:hyperlink>
      <w:r w:rsidRPr="00BC3776">
        <w:rPr>
          <w:rFonts w:cstheme="minorHAnsi"/>
          <w:szCs w:val="24"/>
        </w:rPr>
        <w:t>, Data tables, Children HBAI detailed breakdown 2019-20 tables [accessed</w:t>
      </w:r>
      <w:r>
        <w:rPr>
          <w:rFonts w:cstheme="minorHAnsi"/>
          <w:szCs w:val="24"/>
        </w:rPr>
        <w:t>:</w:t>
      </w:r>
      <w:r w:rsidRPr="00BC3776">
        <w:rPr>
          <w:rFonts w:cstheme="minorHAnsi"/>
          <w:szCs w:val="24"/>
        </w:rPr>
        <w:t xml:space="preserve"> 4 April 2022], see Table 4_5db. </w:t>
      </w:r>
    </w:p>
  </w:footnote>
  <w:footnote w:id="251">
    <w:p w14:paraId="0AD47209" w14:textId="7506336C"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Davies, S. and Collings, D. (2021), </w:t>
      </w:r>
      <w:hyperlink r:id="rId258" w:history="1">
        <w:r w:rsidRPr="00BC3776">
          <w:rPr>
            <w:rStyle w:val="Hyperlink"/>
            <w:rFonts w:cstheme="minorHAnsi"/>
            <w:szCs w:val="24"/>
          </w:rPr>
          <w:t>The inequality of poverty: exploring the link between the poverty premium and protected characteristics</w:t>
        </w:r>
      </w:hyperlink>
      <w:r w:rsidRPr="00BC3776">
        <w:rPr>
          <w:rStyle w:val="Hyperlink"/>
          <w:rFonts w:cstheme="minorHAnsi"/>
          <w:szCs w:val="24"/>
        </w:rPr>
        <w:t>.</w:t>
      </w:r>
      <w:r w:rsidRPr="00BC3776">
        <w:rPr>
          <w:rFonts w:cstheme="minorHAnsi"/>
          <w:szCs w:val="24"/>
        </w:rPr>
        <w:t xml:space="preserve"> University of Bristol [accessed: 24 January 2022], pp. 5-6. See also Joseph Rowntree Foundation (2022), </w:t>
      </w:r>
      <w:hyperlink r:id="rId259" w:history="1">
        <w:r w:rsidRPr="00BC3776">
          <w:rPr>
            <w:rStyle w:val="Hyperlink"/>
            <w:rFonts w:cstheme="minorHAnsi"/>
            <w:szCs w:val="24"/>
          </w:rPr>
          <w:t>UK poverty 2022</w:t>
        </w:r>
      </w:hyperlink>
      <w:r w:rsidRPr="00BC3776">
        <w:rPr>
          <w:rFonts w:cstheme="minorHAnsi"/>
          <w:szCs w:val="24"/>
        </w:rPr>
        <w:t xml:space="preserve"> [accessed: 24 January 2022], p.52 and </w:t>
      </w:r>
      <w:r>
        <w:rPr>
          <w:rFonts w:cstheme="minorHAnsi"/>
          <w:szCs w:val="24"/>
        </w:rPr>
        <w:t>pp. 57–</w:t>
      </w:r>
      <w:r w:rsidRPr="00BC3776">
        <w:rPr>
          <w:rFonts w:cstheme="minorHAnsi"/>
          <w:szCs w:val="24"/>
        </w:rPr>
        <w:t>59.</w:t>
      </w:r>
    </w:p>
  </w:footnote>
  <w:footnote w:id="252">
    <w:p w14:paraId="1327885B" w14:textId="57275849"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w:t>
      </w:r>
      <w:r>
        <w:rPr>
          <w:rFonts w:cstheme="minorHAnsi"/>
          <w:szCs w:val="24"/>
        </w:rPr>
        <w:t xml:space="preserve"> Department for Work and Pensions</w:t>
      </w:r>
      <w:r w:rsidRPr="00BC3776">
        <w:rPr>
          <w:rFonts w:cstheme="minorHAnsi"/>
          <w:szCs w:val="24"/>
        </w:rPr>
        <w:t xml:space="preserve"> (2021), </w:t>
      </w:r>
      <w:hyperlink r:id="rId260" w:history="1">
        <w:r w:rsidRPr="00BC3776">
          <w:rPr>
            <w:rStyle w:val="Hyperlink"/>
            <w:rFonts w:cstheme="minorHAnsi"/>
            <w:szCs w:val="24"/>
          </w:rPr>
          <w:t>National statistics: Households below average income: for financial years ending 1995 to 2020</w:t>
        </w:r>
      </w:hyperlink>
      <w:r w:rsidRPr="00BC3776">
        <w:rPr>
          <w:rFonts w:cstheme="minorHAnsi"/>
          <w:szCs w:val="24"/>
        </w:rPr>
        <w:t>, Data tables, Children HBAI detailed breakdown 2019-20 tables [accessed</w:t>
      </w:r>
      <w:r>
        <w:rPr>
          <w:rFonts w:cstheme="minorHAnsi"/>
          <w:szCs w:val="24"/>
        </w:rPr>
        <w:t>:</w:t>
      </w:r>
      <w:r w:rsidRPr="00BC3776">
        <w:rPr>
          <w:rFonts w:cstheme="minorHAnsi"/>
          <w:szCs w:val="24"/>
        </w:rPr>
        <w:t xml:space="preserve"> 4 April 2022], see Table 4_6db.</w:t>
      </w:r>
    </w:p>
  </w:footnote>
  <w:footnote w:id="253">
    <w:p w14:paraId="609F9441" w14:textId="57820E89"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Child Poverty Action Group (2021), </w:t>
      </w:r>
      <w:hyperlink r:id="rId261" w:history="1">
        <w:r w:rsidRPr="00BC3776">
          <w:rPr>
            <w:rStyle w:val="Hyperlink"/>
            <w:rFonts w:cstheme="minorHAnsi"/>
            <w:szCs w:val="24"/>
          </w:rPr>
          <w:t>Understanding the jump in families affected by the benefit cap</w:t>
        </w:r>
      </w:hyperlink>
      <w:r w:rsidRPr="00BC3776">
        <w:rPr>
          <w:rFonts w:cstheme="minorHAnsi"/>
          <w:szCs w:val="24"/>
        </w:rPr>
        <w:t xml:space="preserve"> [accessed</w:t>
      </w:r>
      <w:r>
        <w:rPr>
          <w:rFonts w:cstheme="minorHAnsi"/>
          <w:szCs w:val="24"/>
        </w:rPr>
        <w:t>:</w:t>
      </w:r>
      <w:r w:rsidRPr="00BC3776">
        <w:rPr>
          <w:rFonts w:cstheme="minorHAnsi"/>
          <w:szCs w:val="24"/>
        </w:rPr>
        <w:t xml:space="preserve"> 11 April 2022], p.3.</w:t>
      </w:r>
    </w:p>
  </w:footnote>
  <w:footnote w:id="254">
    <w:p w14:paraId="650777EC" w14:textId="73C9F369"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w:t>
      </w:r>
      <w:r>
        <w:rPr>
          <w:rFonts w:cstheme="minorHAnsi"/>
          <w:szCs w:val="24"/>
        </w:rPr>
        <w:t xml:space="preserve">Department for Work and Pensions </w:t>
      </w:r>
      <w:r w:rsidRPr="00BC3776">
        <w:rPr>
          <w:rFonts w:cstheme="minorHAnsi"/>
          <w:szCs w:val="24"/>
        </w:rPr>
        <w:t xml:space="preserve">(2022), </w:t>
      </w:r>
      <w:hyperlink r:id="rId262" w:anchor="characteristics-of-capped-households" w:history="1">
        <w:r w:rsidRPr="00BC3776">
          <w:rPr>
            <w:rStyle w:val="Hyperlink"/>
            <w:rFonts w:cstheme="minorHAnsi"/>
            <w:szCs w:val="24"/>
          </w:rPr>
          <w:t>Official statistics – Benefit cap: number of households capped to May 202</w:t>
        </w:r>
      </w:hyperlink>
      <w:r w:rsidRPr="00BC3776">
        <w:rPr>
          <w:rStyle w:val="Hyperlink"/>
          <w:rFonts w:cstheme="minorHAnsi"/>
          <w:szCs w:val="24"/>
        </w:rPr>
        <w:t>2</w:t>
      </w:r>
      <w:r w:rsidRPr="00BC3776">
        <w:rPr>
          <w:rFonts w:cstheme="minorHAnsi"/>
          <w:szCs w:val="24"/>
        </w:rPr>
        <w:t xml:space="preserve"> [accessed</w:t>
      </w:r>
      <w:r>
        <w:rPr>
          <w:rFonts w:cstheme="minorHAnsi"/>
          <w:szCs w:val="24"/>
        </w:rPr>
        <w:t>:</w:t>
      </w:r>
      <w:r w:rsidRPr="00BC3776">
        <w:rPr>
          <w:rFonts w:cstheme="minorHAnsi"/>
          <w:szCs w:val="24"/>
        </w:rPr>
        <w:t xml:space="preserve"> 25 October 2022].</w:t>
      </w:r>
    </w:p>
  </w:footnote>
  <w:footnote w:id="255">
    <w:p w14:paraId="6A9091AB" w14:textId="600EAED8"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Child Poverty Action Group (2021), </w:t>
      </w:r>
      <w:hyperlink r:id="rId263" w:history="1">
        <w:r w:rsidRPr="00BC3776">
          <w:rPr>
            <w:rStyle w:val="Hyperlink"/>
            <w:rFonts w:cstheme="minorHAnsi"/>
            <w:szCs w:val="24"/>
          </w:rPr>
          <w:t>CPAG Briefing: understanding the latest data on the two-child limit</w:t>
        </w:r>
      </w:hyperlink>
      <w:r w:rsidRPr="00BC3776">
        <w:rPr>
          <w:rFonts w:cstheme="minorHAnsi"/>
          <w:szCs w:val="24"/>
        </w:rPr>
        <w:t xml:space="preserve"> [accessed</w:t>
      </w:r>
      <w:r>
        <w:rPr>
          <w:rFonts w:cstheme="minorHAnsi"/>
          <w:szCs w:val="24"/>
        </w:rPr>
        <w:t>:</w:t>
      </w:r>
      <w:r w:rsidRPr="00BC3776">
        <w:rPr>
          <w:rFonts w:cstheme="minorHAnsi"/>
          <w:szCs w:val="24"/>
        </w:rPr>
        <w:t xml:space="preserve"> 7 April 2022], p.3.</w:t>
      </w:r>
    </w:p>
  </w:footnote>
  <w:footnote w:id="256">
    <w:p w14:paraId="47312D67" w14:textId="4E29820C"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Department for Works and Pensions (2022), </w:t>
      </w:r>
      <w:hyperlink r:id="rId264" w:history="1">
        <w:r w:rsidRPr="00BC3776">
          <w:rPr>
            <w:rStyle w:val="Hyperlink"/>
            <w:rFonts w:cstheme="minorHAnsi"/>
            <w:szCs w:val="24"/>
          </w:rPr>
          <w:t>Official statistics: Universal credit and child tax credit claimants: statistics related to the policy to provide support for a maximum of 2 children, April 2022</w:t>
        </w:r>
      </w:hyperlink>
      <w:r w:rsidRPr="00BC3776">
        <w:rPr>
          <w:rFonts w:cstheme="minorHAnsi"/>
          <w:szCs w:val="24"/>
        </w:rPr>
        <w:t xml:space="preserve"> [accessed</w:t>
      </w:r>
      <w:r>
        <w:rPr>
          <w:rFonts w:cstheme="minorHAnsi"/>
          <w:szCs w:val="24"/>
        </w:rPr>
        <w:t>:</w:t>
      </w:r>
      <w:r w:rsidRPr="00BC3776">
        <w:rPr>
          <w:rFonts w:cstheme="minorHAnsi"/>
          <w:szCs w:val="24"/>
        </w:rPr>
        <w:t xml:space="preserve"> 24 October 2022].</w:t>
      </w:r>
    </w:p>
  </w:footnote>
  <w:footnote w:id="257">
    <w:p w14:paraId="4719CB57" w14:textId="13BDAEB9" w:rsidR="0026506A" w:rsidRPr="00766D03" w:rsidRDefault="0026506A" w:rsidP="00766D03">
      <w:pPr>
        <w:rPr>
          <w:rFonts w:ascii="Arial" w:eastAsia="Arial" w:hAnsi="Arial" w:cs="Arial"/>
          <w:szCs w:val="24"/>
        </w:rPr>
      </w:pPr>
      <w:r w:rsidRPr="00766D03">
        <w:rPr>
          <w:rStyle w:val="FootnoteReference"/>
          <w:color w:val="0B4E60" w:themeColor="text2"/>
        </w:rPr>
        <w:footnoteRef/>
      </w:r>
      <w:r w:rsidRPr="00766D03">
        <w:rPr>
          <w:color w:val="0B4E60" w:themeColor="text2"/>
        </w:rPr>
        <w:t xml:space="preserve"> </w:t>
      </w:r>
      <w:r w:rsidRPr="00766D03">
        <w:rPr>
          <w:rFonts w:ascii="Arial" w:eastAsia="Arial" w:hAnsi="Arial" w:cs="Arial"/>
          <w:color w:val="0B4E60" w:themeColor="text2"/>
          <w:szCs w:val="24"/>
        </w:rPr>
        <w:t>Child Poverty Action Group (2021),</w:t>
      </w:r>
      <w:r w:rsidRPr="003A59F2">
        <w:rPr>
          <w:rFonts w:ascii="Arial" w:eastAsia="Arial" w:hAnsi="Arial" w:cs="Arial"/>
          <w:szCs w:val="24"/>
        </w:rPr>
        <w:t xml:space="preserve"> </w:t>
      </w:r>
      <w:hyperlink r:id="rId265" w:history="1">
        <w:r w:rsidRPr="003A59F2">
          <w:rPr>
            <w:rFonts w:ascii="Arial" w:eastAsia="Arial" w:hAnsi="Arial" w:cs="Arial"/>
            <w:szCs w:val="24"/>
            <w:u w:val="single" w:color="009C98"/>
          </w:rPr>
          <w:t>CPAG Briefing: understanding the latest data on the two-child limit</w:t>
        </w:r>
      </w:hyperlink>
      <w:r w:rsidRPr="003A59F2">
        <w:rPr>
          <w:rFonts w:ascii="Arial" w:eastAsia="Arial" w:hAnsi="Arial" w:cs="Arial"/>
          <w:szCs w:val="24"/>
        </w:rPr>
        <w:t xml:space="preserve"> </w:t>
      </w:r>
      <w:r w:rsidRPr="00766D03">
        <w:rPr>
          <w:rFonts w:ascii="Arial" w:eastAsia="Arial" w:hAnsi="Arial" w:cs="Arial"/>
          <w:color w:val="0B4E60" w:themeColor="text2"/>
          <w:szCs w:val="24"/>
        </w:rPr>
        <w:t>[accessed: 7 April 2022], p.3.</w:t>
      </w:r>
    </w:p>
  </w:footnote>
  <w:footnote w:id="258">
    <w:p w14:paraId="7061549E" w14:textId="7DF1EEF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Joseph Rowntree Foundation (2022), </w:t>
      </w:r>
      <w:hyperlink r:id="rId266" w:history="1">
        <w:r w:rsidRPr="00BC3776">
          <w:rPr>
            <w:rStyle w:val="Hyperlink"/>
            <w:rFonts w:cstheme="minorHAnsi"/>
            <w:szCs w:val="24"/>
          </w:rPr>
          <w:t>UK Poverty 2022: the essential guide to understanding poverty in the UK</w:t>
        </w:r>
      </w:hyperlink>
      <w:r w:rsidRPr="00BC3776">
        <w:rPr>
          <w:rFonts w:cstheme="minorHAnsi"/>
          <w:szCs w:val="24"/>
        </w:rPr>
        <w:t xml:space="preserve"> [accessed</w:t>
      </w:r>
      <w:r>
        <w:rPr>
          <w:rFonts w:cstheme="minorHAnsi"/>
          <w:szCs w:val="24"/>
        </w:rPr>
        <w:t>:</w:t>
      </w:r>
      <w:r w:rsidRPr="00BC3776">
        <w:rPr>
          <w:rFonts w:cstheme="minorHAnsi"/>
          <w:szCs w:val="24"/>
        </w:rPr>
        <w:t xml:space="preserve"> 4 April 2022], p.15.</w:t>
      </w:r>
    </w:p>
  </w:footnote>
  <w:footnote w:id="259">
    <w:p w14:paraId="60F81FD7" w14:textId="7D985EE0"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Child Poverty Action Group (2019), </w:t>
      </w:r>
      <w:hyperlink r:id="rId267" w:history="1">
        <w:r w:rsidRPr="00BC3776">
          <w:rPr>
            <w:rStyle w:val="Hyperlink"/>
            <w:rFonts w:cstheme="minorHAnsi"/>
            <w:szCs w:val="24"/>
          </w:rPr>
          <w:t>All kids count: the impact of the two child limit after two years</w:t>
        </w:r>
      </w:hyperlink>
      <w:r w:rsidRPr="00BC3776">
        <w:rPr>
          <w:rFonts w:cstheme="minorHAnsi"/>
          <w:szCs w:val="24"/>
        </w:rPr>
        <w:t xml:space="preserve"> [accessed</w:t>
      </w:r>
      <w:r>
        <w:rPr>
          <w:rFonts w:cstheme="minorHAnsi"/>
          <w:szCs w:val="24"/>
        </w:rPr>
        <w:t>:</w:t>
      </w:r>
      <w:r w:rsidRPr="00BC3776">
        <w:rPr>
          <w:rFonts w:cstheme="minorHAnsi"/>
          <w:szCs w:val="24"/>
        </w:rPr>
        <w:t xml:space="preserve"> 11 April 2022]</w:t>
      </w:r>
      <w:r>
        <w:rPr>
          <w:rFonts w:cstheme="minorHAnsi"/>
          <w:szCs w:val="24"/>
        </w:rPr>
        <w:t>, p.2</w:t>
      </w:r>
      <w:r w:rsidRPr="00BC3776">
        <w:rPr>
          <w:rFonts w:cstheme="minorHAnsi"/>
          <w:szCs w:val="24"/>
        </w:rPr>
        <w:t>.</w:t>
      </w:r>
    </w:p>
  </w:footnote>
  <w:footnote w:id="260">
    <w:p w14:paraId="29EA716B" w14:textId="0BEECB8A"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Child Poverty Action Group (2021), </w:t>
      </w:r>
      <w:hyperlink r:id="rId268" w:history="1">
        <w:r w:rsidRPr="00BC3776">
          <w:rPr>
            <w:rStyle w:val="Hyperlink"/>
            <w:rFonts w:cstheme="minorHAnsi"/>
            <w:szCs w:val="24"/>
          </w:rPr>
          <w:t>Universal Credit: what needs to change to make it fit for children and families?</w:t>
        </w:r>
      </w:hyperlink>
      <w:r w:rsidRPr="00BC3776">
        <w:rPr>
          <w:rFonts w:cstheme="minorHAnsi"/>
          <w:szCs w:val="24"/>
        </w:rPr>
        <w:t xml:space="preserve"> [accessed</w:t>
      </w:r>
      <w:r>
        <w:rPr>
          <w:rFonts w:cstheme="minorHAnsi"/>
          <w:szCs w:val="24"/>
        </w:rPr>
        <w:t>:</w:t>
      </w:r>
      <w:r w:rsidRPr="00BC3776">
        <w:rPr>
          <w:rFonts w:cstheme="minorHAnsi"/>
          <w:szCs w:val="24"/>
        </w:rPr>
        <w:t xml:space="preserve"> 11 April 2022]</w:t>
      </w:r>
      <w:r>
        <w:rPr>
          <w:rFonts w:cstheme="minorHAnsi"/>
          <w:szCs w:val="24"/>
        </w:rPr>
        <w:t>, pp. 2-3</w:t>
      </w:r>
      <w:r w:rsidRPr="00BC3776">
        <w:rPr>
          <w:rFonts w:cstheme="minorHAnsi"/>
          <w:szCs w:val="24"/>
        </w:rPr>
        <w:t>.</w:t>
      </w:r>
    </w:p>
  </w:footnote>
  <w:footnote w:id="261">
    <w:p w14:paraId="220DE872" w14:textId="5E2A14E8"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w:t>
      </w:r>
      <w:r w:rsidRPr="00BC3776">
        <w:rPr>
          <w:rFonts w:cstheme="minorHAnsi"/>
          <w:szCs w:val="24"/>
        </w:rPr>
        <w:t xml:space="preserve">House of Commons Work and Pensions Committee (2020), </w:t>
      </w:r>
      <w:hyperlink r:id="rId269" w:history="1">
        <w:r w:rsidRPr="00BC3776">
          <w:rPr>
            <w:rStyle w:val="Hyperlink"/>
            <w:rFonts w:cstheme="minorHAnsi"/>
            <w:szCs w:val="24"/>
          </w:rPr>
          <w:t>Universal Credit: the wait for a first payment</w:t>
        </w:r>
      </w:hyperlink>
      <w:r w:rsidRPr="00BC3776">
        <w:rPr>
          <w:rFonts w:cstheme="minorHAnsi"/>
          <w:szCs w:val="24"/>
        </w:rPr>
        <w:t xml:space="preserve"> [accessed</w:t>
      </w:r>
      <w:r>
        <w:rPr>
          <w:rFonts w:cstheme="minorHAnsi"/>
          <w:szCs w:val="24"/>
        </w:rPr>
        <w:t>:</w:t>
      </w:r>
      <w:r w:rsidRPr="00BC3776">
        <w:rPr>
          <w:rFonts w:cstheme="minorHAnsi"/>
          <w:szCs w:val="24"/>
        </w:rPr>
        <w:t xml:space="preserve"> 11 April 2022]</w:t>
      </w:r>
      <w:r>
        <w:rPr>
          <w:rFonts w:cstheme="minorHAnsi"/>
          <w:szCs w:val="24"/>
        </w:rPr>
        <w:t>, pp. 11–19</w:t>
      </w:r>
      <w:r w:rsidRPr="00BC3776">
        <w:rPr>
          <w:rFonts w:cstheme="minorHAnsi"/>
          <w:szCs w:val="24"/>
        </w:rPr>
        <w:t xml:space="preserve">; and Step Change (2020), </w:t>
      </w:r>
      <w:hyperlink r:id="rId270" w:history="1">
        <w:r w:rsidRPr="00BC3776">
          <w:rPr>
            <w:rStyle w:val="Hyperlink"/>
            <w:rFonts w:cstheme="minorHAnsi"/>
            <w:szCs w:val="24"/>
          </w:rPr>
          <w:t>Problem debt and the social security system</w:t>
        </w:r>
      </w:hyperlink>
      <w:r w:rsidRPr="00BC3776">
        <w:rPr>
          <w:rFonts w:cstheme="minorHAnsi"/>
          <w:szCs w:val="24"/>
        </w:rPr>
        <w:t xml:space="preserve"> [accessed</w:t>
      </w:r>
      <w:r>
        <w:rPr>
          <w:rFonts w:cstheme="minorHAnsi"/>
          <w:szCs w:val="24"/>
        </w:rPr>
        <w:t>:</w:t>
      </w:r>
      <w:r w:rsidRPr="00BC3776">
        <w:rPr>
          <w:rFonts w:cstheme="minorHAnsi"/>
          <w:szCs w:val="24"/>
        </w:rPr>
        <w:t xml:space="preserve"> 11 April 2022]</w:t>
      </w:r>
      <w:r>
        <w:rPr>
          <w:rFonts w:cstheme="minorHAnsi"/>
          <w:szCs w:val="24"/>
        </w:rPr>
        <w:t>, p.2</w:t>
      </w:r>
      <w:r w:rsidRPr="00BC3776">
        <w:rPr>
          <w:rFonts w:cstheme="minorHAnsi"/>
          <w:szCs w:val="24"/>
        </w:rPr>
        <w:t>.</w:t>
      </w:r>
    </w:p>
  </w:footnote>
  <w:footnote w:id="262">
    <w:p w14:paraId="0A9B1756" w14:textId="70A8E4F4"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The Trussell Trust (2018), </w:t>
      </w:r>
      <w:hyperlink r:id="rId271" w:history="1">
        <w:r w:rsidRPr="00BC3776">
          <w:rPr>
            <w:rStyle w:val="Hyperlink"/>
            <w:rFonts w:cstheme="minorHAnsi"/>
            <w:szCs w:val="24"/>
          </w:rPr>
          <w:t>The next stage of universal credit: moving onto the new benefit system and foodbank use</w:t>
        </w:r>
      </w:hyperlink>
      <w:r w:rsidRPr="00BC3776">
        <w:rPr>
          <w:rFonts w:cstheme="minorHAnsi"/>
          <w:szCs w:val="24"/>
        </w:rPr>
        <w:t xml:space="preserve"> [accessed</w:t>
      </w:r>
      <w:r>
        <w:rPr>
          <w:rFonts w:cstheme="minorHAnsi"/>
          <w:szCs w:val="24"/>
        </w:rPr>
        <w:t>:</w:t>
      </w:r>
      <w:r w:rsidRPr="00BC3776">
        <w:rPr>
          <w:rFonts w:cstheme="minorHAnsi"/>
          <w:szCs w:val="24"/>
        </w:rPr>
        <w:t xml:space="preserve"> 11 April 2022], p.4.</w:t>
      </w:r>
    </w:p>
  </w:footnote>
  <w:footnote w:id="263">
    <w:p w14:paraId="7ADB0160" w14:textId="2808BBA9"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Ibid.</w:t>
      </w:r>
      <w:r w:rsidRPr="00BC3776">
        <w:rPr>
          <w:rFonts w:cstheme="minorHAnsi"/>
          <w:szCs w:val="24"/>
        </w:rPr>
        <w:t>, p.6.</w:t>
      </w:r>
    </w:p>
  </w:footnote>
  <w:footnote w:id="264">
    <w:p w14:paraId="3ED0B67D" w14:textId="0F03172E"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Child Poverty Action Group and The Church of England (2020), </w:t>
      </w:r>
      <w:hyperlink r:id="rId272" w:history="1">
        <w:r w:rsidRPr="00BC3776">
          <w:rPr>
            <w:rStyle w:val="Hyperlink"/>
            <w:rFonts w:cstheme="minorHAnsi"/>
            <w:szCs w:val="24"/>
          </w:rPr>
          <w:t>Poverty in the pandemic: an update on the impact of coronavirus on low-income families and children</w:t>
        </w:r>
      </w:hyperlink>
      <w:r w:rsidRPr="00BC3776">
        <w:rPr>
          <w:rFonts w:cstheme="minorHAnsi"/>
          <w:szCs w:val="24"/>
        </w:rPr>
        <w:t xml:space="preserve"> [accessed</w:t>
      </w:r>
      <w:r>
        <w:rPr>
          <w:rFonts w:cstheme="minorHAnsi"/>
          <w:szCs w:val="24"/>
        </w:rPr>
        <w:t>:</w:t>
      </w:r>
      <w:r w:rsidRPr="00BC3776">
        <w:rPr>
          <w:rFonts w:cstheme="minorHAnsi"/>
          <w:szCs w:val="24"/>
        </w:rPr>
        <w:t xml:space="preserve"> 6 April 2022]; and Institute for Fiscal Studies (2021), </w:t>
      </w:r>
      <w:hyperlink r:id="rId273" w:anchor=":~:text=By%20March%202021%2C%20the%20proportion,all%20work%20by%20April%202020." w:history="1">
        <w:r w:rsidRPr="00BC3776">
          <w:rPr>
            <w:rStyle w:val="Hyperlink"/>
            <w:rFonts w:cstheme="minorHAnsi"/>
            <w:szCs w:val="24"/>
          </w:rPr>
          <w:t>Living standards, poverty and inequality in the UK: 2021</w:t>
        </w:r>
      </w:hyperlink>
      <w:r w:rsidRPr="00BC3776">
        <w:rPr>
          <w:rFonts w:cstheme="minorHAnsi"/>
          <w:szCs w:val="24"/>
        </w:rPr>
        <w:t xml:space="preserve"> [accessed</w:t>
      </w:r>
      <w:r>
        <w:rPr>
          <w:rFonts w:cstheme="minorHAnsi"/>
          <w:szCs w:val="24"/>
        </w:rPr>
        <w:t>:</w:t>
      </w:r>
      <w:r w:rsidRPr="00BC3776">
        <w:rPr>
          <w:rFonts w:cstheme="minorHAnsi"/>
          <w:szCs w:val="24"/>
        </w:rPr>
        <w:t xml:space="preserve"> 6 April 2022].</w:t>
      </w:r>
    </w:p>
  </w:footnote>
  <w:footnote w:id="265">
    <w:p w14:paraId="67F5A190" w14:textId="0715180D"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Parliament House of Commons Library (2021), </w:t>
      </w:r>
      <w:hyperlink r:id="rId274" w:history="1">
        <w:r w:rsidRPr="00BC3776">
          <w:rPr>
            <w:rStyle w:val="Hyperlink"/>
            <w:rFonts w:cstheme="minorHAnsi"/>
            <w:szCs w:val="24"/>
          </w:rPr>
          <w:t>Coronavirus job retention scheme: statistics</w:t>
        </w:r>
      </w:hyperlink>
      <w:r w:rsidRPr="00BC3776">
        <w:rPr>
          <w:rFonts w:cstheme="minorHAnsi"/>
          <w:szCs w:val="24"/>
        </w:rPr>
        <w:t xml:space="preserve"> [accessed</w:t>
      </w:r>
      <w:r>
        <w:rPr>
          <w:rFonts w:cstheme="minorHAnsi"/>
          <w:szCs w:val="24"/>
        </w:rPr>
        <w:t>:</w:t>
      </w:r>
      <w:r w:rsidRPr="00BC3776">
        <w:rPr>
          <w:rFonts w:cstheme="minorHAnsi"/>
          <w:szCs w:val="24"/>
        </w:rPr>
        <w:t xml:space="preserve"> 15 September 2022]; UK Government </w:t>
      </w:r>
      <w:r>
        <w:rPr>
          <w:rFonts w:cstheme="minorHAnsi"/>
          <w:szCs w:val="24"/>
        </w:rPr>
        <w:t xml:space="preserve">Department for Education </w:t>
      </w:r>
      <w:r w:rsidRPr="00BC3776">
        <w:rPr>
          <w:rFonts w:cstheme="minorHAnsi"/>
          <w:szCs w:val="24"/>
        </w:rPr>
        <w:t xml:space="preserve">(2021), </w:t>
      </w:r>
      <w:hyperlink r:id="rId275" w:history="1">
        <w:r w:rsidRPr="00BC3776">
          <w:rPr>
            <w:rStyle w:val="Hyperlink"/>
            <w:rFonts w:cstheme="minorHAnsi"/>
            <w:szCs w:val="24"/>
          </w:rPr>
          <w:t>Guidance: providing school meals during the coronavirus (COVID-19) outbreak</w:t>
        </w:r>
      </w:hyperlink>
      <w:r w:rsidRPr="00BC3776">
        <w:rPr>
          <w:rFonts w:cstheme="minorHAnsi"/>
          <w:szCs w:val="24"/>
        </w:rPr>
        <w:t xml:space="preserve"> [accessed</w:t>
      </w:r>
      <w:r>
        <w:rPr>
          <w:rFonts w:cstheme="minorHAnsi"/>
          <w:szCs w:val="24"/>
        </w:rPr>
        <w:t>:</w:t>
      </w:r>
      <w:r w:rsidRPr="00BC3776">
        <w:rPr>
          <w:rFonts w:cstheme="minorHAnsi"/>
          <w:szCs w:val="24"/>
        </w:rPr>
        <w:t xml:space="preserve"> 11 April 2022].</w:t>
      </w:r>
    </w:p>
  </w:footnote>
  <w:footnote w:id="266">
    <w:p w14:paraId="55440E71" w14:textId="5B8443D9"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Audit Wales (2020), </w:t>
      </w:r>
      <w:hyperlink r:id="rId276" w:history="1">
        <w:r w:rsidRPr="00BC3776">
          <w:rPr>
            <w:rStyle w:val="Hyperlink"/>
            <w:rFonts w:cstheme="minorHAnsi"/>
            <w:szCs w:val="24"/>
          </w:rPr>
          <w:t>Providing free school meals during lockdown</w:t>
        </w:r>
      </w:hyperlink>
      <w:r w:rsidRPr="00BC3776">
        <w:rPr>
          <w:rFonts w:cstheme="minorHAnsi"/>
          <w:szCs w:val="24"/>
        </w:rPr>
        <w:t xml:space="preserve"> [accessed</w:t>
      </w:r>
      <w:r>
        <w:rPr>
          <w:rFonts w:cstheme="minorHAnsi"/>
          <w:szCs w:val="24"/>
        </w:rPr>
        <w:t>:</w:t>
      </w:r>
      <w:r w:rsidRPr="00BC3776">
        <w:rPr>
          <w:rFonts w:cstheme="minorHAnsi"/>
          <w:szCs w:val="24"/>
        </w:rPr>
        <w:t xml:space="preserve"> 15 September 2022].</w:t>
      </w:r>
    </w:p>
  </w:footnote>
  <w:footnote w:id="267">
    <w:p w14:paraId="2EEAEBEE" w14:textId="15AC91F6"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(2020), </w:t>
      </w:r>
      <w:hyperlink r:id="rId277" w:history="1">
        <w:r w:rsidRPr="00BC3776">
          <w:rPr>
            <w:rStyle w:val="Hyperlink"/>
            <w:rFonts w:cstheme="minorHAnsi"/>
            <w:szCs w:val="24"/>
          </w:rPr>
          <w:t>Speech: The Chancellor Rishi Sunak provides an updated statement on coronavirus</w:t>
        </w:r>
      </w:hyperlink>
      <w:r w:rsidRPr="00BC3776">
        <w:rPr>
          <w:rFonts w:cstheme="minorHAnsi"/>
          <w:szCs w:val="24"/>
        </w:rPr>
        <w:t xml:space="preserve"> [accessed</w:t>
      </w:r>
      <w:r>
        <w:rPr>
          <w:rFonts w:cstheme="minorHAnsi"/>
          <w:szCs w:val="24"/>
        </w:rPr>
        <w:t>:</w:t>
      </w:r>
      <w:r w:rsidRPr="00BC3776">
        <w:rPr>
          <w:rFonts w:cstheme="minorHAnsi"/>
          <w:szCs w:val="24"/>
        </w:rPr>
        <w:t xml:space="preserve"> 11 April 2022].</w:t>
      </w:r>
    </w:p>
  </w:footnote>
  <w:footnote w:id="268">
    <w:p w14:paraId="0569CC00" w14:textId="044946FC"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Child Poverty Action Group (2022), </w:t>
      </w:r>
      <w:hyperlink r:id="rId278" w:history="1">
        <w:r w:rsidRPr="00BC3776">
          <w:rPr>
            <w:rStyle w:val="Hyperlink"/>
            <w:rFonts w:cstheme="minorHAnsi"/>
            <w:szCs w:val="24"/>
          </w:rPr>
          <w:t>Official poverty statistics: government pulled children out of poverty – but universal credit cut will push them back again</w:t>
        </w:r>
      </w:hyperlink>
      <w:r w:rsidRPr="00BC3776">
        <w:rPr>
          <w:rFonts w:cstheme="minorHAnsi"/>
          <w:szCs w:val="24"/>
        </w:rPr>
        <w:t xml:space="preserve"> [accessed</w:t>
      </w:r>
      <w:r>
        <w:rPr>
          <w:rFonts w:cstheme="minorHAnsi"/>
          <w:szCs w:val="24"/>
        </w:rPr>
        <w:t>:</w:t>
      </w:r>
      <w:r w:rsidRPr="00BC3776">
        <w:rPr>
          <w:rFonts w:cstheme="minorHAnsi"/>
          <w:szCs w:val="24"/>
        </w:rPr>
        <w:t xml:space="preserve"> 30 September 2022]; Action for Children (2021), </w:t>
      </w:r>
      <w:hyperlink r:id="rId279" w:history="1">
        <w:r w:rsidRPr="00BC3776">
          <w:rPr>
            <w:rStyle w:val="Hyperlink"/>
            <w:rFonts w:cstheme="minorHAnsi"/>
            <w:szCs w:val="24"/>
          </w:rPr>
          <w:t>Universal credit increase vital for working families hit by benefit losses since 2010</w:t>
        </w:r>
      </w:hyperlink>
      <w:r w:rsidRPr="00BC3776">
        <w:rPr>
          <w:rFonts w:cstheme="minorHAnsi"/>
          <w:szCs w:val="24"/>
        </w:rPr>
        <w:t xml:space="preserve"> [accessed</w:t>
      </w:r>
      <w:r>
        <w:rPr>
          <w:rFonts w:cstheme="minorHAnsi"/>
          <w:szCs w:val="24"/>
        </w:rPr>
        <w:t>:</w:t>
      </w:r>
      <w:r w:rsidRPr="00BC3776">
        <w:rPr>
          <w:rFonts w:cstheme="minorHAnsi"/>
          <w:szCs w:val="24"/>
        </w:rPr>
        <w:t xml:space="preserve"> 30 September 2022].</w:t>
      </w:r>
    </w:p>
  </w:footnote>
  <w:footnote w:id="269">
    <w:p w14:paraId="62B03955" w14:textId="6F11EAEA" w:rsidR="0026506A" w:rsidRPr="00BC3776" w:rsidRDefault="0026506A" w:rsidP="00D87A25">
      <w:pPr>
        <w:pStyle w:val="FootnoteText"/>
        <w:spacing w:before="120"/>
        <w:rPr>
          <w:rFonts w:cstheme="minorHAnsi"/>
          <w:szCs w:val="24"/>
        </w:rPr>
      </w:pPr>
      <w:r w:rsidRPr="0047796C">
        <w:rPr>
          <w:rStyle w:val="FootnoteReference"/>
          <w:rFonts w:cstheme="minorHAnsi"/>
          <w:szCs w:val="24"/>
        </w:rPr>
        <w:footnoteRef/>
      </w:r>
      <w:r w:rsidRPr="0047796C">
        <w:rPr>
          <w:rFonts w:cstheme="minorHAnsi"/>
          <w:szCs w:val="24"/>
        </w:rPr>
        <w:t xml:space="preserve"> Joseph</w:t>
      </w:r>
      <w:r w:rsidRPr="00BC3776">
        <w:rPr>
          <w:rFonts w:cstheme="minorHAnsi"/>
          <w:szCs w:val="24"/>
        </w:rPr>
        <w:t xml:space="preserve"> Rowntree Foundation (2021), </w:t>
      </w:r>
      <w:hyperlink r:id="rId280" w:history="1">
        <w:r w:rsidRPr="00BC3776">
          <w:rPr>
            <w:rStyle w:val="Hyperlink"/>
            <w:rFonts w:cstheme="minorHAnsi"/>
            <w:szCs w:val="24"/>
          </w:rPr>
          <w:t>Keep the lifeline – open letter to the Prime Minister</w:t>
        </w:r>
      </w:hyperlink>
      <w:r>
        <w:rPr>
          <w:rFonts w:cstheme="minorHAnsi"/>
          <w:szCs w:val="24"/>
        </w:rPr>
        <w:t xml:space="preserve"> [accessed: 11 April 2022].</w:t>
      </w:r>
    </w:p>
  </w:footnote>
  <w:footnote w:id="270">
    <w:p w14:paraId="1D94650C" w14:textId="6FF93142"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Resolution Foundation (2021), </w:t>
      </w:r>
      <w:hyperlink r:id="rId281" w:history="1">
        <w:r w:rsidRPr="00BC3776">
          <w:rPr>
            <w:rStyle w:val="Hyperlink"/>
            <w:rFonts w:cstheme="minorHAnsi"/>
            <w:szCs w:val="24"/>
          </w:rPr>
          <w:t>Taper cut: analysis of the Autumn Budget changes to universal credit</w:t>
        </w:r>
      </w:hyperlink>
      <w:r w:rsidRPr="00BC3776">
        <w:rPr>
          <w:rFonts w:cstheme="minorHAnsi"/>
          <w:szCs w:val="24"/>
        </w:rPr>
        <w:t xml:space="preserve"> [accessed</w:t>
      </w:r>
      <w:r>
        <w:rPr>
          <w:rFonts w:cstheme="minorHAnsi"/>
          <w:szCs w:val="24"/>
        </w:rPr>
        <w:t>:</w:t>
      </w:r>
      <w:r w:rsidRPr="00BC3776">
        <w:rPr>
          <w:rFonts w:cstheme="minorHAnsi"/>
          <w:szCs w:val="24"/>
        </w:rPr>
        <w:t xml:space="preserve"> 11 April], p.2.</w:t>
      </w:r>
    </w:p>
  </w:footnote>
  <w:footnote w:id="271">
    <w:p w14:paraId="49D6863B" w14:textId="5A5A234C"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Office for National Statistics (2022), </w:t>
      </w:r>
      <w:hyperlink r:id="rId282" w:history="1">
        <w:r w:rsidRPr="00BC3776">
          <w:rPr>
            <w:rStyle w:val="Hyperlink"/>
            <w:rFonts w:cstheme="minorHAnsi"/>
            <w:szCs w:val="24"/>
          </w:rPr>
          <w:t>Parents more likely to report increases in their cost of living</w:t>
        </w:r>
      </w:hyperlink>
      <w:r w:rsidRPr="00BC3776">
        <w:rPr>
          <w:rFonts w:cstheme="minorHAnsi"/>
          <w:szCs w:val="24"/>
        </w:rPr>
        <w:t xml:space="preserve"> [accessed</w:t>
      </w:r>
      <w:r>
        <w:rPr>
          <w:rFonts w:cstheme="minorHAnsi"/>
          <w:szCs w:val="24"/>
        </w:rPr>
        <w:t>:</w:t>
      </w:r>
      <w:r w:rsidRPr="00BC3776">
        <w:rPr>
          <w:rFonts w:cstheme="minorHAnsi"/>
          <w:szCs w:val="24"/>
        </w:rPr>
        <w:t xml:space="preserve"> 16 September 2022].</w:t>
      </w:r>
    </w:p>
  </w:footnote>
  <w:footnote w:id="272">
    <w:p w14:paraId="45E8736E" w14:textId="57153B93"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Lee, A., et</w:t>
      </w:r>
      <w:r>
        <w:rPr>
          <w:rFonts w:cstheme="minorHAnsi"/>
          <w:szCs w:val="24"/>
        </w:rPr>
        <w:t xml:space="preserve"> al. </w:t>
      </w:r>
      <w:r w:rsidRPr="00BC3776">
        <w:rPr>
          <w:rFonts w:cstheme="minorHAnsi"/>
          <w:szCs w:val="24"/>
        </w:rPr>
        <w:t xml:space="preserve">(2022), </w:t>
      </w:r>
      <w:hyperlink r:id="rId283" w:history="1">
        <w:r w:rsidRPr="00BC3776">
          <w:rPr>
            <w:rStyle w:val="Hyperlink"/>
            <w:rFonts w:cstheme="minorHAnsi"/>
            <w:szCs w:val="24"/>
          </w:rPr>
          <w:t>Fuel poverty, cold homes and health inequalities in the UK</w:t>
        </w:r>
      </w:hyperlink>
      <w:r>
        <w:rPr>
          <w:rFonts w:cstheme="minorHAnsi"/>
          <w:szCs w:val="24"/>
        </w:rPr>
        <w:t xml:space="preserve">, Institute of Health Equity </w:t>
      </w:r>
      <w:r w:rsidRPr="00BC3776">
        <w:rPr>
          <w:rFonts w:cstheme="minorHAnsi"/>
          <w:szCs w:val="24"/>
        </w:rPr>
        <w:t>[accessed</w:t>
      </w:r>
      <w:r>
        <w:rPr>
          <w:rFonts w:cstheme="minorHAnsi"/>
          <w:szCs w:val="24"/>
        </w:rPr>
        <w:t>:</w:t>
      </w:r>
      <w:r w:rsidRPr="00BC3776">
        <w:rPr>
          <w:rFonts w:cstheme="minorHAnsi"/>
          <w:szCs w:val="24"/>
        </w:rPr>
        <w:t xml:space="preserve"> 16 September], p.4. Fuel poverty is defined as where a household </w:t>
      </w:r>
      <w:r>
        <w:rPr>
          <w:rFonts w:cstheme="minorHAnsi"/>
          <w:szCs w:val="24"/>
        </w:rPr>
        <w:t>‘</w:t>
      </w:r>
      <w:r w:rsidRPr="00626199">
        <w:rPr>
          <w:rFonts w:cstheme="minorHAnsi"/>
          <w:szCs w:val="24"/>
        </w:rPr>
        <w:t>cannot afford to adequately heat their home or meet basic energy requirements</w:t>
      </w:r>
      <w:r>
        <w:rPr>
          <w:rFonts w:cstheme="minorHAnsi"/>
          <w:szCs w:val="24"/>
        </w:rPr>
        <w:t>’</w:t>
      </w:r>
      <w:r w:rsidRPr="00626199">
        <w:rPr>
          <w:rFonts w:cstheme="minorHAnsi"/>
          <w:szCs w:val="24"/>
        </w:rPr>
        <w:t xml:space="preserve">, </w:t>
      </w:r>
      <w:r w:rsidRPr="00BC3776">
        <w:rPr>
          <w:rFonts w:cstheme="minorHAnsi"/>
          <w:szCs w:val="24"/>
        </w:rPr>
        <w:t>p.7.</w:t>
      </w:r>
    </w:p>
  </w:footnote>
  <w:footnote w:id="273">
    <w:p w14:paraId="01A10F51" w14:textId="196E96A4"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Ibid.,</w:t>
      </w:r>
      <w:r w:rsidRPr="00BC3776">
        <w:rPr>
          <w:rFonts w:cstheme="minorHAnsi"/>
          <w:szCs w:val="24"/>
        </w:rPr>
        <w:t xml:space="preserve"> p.4.</w:t>
      </w:r>
    </w:p>
  </w:footnote>
  <w:footnote w:id="274">
    <w:p w14:paraId="04080E84" w14:textId="6024044B"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Bradshaw, J. R., and</w:t>
      </w:r>
      <w:r w:rsidRPr="00BC3776">
        <w:rPr>
          <w:rFonts w:cstheme="minorHAnsi"/>
          <w:szCs w:val="24"/>
        </w:rPr>
        <w:t xml:space="preserve"> Keung, A</w:t>
      </w:r>
      <w:r>
        <w:rPr>
          <w:rFonts w:cstheme="minorHAnsi"/>
          <w:szCs w:val="24"/>
        </w:rPr>
        <w:t>.</w:t>
      </w:r>
      <w:r w:rsidRPr="00BC3776">
        <w:rPr>
          <w:rFonts w:cstheme="minorHAnsi"/>
          <w:szCs w:val="24"/>
        </w:rPr>
        <w:t xml:space="preserve"> (2022), </w:t>
      </w:r>
      <w:hyperlink r:id="rId284" w:history="1">
        <w:r w:rsidRPr="00BC3776">
          <w:rPr>
            <w:rStyle w:val="Hyperlink"/>
            <w:rFonts w:cstheme="minorHAnsi"/>
            <w:szCs w:val="24"/>
          </w:rPr>
          <w:t>Fuel poverty has not been solved: update on fuel poverty estimates following government fuel cap of £2500</w:t>
        </w:r>
      </w:hyperlink>
      <w:r w:rsidRPr="00BC3776">
        <w:rPr>
          <w:rFonts w:cstheme="minorHAnsi"/>
          <w:szCs w:val="24"/>
        </w:rPr>
        <w:t xml:space="preserve"> [accessed</w:t>
      </w:r>
      <w:r>
        <w:rPr>
          <w:rFonts w:cstheme="minorHAnsi"/>
          <w:szCs w:val="24"/>
        </w:rPr>
        <w:t>:</w:t>
      </w:r>
      <w:r w:rsidRPr="00BC3776">
        <w:rPr>
          <w:rFonts w:cstheme="minorHAnsi"/>
          <w:szCs w:val="24"/>
        </w:rPr>
        <w:t xml:space="preserve"> 25 October], p.2.</w:t>
      </w:r>
    </w:p>
  </w:footnote>
  <w:footnote w:id="275">
    <w:p w14:paraId="58351ACA" w14:textId="74277086"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Resolution Foundation (2022), </w:t>
      </w:r>
      <w:hyperlink r:id="rId285" w:history="1">
        <w:r w:rsidRPr="00BC3776">
          <w:rPr>
            <w:rStyle w:val="Hyperlink"/>
            <w:rFonts w:cstheme="minorHAnsi"/>
            <w:szCs w:val="24"/>
          </w:rPr>
          <w:t>Inflation nation: putting spring statement 2022 in context</w:t>
        </w:r>
      </w:hyperlink>
      <w:r w:rsidRPr="00BC3776">
        <w:rPr>
          <w:rFonts w:cstheme="minorHAnsi"/>
          <w:szCs w:val="24"/>
        </w:rPr>
        <w:t xml:space="preserve"> [accessed</w:t>
      </w:r>
      <w:r>
        <w:rPr>
          <w:rFonts w:cstheme="minorHAnsi"/>
          <w:szCs w:val="24"/>
        </w:rPr>
        <w:t>:</w:t>
      </w:r>
      <w:r w:rsidRPr="00BC3776">
        <w:rPr>
          <w:rFonts w:cstheme="minorHAnsi"/>
          <w:szCs w:val="24"/>
        </w:rPr>
        <w:t xml:space="preserve"> 5 April 2022], p.23.</w:t>
      </w:r>
    </w:p>
  </w:footnote>
  <w:footnote w:id="276">
    <w:p w14:paraId="08519DE3" w14:textId="5DFE9948"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Ibid.,</w:t>
      </w:r>
      <w:r w:rsidRPr="00BC3776">
        <w:rPr>
          <w:rFonts w:cstheme="minorHAnsi"/>
          <w:szCs w:val="24"/>
        </w:rPr>
        <w:t xml:space="preserve"> p.3.</w:t>
      </w:r>
    </w:p>
  </w:footnote>
  <w:footnote w:id="277">
    <w:p w14:paraId="1ED37065" w14:textId="29C45C5D"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Bevan Foundation (2021), </w:t>
      </w:r>
      <w:hyperlink r:id="rId286" w:history="1">
        <w:r w:rsidRPr="00BC3776">
          <w:rPr>
            <w:rStyle w:val="Hyperlink"/>
            <w:rFonts w:cstheme="minorHAnsi"/>
            <w:szCs w:val="24"/>
          </w:rPr>
          <w:t>A snapshot of poverty in winter 2021</w:t>
        </w:r>
      </w:hyperlink>
      <w:r w:rsidRPr="00BC3776">
        <w:rPr>
          <w:rFonts w:cstheme="minorHAnsi"/>
          <w:szCs w:val="24"/>
        </w:rPr>
        <w:t xml:space="preserve"> [accessed</w:t>
      </w:r>
      <w:r>
        <w:rPr>
          <w:rFonts w:cstheme="minorHAnsi"/>
          <w:szCs w:val="24"/>
        </w:rPr>
        <w:t>:</w:t>
      </w:r>
      <w:r w:rsidRPr="00BC3776">
        <w:rPr>
          <w:rFonts w:cstheme="minorHAnsi"/>
          <w:szCs w:val="24"/>
        </w:rPr>
        <w:t xml:space="preserve"> 6 April 2022]</w:t>
      </w:r>
      <w:r>
        <w:rPr>
          <w:rFonts w:cstheme="minorHAnsi"/>
          <w:szCs w:val="24"/>
        </w:rPr>
        <w:t>, p.7</w:t>
      </w:r>
      <w:r w:rsidRPr="00BC3776">
        <w:rPr>
          <w:rFonts w:cstheme="minorHAnsi"/>
          <w:szCs w:val="24"/>
        </w:rPr>
        <w:t>.</w:t>
      </w:r>
    </w:p>
  </w:footnote>
  <w:footnote w:id="278">
    <w:p w14:paraId="308B9F6B" w14:textId="6C05FC60"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Bevan Foundation (2022), </w:t>
      </w:r>
      <w:hyperlink r:id="rId287" w:anchor=":~:text=New%20Bevan%20Foundation%20research%20reveals,living%20crisis%20are%20affecting%20Wales." w:history="1">
        <w:r w:rsidRPr="00BC3776">
          <w:rPr>
            <w:rStyle w:val="Hyperlink"/>
            <w:rFonts w:cstheme="minorHAnsi"/>
            <w:szCs w:val="24"/>
          </w:rPr>
          <w:t>A snapshot of poverty in summer 2022</w:t>
        </w:r>
      </w:hyperlink>
      <w:r w:rsidRPr="00BC3776">
        <w:rPr>
          <w:rFonts w:cstheme="minorHAnsi"/>
          <w:szCs w:val="24"/>
        </w:rPr>
        <w:t xml:space="preserve"> [accessed</w:t>
      </w:r>
      <w:r>
        <w:rPr>
          <w:rFonts w:cstheme="minorHAnsi"/>
          <w:szCs w:val="24"/>
        </w:rPr>
        <w:t>:</w:t>
      </w:r>
      <w:r w:rsidRPr="00BC3776">
        <w:rPr>
          <w:rFonts w:cstheme="minorHAnsi"/>
          <w:szCs w:val="24"/>
        </w:rPr>
        <w:t xml:space="preserve"> 19 August 2022], p.6.</w:t>
      </w:r>
    </w:p>
  </w:footnote>
  <w:footnote w:id="279">
    <w:p w14:paraId="776FA5B5" w14:textId="19CF3194"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(2022), </w:t>
      </w:r>
      <w:hyperlink r:id="rId288" w:history="1">
        <w:r w:rsidRPr="00BC3776">
          <w:rPr>
            <w:rStyle w:val="Hyperlink"/>
            <w:rFonts w:cstheme="minorHAnsi"/>
            <w:szCs w:val="24"/>
          </w:rPr>
          <w:t>Academic year 2021/22: Schools, pupils and their characteristics</w:t>
        </w:r>
      </w:hyperlink>
      <w:r w:rsidRPr="00BC3776">
        <w:rPr>
          <w:rFonts w:cstheme="minorHAnsi"/>
          <w:szCs w:val="24"/>
        </w:rPr>
        <w:t xml:space="preserve"> [accessed</w:t>
      </w:r>
      <w:r>
        <w:rPr>
          <w:rFonts w:cstheme="minorHAnsi"/>
          <w:szCs w:val="24"/>
        </w:rPr>
        <w:t>:</w:t>
      </w:r>
      <w:r w:rsidRPr="00BC3776">
        <w:rPr>
          <w:rFonts w:cstheme="minorHAnsi"/>
          <w:szCs w:val="24"/>
        </w:rPr>
        <w:t xml:space="preserve"> 24 October 2022]</w:t>
      </w:r>
      <w:r>
        <w:rPr>
          <w:rFonts w:cstheme="minorHAnsi"/>
          <w:szCs w:val="24"/>
        </w:rPr>
        <w:t>, see ‘Free school meals eligibility’</w:t>
      </w:r>
      <w:r w:rsidRPr="00BC3776">
        <w:rPr>
          <w:rFonts w:cstheme="minorHAnsi"/>
          <w:szCs w:val="24"/>
        </w:rPr>
        <w:t>.</w:t>
      </w:r>
    </w:p>
  </w:footnote>
  <w:footnote w:id="280">
    <w:p w14:paraId="113508CB" w14:textId="170C70AA"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(2022), </w:t>
      </w:r>
      <w:hyperlink r:id="rId289" w:history="1">
        <w:r w:rsidRPr="00BC3776">
          <w:rPr>
            <w:rStyle w:val="Hyperlink"/>
            <w:rFonts w:cstheme="minorHAnsi"/>
            <w:szCs w:val="24"/>
          </w:rPr>
          <w:t>Schools’ census results: February 202</w:t>
        </w:r>
      </w:hyperlink>
      <w:r w:rsidRPr="00BC3776">
        <w:rPr>
          <w:rStyle w:val="Hyperlink"/>
          <w:rFonts w:cstheme="minorHAnsi"/>
          <w:szCs w:val="24"/>
        </w:rPr>
        <w:t>2</w:t>
      </w:r>
      <w:r w:rsidRPr="00BC3776">
        <w:rPr>
          <w:rFonts w:cstheme="minorHAnsi"/>
          <w:szCs w:val="24"/>
        </w:rPr>
        <w:t xml:space="preserve"> [accessed</w:t>
      </w:r>
      <w:r>
        <w:rPr>
          <w:rFonts w:cstheme="minorHAnsi"/>
          <w:szCs w:val="24"/>
        </w:rPr>
        <w:t>:</w:t>
      </w:r>
      <w:r w:rsidRPr="00BC3776">
        <w:rPr>
          <w:rFonts w:cstheme="minorHAnsi"/>
          <w:szCs w:val="24"/>
        </w:rPr>
        <w:t xml:space="preserve"> 24 October 2022].</w:t>
      </w:r>
    </w:p>
  </w:footnote>
  <w:footnote w:id="281">
    <w:p w14:paraId="3A9F06EC" w14:textId="1BD67BDD"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(2022), </w:t>
      </w:r>
      <w:hyperlink r:id="rId290" w:history="1">
        <w:r w:rsidRPr="00BC3776">
          <w:rPr>
            <w:rStyle w:val="Hyperlink"/>
            <w:rFonts w:cstheme="minorHAnsi"/>
            <w:szCs w:val="24"/>
          </w:rPr>
          <w:t>Universal free school meals roll-out to commence in September</w:t>
        </w:r>
      </w:hyperlink>
      <w:r w:rsidRPr="00BC3776">
        <w:rPr>
          <w:rFonts w:cstheme="minorHAnsi"/>
          <w:szCs w:val="24"/>
        </w:rPr>
        <w:t xml:space="preserve"> [accessed</w:t>
      </w:r>
      <w:r>
        <w:rPr>
          <w:rFonts w:cstheme="minorHAnsi"/>
          <w:szCs w:val="24"/>
        </w:rPr>
        <w:t>:</w:t>
      </w:r>
      <w:r w:rsidRPr="00BC3776">
        <w:rPr>
          <w:rFonts w:cstheme="minorHAnsi"/>
          <w:szCs w:val="24"/>
        </w:rPr>
        <w:t xml:space="preserve"> 24 October 2022].</w:t>
      </w:r>
    </w:p>
  </w:footnote>
  <w:footnote w:id="282">
    <w:p w14:paraId="01D967E6" w14:textId="526F3B76"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Child Poverty Action Group (2022), </w:t>
      </w:r>
      <w:hyperlink r:id="rId291" w:history="1">
        <w:r w:rsidRPr="00BC3776">
          <w:rPr>
            <w:rStyle w:val="Hyperlink"/>
            <w:rFonts w:cstheme="minorHAnsi"/>
            <w:szCs w:val="24"/>
          </w:rPr>
          <w:t>800,000 children in poverty not getting free school meals</w:t>
        </w:r>
      </w:hyperlink>
      <w:r w:rsidRPr="00BC3776">
        <w:rPr>
          <w:rFonts w:cstheme="minorHAnsi"/>
          <w:szCs w:val="24"/>
        </w:rPr>
        <w:t xml:space="preserve"> [accessed</w:t>
      </w:r>
      <w:r>
        <w:rPr>
          <w:rFonts w:cstheme="minorHAnsi"/>
          <w:szCs w:val="24"/>
        </w:rPr>
        <w:t>:</w:t>
      </w:r>
      <w:r w:rsidRPr="00BC3776">
        <w:rPr>
          <w:rFonts w:cstheme="minorHAnsi"/>
          <w:szCs w:val="24"/>
        </w:rPr>
        <w:t xml:space="preserve"> 30 September 2022].</w:t>
      </w:r>
    </w:p>
  </w:footnote>
  <w:footnote w:id="283">
    <w:p w14:paraId="0C73A612" w14:textId="70E6B0EB"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The Food Foundation (2022), </w:t>
      </w:r>
      <w:hyperlink r:id="rId292" w:history="1">
        <w:r w:rsidRPr="00BC3776">
          <w:rPr>
            <w:rStyle w:val="Hyperlink"/>
            <w:rFonts w:cstheme="minorHAnsi"/>
            <w:szCs w:val="24"/>
          </w:rPr>
          <w:t>Food insecurity tracking</w:t>
        </w:r>
      </w:hyperlink>
      <w:r w:rsidRPr="00BC3776">
        <w:rPr>
          <w:rFonts w:cstheme="minorHAnsi"/>
          <w:szCs w:val="24"/>
        </w:rPr>
        <w:t xml:space="preserve"> [accessed</w:t>
      </w:r>
      <w:r>
        <w:rPr>
          <w:rFonts w:cstheme="minorHAnsi"/>
          <w:szCs w:val="24"/>
        </w:rPr>
        <w:t>:</w:t>
      </w:r>
      <w:r w:rsidRPr="00BC3776">
        <w:rPr>
          <w:rFonts w:cstheme="minorHAnsi"/>
          <w:szCs w:val="24"/>
        </w:rPr>
        <w:t xml:space="preserve"> 19 August 2022], see Round 10, Slide 10; The Food Foundation (2022), </w:t>
      </w:r>
      <w:hyperlink r:id="rId293" w:history="1">
        <w:r w:rsidRPr="00BC3776">
          <w:rPr>
            <w:rStyle w:val="Hyperlink"/>
            <w:rFonts w:cstheme="minorHAnsi"/>
            <w:szCs w:val="24"/>
          </w:rPr>
          <w:t>New data shows food insecurity major challenge to levelling up agenda</w:t>
        </w:r>
      </w:hyperlink>
      <w:r w:rsidRPr="00BC3776">
        <w:rPr>
          <w:rFonts w:cstheme="minorHAnsi"/>
          <w:szCs w:val="24"/>
        </w:rPr>
        <w:t xml:space="preserve"> [accessed</w:t>
      </w:r>
      <w:r>
        <w:rPr>
          <w:rFonts w:cstheme="minorHAnsi"/>
          <w:szCs w:val="24"/>
        </w:rPr>
        <w:t>:</w:t>
      </w:r>
      <w:r w:rsidRPr="00BC3776">
        <w:rPr>
          <w:rFonts w:cstheme="minorHAnsi"/>
          <w:szCs w:val="24"/>
        </w:rPr>
        <w:t xml:space="preserve"> 4 April 2022].</w:t>
      </w:r>
    </w:p>
  </w:footnote>
  <w:footnote w:id="284">
    <w:p w14:paraId="4BB6A6E8" w14:textId="16763A24"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The Trussell Trust</w:t>
      </w:r>
      <w:r>
        <w:rPr>
          <w:rFonts w:cstheme="minorHAnsi"/>
          <w:szCs w:val="24"/>
        </w:rPr>
        <w:t xml:space="preserve"> (2022)</w:t>
      </w:r>
      <w:r w:rsidRPr="00BC3776">
        <w:rPr>
          <w:rFonts w:cstheme="minorHAnsi"/>
          <w:szCs w:val="24"/>
        </w:rPr>
        <w:t xml:space="preserve">, </w:t>
      </w:r>
      <w:hyperlink r:id="rId294" w:anchor="children" w:history="1">
        <w:r w:rsidRPr="00BC3776">
          <w:rPr>
            <w:rStyle w:val="Hyperlink"/>
            <w:rFonts w:cstheme="minorHAnsi"/>
            <w:szCs w:val="24"/>
          </w:rPr>
          <w:t>End of years stats</w:t>
        </w:r>
      </w:hyperlink>
      <w:r w:rsidRPr="00BC3776">
        <w:rPr>
          <w:rFonts w:cstheme="minorHAnsi"/>
          <w:szCs w:val="24"/>
        </w:rPr>
        <w:t xml:space="preserve"> [accessed</w:t>
      </w:r>
      <w:r>
        <w:rPr>
          <w:rFonts w:cstheme="minorHAnsi"/>
          <w:szCs w:val="24"/>
        </w:rPr>
        <w:t>:</w:t>
      </w:r>
      <w:r w:rsidRPr="00BC3776">
        <w:rPr>
          <w:rFonts w:cstheme="minorHAnsi"/>
          <w:szCs w:val="24"/>
        </w:rPr>
        <w:t xml:space="preserve"> 4 April 2022].</w:t>
      </w:r>
    </w:p>
  </w:footnote>
  <w:footnote w:id="285">
    <w:p w14:paraId="4D568F3D" w14:textId="22F17E57"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The Migration Observatory at the University of Oxford (2020), </w:t>
      </w:r>
      <w:hyperlink r:id="rId295" w:history="1">
        <w:r w:rsidRPr="00BC3776">
          <w:rPr>
            <w:rStyle w:val="Hyperlink"/>
            <w:rFonts w:cstheme="minorHAnsi"/>
            <w:szCs w:val="24"/>
          </w:rPr>
          <w:t>A million children in the UK don’t have British or Irish citizenship, and 175,000 live in families expected to have no recourse to public funds</w:t>
        </w:r>
      </w:hyperlink>
      <w:r w:rsidRPr="00BC3776">
        <w:rPr>
          <w:rFonts w:cstheme="minorHAnsi"/>
          <w:szCs w:val="24"/>
        </w:rPr>
        <w:t xml:space="preserve"> [accessed</w:t>
      </w:r>
      <w:r>
        <w:rPr>
          <w:rFonts w:cstheme="minorHAnsi"/>
          <w:szCs w:val="24"/>
        </w:rPr>
        <w:t>:</w:t>
      </w:r>
      <w:r w:rsidRPr="00BC3776">
        <w:rPr>
          <w:rFonts w:cstheme="minorHAnsi"/>
          <w:szCs w:val="24"/>
        </w:rPr>
        <w:t xml:space="preserve"> 4 April 2022].</w:t>
      </w:r>
    </w:p>
  </w:footnote>
  <w:footnote w:id="286">
    <w:p w14:paraId="0CC1EF21" w14:textId="71C37C2A" w:rsidR="0026506A" w:rsidRPr="00BC3776" w:rsidRDefault="0026506A" w:rsidP="00D87A25">
      <w:pPr>
        <w:pStyle w:val="FootnoteText"/>
        <w:rPr>
          <w:rFonts w:cstheme="minorHAnsi"/>
          <w:szCs w:val="24"/>
        </w:rPr>
      </w:pPr>
      <w:r w:rsidRPr="00BC3776">
        <w:rPr>
          <w:rStyle w:val="FootnoteReference"/>
          <w:rFonts w:cstheme="minorHAnsi"/>
          <w:szCs w:val="24"/>
        </w:rPr>
        <w:footnoteRef/>
      </w:r>
      <w:r w:rsidRPr="00BC3776">
        <w:rPr>
          <w:rFonts w:cstheme="minorHAnsi"/>
          <w:szCs w:val="24"/>
        </w:rPr>
        <w:t xml:space="preserve"> </w:t>
      </w:r>
      <w:r w:rsidRPr="00BC3776">
        <w:rPr>
          <w:rFonts w:eastAsia="Arial" w:cstheme="minorHAnsi"/>
          <w:szCs w:val="24"/>
        </w:rPr>
        <w:t xml:space="preserve">The Children’s Society (2020), </w:t>
      </w:r>
      <w:hyperlink r:id="rId296" w:anchor="findings" w:history="1">
        <w:r w:rsidRPr="00BC3776">
          <w:rPr>
            <w:rFonts w:eastAsia="Arial" w:cstheme="minorHAnsi"/>
            <w:szCs w:val="24"/>
            <w:u w:val="single" w:color="009C98"/>
          </w:rPr>
          <w:t>A lifeline for all: children and families with no recourse to public funds</w:t>
        </w:r>
      </w:hyperlink>
      <w:r w:rsidRPr="00BC3776">
        <w:rPr>
          <w:rFonts w:eastAsia="Arial" w:cstheme="minorHAnsi"/>
          <w:szCs w:val="24"/>
        </w:rPr>
        <w:t xml:space="preserve"> [accessed</w:t>
      </w:r>
      <w:r>
        <w:rPr>
          <w:rFonts w:eastAsia="Arial" w:cstheme="minorHAnsi"/>
          <w:szCs w:val="24"/>
        </w:rPr>
        <w:t>:</w:t>
      </w:r>
      <w:r w:rsidRPr="00BC3776">
        <w:rPr>
          <w:rFonts w:eastAsia="Arial" w:cstheme="minorHAnsi"/>
          <w:szCs w:val="24"/>
        </w:rPr>
        <w:t xml:space="preserve"> 4 April 2022].</w:t>
      </w:r>
    </w:p>
  </w:footnote>
  <w:footnote w:id="287">
    <w:p w14:paraId="06FF81E9" w14:textId="79A9A85B"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297" w:history="1">
        <w:r w:rsidRPr="00BC3776">
          <w:rPr>
            <w:rStyle w:val="Hyperlink"/>
            <w:rFonts w:cstheme="minorHAnsi"/>
            <w:szCs w:val="24"/>
          </w:rPr>
          <w:t>ST &amp; VW v Secretary of State for the Home Department</w:t>
        </w:r>
      </w:hyperlink>
      <w:r w:rsidRPr="00BC3776">
        <w:rPr>
          <w:rFonts w:cstheme="minorHAnsi"/>
          <w:szCs w:val="24"/>
        </w:rPr>
        <w:t xml:space="preserve"> [2021] EWHC 1085 (Admin) [accessed</w:t>
      </w:r>
      <w:r>
        <w:rPr>
          <w:rFonts w:cstheme="minorHAnsi"/>
          <w:szCs w:val="24"/>
        </w:rPr>
        <w:t>:</w:t>
      </w:r>
      <w:r w:rsidRPr="00BC3776">
        <w:rPr>
          <w:rFonts w:cstheme="minorHAnsi"/>
          <w:szCs w:val="24"/>
        </w:rPr>
        <w:t xml:space="preserve"> 5 April 2022]; </w:t>
      </w:r>
      <w:hyperlink r:id="rId298" w:history="1">
        <w:r w:rsidRPr="00BC3776">
          <w:rPr>
            <w:rStyle w:val="Hyperlink"/>
            <w:rFonts w:cstheme="minorHAnsi"/>
            <w:szCs w:val="24"/>
          </w:rPr>
          <w:t>AB, OK and MKD v Secretary of State for the Home Department</w:t>
        </w:r>
      </w:hyperlink>
      <w:r w:rsidRPr="00BC3776">
        <w:rPr>
          <w:rFonts w:cstheme="minorHAnsi"/>
          <w:szCs w:val="24"/>
        </w:rPr>
        <w:t xml:space="preserve"> [2022] EWHC 1524 (Admin) [accessed</w:t>
      </w:r>
      <w:r>
        <w:rPr>
          <w:rFonts w:cstheme="minorHAnsi"/>
          <w:szCs w:val="24"/>
        </w:rPr>
        <w:t>:</w:t>
      </w:r>
      <w:r w:rsidRPr="00BC3776">
        <w:rPr>
          <w:rFonts w:cstheme="minorHAnsi"/>
          <w:szCs w:val="24"/>
        </w:rPr>
        <w:t xml:space="preserve"> 7 December 2022].</w:t>
      </w:r>
    </w:p>
  </w:footnote>
  <w:footnote w:id="288">
    <w:p w14:paraId="13276E9C" w14:textId="02CFD2A0"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Parliament (2022), </w:t>
      </w:r>
      <w:hyperlink r:id="rId299" w:history="1">
        <w:r w:rsidRPr="00BC3776">
          <w:rPr>
            <w:rStyle w:val="Hyperlink"/>
            <w:rFonts w:cstheme="minorHAnsi"/>
            <w:szCs w:val="24"/>
          </w:rPr>
          <w:t>Update on children with no recourse to public funds – statement made on 24 March 2022</w:t>
        </w:r>
      </w:hyperlink>
      <w:r w:rsidRPr="00BC3776">
        <w:rPr>
          <w:rFonts w:cstheme="minorHAnsi"/>
          <w:szCs w:val="24"/>
        </w:rPr>
        <w:t xml:space="preserve"> [accessed</w:t>
      </w:r>
      <w:r>
        <w:rPr>
          <w:rFonts w:cstheme="minorHAnsi"/>
          <w:szCs w:val="24"/>
        </w:rPr>
        <w:t>:</w:t>
      </w:r>
      <w:r w:rsidRPr="00BC3776">
        <w:rPr>
          <w:rFonts w:cstheme="minorHAnsi"/>
          <w:szCs w:val="24"/>
        </w:rPr>
        <w:t xml:space="preserve"> 4 April 2022].</w:t>
      </w:r>
    </w:p>
  </w:footnote>
  <w:footnote w:id="289">
    <w:p w14:paraId="6ACB1B87" w14:textId="367A3FC6"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House of Commons Work and Pensions Committee (2022), </w:t>
      </w:r>
      <w:hyperlink r:id="rId300" w:history="1">
        <w:r w:rsidRPr="00BC3776">
          <w:rPr>
            <w:rStyle w:val="Hyperlink"/>
            <w:rFonts w:cstheme="minorHAnsi"/>
            <w:szCs w:val="24"/>
          </w:rPr>
          <w:t>Children in poverty: no recourse to public funds</w:t>
        </w:r>
      </w:hyperlink>
      <w:r w:rsidRPr="00BC3776">
        <w:rPr>
          <w:rFonts w:cstheme="minorHAnsi"/>
          <w:szCs w:val="24"/>
        </w:rPr>
        <w:t xml:space="preserve"> [accessed</w:t>
      </w:r>
      <w:r>
        <w:rPr>
          <w:rFonts w:cstheme="minorHAnsi"/>
          <w:szCs w:val="24"/>
        </w:rPr>
        <w:t>:</w:t>
      </w:r>
      <w:r w:rsidRPr="00BC3776">
        <w:rPr>
          <w:rFonts w:cstheme="minorHAnsi"/>
          <w:szCs w:val="24"/>
        </w:rPr>
        <w:t xml:space="preserve"> 19 May 2022]</w:t>
      </w:r>
      <w:r>
        <w:rPr>
          <w:rFonts w:cstheme="minorHAnsi"/>
          <w:szCs w:val="24"/>
        </w:rPr>
        <w:t>, for example see pp. 48–51</w:t>
      </w:r>
      <w:r w:rsidRPr="00BC3776">
        <w:rPr>
          <w:rFonts w:cstheme="minorHAnsi"/>
          <w:szCs w:val="24"/>
        </w:rPr>
        <w:t>.</w:t>
      </w:r>
    </w:p>
  </w:footnote>
  <w:footnote w:id="290">
    <w:p w14:paraId="4F614A2E" w14:textId="4625D983"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UK House of Commons</w:t>
      </w:r>
      <w:r w:rsidRPr="00BC3776">
        <w:rPr>
          <w:rFonts w:cstheme="minorHAnsi"/>
          <w:szCs w:val="24"/>
        </w:rPr>
        <w:t xml:space="preserve"> Women and Equalities Committee (2021), </w:t>
      </w:r>
      <w:hyperlink r:id="rId301" w:history="1">
        <w:r w:rsidRPr="00BC3776">
          <w:rPr>
            <w:rStyle w:val="Hyperlink"/>
            <w:rFonts w:cstheme="minorHAnsi"/>
            <w:szCs w:val="24"/>
          </w:rPr>
          <w:t>Levelling up and equality: a new framework for change: Government response to the Committee’s first report</w:t>
        </w:r>
      </w:hyperlink>
      <w:r w:rsidRPr="00BC3776">
        <w:rPr>
          <w:rFonts w:cstheme="minorHAnsi"/>
          <w:szCs w:val="24"/>
        </w:rPr>
        <w:t xml:space="preserve"> [accessed</w:t>
      </w:r>
      <w:r>
        <w:rPr>
          <w:rFonts w:cstheme="minorHAnsi"/>
          <w:szCs w:val="24"/>
        </w:rPr>
        <w:t>:</w:t>
      </w:r>
      <w:r w:rsidRPr="00BC3776">
        <w:rPr>
          <w:rFonts w:cstheme="minorHAnsi"/>
          <w:szCs w:val="24"/>
        </w:rPr>
        <w:t xml:space="preserve"> 6 April 2022], p.14.</w:t>
      </w:r>
    </w:p>
  </w:footnote>
  <w:footnote w:id="291">
    <w:p w14:paraId="62679D1A" w14:textId="7A7F3464"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Scottish Government (2021), </w:t>
      </w:r>
      <w:hyperlink r:id="rId302" w:anchor=":~:text=The%20Fairer%20Scotland%20Duty%20(the,disadvantage%2C%20when%20making%20strategic%20decisions." w:history="1">
        <w:r w:rsidRPr="00BC3776">
          <w:rPr>
            <w:rStyle w:val="Hyperlink"/>
            <w:rFonts w:cstheme="minorHAnsi"/>
            <w:szCs w:val="24"/>
          </w:rPr>
          <w:t>Fairer Scotland Duty: guidance for public bodies</w:t>
        </w:r>
      </w:hyperlink>
      <w:r w:rsidRPr="00BC3776">
        <w:rPr>
          <w:rFonts w:cstheme="minorHAnsi"/>
          <w:szCs w:val="24"/>
        </w:rPr>
        <w:t xml:space="preserve"> [accessed</w:t>
      </w:r>
      <w:r>
        <w:rPr>
          <w:rFonts w:cstheme="minorHAnsi"/>
          <w:szCs w:val="24"/>
        </w:rPr>
        <w:t>:</w:t>
      </w:r>
      <w:r w:rsidRPr="00BC3776">
        <w:rPr>
          <w:rFonts w:cstheme="minorHAnsi"/>
          <w:szCs w:val="24"/>
        </w:rPr>
        <w:t xml:space="preserve"> 4 April 2022].</w:t>
      </w:r>
    </w:p>
  </w:footnote>
  <w:footnote w:id="292">
    <w:p w14:paraId="3C02D8D8" w14:textId="455CF208" w:rsidR="0026506A" w:rsidRPr="00BC3776" w:rsidRDefault="0026506A" w:rsidP="00D87A2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(2020), </w:t>
      </w:r>
      <w:hyperlink r:id="rId303" w:history="1">
        <w:r w:rsidRPr="00BC3776">
          <w:rPr>
            <w:rStyle w:val="Hyperlink"/>
            <w:rFonts w:cstheme="minorHAnsi"/>
            <w:szCs w:val="24"/>
          </w:rPr>
          <w:t>Socio-economic duty: an overview</w:t>
        </w:r>
      </w:hyperlink>
      <w:r w:rsidRPr="00BC3776">
        <w:rPr>
          <w:rFonts w:cstheme="minorHAnsi"/>
          <w:szCs w:val="24"/>
        </w:rPr>
        <w:t xml:space="preserve"> [accessed</w:t>
      </w:r>
      <w:r>
        <w:rPr>
          <w:rFonts w:cstheme="minorHAnsi"/>
          <w:szCs w:val="24"/>
        </w:rPr>
        <w:t>:</w:t>
      </w:r>
      <w:r w:rsidRPr="00BC3776">
        <w:rPr>
          <w:rFonts w:cstheme="minorHAnsi"/>
          <w:szCs w:val="24"/>
        </w:rPr>
        <w:t xml:space="preserve"> 4 April 2022].</w:t>
      </w:r>
    </w:p>
  </w:footnote>
  <w:footnote w:id="293">
    <w:p w14:paraId="1EBF8919" w14:textId="41204909"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Department for Education (2020), </w:t>
      </w:r>
      <w:hyperlink r:id="rId304" w:history="1">
        <w:r w:rsidRPr="00BC3776">
          <w:rPr>
            <w:rStyle w:val="Hyperlink"/>
            <w:rFonts w:cstheme="minorHAnsi"/>
            <w:szCs w:val="24"/>
          </w:rPr>
          <w:t>National statistics: national curriculum assessments: key stage 2, 2019 (provisional)</w:t>
        </w:r>
      </w:hyperlink>
      <w:r w:rsidRPr="00BC3776">
        <w:rPr>
          <w:rFonts w:cstheme="minorHAnsi"/>
          <w:szCs w:val="24"/>
        </w:rPr>
        <w:t xml:space="preserve"> [accessed</w:t>
      </w:r>
      <w:r>
        <w:rPr>
          <w:rFonts w:cstheme="minorHAnsi"/>
          <w:szCs w:val="24"/>
        </w:rPr>
        <w:t>:</w:t>
      </w:r>
      <w:r w:rsidRPr="00BC3776">
        <w:rPr>
          <w:rFonts w:cstheme="minorHAnsi"/>
          <w:szCs w:val="24"/>
        </w:rPr>
        <w:t xml:space="preserve"> 1 June 2022]</w:t>
      </w:r>
      <w:r>
        <w:rPr>
          <w:rFonts w:cstheme="minorHAnsi"/>
          <w:szCs w:val="24"/>
        </w:rPr>
        <w:t>, p.2; StatsWales</w:t>
      </w:r>
      <w:r w:rsidRPr="00BC3776">
        <w:rPr>
          <w:rFonts w:cstheme="minorHAnsi"/>
          <w:szCs w:val="24"/>
        </w:rPr>
        <w:t xml:space="preserve"> (2019) </w:t>
      </w:r>
      <w:hyperlink r:id="rId305" w:history="1">
        <w:r w:rsidRPr="00BC3776">
          <w:rPr>
            <w:rStyle w:val="Hyperlink"/>
            <w:rFonts w:cstheme="minorHAnsi"/>
            <w:szCs w:val="24"/>
          </w:rPr>
          <w:t>Key stage 2: National level results, by subject, year and gender</w:t>
        </w:r>
      </w:hyperlink>
      <w:r w:rsidRPr="00BC3776">
        <w:rPr>
          <w:rFonts w:cstheme="minorHAnsi"/>
          <w:szCs w:val="24"/>
        </w:rPr>
        <w:t xml:space="preserve">; </w:t>
      </w:r>
      <w:r>
        <w:rPr>
          <w:rFonts w:cstheme="minorHAnsi"/>
          <w:szCs w:val="24"/>
        </w:rPr>
        <w:t xml:space="preserve">UK Government </w:t>
      </w:r>
      <w:r w:rsidRPr="00BC3776">
        <w:rPr>
          <w:rFonts w:cstheme="minorHAnsi"/>
          <w:szCs w:val="24"/>
        </w:rPr>
        <w:t xml:space="preserve">Department for Education (2020) </w:t>
      </w:r>
      <w:hyperlink r:id="rId306" w:history="1">
        <w:r w:rsidRPr="00BC3776">
          <w:rPr>
            <w:rStyle w:val="Hyperlink"/>
            <w:rFonts w:cstheme="minorHAnsi"/>
            <w:szCs w:val="24"/>
          </w:rPr>
          <w:t>Key stage 4 performance 2019 (revised)</w:t>
        </w:r>
      </w:hyperlink>
      <w:r>
        <w:rPr>
          <w:rStyle w:val="Hyperlink"/>
          <w:rFonts w:cstheme="minorHAnsi"/>
          <w:szCs w:val="24"/>
        </w:rPr>
        <w:t>,</w:t>
      </w:r>
      <w:r w:rsidRPr="00BC3776">
        <w:rPr>
          <w:rFonts w:cstheme="minorHAnsi"/>
          <w:szCs w:val="24"/>
        </w:rPr>
        <w:t xml:space="preserve"> </w:t>
      </w:r>
      <w:r>
        <w:rPr>
          <w:rFonts w:cstheme="minorHAnsi"/>
          <w:szCs w:val="24"/>
        </w:rPr>
        <w:t>pp. 13-14; StatsWales</w:t>
      </w:r>
      <w:r w:rsidRPr="00BC3776">
        <w:rPr>
          <w:rFonts w:cstheme="minorHAnsi"/>
          <w:szCs w:val="24"/>
        </w:rPr>
        <w:t xml:space="preserve"> (2019) </w:t>
      </w:r>
      <w:hyperlink r:id="rId307" w:history="1">
        <w:r w:rsidRPr="00BC3776">
          <w:rPr>
            <w:rStyle w:val="Hyperlink"/>
            <w:rFonts w:cstheme="minorHAnsi"/>
            <w:szCs w:val="24"/>
          </w:rPr>
          <w:t>Key stage 4 Interim Measures by Gender, from 2018/19</w:t>
        </w:r>
      </w:hyperlink>
      <w:r w:rsidRPr="00BC3776">
        <w:rPr>
          <w:rFonts w:cstheme="minorHAnsi"/>
          <w:szCs w:val="24"/>
        </w:rPr>
        <w:t>.</w:t>
      </w:r>
    </w:p>
  </w:footnote>
  <w:footnote w:id="294">
    <w:p w14:paraId="34FB4C2A" w14:textId="103D2772"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Department for Education (2020) </w:t>
      </w:r>
      <w:hyperlink r:id="rId308" w:history="1">
        <w:r w:rsidRPr="00BC3776">
          <w:rPr>
            <w:rStyle w:val="Hyperlink"/>
            <w:rFonts w:cstheme="minorHAnsi"/>
            <w:szCs w:val="24"/>
          </w:rPr>
          <w:t>Key stage 4 performance 2019 (revised)</w:t>
        </w:r>
      </w:hyperlink>
      <w:r>
        <w:rPr>
          <w:rStyle w:val="Hyperlink"/>
          <w:rFonts w:cstheme="minorHAnsi"/>
          <w:szCs w:val="24"/>
        </w:rPr>
        <w:t>,</w:t>
      </w:r>
      <w:r>
        <w:rPr>
          <w:rFonts w:cstheme="minorHAnsi"/>
          <w:szCs w:val="24"/>
        </w:rPr>
        <w:t xml:space="preserve"> pp. 11-12; StatsWales</w:t>
      </w:r>
      <w:r w:rsidRPr="00BC3776">
        <w:rPr>
          <w:rFonts w:cstheme="minorHAnsi"/>
          <w:szCs w:val="24"/>
        </w:rPr>
        <w:t xml:space="preserve"> (2020), </w:t>
      </w:r>
      <w:hyperlink r:id="rId309" w:history="1">
        <w:r w:rsidRPr="00BC3776">
          <w:rPr>
            <w:rStyle w:val="Hyperlink"/>
            <w:rFonts w:cstheme="minorHAnsi"/>
            <w:szCs w:val="24"/>
          </w:rPr>
          <w:t>Key Stage 4 : KS4 indicators by year and SEN (Special needs provision)</w:t>
        </w:r>
      </w:hyperlink>
      <w:r w:rsidRPr="00BC3776">
        <w:rPr>
          <w:rFonts w:cstheme="minorHAnsi"/>
          <w:szCs w:val="24"/>
        </w:rPr>
        <w:t xml:space="preserve"> [accessed</w:t>
      </w:r>
      <w:r>
        <w:rPr>
          <w:rFonts w:cstheme="minorHAnsi"/>
          <w:szCs w:val="24"/>
        </w:rPr>
        <w:t>:</w:t>
      </w:r>
      <w:r w:rsidRPr="00BC3776">
        <w:rPr>
          <w:rFonts w:cstheme="minorHAnsi"/>
          <w:szCs w:val="24"/>
        </w:rPr>
        <w:t xml:space="preserve"> on 15 February 2022].</w:t>
      </w:r>
    </w:p>
  </w:footnote>
  <w:footnote w:id="295">
    <w:p w14:paraId="27A5B70F" w14:textId="229052A3"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Department for Education (2020), </w:t>
      </w:r>
      <w:hyperlink r:id="rId310" w:history="1">
        <w:r w:rsidRPr="00BC3776">
          <w:rPr>
            <w:rStyle w:val="Hyperlink"/>
            <w:rFonts w:cstheme="minorHAnsi"/>
            <w:szCs w:val="24"/>
          </w:rPr>
          <w:t>National statistics: Key stage 4 performance 2019 (revised), national characteristics table, Table CH1</w:t>
        </w:r>
      </w:hyperlink>
      <w:r>
        <w:rPr>
          <w:rFonts w:cstheme="minorHAnsi"/>
          <w:szCs w:val="24"/>
        </w:rPr>
        <w:t xml:space="preserve"> [accessed:</w:t>
      </w:r>
      <w:r w:rsidRPr="00BC3776">
        <w:rPr>
          <w:rFonts w:cstheme="minorHAnsi"/>
          <w:szCs w:val="24"/>
        </w:rPr>
        <w:t xml:space="preserve"> 15 </w:t>
      </w:r>
      <w:r>
        <w:rPr>
          <w:rFonts w:cstheme="minorHAnsi"/>
          <w:szCs w:val="24"/>
        </w:rPr>
        <w:t>February 2022]; StatsWales</w:t>
      </w:r>
      <w:r w:rsidRPr="00BC3776">
        <w:rPr>
          <w:rFonts w:cstheme="minorHAnsi"/>
          <w:szCs w:val="24"/>
        </w:rPr>
        <w:t xml:space="preserve"> (2019) </w:t>
      </w:r>
      <w:hyperlink r:id="rId311" w:history="1">
        <w:r w:rsidRPr="00BC3776">
          <w:rPr>
            <w:rStyle w:val="Hyperlink"/>
            <w:rFonts w:cstheme="minorHAnsi"/>
            <w:szCs w:val="24"/>
          </w:rPr>
          <w:t>Key Stage 4 Interim Measures by FSM, from 2018/19</w:t>
        </w:r>
      </w:hyperlink>
      <w:r w:rsidRPr="00BC3776">
        <w:rPr>
          <w:rFonts w:cstheme="minorHAnsi"/>
          <w:szCs w:val="24"/>
        </w:rPr>
        <w:t xml:space="preserve"> [accessed</w:t>
      </w:r>
      <w:r>
        <w:rPr>
          <w:rFonts w:cstheme="minorHAnsi"/>
          <w:szCs w:val="24"/>
        </w:rPr>
        <w:t>:</w:t>
      </w:r>
      <w:r w:rsidRPr="00BC3776">
        <w:rPr>
          <w:rFonts w:cstheme="minorHAnsi"/>
          <w:szCs w:val="24"/>
        </w:rPr>
        <w:t xml:space="preserve"> 24 February 2022].</w:t>
      </w:r>
    </w:p>
  </w:footnote>
  <w:footnote w:id="296">
    <w:p w14:paraId="1B6C7F16" w14:textId="71E56D65"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Department for Education (2020), </w:t>
      </w:r>
      <w:hyperlink r:id="rId312" w:history="1">
        <w:r w:rsidRPr="00BC3776">
          <w:rPr>
            <w:rStyle w:val="Hyperlink"/>
            <w:rFonts w:cstheme="minorHAnsi"/>
            <w:szCs w:val="24"/>
          </w:rPr>
          <w:t>National statistics: Key stage 4 performance 2019 (revised), main text</w:t>
        </w:r>
      </w:hyperlink>
      <w:r>
        <w:rPr>
          <w:rStyle w:val="Hyperlink"/>
          <w:rFonts w:cstheme="minorHAnsi"/>
          <w:szCs w:val="24"/>
        </w:rPr>
        <w:t>,</w:t>
      </w:r>
      <w:r w:rsidRPr="00BC3776">
        <w:rPr>
          <w:rFonts w:cstheme="minorHAnsi"/>
          <w:szCs w:val="24"/>
        </w:rPr>
        <w:t xml:space="preserve"> </w:t>
      </w:r>
      <w:r>
        <w:rPr>
          <w:rFonts w:cstheme="minorHAnsi"/>
          <w:szCs w:val="24"/>
        </w:rPr>
        <w:t>pp. 12-13; StatsWales</w:t>
      </w:r>
      <w:r w:rsidRPr="00BC3776">
        <w:rPr>
          <w:rFonts w:cstheme="minorHAnsi"/>
          <w:szCs w:val="24"/>
        </w:rPr>
        <w:t xml:space="preserve"> (2020), </w:t>
      </w:r>
      <w:hyperlink r:id="rId313" w:history="1">
        <w:r w:rsidRPr="00BC3776">
          <w:rPr>
            <w:rStyle w:val="Hyperlink"/>
            <w:rFonts w:cstheme="minorHAnsi"/>
            <w:szCs w:val="24"/>
          </w:rPr>
          <w:t>KS4 indicators by year and ethnic background</w:t>
        </w:r>
      </w:hyperlink>
      <w:r w:rsidRPr="00BC3776">
        <w:rPr>
          <w:rFonts w:cstheme="minorHAnsi"/>
          <w:szCs w:val="24"/>
        </w:rPr>
        <w:t xml:space="preserve"> [accessed</w:t>
      </w:r>
      <w:r>
        <w:rPr>
          <w:rFonts w:cstheme="minorHAnsi"/>
          <w:szCs w:val="24"/>
        </w:rPr>
        <w:t>:</w:t>
      </w:r>
      <w:r w:rsidRPr="00BC3776">
        <w:rPr>
          <w:rFonts w:cstheme="minorHAnsi"/>
          <w:szCs w:val="24"/>
        </w:rPr>
        <w:t xml:space="preserve"> 15 February 2022].</w:t>
      </w:r>
    </w:p>
  </w:footnote>
  <w:footnote w:id="297">
    <w:p w14:paraId="2C543128" w14:textId="316CF38F"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Education Policy Institute (2020), </w:t>
      </w:r>
      <w:hyperlink r:id="rId314" w:history="1">
        <w:r w:rsidRPr="00BC3776">
          <w:rPr>
            <w:rStyle w:val="Hyperlink"/>
            <w:rFonts w:cstheme="minorHAnsi"/>
            <w:szCs w:val="24"/>
          </w:rPr>
          <w:t>Education in England: Annual Report 2020</w:t>
        </w:r>
      </w:hyperlink>
      <w:r w:rsidRPr="00BC3776">
        <w:rPr>
          <w:rFonts w:cstheme="minorHAnsi"/>
          <w:szCs w:val="24"/>
        </w:rPr>
        <w:t xml:space="preserve"> [accessed</w:t>
      </w:r>
      <w:r>
        <w:rPr>
          <w:rFonts w:cstheme="minorHAnsi"/>
          <w:szCs w:val="24"/>
        </w:rPr>
        <w:t>:</w:t>
      </w:r>
      <w:r w:rsidRPr="00BC3776">
        <w:rPr>
          <w:rFonts w:cstheme="minorHAnsi"/>
          <w:szCs w:val="24"/>
        </w:rPr>
        <w:t xml:space="preserve"> 15 February 2022], pp.</w:t>
      </w:r>
      <w:r>
        <w:rPr>
          <w:rFonts w:cstheme="minorHAnsi"/>
          <w:szCs w:val="24"/>
        </w:rPr>
        <w:t xml:space="preserve"> </w:t>
      </w:r>
      <w:r w:rsidRPr="00BC3776">
        <w:rPr>
          <w:rFonts w:cstheme="minorHAnsi"/>
          <w:szCs w:val="24"/>
        </w:rPr>
        <w:t xml:space="preserve">20-22; </w:t>
      </w:r>
      <w:r>
        <w:rPr>
          <w:rFonts w:cstheme="minorHAnsi"/>
          <w:szCs w:val="24"/>
        </w:rPr>
        <w:t xml:space="preserve">UK Government </w:t>
      </w:r>
      <w:r w:rsidRPr="00BC3776">
        <w:rPr>
          <w:rFonts w:cstheme="minorHAnsi"/>
          <w:szCs w:val="24"/>
        </w:rPr>
        <w:t>Department for Education (2020)</w:t>
      </w:r>
      <w:r>
        <w:rPr>
          <w:rFonts w:cstheme="minorHAnsi"/>
          <w:szCs w:val="24"/>
        </w:rPr>
        <w:t>,</w:t>
      </w:r>
      <w:r w:rsidRPr="00BC3776">
        <w:rPr>
          <w:rFonts w:cstheme="minorHAnsi"/>
          <w:szCs w:val="24"/>
        </w:rPr>
        <w:t xml:space="preserve"> </w:t>
      </w:r>
      <w:hyperlink r:id="rId315" w:history="1">
        <w:r w:rsidRPr="00BC3776">
          <w:rPr>
            <w:rStyle w:val="Hyperlink"/>
            <w:rFonts w:cstheme="minorHAnsi"/>
            <w:szCs w:val="24"/>
          </w:rPr>
          <w:t>National statistics: Key stage 4 performance 2019 (revised);</w:t>
        </w:r>
      </w:hyperlink>
      <w:r w:rsidRPr="00BC3776">
        <w:rPr>
          <w:rStyle w:val="Hyperlink"/>
          <w:rFonts w:cstheme="minorHAnsi"/>
          <w:szCs w:val="24"/>
        </w:rPr>
        <w:t xml:space="preserve"> </w:t>
      </w:r>
      <w:r w:rsidRPr="00BC3776">
        <w:rPr>
          <w:rFonts w:cstheme="minorHAnsi"/>
          <w:szCs w:val="24"/>
        </w:rPr>
        <w:t xml:space="preserve">Welsh Government (2019), </w:t>
      </w:r>
      <w:hyperlink r:id="rId316" w:history="1">
        <w:r w:rsidRPr="00BC3776">
          <w:rPr>
            <w:rStyle w:val="Hyperlink"/>
            <w:rFonts w:cstheme="minorHAnsi"/>
            <w:szCs w:val="24"/>
          </w:rPr>
          <w:t>Achievement and entitlement to free school meals: 2019</w:t>
        </w:r>
      </w:hyperlink>
      <w:r w:rsidRPr="00BC3776">
        <w:rPr>
          <w:rFonts w:cstheme="minorHAnsi"/>
          <w:szCs w:val="24"/>
        </w:rPr>
        <w:t xml:space="preserve"> [accessed</w:t>
      </w:r>
      <w:r>
        <w:rPr>
          <w:rFonts w:cstheme="minorHAnsi"/>
          <w:szCs w:val="24"/>
        </w:rPr>
        <w:t>:</w:t>
      </w:r>
      <w:r w:rsidRPr="00BC3776">
        <w:rPr>
          <w:rFonts w:cstheme="minorHAnsi"/>
          <w:szCs w:val="24"/>
        </w:rPr>
        <w:t xml:space="preserve"> 9 November 2022]; Estyn (2019), </w:t>
      </w:r>
      <w:hyperlink r:id="rId317" w:history="1">
        <w:r w:rsidRPr="00BC3776">
          <w:rPr>
            <w:rStyle w:val="Hyperlink"/>
            <w:rFonts w:cstheme="minorHAnsi"/>
            <w:szCs w:val="24"/>
          </w:rPr>
          <w:t>The annual report of Her Majesty’s Chief Inspector of Education and Training in Wales</w:t>
        </w:r>
      </w:hyperlink>
      <w:r w:rsidRPr="00BC3776">
        <w:rPr>
          <w:rFonts w:cstheme="minorHAnsi"/>
          <w:szCs w:val="24"/>
        </w:rPr>
        <w:t xml:space="preserve"> [accessed</w:t>
      </w:r>
      <w:r>
        <w:rPr>
          <w:rFonts w:cstheme="minorHAnsi"/>
          <w:szCs w:val="24"/>
        </w:rPr>
        <w:t>:</w:t>
      </w:r>
      <w:r w:rsidRPr="00BC3776">
        <w:rPr>
          <w:rFonts w:cstheme="minorHAnsi"/>
          <w:szCs w:val="24"/>
        </w:rPr>
        <w:t xml:space="preserve"> 29 September 2022], p.6.</w:t>
      </w:r>
    </w:p>
  </w:footnote>
  <w:footnote w:id="298">
    <w:p w14:paraId="34EE8DEB" w14:textId="5925E31D"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Crenna-Jennings, </w:t>
      </w:r>
      <w:r>
        <w:rPr>
          <w:rFonts w:cstheme="minorHAnsi"/>
          <w:szCs w:val="24"/>
        </w:rPr>
        <w:t xml:space="preserve">W. </w:t>
      </w:r>
      <w:r w:rsidRPr="00BC3776">
        <w:rPr>
          <w:rFonts w:cstheme="minorHAnsi"/>
          <w:szCs w:val="24"/>
        </w:rPr>
        <w:t xml:space="preserve">(2018), </w:t>
      </w:r>
      <w:hyperlink r:id="rId318" w:history="1">
        <w:r w:rsidRPr="00BC3776">
          <w:rPr>
            <w:rStyle w:val="Hyperlink"/>
            <w:rFonts w:cstheme="minorHAnsi"/>
            <w:szCs w:val="24"/>
          </w:rPr>
          <w:t>Key drivers of the disadvantage gap – literature review</w:t>
        </w:r>
      </w:hyperlink>
      <w:r>
        <w:rPr>
          <w:rFonts w:cstheme="minorHAnsi"/>
          <w:szCs w:val="24"/>
        </w:rPr>
        <w:t xml:space="preserve">, Education Policy Institute </w:t>
      </w:r>
      <w:r w:rsidRPr="00BC3776">
        <w:rPr>
          <w:rFonts w:cstheme="minorHAnsi"/>
          <w:szCs w:val="24"/>
        </w:rPr>
        <w:t>[accessed</w:t>
      </w:r>
      <w:r>
        <w:rPr>
          <w:rFonts w:cstheme="minorHAnsi"/>
          <w:szCs w:val="24"/>
        </w:rPr>
        <w:t>:</w:t>
      </w:r>
      <w:r w:rsidRPr="00BC3776">
        <w:rPr>
          <w:rFonts w:cstheme="minorHAnsi"/>
          <w:szCs w:val="24"/>
        </w:rPr>
        <w:t xml:space="preserve"> 1 June 2022]</w:t>
      </w:r>
      <w:r>
        <w:rPr>
          <w:rFonts w:cstheme="minorHAnsi"/>
          <w:szCs w:val="24"/>
        </w:rPr>
        <w:t>, p.4, pp. 9–10 and p.13</w:t>
      </w:r>
      <w:r w:rsidRPr="00BC3776">
        <w:rPr>
          <w:rFonts w:cstheme="minorHAnsi"/>
          <w:szCs w:val="24"/>
        </w:rPr>
        <w:t>.</w:t>
      </w:r>
    </w:p>
  </w:footnote>
  <w:footnote w:id="299">
    <w:p w14:paraId="3EC747AA" w14:textId="7E72C417"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Chatzitheochari, S. and P</w:t>
      </w:r>
      <w:r>
        <w:rPr>
          <w:rFonts w:cstheme="minorHAnsi"/>
          <w:szCs w:val="24"/>
        </w:rPr>
        <w:t xml:space="preserve">latt, L. </w:t>
      </w:r>
      <w:r w:rsidRPr="00BC3776">
        <w:rPr>
          <w:rFonts w:cstheme="minorHAnsi"/>
          <w:szCs w:val="24"/>
        </w:rPr>
        <w:t xml:space="preserve">(2018), </w:t>
      </w:r>
      <w:hyperlink r:id="rId319" w:history="1">
        <w:r w:rsidRPr="00BC3776">
          <w:rPr>
            <w:rStyle w:val="Hyperlink"/>
            <w:rFonts w:cstheme="minorHAnsi"/>
            <w:szCs w:val="24"/>
          </w:rPr>
          <w:t>Disability differentials in educational attainment in England: primary and secondary effects</w:t>
        </w:r>
      </w:hyperlink>
      <w:r>
        <w:rPr>
          <w:rFonts w:cstheme="minorHAnsi"/>
          <w:szCs w:val="24"/>
        </w:rPr>
        <w:t xml:space="preserve">, The London School of Economics and Political Science </w:t>
      </w:r>
      <w:r w:rsidRPr="00BC3776">
        <w:rPr>
          <w:rFonts w:cstheme="minorHAnsi"/>
          <w:szCs w:val="24"/>
        </w:rPr>
        <w:t>[accessed</w:t>
      </w:r>
      <w:r>
        <w:rPr>
          <w:rFonts w:cstheme="minorHAnsi"/>
          <w:szCs w:val="24"/>
        </w:rPr>
        <w:t>:</w:t>
      </w:r>
      <w:r w:rsidRPr="00BC3776">
        <w:rPr>
          <w:rFonts w:cstheme="minorHAnsi"/>
          <w:szCs w:val="24"/>
        </w:rPr>
        <w:t xml:space="preserve"> 6 September 2022].</w:t>
      </w:r>
    </w:p>
  </w:footnote>
  <w:footnote w:id="300">
    <w:p w14:paraId="2369B6A4" w14:textId="66C90785"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w:t>
      </w:r>
      <w:r w:rsidRPr="00BC3776">
        <w:rPr>
          <w:rFonts w:cstheme="minorHAnsi"/>
          <w:szCs w:val="24"/>
        </w:rPr>
        <w:t xml:space="preserve">House of Commons Committee of Public Accounts (2021), </w:t>
      </w:r>
      <w:hyperlink r:id="rId320" w:history="1">
        <w:r w:rsidRPr="00BC3776">
          <w:rPr>
            <w:rStyle w:val="Hyperlink"/>
            <w:rFonts w:cstheme="minorHAnsi"/>
            <w:szCs w:val="24"/>
          </w:rPr>
          <w:t>COVID-19: Support for children’s education: Third Report of Session 2021–22</w:t>
        </w:r>
      </w:hyperlink>
      <w:r w:rsidRPr="00BC3776">
        <w:rPr>
          <w:rFonts w:cstheme="minorHAnsi"/>
          <w:szCs w:val="24"/>
        </w:rPr>
        <w:t xml:space="preserve"> [accessed</w:t>
      </w:r>
      <w:r>
        <w:rPr>
          <w:rFonts w:cstheme="minorHAnsi"/>
          <w:szCs w:val="24"/>
        </w:rPr>
        <w:t>:</w:t>
      </w:r>
      <w:r w:rsidRPr="00BC3776">
        <w:rPr>
          <w:rFonts w:cstheme="minorHAnsi"/>
          <w:szCs w:val="24"/>
        </w:rPr>
        <w:t xml:space="preserve"> 15 March 2022]</w:t>
      </w:r>
      <w:r>
        <w:rPr>
          <w:rFonts w:cstheme="minorHAnsi"/>
          <w:szCs w:val="24"/>
        </w:rPr>
        <w:t>, p.3</w:t>
      </w:r>
      <w:r w:rsidRPr="00BC3776">
        <w:rPr>
          <w:rFonts w:cstheme="minorHAnsi"/>
          <w:szCs w:val="24"/>
        </w:rPr>
        <w:t>.</w:t>
      </w:r>
    </w:p>
  </w:footnote>
  <w:footnote w:id="301">
    <w:p w14:paraId="299081FA" w14:textId="7227252C" w:rsidR="0026506A" w:rsidRPr="00BC3776" w:rsidRDefault="0026506A" w:rsidP="00235DF5">
      <w:pPr>
        <w:pStyle w:val="FootnoteText"/>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Ibid.,</w:t>
      </w:r>
      <w:r w:rsidRPr="00BC3776">
        <w:rPr>
          <w:rFonts w:cstheme="minorHAnsi"/>
          <w:szCs w:val="24"/>
        </w:rPr>
        <w:t xml:space="preserve"> p.5.</w:t>
      </w:r>
    </w:p>
  </w:footnote>
  <w:footnote w:id="302">
    <w:p w14:paraId="27D729D7" w14:textId="750D1832"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Major, Prof. L.E. et al</w:t>
      </w:r>
      <w:r>
        <w:rPr>
          <w:rFonts w:cstheme="minorHAnsi"/>
          <w:szCs w:val="24"/>
        </w:rPr>
        <w:t>.</w:t>
      </w:r>
      <w:r w:rsidRPr="00BC3776">
        <w:rPr>
          <w:rFonts w:cstheme="minorHAnsi"/>
          <w:szCs w:val="24"/>
        </w:rPr>
        <w:t xml:space="preserve"> (2021), </w:t>
      </w:r>
      <w:hyperlink r:id="rId321" w:history="1">
        <w:r w:rsidRPr="00BC3776">
          <w:rPr>
            <w:rStyle w:val="Hyperlink"/>
            <w:rFonts w:cstheme="minorHAnsi"/>
            <w:szCs w:val="24"/>
          </w:rPr>
          <w:t>Pupils lost a third of learning time during pandemic year</w:t>
        </w:r>
      </w:hyperlink>
      <w:r>
        <w:rPr>
          <w:rFonts w:cstheme="minorHAnsi"/>
          <w:szCs w:val="24"/>
        </w:rPr>
        <w:t xml:space="preserve">, London School of Economics and Political Science </w:t>
      </w:r>
      <w:r w:rsidRPr="00BC3776">
        <w:rPr>
          <w:rFonts w:cstheme="minorHAnsi"/>
          <w:szCs w:val="24"/>
        </w:rPr>
        <w:t>[accessed</w:t>
      </w:r>
      <w:r>
        <w:rPr>
          <w:rFonts w:cstheme="minorHAnsi"/>
          <w:szCs w:val="24"/>
        </w:rPr>
        <w:t>:</w:t>
      </w:r>
      <w:r w:rsidRPr="00BC3776">
        <w:rPr>
          <w:rFonts w:cstheme="minorHAnsi"/>
          <w:szCs w:val="24"/>
        </w:rPr>
        <w:t xml:space="preserve"> 8 June 2022]</w:t>
      </w:r>
      <w:r>
        <w:rPr>
          <w:rFonts w:cstheme="minorHAnsi"/>
          <w:szCs w:val="24"/>
        </w:rPr>
        <w:t>, p.8</w:t>
      </w:r>
      <w:r w:rsidRPr="00BC3776">
        <w:rPr>
          <w:rFonts w:cstheme="minorHAnsi"/>
          <w:szCs w:val="24"/>
        </w:rPr>
        <w:t>.</w:t>
      </w:r>
    </w:p>
  </w:footnote>
  <w:footnote w:id="303">
    <w:p w14:paraId="046CE4AA" w14:textId="2C74B28A" w:rsidR="0026506A" w:rsidRPr="00BC3776" w:rsidRDefault="0026506A" w:rsidP="00235DF5">
      <w:pPr>
        <w:pStyle w:val="FootnoteText"/>
        <w:spacing w:before="120"/>
        <w:rPr>
          <w:rFonts w:cstheme="minorHAnsi"/>
          <w:szCs w:val="24"/>
          <w:u w:val="single" w:color="009C98" w:themeColor="accent1"/>
        </w:rPr>
      </w:pPr>
      <w:r w:rsidRPr="00BC3776">
        <w:rPr>
          <w:rStyle w:val="FootnoteReference"/>
          <w:rFonts w:cstheme="minorHAnsi"/>
          <w:szCs w:val="24"/>
        </w:rPr>
        <w:footnoteRef/>
      </w:r>
      <w:r w:rsidRPr="00BC3776">
        <w:rPr>
          <w:rFonts w:cstheme="minorHAnsi"/>
          <w:szCs w:val="24"/>
        </w:rPr>
        <w:t xml:space="preserve"> Major, Prof. L.E. et al</w:t>
      </w:r>
      <w:r>
        <w:rPr>
          <w:rFonts w:cstheme="minorHAnsi"/>
          <w:szCs w:val="24"/>
        </w:rPr>
        <w:t xml:space="preserve">. </w:t>
      </w:r>
      <w:r w:rsidRPr="00BC3776">
        <w:rPr>
          <w:rFonts w:cstheme="minorHAnsi"/>
          <w:szCs w:val="24"/>
        </w:rPr>
        <w:t xml:space="preserve">(2021), </w:t>
      </w:r>
      <w:hyperlink r:id="rId322" w:history="1">
        <w:r w:rsidRPr="00BC3776">
          <w:rPr>
            <w:rStyle w:val="Hyperlink"/>
            <w:rFonts w:cstheme="minorHAnsi"/>
            <w:szCs w:val="24"/>
          </w:rPr>
          <w:t>Pupils lost a third of learning time during pandemic year</w:t>
        </w:r>
      </w:hyperlink>
      <w:r>
        <w:rPr>
          <w:rFonts w:cstheme="minorHAnsi"/>
          <w:szCs w:val="24"/>
        </w:rPr>
        <w:t xml:space="preserve">, London School of Economics and Political Science </w:t>
      </w:r>
      <w:r w:rsidRPr="00BC3776">
        <w:rPr>
          <w:rFonts w:cstheme="minorHAnsi"/>
          <w:szCs w:val="24"/>
        </w:rPr>
        <w:t>[accessed</w:t>
      </w:r>
      <w:r>
        <w:rPr>
          <w:rFonts w:cstheme="minorHAnsi"/>
          <w:szCs w:val="24"/>
        </w:rPr>
        <w:t>:</w:t>
      </w:r>
      <w:r w:rsidRPr="00BC3776">
        <w:rPr>
          <w:rFonts w:cstheme="minorHAnsi"/>
          <w:szCs w:val="24"/>
        </w:rPr>
        <w:t xml:space="preserve"> 8 June 2022]</w:t>
      </w:r>
      <w:r>
        <w:rPr>
          <w:rFonts w:cstheme="minorHAnsi"/>
          <w:szCs w:val="24"/>
        </w:rPr>
        <w:t>, pp. 10–11</w:t>
      </w:r>
      <w:r w:rsidRPr="00BC3776">
        <w:rPr>
          <w:rFonts w:cstheme="minorHAnsi"/>
          <w:szCs w:val="24"/>
        </w:rPr>
        <w:t xml:space="preserve">; </w:t>
      </w:r>
      <w:r w:rsidRPr="00BC3776" w:rsidDel="00CA7D58">
        <w:rPr>
          <w:rFonts w:cstheme="minorHAnsi"/>
          <w:szCs w:val="24"/>
        </w:rPr>
        <w:t>Renaissance Learning</w:t>
      </w:r>
      <w:r w:rsidRPr="00BC3776">
        <w:rPr>
          <w:rFonts w:cstheme="minorHAnsi"/>
          <w:szCs w:val="24"/>
        </w:rPr>
        <w:t xml:space="preserve"> and</w:t>
      </w:r>
      <w:r w:rsidRPr="00BC3776" w:rsidDel="00CA7D58">
        <w:rPr>
          <w:rFonts w:cstheme="minorHAnsi"/>
          <w:szCs w:val="24"/>
        </w:rPr>
        <w:t xml:space="preserve"> Education Policy Institute (2022), </w:t>
      </w:r>
      <w:hyperlink r:id="rId323" w:history="1">
        <w:r w:rsidRPr="00BC3776" w:rsidDel="00CA7D58">
          <w:rPr>
            <w:rStyle w:val="Hyperlink"/>
            <w:rFonts w:cstheme="minorHAnsi"/>
            <w:szCs w:val="24"/>
          </w:rPr>
          <w:t>Understanding Progress in the 2020/21 Academic Year Extension report covering the first half of the autumn term 2021/22</w:t>
        </w:r>
      </w:hyperlink>
      <w:r w:rsidRPr="00BC3776" w:rsidDel="00CA7D58">
        <w:rPr>
          <w:rFonts w:cstheme="minorHAnsi"/>
          <w:szCs w:val="24"/>
        </w:rPr>
        <w:t xml:space="preserve"> [accessed</w:t>
      </w:r>
      <w:r>
        <w:rPr>
          <w:rFonts w:cstheme="minorHAnsi"/>
          <w:szCs w:val="24"/>
        </w:rPr>
        <w:t>:</w:t>
      </w:r>
      <w:r w:rsidRPr="00BC3776" w:rsidDel="00CA7D58">
        <w:rPr>
          <w:rFonts w:cstheme="minorHAnsi"/>
          <w:szCs w:val="24"/>
        </w:rPr>
        <w:t xml:space="preserve"> 6 April 2022]</w:t>
      </w:r>
      <w:r>
        <w:rPr>
          <w:rFonts w:cstheme="minorHAnsi"/>
          <w:szCs w:val="24"/>
        </w:rPr>
        <w:t>, pp. 8-9</w:t>
      </w:r>
      <w:r w:rsidRPr="00BC3776" w:rsidDel="00CA7D58">
        <w:rPr>
          <w:rFonts w:cstheme="minorHAnsi"/>
          <w:szCs w:val="24"/>
        </w:rPr>
        <w:t>.</w:t>
      </w:r>
    </w:p>
  </w:footnote>
  <w:footnote w:id="304">
    <w:p w14:paraId="608D1324" w14:textId="211F3DFE" w:rsidR="0026506A" w:rsidRPr="00BC3776" w:rsidDel="00CA7D58" w:rsidRDefault="0026506A" w:rsidP="00235DF5">
      <w:pPr>
        <w:pStyle w:val="FootnoteText"/>
        <w:spacing w:before="120"/>
        <w:rPr>
          <w:rFonts w:cstheme="minorHAnsi"/>
          <w:szCs w:val="24"/>
          <w:u w:val="single" w:color="009C98" w:themeColor="accent1"/>
        </w:rPr>
      </w:pPr>
      <w:r w:rsidRPr="00BC3776" w:rsidDel="00CA7D58">
        <w:rPr>
          <w:rStyle w:val="FootnoteReference"/>
          <w:rFonts w:cstheme="minorHAnsi"/>
          <w:szCs w:val="24"/>
        </w:rPr>
        <w:footnoteRef/>
      </w:r>
      <w:r w:rsidRPr="00BC3776" w:rsidDel="00CA7D58">
        <w:rPr>
          <w:rFonts w:cstheme="minorHAnsi"/>
          <w:szCs w:val="24"/>
        </w:rPr>
        <w:t xml:space="preserve"> </w:t>
      </w:r>
      <w:r w:rsidRPr="00BC3776">
        <w:rPr>
          <w:rFonts w:cstheme="minorHAnsi"/>
          <w:szCs w:val="24"/>
        </w:rPr>
        <w:t xml:space="preserve">Disadvantage is defined as pupils who have been eligible for free school meals at some point in the last six years. </w:t>
      </w:r>
      <w:r w:rsidRPr="00BC3776" w:rsidDel="00CA7D58">
        <w:rPr>
          <w:rFonts w:cstheme="minorHAnsi"/>
          <w:szCs w:val="24"/>
        </w:rPr>
        <w:t>Renaissance Learning, Ed</w:t>
      </w:r>
      <w:r>
        <w:rPr>
          <w:rFonts w:cstheme="minorHAnsi"/>
          <w:szCs w:val="24"/>
        </w:rPr>
        <w:t>ucation Policy Institute (</w:t>
      </w:r>
      <w:r w:rsidRPr="00BC3776" w:rsidDel="00CA7D58">
        <w:rPr>
          <w:rFonts w:cstheme="minorHAnsi"/>
          <w:szCs w:val="24"/>
        </w:rPr>
        <w:t xml:space="preserve">2022), </w:t>
      </w:r>
      <w:hyperlink r:id="rId324" w:history="1">
        <w:r w:rsidRPr="00BC3776" w:rsidDel="00CA7D58">
          <w:rPr>
            <w:rStyle w:val="Hyperlink"/>
            <w:rFonts w:cstheme="minorHAnsi"/>
            <w:szCs w:val="24"/>
          </w:rPr>
          <w:t>Understanding Progress in the 2020/21 Academic Year Extension report covering the first half of the autumn term 2021/22</w:t>
        </w:r>
      </w:hyperlink>
      <w:r w:rsidRPr="00BC3776" w:rsidDel="00CA7D58">
        <w:rPr>
          <w:rFonts w:cstheme="minorHAnsi"/>
          <w:szCs w:val="24"/>
        </w:rPr>
        <w:t xml:space="preserve"> [accessed</w:t>
      </w:r>
      <w:r>
        <w:rPr>
          <w:rFonts w:cstheme="minorHAnsi"/>
          <w:szCs w:val="24"/>
        </w:rPr>
        <w:t>:</w:t>
      </w:r>
      <w:r w:rsidRPr="00BC3776" w:rsidDel="00CA7D58">
        <w:rPr>
          <w:rFonts w:cstheme="minorHAnsi"/>
          <w:szCs w:val="24"/>
        </w:rPr>
        <w:t xml:space="preserve"> 6 April 2022]</w:t>
      </w:r>
      <w:r>
        <w:rPr>
          <w:rFonts w:cstheme="minorHAnsi"/>
          <w:szCs w:val="24"/>
        </w:rPr>
        <w:t>, pp. 36–37</w:t>
      </w:r>
      <w:r w:rsidRPr="00BC3776" w:rsidDel="00CA7D58">
        <w:rPr>
          <w:rFonts w:cstheme="minorHAnsi"/>
          <w:szCs w:val="24"/>
        </w:rPr>
        <w:t>.</w:t>
      </w:r>
    </w:p>
  </w:footnote>
  <w:footnote w:id="305">
    <w:p w14:paraId="1F242D90" w14:textId="24FA0A7A" w:rsidR="0026506A" w:rsidRPr="00BC3776" w:rsidRDefault="0026506A" w:rsidP="00235DF5">
      <w:pPr>
        <w:pStyle w:val="FootnoteText"/>
        <w:rPr>
          <w:rFonts w:cstheme="minorHAnsi"/>
          <w:szCs w:val="24"/>
        </w:rPr>
      </w:pPr>
      <w:r w:rsidRPr="00BC3776">
        <w:rPr>
          <w:rStyle w:val="FootnoteReference"/>
          <w:rFonts w:cstheme="minorHAnsi"/>
          <w:szCs w:val="24"/>
        </w:rPr>
        <w:footnoteRef/>
      </w:r>
      <w:r w:rsidRPr="00BC3776">
        <w:rPr>
          <w:rFonts w:cstheme="minorHAnsi"/>
          <w:szCs w:val="24"/>
        </w:rPr>
        <w:t xml:space="preserve"> RS Assessment from Hodder Education and SchoolDash (2022), </w:t>
      </w:r>
      <w:hyperlink r:id="rId325" w:history="1">
        <w:r w:rsidRPr="00BC3776">
          <w:rPr>
            <w:rStyle w:val="Hyperlink"/>
            <w:rFonts w:cstheme="minorHAnsi"/>
            <w:szCs w:val="24"/>
          </w:rPr>
          <w:t>The residual impact of educational disruption on primary school attainment by spring 2022</w:t>
        </w:r>
      </w:hyperlink>
      <w:r w:rsidRPr="00BC3776">
        <w:rPr>
          <w:rFonts w:cstheme="minorHAnsi"/>
          <w:szCs w:val="24"/>
        </w:rPr>
        <w:t xml:space="preserve"> [accessed</w:t>
      </w:r>
      <w:r>
        <w:rPr>
          <w:rFonts w:cstheme="minorHAnsi"/>
          <w:szCs w:val="24"/>
        </w:rPr>
        <w:t>:</w:t>
      </w:r>
      <w:r w:rsidRPr="00BC3776">
        <w:rPr>
          <w:rFonts w:cstheme="minorHAnsi"/>
          <w:szCs w:val="24"/>
        </w:rPr>
        <w:t xml:space="preserve"> 1 December 2022], p.3.</w:t>
      </w:r>
    </w:p>
  </w:footnote>
  <w:footnote w:id="306">
    <w:p w14:paraId="49F4ACDA" w14:textId="4704EB52" w:rsidR="0026506A" w:rsidRPr="00BC3776" w:rsidRDefault="0026506A" w:rsidP="00235DF5">
      <w:pPr>
        <w:pStyle w:val="FootnoteText"/>
        <w:spacing w:before="120"/>
        <w:rPr>
          <w:rFonts w:cstheme="minorHAnsi"/>
          <w:b/>
          <w:bCs/>
          <w:szCs w:val="24"/>
        </w:rPr>
      </w:pPr>
      <w:r w:rsidRPr="00BC3776">
        <w:rPr>
          <w:rStyle w:val="FootnoteReference"/>
          <w:rFonts w:cstheme="minorHAnsi"/>
          <w:szCs w:val="24"/>
        </w:rPr>
        <w:footnoteRef/>
      </w:r>
      <w:r w:rsidRPr="00BC3776">
        <w:rPr>
          <w:rFonts w:cstheme="minorHAnsi"/>
          <w:szCs w:val="24"/>
        </w:rPr>
        <w:t xml:space="preserve"> Institute</w:t>
      </w:r>
      <w:r>
        <w:rPr>
          <w:rFonts w:cstheme="minorHAnsi"/>
          <w:szCs w:val="24"/>
        </w:rPr>
        <w:t xml:space="preserve"> for Fiscal Studies (</w:t>
      </w:r>
      <w:r w:rsidRPr="00BC3776">
        <w:rPr>
          <w:rFonts w:cstheme="minorHAnsi"/>
          <w:szCs w:val="24"/>
        </w:rPr>
        <w:t>2021)</w:t>
      </w:r>
      <w:r>
        <w:rPr>
          <w:rFonts w:cstheme="minorHAnsi"/>
          <w:szCs w:val="24"/>
        </w:rPr>
        <w:t>,</w:t>
      </w:r>
      <w:r w:rsidRPr="00BC3776">
        <w:rPr>
          <w:rFonts w:cstheme="minorHAnsi"/>
          <w:szCs w:val="24"/>
        </w:rPr>
        <w:t xml:space="preserve"> </w:t>
      </w:r>
      <w:hyperlink r:id="rId326" w:history="1">
        <w:r w:rsidRPr="00BC3776">
          <w:rPr>
            <w:rStyle w:val="Hyperlink"/>
            <w:rFonts w:cstheme="minorHAnsi"/>
            <w:bCs/>
            <w:szCs w:val="24"/>
          </w:rPr>
          <w:t>The crisis in lost learning calls for a massive national policy response</w:t>
        </w:r>
      </w:hyperlink>
      <w:r w:rsidRPr="00BC3776">
        <w:rPr>
          <w:rFonts w:cstheme="minorHAnsi"/>
          <w:bCs/>
          <w:szCs w:val="24"/>
        </w:rPr>
        <w:t xml:space="preserve"> [accessed</w:t>
      </w:r>
      <w:r>
        <w:rPr>
          <w:rFonts w:cstheme="minorHAnsi"/>
          <w:bCs/>
          <w:szCs w:val="24"/>
        </w:rPr>
        <w:t>:</w:t>
      </w:r>
      <w:r w:rsidRPr="00BC3776">
        <w:rPr>
          <w:rFonts w:cstheme="minorHAnsi"/>
          <w:bCs/>
          <w:szCs w:val="24"/>
        </w:rPr>
        <w:t xml:space="preserve"> 15 March 2022].</w:t>
      </w:r>
    </w:p>
  </w:footnote>
  <w:footnote w:id="307">
    <w:p w14:paraId="4A98023C" w14:textId="7B3C88E2"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Many studies on learning loss and attainment do not investigate or report on protected characteristics. For example, see Ofqual (2021), </w:t>
      </w:r>
      <w:hyperlink r:id="rId327" w:history="1">
        <w:r w:rsidRPr="00BC3776">
          <w:rPr>
            <w:rStyle w:val="Hyperlink"/>
            <w:rFonts w:cstheme="minorHAnsi"/>
            <w:szCs w:val="24"/>
          </w:rPr>
          <w:t>Learning during the pandemic: quantifying lost learning</w:t>
        </w:r>
      </w:hyperlink>
      <w:r w:rsidRPr="00BC3776">
        <w:rPr>
          <w:rFonts w:cstheme="minorHAnsi"/>
          <w:szCs w:val="24"/>
        </w:rPr>
        <w:t xml:space="preserve"> [accessed</w:t>
      </w:r>
      <w:r>
        <w:rPr>
          <w:rFonts w:cstheme="minorHAnsi"/>
          <w:szCs w:val="24"/>
        </w:rPr>
        <w:t>:</w:t>
      </w:r>
      <w:r w:rsidRPr="00BC3776">
        <w:rPr>
          <w:rFonts w:cstheme="minorHAnsi"/>
          <w:szCs w:val="24"/>
        </w:rPr>
        <w:t xml:space="preserve"> 24 January 2022]. </w:t>
      </w:r>
    </w:p>
  </w:footnote>
  <w:footnote w:id="308">
    <w:p w14:paraId="449A85DF" w14:textId="61F72AD9"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Renaissance Learning and Education Policy Institute (2021), </w:t>
      </w:r>
      <w:hyperlink r:id="rId328" w:history="1">
        <w:r w:rsidRPr="00BC3776">
          <w:rPr>
            <w:rStyle w:val="Hyperlink"/>
            <w:rFonts w:cstheme="minorHAnsi"/>
            <w:szCs w:val="24"/>
          </w:rPr>
          <w:t>Understanding progress in the 2020 to 2021 academic year</w:t>
        </w:r>
      </w:hyperlink>
      <w:r w:rsidRPr="00BC3776">
        <w:rPr>
          <w:rFonts w:cstheme="minorHAnsi"/>
          <w:szCs w:val="24"/>
        </w:rPr>
        <w:t xml:space="preserve"> [accessed</w:t>
      </w:r>
      <w:r>
        <w:rPr>
          <w:rFonts w:cstheme="minorHAnsi"/>
          <w:szCs w:val="24"/>
        </w:rPr>
        <w:t>: 24 January 2022];</w:t>
      </w:r>
      <w:r w:rsidRPr="00BC3776">
        <w:rPr>
          <w:rFonts w:cstheme="minorHAnsi"/>
          <w:szCs w:val="24"/>
        </w:rPr>
        <w:t xml:space="preserve"> Renaissance Learning and Education Policy Institute (2022), </w:t>
      </w:r>
      <w:hyperlink r:id="rId329" w:history="1">
        <w:r w:rsidRPr="00BC3776">
          <w:rPr>
            <w:rStyle w:val="Hyperlink"/>
            <w:rFonts w:cstheme="minorHAnsi"/>
            <w:szCs w:val="24"/>
          </w:rPr>
          <w:t>Understanding Progress in the 2020/21 Academic Year Extension report covering the first half of the autumn term 2021/22</w:t>
        </w:r>
      </w:hyperlink>
      <w:r w:rsidRPr="00BC3776">
        <w:rPr>
          <w:rFonts w:cstheme="minorHAnsi"/>
          <w:szCs w:val="24"/>
        </w:rPr>
        <w:t xml:space="preserve"> [accessed</w:t>
      </w:r>
      <w:r>
        <w:rPr>
          <w:rFonts w:cstheme="minorHAnsi"/>
          <w:szCs w:val="24"/>
        </w:rPr>
        <w:t>:</w:t>
      </w:r>
      <w:r w:rsidRPr="00BC3776">
        <w:rPr>
          <w:rFonts w:cstheme="minorHAnsi"/>
          <w:szCs w:val="24"/>
        </w:rPr>
        <w:t xml:space="preserve"> 13 April 2022].</w:t>
      </w:r>
    </w:p>
  </w:footnote>
  <w:footnote w:id="309">
    <w:p w14:paraId="770EA030" w14:textId="30CB8603"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Pensiero, N., et al</w:t>
      </w:r>
      <w:r>
        <w:rPr>
          <w:rFonts w:cstheme="minorHAnsi"/>
          <w:szCs w:val="24"/>
        </w:rPr>
        <w:t>.</w:t>
      </w:r>
      <w:r w:rsidRPr="00BC3776">
        <w:rPr>
          <w:rFonts w:cstheme="minorHAnsi"/>
          <w:szCs w:val="24"/>
        </w:rPr>
        <w:t xml:space="preserve"> (2021), </w:t>
      </w:r>
      <w:hyperlink r:id="rId330" w:history="1">
        <w:r w:rsidRPr="00BC3776">
          <w:rPr>
            <w:rStyle w:val="Hyperlink"/>
            <w:rFonts w:cstheme="minorHAnsi"/>
            <w:szCs w:val="24"/>
          </w:rPr>
          <w:t>Learning inequalities during the Covid-19 pandemic: A longitudinal analysis using the UK Understanding Society 2020 and 2021 data</w:t>
        </w:r>
      </w:hyperlink>
      <w:r>
        <w:rPr>
          <w:rFonts w:cstheme="minorHAnsi"/>
          <w:szCs w:val="24"/>
        </w:rPr>
        <w:t>, School of Education, University of Southampton [accessed: 5 December 2022], for example see pp. 5–7.</w:t>
      </w:r>
    </w:p>
  </w:footnote>
  <w:footnote w:id="310">
    <w:p w14:paraId="07244C06" w14:textId="73264F56"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sidRPr="00BC3776">
        <w:rPr>
          <w:rFonts w:cstheme="minorHAnsi"/>
          <w:szCs w:val="24"/>
          <w:lang w:val="en"/>
        </w:rPr>
        <w:t xml:space="preserve">Children’s Commissioner for England (2020), </w:t>
      </w:r>
      <w:hyperlink r:id="rId331" w:history="1">
        <w:r w:rsidRPr="00BC3776">
          <w:rPr>
            <w:rStyle w:val="Hyperlink"/>
            <w:rFonts w:cstheme="minorHAnsi"/>
            <w:szCs w:val="24"/>
            <w:lang w:val="en"/>
          </w:rPr>
          <w:t>Children without internet access during lockdown</w:t>
        </w:r>
      </w:hyperlink>
      <w:r>
        <w:rPr>
          <w:rFonts w:cstheme="minorHAnsi"/>
          <w:szCs w:val="24"/>
          <w:lang w:val="en"/>
        </w:rPr>
        <w:t xml:space="preserve"> [accessed: 6 October 2022].</w:t>
      </w:r>
    </w:p>
  </w:footnote>
  <w:footnote w:id="311">
    <w:p w14:paraId="1059B4D8" w14:textId="2006132D"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sidRPr="00BC3776">
        <w:rPr>
          <w:rFonts w:cstheme="minorHAnsi"/>
          <w:szCs w:val="24"/>
          <w:lang w:val="en"/>
        </w:rPr>
        <w:t xml:space="preserve">Children’s Commissioner for England (2020), </w:t>
      </w:r>
      <w:hyperlink r:id="rId332" w:history="1">
        <w:r w:rsidRPr="00BC3776">
          <w:rPr>
            <w:rStyle w:val="Hyperlink"/>
            <w:rFonts w:cstheme="minorHAnsi"/>
            <w:szCs w:val="24"/>
            <w:lang w:val="en"/>
          </w:rPr>
          <w:t>Children without internet access during lockdown</w:t>
        </w:r>
      </w:hyperlink>
      <w:r w:rsidRPr="00BC3776">
        <w:rPr>
          <w:rFonts w:cstheme="minorHAnsi"/>
          <w:szCs w:val="24"/>
          <w:lang w:val="en"/>
        </w:rPr>
        <w:t xml:space="preserve"> [accessed</w:t>
      </w:r>
      <w:r>
        <w:rPr>
          <w:rFonts w:cstheme="minorHAnsi"/>
          <w:szCs w:val="24"/>
          <w:lang w:val="en"/>
        </w:rPr>
        <w:t>:</w:t>
      </w:r>
      <w:r w:rsidRPr="00BC3776">
        <w:rPr>
          <w:rFonts w:cstheme="minorHAnsi"/>
          <w:szCs w:val="24"/>
          <w:lang w:val="en"/>
        </w:rPr>
        <w:t xml:space="preserve"> 6 October 2022]; </w:t>
      </w:r>
      <w:r w:rsidRPr="00BC3776">
        <w:rPr>
          <w:rFonts w:cstheme="minorHAnsi"/>
          <w:szCs w:val="24"/>
        </w:rPr>
        <w:t xml:space="preserve">Cullinane, C. and Montacute, R. (2020), </w:t>
      </w:r>
      <w:hyperlink r:id="rId333" w:history="1">
        <w:r w:rsidRPr="00BC3776">
          <w:rPr>
            <w:rStyle w:val="Hyperlink"/>
            <w:rFonts w:cstheme="minorHAnsi"/>
            <w:szCs w:val="24"/>
          </w:rPr>
          <w:t>COVID-19 impacts: school shutdown</w:t>
        </w:r>
      </w:hyperlink>
      <w:r w:rsidRPr="00BC3776">
        <w:rPr>
          <w:rFonts w:cstheme="minorHAnsi"/>
          <w:szCs w:val="24"/>
        </w:rPr>
        <w:t xml:space="preserve">; Green, F. (LLAKES Centre for Learning and Life Chances in Knowledge Economies and Societies, and UCL Institute of Education) (2020), </w:t>
      </w:r>
      <w:hyperlink r:id="rId334" w:history="1">
        <w:r w:rsidRPr="00BC3776">
          <w:rPr>
            <w:rStyle w:val="Hyperlink"/>
            <w:rFonts w:cstheme="minorHAnsi"/>
            <w:szCs w:val="24"/>
          </w:rPr>
          <w:t>Schoolwork in lockdown: new evidence on the epidemic of educational poverty</w:t>
        </w:r>
      </w:hyperlink>
      <w:r w:rsidRPr="00BC3776">
        <w:rPr>
          <w:rFonts w:cstheme="minorHAnsi"/>
          <w:szCs w:val="24"/>
        </w:rPr>
        <w:t xml:space="preserve"> [accessed</w:t>
      </w:r>
      <w:r>
        <w:rPr>
          <w:rFonts w:cstheme="minorHAnsi"/>
          <w:szCs w:val="24"/>
        </w:rPr>
        <w:t>:</w:t>
      </w:r>
      <w:r w:rsidRPr="00BC3776">
        <w:rPr>
          <w:rFonts w:cstheme="minorHAnsi"/>
          <w:szCs w:val="24"/>
        </w:rPr>
        <w:t xml:space="preserve"> 10 October 2022]; UK House of Commons Education Committee (2022), </w:t>
      </w:r>
      <w:hyperlink r:id="rId335" w:history="1">
        <w:r w:rsidRPr="00BC3776">
          <w:rPr>
            <w:rStyle w:val="Hyperlink"/>
            <w:rFonts w:cstheme="minorHAnsi"/>
            <w:szCs w:val="24"/>
          </w:rPr>
          <w:t>Is the catch-up programme fit for purpose?</w:t>
        </w:r>
      </w:hyperlink>
      <w:r w:rsidRPr="00BC3776">
        <w:rPr>
          <w:rFonts w:cstheme="minorHAnsi"/>
          <w:szCs w:val="24"/>
        </w:rPr>
        <w:t xml:space="preserve"> [accessed</w:t>
      </w:r>
      <w:r>
        <w:rPr>
          <w:rFonts w:cstheme="minorHAnsi"/>
          <w:szCs w:val="24"/>
        </w:rPr>
        <w:t>:</w:t>
      </w:r>
      <w:r w:rsidRPr="00BC3776">
        <w:rPr>
          <w:rFonts w:cstheme="minorHAnsi"/>
          <w:szCs w:val="24"/>
        </w:rPr>
        <w:t xml:space="preserve"> 5 December 2022], p.8.</w:t>
      </w:r>
    </w:p>
  </w:footnote>
  <w:footnote w:id="312">
    <w:p w14:paraId="5C7B7498" w14:textId="7A89F0BC" w:rsidR="0026506A" w:rsidRPr="00BC3776" w:rsidRDefault="0026506A" w:rsidP="00235DF5">
      <w:pPr>
        <w:pStyle w:val="FootnoteText"/>
        <w:rPr>
          <w:rFonts w:cstheme="minorHAnsi"/>
          <w:szCs w:val="24"/>
        </w:rPr>
      </w:pPr>
      <w:r w:rsidRPr="00BC3776">
        <w:rPr>
          <w:rStyle w:val="FootnoteReference"/>
          <w:rFonts w:cstheme="minorHAnsi"/>
          <w:szCs w:val="24"/>
        </w:rPr>
        <w:footnoteRef/>
      </w:r>
      <w:r w:rsidRPr="00BC3776">
        <w:rPr>
          <w:rFonts w:cstheme="minorHAnsi"/>
          <w:szCs w:val="24"/>
        </w:rPr>
        <w:t xml:space="preserve"> UK Parliament, Written questions, answers and statements (2020), </w:t>
      </w:r>
      <w:hyperlink r:id="rId336" w:history="1">
        <w:r w:rsidRPr="00BC3776">
          <w:rPr>
            <w:rStyle w:val="Hyperlink"/>
            <w:rFonts w:cstheme="minorHAnsi"/>
            <w:szCs w:val="24"/>
          </w:rPr>
          <w:t>Remote education: broadband and ICT, Question for Department for Education, UIN 116442</w:t>
        </w:r>
      </w:hyperlink>
      <w:r w:rsidRPr="00BC3776">
        <w:rPr>
          <w:rFonts w:cstheme="minorHAnsi"/>
          <w:szCs w:val="24"/>
        </w:rPr>
        <w:t xml:space="preserve"> [accessed</w:t>
      </w:r>
      <w:r>
        <w:rPr>
          <w:rFonts w:cstheme="minorHAnsi"/>
          <w:szCs w:val="24"/>
        </w:rPr>
        <w:t>:</w:t>
      </w:r>
      <w:r w:rsidRPr="00BC3776">
        <w:rPr>
          <w:rFonts w:cstheme="minorHAnsi"/>
          <w:szCs w:val="24"/>
        </w:rPr>
        <w:t xml:space="preserve"> 1 December 2022].</w:t>
      </w:r>
    </w:p>
  </w:footnote>
  <w:footnote w:id="313">
    <w:p w14:paraId="0734D8EB" w14:textId="24FA7CF7"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Children’s Commissioner for Wales (2021) </w:t>
      </w:r>
      <w:hyperlink r:id="rId337" w:history="1">
        <w:r w:rsidRPr="00BC3776">
          <w:rPr>
            <w:rStyle w:val="Hyperlink"/>
            <w:rFonts w:cstheme="minorHAnsi"/>
            <w:szCs w:val="24"/>
          </w:rPr>
          <w:t>Getting online :barriers and successes for the provision of online learning during the January 2021 Tier 4 lockdown</w:t>
        </w:r>
      </w:hyperlink>
      <w:r>
        <w:rPr>
          <w:rFonts w:cstheme="minorHAnsi"/>
          <w:szCs w:val="24"/>
        </w:rPr>
        <w:t xml:space="preserve"> [accessed: 9 December 2022], p.8.</w:t>
      </w:r>
    </w:p>
  </w:footnote>
  <w:footnote w:id="314">
    <w:p w14:paraId="11725FDA" w14:textId="47BB559D"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Wales Audit Office (2021), </w:t>
      </w:r>
      <w:hyperlink r:id="rId338" w:history="1">
        <w:r w:rsidRPr="00BC3776">
          <w:rPr>
            <w:rStyle w:val="Hyperlink"/>
            <w:rFonts w:cstheme="minorHAnsi"/>
            <w:szCs w:val="24"/>
          </w:rPr>
          <w:t>A Picture of Schools</w:t>
        </w:r>
      </w:hyperlink>
      <w:r>
        <w:rPr>
          <w:rFonts w:cstheme="minorHAnsi"/>
          <w:szCs w:val="24"/>
        </w:rPr>
        <w:t xml:space="preserve"> [accessed: 9 December 2022], p.9.</w:t>
      </w:r>
    </w:p>
  </w:footnote>
  <w:footnote w:id="315">
    <w:p w14:paraId="6BD3F5AD" w14:textId="21A8274A"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Ethnic Minorities and Youth Support Team Wales (2020), </w:t>
      </w:r>
      <w:hyperlink r:id="rId339" w:history="1">
        <w:r w:rsidRPr="00BC3776">
          <w:rPr>
            <w:rStyle w:val="Hyperlink"/>
            <w:rFonts w:cstheme="minorHAnsi"/>
            <w:szCs w:val="24"/>
          </w:rPr>
          <w:t>EYST Wales Response to ‘Our Future Wales’ Consultation</w:t>
        </w:r>
      </w:hyperlink>
      <w:r>
        <w:rPr>
          <w:rFonts w:cstheme="minorHAnsi"/>
          <w:szCs w:val="24"/>
        </w:rPr>
        <w:t xml:space="preserve"> [accessed: 9 December 2022], pp. 3–4.</w:t>
      </w:r>
    </w:p>
  </w:footnote>
  <w:footnote w:id="316">
    <w:p w14:paraId="3D84D2A0" w14:textId="50922BFC"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N8 Research Partnership and Northern Health Science Alliance (2021), </w:t>
      </w:r>
      <w:hyperlink r:id="rId340" w:history="1">
        <w:r w:rsidRPr="00BC3776">
          <w:rPr>
            <w:rStyle w:val="Hyperlink"/>
            <w:rFonts w:cstheme="minorHAnsi"/>
            <w:szCs w:val="24"/>
          </w:rPr>
          <w:t>Child of the North: Building a fairer future after COVID-19</w:t>
        </w:r>
      </w:hyperlink>
      <w:r w:rsidRPr="00BC3776">
        <w:rPr>
          <w:rFonts w:cstheme="minorHAnsi"/>
          <w:szCs w:val="24"/>
        </w:rPr>
        <w:t xml:space="preserve"> [accessed</w:t>
      </w:r>
      <w:r>
        <w:rPr>
          <w:rFonts w:cstheme="minorHAnsi"/>
          <w:szCs w:val="24"/>
        </w:rPr>
        <w:t>:</w:t>
      </w:r>
      <w:r w:rsidRPr="00BC3776">
        <w:rPr>
          <w:rFonts w:cstheme="minorHAnsi"/>
          <w:szCs w:val="24"/>
        </w:rPr>
        <w:t xml:space="preserve"> 15</w:t>
      </w:r>
      <w:r>
        <w:rPr>
          <w:rFonts w:cstheme="minorHAnsi"/>
          <w:szCs w:val="24"/>
        </w:rPr>
        <w:t xml:space="preserve"> March 2022], pp. 37–</w:t>
      </w:r>
      <w:r w:rsidRPr="00BC3776">
        <w:rPr>
          <w:rFonts w:cstheme="minorHAnsi"/>
          <w:szCs w:val="24"/>
        </w:rPr>
        <w:t>39.</w:t>
      </w:r>
    </w:p>
  </w:footnote>
  <w:footnote w:id="317">
    <w:p w14:paraId="2B9129CE" w14:textId="1BBE8F44"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Economics Observatory (2020), </w:t>
      </w:r>
      <w:hyperlink r:id="rId341" w:history="1">
        <w:r w:rsidRPr="00BC3776">
          <w:rPr>
            <w:rStyle w:val="Hyperlink"/>
            <w:rFonts w:cstheme="minorHAnsi"/>
            <w:szCs w:val="24"/>
          </w:rPr>
          <w:t>How have migrant pupils been affected by lockdown and school closures?</w:t>
        </w:r>
      </w:hyperlink>
      <w:r>
        <w:rPr>
          <w:rFonts w:cstheme="minorHAnsi"/>
          <w:bCs/>
          <w:szCs w:val="24"/>
        </w:rPr>
        <w:t xml:space="preserve"> [accessed: 9 December 2022];</w:t>
      </w:r>
      <w:r w:rsidRPr="00BC3776">
        <w:rPr>
          <w:rFonts w:cstheme="minorHAnsi"/>
          <w:bCs/>
          <w:szCs w:val="24"/>
        </w:rPr>
        <w:t xml:space="preserve"> </w:t>
      </w:r>
      <w:r w:rsidRPr="00BC3776">
        <w:rPr>
          <w:rFonts w:cstheme="minorHAnsi"/>
          <w:szCs w:val="24"/>
        </w:rPr>
        <w:t>Friends, Families and Travellers</w:t>
      </w:r>
      <w:r w:rsidRPr="00BC3776" w:rsidDel="00FC6D98">
        <w:rPr>
          <w:rFonts w:cstheme="minorHAnsi"/>
          <w:szCs w:val="24"/>
        </w:rPr>
        <w:t xml:space="preserve"> </w:t>
      </w:r>
      <w:r w:rsidRPr="00BC3776">
        <w:rPr>
          <w:rFonts w:cstheme="minorHAnsi"/>
          <w:szCs w:val="24"/>
        </w:rPr>
        <w:t xml:space="preserve">(2020), </w:t>
      </w:r>
      <w:hyperlink r:id="rId342" w:history="1">
        <w:r w:rsidRPr="00BC3776">
          <w:rPr>
            <w:rStyle w:val="Hyperlink"/>
            <w:rFonts w:cstheme="minorHAnsi"/>
            <w:szCs w:val="24"/>
          </w:rPr>
          <w:t>Submission to the Joint Committee on Human Rights - The Government’s response to COVID-19: human rights implications</w:t>
        </w:r>
      </w:hyperlink>
      <w:r>
        <w:rPr>
          <w:rFonts w:cstheme="minorHAnsi"/>
          <w:szCs w:val="24"/>
        </w:rPr>
        <w:t xml:space="preserve"> [accessed: 9 December 2022], pp. 3–4.</w:t>
      </w:r>
    </w:p>
  </w:footnote>
  <w:footnote w:id="318">
    <w:p w14:paraId="7AFD89F7" w14:textId="7C5C5F6D"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Ofsted (2021), </w:t>
      </w:r>
      <w:hyperlink r:id="rId343" w:history="1">
        <w:r w:rsidRPr="00BC3776">
          <w:rPr>
            <w:rStyle w:val="Hyperlink"/>
            <w:rFonts w:cstheme="minorHAnsi"/>
            <w:szCs w:val="24"/>
          </w:rPr>
          <w:t>Children and young people with SEND disproportionately affected by pandemic</w:t>
        </w:r>
      </w:hyperlink>
      <w:r w:rsidRPr="00BC3776">
        <w:rPr>
          <w:rFonts w:cstheme="minorHAnsi"/>
          <w:szCs w:val="24"/>
        </w:rPr>
        <w:t xml:space="preserve">; Disabled Children’s Partnership (2021), </w:t>
      </w:r>
      <w:hyperlink r:id="rId344" w:history="1">
        <w:r w:rsidRPr="00BC3776">
          <w:rPr>
            <w:rStyle w:val="Hyperlink"/>
            <w:rFonts w:cstheme="minorHAnsi"/>
            <w:szCs w:val="24"/>
          </w:rPr>
          <w:t>Then There Was Silence: The Impact of the Pandemic on Disabled Children, Young People and their Families</w:t>
        </w:r>
      </w:hyperlink>
      <w:r w:rsidRPr="00BC3776">
        <w:rPr>
          <w:rFonts w:cstheme="minorHAnsi"/>
          <w:szCs w:val="24"/>
        </w:rPr>
        <w:t xml:space="preserve"> [accessed</w:t>
      </w:r>
      <w:r>
        <w:rPr>
          <w:rFonts w:cstheme="minorHAnsi"/>
          <w:szCs w:val="24"/>
        </w:rPr>
        <w:t>:</w:t>
      </w:r>
      <w:r w:rsidRPr="00BC3776">
        <w:rPr>
          <w:rFonts w:cstheme="minorHAnsi"/>
          <w:szCs w:val="24"/>
        </w:rPr>
        <w:t xml:space="preserve"> 14 February 2022]</w:t>
      </w:r>
      <w:r>
        <w:rPr>
          <w:rFonts w:cstheme="minorHAnsi"/>
          <w:szCs w:val="24"/>
        </w:rPr>
        <w:t>, pp. 25-28; Welsh Parliament</w:t>
      </w:r>
      <w:r w:rsidRPr="00BC3776">
        <w:rPr>
          <w:rFonts w:cstheme="minorHAnsi"/>
          <w:szCs w:val="24"/>
        </w:rPr>
        <w:t xml:space="preserve"> Equality, Local Government and Communities Committee (2020), </w:t>
      </w:r>
      <w:hyperlink r:id="rId345" w:history="1">
        <w:r w:rsidRPr="00BC3776">
          <w:rPr>
            <w:rStyle w:val="Hyperlink"/>
            <w:rFonts w:cstheme="minorHAnsi"/>
            <w:szCs w:val="24"/>
          </w:rPr>
          <w:t>Into sharp relief: inequality and the pandemic</w:t>
        </w:r>
      </w:hyperlink>
      <w:r w:rsidRPr="00BC3776">
        <w:rPr>
          <w:rFonts w:cstheme="minorHAnsi"/>
          <w:szCs w:val="24"/>
        </w:rPr>
        <w:t xml:space="preserve"> [accessed</w:t>
      </w:r>
      <w:r>
        <w:rPr>
          <w:rFonts w:cstheme="minorHAnsi"/>
          <w:szCs w:val="24"/>
        </w:rPr>
        <w:t>:</w:t>
      </w:r>
      <w:r w:rsidRPr="00BC3776">
        <w:rPr>
          <w:rFonts w:cstheme="minorHAnsi"/>
          <w:szCs w:val="24"/>
        </w:rPr>
        <w:t xml:space="preserve"> 16 September 2020]</w:t>
      </w:r>
      <w:r>
        <w:rPr>
          <w:rFonts w:cstheme="minorHAnsi"/>
          <w:szCs w:val="24"/>
        </w:rPr>
        <w:t>, pp.30–32</w:t>
      </w:r>
      <w:r w:rsidRPr="00BC3776">
        <w:rPr>
          <w:rFonts w:cstheme="minorHAnsi"/>
          <w:szCs w:val="24"/>
        </w:rPr>
        <w:t>.</w:t>
      </w:r>
    </w:p>
  </w:footnote>
  <w:footnote w:id="319">
    <w:p w14:paraId="5F1A4989" w14:textId="005BBEB5"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Andrews, J., et </w:t>
      </w:r>
      <w:r>
        <w:rPr>
          <w:rFonts w:cstheme="minorHAnsi"/>
          <w:szCs w:val="24"/>
        </w:rPr>
        <w:t xml:space="preserve">al. </w:t>
      </w:r>
      <w:r w:rsidRPr="00BC3776">
        <w:rPr>
          <w:rFonts w:cstheme="minorHAnsi"/>
          <w:szCs w:val="24"/>
        </w:rPr>
        <w:t xml:space="preserve">(2021), </w:t>
      </w:r>
      <w:hyperlink r:id="rId346" w:history="1">
        <w:r w:rsidRPr="00BC3776">
          <w:rPr>
            <w:rStyle w:val="Hyperlink"/>
            <w:rFonts w:cstheme="minorHAnsi"/>
            <w:szCs w:val="24"/>
          </w:rPr>
          <w:t>Education recovery and resilience in England: Phase two report</w:t>
        </w:r>
      </w:hyperlink>
      <w:r>
        <w:rPr>
          <w:rFonts w:cstheme="minorHAnsi"/>
          <w:szCs w:val="24"/>
        </w:rPr>
        <w:t xml:space="preserve">, Education Policy Institute </w:t>
      </w:r>
      <w:r w:rsidRPr="00BC3776">
        <w:rPr>
          <w:rFonts w:cstheme="minorHAnsi"/>
          <w:szCs w:val="24"/>
        </w:rPr>
        <w:t>[ac</w:t>
      </w:r>
      <w:r>
        <w:rPr>
          <w:rFonts w:cstheme="minorHAnsi"/>
          <w:szCs w:val="24"/>
        </w:rPr>
        <w:t>cessed: 8 November 2021], pp. 23–</w:t>
      </w:r>
      <w:r w:rsidRPr="00BC3776">
        <w:rPr>
          <w:rFonts w:cstheme="minorHAnsi"/>
          <w:szCs w:val="24"/>
        </w:rPr>
        <w:t>24.</w:t>
      </w:r>
    </w:p>
  </w:footnote>
  <w:footnote w:id="320">
    <w:p w14:paraId="0E83F29A" w14:textId="65303D2C" w:rsidR="0026506A" w:rsidRPr="00BC3776" w:rsidRDefault="0026506A" w:rsidP="00235DF5">
      <w:pPr>
        <w:pStyle w:val="FootnoteText"/>
        <w:rPr>
          <w:rFonts w:cstheme="minorHAnsi"/>
          <w:szCs w:val="24"/>
        </w:rPr>
      </w:pPr>
      <w:r w:rsidRPr="00BC3776">
        <w:rPr>
          <w:rStyle w:val="FootnoteReference"/>
          <w:rFonts w:cstheme="minorHAnsi"/>
          <w:szCs w:val="24"/>
        </w:rPr>
        <w:footnoteRef/>
      </w:r>
      <w:r w:rsidRPr="00BC3776">
        <w:rPr>
          <w:rFonts w:cstheme="minorHAnsi"/>
          <w:szCs w:val="24"/>
        </w:rPr>
        <w:t xml:space="preserve"> UK House of C</w:t>
      </w:r>
      <w:r>
        <w:rPr>
          <w:rFonts w:cstheme="minorHAnsi"/>
          <w:szCs w:val="24"/>
        </w:rPr>
        <w:t>ommons Education Committee (2022</w:t>
      </w:r>
      <w:r w:rsidRPr="00BC3776">
        <w:rPr>
          <w:rFonts w:cstheme="minorHAnsi"/>
          <w:szCs w:val="24"/>
        </w:rPr>
        <w:t xml:space="preserve">), </w:t>
      </w:r>
      <w:hyperlink r:id="rId347" w:history="1">
        <w:r w:rsidRPr="00BC3776">
          <w:rPr>
            <w:rStyle w:val="Hyperlink"/>
            <w:rFonts w:cstheme="minorHAnsi"/>
            <w:szCs w:val="24"/>
          </w:rPr>
          <w:t>Is the Catch-up programme fit for purpose?</w:t>
        </w:r>
      </w:hyperlink>
      <w:r w:rsidRPr="00BC3776">
        <w:rPr>
          <w:rFonts w:cstheme="minorHAnsi"/>
          <w:szCs w:val="24"/>
        </w:rPr>
        <w:t xml:space="preserve"> [accessed</w:t>
      </w:r>
      <w:r>
        <w:rPr>
          <w:rFonts w:cstheme="minorHAnsi"/>
          <w:szCs w:val="24"/>
        </w:rPr>
        <w:t>:</w:t>
      </w:r>
      <w:r w:rsidRPr="00BC3776">
        <w:rPr>
          <w:rFonts w:cstheme="minorHAnsi"/>
          <w:szCs w:val="24"/>
        </w:rPr>
        <w:t xml:space="preserve"> 5 December 2022], p.3</w:t>
      </w:r>
    </w:p>
  </w:footnote>
  <w:footnote w:id="321">
    <w:p w14:paraId="230BF7DE" w14:textId="283A3A01" w:rsidR="0026506A" w:rsidRPr="00BC3776" w:rsidRDefault="0026506A" w:rsidP="00235DF5">
      <w:pPr>
        <w:pStyle w:val="FootnoteText"/>
        <w:spacing w:before="120"/>
        <w:rPr>
          <w:rFonts w:cstheme="minorHAnsi"/>
          <w:b/>
          <w:bCs/>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Ibid., pp. 10–11, 21–22; </w:t>
      </w:r>
      <w:r w:rsidRPr="00BC3776">
        <w:rPr>
          <w:rFonts w:cstheme="minorHAnsi"/>
          <w:bCs/>
          <w:szCs w:val="24"/>
        </w:rPr>
        <w:t xml:space="preserve">Disabled Children’s Partnership (2021), </w:t>
      </w:r>
      <w:hyperlink r:id="rId348" w:history="1">
        <w:r w:rsidRPr="00BC3776">
          <w:rPr>
            <w:rStyle w:val="Hyperlink"/>
            <w:rFonts w:cstheme="minorHAnsi"/>
            <w:bCs/>
            <w:szCs w:val="24"/>
          </w:rPr>
          <w:t>Statement on the government’s education recovery plan</w:t>
        </w:r>
      </w:hyperlink>
      <w:r w:rsidRPr="00BC3776">
        <w:rPr>
          <w:rFonts w:cstheme="minorHAnsi"/>
          <w:bCs/>
          <w:szCs w:val="24"/>
        </w:rPr>
        <w:t xml:space="preserve"> [accessed</w:t>
      </w:r>
      <w:r>
        <w:rPr>
          <w:rFonts w:cstheme="minorHAnsi"/>
          <w:bCs/>
          <w:szCs w:val="24"/>
        </w:rPr>
        <w:t>: 14 February 2022].</w:t>
      </w:r>
    </w:p>
  </w:footnote>
  <w:footnote w:id="322">
    <w:p w14:paraId="1D30BD2B" w14:textId="326D6B4B"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(2021), </w:t>
      </w:r>
      <w:hyperlink r:id="rId349" w:history="1">
        <w:r w:rsidRPr="00BC3776">
          <w:rPr>
            <w:rStyle w:val="Hyperlink"/>
            <w:rFonts w:cstheme="minorHAnsi"/>
            <w:szCs w:val="24"/>
          </w:rPr>
          <w:t>Review and Reform: supporting learners’ wellbeing and progression</w:t>
        </w:r>
      </w:hyperlink>
      <w:r w:rsidRPr="00BC3776">
        <w:rPr>
          <w:rFonts w:cstheme="minorHAnsi"/>
          <w:szCs w:val="24"/>
        </w:rPr>
        <w:t xml:space="preserve"> [accessed</w:t>
      </w:r>
      <w:r>
        <w:rPr>
          <w:rFonts w:cstheme="minorHAnsi"/>
          <w:szCs w:val="24"/>
        </w:rPr>
        <w:t>:</w:t>
      </w:r>
      <w:r w:rsidRPr="00BC3776">
        <w:rPr>
          <w:rFonts w:cstheme="minorHAnsi"/>
          <w:szCs w:val="24"/>
        </w:rPr>
        <w:t xml:space="preserve"> 22 February 2022]</w:t>
      </w:r>
      <w:r>
        <w:rPr>
          <w:rFonts w:cstheme="minorHAnsi"/>
          <w:szCs w:val="24"/>
        </w:rPr>
        <w:t>, pp. 11-13.</w:t>
      </w:r>
    </w:p>
  </w:footnote>
  <w:footnote w:id="323">
    <w:p w14:paraId="71D5D2F7" w14:textId="3D697B8C"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w:t>
      </w:r>
      <w:r w:rsidRPr="00BC3776">
        <w:rPr>
          <w:rFonts w:cstheme="minorHAnsi"/>
          <w:szCs w:val="24"/>
        </w:rPr>
        <w:t xml:space="preserve">UK Government (2022), </w:t>
      </w:r>
      <w:hyperlink r:id="rId350" w:anchor="dataBlock-4fbef912-de1d-4856-51c0-08da374368c1-tables" w:history="1">
        <w:r w:rsidRPr="00BC3776">
          <w:rPr>
            <w:rStyle w:val="Hyperlink"/>
            <w:rFonts w:cstheme="minorHAnsi"/>
            <w:szCs w:val="24"/>
          </w:rPr>
          <w:t>Autumn term 2021/22: pupil absence in schools in England: autumn term</w:t>
        </w:r>
      </w:hyperlink>
      <w:r w:rsidRPr="00BC3776">
        <w:rPr>
          <w:rFonts w:cstheme="minorHAnsi"/>
          <w:szCs w:val="24"/>
        </w:rPr>
        <w:t xml:space="preserve"> [accessed</w:t>
      </w:r>
      <w:r>
        <w:rPr>
          <w:rFonts w:cstheme="minorHAnsi"/>
          <w:szCs w:val="24"/>
        </w:rPr>
        <w:t>:</w:t>
      </w:r>
      <w:r w:rsidRPr="00BC3776">
        <w:rPr>
          <w:rFonts w:cstheme="minorHAnsi"/>
          <w:szCs w:val="24"/>
        </w:rPr>
        <w:t xml:space="preserve"> 8 June 2022].</w:t>
      </w:r>
    </w:p>
  </w:footnote>
  <w:footnote w:id="324">
    <w:p w14:paraId="330B3E59" w14:textId="631E375D"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Children’s Commissioner</w:t>
      </w:r>
      <w:r>
        <w:rPr>
          <w:rFonts w:cstheme="minorHAnsi"/>
          <w:szCs w:val="24"/>
        </w:rPr>
        <w:t xml:space="preserve"> for England (</w:t>
      </w:r>
      <w:r w:rsidRPr="00BC3776">
        <w:rPr>
          <w:rFonts w:cstheme="minorHAnsi"/>
          <w:szCs w:val="24"/>
        </w:rPr>
        <w:t xml:space="preserve">2022), </w:t>
      </w:r>
      <w:hyperlink r:id="rId351" w:history="1">
        <w:r w:rsidRPr="00BC3776">
          <w:rPr>
            <w:rStyle w:val="Hyperlink"/>
            <w:rFonts w:cstheme="minorHAnsi"/>
            <w:szCs w:val="24"/>
          </w:rPr>
          <w:t>Where are England’s Children? Interim findings from the Children’s Commissioner’s Attendance Audit</w:t>
        </w:r>
      </w:hyperlink>
      <w:r>
        <w:rPr>
          <w:rFonts w:cstheme="minorHAnsi"/>
          <w:szCs w:val="24"/>
        </w:rPr>
        <w:t xml:space="preserve"> [accessed: 6 April 2022], p.6.</w:t>
      </w:r>
    </w:p>
  </w:footnote>
  <w:footnote w:id="325">
    <w:p w14:paraId="5163B678" w14:textId="77777777"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A pupil enrolment is identified as a persistent absentee if they miss 10% or more of their possible sessions.</w:t>
      </w:r>
    </w:p>
  </w:footnote>
  <w:footnote w:id="326">
    <w:p w14:paraId="795C0723" w14:textId="23ACD9CA"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(2022), </w:t>
      </w:r>
      <w:hyperlink r:id="rId352" w:history="1">
        <w:r w:rsidRPr="00BC3776">
          <w:rPr>
            <w:rStyle w:val="Hyperlink"/>
            <w:rFonts w:cstheme="minorHAnsi"/>
            <w:szCs w:val="24"/>
          </w:rPr>
          <w:t>Autumn Term 2021/22: pupil absence in schools in England: autumn term</w:t>
        </w:r>
      </w:hyperlink>
      <w:r w:rsidRPr="00BC3776">
        <w:rPr>
          <w:rFonts w:cstheme="minorHAnsi"/>
          <w:szCs w:val="24"/>
        </w:rPr>
        <w:t xml:space="preserve"> [accessed</w:t>
      </w:r>
      <w:r>
        <w:rPr>
          <w:rFonts w:cstheme="minorHAnsi"/>
          <w:szCs w:val="24"/>
        </w:rPr>
        <w:t>:</w:t>
      </w:r>
      <w:r w:rsidRPr="00BC3776">
        <w:rPr>
          <w:rFonts w:cstheme="minorHAnsi"/>
          <w:szCs w:val="24"/>
        </w:rPr>
        <w:t xml:space="preserve"> 6 October 2022]</w:t>
      </w:r>
      <w:r>
        <w:rPr>
          <w:rFonts w:cstheme="minorHAnsi"/>
          <w:szCs w:val="24"/>
        </w:rPr>
        <w:t>, see ‘Amount of absence and non-attendance’</w:t>
      </w:r>
      <w:r w:rsidRPr="00BC3776">
        <w:rPr>
          <w:rFonts w:cstheme="minorHAnsi"/>
          <w:szCs w:val="24"/>
        </w:rPr>
        <w:t>.</w:t>
      </w:r>
    </w:p>
  </w:footnote>
  <w:footnote w:id="327">
    <w:p w14:paraId="5A8AB8FB" w14:textId="054DD9C6"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(2022), </w:t>
      </w:r>
      <w:hyperlink r:id="rId353" w:history="1">
        <w:r w:rsidRPr="00BC3776">
          <w:rPr>
            <w:rStyle w:val="Hyperlink"/>
            <w:rFonts w:cstheme="minorHAnsi"/>
            <w:szCs w:val="24"/>
          </w:rPr>
          <w:t>Academic Year 2020/21: pupil absence in schools in England</w:t>
        </w:r>
      </w:hyperlink>
      <w:r w:rsidRPr="00BC3776">
        <w:rPr>
          <w:rFonts w:cstheme="minorHAnsi"/>
          <w:szCs w:val="24"/>
        </w:rPr>
        <w:t xml:space="preserve"> [accessed</w:t>
      </w:r>
      <w:r>
        <w:rPr>
          <w:rFonts w:cstheme="minorHAnsi"/>
          <w:szCs w:val="24"/>
        </w:rPr>
        <w:t>:</w:t>
      </w:r>
      <w:r w:rsidRPr="00BC3776">
        <w:rPr>
          <w:rFonts w:cstheme="minorHAnsi"/>
          <w:szCs w:val="24"/>
        </w:rPr>
        <w:t xml:space="preserve"> 6 October 2022]</w:t>
      </w:r>
      <w:r>
        <w:rPr>
          <w:rFonts w:cstheme="minorHAnsi"/>
          <w:szCs w:val="24"/>
        </w:rPr>
        <w:t>, see ‘Persistent absence’</w:t>
      </w:r>
      <w:r w:rsidRPr="00BC3776">
        <w:rPr>
          <w:rFonts w:cstheme="minorHAnsi"/>
          <w:szCs w:val="24"/>
        </w:rPr>
        <w:t>.</w:t>
      </w:r>
    </w:p>
  </w:footnote>
  <w:footnote w:id="328">
    <w:p w14:paraId="16E76B59" w14:textId="636908CE"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(2022), </w:t>
      </w:r>
      <w:hyperlink r:id="rId354" w:anchor="dataBlock-4fbef912-de1d-4856-51c0-08da374368c1-tables" w:history="1">
        <w:r w:rsidRPr="00BC3776">
          <w:rPr>
            <w:rStyle w:val="Hyperlink"/>
            <w:rFonts w:cstheme="minorHAnsi"/>
            <w:szCs w:val="24"/>
          </w:rPr>
          <w:t>Autumn term 2021/22: pupil absence in schools in England: autumn term</w:t>
        </w:r>
      </w:hyperlink>
      <w:r w:rsidRPr="00BC3776">
        <w:rPr>
          <w:rFonts w:cstheme="minorHAnsi"/>
          <w:szCs w:val="24"/>
        </w:rPr>
        <w:t xml:space="preserve"> [accessed</w:t>
      </w:r>
      <w:r>
        <w:rPr>
          <w:rFonts w:cstheme="minorHAnsi"/>
          <w:szCs w:val="24"/>
        </w:rPr>
        <w:t>:</w:t>
      </w:r>
      <w:r w:rsidRPr="00BC3776">
        <w:rPr>
          <w:rFonts w:cstheme="minorHAnsi"/>
          <w:szCs w:val="24"/>
        </w:rPr>
        <w:t xml:space="preserve"> 8 June 2022]</w:t>
      </w:r>
      <w:r>
        <w:rPr>
          <w:rFonts w:cstheme="minorHAnsi"/>
          <w:szCs w:val="24"/>
        </w:rPr>
        <w:t>, see ‘Amount of absence and non-attendance’</w:t>
      </w:r>
      <w:r w:rsidRPr="00BC3776">
        <w:rPr>
          <w:rFonts w:cstheme="minorHAnsi"/>
          <w:szCs w:val="24"/>
        </w:rPr>
        <w:t>.</w:t>
      </w:r>
    </w:p>
  </w:footnote>
  <w:footnote w:id="329">
    <w:p w14:paraId="470DF9F7" w14:textId="16F53456"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(2022), </w:t>
      </w:r>
      <w:hyperlink r:id="rId355" w:history="1">
        <w:r w:rsidRPr="00BC3776">
          <w:rPr>
            <w:rStyle w:val="Hyperlink"/>
            <w:rFonts w:cstheme="minorHAnsi"/>
            <w:szCs w:val="24"/>
          </w:rPr>
          <w:t>Academic Year 2020/21: pupil absence in schools in England</w:t>
        </w:r>
      </w:hyperlink>
      <w:r w:rsidRPr="00BC3776">
        <w:rPr>
          <w:rFonts w:cstheme="minorHAnsi"/>
          <w:szCs w:val="24"/>
        </w:rPr>
        <w:t xml:space="preserve"> [accessed</w:t>
      </w:r>
      <w:r>
        <w:rPr>
          <w:rFonts w:cstheme="minorHAnsi"/>
          <w:szCs w:val="24"/>
        </w:rPr>
        <w:t>:</w:t>
      </w:r>
      <w:r w:rsidRPr="00BC3776">
        <w:rPr>
          <w:rFonts w:cstheme="minorHAnsi"/>
          <w:szCs w:val="24"/>
        </w:rPr>
        <w:t xml:space="preserve"> 6 October 2022]</w:t>
      </w:r>
      <w:r>
        <w:rPr>
          <w:rFonts w:cstheme="minorHAnsi"/>
          <w:szCs w:val="24"/>
        </w:rPr>
        <w:t>, see ‘Persistent absence’</w:t>
      </w:r>
      <w:r w:rsidRPr="00BC3776">
        <w:rPr>
          <w:rFonts w:cstheme="minorHAnsi"/>
          <w:szCs w:val="24"/>
        </w:rPr>
        <w:t>.</w:t>
      </w:r>
    </w:p>
  </w:footnote>
  <w:footnote w:id="330">
    <w:p w14:paraId="7E3B6141" w14:textId="318789AF"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(2022), </w:t>
      </w:r>
      <w:hyperlink r:id="rId356" w:anchor="dataBlock-4fbef912-de1d-4856-51c0-08da374368c1-tables" w:history="1">
        <w:r w:rsidRPr="00BC3776">
          <w:rPr>
            <w:rStyle w:val="Hyperlink"/>
            <w:rFonts w:cstheme="minorHAnsi"/>
            <w:szCs w:val="24"/>
          </w:rPr>
          <w:t>Autumn term 2021/22: pupil absence in schools in England: autumn term</w:t>
        </w:r>
      </w:hyperlink>
      <w:r w:rsidRPr="00BC3776">
        <w:rPr>
          <w:rFonts w:cstheme="minorHAnsi"/>
          <w:szCs w:val="24"/>
        </w:rPr>
        <w:t xml:space="preserve"> [accessed</w:t>
      </w:r>
      <w:r>
        <w:rPr>
          <w:rFonts w:cstheme="minorHAnsi"/>
          <w:szCs w:val="24"/>
        </w:rPr>
        <w:t>:</w:t>
      </w:r>
      <w:r w:rsidRPr="00BC3776">
        <w:rPr>
          <w:rFonts w:cstheme="minorHAnsi"/>
          <w:szCs w:val="24"/>
        </w:rPr>
        <w:t xml:space="preserve"> 8 June 2022]</w:t>
      </w:r>
      <w:r>
        <w:rPr>
          <w:rFonts w:cstheme="minorHAnsi"/>
          <w:szCs w:val="24"/>
        </w:rPr>
        <w:t>, see ‘Amount of absence and non-attendance’</w:t>
      </w:r>
      <w:r w:rsidRPr="00BC3776">
        <w:rPr>
          <w:rFonts w:cstheme="minorHAnsi"/>
          <w:szCs w:val="24"/>
        </w:rPr>
        <w:t>.</w:t>
      </w:r>
    </w:p>
  </w:footnote>
  <w:footnote w:id="331">
    <w:p w14:paraId="470EE35D" w14:textId="7562A764"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(2022), </w:t>
      </w:r>
      <w:hyperlink r:id="rId357" w:history="1">
        <w:r w:rsidRPr="00BC3776">
          <w:rPr>
            <w:rStyle w:val="Hyperlink"/>
            <w:rFonts w:cstheme="minorHAnsi"/>
            <w:szCs w:val="24"/>
          </w:rPr>
          <w:t>Attendance review – implications of the COVID-19 pandemic for school attendance</w:t>
        </w:r>
      </w:hyperlink>
      <w:r w:rsidRPr="00BC3776">
        <w:rPr>
          <w:rFonts w:cstheme="minorHAnsi"/>
          <w:szCs w:val="24"/>
        </w:rPr>
        <w:t xml:space="preserve"> [accessed</w:t>
      </w:r>
      <w:r>
        <w:rPr>
          <w:rFonts w:cstheme="minorHAnsi"/>
          <w:szCs w:val="24"/>
        </w:rPr>
        <w:t>:</w:t>
      </w:r>
      <w:r w:rsidRPr="00BC3776">
        <w:rPr>
          <w:rFonts w:cstheme="minorHAnsi"/>
          <w:szCs w:val="24"/>
        </w:rPr>
        <w:t xml:space="preserve"> 6 October 2022]</w:t>
      </w:r>
      <w:r>
        <w:rPr>
          <w:rFonts w:cstheme="minorHAnsi"/>
          <w:szCs w:val="24"/>
        </w:rPr>
        <w:t>, pp. 5–9</w:t>
      </w:r>
      <w:r w:rsidRPr="00BC3776">
        <w:rPr>
          <w:rFonts w:cstheme="minorHAnsi"/>
          <w:szCs w:val="24"/>
        </w:rPr>
        <w:t>.</w:t>
      </w:r>
    </w:p>
  </w:footnote>
  <w:footnote w:id="332">
    <w:p w14:paraId="21353E3B" w14:textId="27C1D08B" w:rsidR="0026506A" w:rsidRPr="00BC3776" w:rsidRDefault="0026506A" w:rsidP="00235DF5">
      <w:pPr>
        <w:pStyle w:val="FootnoteText"/>
        <w:rPr>
          <w:rFonts w:cstheme="minorHAnsi"/>
          <w:szCs w:val="24"/>
        </w:rPr>
      </w:pPr>
      <w:r w:rsidRPr="00BC3776">
        <w:rPr>
          <w:rStyle w:val="FootnoteReference"/>
          <w:rFonts w:cstheme="minorHAnsi"/>
          <w:szCs w:val="24"/>
        </w:rPr>
        <w:footnoteRef/>
      </w:r>
      <w:r w:rsidRPr="00BC3776">
        <w:rPr>
          <w:rFonts w:cstheme="minorHAnsi"/>
          <w:szCs w:val="24"/>
        </w:rPr>
        <w:t xml:space="preserve"> UK House of Commons Education Committee (2021), </w:t>
      </w:r>
      <w:hyperlink r:id="rId358" w:history="1">
        <w:r w:rsidRPr="00BC3776">
          <w:rPr>
            <w:rStyle w:val="Hyperlink"/>
            <w:rFonts w:cstheme="minorHAnsi"/>
            <w:szCs w:val="24"/>
          </w:rPr>
          <w:t>Strengthening home education: third report of session 2021-22</w:t>
        </w:r>
      </w:hyperlink>
      <w:r w:rsidRPr="00BC3776">
        <w:rPr>
          <w:rFonts w:cstheme="minorHAnsi"/>
          <w:szCs w:val="24"/>
        </w:rPr>
        <w:t xml:space="preserve"> [accessed</w:t>
      </w:r>
      <w:r>
        <w:rPr>
          <w:rFonts w:cstheme="minorHAnsi"/>
          <w:szCs w:val="24"/>
        </w:rPr>
        <w:t>:</w:t>
      </w:r>
      <w:r w:rsidRPr="00BC3776">
        <w:rPr>
          <w:rFonts w:cstheme="minorHAnsi"/>
          <w:szCs w:val="24"/>
        </w:rPr>
        <w:t xml:space="preserve"> 6 October 2022], pp.</w:t>
      </w:r>
      <w:r>
        <w:rPr>
          <w:rFonts w:cstheme="minorHAnsi"/>
          <w:szCs w:val="24"/>
        </w:rPr>
        <w:t xml:space="preserve"> </w:t>
      </w:r>
      <w:r w:rsidRPr="00BC3776">
        <w:rPr>
          <w:rFonts w:cstheme="minorHAnsi"/>
          <w:szCs w:val="24"/>
        </w:rPr>
        <w:t>12</w:t>
      </w:r>
      <w:r>
        <w:rPr>
          <w:rFonts w:cstheme="minorHAnsi"/>
          <w:szCs w:val="24"/>
        </w:rPr>
        <w:t>–</w:t>
      </w:r>
      <w:r w:rsidRPr="00BC3776">
        <w:rPr>
          <w:rFonts w:cstheme="minorHAnsi"/>
          <w:szCs w:val="24"/>
        </w:rPr>
        <w:t xml:space="preserve">13; Welsh Government (2022), </w:t>
      </w:r>
      <w:hyperlink r:id="rId359" w:history="1">
        <w:r w:rsidRPr="00BC3776">
          <w:rPr>
            <w:rStyle w:val="Hyperlink"/>
            <w:rFonts w:cstheme="minorHAnsi"/>
            <w:szCs w:val="24"/>
          </w:rPr>
          <w:t>Pupils educated other than at school: September 2021 to August 2022</w:t>
        </w:r>
      </w:hyperlink>
      <w:r w:rsidRPr="00BC3776">
        <w:rPr>
          <w:rFonts w:cstheme="minorHAnsi"/>
          <w:szCs w:val="24"/>
        </w:rPr>
        <w:t xml:space="preserve"> [accessed</w:t>
      </w:r>
      <w:r>
        <w:rPr>
          <w:rFonts w:cstheme="minorHAnsi"/>
          <w:szCs w:val="24"/>
        </w:rPr>
        <w:t>:</w:t>
      </w:r>
      <w:r w:rsidRPr="00BC3776">
        <w:rPr>
          <w:rFonts w:cstheme="minorHAnsi"/>
          <w:szCs w:val="24"/>
        </w:rPr>
        <w:t xml:space="preserve"> 6 October 2022]</w:t>
      </w:r>
      <w:r>
        <w:rPr>
          <w:rFonts w:cstheme="minorHAnsi"/>
          <w:szCs w:val="24"/>
        </w:rPr>
        <w:t>, p.4</w:t>
      </w:r>
      <w:r w:rsidRPr="00BC3776">
        <w:rPr>
          <w:rFonts w:cstheme="minorHAnsi"/>
          <w:szCs w:val="24"/>
        </w:rPr>
        <w:t>.</w:t>
      </w:r>
    </w:p>
  </w:footnote>
  <w:footnote w:id="333">
    <w:p w14:paraId="12A10FF0" w14:textId="3F9DE0E9" w:rsidR="0026506A" w:rsidRPr="00BC3776" w:rsidRDefault="0026506A" w:rsidP="00235DF5">
      <w:pPr>
        <w:pStyle w:val="FootnoteText"/>
        <w:rPr>
          <w:rFonts w:cstheme="minorHAnsi"/>
          <w:szCs w:val="24"/>
        </w:rPr>
      </w:pPr>
      <w:r w:rsidRPr="00BC3776">
        <w:rPr>
          <w:rStyle w:val="FootnoteReference"/>
          <w:rFonts w:cstheme="minorHAnsi"/>
          <w:szCs w:val="24"/>
        </w:rPr>
        <w:footnoteRef/>
      </w:r>
      <w:r w:rsidRPr="00BC3776">
        <w:rPr>
          <w:rFonts w:cstheme="minorHAnsi"/>
          <w:szCs w:val="24"/>
        </w:rPr>
        <w:t xml:space="preserve"> Traveller Movement (2020), </w:t>
      </w:r>
      <w:hyperlink r:id="rId360" w:history="1">
        <w:r>
          <w:rPr>
            <w:rStyle w:val="Hyperlink"/>
            <w:rFonts w:cstheme="minorHAnsi"/>
            <w:bCs/>
            <w:szCs w:val="24"/>
          </w:rPr>
          <w:t xml:space="preserve">Submission to </w:t>
        </w:r>
        <w:r w:rsidRPr="00BC3776">
          <w:rPr>
            <w:rStyle w:val="Hyperlink"/>
            <w:rFonts w:cstheme="minorHAnsi"/>
            <w:bCs/>
            <w:szCs w:val="24"/>
          </w:rPr>
          <w:t>the Education Commi</w:t>
        </w:r>
        <w:r>
          <w:rPr>
            <w:rStyle w:val="Hyperlink"/>
            <w:rFonts w:cstheme="minorHAnsi"/>
            <w:bCs/>
            <w:szCs w:val="24"/>
          </w:rPr>
          <w:t xml:space="preserve">ttee Inquiry into Home </w:t>
        </w:r>
        <w:r w:rsidRPr="00BC3776">
          <w:rPr>
            <w:rStyle w:val="Hyperlink"/>
            <w:rFonts w:cstheme="minorHAnsi"/>
            <w:bCs/>
            <w:szCs w:val="24"/>
          </w:rPr>
          <w:t>Education</w:t>
        </w:r>
      </w:hyperlink>
      <w:r w:rsidRPr="00BC3776">
        <w:rPr>
          <w:rFonts w:cstheme="minorHAnsi"/>
          <w:bCs/>
          <w:szCs w:val="24"/>
        </w:rPr>
        <w:t xml:space="preserve"> [accessed</w:t>
      </w:r>
      <w:r>
        <w:rPr>
          <w:rFonts w:cstheme="minorHAnsi"/>
          <w:bCs/>
          <w:szCs w:val="24"/>
        </w:rPr>
        <w:t>:</w:t>
      </w:r>
      <w:r w:rsidRPr="00BC3776">
        <w:rPr>
          <w:rFonts w:cstheme="minorHAnsi"/>
          <w:bCs/>
          <w:szCs w:val="24"/>
        </w:rPr>
        <w:t xml:space="preserve"> 14 February 2022]; </w:t>
      </w:r>
      <w:r w:rsidRPr="00BC3776">
        <w:rPr>
          <w:rFonts w:cstheme="minorHAnsi"/>
          <w:szCs w:val="24"/>
        </w:rPr>
        <w:t xml:space="preserve">UK House of Commons Education Committee (2021), </w:t>
      </w:r>
      <w:hyperlink r:id="rId361" w:history="1">
        <w:r w:rsidRPr="00BC3776">
          <w:rPr>
            <w:rStyle w:val="Hyperlink"/>
            <w:rFonts w:cstheme="minorHAnsi"/>
            <w:szCs w:val="24"/>
          </w:rPr>
          <w:t>Strengthening home education: third report of session 2021</w:t>
        </w:r>
        <w:r w:rsidRPr="00133102">
          <w:rPr>
            <w:rStyle w:val="Hyperlink"/>
            <w:rFonts w:cstheme="minorHAnsi"/>
            <w:szCs w:val="24"/>
          </w:rPr>
          <w:t>–</w:t>
        </w:r>
        <w:r w:rsidRPr="00BC3776">
          <w:rPr>
            <w:rStyle w:val="Hyperlink"/>
            <w:rFonts w:cstheme="minorHAnsi"/>
            <w:szCs w:val="24"/>
          </w:rPr>
          <w:t>22</w:t>
        </w:r>
      </w:hyperlink>
      <w:r w:rsidRPr="00BC3776">
        <w:rPr>
          <w:rFonts w:cstheme="minorHAnsi"/>
          <w:szCs w:val="24"/>
        </w:rPr>
        <w:t xml:space="preserve"> [accessed</w:t>
      </w:r>
      <w:r>
        <w:rPr>
          <w:rFonts w:cstheme="minorHAnsi"/>
          <w:szCs w:val="24"/>
        </w:rPr>
        <w:t>:</w:t>
      </w:r>
      <w:r w:rsidRPr="00BC3776">
        <w:rPr>
          <w:rFonts w:cstheme="minorHAnsi"/>
          <w:szCs w:val="24"/>
        </w:rPr>
        <w:t xml:space="preserve"> 14 February 2022]; Children’s Commissioner for England (2019), </w:t>
      </w:r>
      <w:hyperlink r:id="rId362" w:history="1">
        <w:r w:rsidRPr="00BC3776">
          <w:rPr>
            <w:rStyle w:val="Hyperlink"/>
            <w:rFonts w:cstheme="minorHAnsi"/>
            <w:szCs w:val="24"/>
          </w:rPr>
          <w:t>Skipping school: invisible children</w:t>
        </w:r>
      </w:hyperlink>
      <w:r w:rsidRPr="00BC3776">
        <w:rPr>
          <w:rFonts w:cstheme="minorHAnsi"/>
          <w:szCs w:val="24"/>
        </w:rPr>
        <w:t xml:space="preserve"> [accessed</w:t>
      </w:r>
      <w:r>
        <w:rPr>
          <w:rFonts w:cstheme="minorHAnsi"/>
          <w:szCs w:val="24"/>
        </w:rPr>
        <w:t>:</w:t>
      </w:r>
      <w:r w:rsidRPr="00BC3776">
        <w:rPr>
          <w:rFonts w:cstheme="minorHAnsi"/>
          <w:szCs w:val="24"/>
        </w:rPr>
        <w:t xml:space="preserve"> 14 October 2022], p.7.</w:t>
      </w:r>
    </w:p>
  </w:footnote>
  <w:footnote w:id="334">
    <w:p w14:paraId="47ED2DFF" w14:textId="6ADC950B"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The Association of Directors of Children’s Services (2021), </w:t>
      </w:r>
      <w:hyperlink r:id="rId363" w:history="1">
        <w:r w:rsidRPr="00BC3776">
          <w:rPr>
            <w:rStyle w:val="Hyperlink"/>
            <w:rFonts w:cstheme="minorHAnsi"/>
            <w:szCs w:val="24"/>
          </w:rPr>
          <w:t>Elective home education survey 2021</w:t>
        </w:r>
      </w:hyperlink>
      <w:r w:rsidRPr="00BC3776">
        <w:rPr>
          <w:rFonts w:cstheme="minorHAnsi"/>
          <w:szCs w:val="24"/>
        </w:rPr>
        <w:t xml:space="preserve"> [accessed</w:t>
      </w:r>
      <w:r>
        <w:rPr>
          <w:rFonts w:cstheme="minorHAnsi"/>
          <w:szCs w:val="24"/>
        </w:rPr>
        <w:t>:</w:t>
      </w:r>
      <w:r w:rsidRPr="00BC3776">
        <w:rPr>
          <w:rFonts w:cstheme="minorHAnsi"/>
          <w:szCs w:val="24"/>
        </w:rPr>
        <w:t xml:space="preserve"> 6 October 2022], p.5; UK House of Commons Education Committee (2021), </w:t>
      </w:r>
      <w:hyperlink r:id="rId364" w:history="1">
        <w:r w:rsidRPr="00BC3776">
          <w:rPr>
            <w:rStyle w:val="Hyperlink"/>
            <w:rFonts w:cstheme="minorHAnsi"/>
            <w:szCs w:val="24"/>
          </w:rPr>
          <w:t>Strengthening home education: third report of session 2021-22</w:t>
        </w:r>
      </w:hyperlink>
      <w:r w:rsidRPr="00BC3776">
        <w:rPr>
          <w:rFonts w:cstheme="minorHAnsi"/>
          <w:szCs w:val="24"/>
        </w:rPr>
        <w:t xml:space="preserve"> [accessed</w:t>
      </w:r>
      <w:r>
        <w:rPr>
          <w:rFonts w:cstheme="minorHAnsi"/>
          <w:szCs w:val="24"/>
        </w:rPr>
        <w:t>:</w:t>
      </w:r>
      <w:r w:rsidRPr="00BC3776">
        <w:rPr>
          <w:rFonts w:cstheme="minorHAnsi"/>
          <w:szCs w:val="24"/>
        </w:rPr>
        <w:t xml:space="preserve"> 6 October 2022]; UK House of Commons Women and Equalities Committee (2019), </w:t>
      </w:r>
      <w:hyperlink r:id="rId365" w:history="1">
        <w:r w:rsidRPr="00BC3776">
          <w:rPr>
            <w:rStyle w:val="Hyperlink"/>
            <w:rFonts w:cstheme="minorHAnsi"/>
            <w:szCs w:val="24"/>
          </w:rPr>
          <w:t>Tackling inequalities faced by Gypsy, Roma and Traveller communities:</w:t>
        </w:r>
        <w:r>
          <w:rPr>
            <w:rStyle w:val="Hyperlink"/>
            <w:rFonts w:cstheme="minorHAnsi"/>
            <w:szCs w:val="24"/>
          </w:rPr>
          <w:t xml:space="preserve"> seventh report of session 2017</w:t>
        </w:r>
        <w:r w:rsidRPr="00133102">
          <w:rPr>
            <w:rStyle w:val="Hyperlink"/>
            <w:rFonts w:cstheme="minorHAnsi"/>
            <w:szCs w:val="24"/>
          </w:rPr>
          <w:t>–</w:t>
        </w:r>
        <w:r w:rsidRPr="00BC3776">
          <w:rPr>
            <w:rStyle w:val="Hyperlink"/>
            <w:rFonts w:cstheme="minorHAnsi"/>
            <w:szCs w:val="24"/>
          </w:rPr>
          <w:t>19</w:t>
        </w:r>
      </w:hyperlink>
      <w:r w:rsidRPr="00BC3776">
        <w:rPr>
          <w:rFonts w:cstheme="minorHAnsi"/>
          <w:szCs w:val="24"/>
        </w:rPr>
        <w:t xml:space="preserve"> [accessed</w:t>
      </w:r>
      <w:r>
        <w:rPr>
          <w:rFonts w:cstheme="minorHAnsi"/>
          <w:szCs w:val="24"/>
        </w:rPr>
        <w:t>:</w:t>
      </w:r>
      <w:r w:rsidRPr="00BC3776">
        <w:rPr>
          <w:rFonts w:cstheme="minorHAnsi"/>
          <w:szCs w:val="24"/>
        </w:rPr>
        <w:t xml:space="preserve"> 6 April 2022], p.23.</w:t>
      </w:r>
    </w:p>
  </w:footnote>
  <w:footnote w:id="335">
    <w:p w14:paraId="710A783C" w14:textId="3C4A146C"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Ofsted (2020), </w:t>
      </w:r>
      <w:hyperlink r:id="rId366" w:history="1">
        <w:r w:rsidRPr="00BC3776">
          <w:rPr>
            <w:rStyle w:val="Hyperlink"/>
            <w:rFonts w:cstheme="minorHAnsi"/>
            <w:szCs w:val="24"/>
          </w:rPr>
          <w:t>Written evidence submitted by Ofsted: Education Select Committee – Inquiry on Home Education</w:t>
        </w:r>
      </w:hyperlink>
      <w:r w:rsidRPr="00BC3776">
        <w:rPr>
          <w:rFonts w:cstheme="minorHAnsi"/>
          <w:szCs w:val="24"/>
        </w:rPr>
        <w:t xml:space="preserve"> [accessed</w:t>
      </w:r>
      <w:r>
        <w:rPr>
          <w:rFonts w:cstheme="minorHAnsi"/>
          <w:szCs w:val="24"/>
        </w:rPr>
        <w:t>:</w:t>
      </w:r>
      <w:r w:rsidRPr="00BC3776">
        <w:rPr>
          <w:rFonts w:cstheme="minorHAnsi"/>
          <w:szCs w:val="24"/>
        </w:rPr>
        <w:t xml:space="preserve"> 6 October 2022], para.2; Children’s Commissioner for England (2020), </w:t>
      </w:r>
      <w:hyperlink r:id="rId367" w:history="1">
        <w:r w:rsidRPr="00BC3776">
          <w:rPr>
            <w:rStyle w:val="Hyperlink"/>
            <w:rFonts w:cstheme="minorHAnsi"/>
            <w:szCs w:val="24"/>
          </w:rPr>
          <w:t>Written evidence submitted by the Children’s Commissioner Office</w:t>
        </w:r>
      </w:hyperlink>
      <w:r w:rsidRPr="00BC3776">
        <w:rPr>
          <w:rFonts w:cstheme="minorHAnsi"/>
          <w:szCs w:val="24"/>
        </w:rPr>
        <w:t xml:space="preserve"> [accessed</w:t>
      </w:r>
      <w:r>
        <w:rPr>
          <w:rFonts w:cstheme="minorHAnsi"/>
          <w:szCs w:val="24"/>
        </w:rPr>
        <w:t>:</w:t>
      </w:r>
      <w:r w:rsidRPr="00BC3776">
        <w:rPr>
          <w:rFonts w:cstheme="minorHAnsi"/>
          <w:szCs w:val="24"/>
        </w:rPr>
        <w:t xml:space="preserve"> 6 October 2022]; UK House of Commons Education Committee (2021), </w:t>
      </w:r>
      <w:hyperlink r:id="rId368" w:history="1">
        <w:r w:rsidRPr="00BC3776">
          <w:rPr>
            <w:rStyle w:val="Hyperlink"/>
            <w:rFonts w:cstheme="minorHAnsi"/>
            <w:szCs w:val="24"/>
          </w:rPr>
          <w:t>Strengthening home education: third report of session 2021-22</w:t>
        </w:r>
      </w:hyperlink>
      <w:r w:rsidRPr="00BC3776">
        <w:rPr>
          <w:rFonts w:cstheme="minorHAnsi"/>
          <w:szCs w:val="24"/>
        </w:rPr>
        <w:t xml:space="preserve"> [accessed</w:t>
      </w:r>
      <w:r>
        <w:rPr>
          <w:rFonts w:cstheme="minorHAnsi"/>
          <w:szCs w:val="24"/>
        </w:rPr>
        <w:t>:</w:t>
      </w:r>
      <w:r w:rsidRPr="00BC3776">
        <w:rPr>
          <w:rFonts w:cstheme="minorHAnsi"/>
          <w:szCs w:val="24"/>
        </w:rPr>
        <w:t xml:space="preserve"> 6 October 2022].</w:t>
      </w:r>
    </w:p>
  </w:footnote>
  <w:footnote w:id="336">
    <w:p w14:paraId="39B38584" w14:textId="7F04FBA7"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Parliament (2022), </w:t>
      </w:r>
      <w:hyperlink r:id="rId369" w:history="1">
        <w:r w:rsidRPr="00BC3776">
          <w:rPr>
            <w:rStyle w:val="Hyperlink"/>
            <w:rFonts w:cstheme="minorHAnsi"/>
            <w:szCs w:val="24"/>
          </w:rPr>
          <w:t>Schools Bill</w:t>
        </w:r>
      </w:hyperlink>
      <w:r w:rsidRPr="00BC3776">
        <w:rPr>
          <w:rFonts w:cstheme="minorHAnsi"/>
          <w:szCs w:val="24"/>
        </w:rPr>
        <w:t xml:space="preserve"> [accessed</w:t>
      </w:r>
      <w:r>
        <w:rPr>
          <w:rFonts w:cstheme="minorHAnsi"/>
          <w:szCs w:val="24"/>
        </w:rPr>
        <w:t>:</w:t>
      </w:r>
      <w:r w:rsidRPr="00BC3776">
        <w:rPr>
          <w:rFonts w:cstheme="minorHAnsi"/>
          <w:szCs w:val="24"/>
        </w:rPr>
        <w:t xml:space="preserve"> 6 October 2022].</w:t>
      </w:r>
    </w:p>
  </w:footnote>
  <w:footnote w:id="337">
    <w:p w14:paraId="3715EC33" w14:textId="374E41E8"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Department for Education (2022), </w:t>
      </w:r>
      <w:hyperlink r:id="rId370" w:history="1">
        <w:r w:rsidRPr="00BC3776">
          <w:rPr>
            <w:rStyle w:val="Hyperlink"/>
            <w:rFonts w:cstheme="minorHAnsi"/>
            <w:szCs w:val="24"/>
          </w:rPr>
          <w:t>School Attendance: Schools Bill Factsheet</w:t>
        </w:r>
      </w:hyperlink>
      <w:r>
        <w:rPr>
          <w:rFonts w:cstheme="minorHAnsi"/>
          <w:szCs w:val="24"/>
        </w:rPr>
        <w:t>, p.3.</w:t>
      </w:r>
      <w:r w:rsidRPr="00BC3776">
        <w:rPr>
          <w:rFonts w:cstheme="minorHAnsi"/>
          <w:szCs w:val="24"/>
        </w:rPr>
        <w:t xml:space="preserve"> </w:t>
      </w:r>
    </w:p>
  </w:footnote>
  <w:footnote w:id="338">
    <w:p w14:paraId="5F1332CC" w14:textId="5BEC82C3"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(2020), </w:t>
      </w:r>
      <w:hyperlink r:id="rId371" w:history="1">
        <w:r w:rsidRPr="00BC3776">
          <w:rPr>
            <w:rStyle w:val="Hyperlink"/>
            <w:rFonts w:cstheme="minorHAnsi"/>
            <w:szCs w:val="24"/>
          </w:rPr>
          <w:t>Written statement: home education statutory guidance and draft database regulations</w:t>
        </w:r>
      </w:hyperlink>
      <w:r w:rsidRPr="00BC3776">
        <w:rPr>
          <w:rFonts w:cstheme="minorHAnsi"/>
          <w:szCs w:val="24"/>
        </w:rPr>
        <w:t xml:space="preserve"> [accessed</w:t>
      </w:r>
      <w:r>
        <w:rPr>
          <w:rFonts w:cstheme="minorHAnsi"/>
          <w:szCs w:val="24"/>
        </w:rPr>
        <w:t>:</w:t>
      </w:r>
      <w:r w:rsidRPr="00BC3776">
        <w:rPr>
          <w:rFonts w:cstheme="minorHAnsi"/>
          <w:szCs w:val="24"/>
        </w:rPr>
        <w:t xml:space="preserve"> 6 October 2022].</w:t>
      </w:r>
    </w:p>
  </w:footnote>
  <w:footnote w:id="339">
    <w:p w14:paraId="7E90A6E1" w14:textId="5DDC3589"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Children’s Commissioner for Wales (2021), </w:t>
      </w:r>
      <w:hyperlink r:id="rId372" w:history="1">
        <w:r w:rsidRPr="00BC3776">
          <w:rPr>
            <w:rStyle w:val="Hyperlink"/>
            <w:rFonts w:cstheme="minorHAnsi"/>
            <w:szCs w:val="24"/>
          </w:rPr>
          <w:t>A review of the Welsh Government’s exercise of its functions, by the Children’s Commissioner for Wales</w:t>
        </w:r>
      </w:hyperlink>
      <w:r w:rsidRPr="00BC3776">
        <w:rPr>
          <w:rFonts w:cstheme="minorHAnsi"/>
          <w:szCs w:val="24"/>
        </w:rPr>
        <w:t xml:space="preserve"> [accessed</w:t>
      </w:r>
      <w:r>
        <w:rPr>
          <w:rFonts w:cstheme="minorHAnsi"/>
          <w:szCs w:val="24"/>
        </w:rPr>
        <w:t>:</w:t>
      </w:r>
      <w:r w:rsidRPr="00BC3776">
        <w:rPr>
          <w:rFonts w:cstheme="minorHAnsi"/>
          <w:szCs w:val="24"/>
        </w:rPr>
        <w:t xml:space="preserve"> 6 October 2022], p.24</w:t>
      </w:r>
      <w:r>
        <w:rPr>
          <w:rFonts w:cstheme="minorHAnsi"/>
          <w:szCs w:val="24"/>
        </w:rPr>
        <w:t>–</w:t>
      </w:r>
      <w:r w:rsidRPr="00BC3776">
        <w:rPr>
          <w:rFonts w:cstheme="minorHAnsi"/>
          <w:szCs w:val="24"/>
        </w:rPr>
        <w:t>25.</w:t>
      </w:r>
    </w:p>
  </w:footnote>
  <w:footnote w:id="340">
    <w:p w14:paraId="6362A26C" w14:textId="77777777"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An education, health and care (EHC) plan is for children and young people aged up to 25 who need more support than is available through special educational needs (SEN) support. EHC plans identify educational, health and social needs and set out the additional support to meet those needs.</w:t>
      </w:r>
    </w:p>
  </w:footnote>
  <w:footnote w:id="341">
    <w:p w14:paraId="59FE03AA" w14:textId="2C5377A0"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(2022), </w:t>
      </w:r>
      <w:hyperlink r:id="rId373" w:history="1">
        <w:r w:rsidRPr="00D46781">
          <w:rPr>
            <w:rStyle w:val="Hyperlink"/>
            <w:rFonts w:cstheme="minorHAnsi"/>
            <w:szCs w:val="24"/>
          </w:rPr>
          <w:t>Academic Year 2021/22: Special educational needs in England</w:t>
        </w:r>
      </w:hyperlink>
      <w:r w:rsidRPr="00BC3776">
        <w:rPr>
          <w:rFonts w:cstheme="minorHAnsi"/>
          <w:szCs w:val="24"/>
        </w:rPr>
        <w:t xml:space="preserve"> [accessed</w:t>
      </w:r>
      <w:r>
        <w:rPr>
          <w:rFonts w:cstheme="minorHAnsi"/>
          <w:szCs w:val="24"/>
        </w:rPr>
        <w:t>:</w:t>
      </w:r>
      <w:r w:rsidRPr="00BC3776">
        <w:rPr>
          <w:rFonts w:cstheme="minorHAnsi"/>
          <w:szCs w:val="24"/>
        </w:rPr>
        <w:t xml:space="preserve"> 5 September 2022]</w:t>
      </w:r>
      <w:r>
        <w:rPr>
          <w:rFonts w:cstheme="minorHAnsi"/>
          <w:szCs w:val="24"/>
        </w:rPr>
        <w:t>, see ‘Pupils with special educational needs in schools’.</w:t>
      </w:r>
    </w:p>
  </w:footnote>
  <w:footnote w:id="342">
    <w:p w14:paraId="00DF8952" w14:textId="4CC6BF01"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Ibid., see ‘Pupil characteristics’.</w:t>
      </w:r>
    </w:p>
  </w:footnote>
  <w:footnote w:id="343">
    <w:p w14:paraId="1AA3CC3C" w14:textId="3FF798ED" w:rsidR="0026506A" w:rsidRPr="00BC3776" w:rsidRDefault="0026506A" w:rsidP="00235DF5">
      <w:pPr>
        <w:pStyle w:val="FootnoteText"/>
        <w:rPr>
          <w:rFonts w:cstheme="minorHAnsi"/>
          <w:szCs w:val="24"/>
        </w:rPr>
      </w:pPr>
      <w:r w:rsidRPr="00BC3776">
        <w:rPr>
          <w:rStyle w:val="FootnoteReference"/>
          <w:rFonts w:cstheme="minorHAnsi"/>
          <w:szCs w:val="24"/>
        </w:rPr>
        <w:footnoteRef/>
      </w:r>
      <w:r w:rsidRPr="00BC3776">
        <w:rPr>
          <w:rFonts w:cstheme="minorHAnsi"/>
          <w:szCs w:val="24"/>
        </w:rPr>
        <w:t xml:space="preserve"> StatsWales, </w:t>
      </w:r>
      <w:hyperlink r:id="rId374" w:history="1">
        <w:r w:rsidRPr="00BC3776">
          <w:rPr>
            <w:rStyle w:val="Hyperlink"/>
            <w:rFonts w:cstheme="minorHAnsi"/>
            <w:szCs w:val="24"/>
          </w:rPr>
          <w:t>Pupils with additional learning or special educational needs by sector and year</w:t>
        </w:r>
      </w:hyperlink>
      <w:r w:rsidRPr="00BC3776">
        <w:rPr>
          <w:rFonts w:cstheme="minorHAnsi"/>
          <w:szCs w:val="24"/>
        </w:rPr>
        <w:t xml:space="preserve"> [accessed</w:t>
      </w:r>
      <w:r>
        <w:rPr>
          <w:rFonts w:cstheme="minorHAnsi"/>
          <w:szCs w:val="24"/>
        </w:rPr>
        <w:t>:</w:t>
      </w:r>
      <w:r w:rsidRPr="00BC3776">
        <w:rPr>
          <w:rFonts w:cstheme="minorHAnsi"/>
          <w:szCs w:val="24"/>
        </w:rPr>
        <w:t xml:space="preserve"> 1 December 2022].</w:t>
      </w:r>
    </w:p>
  </w:footnote>
  <w:footnote w:id="344">
    <w:p w14:paraId="18DECB2E" w14:textId="6DC22229" w:rsidR="0026506A" w:rsidRPr="00BC3776" w:rsidRDefault="0026506A" w:rsidP="00235DF5">
      <w:pPr>
        <w:pStyle w:val="FootnoteText"/>
        <w:rPr>
          <w:rFonts w:cstheme="minorHAnsi"/>
          <w:szCs w:val="24"/>
        </w:rPr>
      </w:pPr>
      <w:r w:rsidRPr="00BC3776">
        <w:rPr>
          <w:rStyle w:val="FootnoteReference"/>
          <w:rFonts w:cstheme="minorHAnsi"/>
          <w:szCs w:val="24"/>
        </w:rPr>
        <w:footnoteRef/>
      </w:r>
      <w:r w:rsidRPr="00BC3776">
        <w:rPr>
          <w:rFonts w:cstheme="minorHAnsi"/>
          <w:szCs w:val="24"/>
        </w:rPr>
        <w:t xml:space="preserve"> Welsh Parliament, Senedd Research (2022), </w:t>
      </w:r>
      <w:hyperlink r:id="rId375" w:history="1">
        <w:r w:rsidRPr="00BC3776">
          <w:rPr>
            <w:rStyle w:val="Hyperlink"/>
            <w:rFonts w:cstheme="minorHAnsi"/>
            <w:szCs w:val="24"/>
          </w:rPr>
          <w:t>Identifying additional learning needs: has the bar been raised or was it previously too low?</w:t>
        </w:r>
      </w:hyperlink>
      <w:r w:rsidRPr="00BC3776">
        <w:rPr>
          <w:rFonts w:cstheme="minorHAnsi"/>
          <w:szCs w:val="24"/>
        </w:rPr>
        <w:t xml:space="preserve"> [accessed</w:t>
      </w:r>
      <w:r>
        <w:rPr>
          <w:rFonts w:cstheme="minorHAnsi"/>
          <w:szCs w:val="24"/>
        </w:rPr>
        <w:t>:</w:t>
      </w:r>
      <w:r w:rsidRPr="00BC3776">
        <w:rPr>
          <w:rFonts w:cstheme="minorHAnsi"/>
          <w:szCs w:val="24"/>
        </w:rPr>
        <w:t xml:space="preserve"> 1 December 2022].</w:t>
      </w:r>
    </w:p>
  </w:footnote>
  <w:footnote w:id="345">
    <w:p w14:paraId="3625573A" w14:textId="7753D206"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w:t>
      </w:r>
      <w:r w:rsidRPr="00BC3776">
        <w:rPr>
          <w:rFonts w:cstheme="minorHAnsi"/>
          <w:szCs w:val="24"/>
        </w:rPr>
        <w:t xml:space="preserve"> Committee on the Rights of Persons with Disabilities (2016), </w:t>
      </w:r>
      <w:hyperlink r:id="rId376" w:history="1">
        <w:r>
          <w:rPr>
            <w:rStyle w:val="Hyperlink"/>
            <w:rFonts w:cstheme="minorHAnsi"/>
            <w:szCs w:val="24"/>
          </w:rPr>
          <w:t>General comment No. 4 (2016) –</w:t>
        </w:r>
        <w:r w:rsidRPr="00BC3776">
          <w:rPr>
            <w:rStyle w:val="Hyperlink"/>
            <w:rFonts w:cstheme="minorHAnsi"/>
            <w:szCs w:val="24"/>
          </w:rPr>
          <w:t xml:space="preserve"> Article 24: Right to inclusive education</w:t>
        </w:r>
      </w:hyperlink>
      <w:r w:rsidRPr="00BC3776">
        <w:rPr>
          <w:rFonts w:cstheme="minorHAnsi"/>
          <w:szCs w:val="24"/>
        </w:rPr>
        <w:t>, para.39.</w:t>
      </w:r>
    </w:p>
  </w:footnote>
  <w:footnote w:id="346">
    <w:p w14:paraId="1E77A68C" w14:textId="69EB61CC"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SEN</w:t>
      </w:r>
      <w:r>
        <w:rPr>
          <w:rFonts w:cstheme="minorHAnsi"/>
          <w:szCs w:val="24"/>
        </w:rPr>
        <w:t xml:space="preserve"> or SEND</w:t>
      </w:r>
      <w:r w:rsidRPr="00BC3776">
        <w:rPr>
          <w:rFonts w:cstheme="minorHAnsi"/>
          <w:szCs w:val="24"/>
        </w:rPr>
        <w:t xml:space="preserve"> is used in England, while ALN is used in Wales.</w:t>
      </w:r>
    </w:p>
  </w:footnote>
  <w:footnote w:id="347">
    <w:p w14:paraId="6F3D0792" w14:textId="54541C69" w:rsidR="0026506A" w:rsidRPr="00BC3776" w:rsidRDefault="0026506A" w:rsidP="00235DF5">
      <w:pPr>
        <w:pStyle w:val="FootnoteText"/>
        <w:spacing w:before="120"/>
        <w:rPr>
          <w:rFonts w:cstheme="minorHAnsi"/>
          <w:bCs/>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Department for Education (2020)</w:t>
      </w:r>
      <w:r>
        <w:rPr>
          <w:rFonts w:cstheme="minorHAnsi"/>
          <w:szCs w:val="24"/>
        </w:rPr>
        <w:t>,</w:t>
      </w:r>
      <w:r w:rsidRPr="00BC3776">
        <w:rPr>
          <w:rFonts w:cstheme="minorHAnsi"/>
          <w:szCs w:val="24"/>
        </w:rPr>
        <w:t xml:space="preserve"> </w:t>
      </w:r>
      <w:hyperlink r:id="rId377" w:history="1">
        <w:r w:rsidRPr="00BC3776">
          <w:rPr>
            <w:rStyle w:val="Hyperlink"/>
            <w:rFonts w:cstheme="minorHAnsi"/>
            <w:szCs w:val="24"/>
          </w:rPr>
          <w:t xml:space="preserve">National Statistics: Academic Year 2019/20 </w:t>
        </w:r>
        <w:r w:rsidRPr="00BC3776">
          <w:rPr>
            <w:rStyle w:val="Hyperlink"/>
            <w:rFonts w:cstheme="minorHAnsi"/>
            <w:bCs/>
            <w:szCs w:val="24"/>
          </w:rPr>
          <w:t>Special educational needs in England</w:t>
        </w:r>
      </w:hyperlink>
      <w:r w:rsidRPr="00BC3776">
        <w:rPr>
          <w:rFonts w:cstheme="minorHAnsi"/>
          <w:bCs/>
          <w:szCs w:val="24"/>
        </w:rPr>
        <w:t xml:space="preserve">; and </w:t>
      </w:r>
      <w:r>
        <w:rPr>
          <w:rFonts w:cstheme="minorHAnsi"/>
          <w:bCs/>
          <w:szCs w:val="24"/>
        </w:rPr>
        <w:t xml:space="preserve">UK Government Department for Education </w:t>
      </w:r>
      <w:r w:rsidRPr="00BC3776">
        <w:rPr>
          <w:rFonts w:cstheme="minorHAnsi"/>
          <w:bCs/>
          <w:szCs w:val="24"/>
        </w:rPr>
        <w:t>(2022)</w:t>
      </w:r>
      <w:r>
        <w:rPr>
          <w:rFonts w:cstheme="minorHAnsi"/>
          <w:bCs/>
          <w:szCs w:val="24"/>
        </w:rPr>
        <w:t>,</w:t>
      </w:r>
      <w:r w:rsidRPr="00BC3776">
        <w:rPr>
          <w:rFonts w:cstheme="minorHAnsi"/>
          <w:bCs/>
          <w:szCs w:val="24"/>
        </w:rPr>
        <w:t xml:space="preserve"> </w:t>
      </w:r>
      <w:hyperlink r:id="rId378" w:history="1">
        <w:r w:rsidRPr="00BC3776">
          <w:rPr>
            <w:rStyle w:val="Hyperlink"/>
            <w:rFonts w:cstheme="minorHAnsi"/>
            <w:bCs/>
            <w:szCs w:val="24"/>
          </w:rPr>
          <w:t>Academic Year 2021/22 Special educational needs in England</w:t>
        </w:r>
      </w:hyperlink>
      <w:r>
        <w:rPr>
          <w:rStyle w:val="Hyperlink"/>
          <w:rFonts w:cstheme="minorHAnsi"/>
          <w:bCs/>
          <w:szCs w:val="24"/>
        </w:rPr>
        <w:t>.</w:t>
      </w:r>
    </w:p>
  </w:footnote>
  <w:footnote w:id="348">
    <w:p w14:paraId="13586D85" w14:textId="0A09928F"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StatsWales</w:t>
      </w:r>
      <w:r w:rsidRPr="00BC3776">
        <w:rPr>
          <w:rFonts w:cstheme="minorHAnsi"/>
          <w:szCs w:val="24"/>
        </w:rPr>
        <w:t xml:space="preserve"> (2022), </w:t>
      </w:r>
      <w:hyperlink r:id="rId379" w:history="1">
        <w:r w:rsidRPr="00BC3776">
          <w:rPr>
            <w:rStyle w:val="Hyperlink"/>
            <w:rFonts w:cstheme="minorHAnsi"/>
            <w:szCs w:val="24"/>
          </w:rPr>
          <w:t>Pupils with additional learning or special educational needs by sector and year</w:t>
        </w:r>
      </w:hyperlink>
      <w:r>
        <w:rPr>
          <w:rStyle w:val="Hyperlink"/>
          <w:rFonts w:cstheme="minorHAnsi"/>
          <w:szCs w:val="24"/>
        </w:rPr>
        <w:t>.</w:t>
      </w:r>
    </w:p>
  </w:footnote>
  <w:footnote w:id="349">
    <w:p w14:paraId="426E35FF" w14:textId="07F28252"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County Councils Network (2021), </w:t>
      </w:r>
      <w:hyperlink r:id="rId380" w:history="1">
        <w:r w:rsidRPr="00BC3776">
          <w:rPr>
            <w:rStyle w:val="Hyperlink"/>
            <w:rFonts w:cstheme="minorHAnsi"/>
            <w:szCs w:val="24"/>
          </w:rPr>
          <w:t>Council call for urgent action in Spending Review to address £1.3bn special educational needs deficit</w:t>
        </w:r>
      </w:hyperlink>
      <w:r w:rsidRPr="00BC3776">
        <w:rPr>
          <w:rFonts w:cstheme="minorHAnsi"/>
          <w:szCs w:val="24"/>
        </w:rPr>
        <w:t xml:space="preserve"> [accessed</w:t>
      </w:r>
      <w:r>
        <w:rPr>
          <w:rFonts w:cstheme="minorHAnsi"/>
          <w:szCs w:val="24"/>
        </w:rPr>
        <w:t>:</w:t>
      </w:r>
      <w:r w:rsidRPr="00BC3776">
        <w:rPr>
          <w:rFonts w:cstheme="minorHAnsi"/>
          <w:szCs w:val="24"/>
        </w:rPr>
        <w:t xml:space="preserve"> 26 May 2022]; </w:t>
      </w:r>
      <w:r>
        <w:rPr>
          <w:rFonts w:cstheme="minorHAnsi"/>
          <w:szCs w:val="24"/>
        </w:rPr>
        <w:t xml:space="preserve">UK House of Commons </w:t>
      </w:r>
      <w:r w:rsidRPr="00BC3776">
        <w:rPr>
          <w:rFonts w:cstheme="minorHAnsi"/>
          <w:szCs w:val="24"/>
        </w:rPr>
        <w:t xml:space="preserve">Education Committee (2019), </w:t>
      </w:r>
      <w:hyperlink r:id="rId381" w:history="1">
        <w:r w:rsidRPr="00BC3776">
          <w:rPr>
            <w:rStyle w:val="Hyperlink"/>
            <w:rFonts w:cstheme="minorHAnsi"/>
            <w:szCs w:val="24"/>
          </w:rPr>
          <w:t>Special educational needs and disabilities</w:t>
        </w:r>
      </w:hyperlink>
      <w:r>
        <w:rPr>
          <w:rFonts w:cstheme="minorHAnsi"/>
          <w:szCs w:val="24"/>
        </w:rPr>
        <w:t xml:space="preserve">; </w:t>
      </w:r>
      <w:r w:rsidRPr="00BC3776">
        <w:rPr>
          <w:rFonts w:cstheme="minorHAnsi"/>
          <w:szCs w:val="24"/>
        </w:rPr>
        <w:t xml:space="preserve">Welsh Parliament Children, Young People and Education Committee (2019), </w:t>
      </w:r>
      <w:hyperlink r:id="rId382" w:history="1">
        <w:r w:rsidRPr="00BC3776">
          <w:rPr>
            <w:rStyle w:val="Hyperlink"/>
            <w:rFonts w:cstheme="minorHAnsi"/>
            <w:szCs w:val="24"/>
          </w:rPr>
          <w:t>Education committee response to Welsh Government Consultation: Draft Additional Learning Needs Code</w:t>
        </w:r>
      </w:hyperlink>
      <w:r>
        <w:rPr>
          <w:rFonts w:cstheme="minorHAnsi"/>
          <w:szCs w:val="24"/>
        </w:rPr>
        <w:t>, for example see pp. 56–60.</w:t>
      </w:r>
    </w:p>
  </w:footnote>
  <w:footnote w:id="350">
    <w:p w14:paraId="191A57B3" w14:textId="6DD11B7B"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Department fo</w:t>
      </w:r>
      <w:r>
        <w:rPr>
          <w:rFonts w:cstheme="minorHAnsi"/>
          <w:szCs w:val="24"/>
        </w:rPr>
        <w:t>r Education (2022),</w:t>
      </w:r>
      <w:r w:rsidRPr="00BC3776">
        <w:rPr>
          <w:rFonts w:cstheme="minorHAnsi"/>
          <w:szCs w:val="24"/>
        </w:rPr>
        <w:t xml:space="preserve"> </w:t>
      </w:r>
      <w:hyperlink r:id="rId383" w:history="1">
        <w:r>
          <w:rPr>
            <w:rStyle w:val="Hyperlink"/>
            <w:rFonts w:cstheme="minorHAnsi"/>
            <w:szCs w:val="24"/>
          </w:rPr>
          <w:t>SEND Review: R</w:t>
        </w:r>
        <w:r w:rsidRPr="00BC3776">
          <w:rPr>
            <w:rStyle w:val="Hyperlink"/>
            <w:rFonts w:cstheme="minorHAnsi"/>
            <w:szCs w:val="24"/>
          </w:rPr>
          <w:t>ight support, right place, right time</w:t>
        </w:r>
      </w:hyperlink>
      <w:r>
        <w:rPr>
          <w:rFonts w:cstheme="minorHAnsi"/>
          <w:szCs w:val="24"/>
        </w:rPr>
        <w:t>, p.8.</w:t>
      </w:r>
    </w:p>
  </w:footnote>
  <w:footnote w:id="351">
    <w:p w14:paraId="22A31C43" w14:textId="42F069DA"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Nuffield Foundation (2021), </w:t>
      </w:r>
      <w:hyperlink r:id="rId384" w:history="1">
        <w:r w:rsidRPr="00BC3776">
          <w:rPr>
            <w:rStyle w:val="Hyperlink"/>
            <w:rFonts w:cstheme="minorHAnsi"/>
            <w:szCs w:val="24"/>
          </w:rPr>
          <w:t>The levels of support offered to children with special educational needs is decided by a ‘postcode lottery’</w:t>
        </w:r>
      </w:hyperlink>
      <w:r w:rsidRPr="00BC3776">
        <w:rPr>
          <w:rFonts w:cstheme="minorHAnsi"/>
          <w:szCs w:val="24"/>
        </w:rPr>
        <w:t xml:space="preserve"> [accessed</w:t>
      </w:r>
      <w:r>
        <w:rPr>
          <w:rFonts w:cstheme="minorHAnsi"/>
          <w:szCs w:val="24"/>
        </w:rPr>
        <w:t>:</w:t>
      </w:r>
      <w:r w:rsidRPr="00BC3776">
        <w:rPr>
          <w:rFonts w:cstheme="minorHAnsi"/>
          <w:szCs w:val="24"/>
        </w:rPr>
        <w:t xml:space="preserve"> 5 September 2022].</w:t>
      </w:r>
    </w:p>
  </w:footnote>
  <w:footnote w:id="352">
    <w:p w14:paraId="667FEC96" w14:textId="3BC889AF"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Hutchinson, J.</w:t>
      </w:r>
      <w:r w:rsidRPr="00BC3776">
        <w:rPr>
          <w:rFonts w:cstheme="minorHAnsi"/>
          <w:szCs w:val="24"/>
        </w:rPr>
        <w:t xml:space="preserve"> (2021), </w:t>
      </w:r>
      <w:hyperlink r:id="rId385" w:history="1">
        <w:r w:rsidRPr="00BC3776">
          <w:rPr>
            <w:rStyle w:val="Hyperlink"/>
            <w:rFonts w:cstheme="minorHAnsi"/>
            <w:szCs w:val="24"/>
          </w:rPr>
          <w:t>Identifying pupils with special educational needs and disabilities</w:t>
        </w:r>
      </w:hyperlink>
      <w:r>
        <w:rPr>
          <w:rFonts w:cstheme="minorHAnsi"/>
          <w:szCs w:val="24"/>
        </w:rPr>
        <w:t>, Education Policy Institute [accessed: 5 September 2022], pp. 8–9.</w:t>
      </w:r>
    </w:p>
  </w:footnote>
  <w:footnote w:id="353">
    <w:p w14:paraId="54A423D0" w14:textId="67926BBE"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Ofsted (2021) </w:t>
      </w:r>
      <w:hyperlink r:id="rId386" w:history="1">
        <w:r w:rsidRPr="00BC3776">
          <w:rPr>
            <w:rStyle w:val="Hyperlink"/>
            <w:rFonts w:cstheme="minorHAnsi"/>
            <w:szCs w:val="24"/>
          </w:rPr>
          <w:t>Research and analysis: SEND: old issues, new issues, next steps</w:t>
        </w:r>
      </w:hyperlink>
      <w:r>
        <w:rPr>
          <w:rFonts w:cstheme="minorHAnsi"/>
          <w:szCs w:val="24"/>
        </w:rPr>
        <w:t xml:space="preserve"> [accessed:</w:t>
      </w:r>
      <w:r w:rsidRPr="00BC3776">
        <w:rPr>
          <w:rFonts w:cstheme="minorHAnsi"/>
          <w:szCs w:val="24"/>
        </w:rPr>
        <w:t xml:space="preserve"> 22 February 2022].</w:t>
      </w:r>
    </w:p>
  </w:footnote>
  <w:footnote w:id="354">
    <w:p w14:paraId="37FEBCED" w14:textId="77777777"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387" w:history="1">
        <w:r w:rsidRPr="00BC3776">
          <w:rPr>
            <w:rStyle w:val="Hyperlink"/>
            <w:rFonts w:cstheme="minorHAnsi"/>
            <w:szCs w:val="24"/>
          </w:rPr>
          <w:t>Additional Learning Needs and Education Tribunal (Wales) Act 2018</w:t>
        </w:r>
      </w:hyperlink>
      <w:r w:rsidRPr="00BC3776">
        <w:rPr>
          <w:rFonts w:cstheme="minorHAnsi"/>
          <w:color w:val="0B0C0C"/>
          <w:szCs w:val="24"/>
        </w:rPr>
        <w:t>.</w:t>
      </w:r>
    </w:p>
  </w:footnote>
  <w:footnote w:id="355">
    <w:p w14:paraId="42A2AC2F" w14:textId="5DC62EA6"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Welsh Parliament, Senedd Research</w:t>
      </w:r>
      <w:r w:rsidRPr="00BC3776">
        <w:rPr>
          <w:rFonts w:cstheme="minorHAnsi"/>
          <w:szCs w:val="24"/>
        </w:rPr>
        <w:t xml:space="preserve"> (2022) </w:t>
      </w:r>
      <w:hyperlink r:id="rId388" w:history="1">
        <w:r w:rsidRPr="00BC3776">
          <w:rPr>
            <w:rStyle w:val="Hyperlink"/>
            <w:rFonts w:cstheme="minorHAnsi"/>
            <w:szCs w:val="24"/>
          </w:rPr>
          <w:t>The new Additional Learning Needs system: the tough task of implementation</w:t>
        </w:r>
      </w:hyperlink>
      <w:r w:rsidRPr="00BC3776">
        <w:rPr>
          <w:rFonts w:cstheme="minorHAnsi"/>
          <w:szCs w:val="24"/>
        </w:rPr>
        <w:t xml:space="preserve"> [accessed</w:t>
      </w:r>
      <w:r>
        <w:rPr>
          <w:rFonts w:cstheme="minorHAnsi"/>
          <w:szCs w:val="24"/>
        </w:rPr>
        <w:t>:</w:t>
      </w:r>
      <w:r w:rsidRPr="00BC3776">
        <w:rPr>
          <w:rFonts w:cstheme="minorHAnsi"/>
          <w:szCs w:val="24"/>
        </w:rPr>
        <w:t xml:space="preserve"> 6</w:t>
      </w:r>
      <w:r w:rsidRPr="00BC3776">
        <w:rPr>
          <w:rFonts w:cstheme="minorHAnsi"/>
          <w:szCs w:val="24"/>
          <w:vertAlign w:val="superscript"/>
        </w:rPr>
        <w:t xml:space="preserve"> </w:t>
      </w:r>
      <w:r w:rsidRPr="00BC3776">
        <w:rPr>
          <w:rFonts w:cstheme="minorHAnsi"/>
          <w:szCs w:val="24"/>
        </w:rPr>
        <w:t>April 2022].</w:t>
      </w:r>
    </w:p>
  </w:footnote>
  <w:footnote w:id="356">
    <w:p w14:paraId="75B469FA" w14:textId="3D239B48"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Welsh Parliament </w:t>
      </w:r>
      <w:r w:rsidRPr="00BC3776">
        <w:rPr>
          <w:rFonts w:cstheme="minorHAnsi"/>
          <w:szCs w:val="24"/>
        </w:rPr>
        <w:t xml:space="preserve">Children, Young People and Education Committee (2022). </w:t>
      </w:r>
      <w:hyperlink r:id="rId389" w:history="1">
        <w:r w:rsidRPr="00BC3776">
          <w:rPr>
            <w:rStyle w:val="Hyperlink"/>
            <w:rFonts w:cstheme="minorHAnsi"/>
            <w:szCs w:val="24"/>
          </w:rPr>
          <w:t>The 2022-23 Welsh Government Draft Budget</w:t>
        </w:r>
      </w:hyperlink>
      <w:r w:rsidRPr="00BC3776">
        <w:rPr>
          <w:rFonts w:cstheme="minorHAnsi"/>
          <w:szCs w:val="24"/>
        </w:rPr>
        <w:t xml:space="preserve"> [accessed</w:t>
      </w:r>
      <w:r>
        <w:rPr>
          <w:rFonts w:cstheme="minorHAnsi"/>
          <w:szCs w:val="24"/>
        </w:rPr>
        <w:t>:</w:t>
      </w:r>
      <w:r w:rsidRPr="00BC3776">
        <w:rPr>
          <w:rFonts w:cstheme="minorHAnsi"/>
          <w:szCs w:val="24"/>
        </w:rPr>
        <w:t xml:space="preserve"> 6</w:t>
      </w:r>
      <w:r w:rsidRPr="00BC3776">
        <w:rPr>
          <w:rFonts w:cstheme="minorHAnsi"/>
          <w:szCs w:val="24"/>
          <w:vertAlign w:val="superscript"/>
        </w:rPr>
        <w:t xml:space="preserve"> </w:t>
      </w:r>
      <w:r w:rsidRPr="00BC3776">
        <w:rPr>
          <w:rFonts w:cstheme="minorHAnsi"/>
          <w:szCs w:val="24"/>
        </w:rPr>
        <w:t>April 2022]</w:t>
      </w:r>
      <w:r>
        <w:rPr>
          <w:rFonts w:cstheme="minorHAnsi"/>
          <w:szCs w:val="24"/>
        </w:rPr>
        <w:t>, pp. 48–49</w:t>
      </w:r>
      <w:r w:rsidRPr="00BC3776">
        <w:rPr>
          <w:rFonts w:cstheme="minorHAnsi"/>
          <w:szCs w:val="24"/>
        </w:rPr>
        <w:t>.</w:t>
      </w:r>
    </w:p>
  </w:footnote>
  <w:footnote w:id="357">
    <w:p w14:paraId="6BDF7371" w14:textId="46D33FAA"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(2022), </w:t>
      </w:r>
      <w:hyperlink r:id="rId390" w:history="1">
        <w:r w:rsidRPr="00BC3776">
          <w:rPr>
            <w:rStyle w:val="Hyperlink"/>
            <w:rFonts w:cstheme="minorHAnsi"/>
            <w:szCs w:val="24"/>
          </w:rPr>
          <w:t>SEND review: right support, right place, right time</w:t>
        </w:r>
      </w:hyperlink>
      <w:r w:rsidRPr="00BC3776">
        <w:rPr>
          <w:rFonts w:cstheme="minorHAnsi"/>
          <w:szCs w:val="24"/>
        </w:rPr>
        <w:t xml:space="preserve"> [accessed</w:t>
      </w:r>
      <w:r>
        <w:rPr>
          <w:rFonts w:cstheme="minorHAnsi"/>
          <w:szCs w:val="24"/>
        </w:rPr>
        <w:t>:</w:t>
      </w:r>
      <w:r w:rsidRPr="00BC3776">
        <w:rPr>
          <w:rFonts w:cstheme="minorHAnsi"/>
          <w:szCs w:val="24"/>
        </w:rPr>
        <w:t xml:space="preserve"> 26 May 2022], p.12.</w:t>
      </w:r>
    </w:p>
  </w:footnote>
  <w:footnote w:id="358">
    <w:p w14:paraId="765CB893" w14:textId="2F62ED76"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The National Deaf Children’s Society (2022), </w:t>
      </w:r>
      <w:hyperlink r:id="rId391" w:history="1">
        <w:r w:rsidRPr="00BC3776">
          <w:rPr>
            <w:rStyle w:val="Hyperlink"/>
            <w:rFonts w:cstheme="minorHAnsi"/>
            <w:szCs w:val="24"/>
          </w:rPr>
          <w:t>SEND review: Right support, Right place, Right time: A response by the National Deaf Children’s Society</w:t>
        </w:r>
      </w:hyperlink>
      <w:r>
        <w:rPr>
          <w:rFonts w:cstheme="minorHAnsi"/>
          <w:szCs w:val="24"/>
        </w:rPr>
        <w:t>, for example see pp. 1–3.</w:t>
      </w:r>
    </w:p>
  </w:footnote>
  <w:footnote w:id="359">
    <w:p w14:paraId="5E21C96D" w14:textId="3A3D22C2"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House of Commons Education Committee (2022), </w:t>
      </w:r>
      <w:hyperlink r:id="rId392" w:history="1">
        <w:r w:rsidRPr="00BC3776">
          <w:rPr>
            <w:rStyle w:val="Hyperlink"/>
            <w:rFonts w:cstheme="minorHAnsi"/>
            <w:szCs w:val="24"/>
          </w:rPr>
          <w:t>Oral evidence: The Government’s SEND Review, HC 235</w:t>
        </w:r>
      </w:hyperlink>
      <w:r w:rsidRPr="00BC3776">
        <w:rPr>
          <w:rFonts w:cstheme="minorHAnsi"/>
          <w:szCs w:val="24"/>
        </w:rPr>
        <w:t xml:space="preserve"> [accessed</w:t>
      </w:r>
      <w:r>
        <w:rPr>
          <w:rFonts w:cstheme="minorHAnsi"/>
          <w:szCs w:val="24"/>
        </w:rPr>
        <w:t>:</w:t>
      </w:r>
      <w:r w:rsidRPr="00BC3776">
        <w:rPr>
          <w:rFonts w:cstheme="minorHAnsi"/>
          <w:szCs w:val="24"/>
        </w:rPr>
        <w:t xml:space="preserve"> 28 October 2022]</w:t>
      </w:r>
      <w:r>
        <w:rPr>
          <w:rFonts w:cstheme="minorHAnsi"/>
          <w:szCs w:val="24"/>
        </w:rPr>
        <w:t>, pp. 16–17</w:t>
      </w:r>
      <w:r w:rsidRPr="00BC3776">
        <w:rPr>
          <w:rFonts w:cstheme="minorHAnsi"/>
          <w:szCs w:val="24"/>
        </w:rPr>
        <w:t xml:space="preserve">; IPSEA (2022), </w:t>
      </w:r>
      <w:hyperlink r:id="rId393" w:history="1">
        <w:r w:rsidRPr="00BC3776">
          <w:rPr>
            <w:rStyle w:val="Hyperlink"/>
            <w:rFonts w:cstheme="minorHAnsi"/>
            <w:szCs w:val="24"/>
          </w:rPr>
          <w:t>SEND Review: Does the system for supporting children and young people with special educational needs and/or disabilities (SEND) need to be reformed?</w:t>
        </w:r>
      </w:hyperlink>
      <w:r w:rsidRPr="00BC3776">
        <w:rPr>
          <w:rFonts w:cstheme="minorHAnsi"/>
          <w:szCs w:val="24"/>
        </w:rPr>
        <w:t xml:space="preserve"> [accessed</w:t>
      </w:r>
      <w:r>
        <w:rPr>
          <w:rFonts w:cstheme="minorHAnsi"/>
          <w:szCs w:val="24"/>
        </w:rPr>
        <w:t>:</w:t>
      </w:r>
      <w:r w:rsidRPr="00BC3776">
        <w:rPr>
          <w:rFonts w:cstheme="minorHAnsi"/>
          <w:szCs w:val="24"/>
        </w:rPr>
        <w:t xml:space="preserve"> 28 October 2022]</w:t>
      </w:r>
      <w:r>
        <w:rPr>
          <w:rFonts w:cstheme="minorHAnsi"/>
          <w:szCs w:val="24"/>
        </w:rPr>
        <w:t>, p.4</w:t>
      </w:r>
      <w:r w:rsidRPr="00BC3776">
        <w:rPr>
          <w:rFonts w:cstheme="minorHAnsi"/>
          <w:szCs w:val="24"/>
        </w:rPr>
        <w:t>.</w:t>
      </w:r>
    </w:p>
  </w:footnote>
  <w:footnote w:id="360">
    <w:p w14:paraId="51393556" w14:textId="48B2048C"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(2022), </w:t>
      </w:r>
      <w:hyperlink r:id="rId394" w:history="1">
        <w:r w:rsidRPr="00BC3776">
          <w:rPr>
            <w:rStyle w:val="Hyperlink"/>
            <w:rFonts w:cstheme="minorHAnsi"/>
            <w:szCs w:val="24"/>
          </w:rPr>
          <w:t xml:space="preserve">Consultation response </w:t>
        </w:r>
        <w:r w:rsidRPr="00244BA6">
          <w:rPr>
            <w:rStyle w:val="Hyperlink"/>
            <w:rFonts w:cstheme="minorHAnsi"/>
            <w:szCs w:val="24"/>
          </w:rPr>
          <w:t>–</w:t>
        </w:r>
        <w:r w:rsidRPr="00BC3776">
          <w:rPr>
            <w:rStyle w:val="Hyperlink"/>
            <w:rFonts w:cstheme="minorHAnsi"/>
            <w:szCs w:val="24"/>
          </w:rPr>
          <w:t xml:space="preserve"> SEND Review: Right support Right place Right time</w:t>
        </w:r>
      </w:hyperlink>
      <w:r w:rsidRPr="00BC3776">
        <w:rPr>
          <w:rFonts w:cstheme="minorHAnsi"/>
          <w:szCs w:val="24"/>
        </w:rPr>
        <w:t>, pp.</w:t>
      </w:r>
      <w:r>
        <w:rPr>
          <w:rFonts w:cstheme="minorHAnsi"/>
          <w:szCs w:val="24"/>
        </w:rPr>
        <w:t xml:space="preserve"> </w:t>
      </w:r>
      <w:r w:rsidRPr="00BC3776">
        <w:rPr>
          <w:rFonts w:cstheme="minorHAnsi"/>
          <w:szCs w:val="24"/>
        </w:rPr>
        <w:t>10</w:t>
      </w:r>
      <w:r>
        <w:rPr>
          <w:rFonts w:cstheme="minorHAnsi"/>
          <w:szCs w:val="24"/>
        </w:rPr>
        <w:t>–</w:t>
      </w:r>
      <w:r w:rsidRPr="00BC3776">
        <w:rPr>
          <w:rFonts w:cstheme="minorHAnsi"/>
          <w:szCs w:val="24"/>
        </w:rPr>
        <w:t>12.</w:t>
      </w:r>
    </w:p>
  </w:footnote>
  <w:footnote w:id="361">
    <w:p w14:paraId="1ABFFCCF" w14:textId="7B3ED038"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All-Party Parliamentary Group</w:t>
      </w:r>
      <w:r w:rsidRPr="00BC3776">
        <w:rPr>
          <w:rFonts w:cstheme="minorHAnsi"/>
          <w:szCs w:val="24"/>
        </w:rPr>
        <w:t xml:space="preserve"> for Special Educational Needs and Disabilities</w:t>
      </w:r>
      <w:r>
        <w:rPr>
          <w:rFonts w:cstheme="minorHAnsi"/>
          <w:szCs w:val="24"/>
        </w:rPr>
        <w:t xml:space="preserve"> (SEND)</w:t>
      </w:r>
      <w:r w:rsidRPr="00BC3776">
        <w:rPr>
          <w:rFonts w:cstheme="minorHAnsi"/>
          <w:szCs w:val="24"/>
        </w:rPr>
        <w:t xml:space="preserve"> (2021), </w:t>
      </w:r>
      <w:hyperlink r:id="rId395" w:history="1">
        <w:r w:rsidRPr="00BC3776">
          <w:rPr>
            <w:rStyle w:val="Hyperlink"/>
            <w:rFonts w:cstheme="minorHAnsi"/>
            <w:szCs w:val="24"/>
          </w:rPr>
          <w:t>Forgotten. Left behind. Overlooked</w:t>
        </w:r>
      </w:hyperlink>
      <w:r>
        <w:rPr>
          <w:rFonts w:cstheme="minorHAnsi"/>
          <w:szCs w:val="24"/>
        </w:rPr>
        <w:t xml:space="preserve">, pp. 11-14; </w:t>
      </w:r>
      <w:r w:rsidRPr="00BC3776">
        <w:rPr>
          <w:rFonts w:cstheme="minorHAnsi"/>
          <w:szCs w:val="24"/>
        </w:rPr>
        <w:t xml:space="preserve">Equality and Human Rights Commission (2020), </w:t>
      </w:r>
      <w:hyperlink r:id="rId396" w:history="1">
        <w:r w:rsidRPr="00BC3776">
          <w:rPr>
            <w:rStyle w:val="Hyperlink"/>
            <w:rFonts w:cstheme="minorHAnsi"/>
            <w:szCs w:val="24"/>
          </w:rPr>
          <w:t>How coronavirus has affected equality and human rights</w:t>
        </w:r>
      </w:hyperlink>
      <w:r>
        <w:rPr>
          <w:rFonts w:cstheme="minorHAnsi"/>
          <w:szCs w:val="24"/>
        </w:rPr>
        <w:t>, p.28.</w:t>
      </w:r>
    </w:p>
  </w:footnote>
  <w:footnote w:id="362">
    <w:p w14:paraId="52525F80" w14:textId="44FB7197"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Ofsted and Care Quality Commission</w:t>
      </w:r>
      <w:r w:rsidRPr="00BC3776">
        <w:rPr>
          <w:rFonts w:cstheme="minorHAnsi"/>
          <w:szCs w:val="24"/>
        </w:rPr>
        <w:t xml:space="preserve"> (2021), </w:t>
      </w:r>
      <w:hyperlink r:id="rId397" w:history="1">
        <w:r w:rsidRPr="00BC3776">
          <w:rPr>
            <w:rStyle w:val="Hyperlink"/>
            <w:rFonts w:cstheme="minorHAnsi"/>
            <w:szCs w:val="24"/>
          </w:rPr>
          <w:t xml:space="preserve">Press release </w:t>
        </w:r>
        <w:r w:rsidRPr="00244BA6">
          <w:rPr>
            <w:rStyle w:val="Hyperlink"/>
            <w:rFonts w:cstheme="minorHAnsi"/>
            <w:szCs w:val="24"/>
          </w:rPr>
          <w:t>–</w:t>
        </w:r>
        <w:r w:rsidRPr="00BC3776">
          <w:rPr>
            <w:rStyle w:val="Hyperlink"/>
            <w:rFonts w:cstheme="minorHAnsi"/>
            <w:szCs w:val="24"/>
          </w:rPr>
          <w:t xml:space="preserve"> Children and young people with SEND disproportionately affected by pandemic</w:t>
        </w:r>
      </w:hyperlink>
      <w:r w:rsidRPr="00BC3776">
        <w:rPr>
          <w:rFonts w:cstheme="minorHAnsi"/>
          <w:szCs w:val="24"/>
        </w:rPr>
        <w:t>.</w:t>
      </w:r>
    </w:p>
  </w:footnote>
  <w:footnote w:id="363">
    <w:p w14:paraId="3D268439" w14:textId="2D334863"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w:t>
      </w:r>
      <w:r w:rsidRPr="00BC3776">
        <w:rPr>
          <w:rFonts w:cstheme="minorHAnsi"/>
          <w:szCs w:val="24"/>
        </w:rPr>
        <w:t xml:space="preserve">UK House of Commons Women and Equalities Committee (2020), </w:t>
      </w:r>
      <w:hyperlink r:id="rId398" w:history="1">
        <w:r w:rsidRPr="00BC3776">
          <w:rPr>
            <w:rStyle w:val="Hyperlink"/>
            <w:rFonts w:cstheme="minorHAnsi"/>
            <w:szCs w:val="24"/>
          </w:rPr>
          <w:t>Unequal impact? Coronavirus, disability and access to services: interim report on temporary provisions in the Coronavirus Act</w:t>
        </w:r>
      </w:hyperlink>
      <w:r w:rsidRPr="00BC3776">
        <w:rPr>
          <w:rFonts w:cstheme="minorHAnsi"/>
          <w:szCs w:val="24"/>
        </w:rPr>
        <w:t xml:space="preserve"> [accessed</w:t>
      </w:r>
      <w:r>
        <w:rPr>
          <w:rFonts w:cstheme="minorHAnsi"/>
          <w:szCs w:val="24"/>
        </w:rPr>
        <w:t>:</w:t>
      </w:r>
      <w:r w:rsidRPr="00BC3776">
        <w:rPr>
          <w:rFonts w:cstheme="minorHAnsi"/>
          <w:szCs w:val="24"/>
        </w:rPr>
        <w:t xml:space="preserve"> 30 Sept</w:t>
      </w:r>
      <w:r>
        <w:rPr>
          <w:rFonts w:cstheme="minorHAnsi"/>
          <w:szCs w:val="24"/>
        </w:rPr>
        <w:t>ember 2022], para. 48</w:t>
      </w:r>
      <w:r w:rsidRPr="00BC3776">
        <w:rPr>
          <w:rFonts w:cstheme="minorHAnsi"/>
          <w:szCs w:val="24"/>
        </w:rPr>
        <w:t>.</w:t>
      </w:r>
    </w:p>
  </w:footnote>
  <w:footnote w:id="364">
    <w:p w14:paraId="09AB4691" w14:textId="63DA1B80" w:rsidR="0026506A" w:rsidRPr="00BC3776" w:rsidRDefault="0026506A" w:rsidP="00235DF5">
      <w:pPr>
        <w:pStyle w:val="FootnoteText"/>
        <w:rPr>
          <w:rFonts w:cstheme="minorHAnsi"/>
          <w:szCs w:val="24"/>
        </w:rPr>
      </w:pPr>
      <w:r w:rsidRPr="00BC3776">
        <w:rPr>
          <w:rStyle w:val="FootnoteReference"/>
          <w:rFonts w:cstheme="minorHAnsi"/>
          <w:szCs w:val="24"/>
        </w:rPr>
        <w:footnoteRef/>
      </w:r>
      <w:r>
        <w:rPr>
          <w:rFonts w:cstheme="minorHAnsi"/>
          <w:szCs w:val="24"/>
        </w:rPr>
        <w:t xml:space="preserve"> Ibid., </w:t>
      </w:r>
      <w:r w:rsidRPr="00BC3776">
        <w:rPr>
          <w:rFonts w:cstheme="minorHAnsi"/>
          <w:szCs w:val="24"/>
        </w:rPr>
        <w:t>para. 50.</w:t>
      </w:r>
    </w:p>
  </w:footnote>
  <w:footnote w:id="365">
    <w:p w14:paraId="0ABEE393" w14:textId="04397A75"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(2022), </w:t>
      </w:r>
      <w:hyperlink r:id="rId399" w:history="1">
        <w:r w:rsidRPr="00BC3776">
          <w:rPr>
            <w:rStyle w:val="Hyperlink"/>
            <w:rFonts w:cstheme="minorHAnsi"/>
            <w:szCs w:val="24"/>
          </w:rPr>
          <w:t>Written statement: additional funding for additional learning needs provision</w:t>
        </w:r>
      </w:hyperlink>
      <w:r w:rsidRPr="00BC3776">
        <w:rPr>
          <w:rFonts w:cstheme="minorHAnsi"/>
          <w:szCs w:val="24"/>
        </w:rPr>
        <w:t xml:space="preserve"> [accessed</w:t>
      </w:r>
      <w:r>
        <w:rPr>
          <w:rFonts w:cstheme="minorHAnsi"/>
          <w:szCs w:val="24"/>
        </w:rPr>
        <w:t>:</w:t>
      </w:r>
      <w:r w:rsidRPr="00BC3776">
        <w:rPr>
          <w:rFonts w:cstheme="minorHAnsi"/>
          <w:szCs w:val="24"/>
        </w:rPr>
        <w:t xml:space="preserve"> 29 September 2022].</w:t>
      </w:r>
    </w:p>
  </w:footnote>
  <w:footnote w:id="366">
    <w:p w14:paraId="582D2909" w14:textId="345F48D5"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Department for Education (2021)</w:t>
      </w:r>
      <w:r>
        <w:rPr>
          <w:rFonts w:cstheme="minorHAnsi"/>
          <w:szCs w:val="24"/>
        </w:rPr>
        <w:t>,</w:t>
      </w:r>
      <w:r w:rsidRPr="00BC3776">
        <w:rPr>
          <w:rFonts w:cstheme="minorHAnsi"/>
          <w:szCs w:val="24"/>
        </w:rPr>
        <w:t xml:space="preserve"> </w:t>
      </w:r>
      <w:hyperlink r:id="rId400" w:history="1">
        <w:r w:rsidRPr="00BC3776">
          <w:rPr>
            <w:rStyle w:val="Hyperlink"/>
            <w:rFonts w:cstheme="minorHAnsi"/>
            <w:szCs w:val="24"/>
          </w:rPr>
          <w:t xml:space="preserve">Guidance: </w:t>
        </w:r>
        <w:r w:rsidRPr="00BC3776">
          <w:rPr>
            <w:rStyle w:val="Hyperlink"/>
            <w:rFonts w:cstheme="minorHAnsi"/>
            <w:bCs/>
            <w:szCs w:val="24"/>
          </w:rPr>
          <w:t>Recovery premium funding.</w:t>
        </w:r>
      </w:hyperlink>
      <w:r w:rsidRPr="00BC3776">
        <w:rPr>
          <w:rFonts w:cstheme="minorHAnsi"/>
          <w:b/>
          <w:bCs/>
          <w:szCs w:val="24"/>
        </w:rPr>
        <w:t xml:space="preserve"> </w:t>
      </w:r>
    </w:p>
  </w:footnote>
  <w:footnote w:id="367">
    <w:p w14:paraId="578C25AB" w14:textId="49012EC0"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Department for Education (2022), </w:t>
      </w:r>
      <w:hyperlink r:id="rId401" w:history="1">
        <w:r w:rsidRPr="00BC3776">
          <w:rPr>
            <w:rStyle w:val="Hyperlink"/>
            <w:rFonts w:cstheme="minorHAnsi"/>
            <w:szCs w:val="24"/>
          </w:rPr>
          <w:t>Parent, Pupil and Learner Panel recruitment wave 1</w:t>
        </w:r>
      </w:hyperlink>
      <w:r w:rsidRPr="00B50A38">
        <w:rPr>
          <w:rFonts w:cstheme="minorHAnsi"/>
          <w:szCs w:val="24"/>
        </w:rPr>
        <w:t xml:space="preserve"> </w:t>
      </w:r>
      <w:r>
        <w:rPr>
          <w:rFonts w:cstheme="minorHAnsi"/>
          <w:szCs w:val="24"/>
        </w:rPr>
        <w:t>[accessed: 5 December 2022], pp. 86–90.</w:t>
      </w:r>
    </w:p>
  </w:footnote>
  <w:footnote w:id="368">
    <w:p w14:paraId="368E0470" w14:textId="25D19DC2" w:rsidR="0026506A" w:rsidRPr="00BC3776" w:rsidRDefault="0026506A" w:rsidP="00235DF5">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w:t>
      </w:r>
      <w:r w:rsidRPr="00BC3776">
        <w:rPr>
          <w:rFonts w:cstheme="minorHAnsi"/>
          <w:szCs w:val="24"/>
        </w:rPr>
        <w:t xml:space="preserve">House of Commons Education Committee (2022), </w:t>
      </w:r>
      <w:hyperlink r:id="rId402" w:history="1">
        <w:r w:rsidRPr="00BC3776">
          <w:rPr>
            <w:rStyle w:val="Hyperlink"/>
            <w:rFonts w:cstheme="minorHAnsi"/>
            <w:szCs w:val="24"/>
          </w:rPr>
          <w:t>Is the catch-up programme fit for purpose? Fourth report of session 2021</w:t>
        </w:r>
        <w:r w:rsidRPr="00244BA6">
          <w:rPr>
            <w:rStyle w:val="Hyperlink"/>
            <w:rFonts w:cstheme="minorHAnsi"/>
            <w:szCs w:val="24"/>
          </w:rPr>
          <w:t>–</w:t>
        </w:r>
        <w:r w:rsidRPr="00BC3776">
          <w:rPr>
            <w:rStyle w:val="Hyperlink"/>
            <w:rFonts w:cstheme="minorHAnsi"/>
            <w:szCs w:val="24"/>
          </w:rPr>
          <w:t>22</w:t>
        </w:r>
      </w:hyperlink>
      <w:r w:rsidRPr="00BC3776">
        <w:rPr>
          <w:rFonts w:cstheme="minorHAnsi"/>
          <w:szCs w:val="24"/>
        </w:rPr>
        <w:t xml:space="preserve"> [accessed</w:t>
      </w:r>
      <w:r>
        <w:rPr>
          <w:rFonts w:cstheme="minorHAnsi"/>
          <w:szCs w:val="24"/>
        </w:rPr>
        <w:t>:</w:t>
      </w:r>
      <w:r w:rsidRPr="00BC3776">
        <w:rPr>
          <w:rFonts w:cstheme="minorHAnsi"/>
          <w:szCs w:val="24"/>
        </w:rPr>
        <w:t xml:space="preserve"> 4 October 2022], p.13; Crenna-Jennings, W., et a</w:t>
      </w:r>
      <w:r>
        <w:rPr>
          <w:rFonts w:cstheme="minorHAnsi"/>
          <w:szCs w:val="24"/>
        </w:rPr>
        <w:t xml:space="preserve">l. </w:t>
      </w:r>
      <w:r w:rsidRPr="00BC3776">
        <w:rPr>
          <w:rFonts w:cstheme="minorHAnsi"/>
          <w:szCs w:val="24"/>
        </w:rPr>
        <w:t xml:space="preserve">(2021), </w:t>
      </w:r>
      <w:hyperlink r:id="rId403" w:history="1">
        <w:r w:rsidRPr="00BC3776">
          <w:rPr>
            <w:rStyle w:val="Hyperlink"/>
            <w:rFonts w:cstheme="minorHAnsi"/>
            <w:szCs w:val="24"/>
          </w:rPr>
          <w:t>Education recovery and resilience in England: phase one report</w:t>
        </w:r>
      </w:hyperlink>
      <w:r>
        <w:rPr>
          <w:rFonts w:cstheme="minorHAnsi"/>
          <w:szCs w:val="24"/>
        </w:rPr>
        <w:t xml:space="preserve">, Education Policy Institute </w:t>
      </w:r>
      <w:r w:rsidRPr="00BC3776">
        <w:rPr>
          <w:rFonts w:cstheme="minorHAnsi"/>
          <w:szCs w:val="24"/>
        </w:rPr>
        <w:t>[accessed</w:t>
      </w:r>
      <w:r>
        <w:rPr>
          <w:rFonts w:cstheme="minorHAnsi"/>
          <w:szCs w:val="24"/>
        </w:rPr>
        <w:t>:</w:t>
      </w:r>
      <w:r w:rsidRPr="00BC3776">
        <w:rPr>
          <w:rFonts w:cstheme="minorHAnsi"/>
          <w:szCs w:val="24"/>
        </w:rPr>
        <w:t xml:space="preserve"> 4 October 2022].</w:t>
      </w:r>
    </w:p>
  </w:footnote>
  <w:footnote w:id="369">
    <w:p w14:paraId="037934FD" w14:textId="358B2475"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(2020), </w:t>
      </w:r>
      <w:hyperlink r:id="rId404" w:history="1">
        <w:r w:rsidRPr="00BC3776">
          <w:rPr>
            <w:rStyle w:val="Hyperlink"/>
            <w:rFonts w:cstheme="minorHAnsi"/>
            <w:szCs w:val="24"/>
          </w:rPr>
          <w:t>Respect, equality, participation: exploring human rights education in Great Britain</w:t>
        </w:r>
      </w:hyperlink>
      <w:r w:rsidRPr="00BC3776">
        <w:rPr>
          <w:rFonts w:cstheme="minorHAnsi"/>
          <w:szCs w:val="24"/>
        </w:rPr>
        <w:t>, p.23.</w:t>
      </w:r>
    </w:p>
  </w:footnote>
  <w:footnote w:id="370">
    <w:p w14:paraId="5BF27984" w14:textId="4FC0CE2E"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405" w:history="1">
        <w:r w:rsidRPr="00BC3776">
          <w:rPr>
            <w:rStyle w:val="Hyperlink"/>
            <w:rFonts w:cstheme="minorHAnsi"/>
            <w:szCs w:val="24"/>
          </w:rPr>
          <w:t>The United Nations Declaration on Human Rights Education and Training (UNDHRET, 2011)</w:t>
        </w:r>
      </w:hyperlink>
      <w:r>
        <w:rPr>
          <w:rStyle w:val="Hyperlink"/>
          <w:rFonts w:cstheme="minorHAnsi"/>
          <w:szCs w:val="24"/>
        </w:rPr>
        <w:t>.</w:t>
      </w:r>
      <w:r w:rsidRPr="00BC3776">
        <w:rPr>
          <w:rFonts w:cstheme="minorHAnsi"/>
          <w:szCs w:val="24"/>
        </w:rPr>
        <w:t xml:space="preserve"> </w:t>
      </w:r>
    </w:p>
  </w:footnote>
  <w:footnote w:id="371">
    <w:p w14:paraId="002CB238" w14:textId="3C57E7D0"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(2020), </w:t>
      </w:r>
      <w:hyperlink r:id="rId406" w:history="1">
        <w:r w:rsidRPr="00BC3776">
          <w:rPr>
            <w:rStyle w:val="Hyperlink"/>
            <w:rFonts w:cstheme="minorHAnsi"/>
            <w:szCs w:val="24"/>
          </w:rPr>
          <w:t>Respect, equality, participation: exploring human rights education in Great Britain</w:t>
        </w:r>
      </w:hyperlink>
      <w:r>
        <w:rPr>
          <w:rFonts w:cstheme="minorHAnsi"/>
          <w:szCs w:val="24"/>
        </w:rPr>
        <w:t>, p.10.</w:t>
      </w:r>
    </w:p>
  </w:footnote>
  <w:footnote w:id="372">
    <w:p w14:paraId="4DBDCC16" w14:textId="1B0F61A6"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407" w:history="1">
        <w:r w:rsidRPr="00BC3776">
          <w:rPr>
            <w:rStyle w:val="Hyperlink"/>
            <w:rFonts w:cstheme="minorHAnsi"/>
            <w:szCs w:val="24"/>
          </w:rPr>
          <w:t>Equality Act 2010</w:t>
        </w:r>
      </w:hyperlink>
      <w:r w:rsidRPr="00BC3776">
        <w:rPr>
          <w:rFonts w:cstheme="minorHAnsi"/>
          <w:szCs w:val="24"/>
        </w:rPr>
        <w:t>, s.149</w:t>
      </w:r>
      <w:r>
        <w:rPr>
          <w:rFonts w:cstheme="minorHAnsi"/>
          <w:szCs w:val="24"/>
        </w:rPr>
        <w:t>.</w:t>
      </w:r>
    </w:p>
  </w:footnote>
  <w:footnote w:id="373">
    <w:p w14:paraId="054B3540" w14:textId="3931C999"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(2020), </w:t>
      </w:r>
      <w:hyperlink r:id="rId408" w:history="1">
        <w:r w:rsidRPr="00BC3776">
          <w:rPr>
            <w:rStyle w:val="Hyperlink"/>
            <w:rFonts w:cstheme="minorHAnsi"/>
            <w:szCs w:val="24"/>
          </w:rPr>
          <w:t>Respect, equality, participation: exploring human rights education in Great Britain</w:t>
        </w:r>
      </w:hyperlink>
      <w:r>
        <w:rPr>
          <w:rFonts w:cstheme="minorHAnsi"/>
          <w:szCs w:val="24"/>
        </w:rPr>
        <w:t>, p.34 and p.45.</w:t>
      </w:r>
    </w:p>
  </w:footnote>
  <w:footnote w:id="374">
    <w:p w14:paraId="7862E7A6" w14:textId="5BCA0C96"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w:t>
      </w:r>
      <w:r>
        <w:rPr>
          <w:rFonts w:cstheme="minorHAnsi"/>
          <w:szCs w:val="24"/>
        </w:rPr>
        <w:t xml:space="preserve">Ministry of Justice </w:t>
      </w:r>
      <w:r w:rsidRPr="00BC3776">
        <w:rPr>
          <w:rFonts w:cstheme="minorHAnsi"/>
          <w:szCs w:val="24"/>
        </w:rPr>
        <w:t xml:space="preserve">(2021), </w:t>
      </w:r>
      <w:hyperlink r:id="rId409" w:history="1">
        <w:r>
          <w:rPr>
            <w:rStyle w:val="Hyperlink"/>
            <w:rFonts w:cstheme="minorHAnsi"/>
            <w:szCs w:val="24"/>
          </w:rPr>
          <w:t>The I</w:t>
        </w:r>
        <w:r w:rsidRPr="00BC3776">
          <w:rPr>
            <w:rStyle w:val="Hyperlink"/>
            <w:rFonts w:cstheme="minorHAnsi"/>
            <w:szCs w:val="24"/>
          </w:rPr>
          <w:t>ndependent Hu</w:t>
        </w:r>
        <w:r>
          <w:rPr>
            <w:rStyle w:val="Hyperlink"/>
            <w:rFonts w:cstheme="minorHAnsi"/>
            <w:szCs w:val="24"/>
          </w:rPr>
          <w:t xml:space="preserve">man Rights Act Review: Full </w:t>
        </w:r>
        <w:r w:rsidRPr="00BC3776">
          <w:rPr>
            <w:rStyle w:val="Hyperlink"/>
            <w:rFonts w:cstheme="minorHAnsi"/>
            <w:szCs w:val="24"/>
          </w:rPr>
          <w:t>Report</w:t>
        </w:r>
      </w:hyperlink>
      <w:r>
        <w:rPr>
          <w:rFonts w:cstheme="minorHAnsi"/>
          <w:szCs w:val="24"/>
        </w:rPr>
        <w:t>, p.21.</w:t>
      </w:r>
    </w:p>
  </w:footnote>
  <w:footnote w:id="375">
    <w:p w14:paraId="055DB5B5" w14:textId="7777777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410" w:history="1">
        <w:r w:rsidRPr="00BC3776">
          <w:rPr>
            <w:rStyle w:val="Hyperlink"/>
            <w:rFonts w:cstheme="minorHAnsi"/>
            <w:szCs w:val="24"/>
          </w:rPr>
          <w:t>Curriculum and Assessment (Wales) Act 2021</w:t>
        </w:r>
      </w:hyperlink>
      <w:r w:rsidRPr="00BC3776">
        <w:rPr>
          <w:rFonts w:cstheme="minorHAnsi"/>
          <w:szCs w:val="24"/>
        </w:rPr>
        <w:t>, s.64.</w:t>
      </w:r>
    </w:p>
  </w:footnote>
  <w:footnote w:id="376">
    <w:p w14:paraId="77109187" w14:textId="4E50148F"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Children’s Commissioner for Wales (2022), </w:t>
      </w:r>
      <w:hyperlink r:id="rId411" w:history="1">
        <w:r w:rsidRPr="00BC3776">
          <w:rPr>
            <w:rStyle w:val="Hyperlink"/>
            <w:rFonts w:cstheme="minorHAnsi"/>
            <w:szCs w:val="24"/>
          </w:rPr>
          <w:t>Response from: Children’s Commissioner for Wales to Children, Young People and Education Committee inquiry into implementation of education reforms</w:t>
        </w:r>
      </w:hyperlink>
      <w:r w:rsidRPr="00BC3776">
        <w:rPr>
          <w:rFonts w:cstheme="minorHAnsi"/>
          <w:szCs w:val="24"/>
        </w:rPr>
        <w:t xml:space="preserve"> [accessed</w:t>
      </w:r>
      <w:r>
        <w:rPr>
          <w:rFonts w:cstheme="minorHAnsi"/>
          <w:szCs w:val="24"/>
        </w:rPr>
        <w:t>: 14 September 2022], p.3.</w:t>
      </w:r>
    </w:p>
  </w:footnote>
  <w:footnote w:id="377">
    <w:p w14:paraId="51ABF1C3" w14:textId="5C41CCC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w:t>
      </w:r>
      <w:r>
        <w:rPr>
          <w:rFonts w:cstheme="minorHAnsi"/>
          <w:szCs w:val="24"/>
        </w:rPr>
        <w:t xml:space="preserve"> Government </w:t>
      </w:r>
      <w:r w:rsidRPr="00BC3776">
        <w:rPr>
          <w:rFonts w:cstheme="minorHAnsi"/>
          <w:szCs w:val="24"/>
        </w:rPr>
        <w:t xml:space="preserve">(2020), </w:t>
      </w:r>
      <w:hyperlink r:id="rId412" w:anchor="human-rights" w:history="1">
        <w:r w:rsidRPr="00BC3776">
          <w:rPr>
            <w:rStyle w:val="Hyperlink"/>
            <w:rFonts w:cstheme="minorHAnsi"/>
            <w:szCs w:val="24"/>
          </w:rPr>
          <w:t>Cross-cutting themes for designing your curriculum: Human Rights Education and the United Nations Convention on the Rights of the Child (UNCRC)</w:t>
        </w:r>
      </w:hyperlink>
      <w:r>
        <w:rPr>
          <w:rStyle w:val="Hyperlink"/>
          <w:rFonts w:cstheme="minorHAnsi"/>
          <w:szCs w:val="24"/>
        </w:rPr>
        <w:t>.</w:t>
      </w:r>
    </w:p>
  </w:footnote>
  <w:footnote w:id="378">
    <w:p w14:paraId="4C669A49" w14:textId="64592DFE"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w:t>
      </w:r>
      <w:r>
        <w:rPr>
          <w:rFonts w:cstheme="minorHAnsi"/>
          <w:szCs w:val="24"/>
        </w:rPr>
        <w:t xml:space="preserve"> Government </w:t>
      </w:r>
      <w:r w:rsidRPr="00BC3776">
        <w:rPr>
          <w:rFonts w:cstheme="minorHAnsi"/>
          <w:szCs w:val="24"/>
        </w:rPr>
        <w:t>(2019)</w:t>
      </w:r>
      <w:r>
        <w:rPr>
          <w:rFonts w:cstheme="minorHAnsi"/>
          <w:szCs w:val="24"/>
        </w:rPr>
        <w:t xml:space="preserve">, </w:t>
      </w:r>
      <w:hyperlink r:id="rId413" w:history="1">
        <w:r>
          <w:rPr>
            <w:rStyle w:val="Hyperlink"/>
            <w:rFonts w:cstheme="minorHAnsi"/>
            <w:szCs w:val="24"/>
          </w:rPr>
          <w:t xml:space="preserve">Curriculum for Wales Guidance: Area of learning and experience: </w:t>
        </w:r>
        <w:r w:rsidRPr="00BC3776">
          <w:rPr>
            <w:rStyle w:val="Hyperlink"/>
            <w:rFonts w:cstheme="minorHAnsi"/>
            <w:szCs w:val="24"/>
          </w:rPr>
          <w:t>Health and Well-being</w:t>
        </w:r>
      </w:hyperlink>
      <w:r w:rsidRPr="00BC3776">
        <w:rPr>
          <w:rFonts w:cstheme="minorHAnsi"/>
          <w:szCs w:val="24"/>
        </w:rPr>
        <w:t>.</w:t>
      </w:r>
    </w:p>
  </w:footnote>
  <w:footnote w:id="379">
    <w:p w14:paraId="1739B132" w14:textId="723B0EA3"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w:t>
      </w:r>
      <w:r>
        <w:rPr>
          <w:rFonts w:cstheme="minorHAnsi"/>
          <w:szCs w:val="24"/>
        </w:rPr>
        <w:t>elsh Government (2022</w:t>
      </w:r>
      <w:r w:rsidRPr="00BC3776">
        <w:rPr>
          <w:rFonts w:cstheme="minorHAnsi"/>
          <w:szCs w:val="24"/>
        </w:rPr>
        <w:t xml:space="preserve">), </w:t>
      </w:r>
      <w:hyperlink r:id="rId414" w:history="1">
        <w:r w:rsidRPr="00BC3776">
          <w:rPr>
            <w:rStyle w:val="Hyperlink"/>
            <w:rFonts w:cstheme="minorHAnsi"/>
            <w:szCs w:val="24"/>
          </w:rPr>
          <w:t xml:space="preserve">Curriculum for </w:t>
        </w:r>
        <w:r>
          <w:rPr>
            <w:rStyle w:val="Hyperlink"/>
            <w:rFonts w:cstheme="minorHAnsi"/>
            <w:szCs w:val="24"/>
          </w:rPr>
          <w:t xml:space="preserve">Wales: </w:t>
        </w:r>
        <w:r w:rsidRPr="00BC3776">
          <w:rPr>
            <w:rStyle w:val="Hyperlink"/>
            <w:rFonts w:cstheme="minorHAnsi"/>
            <w:szCs w:val="24"/>
          </w:rPr>
          <w:t xml:space="preserve">Relationships and Sexuality Education </w:t>
        </w:r>
        <w:r>
          <w:rPr>
            <w:rStyle w:val="Hyperlink"/>
            <w:rFonts w:cstheme="minorHAnsi"/>
            <w:szCs w:val="24"/>
          </w:rPr>
          <w:t xml:space="preserve">(RSE) </w:t>
        </w:r>
        <w:r w:rsidRPr="00BC3776">
          <w:rPr>
            <w:rStyle w:val="Hyperlink"/>
            <w:rFonts w:cstheme="minorHAnsi"/>
            <w:szCs w:val="24"/>
          </w:rPr>
          <w:t>Code</w:t>
        </w:r>
      </w:hyperlink>
      <w:r>
        <w:rPr>
          <w:rFonts w:cstheme="minorHAnsi"/>
          <w:szCs w:val="24"/>
        </w:rPr>
        <w:t>, p.3.</w:t>
      </w:r>
    </w:p>
  </w:footnote>
  <w:footnote w:id="380">
    <w:p w14:paraId="1B4F9A5E" w14:textId="637E88F0"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(2022), </w:t>
      </w:r>
      <w:hyperlink r:id="rId415" w:history="1">
        <w:r w:rsidRPr="00BC3776">
          <w:rPr>
            <w:rStyle w:val="Hyperlink"/>
            <w:rFonts w:cstheme="minorHAnsi"/>
            <w:szCs w:val="24"/>
          </w:rPr>
          <w:t>Written statement: misleading claims about RSE</w:t>
        </w:r>
      </w:hyperlink>
      <w:r w:rsidRPr="00BC3776">
        <w:rPr>
          <w:rFonts w:cstheme="minorHAnsi"/>
          <w:szCs w:val="24"/>
        </w:rPr>
        <w:t xml:space="preserve"> [accessed</w:t>
      </w:r>
      <w:r>
        <w:rPr>
          <w:rFonts w:cstheme="minorHAnsi"/>
          <w:szCs w:val="24"/>
        </w:rPr>
        <w:t>:</w:t>
      </w:r>
      <w:r w:rsidRPr="00BC3776">
        <w:rPr>
          <w:rFonts w:cstheme="minorHAnsi"/>
          <w:szCs w:val="24"/>
        </w:rPr>
        <w:t xml:space="preserve"> 14 October 2022].</w:t>
      </w:r>
    </w:p>
  </w:footnote>
  <w:footnote w:id="381">
    <w:p w14:paraId="57E1BB66" w14:textId="59E6194E"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This consists of compulsory Relationships Education in all primary schools, compulsory Relationships and Sex Education in all secondary schools, and compulsory Health Educati</w:t>
      </w:r>
      <w:r>
        <w:rPr>
          <w:rFonts w:cstheme="minorHAnsi"/>
          <w:szCs w:val="24"/>
        </w:rPr>
        <w:t>on in all state-funded schools.</w:t>
      </w:r>
    </w:p>
  </w:footnote>
  <w:footnote w:id="382">
    <w:p w14:paraId="09DF1B30" w14:textId="6A657750"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Department for Education (2019), </w:t>
      </w:r>
      <w:hyperlink r:id="rId416" w:history="1">
        <w:r w:rsidRPr="00BC3776">
          <w:rPr>
            <w:rStyle w:val="Hyperlink"/>
            <w:rFonts w:cstheme="minorHAnsi"/>
            <w:szCs w:val="24"/>
          </w:rPr>
          <w:t>Relationships Education, Relationships and Sex Education (RSE) and Health Education</w:t>
        </w:r>
      </w:hyperlink>
      <w:r>
        <w:rPr>
          <w:rFonts w:cstheme="minorHAnsi"/>
          <w:szCs w:val="24"/>
        </w:rPr>
        <w:t xml:space="preserve">, </w:t>
      </w:r>
      <w:r w:rsidRPr="00BC3776">
        <w:rPr>
          <w:rFonts w:cstheme="minorHAnsi"/>
          <w:szCs w:val="24"/>
        </w:rPr>
        <w:t>p.19.</w:t>
      </w:r>
    </w:p>
  </w:footnote>
  <w:footnote w:id="383">
    <w:p w14:paraId="4F22BFD4" w14:textId="7777777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Department for Education (2019), </w:t>
      </w:r>
      <w:hyperlink r:id="rId417" w:history="1">
        <w:r w:rsidRPr="00BC3776">
          <w:rPr>
            <w:rStyle w:val="Hyperlink"/>
            <w:rFonts w:cstheme="minorHAnsi"/>
            <w:szCs w:val="24"/>
          </w:rPr>
          <w:t>Relationships education, relationships and sex education (RSE) and health education: FAQs</w:t>
        </w:r>
      </w:hyperlink>
      <w:r w:rsidRPr="00BC3776">
        <w:rPr>
          <w:rFonts w:cstheme="minorHAnsi"/>
          <w:szCs w:val="24"/>
        </w:rPr>
        <w:t>.</w:t>
      </w:r>
    </w:p>
  </w:footnote>
  <w:footnote w:id="384">
    <w:p w14:paraId="0325F51F" w14:textId="7777777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Ofsted (2021), </w:t>
      </w:r>
      <w:hyperlink r:id="rId418" w:history="1">
        <w:r w:rsidRPr="00BC3776">
          <w:rPr>
            <w:rStyle w:val="Hyperlink"/>
            <w:rFonts w:cstheme="minorHAnsi"/>
            <w:szCs w:val="24"/>
          </w:rPr>
          <w:t>Research commentary: teaching about sex, sexual orientation and gender reassignment</w:t>
        </w:r>
      </w:hyperlink>
      <w:r w:rsidRPr="00BC3776">
        <w:rPr>
          <w:rFonts w:cstheme="minorHAnsi"/>
          <w:szCs w:val="24"/>
        </w:rPr>
        <w:t>.</w:t>
      </w:r>
    </w:p>
  </w:footnote>
  <w:footnote w:id="385">
    <w:p w14:paraId="62395637" w14:textId="1A10847C"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UK Parliament Petitions C</w:t>
      </w:r>
      <w:r w:rsidRPr="00BC3776">
        <w:rPr>
          <w:rFonts w:cstheme="minorHAnsi"/>
          <w:szCs w:val="24"/>
        </w:rPr>
        <w:t xml:space="preserve">ommittee (2021), </w:t>
      </w:r>
      <w:hyperlink r:id="rId419" w:history="1">
        <w:r w:rsidRPr="00BC3776">
          <w:rPr>
            <w:rStyle w:val="Hyperlink"/>
            <w:rFonts w:cstheme="minorHAnsi"/>
            <w:szCs w:val="24"/>
          </w:rPr>
          <w:t>Black history and cultural diversity in the curriculum</w:t>
        </w:r>
      </w:hyperlink>
      <w:r w:rsidRPr="00BC3776">
        <w:rPr>
          <w:rFonts w:cstheme="minorHAnsi"/>
          <w:szCs w:val="24"/>
        </w:rPr>
        <w:t xml:space="preserve"> [accessed</w:t>
      </w:r>
      <w:r>
        <w:rPr>
          <w:rFonts w:cstheme="minorHAnsi"/>
          <w:szCs w:val="24"/>
        </w:rPr>
        <w:t>:</w:t>
      </w:r>
      <w:r w:rsidRPr="00BC3776">
        <w:rPr>
          <w:rFonts w:cstheme="minorHAnsi"/>
          <w:szCs w:val="24"/>
        </w:rPr>
        <w:t xml:space="preserve"> 5 September 2022]; The Traveller Movement (2020), </w:t>
      </w:r>
      <w:hyperlink r:id="rId420" w:history="1">
        <w:r w:rsidRPr="00BC3776">
          <w:rPr>
            <w:rStyle w:val="Hyperlink"/>
            <w:rFonts w:cstheme="minorHAnsi"/>
            <w:szCs w:val="24"/>
          </w:rPr>
          <w:t>Gypsy, Roma and Traveller experiences in secondary education: Issues, barriers and recommendations</w:t>
        </w:r>
      </w:hyperlink>
      <w:r w:rsidRPr="00BC3776">
        <w:rPr>
          <w:rFonts w:cstheme="minorHAnsi"/>
          <w:szCs w:val="24"/>
        </w:rPr>
        <w:t xml:space="preserve"> [accessed</w:t>
      </w:r>
      <w:r>
        <w:rPr>
          <w:rFonts w:cstheme="minorHAnsi"/>
          <w:szCs w:val="24"/>
        </w:rPr>
        <w:t>:</w:t>
      </w:r>
      <w:r w:rsidRPr="00BC3776">
        <w:rPr>
          <w:rFonts w:cstheme="minorHAnsi"/>
          <w:szCs w:val="24"/>
        </w:rPr>
        <w:t xml:space="preserve"> 5 September 2022]</w:t>
      </w:r>
      <w:r>
        <w:rPr>
          <w:rFonts w:cstheme="minorHAnsi"/>
          <w:szCs w:val="24"/>
        </w:rPr>
        <w:t>, p.4</w:t>
      </w:r>
      <w:r w:rsidRPr="00BC3776">
        <w:rPr>
          <w:rFonts w:cstheme="minorHAnsi"/>
          <w:szCs w:val="24"/>
        </w:rPr>
        <w:t>.</w:t>
      </w:r>
    </w:p>
  </w:footnote>
  <w:footnote w:id="386">
    <w:p w14:paraId="4CAD5F6A" w14:textId="7777777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Department for Education (2013), </w:t>
      </w:r>
      <w:hyperlink r:id="rId421" w:history="1">
        <w:r w:rsidRPr="00BC3776">
          <w:rPr>
            <w:rStyle w:val="Hyperlink"/>
            <w:rFonts w:cstheme="minorHAnsi"/>
            <w:szCs w:val="24"/>
          </w:rPr>
          <w:t>Statutory guidance: National curriculum in England: citizenship programmes of study for key stages 3 and 4</w:t>
        </w:r>
      </w:hyperlink>
      <w:r w:rsidRPr="00BC3776">
        <w:rPr>
          <w:rFonts w:cstheme="minorHAnsi"/>
          <w:szCs w:val="24"/>
        </w:rPr>
        <w:t>.</w:t>
      </w:r>
    </w:p>
  </w:footnote>
  <w:footnote w:id="387">
    <w:p w14:paraId="32323169" w14:textId="7D0CC438"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House of Lords </w:t>
      </w:r>
      <w:r w:rsidRPr="00BC3776">
        <w:rPr>
          <w:rFonts w:cstheme="minorHAnsi"/>
          <w:szCs w:val="24"/>
        </w:rPr>
        <w:t xml:space="preserve">Liaison Committee (2022), </w:t>
      </w:r>
      <w:hyperlink r:id="rId422" w:history="1">
        <w:r w:rsidRPr="00BC3776">
          <w:rPr>
            <w:rStyle w:val="Hyperlink"/>
            <w:rFonts w:cstheme="minorHAnsi"/>
            <w:szCs w:val="24"/>
          </w:rPr>
          <w:t>Corrected oral evidence: C</w:t>
        </w:r>
        <w:r>
          <w:rPr>
            <w:rStyle w:val="Hyperlink"/>
            <w:rFonts w:cstheme="minorHAnsi"/>
            <w:szCs w:val="24"/>
          </w:rPr>
          <w:t xml:space="preserve">itizenship and civic engagement - </w:t>
        </w:r>
        <w:r w:rsidRPr="00BC3776">
          <w:rPr>
            <w:rStyle w:val="Hyperlink"/>
            <w:rFonts w:cstheme="minorHAnsi"/>
            <w:szCs w:val="24"/>
          </w:rPr>
          <w:t>follow-up</w:t>
        </w:r>
      </w:hyperlink>
      <w:r w:rsidRPr="00BC3776">
        <w:rPr>
          <w:rFonts w:cstheme="minorHAnsi"/>
          <w:szCs w:val="24"/>
        </w:rPr>
        <w:t xml:space="preserve"> [accessed</w:t>
      </w:r>
      <w:r>
        <w:rPr>
          <w:rFonts w:cstheme="minorHAnsi"/>
          <w:szCs w:val="24"/>
        </w:rPr>
        <w:t>:</w:t>
      </w:r>
      <w:r w:rsidRPr="00BC3776">
        <w:rPr>
          <w:rFonts w:cstheme="minorHAnsi"/>
          <w:szCs w:val="24"/>
        </w:rPr>
        <w:t xml:space="preserve"> 5 September 2022]; Association for Citizenship Teaching (2022), </w:t>
      </w:r>
      <w:hyperlink r:id="rId423" w:history="1">
        <w:r w:rsidRPr="00BC3776">
          <w:rPr>
            <w:rStyle w:val="Hyperlink"/>
            <w:rFonts w:cstheme="minorHAnsi"/>
            <w:szCs w:val="24"/>
          </w:rPr>
          <w:t>GCSE Citizenship results 2022 highlight the determination of pupils and teachers</w:t>
        </w:r>
      </w:hyperlink>
      <w:r w:rsidRPr="00BC3776">
        <w:rPr>
          <w:rFonts w:cstheme="minorHAnsi"/>
          <w:szCs w:val="24"/>
        </w:rPr>
        <w:t xml:space="preserve"> [accessed</w:t>
      </w:r>
      <w:r>
        <w:rPr>
          <w:rFonts w:cstheme="minorHAnsi"/>
          <w:szCs w:val="24"/>
        </w:rPr>
        <w:t>:</w:t>
      </w:r>
      <w:r w:rsidRPr="00BC3776">
        <w:rPr>
          <w:rFonts w:cstheme="minorHAnsi"/>
          <w:szCs w:val="24"/>
        </w:rPr>
        <w:t xml:space="preserve"> 5 September 2022].</w:t>
      </w:r>
    </w:p>
  </w:footnote>
  <w:footnote w:id="388">
    <w:p w14:paraId="4A9E630F" w14:textId="1CF2124E"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Department for Education (2013), </w:t>
      </w:r>
      <w:hyperlink r:id="rId424" w:history="1">
        <w:r w:rsidRPr="00BC3776">
          <w:rPr>
            <w:rStyle w:val="Hyperlink"/>
            <w:rFonts w:cstheme="minorHAnsi"/>
            <w:szCs w:val="24"/>
          </w:rPr>
          <w:t>History programmes of study: key stage 3</w:t>
        </w:r>
      </w:hyperlink>
      <w:r>
        <w:rPr>
          <w:rFonts w:cstheme="minorHAnsi"/>
          <w:szCs w:val="24"/>
        </w:rPr>
        <w:t>, p.4.</w:t>
      </w:r>
    </w:p>
  </w:footnote>
  <w:footnote w:id="389">
    <w:p w14:paraId="394B0F17" w14:textId="7306A423"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(2022), </w:t>
      </w:r>
      <w:hyperlink r:id="rId425" w:history="1">
        <w:r w:rsidRPr="00BC3776">
          <w:rPr>
            <w:rStyle w:val="Hyperlink"/>
            <w:rFonts w:cstheme="minorHAnsi"/>
            <w:szCs w:val="24"/>
          </w:rPr>
          <w:t>Incl</w:t>
        </w:r>
        <w:r>
          <w:rPr>
            <w:rStyle w:val="Hyperlink"/>
            <w:rFonts w:cstheme="minorHAnsi"/>
            <w:szCs w:val="24"/>
          </w:rPr>
          <w:t xml:space="preserve">usive Britain: </w:t>
        </w:r>
        <w:r w:rsidRPr="00BC3776">
          <w:rPr>
            <w:rStyle w:val="Hyperlink"/>
            <w:rFonts w:cstheme="minorHAnsi"/>
            <w:szCs w:val="24"/>
          </w:rPr>
          <w:t>governm</w:t>
        </w:r>
        <w:r>
          <w:rPr>
            <w:rStyle w:val="Hyperlink"/>
            <w:rFonts w:cstheme="minorHAnsi"/>
            <w:szCs w:val="24"/>
          </w:rPr>
          <w:t>ent</w:t>
        </w:r>
        <w:r w:rsidRPr="00BC3776">
          <w:rPr>
            <w:rStyle w:val="Hyperlink"/>
            <w:rFonts w:cstheme="minorHAnsi"/>
            <w:szCs w:val="24"/>
          </w:rPr>
          <w:t xml:space="preserve"> response to the Commission on Race and Ethnic Disparities</w:t>
        </w:r>
      </w:hyperlink>
      <w:r>
        <w:rPr>
          <w:rFonts w:cstheme="minorHAnsi"/>
          <w:szCs w:val="24"/>
        </w:rPr>
        <w:t>, p.29.</w:t>
      </w:r>
    </w:p>
  </w:footnote>
  <w:footnote w:id="390">
    <w:p w14:paraId="0F8EBAA1" w14:textId="55EDA1B6"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Welsh Government </w:t>
      </w:r>
      <w:r w:rsidRPr="00BC3776">
        <w:rPr>
          <w:rFonts w:cstheme="minorHAnsi"/>
          <w:szCs w:val="24"/>
        </w:rPr>
        <w:t xml:space="preserve">(2021), </w:t>
      </w:r>
      <w:hyperlink r:id="rId426" w:history="1">
        <w:r w:rsidRPr="00BC3776">
          <w:rPr>
            <w:rStyle w:val="Hyperlink"/>
            <w:rFonts w:cstheme="minorHAnsi"/>
            <w:szCs w:val="24"/>
          </w:rPr>
          <w:t>Written Statement: Final recommendations from the Black, Asian and Minority Ethnic Communities, Contributions and Cynefin in the New Curriculum Working Group accepted</w:t>
        </w:r>
      </w:hyperlink>
      <w:r w:rsidRPr="00BC3776">
        <w:rPr>
          <w:rFonts w:cstheme="minorHAnsi"/>
          <w:szCs w:val="24"/>
        </w:rPr>
        <w:t xml:space="preserve"> [accessed</w:t>
      </w:r>
      <w:r>
        <w:rPr>
          <w:rFonts w:cstheme="minorHAnsi"/>
          <w:szCs w:val="24"/>
        </w:rPr>
        <w:t>: 5 September 2022].</w:t>
      </w:r>
    </w:p>
  </w:footnote>
  <w:footnote w:id="391">
    <w:p w14:paraId="719A5AB9" w14:textId="3F1564CB"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(2022), </w:t>
      </w:r>
      <w:hyperlink r:id="rId427" w:history="1">
        <w:r w:rsidRPr="00BC3776">
          <w:rPr>
            <w:rStyle w:val="Hyperlink"/>
            <w:rFonts w:cstheme="minorHAnsi"/>
            <w:szCs w:val="24"/>
          </w:rPr>
          <w:t>Annual report on implementation of the recommendations from the Black, Asian and Minority Ethnic Communities, Contributions and Cynefin in the New Curriculum Working Group report</w:t>
        </w:r>
      </w:hyperlink>
      <w:r w:rsidRPr="00BC3776">
        <w:rPr>
          <w:rFonts w:cstheme="minorHAnsi"/>
          <w:szCs w:val="24"/>
        </w:rPr>
        <w:t xml:space="preserve"> [accessed</w:t>
      </w:r>
      <w:r>
        <w:rPr>
          <w:rFonts w:cstheme="minorHAnsi"/>
          <w:szCs w:val="24"/>
        </w:rPr>
        <w:t>:</w:t>
      </w:r>
      <w:r w:rsidRPr="00BC3776">
        <w:rPr>
          <w:rFonts w:cstheme="minorHAnsi"/>
          <w:szCs w:val="24"/>
        </w:rPr>
        <w:t xml:space="preserve"> 24 October 2022].</w:t>
      </w:r>
    </w:p>
  </w:footnote>
  <w:footnote w:id="392">
    <w:p w14:paraId="01038F91" w14:textId="524637D5"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Ditch the label (2020), </w:t>
      </w:r>
      <w:hyperlink r:id="rId428" w:history="1">
        <w:r w:rsidRPr="00BC3776">
          <w:rPr>
            <w:rStyle w:val="Hyperlink"/>
            <w:rFonts w:cstheme="minorHAnsi"/>
            <w:szCs w:val="24"/>
          </w:rPr>
          <w:t>The Annual Bullying Survey 2020</w:t>
        </w:r>
      </w:hyperlink>
      <w:r>
        <w:rPr>
          <w:rFonts w:cstheme="minorHAnsi"/>
          <w:szCs w:val="24"/>
        </w:rPr>
        <w:t>, p.17;</w:t>
      </w:r>
      <w:r w:rsidRPr="00BC3776">
        <w:rPr>
          <w:rFonts w:cstheme="minorHAnsi"/>
          <w:szCs w:val="24"/>
        </w:rPr>
        <w:t xml:space="preserve"> </w:t>
      </w:r>
      <w:r>
        <w:rPr>
          <w:rFonts w:cstheme="minorHAnsi"/>
          <w:szCs w:val="24"/>
        </w:rPr>
        <w:t xml:space="preserve">UK Government </w:t>
      </w:r>
      <w:r w:rsidRPr="00BC3776">
        <w:rPr>
          <w:rFonts w:cstheme="minorHAnsi"/>
          <w:szCs w:val="24"/>
        </w:rPr>
        <w:t>Department for Education (2019)</w:t>
      </w:r>
      <w:r>
        <w:rPr>
          <w:rFonts w:cstheme="minorHAnsi"/>
          <w:szCs w:val="24"/>
        </w:rPr>
        <w:t>,</w:t>
      </w:r>
      <w:r w:rsidRPr="00BC3776">
        <w:rPr>
          <w:rFonts w:cstheme="minorHAnsi"/>
          <w:szCs w:val="24"/>
        </w:rPr>
        <w:t xml:space="preserve"> </w:t>
      </w:r>
      <w:hyperlink r:id="rId429" w:history="1">
        <w:r w:rsidRPr="00BC3776">
          <w:rPr>
            <w:rStyle w:val="Hyperlink"/>
            <w:rFonts w:cstheme="minorHAnsi"/>
            <w:szCs w:val="24"/>
          </w:rPr>
          <w:t>Omnibus survey of pupils and their parents or carers: wave 6</w:t>
        </w:r>
      </w:hyperlink>
      <w:r>
        <w:rPr>
          <w:rFonts w:cstheme="minorHAnsi"/>
          <w:szCs w:val="24"/>
        </w:rPr>
        <w:t xml:space="preserve">, pp. 60-66; </w:t>
      </w:r>
      <w:r w:rsidRPr="00BC3776">
        <w:rPr>
          <w:rFonts w:cstheme="minorHAnsi"/>
          <w:szCs w:val="24"/>
        </w:rPr>
        <w:t xml:space="preserve">Anti-Bullying Alliance and Friends, Families and Travellers (2020), </w:t>
      </w:r>
      <w:hyperlink r:id="rId430" w:history="1">
        <w:r>
          <w:rPr>
            <w:rStyle w:val="Hyperlink"/>
            <w:rFonts w:cstheme="minorHAnsi"/>
            <w:szCs w:val="24"/>
          </w:rPr>
          <w:t>Bullied, not believed and b</w:t>
        </w:r>
        <w:r w:rsidRPr="00BC3776">
          <w:rPr>
            <w:rStyle w:val="Hyperlink"/>
            <w:rFonts w:cstheme="minorHAnsi"/>
            <w:szCs w:val="24"/>
          </w:rPr>
          <w:t>lamed</w:t>
        </w:r>
      </w:hyperlink>
      <w:r>
        <w:rPr>
          <w:rFonts w:cstheme="minorHAnsi"/>
          <w:szCs w:val="24"/>
        </w:rPr>
        <w:t xml:space="preserve">; </w:t>
      </w:r>
      <w:r w:rsidRPr="00BC3776">
        <w:rPr>
          <w:rFonts w:cstheme="minorHAnsi"/>
          <w:szCs w:val="24"/>
        </w:rPr>
        <w:t xml:space="preserve">Stonewall (2017), </w:t>
      </w:r>
      <w:hyperlink r:id="rId431" w:history="1">
        <w:r w:rsidRPr="00BC3776">
          <w:rPr>
            <w:rStyle w:val="Hyperlink"/>
            <w:rFonts w:cstheme="minorHAnsi"/>
            <w:szCs w:val="24"/>
          </w:rPr>
          <w:t>School Report: The experiences of lesbian, gay, bi and trans young people in Britain’s schools in 2017</w:t>
        </w:r>
      </w:hyperlink>
      <w:r>
        <w:rPr>
          <w:rFonts w:cstheme="minorHAnsi"/>
          <w:szCs w:val="24"/>
        </w:rPr>
        <w:t>.</w:t>
      </w:r>
    </w:p>
  </w:footnote>
  <w:footnote w:id="393">
    <w:p w14:paraId="00A765F3" w14:textId="59FEF9A9"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Eilenberg, J.</w:t>
      </w:r>
      <w:r w:rsidRPr="00BC3776">
        <w:rPr>
          <w:rFonts w:cstheme="minorHAnsi"/>
          <w:szCs w:val="24"/>
        </w:rPr>
        <w:t xml:space="preserve"> (2020), </w:t>
      </w:r>
      <w:hyperlink r:id="rId432" w:history="1">
        <w:r w:rsidRPr="00BC3776">
          <w:rPr>
            <w:rStyle w:val="Hyperlink"/>
            <w:rFonts w:cstheme="minorHAnsi"/>
            <w:szCs w:val="24"/>
          </w:rPr>
          <w:t>Racist and faith targeted bullying in the UK: a review of existing literature</w:t>
        </w:r>
      </w:hyperlink>
      <w:r>
        <w:rPr>
          <w:rFonts w:cstheme="minorHAnsi"/>
          <w:szCs w:val="24"/>
        </w:rPr>
        <w:t>, National Children’s Bureau, Anti-Bullying Alliance [accessed: 5 December 2022], pp. 9–11.</w:t>
      </w:r>
    </w:p>
  </w:footnote>
  <w:footnote w:id="394">
    <w:p w14:paraId="30FEDE91" w14:textId="1CE11413"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Butler, C. </w:t>
      </w:r>
      <w:r>
        <w:rPr>
          <w:rFonts w:cstheme="minorHAnsi"/>
          <w:szCs w:val="24"/>
        </w:rPr>
        <w:t xml:space="preserve">et al. </w:t>
      </w:r>
      <w:r w:rsidRPr="00BC3776">
        <w:rPr>
          <w:rFonts w:cstheme="minorHAnsi"/>
          <w:szCs w:val="24"/>
        </w:rPr>
        <w:t xml:space="preserve">(2019), </w:t>
      </w:r>
      <w:hyperlink r:id="rId433" w:history="1">
        <w:r w:rsidRPr="00BC3776">
          <w:rPr>
            <w:rStyle w:val="Hyperlink"/>
            <w:rFonts w:cstheme="minorHAnsi"/>
            <w:szCs w:val="24"/>
          </w:rPr>
          <w:t>Self-harm prevalence and ideation in a community sample of cis, trans and other youth</w:t>
        </w:r>
      </w:hyperlink>
      <w:r>
        <w:rPr>
          <w:rFonts w:cstheme="minorHAnsi"/>
          <w:szCs w:val="24"/>
        </w:rPr>
        <w:t xml:space="preserve"> International Journal of Transgenderism, Volume 20, 2019 – Issue 4;</w:t>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Department for Education (2019), </w:t>
      </w:r>
      <w:hyperlink r:id="rId434" w:history="1">
        <w:r w:rsidRPr="00BC3776">
          <w:rPr>
            <w:rStyle w:val="Hyperlink"/>
            <w:rFonts w:cstheme="minorHAnsi"/>
            <w:szCs w:val="24"/>
          </w:rPr>
          <w:t>Omnibus survey of pupils and their parents or carers: wave 6</w:t>
        </w:r>
      </w:hyperlink>
      <w:r>
        <w:rPr>
          <w:rFonts w:cstheme="minorHAnsi"/>
          <w:szCs w:val="24"/>
        </w:rPr>
        <w:t>, pp. 60–66</w:t>
      </w:r>
      <w:r w:rsidRPr="00BC3776">
        <w:rPr>
          <w:rFonts w:cstheme="minorHAnsi"/>
          <w:szCs w:val="24"/>
        </w:rPr>
        <w:t xml:space="preserve">; Anti-bullying Alliance (2021), </w:t>
      </w:r>
      <w:hyperlink r:id="rId435" w:history="1">
        <w:r>
          <w:rPr>
            <w:rStyle w:val="Hyperlink"/>
            <w:rFonts w:cstheme="minorHAnsi"/>
            <w:szCs w:val="24"/>
          </w:rPr>
          <w:t>Reducing bullying in school: A summary of findings from the independent evaluation of the all together programme 2017</w:t>
        </w:r>
        <w:r w:rsidRPr="00387371">
          <w:rPr>
            <w:rStyle w:val="Hyperlink"/>
            <w:rFonts w:cstheme="minorHAnsi"/>
            <w:szCs w:val="24"/>
          </w:rPr>
          <w:t>–</w:t>
        </w:r>
        <w:r>
          <w:rPr>
            <w:rStyle w:val="Hyperlink"/>
            <w:rFonts w:cstheme="minorHAnsi"/>
            <w:szCs w:val="24"/>
          </w:rPr>
          <w:t>2021</w:t>
        </w:r>
      </w:hyperlink>
      <w:r>
        <w:rPr>
          <w:rFonts w:cstheme="minorHAnsi"/>
          <w:szCs w:val="24"/>
        </w:rPr>
        <w:t xml:space="preserve">, p.11; </w:t>
      </w:r>
      <w:r w:rsidRPr="00BC3776">
        <w:rPr>
          <w:rFonts w:cstheme="minorHAnsi"/>
          <w:szCs w:val="24"/>
        </w:rPr>
        <w:t xml:space="preserve">Just Like Us (2021), </w:t>
      </w:r>
      <w:hyperlink r:id="rId436" w:history="1">
        <w:r w:rsidRPr="00BC3776">
          <w:rPr>
            <w:rStyle w:val="Hyperlink"/>
            <w:rFonts w:cstheme="minorHAnsi"/>
            <w:szCs w:val="24"/>
          </w:rPr>
          <w:t>Growing up LGBT+: the impact of school, home and coronavirus on LGBT+ young people</w:t>
        </w:r>
      </w:hyperlink>
      <w:r w:rsidRPr="00BC3776">
        <w:rPr>
          <w:rFonts w:cstheme="minorHAnsi"/>
          <w:szCs w:val="24"/>
        </w:rPr>
        <w:t>.</w:t>
      </w:r>
    </w:p>
  </w:footnote>
  <w:footnote w:id="395">
    <w:p w14:paraId="3CAD23FF" w14:textId="1A163FD6"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Ditch the L</w:t>
      </w:r>
      <w:r w:rsidRPr="00BC3776">
        <w:rPr>
          <w:rFonts w:cstheme="minorHAnsi"/>
          <w:szCs w:val="24"/>
        </w:rPr>
        <w:t xml:space="preserve">abel (2020), </w:t>
      </w:r>
      <w:hyperlink r:id="rId437" w:history="1">
        <w:r w:rsidRPr="00BC3776">
          <w:rPr>
            <w:rStyle w:val="Hyperlink"/>
            <w:rFonts w:cstheme="minorHAnsi"/>
            <w:szCs w:val="24"/>
          </w:rPr>
          <w:t>The Annual Bullying Survey 2020</w:t>
        </w:r>
      </w:hyperlink>
      <w:r>
        <w:rPr>
          <w:rFonts w:cstheme="minorHAnsi"/>
          <w:szCs w:val="24"/>
        </w:rPr>
        <w:t>, p.7.</w:t>
      </w:r>
    </w:p>
  </w:footnote>
  <w:footnote w:id="396">
    <w:p w14:paraId="594ACB7C" w14:textId="7A69C3C5"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See </w:t>
      </w:r>
      <w:hyperlink r:id="rId438" w:history="1">
        <w:r w:rsidRPr="00BC3776">
          <w:rPr>
            <w:rStyle w:val="Hyperlink"/>
            <w:rFonts w:cstheme="minorHAnsi"/>
            <w:szCs w:val="24"/>
          </w:rPr>
          <w:t>Everyone’s Invited</w:t>
        </w:r>
      </w:hyperlink>
      <w:r w:rsidRPr="00BC3776">
        <w:rPr>
          <w:rFonts w:cstheme="minorHAnsi"/>
          <w:szCs w:val="24"/>
        </w:rPr>
        <w:t xml:space="preserve"> website</w:t>
      </w:r>
    </w:p>
  </w:footnote>
  <w:footnote w:id="397">
    <w:p w14:paraId="256D2E1D" w14:textId="7777777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Ofsted (2021), </w:t>
      </w:r>
      <w:hyperlink r:id="rId439" w:anchor="methodology" w:history="1">
        <w:r w:rsidRPr="00BC3776">
          <w:rPr>
            <w:rStyle w:val="Hyperlink"/>
            <w:rFonts w:cstheme="minorHAnsi"/>
            <w:szCs w:val="24"/>
          </w:rPr>
          <w:t>Review of sexual abuse in schools and colleges</w:t>
        </w:r>
      </w:hyperlink>
      <w:r w:rsidRPr="00BC3776">
        <w:rPr>
          <w:rFonts w:cstheme="minorHAnsi"/>
          <w:szCs w:val="24"/>
        </w:rPr>
        <w:t>.</w:t>
      </w:r>
    </w:p>
  </w:footnote>
  <w:footnote w:id="398">
    <w:p w14:paraId="688ECEBF" w14:textId="1DF91E2E"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Estyn (2021), </w:t>
      </w:r>
      <w:hyperlink r:id="rId440" w:history="1">
        <w:r>
          <w:rPr>
            <w:rStyle w:val="Hyperlink"/>
            <w:rFonts w:cstheme="minorHAnsi"/>
            <w:szCs w:val="24"/>
          </w:rPr>
          <w:t>‘We don’t tell our teachers’</w:t>
        </w:r>
        <w:r w:rsidRPr="00BC3776">
          <w:rPr>
            <w:rStyle w:val="Hyperlink"/>
            <w:rFonts w:cstheme="minorHAnsi"/>
            <w:szCs w:val="24"/>
          </w:rPr>
          <w:t>: Experiences of peer on peer sexual harassment among secondary pupils in Wales</w:t>
        </w:r>
      </w:hyperlink>
      <w:r w:rsidRPr="00BC3776">
        <w:rPr>
          <w:rFonts w:cstheme="minorHAnsi"/>
          <w:szCs w:val="24"/>
        </w:rPr>
        <w:t xml:space="preserve"> [accessed</w:t>
      </w:r>
      <w:r>
        <w:rPr>
          <w:rFonts w:cstheme="minorHAnsi"/>
          <w:szCs w:val="24"/>
        </w:rPr>
        <w:t>:</w:t>
      </w:r>
      <w:r w:rsidRPr="00BC3776">
        <w:rPr>
          <w:rFonts w:cstheme="minorHAnsi"/>
          <w:szCs w:val="24"/>
        </w:rPr>
        <w:t xml:space="preserve"> 5 September 2022], p.7.</w:t>
      </w:r>
    </w:p>
  </w:footnote>
  <w:footnote w:id="399">
    <w:p w14:paraId="499E68C7" w14:textId="604B6D9D"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Parliament Children, Young People and Education Committee (2022), </w:t>
      </w:r>
      <w:hyperlink r:id="rId441" w:history="1">
        <w:r w:rsidRPr="00BC3776">
          <w:rPr>
            <w:rStyle w:val="Hyperlink"/>
            <w:rFonts w:cstheme="minorHAnsi"/>
            <w:szCs w:val="24"/>
          </w:rPr>
          <w:t>Everybody’s affected: peer on peer sexual harassment among learners</w:t>
        </w:r>
      </w:hyperlink>
      <w:r w:rsidRPr="00BC3776">
        <w:rPr>
          <w:rFonts w:cstheme="minorHAnsi"/>
          <w:szCs w:val="24"/>
        </w:rPr>
        <w:t xml:space="preserve"> [accessed</w:t>
      </w:r>
      <w:r>
        <w:rPr>
          <w:rFonts w:cstheme="minorHAnsi"/>
          <w:szCs w:val="24"/>
        </w:rPr>
        <w:t>:</w:t>
      </w:r>
      <w:r w:rsidRPr="00BC3776">
        <w:rPr>
          <w:rFonts w:cstheme="minorHAnsi"/>
          <w:szCs w:val="24"/>
        </w:rPr>
        <w:t xml:space="preserve"> 3 October 2022].</w:t>
      </w:r>
    </w:p>
  </w:footnote>
  <w:footnote w:id="400">
    <w:p w14:paraId="5D2669A4" w14:textId="392E0F28"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(2020), </w:t>
      </w:r>
      <w:hyperlink r:id="rId442" w:history="1">
        <w:r w:rsidRPr="00BC3776">
          <w:rPr>
            <w:rStyle w:val="Hyperlink"/>
            <w:rFonts w:cstheme="minorHAnsi"/>
            <w:szCs w:val="24"/>
          </w:rPr>
          <w:t>Respect, equality, participation: exploring human rights education in Great Britain</w:t>
        </w:r>
      </w:hyperlink>
      <w:r>
        <w:rPr>
          <w:rFonts w:cstheme="minorHAnsi"/>
          <w:szCs w:val="24"/>
        </w:rPr>
        <w:t>, p.42.</w:t>
      </w:r>
      <w:r w:rsidRPr="00BC3776">
        <w:rPr>
          <w:rFonts w:cstheme="minorHAnsi"/>
          <w:szCs w:val="24"/>
        </w:rPr>
        <w:t xml:space="preserve"> </w:t>
      </w:r>
    </w:p>
  </w:footnote>
  <w:footnote w:id="401">
    <w:p w14:paraId="25AFA022" w14:textId="111FB7AE"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(2022), </w:t>
      </w:r>
      <w:hyperlink r:id="rId443" w:history="1">
        <w:r w:rsidRPr="00BC3776">
          <w:rPr>
            <w:rStyle w:val="Hyperlink"/>
            <w:rFonts w:cstheme="minorHAnsi"/>
            <w:szCs w:val="24"/>
          </w:rPr>
          <w:t>Welsh Government response to the recommendations from the Children, Young People and Education Committee report: Everybody’s affected – peer on peer sexual harassment among learners</w:t>
        </w:r>
      </w:hyperlink>
      <w:r w:rsidRPr="00BC3776">
        <w:rPr>
          <w:rFonts w:cstheme="minorHAnsi"/>
          <w:szCs w:val="24"/>
        </w:rPr>
        <w:t xml:space="preserve"> [accessed</w:t>
      </w:r>
      <w:r>
        <w:rPr>
          <w:rFonts w:cstheme="minorHAnsi"/>
          <w:szCs w:val="24"/>
        </w:rPr>
        <w:t>:</w:t>
      </w:r>
      <w:r w:rsidRPr="00BC3776">
        <w:rPr>
          <w:rFonts w:cstheme="minorHAnsi"/>
          <w:szCs w:val="24"/>
        </w:rPr>
        <w:t xml:space="preserve"> 29 September 2022]</w:t>
      </w:r>
      <w:r>
        <w:rPr>
          <w:rFonts w:cstheme="minorHAnsi"/>
          <w:szCs w:val="24"/>
        </w:rPr>
        <w:t>, pp. 9–10</w:t>
      </w:r>
      <w:r w:rsidRPr="00BC3776">
        <w:rPr>
          <w:rFonts w:cstheme="minorHAnsi"/>
          <w:szCs w:val="24"/>
        </w:rPr>
        <w:t>.</w:t>
      </w:r>
    </w:p>
  </w:footnote>
  <w:footnote w:id="402">
    <w:p w14:paraId="5D9EECE0" w14:textId="7777777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Ofsted (2021), </w:t>
      </w:r>
      <w:hyperlink r:id="rId444" w:history="1">
        <w:r w:rsidRPr="00BC3776">
          <w:rPr>
            <w:rStyle w:val="Hyperlink"/>
            <w:rFonts w:cstheme="minorHAnsi"/>
            <w:szCs w:val="24"/>
          </w:rPr>
          <w:t>Review of sexual abuse in schools and colleges</w:t>
        </w:r>
      </w:hyperlink>
      <w:r w:rsidRPr="00BC3776">
        <w:rPr>
          <w:rFonts w:cstheme="minorHAnsi"/>
          <w:szCs w:val="24"/>
        </w:rPr>
        <w:t>.</w:t>
      </w:r>
    </w:p>
  </w:footnote>
  <w:footnote w:id="403">
    <w:p w14:paraId="34F233E1" w14:textId="32DC10EA"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Home Office (2021), </w:t>
      </w:r>
      <w:hyperlink r:id="rId445" w:history="1">
        <w:r w:rsidRPr="00BC3776">
          <w:rPr>
            <w:rStyle w:val="Hyperlink"/>
            <w:rFonts w:cstheme="minorHAnsi"/>
            <w:szCs w:val="24"/>
          </w:rPr>
          <w:t>Tackling violence against women and girls strategy</w:t>
        </w:r>
      </w:hyperlink>
      <w:r>
        <w:rPr>
          <w:rFonts w:cstheme="minorHAnsi"/>
          <w:szCs w:val="24"/>
        </w:rPr>
        <w:t>, p.46.</w:t>
      </w:r>
    </w:p>
  </w:footnote>
  <w:footnote w:id="404">
    <w:p w14:paraId="4ABD04CC" w14:textId="7777777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Department for Education (2022), </w:t>
      </w:r>
      <w:hyperlink r:id="rId446" w:history="1">
        <w:r w:rsidRPr="00BC3776">
          <w:rPr>
            <w:rStyle w:val="Hyperlink"/>
            <w:rFonts w:cstheme="minorHAnsi"/>
            <w:szCs w:val="24"/>
          </w:rPr>
          <w:t>Keeping children safe in education 2022: Statutory guidance for schools and colleges</w:t>
        </w:r>
      </w:hyperlink>
      <w:r w:rsidRPr="00BC3776">
        <w:rPr>
          <w:rFonts w:cstheme="minorHAnsi"/>
          <w:szCs w:val="24"/>
        </w:rPr>
        <w:t xml:space="preserve">. </w:t>
      </w:r>
    </w:p>
  </w:footnote>
  <w:footnote w:id="405">
    <w:p w14:paraId="506DD994" w14:textId="219C66BD"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(2022), </w:t>
      </w:r>
      <w:hyperlink r:id="rId447" w:history="1">
        <w:r w:rsidRPr="00BC3776">
          <w:rPr>
            <w:rStyle w:val="Hyperlink"/>
            <w:rFonts w:cstheme="minorHAnsi"/>
            <w:szCs w:val="24"/>
          </w:rPr>
          <w:t>The Curriculum for Wales – Relationships and Sexuality Education Code</w:t>
        </w:r>
      </w:hyperlink>
      <w:r w:rsidRPr="00BC3776">
        <w:rPr>
          <w:rFonts w:cstheme="minorHAnsi"/>
          <w:szCs w:val="24"/>
        </w:rPr>
        <w:t>.</w:t>
      </w:r>
    </w:p>
  </w:footnote>
  <w:footnote w:id="406">
    <w:p w14:paraId="2140E9F2" w14:textId="5060E726"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(2019), </w:t>
      </w:r>
      <w:hyperlink r:id="rId448" w:history="1">
        <w:r w:rsidRPr="00BC3776">
          <w:rPr>
            <w:rStyle w:val="Hyperlink"/>
            <w:rFonts w:cstheme="minorHAnsi"/>
            <w:szCs w:val="24"/>
          </w:rPr>
          <w:t>Rights, respect, equality: Statutory guidance for governing bodies of maintained schools</w:t>
        </w:r>
      </w:hyperlink>
      <w:r w:rsidRPr="00BC3776">
        <w:rPr>
          <w:rFonts w:cstheme="minorHAnsi"/>
          <w:szCs w:val="24"/>
        </w:rPr>
        <w:t>.</w:t>
      </w:r>
    </w:p>
  </w:footnote>
  <w:footnote w:id="407">
    <w:p w14:paraId="525BA0F6" w14:textId="01C0BBB3"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(2021), </w:t>
      </w:r>
      <w:hyperlink r:id="rId449" w:history="1">
        <w:r w:rsidRPr="00BC3776">
          <w:rPr>
            <w:rStyle w:val="Hyperlink"/>
            <w:rFonts w:cstheme="minorHAnsi"/>
            <w:szCs w:val="24"/>
          </w:rPr>
          <w:t>An Anti-Racist Wales: The Race Equality Action Plan for Wales</w:t>
        </w:r>
      </w:hyperlink>
      <w:r>
        <w:rPr>
          <w:rFonts w:cstheme="minorHAnsi"/>
          <w:szCs w:val="24"/>
        </w:rPr>
        <w:t>, p.67.</w:t>
      </w:r>
    </w:p>
  </w:footnote>
  <w:footnote w:id="408">
    <w:p w14:paraId="181E6D79" w14:textId="7807463D"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For example, OHCHR (2021), </w:t>
      </w:r>
      <w:hyperlink r:id="rId450" w:history="1">
        <w:r w:rsidRPr="00BC3776">
          <w:rPr>
            <w:rStyle w:val="Hyperlink"/>
            <w:rFonts w:cstheme="minorHAnsi"/>
            <w:szCs w:val="24"/>
          </w:rPr>
          <w:t>UN human rights experts urge States to adopt alternative measures and put an end to detention of migrants</w:t>
        </w:r>
      </w:hyperlink>
      <w:r w:rsidRPr="00BC3776">
        <w:rPr>
          <w:rFonts w:cstheme="minorHAnsi"/>
          <w:szCs w:val="24"/>
        </w:rPr>
        <w:t xml:space="preserve"> [accessed</w:t>
      </w:r>
      <w:r>
        <w:rPr>
          <w:rFonts w:cstheme="minorHAnsi"/>
          <w:szCs w:val="24"/>
        </w:rPr>
        <w:t>:</w:t>
      </w:r>
      <w:r w:rsidRPr="00BC3776">
        <w:rPr>
          <w:rFonts w:cstheme="minorHAnsi"/>
          <w:szCs w:val="24"/>
        </w:rPr>
        <w:t xml:space="preserve"> 4 August 2022].</w:t>
      </w:r>
    </w:p>
  </w:footnote>
  <w:footnote w:id="409">
    <w:p w14:paraId="625A7E51" w14:textId="7777777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For the first review of its implementation in the UK, see Foreign, Commonwealth &amp; Development Office and Home Office (2020), </w:t>
      </w:r>
      <w:hyperlink r:id="rId451" w:history="1">
        <w:r w:rsidRPr="00BC3776">
          <w:rPr>
            <w:rStyle w:val="Hyperlink"/>
            <w:rFonts w:cstheme="minorHAnsi"/>
            <w:szCs w:val="24"/>
          </w:rPr>
          <w:t>The Global Compact for Migration European Regional Review: Submission by the United Kingdom</w:t>
        </w:r>
      </w:hyperlink>
      <w:r w:rsidRPr="00BC3776">
        <w:rPr>
          <w:rFonts w:cstheme="minorHAnsi"/>
          <w:szCs w:val="24"/>
        </w:rPr>
        <w:t xml:space="preserve"> [accessed: 22 February 2022].</w:t>
      </w:r>
    </w:p>
  </w:footnote>
  <w:footnote w:id="410">
    <w:p w14:paraId="44ACCE94" w14:textId="5BD72F1F"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w:t>
      </w:r>
      <w:r w:rsidRPr="00BC3776">
        <w:rPr>
          <w:rFonts w:cstheme="minorHAnsi"/>
          <w:szCs w:val="24"/>
        </w:rPr>
        <w:t xml:space="preserve"> General Assembly (2019), </w:t>
      </w:r>
      <w:hyperlink r:id="rId452" w:history="1">
        <w:r w:rsidRPr="00BC3776">
          <w:rPr>
            <w:rStyle w:val="Hyperlink"/>
            <w:rFonts w:cstheme="minorHAnsi"/>
            <w:szCs w:val="24"/>
          </w:rPr>
          <w:t>Resolution adopted by the General Assembly on 19 December 2018: Global Compact for Safe, Orderly and Regular Migration</w:t>
        </w:r>
      </w:hyperlink>
      <w:r w:rsidRPr="00BC3776">
        <w:rPr>
          <w:rFonts w:cstheme="minorHAnsi"/>
          <w:szCs w:val="24"/>
        </w:rPr>
        <w:t xml:space="preserve"> [accessed: </w:t>
      </w:r>
      <w:r>
        <w:rPr>
          <w:rFonts w:cstheme="minorHAnsi"/>
          <w:szCs w:val="24"/>
        </w:rPr>
        <w:t>22 February 2022], para. 23(f).</w:t>
      </w:r>
    </w:p>
  </w:footnote>
  <w:footnote w:id="411">
    <w:p w14:paraId="347DE5D9" w14:textId="454A5469"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w:t>
      </w:r>
      <w:r>
        <w:rPr>
          <w:rFonts w:cstheme="minorHAnsi"/>
          <w:szCs w:val="24"/>
        </w:rPr>
        <w:t xml:space="preserve">Home Office </w:t>
      </w:r>
      <w:r w:rsidRPr="00BC3776">
        <w:rPr>
          <w:rFonts w:cstheme="minorHAnsi"/>
          <w:szCs w:val="24"/>
        </w:rPr>
        <w:t xml:space="preserve">(2022), </w:t>
      </w:r>
      <w:hyperlink r:id="rId453" w:history="1">
        <w:r w:rsidRPr="00BC3776">
          <w:rPr>
            <w:rStyle w:val="Hyperlink"/>
            <w:rFonts w:cstheme="minorHAnsi"/>
            <w:szCs w:val="24"/>
          </w:rPr>
          <w:t>Asylum and resettlement summary table</w:t>
        </w:r>
        <w:r>
          <w:rPr>
            <w:rStyle w:val="Hyperlink"/>
            <w:rFonts w:cstheme="minorHAnsi"/>
            <w:szCs w:val="24"/>
          </w:rPr>
          <w:t>s, year ending December 2021</w:t>
        </w:r>
      </w:hyperlink>
      <w:r w:rsidRPr="00BC3776">
        <w:rPr>
          <w:rFonts w:cstheme="minorHAnsi"/>
          <w:szCs w:val="24"/>
        </w:rPr>
        <w:t xml:space="preserve"> [accessed: 19 May 2022], table Asy_01a.</w:t>
      </w:r>
    </w:p>
  </w:footnote>
  <w:footnote w:id="412">
    <w:p w14:paraId="5CE786C1" w14:textId="47E3CB93"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The </w:t>
      </w:r>
      <w:r>
        <w:rPr>
          <w:rFonts w:cstheme="minorHAnsi"/>
          <w:szCs w:val="24"/>
        </w:rPr>
        <w:t>number of people waiting more than six months for an initial asylum decision</w:t>
      </w:r>
      <w:r w:rsidRPr="00BC3776">
        <w:rPr>
          <w:rFonts w:cstheme="minorHAnsi"/>
          <w:szCs w:val="24"/>
        </w:rPr>
        <w:t xml:space="preserve"> was 3,626 in December 2015 and reached 48,680 in December 2021: UK Government </w:t>
      </w:r>
      <w:r>
        <w:rPr>
          <w:rFonts w:cstheme="minorHAnsi"/>
          <w:szCs w:val="24"/>
        </w:rPr>
        <w:t xml:space="preserve">Home Office </w:t>
      </w:r>
      <w:r w:rsidRPr="00BC3776">
        <w:rPr>
          <w:rFonts w:cstheme="minorHAnsi"/>
          <w:szCs w:val="24"/>
        </w:rPr>
        <w:t xml:space="preserve">(2022), </w:t>
      </w:r>
      <w:hyperlink r:id="rId454" w:history="1">
        <w:r w:rsidRPr="00BC3776">
          <w:rPr>
            <w:rStyle w:val="Hyperlink"/>
            <w:rFonts w:cstheme="minorHAnsi"/>
            <w:szCs w:val="24"/>
          </w:rPr>
          <w:t>Asylum and resettlement summary tables</w:t>
        </w:r>
      </w:hyperlink>
      <w:r>
        <w:rPr>
          <w:rStyle w:val="Hyperlink"/>
          <w:rFonts w:cstheme="minorHAnsi"/>
          <w:szCs w:val="24"/>
        </w:rPr>
        <w:t>, year ending December 2021</w:t>
      </w:r>
      <w:r w:rsidRPr="00BC3776">
        <w:rPr>
          <w:rFonts w:cstheme="minorHAnsi"/>
          <w:szCs w:val="24"/>
        </w:rPr>
        <w:t xml:space="preserve"> [accessed: 19 May 2022], table Asy_04.</w:t>
      </w:r>
    </w:p>
  </w:footnote>
  <w:footnote w:id="413">
    <w:p w14:paraId="39297A8C" w14:textId="3967E5B2"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Independent Chief Inspector of Borders and Immigration (2021), </w:t>
      </w:r>
      <w:hyperlink r:id="rId455" w:history="1">
        <w:r w:rsidRPr="00BC3776">
          <w:rPr>
            <w:rStyle w:val="Hyperlink"/>
            <w:rFonts w:cstheme="minorHAnsi"/>
            <w:szCs w:val="24"/>
          </w:rPr>
          <w:t>An inspection of asylum casework (August 2020 – May 2021)</w:t>
        </w:r>
      </w:hyperlink>
      <w:r w:rsidRPr="00BC3776">
        <w:rPr>
          <w:rFonts w:cstheme="minorHAnsi"/>
          <w:szCs w:val="24"/>
        </w:rPr>
        <w:t xml:space="preserve"> [accessed</w:t>
      </w:r>
      <w:r>
        <w:rPr>
          <w:rFonts w:cstheme="minorHAnsi"/>
          <w:szCs w:val="24"/>
        </w:rPr>
        <w:t>:</w:t>
      </w:r>
      <w:r w:rsidRPr="00BC3776">
        <w:rPr>
          <w:rFonts w:cstheme="minorHAnsi"/>
          <w:szCs w:val="24"/>
        </w:rPr>
        <w:t xml:space="preserve"> 23 May 2022], p.2.</w:t>
      </w:r>
    </w:p>
  </w:footnote>
  <w:footnote w:id="414">
    <w:p w14:paraId="074F1DF0" w14:textId="06850FBF"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UK Parliament (2019)</w:t>
      </w:r>
      <w:r w:rsidRPr="00BC3776">
        <w:rPr>
          <w:rFonts w:cstheme="minorHAnsi"/>
          <w:szCs w:val="24"/>
        </w:rPr>
        <w:t xml:space="preserve"> </w:t>
      </w:r>
      <w:hyperlink r:id="rId456" w:history="1">
        <w:r w:rsidRPr="00BC3776">
          <w:rPr>
            <w:rStyle w:val="Hyperlink"/>
            <w:rFonts w:cstheme="minorHAnsi"/>
            <w:szCs w:val="24"/>
          </w:rPr>
          <w:t>Asylum: Mental Health</w:t>
        </w:r>
      </w:hyperlink>
      <w:r>
        <w:rPr>
          <w:rStyle w:val="Hyperlink"/>
          <w:rFonts w:cstheme="minorHAnsi"/>
          <w:szCs w:val="24"/>
        </w:rPr>
        <w:t xml:space="preserve"> – Question for Home Office, UIN 252010</w:t>
      </w:r>
      <w:r>
        <w:rPr>
          <w:rFonts w:cstheme="minorHAnsi"/>
          <w:szCs w:val="24"/>
        </w:rPr>
        <w:t>.</w:t>
      </w:r>
    </w:p>
  </w:footnote>
  <w:footnote w:id="415">
    <w:p w14:paraId="013C21D6" w14:textId="17D8F522"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Greater Manchester Immigration Aid Unit (2021), </w:t>
      </w:r>
      <w:hyperlink r:id="rId457" w:history="1">
        <w:r w:rsidRPr="00BC3776">
          <w:rPr>
            <w:rStyle w:val="Hyperlink"/>
            <w:rFonts w:cstheme="minorHAnsi"/>
            <w:szCs w:val="24"/>
          </w:rPr>
          <w:t>Wasted childhoods: the impact of COVID-19 asylum delays on children in the North West of England</w:t>
        </w:r>
      </w:hyperlink>
      <w:r w:rsidRPr="00BC3776">
        <w:rPr>
          <w:rFonts w:cstheme="minorHAnsi"/>
          <w:szCs w:val="24"/>
        </w:rPr>
        <w:t xml:space="preserve"> [accessed: 10 February 2022]</w:t>
      </w:r>
      <w:r>
        <w:rPr>
          <w:rFonts w:cstheme="minorHAnsi"/>
          <w:szCs w:val="24"/>
        </w:rPr>
        <w:t>, pp. 3-4</w:t>
      </w:r>
      <w:r w:rsidRPr="00BC3776">
        <w:rPr>
          <w:rFonts w:cstheme="minorHAnsi"/>
          <w:szCs w:val="24"/>
        </w:rPr>
        <w:t xml:space="preserve">; Wolfe-Robinson, M. (2021), </w:t>
      </w:r>
      <w:hyperlink r:id="rId458" w:history="1">
        <w:r w:rsidRPr="00BC3776">
          <w:rPr>
            <w:rStyle w:val="Hyperlink"/>
            <w:rFonts w:cstheme="minorHAnsi"/>
            <w:szCs w:val="24"/>
          </w:rPr>
          <w:t>Child asylum seekers ‘falling apart’ due to Home Office delays</w:t>
        </w:r>
      </w:hyperlink>
      <w:r>
        <w:rPr>
          <w:rFonts w:cstheme="minorHAnsi"/>
          <w:szCs w:val="24"/>
        </w:rPr>
        <w:t xml:space="preserve">, </w:t>
      </w:r>
      <w:r w:rsidRPr="00BC3776">
        <w:rPr>
          <w:rFonts w:cstheme="minorHAnsi"/>
          <w:szCs w:val="24"/>
        </w:rPr>
        <w:t>Guardia</w:t>
      </w:r>
      <w:r>
        <w:rPr>
          <w:rFonts w:cstheme="minorHAnsi"/>
          <w:szCs w:val="24"/>
        </w:rPr>
        <w:t>n [accessed: 10 February 2022].</w:t>
      </w:r>
    </w:p>
  </w:footnote>
  <w:footnote w:id="416">
    <w:p w14:paraId="7AEAB135" w14:textId="09E514E3"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Elder Rahimi Solicitors (2018), </w:t>
      </w:r>
      <w:hyperlink r:id="rId459" w:history="1">
        <w:r w:rsidRPr="00BC3776">
          <w:rPr>
            <w:rStyle w:val="Hyperlink"/>
            <w:rFonts w:cstheme="minorHAnsi"/>
            <w:szCs w:val="24"/>
          </w:rPr>
          <w:t>Systemic Delays in the Processing of the Claims for Asylum Made in the UK by Unaccompanied Asylum Seeking Children (UASC)</w:t>
        </w:r>
      </w:hyperlink>
      <w:r w:rsidRPr="00BC3776">
        <w:rPr>
          <w:rFonts w:cstheme="minorHAnsi"/>
          <w:szCs w:val="24"/>
        </w:rPr>
        <w:t xml:space="preserve"> [acc</w:t>
      </w:r>
      <w:r>
        <w:rPr>
          <w:rFonts w:cstheme="minorHAnsi"/>
          <w:szCs w:val="24"/>
        </w:rPr>
        <w:t>essed: 21 February 2022], p.5 and</w:t>
      </w:r>
      <w:r w:rsidRPr="00BC3776">
        <w:rPr>
          <w:rFonts w:cstheme="minorHAnsi"/>
          <w:szCs w:val="24"/>
        </w:rPr>
        <w:t xml:space="preserve"> </w:t>
      </w:r>
      <w:r>
        <w:rPr>
          <w:rFonts w:cstheme="minorHAnsi"/>
          <w:szCs w:val="24"/>
        </w:rPr>
        <w:t>p.</w:t>
      </w:r>
      <w:r w:rsidRPr="00BC3776">
        <w:rPr>
          <w:rFonts w:cstheme="minorHAnsi"/>
          <w:szCs w:val="24"/>
        </w:rPr>
        <w:t xml:space="preserve">21. </w:t>
      </w:r>
    </w:p>
  </w:footnote>
  <w:footnote w:id="417">
    <w:p w14:paraId="189D2D60" w14:textId="10DEF523"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w:t>
      </w:r>
      <w:r w:rsidRPr="00BC3776">
        <w:rPr>
          <w:rFonts w:cstheme="minorHAnsi"/>
          <w:szCs w:val="24"/>
        </w:rPr>
        <w:t xml:space="preserve">Nationality and Borders Act 2022, section 12; </w:t>
      </w:r>
      <w:hyperlink r:id="rId460" w:history="1">
        <w:r w:rsidRPr="00BC3776">
          <w:rPr>
            <w:rStyle w:val="Hyperlink"/>
            <w:rFonts w:cstheme="minorHAnsi"/>
            <w:szCs w:val="24"/>
          </w:rPr>
          <w:t>Nationality and Borders Bill explanatory notes</w:t>
        </w:r>
      </w:hyperlink>
      <w:r w:rsidRPr="00BC3776">
        <w:rPr>
          <w:rFonts w:cstheme="minorHAnsi"/>
          <w:szCs w:val="24"/>
        </w:rPr>
        <w:t xml:space="preserve"> [accessed: 21 February 2022], para</w:t>
      </w:r>
      <w:r>
        <w:rPr>
          <w:rFonts w:cstheme="minorHAnsi"/>
          <w:szCs w:val="24"/>
        </w:rPr>
        <w:t>.</w:t>
      </w:r>
      <w:r w:rsidRPr="00BC3776">
        <w:rPr>
          <w:rFonts w:cstheme="minorHAnsi"/>
          <w:szCs w:val="24"/>
        </w:rPr>
        <w:t xml:space="preserve"> 19.</w:t>
      </w:r>
    </w:p>
  </w:footnote>
  <w:footnote w:id="418">
    <w:p w14:paraId="60E28946" w14:textId="7DDEB775"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United Nations High Commissioner for Refugees (2022), </w:t>
      </w:r>
      <w:hyperlink r:id="rId461" w:history="1">
        <w:r w:rsidRPr="00BC3776">
          <w:rPr>
            <w:rStyle w:val="Hyperlink"/>
            <w:rFonts w:cstheme="minorHAnsi"/>
            <w:szCs w:val="24"/>
          </w:rPr>
          <w:t>UNHCR updated observations on the Nationality and Borders Bill, as amended</w:t>
        </w:r>
      </w:hyperlink>
      <w:r w:rsidRPr="00BC3776">
        <w:rPr>
          <w:rFonts w:cstheme="minorHAnsi"/>
          <w:szCs w:val="24"/>
        </w:rPr>
        <w:t xml:space="preserve"> [accessed: 21 February 2022], para</w:t>
      </w:r>
      <w:r>
        <w:rPr>
          <w:rFonts w:cstheme="minorHAnsi"/>
          <w:szCs w:val="24"/>
        </w:rPr>
        <w:t>.</w:t>
      </w:r>
      <w:r w:rsidRPr="00BC3776">
        <w:rPr>
          <w:rFonts w:cstheme="minorHAnsi"/>
          <w:szCs w:val="24"/>
        </w:rPr>
        <w:t xml:space="preserve"> 24.</w:t>
      </w:r>
    </w:p>
  </w:footnote>
  <w:footnote w:id="419">
    <w:p w14:paraId="6DB9349E" w14:textId="51EFA0B1"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Recent figures may have been affected by the pandemic. In 2019, 5,612 people were resettled. Resettlement figures are low in comparison to the number of people who are eligible for asylum or humanitarian protection. In 2021, there were 14,379 grants of protection in the UK. UK Government (2022), </w:t>
      </w:r>
      <w:hyperlink r:id="rId462" w:history="1">
        <w:r w:rsidRPr="00BC3776">
          <w:rPr>
            <w:rStyle w:val="Hyperlink"/>
            <w:rFonts w:cstheme="minorHAnsi"/>
            <w:szCs w:val="24"/>
          </w:rPr>
          <w:t>Asylum applications, initial decisions and resettlement</w:t>
        </w:r>
      </w:hyperlink>
      <w:r w:rsidRPr="00BC3776">
        <w:rPr>
          <w:rFonts w:cstheme="minorHAnsi"/>
          <w:szCs w:val="24"/>
        </w:rPr>
        <w:t xml:space="preserve"> [accessed: 5 September 2022], tab Asy_D02.</w:t>
      </w:r>
    </w:p>
  </w:footnote>
  <w:footnote w:id="420">
    <w:p w14:paraId="75248AB4" w14:textId="6C008F30"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(2020), </w:t>
      </w:r>
      <w:hyperlink r:id="rId463" w:history="1">
        <w:r w:rsidRPr="00BC3776">
          <w:rPr>
            <w:rStyle w:val="Hyperlink"/>
            <w:rFonts w:cstheme="minorHAnsi"/>
            <w:szCs w:val="24"/>
          </w:rPr>
          <w:t>Children’s rights in Great Britain</w:t>
        </w:r>
      </w:hyperlink>
      <w:r w:rsidRPr="00BC3776">
        <w:rPr>
          <w:rFonts w:cstheme="minorHAnsi"/>
          <w:szCs w:val="24"/>
        </w:rPr>
        <w:t xml:space="preserve">, </w:t>
      </w:r>
      <w:r>
        <w:rPr>
          <w:rFonts w:cstheme="minorHAnsi"/>
          <w:szCs w:val="24"/>
        </w:rPr>
        <w:t>p</w:t>
      </w:r>
      <w:r w:rsidRPr="00BC3776">
        <w:rPr>
          <w:rFonts w:cstheme="minorHAnsi"/>
          <w:szCs w:val="24"/>
        </w:rPr>
        <w:t>p.</w:t>
      </w:r>
      <w:r>
        <w:rPr>
          <w:rFonts w:cstheme="minorHAnsi"/>
          <w:szCs w:val="24"/>
        </w:rPr>
        <w:t xml:space="preserve"> 71–</w:t>
      </w:r>
      <w:r w:rsidRPr="00BC3776">
        <w:rPr>
          <w:rFonts w:cstheme="minorHAnsi"/>
          <w:szCs w:val="24"/>
        </w:rPr>
        <w:t>74.</w:t>
      </w:r>
    </w:p>
  </w:footnote>
  <w:footnote w:id="421">
    <w:p w14:paraId="15EA1E98" w14:textId="5A7BB3DC"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European Union (Withdrawal Agreement) Bill, </w:t>
      </w:r>
      <w:hyperlink r:id="rId464" w:history="1">
        <w:r w:rsidRPr="00BC3776">
          <w:rPr>
            <w:rStyle w:val="Hyperlink"/>
            <w:rFonts w:cstheme="minorHAnsi"/>
            <w:szCs w:val="24"/>
          </w:rPr>
          <w:t>Second Marshalled List of Amendments to be moved on Report</w:t>
        </w:r>
      </w:hyperlink>
      <w:r w:rsidRPr="00BC3776">
        <w:rPr>
          <w:rFonts w:cstheme="minorHAnsi"/>
          <w:szCs w:val="24"/>
        </w:rPr>
        <w:t xml:space="preserve"> [accessed: 6 April 2022], amendment 18; Walker, P. (2020), </w:t>
      </w:r>
      <w:hyperlink r:id="rId465" w:history="1">
        <w:r w:rsidRPr="00BC3776">
          <w:rPr>
            <w:rStyle w:val="Hyperlink"/>
            <w:rFonts w:cstheme="minorHAnsi"/>
            <w:szCs w:val="24"/>
          </w:rPr>
          <w:t>Brexit bill passes parliament as Johnson overturns Lords amendments</w:t>
        </w:r>
      </w:hyperlink>
      <w:r>
        <w:rPr>
          <w:rFonts w:cstheme="minorHAnsi"/>
          <w:szCs w:val="24"/>
        </w:rPr>
        <w:t>, Guardian</w:t>
      </w:r>
      <w:r w:rsidRPr="00BC3776">
        <w:rPr>
          <w:rFonts w:cstheme="minorHAnsi"/>
          <w:szCs w:val="24"/>
        </w:rPr>
        <w:t xml:space="preserve"> [accessed: 6 April 2022].</w:t>
      </w:r>
    </w:p>
  </w:footnote>
  <w:footnote w:id="422">
    <w:p w14:paraId="2A6EDAB7" w14:textId="2CC5A60B"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(2020), </w:t>
      </w:r>
      <w:hyperlink r:id="rId466" w:history="1">
        <w:r w:rsidRPr="00BC3776">
          <w:rPr>
            <w:rStyle w:val="Hyperlink"/>
            <w:rFonts w:cstheme="minorHAnsi"/>
            <w:szCs w:val="24"/>
          </w:rPr>
          <w:t>Children’s Rights in Great Britain</w:t>
        </w:r>
      </w:hyperlink>
      <w:r w:rsidRPr="00BC3776">
        <w:rPr>
          <w:rFonts w:cstheme="minorHAnsi"/>
          <w:szCs w:val="24"/>
        </w:rPr>
        <w:t xml:space="preserve"> [acce</w:t>
      </w:r>
      <w:r>
        <w:rPr>
          <w:rFonts w:cstheme="minorHAnsi"/>
          <w:szCs w:val="24"/>
        </w:rPr>
        <w:t xml:space="preserve">ssed: 14 April 2022], p. 71; </w:t>
      </w:r>
      <w:r w:rsidRPr="00BC3776">
        <w:rPr>
          <w:rFonts w:cstheme="minorHAnsi"/>
          <w:szCs w:val="24"/>
        </w:rPr>
        <w:t xml:space="preserve">The Children’s Society (2021), </w:t>
      </w:r>
      <w:hyperlink r:id="rId467" w:history="1">
        <w:r w:rsidRPr="00BC3776">
          <w:rPr>
            <w:rStyle w:val="Hyperlink"/>
            <w:rFonts w:cstheme="minorHAnsi"/>
            <w:szCs w:val="24"/>
          </w:rPr>
          <w:t>Looked after children and the EU Settlement Scheme: An update for local authorities</w:t>
        </w:r>
      </w:hyperlink>
      <w:r w:rsidRPr="00BC3776">
        <w:rPr>
          <w:rFonts w:cstheme="minorHAnsi"/>
          <w:szCs w:val="24"/>
        </w:rPr>
        <w:t xml:space="preserve"> [accessed: 14 April 2022].</w:t>
      </w:r>
    </w:p>
  </w:footnote>
  <w:footnote w:id="423">
    <w:p w14:paraId="79C97791" w14:textId="0DF6B53C"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Home Office (2022), </w:t>
      </w:r>
      <w:hyperlink r:id="rId468" w:history="1">
        <w:r w:rsidRPr="00BC3776">
          <w:rPr>
            <w:rStyle w:val="Hyperlink"/>
            <w:rFonts w:cstheme="minorHAnsi"/>
            <w:szCs w:val="24"/>
          </w:rPr>
          <w:t>EU Settlement Scheme quarterly statistics, March 2022</w:t>
        </w:r>
      </w:hyperlink>
      <w:r w:rsidRPr="00BC3776">
        <w:rPr>
          <w:rFonts w:cstheme="minorHAnsi"/>
          <w:szCs w:val="24"/>
        </w:rPr>
        <w:t xml:space="preserve"> [accessed: 4 August 2022], tab EUSS_04.</w:t>
      </w:r>
    </w:p>
  </w:footnote>
  <w:footnote w:id="424">
    <w:p w14:paraId="40FCF4C1" w14:textId="7ACD134E"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Bulman, M. (2021), </w:t>
      </w:r>
      <w:hyperlink r:id="rId469" w:history="1">
        <w:r w:rsidRPr="00BC3776">
          <w:rPr>
            <w:rStyle w:val="Hyperlink"/>
            <w:rFonts w:cstheme="minorHAnsi"/>
            <w:szCs w:val="24"/>
          </w:rPr>
          <w:t>Girl, 10, refused EU settled status in UK despite all family members being accepted</w:t>
        </w:r>
      </w:hyperlink>
      <w:r>
        <w:rPr>
          <w:rFonts w:cstheme="minorHAnsi"/>
          <w:szCs w:val="24"/>
        </w:rPr>
        <w:t xml:space="preserve">, Independent </w:t>
      </w:r>
      <w:r w:rsidRPr="00BC3776">
        <w:rPr>
          <w:rFonts w:cstheme="minorHAnsi"/>
          <w:szCs w:val="24"/>
        </w:rPr>
        <w:t xml:space="preserve">[accessed: 14 April 2022]; Bulman, M. (2021), </w:t>
      </w:r>
      <w:hyperlink r:id="rId470" w:history="1">
        <w:r w:rsidRPr="00BC3776">
          <w:rPr>
            <w:rStyle w:val="Hyperlink"/>
            <w:rFonts w:cstheme="minorHAnsi"/>
            <w:szCs w:val="24"/>
          </w:rPr>
          <w:t>‘I feel homeless’: Woman with British children who has lived in UK for years denied EU settled status</w:t>
        </w:r>
      </w:hyperlink>
      <w:r>
        <w:rPr>
          <w:rFonts w:cstheme="minorHAnsi"/>
          <w:szCs w:val="24"/>
        </w:rPr>
        <w:t xml:space="preserve">, Independent </w:t>
      </w:r>
      <w:r w:rsidRPr="00BC3776">
        <w:rPr>
          <w:rFonts w:cstheme="minorHAnsi"/>
          <w:szCs w:val="24"/>
        </w:rPr>
        <w:t>[accessed: 14 April 2022].</w:t>
      </w:r>
    </w:p>
  </w:footnote>
  <w:footnote w:id="425">
    <w:p w14:paraId="43466C5A" w14:textId="7777777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471" w:history="1">
        <w:r w:rsidRPr="00BC3776">
          <w:rPr>
            <w:rStyle w:val="Hyperlink"/>
            <w:rFonts w:cstheme="minorHAnsi"/>
            <w:szCs w:val="24"/>
          </w:rPr>
          <w:t>R (on the application of BF (Eritrea)) v SSHD [2019] EWCA Civ 872</w:t>
        </w:r>
      </w:hyperlink>
      <w:r w:rsidRPr="00BC3776">
        <w:rPr>
          <w:rFonts w:cstheme="minorHAnsi"/>
          <w:szCs w:val="24"/>
        </w:rPr>
        <w:t>.</w:t>
      </w:r>
    </w:p>
  </w:footnote>
  <w:footnote w:id="426">
    <w:p w14:paraId="7FB7832C" w14:textId="7777777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472" w:history="1">
        <w:r w:rsidRPr="00BC3776">
          <w:rPr>
            <w:rStyle w:val="Hyperlink"/>
            <w:rFonts w:cstheme="minorHAnsi"/>
            <w:szCs w:val="24"/>
          </w:rPr>
          <w:t>R (on the application of BF (Eritrea)) v SSHD [2021] UKSC 38</w:t>
        </w:r>
      </w:hyperlink>
      <w:r w:rsidRPr="00BC3776">
        <w:rPr>
          <w:rFonts w:cstheme="minorHAnsi"/>
          <w:szCs w:val="24"/>
        </w:rPr>
        <w:t>.</w:t>
      </w:r>
    </w:p>
  </w:footnote>
  <w:footnote w:id="427">
    <w:p w14:paraId="3E301DF4" w14:textId="36314D9F"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Home Office (2022), </w:t>
      </w:r>
      <w:hyperlink r:id="rId473" w:history="1">
        <w:r w:rsidRPr="00BC3776">
          <w:rPr>
            <w:rStyle w:val="Hyperlink"/>
            <w:rFonts w:cstheme="minorHAnsi"/>
            <w:szCs w:val="24"/>
          </w:rPr>
          <w:t>Assessing age</w:t>
        </w:r>
      </w:hyperlink>
      <w:r w:rsidRPr="00BC3776">
        <w:rPr>
          <w:rFonts w:cstheme="minorHAnsi"/>
          <w:szCs w:val="24"/>
        </w:rPr>
        <w:t xml:space="preserve">, version 5.0 [accessed: 31 March 2022], p.12. </w:t>
      </w:r>
    </w:p>
  </w:footnote>
  <w:footnote w:id="428">
    <w:p w14:paraId="56F9F3EE" w14:textId="7FF32B25"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Weale, S. (2021), </w:t>
      </w:r>
      <w:hyperlink r:id="rId474" w:history="1">
        <w:r w:rsidRPr="00BC3776">
          <w:rPr>
            <w:rStyle w:val="Hyperlink"/>
            <w:rFonts w:cstheme="minorHAnsi"/>
            <w:szCs w:val="24"/>
          </w:rPr>
          <w:t>Teenage asylum seeker in UK wins legal battle over ‘unlawful’ age assessment</w:t>
        </w:r>
      </w:hyperlink>
      <w:r>
        <w:rPr>
          <w:rFonts w:cstheme="minorHAnsi"/>
          <w:szCs w:val="24"/>
        </w:rPr>
        <w:t xml:space="preserve">, Guardian </w:t>
      </w:r>
      <w:r w:rsidRPr="00BC3776">
        <w:rPr>
          <w:rFonts w:cstheme="minorHAnsi"/>
          <w:szCs w:val="24"/>
        </w:rPr>
        <w:t>[accessed: 31 March 2022].</w:t>
      </w:r>
    </w:p>
  </w:footnote>
  <w:footnote w:id="429">
    <w:p w14:paraId="4E0FC694" w14:textId="5775E88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475" w:history="1">
        <w:r w:rsidRPr="00BC3776">
          <w:rPr>
            <w:rStyle w:val="Hyperlink"/>
            <w:rFonts w:cstheme="minorHAnsi"/>
            <w:szCs w:val="24"/>
          </w:rPr>
          <w:t>Nationality and Borders Act 2022</w:t>
        </w:r>
      </w:hyperlink>
      <w:r w:rsidRPr="00BC3776">
        <w:rPr>
          <w:rFonts w:cstheme="minorHAnsi"/>
          <w:szCs w:val="24"/>
        </w:rPr>
        <w:t xml:space="preserve">, section 52. For our concerns about visual age assessments, see Equality and Human Rights Commission (2020), </w:t>
      </w:r>
      <w:hyperlink r:id="rId476" w:history="1">
        <w:r w:rsidRPr="00BC3776">
          <w:rPr>
            <w:rStyle w:val="Hyperlink"/>
            <w:rFonts w:cstheme="minorHAnsi"/>
            <w:szCs w:val="24"/>
          </w:rPr>
          <w:t>Children’s rights in Great Britain</w:t>
        </w:r>
      </w:hyperlink>
      <w:r w:rsidRPr="00BC3776">
        <w:rPr>
          <w:rFonts w:cstheme="minorHAnsi"/>
          <w:szCs w:val="24"/>
        </w:rPr>
        <w:t xml:space="preserve"> [accessed: 22 February 2022], pp. 78</w:t>
      </w:r>
      <w:r>
        <w:rPr>
          <w:rFonts w:cstheme="minorHAnsi"/>
          <w:szCs w:val="24"/>
        </w:rPr>
        <w:t>–</w:t>
      </w:r>
      <w:r w:rsidRPr="00BC3776">
        <w:rPr>
          <w:rFonts w:cstheme="minorHAnsi"/>
          <w:szCs w:val="24"/>
        </w:rPr>
        <w:t>79.</w:t>
      </w:r>
    </w:p>
  </w:footnote>
  <w:footnote w:id="430">
    <w:p w14:paraId="4E4202CB" w14:textId="7777777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477" w:history="1">
        <w:r w:rsidRPr="00BC3776">
          <w:rPr>
            <w:rStyle w:val="Hyperlink"/>
            <w:rFonts w:cstheme="minorHAnsi"/>
            <w:szCs w:val="24"/>
          </w:rPr>
          <w:t>Nationality and Borders Act 2022</w:t>
        </w:r>
      </w:hyperlink>
      <w:r w:rsidRPr="00BC3776">
        <w:rPr>
          <w:rFonts w:cstheme="minorHAnsi"/>
          <w:szCs w:val="24"/>
        </w:rPr>
        <w:t>, section 52(7).</w:t>
      </w:r>
    </w:p>
  </w:footnote>
  <w:footnote w:id="431">
    <w:p w14:paraId="5571F638" w14:textId="19D35E69"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w:t>
      </w:r>
      <w:r w:rsidRPr="00BC3776">
        <w:rPr>
          <w:rFonts w:cstheme="minorHAnsi"/>
          <w:szCs w:val="24"/>
        </w:rPr>
        <w:t xml:space="preserve"> Committee o</w:t>
      </w:r>
      <w:r>
        <w:rPr>
          <w:rFonts w:cstheme="minorHAnsi"/>
          <w:szCs w:val="24"/>
        </w:rPr>
        <w:t>n the Rights of the Child and United Nations</w:t>
      </w:r>
      <w:r w:rsidRPr="00BC3776">
        <w:rPr>
          <w:rFonts w:cstheme="minorHAnsi"/>
          <w:szCs w:val="24"/>
        </w:rPr>
        <w:t xml:space="preserve"> Committee on the Protection of the Rights of All Migrant Workers and Members of Their Families, </w:t>
      </w:r>
      <w:hyperlink r:id="rId478" w:history="1">
        <w:r w:rsidRPr="00BC3776">
          <w:rPr>
            <w:rStyle w:val="Hyperlink"/>
            <w:rFonts w:cstheme="minorHAnsi"/>
            <w:szCs w:val="24"/>
          </w:rPr>
          <w:t>Joint general comment No. 4 (2017) of the Committee on the Protection of the Rights of All Migrant Workers and Members of Their Families and No. 23 (2017) of the Committee on the Rights of the Child on the obligations regarding the human rights of children in the context of international migration in countries of origin, transit, destination and return</w:t>
        </w:r>
      </w:hyperlink>
      <w:r w:rsidRPr="00BC3776">
        <w:rPr>
          <w:rFonts w:cstheme="minorHAnsi"/>
          <w:szCs w:val="24"/>
        </w:rPr>
        <w:t xml:space="preserve"> [accessed: 21 February 2022], para 4.</w:t>
      </w:r>
    </w:p>
  </w:footnote>
  <w:footnote w:id="432">
    <w:p w14:paraId="0FFF9F55" w14:textId="380277A9"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w:t>
      </w:r>
      <w:r w:rsidRPr="00BC3776">
        <w:rPr>
          <w:rFonts w:cstheme="minorHAnsi"/>
          <w:szCs w:val="24"/>
        </w:rPr>
        <w:t xml:space="preserve"> High Commissioner for Refugees (2022), </w:t>
      </w:r>
      <w:hyperlink r:id="rId479" w:history="1">
        <w:r w:rsidRPr="00BC3776">
          <w:rPr>
            <w:rStyle w:val="Hyperlink"/>
            <w:rFonts w:cstheme="minorHAnsi"/>
            <w:szCs w:val="24"/>
          </w:rPr>
          <w:t>UNHCR updated observations on the Nationality and Borders Bill, as amended</w:t>
        </w:r>
      </w:hyperlink>
      <w:r w:rsidRPr="00BC3776">
        <w:rPr>
          <w:rFonts w:cstheme="minorHAnsi"/>
          <w:szCs w:val="24"/>
        </w:rPr>
        <w:t xml:space="preserve"> [accessed: 21 February 2022], paras 62</w:t>
      </w:r>
      <w:r>
        <w:rPr>
          <w:rFonts w:cstheme="minorHAnsi"/>
          <w:szCs w:val="24"/>
        </w:rPr>
        <w:t>–</w:t>
      </w:r>
      <w:r w:rsidRPr="00BC3776">
        <w:rPr>
          <w:rFonts w:cstheme="minorHAnsi"/>
          <w:szCs w:val="24"/>
        </w:rPr>
        <w:t xml:space="preserve">64. </w:t>
      </w:r>
    </w:p>
  </w:footnote>
  <w:footnote w:id="433">
    <w:p w14:paraId="5C904350" w14:textId="52B1C514"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For example, Welsh Parliament Children, Young People and Education Committee (2022) </w:t>
      </w:r>
      <w:hyperlink r:id="rId480" w:history="1">
        <w:r w:rsidRPr="00BC3776">
          <w:rPr>
            <w:rStyle w:val="Hyperlink"/>
            <w:rFonts w:cstheme="minorHAnsi"/>
            <w:szCs w:val="24"/>
          </w:rPr>
          <w:t>Nationality and Borders Bill legislative consent memorandum</w:t>
        </w:r>
      </w:hyperlink>
      <w:r w:rsidRPr="00BC3776">
        <w:rPr>
          <w:rFonts w:cstheme="minorHAnsi"/>
          <w:szCs w:val="24"/>
        </w:rPr>
        <w:t xml:space="preserve"> [accessed: 22 February 2022]</w:t>
      </w:r>
      <w:r>
        <w:rPr>
          <w:rFonts w:cstheme="minorHAnsi"/>
          <w:szCs w:val="24"/>
        </w:rPr>
        <w:t>, pp. 9-11</w:t>
      </w:r>
      <w:r w:rsidRPr="00BC3776">
        <w:rPr>
          <w:rFonts w:cstheme="minorHAnsi"/>
          <w:szCs w:val="24"/>
        </w:rPr>
        <w:t xml:space="preserve">; UK Parliament Joint Committee on Human Rights (2022), </w:t>
      </w:r>
      <w:hyperlink r:id="rId481" w:history="1">
        <w:r w:rsidRPr="00BC3776">
          <w:rPr>
            <w:rStyle w:val="Hyperlink"/>
            <w:rFonts w:cstheme="minorHAnsi"/>
            <w:szCs w:val="24"/>
          </w:rPr>
          <w:t>Legislative scrutiny: Nationality and Borders Bill (Parts 1, 2 and 4) – Asylum, Home Office Decision-Making, Age Assessments, and Deprivation of Citizenship Orders</w:t>
        </w:r>
      </w:hyperlink>
      <w:r w:rsidRPr="00BC3776">
        <w:rPr>
          <w:rFonts w:cstheme="minorHAnsi"/>
          <w:szCs w:val="24"/>
        </w:rPr>
        <w:t xml:space="preserve"> [accessed: 22 February 2022], para 218. </w:t>
      </w:r>
    </w:p>
  </w:footnote>
  <w:footnote w:id="434">
    <w:p w14:paraId="51722909" w14:textId="3DDA02A6"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w:t>
      </w:r>
      <w:r>
        <w:rPr>
          <w:rFonts w:cstheme="minorHAnsi"/>
          <w:szCs w:val="24"/>
        </w:rPr>
        <w:t xml:space="preserve">Home Office </w:t>
      </w:r>
      <w:r w:rsidRPr="00BC3776">
        <w:rPr>
          <w:rFonts w:cstheme="minorHAnsi"/>
          <w:szCs w:val="24"/>
        </w:rPr>
        <w:t xml:space="preserve">(2022), </w:t>
      </w:r>
      <w:hyperlink r:id="rId482" w:history="1">
        <w:r w:rsidRPr="00BC3776">
          <w:rPr>
            <w:rStyle w:val="Hyperlink"/>
            <w:rFonts w:cstheme="minorHAnsi"/>
            <w:szCs w:val="24"/>
          </w:rPr>
          <w:t>Immigration statistics data tables, year ending December 2021</w:t>
        </w:r>
      </w:hyperlink>
      <w:r w:rsidRPr="00BC3776">
        <w:rPr>
          <w:rFonts w:cstheme="minorHAnsi"/>
          <w:szCs w:val="24"/>
        </w:rPr>
        <w:t xml:space="preserve"> [accessed</w:t>
      </w:r>
      <w:r>
        <w:rPr>
          <w:rFonts w:cstheme="minorHAnsi"/>
          <w:szCs w:val="24"/>
        </w:rPr>
        <w:t>:</w:t>
      </w:r>
      <w:r w:rsidRPr="00BC3776">
        <w:rPr>
          <w:rFonts w:cstheme="minorHAnsi"/>
          <w:szCs w:val="24"/>
        </w:rPr>
        <w:t xml:space="preserve"> 23 May 2022], Detention summary tables, year ending December 2021, table Det_02b.</w:t>
      </w:r>
    </w:p>
  </w:footnote>
  <w:footnote w:id="435">
    <w:p w14:paraId="239D0F92" w14:textId="0F53F5E3"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w:t>
      </w:r>
      <w:r w:rsidRPr="00BC3776">
        <w:rPr>
          <w:rFonts w:cstheme="minorHAnsi"/>
          <w:szCs w:val="24"/>
        </w:rPr>
        <w:t xml:space="preserve"> Committee o</w:t>
      </w:r>
      <w:r>
        <w:rPr>
          <w:rFonts w:cstheme="minorHAnsi"/>
          <w:szCs w:val="24"/>
        </w:rPr>
        <w:t>n the Rights of the Child and United Nations</w:t>
      </w:r>
      <w:r w:rsidRPr="00BC3776">
        <w:rPr>
          <w:rFonts w:cstheme="minorHAnsi"/>
          <w:szCs w:val="24"/>
        </w:rPr>
        <w:t xml:space="preserve"> Committee on the Protection of the Rights of All Migrant Workers and Members of Their Families, </w:t>
      </w:r>
      <w:hyperlink r:id="rId483" w:history="1">
        <w:r w:rsidRPr="00BC3776">
          <w:rPr>
            <w:rStyle w:val="Hyperlink"/>
            <w:rFonts w:cstheme="minorHAnsi"/>
            <w:szCs w:val="24"/>
          </w:rPr>
          <w:t>Joint general comment No. 4 (2017) of the Committee on the Protection of the Rights of All Migrant Workers and Members of Their Families and No. 23 (2017) of the Committee on the Rights of the Child on the obligations regarding the human rights of children in the context of international migration in countries of origin, transit, destination and return</w:t>
        </w:r>
      </w:hyperlink>
      <w:r w:rsidRPr="00BC3776">
        <w:rPr>
          <w:rFonts w:cstheme="minorHAnsi"/>
          <w:szCs w:val="24"/>
        </w:rPr>
        <w:t xml:space="preserve"> [accessed: 21 February 2022], para 5.</w:t>
      </w:r>
    </w:p>
  </w:footnote>
  <w:footnote w:id="436">
    <w:p w14:paraId="5B6B0A96" w14:textId="3A4C85DC"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HM Chief Inspector of Prisons (2021), </w:t>
      </w:r>
      <w:hyperlink r:id="rId484" w:history="1">
        <w:r w:rsidRPr="00BC3776">
          <w:rPr>
            <w:rStyle w:val="Hyperlink"/>
            <w:rFonts w:cstheme="minorHAnsi"/>
            <w:szCs w:val="24"/>
          </w:rPr>
          <w:t>Detention facilities: Tug Haven, Kent Intake Unit and Frontier House</w:t>
        </w:r>
      </w:hyperlink>
      <w:r w:rsidRPr="00BC3776">
        <w:rPr>
          <w:rFonts w:cstheme="minorHAnsi"/>
          <w:szCs w:val="24"/>
        </w:rPr>
        <w:t xml:space="preserve"> [accessed</w:t>
      </w:r>
      <w:r>
        <w:rPr>
          <w:rFonts w:cstheme="minorHAnsi"/>
          <w:szCs w:val="24"/>
        </w:rPr>
        <w:t>:</w:t>
      </w:r>
      <w:r w:rsidRPr="00BC3776">
        <w:rPr>
          <w:rFonts w:cstheme="minorHAnsi"/>
          <w:szCs w:val="24"/>
        </w:rPr>
        <w:t xml:space="preserve"> 4 August 2022]; HM Chief Inspector of Prisons (2020), </w:t>
      </w:r>
      <w:hyperlink r:id="rId485" w:history="1">
        <w:r w:rsidRPr="00BC3776">
          <w:rPr>
            <w:rStyle w:val="Hyperlink"/>
            <w:rFonts w:cstheme="minorHAnsi"/>
            <w:szCs w:val="24"/>
          </w:rPr>
          <w:t>Detention facilities: Tug Haven, Kent Intake Unit, Frontier House, Yarl’s Wood and Lunar House</w:t>
        </w:r>
      </w:hyperlink>
      <w:r>
        <w:rPr>
          <w:rFonts w:cstheme="minorHAnsi"/>
          <w:szCs w:val="24"/>
        </w:rPr>
        <w:t xml:space="preserve"> [accessed: 25 May 2022</w:t>
      </w:r>
      <w:r w:rsidRPr="00BC3776">
        <w:rPr>
          <w:rFonts w:cstheme="minorHAnsi"/>
          <w:szCs w:val="24"/>
        </w:rPr>
        <w:t xml:space="preserve">]. </w:t>
      </w:r>
    </w:p>
  </w:footnote>
  <w:footnote w:id="437">
    <w:p w14:paraId="3481FF53" w14:textId="441BF115"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UK Government Home Office</w:t>
      </w:r>
      <w:r w:rsidRPr="00BC3776">
        <w:rPr>
          <w:rFonts w:cstheme="minorHAnsi"/>
          <w:szCs w:val="24"/>
        </w:rPr>
        <w:t xml:space="preserve"> (2022), </w:t>
      </w:r>
      <w:hyperlink r:id="rId486" w:history="1">
        <w:r w:rsidRPr="00BC3776">
          <w:rPr>
            <w:rStyle w:val="Hyperlink"/>
            <w:rFonts w:cstheme="minorHAnsi"/>
            <w:szCs w:val="24"/>
          </w:rPr>
          <w:t>UK and Rwanda migration and economic development partnership</w:t>
        </w:r>
      </w:hyperlink>
      <w:r w:rsidRPr="00BC3776">
        <w:rPr>
          <w:rFonts w:cstheme="minorHAnsi"/>
          <w:szCs w:val="24"/>
        </w:rPr>
        <w:t xml:space="preserve"> [accessed: 22 September 2022].</w:t>
      </w:r>
    </w:p>
  </w:footnote>
  <w:footnote w:id="438">
    <w:p w14:paraId="7A2CDD07" w14:textId="17074EA1"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487" w:history="1">
        <w:r w:rsidRPr="00BC3776">
          <w:rPr>
            <w:rStyle w:val="Hyperlink"/>
            <w:rFonts w:cstheme="minorHAnsi"/>
            <w:szCs w:val="24"/>
          </w:rPr>
          <w:t>AAA &amp; ors v SSHD [2022] EWHC 1922 (Admin)</w:t>
        </w:r>
      </w:hyperlink>
      <w:r w:rsidRPr="00BC3776">
        <w:rPr>
          <w:rFonts w:cstheme="minorHAnsi"/>
          <w:szCs w:val="24"/>
        </w:rPr>
        <w:t xml:space="preserve">; Doughty Street Chambers (2022), </w:t>
      </w:r>
      <w:hyperlink r:id="rId488" w:history="1">
        <w:r w:rsidRPr="00BC3776">
          <w:rPr>
            <w:rStyle w:val="Hyperlink"/>
            <w:rFonts w:cstheme="minorHAnsi"/>
            <w:szCs w:val="24"/>
          </w:rPr>
          <w:t>Judicial review challenge to the Rwanda scheme set to continue</w:t>
        </w:r>
      </w:hyperlink>
      <w:r w:rsidRPr="00BC3776">
        <w:rPr>
          <w:rFonts w:cstheme="minorHAnsi"/>
          <w:szCs w:val="24"/>
        </w:rPr>
        <w:t xml:space="preserve"> [accessed</w:t>
      </w:r>
      <w:r>
        <w:rPr>
          <w:rFonts w:cstheme="minorHAnsi"/>
          <w:szCs w:val="24"/>
        </w:rPr>
        <w:t>:</w:t>
      </w:r>
      <w:r w:rsidRPr="00BC3776">
        <w:rPr>
          <w:rFonts w:cstheme="minorHAnsi"/>
          <w:szCs w:val="24"/>
        </w:rPr>
        <w:t xml:space="preserve"> 10 October 2022]; Refugee Law Initiative, University of London (2022), </w:t>
      </w:r>
      <w:hyperlink r:id="rId489" w:history="1">
        <w:r w:rsidRPr="00BC3776">
          <w:rPr>
            <w:rStyle w:val="Hyperlink"/>
            <w:rFonts w:cstheme="minorHAnsi"/>
            <w:szCs w:val="24"/>
          </w:rPr>
          <w:t>House of Lords International Agreement Committee – written evidence from the Refugee Law Initiative, University of London – the UK/Rwanda MoU for an asylum partnership arrangement</w:t>
        </w:r>
      </w:hyperlink>
      <w:r w:rsidRPr="00BC3776">
        <w:rPr>
          <w:rFonts w:cstheme="minorHAnsi"/>
          <w:szCs w:val="24"/>
        </w:rPr>
        <w:t xml:space="preserve"> [accessed</w:t>
      </w:r>
      <w:r>
        <w:rPr>
          <w:rFonts w:cstheme="minorHAnsi"/>
          <w:szCs w:val="24"/>
        </w:rPr>
        <w:t>:</w:t>
      </w:r>
      <w:r w:rsidRPr="00BC3776">
        <w:rPr>
          <w:rFonts w:cstheme="minorHAnsi"/>
          <w:szCs w:val="24"/>
        </w:rPr>
        <w:t xml:space="preserve"> 4 October 2022].</w:t>
      </w:r>
    </w:p>
  </w:footnote>
  <w:footnote w:id="439">
    <w:p w14:paraId="2628597E" w14:textId="4C73BC05"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Home Office (2022), </w:t>
      </w:r>
      <w:hyperlink r:id="rId490" w:history="1">
        <w:r w:rsidRPr="00BC3776">
          <w:rPr>
            <w:rStyle w:val="Hyperlink"/>
            <w:rFonts w:cstheme="minorHAnsi"/>
            <w:szCs w:val="24"/>
          </w:rPr>
          <w:t>Migration and economic development partnership with Rwanda: equality impact assessment</w:t>
        </w:r>
      </w:hyperlink>
      <w:r w:rsidRPr="00BC3776">
        <w:rPr>
          <w:rFonts w:cstheme="minorHAnsi"/>
          <w:szCs w:val="24"/>
        </w:rPr>
        <w:t xml:space="preserve"> [accessed: 22 September 2022].</w:t>
      </w:r>
    </w:p>
  </w:footnote>
  <w:footnote w:id="440">
    <w:p w14:paraId="74FE0BAA" w14:textId="77F6578F"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Brader, C. (2022), </w:t>
      </w:r>
      <w:hyperlink r:id="rId491" w:anchor="heading-2" w:history="1">
        <w:r w:rsidRPr="00BC3776">
          <w:rPr>
            <w:rStyle w:val="Hyperlink"/>
            <w:rFonts w:cstheme="minorHAnsi"/>
            <w:szCs w:val="24"/>
          </w:rPr>
          <w:t>Rwanda policy: unaccompanied children and age assessments</w:t>
        </w:r>
      </w:hyperlink>
      <w:r w:rsidRPr="00BC3776">
        <w:rPr>
          <w:rFonts w:cstheme="minorHAnsi"/>
          <w:szCs w:val="24"/>
        </w:rPr>
        <w:t xml:space="preserve">, </w:t>
      </w:r>
      <w:r>
        <w:rPr>
          <w:rFonts w:cstheme="minorHAnsi"/>
          <w:szCs w:val="24"/>
        </w:rPr>
        <w:t xml:space="preserve">UK Parliament, </w:t>
      </w:r>
      <w:r w:rsidRPr="00BC3776">
        <w:rPr>
          <w:rFonts w:cstheme="minorHAnsi"/>
          <w:szCs w:val="24"/>
        </w:rPr>
        <w:t>House of Lords Library [accessed: 22 September 2022].</w:t>
      </w:r>
    </w:p>
  </w:footnote>
  <w:footnote w:id="441">
    <w:p w14:paraId="5112713E" w14:textId="61597E31"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Home Office (2022), </w:t>
      </w:r>
      <w:hyperlink r:id="rId492" w:history="1">
        <w:r w:rsidRPr="00BC3776">
          <w:rPr>
            <w:rStyle w:val="Hyperlink"/>
            <w:rFonts w:cstheme="minorHAnsi"/>
            <w:szCs w:val="24"/>
          </w:rPr>
          <w:t>Migration and economic development partnership with Rwanda: equality impact assessment</w:t>
        </w:r>
      </w:hyperlink>
      <w:r w:rsidRPr="00BC3776">
        <w:rPr>
          <w:rFonts w:cstheme="minorHAnsi"/>
          <w:szCs w:val="24"/>
        </w:rPr>
        <w:t xml:space="preserve"> [accessed: 22 September 2022].</w:t>
      </w:r>
    </w:p>
  </w:footnote>
  <w:footnote w:id="442">
    <w:p w14:paraId="4B8F345C" w14:textId="0727DBAB"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 High Commissioner for Refugees</w:t>
      </w:r>
      <w:r w:rsidRPr="00BC3776">
        <w:rPr>
          <w:rFonts w:cstheme="minorHAnsi"/>
          <w:szCs w:val="24"/>
        </w:rPr>
        <w:t xml:space="preserve"> (2022), </w:t>
      </w:r>
      <w:hyperlink r:id="rId493" w:history="1">
        <w:r w:rsidRPr="00BC3776">
          <w:rPr>
            <w:rStyle w:val="Hyperlink"/>
            <w:rFonts w:cstheme="minorHAnsi"/>
            <w:szCs w:val="24"/>
          </w:rPr>
          <w:t>UN Refugee Agency opposes UK plan to export asylum</w:t>
        </w:r>
      </w:hyperlink>
      <w:r w:rsidRPr="00BC3776">
        <w:rPr>
          <w:rFonts w:cstheme="minorHAnsi"/>
          <w:szCs w:val="24"/>
        </w:rPr>
        <w:t xml:space="preserve"> [accessed: 22 September 2022];</w:t>
      </w:r>
      <w:r>
        <w:rPr>
          <w:rFonts w:cstheme="minorHAnsi"/>
          <w:szCs w:val="24"/>
        </w:rPr>
        <w:t xml:space="preserve"> United Nations High Commissioner for Refugees</w:t>
      </w:r>
      <w:r w:rsidRPr="00BC3776">
        <w:rPr>
          <w:rFonts w:cstheme="minorHAnsi"/>
          <w:szCs w:val="24"/>
        </w:rPr>
        <w:t xml:space="preserve"> (2022), </w:t>
      </w:r>
      <w:hyperlink r:id="rId494" w:history="1">
        <w:r w:rsidRPr="00BC3776">
          <w:rPr>
            <w:rStyle w:val="Hyperlink"/>
            <w:rFonts w:cstheme="minorHAnsi"/>
            <w:szCs w:val="24"/>
          </w:rPr>
          <w:t>Analysis of the legality and appropriateness of the transfer of asylum-seekers under the UK-Rwanda arrangement</w:t>
        </w:r>
      </w:hyperlink>
      <w:r w:rsidRPr="00BC3776">
        <w:rPr>
          <w:rFonts w:cstheme="minorHAnsi"/>
          <w:szCs w:val="24"/>
        </w:rPr>
        <w:t xml:space="preserve"> [accessed: 22 September 2022].</w:t>
      </w:r>
    </w:p>
  </w:footnote>
  <w:footnote w:id="443">
    <w:p w14:paraId="7988BF8D" w14:textId="7A5BC708"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w:t>
      </w:r>
      <w:hyperlink r:id="rId495" w:history="1">
        <w:r w:rsidRPr="00BC3776">
          <w:rPr>
            <w:rStyle w:val="Hyperlink"/>
            <w:rFonts w:cstheme="minorHAnsi"/>
            <w:szCs w:val="24"/>
          </w:rPr>
          <w:t>Children and Young Persons Act 1933</w:t>
        </w:r>
      </w:hyperlink>
      <w:r>
        <w:rPr>
          <w:rFonts w:cstheme="minorHAnsi"/>
          <w:szCs w:val="24"/>
        </w:rPr>
        <w:t xml:space="preserve">, Section 50 </w:t>
      </w:r>
      <w:r w:rsidRPr="00BC3776">
        <w:rPr>
          <w:rFonts w:cstheme="minorHAnsi"/>
          <w:szCs w:val="24"/>
        </w:rPr>
        <w:t>(as amended).</w:t>
      </w:r>
    </w:p>
  </w:footnote>
  <w:footnote w:id="444">
    <w:p w14:paraId="0E296D34" w14:textId="49A6F6B3"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w:t>
      </w:r>
      <w:r w:rsidRPr="00BC3776">
        <w:rPr>
          <w:rFonts w:cstheme="minorHAnsi"/>
          <w:szCs w:val="24"/>
        </w:rPr>
        <w:t xml:space="preserve"> Committee on the Rights of the Child (2007), </w:t>
      </w:r>
      <w:hyperlink r:id="rId496" w:history="1">
        <w:r w:rsidRPr="00BC3776">
          <w:rPr>
            <w:rStyle w:val="Hyperlink"/>
            <w:rFonts w:cstheme="minorHAnsi"/>
            <w:szCs w:val="24"/>
          </w:rPr>
          <w:t>General Comment no.10 addressing Article 40 CRC</w:t>
        </w:r>
      </w:hyperlink>
      <w:r>
        <w:rPr>
          <w:rFonts w:cstheme="minorHAnsi"/>
          <w:szCs w:val="24"/>
        </w:rPr>
        <w:t>, paras. 30–35;</w:t>
      </w:r>
      <w:r w:rsidRPr="00BC3776">
        <w:rPr>
          <w:rFonts w:cstheme="minorHAnsi"/>
          <w:szCs w:val="24"/>
        </w:rPr>
        <w:t xml:space="preserve"> </w:t>
      </w:r>
      <w:hyperlink r:id="rId497" w:history="1">
        <w:r w:rsidRPr="00BC3776">
          <w:rPr>
            <w:rStyle w:val="Hyperlink"/>
            <w:rFonts w:cstheme="minorHAnsi"/>
            <w:szCs w:val="24"/>
          </w:rPr>
          <w:t>UN Standard Minimum Rules for the Administration of Juvenile Justice (The Beijing Rules)</w:t>
        </w:r>
      </w:hyperlink>
      <w:r w:rsidRPr="00BC3776">
        <w:rPr>
          <w:rFonts w:cstheme="minorHAnsi"/>
          <w:szCs w:val="24"/>
        </w:rPr>
        <w:t xml:space="preserve"> [accessed: 6 April 2022]</w:t>
      </w:r>
      <w:r>
        <w:rPr>
          <w:rFonts w:cstheme="minorHAnsi"/>
          <w:szCs w:val="24"/>
        </w:rPr>
        <w:t xml:space="preserve">, p.3; United Nations Committee on the Rights of the Child (2016), </w:t>
      </w:r>
      <w:hyperlink r:id="rId498" w:history="1">
        <w:r w:rsidRPr="00466E17">
          <w:rPr>
            <w:rStyle w:val="Hyperlink"/>
            <w:rFonts w:cstheme="minorHAnsi"/>
            <w:szCs w:val="24"/>
          </w:rPr>
          <w:t>Concluding observations on the fifth periodic report of the United Kingdom of Great Britain and Northern Ireland, CRC/C/GBR/CO/5</w:t>
        </w:r>
      </w:hyperlink>
      <w:r>
        <w:rPr>
          <w:rFonts w:cstheme="minorHAnsi"/>
          <w:szCs w:val="24"/>
        </w:rPr>
        <w:t>, para.79(a).</w:t>
      </w:r>
      <w:r w:rsidRPr="00BC3776">
        <w:rPr>
          <w:rFonts w:cstheme="minorHAnsi"/>
          <w:szCs w:val="24"/>
        </w:rPr>
        <w:t xml:space="preserve"> </w:t>
      </w:r>
    </w:p>
  </w:footnote>
  <w:footnote w:id="445">
    <w:p w14:paraId="664F0EF9" w14:textId="1C9463F4"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w:t>
      </w:r>
      <w:r w:rsidRPr="00BC3776">
        <w:rPr>
          <w:rFonts w:cstheme="minorHAnsi"/>
          <w:szCs w:val="24"/>
        </w:rPr>
        <w:t xml:space="preserve"> Committee on the Rights of the Child (2019), </w:t>
      </w:r>
      <w:hyperlink r:id="rId499" w:history="1">
        <w:r w:rsidRPr="00BC3776">
          <w:rPr>
            <w:rStyle w:val="Hyperlink"/>
            <w:rFonts w:cstheme="minorHAnsi"/>
            <w:szCs w:val="24"/>
          </w:rPr>
          <w:t>General Comment No. 24 (2019) on children’s rights in the child justice system</w:t>
        </w:r>
      </w:hyperlink>
      <w:r>
        <w:rPr>
          <w:rFonts w:cstheme="minorHAnsi"/>
          <w:szCs w:val="24"/>
        </w:rPr>
        <w:t xml:space="preserve"> [accessed: 21 February 2022], para.22.</w:t>
      </w:r>
    </w:p>
  </w:footnote>
  <w:footnote w:id="446">
    <w:p w14:paraId="01FE514F" w14:textId="7777777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Child Rights International Network, </w:t>
      </w:r>
      <w:hyperlink r:id="rId500" w:history="1">
        <w:r w:rsidRPr="00BC3776">
          <w:rPr>
            <w:rStyle w:val="Hyperlink"/>
            <w:rFonts w:cstheme="minorHAnsi"/>
            <w:szCs w:val="24"/>
          </w:rPr>
          <w:t>The minimum age of criminal responsibility</w:t>
        </w:r>
      </w:hyperlink>
      <w:r w:rsidRPr="00BC3776">
        <w:rPr>
          <w:rFonts w:cstheme="minorHAnsi"/>
          <w:szCs w:val="24"/>
        </w:rPr>
        <w:t xml:space="preserve"> [accessed: 6 April 2022].</w:t>
      </w:r>
    </w:p>
  </w:footnote>
  <w:footnote w:id="447">
    <w:p w14:paraId="1481F7ED" w14:textId="76235DFE"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House of Commons Justice Committee (2020), </w:t>
      </w:r>
      <w:hyperlink r:id="rId501" w:anchor="_idTextAnchor025" w:history="1">
        <w:r w:rsidRPr="00BC3776">
          <w:rPr>
            <w:rStyle w:val="Hyperlink"/>
            <w:rFonts w:cstheme="minorHAnsi"/>
            <w:szCs w:val="24"/>
          </w:rPr>
          <w:t>Children and young people in custody (Part 1): entry into the youth justice system</w:t>
        </w:r>
      </w:hyperlink>
      <w:r w:rsidRPr="00BC3776">
        <w:rPr>
          <w:rFonts w:cstheme="minorHAnsi"/>
          <w:szCs w:val="24"/>
        </w:rPr>
        <w:t xml:space="preserve"> [accessed</w:t>
      </w:r>
      <w:r>
        <w:rPr>
          <w:rFonts w:cstheme="minorHAnsi"/>
          <w:szCs w:val="24"/>
        </w:rPr>
        <w:t>:</w:t>
      </w:r>
      <w:r w:rsidRPr="00BC3776">
        <w:rPr>
          <w:rFonts w:cstheme="minorHAnsi"/>
          <w:szCs w:val="24"/>
        </w:rPr>
        <w:t xml:space="preserve"> 19 May 2022], paras.55</w:t>
      </w:r>
      <w:r>
        <w:rPr>
          <w:rFonts w:cstheme="minorHAnsi"/>
          <w:szCs w:val="24"/>
        </w:rPr>
        <w:t>–</w:t>
      </w:r>
      <w:r w:rsidRPr="00BC3776">
        <w:rPr>
          <w:rFonts w:cstheme="minorHAnsi"/>
          <w:szCs w:val="24"/>
        </w:rPr>
        <w:t xml:space="preserve">60; </w:t>
      </w:r>
      <w:r>
        <w:rPr>
          <w:rFonts w:cstheme="minorHAnsi"/>
          <w:szCs w:val="24"/>
        </w:rPr>
        <w:t xml:space="preserve">UK </w:t>
      </w:r>
      <w:r w:rsidRPr="00BC3776">
        <w:rPr>
          <w:rFonts w:cstheme="minorHAnsi"/>
          <w:szCs w:val="24"/>
        </w:rPr>
        <w:t xml:space="preserve">Houses of Parliament, Parliamentary Office of Science and Technology (2018), </w:t>
      </w:r>
      <w:hyperlink r:id="rId502" w:history="1">
        <w:r w:rsidRPr="00BC3776">
          <w:rPr>
            <w:rStyle w:val="Hyperlink"/>
            <w:rFonts w:cstheme="minorHAnsi"/>
            <w:szCs w:val="24"/>
          </w:rPr>
          <w:t>Age of criminal responsibility</w:t>
        </w:r>
      </w:hyperlink>
      <w:r w:rsidRPr="00BC3776">
        <w:rPr>
          <w:rFonts w:cstheme="minorHAnsi"/>
          <w:szCs w:val="24"/>
        </w:rPr>
        <w:t xml:space="preserve"> [accessed</w:t>
      </w:r>
      <w:r>
        <w:rPr>
          <w:rFonts w:cstheme="minorHAnsi"/>
          <w:szCs w:val="24"/>
        </w:rPr>
        <w:t>:</w:t>
      </w:r>
      <w:r w:rsidRPr="00BC3776">
        <w:rPr>
          <w:rFonts w:cstheme="minorHAnsi"/>
          <w:szCs w:val="24"/>
        </w:rPr>
        <w:t xml:space="preserve"> 1 September 2022].</w:t>
      </w:r>
    </w:p>
  </w:footnote>
  <w:footnote w:id="448">
    <w:p w14:paraId="591109BA" w14:textId="7777777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House of Commons Justice Committee (2021), </w:t>
      </w:r>
      <w:hyperlink r:id="rId503" w:history="1">
        <w:r w:rsidRPr="00BC3776">
          <w:rPr>
            <w:rStyle w:val="Hyperlink"/>
            <w:rFonts w:cstheme="minorHAnsi"/>
            <w:szCs w:val="24"/>
          </w:rPr>
          <w:t>Government response to the Children and Young People in Custody report</w:t>
        </w:r>
      </w:hyperlink>
      <w:r w:rsidRPr="00BC3776">
        <w:rPr>
          <w:rFonts w:cstheme="minorHAnsi"/>
          <w:szCs w:val="24"/>
        </w:rPr>
        <w:t xml:space="preserve"> [accessed: 6 April 2022], para.30.</w:t>
      </w:r>
    </w:p>
  </w:footnote>
  <w:footnote w:id="449">
    <w:p w14:paraId="7DAF121D" w14:textId="1EDB8871"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Youth Justice Board </w:t>
      </w:r>
      <w:r>
        <w:rPr>
          <w:rFonts w:cstheme="minorHAnsi"/>
          <w:szCs w:val="24"/>
        </w:rPr>
        <w:t xml:space="preserve">for England and Wales </w:t>
      </w:r>
      <w:r w:rsidRPr="00BC3776">
        <w:rPr>
          <w:rFonts w:cstheme="minorHAnsi"/>
          <w:szCs w:val="24"/>
        </w:rPr>
        <w:t xml:space="preserve">(2022), </w:t>
      </w:r>
      <w:hyperlink r:id="rId504" w:history="1">
        <w:r w:rsidRPr="00BC3776">
          <w:rPr>
            <w:rStyle w:val="Hyperlink"/>
            <w:rFonts w:cstheme="minorHAnsi"/>
            <w:szCs w:val="24"/>
          </w:rPr>
          <w:t>Youth Justice Statistics 2021</w:t>
        </w:r>
      </w:hyperlink>
      <w:r w:rsidRPr="00BC3776">
        <w:rPr>
          <w:rFonts w:cstheme="minorHAnsi"/>
          <w:szCs w:val="24"/>
        </w:rPr>
        <w:t xml:space="preserve"> [accessed</w:t>
      </w:r>
      <w:r>
        <w:rPr>
          <w:rFonts w:cstheme="minorHAnsi"/>
          <w:szCs w:val="24"/>
        </w:rPr>
        <w:t>:</w:t>
      </w:r>
      <w:r w:rsidRPr="00BC3776">
        <w:rPr>
          <w:rFonts w:cstheme="minorHAnsi"/>
          <w:szCs w:val="24"/>
        </w:rPr>
        <w:t xml:space="preserve"> 24 February 2022], p.3.</w:t>
      </w:r>
    </w:p>
  </w:footnote>
  <w:footnote w:id="450">
    <w:p w14:paraId="4056D1CE" w14:textId="59B63874"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Ibid.,</w:t>
      </w:r>
      <w:r w:rsidRPr="00BC3776">
        <w:rPr>
          <w:rFonts w:cstheme="minorHAnsi"/>
          <w:szCs w:val="24"/>
        </w:rPr>
        <w:t xml:space="preserve"> p. 31.</w:t>
      </w:r>
    </w:p>
  </w:footnote>
  <w:footnote w:id="451">
    <w:p w14:paraId="5DBB9BA2" w14:textId="6AFD34F5"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Ibid., p.3 and</w:t>
      </w:r>
      <w:r w:rsidRPr="00BC3776">
        <w:rPr>
          <w:rFonts w:cstheme="minorHAnsi"/>
          <w:szCs w:val="24"/>
        </w:rPr>
        <w:t xml:space="preserve"> </w:t>
      </w:r>
      <w:r>
        <w:rPr>
          <w:rFonts w:cstheme="minorHAnsi"/>
          <w:szCs w:val="24"/>
        </w:rPr>
        <w:t>p.</w:t>
      </w:r>
      <w:r w:rsidRPr="00BC3776">
        <w:rPr>
          <w:rFonts w:cstheme="minorHAnsi"/>
          <w:szCs w:val="24"/>
        </w:rPr>
        <w:t xml:space="preserve">31; Howard League for Penal Reform (2021), </w:t>
      </w:r>
      <w:hyperlink r:id="rId505" w:history="1">
        <w:r w:rsidRPr="00BC3776">
          <w:rPr>
            <w:rStyle w:val="Hyperlink"/>
            <w:rFonts w:cstheme="minorHAnsi"/>
            <w:szCs w:val="24"/>
          </w:rPr>
          <w:t>What’s wrong with remanding children to prison?</w:t>
        </w:r>
      </w:hyperlink>
      <w:r w:rsidRPr="00BC3776">
        <w:rPr>
          <w:rFonts w:cstheme="minorHAnsi"/>
          <w:szCs w:val="24"/>
        </w:rPr>
        <w:t xml:space="preserve"> [accessed</w:t>
      </w:r>
      <w:r>
        <w:rPr>
          <w:rFonts w:cstheme="minorHAnsi"/>
          <w:szCs w:val="24"/>
        </w:rPr>
        <w:t>:</w:t>
      </w:r>
      <w:r w:rsidRPr="00BC3776">
        <w:rPr>
          <w:rFonts w:cstheme="minorHAnsi"/>
          <w:szCs w:val="24"/>
        </w:rPr>
        <w:t xml:space="preserve"> 24 February 2022], para.169.</w:t>
      </w:r>
    </w:p>
  </w:footnote>
  <w:footnote w:id="452">
    <w:p w14:paraId="014E80DA" w14:textId="09B45FCE"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(2020), </w:t>
      </w:r>
      <w:hyperlink r:id="rId506" w:history="1">
        <w:r w:rsidRPr="00BC3776">
          <w:rPr>
            <w:rStyle w:val="Hyperlink"/>
            <w:rFonts w:cstheme="minorHAnsi"/>
            <w:szCs w:val="24"/>
          </w:rPr>
          <w:t>Police, Crime, Sentencing and Courts Bill Explanatory Notes</w:t>
        </w:r>
      </w:hyperlink>
      <w:r>
        <w:rPr>
          <w:rFonts w:cstheme="minorHAnsi"/>
          <w:szCs w:val="24"/>
        </w:rPr>
        <w:t xml:space="preserve"> [a</w:t>
      </w:r>
      <w:r w:rsidRPr="00BC3776">
        <w:rPr>
          <w:rFonts w:cstheme="minorHAnsi"/>
          <w:szCs w:val="24"/>
        </w:rPr>
        <w:t>ccessed</w:t>
      </w:r>
      <w:r>
        <w:rPr>
          <w:rFonts w:cstheme="minorHAnsi"/>
          <w:szCs w:val="24"/>
        </w:rPr>
        <w:t>:</w:t>
      </w:r>
      <w:r w:rsidRPr="00BC3776">
        <w:rPr>
          <w:rFonts w:cstheme="minorHAnsi"/>
          <w:szCs w:val="24"/>
        </w:rPr>
        <w:t xml:space="preserve"> 24 February 2022], p.30.</w:t>
      </w:r>
    </w:p>
  </w:footnote>
  <w:footnote w:id="453">
    <w:p w14:paraId="3BB1ED5C" w14:textId="7777777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(2022), </w:t>
      </w:r>
      <w:hyperlink r:id="rId507" w:history="1">
        <w:r w:rsidRPr="00BC3776">
          <w:rPr>
            <w:rStyle w:val="Hyperlink"/>
            <w:rFonts w:cstheme="minorHAnsi"/>
            <w:szCs w:val="24"/>
          </w:rPr>
          <w:t>Review of custodial remand for children</w:t>
        </w:r>
      </w:hyperlink>
      <w:r w:rsidRPr="00BC3776">
        <w:rPr>
          <w:rFonts w:cstheme="minorHAnsi"/>
          <w:szCs w:val="24"/>
        </w:rPr>
        <w:t xml:space="preserve"> [accessed: 26 May 2022], p. 78.</w:t>
      </w:r>
    </w:p>
  </w:footnote>
  <w:footnote w:id="454">
    <w:p w14:paraId="33EBA4D0" w14:textId="472132B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(2019), </w:t>
      </w:r>
      <w:hyperlink r:id="rId508" w:history="1">
        <w:r w:rsidRPr="00BC3776">
          <w:rPr>
            <w:rStyle w:val="Hyperlink"/>
            <w:rFonts w:cstheme="minorHAnsi"/>
            <w:szCs w:val="24"/>
          </w:rPr>
          <w:t>Commission on justice in Wales report</w:t>
        </w:r>
      </w:hyperlink>
      <w:r w:rsidRPr="00BC3776">
        <w:rPr>
          <w:rFonts w:cstheme="minorHAnsi"/>
          <w:szCs w:val="24"/>
        </w:rPr>
        <w:t xml:space="preserve"> [accessed</w:t>
      </w:r>
      <w:r>
        <w:rPr>
          <w:rFonts w:cstheme="minorHAnsi"/>
          <w:szCs w:val="24"/>
        </w:rPr>
        <w:t>:</w:t>
      </w:r>
      <w:r w:rsidRPr="00BC3776">
        <w:rPr>
          <w:rFonts w:cstheme="minorHAnsi"/>
          <w:szCs w:val="24"/>
        </w:rPr>
        <w:t xml:space="preserve"> 4 August 2022].</w:t>
      </w:r>
    </w:p>
  </w:footnote>
  <w:footnote w:id="455">
    <w:p w14:paraId="721E7BF4" w14:textId="64D041A4"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Welsh Government (2022), </w:t>
      </w:r>
      <w:hyperlink r:id="rId509" w:history="1">
        <w:r w:rsidRPr="00BC3776">
          <w:rPr>
            <w:rStyle w:val="Hyperlink"/>
            <w:rFonts w:cstheme="minorHAnsi"/>
            <w:szCs w:val="24"/>
          </w:rPr>
          <w:t>Delivering justice for Wales</w:t>
        </w:r>
      </w:hyperlink>
      <w:r w:rsidRPr="00BC3776">
        <w:rPr>
          <w:rFonts w:cstheme="minorHAnsi"/>
          <w:szCs w:val="24"/>
        </w:rPr>
        <w:t xml:space="preserve"> [accessed</w:t>
      </w:r>
      <w:r>
        <w:rPr>
          <w:rFonts w:cstheme="minorHAnsi"/>
          <w:szCs w:val="24"/>
        </w:rPr>
        <w:t>:</w:t>
      </w:r>
      <w:r w:rsidRPr="00BC3776">
        <w:rPr>
          <w:rFonts w:cstheme="minorHAnsi"/>
          <w:szCs w:val="24"/>
        </w:rPr>
        <w:t xml:space="preserve"> 4 August 2022], p.157.</w:t>
      </w:r>
    </w:p>
  </w:footnote>
  <w:footnote w:id="456">
    <w:p w14:paraId="168628EB" w14:textId="279A1129"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Bevan, M. (2019), </w:t>
      </w:r>
      <w:hyperlink r:id="rId510" w:history="1">
        <w:r w:rsidRPr="00BC3776">
          <w:rPr>
            <w:rStyle w:val="Hyperlink"/>
            <w:rFonts w:cstheme="minorHAnsi"/>
            <w:szCs w:val="24"/>
          </w:rPr>
          <w:t>Children and Young People in Police Custody</w:t>
        </w:r>
      </w:hyperlink>
      <w:r>
        <w:rPr>
          <w:rFonts w:cstheme="minorHAnsi"/>
          <w:szCs w:val="24"/>
        </w:rPr>
        <w:t xml:space="preserve">, The London School of Economics and Political Science </w:t>
      </w:r>
      <w:r w:rsidRPr="00BC3776">
        <w:rPr>
          <w:rFonts w:cstheme="minorHAnsi"/>
          <w:szCs w:val="24"/>
        </w:rPr>
        <w:t>[accessed</w:t>
      </w:r>
      <w:r>
        <w:rPr>
          <w:rFonts w:cstheme="minorHAnsi"/>
          <w:szCs w:val="24"/>
        </w:rPr>
        <w:t>:</w:t>
      </w:r>
      <w:r w:rsidRPr="00BC3776">
        <w:rPr>
          <w:rFonts w:cstheme="minorHAnsi"/>
          <w:szCs w:val="24"/>
        </w:rPr>
        <w:t xml:space="preserve"> 24 February 2022], pp.</w:t>
      </w:r>
      <w:r>
        <w:rPr>
          <w:rFonts w:cstheme="minorHAnsi"/>
          <w:szCs w:val="24"/>
        </w:rPr>
        <w:t xml:space="preserve"> </w:t>
      </w:r>
      <w:r w:rsidRPr="00BC3776">
        <w:rPr>
          <w:rFonts w:cstheme="minorHAnsi"/>
          <w:szCs w:val="24"/>
        </w:rPr>
        <w:t>81</w:t>
      </w:r>
      <w:r>
        <w:rPr>
          <w:rFonts w:cstheme="minorHAnsi"/>
          <w:szCs w:val="24"/>
        </w:rPr>
        <w:t>–</w:t>
      </w:r>
      <w:r w:rsidRPr="00BC3776">
        <w:rPr>
          <w:rFonts w:cstheme="minorHAnsi"/>
          <w:szCs w:val="24"/>
        </w:rPr>
        <w:t>82.</w:t>
      </w:r>
    </w:p>
  </w:footnote>
  <w:footnote w:id="457">
    <w:p w14:paraId="33DC7ACA" w14:textId="51B85AAD"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Youth Justice Boar</w:t>
      </w:r>
      <w:r>
        <w:rPr>
          <w:rFonts w:cstheme="minorHAnsi"/>
          <w:szCs w:val="24"/>
        </w:rPr>
        <w:t xml:space="preserve">d </w:t>
      </w:r>
      <w:r w:rsidRPr="00BC3776">
        <w:rPr>
          <w:rFonts w:cstheme="minorHAnsi"/>
          <w:szCs w:val="24"/>
        </w:rPr>
        <w:t xml:space="preserve">(2021), </w:t>
      </w:r>
      <w:hyperlink r:id="rId511" w:history="1">
        <w:r w:rsidRPr="00BC3776">
          <w:rPr>
            <w:rStyle w:val="Hyperlink"/>
            <w:rFonts w:cstheme="minorHAnsi"/>
            <w:szCs w:val="24"/>
          </w:rPr>
          <w:t>Understanding racial disparity</w:t>
        </w:r>
      </w:hyperlink>
      <w:r w:rsidRPr="00BC3776">
        <w:rPr>
          <w:rFonts w:cstheme="minorHAnsi"/>
          <w:szCs w:val="24"/>
        </w:rPr>
        <w:t xml:space="preserve"> </w:t>
      </w:r>
      <w:r>
        <w:rPr>
          <w:rFonts w:cstheme="minorHAnsi"/>
          <w:szCs w:val="24"/>
        </w:rPr>
        <w:t>[accessed: 24 February 2022]; Youth Justice Board</w:t>
      </w:r>
      <w:r w:rsidRPr="00BC3776">
        <w:rPr>
          <w:rFonts w:cstheme="minorHAnsi"/>
          <w:szCs w:val="24"/>
        </w:rPr>
        <w:t xml:space="preserve">, </w:t>
      </w:r>
      <w:hyperlink r:id="rId512" w:history="1">
        <w:r w:rsidRPr="00BC3776">
          <w:rPr>
            <w:rStyle w:val="Hyperlink"/>
            <w:rFonts w:cstheme="minorHAnsi"/>
            <w:szCs w:val="24"/>
          </w:rPr>
          <w:t>Annual report and accounts 2020/21</w:t>
        </w:r>
      </w:hyperlink>
      <w:r w:rsidRPr="00BC3776">
        <w:rPr>
          <w:rFonts w:cstheme="minorHAnsi"/>
          <w:szCs w:val="24"/>
        </w:rPr>
        <w:t xml:space="preserve"> [accessed</w:t>
      </w:r>
      <w:r>
        <w:rPr>
          <w:rFonts w:cstheme="minorHAnsi"/>
          <w:szCs w:val="24"/>
        </w:rPr>
        <w:t>:</w:t>
      </w:r>
      <w:r w:rsidRPr="00BC3776">
        <w:rPr>
          <w:rFonts w:cstheme="minorHAnsi"/>
          <w:szCs w:val="24"/>
        </w:rPr>
        <w:t xml:space="preserve"> 24 February 2022], p</w:t>
      </w:r>
      <w:r>
        <w:rPr>
          <w:rFonts w:cstheme="minorHAnsi"/>
          <w:szCs w:val="24"/>
        </w:rPr>
        <w:t>.4 and p.</w:t>
      </w:r>
      <w:r w:rsidRPr="00BC3776">
        <w:rPr>
          <w:rFonts w:cstheme="minorHAnsi"/>
          <w:szCs w:val="24"/>
        </w:rPr>
        <w:t>33.</w:t>
      </w:r>
    </w:p>
  </w:footnote>
  <w:footnote w:id="458">
    <w:p w14:paraId="2C5F72CC" w14:textId="19A29894"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Youth Justice Board (2022), </w:t>
      </w:r>
      <w:hyperlink r:id="rId513" w:history="1">
        <w:r w:rsidRPr="00BC3776">
          <w:rPr>
            <w:rStyle w:val="Hyperlink"/>
            <w:rFonts w:cstheme="minorHAnsi"/>
            <w:szCs w:val="24"/>
          </w:rPr>
          <w:t>Youth justice statistics 2020/21</w:t>
        </w:r>
      </w:hyperlink>
      <w:r w:rsidRPr="00BC3776">
        <w:rPr>
          <w:rFonts w:cstheme="minorHAnsi"/>
          <w:szCs w:val="24"/>
        </w:rPr>
        <w:t xml:space="preserve"> [accessed</w:t>
      </w:r>
      <w:r>
        <w:rPr>
          <w:rFonts w:cstheme="minorHAnsi"/>
          <w:szCs w:val="24"/>
        </w:rPr>
        <w:t>:</w:t>
      </w:r>
      <w:r w:rsidRPr="00BC3776">
        <w:rPr>
          <w:rFonts w:cstheme="minorHAnsi"/>
          <w:szCs w:val="24"/>
        </w:rPr>
        <w:t xml:space="preserve"> 19 May 2022], p.6.</w:t>
      </w:r>
    </w:p>
  </w:footnote>
  <w:footnote w:id="459">
    <w:p w14:paraId="64C3C6A9" w14:textId="4D737F18"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Ministry of Justice (2022), </w:t>
      </w:r>
      <w:hyperlink r:id="rId514" w:history="1">
        <w:r w:rsidRPr="00BC3776">
          <w:rPr>
            <w:rStyle w:val="Hyperlink"/>
            <w:rFonts w:cstheme="minorHAnsi"/>
            <w:szCs w:val="24"/>
          </w:rPr>
          <w:t>Review of custodial remand for children</w:t>
        </w:r>
      </w:hyperlink>
      <w:r w:rsidRPr="00BC3776">
        <w:rPr>
          <w:rFonts w:cstheme="minorHAnsi"/>
          <w:szCs w:val="24"/>
        </w:rPr>
        <w:t xml:space="preserve"> [access</w:t>
      </w:r>
      <w:r>
        <w:rPr>
          <w:rFonts w:cstheme="minorHAnsi"/>
          <w:szCs w:val="24"/>
        </w:rPr>
        <w:t>ed: 24 February 2022], p. 10; Youth Justice Board</w:t>
      </w:r>
      <w:r w:rsidRPr="00BC3776">
        <w:rPr>
          <w:rFonts w:cstheme="minorHAnsi"/>
          <w:szCs w:val="24"/>
        </w:rPr>
        <w:t xml:space="preserve"> (2021), </w:t>
      </w:r>
      <w:hyperlink r:id="rId515" w:history="1">
        <w:r w:rsidRPr="00BC3776">
          <w:rPr>
            <w:rStyle w:val="Hyperlink"/>
            <w:rFonts w:cstheme="minorHAnsi"/>
            <w:szCs w:val="24"/>
          </w:rPr>
          <w:t>Ethnic disproportionality in remand and sentencing in the youth justice system</w:t>
        </w:r>
      </w:hyperlink>
      <w:r w:rsidRPr="00BC3776">
        <w:rPr>
          <w:rFonts w:cstheme="minorHAnsi"/>
          <w:szCs w:val="24"/>
        </w:rPr>
        <w:t xml:space="preserve"> [accessed</w:t>
      </w:r>
      <w:r>
        <w:rPr>
          <w:rFonts w:cstheme="minorHAnsi"/>
          <w:szCs w:val="24"/>
        </w:rPr>
        <w:t>: 31 March 2022], p.</w:t>
      </w:r>
      <w:r w:rsidRPr="00BC3776">
        <w:rPr>
          <w:rFonts w:cstheme="minorHAnsi"/>
          <w:szCs w:val="24"/>
        </w:rPr>
        <w:t>10.</w:t>
      </w:r>
    </w:p>
  </w:footnote>
  <w:footnote w:id="460">
    <w:p w14:paraId="45A93755" w14:textId="336C8135"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Her Majesty’s Inspectorate of Probation (2021), </w:t>
      </w:r>
      <w:hyperlink r:id="rId516" w:history="1">
        <w:r w:rsidRPr="00BC3776">
          <w:rPr>
            <w:rStyle w:val="Hyperlink"/>
            <w:rFonts w:cstheme="minorHAnsi"/>
            <w:szCs w:val="24"/>
          </w:rPr>
          <w:t>The experience of black and mixed heritage boys in the youth justice system</w:t>
        </w:r>
      </w:hyperlink>
      <w:r w:rsidRPr="00BC3776">
        <w:rPr>
          <w:rFonts w:cstheme="minorHAnsi"/>
          <w:szCs w:val="24"/>
        </w:rPr>
        <w:t xml:space="preserve"> [accessed</w:t>
      </w:r>
      <w:r>
        <w:rPr>
          <w:rFonts w:cstheme="minorHAnsi"/>
          <w:szCs w:val="24"/>
        </w:rPr>
        <w:t>:</w:t>
      </w:r>
      <w:r w:rsidRPr="00BC3776">
        <w:rPr>
          <w:rFonts w:cstheme="minorHAnsi"/>
          <w:szCs w:val="24"/>
        </w:rPr>
        <w:t xml:space="preserve"> 15 September 2022], see, for example, p.5.</w:t>
      </w:r>
    </w:p>
  </w:footnote>
  <w:footnote w:id="461">
    <w:p w14:paraId="07BC8DFA" w14:textId="2EA1010E"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UK Government Ministry of Justice (2020),</w:t>
      </w:r>
      <w:r w:rsidRPr="00BC3776">
        <w:rPr>
          <w:rFonts w:cstheme="minorHAnsi"/>
          <w:szCs w:val="24"/>
        </w:rPr>
        <w:t xml:space="preserve"> </w:t>
      </w:r>
      <w:hyperlink r:id="rId517" w:history="1">
        <w:r w:rsidRPr="00466E17">
          <w:rPr>
            <w:rStyle w:val="Hyperlink"/>
            <w:rFonts w:cstheme="minorHAnsi"/>
            <w:szCs w:val="24"/>
          </w:rPr>
          <w:t>Tackling Racial Disparity in the Criminal Justice System: 2020 Update</w:t>
        </w:r>
      </w:hyperlink>
      <w:r>
        <w:rPr>
          <w:rFonts w:cstheme="minorHAnsi"/>
          <w:szCs w:val="24"/>
        </w:rPr>
        <w:t xml:space="preserve"> [</w:t>
      </w:r>
      <w:r w:rsidRPr="00BC3776">
        <w:rPr>
          <w:rFonts w:cstheme="minorHAnsi"/>
          <w:szCs w:val="24"/>
        </w:rPr>
        <w:t>accessed</w:t>
      </w:r>
      <w:r>
        <w:rPr>
          <w:rFonts w:cstheme="minorHAnsi"/>
          <w:szCs w:val="24"/>
        </w:rPr>
        <w:t>:</w:t>
      </w:r>
      <w:r w:rsidRPr="00BC3776">
        <w:rPr>
          <w:rFonts w:cstheme="minorHAnsi"/>
          <w:szCs w:val="24"/>
        </w:rPr>
        <w:t xml:space="preserve"> 31 March 2022]</w:t>
      </w:r>
      <w:r>
        <w:rPr>
          <w:rFonts w:cstheme="minorHAnsi"/>
          <w:szCs w:val="24"/>
          <w:u w:color="009C98" w:themeColor="accent1"/>
        </w:rPr>
        <w:t>, p</w:t>
      </w:r>
      <w:r w:rsidRPr="00BC3776">
        <w:rPr>
          <w:rFonts w:cstheme="minorHAnsi"/>
          <w:szCs w:val="24"/>
        </w:rPr>
        <w:t xml:space="preserve">.22; Commission on Race and Ethnic Disparities (2021), </w:t>
      </w:r>
      <w:hyperlink r:id="rId518" w:history="1">
        <w:r w:rsidRPr="00BC3776">
          <w:rPr>
            <w:rStyle w:val="Hyperlink"/>
            <w:rFonts w:cstheme="minorHAnsi"/>
            <w:szCs w:val="24"/>
          </w:rPr>
          <w:t>Independent report</w:t>
        </w:r>
      </w:hyperlink>
      <w:r w:rsidRPr="00BC3776">
        <w:rPr>
          <w:rFonts w:cstheme="minorHAnsi"/>
          <w:szCs w:val="24"/>
        </w:rPr>
        <w:t xml:space="preserve"> [accessed</w:t>
      </w:r>
      <w:r>
        <w:rPr>
          <w:rFonts w:cstheme="minorHAnsi"/>
          <w:szCs w:val="24"/>
        </w:rPr>
        <w:t>:</w:t>
      </w:r>
      <w:r w:rsidRPr="00BC3776">
        <w:rPr>
          <w:rFonts w:cstheme="minorHAnsi"/>
          <w:szCs w:val="24"/>
        </w:rPr>
        <w:t xml:space="preserve"> 31 March 2022], pp.</w:t>
      </w:r>
      <w:r>
        <w:rPr>
          <w:rFonts w:cstheme="minorHAnsi"/>
          <w:szCs w:val="24"/>
        </w:rPr>
        <w:t xml:space="preserve"> </w:t>
      </w:r>
      <w:r w:rsidRPr="00BC3776">
        <w:rPr>
          <w:rFonts w:cstheme="minorHAnsi"/>
          <w:szCs w:val="24"/>
        </w:rPr>
        <w:t>148</w:t>
      </w:r>
      <w:r>
        <w:rPr>
          <w:rFonts w:cstheme="minorHAnsi"/>
          <w:szCs w:val="24"/>
        </w:rPr>
        <w:t>–</w:t>
      </w:r>
      <w:r w:rsidRPr="00BC3776">
        <w:rPr>
          <w:rFonts w:cstheme="minorHAnsi"/>
          <w:szCs w:val="24"/>
        </w:rPr>
        <w:t>154.</w:t>
      </w:r>
    </w:p>
  </w:footnote>
  <w:footnote w:id="462">
    <w:p w14:paraId="679F57FB" w14:textId="34E86143"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Youth Justice Board (2022), </w:t>
      </w:r>
      <w:hyperlink r:id="rId519" w:history="1">
        <w:r w:rsidRPr="00BC3776">
          <w:rPr>
            <w:rStyle w:val="Hyperlink"/>
            <w:rFonts w:cstheme="minorHAnsi"/>
            <w:szCs w:val="24"/>
          </w:rPr>
          <w:t xml:space="preserve">Youth Justice Statistics </w:t>
        </w:r>
        <w:r>
          <w:rPr>
            <w:rStyle w:val="Hyperlink"/>
            <w:rFonts w:cstheme="minorHAnsi"/>
            <w:szCs w:val="24"/>
          </w:rPr>
          <w:t>2020/</w:t>
        </w:r>
        <w:r w:rsidRPr="00BC3776">
          <w:rPr>
            <w:rStyle w:val="Hyperlink"/>
            <w:rFonts w:cstheme="minorHAnsi"/>
            <w:szCs w:val="24"/>
          </w:rPr>
          <w:t>2021</w:t>
        </w:r>
      </w:hyperlink>
      <w:r w:rsidRPr="00BC3776">
        <w:rPr>
          <w:rFonts w:cstheme="minorHAnsi"/>
          <w:szCs w:val="24"/>
        </w:rPr>
        <w:t xml:space="preserve"> [accessed</w:t>
      </w:r>
      <w:r>
        <w:rPr>
          <w:rFonts w:cstheme="minorHAnsi"/>
          <w:szCs w:val="24"/>
        </w:rPr>
        <w:t>:</w:t>
      </w:r>
      <w:r w:rsidRPr="00BC3776">
        <w:rPr>
          <w:rFonts w:cstheme="minorHAnsi"/>
          <w:szCs w:val="24"/>
        </w:rPr>
        <w:t xml:space="preserve"> 24 February 2022], Figs 1.5, 2.3, 3.5, </w:t>
      </w:r>
      <w:r>
        <w:rPr>
          <w:rFonts w:cstheme="minorHAnsi"/>
          <w:szCs w:val="24"/>
        </w:rPr>
        <w:t xml:space="preserve">and </w:t>
      </w:r>
      <w:r w:rsidRPr="00BC3776">
        <w:rPr>
          <w:rFonts w:cstheme="minorHAnsi"/>
          <w:szCs w:val="24"/>
        </w:rPr>
        <w:t xml:space="preserve">7.6; See </w:t>
      </w:r>
      <w:hyperlink r:id="rId520" w:history="1">
        <w:r w:rsidRPr="00BC3776">
          <w:rPr>
            <w:rStyle w:val="Hyperlink"/>
            <w:rFonts w:cstheme="minorHAnsi"/>
            <w:szCs w:val="24"/>
          </w:rPr>
          <w:t>The Lammy Review</w:t>
        </w:r>
      </w:hyperlink>
      <w:r w:rsidRPr="00BC3776">
        <w:rPr>
          <w:rFonts w:cstheme="minorHAnsi"/>
          <w:szCs w:val="24"/>
        </w:rPr>
        <w:t xml:space="preserve"> (2017).</w:t>
      </w:r>
    </w:p>
  </w:footnote>
  <w:footnote w:id="463">
    <w:p w14:paraId="66FF1FCF" w14:textId="7777777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(2022), </w:t>
      </w:r>
      <w:hyperlink r:id="rId521" w:history="1">
        <w:r w:rsidRPr="00BC3776">
          <w:rPr>
            <w:rStyle w:val="Hyperlink"/>
            <w:rFonts w:cstheme="minorHAnsi"/>
            <w:szCs w:val="24"/>
          </w:rPr>
          <w:t>Inclusive Britain: government response to the Commission on Race and Ethnic Disparities</w:t>
        </w:r>
      </w:hyperlink>
      <w:r w:rsidRPr="00BC3776">
        <w:rPr>
          <w:rFonts w:cstheme="minorHAnsi"/>
          <w:szCs w:val="24"/>
        </w:rPr>
        <w:t xml:space="preserve"> [accessed: 20 May 2022] section 4.8.</w:t>
      </w:r>
    </w:p>
  </w:footnote>
  <w:footnote w:id="464">
    <w:p w14:paraId="577E3D77" w14:textId="3D269869"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(2020), </w:t>
      </w:r>
      <w:hyperlink r:id="rId522" w:history="1">
        <w:r w:rsidRPr="00BC3776">
          <w:rPr>
            <w:rStyle w:val="Hyperlink"/>
            <w:rFonts w:cstheme="minorHAnsi"/>
            <w:szCs w:val="24"/>
          </w:rPr>
          <w:t>Police, Crime, Sentencing and Courts Bill Explanatory Notes</w:t>
        </w:r>
      </w:hyperlink>
      <w:r>
        <w:rPr>
          <w:rFonts w:cstheme="minorHAnsi"/>
          <w:szCs w:val="24"/>
        </w:rPr>
        <w:t xml:space="preserve"> [a</w:t>
      </w:r>
      <w:r w:rsidRPr="00BC3776">
        <w:rPr>
          <w:rFonts w:cstheme="minorHAnsi"/>
          <w:szCs w:val="24"/>
        </w:rPr>
        <w:t>ccessed</w:t>
      </w:r>
      <w:r>
        <w:rPr>
          <w:rFonts w:cstheme="minorHAnsi"/>
          <w:szCs w:val="24"/>
        </w:rPr>
        <w:t>:</w:t>
      </w:r>
      <w:r w:rsidRPr="00BC3776">
        <w:rPr>
          <w:rFonts w:cstheme="minorHAnsi"/>
          <w:szCs w:val="24"/>
        </w:rPr>
        <w:t xml:space="preserve"> 24 February 2022], p.21. </w:t>
      </w:r>
    </w:p>
  </w:footnote>
  <w:footnote w:id="465">
    <w:p w14:paraId="2108EB07" w14:textId="77777777"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523" w:history="1">
        <w:r w:rsidRPr="00BC3776">
          <w:rPr>
            <w:rStyle w:val="Hyperlink"/>
            <w:rFonts w:cstheme="minorHAnsi"/>
            <w:szCs w:val="24"/>
          </w:rPr>
          <w:t>Sentencing Act 2020</w:t>
        </w:r>
      </w:hyperlink>
      <w:r w:rsidRPr="00BC3776">
        <w:rPr>
          <w:rFonts w:cstheme="minorHAnsi"/>
          <w:szCs w:val="24"/>
        </w:rPr>
        <w:t>, s.259.</w:t>
      </w:r>
    </w:p>
  </w:footnote>
  <w:footnote w:id="466">
    <w:p w14:paraId="6E2D3B7D" w14:textId="750C8006"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United Nations </w:t>
      </w:r>
      <w:r w:rsidRPr="00BC3776">
        <w:rPr>
          <w:rFonts w:cstheme="minorHAnsi"/>
          <w:szCs w:val="24"/>
        </w:rPr>
        <w:t xml:space="preserve">Committee on the Rights of the Child (2016), </w:t>
      </w:r>
      <w:hyperlink r:id="rId524" w:history="1">
        <w:r w:rsidRPr="00BC3776">
          <w:rPr>
            <w:rStyle w:val="Hyperlink"/>
            <w:rFonts w:cstheme="minorHAnsi"/>
            <w:szCs w:val="24"/>
          </w:rPr>
          <w:t>Concluding observations on the fifth periodic report of the U</w:t>
        </w:r>
        <w:r>
          <w:rPr>
            <w:rStyle w:val="Hyperlink"/>
            <w:rFonts w:cstheme="minorHAnsi"/>
            <w:szCs w:val="24"/>
          </w:rPr>
          <w:t>nited Kingdom of Great Britain and Northern Ireland</w:t>
        </w:r>
      </w:hyperlink>
      <w:r w:rsidRPr="00BC3776">
        <w:rPr>
          <w:rFonts w:cstheme="minorHAnsi"/>
          <w:szCs w:val="24"/>
        </w:rPr>
        <w:t xml:space="preserve"> [accessed</w:t>
      </w:r>
      <w:r>
        <w:rPr>
          <w:rFonts w:cstheme="minorHAnsi"/>
          <w:szCs w:val="24"/>
        </w:rPr>
        <w:t>: 24 February 2022], para.79; United Nations</w:t>
      </w:r>
      <w:r w:rsidRPr="00BC3776">
        <w:rPr>
          <w:rFonts w:cstheme="minorHAnsi"/>
          <w:szCs w:val="24"/>
        </w:rPr>
        <w:t xml:space="preserve"> Human Rights Council (2014) </w:t>
      </w:r>
      <w:hyperlink r:id="rId525" w:history="1">
        <w:r w:rsidRPr="00BC3776">
          <w:rPr>
            <w:rStyle w:val="Hyperlink"/>
            <w:rFonts w:cstheme="minorHAnsi"/>
            <w:szCs w:val="24"/>
          </w:rPr>
          <w:t>Rights of the child: access to justice for children A/HRC/25/L.10</w:t>
        </w:r>
      </w:hyperlink>
      <w:r w:rsidRPr="00BC3776">
        <w:rPr>
          <w:rFonts w:cstheme="minorHAnsi"/>
          <w:szCs w:val="24"/>
        </w:rPr>
        <w:t xml:space="preserve"> [accessed</w:t>
      </w:r>
      <w:r>
        <w:rPr>
          <w:rFonts w:cstheme="minorHAnsi"/>
          <w:szCs w:val="24"/>
        </w:rPr>
        <w:t>:</w:t>
      </w:r>
      <w:r w:rsidRPr="00BC3776">
        <w:rPr>
          <w:rFonts w:cstheme="minorHAnsi"/>
          <w:szCs w:val="24"/>
        </w:rPr>
        <w:t xml:space="preserve"> 19 May 2022], </w:t>
      </w:r>
      <w:r>
        <w:rPr>
          <w:rFonts w:cstheme="minorHAnsi"/>
          <w:szCs w:val="24"/>
        </w:rPr>
        <w:t>para.8(g).</w:t>
      </w:r>
    </w:p>
  </w:footnote>
  <w:footnote w:id="467">
    <w:p w14:paraId="58502358" w14:textId="782A371D"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(2020), </w:t>
      </w:r>
      <w:hyperlink r:id="rId526" w:history="1">
        <w:r w:rsidRPr="00BC3776">
          <w:rPr>
            <w:rStyle w:val="Hyperlink"/>
            <w:rFonts w:cstheme="minorHAnsi"/>
            <w:szCs w:val="24"/>
          </w:rPr>
          <w:t>Police, Crime, Sentencing and Courts Bill Explanatory Notes</w:t>
        </w:r>
      </w:hyperlink>
      <w:r>
        <w:rPr>
          <w:rFonts w:cstheme="minorHAnsi"/>
          <w:szCs w:val="24"/>
        </w:rPr>
        <w:t xml:space="preserve"> [a</w:t>
      </w:r>
      <w:r w:rsidRPr="00BC3776">
        <w:rPr>
          <w:rFonts w:cstheme="minorHAnsi"/>
          <w:szCs w:val="24"/>
        </w:rPr>
        <w:t>ccessed</w:t>
      </w:r>
      <w:r>
        <w:rPr>
          <w:rFonts w:cstheme="minorHAnsi"/>
          <w:szCs w:val="24"/>
        </w:rPr>
        <w:t>: 24 February 2022], pp. 98–99.</w:t>
      </w:r>
    </w:p>
  </w:footnote>
  <w:footnote w:id="468">
    <w:p w14:paraId="1568C768" w14:textId="580BDE79"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UK Government</w:t>
      </w:r>
      <w:r w:rsidRPr="00BC3776">
        <w:rPr>
          <w:rFonts w:cstheme="minorHAnsi"/>
          <w:szCs w:val="24"/>
        </w:rPr>
        <w:t xml:space="preserve"> (2022), </w:t>
      </w:r>
      <w:hyperlink r:id="rId527" w:history="1">
        <w:r w:rsidRPr="00BC3776">
          <w:rPr>
            <w:rStyle w:val="Hyperlink"/>
            <w:rFonts w:cstheme="minorHAnsi"/>
            <w:szCs w:val="24"/>
          </w:rPr>
          <w:t>Overarching equality statement: sentencing, release, probation and youth justice measures</w:t>
        </w:r>
      </w:hyperlink>
      <w:r w:rsidRPr="00BC3776">
        <w:rPr>
          <w:rFonts w:cstheme="minorHAnsi"/>
          <w:szCs w:val="24"/>
        </w:rPr>
        <w:t xml:space="preserve"> [accessed</w:t>
      </w:r>
      <w:r>
        <w:rPr>
          <w:rFonts w:cstheme="minorHAnsi"/>
          <w:szCs w:val="24"/>
        </w:rPr>
        <w:t xml:space="preserve">: 31 March 2022]; UK Parliament </w:t>
      </w:r>
      <w:r w:rsidRPr="00BC3776">
        <w:rPr>
          <w:rFonts w:cstheme="minorHAnsi"/>
          <w:szCs w:val="24"/>
        </w:rPr>
        <w:t xml:space="preserve">Joint Committee on Human Rights (2021), </w:t>
      </w:r>
      <w:hyperlink r:id="rId528" w:history="1">
        <w:r w:rsidRPr="00BC3776">
          <w:rPr>
            <w:rStyle w:val="Hyperlink"/>
            <w:rFonts w:cstheme="minorHAnsi"/>
            <w:szCs w:val="24"/>
          </w:rPr>
          <w:t>Legislative Scrutiny: Police, Crime, Sentencing and Courts Bill: Sentencing and Remand of Children and Young People</w:t>
        </w:r>
      </w:hyperlink>
      <w:r w:rsidRPr="00BC3776">
        <w:rPr>
          <w:rFonts w:cstheme="minorHAnsi"/>
          <w:szCs w:val="24"/>
        </w:rPr>
        <w:t xml:space="preserve"> [accessed</w:t>
      </w:r>
      <w:r>
        <w:rPr>
          <w:rFonts w:cstheme="minorHAnsi"/>
          <w:szCs w:val="24"/>
        </w:rPr>
        <w:t>:</w:t>
      </w:r>
      <w:r w:rsidRPr="00BC3776">
        <w:rPr>
          <w:rFonts w:cstheme="minorHAnsi"/>
          <w:szCs w:val="24"/>
        </w:rPr>
        <w:t xml:space="preserve"> 31 March 2022], p.3.</w:t>
      </w:r>
    </w:p>
  </w:footnote>
  <w:footnote w:id="469">
    <w:p w14:paraId="6FB68B7D" w14:textId="206E750F"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Crown Prosecution Service</w:t>
      </w:r>
      <w:r w:rsidRPr="00BC3776">
        <w:rPr>
          <w:rFonts w:cstheme="minorHAnsi"/>
          <w:szCs w:val="24"/>
        </w:rPr>
        <w:t xml:space="preserve"> (2020), </w:t>
      </w:r>
      <w:hyperlink r:id="rId529" w:history="1">
        <w:r>
          <w:rPr>
            <w:rStyle w:val="Hyperlink"/>
            <w:rFonts w:cstheme="minorHAnsi"/>
            <w:szCs w:val="24"/>
          </w:rPr>
          <w:t>Youth offenders</w:t>
        </w:r>
      </w:hyperlink>
      <w:r w:rsidRPr="00BC3776">
        <w:rPr>
          <w:rFonts w:cstheme="minorHAnsi"/>
          <w:szCs w:val="24"/>
        </w:rPr>
        <w:t xml:space="preserve"> [accessed</w:t>
      </w:r>
      <w:r>
        <w:rPr>
          <w:rFonts w:cstheme="minorHAnsi"/>
          <w:szCs w:val="24"/>
        </w:rPr>
        <w:t>: 24 February 2022], see ‘Sentencing: Crossing a relevant age threshold’.</w:t>
      </w:r>
    </w:p>
  </w:footnote>
  <w:footnote w:id="470">
    <w:p w14:paraId="491228C8" w14:textId="275B0788"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Youth Justice Board (2022), </w:t>
      </w:r>
      <w:hyperlink r:id="rId530" w:history="1">
        <w:r w:rsidRPr="00BC3776">
          <w:rPr>
            <w:rStyle w:val="Hyperlink"/>
            <w:rFonts w:cstheme="minorHAnsi"/>
            <w:szCs w:val="24"/>
          </w:rPr>
          <w:t xml:space="preserve">Youth Justice Statistics </w:t>
        </w:r>
        <w:r>
          <w:rPr>
            <w:rStyle w:val="Hyperlink"/>
            <w:rFonts w:cstheme="minorHAnsi"/>
            <w:szCs w:val="24"/>
          </w:rPr>
          <w:t>2020/</w:t>
        </w:r>
        <w:r w:rsidRPr="00BC3776">
          <w:rPr>
            <w:rStyle w:val="Hyperlink"/>
            <w:rFonts w:cstheme="minorHAnsi"/>
            <w:szCs w:val="24"/>
          </w:rPr>
          <w:t>2021</w:t>
        </w:r>
      </w:hyperlink>
      <w:r w:rsidRPr="00BC3776">
        <w:rPr>
          <w:rFonts w:cstheme="minorHAnsi"/>
          <w:szCs w:val="24"/>
        </w:rPr>
        <w:t xml:space="preserve"> [accessed</w:t>
      </w:r>
      <w:r>
        <w:rPr>
          <w:rFonts w:cstheme="minorHAnsi"/>
          <w:szCs w:val="24"/>
        </w:rPr>
        <w:t>:</w:t>
      </w:r>
      <w:r w:rsidRPr="00BC3776">
        <w:rPr>
          <w:rFonts w:cstheme="minorHAnsi"/>
          <w:szCs w:val="24"/>
        </w:rPr>
        <w:t xml:space="preserve"> 24 February 2022], p.3.</w:t>
      </w:r>
    </w:p>
  </w:footnote>
  <w:footnote w:id="471">
    <w:p w14:paraId="58B3498F" w14:textId="5042BDB5"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HM Courts and Tribunals Service</w:t>
      </w:r>
      <w:r w:rsidRPr="00BC3776">
        <w:rPr>
          <w:rFonts w:cstheme="minorHAnsi"/>
          <w:szCs w:val="24"/>
        </w:rPr>
        <w:t xml:space="preserve"> (2021), </w:t>
      </w:r>
      <w:hyperlink r:id="rId531" w:history="1">
        <w:r>
          <w:rPr>
            <w:rStyle w:val="Hyperlink"/>
            <w:rFonts w:cstheme="minorHAnsi"/>
            <w:szCs w:val="24"/>
          </w:rPr>
          <w:t>HMCTS w</w:t>
        </w:r>
        <w:r w:rsidRPr="00BC3776">
          <w:rPr>
            <w:rStyle w:val="Hyperlink"/>
            <w:rFonts w:cstheme="minorHAnsi"/>
            <w:szCs w:val="24"/>
          </w:rPr>
          <w:t xml:space="preserve">eekly </w:t>
        </w:r>
        <w:r>
          <w:rPr>
            <w:rStyle w:val="Hyperlink"/>
            <w:rFonts w:cstheme="minorHAnsi"/>
            <w:szCs w:val="24"/>
          </w:rPr>
          <w:t xml:space="preserve">operational management information - </w:t>
        </w:r>
        <w:r w:rsidRPr="00BC3776">
          <w:rPr>
            <w:rStyle w:val="Hyperlink"/>
            <w:rFonts w:cstheme="minorHAnsi"/>
            <w:szCs w:val="24"/>
          </w:rPr>
          <w:t xml:space="preserve">audio and video </w:t>
        </w:r>
        <w:r>
          <w:rPr>
            <w:rStyle w:val="Hyperlink"/>
            <w:rFonts w:cstheme="minorHAnsi"/>
            <w:szCs w:val="24"/>
          </w:rPr>
          <w:t>hearings</w:t>
        </w:r>
        <w:r w:rsidRPr="00BC3776">
          <w:rPr>
            <w:rStyle w:val="Hyperlink"/>
            <w:rFonts w:cstheme="minorHAnsi"/>
            <w:szCs w:val="24"/>
          </w:rPr>
          <w:t xml:space="preserve"> May 2020 to May 2021</w:t>
        </w:r>
      </w:hyperlink>
      <w:r w:rsidRPr="00BC3776">
        <w:rPr>
          <w:rFonts w:cstheme="minorHAnsi"/>
          <w:szCs w:val="24"/>
        </w:rPr>
        <w:t xml:space="preserve"> [accessed</w:t>
      </w:r>
      <w:r>
        <w:rPr>
          <w:rFonts w:cstheme="minorHAnsi"/>
          <w:szCs w:val="24"/>
        </w:rPr>
        <w:t>: 31 March 2021],</w:t>
      </w:r>
      <w:r w:rsidRPr="00BC3776">
        <w:rPr>
          <w:rFonts w:cstheme="minorHAnsi"/>
          <w:szCs w:val="24"/>
        </w:rPr>
        <w:t xml:space="preserve"> Table One. </w:t>
      </w:r>
    </w:p>
  </w:footnote>
  <w:footnote w:id="472">
    <w:p w14:paraId="7119E909" w14:textId="5344E07E"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Standing Committee for Youth Justice (2018), </w:t>
      </w:r>
      <w:hyperlink r:id="rId532" w:history="1">
        <w:r w:rsidRPr="00BC3776">
          <w:rPr>
            <w:rStyle w:val="Hyperlink"/>
            <w:rFonts w:cstheme="minorHAnsi"/>
            <w:szCs w:val="24"/>
          </w:rPr>
          <w:t>A report on child defendants and video links</w:t>
        </w:r>
      </w:hyperlink>
      <w:r w:rsidRPr="00BC3776">
        <w:rPr>
          <w:rFonts w:cstheme="minorHAnsi"/>
          <w:szCs w:val="24"/>
        </w:rPr>
        <w:t xml:space="preserve"> [accessed</w:t>
      </w:r>
      <w:r>
        <w:rPr>
          <w:rFonts w:cstheme="minorHAnsi"/>
          <w:szCs w:val="24"/>
        </w:rPr>
        <w:t>:</w:t>
      </w:r>
      <w:r w:rsidRPr="00BC3776">
        <w:rPr>
          <w:rFonts w:cstheme="minorHAnsi"/>
          <w:szCs w:val="24"/>
        </w:rPr>
        <w:t xml:space="preserve"> 24 February 2022], pp.</w:t>
      </w:r>
      <w:r>
        <w:rPr>
          <w:rFonts w:cstheme="minorHAnsi"/>
          <w:szCs w:val="24"/>
        </w:rPr>
        <w:t xml:space="preserve"> </w:t>
      </w:r>
      <w:r w:rsidRPr="00BC3776">
        <w:rPr>
          <w:rFonts w:cstheme="minorHAnsi"/>
          <w:szCs w:val="24"/>
        </w:rPr>
        <w:t xml:space="preserve">9-16; Garden Court Chambers (2020), </w:t>
      </w:r>
      <w:hyperlink r:id="rId533" w:anchor="6" w:history="1">
        <w:r w:rsidRPr="00BC3776">
          <w:rPr>
            <w:rStyle w:val="Hyperlink"/>
            <w:rFonts w:cstheme="minorHAnsi"/>
            <w:szCs w:val="24"/>
          </w:rPr>
          <w:t>Child protocol in criminal cases</w:t>
        </w:r>
      </w:hyperlink>
      <w:r w:rsidRPr="00BC3776">
        <w:rPr>
          <w:rFonts w:cstheme="minorHAnsi"/>
          <w:szCs w:val="24"/>
        </w:rPr>
        <w:t xml:space="preserve"> [accessed</w:t>
      </w:r>
      <w:r>
        <w:rPr>
          <w:rFonts w:cstheme="minorHAnsi"/>
          <w:szCs w:val="24"/>
        </w:rPr>
        <w:t>:</w:t>
      </w:r>
      <w:r w:rsidRPr="00BC3776">
        <w:rPr>
          <w:rFonts w:cstheme="minorHAnsi"/>
          <w:szCs w:val="24"/>
        </w:rPr>
        <w:t xml:space="preserve"> 24 February 2022].</w:t>
      </w:r>
    </w:p>
  </w:footnote>
  <w:footnote w:id="473">
    <w:p w14:paraId="51AF6A54" w14:textId="3F75EF32" w:rsidR="0026506A" w:rsidRPr="00BC3776" w:rsidRDefault="0026506A" w:rsidP="00FB521C">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UK Government (2020), </w:t>
      </w:r>
      <w:hyperlink r:id="rId534" w:history="1">
        <w:r w:rsidRPr="00BC3776">
          <w:rPr>
            <w:rStyle w:val="Hyperlink"/>
            <w:rFonts w:cstheme="minorHAnsi"/>
            <w:szCs w:val="24"/>
          </w:rPr>
          <w:t>Judicial Review and Courts Bill Explanatory Notes</w:t>
        </w:r>
      </w:hyperlink>
      <w:r w:rsidRPr="00BC3776">
        <w:rPr>
          <w:rFonts w:cstheme="minorHAnsi"/>
          <w:szCs w:val="24"/>
        </w:rPr>
        <w:t xml:space="preserve"> [acc</w:t>
      </w:r>
      <w:r>
        <w:rPr>
          <w:rFonts w:cstheme="minorHAnsi"/>
          <w:szCs w:val="24"/>
        </w:rPr>
        <w:t xml:space="preserve">essed: 3 March 2022], paras.181 and </w:t>
      </w:r>
      <w:r w:rsidRPr="00BC3776">
        <w:rPr>
          <w:rFonts w:cstheme="minorHAnsi"/>
          <w:szCs w:val="24"/>
        </w:rPr>
        <w:t>213.</w:t>
      </w:r>
    </w:p>
  </w:footnote>
  <w:footnote w:id="474">
    <w:p w14:paraId="5E21E0DE" w14:textId="4C251BA6"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Youth Justice Board</w:t>
      </w:r>
      <w:r w:rsidRPr="00BC3776">
        <w:rPr>
          <w:rFonts w:cstheme="minorHAnsi"/>
          <w:szCs w:val="24"/>
        </w:rPr>
        <w:t xml:space="preserve"> (2022), </w:t>
      </w:r>
      <w:hyperlink r:id="rId535" w:history="1">
        <w:r w:rsidRPr="00965DC3">
          <w:rPr>
            <w:rStyle w:val="Hyperlink"/>
            <w:rFonts w:cstheme="minorHAnsi"/>
            <w:szCs w:val="24"/>
          </w:rPr>
          <w:t>Youth justice statistics 2020/21</w:t>
        </w:r>
      </w:hyperlink>
      <w:r>
        <w:rPr>
          <w:rFonts w:cstheme="minorHAnsi"/>
          <w:szCs w:val="24"/>
        </w:rPr>
        <w:t xml:space="preserve"> </w:t>
      </w:r>
      <w:r w:rsidRPr="00BC3776">
        <w:rPr>
          <w:rFonts w:cstheme="minorHAnsi"/>
          <w:szCs w:val="24"/>
        </w:rPr>
        <w:t>[accessed</w:t>
      </w:r>
      <w:r>
        <w:rPr>
          <w:rFonts w:cstheme="minorHAnsi"/>
          <w:szCs w:val="24"/>
        </w:rPr>
        <w:t>:</w:t>
      </w:r>
      <w:r w:rsidRPr="00BC3776">
        <w:rPr>
          <w:rFonts w:cstheme="minorHAnsi"/>
          <w:szCs w:val="24"/>
        </w:rPr>
        <w:t xml:space="preserve"> 24 </w:t>
      </w:r>
      <w:r>
        <w:rPr>
          <w:rFonts w:cstheme="minorHAnsi"/>
          <w:szCs w:val="24"/>
        </w:rPr>
        <w:t>February</w:t>
      </w:r>
      <w:r w:rsidRPr="00BC3776">
        <w:rPr>
          <w:rFonts w:cstheme="minorHAnsi"/>
          <w:szCs w:val="24"/>
        </w:rPr>
        <w:t xml:space="preserve"> 202</w:t>
      </w:r>
      <w:r>
        <w:rPr>
          <w:rFonts w:cstheme="minorHAnsi"/>
          <w:szCs w:val="24"/>
        </w:rPr>
        <w:t>2]</w:t>
      </w:r>
      <w:r w:rsidRPr="00BC3776">
        <w:rPr>
          <w:rFonts w:cstheme="minorHAnsi"/>
          <w:szCs w:val="24"/>
        </w:rPr>
        <w:t xml:space="preserve">, </w:t>
      </w:r>
      <w:r>
        <w:rPr>
          <w:rFonts w:cstheme="minorHAnsi"/>
          <w:szCs w:val="24"/>
        </w:rPr>
        <w:t>fig. 7</w:t>
      </w:r>
      <w:r w:rsidRPr="00BC3776">
        <w:rPr>
          <w:rFonts w:cstheme="minorHAnsi"/>
          <w:szCs w:val="24"/>
        </w:rPr>
        <w:t>.1.</w:t>
      </w:r>
    </w:p>
  </w:footnote>
  <w:footnote w:id="475">
    <w:p w14:paraId="54BC9736" w14:textId="04ED8979"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HM Inspectorate of Prisons</w:t>
      </w:r>
      <w:r w:rsidRPr="00BC3776">
        <w:rPr>
          <w:rFonts w:cstheme="minorHAnsi"/>
          <w:szCs w:val="24"/>
        </w:rPr>
        <w:t xml:space="preserve"> (2022), </w:t>
      </w:r>
      <w:hyperlink r:id="rId536" w:history="1">
        <w:r w:rsidRPr="00BC3776">
          <w:rPr>
            <w:rStyle w:val="Hyperlink"/>
            <w:rFonts w:cstheme="minorHAnsi"/>
            <w:szCs w:val="24"/>
          </w:rPr>
          <w:t>HM Chief Inspectorate of Prisons annual report: 2021 to 2022</w:t>
        </w:r>
      </w:hyperlink>
      <w:r w:rsidRPr="00BC3776">
        <w:rPr>
          <w:rFonts w:cstheme="minorHAnsi"/>
          <w:szCs w:val="24"/>
        </w:rPr>
        <w:t xml:space="preserve"> [accessed</w:t>
      </w:r>
      <w:r>
        <w:rPr>
          <w:rFonts w:cstheme="minorHAnsi"/>
          <w:szCs w:val="24"/>
        </w:rPr>
        <w:t>:</w:t>
      </w:r>
      <w:r w:rsidRPr="00BC3776">
        <w:rPr>
          <w:rFonts w:cstheme="minorHAnsi"/>
          <w:szCs w:val="24"/>
        </w:rPr>
        <w:t xml:space="preserve"> 4 August 2022], pp. 75-</w:t>
      </w:r>
      <w:r>
        <w:rPr>
          <w:rFonts w:cstheme="minorHAnsi"/>
          <w:szCs w:val="24"/>
        </w:rPr>
        <w:t>7</w:t>
      </w:r>
      <w:r w:rsidRPr="00BC3776">
        <w:rPr>
          <w:rFonts w:cstheme="minorHAnsi"/>
          <w:szCs w:val="24"/>
        </w:rPr>
        <w:t>6.</w:t>
      </w:r>
    </w:p>
  </w:footnote>
  <w:footnote w:id="476">
    <w:p w14:paraId="6201E867" w14:textId="54EFF1BA"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Ibid.</w:t>
      </w:r>
      <w:r w:rsidRPr="00BC3776">
        <w:rPr>
          <w:rFonts w:cstheme="minorHAnsi"/>
          <w:szCs w:val="24"/>
        </w:rPr>
        <w:t>, p. 79.</w:t>
      </w:r>
    </w:p>
  </w:footnote>
  <w:footnote w:id="477">
    <w:p w14:paraId="7E3DA5EF" w14:textId="328EDD3D"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Youth Jus</w:t>
      </w:r>
      <w:r>
        <w:rPr>
          <w:rFonts w:cstheme="minorHAnsi"/>
          <w:szCs w:val="24"/>
        </w:rPr>
        <w:t>tice Board</w:t>
      </w:r>
      <w:r w:rsidRPr="00BC3776">
        <w:rPr>
          <w:rFonts w:cstheme="minorHAnsi"/>
          <w:szCs w:val="24"/>
        </w:rPr>
        <w:t xml:space="preserve"> (2022), </w:t>
      </w:r>
      <w:hyperlink r:id="rId537" w:history="1">
        <w:r w:rsidRPr="00BC3776">
          <w:rPr>
            <w:rStyle w:val="Hyperlink"/>
            <w:rFonts w:cstheme="minorHAnsi"/>
            <w:szCs w:val="24"/>
          </w:rPr>
          <w:t>Yo</w:t>
        </w:r>
        <w:r>
          <w:rPr>
            <w:rStyle w:val="Hyperlink"/>
            <w:rFonts w:cstheme="minorHAnsi"/>
            <w:szCs w:val="24"/>
          </w:rPr>
          <w:t>uth justice statistics 2020/</w:t>
        </w:r>
        <w:r w:rsidRPr="00BC3776">
          <w:rPr>
            <w:rStyle w:val="Hyperlink"/>
            <w:rFonts w:cstheme="minorHAnsi"/>
            <w:szCs w:val="24"/>
          </w:rPr>
          <w:t>2021</w:t>
        </w:r>
      </w:hyperlink>
      <w:r w:rsidRPr="00BC3776">
        <w:rPr>
          <w:rFonts w:cstheme="minorHAnsi"/>
          <w:szCs w:val="24"/>
        </w:rPr>
        <w:t xml:space="preserve"> [accessed</w:t>
      </w:r>
      <w:r>
        <w:rPr>
          <w:rFonts w:cstheme="minorHAnsi"/>
          <w:szCs w:val="24"/>
        </w:rPr>
        <w:t>:</w:t>
      </w:r>
      <w:r w:rsidRPr="00BC3776">
        <w:rPr>
          <w:rFonts w:cstheme="minorHAnsi"/>
          <w:szCs w:val="24"/>
        </w:rPr>
        <w:t xml:space="preserve"> 24 May 2022], fig. 8.9.</w:t>
      </w:r>
    </w:p>
  </w:footnote>
  <w:footnote w:id="478">
    <w:p w14:paraId="1E13BEF5" w14:textId="2BA93EBA"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Ibid.,</w:t>
      </w:r>
      <w:r w:rsidRPr="00BC3776">
        <w:rPr>
          <w:rFonts w:cstheme="minorHAnsi"/>
          <w:szCs w:val="24"/>
        </w:rPr>
        <w:t xml:space="preserve"> fig. 8.1.</w:t>
      </w:r>
    </w:p>
  </w:footnote>
  <w:footnote w:id="479">
    <w:p w14:paraId="76917DAA" w14:textId="1F936221"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Ibid.</w:t>
      </w:r>
      <w:r w:rsidRPr="00BC3776">
        <w:rPr>
          <w:rFonts w:cstheme="minorHAnsi"/>
          <w:szCs w:val="24"/>
        </w:rPr>
        <w:t>, figs. 8.10 and 8.11.</w:t>
      </w:r>
    </w:p>
  </w:footnote>
  <w:footnote w:id="480">
    <w:p w14:paraId="468ED998" w14:textId="26EA38B8"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Ibid., p.52; HM Inspectorate of Prisons</w:t>
      </w:r>
      <w:r w:rsidRPr="00BC3776">
        <w:rPr>
          <w:rFonts w:cstheme="minorHAnsi"/>
          <w:szCs w:val="24"/>
        </w:rPr>
        <w:t xml:space="preserve"> (2022), </w:t>
      </w:r>
      <w:hyperlink r:id="rId538" w:history="1">
        <w:r w:rsidRPr="00BC3776">
          <w:rPr>
            <w:rStyle w:val="Hyperlink"/>
            <w:rFonts w:cstheme="minorHAnsi"/>
            <w:szCs w:val="24"/>
          </w:rPr>
          <w:t>HM Chief Inspectorate of Prisons annual report: 2021 to 2022</w:t>
        </w:r>
      </w:hyperlink>
      <w:r w:rsidRPr="00BC3776">
        <w:rPr>
          <w:rFonts w:cstheme="minorHAnsi"/>
          <w:szCs w:val="24"/>
        </w:rPr>
        <w:t xml:space="preserve"> [accessed</w:t>
      </w:r>
      <w:r>
        <w:rPr>
          <w:rFonts w:cstheme="minorHAnsi"/>
          <w:szCs w:val="24"/>
        </w:rPr>
        <w:t>:</w:t>
      </w:r>
      <w:r w:rsidRPr="00BC3776">
        <w:rPr>
          <w:rFonts w:cstheme="minorHAnsi"/>
          <w:szCs w:val="24"/>
        </w:rPr>
        <w:t xml:space="preserve"> 4 August 2022], p. 77.</w:t>
      </w:r>
    </w:p>
  </w:footnote>
  <w:footnote w:id="481">
    <w:p w14:paraId="713E795A" w14:textId="1870AC8C"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Taylor, C. (2020) </w:t>
      </w:r>
      <w:hyperlink r:id="rId539" w:history="1">
        <w:r w:rsidRPr="00BC3776">
          <w:rPr>
            <w:rStyle w:val="Hyperlink"/>
            <w:rFonts w:cstheme="minorHAnsi"/>
            <w:szCs w:val="24"/>
          </w:rPr>
          <w:t>A review of the use of pain-inducing techniques in the youth secure estate</w:t>
        </w:r>
      </w:hyperlink>
      <w:r w:rsidRPr="00BC3776">
        <w:rPr>
          <w:rFonts w:cstheme="minorHAnsi"/>
          <w:szCs w:val="24"/>
        </w:rPr>
        <w:t xml:space="preserve"> [accessed</w:t>
      </w:r>
      <w:r>
        <w:rPr>
          <w:rFonts w:cstheme="minorHAnsi"/>
          <w:szCs w:val="24"/>
        </w:rPr>
        <w:t>:</w:t>
      </w:r>
      <w:r w:rsidRPr="00BC3776">
        <w:rPr>
          <w:rFonts w:cstheme="minorHAnsi"/>
          <w:szCs w:val="24"/>
        </w:rPr>
        <w:t xml:space="preserve"> 24 May 2022]</w:t>
      </w:r>
      <w:r>
        <w:rPr>
          <w:rFonts w:cstheme="minorHAnsi"/>
          <w:szCs w:val="24"/>
        </w:rPr>
        <w:t>, p.29</w:t>
      </w:r>
      <w:r w:rsidRPr="00BC3776">
        <w:rPr>
          <w:rFonts w:cstheme="minorHAnsi"/>
          <w:szCs w:val="24"/>
        </w:rPr>
        <w:t>.</w:t>
      </w:r>
    </w:p>
  </w:footnote>
  <w:footnote w:id="482">
    <w:p w14:paraId="04C2696F" w14:textId="438EB6AD"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United Nations </w:t>
      </w:r>
      <w:r w:rsidRPr="00BC3776">
        <w:rPr>
          <w:rFonts w:cstheme="minorHAnsi"/>
          <w:szCs w:val="24"/>
        </w:rPr>
        <w:t xml:space="preserve">Committee on the Rights of the Child (2016) </w:t>
      </w:r>
      <w:hyperlink r:id="rId540" w:history="1">
        <w:r w:rsidRPr="00BC3776">
          <w:rPr>
            <w:rStyle w:val="Hyperlink"/>
            <w:rFonts w:cstheme="minorHAnsi"/>
            <w:szCs w:val="24"/>
          </w:rPr>
          <w:t>Concluding observations on the fifth periodic report of the United Kingdom of Great Britain and Northern Ireland</w:t>
        </w:r>
      </w:hyperlink>
      <w:r w:rsidRPr="00BC3776">
        <w:rPr>
          <w:rFonts w:cstheme="minorHAnsi"/>
          <w:szCs w:val="24"/>
        </w:rPr>
        <w:t xml:space="preserve">, para.40(b); </w:t>
      </w:r>
      <w:r>
        <w:rPr>
          <w:rFonts w:cstheme="minorHAnsi"/>
          <w:szCs w:val="24"/>
        </w:rPr>
        <w:t xml:space="preserve">UK Parliament </w:t>
      </w:r>
      <w:r w:rsidRPr="00BC3776">
        <w:rPr>
          <w:rFonts w:cstheme="minorHAnsi"/>
          <w:szCs w:val="24"/>
        </w:rPr>
        <w:t xml:space="preserve">Joint Committee on Human Rights (2019), </w:t>
      </w:r>
      <w:hyperlink r:id="rId541" w:history="1">
        <w:r w:rsidRPr="00BC3776">
          <w:rPr>
            <w:rStyle w:val="Hyperlink"/>
            <w:rFonts w:cstheme="minorHAnsi"/>
            <w:szCs w:val="24"/>
          </w:rPr>
          <w:t>Youth detention: solitary confinement and restraint: Nineteenth Report of Session 2017–19</w:t>
        </w:r>
      </w:hyperlink>
      <w:r w:rsidRPr="00BC3776">
        <w:rPr>
          <w:rFonts w:cstheme="minorHAnsi"/>
          <w:szCs w:val="24"/>
        </w:rPr>
        <w:t xml:space="preserve"> [accessed</w:t>
      </w:r>
      <w:r>
        <w:rPr>
          <w:rFonts w:cstheme="minorHAnsi"/>
          <w:szCs w:val="24"/>
        </w:rPr>
        <w:t>:</w:t>
      </w:r>
      <w:r w:rsidRPr="00BC3776">
        <w:rPr>
          <w:rFonts w:cstheme="minorHAnsi"/>
          <w:szCs w:val="24"/>
        </w:rPr>
        <w:t xml:space="preserve"> 24 May 2022], p.3.</w:t>
      </w:r>
    </w:p>
  </w:footnote>
  <w:footnote w:id="483">
    <w:p w14:paraId="315384FE" w14:textId="2D1D2987"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Youth Justice Board</w:t>
      </w:r>
      <w:r w:rsidRPr="00BC3776">
        <w:rPr>
          <w:rFonts w:cstheme="minorHAnsi"/>
          <w:szCs w:val="24"/>
        </w:rPr>
        <w:t xml:space="preserve"> (2022), </w:t>
      </w:r>
      <w:hyperlink r:id="rId542" w:history="1">
        <w:r w:rsidRPr="00BC3776">
          <w:rPr>
            <w:rStyle w:val="Hyperlink"/>
            <w:rFonts w:cstheme="minorHAnsi"/>
            <w:szCs w:val="24"/>
          </w:rPr>
          <w:t>Youth justice statistics: 2020 to 21 supplementary tables</w:t>
        </w:r>
      </w:hyperlink>
      <w:r w:rsidRPr="00BC3776">
        <w:rPr>
          <w:rFonts w:cstheme="minorHAnsi"/>
          <w:szCs w:val="24"/>
        </w:rPr>
        <w:t>, Ch 8 Behaviour management in the youth secure estate, Table 8.28 [accessed</w:t>
      </w:r>
      <w:r>
        <w:rPr>
          <w:rFonts w:cstheme="minorHAnsi"/>
          <w:szCs w:val="24"/>
        </w:rPr>
        <w:t>:</w:t>
      </w:r>
      <w:r w:rsidRPr="00BC3776">
        <w:rPr>
          <w:rFonts w:cstheme="minorHAnsi"/>
          <w:szCs w:val="24"/>
        </w:rPr>
        <w:t xml:space="preserve"> 7 F</w:t>
      </w:r>
      <w:r>
        <w:rPr>
          <w:rFonts w:cstheme="minorHAnsi"/>
          <w:szCs w:val="24"/>
        </w:rPr>
        <w:t>ebruary 2022]; Youth Justice Board</w:t>
      </w:r>
      <w:r w:rsidRPr="00BC3776">
        <w:rPr>
          <w:rFonts w:cstheme="minorHAnsi"/>
          <w:szCs w:val="24"/>
        </w:rPr>
        <w:t xml:space="preserve"> (2018), </w:t>
      </w:r>
      <w:hyperlink r:id="rId543" w:history="1">
        <w:r w:rsidRPr="00BC3776">
          <w:rPr>
            <w:rStyle w:val="Hyperlink"/>
            <w:rFonts w:cstheme="minorHAnsi"/>
            <w:szCs w:val="24"/>
          </w:rPr>
          <w:t>Youth justice annual statistics: 2016 to 2017 supplementary tables</w:t>
        </w:r>
      </w:hyperlink>
      <w:r w:rsidRPr="00BC3776">
        <w:rPr>
          <w:rFonts w:cstheme="minorHAnsi"/>
          <w:szCs w:val="24"/>
        </w:rPr>
        <w:t>, Ch 8 Behaviour management in the youth secure estate, Table 8.28 [accessed</w:t>
      </w:r>
      <w:r>
        <w:rPr>
          <w:rFonts w:cstheme="minorHAnsi"/>
          <w:szCs w:val="24"/>
        </w:rPr>
        <w:t>:</w:t>
      </w:r>
      <w:r w:rsidRPr="00BC3776">
        <w:rPr>
          <w:rFonts w:cstheme="minorHAnsi"/>
          <w:szCs w:val="24"/>
        </w:rPr>
        <w:t xml:space="preserve"> 7 February 2022].</w:t>
      </w:r>
    </w:p>
  </w:footnote>
  <w:footnote w:id="484">
    <w:p w14:paraId="6C21CA8E" w14:textId="3CA09242"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Ministry of Justice (2020), </w:t>
      </w:r>
      <w:hyperlink r:id="rId544" w:history="1">
        <w:r w:rsidRPr="00BC3776">
          <w:rPr>
            <w:rStyle w:val="Hyperlink"/>
            <w:rFonts w:cstheme="minorHAnsi"/>
            <w:szCs w:val="24"/>
          </w:rPr>
          <w:t>Independent review of pain-inducing techniques – Government response</w:t>
        </w:r>
      </w:hyperlink>
      <w:r w:rsidRPr="00BC3776">
        <w:rPr>
          <w:rFonts w:cstheme="minorHAnsi"/>
          <w:szCs w:val="24"/>
        </w:rPr>
        <w:t xml:space="preserve"> [accessed</w:t>
      </w:r>
      <w:r>
        <w:rPr>
          <w:rFonts w:cstheme="minorHAnsi"/>
          <w:szCs w:val="24"/>
        </w:rPr>
        <w:t>:</w:t>
      </w:r>
      <w:r w:rsidRPr="00BC3776">
        <w:rPr>
          <w:rFonts w:cstheme="minorHAnsi"/>
          <w:szCs w:val="24"/>
        </w:rPr>
        <w:t xml:space="preserve"> 7 February 2022], p.15.</w:t>
      </w:r>
    </w:p>
  </w:footnote>
  <w:footnote w:id="485">
    <w:p w14:paraId="676491F5" w14:textId="49F79E17"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Youth Justice Board</w:t>
      </w:r>
      <w:r w:rsidRPr="00BC3776">
        <w:rPr>
          <w:rFonts w:cstheme="minorHAnsi"/>
          <w:szCs w:val="24"/>
        </w:rPr>
        <w:t xml:space="preserve"> (2022), </w:t>
      </w:r>
      <w:hyperlink r:id="rId545" w:history="1">
        <w:r w:rsidRPr="00BC3776">
          <w:rPr>
            <w:rStyle w:val="Hyperlink"/>
            <w:rFonts w:cstheme="minorHAnsi"/>
            <w:szCs w:val="24"/>
          </w:rPr>
          <w:t>Youth justice statistics: 2020 to 21 supplementary tables</w:t>
        </w:r>
      </w:hyperlink>
      <w:r w:rsidRPr="00BC3776">
        <w:rPr>
          <w:rFonts w:cstheme="minorHAnsi"/>
          <w:szCs w:val="24"/>
        </w:rPr>
        <w:t>, Ch 8 Behaviour management in the youth secure estate, Table 8.28 [accessed</w:t>
      </w:r>
      <w:r>
        <w:rPr>
          <w:rFonts w:cstheme="minorHAnsi"/>
          <w:szCs w:val="24"/>
        </w:rPr>
        <w:t>:</w:t>
      </w:r>
      <w:r w:rsidRPr="00BC3776">
        <w:rPr>
          <w:rFonts w:cstheme="minorHAnsi"/>
          <w:szCs w:val="24"/>
        </w:rPr>
        <w:t xml:space="preserve"> 7 F</w:t>
      </w:r>
      <w:r>
        <w:rPr>
          <w:rFonts w:cstheme="minorHAnsi"/>
          <w:szCs w:val="24"/>
        </w:rPr>
        <w:t>ebruary 2022]; and Youth Justice Board</w:t>
      </w:r>
      <w:r w:rsidRPr="00BC3776">
        <w:rPr>
          <w:rFonts w:cstheme="minorHAnsi"/>
          <w:szCs w:val="24"/>
        </w:rPr>
        <w:t xml:space="preserve"> (2018), </w:t>
      </w:r>
      <w:hyperlink r:id="rId546" w:history="1">
        <w:r w:rsidRPr="00BC3776">
          <w:rPr>
            <w:rStyle w:val="Hyperlink"/>
            <w:rFonts w:cstheme="minorHAnsi"/>
            <w:szCs w:val="24"/>
          </w:rPr>
          <w:t>Youth justice annual statistics: 2016 to 2017 supplementary tables</w:t>
        </w:r>
      </w:hyperlink>
      <w:r w:rsidRPr="00BC3776">
        <w:rPr>
          <w:rFonts w:cstheme="minorHAnsi"/>
          <w:szCs w:val="24"/>
        </w:rPr>
        <w:t>, Ch 8 Behaviour management in the youth secure estate, Table 8.28 [accessed</w:t>
      </w:r>
      <w:r>
        <w:rPr>
          <w:rFonts w:cstheme="minorHAnsi"/>
          <w:szCs w:val="24"/>
        </w:rPr>
        <w:t>:</w:t>
      </w:r>
      <w:r w:rsidRPr="00BC3776">
        <w:rPr>
          <w:rFonts w:cstheme="minorHAnsi"/>
          <w:szCs w:val="24"/>
        </w:rPr>
        <w:t xml:space="preserve"> 7 February 2022].</w:t>
      </w:r>
    </w:p>
  </w:footnote>
  <w:footnote w:id="486">
    <w:p w14:paraId="18406542" w14:textId="358BD1A9"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Yo</w:t>
      </w:r>
      <w:r>
        <w:rPr>
          <w:rFonts w:cstheme="minorHAnsi"/>
          <w:szCs w:val="24"/>
        </w:rPr>
        <w:t xml:space="preserve">uth Justice Board </w:t>
      </w:r>
      <w:r w:rsidRPr="00BC3776">
        <w:rPr>
          <w:rFonts w:cstheme="minorHAnsi"/>
          <w:szCs w:val="24"/>
        </w:rPr>
        <w:t xml:space="preserve">(2022), </w:t>
      </w:r>
      <w:hyperlink r:id="rId547" w:history="1">
        <w:r w:rsidRPr="00BC3776">
          <w:rPr>
            <w:rStyle w:val="Hyperlink"/>
            <w:rFonts w:cstheme="minorHAnsi"/>
            <w:szCs w:val="24"/>
          </w:rPr>
          <w:t>Youth ju</w:t>
        </w:r>
        <w:r>
          <w:rPr>
            <w:rStyle w:val="Hyperlink"/>
            <w:rFonts w:cstheme="minorHAnsi"/>
            <w:szCs w:val="24"/>
          </w:rPr>
          <w:t>stice statistics 2020/</w:t>
        </w:r>
        <w:r w:rsidRPr="00BC3776">
          <w:rPr>
            <w:rStyle w:val="Hyperlink"/>
            <w:rFonts w:cstheme="minorHAnsi"/>
            <w:szCs w:val="24"/>
          </w:rPr>
          <w:t>2021</w:t>
        </w:r>
      </w:hyperlink>
      <w:r w:rsidRPr="00BC3776">
        <w:rPr>
          <w:rFonts w:cstheme="minorHAnsi"/>
          <w:szCs w:val="24"/>
        </w:rPr>
        <w:t xml:space="preserve"> [accessed</w:t>
      </w:r>
      <w:r>
        <w:rPr>
          <w:rFonts w:cstheme="minorHAnsi"/>
          <w:szCs w:val="24"/>
        </w:rPr>
        <w:t>:</w:t>
      </w:r>
      <w:r w:rsidRPr="00BC3776">
        <w:rPr>
          <w:rFonts w:cstheme="minorHAnsi"/>
          <w:szCs w:val="24"/>
        </w:rPr>
        <w:t xml:space="preserve"> 24 May 2022], para. 8.4.</w:t>
      </w:r>
    </w:p>
  </w:footnote>
  <w:footnote w:id="487">
    <w:p w14:paraId="7979551D" w14:textId="56FACE60"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HM Inspectorate of Prisons (2021), </w:t>
      </w:r>
      <w:hyperlink r:id="rId548" w:history="1">
        <w:r w:rsidRPr="00BC3776">
          <w:rPr>
            <w:rStyle w:val="Hyperlink"/>
            <w:rFonts w:cstheme="minorHAnsi"/>
            <w:szCs w:val="24"/>
          </w:rPr>
          <w:t>Children in custody 2019</w:t>
        </w:r>
        <w:r w:rsidRPr="00DA6532">
          <w:rPr>
            <w:rStyle w:val="Hyperlink"/>
            <w:rFonts w:cstheme="minorHAnsi"/>
            <w:szCs w:val="24"/>
          </w:rPr>
          <w:t>–</w:t>
        </w:r>
        <w:r w:rsidRPr="00BC3776">
          <w:rPr>
            <w:rStyle w:val="Hyperlink"/>
            <w:rFonts w:cstheme="minorHAnsi"/>
            <w:szCs w:val="24"/>
          </w:rPr>
          <w:t>20: an analysis of 12</w:t>
        </w:r>
        <w:r w:rsidRPr="00DA6532">
          <w:rPr>
            <w:rStyle w:val="Hyperlink"/>
            <w:rFonts w:cstheme="minorHAnsi"/>
            <w:szCs w:val="24"/>
          </w:rPr>
          <w:t>–</w:t>
        </w:r>
        <w:r w:rsidRPr="00BC3776">
          <w:rPr>
            <w:rStyle w:val="Hyperlink"/>
            <w:rFonts w:cstheme="minorHAnsi"/>
            <w:szCs w:val="24"/>
          </w:rPr>
          <w:t>18 year-olds’ perceptions of their experiences in secure training centres and young offender institutions</w:t>
        </w:r>
      </w:hyperlink>
      <w:r w:rsidRPr="00BC3776">
        <w:rPr>
          <w:rFonts w:cstheme="minorHAnsi"/>
          <w:szCs w:val="24"/>
        </w:rPr>
        <w:t xml:space="preserve"> [accessed</w:t>
      </w:r>
      <w:r>
        <w:rPr>
          <w:rFonts w:cstheme="minorHAnsi"/>
          <w:szCs w:val="24"/>
        </w:rPr>
        <w:t>:</w:t>
      </w:r>
      <w:r w:rsidRPr="00BC3776">
        <w:rPr>
          <w:rFonts w:cstheme="minorHAnsi"/>
          <w:szCs w:val="24"/>
        </w:rPr>
        <w:t xml:space="preserve"> 24 May 2022], p.34.</w:t>
      </w:r>
    </w:p>
  </w:footnote>
  <w:footnote w:id="488">
    <w:p w14:paraId="3EC325F5" w14:textId="750C7E53"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Ibid.</w:t>
      </w:r>
      <w:r w:rsidRPr="00BC3776">
        <w:rPr>
          <w:rFonts w:cstheme="minorHAnsi"/>
          <w:szCs w:val="24"/>
        </w:rPr>
        <w:t>, p.36.</w:t>
      </w:r>
    </w:p>
  </w:footnote>
  <w:footnote w:id="489">
    <w:p w14:paraId="5F93FB8C" w14:textId="5D68C80A"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Ibid.</w:t>
      </w:r>
      <w:r w:rsidRPr="00BC3776">
        <w:rPr>
          <w:rFonts w:cstheme="minorHAnsi"/>
          <w:szCs w:val="24"/>
        </w:rPr>
        <w:t>, pp.</w:t>
      </w:r>
      <w:r>
        <w:rPr>
          <w:rFonts w:cstheme="minorHAnsi"/>
          <w:szCs w:val="24"/>
        </w:rPr>
        <w:t xml:space="preserve"> </w:t>
      </w:r>
      <w:r w:rsidRPr="00BC3776">
        <w:rPr>
          <w:rFonts w:cstheme="minorHAnsi"/>
          <w:szCs w:val="24"/>
        </w:rPr>
        <w:t>36</w:t>
      </w:r>
      <w:r>
        <w:rPr>
          <w:rFonts w:cstheme="minorHAnsi"/>
          <w:szCs w:val="24"/>
        </w:rPr>
        <w:t>–</w:t>
      </w:r>
      <w:r w:rsidRPr="00BC3776">
        <w:rPr>
          <w:rFonts w:cstheme="minorHAnsi"/>
          <w:szCs w:val="24"/>
        </w:rPr>
        <w:t>37.</w:t>
      </w:r>
    </w:p>
  </w:footnote>
  <w:footnote w:id="490">
    <w:p w14:paraId="4B261801" w14:textId="494B1C75"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Independent Inquiry into Child Sexual Abuse (2019), </w:t>
      </w:r>
      <w:hyperlink r:id="rId549" w:history="1">
        <w:r w:rsidRPr="00BC3776">
          <w:rPr>
            <w:rStyle w:val="Hyperlink"/>
            <w:rFonts w:cstheme="minorHAnsi"/>
            <w:szCs w:val="24"/>
          </w:rPr>
          <w:t>Sexual abuse of children in custodial institutions: 2009-2017</w:t>
        </w:r>
      </w:hyperlink>
      <w:r w:rsidRPr="00BC3776">
        <w:rPr>
          <w:rFonts w:cstheme="minorHAnsi"/>
          <w:szCs w:val="24"/>
        </w:rPr>
        <w:t xml:space="preserve"> [accessed</w:t>
      </w:r>
      <w:r>
        <w:rPr>
          <w:rFonts w:cstheme="minorHAnsi"/>
          <w:szCs w:val="24"/>
        </w:rPr>
        <w:t>:</w:t>
      </w:r>
      <w:r w:rsidRPr="00BC3776">
        <w:rPr>
          <w:rFonts w:cstheme="minorHAnsi"/>
          <w:szCs w:val="24"/>
        </w:rPr>
        <w:t xml:space="preserve"> 24 May 2022].</w:t>
      </w:r>
    </w:p>
  </w:footnote>
  <w:footnote w:id="491">
    <w:p w14:paraId="0F73B8A8" w14:textId="5CFEC17D"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United Nations Office on Drugs and Crime, </w:t>
      </w:r>
      <w:hyperlink r:id="rId550" w:history="1">
        <w:r w:rsidRPr="00BC3776">
          <w:rPr>
            <w:rStyle w:val="Hyperlink"/>
            <w:rFonts w:cstheme="minorHAnsi"/>
            <w:szCs w:val="24"/>
          </w:rPr>
          <w:t>The United Nations Standard Minimum Rules for the Treatment of Prisoners (the Nelson Mandela Rules)</w:t>
        </w:r>
      </w:hyperlink>
      <w:r w:rsidRPr="00BC3776">
        <w:rPr>
          <w:rFonts w:cstheme="minorHAnsi"/>
          <w:szCs w:val="24"/>
        </w:rPr>
        <w:t xml:space="preserve"> [accessed</w:t>
      </w:r>
      <w:r>
        <w:rPr>
          <w:rFonts w:cstheme="minorHAnsi"/>
          <w:szCs w:val="24"/>
        </w:rPr>
        <w:t>:</w:t>
      </w:r>
      <w:r w:rsidRPr="00BC3776">
        <w:rPr>
          <w:rFonts w:cstheme="minorHAnsi"/>
          <w:szCs w:val="24"/>
        </w:rPr>
        <w:t xml:space="preserve"> 24 May 2022]</w:t>
      </w:r>
      <w:r>
        <w:rPr>
          <w:rFonts w:cstheme="minorHAnsi"/>
          <w:szCs w:val="24"/>
        </w:rPr>
        <w:t>, Rules 43–45.</w:t>
      </w:r>
    </w:p>
  </w:footnote>
  <w:footnote w:id="492">
    <w:p w14:paraId="657FB3C9" w14:textId="303C9A7E"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T</w:t>
      </w:r>
      <w:r w:rsidRPr="00BC3776">
        <w:rPr>
          <w:rFonts w:cstheme="minorHAnsi"/>
          <w:szCs w:val="24"/>
        </w:rPr>
        <w:t xml:space="preserve">he Children’s Commissioner </w:t>
      </w:r>
      <w:r>
        <w:rPr>
          <w:rFonts w:cstheme="minorHAnsi"/>
          <w:szCs w:val="24"/>
        </w:rPr>
        <w:t xml:space="preserve">for England </w:t>
      </w:r>
      <w:r w:rsidRPr="00BC3776">
        <w:rPr>
          <w:rFonts w:cstheme="minorHAnsi"/>
          <w:szCs w:val="24"/>
        </w:rPr>
        <w:t xml:space="preserve">(2020), </w:t>
      </w:r>
      <w:hyperlink r:id="rId551" w:history="1">
        <w:r w:rsidRPr="00BC3776">
          <w:rPr>
            <w:rStyle w:val="Hyperlink"/>
            <w:rFonts w:cstheme="minorHAnsi"/>
            <w:szCs w:val="24"/>
          </w:rPr>
          <w:t>Briefing: Children in custody</w:t>
        </w:r>
      </w:hyperlink>
      <w:r w:rsidRPr="00BC3776">
        <w:rPr>
          <w:rFonts w:cstheme="minorHAnsi"/>
          <w:szCs w:val="24"/>
        </w:rPr>
        <w:t xml:space="preserve"> [accessed</w:t>
      </w:r>
      <w:r>
        <w:rPr>
          <w:rFonts w:cstheme="minorHAnsi"/>
          <w:szCs w:val="24"/>
        </w:rPr>
        <w:t>:</w:t>
      </w:r>
      <w:r w:rsidRPr="00BC3776">
        <w:rPr>
          <w:rFonts w:cstheme="minorHAnsi"/>
          <w:szCs w:val="24"/>
        </w:rPr>
        <w:t xml:space="preserve"> 24 May 2022]; Howard League for Penal reform (2020), </w:t>
      </w:r>
      <w:hyperlink r:id="rId552" w:history="1">
        <w:r w:rsidRPr="00BC3776">
          <w:rPr>
            <w:rStyle w:val="Hyperlink"/>
            <w:rFonts w:cstheme="minorHAnsi"/>
            <w:szCs w:val="24"/>
          </w:rPr>
          <w:t>Children in prison during the Covid-19 pandemic</w:t>
        </w:r>
      </w:hyperlink>
      <w:r w:rsidRPr="00BC3776">
        <w:rPr>
          <w:rFonts w:cstheme="minorHAnsi"/>
          <w:szCs w:val="24"/>
        </w:rPr>
        <w:t xml:space="preserve"> [accessed</w:t>
      </w:r>
      <w:r>
        <w:rPr>
          <w:rFonts w:cstheme="minorHAnsi"/>
          <w:szCs w:val="24"/>
        </w:rPr>
        <w:t>:</w:t>
      </w:r>
      <w:r w:rsidRPr="00BC3776">
        <w:rPr>
          <w:rFonts w:cstheme="minorHAnsi"/>
          <w:szCs w:val="24"/>
        </w:rPr>
        <w:t xml:space="preserve"> 24 May 2022]</w:t>
      </w:r>
      <w:r>
        <w:rPr>
          <w:rFonts w:cstheme="minorHAnsi"/>
          <w:szCs w:val="24"/>
        </w:rPr>
        <w:t>, p.2</w:t>
      </w:r>
      <w:r w:rsidRPr="00BC3776">
        <w:rPr>
          <w:rFonts w:cstheme="minorHAnsi"/>
          <w:szCs w:val="24"/>
        </w:rPr>
        <w:t>.</w:t>
      </w:r>
    </w:p>
  </w:footnote>
  <w:footnote w:id="493">
    <w:p w14:paraId="752FA983" w14:textId="51417432"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HM Chief Inspector of Prisons (2020)</w:t>
      </w:r>
      <w:r>
        <w:rPr>
          <w:rFonts w:cstheme="minorHAnsi"/>
          <w:szCs w:val="24"/>
        </w:rPr>
        <w:t>,</w:t>
      </w:r>
      <w:r w:rsidRPr="00BC3776">
        <w:rPr>
          <w:rFonts w:cstheme="minorHAnsi"/>
          <w:szCs w:val="24"/>
        </w:rPr>
        <w:t xml:space="preserve"> </w:t>
      </w:r>
      <w:hyperlink r:id="rId553" w:history="1">
        <w:r w:rsidRPr="00BC3776">
          <w:rPr>
            <w:rStyle w:val="Hyperlink"/>
            <w:rFonts w:cstheme="minorHAnsi"/>
            <w:szCs w:val="24"/>
          </w:rPr>
          <w:t>Report on short scrutiny visits to young offender institutions holding children</w:t>
        </w:r>
      </w:hyperlink>
      <w:r w:rsidRPr="00BC3776">
        <w:rPr>
          <w:rFonts w:cstheme="minorHAnsi"/>
          <w:szCs w:val="24"/>
        </w:rPr>
        <w:t xml:space="preserve"> [accessed</w:t>
      </w:r>
      <w:r>
        <w:rPr>
          <w:rFonts w:cstheme="minorHAnsi"/>
          <w:szCs w:val="24"/>
        </w:rPr>
        <w:t>:</w:t>
      </w:r>
      <w:r w:rsidRPr="00BC3776">
        <w:rPr>
          <w:rFonts w:cstheme="minorHAnsi"/>
          <w:szCs w:val="24"/>
        </w:rPr>
        <w:t xml:space="preserve"> 24 May 2022], p.7.</w:t>
      </w:r>
    </w:p>
  </w:footnote>
  <w:footnote w:id="494">
    <w:p w14:paraId="4086FE53" w14:textId="0F4F1521"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Youth Jus</w:t>
      </w:r>
      <w:r>
        <w:rPr>
          <w:rFonts w:cstheme="minorHAnsi"/>
          <w:szCs w:val="24"/>
        </w:rPr>
        <w:t>tice Board</w:t>
      </w:r>
      <w:r w:rsidRPr="00BC3776">
        <w:rPr>
          <w:rFonts w:cstheme="minorHAnsi"/>
          <w:szCs w:val="24"/>
        </w:rPr>
        <w:t xml:space="preserve"> (2022), </w:t>
      </w:r>
      <w:hyperlink r:id="rId554" w:history="1">
        <w:r w:rsidRPr="00BC3776">
          <w:rPr>
            <w:rStyle w:val="Hyperlink"/>
            <w:rFonts w:cstheme="minorHAnsi"/>
            <w:szCs w:val="24"/>
          </w:rPr>
          <w:t>Yo</w:t>
        </w:r>
        <w:r>
          <w:rPr>
            <w:rStyle w:val="Hyperlink"/>
            <w:rFonts w:cstheme="minorHAnsi"/>
            <w:szCs w:val="24"/>
          </w:rPr>
          <w:t xml:space="preserve">uth justice statistics: 2020 to </w:t>
        </w:r>
        <w:r w:rsidRPr="00BC3776">
          <w:rPr>
            <w:rStyle w:val="Hyperlink"/>
            <w:rFonts w:cstheme="minorHAnsi"/>
            <w:szCs w:val="24"/>
          </w:rPr>
          <w:t>202</w:t>
        </w:r>
        <w:r>
          <w:rPr>
            <w:rStyle w:val="Hyperlink"/>
            <w:rFonts w:cstheme="minorHAnsi"/>
            <w:szCs w:val="24"/>
          </w:rPr>
          <w:t>1 supplementary tables</w:t>
        </w:r>
      </w:hyperlink>
      <w:r w:rsidRPr="00BC3776">
        <w:rPr>
          <w:rFonts w:cstheme="minorHAnsi"/>
          <w:szCs w:val="24"/>
        </w:rPr>
        <w:t xml:space="preserve"> [accessed</w:t>
      </w:r>
      <w:r>
        <w:rPr>
          <w:rFonts w:cstheme="minorHAnsi"/>
          <w:szCs w:val="24"/>
        </w:rPr>
        <w:t>:</w:t>
      </w:r>
      <w:r w:rsidRPr="00BC3776">
        <w:rPr>
          <w:rFonts w:cstheme="minorHAnsi"/>
          <w:szCs w:val="24"/>
        </w:rPr>
        <w:t xml:space="preserve"> 24 M</w:t>
      </w:r>
      <w:r>
        <w:rPr>
          <w:rFonts w:cstheme="minorHAnsi"/>
          <w:szCs w:val="24"/>
        </w:rPr>
        <w:t xml:space="preserve">ay 2022], </w:t>
      </w:r>
      <w:r w:rsidRPr="00BC3776">
        <w:rPr>
          <w:rFonts w:cstheme="minorHAnsi"/>
          <w:szCs w:val="24"/>
        </w:rPr>
        <w:t>Ch 8 – Behaviour management in the youth secure estate, Table 8.9.</w:t>
      </w:r>
    </w:p>
  </w:footnote>
  <w:footnote w:id="495">
    <w:p w14:paraId="0B42C35C" w14:textId="4E960A00"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Youth Just</w:t>
      </w:r>
      <w:r>
        <w:rPr>
          <w:rFonts w:cstheme="minorHAnsi"/>
          <w:szCs w:val="24"/>
        </w:rPr>
        <w:t xml:space="preserve">ice Board </w:t>
      </w:r>
      <w:r w:rsidRPr="00BC3776">
        <w:rPr>
          <w:rFonts w:cstheme="minorHAnsi"/>
          <w:szCs w:val="24"/>
        </w:rPr>
        <w:t xml:space="preserve">(2022), </w:t>
      </w:r>
      <w:hyperlink r:id="rId555" w:history="1">
        <w:r>
          <w:rPr>
            <w:rStyle w:val="Hyperlink"/>
            <w:rFonts w:cstheme="minorHAnsi"/>
            <w:szCs w:val="24"/>
          </w:rPr>
          <w:t>Youth justice statistics 2020/</w:t>
        </w:r>
        <w:r w:rsidRPr="00BC3776">
          <w:rPr>
            <w:rStyle w:val="Hyperlink"/>
            <w:rFonts w:cstheme="minorHAnsi"/>
            <w:szCs w:val="24"/>
          </w:rPr>
          <w:t>2021</w:t>
        </w:r>
      </w:hyperlink>
      <w:r w:rsidRPr="00BC3776">
        <w:rPr>
          <w:rFonts w:cstheme="minorHAnsi"/>
          <w:szCs w:val="24"/>
        </w:rPr>
        <w:t xml:space="preserve"> [accessed</w:t>
      </w:r>
      <w:r>
        <w:rPr>
          <w:rFonts w:cstheme="minorHAnsi"/>
          <w:szCs w:val="24"/>
        </w:rPr>
        <w:t>:</w:t>
      </w:r>
      <w:r w:rsidRPr="00BC3776">
        <w:rPr>
          <w:rFonts w:cstheme="minorHAnsi"/>
          <w:szCs w:val="24"/>
        </w:rPr>
        <w:t xml:space="preserve"> 24 May 2022], fig. 8.4.</w:t>
      </w:r>
    </w:p>
  </w:footnote>
  <w:footnote w:id="496">
    <w:p w14:paraId="1B4D6270" w14:textId="2699EF6B"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w:t>
      </w:r>
      <w:r w:rsidRPr="00BC3776">
        <w:rPr>
          <w:rFonts w:cstheme="minorHAnsi"/>
          <w:szCs w:val="24"/>
        </w:rPr>
        <w:t>House of Commons Justice Committee (2020)</w:t>
      </w:r>
      <w:r>
        <w:rPr>
          <w:rFonts w:cstheme="minorHAnsi"/>
          <w:szCs w:val="24"/>
        </w:rPr>
        <w:t>,</w:t>
      </w:r>
      <w:r w:rsidRPr="00BC3776">
        <w:rPr>
          <w:rFonts w:cstheme="minorHAnsi"/>
          <w:szCs w:val="24"/>
        </w:rPr>
        <w:t xml:space="preserve"> </w:t>
      </w:r>
      <w:hyperlink r:id="rId556" w:history="1">
        <w:r w:rsidRPr="00BC3776">
          <w:rPr>
            <w:rStyle w:val="Hyperlink"/>
            <w:rFonts w:cstheme="minorHAnsi"/>
            <w:szCs w:val="24"/>
          </w:rPr>
          <w:t>Children and Young People in Custody (part 2): The Youth Secure Estate and Resettlement</w:t>
        </w:r>
      </w:hyperlink>
      <w:r w:rsidRPr="00BC3776">
        <w:rPr>
          <w:rStyle w:val="Hyperlink"/>
          <w:rFonts w:cstheme="minorHAnsi"/>
          <w:szCs w:val="24"/>
        </w:rPr>
        <w:t>,</w:t>
      </w:r>
      <w:r w:rsidRPr="00BC3776">
        <w:rPr>
          <w:rFonts w:cstheme="minorHAnsi"/>
          <w:szCs w:val="24"/>
        </w:rPr>
        <w:t xml:space="preserve"> p.13.</w:t>
      </w:r>
    </w:p>
  </w:footnote>
  <w:footnote w:id="497">
    <w:p w14:paraId="02C61724" w14:textId="4362467F"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HM Inspectorate of Prisons</w:t>
      </w:r>
      <w:r w:rsidRPr="00BC3776">
        <w:rPr>
          <w:rFonts w:cstheme="minorHAnsi"/>
          <w:szCs w:val="24"/>
        </w:rPr>
        <w:t xml:space="preserve"> (2021)</w:t>
      </w:r>
      <w:r>
        <w:rPr>
          <w:rFonts w:cstheme="minorHAnsi"/>
          <w:szCs w:val="24"/>
        </w:rPr>
        <w:t>,</w:t>
      </w:r>
      <w:r w:rsidRPr="00BC3776">
        <w:rPr>
          <w:rFonts w:cstheme="minorHAnsi"/>
          <w:szCs w:val="24"/>
        </w:rPr>
        <w:t xml:space="preserve"> </w:t>
      </w:r>
      <w:hyperlink r:id="rId557" w:history="1">
        <w:r w:rsidRPr="00BC3776">
          <w:rPr>
            <w:rStyle w:val="Hyperlink"/>
            <w:rFonts w:cstheme="minorHAnsi"/>
            <w:szCs w:val="24"/>
          </w:rPr>
          <w:t>Children in Custody 2019–20</w:t>
        </w:r>
        <w:r>
          <w:rPr>
            <w:rStyle w:val="Hyperlink"/>
            <w:rFonts w:cstheme="minorHAnsi"/>
            <w:szCs w:val="24"/>
          </w:rPr>
          <w:t>:</w:t>
        </w:r>
        <w:r w:rsidRPr="00BC3776">
          <w:rPr>
            <w:rStyle w:val="Hyperlink"/>
            <w:rFonts w:cstheme="minorHAnsi"/>
            <w:szCs w:val="24"/>
          </w:rPr>
          <w:t xml:space="preserve"> An analysis of 12–18-year-olds’ perceptions of their experiences in secure training centres and young offender institutions</w:t>
        </w:r>
      </w:hyperlink>
      <w:r>
        <w:rPr>
          <w:rFonts w:cstheme="minorHAnsi"/>
          <w:szCs w:val="24"/>
        </w:rPr>
        <w:t>, p</w:t>
      </w:r>
      <w:r w:rsidRPr="00BC3776">
        <w:rPr>
          <w:rFonts w:cstheme="minorHAnsi"/>
          <w:szCs w:val="24"/>
        </w:rPr>
        <w:t xml:space="preserve">.12 and </w:t>
      </w:r>
      <w:r>
        <w:rPr>
          <w:rFonts w:cstheme="minorHAnsi"/>
          <w:szCs w:val="24"/>
        </w:rPr>
        <w:t>p.</w:t>
      </w:r>
      <w:r w:rsidRPr="00BC3776">
        <w:rPr>
          <w:rFonts w:cstheme="minorHAnsi"/>
          <w:szCs w:val="24"/>
        </w:rPr>
        <w:t>26.</w:t>
      </w:r>
    </w:p>
  </w:footnote>
  <w:footnote w:id="498">
    <w:p w14:paraId="04727941" w14:textId="51D05B08"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HM Inspectorate of Prisons</w:t>
      </w:r>
      <w:r w:rsidRPr="00BC3776">
        <w:rPr>
          <w:rFonts w:cstheme="minorHAnsi"/>
          <w:szCs w:val="24"/>
        </w:rPr>
        <w:t xml:space="preserve"> (2022), </w:t>
      </w:r>
      <w:hyperlink r:id="rId558" w:history="1">
        <w:r w:rsidRPr="0061277C">
          <w:rPr>
            <w:rFonts w:cstheme="minorHAnsi"/>
            <w:color w:val="auto"/>
            <w:szCs w:val="24"/>
            <w:u w:val="single" w:color="009C98" w:themeColor="accent1"/>
          </w:rPr>
          <w:t>HM Chief Inspectorate of Prisons annual report: 2021 to 2022</w:t>
        </w:r>
      </w:hyperlink>
      <w:r w:rsidRPr="00BC3776">
        <w:rPr>
          <w:rFonts w:cstheme="minorHAnsi"/>
          <w:szCs w:val="24"/>
        </w:rPr>
        <w:t xml:space="preserve"> [accessed</w:t>
      </w:r>
      <w:r>
        <w:rPr>
          <w:rFonts w:cstheme="minorHAnsi"/>
          <w:szCs w:val="24"/>
        </w:rPr>
        <w:t>:</w:t>
      </w:r>
      <w:r w:rsidRPr="00BC3776">
        <w:rPr>
          <w:rFonts w:cstheme="minorHAnsi"/>
          <w:szCs w:val="24"/>
        </w:rPr>
        <w:t xml:space="preserve"> 4 Au</w:t>
      </w:r>
      <w:r>
        <w:rPr>
          <w:rFonts w:cstheme="minorHAnsi"/>
          <w:szCs w:val="24"/>
        </w:rPr>
        <w:t>gust 2022], p. 81; HM Inspectorate of Prisons</w:t>
      </w:r>
      <w:r w:rsidRPr="00BC3776">
        <w:rPr>
          <w:rFonts w:cstheme="minorHAnsi"/>
          <w:szCs w:val="24"/>
        </w:rPr>
        <w:t xml:space="preserve"> (2020), </w:t>
      </w:r>
      <w:hyperlink r:id="rId559" w:history="1">
        <w:r w:rsidRPr="0061277C">
          <w:rPr>
            <w:rFonts w:cstheme="minorHAnsi"/>
            <w:color w:val="auto"/>
            <w:szCs w:val="24"/>
            <w:u w:val="single" w:color="009C98" w:themeColor="accent1"/>
          </w:rPr>
          <w:t>HM Chief Inspectorate of Prisons annual report: 2019 to 2020</w:t>
        </w:r>
      </w:hyperlink>
      <w:r w:rsidRPr="00BC3776">
        <w:rPr>
          <w:rFonts w:cstheme="minorHAnsi"/>
          <w:szCs w:val="24"/>
        </w:rPr>
        <w:t xml:space="preserve"> [accessed</w:t>
      </w:r>
      <w:r>
        <w:rPr>
          <w:rFonts w:cstheme="minorHAnsi"/>
          <w:szCs w:val="24"/>
        </w:rPr>
        <w:t>:</w:t>
      </w:r>
      <w:r w:rsidRPr="00BC3776">
        <w:rPr>
          <w:rFonts w:cstheme="minorHAnsi"/>
          <w:szCs w:val="24"/>
        </w:rPr>
        <w:t xml:space="preserve"> 4 August 2022], p</w:t>
      </w:r>
      <w:r>
        <w:rPr>
          <w:rFonts w:cstheme="minorHAnsi"/>
          <w:szCs w:val="24"/>
        </w:rPr>
        <w:t>.</w:t>
      </w:r>
      <w:r w:rsidRPr="00BC3776">
        <w:rPr>
          <w:rFonts w:cstheme="minorHAnsi"/>
          <w:szCs w:val="24"/>
        </w:rPr>
        <w:t>71.</w:t>
      </w:r>
    </w:p>
  </w:footnote>
  <w:footnote w:id="499">
    <w:p w14:paraId="51214BE8" w14:textId="2EC68A8D"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Home Office (2021), </w:t>
      </w:r>
      <w:hyperlink r:id="rId560" w:history="1">
        <w:r w:rsidRPr="00BC3776">
          <w:rPr>
            <w:rStyle w:val="Hyperlink"/>
            <w:rFonts w:cstheme="minorHAnsi"/>
            <w:szCs w:val="24"/>
          </w:rPr>
          <w:t>Modern Slavery: National Referral Mechanism and Duty to notify statistics UK, end of year summary, 2021</w:t>
        </w:r>
      </w:hyperlink>
      <w:r w:rsidRPr="00BC3776">
        <w:rPr>
          <w:rFonts w:cstheme="minorHAnsi"/>
          <w:szCs w:val="24"/>
        </w:rPr>
        <w:t xml:space="preserve"> [accessed: 4 April </w:t>
      </w:r>
      <w:r>
        <w:rPr>
          <w:rFonts w:cstheme="minorHAnsi"/>
          <w:szCs w:val="24"/>
        </w:rPr>
        <w:t xml:space="preserve">2022], </w:t>
      </w:r>
      <w:r w:rsidRPr="00BC3776">
        <w:rPr>
          <w:rFonts w:cstheme="minorHAnsi"/>
          <w:szCs w:val="24"/>
        </w:rPr>
        <w:t>Data Tables, Table 1.</w:t>
      </w:r>
    </w:p>
  </w:footnote>
  <w:footnote w:id="500">
    <w:p w14:paraId="491E2264" w14:textId="17D7B70D"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Home Office (2021), </w:t>
      </w:r>
      <w:hyperlink r:id="rId561" w:anchor="chapter-1--modern-slavery-in-the-uk" w:history="1">
        <w:r w:rsidRPr="00BC3776">
          <w:rPr>
            <w:rStyle w:val="Hyperlink"/>
            <w:rFonts w:cstheme="minorHAnsi"/>
            <w:szCs w:val="24"/>
          </w:rPr>
          <w:t>UK Annual Report on Modern Slavery</w:t>
        </w:r>
      </w:hyperlink>
      <w:r w:rsidRPr="00BC3776">
        <w:rPr>
          <w:rFonts w:cstheme="minorHAnsi"/>
          <w:szCs w:val="24"/>
        </w:rPr>
        <w:t xml:space="preserve"> [accessed: 4 April 2022], para 1.9.</w:t>
      </w:r>
    </w:p>
  </w:footnote>
  <w:footnote w:id="501">
    <w:p w14:paraId="241A314B" w14:textId="007E912D"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Office for National Statistics</w:t>
      </w:r>
      <w:r w:rsidRPr="00BC3776">
        <w:rPr>
          <w:rFonts w:cstheme="minorHAnsi"/>
          <w:szCs w:val="24"/>
        </w:rPr>
        <w:t xml:space="preserve"> (2020), </w:t>
      </w:r>
      <w:hyperlink r:id="rId562" w:history="1">
        <w:r w:rsidRPr="00BC3776">
          <w:rPr>
            <w:rStyle w:val="Hyperlink"/>
            <w:rFonts w:cstheme="minorHAnsi"/>
            <w:szCs w:val="24"/>
          </w:rPr>
          <w:t>Modern slavery in the UK: March 2020</w:t>
        </w:r>
      </w:hyperlink>
      <w:r w:rsidRPr="00BC3776">
        <w:rPr>
          <w:rFonts w:cstheme="minorHAnsi"/>
          <w:szCs w:val="24"/>
        </w:rPr>
        <w:t xml:space="preserve"> [accessed: 12 July 2022]</w:t>
      </w:r>
      <w:r>
        <w:rPr>
          <w:rFonts w:cstheme="minorHAnsi"/>
          <w:szCs w:val="24"/>
        </w:rPr>
        <w:t>.</w:t>
      </w:r>
    </w:p>
  </w:footnote>
  <w:footnote w:id="502">
    <w:p w14:paraId="1BE1D15B" w14:textId="7C895F55"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Home Office (2021), </w:t>
      </w:r>
      <w:hyperlink r:id="rId563" w:history="1">
        <w:r w:rsidRPr="00BC3776">
          <w:rPr>
            <w:rStyle w:val="Hyperlink"/>
            <w:rFonts w:cstheme="minorHAnsi"/>
            <w:szCs w:val="24"/>
          </w:rPr>
          <w:t>Modern Slavery: National Referral Mechanism and Duty to notify statistics UK, end of year summary, 2021</w:t>
        </w:r>
      </w:hyperlink>
      <w:r w:rsidRPr="00BC3776">
        <w:rPr>
          <w:rFonts w:cstheme="minorHAnsi"/>
          <w:szCs w:val="24"/>
        </w:rPr>
        <w:t xml:space="preserve"> [accessed: 4 April 2022]. </w:t>
      </w:r>
    </w:p>
  </w:footnote>
  <w:footnote w:id="503">
    <w:p w14:paraId="412951FF" w14:textId="32BE6BD1"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Equality and Human Rights Commission (2020), </w:t>
      </w:r>
      <w:hyperlink r:id="rId564" w:history="1">
        <w:r w:rsidRPr="00BC3776">
          <w:rPr>
            <w:rStyle w:val="Hyperlink"/>
            <w:rFonts w:cstheme="minorHAnsi"/>
            <w:szCs w:val="24"/>
          </w:rPr>
          <w:t>Children’s rights in Great Britain</w:t>
        </w:r>
      </w:hyperlink>
      <w:r w:rsidRPr="00BC3776">
        <w:rPr>
          <w:rFonts w:cstheme="minorHAnsi"/>
          <w:szCs w:val="24"/>
        </w:rPr>
        <w:t xml:space="preserve"> [access</w:t>
      </w:r>
      <w:r>
        <w:rPr>
          <w:rFonts w:cstheme="minorHAnsi"/>
          <w:szCs w:val="24"/>
        </w:rPr>
        <w:t>ed: 11 February 2022], p.103.</w:t>
      </w:r>
    </w:p>
  </w:footnote>
  <w:footnote w:id="504">
    <w:p w14:paraId="693B777B" w14:textId="6B315627"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Anti-Slavery International and others (2020), </w:t>
      </w:r>
      <w:hyperlink r:id="rId565" w:history="1">
        <w:r w:rsidRPr="00BC3776">
          <w:rPr>
            <w:rStyle w:val="Hyperlink"/>
            <w:rFonts w:cstheme="minorHAnsi"/>
            <w:szCs w:val="24"/>
          </w:rPr>
          <w:t>Joint civil society report on trafficking and modern slavery in the UK to the UN Human Rights Committee</w:t>
        </w:r>
      </w:hyperlink>
      <w:r w:rsidRPr="00BC3776">
        <w:rPr>
          <w:rFonts w:cstheme="minorHAnsi"/>
          <w:szCs w:val="24"/>
        </w:rPr>
        <w:t xml:space="preserve"> [a</w:t>
      </w:r>
      <w:r>
        <w:rPr>
          <w:rFonts w:cstheme="minorHAnsi"/>
          <w:szCs w:val="24"/>
        </w:rPr>
        <w:t xml:space="preserve">ccessed: 21 February 2022], pp. </w:t>
      </w:r>
      <w:r w:rsidRPr="00BC3776">
        <w:rPr>
          <w:rFonts w:cstheme="minorHAnsi"/>
          <w:szCs w:val="24"/>
        </w:rPr>
        <w:t>20</w:t>
      </w:r>
      <w:r>
        <w:rPr>
          <w:rFonts w:cstheme="minorHAnsi"/>
          <w:szCs w:val="24"/>
        </w:rPr>
        <w:t>–</w:t>
      </w:r>
      <w:r w:rsidRPr="00BC3776">
        <w:rPr>
          <w:rFonts w:cstheme="minorHAnsi"/>
          <w:szCs w:val="24"/>
        </w:rPr>
        <w:t>23.</w:t>
      </w:r>
    </w:p>
  </w:footnote>
  <w:footnote w:id="505">
    <w:p w14:paraId="29638D57" w14:textId="1CA4C343"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Home Office (2021), </w:t>
      </w:r>
      <w:hyperlink r:id="rId566" w:anchor="chapter-1--modern-slavery-in-the-uk" w:history="1">
        <w:r w:rsidRPr="00BC3776">
          <w:rPr>
            <w:rStyle w:val="Hyperlink"/>
            <w:rFonts w:cstheme="minorHAnsi"/>
            <w:szCs w:val="24"/>
          </w:rPr>
          <w:t>UK Annual Report on Modern Slavery</w:t>
        </w:r>
      </w:hyperlink>
      <w:r w:rsidRPr="00BC3776">
        <w:rPr>
          <w:rFonts w:cstheme="minorHAnsi"/>
          <w:szCs w:val="24"/>
        </w:rPr>
        <w:t xml:space="preserve"> [accessed: 4 April 2022], para 2.4.4.</w:t>
      </w:r>
    </w:p>
  </w:footnote>
  <w:footnote w:id="506">
    <w:p w14:paraId="6B320C68" w14:textId="7D9E8C66"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Independent Anti-Slavery Commissioner (2021), </w:t>
      </w:r>
      <w:hyperlink r:id="rId567" w:history="1">
        <w:r w:rsidRPr="00BC3776">
          <w:rPr>
            <w:rStyle w:val="Hyperlink"/>
            <w:rFonts w:cstheme="minorHAnsi"/>
            <w:szCs w:val="24"/>
          </w:rPr>
          <w:t>Annual Report 2020-21</w:t>
        </w:r>
      </w:hyperlink>
      <w:r w:rsidRPr="00BC3776">
        <w:rPr>
          <w:rFonts w:cstheme="minorHAnsi"/>
          <w:szCs w:val="24"/>
        </w:rPr>
        <w:t xml:space="preserve"> [</w:t>
      </w:r>
      <w:r>
        <w:rPr>
          <w:rFonts w:cstheme="minorHAnsi"/>
          <w:szCs w:val="24"/>
        </w:rPr>
        <w:t>accessed: 21 February 2022], p.</w:t>
      </w:r>
      <w:r w:rsidRPr="00BC3776">
        <w:rPr>
          <w:rFonts w:cstheme="minorHAnsi"/>
          <w:szCs w:val="24"/>
        </w:rPr>
        <w:t>15.</w:t>
      </w:r>
    </w:p>
  </w:footnote>
  <w:footnote w:id="507">
    <w:p w14:paraId="7A12EEC2" w14:textId="465F0EAE"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Home Office (2021), </w:t>
      </w:r>
      <w:hyperlink r:id="rId568" w:history="1">
        <w:r w:rsidRPr="00BC3776">
          <w:rPr>
            <w:rStyle w:val="Hyperlink"/>
            <w:rFonts w:cstheme="minorHAnsi"/>
            <w:szCs w:val="24"/>
          </w:rPr>
          <w:t>Piloting devolving decision-making for child victims of modern slavery</w:t>
        </w:r>
      </w:hyperlink>
      <w:r w:rsidRPr="00BC3776">
        <w:rPr>
          <w:rFonts w:cstheme="minorHAnsi"/>
          <w:szCs w:val="24"/>
        </w:rPr>
        <w:t xml:space="preserve"> [accessed: 11 February 2022]. </w:t>
      </w:r>
    </w:p>
  </w:footnote>
  <w:footnote w:id="508">
    <w:p w14:paraId="435E87C8" w14:textId="41B7C431"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Home Office (2021), </w:t>
      </w:r>
      <w:hyperlink r:id="rId569" w:history="1">
        <w:r w:rsidRPr="00BC3776">
          <w:rPr>
            <w:rStyle w:val="Hyperlink"/>
            <w:rFonts w:cstheme="minorHAnsi"/>
            <w:szCs w:val="24"/>
          </w:rPr>
          <w:t>Devolving child decision-making pilot programme: general guidance</w:t>
        </w:r>
      </w:hyperlink>
      <w:r w:rsidRPr="00BC3776">
        <w:rPr>
          <w:rFonts w:cstheme="minorHAnsi"/>
          <w:szCs w:val="24"/>
        </w:rPr>
        <w:t xml:space="preserve"> [accessed: 11 February 2022].</w:t>
      </w:r>
    </w:p>
  </w:footnote>
  <w:footnote w:id="509">
    <w:p w14:paraId="1C8BCE83" w14:textId="47F6C2E2"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Independent Anti-Slavery Commissioner and ECPAT UK (2021), </w:t>
      </w:r>
      <w:hyperlink r:id="rId570" w:history="1">
        <w:r w:rsidRPr="00BC3776">
          <w:rPr>
            <w:rStyle w:val="Hyperlink"/>
            <w:rFonts w:cstheme="minorHAnsi"/>
            <w:szCs w:val="24"/>
          </w:rPr>
          <w:t>Child trafficking in the UK 2021: a snapshot</w:t>
        </w:r>
      </w:hyperlink>
      <w:r w:rsidRPr="00BC3776">
        <w:rPr>
          <w:rFonts w:cstheme="minorHAnsi"/>
          <w:szCs w:val="24"/>
        </w:rPr>
        <w:t xml:space="preserve"> [</w:t>
      </w:r>
      <w:r>
        <w:rPr>
          <w:rFonts w:cstheme="minorHAnsi"/>
          <w:szCs w:val="24"/>
        </w:rPr>
        <w:t>accessed: 11 February 2022], p.</w:t>
      </w:r>
      <w:r w:rsidRPr="00BC3776">
        <w:rPr>
          <w:rFonts w:cstheme="minorHAnsi"/>
          <w:szCs w:val="24"/>
        </w:rPr>
        <w:t xml:space="preserve">19. </w:t>
      </w:r>
    </w:p>
  </w:footnote>
  <w:footnote w:id="510">
    <w:p w14:paraId="3A7E3CAD" w14:textId="0860CF6A"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Ibid., p. 24.</w:t>
      </w:r>
    </w:p>
  </w:footnote>
  <w:footnote w:id="511">
    <w:p w14:paraId="17EA7E75" w14:textId="46F4EF33"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 xml:space="preserve">UK Government </w:t>
      </w:r>
      <w:r w:rsidRPr="00BC3776">
        <w:rPr>
          <w:rFonts w:cstheme="minorHAnsi"/>
          <w:szCs w:val="24"/>
        </w:rPr>
        <w:t xml:space="preserve">Home Office (2021), </w:t>
      </w:r>
      <w:hyperlink r:id="rId571" w:history="1">
        <w:r w:rsidRPr="00BC3776">
          <w:rPr>
            <w:rStyle w:val="Hyperlink"/>
            <w:rFonts w:cstheme="minorHAnsi"/>
            <w:szCs w:val="24"/>
          </w:rPr>
          <w:t>Interim guidance for Independent Child Trafficking Guardians</w:t>
        </w:r>
      </w:hyperlink>
      <w:r w:rsidRPr="00BC3776">
        <w:rPr>
          <w:rFonts w:cstheme="minorHAnsi"/>
          <w:szCs w:val="24"/>
        </w:rPr>
        <w:t xml:space="preserve"> [accessed: 11 February 2022]. </w:t>
      </w:r>
    </w:p>
  </w:footnote>
  <w:footnote w:id="512">
    <w:p w14:paraId="1A021E88" w14:textId="114A6FCE"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r>
        <w:rPr>
          <w:rFonts w:cstheme="minorHAnsi"/>
          <w:szCs w:val="24"/>
        </w:rPr>
        <w:t>Ibid., pp. 22–24.</w:t>
      </w:r>
    </w:p>
  </w:footnote>
  <w:footnote w:id="513">
    <w:p w14:paraId="3CEF024B" w14:textId="5738AB9E"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Pr>
          <w:rFonts w:cstheme="minorHAnsi"/>
          <w:szCs w:val="24"/>
        </w:rPr>
        <w:t xml:space="preserve"> University of Nottingham Rights Lab and</w:t>
      </w:r>
      <w:r w:rsidRPr="00BC3776">
        <w:rPr>
          <w:rFonts w:cstheme="minorHAnsi"/>
          <w:szCs w:val="24"/>
        </w:rPr>
        <w:t xml:space="preserve"> Human Trafficking Foundation, and others (2021), </w:t>
      </w:r>
      <w:hyperlink r:id="rId572" w:history="1">
        <w:r w:rsidRPr="00BC3776">
          <w:rPr>
            <w:rStyle w:val="Hyperlink"/>
            <w:rFonts w:cstheme="minorHAnsi"/>
            <w:szCs w:val="24"/>
          </w:rPr>
          <w:t>An overview of concerns about Part 5 of the Nationality &amp; Borders Bill and Modern Slavery</w:t>
        </w:r>
      </w:hyperlink>
      <w:r w:rsidRPr="00BC3776">
        <w:rPr>
          <w:rFonts w:cstheme="minorHAnsi"/>
          <w:szCs w:val="24"/>
        </w:rPr>
        <w:t xml:space="preserve"> [accessed: 11 February 2022]; UK Parliament (2021), </w:t>
      </w:r>
      <w:hyperlink r:id="rId573" w:history="1">
        <w:r w:rsidRPr="00BC3776">
          <w:rPr>
            <w:rStyle w:val="Hyperlink"/>
            <w:rFonts w:cstheme="minorHAnsi"/>
            <w:szCs w:val="24"/>
          </w:rPr>
          <w:t>Nationality and Borders Bill (Fourth sitting) debated on Thursday 23 September 2021</w:t>
        </w:r>
      </w:hyperlink>
      <w:r w:rsidRPr="00BC3776">
        <w:rPr>
          <w:rFonts w:cstheme="minorHAnsi"/>
          <w:szCs w:val="24"/>
        </w:rPr>
        <w:t>, Hansard [accessed: 11</w:t>
      </w:r>
      <w:r>
        <w:rPr>
          <w:rFonts w:cstheme="minorHAnsi"/>
          <w:szCs w:val="24"/>
        </w:rPr>
        <w:t xml:space="preserve"> February 2022]; ECPAT</w:t>
      </w:r>
      <w:r w:rsidRPr="00BC3776">
        <w:rPr>
          <w:rFonts w:cstheme="minorHAnsi"/>
          <w:szCs w:val="24"/>
        </w:rPr>
        <w:t xml:space="preserve">, </w:t>
      </w:r>
      <w:hyperlink r:id="rId574" w:history="1">
        <w:r w:rsidRPr="00BC3776">
          <w:rPr>
            <w:rStyle w:val="Hyperlink"/>
            <w:rFonts w:cstheme="minorHAnsi"/>
            <w:szCs w:val="24"/>
          </w:rPr>
          <w:t>Nationality and Borders Bill: House of Lords Second Reading Briefing</w:t>
        </w:r>
      </w:hyperlink>
      <w:r w:rsidRPr="00BC3776">
        <w:rPr>
          <w:rFonts w:cstheme="minorHAnsi"/>
          <w:szCs w:val="24"/>
        </w:rPr>
        <w:t xml:space="preserve"> [accessed: 5 April 2022].</w:t>
      </w:r>
    </w:p>
  </w:footnote>
  <w:footnote w:id="514">
    <w:p w14:paraId="3837BAC2" w14:textId="69E4FFF9" w:rsidR="0026506A" w:rsidRPr="00BC3776" w:rsidRDefault="0026506A" w:rsidP="00F535D9">
      <w:pPr>
        <w:pStyle w:val="FootnoteText"/>
        <w:spacing w:before="120"/>
        <w:rPr>
          <w:rFonts w:cstheme="minorHAnsi"/>
          <w:szCs w:val="24"/>
        </w:rPr>
      </w:pPr>
      <w:r w:rsidRPr="00BC3776">
        <w:rPr>
          <w:rStyle w:val="FootnoteReference"/>
          <w:rFonts w:cstheme="minorHAnsi"/>
          <w:szCs w:val="24"/>
        </w:rPr>
        <w:footnoteRef/>
      </w:r>
      <w:r w:rsidRPr="00BC3776">
        <w:rPr>
          <w:rFonts w:cstheme="minorHAnsi"/>
          <w:szCs w:val="24"/>
        </w:rPr>
        <w:t xml:space="preserve"> </w:t>
      </w:r>
      <w:hyperlink r:id="rId575" w:history="1">
        <w:r w:rsidRPr="00BC3776">
          <w:rPr>
            <w:rStyle w:val="Hyperlink"/>
            <w:rFonts w:cstheme="minorHAnsi"/>
            <w:szCs w:val="24"/>
          </w:rPr>
          <w:t>Nationality and Borders Act 2022</w:t>
        </w:r>
      </w:hyperlink>
      <w:r>
        <w:rPr>
          <w:rStyle w:val="Hyperlink"/>
          <w:rFonts w:cstheme="minorHAnsi"/>
          <w:szCs w:val="24"/>
        </w:rPr>
        <w:t>,</w:t>
      </w:r>
      <w:r w:rsidRPr="00BC3776">
        <w:rPr>
          <w:rFonts w:cstheme="minorHAnsi"/>
          <w:szCs w:val="24"/>
        </w:rPr>
        <w:t xml:space="preserve"> section 63.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34AFA" w14:textId="6EFA968E" w:rsidR="0026506A" w:rsidRDefault="00FC03DC" w:rsidP="00605567">
    <w:pPr>
      <w:pStyle w:val="Header"/>
      <w:pBdr>
        <w:top w:val="single" w:sz="36" w:space="5" w:color="009C98" w:themeColor="accent1"/>
      </w:pBdr>
      <w:ind w:left="-851" w:right="-738"/>
      <w:jc w:val="center"/>
    </w:pPr>
    <w:sdt>
      <w:sdtPr>
        <w:alias w:val="Title"/>
        <w:tag w:val=""/>
        <w:id w:val="-347718907"/>
        <w:dataBinding w:prefixMappings="xmlns:ns0='http://purl.org/dc/elements/1.1/' xmlns:ns1='http://schemas.openxmlformats.org/package/2006/metadata/core-properties' " w:xpath="/ns1:coreProperties[1]/ns0:title[1]" w:storeItemID="{6C3C8BC8-F283-45AE-878A-BAB7291924A1}"/>
        <w:text/>
      </w:sdtPr>
      <w:sdtEndPr/>
      <w:sdtContent>
        <w:r w:rsidR="0026506A">
          <w:t>Children’s rights in Great Britain</w:t>
        </w:r>
      </w:sdtContent>
    </w:sdt>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1EFE1E" w14:textId="77777777" w:rsidR="0026506A" w:rsidRPr="00342F83" w:rsidRDefault="0026506A" w:rsidP="000E6F22">
    <w:pPr>
      <w:pStyle w:val="Header"/>
      <w:spacing w:before="640" w:after="2000"/>
      <w:ind w:right="-1021"/>
      <w:jc w:val="right"/>
      <w:rPr>
        <w:b/>
        <w:bCs/>
      </w:rPr>
    </w:pPr>
    <w:r>
      <w:rPr>
        <w:b/>
        <w:bCs/>
        <w:noProof/>
        <w:lang w:eastAsia="en-GB"/>
      </w:rPr>
      <w:drawing>
        <wp:inline distT="0" distB="0" distL="0" distR="0" wp14:anchorId="6EE46989" wp14:editId="204FAEA9">
          <wp:extent cx="3285842" cy="1258214"/>
          <wp:effectExtent l="0" t="0" r="0" b="0"/>
          <wp:docPr id="3" name="Picture 3" title="EHR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HRC_Logo_CORE_Dark Teal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325514" cy="12734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3D5C4BD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EFF679DA"/>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2228AAD6"/>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084E4BFE"/>
    <w:multiLevelType w:val="multilevel"/>
    <w:tmpl w:val="165ACE1C"/>
    <w:styleLink w:val="StyleBulletedSymbolsymbolLeft063cmHanging063cm1"/>
    <w:lvl w:ilvl="0">
      <w:start w:val="1"/>
      <w:numFmt w:val="bullet"/>
      <w:lvlText w:val=""/>
      <w:lvlJc w:val="left"/>
      <w:pPr>
        <w:ind w:left="539" w:hanging="539"/>
      </w:pPr>
      <w:rPr>
        <w:rFonts w:ascii="Symbol" w:hAnsi="Symbol" w:hint="default"/>
        <w:sz w:val="28"/>
      </w:rPr>
    </w:lvl>
    <w:lvl w:ilvl="1">
      <w:start w:val="1"/>
      <w:numFmt w:val="bullet"/>
      <w:lvlText w:val="̶"/>
      <w:lvlJc w:val="left"/>
      <w:pPr>
        <w:ind w:left="902" w:hanging="539"/>
      </w:pPr>
      <w:rPr>
        <w:rFonts w:ascii="Courier New" w:hAnsi="Courier New" w:hint="default"/>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4" w15:restartNumberingAfterBreak="0">
    <w:nsid w:val="0B296468"/>
    <w:multiLevelType w:val="multilevel"/>
    <w:tmpl w:val="DE9827B8"/>
    <w:styleLink w:val="StyleOutlinenumberedLatinHeadingsArialComplexHeadi2"/>
    <w:lvl w:ilvl="0">
      <w:start w:val="1"/>
      <w:numFmt w:val="decimal"/>
      <w:lvlText w:val="%1"/>
      <w:lvlJc w:val="left"/>
      <w:pPr>
        <w:ind w:left="540" w:hanging="540"/>
      </w:pPr>
      <w:rPr>
        <w:rFonts w:hint="default"/>
        <w:sz w:val="32"/>
      </w:rPr>
    </w:lvl>
    <w:lvl w:ilvl="1">
      <w:start w:val="1"/>
      <w:numFmt w:val="decimal"/>
      <w:lvlText w:val="%1.%2"/>
      <w:lvlJc w:val="left"/>
      <w:pPr>
        <w:ind w:left="720" w:hanging="720"/>
      </w:pPr>
      <w:rPr>
        <w:rFonts w:asciiTheme="majorHAnsi" w:hAnsiTheme="majorHAnsi" w:cstheme="majorBidi"/>
        <w:b/>
        <w:color w:val="0B4E60" w:themeColor="text2"/>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3153A59"/>
    <w:multiLevelType w:val="hybridMultilevel"/>
    <w:tmpl w:val="F0BABF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14E30"/>
    <w:multiLevelType w:val="multilevel"/>
    <w:tmpl w:val="9B34CA48"/>
    <w:lvl w:ilvl="0">
      <w:start w:val="2"/>
      <w:numFmt w:val="bullet"/>
      <w:pStyle w:val="Boxbullets"/>
      <w:lvlText w:val="̶"/>
      <w:lvlJc w:val="left"/>
      <w:pPr>
        <w:ind w:left="709" w:hanging="567"/>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7" w15:restartNumberingAfterBreak="0">
    <w:nsid w:val="1FC45341"/>
    <w:multiLevelType w:val="multilevel"/>
    <w:tmpl w:val="0809001D"/>
    <w:styleLink w:val="Basicbulletlist"/>
    <w:lvl w:ilvl="0">
      <w:start w:val="1"/>
      <w:numFmt w:val="bullet"/>
      <w:lvlText w:val="̶"/>
      <w:lvlJc w:val="left"/>
      <w:pPr>
        <w:ind w:left="360" w:hanging="360"/>
      </w:pPr>
      <w:rPr>
        <w:rFonts w:ascii="Courier New" w:hAnsi="Courier New"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1294982"/>
    <w:multiLevelType w:val="hybridMultilevel"/>
    <w:tmpl w:val="795EA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F434F8"/>
    <w:multiLevelType w:val="hybridMultilevel"/>
    <w:tmpl w:val="198C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3569E8"/>
    <w:multiLevelType w:val="hybridMultilevel"/>
    <w:tmpl w:val="EA822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E1EFE"/>
    <w:multiLevelType w:val="hybridMultilevel"/>
    <w:tmpl w:val="3C0CF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F90BA5"/>
    <w:multiLevelType w:val="hybridMultilevel"/>
    <w:tmpl w:val="E55CB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473253"/>
    <w:multiLevelType w:val="hybridMultilevel"/>
    <w:tmpl w:val="C82CC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DC196A"/>
    <w:multiLevelType w:val="multilevel"/>
    <w:tmpl w:val="EAB48ED2"/>
    <w:lvl w:ilvl="0">
      <w:start w:val="1"/>
      <w:numFmt w:val="bullet"/>
      <w:pStyle w:val="ListBullet"/>
      <w:lvlText w:val="̶"/>
      <w:lvlJc w:val="left"/>
      <w:pPr>
        <w:ind w:left="360" w:hanging="360"/>
      </w:pPr>
      <w:rPr>
        <w:rFonts w:ascii="Courier New" w:hAnsi="Courier New"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F72CA9"/>
    <w:multiLevelType w:val="hybridMultilevel"/>
    <w:tmpl w:val="30A0B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6C315E"/>
    <w:multiLevelType w:val="multilevel"/>
    <w:tmpl w:val="2F06717C"/>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32017E"/>
    <w:multiLevelType w:val="multilevel"/>
    <w:tmpl w:val="BEEE3D2A"/>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D6806F6"/>
    <w:multiLevelType w:val="hybridMultilevel"/>
    <w:tmpl w:val="05E8E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977171"/>
    <w:multiLevelType w:val="hybridMultilevel"/>
    <w:tmpl w:val="32D8F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25355B"/>
    <w:multiLevelType w:val="hybridMultilevel"/>
    <w:tmpl w:val="7D6E5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4D0ED7"/>
    <w:multiLevelType w:val="hybridMultilevel"/>
    <w:tmpl w:val="F6E8B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242756"/>
    <w:multiLevelType w:val="multilevel"/>
    <w:tmpl w:val="E33C0118"/>
    <w:styleLink w:val="StyleNumberedLeft0cmHanging127cm"/>
    <w:lvl w:ilvl="0">
      <w:start w:val="1"/>
      <w:numFmt w:val="decimal"/>
      <w:lvlText w:val="%1."/>
      <w:lvlJc w:val="left"/>
      <w:pPr>
        <w:ind w:left="539" w:hanging="539"/>
      </w:pPr>
      <w:rPr>
        <w:rFonts w:hint="default"/>
        <w:sz w:val="28"/>
      </w:rPr>
    </w:lvl>
    <w:lvl w:ilvl="1">
      <w:start w:val="1"/>
      <w:numFmt w:val="lowerLetter"/>
      <w:lvlText w:val="%2."/>
      <w:lvlJc w:val="left"/>
      <w:pPr>
        <w:ind w:left="902" w:hanging="539"/>
      </w:pPr>
      <w:rPr>
        <w:rFonts w:hint="default"/>
      </w:rPr>
    </w:lvl>
    <w:lvl w:ilvl="2">
      <w:start w:val="1"/>
      <w:numFmt w:val="lowerRoman"/>
      <w:lvlText w:val="%3."/>
      <w:lvlJc w:val="right"/>
      <w:pPr>
        <w:ind w:left="1265" w:hanging="539"/>
      </w:pPr>
      <w:rPr>
        <w:rFonts w:hint="default"/>
      </w:rPr>
    </w:lvl>
    <w:lvl w:ilvl="3">
      <w:start w:val="1"/>
      <w:numFmt w:val="decimal"/>
      <w:lvlText w:val="%4."/>
      <w:lvlJc w:val="left"/>
      <w:pPr>
        <w:ind w:left="1628" w:hanging="539"/>
      </w:pPr>
      <w:rPr>
        <w:rFonts w:hint="default"/>
      </w:rPr>
    </w:lvl>
    <w:lvl w:ilvl="4">
      <w:start w:val="1"/>
      <w:numFmt w:val="lowerLetter"/>
      <w:lvlText w:val="%5."/>
      <w:lvlJc w:val="left"/>
      <w:pPr>
        <w:ind w:left="1991" w:hanging="539"/>
      </w:pPr>
      <w:rPr>
        <w:rFonts w:hint="default"/>
      </w:rPr>
    </w:lvl>
    <w:lvl w:ilvl="5">
      <w:start w:val="1"/>
      <w:numFmt w:val="lowerRoman"/>
      <w:lvlText w:val="%6."/>
      <w:lvlJc w:val="right"/>
      <w:pPr>
        <w:ind w:left="2354" w:hanging="539"/>
      </w:pPr>
      <w:rPr>
        <w:rFonts w:hint="default"/>
      </w:rPr>
    </w:lvl>
    <w:lvl w:ilvl="6">
      <w:start w:val="1"/>
      <w:numFmt w:val="decimal"/>
      <w:lvlText w:val="%7."/>
      <w:lvlJc w:val="left"/>
      <w:pPr>
        <w:ind w:left="2717" w:hanging="539"/>
      </w:pPr>
      <w:rPr>
        <w:rFonts w:hint="default"/>
      </w:rPr>
    </w:lvl>
    <w:lvl w:ilvl="7">
      <w:start w:val="1"/>
      <w:numFmt w:val="lowerLetter"/>
      <w:lvlText w:val="%8."/>
      <w:lvlJc w:val="left"/>
      <w:pPr>
        <w:ind w:left="3080" w:hanging="539"/>
      </w:pPr>
      <w:rPr>
        <w:rFonts w:hint="default"/>
      </w:rPr>
    </w:lvl>
    <w:lvl w:ilvl="8">
      <w:start w:val="1"/>
      <w:numFmt w:val="lowerRoman"/>
      <w:lvlText w:val="%9."/>
      <w:lvlJc w:val="right"/>
      <w:pPr>
        <w:ind w:left="3443" w:hanging="539"/>
      </w:pPr>
      <w:rPr>
        <w:rFonts w:hint="default"/>
      </w:rPr>
    </w:lvl>
  </w:abstractNum>
  <w:abstractNum w:abstractNumId="23" w15:restartNumberingAfterBreak="0">
    <w:nsid w:val="4BA075E6"/>
    <w:multiLevelType w:val="hybridMultilevel"/>
    <w:tmpl w:val="0D20C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C56C4A"/>
    <w:multiLevelType w:val="hybridMultilevel"/>
    <w:tmpl w:val="753A9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0A2B16"/>
    <w:multiLevelType w:val="hybridMultilevel"/>
    <w:tmpl w:val="4792F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633DE4"/>
    <w:multiLevelType w:val="multilevel"/>
    <w:tmpl w:val="74404BA8"/>
    <w:styleLink w:val="Boxbulletlist"/>
    <w:lvl w:ilvl="0">
      <w:start w:val="2"/>
      <w:numFmt w:val="bullet"/>
      <w:lvlText w:val="̶"/>
      <w:lvlJc w:val="left"/>
      <w:pPr>
        <w:ind w:left="539" w:hanging="539"/>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27" w15:restartNumberingAfterBreak="0">
    <w:nsid w:val="53825B74"/>
    <w:multiLevelType w:val="multilevel"/>
    <w:tmpl w:val="DE9827B8"/>
    <w:styleLink w:val="StyleOutlinenumberedLatinHeadingsArialComplexHeadi"/>
    <w:lvl w:ilvl="0">
      <w:start w:val="1"/>
      <w:numFmt w:val="decimal"/>
      <w:lvlText w:val="%1"/>
      <w:lvlJc w:val="left"/>
      <w:pPr>
        <w:ind w:left="540" w:hanging="540"/>
      </w:pPr>
      <w:rPr>
        <w:rFonts w:hint="default"/>
        <w:sz w:val="24"/>
      </w:rPr>
    </w:lvl>
    <w:lvl w:ilvl="1">
      <w:start w:val="1"/>
      <w:numFmt w:val="decimal"/>
      <w:lvlText w:val="%1.%2"/>
      <w:lvlJc w:val="left"/>
      <w:pPr>
        <w:ind w:left="720" w:hanging="720"/>
      </w:pPr>
      <w:rPr>
        <w:rFonts w:asciiTheme="majorHAnsi" w:hAnsiTheme="majorHAnsi" w:cstheme="majorBidi"/>
        <w:b/>
        <w:color w:val="0B4E60" w:themeColor="text2"/>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57F3D2B"/>
    <w:multiLevelType w:val="multilevel"/>
    <w:tmpl w:val="C778C7E0"/>
    <w:lvl w:ilvl="0">
      <w:start w:val="1"/>
      <w:numFmt w:val="decimal"/>
      <w:pStyle w:val="ListNumber"/>
      <w:lvlText w:val="%1."/>
      <w:lvlJc w:val="left"/>
      <w:pPr>
        <w:ind w:left="567" w:hanging="567"/>
      </w:pPr>
      <w:rPr>
        <w:rFonts w:hint="default"/>
        <w:color w:val="722856" w:themeColor="accent5"/>
      </w:rPr>
    </w:lvl>
    <w:lvl w:ilvl="1">
      <w:start w:val="1"/>
      <w:numFmt w:val="lowerLetter"/>
      <w:lvlText w:val="%2."/>
      <w:lvlJc w:val="left"/>
      <w:pPr>
        <w:ind w:left="1134" w:hanging="567"/>
      </w:pPr>
      <w:rPr>
        <w:rFonts w:hint="default"/>
      </w:rPr>
    </w:lvl>
    <w:lvl w:ilvl="2">
      <w:start w:val="1"/>
      <w:numFmt w:val="lowerRoman"/>
      <w:lvlText w:val="%3"/>
      <w:lvlJc w:val="left"/>
      <w:pPr>
        <w:ind w:left="1871" w:hanging="45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56844DFB"/>
    <w:multiLevelType w:val="multilevel"/>
    <w:tmpl w:val="31FA925A"/>
    <w:lvl w:ilvl="0">
      <w:start w:val="1"/>
      <w:numFmt w:val="bullet"/>
      <w:lvlText w:val=""/>
      <w:lvlJc w:val="left"/>
      <w:pPr>
        <w:ind w:left="425" w:hanging="425"/>
      </w:pPr>
      <w:rPr>
        <w:rFonts w:ascii="Symbol" w:hAnsi="Symbol" w:hint="default"/>
        <w:sz w:val="28"/>
      </w:rPr>
    </w:lvl>
    <w:lvl w:ilvl="1">
      <w:start w:val="1"/>
      <w:numFmt w:val="bullet"/>
      <w:lvlText w:val="̶"/>
      <w:lvlJc w:val="left"/>
      <w:pPr>
        <w:ind w:left="782" w:hanging="425"/>
      </w:pPr>
      <w:rPr>
        <w:rFonts w:ascii="Courier New" w:hAnsi="Courier New" w:hint="default"/>
      </w:rPr>
    </w:lvl>
    <w:lvl w:ilvl="2">
      <w:start w:val="1"/>
      <w:numFmt w:val="bullet"/>
      <w:lvlText w:val=""/>
      <w:lvlJc w:val="left"/>
      <w:pPr>
        <w:ind w:left="1139" w:hanging="425"/>
      </w:pPr>
      <w:rPr>
        <w:rFonts w:ascii="Wingdings" w:hAnsi="Wingdings" w:hint="default"/>
      </w:rPr>
    </w:lvl>
    <w:lvl w:ilvl="3">
      <w:start w:val="1"/>
      <w:numFmt w:val="bullet"/>
      <w:lvlText w:val=""/>
      <w:lvlJc w:val="left"/>
      <w:pPr>
        <w:ind w:left="1496" w:hanging="425"/>
      </w:pPr>
      <w:rPr>
        <w:rFonts w:ascii="Symbol" w:hAnsi="Symbol" w:hint="default"/>
      </w:rPr>
    </w:lvl>
    <w:lvl w:ilvl="4">
      <w:start w:val="1"/>
      <w:numFmt w:val="bullet"/>
      <w:lvlText w:val="o"/>
      <w:lvlJc w:val="left"/>
      <w:pPr>
        <w:ind w:left="1853" w:hanging="425"/>
      </w:pPr>
      <w:rPr>
        <w:rFonts w:ascii="Courier New" w:hAnsi="Courier New" w:cs="Courier New" w:hint="default"/>
      </w:rPr>
    </w:lvl>
    <w:lvl w:ilvl="5">
      <w:start w:val="1"/>
      <w:numFmt w:val="bullet"/>
      <w:lvlText w:val=""/>
      <w:lvlJc w:val="left"/>
      <w:pPr>
        <w:ind w:left="2210" w:hanging="425"/>
      </w:pPr>
      <w:rPr>
        <w:rFonts w:ascii="Wingdings" w:hAnsi="Wingdings" w:hint="default"/>
      </w:rPr>
    </w:lvl>
    <w:lvl w:ilvl="6">
      <w:start w:val="1"/>
      <w:numFmt w:val="bullet"/>
      <w:pStyle w:val="Heading7"/>
      <w:lvlText w:val=""/>
      <w:lvlJc w:val="left"/>
      <w:pPr>
        <w:ind w:left="2567" w:hanging="425"/>
      </w:pPr>
      <w:rPr>
        <w:rFonts w:ascii="Symbol" w:hAnsi="Symbol" w:hint="default"/>
      </w:rPr>
    </w:lvl>
    <w:lvl w:ilvl="7">
      <w:start w:val="1"/>
      <w:numFmt w:val="bullet"/>
      <w:lvlText w:val="o"/>
      <w:lvlJc w:val="left"/>
      <w:pPr>
        <w:ind w:left="2924" w:hanging="425"/>
      </w:pPr>
      <w:rPr>
        <w:rFonts w:ascii="Courier New" w:hAnsi="Courier New" w:cs="Courier New" w:hint="default"/>
      </w:rPr>
    </w:lvl>
    <w:lvl w:ilvl="8">
      <w:start w:val="1"/>
      <w:numFmt w:val="bullet"/>
      <w:lvlText w:val=""/>
      <w:lvlJc w:val="left"/>
      <w:pPr>
        <w:ind w:left="3281" w:hanging="425"/>
      </w:pPr>
      <w:rPr>
        <w:rFonts w:ascii="Wingdings" w:hAnsi="Wingdings" w:hint="default"/>
      </w:rPr>
    </w:lvl>
  </w:abstractNum>
  <w:abstractNum w:abstractNumId="30" w15:restartNumberingAfterBreak="0">
    <w:nsid w:val="65456107"/>
    <w:multiLevelType w:val="hybridMultilevel"/>
    <w:tmpl w:val="787A7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EA7569"/>
    <w:multiLevelType w:val="multilevel"/>
    <w:tmpl w:val="DE9827B8"/>
    <w:styleLink w:val="StyleOutlinenumberedLatinHeadingsArialComplexHeadi1"/>
    <w:lvl w:ilvl="0">
      <w:start w:val="1"/>
      <w:numFmt w:val="decimal"/>
      <w:lvlText w:val="%1"/>
      <w:lvlJc w:val="left"/>
      <w:pPr>
        <w:ind w:left="540" w:hanging="540"/>
      </w:pPr>
      <w:rPr>
        <w:rFonts w:hint="default"/>
        <w:sz w:val="28"/>
      </w:rPr>
    </w:lvl>
    <w:lvl w:ilvl="1">
      <w:start w:val="1"/>
      <w:numFmt w:val="decimal"/>
      <w:lvlText w:val="%1.%2"/>
      <w:lvlJc w:val="left"/>
      <w:pPr>
        <w:ind w:left="720" w:hanging="720"/>
      </w:pPr>
      <w:rPr>
        <w:rFonts w:asciiTheme="majorHAnsi" w:hAnsiTheme="majorHAnsi" w:cstheme="majorBidi"/>
        <w:b/>
        <w:color w:val="0B4E60" w:themeColor="text2"/>
        <w:sz w:val="28"/>
        <w:szCs w:val="32"/>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440" w:hanging="144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800" w:hanging="180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2160" w:hanging="2160"/>
      </w:pPr>
      <w:rPr>
        <w:rFonts w:hint="default"/>
        <w:sz w:val="28"/>
      </w:rPr>
    </w:lvl>
  </w:abstractNum>
  <w:abstractNum w:abstractNumId="32" w15:restartNumberingAfterBreak="0">
    <w:nsid w:val="67CA0A10"/>
    <w:multiLevelType w:val="hybridMultilevel"/>
    <w:tmpl w:val="6AC6B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855834"/>
    <w:multiLevelType w:val="hybridMultilevel"/>
    <w:tmpl w:val="1B169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9E1E46"/>
    <w:multiLevelType w:val="hybridMultilevel"/>
    <w:tmpl w:val="DC9A9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1C42E1"/>
    <w:multiLevelType w:val="hybridMultilevel"/>
    <w:tmpl w:val="54968D48"/>
    <w:lvl w:ilvl="0" w:tplc="90D832B8">
      <w:start w:val="1"/>
      <w:numFmt w:val="decimal"/>
      <w:pStyle w:val="Boxnumberedlist"/>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6" w15:restartNumberingAfterBreak="0">
    <w:nsid w:val="6F7B231E"/>
    <w:multiLevelType w:val="hybridMultilevel"/>
    <w:tmpl w:val="99000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586039"/>
    <w:multiLevelType w:val="multilevel"/>
    <w:tmpl w:val="2DCAF8B0"/>
    <w:styleLink w:val="StyleBulletedLatinCourierNewLeft19cmHanging063"/>
    <w:lvl w:ilvl="0">
      <w:start w:val="2"/>
      <w:numFmt w:val="bullet"/>
      <w:lvlText w:val="̶"/>
      <w:lvlJc w:val="left"/>
      <w:pPr>
        <w:ind w:left="539" w:hanging="539"/>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38" w15:restartNumberingAfterBreak="0">
    <w:nsid w:val="73E568C3"/>
    <w:multiLevelType w:val="hybridMultilevel"/>
    <w:tmpl w:val="DEE47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29"/>
  </w:num>
  <w:num w:numId="5">
    <w:abstractNumId w:val="3"/>
  </w:num>
  <w:num w:numId="6">
    <w:abstractNumId w:val="28"/>
  </w:num>
  <w:num w:numId="7">
    <w:abstractNumId w:val="22"/>
  </w:num>
  <w:num w:numId="8">
    <w:abstractNumId w:val="37"/>
  </w:num>
  <w:num w:numId="9">
    <w:abstractNumId w:val="35"/>
  </w:num>
  <w:num w:numId="10">
    <w:abstractNumId w:val="7"/>
  </w:num>
  <w:num w:numId="11">
    <w:abstractNumId w:val="26"/>
  </w:num>
  <w:num w:numId="12">
    <w:abstractNumId w:val="6"/>
  </w:num>
  <w:num w:numId="13">
    <w:abstractNumId w:val="14"/>
  </w:num>
  <w:num w:numId="14">
    <w:abstractNumId w:val="27"/>
  </w:num>
  <w:num w:numId="15">
    <w:abstractNumId w:val="31"/>
  </w:num>
  <w:num w:numId="16">
    <w:abstractNumId w:val="4"/>
  </w:num>
  <w:num w:numId="17">
    <w:abstractNumId w:val="24"/>
  </w:num>
  <w:num w:numId="18">
    <w:abstractNumId w:val="19"/>
  </w:num>
  <w:num w:numId="19">
    <w:abstractNumId w:val="11"/>
  </w:num>
  <w:num w:numId="20">
    <w:abstractNumId w:val="34"/>
  </w:num>
  <w:num w:numId="21">
    <w:abstractNumId w:val="25"/>
  </w:num>
  <w:num w:numId="22">
    <w:abstractNumId w:val="15"/>
  </w:num>
  <w:num w:numId="23">
    <w:abstractNumId w:val="21"/>
  </w:num>
  <w:num w:numId="24">
    <w:abstractNumId w:val="9"/>
  </w:num>
  <w:num w:numId="25">
    <w:abstractNumId w:val="33"/>
  </w:num>
  <w:num w:numId="26">
    <w:abstractNumId w:val="5"/>
  </w:num>
  <w:num w:numId="27">
    <w:abstractNumId w:val="8"/>
  </w:num>
  <w:num w:numId="28">
    <w:abstractNumId w:val="17"/>
  </w:num>
  <w:num w:numId="29">
    <w:abstractNumId w:val="18"/>
  </w:num>
  <w:num w:numId="30">
    <w:abstractNumId w:val="10"/>
  </w:num>
  <w:num w:numId="31">
    <w:abstractNumId w:val="30"/>
  </w:num>
  <w:num w:numId="32">
    <w:abstractNumId w:val="32"/>
  </w:num>
  <w:num w:numId="33">
    <w:abstractNumId w:val="20"/>
  </w:num>
  <w:num w:numId="34">
    <w:abstractNumId w:val="38"/>
  </w:num>
  <w:num w:numId="35">
    <w:abstractNumId w:val="13"/>
  </w:num>
  <w:num w:numId="36">
    <w:abstractNumId w:val="16"/>
  </w:num>
  <w:num w:numId="37">
    <w:abstractNumId w:val="12"/>
  </w:num>
  <w:num w:numId="38">
    <w:abstractNumId w:val="23"/>
  </w:num>
  <w:num w:numId="39">
    <w:abstractNumId w:val="3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stylePaneFormatFilter w:val="1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0"/>
  <w:stylePaneSortMethod w:val="0000"/>
  <w:revisionView w:inkAnnotations="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A21"/>
    <w:rsid w:val="00004A45"/>
    <w:rsid w:val="000129C4"/>
    <w:rsid w:val="00014FC3"/>
    <w:rsid w:val="00015484"/>
    <w:rsid w:val="00022B38"/>
    <w:rsid w:val="000254D5"/>
    <w:rsid w:val="0002676F"/>
    <w:rsid w:val="000310D5"/>
    <w:rsid w:val="00037DC7"/>
    <w:rsid w:val="00041F60"/>
    <w:rsid w:val="00042CE1"/>
    <w:rsid w:val="0004477D"/>
    <w:rsid w:val="00047905"/>
    <w:rsid w:val="000530C5"/>
    <w:rsid w:val="00057FC5"/>
    <w:rsid w:val="00063824"/>
    <w:rsid w:val="00072BE4"/>
    <w:rsid w:val="00072C29"/>
    <w:rsid w:val="00075ABB"/>
    <w:rsid w:val="00080DBA"/>
    <w:rsid w:val="00083530"/>
    <w:rsid w:val="00086816"/>
    <w:rsid w:val="00095255"/>
    <w:rsid w:val="00097C17"/>
    <w:rsid w:val="00097E41"/>
    <w:rsid w:val="000A4006"/>
    <w:rsid w:val="000A4201"/>
    <w:rsid w:val="000A4CC3"/>
    <w:rsid w:val="000A5661"/>
    <w:rsid w:val="000A58DB"/>
    <w:rsid w:val="000A5D1E"/>
    <w:rsid w:val="000B1802"/>
    <w:rsid w:val="000B272D"/>
    <w:rsid w:val="000B4D99"/>
    <w:rsid w:val="000C0566"/>
    <w:rsid w:val="000D1B8F"/>
    <w:rsid w:val="000D1F10"/>
    <w:rsid w:val="000D320A"/>
    <w:rsid w:val="000D32CF"/>
    <w:rsid w:val="000D32FB"/>
    <w:rsid w:val="000D500B"/>
    <w:rsid w:val="000E6F22"/>
    <w:rsid w:val="00123A50"/>
    <w:rsid w:val="001253D3"/>
    <w:rsid w:val="001259F9"/>
    <w:rsid w:val="0012743B"/>
    <w:rsid w:val="001316EA"/>
    <w:rsid w:val="00133102"/>
    <w:rsid w:val="00140296"/>
    <w:rsid w:val="001411A7"/>
    <w:rsid w:val="0014239C"/>
    <w:rsid w:val="00144DAD"/>
    <w:rsid w:val="001459AF"/>
    <w:rsid w:val="00145B30"/>
    <w:rsid w:val="001505F0"/>
    <w:rsid w:val="001530E7"/>
    <w:rsid w:val="001555CA"/>
    <w:rsid w:val="00155E46"/>
    <w:rsid w:val="00173F52"/>
    <w:rsid w:val="001746B7"/>
    <w:rsid w:val="001937C1"/>
    <w:rsid w:val="00194A63"/>
    <w:rsid w:val="001A6181"/>
    <w:rsid w:val="001B4690"/>
    <w:rsid w:val="001C0254"/>
    <w:rsid w:val="001C2F6C"/>
    <w:rsid w:val="001C7725"/>
    <w:rsid w:val="001E017A"/>
    <w:rsid w:val="001E6028"/>
    <w:rsid w:val="001F6810"/>
    <w:rsid w:val="001F688B"/>
    <w:rsid w:val="001F71B8"/>
    <w:rsid w:val="002002CD"/>
    <w:rsid w:val="00201E04"/>
    <w:rsid w:val="00205A4B"/>
    <w:rsid w:val="00213015"/>
    <w:rsid w:val="00217C70"/>
    <w:rsid w:val="00222098"/>
    <w:rsid w:val="00223CA6"/>
    <w:rsid w:val="00230678"/>
    <w:rsid w:val="00230F01"/>
    <w:rsid w:val="00235DF5"/>
    <w:rsid w:val="00237647"/>
    <w:rsid w:val="00240672"/>
    <w:rsid w:val="002429CB"/>
    <w:rsid w:val="00244BA6"/>
    <w:rsid w:val="002450C3"/>
    <w:rsid w:val="00245360"/>
    <w:rsid w:val="00245A71"/>
    <w:rsid w:val="002475B9"/>
    <w:rsid w:val="00254309"/>
    <w:rsid w:val="002552F9"/>
    <w:rsid w:val="0026506A"/>
    <w:rsid w:val="00270501"/>
    <w:rsid w:val="00270B19"/>
    <w:rsid w:val="00274A05"/>
    <w:rsid w:val="00275EBC"/>
    <w:rsid w:val="00276C39"/>
    <w:rsid w:val="00277333"/>
    <w:rsid w:val="00283666"/>
    <w:rsid w:val="00285DAE"/>
    <w:rsid w:val="002877E2"/>
    <w:rsid w:val="00297813"/>
    <w:rsid w:val="002A041D"/>
    <w:rsid w:val="002A1AC0"/>
    <w:rsid w:val="002A589D"/>
    <w:rsid w:val="002A65B9"/>
    <w:rsid w:val="002A7B89"/>
    <w:rsid w:val="002C0A2F"/>
    <w:rsid w:val="002C11E4"/>
    <w:rsid w:val="002C271E"/>
    <w:rsid w:val="002D221B"/>
    <w:rsid w:val="002D7B90"/>
    <w:rsid w:val="002E08E4"/>
    <w:rsid w:val="002F4282"/>
    <w:rsid w:val="002F5B80"/>
    <w:rsid w:val="002F5BBC"/>
    <w:rsid w:val="00303660"/>
    <w:rsid w:val="00315E91"/>
    <w:rsid w:val="003174FA"/>
    <w:rsid w:val="00325310"/>
    <w:rsid w:val="00330757"/>
    <w:rsid w:val="003338E8"/>
    <w:rsid w:val="00341836"/>
    <w:rsid w:val="00341DD6"/>
    <w:rsid w:val="00342F83"/>
    <w:rsid w:val="00347E8A"/>
    <w:rsid w:val="003535A7"/>
    <w:rsid w:val="00360FA4"/>
    <w:rsid w:val="003616C5"/>
    <w:rsid w:val="00365E5D"/>
    <w:rsid w:val="00371A7D"/>
    <w:rsid w:val="0038266E"/>
    <w:rsid w:val="00384939"/>
    <w:rsid w:val="00384E88"/>
    <w:rsid w:val="00384EFE"/>
    <w:rsid w:val="00387371"/>
    <w:rsid w:val="00390682"/>
    <w:rsid w:val="00392943"/>
    <w:rsid w:val="003A7D00"/>
    <w:rsid w:val="003B5712"/>
    <w:rsid w:val="003B7D03"/>
    <w:rsid w:val="003C7799"/>
    <w:rsid w:val="003D5EC0"/>
    <w:rsid w:val="003E0710"/>
    <w:rsid w:val="003E3346"/>
    <w:rsid w:val="003F7BE7"/>
    <w:rsid w:val="00401D2A"/>
    <w:rsid w:val="00404620"/>
    <w:rsid w:val="00407C5D"/>
    <w:rsid w:val="0041136B"/>
    <w:rsid w:val="00413EA7"/>
    <w:rsid w:val="004149B7"/>
    <w:rsid w:val="00416D54"/>
    <w:rsid w:val="00420E5D"/>
    <w:rsid w:val="0042713F"/>
    <w:rsid w:val="004303BC"/>
    <w:rsid w:val="004326EA"/>
    <w:rsid w:val="00444CDB"/>
    <w:rsid w:val="00452FCD"/>
    <w:rsid w:val="00457B2D"/>
    <w:rsid w:val="00457EE1"/>
    <w:rsid w:val="00461040"/>
    <w:rsid w:val="00465B9E"/>
    <w:rsid w:val="00465E0B"/>
    <w:rsid w:val="00466E17"/>
    <w:rsid w:val="004704A3"/>
    <w:rsid w:val="00470881"/>
    <w:rsid w:val="0047425A"/>
    <w:rsid w:val="00474664"/>
    <w:rsid w:val="00477539"/>
    <w:rsid w:val="0047796C"/>
    <w:rsid w:val="00480FBF"/>
    <w:rsid w:val="004A0C14"/>
    <w:rsid w:val="004A47A5"/>
    <w:rsid w:val="004A5BF6"/>
    <w:rsid w:val="004A6194"/>
    <w:rsid w:val="004A7094"/>
    <w:rsid w:val="004B398A"/>
    <w:rsid w:val="004B5F48"/>
    <w:rsid w:val="004C5C6A"/>
    <w:rsid w:val="004D3925"/>
    <w:rsid w:val="004D3FC1"/>
    <w:rsid w:val="004D6A21"/>
    <w:rsid w:val="004E026D"/>
    <w:rsid w:val="004E2C9C"/>
    <w:rsid w:val="004F0D64"/>
    <w:rsid w:val="004F2B23"/>
    <w:rsid w:val="004F5444"/>
    <w:rsid w:val="00514A49"/>
    <w:rsid w:val="005204F5"/>
    <w:rsid w:val="0052242C"/>
    <w:rsid w:val="00525E6A"/>
    <w:rsid w:val="00526047"/>
    <w:rsid w:val="00527586"/>
    <w:rsid w:val="00527C4A"/>
    <w:rsid w:val="00532C97"/>
    <w:rsid w:val="00533F29"/>
    <w:rsid w:val="00534454"/>
    <w:rsid w:val="005379E2"/>
    <w:rsid w:val="005602FB"/>
    <w:rsid w:val="005653CB"/>
    <w:rsid w:val="00574F64"/>
    <w:rsid w:val="005779B4"/>
    <w:rsid w:val="005811B1"/>
    <w:rsid w:val="0058159A"/>
    <w:rsid w:val="00587947"/>
    <w:rsid w:val="0059411C"/>
    <w:rsid w:val="005A33C9"/>
    <w:rsid w:val="005A4164"/>
    <w:rsid w:val="005B2250"/>
    <w:rsid w:val="005B5C1E"/>
    <w:rsid w:val="005D039A"/>
    <w:rsid w:val="005E0ED9"/>
    <w:rsid w:val="005E4512"/>
    <w:rsid w:val="005E7683"/>
    <w:rsid w:val="005F1448"/>
    <w:rsid w:val="005F2E97"/>
    <w:rsid w:val="005F32A7"/>
    <w:rsid w:val="00605567"/>
    <w:rsid w:val="00605915"/>
    <w:rsid w:val="00611A91"/>
    <w:rsid w:val="00611FD8"/>
    <w:rsid w:val="0061277C"/>
    <w:rsid w:val="00622046"/>
    <w:rsid w:val="00622D39"/>
    <w:rsid w:val="00622D88"/>
    <w:rsid w:val="00624702"/>
    <w:rsid w:val="00626199"/>
    <w:rsid w:val="0062633C"/>
    <w:rsid w:val="00627673"/>
    <w:rsid w:val="006414DD"/>
    <w:rsid w:val="006430F1"/>
    <w:rsid w:val="006451FF"/>
    <w:rsid w:val="00653530"/>
    <w:rsid w:val="00654EBF"/>
    <w:rsid w:val="006745C9"/>
    <w:rsid w:val="00675022"/>
    <w:rsid w:val="006854C6"/>
    <w:rsid w:val="00685B8F"/>
    <w:rsid w:val="0069230C"/>
    <w:rsid w:val="006978A0"/>
    <w:rsid w:val="006A1408"/>
    <w:rsid w:val="006B3809"/>
    <w:rsid w:val="006B5664"/>
    <w:rsid w:val="006B7D0A"/>
    <w:rsid w:val="006C33F0"/>
    <w:rsid w:val="006C5A43"/>
    <w:rsid w:val="006D08B0"/>
    <w:rsid w:val="006D2B04"/>
    <w:rsid w:val="006D611F"/>
    <w:rsid w:val="006E41F3"/>
    <w:rsid w:val="006E7B71"/>
    <w:rsid w:val="00702328"/>
    <w:rsid w:val="00705AC7"/>
    <w:rsid w:val="00711475"/>
    <w:rsid w:val="00715703"/>
    <w:rsid w:val="0071584B"/>
    <w:rsid w:val="007256FA"/>
    <w:rsid w:val="00734196"/>
    <w:rsid w:val="00737104"/>
    <w:rsid w:val="00741B1E"/>
    <w:rsid w:val="00742F24"/>
    <w:rsid w:val="00743AC0"/>
    <w:rsid w:val="00766CD1"/>
    <w:rsid w:val="00766D03"/>
    <w:rsid w:val="00772C5D"/>
    <w:rsid w:val="00776236"/>
    <w:rsid w:val="007822D0"/>
    <w:rsid w:val="00792D7F"/>
    <w:rsid w:val="00795B43"/>
    <w:rsid w:val="007A00B2"/>
    <w:rsid w:val="007A0465"/>
    <w:rsid w:val="007A3B56"/>
    <w:rsid w:val="007A49F5"/>
    <w:rsid w:val="007A5B63"/>
    <w:rsid w:val="007B22F7"/>
    <w:rsid w:val="007B3195"/>
    <w:rsid w:val="007B33CC"/>
    <w:rsid w:val="007B3416"/>
    <w:rsid w:val="007B485A"/>
    <w:rsid w:val="007B7561"/>
    <w:rsid w:val="007C15A1"/>
    <w:rsid w:val="007C1DEA"/>
    <w:rsid w:val="007C2194"/>
    <w:rsid w:val="007D50DD"/>
    <w:rsid w:val="007E120D"/>
    <w:rsid w:val="007E44E5"/>
    <w:rsid w:val="007E44E8"/>
    <w:rsid w:val="00802C23"/>
    <w:rsid w:val="008139C1"/>
    <w:rsid w:val="00813BDA"/>
    <w:rsid w:val="00826DCF"/>
    <w:rsid w:val="0083015B"/>
    <w:rsid w:val="00831202"/>
    <w:rsid w:val="008317E5"/>
    <w:rsid w:val="0083182E"/>
    <w:rsid w:val="00831EF0"/>
    <w:rsid w:val="0083473E"/>
    <w:rsid w:val="0083574A"/>
    <w:rsid w:val="00840474"/>
    <w:rsid w:val="00840660"/>
    <w:rsid w:val="00841C02"/>
    <w:rsid w:val="008449CD"/>
    <w:rsid w:val="008462DE"/>
    <w:rsid w:val="0086276D"/>
    <w:rsid w:val="00863D5E"/>
    <w:rsid w:val="008677AF"/>
    <w:rsid w:val="00870E83"/>
    <w:rsid w:val="00877DA5"/>
    <w:rsid w:val="0088092E"/>
    <w:rsid w:val="00880F69"/>
    <w:rsid w:val="008820F6"/>
    <w:rsid w:val="008826E6"/>
    <w:rsid w:val="008842C1"/>
    <w:rsid w:val="00885F8B"/>
    <w:rsid w:val="008916D8"/>
    <w:rsid w:val="00894140"/>
    <w:rsid w:val="00894B5D"/>
    <w:rsid w:val="008A08BC"/>
    <w:rsid w:val="008A4181"/>
    <w:rsid w:val="008A4735"/>
    <w:rsid w:val="008B1A83"/>
    <w:rsid w:val="008C2485"/>
    <w:rsid w:val="008D03BA"/>
    <w:rsid w:val="008D33EF"/>
    <w:rsid w:val="008D4A5F"/>
    <w:rsid w:val="008E41CE"/>
    <w:rsid w:val="008E6A27"/>
    <w:rsid w:val="008F49EF"/>
    <w:rsid w:val="00906752"/>
    <w:rsid w:val="00912934"/>
    <w:rsid w:val="00915C63"/>
    <w:rsid w:val="00917D9B"/>
    <w:rsid w:val="00921CB3"/>
    <w:rsid w:val="0092660D"/>
    <w:rsid w:val="00926CB1"/>
    <w:rsid w:val="0093440C"/>
    <w:rsid w:val="00950BE2"/>
    <w:rsid w:val="0095224C"/>
    <w:rsid w:val="00961657"/>
    <w:rsid w:val="0096568E"/>
    <w:rsid w:val="00965DC3"/>
    <w:rsid w:val="00967F79"/>
    <w:rsid w:val="00972D5B"/>
    <w:rsid w:val="009815AA"/>
    <w:rsid w:val="00985A4E"/>
    <w:rsid w:val="0099249F"/>
    <w:rsid w:val="00995C2B"/>
    <w:rsid w:val="0099634F"/>
    <w:rsid w:val="009A1AC8"/>
    <w:rsid w:val="009A203F"/>
    <w:rsid w:val="009B02D1"/>
    <w:rsid w:val="009B1AA5"/>
    <w:rsid w:val="009B2796"/>
    <w:rsid w:val="009C1718"/>
    <w:rsid w:val="009C2218"/>
    <w:rsid w:val="009C37B9"/>
    <w:rsid w:val="009C71D5"/>
    <w:rsid w:val="009D0D69"/>
    <w:rsid w:val="009D6553"/>
    <w:rsid w:val="009D7F58"/>
    <w:rsid w:val="009E0C25"/>
    <w:rsid w:val="009E1A6C"/>
    <w:rsid w:val="009E71F5"/>
    <w:rsid w:val="009F4690"/>
    <w:rsid w:val="009F66BE"/>
    <w:rsid w:val="009F68AD"/>
    <w:rsid w:val="009F703F"/>
    <w:rsid w:val="00A02EA3"/>
    <w:rsid w:val="00A03D5D"/>
    <w:rsid w:val="00A05A2D"/>
    <w:rsid w:val="00A1016E"/>
    <w:rsid w:val="00A23764"/>
    <w:rsid w:val="00A26DF5"/>
    <w:rsid w:val="00A27840"/>
    <w:rsid w:val="00A329F4"/>
    <w:rsid w:val="00A444F9"/>
    <w:rsid w:val="00A457FE"/>
    <w:rsid w:val="00A5273A"/>
    <w:rsid w:val="00A55000"/>
    <w:rsid w:val="00A64C7F"/>
    <w:rsid w:val="00A67B13"/>
    <w:rsid w:val="00A73E9F"/>
    <w:rsid w:val="00A82FF5"/>
    <w:rsid w:val="00A91B02"/>
    <w:rsid w:val="00A93370"/>
    <w:rsid w:val="00A94349"/>
    <w:rsid w:val="00AA016D"/>
    <w:rsid w:val="00AA34C8"/>
    <w:rsid w:val="00AA394F"/>
    <w:rsid w:val="00AB488C"/>
    <w:rsid w:val="00AC3A2F"/>
    <w:rsid w:val="00AC5728"/>
    <w:rsid w:val="00AD047B"/>
    <w:rsid w:val="00AD1533"/>
    <w:rsid w:val="00AD1CE1"/>
    <w:rsid w:val="00AE2FEF"/>
    <w:rsid w:val="00AE7D1B"/>
    <w:rsid w:val="00B01698"/>
    <w:rsid w:val="00B02B52"/>
    <w:rsid w:val="00B03B19"/>
    <w:rsid w:val="00B06281"/>
    <w:rsid w:val="00B12368"/>
    <w:rsid w:val="00B14602"/>
    <w:rsid w:val="00B14A1F"/>
    <w:rsid w:val="00B15AE8"/>
    <w:rsid w:val="00B16F8A"/>
    <w:rsid w:val="00B21146"/>
    <w:rsid w:val="00B21804"/>
    <w:rsid w:val="00B25013"/>
    <w:rsid w:val="00B275C8"/>
    <w:rsid w:val="00B277C1"/>
    <w:rsid w:val="00B27819"/>
    <w:rsid w:val="00B315CD"/>
    <w:rsid w:val="00B34191"/>
    <w:rsid w:val="00B36488"/>
    <w:rsid w:val="00B437EB"/>
    <w:rsid w:val="00B448D3"/>
    <w:rsid w:val="00B46EE0"/>
    <w:rsid w:val="00B47EC7"/>
    <w:rsid w:val="00B5098F"/>
    <w:rsid w:val="00B50A38"/>
    <w:rsid w:val="00B54ABC"/>
    <w:rsid w:val="00B740F1"/>
    <w:rsid w:val="00B751E2"/>
    <w:rsid w:val="00B77265"/>
    <w:rsid w:val="00B84D3D"/>
    <w:rsid w:val="00B91A3D"/>
    <w:rsid w:val="00B974E8"/>
    <w:rsid w:val="00BA14D7"/>
    <w:rsid w:val="00BA4B02"/>
    <w:rsid w:val="00BB08A0"/>
    <w:rsid w:val="00BB2C50"/>
    <w:rsid w:val="00BC24C0"/>
    <w:rsid w:val="00BC34D8"/>
    <w:rsid w:val="00BC3776"/>
    <w:rsid w:val="00BC7BCF"/>
    <w:rsid w:val="00BD5C30"/>
    <w:rsid w:val="00BD779F"/>
    <w:rsid w:val="00BE0D15"/>
    <w:rsid w:val="00BE14BD"/>
    <w:rsid w:val="00BE1E67"/>
    <w:rsid w:val="00BE78B7"/>
    <w:rsid w:val="00BF02FD"/>
    <w:rsid w:val="00BF790B"/>
    <w:rsid w:val="00C01F14"/>
    <w:rsid w:val="00C04155"/>
    <w:rsid w:val="00C06697"/>
    <w:rsid w:val="00C105E4"/>
    <w:rsid w:val="00C221BF"/>
    <w:rsid w:val="00C2460D"/>
    <w:rsid w:val="00C319B6"/>
    <w:rsid w:val="00C31AF2"/>
    <w:rsid w:val="00C3520D"/>
    <w:rsid w:val="00C405CB"/>
    <w:rsid w:val="00C42854"/>
    <w:rsid w:val="00C4621C"/>
    <w:rsid w:val="00C50BF9"/>
    <w:rsid w:val="00C51831"/>
    <w:rsid w:val="00C57A76"/>
    <w:rsid w:val="00C608EC"/>
    <w:rsid w:val="00C66D45"/>
    <w:rsid w:val="00C72AD9"/>
    <w:rsid w:val="00C74255"/>
    <w:rsid w:val="00C744BD"/>
    <w:rsid w:val="00C76302"/>
    <w:rsid w:val="00C76EBA"/>
    <w:rsid w:val="00C97258"/>
    <w:rsid w:val="00CB1F97"/>
    <w:rsid w:val="00CB4B82"/>
    <w:rsid w:val="00CC01B0"/>
    <w:rsid w:val="00CC0205"/>
    <w:rsid w:val="00CC63B2"/>
    <w:rsid w:val="00CC7505"/>
    <w:rsid w:val="00CD2A8E"/>
    <w:rsid w:val="00CD2D4F"/>
    <w:rsid w:val="00CD6476"/>
    <w:rsid w:val="00CD7BA9"/>
    <w:rsid w:val="00CE47FC"/>
    <w:rsid w:val="00CF0CC1"/>
    <w:rsid w:val="00CF1576"/>
    <w:rsid w:val="00CF43D8"/>
    <w:rsid w:val="00CF49AC"/>
    <w:rsid w:val="00CF75AD"/>
    <w:rsid w:val="00CF7B08"/>
    <w:rsid w:val="00D01D9A"/>
    <w:rsid w:val="00D1027A"/>
    <w:rsid w:val="00D10663"/>
    <w:rsid w:val="00D12DCC"/>
    <w:rsid w:val="00D14EAD"/>
    <w:rsid w:val="00D16E4D"/>
    <w:rsid w:val="00D17138"/>
    <w:rsid w:val="00D17ECD"/>
    <w:rsid w:val="00D20338"/>
    <w:rsid w:val="00D228B7"/>
    <w:rsid w:val="00D23E57"/>
    <w:rsid w:val="00D25D5E"/>
    <w:rsid w:val="00D26766"/>
    <w:rsid w:val="00D30929"/>
    <w:rsid w:val="00D33944"/>
    <w:rsid w:val="00D33C3E"/>
    <w:rsid w:val="00D46781"/>
    <w:rsid w:val="00D46EE9"/>
    <w:rsid w:val="00D60914"/>
    <w:rsid w:val="00D62FC4"/>
    <w:rsid w:val="00D70946"/>
    <w:rsid w:val="00D87A25"/>
    <w:rsid w:val="00D90A9D"/>
    <w:rsid w:val="00D93B3E"/>
    <w:rsid w:val="00D955A7"/>
    <w:rsid w:val="00D9573B"/>
    <w:rsid w:val="00D96F66"/>
    <w:rsid w:val="00DA41BB"/>
    <w:rsid w:val="00DA6532"/>
    <w:rsid w:val="00DB4546"/>
    <w:rsid w:val="00DB752B"/>
    <w:rsid w:val="00DC12CB"/>
    <w:rsid w:val="00DC151A"/>
    <w:rsid w:val="00DC402C"/>
    <w:rsid w:val="00DC4D34"/>
    <w:rsid w:val="00DD00FA"/>
    <w:rsid w:val="00DE364D"/>
    <w:rsid w:val="00DE6EBF"/>
    <w:rsid w:val="00DF7ED8"/>
    <w:rsid w:val="00E00ADC"/>
    <w:rsid w:val="00E00C03"/>
    <w:rsid w:val="00E0182D"/>
    <w:rsid w:val="00E022B8"/>
    <w:rsid w:val="00E023E3"/>
    <w:rsid w:val="00E06460"/>
    <w:rsid w:val="00E07F2A"/>
    <w:rsid w:val="00E13F1B"/>
    <w:rsid w:val="00E13F3B"/>
    <w:rsid w:val="00E15371"/>
    <w:rsid w:val="00E15F4E"/>
    <w:rsid w:val="00E2433D"/>
    <w:rsid w:val="00E27704"/>
    <w:rsid w:val="00E3122A"/>
    <w:rsid w:val="00E32388"/>
    <w:rsid w:val="00E3303C"/>
    <w:rsid w:val="00E3543C"/>
    <w:rsid w:val="00E37EF6"/>
    <w:rsid w:val="00E40113"/>
    <w:rsid w:val="00E41136"/>
    <w:rsid w:val="00E44C29"/>
    <w:rsid w:val="00E45625"/>
    <w:rsid w:val="00E45E94"/>
    <w:rsid w:val="00E5391F"/>
    <w:rsid w:val="00E54BB2"/>
    <w:rsid w:val="00E56433"/>
    <w:rsid w:val="00E569EA"/>
    <w:rsid w:val="00E61D84"/>
    <w:rsid w:val="00E66087"/>
    <w:rsid w:val="00E672BD"/>
    <w:rsid w:val="00E70259"/>
    <w:rsid w:val="00E72819"/>
    <w:rsid w:val="00E8298C"/>
    <w:rsid w:val="00E93AC5"/>
    <w:rsid w:val="00E95094"/>
    <w:rsid w:val="00E976F4"/>
    <w:rsid w:val="00EA4698"/>
    <w:rsid w:val="00EA645A"/>
    <w:rsid w:val="00EB0097"/>
    <w:rsid w:val="00EB1DCA"/>
    <w:rsid w:val="00EB5D82"/>
    <w:rsid w:val="00EC0716"/>
    <w:rsid w:val="00EC6BB0"/>
    <w:rsid w:val="00ED1A20"/>
    <w:rsid w:val="00ED1F70"/>
    <w:rsid w:val="00ED42D8"/>
    <w:rsid w:val="00ED4824"/>
    <w:rsid w:val="00EE18C4"/>
    <w:rsid w:val="00EE2A83"/>
    <w:rsid w:val="00EE31FF"/>
    <w:rsid w:val="00EF1FA9"/>
    <w:rsid w:val="00EF274A"/>
    <w:rsid w:val="00EF4080"/>
    <w:rsid w:val="00EF6197"/>
    <w:rsid w:val="00EF75A6"/>
    <w:rsid w:val="00F01F0F"/>
    <w:rsid w:val="00F10F08"/>
    <w:rsid w:val="00F127CB"/>
    <w:rsid w:val="00F127DD"/>
    <w:rsid w:val="00F15E3B"/>
    <w:rsid w:val="00F16534"/>
    <w:rsid w:val="00F171F1"/>
    <w:rsid w:val="00F23B7C"/>
    <w:rsid w:val="00F2721D"/>
    <w:rsid w:val="00F47B4A"/>
    <w:rsid w:val="00F47C94"/>
    <w:rsid w:val="00F535D9"/>
    <w:rsid w:val="00F55A04"/>
    <w:rsid w:val="00F56D91"/>
    <w:rsid w:val="00F5756D"/>
    <w:rsid w:val="00F67DF8"/>
    <w:rsid w:val="00F71090"/>
    <w:rsid w:val="00F710B0"/>
    <w:rsid w:val="00F72748"/>
    <w:rsid w:val="00F72D83"/>
    <w:rsid w:val="00F72DA0"/>
    <w:rsid w:val="00F7524D"/>
    <w:rsid w:val="00F80066"/>
    <w:rsid w:val="00F807D7"/>
    <w:rsid w:val="00F81BF2"/>
    <w:rsid w:val="00F915DF"/>
    <w:rsid w:val="00FA1675"/>
    <w:rsid w:val="00FA3563"/>
    <w:rsid w:val="00FA49D4"/>
    <w:rsid w:val="00FB139B"/>
    <w:rsid w:val="00FB1F47"/>
    <w:rsid w:val="00FB521C"/>
    <w:rsid w:val="00FB5339"/>
    <w:rsid w:val="00FB71BD"/>
    <w:rsid w:val="00FB7D65"/>
    <w:rsid w:val="00FC03DC"/>
    <w:rsid w:val="00FC04E6"/>
    <w:rsid w:val="00FC0D68"/>
    <w:rsid w:val="00FC1E80"/>
    <w:rsid w:val="00FD714E"/>
    <w:rsid w:val="00FE0068"/>
    <w:rsid w:val="00FE1DC8"/>
    <w:rsid w:val="00FE2884"/>
    <w:rsid w:val="00FE531F"/>
    <w:rsid w:val="00FF1B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1C2E4DE"/>
  <w15:chartTrackingRefBased/>
  <w15:docId w15:val="{9195DB1E-9C1D-48C6-B19D-6E525A66A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DF5"/>
    <w:pPr>
      <w:keepLines/>
      <w:spacing w:before="240" w:after="0" w:line="276" w:lineRule="auto"/>
    </w:pPr>
    <w:rPr>
      <w:sz w:val="24"/>
    </w:rPr>
  </w:style>
  <w:style w:type="paragraph" w:styleId="Heading1">
    <w:name w:val="heading 1"/>
    <w:basedOn w:val="Normal"/>
    <w:next w:val="Normal"/>
    <w:link w:val="Heading1Char"/>
    <w:uiPriority w:val="1"/>
    <w:qFormat/>
    <w:rsid w:val="00465B9E"/>
    <w:pPr>
      <w:keepNext/>
      <w:pageBreakBefore/>
      <w:spacing w:after="720" w:line="240" w:lineRule="auto"/>
      <w:outlineLvl w:val="0"/>
    </w:pPr>
    <w:rPr>
      <w:rFonts w:asciiTheme="majorHAnsi" w:eastAsiaTheme="majorEastAsia" w:hAnsiTheme="majorHAnsi" w:cstheme="majorBidi"/>
      <w:color w:val="FFFFFF" w:themeColor="background1"/>
      <w:sz w:val="56"/>
      <w:szCs w:val="52"/>
      <w:bdr w:val="single" w:sz="48" w:space="0" w:color="009C98" w:themeColor="accent1"/>
      <w:shd w:val="clear" w:color="auto" w:fill="009C98" w:themeFill="accent1"/>
    </w:rPr>
  </w:style>
  <w:style w:type="paragraph" w:styleId="Heading2">
    <w:name w:val="heading 2"/>
    <w:basedOn w:val="Heading1"/>
    <w:next w:val="Normal"/>
    <w:link w:val="Heading2Char"/>
    <w:uiPriority w:val="1"/>
    <w:unhideWhenUsed/>
    <w:qFormat/>
    <w:rsid w:val="002D221B"/>
    <w:pPr>
      <w:pageBreakBefore w:val="0"/>
      <w:pBdr>
        <w:top w:val="single" w:sz="24" w:space="9" w:color="009C98" w:themeColor="accent1"/>
      </w:pBdr>
      <w:spacing w:before="720" w:after="60"/>
      <w:outlineLvl w:val="1"/>
    </w:pPr>
    <w:rPr>
      <w:b/>
      <w:color w:val="0B4E60" w:themeColor="text2"/>
      <w:sz w:val="36"/>
      <w:szCs w:val="32"/>
      <w:bdr w:val="none" w:sz="0" w:space="0" w:color="auto"/>
      <w:shd w:val="clear" w:color="auto" w:fill="auto"/>
    </w:rPr>
  </w:style>
  <w:style w:type="paragraph" w:styleId="Heading3">
    <w:name w:val="heading 3"/>
    <w:basedOn w:val="Heading2"/>
    <w:next w:val="Normal"/>
    <w:link w:val="Heading3Char"/>
    <w:uiPriority w:val="1"/>
    <w:unhideWhenUsed/>
    <w:qFormat/>
    <w:rsid w:val="004E2C9C"/>
    <w:pPr>
      <w:pBdr>
        <w:top w:val="none" w:sz="0" w:space="0" w:color="auto"/>
      </w:pBdr>
      <w:spacing w:before="400" w:after="40"/>
      <w:outlineLvl w:val="2"/>
    </w:pPr>
    <w:rPr>
      <w:color w:val="auto"/>
      <w:sz w:val="32"/>
      <w:szCs w:val="30"/>
    </w:rPr>
  </w:style>
  <w:style w:type="paragraph" w:styleId="Heading4">
    <w:name w:val="heading 4"/>
    <w:basedOn w:val="Heading3"/>
    <w:next w:val="Normal"/>
    <w:link w:val="Heading4Char"/>
    <w:uiPriority w:val="1"/>
    <w:unhideWhenUsed/>
    <w:qFormat/>
    <w:rsid w:val="002D221B"/>
    <w:pPr>
      <w:spacing w:before="360"/>
      <w:outlineLvl w:val="3"/>
    </w:pPr>
    <w:rPr>
      <w:color w:val="004E4B" w:themeColor="accent1" w:themeShade="80"/>
      <w:sz w:val="28"/>
      <w:szCs w:val="29"/>
    </w:rPr>
  </w:style>
  <w:style w:type="paragraph" w:styleId="Heading5">
    <w:name w:val="heading 5"/>
    <w:basedOn w:val="Normal"/>
    <w:next w:val="Normal"/>
    <w:link w:val="Heading5Char1"/>
    <w:uiPriority w:val="9"/>
    <w:unhideWhenUsed/>
    <w:rsid w:val="004E2C9C"/>
    <w:pPr>
      <w:keepNext/>
      <w:spacing w:before="160"/>
      <w:outlineLvl w:val="4"/>
    </w:pPr>
    <w:rPr>
      <w:rFonts w:asciiTheme="majorHAnsi" w:eastAsiaTheme="majorEastAsia" w:hAnsiTheme="majorHAnsi" w:cstheme="majorBidi"/>
      <w:b/>
    </w:rPr>
  </w:style>
  <w:style w:type="paragraph" w:styleId="Heading6">
    <w:name w:val="heading 6"/>
    <w:basedOn w:val="Normal"/>
    <w:next w:val="Normal"/>
    <w:link w:val="Heading6Char1"/>
    <w:uiPriority w:val="9"/>
    <w:semiHidden/>
    <w:unhideWhenUsed/>
    <w:rsid w:val="004E2C9C"/>
    <w:pPr>
      <w:keepNext/>
      <w:spacing w:before="4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3B7D03"/>
    <w:pPr>
      <w:keepNext/>
      <w:numPr>
        <w:ilvl w:val="6"/>
        <w:numId w:val="4"/>
      </w:numPr>
      <w:spacing w:before="40"/>
      <w:outlineLvl w:val="6"/>
    </w:pPr>
    <w:rPr>
      <w:rFonts w:asciiTheme="majorHAnsi" w:eastAsiaTheme="majorEastAsia" w:hAnsiTheme="majorHAnsi" w:cstheme="majorBidi"/>
      <w:i/>
      <w:iCs/>
      <w:color w:val="004D4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
    <w:qFormat/>
    <w:rsid w:val="004A5BF6"/>
    <w:pPr>
      <w:pBdr>
        <w:top w:val="single" w:sz="48" w:space="0" w:color="009C98" w:themeColor="accent1"/>
        <w:left w:val="single" w:sz="48" w:space="0" w:color="009C98" w:themeColor="accent1"/>
        <w:bottom w:val="single" w:sz="48" w:space="0" w:color="009C98" w:themeColor="accent1"/>
        <w:right w:val="single" w:sz="48" w:space="0" w:color="009C98" w:themeColor="accent1"/>
      </w:pBdr>
      <w:shd w:val="clear" w:color="auto" w:fill="009C98" w:themeFill="accent1"/>
      <w:spacing w:line="216" w:lineRule="auto"/>
      <w:contextualSpacing/>
    </w:pPr>
    <w:rPr>
      <w:rFonts w:asciiTheme="majorHAnsi" w:eastAsiaTheme="majorEastAsia" w:hAnsiTheme="majorHAnsi" w:cstheme="majorBidi"/>
      <w:color w:val="FFFFFF" w:themeColor="background1"/>
      <w:spacing w:val="2"/>
      <w:kern w:val="28"/>
      <w:sz w:val="104"/>
      <w:szCs w:val="104"/>
      <w:bdr w:val="single" w:sz="48" w:space="0" w:color="009C98" w:themeColor="accent1"/>
      <w:shd w:val="clear" w:color="auto" w:fill="009C98" w:themeFill="accent1"/>
    </w:rPr>
  </w:style>
  <w:style w:type="character" w:customStyle="1" w:styleId="TitleChar">
    <w:name w:val="Title Char"/>
    <w:basedOn w:val="DefaultParagraphFont"/>
    <w:link w:val="Title"/>
    <w:uiPriority w:val="9"/>
    <w:rsid w:val="00457EE1"/>
    <w:rPr>
      <w:rFonts w:asciiTheme="majorHAnsi" w:eastAsiaTheme="majorEastAsia" w:hAnsiTheme="majorHAnsi" w:cstheme="majorBidi"/>
      <w:color w:val="FFFFFF" w:themeColor="background1"/>
      <w:spacing w:val="2"/>
      <w:kern w:val="28"/>
      <w:sz w:val="104"/>
      <w:szCs w:val="104"/>
      <w:bdr w:val="single" w:sz="48" w:space="0" w:color="009C98" w:themeColor="accent1"/>
      <w:shd w:val="clear" w:color="auto" w:fill="009C98" w:themeFill="accent1"/>
    </w:rPr>
  </w:style>
  <w:style w:type="paragraph" w:styleId="Header">
    <w:name w:val="header"/>
    <w:basedOn w:val="Normal"/>
    <w:link w:val="HeaderChar"/>
    <w:uiPriority w:val="99"/>
    <w:unhideWhenUsed/>
    <w:rsid w:val="00A26DF5"/>
    <w:pPr>
      <w:tabs>
        <w:tab w:val="center" w:pos="4513"/>
        <w:tab w:val="right" w:pos="9026"/>
      </w:tabs>
      <w:spacing w:line="240" w:lineRule="auto"/>
    </w:pPr>
  </w:style>
  <w:style w:type="character" w:customStyle="1" w:styleId="HeaderChar">
    <w:name w:val="Header Char"/>
    <w:basedOn w:val="DefaultParagraphFont"/>
    <w:link w:val="Header"/>
    <w:uiPriority w:val="99"/>
    <w:rsid w:val="00A26DF5"/>
    <w:rPr>
      <w:sz w:val="24"/>
    </w:rPr>
  </w:style>
  <w:style w:type="paragraph" w:styleId="Footer">
    <w:name w:val="footer"/>
    <w:basedOn w:val="Normal"/>
    <w:link w:val="FooterChar"/>
    <w:uiPriority w:val="99"/>
    <w:unhideWhenUsed/>
    <w:rsid w:val="00A26DF5"/>
    <w:pPr>
      <w:tabs>
        <w:tab w:val="center" w:pos="4513"/>
        <w:tab w:val="right" w:pos="9026"/>
      </w:tabs>
      <w:spacing w:line="240" w:lineRule="auto"/>
    </w:pPr>
    <w:rPr>
      <w:color w:val="0B4E60" w:themeColor="text2"/>
    </w:rPr>
  </w:style>
  <w:style w:type="character" w:customStyle="1" w:styleId="FooterChar">
    <w:name w:val="Footer Char"/>
    <w:basedOn w:val="DefaultParagraphFont"/>
    <w:link w:val="Footer"/>
    <w:uiPriority w:val="99"/>
    <w:rsid w:val="00A26DF5"/>
    <w:rPr>
      <w:color w:val="0B4E60" w:themeColor="text2"/>
      <w:sz w:val="24"/>
    </w:rPr>
  </w:style>
  <w:style w:type="character" w:customStyle="1" w:styleId="Heading1Char">
    <w:name w:val="Heading 1 Char"/>
    <w:basedOn w:val="DefaultParagraphFont"/>
    <w:link w:val="Heading1"/>
    <w:uiPriority w:val="1"/>
    <w:rsid w:val="00465B9E"/>
    <w:rPr>
      <w:rFonts w:asciiTheme="majorHAnsi" w:eastAsiaTheme="majorEastAsia" w:hAnsiTheme="majorHAnsi" w:cstheme="majorBidi"/>
      <w:color w:val="FFFFFF" w:themeColor="background1"/>
      <w:sz w:val="56"/>
      <w:szCs w:val="52"/>
      <w:bdr w:val="single" w:sz="48" w:space="0" w:color="009C98" w:themeColor="accent1"/>
    </w:rPr>
  </w:style>
  <w:style w:type="character" w:customStyle="1" w:styleId="Heading2Char">
    <w:name w:val="Heading 2 Char"/>
    <w:basedOn w:val="DefaultParagraphFont"/>
    <w:link w:val="Heading2"/>
    <w:uiPriority w:val="1"/>
    <w:rsid w:val="002D221B"/>
    <w:rPr>
      <w:rFonts w:asciiTheme="majorHAnsi" w:eastAsiaTheme="majorEastAsia" w:hAnsiTheme="majorHAnsi" w:cstheme="majorBidi"/>
      <w:b/>
      <w:color w:val="0B4E60" w:themeColor="text2"/>
      <w:sz w:val="36"/>
      <w:szCs w:val="32"/>
    </w:rPr>
  </w:style>
  <w:style w:type="character" w:customStyle="1" w:styleId="Heading3Char">
    <w:name w:val="Heading 3 Char"/>
    <w:basedOn w:val="DefaultParagraphFont"/>
    <w:link w:val="Heading3"/>
    <w:uiPriority w:val="1"/>
    <w:rsid w:val="004E2C9C"/>
    <w:rPr>
      <w:rFonts w:asciiTheme="majorHAnsi" w:eastAsiaTheme="majorEastAsia" w:hAnsiTheme="majorHAnsi" w:cstheme="majorBidi"/>
      <w:b/>
      <w:sz w:val="32"/>
      <w:szCs w:val="30"/>
    </w:rPr>
  </w:style>
  <w:style w:type="character" w:customStyle="1" w:styleId="Heading4Char">
    <w:name w:val="Heading 4 Char"/>
    <w:basedOn w:val="DefaultParagraphFont"/>
    <w:link w:val="Heading4"/>
    <w:uiPriority w:val="1"/>
    <w:rsid w:val="002D221B"/>
    <w:rPr>
      <w:rFonts w:asciiTheme="majorHAnsi" w:eastAsiaTheme="majorEastAsia" w:hAnsiTheme="majorHAnsi" w:cstheme="majorBidi"/>
      <w:b/>
      <w:color w:val="004E4B" w:themeColor="accent1" w:themeShade="80"/>
      <w:sz w:val="28"/>
      <w:szCs w:val="29"/>
    </w:rPr>
  </w:style>
  <w:style w:type="paragraph" w:styleId="Subtitle">
    <w:name w:val="Subtitle"/>
    <w:basedOn w:val="Title"/>
    <w:next w:val="Normal"/>
    <w:link w:val="SubtitleChar"/>
    <w:uiPriority w:val="10"/>
    <w:qFormat/>
    <w:rsid w:val="00972D5B"/>
    <w:rPr>
      <w:sz w:val="44"/>
      <w:szCs w:val="44"/>
    </w:rPr>
  </w:style>
  <w:style w:type="character" w:customStyle="1" w:styleId="SubtitleChar">
    <w:name w:val="Subtitle Char"/>
    <w:basedOn w:val="DefaultParagraphFont"/>
    <w:link w:val="Subtitle"/>
    <w:uiPriority w:val="10"/>
    <w:rsid w:val="00457EE1"/>
    <w:rPr>
      <w:rFonts w:asciiTheme="majorHAnsi" w:eastAsiaTheme="majorEastAsia" w:hAnsiTheme="majorHAnsi" w:cstheme="majorBidi"/>
      <w:color w:val="FFFFFF" w:themeColor="background1"/>
      <w:spacing w:val="2"/>
      <w:kern w:val="28"/>
      <w:sz w:val="44"/>
      <w:szCs w:val="44"/>
      <w:bdr w:val="single" w:sz="48" w:space="0" w:color="009C98" w:themeColor="accent1"/>
      <w:shd w:val="clear" w:color="auto" w:fill="009C98" w:themeFill="accent1"/>
    </w:r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A Fu,Char,fn,5_G, Char,f"/>
    <w:basedOn w:val="Normal"/>
    <w:link w:val="FootnoteTextChar"/>
    <w:uiPriority w:val="99"/>
    <w:unhideWhenUsed/>
    <w:qFormat/>
    <w:rsid w:val="00A26DF5"/>
    <w:pPr>
      <w:spacing w:before="160" w:after="120" w:line="240" w:lineRule="auto"/>
    </w:pPr>
    <w:rPr>
      <w:noProof/>
      <w:color w:val="0B4E60" w:themeColor="text2"/>
      <w:szCs w:val="20"/>
    </w:rPr>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A Fu Char,Char Char,fn Char,5_G Char,f Char"/>
    <w:basedOn w:val="DefaultParagraphFont"/>
    <w:link w:val="FootnoteText"/>
    <w:uiPriority w:val="99"/>
    <w:rsid w:val="00A26DF5"/>
    <w:rPr>
      <w:noProof/>
      <w:color w:val="0B4E60" w:themeColor="text2"/>
      <w:sz w:val="24"/>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38266E"/>
    <w:rPr>
      <w:vertAlign w:val="superscript"/>
    </w:rPr>
  </w:style>
  <w:style w:type="character" w:styleId="Emphasis">
    <w:name w:val="Emphasis"/>
    <w:basedOn w:val="DefaultParagraphFont"/>
    <w:uiPriority w:val="20"/>
    <w:rsid w:val="00A26DF5"/>
    <w:rPr>
      <w:b/>
      <w:i w:val="0"/>
      <w:iCs/>
      <w:sz w:val="24"/>
    </w:rPr>
  </w:style>
  <w:style w:type="character" w:styleId="IntenseEmphasis">
    <w:name w:val="Intense Emphasis"/>
    <w:basedOn w:val="DefaultParagraphFont"/>
    <w:uiPriority w:val="21"/>
    <w:rsid w:val="00A26DF5"/>
    <w:rPr>
      <w:b/>
      <w:i w:val="0"/>
      <w:iCs/>
      <w:color w:val="007471" w:themeColor="accent1" w:themeShade="BF"/>
    </w:rPr>
  </w:style>
  <w:style w:type="numbering" w:customStyle="1" w:styleId="StyleOutlinenumberedLatinHeadingsArialComplexHeadi1">
    <w:name w:val="Style Outline numbered (Latin) +Headings (Arial) (Complex) +Headi...1"/>
    <w:basedOn w:val="NoList"/>
    <w:rsid w:val="004E2C9C"/>
    <w:pPr>
      <w:numPr>
        <w:numId w:val="15"/>
      </w:numPr>
    </w:pPr>
  </w:style>
  <w:style w:type="character" w:styleId="Hyperlink">
    <w:name w:val="Hyperlink"/>
    <w:basedOn w:val="DefaultParagraphFont"/>
    <w:uiPriority w:val="99"/>
    <w:unhideWhenUsed/>
    <w:rsid w:val="00277333"/>
    <w:rPr>
      <w:color w:val="auto"/>
      <w:u w:val="single" w:color="009C98" w:themeColor="accent1"/>
    </w:rPr>
  </w:style>
  <w:style w:type="character" w:styleId="FollowedHyperlink">
    <w:name w:val="FollowedHyperlink"/>
    <w:basedOn w:val="DefaultParagraphFont"/>
    <w:uiPriority w:val="99"/>
    <w:semiHidden/>
    <w:unhideWhenUsed/>
    <w:rsid w:val="00277333"/>
    <w:rPr>
      <w:color w:val="auto"/>
      <w:u w:val="single" w:color="009C98" w:themeColor="accent1"/>
    </w:rPr>
  </w:style>
  <w:style w:type="paragraph" w:styleId="Quote">
    <w:name w:val="Quote"/>
    <w:basedOn w:val="Normal"/>
    <w:next w:val="Normal"/>
    <w:link w:val="QuoteChar"/>
    <w:uiPriority w:val="29"/>
    <w:qFormat/>
    <w:rsid w:val="00A82FF5"/>
    <w:pPr>
      <w:ind w:left="680" w:right="963"/>
    </w:pPr>
  </w:style>
  <w:style w:type="character" w:customStyle="1" w:styleId="QuoteChar">
    <w:name w:val="Quote Char"/>
    <w:basedOn w:val="DefaultParagraphFont"/>
    <w:link w:val="Quote"/>
    <w:uiPriority w:val="29"/>
    <w:rsid w:val="00A82FF5"/>
    <w:rPr>
      <w:sz w:val="24"/>
    </w:rPr>
  </w:style>
  <w:style w:type="paragraph" w:styleId="IntenseQuote">
    <w:name w:val="Intense Quote"/>
    <w:basedOn w:val="Normal"/>
    <w:next w:val="Normal"/>
    <w:link w:val="IntenseQuoteChar"/>
    <w:uiPriority w:val="30"/>
    <w:rsid w:val="00B14602"/>
    <w:pPr>
      <w:pBdr>
        <w:top w:val="single" w:sz="18" w:space="12" w:color="009C98" w:themeColor="accent1"/>
        <w:bottom w:val="single" w:sz="18" w:space="12" w:color="009C98" w:themeColor="accent1"/>
      </w:pBdr>
      <w:spacing w:before="360" w:after="480"/>
      <w:ind w:left="454" w:right="454"/>
    </w:pPr>
  </w:style>
  <w:style w:type="character" w:customStyle="1" w:styleId="IntenseQuoteChar">
    <w:name w:val="Intense Quote Char"/>
    <w:basedOn w:val="DefaultParagraphFont"/>
    <w:link w:val="IntenseQuote"/>
    <w:uiPriority w:val="30"/>
    <w:rsid w:val="00B14602"/>
    <w:rPr>
      <w:sz w:val="28"/>
    </w:rPr>
  </w:style>
  <w:style w:type="paragraph" w:styleId="ListParagraph">
    <w:name w:val="List Paragraph"/>
    <w:basedOn w:val="Normal"/>
    <w:uiPriority w:val="34"/>
    <w:qFormat/>
    <w:rsid w:val="00E3122A"/>
    <w:pPr>
      <w:spacing w:before="60"/>
      <w:ind w:left="227"/>
    </w:pPr>
  </w:style>
  <w:style w:type="paragraph" w:styleId="NoSpacing">
    <w:name w:val="No Spacing"/>
    <w:uiPriority w:val="1"/>
    <w:qFormat/>
    <w:rsid w:val="00B14602"/>
    <w:pPr>
      <w:spacing w:after="0" w:line="240" w:lineRule="auto"/>
    </w:pPr>
    <w:rPr>
      <w:sz w:val="28"/>
    </w:rPr>
  </w:style>
  <w:style w:type="paragraph" w:styleId="ListBullet">
    <w:name w:val="List Bullet"/>
    <w:basedOn w:val="ListParagraph"/>
    <w:uiPriority w:val="1"/>
    <w:qFormat/>
    <w:rsid w:val="001253D3"/>
    <w:pPr>
      <w:numPr>
        <w:numId w:val="13"/>
      </w:numPr>
    </w:pPr>
  </w:style>
  <w:style w:type="paragraph" w:styleId="ListBullet2">
    <w:name w:val="List Bullet 2"/>
    <w:basedOn w:val="Normal"/>
    <w:uiPriority w:val="99"/>
    <w:unhideWhenUsed/>
    <w:rsid w:val="00B14602"/>
    <w:pPr>
      <w:numPr>
        <w:numId w:val="1"/>
      </w:numPr>
      <w:contextualSpacing/>
    </w:pPr>
  </w:style>
  <w:style w:type="paragraph" w:styleId="ListBullet3">
    <w:name w:val="List Bullet 3"/>
    <w:basedOn w:val="Normal"/>
    <w:uiPriority w:val="99"/>
    <w:unhideWhenUsed/>
    <w:rsid w:val="00B14602"/>
    <w:pPr>
      <w:numPr>
        <w:numId w:val="2"/>
      </w:numPr>
      <w:contextualSpacing/>
    </w:pPr>
  </w:style>
  <w:style w:type="paragraph" w:styleId="ListBullet4">
    <w:name w:val="List Bullet 4"/>
    <w:basedOn w:val="Normal"/>
    <w:uiPriority w:val="99"/>
    <w:unhideWhenUsed/>
    <w:rsid w:val="00B14602"/>
    <w:pPr>
      <w:numPr>
        <w:numId w:val="3"/>
      </w:numPr>
      <w:contextualSpacing/>
    </w:pPr>
  </w:style>
  <w:style w:type="paragraph" w:styleId="List">
    <w:name w:val="List"/>
    <w:basedOn w:val="Normal"/>
    <w:uiPriority w:val="99"/>
    <w:unhideWhenUsed/>
    <w:rsid w:val="00A26DF5"/>
    <w:pPr>
      <w:ind w:left="283" w:hanging="283"/>
      <w:contextualSpacing/>
    </w:pPr>
  </w:style>
  <w:style w:type="paragraph" w:customStyle="1" w:styleId="Figureparagraphnocaption">
    <w:name w:val="Figure paragraph no caption"/>
    <w:basedOn w:val="Normal"/>
    <w:uiPriority w:val="3"/>
    <w:semiHidden/>
    <w:unhideWhenUsed/>
    <w:qFormat/>
    <w:rsid w:val="00880F69"/>
    <w:pPr>
      <w:spacing w:after="480"/>
    </w:pPr>
  </w:style>
  <w:style w:type="character" w:customStyle="1" w:styleId="Howtousethistemplate">
    <w:name w:val="How to use this template"/>
    <w:basedOn w:val="DefaultParagraphFont"/>
    <w:uiPriority w:val="99"/>
    <w:rsid w:val="00A82FF5"/>
    <w:rPr>
      <w:color w:val="722856" w:themeColor="accent5"/>
      <w:sz w:val="24"/>
    </w:rPr>
  </w:style>
  <w:style w:type="paragraph" w:styleId="Date">
    <w:name w:val="Date"/>
    <w:basedOn w:val="Subtitle"/>
    <w:next w:val="Normal"/>
    <w:link w:val="DateChar"/>
    <w:uiPriority w:val="11"/>
    <w:qFormat/>
    <w:rsid w:val="00F171F1"/>
  </w:style>
  <w:style w:type="character" w:customStyle="1" w:styleId="DateChar">
    <w:name w:val="Date Char"/>
    <w:basedOn w:val="DefaultParagraphFont"/>
    <w:link w:val="Date"/>
    <w:uiPriority w:val="11"/>
    <w:rsid w:val="00457EE1"/>
    <w:rPr>
      <w:rFonts w:asciiTheme="majorHAnsi" w:eastAsiaTheme="majorEastAsia" w:hAnsiTheme="majorHAnsi" w:cstheme="majorBidi"/>
      <w:color w:val="FFFFFF" w:themeColor="background1"/>
      <w:spacing w:val="2"/>
      <w:kern w:val="28"/>
      <w:sz w:val="44"/>
      <w:szCs w:val="44"/>
      <w:bdr w:val="single" w:sz="48" w:space="0" w:color="009C98" w:themeColor="accent1"/>
      <w:shd w:val="clear" w:color="auto" w:fill="009C98" w:themeFill="accent1"/>
    </w:rPr>
  </w:style>
  <w:style w:type="paragraph" w:styleId="TOC2">
    <w:name w:val="toc 2"/>
    <w:basedOn w:val="Normal"/>
    <w:next w:val="Normal"/>
    <w:autoRedefine/>
    <w:uiPriority w:val="39"/>
    <w:unhideWhenUsed/>
    <w:rsid w:val="00A82FF5"/>
    <w:pPr>
      <w:spacing w:after="100"/>
      <w:ind w:left="280"/>
    </w:pPr>
  </w:style>
  <w:style w:type="paragraph" w:styleId="TOC1">
    <w:name w:val="toc 1"/>
    <w:basedOn w:val="Normal"/>
    <w:next w:val="Normal"/>
    <w:autoRedefine/>
    <w:uiPriority w:val="39"/>
    <w:unhideWhenUsed/>
    <w:rsid w:val="00A82FF5"/>
    <w:pPr>
      <w:spacing w:after="100"/>
    </w:pPr>
    <w:rPr>
      <w:b/>
    </w:rPr>
  </w:style>
  <w:style w:type="paragraph" w:styleId="ListNumber">
    <w:name w:val="List Number"/>
    <w:basedOn w:val="Normal"/>
    <w:uiPriority w:val="1"/>
    <w:qFormat/>
    <w:rsid w:val="00230678"/>
    <w:pPr>
      <w:numPr>
        <w:numId w:val="6"/>
      </w:numPr>
      <w:spacing w:before="60"/>
      <w:contextualSpacing/>
    </w:pPr>
  </w:style>
  <w:style w:type="paragraph" w:customStyle="1" w:styleId="FigureTabletitle">
    <w:name w:val="Figure / Table title"/>
    <w:basedOn w:val="Normal"/>
    <w:uiPriority w:val="2"/>
    <w:qFormat/>
    <w:rsid w:val="00A26DF5"/>
    <w:pPr>
      <w:keepNext/>
      <w:spacing w:before="480" w:after="120"/>
    </w:pPr>
    <w:rPr>
      <w:b/>
    </w:rPr>
  </w:style>
  <w:style w:type="paragraph" w:customStyle="1" w:styleId="FigureTablesource">
    <w:name w:val="Figure / Table source"/>
    <w:basedOn w:val="Normal"/>
    <w:uiPriority w:val="3"/>
    <w:qFormat/>
    <w:rsid w:val="00D93B3E"/>
    <w:pPr>
      <w:spacing w:after="360"/>
    </w:pPr>
    <w:rPr>
      <w:szCs w:val="24"/>
    </w:rPr>
  </w:style>
  <w:style w:type="table" w:styleId="TableGrid">
    <w:name w:val="Table Grid"/>
    <w:basedOn w:val="TableNormal"/>
    <w:uiPriority w:val="39"/>
    <w:rsid w:val="00EF1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text">
    <w:name w:val="Box text"/>
    <w:basedOn w:val="Boxtitle"/>
    <w:uiPriority w:val="5"/>
    <w:qFormat/>
    <w:rsid w:val="00A26DF5"/>
    <w:rPr>
      <w:b w:val="0"/>
    </w:rPr>
  </w:style>
  <w:style w:type="paragraph" w:customStyle="1" w:styleId="Boxtitle">
    <w:name w:val="Box title"/>
    <w:basedOn w:val="FigureTabletitle"/>
    <w:uiPriority w:val="4"/>
    <w:qFormat/>
    <w:rsid w:val="004E2C9C"/>
    <w:pPr>
      <w:pBdr>
        <w:top w:val="single" w:sz="24" w:space="8" w:color="DDDE45" w:themeColor="accent3"/>
        <w:left w:val="single" w:sz="24" w:space="4" w:color="F1F1B4" w:themeColor="accent3" w:themeTint="66"/>
        <w:bottom w:val="single" w:sz="48" w:space="1" w:color="F1F1B4" w:themeColor="accent3" w:themeTint="66"/>
        <w:right w:val="single" w:sz="24" w:space="4" w:color="F1F1B4" w:themeColor="accent3" w:themeTint="66"/>
      </w:pBdr>
      <w:shd w:val="clear" w:color="auto" w:fill="F1F1B4" w:themeFill="accent3" w:themeFillTint="66"/>
      <w:spacing w:before="400" w:after="240"/>
      <w:ind w:left="142" w:right="198"/>
    </w:pPr>
  </w:style>
  <w:style w:type="paragraph" w:customStyle="1" w:styleId="Boxsource">
    <w:name w:val="Box source"/>
    <w:basedOn w:val="Boxtext"/>
    <w:uiPriority w:val="6"/>
    <w:rsid w:val="004E2C9C"/>
    <w:pPr>
      <w:spacing w:after="400"/>
    </w:pPr>
  </w:style>
  <w:style w:type="character" w:customStyle="1" w:styleId="Heading7Char">
    <w:name w:val="Heading 7 Char"/>
    <w:basedOn w:val="DefaultParagraphFont"/>
    <w:link w:val="Heading7"/>
    <w:uiPriority w:val="9"/>
    <w:semiHidden/>
    <w:rsid w:val="003B7D03"/>
    <w:rPr>
      <w:rFonts w:asciiTheme="majorHAnsi" w:eastAsiaTheme="majorEastAsia" w:hAnsiTheme="majorHAnsi" w:cstheme="majorBidi"/>
      <w:i/>
      <w:iCs/>
      <w:color w:val="004D4B" w:themeColor="accent1" w:themeShade="7F"/>
      <w:sz w:val="24"/>
    </w:rPr>
  </w:style>
  <w:style w:type="paragraph" w:customStyle="1" w:styleId="Boxstandfirst">
    <w:name w:val="Box standfirst"/>
    <w:basedOn w:val="Boxtext"/>
    <w:uiPriority w:val="6"/>
    <w:unhideWhenUsed/>
    <w:rsid w:val="00A26DF5"/>
    <w:pPr>
      <w:spacing w:before="0"/>
    </w:pPr>
    <w:rPr>
      <w:color w:val="0B4E60" w:themeColor="text2"/>
    </w:rPr>
  </w:style>
  <w:style w:type="paragraph" w:customStyle="1" w:styleId="TableParagraph">
    <w:name w:val="Table Paragraph"/>
    <w:basedOn w:val="FigureTabletitle"/>
    <w:uiPriority w:val="1"/>
    <w:rsid w:val="00A82FF5"/>
    <w:pPr>
      <w:spacing w:before="120"/>
    </w:pPr>
    <w:rPr>
      <w:rFonts w:asciiTheme="majorHAnsi" w:hAnsiTheme="majorHAnsi" w:cstheme="majorHAnsi"/>
      <w:b w:val="0"/>
      <w:szCs w:val="28"/>
    </w:rPr>
  </w:style>
  <w:style w:type="paragraph" w:styleId="BodyText">
    <w:name w:val="Body Text"/>
    <w:basedOn w:val="Normal"/>
    <w:link w:val="BodyTextChar"/>
    <w:uiPriority w:val="99"/>
    <w:semiHidden/>
    <w:unhideWhenUsed/>
    <w:rsid w:val="00A82FF5"/>
    <w:pPr>
      <w:spacing w:after="120"/>
    </w:pPr>
  </w:style>
  <w:style w:type="character" w:customStyle="1" w:styleId="BodyTextChar">
    <w:name w:val="Body Text Char"/>
    <w:basedOn w:val="DefaultParagraphFont"/>
    <w:link w:val="BodyText"/>
    <w:uiPriority w:val="99"/>
    <w:semiHidden/>
    <w:rsid w:val="00A82FF5"/>
    <w:rPr>
      <w:sz w:val="24"/>
    </w:rPr>
  </w:style>
  <w:style w:type="paragraph" w:styleId="TOC3">
    <w:name w:val="toc 3"/>
    <w:basedOn w:val="Normal"/>
    <w:next w:val="Normal"/>
    <w:autoRedefine/>
    <w:uiPriority w:val="39"/>
    <w:unhideWhenUsed/>
    <w:rsid w:val="00A82FF5"/>
    <w:pPr>
      <w:spacing w:after="100"/>
      <w:ind w:left="560"/>
    </w:pPr>
  </w:style>
  <w:style w:type="numbering" w:customStyle="1" w:styleId="StyleBulletedSymbolsymbolLeft063cmHanging063cm1">
    <w:name w:val="Style Bulleted Symbol (symbol) Left:  0.63 cm Hanging:  0.63 cm1"/>
    <w:basedOn w:val="NoList"/>
    <w:rsid w:val="00841C02"/>
    <w:pPr>
      <w:numPr>
        <w:numId w:val="5"/>
      </w:numPr>
    </w:pPr>
  </w:style>
  <w:style w:type="numbering" w:customStyle="1" w:styleId="StyleNumberedLeft0cmHanging127cm">
    <w:name w:val="Style Numbered Left:  0 cm Hanging:  1.27 cm"/>
    <w:basedOn w:val="NoList"/>
    <w:rsid w:val="00420E5D"/>
    <w:pPr>
      <w:numPr>
        <w:numId w:val="7"/>
      </w:numPr>
    </w:pPr>
  </w:style>
  <w:style w:type="character" w:customStyle="1" w:styleId="Heading5Char">
    <w:name w:val="Heading 5 Char"/>
    <w:basedOn w:val="DefaultParagraphFont"/>
    <w:uiPriority w:val="9"/>
    <w:semiHidden/>
    <w:rsid w:val="004A47A5"/>
    <w:rPr>
      <w:rFonts w:asciiTheme="majorHAnsi" w:eastAsiaTheme="majorEastAsia" w:hAnsiTheme="majorHAnsi" w:cstheme="majorBidi"/>
      <w:color w:val="007471" w:themeColor="accent1" w:themeShade="BF"/>
      <w:sz w:val="28"/>
    </w:rPr>
  </w:style>
  <w:style w:type="character" w:customStyle="1" w:styleId="Heading6Char">
    <w:name w:val="Heading 6 Char"/>
    <w:basedOn w:val="DefaultParagraphFont"/>
    <w:uiPriority w:val="9"/>
    <w:semiHidden/>
    <w:rsid w:val="004A47A5"/>
    <w:rPr>
      <w:rFonts w:asciiTheme="majorHAnsi" w:eastAsiaTheme="majorEastAsia" w:hAnsiTheme="majorHAnsi" w:cstheme="majorBidi"/>
      <w:color w:val="004D4B" w:themeColor="accent1" w:themeShade="7F"/>
      <w:sz w:val="28"/>
    </w:rPr>
  </w:style>
  <w:style w:type="character" w:customStyle="1" w:styleId="Heading8Char">
    <w:name w:val="Heading 8 Char"/>
    <w:basedOn w:val="DefaultParagraphFont"/>
    <w:uiPriority w:val="9"/>
    <w:semiHidden/>
    <w:rsid w:val="004A47A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uiPriority w:val="9"/>
    <w:semiHidden/>
    <w:rsid w:val="004A47A5"/>
    <w:rPr>
      <w:rFonts w:asciiTheme="majorHAnsi" w:eastAsiaTheme="majorEastAsia" w:hAnsiTheme="majorHAnsi" w:cstheme="majorBidi"/>
      <w:i/>
      <w:iCs/>
      <w:color w:val="272727" w:themeColor="text1" w:themeTint="D8"/>
      <w:sz w:val="21"/>
      <w:szCs w:val="21"/>
    </w:rPr>
  </w:style>
  <w:style w:type="character" w:styleId="CommentReference">
    <w:name w:val="annotation reference"/>
    <w:basedOn w:val="DefaultParagraphFont"/>
    <w:uiPriority w:val="99"/>
    <w:semiHidden/>
    <w:unhideWhenUsed/>
    <w:rsid w:val="00A457FE"/>
    <w:rPr>
      <w:sz w:val="16"/>
      <w:szCs w:val="16"/>
    </w:rPr>
  </w:style>
  <w:style w:type="paragraph" w:styleId="CommentText">
    <w:name w:val="annotation text"/>
    <w:basedOn w:val="Normal"/>
    <w:link w:val="CommentTextChar"/>
    <w:uiPriority w:val="99"/>
    <w:unhideWhenUsed/>
    <w:rsid w:val="00A457FE"/>
    <w:pPr>
      <w:spacing w:line="240" w:lineRule="auto"/>
    </w:pPr>
    <w:rPr>
      <w:sz w:val="20"/>
      <w:szCs w:val="20"/>
    </w:rPr>
  </w:style>
  <w:style w:type="character" w:customStyle="1" w:styleId="CommentTextChar">
    <w:name w:val="Comment Text Char"/>
    <w:basedOn w:val="DefaultParagraphFont"/>
    <w:link w:val="CommentText"/>
    <w:uiPriority w:val="99"/>
    <w:rsid w:val="00A457FE"/>
    <w:rPr>
      <w:sz w:val="20"/>
      <w:szCs w:val="20"/>
    </w:rPr>
  </w:style>
  <w:style w:type="paragraph" w:styleId="CommentSubject">
    <w:name w:val="annotation subject"/>
    <w:basedOn w:val="CommentText"/>
    <w:next w:val="CommentText"/>
    <w:link w:val="CommentSubjectChar"/>
    <w:uiPriority w:val="99"/>
    <w:semiHidden/>
    <w:unhideWhenUsed/>
    <w:rsid w:val="00A457FE"/>
    <w:rPr>
      <w:b/>
      <w:bCs/>
    </w:rPr>
  </w:style>
  <w:style w:type="character" w:customStyle="1" w:styleId="CommentSubjectChar">
    <w:name w:val="Comment Subject Char"/>
    <w:basedOn w:val="CommentTextChar"/>
    <w:link w:val="CommentSubject"/>
    <w:uiPriority w:val="99"/>
    <w:semiHidden/>
    <w:rsid w:val="00A457FE"/>
    <w:rPr>
      <w:b/>
      <w:bCs/>
      <w:sz w:val="20"/>
      <w:szCs w:val="20"/>
    </w:rPr>
  </w:style>
  <w:style w:type="paragraph" w:styleId="BalloonText">
    <w:name w:val="Balloon Text"/>
    <w:basedOn w:val="Normal"/>
    <w:link w:val="BalloonTextChar"/>
    <w:uiPriority w:val="99"/>
    <w:semiHidden/>
    <w:unhideWhenUsed/>
    <w:rsid w:val="00A457FE"/>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7FE"/>
    <w:rPr>
      <w:rFonts w:ascii="Segoe UI" w:hAnsi="Segoe UI" w:cs="Segoe UI"/>
      <w:sz w:val="18"/>
      <w:szCs w:val="18"/>
    </w:rPr>
  </w:style>
  <w:style w:type="numbering" w:customStyle="1" w:styleId="StyleBulletedLatinCourierNewLeft19cmHanging063">
    <w:name w:val="Style Bulleted (Latin) Courier New Left:  1.9 cm Hanging:  0.63 ..."/>
    <w:basedOn w:val="NoList"/>
    <w:rsid w:val="009D0D69"/>
    <w:pPr>
      <w:numPr>
        <w:numId w:val="8"/>
      </w:numPr>
    </w:pPr>
  </w:style>
  <w:style w:type="character" w:styleId="PlaceholderText">
    <w:name w:val="Placeholder Text"/>
    <w:basedOn w:val="DefaultParagraphFont"/>
    <w:uiPriority w:val="99"/>
    <w:semiHidden/>
    <w:rsid w:val="00A82FF5"/>
    <w:rPr>
      <w:color w:val="808080"/>
      <w:sz w:val="24"/>
    </w:rPr>
  </w:style>
  <w:style w:type="paragraph" w:customStyle="1" w:styleId="Standfirst">
    <w:name w:val="Standfirst"/>
    <w:basedOn w:val="Normal"/>
    <w:uiPriority w:val="3"/>
    <w:semiHidden/>
    <w:unhideWhenUsed/>
    <w:rsid w:val="00A82FF5"/>
    <w:rPr>
      <w:color w:val="0B4E60" w:themeColor="text2"/>
    </w:rPr>
  </w:style>
  <w:style w:type="paragraph" w:styleId="TOC6">
    <w:name w:val="toc 6"/>
    <w:basedOn w:val="Normal"/>
    <w:next w:val="Normal"/>
    <w:autoRedefine/>
    <w:uiPriority w:val="39"/>
    <w:semiHidden/>
    <w:unhideWhenUsed/>
    <w:rsid w:val="00A82FF5"/>
    <w:pPr>
      <w:spacing w:after="100"/>
      <w:ind w:left="1400"/>
    </w:pPr>
  </w:style>
  <w:style w:type="character" w:customStyle="1" w:styleId="Heading5Char1">
    <w:name w:val="Heading 5 Char1"/>
    <w:basedOn w:val="DefaultParagraphFont"/>
    <w:link w:val="Heading5"/>
    <w:uiPriority w:val="9"/>
    <w:rsid w:val="004E2C9C"/>
    <w:rPr>
      <w:rFonts w:asciiTheme="majorHAnsi" w:eastAsiaTheme="majorEastAsia" w:hAnsiTheme="majorHAnsi" w:cstheme="majorBidi"/>
      <w:b/>
      <w:sz w:val="24"/>
    </w:rPr>
  </w:style>
  <w:style w:type="paragraph" w:styleId="TOCHeading">
    <w:name w:val="TOC Heading"/>
    <w:basedOn w:val="Normal"/>
    <w:next w:val="Normal"/>
    <w:uiPriority w:val="39"/>
    <w:unhideWhenUsed/>
    <w:qFormat/>
    <w:rsid w:val="00A82FF5"/>
    <w:rPr>
      <w:color w:val="009C98" w:themeColor="accent1"/>
      <w:sz w:val="52"/>
      <w:szCs w:val="56"/>
    </w:rPr>
  </w:style>
  <w:style w:type="paragraph" w:customStyle="1" w:styleId="Author">
    <w:name w:val="Author"/>
    <w:basedOn w:val="Normal"/>
    <w:uiPriority w:val="12"/>
    <w:rsid w:val="00E15F4E"/>
    <w:rPr>
      <w:sz w:val="36"/>
    </w:rPr>
  </w:style>
  <w:style w:type="paragraph" w:customStyle="1" w:styleId="Boxbullets">
    <w:name w:val="Box bullets"/>
    <w:basedOn w:val="Boxtext"/>
    <w:uiPriority w:val="6"/>
    <w:qFormat/>
    <w:rsid w:val="00A82FF5"/>
    <w:pPr>
      <w:numPr>
        <w:numId w:val="12"/>
      </w:numPr>
    </w:pPr>
  </w:style>
  <w:style w:type="paragraph" w:customStyle="1" w:styleId="Boxnumberedlist">
    <w:name w:val="Box numbered list"/>
    <w:basedOn w:val="Boxtext"/>
    <w:uiPriority w:val="6"/>
    <w:rsid w:val="00A82FF5"/>
    <w:pPr>
      <w:numPr>
        <w:numId w:val="9"/>
      </w:numPr>
      <w:ind w:left="709" w:hanging="567"/>
    </w:pPr>
  </w:style>
  <w:style w:type="numbering" w:customStyle="1" w:styleId="Basicbulletlist">
    <w:name w:val="Basic bullet list"/>
    <w:uiPriority w:val="99"/>
    <w:rsid w:val="00283666"/>
    <w:pPr>
      <w:numPr>
        <w:numId w:val="10"/>
      </w:numPr>
    </w:pPr>
  </w:style>
  <w:style w:type="numbering" w:customStyle="1" w:styleId="Boxbulletlist">
    <w:name w:val="Box bullet list"/>
    <w:uiPriority w:val="99"/>
    <w:rsid w:val="00283666"/>
    <w:pPr>
      <w:numPr>
        <w:numId w:val="11"/>
      </w:numPr>
    </w:pPr>
  </w:style>
  <w:style w:type="table" w:customStyle="1" w:styleId="EHRCTable1">
    <w:name w:val="EHRC Table 1"/>
    <w:basedOn w:val="TableNormal"/>
    <w:uiPriority w:val="99"/>
    <w:rsid w:val="00CC0205"/>
    <w:pPr>
      <w:spacing w:after="60" w:line="264" w:lineRule="auto"/>
      <w:jc w:val="right"/>
    </w:pPr>
    <w:rPr>
      <w:sz w:val="28"/>
    </w:rPr>
    <w:tblPr>
      <w:tblBorders>
        <w:top w:val="single" w:sz="4" w:space="0" w:color="7DCAC7" w:themeColor="background2"/>
        <w:bottom w:val="single" w:sz="2" w:space="0" w:color="7DCAC7" w:themeColor="background2"/>
        <w:insideH w:val="single" w:sz="2" w:space="0" w:color="7DCAC7" w:themeColor="background2"/>
        <w:insideV w:val="single" w:sz="2" w:space="0" w:color="7DCAC7" w:themeColor="background2"/>
      </w:tblBorders>
    </w:tblPr>
    <w:tcPr>
      <w:shd w:val="clear" w:color="auto" w:fill="auto"/>
      <w:tcMar>
        <w:top w:w="57" w:type="dxa"/>
        <w:bottom w:w="57" w:type="dxa"/>
      </w:tcMar>
    </w:tcPr>
    <w:tblStylePr w:type="firstRow">
      <w:pPr>
        <w:wordWrap/>
        <w:spacing w:beforeLines="0" w:before="60" w:beforeAutospacing="0" w:afterLines="0" w:after="60" w:afterAutospacing="0" w:line="264" w:lineRule="auto"/>
      </w:pPr>
      <w:rPr>
        <w:b/>
        <w:color w:val="FFFFFF" w:themeColor="background1"/>
      </w:rPr>
      <w:tblPr/>
      <w:tcPr>
        <w:tcBorders>
          <w:top w:val="nil"/>
          <w:insideV w:val="single" w:sz="4" w:space="0" w:color="FFFFFF" w:themeColor="background1"/>
        </w:tcBorders>
        <w:shd w:val="clear" w:color="auto" w:fill="009C98" w:themeFill="accent1"/>
      </w:tcPr>
    </w:tblStylePr>
    <w:tblStylePr w:type="lastRow">
      <w:rPr>
        <w:b/>
      </w:rPr>
      <w:tblPr/>
      <w:tcPr>
        <w:shd w:val="clear" w:color="auto" w:fill="E4F4F3" w:themeFill="background2" w:themeFillTint="33"/>
      </w:tcPr>
    </w:tblStylePr>
    <w:tblStylePr w:type="firstCol">
      <w:pPr>
        <w:jc w:val="left"/>
      </w:pPr>
    </w:tblStylePr>
  </w:style>
  <w:style w:type="table" w:customStyle="1" w:styleId="EHRCTable2">
    <w:name w:val="EHRC Table 2"/>
    <w:basedOn w:val="EHRCTable1"/>
    <w:uiPriority w:val="99"/>
    <w:rsid w:val="00CC0205"/>
    <w:pPr>
      <w:spacing w:after="0" w:line="240" w:lineRule="auto"/>
      <w:jc w:val="left"/>
    </w:pPr>
    <w:tblPr/>
    <w:tcPr>
      <w:shd w:val="clear" w:color="auto" w:fill="auto"/>
    </w:tcPr>
    <w:tblStylePr w:type="firstRow">
      <w:pPr>
        <w:wordWrap/>
        <w:spacing w:beforeLines="0" w:before="60" w:beforeAutospacing="0" w:afterLines="0" w:after="60" w:afterAutospacing="0" w:line="264" w:lineRule="auto"/>
      </w:pPr>
      <w:rPr>
        <w:b/>
        <w:color w:val="FFFFFF" w:themeColor="background1"/>
      </w:rPr>
      <w:tblPr/>
      <w:tcPr>
        <w:tcBorders>
          <w:top w:val="nil"/>
          <w:insideV w:val="single" w:sz="4" w:space="0" w:color="FFFFFF" w:themeColor="background1"/>
        </w:tcBorders>
        <w:shd w:val="clear" w:color="auto" w:fill="009C98" w:themeFill="accent1"/>
      </w:tcPr>
    </w:tblStylePr>
    <w:tblStylePr w:type="lastRow">
      <w:rPr>
        <w:b/>
      </w:rPr>
      <w:tblPr/>
      <w:tcPr>
        <w:shd w:val="clear" w:color="auto" w:fill="E4F4F3" w:themeFill="background2" w:themeFillTint="33"/>
      </w:tcPr>
    </w:tblStylePr>
    <w:tblStylePr w:type="firstCol">
      <w:pPr>
        <w:jc w:val="left"/>
      </w:pPr>
    </w:tblStylePr>
  </w:style>
  <w:style w:type="paragraph" w:styleId="EndnoteText">
    <w:name w:val="endnote text"/>
    <w:basedOn w:val="Normal"/>
    <w:link w:val="EndnoteTextChar"/>
    <w:uiPriority w:val="99"/>
    <w:unhideWhenUsed/>
    <w:rsid w:val="00A26DF5"/>
    <w:pPr>
      <w:spacing w:before="0" w:line="240" w:lineRule="auto"/>
    </w:pPr>
    <w:rPr>
      <w:szCs w:val="20"/>
    </w:rPr>
  </w:style>
  <w:style w:type="character" w:customStyle="1" w:styleId="EndnoteTextChar">
    <w:name w:val="Endnote Text Char"/>
    <w:basedOn w:val="DefaultParagraphFont"/>
    <w:link w:val="EndnoteText"/>
    <w:uiPriority w:val="99"/>
    <w:rsid w:val="00A26DF5"/>
    <w:rPr>
      <w:sz w:val="24"/>
      <w:szCs w:val="20"/>
    </w:rPr>
  </w:style>
  <w:style w:type="character" w:styleId="PageNumber">
    <w:name w:val="page number"/>
    <w:basedOn w:val="DefaultParagraphFont"/>
    <w:uiPriority w:val="99"/>
    <w:semiHidden/>
    <w:unhideWhenUsed/>
    <w:rsid w:val="00A82FF5"/>
    <w:rPr>
      <w:color w:val="0B4E60" w:themeColor="text2"/>
      <w:sz w:val="24"/>
    </w:rPr>
  </w:style>
  <w:style w:type="paragraph" w:customStyle="1" w:styleId="Casestudytext">
    <w:name w:val="Case study text"/>
    <w:basedOn w:val="Boxtext"/>
    <w:uiPriority w:val="8"/>
    <w:qFormat/>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E4F4F3" w:themeFill="background2" w:themeFillTint="33"/>
      <w:spacing w:after="400"/>
    </w:pPr>
  </w:style>
  <w:style w:type="paragraph" w:customStyle="1" w:styleId="Casestudysource">
    <w:name w:val="Case study source"/>
    <w:basedOn w:val="Boxsource"/>
    <w:uiPriority w:val="8"/>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E4F4F3" w:themeFill="background2" w:themeFillTint="33"/>
    </w:pPr>
    <w:rPr>
      <w:color w:val="0B4E60" w:themeColor="text2"/>
    </w:rPr>
  </w:style>
  <w:style w:type="paragraph" w:customStyle="1" w:styleId="Casestudytitle">
    <w:name w:val="Case study title"/>
    <w:basedOn w:val="Boxtitle"/>
    <w:uiPriority w:val="7"/>
    <w:qFormat/>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0B4E60" w:themeFill="text2"/>
      <w:tabs>
        <w:tab w:val="left" w:pos="7938"/>
      </w:tabs>
      <w:spacing w:after="120"/>
    </w:pPr>
  </w:style>
  <w:style w:type="paragraph" w:customStyle="1" w:styleId="Documenttype">
    <w:name w:val="Document type"/>
    <w:basedOn w:val="Date"/>
    <w:rsid w:val="00A444F9"/>
    <w:pPr>
      <w:pBdr>
        <w:top w:val="single" w:sz="48" w:space="0" w:color="0B4E60" w:themeColor="text2"/>
        <w:left w:val="single" w:sz="48" w:space="0" w:color="0B4E60" w:themeColor="text2"/>
        <w:bottom w:val="single" w:sz="48" w:space="0" w:color="0B4E60" w:themeColor="text2"/>
        <w:right w:val="single" w:sz="48" w:space="0" w:color="0B4E60" w:themeColor="text2"/>
      </w:pBdr>
      <w:shd w:val="clear" w:color="auto" w:fill="0B4E60" w:themeFill="text2"/>
    </w:pPr>
    <w:rPr>
      <w:sz w:val="40"/>
      <w:bdr w:val="single" w:sz="48" w:space="0" w:color="0B4E60" w:themeColor="text2"/>
      <w:shd w:val="clear" w:color="auto" w:fill="auto"/>
    </w:rPr>
  </w:style>
  <w:style w:type="paragraph" w:customStyle="1" w:styleId="Documentstatus">
    <w:name w:val="Document status"/>
    <w:basedOn w:val="Author"/>
    <w:rsid w:val="00605567"/>
    <w:rPr>
      <w:sz w:val="32"/>
    </w:rPr>
  </w:style>
  <w:style w:type="paragraph" w:styleId="BodyText2">
    <w:name w:val="Body Text 2"/>
    <w:basedOn w:val="Normal"/>
    <w:link w:val="BodyText2Char"/>
    <w:uiPriority w:val="99"/>
    <w:semiHidden/>
    <w:unhideWhenUsed/>
    <w:rsid w:val="00A82FF5"/>
    <w:pPr>
      <w:spacing w:after="120" w:line="480" w:lineRule="auto"/>
    </w:pPr>
  </w:style>
  <w:style w:type="character" w:customStyle="1" w:styleId="BodyText2Char">
    <w:name w:val="Body Text 2 Char"/>
    <w:basedOn w:val="DefaultParagraphFont"/>
    <w:link w:val="BodyText2"/>
    <w:uiPriority w:val="99"/>
    <w:semiHidden/>
    <w:rsid w:val="00A82FF5"/>
    <w:rPr>
      <w:sz w:val="24"/>
    </w:rPr>
  </w:style>
  <w:style w:type="paragraph" w:styleId="BodyTextFirstIndent">
    <w:name w:val="Body Text First Indent"/>
    <w:basedOn w:val="BodyText"/>
    <w:link w:val="BodyTextFirstIndentChar"/>
    <w:uiPriority w:val="99"/>
    <w:semiHidden/>
    <w:unhideWhenUsed/>
    <w:rsid w:val="00A82FF5"/>
    <w:pPr>
      <w:spacing w:after="0"/>
      <w:ind w:firstLine="360"/>
    </w:pPr>
  </w:style>
  <w:style w:type="character" w:customStyle="1" w:styleId="BodyTextFirstIndentChar">
    <w:name w:val="Body Text First Indent Char"/>
    <w:basedOn w:val="BodyTextChar"/>
    <w:link w:val="BodyTextFirstIndent"/>
    <w:uiPriority w:val="99"/>
    <w:semiHidden/>
    <w:rsid w:val="00A82FF5"/>
    <w:rPr>
      <w:sz w:val="24"/>
    </w:rPr>
  </w:style>
  <w:style w:type="paragraph" w:styleId="BodyTextIndent">
    <w:name w:val="Body Text Indent"/>
    <w:basedOn w:val="Normal"/>
    <w:link w:val="BodyTextIndentChar"/>
    <w:uiPriority w:val="99"/>
    <w:semiHidden/>
    <w:unhideWhenUsed/>
    <w:rsid w:val="00A82FF5"/>
    <w:pPr>
      <w:spacing w:after="120"/>
      <w:ind w:left="283"/>
    </w:pPr>
  </w:style>
  <w:style w:type="character" w:customStyle="1" w:styleId="BodyTextIndentChar">
    <w:name w:val="Body Text Indent Char"/>
    <w:basedOn w:val="DefaultParagraphFont"/>
    <w:link w:val="BodyTextIndent"/>
    <w:uiPriority w:val="99"/>
    <w:semiHidden/>
    <w:rsid w:val="00A82FF5"/>
    <w:rPr>
      <w:sz w:val="24"/>
    </w:rPr>
  </w:style>
  <w:style w:type="paragraph" w:styleId="BodyTextFirstIndent2">
    <w:name w:val="Body Text First Indent 2"/>
    <w:basedOn w:val="BodyTextIndent"/>
    <w:link w:val="BodyTextFirstIndent2Char"/>
    <w:uiPriority w:val="99"/>
    <w:semiHidden/>
    <w:unhideWhenUsed/>
    <w:rsid w:val="00A82FF5"/>
    <w:pPr>
      <w:spacing w:after="0"/>
      <w:ind w:left="360" w:firstLine="360"/>
    </w:pPr>
  </w:style>
  <w:style w:type="character" w:customStyle="1" w:styleId="BodyTextFirstIndent2Char">
    <w:name w:val="Body Text First Indent 2 Char"/>
    <w:basedOn w:val="BodyTextIndentChar"/>
    <w:link w:val="BodyTextFirstIndent2"/>
    <w:uiPriority w:val="99"/>
    <w:semiHidden/>
    <w:rsid w:val="00A82FF5"/>
    <w:rPr>
      <w:sz w:val="24"/>
    </w:rPr>
  </w:style>
  <w:style w:type="paragraph" w:styleId="BodyTextIndent2">
    <w:name w:val="Body Text Indent 2"/>
    <w:basedOn w:val="Normal"/>
    <w:link w:val="BodyTextIndent2Char"/>
    <w:uiPriority w:val="99"/>
    <w:semiHidden/>
    <w:unhideWhenUsed/>
    <w:rsid w:val="00A82FF5"/>
    <w:pPr>
      <w:spacing w:after="120" w:line="480" w:lineRule="auto"/>
      <w:ind w:left="283"/>
    </w:pPr>
  </w:style>
  <w:style w:type="character" w:customStyle="1" w:styleId="BodyTextIndent2Char">
    <w:name w:val="Body Text Indent 2 Char"/>
    <w:basedOn w:val="DefaultParagraphFont"/>
    <w:link w:val="BodyTextIndent2"/>
    <w:uiPriority w:val="99"/>
    <w:semiHidden/>
    <w:rsid w:val="00A82FF5"/>
    <w:rPr>
      <w:sz w:val="24"/>
    </w:rPr>
  </w:style>
  <w:style w:type="paragraph" w:styleId="TOC7">
    <w:name w:val="toc 7"/>
    <w:basedOn w:val="Normal"/>
    <w:next w:val="Normal"/>
    <w:autoRedefine/>
    <w:uiPriority w:val="39"/>
    <w:semiHidden/>
    <w:unhideWhenUsed/>
    <w:rsid w:val="00A82FF5"/>
    <w:pPr>
      <w:spacing w:after="100"/>
      <w:ind w:left="1680"/>
    </w:pPr>
  </w:style>
  <w:style w:type="paragraph" w:styleId="TOC8">
    <w:name w:val="toc 8"/>
    <w:basedOn w:val="Normal"/>
    <w:next w:val="Normal"/>
    <w:autoRedefine/>
    <w:uiPriority w:val="39"/>
    <w:semiHidden/>
    <w:unhideWhenUsed/>
    <w:rsid w:val="00A82FF5"/>
    <w:pPr>
      <w:spacing w:after="100"/>
      <w:ind w:left="1960"/>
    </w:pPr>
  </w:style>
  <w:style w:type="paragraph" w:styleId="TOC9">
    <w:name w:val="toc 9"/>
    <w:basedOn w:val="Normal"/>
    <w:next w:val="Normal"/>
    <w:autoRedefine/>
    <w:uiPriority w:val="39"/>
    <w:semiHidden/>
    <w:unhideWhenUsed/>
    <w:rsid w:val="00A82FF5"/>
    <w:pPr>
      <w:spacing w:after="100"/>
      <w:ind w:left="2240"/>
    </w:pPr>
  </w:style>
  <w:style w:type="paragraph" w:styleId="TOC5">
    <w:name w:val="toc 5"/>
    <w:basedOn w:val="Normal"/>
    <w:next w:val="Normal"/>
    <w:autoRedefine/>
    <w:uiPriority w:val="39"/>
    <w:semiHidden/>
    <w:unhideWhenUsed/>
    <w:rsid w:val="00A82FF5"/>
    <w:pPr>
      <w:spacing w:after="100"/>
      <w:ind w:left="1120"/>
    </w:pPr>
  </w:style>
  <w:style w:type="paragraph" w:styleId="TOC4">
    <w:name w:val="toc 4"/>
    <w:basedOn w:val="Normal"/>
    <w:next w:val="Normal"/>
    <w:autoRedefine/>
    <w:uiPriority w:val="39"/>
    <w:semiHidden/>
    <w:unhideWhenUsed/>
    <w:rsid w:val="00A82FF5"/>
    <w:pPr>
      <w:spacing w:after="100"/>
      <w:ind w:left="840"/>
    </w:pPr>
  </w:style>
  <w:style w:type="paragraph" w:styleId="TOAHeading">
    <w:name w:val="toa heading"/>
    <w:basedOn w:val="Normal"/>
    <w:next w:val="Normal"/>
    <w:uiPriority w:val="99"/>
    <w:semiHidden/>
    <w:unhideWhenUsed/>
    <w:rsid w:val="00A82FF5"/>
    <w:pPr>
      <w:spacing w:before="120"/>
    </w:pPr>
    <w:rPr>
      <w:rFonts w:asciiTheme="majorHAnsi" w:eastAsiaTheme="majorEastAsia" w:hAnsiTheme="majorHAnsi" w:cstheme="majorBidi"/>
      <w:b/>
      <w:bCs/>
      <w:szCs w:val="24"/>
    </w:rPr>
  </w:style>
  <w:style w:type="paragraph" w:styleId="TableofFigures">
    <w:name w:val="table of figures"/>
    <w:basedOn w:val="Normal"/>
    <w:next w:val="Normal"/>
    <w:uiPriority w:val="99"/>
    <w:semiHidden/>
    <w:unhideWhenUsed/>
    <w:rsid w:val="00A82FF5"/>
  </w:style>
  <w:style w:type="paragraph" w:styleId="TableofAuthorities">
    <w:name w:val="table of authorities"/>
    <w:basedOn w:val="Normal"/>
    <w:next w:val="Normal"/>
    <w:uiPriority w:val="99"/>
    <w:semiHidden/>
    <w:unhideWhenUsed/>
    <w:rsid w:val="00A82FF5"/>
    <w:pPr>
      <w:ind w:left="280" w:hanging="280"/>
    </w:pPr>
  </w:style>
  <w:style w:type="character" w:styleId="SubtleReference">
    <w:name w:val="Subtle Reference"/>
    <w:basedOn w:val="DefaultParagraphFont"/>
    <w:uiPriority w:val="31"/>
    <w:rsid w:val="00A82FF5"/>
    <w:rPr>
      <w:smallCaps/>
      <w:color w:val="5A5A5A" w:themeColor="text1" w:themeTint="A5"/>
      <w:sz w:val="24"/>
    </w:rPr>
  </w:style>
  <w:style w:type="character" w:styleId="Strong">
    <w:name w:val="Strong"/>
    <w:basedOn w:val="DefaultParagraphFont"/>
    <w:uiPriority w:val="22"/>
    <w:rsid w:val="00A82FF5"/>
    <w:rPr>
      <w:b/>
      <w:bCs/>
      <w:sz w:val="24"/>
    </w:rPr>
  </w:style>
  <w:style w:type="paragraph" w:styleId="Signature">
    <w:name w:val="Signature"/>
    <w:basedOn w:val="Normal"/>
    <w:link w:val="SignatureChar"/>
    <w:uiPriority w:val="99"/>
    <w:semiHidden/>
    <w:unhideWhenUsed/>
    <w:rsid w:val="00A82FF5"/>
    <w:pPr>
      <w:spacing w:before="0" w:line="240" w:lineRule="auto"/>
      <w:ind w:left="4252"/>
    </w:pPr>
  </w:style>
  <w:style w:type="character" w:customStyle="1" w:styleId="SignatureChar">
    <w:name w:val="Signature Char"/>
    <w:basedOn w:val="DefaultParagraphFont"/>
    <w:link w:val="Signature"/>
    <w:uiPriority w:val="99"/>
    <w:semiHidden/>
    <w:rsid w:val="00A82FF5"/>
    <w:rPr>
      <w:sz w:val="24"/>
    </w:rPr>
  </w:style>
  <w:style w:type="paragraph" w:styleId="NormalIndent">
    <w:name w:val="Normal Indent"/>
    <w:basedOn w:val="Normal"/>
    <w:uiPriority w:val="99"/>
    <w:semiHidden/>
    <w:unhideWhenUsed/>
    <w:rsid w:val="00A82FF5"/>
    <w:pPr>
      <w:ind w:left="720"/>
    </w:pPr>
  </w:style>
  <w:style w:type="paragraph" w:styleId="NoteHeading">
    <w:name w:val="Note Heading"/>
    <w:basedOn w:val="Normal"/>
    <w:next w:val="Normal"/>
    <w:link w:val="NoteHeadingChar"/>
    <w:uiPriority w:val="99"/>
    <w:semiHidden/>
    <w:unhideWhenUsed/>
    <w:rsid w:val="00A82FF5"/>
    <w:pPr>
      <w:spacing w:before="0" w:line="240" w:lineRule="auto"/>
    </w:pPr>
  </w:style>
  <w:style w:type="character" w:customStyle="1" w:styleId="NoteHeadingChar">
    <w:name w:val="Note Heading Char"/>
    <w:basedOn w:val="DefaultParagraphFont"/>
    <w:link w:val="NoteHeading"/>
    <w:uiPriority w:val="99"/>
    <w:semiHidden/>
    <w:rsid w:val="00A82FF5"/>
    <w:rPr>
      <w:sz w:val="24"/>
    </w:rPr>
  </w:style>
  <w:style w:type="numbering" w:customStyle="1" w:styleId="StyleOutlinenumberedLatinHeadingsArialComplexHeadi">
    <w:name w:val="Style Outline numbered (Latin) +Headings (Arial) (Complex) +Headi..."/>
    <w:basedOn w:val="NoList"/>
    <w:rsid w:val="00A82FF5"/>
    <w:pPr>
      <w:numPr>
        <w:numId w:val="14"/>
      </w:numPr>
    </w:pPr>
  </w:style>
  <w:style w:type="numbering" w:customStyle="1" w:styleId="StyleOutlinenumberedLatinHeadingsArialComplexHeadi2">
    <w:name w:val="Style Outline numbered (Latin) +Headings (Arial) (Complex) +Headi...2"/>
    <w:basedOn w:val="NoList"/>
    <w:rsid w:val="004E2C9C"/>
    <w:pPr>
      <w:numPr>
        <w:numId w:val="16"/>
      </w:numPr>
    </w:pPr>
  </w:style>
  <w:style w:type="character" w:customStyle="1" w:styleId="Heading6Char1">
    <w:name w:val="Heading 6 Char1"/>
    <w:basedOn w:val="DefaultParagraphFont"/>
    <w:link w:val="Heading6"/>
    <w:uiPriority w:val="9"/>
    <w:semiHidden/>
    <w:rsid w:val="004E2C9C"/>
    <w:rPr>
      <w:rFonts w:asciiTheme="majorHAnsi" w:eastAsiaTheme="majorEastAsia" w:hAnsiTheme="majorHAnsi" w:cstheme="majorBidi"/>
      <w:sz w:val="24"/>
    </w:rPr>
  </w:style>
  <w:style w:type="character" w:styleId="HTMLCite">
    <w:name w:val="HTML Cite"/>
    <w:basedOn w:val="DefaultParagraphFont"/>
    <w:uiPriority w:val="99"/>
    <w:semiHidden/>
    <w:unhideWhenUsed/>
    <w:rsid w:val="00A82FF5"/>
    <w:rPr>
      <w:i/>
      <w:iCs/>
      <w:sz w:val="24"/>
    </w:rPr>
  </w:style>
  <w:style w:type="paragraph" w:styleId="NormalWeb">
    <w:name w:val="Normal (Web)"/>
    <w:basedOn w:val="Normal"/>
    <w:uiPriority w:val="99"/>
    <w:semiHidden/>
    <w:unhideWhenUsed/>
    <w:rsid w:val="00A444F9"/>
    <w:pPr>
      <w:keepLines w:val="0"/>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4D6A21"/>
    <w:pPr>
      <w:keepLines w:val="0"/>
      <w:spacing w:before="0" w:after="160" w:line="240" w:lineRule="exact"/>
      <w:jc w:val="both"/>
    </w:pPr>
    <w:rPr>
      <w:sz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307654">
      <w:bodyDiv w:val="1"/>
      <w:marLeft w:val="0"/>
      <w:marRight w:val="0"/>
      <w:marTop w:val="0"/>
      <w:marBottom w:val="0"/>
      <w:divBdr>
        <w:top w:val="none" w:sz="0" w:space="0" w:color="auto"/>
        <w:left w:val="none" w:sz="0" w:space="0" w:color="auto"/>
        <w:bottom w:val="none" w:sz="0" w:space="0" w:color="auto"/>
        <w:right w:val="none" w:sz="0" w:space="0" w:color="auto"/>
      </w:divBdr>
    </w:div>
    <w:div w:id="789209403">
      <w:bodyDiv w:val="1"/>
      <w:marLeft w:val="0"/>
      <w:marRight w:val="0"/>
      <w:marTop w:val="0"/>
      <w:marBottom w:val="0"/>
      <w:divBdr>
        <w:top w:val="none" w:sz="0" w:space="0" w:color="auto"/>
        <w:left w:val="none" w:sz="0" w:space="0" w:color="auto"/>
        <w:bottom w:val="none" w:sz="0" w:space="0" w:color="auto"/>
        <w:right w:val="none" w:sz="0" w:space="0" w:color="auto"/>
      </w:divBdr>
    </w:div>
    <w:div w:id="1401174107">
      <w:bodyDiv w:val="1"/>
      <w:marLeft w:val="0"/>
      <w:marRight w:val="0"/>
      <w:marTop w:val="0"/>
      <w:marBottom w:val="0"/>
      <w:divBdr>
        <w:top w:val="none" w:sz="0" w:space="0" w:color="auto"/>
        <w:left w:val="none" w:sz="0" w:space="0" w:color="auto"/>
        <w:bottom w:val="none" w:sz="0" w:space="0" w:color="auto"/>
        <w:right w:val="none" w:sz="0" w:space="0" w:color="auto"/>
      </w:divBdr>
    </w:div>
    <w:div w:id="1603756514">
      <w:bodyDiv w:val="1"/>
      <w:marLeft w:val="0"/>
      <w:marRight w:val="0"/>
      <w:marTop w:val="0"/>
      <w:marBottom w:val="0"/>
      <w:divBdr>
        <w:top w:val="none" w:sz="0" w:space="0" w:color="auto"/>
        <w:left w:val="none" w:sz="0" w:space="0" w:color="auto"/>
        <w:bottom w:val="none" w:sz="0" w:space="0" w:color="auto"/>
        <w:right w:val="none" w:sz="0" w:space="0" w:color="auto"/>
      </w:divBdr>
    </w:div>
    <w:div w:id="1865826522">
      <w:bodyDiv w:val="1"/>
      <w:marLeft w:val="0"/>
      <w:marRight w:val="0"/>
      <w:marTop w:val="0"/>
      <w:marBottom w:val="0"/>
      <w:divBdr>
        <w:top w:val="none" w:sz="0" w:space="0" w:color="auto"/>
        <w:left w:val="none" w:sz="0" w:space="0" w:color="auto"/>
        <w:bottom w:val="none" w:sz="0" w:space="0" w:color="auto"/>
        <w:right w:val="none" w:sz="0" w:space="0" w:color="auto"/>
      </w:divBdr>
    </w:div>
    <w:div w:id="192298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qualityhumanrights.com/en/publication-download/children%E2%80%99s-rights-great-britain-submission-un" TargetMode="External"/><Relationship Id="rId18" Type="http://schemas.openxmlformats.org/officeDocument/2006/relationships/hyperlink" Target="https://sdgs.un.org/goals" TargetMode="External"/><Relationship Id="rId26" Type="http://schemas.openxmlformats.org/officeDocument/2006/relationships/hyperlink" Target="https://tbinternet.ohchr.org/_layouts/15/treatybodyexternal/Download.aspx?symbolno=CRC%2FC%2FGBR%2FQPR%2F6-7&amp;Lang=en" TargetMode="External"/><Relationship Id="rId39" Type="http://schemas.openxmlformats.org/officeDocument/2006/relationships/hyperlink" Target="https://sdgs.un.org/goals" TargetMode="External"/><Relationship Id="rId21" Type="http://schemas.openxmlformats.org/officeDocument/2006/relationships/hyperlink" Target="https://sdgs.un.org/goals" TargetMode="External"/><Relationship Id="rId34" Type="http://schemas.openxmlformats.org/officeDocument/2006/relationships/hyperlink" Target="https://www.equalityhumanrights.com/en/publication-download/children%E2%80%99s-rights-great-britain-submission-un" TargetMode="External"/><Relationship Id="rId42" Type="http://schemas.openxmlformats.org/officeDocument/2006/relationships/hyperlink" Target="https://sdgs.un.org/goals" TargetMode="External"/><Relationship Id="rId47" Type="http://schemas.openxmlformats.org/officeDocument/2006/relationships/hyperlink" Target="https://tbinternet.ohchr.org/_layouts/15/treatybodyexternal/Download.aspx?symbolno=CRC%2FC%2FGBR%2FQPR%2F6-7&amp;Lang=en" TargetMode="External"/><Relationship Id="rId50" Type="http://schemas.openxmlformats.org/officeDocument/2006/relationships/hyperlink" Target="https://tbinternet.ohchr.org/_layouts/15/treatybodyexternal/Download.aspx?symbolno=CRC%2FC%2FGBR%2FQPR%2F6-7&amp;Lang=en" TargetMode="External"/><Relationship Id="rId55" Type="http://schemas.openxmlformats.org/officeDocument/2006/relationships/hyperlink" Target="http://www.equalityhumanrights.com" TargetMode="External"/><Relationship Id="rId63"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qualityhumanrights.com/en/publication-download/children%E2%80%99s-rights-great-britain-submission-un" TargetMode="External"/><Relationship Id="rId29" Type="http://schemas.openxmlformats.org/officeDocument/2006/relationships/hyperlink" Target="https://tbinternet.ohchr.org/_layouts/15/treatybodyexternal/Download.aspx?symbolno=CRC%2FC%2FGBR%2FQPR%2F6-7&amp;Lang=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qualityhumanrights.com/en/publication-download/children%E2%80%99s-rights-great-britain-submission-un" TargetMode="External"/><Relationship Id="rId24" Type="http://schemas.openxmlformats.org/officeDocument/2006/relationships/hyperlink" Target="https://sdgs.un.org/goals" TargetMode="External"/><Relationship Id="rId32" Type="http://schemas.openxmlformats.org/officeDocument/2006/relationships/hyperlink" Target="https://tbinternet.ohchr.org/_layouts/15/treatybodyexternal/Download.aspx?symbolno=CRC%2FC%2FGBR%2FQPR%2F6-7&amp;Lang=en" TargetMode="External"/><Relationship Id="rId37" Type="http://schemas.openxmlformats.org/officeDocument/2006/relationships/hyperlink" Target="https://www.equalityhumanrights.com/en/publication-download/children%E2%80%99s-rights-great-britain-submission-un" TargetMode="External"/><Relationship Id="rId40" Type="http://schemas.openxmlformats.org/officeDocument/2006/relationships/hyperlink" Target="https://www.equalityhumanrights.com/en/publication-download/children%E2%80%99s-rights-great-britain-submission-un" TargetMode="External"/><Relationship Id="rId45" Type="http://schemas.openxmlformats.org/officeDocument/2006/relationships/hyperlink" Target="https://sdgs.un.org/goals" TargetMode="External"/><Relationship Id="rId53" Type="http://schemas.openxmlformats.org/officeDocument/2006/relationships/hyperlink" Target="https://tbinternet.ohchr.org/_layouts/15/treatybodyexternal/Download.aspx?symbolno=CRC%2FC%2FGBR%2FQPR%2F6-7&amp;Lang=en" TargetMode="External"/><Relationship Id="rId58" Type="http://schemas.openxmlformats.org/officeDocument/2006/relationships/hyperlink" Target="https://www.equalityhumanrights.com/en/newsletter-sign" TargetMode="External"/><Relationship Id="rId66"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sdgs.un.org/goals" TargetMode="External"/><Relationship Id="rId23" Type="http://schemas.openxmlformats.org/officeDocument/2006/relationships/hyperlink" Target="https://tbinternet.ohchr.org/_layouts/15/treatybodyexternal/Download.aspx?symbolno=CRC%2FC%2FGBR%2FQPR%2F6-7&amp;Lang=en" TargetMode="External"/><Relationship Id="rId28" Type="http://schemas.openxmlformats.org/officeDocument/2006/relationships/hyperlink" Target="https://www.equalityhumanrights.com/en/publication-download/children%E2%80%99s-rights-great-britain-submission-un" TargetMode="External"/><Relationship Id="rId36" Type="http://schemas.openxmlformats.org/officeDocument/2006/relationships/hyperlink" Target="https://sdgs.un.org/goals" TargetMode="External"/><Relationship Id="rId49" Type="http://schemas.openxmlformats.org/officeDocument/2006/relationships/hyperlink" Target="https://www.equalityhumanrights.com/en/publication-download/children%E2%80%99s-rights-great-britain-submission-un" TargetMode="External"/><Relationship Id="rId57" Type="http://schemas.openxmlformats.org/officeDocument/2006/relationships/hyperlink" Target="mailto:correspondence@equalityhumanrights.com" TargetMode="External"/><Relationship Id="rId61"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equalityhumanrights.com/en/publication-download/children%E2%80%99s-rights-great-britain-submission-un" TargetMode="External"/><Relationship Id="rId31" Type="http://schemas.openxmlformats.org/officeDocument/2006/relationships/hyperlink" Target="https://www.equalityhumanrights.com/en/publication-download/children%E2%80%99s-rights-great-britain-submission-un" TargetMode="External"/><Relationship Id="rId44" Type="http://schemas.openxmlformats.org/officeDocument/2006/relationships/hyperlink" Target="https://tbinternet.ohchr.org/_layouts/15/treatybodyexternal/Download.aspx?symbolno=CRC%2FC%2FGBR%2FQPR%2F6-7&amp;Lang=en" TargetMode="External"/><Relationship Id="rId52" Type="http://schemas.openxmlformats.org/officeDocument/2006/relationships/hyperlink" Target="https://www.equalityhumanrights.com/en/publication-download/children%E2%80%99s-rights-great-britain-submission-un" TargetMode="External"/><Relationship Id="rId60" Type="http://schemas.openxmlformats.org/officeDocument/2006/relationships/header" Target="header1.xm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binternet.ohchr.org/_layouts/15/treatybodyexternal/Download.aspx?symbolno=CRC%2FC%2FGBR%2FQPR%2F6-7&amp;Lang=en" TargetMode="External"/><Relationship Id="rId22" Type="http://schemas.openxmlformats.org/officeDocument/2006/relationships/hyperlink" Target="https://www.equalityhumanrights.com/en/publication-download/children%E2%80%99s-rights-great-britain-submission-un" TargetMode="External"/><Relationship Id="rId27" Type="http://schemas.openxmlformats.org/officeDocument/2006/relationships/hyperlink" Target="https://sdgs.un.org/goals" TargetMode="External"/><Relationship Id="rId30" Type="http://schemas.openxmlformats.org/officeDocument/2006/relationships/hyperlink" Target="https://sdgs.un.org/goals" TargetMode="External"/><Relationship Id="rId35" Type="http://schemas.openxmlformats.org/officeDocument/2006/relationships/hyperlink" Target="https://tbinternet.ohchr.org/_layouts/15/treatybodyexternal/Download.aspx?symbolno=CRC%2FC%2FGBR%2FQPR%2F6-7&amp;Lang=en" TargetMode="External"/><Relationship Id="rId43" Type="http://schemas.openxmlformats.org/officeDocument/2006/relationships/hyperlink" Target="https://www.equalityhumanrights.com/en/publication-download/children%E2%80%99s-rights-great-britain-submission-un" TargetMode="External"/><Relationship Id="rId48" Type="http://schemas.openxmlformats.org/officeDocument/2006/relationships/hyperlink" Target="https://sdgs.un.org/goals" TargetMode="External"/><Relationship Id="rId56" Type="http://schemas.openxmlformats.org/officeDocument/2006/relationships/hyperlink" Target="mailto:correspondence@equalityhumanrights.com" TargetMode="External"/><Relationship Id="rId64"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s://sdgs.un.org/goals" TargetMode="External"/><Relationship Id="rId3" Type="http://schemas.openxmlformats.org/officeDocument/2006/relationships/customXml" Target="../customXml/item3.xml"/><Relationship Id="rId12" Type="http://schemas.openxmlformats.org/officeDocument/2006/relationships/hyperlink" Target="https://tbinternet.ohchr.org/_layouts/15/treatybodyexternal/Download.aspx?symbolno=CRC%2fC%2fGBR%2f6-7&amp;Lang=en" TargetMode="External"/><Relationship Id="rId17" Type="http://schemas.openxmlformats.org/officeDocument/2006/relationships/hyperlink" Target="https://tbinternet.ohchr.org/_layouts/15/treatybodyexternal/Download.aspx?symbolno=CRC%2FC%2FGBR%2FQPR%2F6-7&amp;Lang=en" TargetMode="External"/><Relationship Id="rId25" Type="http://schemas.openxmlformats.org/officeDocument/2006/relationships/hyperlink" Target="https://www.equalityhumanrights.com/en/publication-download/children%E2%80%99s-rights-great-britain-submission-un" TargetMode="External"/><Relationship Id="rId33" Type="http://schemas.openxmlformats.org/officeDocument/2006/relationships/hyperlink" Target="https://sdgs.un.org/goals" TargetMode="External"/><Relationship Id="rId38" Type="http://schemas.openxmlformats.org/officeDocument/2006/relationships/hyperlink" Target="https://tbinternet.ohchr.org/_layouts/15/treatybodyexternal/Download.aspx?symbolno=CRC%2FC%2FGBR%2FQPR%2F6-7&amp;Lang=en" TargetMode="External"/><Relationship Id="rId46" Type="http://schemas.openxmlformats.org/officeDocument/2006/relationships/hyperlink" Target="https://www.equalityhumanrights.com/en/publication-download/children%E2%80%99s-rights-great-britain-submission-un" TargetMode="External"/><Relationship Id="rId59" Type="http://schemas.openxmlformats.org/officeDocument/2006/relationships/hyperlink" Target="http://www.equalityadvisoryservice.com" TargetMode="External"/><Relationship Id="rId67" Type="http://schemas.openxmlformats.org/officeDocument/2006/relationships/theme" Target="theme/theme1.xml"/><Relationship Id="rId20" Type="http://schemas.openxmlformats.org/officeDocument/2006/relationships/hyperlink" Target="https://tbinternet.ohchr.org/_layouts/15/treatybodyexternal/Download.aspx?symbolno=CRC%2FC%2FGBR%2FQPR%2F6-7&amp;Lang=en" TargetMode="External"/><Relationship Id="rId41" Type="http://schemas.openxmlformats.org/officeDocument/2006/relationships/hyperlink" Target="https://tbinternet.ohchr.org/_layouts/15/treatybodyexternal/Download.aspx?symbolno=CRC%2FC%2FGBR%2FQPR%2F6-7&amp;Lang=en" TargetMode="External"/><Relationship Id="rId54" Type="http://schemas.openxmlformats.org/officeDocument/2006/relationships/hyperlink" Target="https://sdgs.un.org/goals" TargetMode="External"/><Relationship Id="rId62"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qualityhumanrights.com" TargetMode="External"/></Relationships>
</file>

<file path=word/_rels/footnotes.xml.rels><?xml version="1.0" encoding="UTF-8" standalone="yes"?>
<Relationships xmlns="http://schemas.openxmlformats.org/package/2006/relationships"><Relationship Id="rId117" Type="http://schemas.openxmlformats.org/officeDocument/2006/relationships/hyperlink" Target="https://www.iicsa.org.uk/document/engagement-lesbian-gay-bisexual-transgender-and-queer-questioning-victims-and-survivors" TargetMode="External"/><Relationship Id="rId299" Type="http://schemas.openxmlformats.org/officeDocument/2006/relationships/hyperlink" Target="https://questions-statements.parliament.uk/written-statements/detail/2022-03-24/hcws714" TargetMode="External"/><Relationship Id="rId21" Type="http://schemas.openxmlformats.org/officeDocument/2006/relationships/hyperlink" Target="https://gov.wales/strengthening-and-advancing-equality-and-human-rights-wales-research-report-welsh-government" TargetMode="External"/><Relationship Id="rId63" Type="http://schemas.openxmlformats.org/officeDocument/2006/relationships/hyperlink" Target="https://www.gov.uk/government/statistics/police-use-of-force-statistics-england-and-wales-april-2020-to-march-2021" TargetMode="External"/><Relationship Id="rId159" Type="http://schemas.openxmlformats.org/officeDocument/2006/relationships/hyperlink" Target="https://www.loc.gov/item/global-legal-monitor/2019-07-31/united-kingdom-first-successful-prosecution-for-female-genital-mutilation/" TargetMode="External"/><Relationship Id="rId324" Type="http://schemas.openxmlformats.org/officeDocument/2006/relationships/hyperlink" Target="https://assets.publishing.service.gov.uk/government/uploads/system/uploads/attachment_data/file/1063488/Understanding_Progress_in_the_2020_to_2021_Academic_Year_Extension_report_covering_the_first_half_of_the_autumn_term_2021.pdf" TargetMode="External"/><Relationship Id="rId366" Type="http://schemas.openxmlformats.org/officeDocument/2006/relationships/hyperlink" Target="https://committees.parliament.uk/writtenevidence/14486/html/" TargetMode="External"/><Relationship Id="rId531" Type="http://schemas.openxmlformats.org/officeDocument/2006/relationships/hyperlink" Target="https://www.gov.uk/government/statistical-data-sets/hmcts-weekly-use-of-remote-audio-and-video-technologies-may-2020-to-may-2021" TargetMode="External"/><Relationship Id="rId573" Type="http://schemas.openxmlformats.org/officeDocument/2006/relationships/hyperlink" Target="https://hansard.parliament.uk/commons/2021-09-23/debates/122e6daf-470b-49c5-a05e-4daba0170c73/NationalityAndBordersBill(FourthSitting)" TargetMode="External"/><Relationship Id="rId170" Type="http://schemas.openxmlformats.org/officeDocument/2006/relationships/hyperlink" Target="https://www.gov.uk/government/consultations/variations-in-sex-characteristics-call-for-evidence" TargetMode="External"/><Relationship Id="rId226" Type="http://schemas.openxmlformats.org/officeDocument/2006/relationships/hyperlink" Target="https://www.childrenscommissioner.gov.uk/report/briefing-on-childrens-mental-health-services-2020-2021/" TargetMode="External"/><Relationship Id="rId433" Type="http://schemas.openxmlformats.org/officeDocument/2006/relationships/hyperlink" Target="https://www.tandfonline.com/doi/full/10.1080/15532739.2019.1614130" TargetMode="External"/><Relationship Id="rId268" Type="http://schemas.openxmlformats.org/officeDocument/2006/relationships/hyperlink" Target="https://cpag.org.uk/policy-and-campaigns/briefing/universal-credit-what-needs-change-make-it-fit-children-and-families" TargetMode="External"/><Relationship Id="rId475" Type="http://schemas.openxmlformats.org/officeDocument/2006/relationships/hyperlink" Target="https://www.legislation.gov.uk/ukpga/2022/36/contents" TargetMode="External"/><Relationship Id="rId32" Type="http://schemas.openxmlformats.org/officeDocument/2006/relationships/hyperlink" Target="https://www.legislation.gov.uk/ukpga/2022/36/contents/enacted" TargetMode="External"/><Relationship Id="rId74" Type="http://schemas.openxmlformats.org/officeDocument/2006/relationships/hyperlink" Target="https://www.gov.uk/government/publications/code-of-practice-mental-health-act-1983" TargetMode="External"/><Relationship Id="rId128" Type="http://schemas.openxmlformats.org/officeDocument/2006/relationships/hyperlink" Target="https://researchbriefings.files.parliament.uk/documents/CBP-9124/CBP-9124.pdf" TargetMode="External"/><Relationship Id="rId335" Type="http://schemas.openxmlformats.org/officeDocument/2006/relationships/hyperlink" Target="https://committees.parliament.uk/publications/9251/documents/160043/default/" TargetMode="External"/><Relationship Id="rId377" Type="http://schemas.openxmlformats.org/officeDocument/2006/relationships/hyperlink" Target="https://explore-education-statistics.service.gov.uk/find-statistics/special-educational-needs-in-england/2019-20" TargetMode="External"/><Relationship Id="rId500" Type="http://schemas.openxmlformats.org/officeDocument/2006/relationships/hyperlink" Target="https://home.crin.org/issues/deprivation-of-liberty/minimum-age-of-criminal-responsibility?rq=criminal%20responsibility" TargetMode="External"/><Relationship Id="rId542" Type="http://schemas.openxmlformats.org/officeDocument/2006/relationships/hyperlink" Target="https://www.gov.uk/government/statistics/youth-justice-statistics-2020-to-2021" TargetMode="External"/><Relationship Id="rId5" Type="http://schemas.openxmlformats.org/officeDocument/2006/relationships/hyperlink" Target="https://osr.statisticsauthority.gov.uk/our-regulatory-work/systemic-reviews/programme/systemic-review-outline-children-and-young-people-statistics/" TargetMode="External"/><Relationship Id="rId181" Type="http://schemas.openxmlformats.org/officeDocument/2006/relationships/hyperlink" Target="https://www.childrenssociety.org.uk/information/professionals/resources/good-childhood-report-2021" TargetMode="External"/><Relationship Id="rId237" Type="http://schemas.openxmlformats.org/officeDocument/2006/relationships/hyperlink" Target="https://cypmhc.org.uk/the-mental-health-act-what-does-it-mean-for-children-and-young-people/" TargetMode="External"/><Relationship Id="rId402" Type="http://schemas.openxmlformats.org/officeDocument/2006/relationships/hyperlink" Target="https://committees.parliament.uk/publications/9251/documents/160043/default/" TargetMode="External"/><Relationship Id="rId279" Type="http://schemas.openxmlformats.org/officeDocument/2006/relationships/hyperlink" Target="https://www.actionforchildren.org.uk/media-centre/universal-credit-increase-vital-for-working-families-hit-by-benefit-losses-since-2010/" TargetMode="External"/><Relationship Id="rId444" Type="http://schemas.openxmlformats.org/officeDocument/2006/relationships/hyperlink" Target="https://www.gov.uk/government/publications/review-of-sexual-abuse-in-schools-and-colleges/review-of-sexual-abuse-in-schools-and-colleges" TargetMode="External"/><Relationship Id="rId486" Type="http://schemas.openxmlformats.org/officeDocument/2006/relationships/hyperlink" Target="https://www.gov.uk/government/speeches/home-secretarys-speech-on-uk-and-rwanda-migration-and-economic-development-partnership" TargetMode="External"/><Relationship Id="rId43" Type="http://schemas.openxmlformats.org/officeDocument/2006/relationships/hyperlink" Target="https://neweconomics.org/uploads/files/i-Spy_NEF.pdf" TargetMode="External"/><Relationship Id="rId139" Type="http://schemas.openxmlformats.org/officeDocument/2006/relationships/hyperlink" Target="https://news.sky.com/story/covid-19-pandemic-fueling-rise-in-online-sex-crimes-against-children-charity-says-12212076" TargetMode="External"/><Relationship Id="rId290" Type="http://schemas.openxmlformats.org/officeDocument/2006/relationships/hyperlink" Target="https://gov.wales/universal-free-school-meals-roll-out-commence-september" TargetMode="External"/><Relationship Id="rId304" Type="http://schemas.openxmlformats.org/officeDocument/2006/relationships/hyperlink" Target="https://www.gov.uk/government/statistics/national-curriculum-assessments-key-stage-2-2019-provisional" TargetMode="External"/><Relationship Id="rId346" Type="http://schemas.openxmlformats.org/officeDocument/2006/relationships/hyperlink" Target="https://epi.org.uk/wp-content/uploads/2021/10/EPI-Education-Recovery-Report-2__.pdf" TargetMode="External"/><Relationship Id="rId388" Type="http://schemas.openxmlformats.org/officeDocument/2006/relationships/hyperlink" Target="https://research.senedd.wales/research-articles/the-new-additional-learning-needs-system-the-tough-task-of-implementation/" TargetMode="External"/><Relationship Id="rId511" Type="http://schemas.openxmlformats.org/officeDocument/2006/relationships/hyperlink" Target="https://www.gov.uk/government/publications/understanding-racial-disparity" TargetMode="External"/><Relationship Id="rId553" Type="http://schemas.openxmlformats.org/officeDocument/2006/relationships/hyperlink" Target="https://www.justiceinspectorates.gov.uk/hmiprisons/wp-content/uploads/sites/4/2020/07/YOI-SSV-2.pdf" TargetMode="External"/><Relationship Id="rId85" Type="http://schemas.openxmlformats.org/officeDocument/2006/relationships/hyperlink" Target="https://www.challengingbehaviour.org.uk/wp-content/uploads/2021/03/reducingrestrictiveinterventionofchildrenandyoungpeoplereport.pdf" TargetMode="External"/><Relationship Id="rId150" Type="http://schemas.openxmlformats.org/officeDocument/2006/relationships/hyperlink" Target="https://hudoc.echr.coe.int/eng" TargetMode="External"/><Relationship Id="rId192" Type="http://schemas.openxmlformats.org/officeDocument/2006/relationships/hyperlink" Target="https://www.longtermplan.nhs.uk/" TargetMode="External"/><Relationship Id="rId206" Type="http://schemas.openxmlformats.org/officeDocument/2006/relationships/hyperlink" Target="https://beat.contentfiles.net/media/documents/3_years_on.pdf" TargetMode="External"/><Relationship Id="rId413" Type="http://schemas.openxmlformats.org/officeDocument/2006/relationships/hyperlink" Target="https://hwb.gov.wales/curriculum-for-wales/health-and-well-being/designing-your-curriculum/" TargetMode="External"/><Relationship Id="rId248" Type="http://schemas.openxmlformats.org/officeDocument/2006/relationships/hyperlink" Target="https://www.westmidlands-pcc.gov.uk/ground-breaking-report-evidence-shows-too-many-young-people-in-the-criminal-justice-system-suffer-from-violence-poverty-and-abuse-growing-up/" TargetMode="External"/><Relationship Id="rId455" Type="http://schemas.openxmlformats.org/officeDocument/2006/relationships/hyperlink" Target="https://assets.publishing.service.gov.uk/government/uploads/system/uploads/attachment_data/file/1034012/An_inspection_of_asylum_casework_August_2020_to_May_2021.pdf" TargetMode="External"/><Relationship Id="rId497" Type="http://schemas.openxmlformats.org/officeDocument/2006/relationships/hyperlink" Target="https://www.ohchr.org/Documents/ProfessionalInterest/beijingrules.pdf" TargetMode="External"/><Relationship Id="rId12" Type="http://schemas.openxmlformats.org/officeDocument/2006/relationships/hyperlink" Target="https://www.legislation.gov.uk/ukpga/2004/31/contents" TargetMode="External"/><Relationship Id="rId108" Type="http://schemas.openxmlformats.org/officeDocument/2006/relationships/hyperlink" Target="https://www.bbc.co.uk/news/uk-59519562" TargetMode="External"/><Relationship Id="rId315" Type="http://schemas.openxmlformats.org/officeDocument/2006/relationships/hyperlink" Target="https://www.gov.uk/government/statistics/key-stage-4-performance-2019-revised" TargetMode="External"/><Relationship Id="rId357" Type="http://schemas.openxmlformats.org/officeDocument/2006/relationships/hyperlink" Target="https://gov.wales/sites/default/files/publications/2022-04/attendance-review-implications-of-the-covid-19-pandemic-for-school-attendance.pdf" TargetMode="External"/><Relationship Id="rId522" Type="http://schemas.openxmlformats.org/officeDocument/2006/relationships/hyperlink" Target="https://publications.parliament.uk/pa/bills/cbill/58-01/0268/en/200268en.pdf" TargetMode="External"/><Relationship Id="rId54" Type="http://schemas.openxmlformats.org/officeDocument/2006/relationships/hyperlink" Target="https://www.gov.uk/government/publications/taser-carriage-by-special-constables-equality-impact-assessment" TargetMode="External"/><Relationship Id="rId96" Type="http://schemas.openxmlformats.org/officeDocument/2006/relationships/hyperlink" Target="https://www.politicshome.com/thehouse/article/child-abuse-increase-invisble-covid-19" TargetMode="External"/><Relationship Id="rId161" Type="http://schemas.openxmlformats.org/officeDocument/2006/relationships/hyperlink" Target="https://www.gov.uk/government/statistics/statistics-on-so-called-honour-based-abuse-offences-england-and-wales-2020-to-2021/statistics-on-so-called-honour-based-abuse-offences-england-and-wales-2020-to-2021" TargetMode="External"/><Relationship Id="rId217" Type="http://schemas.openxmlformats.org/officeDocument/2006/relationships/hyperlink" Target="https://impacted.org.uk/impactinpractice" TargetMode="External"/><Relationship Id="rId399" Type="http://schemas.openxmlformats.org/officeDocument/2006/relationships/hyperlink" Target="https://gov.wales/written-statement-additional-funding-additional-learning-needs-provision-0" TargetMode="External"/><Relationship Id="rId564" Type="http://schemas.openxmlformats.org/officeDocument/2006/relationships/hyperlink" Target="https://www.equalityhumanrights.com/sites/default/files/childrens_rights_in_great_britain_0.pdf" TargetMode="External"/><Relationship Id="rId259" Type="http://schemas.openxmlformats.org/officeDocument/2006/relationships/hyperlink" Target="https://www.jrf.org.uk/report/uk-poverty-2022" TargetMode="External"/><Relationship Id="rId424" Type="http://schemas.openxmlformats.org/officeDocument/2006/relationships/hyperlink" Target="https://assets.publishing.service.gov.uk/government/uploads/system/uploads/attachment_data/file/239075/SECONDARY_national_curriculum_-_History.pdf" TargetMode="External"/><Relationship Id="rId466" Type="http://schemas.openxmlformats.org/officeDocument/2006/relationships/hyperlink" Target="https://www.equalityhumanrights.com/en/publication-download/children%E2%80%99s-rights-great-britain-submission-un" TargetMode="External"/><Relationship Id="rId23" Type="http://schemas.openxmlformats.org/officeDocument/2006/relationships/hyperlink" Target="https://senedd.wales/laid%20documents/cr-ld13405-r/cr-ld13405-r-e.pdf" TargetMode="External"/><Relationship Id="rId119" Type="http://schemas.openxmlformats.org/officeDocument/2006/relationships/hyperlink" Target="https://www.legislation.gov.uk/ukpga/2021/17/enacted" TargetMode="External"/><Relationship Id="rId270" Type="http://schemas.openxmlformats.org/officeDocument/2006/relationships/hyperlink" Target="https://www.stepchange.org/Portals/0/assets/pdf/social-security-mini-brief-report.pdf" TargetMode="External"/><Relationship Id="rId326" Type="http://schemas.openxmlformats.org/officeDocument/2006/relationships/hyperlink" Target="https://ifs.org.uk/articles/crisis-lost-learning-calls-massive-national-policy-response" TargetMode="External"/><Relationship Id="rId533" Type="http://schemas.openxmlformats.org/officeDocument/2006/relationships/hyperlink" Target="https://www.gardencourtchambers.co.uk/coronavirus-legal-news-views/child-protocol-in-criminal-cases" TargetMode="External"/><Relationship Id="rId65" Type="http://schemas.openxmlformats.org/officeDocument/2006/relationships/hyperlink" Target="https://www.equalityhumanrights.com/en/publication-download/children%E2%80%99s-rights-great-britain-submission-un" TargetMode="External"/><Relationship Id="rId130" Type="http://schemas.openxmlformats.org/officeDocument/2006/relationships/hyperlink" Target="https://www.actionforchildren.org.uk/blog/domestic-abuse-bill-community-based-support/" TargetMode="External"/><Relationship Id="rId368" Type="http://schemas.openxmlformats.org/officeDocument/2006/relationships/hyperlink" Target="https://committees.parliament.uk/publications/6974/documents/72808/default/" TargetMode="External"/><Relationship Id="rId575" Type="http://schemas.openxmlformats.org/officeDocument/2006/relationships/hyperlink" Target="https://www.legislation.gov.uk/ukpga/2022/36/contents/enacted" TargetMode="External"/><Relationship Id="rId172" Type="http://schemas.openxmlformats.org/officeDocument/2006/relationships/hyperlink" Target="https://undocs.org/A/HRC/44/53" TargetMode="External"/><Relationship Id="rId228" Type="http://schemas.openxmlformats.org/officeDocument/2006/relationships/hyperlink" Target="https://www.england.nhs.uk/coronavirus/wp-content/uploads/sites/52/2022/02/C1466-delivery-plan-for-tackling-the-covid-19-backlog-of-elective-care.pdf" TargetMode="External"/><Relationship Id="rId435" Type="http://schemas.openxmlformats.org/officeDocument/2006/relationships/hyperlink" Target="https://anti-bullyingalliance.org.uk/tools-information/all-about-bullying/at-risk-groups/sen-disability" TargetMode="External"/><Relationship Id="rId477" Type="http://schemas.openxmlformats.org/officeDocument/2006/relationships/hyperlink" Target="https://www.legislation.gov.uk/ukpga/2022/36/contents" TargetMode="External"/><Relationship Id="rId281" Type="http://schemas.openxmlformats.org/officeDocument/2006/relationships/hyperlink" Target="https://www.resolutionfoundation.org/publications/taper-cut/" TargetMode="External"/><Relationship Id="rId337" Type="http://schemas.openxmlformats.org/officeDocument/2006/relationships/hyperlink" Target="https://www.childcomwales.org.uk/wp-content/uploads/2021/01/GettingOnline_ENG_270121.pdf" TargetMode="External"/><Relationship Id="rId502" Type="http://schemas.openxmlformats.org/officeDocument/2006/relationships/hyperlink" Target="https://researchbriefings.files.parliament.uk/documents/POST-PN-0577/POST-PN-0577.pdf" TargetMode="External"/><Relationship Id="rId34" Type="http://schemas.openxmlformats.org/officeDocument/2006/relationships/hyperlink" Target="https://www.gov.uk/government/statistics/police-powers-and-procedures-stop-and-search-and-arrests-england-and-wales-year-ending-31-march-2021/police-powers-and-procedures-stop-and-search-and-arrests-england-and-wales-year-ending-31-march-2021" TargetMode="External"/><Relationship Id="rId76" Type="http://schemas.openxmlformats.org/officeDocument/2006/relationships/hyperlink" Target="https://digital.nhs.uk/data-and-information/publications/statistical/learning-disability-services-statistics/may-2021-mhsds-march-2021-final/datasets---mhsds" TargetMode="External"/><Relationship Id="rId141" Type="http://schemas.openxmlformats.org/officeDocument/2006/relationships/hyperlink" Target="https://ico.org.uk/for-organisations/guide-to-data-protection/ico-codes-of-practice/age-appropriate-design-a-code-of-practice-for-online-services/" TargetMode="External"/><Relationship Id="rId379" Type="http://schemas.openxmlformats.org/officeDocument/2006/relationships/hyperlink" Target="https://statswales.gov.wales/Catalogue/Education-and-Skills/Schools-and-Teachers/Schools-Census/Pupil-Level-Annual-School-Census/Special-Educational-Needs/pupilssen-by-sector-year" TargetMode="External"/><Relationship Id="rId544" Type="http://schemas.openxmlformats.org/officeDocument/2006/relationships/hyperlink" Target="https://assets.publishing.service.gov.uk/government/uploads/system/uploads/attachment_data/file/893194/pain-inducing-techniques-government-response.pdf" TargetMode="External"/><Relationship Id="rId7" Type="http://schemas.openxmlformats.org/officeDocument/2006/relationships/hyperlink" Target="https://www.votesforschools.com/site/assets/files/1812/votesforschools_-_cop26_data_report.pdf" TargetMode="External"/><Relationship Id="rId183" Type="http://schemas.openxmlformats.org/officeDocument/2006/relationships/hyperlink" Target="https://www.shrn.org.uk/wp-content/uploads/2021/08/SHRN-NR-FINAL-23_03_21-en-AMENDED06.08.21.pdf" TargetMode="External"/><Relationship Id="rId239" Type="http://schemas.openxmlformats.org/officeDocument/2006/relationships/hyperlink" Target="https://www.cqc.org.uk/publications/major-reports/monitoring-mental-health-act-202021" TargetMode="External"/><Relationship Id="rId390" Type="http://schemas.openxmlformats.org/officeDocument/2006/relationships/hyperlink" Target="https://www.gov.uk/government/consultations/send-review-right-support-right-place-right-time" TargetMode="External"/><Relationship Id="rId404" Type="http://schemas.openxmlformats.org/officeDocument/2006/relationships/hyperlink" Target="https://www.equalityhumanrights.com/en/publication-download/exploring-human-rights-education-great-britain" TargetMode="External"/><Relationship Id="rId446" Type="http://schemas.openxmlformats.org/officeDocument/2006/relationships/hyperlink" Target="https://www.gov.uk/government/publications/keeping-children-safe-in-education--2" TargetMode="External"/><Relationship Id="rId250" Type="http://schemas.openxmlformats.org/officeDocument/2006/relationships/hyperlink" Target="https://www.jrf.org.uk/report/uk-poverty-2022" TargetMode="External"/><Relationship Id="rId292" Type="http://schemas.openxmlformats.org/officeDocument/2006/relationships/hyperlink" Target="https://foodfoundation.org.uk/initiatives/food-insecurity-tracking" TargetMode="External"/><Relationship Id="rId306" Type="http://schemas.openxmlformats.org/officeDocument/2006/relationships/hyperlink" Target="https://www.gov.uk/government/statistics/key-stage-4-performance-2019-revised" TargetMode="External"/><Relationship Id="rId488" Type="http://schemas.openxmlformats.org/officeDocument/2006/relationships/hyperlink" Target="https://www.doughtystreet.co.uk/news/judicial-review-challenge-rwanda-scheme-set-continue" TargetMode="External"/><Relationship Id="rId45" Type="http://schemas.openxmlformats.org/officeDocument/2006/relationships/hyperlink" Target="https://ico.org.uk/for-organisations/guide-to-data-protection/ico-codes-of-practice/age-appropriate-design-a-code-of-practice-for-online-services/" TargetMode="External"/><Relationship Id="rId87" Type="http://schemas.openxmlformats.org/officeDocument/2006/relationships/hyperlink" Target="https://www.bbc.co.uk/news/uk-39530915" TargetMode="External"/><Relationship Id="rId110" Type="http://schemas.openxmlformats.org/officeDocument/2006/relationships/hyperlink" Target="https://www.childrenscommissioner.gov.uk/report/voices-of-englands-missing-children/" TargetMode="External"/><Relationship Id="rId348" Type="http://schemas.openxmlformats.org/officeDocument/2006/relationships/hyperlink" Target="https://disabledchildrenspartnership.org.uk/dcp-statement-on-the-governments-education-recovery-plan-02-june-2021/" TargetMode="External"/><Relationship Id="rId513" Type="http://schemas.openxmlformats.org/officeDocument/2006/relationships/hyperlink" Target="https://www.gov.uk/government/statistics/youth-justice-statistics-2020-to-2021" TargetMode="External"/><Relationship Id="rId555" Type="http://schemas.openxmlformats.org/officeDocument/2006/relationships/hyperlink" Target="https://assets.publishing.service.gov.uk/government/uploads/system/uploads/attachment_data/file/1054236/Youth_Justice_Statistics_2020-21.pdf" TargetMode="External"/><Relationship Id="rId152" Type="http://schemas.openxmlformats.org/officeDocument/2006/relationships/hyperlink" Target="http://docstore.ohchr.org/SelfServices/FilesHandler.ashx?enc=6QkG1d%2FPPRiCAqhKb7yhskHOj6VpDS%2F%2FJqg2Jxb9gncnUyUgbnuttBweOlylfyYPkBbwffitW2JurgBRuMMxZqnGgerUdpjxij3uZ0bjQBOLNTNvQ9fUIEOvA5LtW0GL" TargetMode="External"/><Relationship Id="rId194" Type="http://schemas.openxmlformats.org/officeDocument/2006/relationships/hyperlink" Target="https://www.gov.uk/government/consultations/transforming-children-and-young-peoples-mental-health-provision-a-green-paper" TargetMode="External"/><Relationship Id="rId208" Type="http://schemas.openxmlformats.org/officeDocument/2006/relationships/hyperlink" Target="https://phwwhocc.co.uk/wp-content/uploads/2022/07/PHW-MWIA-COVID-19-Mental-wellbeing-and-Young-People-Main-Report-Eng-FINAL.pdf" TargetMode="External"/><Relationship Id="rId415" Type="http://schemas.openxmlformats.org/officeDocument/2006/relationships/hyperlink" Target="https://gov.wales/written-statement-misleading-claims-about-rse" TargetMode="External"/><Relationship Id="rId457" Type="http://schemas.openxmlformats.org/officeDocument/2006/relationships/hyperlink" Target="https://gmiau.org/about-us/reports/" TargetMode="External"/><Relationship Id="rId261" Type="http://schemas.openxmlformats.org/officeDocument/2006/relationships/hyperlink" Target="https://cpag.org.uk/policy-and-campaigns/briefing/understanding-jump-families-affected-benefit-cap" TargetMode="External"/><Relationship Id="rId499" Type="http://schemas.openxmlformats.org/officeDocument/2006/relationships/hyperlink" Target="http://docstore.ohchr.org/SelfServices/FilesHandler.ashx?enc=6QkG1d%2fPPRiCAqhKb7yhsqIkirKQZLK2M58RF%2f5F0vEnG3QGKUxFivhToQfjGxYjV05tUAIgpOwHQJsFPdJXCiixFSrDRwow8HeKLLh8cgOw1SN6vJ%2bf0RPR9UMtGkA4" TargetMode="External"/><Relationship Id="rId14" Type="http://schemas.openxmlformats.org/officeDocument/2006/relationships/hyperlink" Target="https://www.supremecourt.uk/cases/docs/uksc-2010-0002-judgment.pdf" TargetMode="External"/><Relationship Id="rId56" Type="http://schemas.openxmlformats.org/officeDocument/2006/relationships/hyperlink" Target="https://www.college.police.uk/app/armed-policing/conducted-energy-devices-taser" TargetMode="External"/><Relationship Id="rId317" Type="http://schemas.openxmlformats.org/officeDocument/2006/relationships/hyperlink" Target="https://www.estyn.gov.wales/sites/www.estyn.gov.wales/files/2020-07/Annual_Report_2018_2019_en_2.pdf" TargetMode="External"/><Relationship Id="rId359" Type="http://schemas.openxmlformats.org/officeDocument/2006/relationships/hyperlink" Target="https://gov.wales/pupils-educated-other-school-september-2021-august-2022-html" TargetMode="External"/><Relationship Id="rId524" Type="http://schemas.openxmlformats.org/officeDocument/2006/relationships/hyperlink" Target="https://undocs.org/CRC/C/GBR/CO/5" TargetMode="External"/><Relationship Id="rId566" Type="http://schemas.openxmlformats.org/officeDocument/2006/relationships/hyperlink" Target="https://www.gov.uk/government/publications/2021-uk-annual-report-on-modern-slavery/2021-uk-annual-report-on-modern-slavery-accessible-version" TargetMode="External"/><Relationship Id="rId98" Type="http://schemas.openxmlformats.org/officeDocument/2006/relationships/hyperlink" Target="https://www.ons.gov.uk/peoplepopulationandcommunity/crimeandjustice/bulletins/childabuseinenglandandwales/march2020" TargetMode="External"/><Relationship Id="rId121" Type="http://schemas.openxmlformats.org/officeDocument/2006/relationships/hyperlink" Target="https://domesticabusecommissioner.uk/domestic-abuse-commissioner-pledges-to-end-the-postcode-lottery-of-domestic-abuse-services-2/" TargetMode="External"/><Relationship Id="rId163" Type="http://schemas.openxmlformats.org/officeDocument/2006/relationships/hyperlink" Target="https://digital.nhs.uk/data-and-information/publications/statistical/female-genital-mutilation/july-2021-to-september-2021" TargetMode="External"/><Relationship Id="rId219" Type="http://schemas.openxmlformats.org/officeDocument/2006/relationships/hyperlink" Target="https://www.theguardian.com/education/2021/aug/09/spike-in-students-calling-childlline-about-exam-stress" TargetMode="External"/><Relationship Id="rId370" Type="http://schemas.openxmlformats.org/officeDocument/2006/relationships/hyperlink" Target="https://www.gov.uk/government/publications/schools-bill-policy-statements" TargetMode="External"/><Relationship Id="rId426" Type="http://schemas.openxmlformats.org/officeDocument/2006/relationships/hyperlink" Target="https://gov.wales/written-statement-final-recommendations-black-asian-and-minority-ethnic-communities-contributions" TargetMode="External"/><Relationship Id="rId230" Type="http://schemas.openxmlformats.org/officeDocument/2006/relationships/hyperlink" Target="https://parentinfantfoundation.org.uk/wp-content/uploads/2021/11/211108-FINAL-No-one-wants-to-see-my-baby.pdf" TargetMode="External"/><Relationship Id="rId468" Type="http://schemas.openxmlformats.org/officeDocument/2006/relationships/hyperlink" Target="https://www.gov.uk/government/statistics/eu-settlement-scheme-quarterly-statistics-march-2022/eu-settlement-scheme-quarterly-statistics-march-2022" TargetMode="External"/><Relationship Id="rId25" Type="http://schemas.openxmlformats.org/officeDocument/2006/relationships/hyperlink" Target="https://gov.wales/united-nations-committee-rights-child-concluding-observations-uk-report-2016-welsh-government" TargetMode="External"/><Relationship Id="rId67" Type="http://schemas.openxmlformats.org/officeDocument/2006/relationships/hyperlink" Target="https://www.equalityhumanrights.com/en/publication-download/human-rights-framework-restraint" TargetMode="External"/><Relationship Id="rId272" Type="http://schemas.openxmlformats.org/officeDocument/2006/relationships/hyperlink" Target="https://cpag.org.uk/sites/default/files/files/policypost/Poverty-in-the-pandemic_update.pdf" TargetMode="External"/><Relationship Id="rId328" Type="http://schemas.openxmlformats.org/officeDocument/2006/relationships/hyperlink" Target="https://www.gov.uk/government/publications/pupils-progress-in-the-2020-to-2021-academic-year-interim-report" TargetMode="External"/><Relationship Id="rId535" Type="http://schemas.openxmlformats.org/officeDocument/2006/relationships/hyperlink" Target="https://www.gov.uk/government/statistics/youth-justice-statistics-2020-to-2021" TargetMode="External"/><Relationship Id="rId132" Type="http://schemas.openxmlformats.org/officeDocument/2006/relationships/hyperlink" Target="https://gov.wales/violence-against-women-domestic-abuse-and-sexual-violence-national-advisers-annual-report-2020-2021" TargetMode="External"/><Relationship Id="rId174" Type="http://schemas.openxmlformats.org/officeDocument/2006/relationships/hyperlink" Target="https://www.gov.uk/government/consultations/banning-conversion-therapy" TargetMode="External"/><Relationship Id="rId381" Type="http://schemas.openxmlformats.org/officeDocument/2006/relationships/hyperlink" Target="https://publications.parliament.uk/pa/cm201919/cmselect/cmeduc/20/20.pdf" TargetMode="External"/><Relationship Id="rId241" Type="http://schemas.openxmlformats.org/officeDocument/2006/relationships/hyperlink" Target="https://www.equalityhumanrights.com/en/publication-download/children%E2%80%99s-rights-great-britain-submission-un" TargetMode="External"/><Relationship Id="rId437" Type="http://schemas.openxmlformats.org/officeDocument/2006/relationships/hyperlink" Target="https://www.ditchthelabel.org/wp-content/uploads/2020/11/The-Annual-Bullying-Survey-2020-2.pdf" TargetMode="External"/><Relationship Id="rId479" Type="http://schemas.openxmlformats.org/officeDocument/2006/relationships/hyperlink" Target="https://www.unhcr.org/61e7f9b44" TargetMode="External"/><Relationship Id="rId36" Type="http://schemas.openxmlformats.org/officeDocument/2006/relationships/hyperlink" Target="https://www.gov.uk/government/publications/stop-and-search-data-and-the-effect-of-geographical-differences/stop-and-search-interpreting-and-describing-statistics" TargetMode="External"/><Relationship Id="rId283" Type="http://schemas.openxmlformats.org/officeDocument/2006/relationships/hyperlink" Target="https://www.instituteofhealthequity.org/resources-reports/fuel-poverty-cold-homes-and-health-inequalities-in-the-uk" TargetMode="External"/><Relationship Id="rId339" Type="http://schemas.openxmlformats.org/officeDocument/2006/relationships/hyperlink" Target="https://www.eyst.org.uk/assets/eyst-wales-responseour-future-wales31-july-2020-1.pdf" TargetMode="External"/><Relationship Id="rId490" Type="http://schemas.openxmlformats.org/officeDocument/2006/relationships/hyperlink" Target="https://www.gov.uk/government/publications/migration-and-economic-development-partnership-with-rwanda/migration-and-economic-development-partnership-with-rwanda-equality-impact-assessment-accessible" TargetMode="External"/><Relationship Id="rId504" Type="http://schemas.openxmlformats.org/officeDocument/2006/relationships/hyperlink" Target="https://assets.publishing.service.gov.uk/government/uploads/system/uploads/attachment_data/file/1054236/Youth_Justice_Statistics_2020-21.pdf" TargetMode="External"/><Relationship Id="rId546" Type="http://schemas.openxmlformats.org/officeDocument/2006/relationships/hyperlink" Target="https://www.gov.uk/government/statistics/youth-justice-annual-statistics-2016-to-2017" TargetMode="External"/><Relationship Id="rId78" Type="http://schemas.openxmlformats.org/officeDocument/2006/relationships/hyperlink" Target="https://publications.parliament.uk/pa/jt201919/jtselect/jtrights/121/121.pdf" TargetMode="External"/><Relationship Id="rId101" Type="http://schemas.openxmlformats.org/officeDocument/2006/relationships/hyperlink" Target="https://explore-education-statistics.service.gov.uk/find-statistics/serious-incident-notifications/2020-21" TargetMode="External"/><Relationship Id="rId143" Type="http://schemas.openxmlformats.org/officeDocument/2006/relationships/hyperlink" Target="https://committees.parliament.uk/publications/8206/documents/84092/default/" TargetMode="External"/><Relationship Id="rId185" Type="http://schemas.openxmlformats.org/officeDocument/2006/relationships/hyperlink" Target="https://www.england.nhs.uk/2022/03/nhs-treating-record-number-of-young-people-for-eating-disorders/" TargetMode="External"/><Relationship Id="rId350" Type="http://schemas.openxmlformats.org/officeDocument/2006/relationships/hyperlink" Target="https://explore-education-statistics.service.gov.uk/find-statistics/pupil-absence-in-schools-in-england-autumn-term" TargetMode="External"/><Relationship Id="rId406" Type="http://schemas.openxmlformats.org/officeDocument/2006/relationships/hyperlink" Target="https://www.equalityhumanrights.com/en/publication-download/exploring-human-rights-education-great-britain" TargetMode="External"/><Relationship Id="rId9" Type="http://schemas.openxmlformats.org/officeDocument/2006/relationships/hyperlink" Target="https://www.jrf.org.uk/report/climate-change-justice-and-vulnerability" TargetMode="External"/><Relationship Id="rId210" Type="http://schemas.openxmlformats.org/officeDocument/2006/relationships/hyperlink" Target="https://www.england.nhs.uk/mental-health/cyp/trailblazers/" TargetMode="External"/><Relationship Id="rId392" Type="http://schemas.openxmlformats.org/officeDocument/2006/relationships/hyperlink" Target="https://committees.parliament.uk/oralevidence/10275/pdf/" TargetMode="External"/><Relationship Id="rId448" Type="http://schemas.openxmlformats.org/officeDocument/2006/relationships/hyperlink" Target="https://gov.wales/rights-respect-equality-guidance-schools" TargetMode="External"/><Relationship Id="rId26" Type="http://schemas.openxmlformats.org/officeDocument/2006/relationships/hyperlink" Target="https://publications.parliament.uk/pa/bills/cbill/58-02/0141/ECHRmemo.pdf" TargetMode="External"/><Relationship Id="rId231" Type="http://schemas.openxmlformats.org/officeDocument/2006/relationships/hyperlink" Target="https://parentinfantfoundation.org.uk/wp-content/uploads/2021/01/210115-F1001D-Working-for-Babies-Report-FINAL-v1.0-compressed.pdf" TargetMode="External"/><Relationship Id="rId252" Type="http://schemas.openxmlformats.org/officeDocument/2006/relationships/hyperlink" Target="https://gov.wales/sites/default/files/publications/2019-06/child-poverty-strategy-for-wales-report.pdf" TargetMode="External"/><Relationship Id="rId273" Type="http://schemas.openxmlformats.org/officeDocument/2006/relationships/hyperlink" Target="https://ifs.org.uk/publications/living-standards-poverty-and-inequality-uk-2021-0" TargetMode="External"/><Relationship Id="rId294" Type="http://schemas.openxmlformats.org/officeDocument/2006/relationships/hyperlink" Target="https://www.trusselltrust.org/news-and-blog/latest-stats/end-year-stats/" TargetMode="External"/><Relationship Id="rId308" Type="http://schemas.openxmlformats.org/officeDocument/2006/relationships/hyperlink" Target="https://www.gov.uk/government/statistics/key-stage-4-performance-2019-revised" TargetMode="External"/><Relationship Id="rId329" Type="http://schemas.openxmlformats.org/officeDocument/2006/relationships/hyperlink" Target="https://assets.publishing.service.gov.uk/government/uploads/system/uploads/attachment_data/file/1063488/Understanding_Progress_in_the_2020_to_2021_Academic_Year_Extension_report_covering_the_first_half_of_the_autumn_term_2021.pdf" TargetMode="External"/><Relationship Id="rId480" Type="http://schemas.openxmlformats.org/officeDocument/2006/relationships/hyperlink" Target="https://senedd.wales/media/wr3c5fdl/cr-ld14946-e.pdf" TargetMode="External"/><Relationship Id="rId515" Type="http://schemas.openxmlformats.org/officeDocument/2006/relationships/hyperlink" Target="https://assets.publishing.service.gov.uk/government/uploads/system/uploads/attachment_data/file/952483/Ethnic_disproportionality_in_remand_and_sentencing_in_the_youth_justice_system.pdf" TargetMode="External"/><Relationship Id="rId536" Type="http://schemas.openxmlformats.org/officeDocument/2006/relationships/hyperlink" Target="https://www.gov.uk/government/publications/hm-chief-inspector-of-prisons-annual-report-2021-to-2022" TargetMode="External"/><Relationship Id="rId47" Type="http://schemas.openxmlformats.org/officeDocument/2006/relationships/hyperlink" Target="http://docstore.ohchr.org/SelfServices/FilesHandler.ashx?enc=6QkG1d%2FPPRiCAqhKb7yhskHOj6VpDS%2F%2FJqg2Jxb9gncnUyUgbnuttBweOlylfyYPkBbwffitW2JurgBRuMMxZqnGgerUdpjxij3uZ0bjQBOLNTNvQ9fUIEOvA5LtW0GL" TargetMode="External"/><Relationship Id="rId68" Type="http://schemas.openxmlformats.org/officeDocument/2006/relationships/hyperlink" Target="https://assets.publishing.service.gov.uk/government/uploads/system/uploads/attachment_data/file/893194/pain-inducing-techniques-government-response.pdf" TargetMode="External"/><Relationship Id="rId89" Type="http://schemas.openxmlformats.org/officeDocument/2006/relationships/hyperlink" Target="https://www.gov.uk/government/publications/use-of-reasonable-force-in-schools" TargetMode="External"/><Relationship Id="rId112" Type="http://schemas.openxmlformats.org/officeDocument/2006/relationships/hyperlink" Target="https://www.gov.uk/government/statistics/characteristics-of-children-in-need-2015-to-2016" TargetMode="External"/><Relationship Id="rId133" Type="http://schemas.openxmlformats.org/officeDocument/2006/relationships/hyperlink" Target="https://gov.wales/violence-against-women-domestic-abuse-and-sexual-violence-strategy-2022-2026" TargetMode="External"/><Relationship Id="rId154" Type="http://schemas.openxmlformats.org/officeDocument/2006/relationships/hyperlink" Target="https://tbinternet.ohchr.org/_layouts/15/treatybodyexternal/Download.aspx?symbolno=CRC%2fC%2fGBR%2f6-7&amp;Lang=en" TargetMode="External"/><Relationship Id="rId175" Type="http://schemas.openxmlformats.org/officeDocument/2006/relationships/hyperlink" Target="https://gov.wales/programme-for-government-update" TargetMode="External"/><Relationship Id="rId340" Type="http://schemas.openxmlformats.org/officeDocument/2006/relationships/hyperlink" Target="https://www.n8research.org.uk/report-paints-a-stark-picture-of-inequality-for-children-growing-up-in-the-north/" TargetMode="External"/><Relationship Id="rId361" Type="http://schemas.openxmlformats.org/officeDocument/2006/relationships/hyperlink" Target="https://committees.parliament.uk/publications/6974/documents/72808/default/" TargetMode="External"/><Relationship Id="rId557" Type="http://schemas.openxmlformats.org/officeDocument/2006/relationships/hyperlink" Target="https://www.justiceinspectorates.gov.uk/hmiprisons/inspections/children-in-custody-2019-20/" TargetMode="External"/><Relationship Id="rId196" Type="http://schemas.openxmlformats.org/officeDocument/2006/relationships/hyperlink" Target="https://gov.wales/sites/default/files/statistics-and-research/2021-06/evaluation-of-the-child-and-adolescent-mental-health-service-camhs-in-reach-to-schools-pilot-programme-final-report.pdf" TargetMode="External"/><Relationship Id="rId200" Type="http://schemas.openxmlformats.org/officeDocument/2006/relationships/hyperlink" Target="https://publications.parliament.uk/pa/cm5802/cmselect/cmhealth/17/report.html" TargetMode="External"/><Relationship Id="rId382" Type="http://schemas.openxmlformats.org/officeDocument/2006/relationships/hyperlink" Target="https://business.senedd.wales/documents/s86685/Committee%20Response%20to%20the%20Welsh%20Government%20Consultation%2022%20March%202019.pdf" TargetMode="External"/><Relationship Id="rId417" Type="http://schemas.openxmlformats.org/officeDocument/2006/relationships/hyperlink" Target="https://www.gov.uk/government/news/relationships-education-relationships-and-sex-education-rse-and-health-education-faqs" TargetMode="External"/><Relationship Id="rId438" Type="http://schemas.openxmlformats.org/officeDocument/2006/relationships/hyperlink" Target="https://www.everyonesinvited.uk/" TargetMode="External"/><Relationship Id="rId459" Type="http://schemas.openxmlformats.org/officeDocument/2006/relationships/hyperlink" Target="http://www.elderrahimi.co.uk/UserFiles/Files/p_nS4kT4.pdf" TargetMode="External"/><Relationship Id="rId16" Type="http://schemas.openxmlformats.org/officeDocument/2006/relationships/hyperlink" Target="https://bills.parliament.uk/bills/3227" TargetMode="External"/><Relationship Id="rId221" Type="http://schemas.openxmlformats.org/officeDocument/2006/relationships/hyperlink" Target="https://www.nuffieldtrust.org.uk/resource/growing-problems-in-detail-covid-19-s-impact-on-health-care-for-children-and-young-people-in-england" TargetMode="External"/><Relationship Id="rId242" Type="http://schemas.openxmlformats.org/officeDocument/2006/relationships/hyperlink" Target="https://digital.nhs.uk/data-and-information/publications/statistical/learning-disability-services-statistics/at-march-2022-mhsds-january-2022-final/datasets---at" TargetMode="External"/><Relationship Id="rId263" Type="http://schemas.openxmlformats.org/officeDocument/2006/relationships/hyperlink" Target="https://cpag.org.uk/sites/default/files/files/policypost/CPAG-briefing-two-child-limit-2021.pdf" TargetMode="External"/><Relationship Id="rId284" Type="http://schemas.openxmlformats.org/officeDocument/2006/relationships/hyperlink" Target="https://pure.york.ac.uk/portal/en/publications/fuel-poverty-has-not-been-solved-update-on-fuel-poverty-estimates" TargetMode="External"/><Relationship Id="rId319" Type="http://schemas.openxmlformats.org/officeDocument/2006/relationships/hyperlink" Target="http://eprints.lse.ac.uk/87373/1/Platt__disability-differentials.pdf" TargetMode="External"/><Relationship Id="rId470" Type="http://schemas.openxmlformats.org/officeDocument/2006/relationships/hyperlink" Target="https://www.independent.co.uk/news/uk/home-news/eu-settled-status-brexit-uk-b1973923.html" TargetMode="External"/><Relationship Id="rId491" Type="http://schemas.openxmlformats.org/officeDocument/2006/relationships/hyperlink" Target="https://lordslibrary.parliament.uk/rwanda-policy-unaccompanied-children-and-age-assessments/" TargetMode="External"/><Relationship Id="rId505" Type="http://schemas.openxmlformats.org/officeDocument/2006/relationships/hyperlink" Target="https://howardleague.org/wp-content/uploads/2021/09/Whats-wrong-with-remanding-children-to-prison.pdf" TargetMode="External"/><Relationship Id="rId526" Type="http://schemas.openxmlformats.org/officeDocument/2006/relationships/hyperlink" Target="https://publications.parliament.uk/pa/bills/cbill/58-01/0268/en/200268en.pdf" TargetMode="External"/><Relationship Id="rId37" Type="http://schemas.openxmlformats.org/officeDocument/2006/relationships/hyperlink" Target="https://www.ucl.ac.uk/news/2020/dec/londons-most-deprived-neighbourhoods-see-more-stop-and-searches" TargetMode="External"/><Relationship Id="rId58" Type="http://schemas.openxmlformats.org/officeDocument/2006/relationships/hyperlink" Target="https://www.theguardian.com/world/2020/aug/16/bame-children-three-times-more-likely-to-have-taser-used-on-them-by-police" TargetMode="External"/><Relationship Id="rId79" Type="http://schemas.openxmlformats.org/officeDocument/2006/relationships/hyperlink" Target="https://publications.parliament.uk/pa/cm5802/cmselect/cmhealth/17/report.html" TargetMode="External"/><Relationship Id="rId102" Type="http://schemas.openxmlformats.org/officeDocument/2006/relationships/hyperlink" Target="https://www.ons.gov.uk/peoplepopulationandcommunity/crimeandjustice/datasets/domesticabuseandthecriminaljusticesystemappendixtables" TargetMode="External"/><Relationship Id="rId123" Type="http://schemas.openxmlformats.org/officeDocument/2006/relationships/hyperlink" Target="https://www.wcpp.org.uk/publication/domestic-abuse-interventions-in-wales/" TargetMode="External"/><Relationship Id="rId144" Type="http://schemas.openxmlformats.org/officeDocument/2006/relationships/hyperlink" Target="https://committees.parliament.uk/committee/378/digital-culture-media-and-sport-committee/news/160439/illegal-and-harmful-content-could-evade-new-online-safety-law-warn-mps/" TargetMode="External"/><Relationship Id="rId330" Type="http://schemas.openxmlformats.org/officeDocument/2006/relationships/hyperlink" Target="https://eprints.soton.ac.uk/450310/1/Formatted_covid_report.pdf" TargetMode="External"/><Relationship Id="rId547" Type="http://schemas.openxmlformats.org/officeDocument/2006/relationships/hyperlink" Target="https://www.gov.uk/government/statistics/youth-justice-statistics-2020-to-2021" TargetMode="External"/><Relationship Id="rId568" Type="http://schemas.openxmlformats.org/officeDocument/2006/relationships/hyperlink" Target="https://www.gov.uk/government/publications/piloting-devolving-decision-making-for-child-victims-of-modern-slavery" TargetMode="External"/><Relationship Id="rId90" Type="http://schemas.openxmlformats.org/officeDocument/2006/relationships/hyperlink" Target="https://gov.wales/sites/default/files/publications/2018-03/safe-and-effective-intervention-use-of-reasonable-force-and-searching-for-weapons.pdf" TargetMode="External"/><Relationship Id="rId165" Type="http://schemas.openxmlformats.org/officeDocument/2006/relationships/hyperlink" Target="https://www.gov.uk/government/statistics/forced-marriage-unit-statistics-2020/forced-marriage-unit-statistics-2020" TargetMode="External"/><Relationship Id="rId186" Type="http://schemas.openxmlformats.org/officeDocument/2006/relationships/hyperlink" Target="https://beat.contentfiles.net/media/documents/3_years_on.pdf" TargetMode="External"/><Relationship Id="rId351" Type="http://schemas.openxmlformats.org/officeDocument/2006/relationships/hyperlink" Target="https://www.childrenscommissioner.gov.uk/report/where-are-englands-children-interim-findings-from-the-childrens-commissioners-attendance-audit/" TargetMode="External"/><Relationship Id="rId372" Type="http://schemas.openxmlformats.org/officeDocument/2006/relationships/hyperlink" Target="https://www.childcomwales.org.uk/wp-content/uploads/2021/02/ReviewofWG_FINAL_ENG.pdf" TargetMode="External"/><Relationship Id="rId393" Type="http://schemas.openxmlformats.org/officeDocument/2006/relationships/hyperlink" Target="https://www.ipsea.org.uk/Handlers/Download.ashx?IDMF=dce68642-d6fb-4340-b85f-011de86253df" TargetMode="External"/><Relationship Id="rId407" Type="http://schemas.openxmlformats.org/officeDocument/2006/relationships/hyperlink" Target="https://www.legislation.gov.uk/ukpga/2010/15/section/149" TargetMode="External"/><Relationship Id="rId428" Type="http://schemas.openxmlformats.org/officeDocument/2006/relationships/hyperlink" Target="https://www.ditchthelabel.org/research-papers/the-annual-bullying-survey-2020/" TargetMode="External"/><Relationship Id="rId449" Type="http://schemas.openxmlformats.org/officeDocument/2006/relationships/hyperlink" Target="https://gov.wales/sites/default/files/consultations/2021-03/race-equality-action-plan-an-anti-racist-wales_2.pdf" TargetMode="External"/><Relationship Id="rId211" Type="http://schemas.openxmlformats.org/officeDocument/2006/relationships/hyperlink" Target="https://publications.parliament.uk/pa/cm5802/cmselect/cmhealth/17/report.html" TargetMode="External"/><Relationship Id="rId232" Type="http://schemas.openxmlformats.org/officeDocument/2006/relationships/hyperlink" Target="https://www.gov.uk/government/publications/inequalities-in-child-development" TargetMode="External"/><Relationship Id="rId253" Type="http://schemas.openxmlformats.org/officeDocument/2006/relationships/hyperlink" Target="https://gov.wales/child-poverty-income-maximisation-action-plan-2020-2021-html" TargetMode="External"/><Relationship Id="rId274" Type="http://schemas.openxmlformats.org/officeDocument/2006/relationships/hyperlink" Target="https://commonslibrary.parliament.uk/research-briefings/cbp-9152/" TargetMode="External"/><Relationship Id="rId295" Type="http://schemas.openxmlformats.org/officeDocument/2006/relationships/hyperlink" Target="https://migrationobservatory.ox.ac.uk/press/a-million-children-in-the-uk-dont-have-british-or-irish-citizenship-and-175000-live-in-families-expected-to-have-no-recourse-to-public-funds/" TargetMode="External"/><Relationship Id="rId309" Type="http://schemas.openxmlformats.org/officeDocument/2006/relationships/hyperlink" Target="https://statswales.gov.wales/Catalogue/Education-and-Skills/Schools-and-Teachers/Examinations-and-Assessments/Key-Stage-4/ks4indicators-by-year-sen" TargetMode="External"/><Relationship Id="rId460" Type="http://schemas.openxmlformats.org/officeDocument/2006/relationships/hyperlink" Target="https://publications.parliament.uk/pa/bills/cbill/58-02/0141/en/210141en.pdf" TargetMode="External"/><Relationship Id="rId481" Type="http://schemas.openxmlformats.org/officeDocument/2006/relationships/hyperlink" Target="https://publications.parliament.uk/pa/jt5802/jtselect/jtrights/1007/report.html" TargetMode="External"/><Relationship Id="rId516" Type="http://schemas.openxmlformats.org/officeDocument/2006/relationships/hyperlink" Target="https://www.justiceinspectorates.gov.uk/hmiprobation/wp-content/uploads/sites/5/2021/10/The-experiences-of-black-and-mixed-heritage-boys-in-the-youth-justice-system-thematic-report-v1.0.pdf" TargetMode="External"/><Relationship Id="rId27" Type="http://schemas.openxmlformats.org/officeDocument/2006/relationships/hyperlink" Target="https://caselaw.nationalarchives.gov.uk/ewhc/admin/2018/1834" TargetMode="External"/><Relationship Id="rId48" Type="http://schemas.openxmlformats.org/officeDocument/2006/relationships/hyperlink" Target="https://www.unicef.org.uk/wp-content/uploads/2020/12/UnicefUK_YouthJusticeReport2020_screen.pdf" TargetMode="External"/><Relationship Id="rId69" Type="http://schemas.openxmlformats.org/officeDocument/2006/relationships/hyperlink" Target="https://gov.wales/sites/default/files/publications/2021-07/reducing-restrictive-practices-framework.pdf" TargetMode="External"/><Relationship Id="rId113" Type="http://schemas.openxmlformats.org/officeDocument/2006/relationships/hyperlink" Target="https://explore-education-statistics.service.gov.uk/find-statistics/characteristics-of-children-in-need" TargetMode="External"/><Relationship Id="rId134" Type="http://schemas.openxmlformats.org/officeDocument/2006/relationships/hyperlink" Target="https://www.coe.int/en/web/istanbul-convention/-/the-united-kingdom-ratifies-the-istanbul-convention" TargetMode="External"/><Relationship Id="rId320" Type="http://schemas.openxmlformats.org/officeDocument/2006/relationships/hyperlink" Target="https://committees.parliament.uk/publications/6030/documents/68118/default/" TargetMode="External"/><Relationship Id="rId537" Type="http://schemas.openxmlformats.org/officeDocument/2006/relationships/hyperlink" Target="https://assets.publishing.service.gov.uk/government/uploads/system/uploads/attachment_data/file/1054236/Youth_Justice_Statistics_2020-21.pdf" TargetMode="External"/><Relationship Id="rId558" Type="http://schemas.openxmlformats.org/officeDocument/2006/relationships/hyperlink" Target="https://www.gov.uk/government/publications/hm-chief-inspector-of-prisons-annual-report-2021-to-2022" TargetMode="External"/><Relationship Id="rId80" Type="http://schemas.openxmlformats.org/officeDocument/2006/relationships/hyperlink" Target="https://www.gov.uk/government/publications/children-and-young-peoples-mental-health-government-response/the-governments-response-to-the-health-and-social-care-committee-report-children-and-young-peoples-mental-health" TargetMode="External"/><Relationship Id="rId155" Type="http://schemas.openxmlformats.org/officeDocument/2006/relationships/hyperlink" Target="https://www.legislation.gov.uk/asp/2019/16/contents" TargetMode="External"/><Relationship Id="rId176" Type="http://schemas.openxmlformats.org/officeDocument/2006/relationships/hyperlink" Target="https://www.gov.uk/government/publications/queens-speech-2022-background-briefing-notes" TargetMode="External"/><Relationship Id="rId197" Type="http://schemas.openxmlformats.org/officeDocument/2006/relationships/hyperlink" Target="https://gov.wales/children-and-young-peoples-plan-html" TargetMode="External"/><Relationship Id="rId341" Type="http://schemas.openxmlformats.org/officeDocument/2006/relationships/hyperlink" Target="https://www.economicsobservatory.com/how-have-migrant-pupils-been-affected-lockdown-and-school-closures" TargetMode="External"/><Relationship Id="rId362" Type="http://schemas.openxmlformats.org/officeDocument/2006/relationships/hyperlink" Target="https://www.childrenscommissioner.gov.uk/wp-content/uploads/2019/02/cco-skipping-school-invisible-children-feb-2019.pdf" TargetMode="External"/><Relationship Id="rId383" Type="http://schemas.openxmlformats.org/officeDocument/2006/relationships/hyperlink" Target="https://assets.publishing.service.gov.uk/government/uploads/system/uploads/attachment_data/file/1063620/SEND_review_right_support_right_place_right_time_accessible.pdf" TargetMode="External"/><Relationship Id="rId418" Type="http://schemas.openxmlformats.org/officeDocument/2006/relationships/hyperlink" Target="https://www.gov.uk/government/speeches/research-commentary-teaching-about-sex-sexual-orientation-and-gender-reassignment?utm_medium=email&amp;utm_campaign=govuk-notifications&amp;utm_source=fe450b12-d954-4012-b228-3e28ad1e267f&amp;utm_content=immediately" TargetMode="External"/><Relationship Id="rId439" Type="http://schemas.openxmlformats.org/officeDocument/2006/relationships/hyperlink" Target="https://www.gov.uk/government/publications/review-of-sexual-abuse-in-schools-and-colleges/review-of-sexual-abuse-in-schools-and-colleges" TargetMode="External"/><Relationship Id="rId201" Type="http://schemas.openxmlformats.org/officeDocument/2006/relationships/hyperlink" Target="https://www.childrenscommissioner.gov.uk/report/briefing-on-childrens-mental-health-services-2020-2021/" TargetMode="External"/><Relationship Id="rId222" Type="http://schemas.openxmlformats.org/officeDocument/2006/relationships/hyperlink" Target="https://educationhub.blog.gov.uk/2022/02/08/what-we-are-doing-to-improve-the-mental-health-of-children-and-young-people/" TargetMode="External"/><Relationship Id="rId243" Type="http://schemas.openxmlformats.org/officeDocument/2006/relationships/hyperlink" Target="https://www.gov.uk/government/publications/draft-mental-health-bill-2022" TargetMode="External"/><Relationship Id="rId264" Type="http://schemas.openxmlformats.org/officeDocument/2006/relationships/hyperlink" Target="https://www.gov.uk/government/statistics/universal-credit-and-child-tax-credit-claimants-statistics-related-to-the-policy-to-provide-support-for-a-maximum-of-2-children-april-2022/universal-credit-and-child-tax-credit-claimants-statistics-related-to-the-policy-to-provide-support-for-a-maximum-of-2-children-april-2022" TargetMode="External"/><Relationship Id="rId285" Type="http://schemas.openxmlformats.org/officeDocument/2006/relationships/hyperlink" Target="https://www.resolutionfoundation.org/publications/inflation-nation/" TargetMode="External"/><Relationship Id="rId450" Type="http://schemas.openxmlformats.org/officeDocument/2006/relationships/hyperlink" Target="https://www.ohchr.org/en/press-releases/2021/12/un-human-rights-experts-urge-states-adopt-alternative-measures-and-put-end-0" TargetMode="External"/><Relationship Id="rId471" Type="http://schemas.openxmlformats.org/officeDocument/2006/relationships/hyperlink" Target="https://www.bailii.org/ew/cases/EWCA/Civ/2019/872.html" TargetMode="External"/><Relationship Id="rId506" Type="http://schemas.openxmlformats.org/officeDocument/2006/relationships/hyperlink" Target="https://publications.parliament.uk/pa/bills/cbill/58-01/0268/en/200268en.pdf" TargetMode="External"/><Relationship Id="rId17" Type="http://schemas.openxmlformats.org/officeDocument/2006/relationships/hyperlink" Target="https://www.equalityhumanrights.com/sites/default/files/consultation-response-human-rights-act-reform-a-modern-bill-of-rights.docx" TargetMode="External"/><Relationship Id="rId38" Type="http://schemas.openxmlformats.org/officeDocument/2006/relationships/hyperlink" Target="https://www.gov.uk/government/news/home-secretary-backs-police-to-increase-stop-and-search" TargetMode="External"/><Relationship Id="rId59" Type="http://schemas.openxmlformats.org/officeDocument/2006/relationships/hyperlink" Target="https://www.policeconduct.gov.uk/sites/default/files/Documents/research-learning/IOPC_Taser_review_2021.pdf" TargetMode="External"/><Relationship Id="rId103" Type="http://schemas.openxmlformats.org/officeDocument/2006/relationships/hyperlink" Target="https://parentinfantfoundation.org.uk/wp-content/uploads/2021/01/210121-F1001D_Working_for_Babies_v1.2-FINAL-compressed_2.pdf" TargetMode="External"/><Relationship Id="rId124" Type="http://schemas.openxmlformats.org/officeDocument/2006/relationships/hyperlink" Target="https://www.welshwomensaid.org.uk/wp-content/uploads/2022/06/CYP-FOI-Report-ENG-WWA.pdf" TargetMode="External"/><Relationship Id="rId310" Type="http://schemas.openxmlformats.org/officeDocument/2006/relationships/hyperlink" Target="https://www.gov.uk/government/statistics/key-stage-4-performance-2019-revised" TargetMode="External"/><Relationship Id="rId492" Type="http://schemas.openxmlformats.org/officeDocument/2006/relationships/hyperlink" Target="https://www.gov.uk/government/publications/migration-and-economic-development-partnership-with-rwanda/migration-and-economic-development-partnership-with-rwanda-equality-impact-assessment-accessible" TargetMode="External"/><Relationship Id="rId527" Type="http://schemas.openxmlformats.org/officeDocument/2006/relationships/hyperlink" Target="https://www.gov.uk/government/publications/police-crime-sentencing-and-courts-bill-2021-overarching-documents/overarching-equality-statement-sentencing-release-probation-and-youth-justice-measures" TargetMode="External"/><Relationship Id="rId548" Type="http://schemas.openxmlformats.org/officeDocument/2006/relationships/hyperlink" Target="https://www.justiceinspectorates.gov.uk/hmiprisons/inspections/children-in-custody-2019-20/" TargetMode="External"/><Relationship Id="rId569" Type="http://schemas.openxmlformats.org/officeDocument/2006/relationships/hyperlink" Target="https://www.gov.uk/government/publications/piloting-devolving-decision-making-for-child-victims-of-modern-slavery/devolving-child-decision-making-pilot-programme-general-guidance-accessible-version" TargetMode="External"/><Relationship Id="rId70" Type="http://schemas.openxmlformats.org/officeDocument/2006/relationships/hyperlink" Target="https://gov.wales/reducing-restrictive-practices-framework-html" TargetMode="External"/><Relationship Id="rId91" Type="http://schemas.openxmlformats.org/officeDocument/2006/relationships/hyperlink" Target="https://www.equalityhumanrights.com/en/publication-download/restraint-schools-inquiry-using-meaningful-data-protect-childrens-rights" TargetMode="External"/><Relationship Id="rId145" Type="http://schemas.openxmlformats.org/officeDocument/2006/relationships/hyperlink" Target="https://questions-statements.parliament.uk/written-statements/detail/2022-11-29/hcws397" TargetMode="External"/><Relationship Id="rId166" Type="http://schemas.openxmlformats.org/officeDocument/2006/relationships/hyperlink" Target="https://gov.wales/sites/default/files/pdf-versions/2022/5/2/1653392517/violence-against-women-domestic-abuse-and-sexual-violence-strategy-2022-2026.pdf" TargetMode="External"/><Relationship Id="rId187" Type="http://schemas.openxmlformats.org/officeDocument/2006/relationships/hyperlink" Target="https://digital.nhs.uk/supplementary-information/2021/admissions-for-mental-health-and-self-harm-by-gender-and-age-2005-06-to-2019-20-and-2020-21-provisional" TargetMode="External"/><Relationship Id="rId331" Type="http://schemas.openxmlformats.org/officeDocument/2006/relationships/hyperlink" Target="https://www.childrenscommissioner.gov.uk/2020/08/18/children-without-internet-access-during-lockdown/" TargetMode="External"/><Relationship Id="rId352" Type="http://schemas.openxmlformats.org/officeDocument/2006/relationships/hyperlink" Target="https://explore-education-statistics.service.gov.uk/find-statistics/pupil-absence-in-schools-in-england-autumn-term" TargetMode="External"/><Relationship Id="rId373" Type="http://schemas.openxmlformats.org/officeDocument/2006/relationships/hyperlink" Target="https://explore-education-statistics.service.gov.uk/find-statistics/special-educational-needs-in-england" TargetMode="External"/><Relationship Id="rId394" Type="http://schemas.openxmlformats.org/officeDocument/2006/relationships/hyperlink" Target="https://equalityhumanrights.com/sites/default/files/consultation-response-send-review-22-july-2022.docx" TargetMode="External"/><Relationship Id="rId408" Type="http://schemas.openxmlformats.org/officeDocument/2006/relationships/hyperlink" Target="https://www.equalityhumanrights.com/en/publication-download/exploring-human-rights-education-great-britain" TargetMode="External"/><Relationship Id="rId429" Type="http://schemas.openxmlformats.org/officeDocument/2006/relationships/hyperlink" Target="https://www.gov.uk/government/publications/pupils-and-their-parents-or-carers-omnibus-wave-1-survey" TargetMode="External"/><Relationship Id="rId1" Type="http://schemas.openxmlformats.org/officeDocument/2006/relationships/hyperlink" Target="https://www.legislation.gov.uk/ukpga/2006/3/section/9" TargetMode="External"/><Relationship Id="rId212" Type="http://schemas.openxmlformats.org/officeDocument/2006/relationships/hyperlink" Target="https://www.local.gov.uk/about/news/surge-children-mental-health-problems-seen-councils-during-pandemic" TargetMode="External"/><Relationship Id="rId233" Type="http://schemas.openxmlformats.org/officeDocument/2006/relationships/hyperlink" Target="https://www.ons.gov.uk/peoplepopulationandcommunity/birthsdeathsandmarriages/deaths/bulletins/childhoodinfantandperinatalmortalityinenglandandwales/2020" TargetMode="External"/><Relationship Id="rId254" Type="http://schemas.openxmlformats.org/officeDocument/2006/relationships/hyperlink" Target="https://www.gov.uk/government/statistics/households-below-average-income-for-financial-years-ending-1995-to-2021" TargetMode="External"/><Relationship Id="rId440" Type="http://schemas.openxmlformats.org/officeDocument/2006/relationships/hyperlink" Target="https://www.estyn.gov.wales/system/files/2021-12/Experiences%20of%20peer-on-peer%20sexual%20harassment%20among%20secondary%20school%20pupils%20in%20Wales_0.pdf" TargetMode="External"/><Relationship Id="rId28" Type="http://schemas.openxmlformats.org/officeDocument/2006/relationships/hyperlink" Target="https://www.legislation.gov.uk/ukpga/2022/36/contents/enacted" TargetMode="External"/><Relationship Id="rId49" Type="http://schemas.openxmlformats.org/officeDocument/2006/relationships/hyperlink" Target="https://www.gov.uk/government/statistics/police-use-of-force-statistics-england-and-wales-april-2017-to-march-2018" TargetMode="External"/><Relationship Id="rId114" Type="http://schemas.openxmlformats.org/officeDocument/2006/relationships/hyperlink" Target="https://learning.nspcc.org.uk/media/2280/impact-of-coronavirus-pandemic-on-child-welfare-sexual-abuse.pdf" TargetMode="External"/><Relationship Id="rId275" Type="http://schemas.openxmlformats.org/officeDocument/2006/relationships/hyperlink" Target="https://www.gov.uk/government/publications/covid-19-free-school-meals-guidance/covid-19-free-school-meals-guidance-for-schools" TargetMode="External"/><Relationship Id="rId296" Type="http://schemas.openxmlformats.org/officeDocument/2006/relationships/hyperlink" Target="https://www.childrenssociety.org.uk/information/professionals/resources/lifeline-for-all" TargetMode="External"/><Relationship Id="rId300" Type="http://schemas.openxmlformats.org/officeDocument/2006/relationships/hyperlink" Target="https://publications.parliament.uk/pa/cm5802/cmselect/cmworpen/603/report.html" TargetMode="External"/><Relationship Id="rId461" Type="http://schemas.openxmlformats.org/officeDocument/2006/relationships/hyperlink" Target="https://www.unhcr.org/61e7f9b44" TargetMode="External"/><Relationship Id="rId482" Type="http://schemas.openxmlformats.org/officeDocument/2006/relationships/hyperlink" Target="https://www.gov.uk/government/statistical-data-sets/immigration-statistics-data-tables-year-ending-december-2021" TargetMode="External"/><Relationship Id="rId517" Type="http://schemas.openxmlformats.org/officeDocument/2006/relationships/hyperlink" Target="https://www.gov.uk/government/publications/tackling-racial-disparity-in-the-criminal-justice-system-2020" TargetMode="External"/><Relationship Id="rId538" Type="http://schemas.openxmlformats.org/officeDocument/2006/relationships/hyperlink" Target="https://www.gov.uk/government/publications/hm-chief-inspector-of-prisons-annual-report-2021-to-2022" TargetMode="External"/><Relationship Id="rId559" Type="http://schemas.openxmlformats.org/officeDocument/2006/relationships/hyperlink" Target="https://www.gov.uk/government/publications/hm-chief-inspector-of-prisons-annual-report-2019-to-2020" TargetMode="External"/><Relationship Id="rId60" Type="http://schemas.openxmlformats.org/officeDocument/2006/relationships/hyperlink" Target="http://docstore.ohchr.org/SelfServices/FilesHandler.ashx?enc=6QkG1d%2FPPRiCAqhKb7yhskHOj6VpDS%2F%2FJqg2Jxb9gncnUyUgbnuttBweOlylfyYPkBbwffitW2JurgBRuMMxZqnGgerUdpjxij3uZ0bjQBOLNTNvQ9fUIEOvA5LtW0GL" TargetMode="External"/><Relationship Id="rId81" Type="http://schemas.openxmlformats.org/officeDocument/2006/relationships/hyperlink" Target="https://www.ohchr.org/en/instruments-mechanisms/instruments/convention-rights-child" TargetMode="External"/><Relationship Id="rId135" Type="http://schemas.openxmlformats.org/officeDocument/2006/relationships/hyperlink" Target="https://www.gov.uk/government/publications/council-of-europe-convention-on-preventing-and-combating-violence-against-women-and-domestic-violence-ms-no32022" TargetMode="External"/><Relationship Id="rId156" Type="http://schemas.openxmlformats.org/officeDocument/2006/relationships/hyperlink" Target="https://www.legislation.gov.uk/anaw/2020/3/contents" TargetMode="External"/><Relationship Id="rId177" Type="http://schemas.openxmlformats.org/officeDocument/2006/relationships/hyperlink" Target="https://gov.wales/conversion-therapy-ban-moves-forward-wales" TargetMode="External"/><Relationship Id="rId198" Type="http://schemas.openxmlformats.org/officeDocument/2006/relationships/hyperlink" Target="https://hwb.gov.wales/curriculum-for-wales/health-and-well-being/" TargetMode="External"/><Relationship Id="rId321" Type="http://schemas.openxmlformats.org/officeDocument/2006/relationships/hyperlink" Target="https://www.lse.ac.uk/News/Latest-news-from-LSE/2021/g-July-21/Pupils-lost-a-third-of-learning-time-during-pandemic-year" TargetMode="External"/><Relationship Id="rId342" Type="http://schemas.openxmlformats.org/officeDocument/2006/relationships/hyperlink" Target="https://www.gypsy-traveller.org/wp-content/uploads/2020/07/Friends-Families-and-Travellers-submission-to-the-Joint-Committee-on-Human-Rights-COVID-21st-July-2020.pdf" TargetMode="External"/><Relationship Id="rId363" Type="http://schemas.openxmlformats.org/officeDocument/2006/relationships/hyperlink" Target="https://adcs.org.uk/assets/documentation/ADCS_EHE_Survey_2021_Report_FINAL.pdf" TargetMode="External"/><Relationship Id="rId384" Type="http://schemas.openxmlformats.org/officeDocument/2006/relationships/hyperlink" Target="https://www.nuffieldfoundation.org/news/the-level-of-support-offered-to-children-with-special-educational-needs-is-decided-by-a-postcode-lottery" TargetMode="External"/><Relationship Id="rId419" Type="http://schemas.openxmlformats.org/officeDocument/2006/relationships/hyperlink" Target="https://committees.parliament.uk/work/739/black-history-and-cultural-diversity-in-the-curriculum/publications/" TargetMode="External"/><Relationship Id="rId570" Type="http://schemas.openxmlformats.org/officeDocument/2006/relationships/hyperlink" Target="https://www.ecpat.org.uk/Handlers/Download.ashx?IDMF=23b51868-f257-49bc-b779-a5059bd65a04" TargetMode="External"/><Relationship Id="rId202" Type="http://schemas.openxmlformats.org/officeDocument/2006/relationships/hyperlink" Target="https://statswales.gov.wales/Catalogue/Health-and-Social-Care/Health-Finance/NHS-Programme-Budget/nhsexpenditure-by-budgetcategory-year" TargetMode="External"/><Relationship Id="rId223" Type="http://schemas.openxmlformats.org/officeDocument/2006/relationships/hyperlink" Target="https://gov.wales/pledge-support-youth-extra-ps94m-investment-children-and-young-people-mental-health-services" TargetMode="External"/><Relationship Id="rId244" Type="http://schemas.openxmlformats.org/officeDocument/2006/relationships/hyperlink" Target="https://committees.parliament.uk/writtenevidence/111498/html/" TargetMode="External"/><Relationship Id="rId430" Type="http://schemas.openxmlformats.org/officeDocument/2006/relationships/hyperlink" Target="https://anti-bullyingalliance.org.uk/sites/default/files/uploads/attachments/School%20Report%20and%20Findings%20for%20action%20against%20bullying%20of%20Gypsies%2C%20Roma%20and%20Travelling%20children%20in%20schools_V4.pdf" TargetMode="External"/><Relationship Id="rId18" Type="http://schemas.openxmlformats.org/officeDocument/2006/relationships/hyperlink" Target="https://committees.parliament.uk/publications/7440/documents/77798/default/" TargetMode="External"/><Relationship Id="rId39" Type="http://schemas.openxmlformats.org/officeDocument/2006/relationships/hyperlink" Target="https://www.gov.uk/government/publications/stop-and-search-section-60-relaxation-equality-impact-assessment/stop-and-search-section-60-relaxation-equality-impact-assessment-accessible" TargetMode="External"/><Relationship Id="rId265" Type="http://schemas.openxmlformats.org/officeDocument/2006/relationships/hyperlink" Target="https://cpag.org.uk/sites/default/files/files/policypost/CPAG-briefing-two-child-limit-2021.pdf" TargetMode="External"/><Relationship Id="rId286" Type="http://schemas.openxmlformats.org/officeDocument/2006/relationships/hyperlink" Target="https://www.bevanfoundation.org/resources/poverty-in-winter-2021/?utm_source=Bevan+Foundation+updates&amp;utm_campaign=41d95a16bc-EMAIL_CAMPAIGN_2018_04_08_COPY_01&amp;utm_medium=email&amp;utm_term=0_7143b213ff-41d95a16bc-491911322&amp;mc_cid=41d95a16bc&amp;mc_eid=7ad1df4d9e" TargetMode="External"/><Relationship Id="rId451" Type="http://schemas.openxmlformats.org/officeDocument/2006/relationships/hyperlink" Target="https://migrationnetwork.un.org/sites/default/files/docs/uk_submission_-_gcm_european_regional_review_.pdf" TargetMode="External"/><Relationship Id="rId472" Type="http://schemas.openxmlformats.org/officeDocument/2006/relationships/hyperlink" Target="https://www.supremecourt.uk/cases/uksc-2019-0147.html" TargetMode="External"/><Relationship Id="rId493" Type="http://schemas.openxmlformats.org/officeDocument/2006/relationships/hyperlink" Target="https://www.unhcr.org/uk/news/press/2022/4/62585e814/un-refugee-agency-opposes-uk-plan-export-asylum.html" TargetMode="External"/><Relationship Id="rId507" Type="http://schemas.openxmlformats.org/officeDocument/2006/relationships/hyperlink" Target="https://www.gov.uk/government/publications/review-of-custodial-remand-for-children" TargetMode="External"/><Relationship Id="rId528" Type="http://schemas.openxmlformats.org/officeDocument/2006/relationships/hyperlink" Target="https://committees.parliament.uk/publications/7421/documents/77687/default/" TargetMode="External"/><Relationship Id="rId549" Type="http://schemas.openxmlformats.org/officeDocument/2006/relationships/hyperlink" Target="https://www.iicsa.org.uk/reports-recommendations/publications/investigation/custodial" TargetMode="External"/><Relationship Id="rId50" Type="http://schemas.openxmlformats.org/officeDocument/2006/relationships/hyperlink" Target="https://www.gov.uk/government/statistics/police-use-of-force-statistics-england-and-wales-april-2020-to-march-2021" TargetMode="External"/><Relationship Id="rId104" Type="http://schemas.openxmlformats.org/officeDocument/2006/relationships/hyperlink" Target="https://explore-education-statistics.service.gov.uk/find-statistics/pupil-absence-in-schools-in-england-autumn-term" TargetMode="External"/><Relationship Id="rId125" Type="http://schemas.openxmlformats.org/officeDocument/2006/relationships/hyperlink" Target="https://www.welshwomensaid.org.uk/2021/10/a-strategy-for-sustainable-support-state-of-the-sector-2021-published/" TargetMode="External"/><Relationship Id="rId146" Type="http://schemas.openxmlformats.org/officeDocument/2006/relationships/hyperlink" Target="https://5rightsfoundation.com/in-action/5rights-responds-to-the-joint-committees-report-on-the-online-safety-bill.html" TargetMode="External"/><Relationship Id="rId167" Type="http://schemas.openxmlformats.org/officeDocument/2006/relationships/hyperlink" Target="https://www.equalityhumanrights.com/en/publication-download/children%E2%80%99s-rights-great-britain-submission-un" TargetMode="External"/><Relationship Id="rId188" Type="http://schemas.openxmlformats.org/officeDocument/2006/relationships/hyperlink" Target="https://www.bbc.co.uk/news/uk-55730999" TargetMode="External"/><Relationship Id="rId311" Type="http://schemas.openxmlformats.org/officeDocument/2006/relationships/hyperlink" Target="https://statswales.gov.wales/Catalogue/Education-and-Skills/Schools-and-Teachers/Examinations-and-Assessments/Key-Stage-4/interimexammeasuresforyear11pupils-by-fsmstatus" TargetMode="External"/><Relationship Id="rId332" Type="http://schemas.openxmlformats.org/officeDocument/2006/relationships/hyperlink" Target="https://www.childrenscommissioner.gov.uk/2020/08/18/children-without-internet-access-during-lockdown/" TargetMode="External"/><Relationship Id="rId353" Type="http://schemas.openxmlformats.org/officeDocument/2006/relationships/hyperlink" Target="https://explore-education-statistics.service.gov.uk/find-statistics/pupil-absence-in-schools-in-england" TargetMode="External"/><Relationship Id="rId374" Type="http://schemas.openxmlformats.org/officeDocument/2006/relationships/hyperlink" Target="https://statswales.gov.wales/Catalogue/Education-and-Skills/Schools-and-Teachers/Schools-Census/Pupil-Level-Annual-School-Census/Special-Educational-Needs/pupilssen-by-sector-year" TargetMode="External"/><Relationship Id="rId395" Type="http://schemas.openxmlformats.org/officeDocument/2006/relationships/hyperlink" Target="https://www.naht.org.uk/Portals/0/SEND%20docs/APPG%20for%20SEND%20Report%20Spring%202021.pdf?ver=2021-04-27-112014-380" TargetMode="External"/><Relationship Id="rId409" Type="http://schemas.openxmlformats.org/officeDocument/2006/relationships/hyperlink" Target="https://www.gov.uk/guidance/independent-human-rights-act-review" TargetMode="External"/><Relationship Id="rId560" Type="http://schemas.openxmlformats.org/officeDocument/2006/relationships/hyperlink" Target="https://www.gov.uk/government/statistics/modern-slavery-national-referral-mechanism-and-duty-to-notify-statistics-uk-end-of-year-summary-2021/modern-slavery-national-referral-mechanism-and-duty-to-notify-statistics-uk-end-of-year-summary-2021" TargetMode="External"/><Relationship Id="rId71" Type="http://schemas.openxmlformats.org/officeDocument/2006/relationships/hyperlink" Target="https://www.ons.gov.uk/methodology/methodologytopicsandstatisticalconcepts/guidetoexperimentalstatistics" TargetMode="External"/><Relationship Id="rId92" Type="http://schemas.openxmlformats.org/officeDocument/2006/relationships/hyperlink" Target="https://gov.wales/reducing-restrictive-practices-framework" TargetMode="External"/><Relationship Id="rId213" Type="http://schemas.openxmlformats.org/officeDocument/2006/relationships/hyperlink" Target="https://www.rcpsych.ac.uk/news-and-features/latest-news/detail/2021/09/23/record-number-of-children-and-young-people-referred-to-mental-health-services-as-pandemic-takes-its-toll" TargetMode="External"/><Relationship Id="rId234" Type="http://schemas.openxmlformats.org/officeDocument/2006/relationships/hyperlink" Target="https://phw.nhs.wales/publications/publications1/patterns-and-trends-of-child-deaths-in-wales-2011-2020/" TargetMode="External"/><Relationship Id="rId420" Type="http://schemas.openxmlformats.org/officeDocument/2006/relationships/hyperlink" Target="https://wp-main.travellermovement.org.uk/wp-content/uploads/2021/09/GRT-in-Secondary-Education-2021.pdf" TargetMode="External"/><Relationship Id="rId2" Type="http://schemas.openxmlformats.org/officeDocument/2006/relationships/hyperlink" Target="https://sustainabledevelopment.un.org/post2015/transformingourworld/publication" TargetMode="External"/><Relationship Id="rId29" Type="http://schemas.openxmlformats.org/officeDocument/2006/relationships/hyperlink" Target="https://www.legislation.gov.uk/ukpga/2022/36/contents/enacted" TargetMode="External"/><Relationship Id="rId255" Type="http://schemas.openxmlformats.org/officeDocument/2006/relationships/hyperlink" Target="https://www.gov.uk/government/statistics/households-below-average-income-for-financial-years-ending-1995-to-2021/technical-report-assessment-of-the-impact-of-covid-19-on-the-hbai-statistics-for-fye2021" TargetMode="External"/><Relationship Id="rId276" Type="http://schemas.openxmlformats.org/officeDocument/2006/relationships/hyperlink" Target="https://www.audit.wales/sites/default/files/2020-11/FSM-portrait-eng.pdf" TargetMode="External"/><Relationship Id="rId297" Type="http://schemas.openxmlformats.org/officeDocument/2006/relationships/hyperlink" Target="http://www.bailii.org/ew/cases/EWHC/Admin/2021/1085.html" TargetMode="External"/><Relationship Id="rId441" Type="http://schemas.openxmlformats.org/officeDocument/2006/relationships/hyperlink" Target="https://business.senedd.wales/mgIssueHistoryHome.aspx?IId=38554" TargetMode="External"/><Relationship Id="rId462" Type="http://schemas.openxmlformats.org/officeDocument/2006/relationships/hyperlink" Target="https://www.gov.uk/government/statistical-data-sets/asylum-and-resettlement-datasets" TargetMode="External"/><Relationship Id="rId483" Type="http://schemas.openxmlformats.org/officeDocument/2006/relationships/hyperlink" Target="https://www.refworld.org/docid/5a12942a2b.html" TargetMode="External"/><Relationship Id="rId518" Type="http://schemas.openxmlformats.org/officeDocument/2006/relationships/hyperlink" Target="https://assets.publishing.service.gov.uk/government/uploads/system/uploads/attachment_data/file/974507/20210331_-_CRED_Report_-_FINAL_-_Web_Accessible.pdf" TargetMode="External"/><Relationship Id="rId539" Type="http://schemas.openxmlformats.org/officeDocument/2006/relationships/hyperlink" Target="https://www.gov.uk/government/publications/independent-review-of-the-use-of-pain-inducing-techniques-in-the-youth-secure-estate" TargetMode="External"/><Relationship Id="rId40" Type="http://schemas.openxmlformats.org/officeDocument/2006/relationships/hyperlink" Target="https://www.gov.uk/government/publications/police-super-complaints-police-use-of-stop-and-search-powers" TargetMode="External"/><Relationship Id="rId115" Type="http://schemas.openxmlformats.org/officeDocument/2006/relationships/hyperlink" Target="https://www.iicsa.org.uk/publications/inquiry/interim" TargetMode="External"/><Relationship Id="rId136" Type="http://schemas.openxmlformats.org/officeDocument/2006/relationships/hyperlink" Target="https://www.nspcc.org.uk/about-us/news-opinion/2022/online-grooming-crimes-rise/" TargetMode="External"/><Relationship Id="rId157" Type="http://schemas.openxmlformats.org/officeDocument/2006/relationships/hyperlink" Target="https://endcorporalpunishment.org/countdown/" TargetMode="External"/><Relationship Id="rId178" Type="http://schemas.openxmlformats.org/officeDocument/2006/relationships/hyperlink" Target="https://www.equalityhumanrights.com/en/publication-download/children%E2%80%99s-rights-great-britain-submission-un" TargetMode="External"/><Relationship Id="rId301" Type="http://schemas.openxmlformats.org/officeDocument/2006/relationships/hyperlink" Target="https://committees.parliament.uk/publications/8046/documents/82850/default/" TargetMode="External"/><Relationship Id="rId322" Type="http://schemas.openxmlformats.org/officeDocument/2006/relationships/hyperlink" Target="https://www.lse.ac.uk/News/Latest-news-from-LSE/2021/g-July-21/Pupils-lost-a-third-of-learning-time-during-pandemic-year" TargetMode="External"/><Relationship Id="rId343" Type="http://schemas.openxmlformats.org/officeDocument/2006/relationships/hyperlink" Target="https://www.gov.uk/government/news/children-and-young-people-with-send-disproportionately-affected-by-pandemic" TargetMode="External"/><Relationship Id="rId364" Type="http://schemas.openxmlformats.org/officeDocument/2006/relationships/hyperlink" Target="https://committees.parliament.uk/publications/6974/documents/72808/default/" TargetMode="External"/><Relationship Id="rId550" Type="http://schemas.openxmlformats.org/officeDocument/2006/relationships/hyperlink" Target="https://www.unodc.org/documents/justice-and-prison-reform/Nelson_Mandela_Rules-E-ebook.pdf" TargetMode="External"/><Relationship Id="rId61" Type="http://schemas.openxmlformats.org/officeDocument/2006/relationships/hyperlink" Target="https://crae.org.uk/sites/default/files/uploads/CRAE_POLICING-SPITHOODS_PRINT.pdf" TargetMode="External"/><Relationship Id="rId82" Type="http://schemas.openxmlformats.org/officeDocument/2006/relationships/hyperlink" Target="https://www.equalityhumanrights.com/en/publication-download/restraint-schools-inquiry-using-meaningful-data-protect-childrens-rights" TargetMode="External"/><Relationship Id="rId199" Type="http://schemas.openxmlformats.org/officeDocument/2006/relationships/hyperlink" Target="https://www.gov.uk/government/publications/relationships-education-relationships-and-sex-education-rse-and-health-education" TargetMode="External"/><Relationship Id="rId203" Type="http://schemas.openxmlformats.org/officeDocument/2006/relationships/hyperlink" Target="https://senedd.wales/laid%20documents/cr-ld13568/cr-ld13568-e.pdf" TargetMode="External"/><Relationship Id="rId385" Type="http://schemas.openxmlformats.org/officeDocument/2006/relationships/hyperlink" Target="https://epi.org.uk/publications-and-research/identifying-send/" TargetMode="External"/><Relationship Id="rId571" Type="http://schemas.openxmlformats.org/officeDocument/2006/relationships/hyperlink" Target="https://www.gov.uk/government/publications/child-trafficking-advocates-early-adopter-sites" TargetMode="External"/><Relationship Id="rId19" Type="http://schemas.openxmlformats.org/officeDocument/2006/relationships/hyperlink" Target="https://committees.parliament.uk/publications/8046/documents/82850/default/" TargetMode="External"/><Relationship Id="rId224" Type="http://schemas.openxmlformats.org/officeDocument/2006/relationships/hyperlink" Target="https://post.parliament.uk/research-briefings/post-pn-0653/" TargetMode="External"/><Relationship Id="rId245" Type="http://schemas.openxmlformats.org/officeDocument/2006/relationships/hyperlink" Target="https://www.acamh.org/policy-reviews/mental-health-white-paper/" TargetMode="External"/><Relationship Id="rId266" Type="http://schemas.openxmlformats.org/officeDocument/2006/relationships/hyperlink" Target="https://www.jrf.org.uk/report/uk-poverty-2022" TargetMode="External"/><Relationship Id="rId287" Type="http://schemas.openxmlformats.org/officeDocument/2006/relationships/hyperlink" Target="https://www.bevanfoundation.org/resources/a-snapshot-of-poverty-in-summer-2022/" TargetMode="External"/><Relationship Id="rId410" Type="http://schemas.openxmlformats.org/officeDocument/2006/relationships/hyperlink" Target="https://www.legislation.gov.uk/asc/2021/4/contents/enacted" TargetMode="External"/><Relationship Id="rId431" Type="http://schemas.openxmlformats.org/officeDocument/2006/relationships/hyperlink" Target="https://www.stonewall.org.uk/system/files/the_school_report_2017.pdf" TargetMode="External"/><Relationship Id="rId452" Type="http://schemas.openxmlformats.org/officeDocument/2006/relationships/hyperlink" Target="https://www.un.org/en/development/desa/population/migration/generalassembly/docs/globalcompact/A_RES_73_195.pdf" TargetMode="External"/><Relationship Id="rId473" Type="http://schemas.openxmlformats.org/officeDocument/2006/relationships/hyperlink" Target="https://assets.publishing.service.gov.uk/government/uploads/system/uploads/attachment_data/file/1045849/Assessing_age.pdf" TargetMode="External"/><Relationship Id="rId494" Type="http://schemas.openxmlformats.org/officeDocument/2006/relationships/hyperlink" Target="https://www.unhcr.org/publications/legal/62a317d34/unhcr-analysis-of-the-legality-and-appropriateness-of-the-transfer-of-asylum.html" TargetMode="External"/><Relationship Id="rId508" Type="http://schemas.openxmlformats.org/officeDocument/2006/relationships/hyperlink" Target="https://gov.wales/commission-justice-wales-report" TargetMode="External"/><Relationship Id="rId529" Type="http://schemas.openxmlformats.org/officeDocument/2006/relationships/hyperlink" Target="https://www.cps.gov.uk/legal-guidance/youth-offenders" TargetMode="External"/><Relationship Id="rId30" Type="http://schemas.openxmlformats.org/officeDocument/2006/relationships/hyperlink" Target="https://ilpa.org.uk/wp-content/uploads/2021/07/ILPA-Briefing-Nationality-and-Borders-Bill-Second-Reading.pdf" TargetMode="External"/><Relationship Id="rId105" Type="http://schemas.openxmlformats.org/officeDocument/2006/relationships/hyperlink" Target="https://www.centreforsocialjustice.org.uk/library/lost-but-not-forgotten" TargetMode="External"/><Relationship Id="rId126" Type="http://schemas.openxmlformats.org/officeDocument/2006/relationships/hyperlink" Target="https://domesticabusecommissioner.uk/domestic-abuse-commissioner-welcomes-government-commitment-to-migrant-survivors-but-calls-for-funding/" TargetMode="External"/><Relationship Id="rId147" Type="http://schemas.openxmlformats.org/officeDocument/2006/relationships/hyperlink" Target="https://5rightsfoundation.com/in-action/ambitions-for-the-online-safety-bill.html" TargetMode="External"/><Relationship Id="rId168" Type="http://schemas.openxmlformats.org/officeDocument/2006/relationships/hyperlink" Target="https://www.reuters.com/article/us-germany-lgbt-health-idUSKBN2BI2MC" TargetMode="External"/><Relationship Id="rId312" Type="http://schemas.openxmlformats.org/officeDocument/2006/relationships/hyperlink" Target="https://assets.publishing.service.gov.uk/government/uploads/system/uploads/attachment_data/file/863815/2019_KS4_revised_text.pdf" TargetMode="External"/><Relationship Id="rId333" Type="http://schemas.openxmlformats.org/officeDocument/2006/relationships/hyperlink" Target="https://www.suttontrust.com/our-research/covid-19-and-social-mobility-impact-brief/" TargetMode="External"/><Relationship Id="rId354" Type="http://schemas.openxmlformats.org/officeDocument/2006/relationships/hyperlink" Target="https://explore-education-statistics.service.gov.uk/find-statistics/pupil-absence-in-schools-in-england-autumn-term" TargetMode="External"/><Relationship Id="rId540" Type="http://schemas.openxmlformats.org/officeDocument/2006/relationships/hyperlink" Target="http://docstore.ohchr.org/SelfServices/FilesHandler.ashx?enc=6QkG1d%2FPPRiCAqhKb7yhskHOj6VpDS%2F%2FJqg2Jxb9gncnUyUgbnuttBweOlylfyYPkBbwffitW2JurgBRuMMxZqnGgerUdpjxij3uZ0bjQBOLNTNvQ9fUIEOvA5LtW0GL" TargetMode="External"/><Relationship Id="rId51" Type="http://schemas.openxmlformats.org/officeDocument/2006/relationships/hyperlink" Target="https://www.policeconduct.gov.uk/sites/default/files/Documents/research-learning/IOPC_Taser_review_2021.pdf" TargetMode="External"/><Relationship Id="rId72" Type="http://schemas.openxmlformats.org/officeDocument/2006/relationships/hyperlink" Target="https://digital.nhs.uk/data-and-information/publications/statistical/learning-disability-services-statistics/may-2021-mhsds-march-2021-final/datasets---mhsds" TargetMode="External"/><Relationship Id="rId93" Type="http://schemas.openxmlformats.org/officeDocument/2006/relationships/hyperlink" Target="https://www.equalityhumanrights.com/en/publication-download/children%E2%80%99s-rights-great-britain-submission-un" TargetMode="External"/><Relationship Id="rId189" Type="http://schemas.openxmlformats.org/officeDocument/2006/relationships/hyperlink" Target="https://www.childrenssociety.org.uk/information/professionals/resources/good-childhood-report-2021" TargetMode="External"/><Relationship Id="rId375" Type="http://schemas.openxmlformats.org/officeDocument/2006/relationships/hyperlink" Target="https://research.senedd.wales/research-articles/identifying-additional-learning-needs-has-the-bar-been-raised-or-was-it-previously-too-low/" TargetMode="External"/><Relationship Id="rId396" Type="http://schemas.openxmlformats.org/officeDocument/2006/relationships/hyperlink" Target="https://www.equalityhumanrights.com/sites/default/files/equality_and_human_rights_commission_how_coronavirus_has_affected_equality_and_human_rights_2020.pdf" TargetMode="External"/><Relationship Id="rId561" Type="http://schemas.openxmlformats.org/officeDocument/2006/relationships/hyperlink" Target="https://www.gov.uk/government/publications/2021-uk-annual-report-on-modern-slavery/2021-uk-annual-report-on-modern-slavery-accessible-version" TargetMode="External"/><Relationship Id="rId3" Type="http://schemas.openxmlformats.org/officeDocument/2006/relationships/hyperlink" Target="https://www.gov.uk/government/publications/state-of-the-nation-2021-social-mobility-and-the-pandemic" TargetMode="External"/><Relationship Id="rId214" Type="http://schemas.openxmlformats.org/officeDocument/2006/relationships/hyperlink" Target="https://www.bmj.com/content/376/bmj.o335" TargetMode="External"/><Relationship Id="rId235" Type="http://schemas.openxmlformats.org/officeDocument/2006/relationships/hyperlink" Target="https://www.ons.gov.uk/peoplepopulationandcommunity/birthsdeathsandmarriages/deaths/datasets/childmortalitystatisticschildhoodinfantandperinatalchildhoodinfantandperinatalmortalityinenglandandwales" TargetMode="External"/><Relationship Id="rId256" Type="http://schemas.openxmlformats.org/officeDocument/2006/relationships/hyperlink" Target="https://www.resolutionfoundation.org/publications/the-living-standards-outlook-2022/" TargetMode="External"/><Relationship Id="rId277" Type="http://schemas.openxmlformats.org/officeDocument/2006/relationships/hyperlink" Target="https://www.gov.uk/government/speeches/the-chancellor-rishi-sunak-provides-an-updated-statement-on-coronavirus" TargetMode="External"/><Relationship Id="rId298" Type="http://schemas.openxmlformats.org/officeDocument/2006/relationships/hyperlink" Target="https://www.landmarkchambers.co.uk/wp-content/uploads/2022/06/AG-AB-v-SSHD-JUDGMENT.pdf" TargetMode="External"/><Relationship Id="rId400" Type="http://schemas.openxmlformats.org/officeDocument/2006/relationships/hyperlink" Target="https://www.gov.uk/government/publications/recovery-premium-funding/recovery-premium-funding" TargetMode="External"/><Relationship Id="rId421" Type="http://schemas.openxmlformats.org/officeDocument/2006/relationships/hyperlink" Target="https://www.gov.uk/government/publications/national-curriculum-in-england-citizenship-programmes-of-study/national-curriculum-in-england-citizenship-programmes-of-study-for-key-stages-3-and-4" TargetMode="External"/><Relationship Id="rId442" Type="http://schemas.openxmlformats.org/officeDocument/2006/relationships/hyperlink" Target="https://www.equalityhumanrights.com/en/publication-download/exploring-human-rights-education-great-britain" TargetMode="External"/><Relationship Id="rId463" Type="http://schemas.openxmlformats.org/officeDocument/2006/relationships/hyperlink" Target="https://www.equalityhumanrights.com/en/publication-download/children%E2%80%99s-rights-great-britain-submission-un" TargetMode="External"/><Relationship Id="rId484" Type="http://schemas.openxmlformats.org/officeDocument/2006/relationships/hyperlink" Target="https://www.justiceinspectorates.gov.uk/hmiprisons/inspections/detention-of-migrants-at-dover-and-folkestone/" TargetMode="External"/><Relationship Id="rId519" Type="http://schemas.openxmlformats.org/officeDocument/2006/relationships/hyperlink" Target="https://www.gov.uk/government/statistics/youth-justice-statistics-2020-to-2021" TargetMode="External"/><Relationship Id="rId116" Type="http://schemas.openxmlformats.org/officeDocument/2006/relationships/hyperlink" Target="https://www.iicsa.org.uk/key-documents/25151/view/victims-survivors-forum-consultation-protected-characteristics%3A-summary-report-february-2021.pdf" TargetMode="External"/><Relationship Id="rId137" Type="http://schemas.openxmlformats.org/officeDocument/2006/relationships/hyperlink" Target="https://www.ditchthelabel.org/research-papers/the-wireless-report-2021/" TargetMode="External"/><Relationship Id="rId158" Type="http://schemas.openxmlformats.org/officeDocument/2006/relationships/hyperlink" Target="https://www.gov.uk/government/publications/tackling-violence-against-women-and-girls-strategy" TargetMode="External"/><Relationship Id="rId302" Type="http://schemas.openxmlformats.org/officeDocument/2006/relationships/hyperlink" Target="https://www.gov.scot/publications/fairer-scotland-duty-guidance-public-bodies/" TargetMode="External"/><Relationship Id="rId323" Type="http://schemas.openxmlformats.org/officeDocument/2006/relationships/hyperlink" Target="https://assets.publishing.service.gov.uk/government/uploads/system/uploads/attachment_data/file/1063488/Understanding_Progress_in_the_2020_to_2021_Academic_Year_Extension_report_covering_the_first_half_of_the_autumn_term_2021.pdf" TargetMode="External"/><Relationship Id="rId344" Type="http://schemas.openxmlformats.org/officeDocument/2006/relationships/hyperlink" Target="https://disabledchildrenspartnership.org.uk/wp-content/uploads/2021/10/Then-There-Was-Silence-Full-Policy-Report-10-September-2021.pdf" TargetMode="External"/><Relationship Id="rId530" Type="http://schemas.openxmlformats.org/officeDocument/2006/relationships/hyperlink" Target="https://www.gov.uk/government/statistics/youth-justice-statistics-2020-to-2021" TargetMode="External"/><Relationship Id="rId20" Type="http://schemas.openxmlformats.org/officeDocument/2006/relationships/hyperlink" Target="https://gov.wales/strengthening-and-advancing-equality-and-human-rights-wales" TargetMode="External"/><Relationship Id="rId41" Type="http://schemas.openxmlformats.org/officeDocument/2006/relationships/hyperlink" Target="https://www.childrenscommissioner.gov.uk/report/strip-search-of-children-by-the-metropolitan-police-service-new-analysis-by-the-childrens-commissioner-for-england/" TargetMode="External"/><Relationship Id="rId62" Type="http://schemas.openxmlformats.org/officeDocument/2006/relationships/hyperlink" Target="https://www.gov.uk/government/statistics/police-use-of-force-statistics-england-and-wales-april-2017-to-march-2018" TargetMode="External"/><Relationship Id="rId83" Type="http://schemas.openxmlformats.org/officeDocument/2006/relationships/hyperlink" Target="https://www.irwinmitchell.com/news-and-insights/newsandmedia/2021/june/children-and-their-families-call-for-an-end-to-restraints-in-schools" TargetMode="External"/><Relationship Id="rId179" Type="http://schemas.openxmlformats.org/officeDocument/2006/relationships/hyperlink" Target="https://digital.nhs.uk/data-and-information/publications/statistical/mental-health-of-children-and-young-people-in-england/2021-follow-up-to-the-2017-survey" TargetMode="External"/><Relationship Id="rId365" Type="http://schemas.openxmlformats.org/officeDocument/2006/relationships/hyperlink" Target="https://publications.parliament.uk/pa/cm201719/cmselect/cmwomeq/360/360.pdf" TargetMode="External"/><Relationship Id="rId386" Type="http://schemas.openxmlformats.org/officeDocument/2006/relationships/hyperlink" Target="https://www.gov.uk/government/publications/send-old-issues-new-issues-next-steps/send-old-issues-new-issues-next-steps" TargetMode="External"/><Relationship Id="rId551" Type="http://schemas.openxmlformats.org/officeDocument/2006/relationships/hyperlink" Target="https://www.childrenscommissioner.gov.uk/wp-content/uploads/2020/05/cco-children-in-custody.pdf" TargetMode="External"/><Relationship Id="rId572" Type="http://schemas.openxmlformats.org/officeDocument/2006/relationships/hyperlink" Target="https://www.nottingham.ac.uk/research/beacons-of-excellence/rights-lab/resources/reports-and-briefings/2021/nationality-and-borders-bill.pdf" TargetMode="External"/><Relationship Id="rId190" Type="http://schemas.openxmlformats.org/officeDocument/2006/relationships/hyperlink" Target="https://www.ons.gov.uk/peoplepopulationandcommunity/birthsdeathsandmarriages/deaths/datasets/suicidesintheunitedkingdomreferencetables" TargetMode="External"/><Relationship Id="rId204" Type="http://schemas.openxmlformats.org/officeDocument/2006/relationships/hyperlink" Target="https://www.childrenscommissioner.gov.uk/report/briefing-on-childrens-mental-health-services-2020-2021/" TargetMode="External"/><Relationship Id="rId225" Type="http://schemas.openxmlformats.org/officeDocument/2006/relationships/hyperlink" Target="https://www.local.gov.uk/about/news/surge-children-mental-health-problems-seen-councils-during-pandemic" TargetMode="External"/><Relationship Id="rId246" Type="http://schemas.openxmlformats.org/officeDocument/2006/relationships/hyperlink" Target="https://www.childrenssociety.org.uk/what-we-do/our-work/ending-child-poverty/effects-of-living-in-poverty" TargetMode="External"/><Relationship Id="rId267" Type="http://schemas.openxmlformats.org/officeDocument/2006/relationships/hyperlink" Target="https://cpag.org.uk/policy-and-campaigns/report/all-kids-count-impact-two-child-limit-after-two-years" TargetMode="External"/><Relationship Id="rId288" Type="http://schemas.openxmlformats.org/officeDocument/2006/relationships/hyperlink" Target="https://explore-education-statistics.service.gov.uk/find-statistics/school-pupils-and-their-characteristics" TargetMode="External"/><Relationship Id="rId411" Type="http://schemas.openxmlformats.org/officeDocument/2006/relationships/hyperlink" Target="https://business.senedd.wales/documents/s128174/IER%202%20Childrens%20Commissioner%20for%20Wales.pdf" TargetMode="External"/><Relationship Id="rId432" Type="http://schemas.openxmlformats.org/officeDocument/2006/relationships/hyperlink" Target="https://anti-bullyingalliance.org.uk/sites/default/files/uploads/attachments/Racist%20and%20Faith%20Targeted%20Bullying%20a%20review%20of%20the%20current%20literature%20-%202020%20FINAL%20REBRAND_0.pdf" TargetMode="External"/><Relationship Id="rId453" Type="http://schemas.openxmlformats.org/officeDocument/2006/relationships/hyperlink" Target="https://www.gov.uk/government/statistical-data-sets/immigration-statistics-data-tables-year-ending-december-2021" TargetMode="External"/><Relationship Id="rId474" Type="http://schemas.openxmlformats.org/officeDocument/2006/relationships/hyperlink" Target="https://www.theguardian.com/uk-news/2021/jan/25/teenage-asylum-seeker-in-uk-wins-legal-battle-over-unlawful-age-assessment" TargetMode="External"/><Relationship Id="rId509" Type="http://schemas.openxmlformats.org/officeDocument/2006/relationships/hyperlink" Target="https://gov.wales/delivering-justice-for-wales" TargetMode="External"/><Relationship Id="rId106" Type="http://schemas.openxmlformats.org/officeDocument/2006/relationships/hyperlink" Target="https://gov.wales/sites/default/files/publications/2022-04/attendance-review-implications-of-the-covid-19-pandemic-for-school-attendance.pdf" TargetMode="External"/><Relationship Id="rId127" Type="http://schemas.openxmlformats.org/officeDocument/2006/relationships/hyperlink" Target="https://committees.parliament.uk/publications/9616/documents/162588/default/" TargetMode="External"/><Relationship Id="rId313" Type="http://schemas.openxmlformats.org/officeDocument/2006/relationships/hyperlink" Target="https://statswales.gov.wales/Catalogue/Education-and-Skills/Schools-and-Teachers/Examinations-and-Assessments/Key-Stage-4/ks4indicators-by-year-ethnicity" TargetMode="External"/><Relationship Id="rId495" Type="http://schemas.openxmlformats.org/officeDocument/2006/relationships/hyperlink" Target="https://www.legislation.gov.uk/ukpga/Geo5/23-24/12" TargetMode="External"/><Relationship Id="rId10" Type="http://schemas.openxmlformats.org/officeDocument/2006/relationships/hyperlink" Target="https://tbinternet.ohchr.org/_layouts/15/treatybodyexternal/Download.aspx?symbolno=CEDAW%2FC%2FGBR%2FFCO%2F8&amp;Lang=en" TargetMode="External"/><Relationship Id="rId31" Type="http://schemas.openxmlformats.org/officeDocument/2006/relationships/hyperlink" Target="https://publications.parliament.uk/pa/jt5802/jtselect/jtrights/764/76408.htm" TargetMode="External"/><Relationship Id="rId52" Type="http://schemas.openxmlformats.org/officeDocument/2006/relationships/hyperlink" Target="https://www.gov.uk/government/statistics/police-use-of-force-statistics-england-and-wales-april-2020-to-march-2021/police-use-of-force-statistics-england-and-wales-april-2020-to-march-2021" TargetMode="External"/><Relationship Id="rId73" Type="http://schemas.openxmlformats.org/officeDocument/2006/relationships/hyperlink" Target="https://www.equalityhumanrights.com/en/publication-download/children%E2%80%99s-rights-great-britain-submission-un" TargetMode="External"/><Relationship Id="rId94" Type="http://schemas.openxmlformats.org/officeDocument/2006/relationships/hyperlink" Target="https://www.ons.gov.uk/peoplepopulationandcommunity/crimeandjustice/bulletins/childabuseinenglandandwales/march2020" TargetMode="External"/><Relationship Id="rId148" Type="http://schemas.openxmlformats.org/officeDocument/2006/relationships/hyperlink" Target="https://www.ucl.ac.uk/news/2021/jun/physically-punishing-children-not-effective-and-increases-behavioural-problems" TargetMode="External"/><Relationship Id="rId169" Type="http://schemas.openxmlformats.org/officeDocument/2006/relationships/hyperlink" Target="https://www.ohchr.org/Documents/HRBodies/HRCouncil/RegularSession/Session22/A.HRC.22.53_English.pdf" TargetMode="External"/><Relationship Id="rId334" Type="http://schemas.openxmlformats.org/officeDocument/2006/relationships/hyperlink" Target="https://www.llakes.ac.uk/wp-content/uploads/2021/01/67-Francis-Green-Research-Paper-combined-file.pdf" TargetMode="External"/><Relationship Id="rId355" Type="http://schemas.openxmlformats.org/officeDocument/2006/relationships/hyperlink" Target="https://explore-education-statistics.service.gov.uk/find-statistics/pupil-absence-in-schools-in-england" TargetMode="External"/><Relationship Id="rId376" Type="http://schemas.openxmlformats.org/officeDocument/2006/relationships/hyperlink" Target="https://www.right-to-education.org/sites/right-to-education.org/files/resource-attachments/CRPD_General_Comment_4_Inclusive_Education_2016_En.pdf" TargetMode="External"/><Relationship Id="rId397" Type="http://schemas.openxmlformats.org/officeDocument/2006/relationships/hyperlink" Target="https://www.gov.uk/government/news/children-and-young-people-with-send-disproportionately-affected-by-pandemic" TargetMode="External"/><Relationship Id="rId520" Type="http://schemas.openxmlformats.org/officeDocument/2006/relationships/hyperlink" Target="https://www.gov.uk/government/publications/lammy-review-final-report" TargetMode="External"/><Relationship Id="rId541" Type="http://schemas.openxmlformats.org/officeDocument/2006/relationships/hyperlink" Target="https://publications.parliament.uk/pa/jt201719/jtselect/jtrights/994/994.pdf" TargetMode="External"/><Relationship Id="rId562" Type="http://schemas.openxmlformats.org/officeDocument/2006/relationships/hyperlink" Target="https://www.ons.gov.uk/peoplepopulationandcommunity/crimeandjustice/articles/modernslaveryintheuk/march2020" TargetMode="External"/><Relationship Id="rId4" Type="http://schemas.openxmlformats.org/officeDocument/2006/relationships/hyperlink" Target="https://ifs.org.uk/articles/crisis-lost-learning-calls-massive-national-policy-response" TargetMode="External"/><Relationship Id="rId180" Type="http://schemas.openxmlformats.org/officeDocument/2006/relationships/hyperlink" Target="https://www.shrn.org.uk/wp-content/uploads/2021/08/SHRN-NR-FINAL-23_03_21-en-AMENDED06.08.21.pdf" TargetMode="External"/><Relationship Id="rId215" Type="http://schemas.openxmlformats.org/officeDocument/2006/relationships/hyperlink" Target="https://www.bmj.com/content/376/bmj.o430" TargetMode="External"/><Relationship Id="rId236" Type="http://schemas.openxmlformats.org/officeDocument/2006/relationships/hyperlink" Target="https://parentinfantfoundation.org.uk/wp-content/uploads/2021/11/211108-FINAL-No-one-wants-to-see-my-baby.pdf" TargetMode="External"/><Relationship Id="rId257" Type="http://schemas.openxmlformats.org/officeDocument/2006/relationships/hyperlink" Target="https://www.gov.uk/government/statistics/households-below-average-income-for-financial-years-ending-1995-to-2020" TargetMode="External"/><Relationship Id="rId278" Type="http://schemas.openxmlformats.org/officeDocument/2006/relationships/hyperlink" Target="https://cpag.org.uk/news-blogs/news-listings/official-poverty-statistics-government-pulled-children-out-poverty" TargetMode="External"/><Relationship Id="rId401" Type="http://schemas.openxmlformats.org/officeDocument/2006/relationships/hyperlink" Target="https://www.gov.uk/government/publications/parent-pupil-and-learner-panel-omnibus-surveys-for-2021-to-2022" TargetMode="External"/><Relationship Id="rId422" Type="http://schemas.openxmlformats.org/officeDocument/2006/relationships/hyperlink" Target="https://committees.parliament.uk/oralevidence/3441/pdf/" TargetMode="External"/><Relationship Id="rId443" Type="http://schemas.openxmlformats.org/officeDocument/2006/relationships/hyperlink" Target="https://business.senedd.wales/documents/s129267/Welsh%20Government%20response%20-%208%20September%202022.pdf" TargetMode="External"/><Relationship Id="rId464" Type="http://schemas.openxmlformats.org/officeDocument/2006/relationships/hyperlink" Target="https://publications.parliament.uk/pa/bills/lbill/58-01/016/5801016-R-II.pdf" TargetMode="External"/><Relationship Id="rId303" Type="http://schemas.openxmlformats.org/officeDocument/2006/relationships/hyperlink" Target="https://gov.wales/socio-economic-duty-overview" TargetMode="External"/><Relationship Id="rId485" Type="http://schemas.openxmlformats.org/officeDocument/2006/relationships/hyperlink" Target="https://www.justiceinspectorates.gov.uk/hmiprisons/wp-content/uploads/sites/4/2020/10/Dover-detention-facilities-web-2020.pdf" TargetMode="External"/><Relationship Id="rId42" Type="http://schemas.openxmlformats.org/officeDocument/2006/relationships/hyperlink" Target="https://www.ohchr.org/en/stories/2021/07/childrens-right-privacy-digital-age-must-be-improved" TargetMode="External"/><Relationship Id="rId84" Type="http://schemas.openxmlformats.org/officeDocument/2006/relationships/hyperlink" Target="https://www.challengingbehaviour.org.uk/wp-content/uploads/2019/01/rireportfinal.pdf" TargetMode="External"/><Relationship Id="rId138" Type="http://schemas.openxmlformats.org/officeDocument/2006/relationships/hyperlink" Target="https://www.internetmatters.org/wp-content/uploads/2020/10/Internet-Matters-CyberSurvey19-Digital-Life-Web.pdf" TargetMode="External"/><Relationship Id="rId345" Type="http://schemas.openxmlformats.org/officeDocument/2006/relationships/hyperlink" Target="https://senedd.wales/laid%20documents/cr-ld13403/cr-ld13403-e.pdf" TargetMode="External"/><Relationship Id="rId387" Type="http://schemas.openxmlformats.org/officeDocument/2006/relationships/hyperlink" Target="https://www.legislation.gov.uk/anaw/2018/2/contents/enacted" TargetMode="External"/><Relationship Id="rId510" Type="http://schemas.openxmlformats.org/officeDocument/2006/relationships/hyperlink" Target="http://etheses.lse.ac.uk/3951/1/Bevan__Children-young-people-in-police-custody.pdf" TargetMode="External"/><Relationship Id="rId552" Type="http://schemas.openxmlformats.org/officeDocument/2006/relationships/hyperlink" Target="https://howardleague.org/wp-content/uploads/2020/11/Children-in-prison-during-covid-19.pdf" TargetMode="External"/><Relationship Id="rId191" Type="http://schemas.openxmlformats.org/officeDocument/2006/relationships/hyperlink" Target="https://www.cambridge.org/core/journals/the-british-journal-of-psychiatry/article/abs/psychological-distress-selfharm-and-attempted-suicide-in-uk-17year-olds-prevalence-and-sociodemographic-inequalities/01B1D33B67CD8D00A81EA4C0E6CD1BE8" TargetMode="External"/><Relationship Id="rId205" Type="http://schemas.openxmlformats.org/officeDocument/2006/relationships/hyperlink" Target="https://www.rcpsych.ac.uk/news-and-features/latest-news/detail/2021/08/18/record-number-of-children-and-young-people-waiting-for-eating-disorder-treatment-as-soaring-demand-overwhelms-services" TargetMode="External"/><Relationship Id="rId247" Type="http://schemas.openxmlformats.org/officeDocument/2006/relationships/hyperlink" Target="https://assets.publishing.service.gov.uk/government/uploads/system/uploads/attachment_data/file/1003977/State_of_the_nation_2021_-_Social_mobility_and_the_pandemic.pdf" TargetMode="External"/><Relationship Id="rId412" Type="http://schemas.openxmlformats.org/officeDocument/2006/relationships/hyperlink" Target="https://hwb.gov.wales/curriculum-for-wales/designing-your-curriculum/cross-cutting-themes-for-designing-your-curriculum/" TargetMode="External"/><Relationship Id="rId107" Type="http://schemas.openxmlformats.org/officeDocument/2006/relationships/hyperlink" Target="https://www.independent.co.uk/news/uk/home-news/ofsted-children-missing-pandemic-lockdown-schools-uk-b1971259.html" TargetMode="External"/><Relationship Id="rId289" Type="http://schemas.openxmlformats.org/officeDocument/2006/relationships/hyperlink" Target="https://gov.wales/schools-census-results-february-2022-html" TargetMode="External"/><Relationship Id="rId454" Type="http://schemas.openxmlformats.org/officeDocument/2006/relationships/hyperlink" Target="https://www.gov.uk/government/statistical-data-sets/immigration-statistics-data-tables-year-ending-december-2021" TargetMode="External"/><Relationship Id="rId496" Type="http://schemas.openxmlformats.org/officeDocument/2006/relationships/hyperlink" Target="https://tbinternet.ohchr.org/_layouts/15/treatybodyexternal/Download.aspx?symbolno=CRC%2fC%2fGC%2f10&amp;Lang=en" TargetMode="External"/><Relationship Id="rId11" Type="http://schemas.openxmlformats.org/officeDocument/2006/relationships/hyperlink" Target="https://www.legislation.gov.uk/ukpga/1989/41/contents" TargetMode="External"/><Relationship Id="rId53" Type="http://schemas.openxmlformats.org/officeDocument/2006/relationships/hyperlink" Target="https://www.gov.uk/government/speeches/home-secretarys-speech-to-the-police-federation-annual-conference" TargetMode="External"/><Relationship Id="rId149" Type="http://schemas.openxmlformats.org/officeDocument/2006/relationships/hyperlink" Target="https://www.lawscot.org.uk/members/journal/issues/vol-62-issue-07/childrens-rights-and-physical-punishment/" TargetMode="External"/><Relationship Id="rId314" Type="http://schemas.openxmlformats.org/officeDocument/2006/relationships/hyperlink" Target="https://epi.org.uk/publications-and-research/education-in-england-annual-report-2020/" TargetMode="External"/><Relationship Id="rId356" Type="http://schemas.openxmlformats.org/officeDocument/2006/relationships/hyperlink" Target="https://explore-education-statistics.service.gov.uk/find-statistics/pupil-absence-in-schools-in-england-autumn-term" TargetMode="External"/><Relationship Id="rId398" Type="http://schemas.openxmlformats.org/officeDocument/2006/relationships/hyperlink" Target="https://committees.parliament.uk/work/320/unequal-impact-coronavirus-disability-and-access-to-services/news/119466/restrictions-on-disabled-peoples-rights-must-not-become-the-new-normal/" TargetMode="External"/><Relationship Id="rId521" Type="http://schemas.openxmlformats.org/officeDocument/2006/relationships/hyperlink" Target="https://www.gov.uk/government/publications/inclusive-britain-action-plan-government-response-to-the-commission-on-race-and-ethnic-disparities/inclusive-britain-government-response-to-the-commission-on-race-and-ethnic-disparities" TargetMode="External"/><Relationship Id="rId563" Type="http://schemas.openxmlformats.org/officeDocument/2006/relationships/hyperlink" Target="https://www.gov.uk/government/statistics/modern-slavery-national-referral-mechanism-and-duty-to-notify-statistics-uk-end-of-year-summary-2021/modern-slavery-national-referral-mechanism-and-duty-to-notify-statistics-uk-end-of-year-summary-2021" TargetMode="External"/><Relationship Id="rId95" Type="http://schemas.openxmlformats.org/officeDocument/2006/relationships/hyperlink" Target="https://explore-education-statistics.service.gov.uk/find-statistics/characteristics-of-children-in-need/2021" TargetMode="External"/><Relationship Id="rId160" Type="http://schemas.openxmlformats.org/officeDocument/2006/relationships/hyperlink" Target="https://www.gov.uk/government/statistics/statistics-on-so-called-honour-based-abuse-offences-england-and-wales-2020-to-2021/statistics-on-so-called-honour-based-abuse-offences-england-and-wales-2020-to-2021" TargetMode="External"/><Relationship Id="rId216" Type="http://schemas.openxmlformats.org/officeDocument/2006/relationships/hyperlink" Target="https://ncphwr.org.uk/research-study-explores-the-effects-of-the-covid-19-pandemic-on-the-mental-health-of-shielded-children-and-children-living-in-shielded-households-in-wales/" TargetMode="External"/><Relationship Id="rId423" Type="http://schemas.openxmlformats.org/officeDocument/2006/relationships/hyperlink" Target="https://www.teachingcitizenship.org.uk/gcse-citizenship-results-2022/" TargetMode="External"/><Relationship Id="rId258" Type="http://schemas.openxmlformats.org/officeDocument/2006/relationships/hyperlink" Target="https://fairbydesign.com/wp-content/uploads/2021/02/The-Inequality-of-Poverty-Full-Report.pdf" TargetMode="External"/><Relationship Id="rId465" Type="http://schemas.openxmlformats.org/officeDocument/2006/relationships/hyperlink" Target="https://www.theguardian.com/politics/2020/jan/22/government-condemned-for-rejecting-lords-child-refugee-dubs-amendment" TargetMode="External"/><Relationship Id="rId22" Type="http://schemas.openxmlformats.org/officeDocument/2006/relationships/hyperlink" Target="http://www.humanrightstracker.com" TargetMode="External"/><Relationship Id="rId64" Type="http://schemas.openxmlformats.org/officeDocument/2006/relationships/hyperlink" Target="https://crae.org.uk/sites/default/files/uploads/CRAE_POLICING-SPITHOODS_PRINT.pdf" TargetMode="External"/><Relationship Id="rId118" Type="http://schemas.openxmlformats.org/officeDocument/2006/relationships/hyperlink" Target="https://www.gov.uk/government/publications/tackling-child-sexual-abuse-strategy" TargetMode="External"/><Relationship Id="rId325" Type="http://schemas.openxmlformats.org/officeDocument/2006/relationships/hyperlink" Target="https://www.risingstars-uk.com/media/Rising-Stars/Assessment/Whitepapers/Spring22_RS_Assessment_white_paper.pdf" TargetMode="External"/><Relationship Id="rId367" Type="http://schemas.openxmlformats.org/officeDocument/2006/relationships/hyperlink" Target="https://committees.parliament.uk/writtenevidence/15250/html/" TargetMode="External"/><Relationship Id="rId532" Type="http://schemas.openxmlformats.org/officeDocument/2006/relationships/hyperlink" Target="https://www.basw.co.uk/system/files/resources/basw_35104-3.pdf" TargetMode="External"/><Relationship Id="rId574" Type="http://schemas.openxmlformats.org/officeDocument/2006/relationships/hyperlink" Target="https://www.ecpat.org.uk/nationality-and-borders-bill-house-of-lords-second-reading-briefing" TargetMode="External"/><Relationship Id="rId171" Type="http://schemas.openxmlformats.org/officeDocument/2006/relationships/hyperlink" Target="https://www.ohchr.org/en/documents/thematic-reports/ahrc4134-right-everyone-enjoyment-highest-attainable-standard-physical" TargetMode="External"/><Relationship Id="rId227" Type="http://schemas.openxmlformats.org/officeDocument/2006/relationships/hyperlink" Target="https://www.nuffieldtrust.org.uk/resource/growing-problems-in-detail-covid-19-s-impact-on-health-care-for-children-and-young-people-in-england" TargetMode="External"/><Relationship Id="rId269" Type="http://schemas.openxmlformats.org/officeDocument/2006/relationships/hyperlink" Target="https://committees.parliament.uk/publications/3069/documents/28787/default/" TargetMode="External"/><Relationship Id="rId434" Type="http://schemas.openxmlformats.org/officeDocument/2006/relationships/hyperlink" Target="https://www.gov.uk/government/publications/pupils-and-their-parents-or-carers-omnibus-wave-1-survey" TargetMode="External"/><Relationship Id="rId476" Type="http://schemas.openxmlformats.org/officeDocument/2006/relationships/hyperlink" Target="https://www.equalityhumanrights.com/en/publication-download/children%E2%80%99s-rights-great-britain-submission-un" TargetMode="External"/><Relationship Id="rId33" Type="http://schemas.openxmlformats.org/officeDocument/2006/relationships/hyperlink" Target="https://www.unhcr.org/61e7f9b44" TargetMode="External"/><Relationship Id="rId129" Type="http://schemas.openxmlformats.org/officeDocument/2006/relationships/hyperlink" Target="https://www.gov.uk/government/consultations/delivering-justice-for-victims-a-consultation-on-improving-victims-experiences-of-the-justice-system" TargetMode="External"/><Relationship Id="rId280" Type="http://schemas.openxmlformats.org/officeDocument/2006/relationships/hyperlink" Target="https://www.jrf.org.uk/press/keep-the-lifeline-open-letter-to-the-prime-minister" TargetMode="External"/><Relationship Id="rId336" Type="http://schemas.openxmlformats.org/officeDocument/2006/relationships/hyperlink" Target="https://questions-statements.parliament.uk/written-questions/detail/2020-11-17/116442" TargetMode="External"/><Relationship Id="rId501" Type="http://schemas.openxmlformats.org/officeDocument/2006/relationships/hyperlink" Target="https://publications.parliament.uk/pa/cm5801/cmselect/cmjust/306/30608.htm" TargetMode="External"/><Relationship Id="rId543" Type="http://schemas.openxmlformats.org/officeDocument/2006/relationships/hyperlink" Target="https://www.gov.uk/government/statistics/youth-justice-annual-statistics-2016-to-2017" TargetMode="External"/><Relationship Id="rId75" Type="http://schemas.openxmlformats.org/officeDocument/2006/relationships/hyperlink" Target="https://publications.parliament.uk/pa/cm5802/cmselect/cmhealth/17/report.html" TargetMode="External"/><Relationship Id="rId140" Type="http://schemas.openxmlformats.org/officeDocument/2006/relationships/hyperlink" Target="https://www.nspcc.org.uk/about-us/news-opinion/2022/online-grooming-crimes-rise/" TargetMode="External"/><Relationship Id="rId182" Type="http://schemas.openxmlformats.org/officeDocument/2006/relationships/hyperlink" Target="https://digital.nhs.uk/data-and-information/publications/statistical/mental-health-of-children-and-young-people-in-england/2021-follow-up-to-the-2017-survey" TargetMode="External"/><Relationship Id="rId378" Type="http://schemas.openxmlformats.org/officeDocument/2006/relationships/hyperlink" Target="https://explore-education-statistics.service.gov.uk/find-statistics/special-educational-needs-in-england" TargetMode="External"/><Relationship Id="rId403" Type="http://schemas.openxmlformats.org/officeDocument/2006/relationships/hyperlink" Target="https://epi.org.uk/publications-and-research/education-recovery-and-resilience-in-england/" TargetMode="External"/><Relationship Id="rId6" Type="http://schemas.openxmlformats.org/officeDocument/2006/relationships/hyperlink" Target="https://covid19.public-inquiry.uk/terms-of-reference/" TargetMode="External"/><Relationship Id="rId238" Type="http://schemas.openxmlformats.org/officeDocument/2006/relationships/hyperlink" Target="https://publications.parliament.uk/pa/cm5802/cmselect/cmhealth/17/report.html" TargetMode="External"/><Relationship Id="rId445" Type="http://schemas.openxmlformats.org/officeDocument/2006/relationships/hyperlink" Target="https://www.gov.uk/government/publications/tackling-violence-against-women-and-girls-strategy" TargetMode="External"/><Relationship Id="rId487" Type="http://schemas.openxmlformats.org/officeDocument/2006/relationships/hyperlink" Target="https://www.bailii.org/ew/cases/EWHC/Admin/2022/1922.html" TargetMode="External"/><Relationship Id="rId291" Type="http://schemas.openxmlformats.org/officeDocument/2006/relationships/hyperlink" Target="https://cpag.org.uk/news-blogs/news-listings/800000-children-poverty-not-getting-free-school-meals" TargetMode="External"/><Relationship Id="rId305" Type="http://schemas.openxmlformats.org/officeDocument/2006/relationships/hyperlink" Target="https://statswales.gov.wales/Catalogue/Education-and-Skills/Schools-and-Teachers/Examinations-and-Assessments/Key-Stage-2/nationallevelresults-by-subject-year-gender" TargetMode="External"/><Relationship Id="rId347" Type="http://schemas.openxmlformats.org/officeDocument/2006/relationships/hyperlink" Target="https://committees.parliament.uk/publications/9251/documents/160043/default/" TargetMode="External"/><Relationship Id="rId512" Type="http://schemas.openxmlformats.org/officeDocument/2006/relationships/hyperlink" Target="https://www.gov.uk/government/publications/youth-justice-board-annual-report-and-accounts-2020-to-2021" TargetMode="External"/><Relationship Id="rId44" Type="http://schemas.openxmlformats.org/officeDocument/2006/relationships/hyperlink" Target="https://www.gov.uk/government/consultations/data-a-new-direction" TargetMode="External"/><Relationship Id="rId86" Type="http://schemas.openxmlformats.org/officeDocument/2006/relationships/hyperlink" Target="https://www.mind.org.uk/news-campaigns/campaigns/children-and-young-peoples-mental-health/improving-mental-health-support-for-young-people/" TargetMode="External"/><Relationship Id="rId151" Type="http://schemas.openxmlformats.org/officeDocument/2006/relationships/hyperlink" Target="https://www.lawscot.org.uk/members/journal/issues/vol-62-issue-07/childrens-rights-and-physical-punishment/" TargetMode="External"/><Relationship Id="rId389" Type="http://schemas.openxmlformats.org/officeDocument/2006/relationships/hyperlink" Target="https://senedd.wales/media/3gdpsrme/cr-ld14921-e.pdf" TargetMode="External"/><Relationship Id="rId554" Type="http://schemas.openxmlformats.org/officeDocument/2006/relationships/hyperlink" Target="https://www.gov.uk/government/statistics/youth-justice-statistics-2020-to-2021" TargetMode="External"/><Relationship Id="rId193" Type="http://schemas.openxmlformats.org/officeDocument/2006/relationships/hyperlink" Target="https://www.england.nhs.uk/wp-content/uploads/2016/02/Mental-Health-Taskforce-FYFV-final.pdf" TargetMode="External"/><Relationship Id="rId207" Type="http://schemas.openxmlformats.org/officeDocument/2006/relationships/hyperlink" Target="https://statswales.gov.wales/Catalogue/Health-and-Social-Care/Mental-Health/specialist-child-and-adolescent-mental-health-services-scamhs/first-appointment-waiting-times/percentageofscamhspatientpathwayswaitingforafirstappointment-by-month-groupedweeks" TargetMode="External"/><Relationship Id="rId249" Type="http://schemas.openxmlformats.org/officeDocument/2006/relationships/hyperlink" Target="https://www.gov.uk/government/statistics/households-below-average-income-for-financial-years-ending-1995-to-2021" TargetMode="External"/><Relationship Id="rId414" Type="http://schemas.openxmlformats.org/officeDocument/2006/relationships/hyperlink" Target="https://gov.wales/curriculum-wales-relationships-and-sexuality-education-rse-code" TargetMode="External"/><Relationship Id="rId456" Type="http://schemas.openxmlformats.org/officeDocument/2006/relationships/hyperlink" Target="https://questions-statements.parliament.uk/written-questions/detail/2019-05-08/252010" TargetMode="External"/><Relationship Id="rId498" Type="http://schemas.openxmlformats.org/officeDocument/2006/relationships/hyperlink" Target="http://docstore.ohchr.org/SelfServices/FilesHandler.ashx?enc=6QkG1d%2FPPRiCAqhKb7yhskHOj6VpDS%2F%2FJqg2Jxb9gncnUyUgbnuttBweOlylfyYPkBbwffitW2JurgBRuMMxZqnGgerUdpjxij3uZ0bjQBOLNTNvQ9fUIEOvA5LtW0GL" TargetMode="External"/><Relationship Id="rId13" Type="http://schemas.openxmlformats.org/officeDocument/2006/relationships/hyperlink" Target="https://www.legislation.gov.uk/ukpga/2009/11/contents" TargetMode="External"/><Relationship Id="rId109" Type="http://schemas.openxmlformats.org/officeDocument/2006/relationships/hyperlink" Target="https://www.gov.uk/government/news/government-action-following-murder-of-arthur-labinjo-hughes" TargetMode="External"/><Relationship Id="rId260" Type="http://schemas.openxmlformats.org/officeDocument/2006/relationships/hyperlink" Target="https://www.gov.uk/government/statistics/households-below-average-income-for-financial-years-ending-1995-to-2020" TargetMode="External"/><Relationship Id="rId316" Type="http://schemas.openxmlformats.org/officeDocument/2006/relationships/hyperlink" Target="https://gov.wales/achievement-and-entitlement-free-school-meals-2019" TargetMode="External"/><Relationship Id="rId523" Type="http://schemas.openxmlformats.org/officeDocument/2006/relationships/hyperlink" Target="https://www.legislation.gov.uk/ukpga/2020/17/contents" TargetMode="External"/><Relationship Id="rId55" Type="http://schemas.openxmlformats.org/officeDocument/2006/relationships/hyperlink" Target="https://www.policeconduct.gov.uk/sites/default/files/Documents/research-learning/IOPC_Taser_review_2021.pdf" TargetMode="External"/><Relationship Id="rId97" Type="http://schemas.openxmlformats.org/officeDocument/2006/relationships/hyperlink" Target="https://statswales.gov.wales/Catalogue/Health-and-Social-Care/Social-Services/Childrens-Services/children-receiving-care-and-support/parentalfactorsofchildrenreceivingcareandsupport-by-measure-year" TargetMode="External"/><Relationship Id="rId120" Type="http://schemas.openxmlformats.org/officeDocument/2006/relationships/hyperlink" Target="https://www.nspcc.org.uk/about-us/news-opinion/2022/record-number-children-affected-domestic-abuse/" TargetMode="External"/><Relationship Id="rId358" Type="http://schemas.openxmlformats.org/officeDocument/2006/relationships/hyperlink" Target="https://committees.parliament.uk/publications/6974/documents/72808/default/" TargetMode="External"/><Relationship Id="rId565" Type="http://schemas.openxmlformats.org/officeDocument/2006/relationships/hyperlink" Target="https://tbinternet.ohchr.org/Treaties/CCPR/Shared%20Documents/GBR/INT_CCPR_ICS_GBR_41022_E.pdf" TargetMode="External"/><Relationship Id="rId162" Type="http://schemas.openxmlformats.org/officeDocument/2006/relationships/hyperlink" Target="https://clok.uclan.ac.uk/36438/1/%27Honour%27%20abuse%20violence%20and%20forced%20marriage%20in%20the%20UK%20%282021%29.pdf" TargetMode="External"/><Relationship Id="rId218" Type="http://schemas.openxmlformats.org/officeDocument/2006/relationships/hyperlink" Target="https://www.thenhsa.co.uk/2021/12/report-paints-a-stark-picture-of-inequality-for-children-growing-up-in-the-north/" TargetMode="External"/><Relationship Id="rId425" Type="http://schemas.openxmlformats.org/officeDocument/2006/relationships/hyperlink" Target="https://www.gov.uk/government/publications/inclusive-britain-action-plan-government-response-to-the-commission-on-race-and-ethnic-disparities" TargetMode="External"/><Relationship Id="rId467" Type="http://schemas.openxmlformats.org/officeDocument/2006/relationships/hyperlink" Target="https://www.childrenssociety.org.uk/sites/default/files/2021-03/Looked_After_Children_and_the_EU_Settlement_Scheme.pdf" TargetMode="External"/><Relationship Id="rId271" Type="http://schemas.openxmlformats.org/officeDocument/2006/relationships/hyperlink" Target="https://www.trusselltrust.org/wp-content/uploads/sites/2/2018/10/The-next-stage-of-Universal-Credit-Report-Final.pdf" TargetMode="External"/><Relationship Id="rId24" Type="http://schemas.openxmlformats.org/officeDocument/2006/relationships/hyperlink" Target="https://business.senedd.wales/documents/s105741/Welsh%20Government%20response%20-%2023%20September%202020.pdf" TargetMode="External"/><Relationship Id="rId66" Type="http://schemas.openxmlformats.org/officeDocument/2006/relationships/hyperlink" Target="https://tbinternet.ohchr.org/_layouts/15/treatybodyexternal/Download.aspx?symbolno=CRC%2fC%2fGC%2f8&amp;Lang=en" TargetMode="External"/><Relationship Id="rId131" Type="http://schemas.openxmlformats.org/officeDocument/2006/relationships/hyperlink" Target="https://www.gov.uk/government/publications/tackling-violence-against-women-and-girls-strategy" TargetMode="External"/><Relationship Id="rId327" Type="http://schemas.openxmlformats.org/officeDocument/2006/relationships/hyperlink" Target="https://www.gov.uk/government/publications/learning-during-the-pandemic" TargetMode="External"/><Relationship Id="rId369" Type="http://schemas.openxmlformats.org/officeDocument/2006/relationships/hyperlink" Target="https://bills.parliament.uk/bills/3156" TargetMode="External"/><Relationship Id="rId534" Type="http://schemas.openxmlformats.org/officeDocument/2006/relationships/hyperlink" Target="https://publications.parliament.uk/pa/bills/cbill/58-02/0152/en/210152en.pdf" TargetMode="External"/><Relationship Id="rId173" Type="http://schemas.openxmlformats.org/officeDocument/2006/relationships/hyperlink" Target="https://www.gov.uk/government/publications/national-lgbt-survey-summary-report" TargetMode="External"/><Relationship Id="rId229" Type="http://schemas.openxmlformats.org/officeDocument/2006/relationships/hyperlink" Target="https://gov.wales/sites/default/files/publications/2022-04/our-programme-for-transforming--and-modernising-planned-care-and-reducing-waiting-lists-in-wales.pdf" TargetMode="External"/><Relationship Id="rId380" Type="http://schemas.openxmlformats.org/officeDocument/2006/relationships/hyperlink" Target="https://www.countycouncilsnetwork.org.uk/councils-call-for-urgent-action-in-spending-review-to-address-1-3bn-special-educational-needs-deficit/" TargetMode="External"/><Relationship Id="rId436" Type="http://schemas.openxmlformats.org/officeDocument/2006/relationships/hyperlink" Target="https://www.justlikeus.org/blog/2021/11/25/research-report-growing-up-lgbt-bullying/" TargetMode="External"/><Relationship Id="rId240" Type="http://schemas.openxmlformats.org/officeDocument/2006/relationships/hyperlink" Target="https://article39.org.uk/mentalhealth/" TargetMode="External"/><Relationship Id="rId478" Type="http://schemas.openxmlformats.org/officeDocument/2006/relationships/hyperlink" Target="https://www.refworld.org/docid/5a12942a2b.html" TargetMode="External"/><Relationship Id="rId35" Type="http://schemas.openxmlformats.org/officeDocument/2006/relationships/hyperlink" Target="https://assets.publishing.service.gov.uk/government/uploads/system/uploads/attachment_data/file/1033319/stop-search-data-tables-summary-ppp-mar2021.ods" TargetMode="External"/><Relationship Id="rId77" Type="http://schemas.openxmlformats.org/officeDocument/2006/relationships/hyperlink" Target="https://publications.parliament.uk/pa/cm5802/cmselect/cmhealth/17/report.html" TargetMode="External"/><Relationship Id="rId100" Type="http://schemas.openxmlformats.org/officeDocument/2006/relationships/hyperlink" Target="https://www.ons.gov.uk/peoplepopulationandcommunity/crimeandjustice/articles/childabuseandthecriminaljusticesystemenglandandwales/yearendingmarch2019" TargetMode="External"/><Relationship Id="rId282" Type="http://schemas.openxmlformats.org/officeDocument/2006/relationships/hyperlink" Target="https://www.ons.gov.uk/peoplepopulationandcommunity/personalandhouseholdfinances/expenditure/articles/parentsmorelikelytoreportincreasesintheircostofliving/2022-09-07" TargetMode="External"/><Relationship Id="rId338" Type="http://schemas.openxmlformats.org/officeDocument/2006/relationships/hyperlink" Target="https://www.audit.wales/publication/picture-schools" TargetMode="External"/><Relationship Id="rId503" Type="http://schemas.openxmlformats.org/officeDocument/2006/relationships/hyperlink" Target="https://committees.parliament.uk/publications/4636/documents/46905/default/" TargetMode="External"/><Relationship Id="rId545" Type="http://schemas.openxmlformats.org/officeDocument/2006/relationships/hyperlink" Target="https://www.gov.uk/government/statistics/youth-justice-statistics-2020-to-2021" TargetMode="External"/><Relationship Id="rId8" Type="http://schemas.openxmlformats.org/officeDocument/2006/relationships/hyperlink" Target="https://www.futuregenerations.wales/wp-content/uploads/2021/11/FGCW_Equalities-Report_proof_08.pdf" TargetMode="External"/><Relationship Id="rId142" Type="http://schemas.openxmlformats.org/officeDocument/2006/relationships/hyperlink" Target="https://publications.parliament.uk/pa/bills/cbill/58-02/0285/210285.pdf" TargetMode="External"/><Relationship Id="rId184" Type="http://schemas.openxmlformats.org/officeDocument/2006/relationships/hyperlink" Target="https://digital.nhs.uk/data-and-information/publications/statistical/mental-health-of-children-and-young-people-in-england/2021-follow-up-to-the-2017-survey" TargetMode="External"/><Relationship Id="rId391" Type="http://schemas.openxmlformats.org/officeDocument/2006/relationships/hyperlink" Target="https://www.ndcs.org.uk/media/7845/20220722-ndcs-response-to-send-review.pdf" TargetMode="External"/><Relationship Id="rId405" Type="http://schemas.openxmlformats.org/officeDocument/2006/relationships/hyperlink" Target="https://www.ohchr.org/en/resources/educators/human-rights-education-training/11-united-nations-declaration-human-rights-education-and-training-2011" TargetMode="External"/><Relationship Id="rId447" Type="http://schemas.openxmlformats.org/officeDocument/2006/relationships/hyperlink" Target="https://gov.wales/curriculum-wales-relationships-and-sexuality-education-rse-code" TargetMode="External"/><Relationship Id="rId251" Type="http://schemas.openxmlformats.org/officeDocument/2006/relationships/hyperlink" Target="https://www.gov.uk/government/statistics/households-below-average-income-for-financial-years-ending-1995-to-2020" TargetMode="External"/><Relationship Id="rId489" Type="http://schemas.openxmlformats.org/officeDocument/2006/relationships/hyperlink" Target="https://rli.sas.ac.uk/sites/default/files/files/UK%20Rwanda%20MoU_RLI%20Evidence%20to%20Committee(1).pdf" TargetMode="External"/><Relationship Id="rId46" Type="http://schemas.openxmlformats.org/officeDocument/2006/relationships/hyperlink" Target="https://5rightsfoundation.com/in-action/why-the-uks-new-data-regime-proposals-could-mean-a-setback-for-childrens-rights.html" TargetMode="External"/><Relationship Id="rId293" Type="http://schemas.openxmlformats.org/officeDocument/2006/relationships/hyperlink" Target="https://foodfoundation.org.uk/press-release/new-data-shows-food-insecurity-major-challenge-levelling-agenda" TargetMode="External"/><Relationship Id="rId307" Type="http://schemas.openxmlformats.org/officeDocument/2006/relationships/hyperlink" Target="https://statswales.gov.wales/Catalogue/Education-and-Skills/Schools-and-Teachers/Examinations-and-Assessments/Key-Stage-4/interimexammeasuresforyear11pupils-by-gender" TargetMode="External"/><Relationship Id="rId349" Type="http://schemas.openxmlformats.org/officeDocument/2006/relationships/hyperlink" Target="https://gov.wales/renew-and-reform-supporting-learners-wellbeing-and-progression-html" TargetMode="External"/><Relationship Id="rId514" Type="http://schemas.openxmlformats.org/officeDocument/2006/relationships/hyperlink" Target="https://assets.publishing.service.gov.uk/government/uploads/system/uploads/attachment_data/file/1050218/youth-remand-review.pdf" TargetMode="External"/><Relationship Id="rId556" Type="http://schemas.openxmlformats.org/officeDocument/2006/relationships/hyperlink" Target="https://committees.parliament.uk/publications/4637/documents/46888/default/" TargetMode="External"/><Relationship Id="rId88" Type="http://schemas.openxmlformats.org/officeDocument/2006/relationships/hyperlink" Target="https://www.gov.uk/government/publications/residential-special-schools-national-minimum-standards" TargetMode="External"/><Relationship Id="rId111" Type="http://schemas.openxmlformats.org/officeDocument/2006/relationships/hyperlink" Target="https://explore-education-statistics.service.gov.uk/find-statistics/characteristics-of-children-in-need/2020" TargetMode="External"/><Relationship Id="rId153" Type="http://schemas.openxmlformats.org/officeDocument/2006/relationships/hyperlink" Target="https://tbinternet.ohchr.org/_layouts/15/treatybodyexternal/Download.aspx?symbolno=CRC%2fC%2fGC%2f8&amp;Lang=en" TargetMode="External"/><Relationship Id="rId195" Type="http://schemas.openxmlformats.org/officeDocument/2006/relationships/hyperlink" Target="https://www.gov.uk/government/publications/suicide-prevention-cross-government-plan" TargetMode="External"/><Relationship Id="rId209" Type="http://schemas.openxmlformats.org/officeDocument/2006/relationships/hyperlink" Target="https://www.england.nhs.uk/2021/05/more-than-a-million-children-given-access-to-nhs-mental-health-support-at-school/" TargetMode="External"/><Relationship Id="rId360" Type="http://schemas.openxmlformats.org/officeDocument/2006/relationships/hyperlink" Target="https://committees.parliament.uk/writtenevidence/14082/html/" TargetMode="External"/><Relationship Id="rId416" Type="http://schemas.openxmlformats.org/officeDocument/2006/relationships/hyperlink" Target="https://www.gov.uk/government/publications/relationships-education-relationships-and-sex-education-rse-and-health-education" TargetMode="External"/><Relationship Id="rId220" Type="http://schemas.openxmlformats.org/officeDocument/2006/relationships/hyperlink" Target="https://www.thenhsa.co.uk/2021/12/report-paints-a-stark-picture-of-inequality-for-children-growing-up-in-the-north/" TargetMode="External"/><Relationship Id="rId458" Type="http://schemas.openxmlformats.org/officeDocument/2006/relationships/hyperlink" Target="https://www.theguardian.com/uk-news/2021/mar/25/child-asylum-seekers-falling-apart-due-to-home-office-delays" TargetMode="External"/><Relationship Id="rId15" Type="http://schemas.openxmlformats.org/officeDocument/2006/relationships/hyperlink" Target="https://gov.wales/strengthening-and-advancing-equality-and-human-rights-wales-research-report-welsh-government" TargetMode="External"/><Relationship Id="rId57" Type="http://schemas.openxmlformats.org/officeDocument/2006/relationships/hyperlink" Target="https://www.policeconduct.gov.uk/sites/default/files/Documents/research-learning/IOPC_Taser_review_2021.pdf" TargetMode="External"/><Relationship Id="rId262" Type="http://schemas.openxmlformats.org/officeDocument/2006/relationships/hyperlink" Target="https://www.gov.uk/government/statistics/benefit-cap-number-of-households-capped-to-may-2022/benefit-cap-number-of-households-capped-to-may-2022" TargetMode="External"/><Relationship Id="rId318" Type="http://schemas.openxmlformats.org/officeDocument/2006/relationships/hyperlink" Target="https://epi.org.uk/wp-content/uploads/2018/07/EPI-Annual-Report-2018-Lit-review.pdf" TargetMode="External"/><Relationship Id="rId525" Type="http://schemas.openxmlformats.org/officeDocument/2006/relationships/hyperlink" Target="https://documents-dds-ny.un.org/doc/UNDOC/LTD/G14/124/25/PDF/G1412425.pdf?OpenElement" TargetMode="External"/><Relationship Id="rId567" Type="http://schemas.openxmlformats.org/officeDocument/2006/relationships/hyperlink" Target="http://www.antislaverycommissioner.co.uk/news-insights/publication-of-the-independent-anti-slavery-commissioner-s-annual-report-2020-2021/" TargetMode="External"/><Relationship Id="rId99" Type="http://schemas.openxmlformats.org/officeDocument/2006/relationships/hyperlink" Target="https://www.ons.gov.uk/peoplepopulationandcommunity/crimeandjustice/articles/exploringthefeasibilityofasurveymeasuringchildabuseintheuk/april2022" TargetMode="External"/><Relationship Id="rId122" Type="http://schemas.openxmlformats.org/officeDocument/2006/relationships/hyperlink" Target="https://www.cypnow.co.uk/news/article/warning-over-gaps-in-support-for-child-victims-of-domestic-abuse" TargetMode="External"/><Relationship Id="rId164" Type="http://schemas.openxmlformats.org/officeDocument/2006/relationships/hyperlink" Target="https://www.gov.uk/government/publications/tackling-violence-against-women-and-girls-strategy" TargetMode="External"/><Relationship Id="rId371" Type="http://schemas.openxmlformats.org/officeDocument/2006/relationships/hyperlink" Target="https://gov.wales/written-statement-home-education-statutory-guidance-and-draft-database-regulations" TargetMode="External"/><Relationship Id="rId427" Type="http://schemas.openxmlformats.org/officeDocument/2006/relationships/hyperlink" Target="https://gov.wales/annual-report-implementation-recommendations-black-asian-and-minority-ethnic-communities-html" TargetMode="External"/><Relationship Id="rId469" Type="http://schemas.openxmlformats.org/officeDocument/2006/relationships/hyperlink" Target="https://www.independent.co.uk/news/uk/home-news/eu-settled-status-home-office-b1854470.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mathers\Desktop\CRC%202022%20REPORT%20-%20FINAL%20VERS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25C1158A6434D23A88E2D5018F36E44"/>
        <w:category>
          <w:name w:val="General"/>
          <w:gallery w:val="placeholder"/>
        </w:category>
        <w:types>
          <w:type w:val="bbPlcHdr"/>
        </w:types>
        <w:behaviors>
          <w:behavior w:val="content"/>
        </w:behaviors>
        <w:guid w:val="{5DCD9CE1-53B6-426F-B806-9871CC27E542}"/>
      </w:docPartPr>
      <w:docPartBody>
        <w:p w:rsidR="001A79A1" w:rsidRDefault="0012179D">
          <w:pPr>
            <w:pStyle w:val="825C1158A6434D23A88E2D5018F36E44"/>
          </w:pPr>
          <w:r>
            <w:rPr>
              <w:sz w:val="36"/>
              <w:szCs w:val="36"/>
            </w:rPr>
            <w:t>Document type [</w:t>
          </w:r>
          <w:r w:rsidRPr="008139C1">
            <w:rPr>
              <w:sz w:val="36"/>
              <w:szCs w:val="36"/>
            </w:rPr>
            <w:t xml:space="preserve">e.g. Internal </w:t>
          </w:r>
          <w:r>
            <w:rPr>
              <w:sz w:val="36"/>
              <w:szCs w:val="36"/>
            </w:rPr>
            <w:t>document, Research report, Guidance]</w:t>
          </w:r>
        </w:p>
      </w:docPartBody>
    </w:docPart>
    <w:docPart>
      <w:docPartPr>
        <w:name w:val="C9CAFDE156A64E7CBF42C0B7A8BD98D7"/>
        <w:category>
          <w:name w:val="General"/>
          <w:gallery w:val="placeholder"/>
        </w:category>
        <w:types>
          <w:type w:val="bbPlcHdr"/>
        </w:types>
        <w:behaviors>
          <w:behavior w:val="content"/>
        </w:behaviors>
        <w:guid w:val="{AE84FEAF-DABE-4AB6-BA87-A27C0319DC7E}"/>
      </w:docPartPr>
      <w:docPartBody>
        <w:p w:rsidR="001A79A1" w:rsidRDefault="0012179D">
          <w:pPr>
            <w:pStyle w:val="C9CAFDE156A64E7CBF42C0B7A8BD98D7"/>
          </w:pPr>
          <w:r w:rsidRPr="00605567">
            <w:t>Document title</w:t>
          </w:r>
        </w:p>
      </w:docPartBody>
    </w:docPart>
    <w:docPart>
      <w:docPartPr>
        <w:name w:val="9E874B2EC5D141959FC44742F6689A22"/>
        <w:category>
          <w:name w:val="General"/>
          <w:gallery w:val="placeholder"/>
        </w:category>
        <w:types>
          <w:type w:val="bbPlcHdr"/>
        </w:types>
        <w:behaviors>
          <w:behavior w:val="content"/>
        </w:behaviors>
        <w:guid w:val="{BD85567B-84DC-4A0B-B39B-58A1BC913132}"/>
      </w:docPartPr>
      <w:docPartBody>
        <w:p w:rsidR="001A79A1" w:rsidRDefault="0012179D">
          <w:pPr>
            <w:pStyle w:val="9E874B2EC5D141959FC44742F6689A22"/>
          </w:pPr>
          <w:r w:rsidRPr="00465B9E">
            <w:rPr>
              <w:rStyle w:val="PlaceholderText"/>
            </w:rPr>
            <w:t>Click or tap to select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79D"/>
    <w:rsid w:val="00111594"/>
    <w:rsid w:val="0012179D"/>
    <w:rsid w:val="001A79A1"/>
    <w:rsid w:val="00A81EFC"/>
    <w:rsid w:val="00D5721E"/>
    <w:rsid w:val="00DD4969"/>
    <w:rsid w:val="00F3131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25C1158A6434D23A88E2D5018F36E44">
    <w:name w:val="825C1158A6434D23A88E2D5018F36E44"/>
  </w:style>
  <w:style w:type="paragraph" w:customStyle="1" w:styleId="C9CAFDE156A64E7CBF42C0B7A8BD98D7">
    <w:name w:val="C9CAFDE156A64E7CBF42C0B7A8BD98D7"/>
  </w:style>
  <w:style w:type="character" w:styleId="PlaceholderText">
    <w:name w:val="Placeholder Text"/>
    <w:basedOn w:val="DefaultParagraphFont"/>
    <w:uiPriority w:val="99"/>
    <w:semiHidden/>
    <w:rPr>
      <w:color w:val="808080"/>
      <w:sz w:val="24"/>
    </w:rPr>
  </w:style>
  <w:style w:type="paragraph" w:customStyle="1" w:styleId="9E874B2EC5D141959FC44742F6689A22">
    <w:name w:val="9E874B2EC5D141959FC44742F6689A22"/>
  </w:style>
  <w:style w:type="paragraph" w:customStyle="1" w:styleId="F1AAB9EA74A04D26B92635754860A25E">
    <w:name w:val="F1AAB9EA74A04D26B92635754860A25E"/>
  </w:style>
  <w:style w:type="paragraph" w:customStyle="1" w:styleId="6A82C8D04B474572AAC19FFDC27E2FB1">
    <w:name w:val="6A82C8D04B474572AAC19FFDC27E2F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EHRC Arial">
  <a:themeElements>
    <a:clrScheme name="EHRC primary teal">
      <a:dk1>
        <a:sysClr val="windowText" lastClr="000000"/>
      </a:dk1>
      <a:lt1>
        <a:sysClr val="window" lastClr="FFFFFF"/>
      </a:lt1>
      <a:dk2>
        <a:srgbClr val="0B4E60"/>
      </a:dk2>
      <a:lt2>
        <a:srgbClr val="7DCAC7"/>
      </a:lt2>
      <a:accent1>
        <a:srgbClr val="009C98"/>
      </a:accent1>
      <a:accent2>
        <a:srgbClr val="64A230"/>
      </a:accent2>
      <a:accent3>
        <a:srgbClr val="DDDE45"/>
      </a:accent3>
      <a:accent4>
        <a:srgbClr val="E0AACC"/>
      </a:accent4>
      <a:accent5>
        <a:srgbClr val="722856"/>
      </a:accent5>
      <a:accent6>
        <a:srgbClr val="8B9292"/>
      </a:accent6>
      <a:hlink>
        <a:srgbClr val="009C98"/>
      </a:hlink>
      <a:folHlink>
        <a:srgbClr val="009C98"/>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B5317A01585AF40AE7132C960BF0A56" ma:contentTypeVersion="1" ma:contentTypeDescription="Create a new document." ma:contentTypeScope="" ma:versionID="c6d7ceeec6db8daa576f39b1ae2ba2b4">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3322D-5B5D-4DCC-A6A8-CF2E606FFD5D}">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B67A1685-C5AE-4E59-8498-78AEEB44E180}">
  <ds:schemaRefs>
    <ds:schemaRef ds:uri="http://schemas.microsoft.com/sharepoint/v3/contenttype/forms"/>
  </ds:schemaRefs>
</ds:datastoreItem>
</file>

<file path=customXml/itemProps3.xml><?xml version="1.0" encoding="utf-8"?>
<ds:datastoreItem xmlns:ds="http://schemas.openxmlformats.org/officeDocument/2006/customXml" ds:itemID="{8FF0BE9D-A139-4FE2-873D-0FAFA2FA8D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5FFCD4-D059-4C85-B160-D8096D1C3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2022 REPORT - FINAL VERSION.dotx</Template>
  <TotalTime>0</TotalTime>
  <Pages>138</Pages>
  <Words>18896</Words>
  <Characters>107712</Characters>
  <Application>Microsoft Office Word</Application>
  <DocSecurity>4</DocSecurity>
  <Lines>897</Lines>
  <Paragraphs>252</Paragraphs>
  <ScaleCrop>false</ScaleCrop>
  <HeadingPairs>
    <vt:vector size="2" baseType="variant">
      <vt:variant>
        <vt:lpstr>Title</vt:lpstr>
      </vt:variant>
      <vt:variant>
        <vt:i4>1</vt:i4>
      </vt:variant>
    </vt:vector>
  </HeadingPairs>
  <TitlesOfParts>
    <vt:vector size="1" baseType="lpstr">
      <vt:lpstr>Children’s rights in Great Britain</vt:lpstr>
    </vt:vector>
  </TitlesOfParts>
  <Company/>
  <LinksUpToDate>false</LinksUpToDate>
  <CharactersWithSpaces>126356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rights in Great Britain</dc:title>
  <dc:subject/>
  <dc:creator>Ross Mathers</dc:creator>
  <cp:keywords>document;template;research</cp:keywords>
  <dc:description/>
  <cp:lastModifiedBy>BOIT James</cp:lastModifiedBy>
  <cp:revision>2</cp:revision>
  <dcterms:created xsi:type="dcterms:W3CDTF">2022-12-19T12:45:00Z</dcterms:created>
  <dcterms:modified xsi:type="dcterms:W3CDTF">2022-12-19T12:45:00Z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0x010100EB5317A01585AF40AE7132C960BF0A56</vt:lpwstr>
  </property>
</Properties>
</file>