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19F3" w:rsidRPr="003819F3" w:rsidRDefault="003819F3" w:rsidP="003819F3">
      <w:pPr>
        <w:snapToGrid w:val="0"/>
        <w:spacing w:line="360" w:lineRule="atLeast"/>
        <w:jc w:val="right"/>
        <w:rPr>
          <w:b/>
          <w:sz w:val="28"/>
          <w:szCs w:val="28"/>
          <w:lang w:eastAsia="zh-HK"/>
        </w:rPr>
      </w:pPr>
      <w:r w:rsidRPr="003819F3">
        <w:rPr>
          <w:b/>
          <w:sz w:val="28"/>
          <w:szCs w:val="28"/>
        </w:rPr>
        <w:t>A</w:t>
      </w:r>
      <w:r w:rsidRPr="003819F3">
        <w:rPr>
          <w:b/>
          <w:sz w:val="28"/>
          <w:szCs w:val="28"/>
          <w:lang w:eastAsia="zh-HK"/>
        </w:rPr>
        <w:t xml:space="preserve">nnex </w:t>
      </w:r>
      <w:r w:rsidR="000B4791">
        <w:rPr>
          <w:b/>
          <w:sz w:val="28"/>
          <w:szCs w:val="28"/>
        </w:rPr>
        <w:t>1</w:t>
      </w:r>
      <w:r w:rsidR="00AC612A">
        <w:rPr>
          <w:b/>
          <w:sz w:val="28"/>
          <w:szCs w:val="28"/>
        </w:rPr>
        <w:t>2</w:t>
      </w:r>
    </w:p>
    <w:p w:rsidR="003819F3" w:rsidRPr="003819F3" w:rsidRDefault="003819F3" w:rsidP="003819F3">
      <w:pPr>
        <w:snapToGrid w:val="0"/>
        <w:spacing w:line="360" w:lineRule="atLeast"/>
        <w:jc w:val="right"/>
        <w:rPr>
          <w:b/>
          <w:sz w:val="28"/>
          <w:szCs w:val="28"/>
          <w:lang w:eastAsia="zh-HK"/>
        </w:rPr>
      </w:pPr>
    </w:p>
    <w:p w:rsidR="00B26227" w:rsidRDefault="00B26227" w:rsidP="00801A19">
      <w:pPr>
        <w:tabs>
          <w:tab w:val="left" w:pos="1680"/>
        </w:tabs>
        <w:spacing w:after="240" w:line="360" w:lineRule="atLeast"/>
        <w:jc w:val="center"/>
        <w:rPr>
          <w:rFonts w:eastAsiaTheme="minorEastAsia"/>
          <w:b/>
          <w:i/>
          <w:snapToGrid w:val="0"/>
          <w:color w:val="0000FF"/>
          <w:sz w:val="28"/>
          <w:szCs w:val="28"/>
          <w:lang w:val="en-US"/>
        </w:rPr>
      </w:pPr>
      <w:r w:rsidRPr="0031783A">
        <w:rPr>
          <w:rFonts w:eastAsiaTheme="minorEastAsia"/>
          <w:b/>
          <w:snapToGrid w:val="0"/>
          <w:sz w:val="28"/>
          <w:szCs w:val="28"/>
          <w:lang w:val="en-US"/>
        </w:rPr>
        <w:t>Split families between the HKSAR and the Mainland of China</w:t>
      </w:r>
      <w:bookmarkStart w:id="0" w:name="_GoBack"/>
      <w:bookmarkEnd w:id="0"/>
    </w:p>
    <w:p w:rsidR="00415E62" w:rsidRPr="0031783A" w:rsidRDefault="00415E62" w:rsidP="0031783A">
      <w:pPr>
        <w:tabs>
          <w:tab w:val="left" w:pos="1680"/>
        </w:tabs>
        <w:snapToGrid w:val="0"/>
        <w:spacing w:line="360" w:lineRule="atLeast"/>
        <w:jc w:val="center"/>
        <w:rPr>
          <w:rFonts w:eastAsiaTheme="minorEastAsia"/>
          <w:b/>
          <w:snapToGrid w:val="0"/>
          <w:sz w:val="28"/>
          <w:szCs w:val="28"/>
          <w:lang w:val="en-US"/>
        </w:rPr>
      </w:pPr>
    </w:p>
    <w:p w:rsidR="00B26227" w:rsidRDefault="003819F3" w:rsidP="00801A19">
      <w:pPr>
        <w:tabs>
          <w:tab w:val="left" w:pos="1440"/>
        </w:tabs>
        <w:spacing w:after="240" w:line="360" w:lineRule="atLeast"/>
        <w:jc w:val="both"/>
        <w:rPr>
          <w:bCs/>
          <w:snapToGrid w:val="0"/>
          <w:kern w:val="0"/>
          <w:sz w:val="28"/>
          <w:szCs w:val="28"/>
          <w:lang w:val="en-US"/>
        </w:rPr>
      </w:pPr>
      <w:r>
        <w:rPr>
          <w:bCs/>
          <w:snapToGrid w:val="0"/>
          <w:kern w:val="0"/>
          <w:sz w:val="28"/>
          <w:szCs w:val="28"/>
          <w:lang w:val="en-US"/>
        </w:rPr>
        <w:t>1</w:t>
      </w:r>
      <w:r w:rsidR="00B26227" w:rsidRPr="0031783A">
        <w:rPr>
          <w:bCs/>
          <w:snapToGrid w:val="0"/>
          <w:kern w:val="0"/>
          <w:sz w:val="28"/>
          <w:szCs w:val="28"/>
          <w:lang w:val="en-US"/>
        </w:rPr>
        <w:t>.</w:t>
      </w:r>
      <w:r w:rsidR="00B26227" w:rsidRPr="0031783A">
        <w:rPr>
          <w:bCs/>
          <w:snapToGrid w:val="0"/>
          <w:kern w:val="0"/>
          <w:sz w:val="28"/>
          <w:szCs w:val="28"/>
          <w:lang w:val="en-US"/>
        </w:rPr>
        <w:tab/>
        <w:t xml:space="preserve">The position remains largely as explained in paragraphs 186-187 of the </w:t>
      </w:r>
      <w:r w:rsidR="00174B6D">
        <w:rPr>
          <w:bCs/>
          <w:snapToGrid w:val="0"/>
          <w:kern w:val="0"/>
          <w:sz w:val="28"/>
          <w:szCs w:val="28"/>
          <w:lang w:val="en-US"/>
        </w:rPr>
        <w:t>previous</w:t>
      </w:r>
      <w:r w:rsidR="00174B6D" w:rsidRPr="0031783A">
        <w:rPr>
          <w:bCs/>
          <w:snapToGrid w:val="0"/>
          <w:kern w:val="0"/>
          <w:sz w:val="28"/>
          <w:szCs w:val="28"/>
          <w:lang w:val="en-US"/>
        </w:rPr>
        <w:t xml:space="preserve"> </w:t>
      </w:r>
      <w:r w:rsidR="00B26227" w:rsidRPr="0031783A">
        <w:rPr>
          <w:bCs/>
          <w:snapToGrid w:val="0"/>
          <w:kern w:val="0"/>
          <w:sz w:val="28"/>
          <w:szCs w:val="28"/>
          <w:lang w:val="en-US"/>
        </w:rPr>
        <w:t>report.</w:t>
      </w:r>
      <w:r w:rsidR="0031783A">
        <w:rPr>
          <w:bCs/>
          <w:snapToGrid w:val="0"/>
          <w:kern w:val="0"/>
          <w:sz w:val="28"/>
          <w:szCs w:val="28"/>
          <w:lang w:val="en-US"/>
        </w:rPr>
        <w:t xml:space="preserve"> </w:t>
      </w:r>
      <w:r w:rsidR="00B26227" w:rsidRPr="0031783A">
        <w:rPr>
          <w:bCs/>
          <w:snapToGrid w:val="0"/>
          <w:kern w:val="0"/>
          <w:sz w:val="28"/>
          <w:szCs w:val="28"/>
          <w:lang w:val="en-US"/>
        </w:rPr>
        <w:t xml:space="preserve"> Mainland residents who wish to settle in Hong Kong for family reunion must apply for One-way Permits (OWP) (i.e. Permits for Proceeding to Hong Kong and Macao) from the exit and entry administration offices of the public security authority at the places of their household registration on the Mainland.  The OWP scheme is a family reunion scheme which ensures that the eligible Mainland residents will come to Hong Kong for settlement in an orderly manner.</w:t>
      </w:r>
    </w:p>
    <w:p w:rsidR="00B26227" w:rsidRDefault="003819F3" w:rsidP="00801A19">
      <w:pPr>
        <w:tabs>
          <w:tab w:val="left" w:pos="1440"/>
        </w:tabs>
        <w:spacing w:after="240" w:line="360" w:lineRule="atLeast"/>
        <w:jc w:val="both"/>
        <w:rPr>
          <w:bCs/>
          <w:snapToGrid w:val="0"/>
          <w:kern w:val="0"/>
          <w:sz w:val="28"/>
          <w:szCs w:val="28"/>
          <w:lang w:val="en-US"/>
        </w:rPr>
      </w:pPr>
      <w:r>
        <w:rPr>
          <w:bCs/>
          <w:snapToGrid w:val="0"/>
          <w:kern w:val="0"/>
          <w:sz w:val="28"/>
          <w:szCs w:val="28"/>
          <w:lang w:val="en-US"/>
        </w:rPr>
        <w:t>2</w:t>
      </w:r>
      <w:r w:rsidR="00B26227" w:rsidRPr="0031783A">
        <w:rPr>
          <w:bCs/>
          <w:snapToGrid w:val="0"/>
          <w:kern w:val="0"/>
          <w:sz w:val="28"/>
          <w:szCs w:val="28"/>
          <w:lang w:val="en-US"/>
        </w:rPr>
        <w:t>.</w:t>
      </w:r>
      <w:r w:rsidR="00B26227" w:rsidRPr="0031783A">
        <w:rPr>
          <w:bCs/>
          <w:snapToGrid w:val="0"/>
          <w:kern w:val="0"/>
          <w:sz w:val="28"/>
          <w:szCs w:val="28"/>
          <w:lang w:val="en-US"/>
        </w:rPr>
        <w:tab/>
        <w:t>The Mainland authorities have since May 1997 implemented a point-based system which has been refined from time to time to assess and determine the eligibility of applicants and the order in which they may settle in Hong Kong according to objective criteria.  Except for Certificate of Entitlement (</w:t>
      </w:r>
      <w:proofErr w:type="spellStart"/>
      <w:r w:rsidR="00B26227" w:rsidRPr="0031783A">
        <w:rPr>
          <w:bCs/>
          <w:snapToGrid w:val="0"/>
          <w:kern w:val="0"/>
          <w:sz w:val="28"/>
          <w:szCs w:val="28"/>
          <w:lang w:val="en-US"/>
        </w:rPr>
        <w:t>CoE</w:t>
      </w:r>
      <w:proofErr w:type="spellEnd"/>
      <w:r w:rsidR="00B26227" w:rsidRPr="0031783A">
        <w:rPr>
          <w:bCs/>
          <w:snapToGrid w:val="0"/>
          <w:kern w:val="0"/>
          <w:sz w:val="28"/>
          <w:szCs w:val="28"/>
          <w:lang w:val="en-US"/>
        </w:rPr>
        <w:t xml:space="preserve">) holders, the considerations in examining and approving the OWP applications include the separation time and the age of the applicants and their Hong Kong relatives.  Mainland residents claiming right of abode under paragraph 2(c) of Schedule 1 to the Immigration Ordinance </w:t>
      </w:r>
      <w:r w:rsidR="00174B6D">
        <w:rPr>
          <w:bCs/>
          <w:snapToGrid w:val="0"/>
          <w:kern w:val="0"/>
          <w:sz w:val="28"/>
          <w:szCs w:val="28"/>
          <w:lang w:val="en-US"/>
        </w:rPr>
        <w:t xml:space="preserve">(Cap. 115) </w:t>
      </w:r>
      <w:r w:rsidR="00B26227" w:rsidRPr="0031783A">
        <w:rPr>
          <w:bCs/>
          <w:snapToGrid w:val="0"/>
          <w:kern w:val="0"/>
          <w:sz w:val="28"/>
          <w:szCs w:val="28"/>
          <w:lang w:val="en-US"/>
        </w:rPr>
        <w:t xml:space="preserve">can apply for a </w:t>
      </w:r>
      <w:proofErr w:type="spellStart"/>
      <w:r w:rsidR="00B26227" w:rsidRPr="0031783A">
        <w:rPr>
          <w:bCs/>
          <w:snapToGrid w:val="0"/>
          <w:kern w:val="0"/>
          <w:sz w:val="28"/>
          <w:szCs w:val="28"/>
          <w:lang w:val="en-US"/>
        </w:rPr>
        <w:t>CoE</w:t>
      </w:r>
      <w:proofErr w:type="spellEnd"/>
      <w:r w:rsidR="00B26227" w:rsidRPr="0031783A">
        <w:rPr>
          <w:bCs/>
          <w:snapToGrid w:val="0"/>
          <w:kern w:val="0"/>
          <w:sz w:val="28"/>
          <w:szCs w:val="28"/>
          <w:lang w:val="en-US"/>
        </w:rPr>
        <w:t xml:space="preserve"> from the Public Security Offices in the Mainland where their household registration is kept. </w:t>
      </w:r>
    </w:p>
    <w:p w:rsidR="00B26227" w:rsidRDefault="003819F3" w:rsidP="00801A19">
      <w:pPr>
        <w:tabs>
          <w:tab w:val="left" w:pos="1440"/>
        </w:tabs>
        <w:spacing w:after="240" w:line="360" w:lineRule="atLeast"/>
        <w:jc w:val="both"/>
        <w:rPr>
          <w:bCs/>
          <w:snapToGrid w:val="0"/>
          <w:kern w:val="0"/>
          <w:sz w:val="28"/>
          <w:szCs w:val="28"/>
          <w:lang w:val="en-US"/>
        </w:rPr>
      </w:pPr>
      <w:r>
        <w:rPr>
          <w:bCs/>
          <w:snapToGrid w:val="0"/>
          <w:kern w:val="0"/>
          <w:sz w:val="28"/>
          <w:szCs w:val="28"/>
          <w:lang w:val="en-US"/>
        </w:rPr>
        <w:t>3</w:t>
      </w:r>
      <w:r w:rsidR="00B26227" w:rsidRPr="0031783A">
        <w:rPr>
          <w:bCs/>
          <w:snapToGrid w:val="0"/>
          <w:kern w:val="0"/>
          <w:sz w:val="28"/>
          <w:szCs w:val="28"/>
          <w:lang w:val="en-US"/>
        </w:rPr>
        <w:t>.</w:t>
      </w:r>
      <w:r w:rsidR="00B26227" w:rsidRPr="0031783A">
        <w:rPr>
          <w:bCs/>
          <w:snapToGrid w:val="0"/>
          <w:kern w:val="0"/>
          <w:sz w:val="28"/>
          <w:szCs w:val="28"/>
          <w:lang w:val="en-US"/>
        </w:rPr>
        <w:tab/>
        <w:t>Mainland residents may also apply for Two-Way Permit (TWP) (i.e. Exit-Entry Permit for Travelling to and from Hong Kong and Macao) and relevant exit endorsement from the Mainland authorities to visit relatives in Hong Kong.</w:t>
      </w:r>
    </w:p>
    <w:p w:rsidR="00B26227" w:rsidRDefault="003819F3" w:rsidP="00801A19">
      <w:pPr>
        <w:tabs>
          <w:tab w:val="left" w:pos="1440"/>
        </w:tabs>
        <w:spacing w:after="240" w:line="360" w:lineRule="atLeast"/>
        <w:jc w:val="both"/>
        <w:rPr>
          <w:bCs/>
          <w:snapToGrid w:val="0"/>
          <w:kern w:val="0"/>
          <w:sz w:val="28"/>
          <w:szCs w:val="28"/>
          <w:lang w:val="en-US"/>
        </w:rPr>
      </w:pPr>
      <w:r>
        <w:rPr>
          <w:bCs/>
          <w:snapToGrid w:val="0"/>
          <w:kern w:val="0"/>
          <w:sz w:val="28"/>
          <w:szCs w:val="28"/>
          <w:lang w:val="en-US"/>
        </w:rPr>
        <w:t>4</w:t>
      </w:r>
      <w:r w:rsidR="00B26227" w:rsidRPr="0031783A">
        <w:rPr>
          <w:bCs/>
          <w:snapToGrid w:val="0"/>
          <w:kern w:val="0"/>
          <w:sz w:val="28"/>
          <w:szCs w:val="28"/>
          <w:lang w:val="en-US"/>
        </w:rPr>
        <w:t>.</w:t>
      </w:r>
      <w:r w:rsidR="00B26227" w:rsidRPr="0031783A">
        <w:rPr>
          <w:bCs/>
          <w:snapToGrid w:val="0"/>
          <w:kern w:val="0"/>
          <w:sz w:val="28"/>
          <w:szCs w:val="28"/>
          <w:lang w:val="en-US"/>
        </w:rPr>
        <w:tab/>
        <w:t>The application, approval and issue of OWP, TWP and exit endorsements are within the remit of the Mainland authorities.  However, the Government continues to convey to the Mainland authorities the views of various sectors in Hong Kong, and the Mainland authorities have from time to time adjusted and refined the arrangements for OWP, TWP and relevant exit endorsements.  For example, starting from 25</w:t>
      </w:r>
      <w:r w:rsidR="00050D11">
        <w:rPr>
          <w:bCs/>
          <w:snapToGrid w:val="0"/>
          <w:kern w:val="0"/>
          <w:sz w:val="28"/>
          <w:szCs w:val="28"/>
          <w:lang w:val="en-US"/>
        </w:rPr>
        <w:t xml:space="preserve"> </w:t>
      </w:r>
      <w:r w:rsidR="00B26227" w:rsidRPr="0031783A">
        <w:rPr>
          <w:bCs/>
          <w:snapToGrid w:val="0"/>
          <w:kern w:val="0"/>
          <w:sz w:val="28"/>
          <w:szCs w:val="28"/>
          <w:lang w:val="en-US"/>
        </w:rPr>
        <w:t xml:space="preserve">December 2009 “one-year multiple exit endorsement for visiting relatives” have been issued to eligible Mainland residents holding TWP, which enables them to </w:t>
      </w:r>
      <w:r w:rsidR="00B26227" w:rsidRPr="00801A19">
        <w:rPr>
          <w:bCs/>
          <w:snapToGrid w:val="0"/>
          <w:kern w:val="0"/>
          <w:sz w:val="28"/>
          <w:szCs w:val="28"/>
          <w:lang w:val="en-US"/>
        </w:rPr>
        <w:t>stay in Hong Kong for 90 days on each entry.  Besides, starting from</w:t>
      </w:r>
      <w:r w:rsidR="00050D11" w:rsidRPr="00801A19">
        <w:rPr>
          <w:bCs/>
          <w:snapToGrid w:val="0"/>
          <w:kern w:val="0"/>
          <w:sz w:val="28"/>
          <w:szCs w:val="28"/>
          <w:lang w:val="en-US"/>
        </w:rPr>
        <w:t xml:space="preserve"> </w:t>
      </w:r>
      <w:r w:rsidR="00282D3B">
        <w:rPr>
          <w:bCs/>
          <w:snapToGrid w:val="0"/>
          <w:kern w:val="0"/>
          <w:sz w:val="28"/>
          <w:szCs w:val="28"/>
          <w:lang w:val="en-US"/>
        </w:rPr>
        <w:t xml:space="preserve">   </w:t>
      </w:r>
      <w:r w:rsidR="00B26227" w:rsidRPr="0031783A">
        <w:rPr>
          <w:bCs/>
          <w:snapToGrid w:val="0"/>
          <w:kern w:val="0"/>
          <w:sz w:val="28"/>
          <w:szCs w:val="28"/>
          <w:lang w:val="en-US"/>
        </w:rPr>
        <w:lastRenderedPageBreak/>
        <w:t>1 April 2011, eligible Mainland “overage children” of Hong Kong residents may apply for OWP to come to Hong Kong to reunite with their natural parents.</w:t>
      </w:r>
    </w:p>
    <w:p w:rsidR="00B26227" w:rsidRPr="0031783A" w:rsidRDefault="003819F3" w:rsidP="00801A19">
      <w:pPr>
        <w:tabs>
          <w:tab w:val="left" w:pos="1440"/>
        </w:tabs>
        <w:spacing w:after="240" w:line="360" w:lineRule="atLeast"/>
        <w:jc w:val="both"/>
        <w:rPr>
          <w:bCs/>
          <w:snapToGrid w:val="0"/>
          <w:kern w:val="0"/>
          <w:sz w:val="28"/>
          <w:szCs w:val="28"/>
          <w:lang w:val="en-US"/>
        </w:rPr>
      </w:pPr>
      <w:r>
        <w:rPr>
          <w:bCs/>
          <w:snapToGrid w:val="0"/>
          <w:kern w:val="0"/>
          <w:sz w:val="28"/>
          <w:szCs w:val="28"/>
          <w:lang w:val="en-US"/>
        </w:rPr>
        <w:t>5</w:t>
      </w:r>
      <w:r w:rsidR="00B26227" w:rsidRPr="0031783A">
        <w:rPr>
          <w:bCs/>
          <w:snapToGrid w:val="0"/>
          <w:kern w:val="0"/>
          <w:sz w:val="28"/>
          <w:szCs w:val="28"/>
          <w:lang w:val="en-US"/>
        </w:rPr>
        <w:t>.</w:t>
      </w:r>
      <w:r w:rsidR="00B26227" w:rsidRPr="0031783A">
        <w:rPr>
          <w:bCs/>
          <w:snapToGrid w:val="0"/>
          <w:kern w:val="0"/>
          <w:sz w:val="28"/>
          <w:szCs w:val="28"/>
          <w:lang w:val="en-US"/>
        </w:rPr>
        <w:tab/>
        <w:t xml:space="preserve">The Immigration Department of the HKSAR has been referring to the Mainland </w:t>
      </w:r>
      <w:proofErr w:type="gramStart"/>
      <w:r w:rsidR="00B26227" w:rsidRPr="0031783A">
        <w:rPr>
          <w:bCs/>
          <w:snapToGrid w:val="0"/>
          <w:kern w:val="0"/>
          <w:sz w:val="28"/>
          <w:szCs w:val="28"/>
          <w:lang w:val="en-US"/>
        </w:rPr>
        <w:t>authorities</w:t>
      </w:r>
      <w:proofErr w:type="gramEnd"/>
      <w:r w:rsidR="00B26227" w:rsidRPr="0031783A">
        <w:rPr>
          <w:bCs/>
          <w:snapToGrid w:val="0"/>
          <w:kern w:val="0"/>
          <w:sz w:val="28"/>
          <w:szCs w:val="28"/>
          <w:lang w:val="en-US"/>
        </w:rPr>
        <w:t xml:space="preserve"> individual cases with special family difficulty and providing them with information about the special circumstances and background information of these cases.  The Mainland authorities have exercised discretion and issued OWP or “one-year multiple exit endorsement for visiting relatives” to some of these applicants.</w:t>
      </w:r>
    </w:p>
    <w:p w:rsidR="00B26227" w:rsidRPr="0031783A" w:rsidRDefault="00B26227" w:rsidP="00801A19">
      <w:pPr>
        <w:tabs>
          <w:tab w:val="left" w:pos="1440"/>
        </w:tabs>
        <w:spacing w:after="240" w:line="360" w:lineRule="atLeast"/>
        <w:jc w:val="both"/>
        <w:rPr>
          <w:bCs/>
          <w:snapToGrid w:val="0"/>
          <w:kern w:val="0"/>
          <w:sz w:val="28"/>
          <w:szCs w:val="28"/>
          <w:lang w:val="en-US"/>
        </w:rPr>
      </w:pPr>
    </w:p>
    <w:p w:rsidR="001C7405" w:rsidRPr="0031783A" w:rsidRDefault="001C7405" w:rsidP="00801A19">
      <w:pPr>
        <w:tabs>
          <w:tab w:val="left" w:pos="1440"/>
        </w:tabs>
        <w:spacing w:after="240" w:line="360" w:lineRule="atLeast"/>
        <w:jc w:val="both"/>
        <w:rPr>
          <w:bCs/>
          <w:snapToGrid w:val="0"/>
          <w:kern w:val="0"/>
          <w:sz w:val="28"/>
          <w:szCs w:val="28"/>
          <w:lang w:val="en-US"/>
        </w:rPr>
      </w:pPr>
    </w:p>
    <w:sectPr w:rsidR="001C7405" w:rsidRPr="0031783A">
      <w:footerReference w:type="default" r:id="rId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0A43" w:rsidRDefault="00C80A43" w:rsidP="00B26227">
      <w:r>
        <w:separator/>
      </w:r>
    </w:p>
  </w:endnote>
  <w:endnote w:type="continuationSeparator" w:id="0">
    <w:p w:rsidR="00C80A43" w:rsidRDefault="00C80A43" w:rsidP="00B26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7875798"/>
      <w:docPartObj>
        <w:docPartGallery w:val="Page Numbers (Bottom of Page)"/>
        <w:docPartUnique/>
      </w:docPartObj>
    </w:sdtPr>
    <w:sdtEndPr>
      <w:rPr>
        <w:rFonts w:ascii="Times New Roman" w:eastAsia="新細明體" w:hAnsi="Times New Roman"/>
        <w:sz w:val="24"/>
      </w:rPr>
    </w:sdtEndPr>
    <w:sdtContent>
      <w:p w:rsidR="003B36B6" w:rsidRDefault="003B36B6">
        <w:pPr>
          <w:pStyle w:val="a5"/>
          <w:jc w:val="center"/>
        </w:pPr>
        <w:r w:rsidRPr="0031783A">
          <w:rPr>
            <w:rFonts w:ascii="Times New Roman" w:eastAsia="新細明體" w:hAnsi="Times New Roman"/>
            <w:sz w:val="24"/>
          </w:rPr>
          <w:fldChar w:fldCharType="begin"/>
        </w:r>
        <w:r w:rsidRPr="0031783A">
          <w:rPr>
            <w:rFonts w:ascii="Times New Roman" w:eastAsia="新細明體" w:hAnsi="Times New Roman"/>
            <w:sz w:val="24"/>
          </w:rPr>
          <w:instrText>PAGE   \* MERGEFORMAT</w:instrText>
        </w:r>
        <w:r w:rsidRPr="0031783A">
          <w:rPr>
            <w:rFonts w:ascii="Times New Roman" w:eastAsia="新細明體" w:hAnsi="Times New Roman"/>
            <w:sz w:val="24"/>
          </w:rPr>
          <w:fldChar w:fldCharType="separate"/>
        </w:r>
        <w:r w:rsidR="00B50CD7" w:rsidRPr="00B50CD7">
          <w:rPr>
            <w:rFonts w:ascii="Times New Roman" w:eastAsia="新細明體" w:hAnsi="Times New Roman"/>
            <w:noProof/>
            <w:sz w:val="24"/>
            <w:lang w:val="zh-TW"/>
          </w:rPr>
          <w:t>2</w:t>
        </w:r>
        <w:r w:rsidRPr="0031783A">
          <w:rPr>
            <w:rFonts w:ascii="Times New Roman" w:eastAsia="新細明體" w:hAnsi="Times New Roman"/>
            <w:sz w:val="24"/>
          </w:rPr>
          <w:fldChar w:fldCharType="end"/>
        </w:r>
      </w:p>
    </w:sdtContent>
  </w:sdt>
  <w:p w:rsidR="003B36B6" w:rsidRDefault="003B36B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0A43" w:rsidRDefault="00C80A43" w:rsidP="00B26227">
      <w:r>
        <w:separator/>
      </w:r>
    </w:p>
  </w:footnote>
  <w:footnote w:type="continuationSeparator" w:id="0">
    <w:p w:rsidR="00C80A43" w:rsidRDefault="00C80A43" w:rsidP="00B2622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19F4"/>
    <w:rsid w:val="00050D11"/>
    <w:rsid w:val="000B4791"/>
    <w:rsid w:val="00172B33"/>
    <w:rsid w:val="00174B6D"/>
    <w:rsid w:val="001C7405"/>
    <w:rsid w:val="00282D3B"/>
    <w:rsid w:val="002D2325"/>
    <w:rsid w:val="00315C9D"/>
    <w:rsid w:val="0031783A"/>
    <w:rsid w:val="003819F3"/>
    <w:rsid w:val="003B36B6"/>
    <w:rsid w:val="00415E62"/>
    <w:rsid w:val="00571C37"/>
    <w:rsid w:val="00801A19"/>
    <w:rsid w:val="00916599"/>
    <w:rsid w:val="009167D3"/>
    <w:rsid w:val="009F7766"/>
    <w:rsid w:val="00AC612A"/>
    <w:rsid w:val="00B019F4"/>
    <w:rsid w:val="00B26227"/>
    <w:rsid w:val="00B50CD7"/>
    <w:rsid w:val="00BC3542"/>
    <w:rsid w:val="00C80A43"/>
    <w:rsid w:val="00CD45AE"/>
    <w:rsid w:val="00D57283"/>
    <w:rsid w:val="00F4008A"/>
    <w:rsid w:val="00F47E7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chartTrackingRefBased/>
  <w15:docId w15:val="{F52004C1-BD27-413A-9C53-99D1CD8E3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6227"/>
    <w:pPr>
      <w:widowControl w:val="0"/>
    </w:pPr>
    <w:rPr>
      <w:rFonts w:ascii="Times New Roman" w:eastAsia="新細明體" w:hAnsi="Times New Roman" w:cs="Times New Roman"/>
      <w:szCs w:val="24"/>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ingleTxtG">
    <w:name w:val="_ Single Txt_G"/>
    <w:basedOn w:val="a"/>
    <w:qFormat/>
    <w:rsid w:val="00B019F4"/>
    <w:pPr>
      <w:widowControl/>
      <w:suppressAutoHyphens/>
      <w:spacing w:after="120" w:line="240" w:lineRule="atLeast"/>
      <w:ind w:left="1134" w:right="1134"/>
      <w:jc w:val="both"/>
    </w:pPr>
    <w:rPr>
      <w:kern w:val="0"/>
      <w:sz w:val="20"/>
      <w:szCs w:val="20"/>
      <w:lang w:eastAsia="en-US"/>
    </w:rPr>
  </w:style>
  <w:style w:type="paragraph" w:customStyle="1" w:styleId="HChG">
    <w:name w:val="_ H _Ch_G"/>
    <w:basedOn w:val="a"/>
    <w:next w:val="a"/>
    <w:qFormat/>
    <w:rsid w:val="00B019F4"/>
    <w:pPr>
      <w:keepNext/>
      <w:keepLines/>
      <w:widowControl/>
      <w:tabs>
        <w:tab w:val="right" w:pos="851"/>
      </w:tabs>
      <w:suppressAutoHyphens/>
      <w:spacing w:before="360" w:after="240" w:line="300" w:lineRule="exact"/>
      <w:ind w:left="1134" w:right="1134" w:hanging="1134"/>
    </w:pPr>
    <w:rPr>
      <w:rFonts w:eastAsia="SimSun"/>
      <w:b/>
      <w:kern w:val="0"/>
      <w:sz w:val="28"/>
      <w:szCs w:val="20"/>
      <w:lang w:eastAsia="en-US"/>
    </w:rPr>
  </w:style>
  <w:style w:type="paragraph" w:styleId="a3">
    <w:name w:val="header"/>
    <w:basedOn w:val="a"/>
    <w:link w:val="a4"/>
    <w:uiPriority w:val="99"/>
    <w:unhideWhenUsed/>
    <w:rsid w:val="00B26227"/>
    <w:pPr>
      <w:tabs>
        <w:tab w:val="center" w:pos="4153"/>
        <w:tab w:val="right" w:pos="8306"/>
      </w:tabs>
      <w:snapToGrid w:val="0"/>
    </w:pPr>
    <w:rPr>
      <w:rFonts w:asciiTheme="minorHAnsi" w:eastAsiaTheme="minorEastAsia" w:hAnsiTheme="minorHAnsi" w:cstheme="minorBidi"/>
      <w:sz w:val="20"/>
      <w:szCs w:val="20"/>
    </w:rPr>
  </w:style>
  <w:style w:type="character" w:customStyle="1" w:styleId="a4">
    <w:name w:val="頁首 字元"/>
    <w:basedOn w:val="a0"/>
    <w:link w:val="a3"/>
    <w:uiPriority w:val="99"/>
    <w:rsid w:val="00B26227"/>
    <w:rPr>
      <w:sz w:val="20"/>
      <w:szCs w:val="20"/>
      <w:lang w:val="en-GB"/>
    </w:rPr>
  </w:style>
  <w:style w:type="paragraph" w:styleId="a5">
    <w:name w:val="footer"/>
    <w:basedOn w:val="a"/>
    <w:link w:val="a6"/>
    <w:uiPriority w:val="99"/>
    <w:unhideWhenUsed/>
    <w:rsid w:val="00B26227"/>
    <w:pPr>
      <w:tabs>
        <w:tab w:val="center" w:pos="4153"/>
        <w:tab w:val="right" w:pos="8306"/>
      </w:tabs>
      <w:snapToGrid w:val="0"/>
    </w:pPr>
    <w:rPr>
      <w:rFonts w:asciiTheme="minorHAnsi" w:eastAsiaTheme="minorEastAsia" w:hAnsiTheme="minorHAnsi" w:cstheme="minorBidi"/>
      <w:sz w:val="20"/>
      <w:szCs w:val="20"/>
    </w:rPr>
  </w:style>
  <w:style w:type="character" w:customStyle="1" w:styleId="a6">
    <w:name w:val="頁尾 字元"/>
    <w:basedOn w:val="a0"/>
    <w:link w:val="a5"/>
    <w:uiPriority w:val="99"/>
    <w:rsid w:val="00B26227"/>
    <w:rPr>
      <w:sz w:val="20"/>
      <w:szCs w:val="20"/>
      <w:lang w:val="en-GB"/>
    </w:rPr>
  </w:style>
  <w:style w:type="paragraph" w:styleId="a7">
    <w:name w:val="Balloon Text"/>
    <w:basedOn w:val="a"/>
    <w:link w:val="a8"/>
    <w:uiPriority w:val="99"/>
    <w:semiHidden/>
    <w:unhideWhenUsed/>
    <w:rsid w:val="003819F3"/>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3819F3"/>
    <w:rPr>
      <w:rFonts w:asciiTheme="majorHAnsi" w:eastAsiaTheme="majorEastAsia" w:hAnsiTheme="majorHAnsi" w:cstheme="majorBid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2</Pages>
  <Words>409</Words>
  <Characters>2337</Characters>
  <Application>Microsoft Office Word</Application>
  <DocSecurity>0</DocSecurity>
  <Lines>19</Lines>
  <Paragraphs>5</Paragraphs>
  <ScaleCrop>false</ScaleCrop>
  <Company>HK Govt</Company>
  <LinksUpToDate>false</LinksUpToDate>
  <CharactersWithSpaces>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CMAB</dc:creator>
  <cp:keywords/>
  <dc:description/>
  <cp:lastModifiedBy>CMAB</cp:lastModifiedBy>
  <cp:revision>22</cp:revision>
  <cp:lastPrinted>2021-09-10T03:04:00Z</cp:lastPrinted>
  <dcterms:created xsi:type="dcterms:W3CDTF">2021-06-08T08:08:00Z</dcterms:created>
  <dcterms:modified xsi:type="dcterms:W3CDTF">2021-09-30T10:26:00Z</dcterms:modified>
</cp:coreProperties>
</file>