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512F3" w14:textId="77777777" w:rsidR="008E1CE9" w:rsidRPr="008E1CE9" w:rsidRDefault="008E1CE9" w:rsidP="008E1CE9">
      <w:pPr>
        <w:ind w:left="-420" w:right="-560"/>
        <w:rPr>
          <w:rFonts w:ascii="Arial" w:hAnsi="Arial" w:cs="Arial"/>
          <w:b/>
          <w:sz w:val="40"/>
          <w:szCs w:val="40"/>
        </w:rPr>
      </w:pPr>
    </w:p>
    <w:p w14:paraId="7314CC51" w14:textId="77777777" w:rsidR="008E1CE9" w:rsidRPr="008E1CE9" w:rsidRDefault="008E1CE9" w:rsidP="008E1CE9">
      <w:pPr>
        <w:ind w:left="-420" w:right="-560"/>
        <w:jc w:val="center"/>
        <w:rPr>
          <w:rFonts w:ascii="Arial" w:hAnsi="Arial" w:cs="Arial"/>
          <w:b/>
          <w:sz w:val="40"/>
          <w:szCs w:val="40"/>
        </w:rPr>
      </w:pPr>
    </w:p>
    <w:p w14:paraId="61395919" w14:textId="77777777" w:rsidR="008E22BA" w:rsidRDefault="008E22BA" w:rsidP="008E1CE9">
      <w:pPr>
        <w:ind w:left="-420" w:right="-560"/>
        <w:jc w:val="center"/>
        <w:rPr>
          <w:rFonts w:ascii="Arial" w:hAnsi="Arial" w:cs="Arial"/>
          <w:b/>
          <w:sz w:val="40"/>
          <w:szCs w:val="40"/>
        </w:rPr>
      </w:pPr>
    </w:p>
    <w:p w14:paraId="7D746685" w14:textId="77777777" w:rsidR="008E22BA" w:rsidRDefault="008E22BA" w:rsidP="008E1CE9">
      <w:pPr>
        <w:ind w:left="-420" w:right="-560"/>
        <w:jc w:val="center"/>
        <w:rPr>
          <w:rFonts w:ascii="Arial" w:hAnsi="Arial" w:cs="Arial"/>
          <w:b/>
          <w:sz w:val="40"/>
          <w:szCs w:val="40"/>
        </w:rPr>
      </w:pPr>
    </w:p>
    <w:p w14:paraId="7FEF29AC" w14:textId="701C018D" w:rsidR="008E1CE9" w:rsidRPr="008E1CE9" w:rsidRDefault="008E1CE9" w:rsidP="008E1CE9">
      <w:pPr>
        <w:ind w:left="-420" w:right="-560"/>
        <w:jc w:val="center"/>
        <w:rPr>
          <w:rFonts w:ascii="Arial" w:hAnsi="Arial" w:cs="Arial"/>
          <w:b/>
          <w:sz w:val="40"/>
          <w:szCs w:val="40"/>
        </w:rPr>
      </w:pPr>
      <w:r w:rsidRPr="008E1CE9">
        <w:rPr>
          <w:rFonts w:ascii="Arial" w:hAnsi="Arial" w:cs="Arial"/>
          <w:b/>
          <w:sz w:val="40"/>
          <w:szCs w:val="40"/>
        </w:rPr>
        <w:t>Joint Submission to the United Nations Human Rights Committee on Economic, Social and Cultural Rights on List of Issues for the Second Periodic Report of the Republic of Croatia</w:t>
      </w:r>
    </w:p>
    <w:p w14:paraId="151E9B35" w14:textId="77777777" w:rsidR="008E1CE9" w:rsidRPr="008E1CE9" w:rsidRDefault="008E1CE9" w:rsidP="008E1CE9">
      <w:pPr>
        <w:ind w:left="-420" w:right="-560"/>
        <w:jc w:val="center"/>
        <w:rPr>
          <w:rFonts w:ascii="Arial" w:hAnsi="Arial" w:cs="Arial"/>
          <w:b/>
          <w:sz w:val="52"/>
          <w:szCs w:val="52"/>
        </w:rPr>
      </w:pPr>
    </w:p>
    <w:p w14:paraId="5234ED23" w14:textId="77777777" w:rsidR="008E1CE9" w:rsidRPr="008E1CE9" w:rsidRDefault="008E1CE9" w:rsidP="008E1CE9">
      <w:pPr>
        <w:ind w:left="-420" w:right="-560"/>
        <w:jc w:val="center"/>
        <w:rPr>
          <w:rFonts w:ascii="Arial" w:hAnsi="Arial" w:cs="Arial"/>
          <w:b/>
          <w:sz w:val="52"/>
          <w:szCs w:val="52"/>
        </w:rPr>
      </w:pPr>
    </w:p>
    <w:p w14:paraId="537A29FC" w14:textId="77777777" w:rsidR="008E1CE9" w:rsidRPr="008E1CE9" w:rsidRDefault="008E1CE9" w:rsidP="008E1CE9">
      <w:pPr>
        <w:ind w:left="-420" w:right="-560"/>
        <w:jc w:val="center"/>
        <w:rPr>
          <w:rFonts w:ascii="Arial" w:hAnsi="Arial" w:cs="Arial"/>
          <w:b/>
          <w:sz w:val="52"/>
          <w:szCs w:val="52"/>
        </w:rPr>
      </w:pPr>
    </w:p>
    <w:p w14:paraId="10A99353" w14:textId="77777777" w:rsidR="008E1CE9" w:rsidRPr="008E1CE9" w:rsidRDefault="008E1CE9" w:rsidP="008E1CE9">
      <w:pPr>
        <w:ind w:left="-420" w:right="-560"/>
        <w:jc w:val="center"/>
        <w:rPr>
          <w:rFonts w:ascii="Arial" w:hAnsi="Arial" w:cs="Arial"/>
          <w:b/>
          <w:sz w:val="52"/>
          <w:szCs w:val="52"/>
        </w:rPr>
      </w:pPr>
    </w:p>
    <w:p w14:paraId="54858468" w14:textId="77777777" w:rsidR="008E1CE9" w:rsidRPr="008E1CE9" w:rsidRDefault="008E1CE9" w:rsidP="008E1CE9">
      <w:pPr>
        <w:ind w:left="-420" w:right="-560"/>
        <w:jc w:val="center"/>
        <w:rPr>
          <w:rFonts w:ascii="Arial" w:hAnsi="Arial" w:cs="Arial"/>
          <w:b/>
          <w:sz w:val="52"/>
          <w:szCs w:val="52"/>
        </w:rPr>
      </w:pPr>
    </w:p>
    <w:p w14:paraId="21357EE5" w14:textId="77777777" w:rsidR="008E1CE9" w:rsidRPr="008E1CE9" w:rsidRDefault="008E1CE9" w:rsidP="008E1CE9">
      <w:pPr>
        <w:jc w:val="center"/>
        <w:rPr>
          <w:rFonts w:ascii="Arial" w:hAnsi="Arial" w:cs="Arial"/>
        </w:rPr>
      </w:pPr>
    </w:p>
    <w:p w14:paraId="1C51ED5D" w14:textId="77777777" w:rsidR="008E1CE9" w:rsidRPr="008E1CE9" w:rsidRDefault="008E1CE9" w:rsidP="008E1CE9">
      <w:pPr>
        <w:rPr>
          <w:rFonts w:ascii="Arial" w:hAnsi="Arial" w:cs="Arial"/>
        </w:rPr>
      </w:pPr>
      <w:r w:rsidRPr="008E1CE9">
        <w:rPr>
          <w:rFonts w:ascii="Arial" w:hAnsi="Arial" w:cs="Arial"/>
        </w:rPr>
        <w:tab/>
      </w:r>
      <w:r w:rsidRPr="008E1CE9">
        <w:rPr>
          <w:rFonts w:ascii="Arial" w:hAnsi="Arial" w:cs="Arial"/>
        </w:rPr>
        <w:tab/>
        <w:t xml:space="preserve"> </w:t>
      </w:r>
      <w:r w:rsidRPr="008E1CE9">
        <w:rPr>
          <w:rFonts w:ascii="Arial" w:hAnsi="Arial" w:cs="Arial"/>
        </w:rPr>
        <w:tab/>
        <w:t xml:space="preserve"> </w:t>
      </w:r>
      <w:r w:rsidRPr="008E1CE9">
        <w:rPr>
          <w:rFonts w:ascii="Arial" w:hAnsi="Arial" w:cs="Arial"/>
        </w:rPr>
        <w:tab/>
        <w:t xml:space="preserve"> </w:t>
      </w:r>
      <w:r w:rsidRPr="008E1CE9">
        <w:rPr>
          <w:rFonts w:ascii="Arial" w:hAnsi="Arial" w:cs="Arial"/>
        </w:rPr>
        <w:tab/>
      </w:r>
      <w:r w:rsidRPr="008E1CE9">
        <w:rPr>
          <w:rFonts w:ascii="Arial" w:hAnsi="Arial" w:cs="Arial"/>
        </w:rPr>
        <w:tab/>
      </w:r>
    </w:p>
    <w:p w14:paraId="0E0BB7EB" w14:textId="77777777" w:rsidR="008E1CE9" w:rsidRPr="008E1CE9" w:rsidRDefault="008E1CE9" w:rsidP="008E1CE9">
      <w:pPr>
        <w:rPr>
          <w:rFonts w:ascii="Arial" w:hAnsi="Arial" w:cs="Arial"/>
        </w:rPr>
      </w:pPr>
      <w:r w:rsidRPr="008E1CE9">
        <w:rPr>
          <w:rFonts w:ascii="Arial" w:hAnsi="Arial" w:cs="Arial"/>
        </w:rPr>
        <w:tab/>
      </w:r>
      <w:r w:rsidRPr="008E1CE9">
        <w:rPr>
          <w:rFonts w:ascii="Arial" w:hAnsi="Arial" w:cs="Arial"/>
        </w:rPr>
        <w:tab/>
      </w:r>
    </w:p>
    <w:p w14:paraId="576B1539" w14:textId="77777777" w:rsidR="008E1CE9" w:rsidRPr="008E1CE9" w:rsidRDefault="008E1CE9" w:rsidP="008E1CE9">
      <w:pPr>
        <w:rPr>
          <w:rFonts w:ascii="Arial" w:hAnsi="Arial" w:cs="Arial"/>
        </w:rPr>
      </w:pPr>
    </w:p>
    <w:p w14:paraId="421A0ADE" w14:textId="77777777" w:rsidR="008E1CE9" w:rsidRPr="008E1CE9" w:rsidRDefault="008E1CE9" w:rsidP="008E1CE9">
      <w:pPr>
        <w:rPr>
          <w:rFonts w:ascii="Arial" w:hAnsi="Arial" w:cs="Arial"/>
        </w:rPr>
      </w:pPr>
      <w:r w:rsidRPr="008E1CE9">
        <w:rPr>
          <w:rFonts w:ascii="Arial" w:hAnsi="Arial" w:cs="Arial"/>
        </w:rPr>
        <w:tab/>
      </w:r>
      <w:r w:rsidRPr="008E1CE9">
        <w:rPr>
          <w:rFonts w:ascii="Arial" w:hAnsi="Arial" w:cs="Arial"/>
        </w:rPr>
        <w:tab/>
      </w:r>
      <w:r w:rsidRPr="008E1CE9">
        <w:rPr>
          <w:rFonts w:ascii="Arial" w:hAnsi="Arial" w:cs="Arial"/>
        </w:rPr>
        <w:tab/>
      </w:r>
      <w:r w:rsidRPr="008E1CE9">
        <w:rPr>
          <w:rFonts w:ascii="Arial" w:hAnsi="Arial" w:cs="Arial"/>
        </w:rPr>
        <w:tab/>
      </w:r>
      <w:r w:rsidRPr="008E1CE9">
        <w:rPr>
          <w:rFonts w:ascii="Arial" w:hAnsi="Arial" w:cs="Arial"/>
        </w:rPr>
        <w:tab/>
      </w:r>
      <w:r w:rsidRPr="008E1CE9">
        <w:rPr>
          <w:rFonts w:ascii="Arial" w:hAnsi="Arial" w:cs="Arial"/>
        </w:rPr>
        <w:tab/>
      </w:r>
    </w:p>
    <w:p w14:paraId="7C1FB459" w14:textId="77777777" w:rsidR="008E1CE9" w:rsidRPr="008E1CE9" w:rsidRDefault="008E1CE9" w:rsidP="008E1CE9">
      <w:pPr>
        <w:rPr>
          <w:rFonts w:ascii="Arial" w:hAnsi="Arial" w:cs="Arial"/>
        </w:rPr>
      </w:pPr>
    </w:p>
    <w:p w14:paraId="6756A208" w14:textId="4EE07E7A" w:rsidR="008E1CE9" w:rsidRPr="008E22BA" w:rsidRDefault="008E1CE9" w:rsidP="008E1CE9">
      <w:pPr>
        <w:rPr>
          <w:rFonts w:ascii="Arial" w:hAnsi="Arial" w:cs="Arial"/>
          <w:sz w:val="22"/>
          <w:szCs w:val="22"/>
        </w:rPr>
      </w:pPr>
      <w:r w:rsidRPr="008E22BA">
        <w:rPr>
          <w:rFonts w:ascii="Arial" w:hAnsi="Arial" w:cs="Arial"/>
          <w:sz w:val="22"/>
          <w:szCs w:val="22"/>
        </w:rPr>
        <w:t>Contact:</w:t>
      </w:r>
      <w:r w:rsidRPr="008E22BA">
        <w:rPr>
          <w:rFonts w:ascii="Arial" w:hAnsi="Arial" w:cs="Arial"/>
          <w:sz w:val="22"/>
          <w:szCs w:val="22"/>
        </w:rPr>
        <w:tab/>
      </w:r>
      <w:r w:rsidRPr="008E22BA">
        <w:rPr>
          <w:rFonts w:ascii="Arial" w:hAnsi="Arial" w:cs="Arial"/>
          <w:sz w:val="22"/>
          <w:szCs w:val="22"/>
        </w:rPr>
        <w:tab/>
      </w:r>
      <w:r w:rsidRPr="008E22BA">
        <w:rPr>
          <w:rFonts w:ascii="Arial" w:hAnsi="Arial" w:cs="Arial"/>
          <w:sz w:val="22"/>
          <w:szCs w:val="22"/>
        </w:rPr>
        <w:tab/>
      </w:r>
      <w:r w:rsidRPr="008E22BA">
        <w:rPr>
          <w:rFonts w:ascii="Arial" w:hAnsi="Arial" w:cs="Arial"/>
          <w:sz w:val="22"/>
          <w:szCs w:val="22"/>
        </w:rPr>
        <w:tab/>
      </w:r>
      <w:r w:rsidRPr="008E22BA">
        <w:rPr>
          <w:rFonts w:ascii="Arial" w:hAnsi="Arial" w:cs="Arial"/>
          <w:sz w:val="22"/>
          <w:szCs w:val="22"/>
        </w:rPr>
        <w:tab/>
      </w:r>
    </w:p>
    <w:p w14:paraId="0192F5BC" w14:textId="63A5562B" w:rsidR="008E1CE9" w:rsidRPr="008E22BA" w:rsidRDefault="008E1CE9" w:rsidP="008E1CE9">
      <w:pPr>
        <w:rPr>
          <w:rFonts w:ascii="Arial" w:hAnsi="Arial" w:cs="Arial"/>
          <w:sz w:val="22"/>
          <w:szCs w:val="22"/>
        </w:rPr>
      </w:pPr>
      <w:r w:rsidRPr="008E22BA">
        <w:rPr>
          <w:rFonts w:ascii="Arial" w:hAnsi="Arial" w:cs="Arial"/>
          <w:sz w:val="22"/>
          <w:szCs w:val="22"/>
        </w:rPr>
        <w:t xml:space="preserve">Tina </w:t>
      </w:r>
      <w:proofErr w:type="spellStart"/>
      <w:r w:rsidRPr="008E22BA">
        <w:rPr>
          <w:rFonts w:ascii="Arial" w:hAnsi="Arial" w:cs="Arial"/>
          <w:sz w:val="22"/>
          <w:szCs w:val="22"/>
        </w:rPr>
        <w:t>Đaković</w:t>
      </w:r>
      <w:proofErr w:type="spellEnd"/>
      <w:r w:rsidRPr="008E22BA">
        <w:rPr>
          <w:rFonts w:ascii="Arial" w:hAnsi="Arial" w:cs="Arial"/>
          <w:sz w:val="22"/>
          <w:szCs w:val="22"/>
        </w:rPr>
        <w:t xml:space="preserve">, </w:t>
      </w:r>
      <w:r w:rsidR="008E22BA" w:rsidRPr="008E22BA">
        <w:rPr>
          <w:rFonts w:ascii="Arial" w:hAnsi="Arial" w:cs="Arial"/>
          <w:sz w:val="22"/>
          <w:szCs w:val="22"/>
        </w:rPr>
        <w:t>Organizational</w:t>
      </w:r>
      <w:r w:rsidRPr="008E22BA">
        <w:rPr>
          <w:rFonts w:ascii="Arial" w:hAnsi="Arial" w:cs="Arial"/>
          <w:sz w:val="22"/>
          <w:szCs w:val="22"/>
        </w:rPr>
        <w:t xml:space="preserve"> and Program Coordinator</w:t>
      </w:r>
    </w:p>
    <w:p w14:paraId="7DE9E531" w14:textId="77777777" w:rsidR="008E1CE9" w:rsidRPr="008E22BA" w:rsidRDefault="008E1CE9" w:rsidP="008E1CE9">
      <w:pPr>
        <w:rPr>
          <w:rFonts w:ascii="Arial" w:hAnsi="Arial" w:cs="Arial"/>
          <w:b/>
          <w:sz w:val="22"/>
          <w:szCs w:val="22"/>
        </w:rPr>
      </w:pPr>
      <w:r w:rsidRPr="008E22BA">
        <w:rPr>
          <w:rFonts w:ascii="Arial" w:hAnsi="Arial" w:cs="Arial"/>
          <w:b/>
          <w:sz w:val="22"/>
          <w:szCs w:val="22"/>
        </w:rPr>
        <w:t>Human Rights House Zagreb</w:t>
      </w:r>
    </w:p>
    <w:p w14:paraId="110A75FA" w14:textId="77777777" w:rsidR="008E1CE9" w:rsidRPr="008E22BA" w:rsidRDefault="00DB5432" w:rsidP="008E1CE9">
      <w:pPr>
        <w:rPr>
          <w:rFonts w:ascii="Arial" w:hAnsi="Arial" w:cs="Arial"/>
          <w:sz w:val="22"/>
          <w:szCs w:val="22"/>
        </w:rPr>
      </w:pPr>
      <w:hyperlink r:id="rId8">
        <w:r w:rsidR="008E1CE9" w:rsidRPr="008E22BA">
          <w:rPr>
            <w:rFonts w:ascii="Arial" w:hAnsi="Arial" w:cs="Arial"/>
            <w:color w:val="1155CC"/>
            <w:sz w:val="22"/>
            <w:szCs w:val="22"/>
            <w:u w:val="single"/>
          </w:rPr>
          <w:t>kontakt@kucaljudskihprava.hr</w:t>
        </w:r>
      </w:hyperlink>
      <w:r w:rsidR="008E1CE9" w:rsidRPr="008E22BA">
        <w:rPr>
          <w:rFonts w:ascii="Arial" w:hAnsi="Arial" w:cs="Arial"/>
          <w:sz w:val="22"/>
          <w:szCs w:val="22"/>
        </w:rPr>
        <w:t xml:space="preserve"> </w:t>
      </w:r>
    </w:p>
    <w:p w14:paraId="595CA97F" w14:textId="77777777" w:rsidR="008E1CE9" w:rsidRPr="008E22BA" w:rsidRDefault="008E1CE9" w:rsidP="008E1CE9">
      <w:pPr>
        <w:rPr>
          <w:rFonts w:ascii="Arial" w:hAnsi="Arial" w:cs="Arial"/>
          <w:sz w:val="22"/>
          <w:szCs w:val="22"/>
        </w:rPr>
      </w:pPr>
      <w:r w:rsidRPr="008E22BA">
        <w:rPr>
          <w:rFonts w:ascii="Arial" w:hAnsi="Arial" w:cs="Arial"/>
          <w:sz w:val="22"/>
          <w:szCs w:val="22"/>
        </w:rPr>
        <w:t xml:space="preserve">Tel: +38515513395 </w:t>
      </w:r>
    </w:p>
    <w:p w14:paraId="52DF5762" w14:textId="77777777" w:rsidR="008E1CE9" w:rsidRPr="008E22BA" w:rsidRDefault="008E1CE9" w:rsidP="008E1CE9">
      <w:pPr>
        <w:rPr>
          <w:rFonts w:ascii="Arial" w:hAnsi="Arial" w:cs="Arial"/>
          <w:sz w:val="22"/>
          <w:szCs w:val="22"/>
        </w:rPr>
      </w:pPr>
      <w:proofErr w:type="spellStart"/>
      <w:r w:rsidRPr="008E22BA">
        <w:rPr>
          <w:rFonts w:ascii="Arial" w:hAnsi="Arial" w:cs="Arial"/>
          <w:sz w:val="22"/>
          <w:szCs w:val="22"/>
        </w:rPr>
        <w:t>Selska</w:t>
      </w:r>
      <w:proofErr w:type="spellEnd"/>
      <w:r w:rsidRPr="008E22BA">
        <w:rPr>
          <w:rFonts w:ascii="Arial" w:hAnsi="Arial" w:cs="Arial"/>
          <w:sz w:val="22"/>
          <w:szCs w:val="22"/>
        </w:rPr>
        <w:t xml:space="preserve"> cesta 112 a/c, </w:t>
      </w:r>
    </w:p>
    <w:p w14:paraId="5D283A2B" w14:textId="77777777" w:rsidR="008E1CE9" w:rsidRPr="008E22BA" w:rsidRDefault="008E1CE9" w:rsidP="008E1CE9">
      <w:pPr>
        <w:rPr>
          <w:rFonts w:ascii="Arial" w:hAnsi="Arial" w:cs="Arial"/>
          <w:sz w:val="22"/>
          <w:szCs w:val="22"/>
        </w:rPr>
      </w:pPr>
      <w:r w:rsidRPr="008E22BA">
        <w:rPr>
          <w:rFonts w:ascii="Arial" w:hAnsi="Arial" w:cs="Arial"/>
          <w:sz w:val="22"/>
          <w:szCs w:val="22"/>
        </w:rPr>
        <w:t>HR-10000 Zagreb, Croatia</w:t>
      </w:r>
    </w:p>
    <w:p w14:paraId="6B4C6F37" w14:textId="77777777" w:rsidR="008E1CE9" w:rsidRPr="008E22BA" w:rsidRDefault="00DB5432" w:rsidP="008E1CE9">
      <w:pPr>
        <w:rPr>
          <w:rFonts w:ascii="Arial" w:hAnsi="Arial" w:cs="Arial"/>
          <w:sz w:val="22"/>
          <w:szCs w:val="22"/>
        </w:rPr>
      </w:pPr>
      <w:hyperlink r:id="rId9">
        <w:r w:rsidR="008E1CE9" w:rsidRPr="008E22BA">
          <w:rPr>
            <w:rFonts w:ascii="Arial" w:hAnsi="Arial" w:cs="Arial"/>
            <w:color w:val="1155CC"/>
            <w:sz w:val="22"/>
            <w:szCs w:val="22"/>
            <w:u w:val="single"/>
          </w:rPr>
          <w:t>www.kucaljudskihprava.hr</w:t>
        </w:r>
      </w:hyperlink>
      <w:r w:rsidR="008E1CE9" w:rsidRPr="008E22BA">
        <w:rPr>
          <w:rFonts w:ascii="Arial" w:hAnsi="Arial" w:cs="Arial"/>
          <w:sz w:val="22"/>
          <w:szCs w:val="22"/>
        </w:rPr>
        <w:t xml:space="preserve">  </w:t>
      </w:r>
    </w:p>
    <w:p w14:paraId="6E538AE3" w14:textId="77777777" w:rsidR="008E1CE9" w:rsidRPr="008E1CE9" w:rsidRDefault="008E1CE9" w:rsidP="008E1CE9">
      <w:pPr>
        <w:rPr>
          <w:rFonts w:ascii="Arial" w:hAnsi="Arial" w:cs="Arial"/>
        </w:rPr>
      </w:pPr>
      <w:r w:rsidRPr="008E1CE9">
        <w:rPr>
          <w:rFonts w:ascii="Arial" w:hAnsi="Arial" w:cs="Arial"/>
        </w:rPr>
        <w:tab/>
      </w:r>
      <w:r w:rsidRPr="008E1CE9">
        <w:rPr>
          <w:rFonts w:ascii="Arial" w:hAnsi="Arial" w:cs="Arial"/>
        </w:rPr>
        <w:tab/>
      </w:r>
      <w:r w:rsidRPr="008E1CE9">
        <w:rPr>
          <w:rFonts w:ascii="Arial" w:hAnsi="Arial" w:cs="Arial"/>
        </w:rPr>
        <w:tab/>
      </w:r>
    </w:p>
    <w:p w14:paraId="160414B0" w14:textId="77777777" w:rsidR="008E1CE9" w:rsidRPr="008E1CE9" w:rsidRDefault="008E1CE9" w:rsidP="008E1CE9">
      <w:pPr>
        <w:rPr>
          <w:rFonts w:ascii="Arial" w:hAnsi="Arial" w:cs="Arial"/>
        </w:rPr>
      </w:pPr>
    </w:p>
    <w:p w14:paraId="359A5EE8" w14:textId="77777777" w:rsidR="008E1CE9" w:rsidRPr="008E1CE9" w:rsidRDefault="008E1CE9" w:rsidP="008E1CE9">
      <w:pPr>
        <w:jc w:val="center"/>
        <w:rPr>
          <w:rFonts w:ascii="Arial" w:hAnsi="Arial" w:cs="Arial"/>
        </w:rPr>
      </w:pPr>
    </w:p>
    <w:p w14:paraId="7E6C0E33" w14:textId="77777777" w:rsidR="008E1CE9" w:rsidRDefault="008E1CE9" w:rsidP="008E1CE9">
      <w:pPr>
        <w:jc w:val="center"/>
        <w:rPr>
          <w:rFonts w:ascii="Arial" w:hAnsi="Arial" w:cs="Arial"/>
        </w:rPr>
      </w:pPr>
    </w:p>
    <w:p w14:paraId="7A1F8CDB" w14:textId="77777777" w:rsidR="008E1CE9" w:rsidRDefault="008E1CE9" w:rsidP="008E1CE9">
      <w:pPr>
        <w:jc w:val="center"/>
        <w:rPr>
          <w:rFonts w:ascii="Arial" w:hAnsi="Arial" w:cs="Arial"/>
        </w:rPr>
      </w:pPr>
    </w:p>
    <w:p w14:paraId="44A91506" w14:textId="1D1DA8AC" w:rsidR="008E1CE9" w:rsidRDefault="008E1CE9" w:rsidP="008E1CE9">
      <w:pPr>
        <w:jc w:val="center"/>
        <w:rPr>
          <w:rFonts w:ascii="Arial" w:hAnsi="Arial" w:cs="Arial"/>
        </w:rPr>
      </w:pPr>
      <w:r w:rsidRPr="008E1CE9">
        <w:rPr>
          <w:rFonts w:ascii="Arial" w:hAnsi="Arial" w:cs="Arial"/>
        </w:rPr>
        <w:t>January 2023</w:t>
      </w:r>
    </w:p>
    <w:p w14:paraId="15DC808A" w14:textId="77777777" w:rsidR="008E22BA" w:rsidRPr="008E1CE9" w:rsidRDefault="008E22BA" w:rsidP="008E1CE9">
      <w:pPr>
        <w:jc w:val="center"/>
        <w:rPr>
          <w:rFonts w:ascii="Arial" w:hAnsi="Arial" w:cs="Arial"/>
        </w:rPr>
      </w:pPr>
    </w:p>
    <w:sdt>
      <w:sdtPr>
        <w:rPr>
          <w:rFonts w:ascii="Arial" w:hAnsi="Arial" w:cs="Arial"/>
        </w:rPr>
        <w:id w:val="733900100"/>
        <w:docPartObj>
          <w:docPartGallery w:val="Table of Contents"/>
          <w:docPartUnique/>
        </w:docPartObj>
      </w:sdtPr>
      <w:sdtEndPr/>
      <w:sdtContent>
        <w:p w14:paraId="25985302" w14:textId="77777777" w:rsidR="008E1CE9" w:rsidRPr="008E1CE9" w:rsidRDefault="008E1CE9" w:rsidP="008E1CE9">
          <w:pPr>
            <w:tabs>
              <w:tab w:val="right" w:pos="9360"/>
            </w:tabs>
            <w:spacing w:before="80"/>
            <w:rPr>
              <w:rFonts w:ascii="Arial" w:hAnsi="Arial" w:cs="Arial"/>
            </w:rPr>
          </w:pPr>
          <w:r w:rsidRPr="008E1CE9">
            <w:rPr>
              <w:rFonts w:ascii="Arial" w:hAnsi="Arial" w:cs="Arial"/>
            </w:rPr>
            <w:fldChar w:fldCharType="begin"/>
          </w:r>
          <w:r w:rsidRPr="008E1CE9">
            <w:rPr>
              <w:rFonts w:ascii="Arial" w:hAnsi="Arial" w:cs="Arial"/>
            </w:rPr>
            <w:instrText xml:space="preserve"> TOC \h \u \z </w:instrText>
          </w:r>
          <w:r w:rsidRPr="008E1CE9">
            <w:rPr>
              <w:rFonts w:ascii="Arial" w:hAnsi="Arial" w:cs="Arial"/>
            </w:rPr>
            <w:fldChar w:fldCharType="separate"/>
          </w:r>
          <w:r w:rsidRPr="008E1CE9">
            <w:rPr>
              <w:rFonts w:ascii="Arial" w:hAnsi="Arial" w:cs="Arial"/>
            </w:rPr>
            <w:t>Table of Contents</w:t>
          </w:r>
        </w:p>
        <w:p w14:paraId="5FB546AC" w14:textId="77777777" w:rsidR="008E1CE9" w:rsidRPr="008E1CE9" w:rsidRDefault="008E1CE9" w:rsidP="008E1CE9">
          <w:pPr>
            <w:tabs>
              <w:tab w:val="right" w:pos="9360"/>
            </w:tabs>
            <w:spacing w:before="80"/>
            <w:rPr>
              <w:rFonts w:ascii="Arial" w:hAnsi="Arial" w:cs="Arial"/>
            </w:rPr>
          </w:pPr>
        </w:p>
        <w:p w14:paraId="4865113F" w14:textId="77777777" w:rsidR="008E1CE9" w:rsidRPr="008E1CE9" w:rsidRDefault="00DB5432" w:rsidP="008E1CE9">
          <w:pPr>
            <w:tabs>
              <w:tab w:val="right" w:pos="9360"/>
            </w:tabs>
            <w:spacing w:before="80"/>
            <w:rPr>
              <w:rFonts w:ascii="Arial" w:hAnsi="Arial" w:cs="Arial"/>
              <w:b/>
              <w:color w:val="000000"/>
            </w:rPr>
          </w:pPr>
          <w:hyperlink w:anchor="_ywinihj41cmx">
            <w:r w:rsidR="008E1CE9" w:rsidRPr="008E1CE9">
              <w:rPr>
                <w:rFonts w:ascii="Arial" w:eastAsia="Arial" w:hAnsi="Arial" w:cs="Arial"/>
                <w:b/>
                <w:color w:val="000000"/>
                <w:sz w:val="22"/>
                <w:szCs w:val="22"/>
              </w:rPr>
              <w:t>Statement of Interest</w:t>
            </w:r>
          </w:hyperlink>
          <w:r w:rsidR="008E1CE9" w:rsidRPr="008E1CE9">
            <w:rPr>
              <w:rFonts w:ascii="Arial" w:eastAsia="Arial" w:hAnsi="Arial" w:cs="Arial"/>
              <w:b/>
              <w:color w:val="000000"/>
              <w:sz w:val="22"/>
              <w:szCs w:val="22"/>
            </w:rPr>
            <w:tab/>
          </w:r>
          <w:r w:rsidR="008E1CE9" w:rsidRPr="008E1CE9">
            <w:rPr>
              <w:rFonts w:ascii="Arial" w:hAnsi="Arial" w:cs="Arial"/>
            </w:rPr>
            <w:fldChar w:fldCharType="begin"/>
          </w:r>
          <w:r w:rsidR="008E1CE9" w:rsidRPr="008E1CE9">
            <w:rPr>
              <w:rFonts w:ascii="Arial" w:hAnsi="Arial" w:cs="Arial"/>
            </w:rPr>
            <w:instrText xml:space="preserve"> PAGEREF _ywinihj41cmx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eastAsia="Arial" w:hAnsi="Arial" w:cs="Arial"/>
              <w:b/>
              <w:color w:val="000000"/>
              <w:sz w:val="22"/>
              <w:szCs w:val="22"/>
            </w:rPr>
            <w:t>3</w:t>
          </w:r>
          <w:r w:rsidR="008E1CE9" w:rsidRPr="008E1CE9">
            <w:rPr>
              <w:rFonts w:ascii="Arial" w:hAnsi="Arial" w:cs="Arial"/>
            </w:rPr>
            <w:fldChar w:fldCharType="end"/>
          </w:r>
        </w:p>
        <w:p w14:paraId="685372C7" w14:textId="6AFFBCB9" w:rsidR="008E1CE9" w:rsidRPr="008E1CE9" w:rsidRDefault="00DB5432" w:rsidP="008E1CE9">
          <w:pPr>
            <w:tabs>
              <w:tab w:val="right" w:pos="9360"/>
            </w:tabs>
            <w:spacing w:before="200"/>
            <w:rPr>
              <w:rFonts w:ascii="Arial" w:hAnsi="Arial" w:cs="Arial"/>
              <w:b/>
              <w:color w:val="000000"/>
            </w:rPr>
          </w:pPr>
          <w:hyperlink w:anchor="_n04kjfal91qc">
            <w:r w:rsidR="008E1CE9" w:rsidRPr="008E1CE9">
              <w:rPr>
                <w:rFonts w:ascii="Arial" w:eastAsia="Arial" w:hAnsi="Arial" w:cs="Arial"/>
                <w:b/>
                <w:color w:val="000000"/>
                <w:sz w:val="22"/>
                <w:szCs w:val="22"/>
              </w:rPr>
              <w:t>Members of the Coalition submitting information to Committee</w:t>
            </w:r>
          </w:hyperlink>
          <w:r w:rsidR="008E1CE9" w:rsidRPr="008E1CE9">
            <w:rPr>
              <w:rFonts w:ascii="Arial" w:eastAsia="Arial" w:hAnsi="Arial" w:cs="Arial"/>
              <w:b/>
              <w:color w:val="000000"/>
              <w:sz w:val="22"/>
              <w:szCs w:val="22"/>
            </w:rPr>
            <w:tab/>
          </w:r>
          <w:r w:rsidR="008E1CE9" w:rsidRPr="008E1CE9">
            <w:rPr>
              <w:rFonts w:ascii="Arial" w:hAnsi="Arial" w:cs="Arial"/>
            </w:rPr>
            <w:fldChar w:fldCharType="begin"/>
          </w:r>
          <w:r w:rsidR="008E1CE9" w:rsidRPr="008E1CE9">
            <w:rPr>
              <w:rFonts w:ascii="Arial" w:hAnsi="Arial" w:cs="Arial"/>
            </w:rPr>
            <w:instrText xml:space="preserve"> PAGEREF _n04kjfal91qc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eastAsia="Arial" w:hAnsi="Arial" w:cs="Arial"/>
              <w:b/>
              <w:color w:val="000000"/>
              <w:sz w:val="22"/>
              <w:szCs w:val="22"/>
            </w:rPr>
            <w:t>3</w:t>
          </w:r>
          <w:r w:rsidR="008E1CE9" w:rsidRPr="008E1CE9">
            <w:rPr>
              <w:rFonts w:ascii="Arial" w:hAnsi="Arial" w:cs="Arial"/>
            </w:rPr>
            <w:fldChar w:fldCharType="end"/>
          </w:r>
        </w:p>
        <w:p w14:paraId="646734C7" w14:textId="77777777" w:rsidR="008E1CE9" w:rsidRPr="008E1CE9" w:rsidRDefault="00DB5432" w:rsidP="008E1CE9">
          <w:pPr>
            <w:tabs>
              <w:tab w:val="right" w:pos="9360"/>
            </w:tabs>
            <w:spacing w:before="200"/>
            <w:rPr>
              <w:rFonts w:ascii="Arial" w:hAnsi="Arial" w:cs="Arial"/>
              <w:b/>
              <w:color w:val="000000"/>
            </w:rPr>
          </w:pPr>
          <w:hyperlink w:anchor="_7d0msvyt5q0s">
            <w:r w:rsidR="008E1CE9" w:rsidRPr="008E1CE9">
              <w:rPr>
                <w:rFonts w:ascii="Arial" w:eastAsia="Arial" w:hAnsi="Arial" w:cs="Arial"/>
                <w:b/>
                <w:color w:val="000000"/>
                <w:sz w:val="22"/>
                <w:szCs w:val="22"/>
              </w:rPr>
              <w:t>General - on the mechanism</w:t>
            </w:r>
          </w:hyperlink>
          <w:r w:rsidR="008E1CE9" w:rsidRPr="008E1CE9">
            <w:rPr>
              <w:rFonts w:ascii="Arial" w:eastAsia="Arial" w:hAnsi="Arial" w:cs="Arial"/>
              <w:b/>
              <w:color w:val="000000"/>
              <w:sz w:val="22"/>
              <w:szCs w:val="22"/>
            </w:rPr>
            <w:tab/>
          </w:r>
          <w:r w:rsidR="008E1CE9" w:rsidRPr="008E1CE9">
            <w:rPr>
              <w:rFonts w:ascii="Arial" w:hAnsi="Arial" w:cs="Arial"/>
            </w:rPr>
            <w:fldChar w:fldCharType="begin"/>
          </w:r>
          <w:r w:rsidR="008E1CE9" w:rsidRPr="008E1CE9">
            <w:rPr>
              <w:rFonts w:ascii="Arial" w:hAnsi="Arial" w:cs="Arial"/>
            </w:rPr>
            <w:instrText xml:space="preserve"> PAGEREF _7d0msvyt5q0s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eastAsia="Arial" w:hAnsi="Arial" w:cs="Arial"/>
              <w:b/>
              <w:color w:val="000000"/>
              <w:sz w:val="22"/>
              <w:szCs w:val="22"/>
            </w:rPr>
            <w:t>3</w:t>
          </w:r>
          <w:r w:rsidR="008E1CE9" w:rsidRPr="008E1CE9">
            <w:rPr>
              <w:rFonts w:ascii="Arial" w:hAnsi="Arial" w:cs="Arial"/>
            </w:rPr>
            <w:fldChar w:fldCharType="end"/>
          </w:r>
        </w:p>
        <w:p w14:paraId="66609321" w14:textId="77777777" w:rsidR="008E1CE9" w:rsidRPr="008E1CE9" w:rsidRDefault="00DB5432" w:rsidP="008E1CE9">
          <w:pPr>
            <w:tabs>
              <w:tab w:val="right" w:pos="9360"/>
            </w:tabs>
            <w:spacing w:before="200"/>
            <w:rPr>
              <w:rFonts w:ascii="Arial" w:hAnsi="Arial" w:cs="Arial"/>
              <w:b/>
              <w:color w:val="000000"/>
            </w:rPr>
          </w:pPr>
          <w:hyperlink w:anchor="_qughe9jafisw">
            <w:r w:rsidR="008E1CE9" w:rsidRPr="008E1CE9">
              <w:rPr>
                <w:rFonts w:ascii="Arial" w:eastAsia="Arial" w:hAnsi="Arial" w:cs="Arial"/>
                <w:b/>
                <w:color w:val="000000"/>
                <w:sz w:val="22"/>
                <w:szCs w:val="22"/>
              </w:rPr>
              <w:t>Adequate living conditions</w:t>
            </w:r>
          </w:hyperlink>
          <w:r w:rsidR="008E1CE9" w:rsidRPr="008E1CE9">
            <w:rPr>
              <w:rFonts w:ascii="Arial" w:eastAsia="Arial" w:hAnsi="Arial" w:cs="Arial"/>
              <w:b/>
              <w:color w:val="000000"/>
              <w:sz w:val="22"/>
              <w:szCs w:val="22"/>
            </w:rPr>
            <w:tab/>
          </w:r>
          <w:r w:rsidR="008E1CE9" w:rsidRPr="008E1CE9">
            <w:rPr>
              <w:rFonts w:ascii="Arial" w:hAnsi="Arial" w:cs="Arial"/>
            </w:rPr>
            <w:fldChar w:fldCharType="begin"/>
          </w:r>
          <w:r w:rsidR="008E1CE9" w:rsidRPr="008E1CE9">
            <w:rPr>
              <w:rFonts w:ascii="Arial" w:hAnsi="Arial" w:cs="Arial"/>
            </w:rPr>
            <w:instrText xml:space="preserve"> PAGEREF _qughe9jafisw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eastAsia="Arial" w:hAnsi="Arial" w:cs="Arial"/>
              <w:b/>
              <w:color w:val="000000"/>
              <w:sz w:val="22"/>
              <w:szCs w:val="22"/>
            </w:rPr>
            <w:t>4</w:t>
          </w:r>
          <w:r w:rsidR="008E1CE9" w:rsidRPr="008E1CE9">
            <w:rPr>
              <w:rFonts w:ascii="Arial" w:hAnsi="Arial" w:cs="Arial"/>
            </w:rPr>
            <w:fldChar w:fldCharType="end"/>
          </w:r>
        </w:p>
        <w:p w14:paraId="21F934DA" w14:textId="77777777" w:rsidR="008E1CE9" w:rsidRPr="008E1CE9" w:rsidRDefault="00DB5432" w:rsidP="008E1CE9">
          <w:pPr>
            <w:tabs>
              <w:tab w:val="right" w:pos="9360"/>
            </w:tabs>
            <w:spacing w:before="60"/>
            <w:ind w:left="360"/>
            <w:rPr>
              <w:rFonts w:ascii="Arial" w:hAnsi="Arial" w:cs="Arial"/>
              <w:color w:val="000000"/>
            </w:rPr>
          </w:pPr>
          <w:hyperlink w:anchor="_led4vog2ntj0">
            <w:r w:rsidR="008E1CE9" w:rsidRPr="008E1CE9">
              <w:rPr>
                <w:rFonts w:ascii="Arial" w:eastAsia="Arial" w:hAnsi="Arial" w:cs="Arial"/>
                <w:color w:val="000000"/>
                <w:sz w:val="22"/>
                <w:szCs w:val="22"/>
              </w:rPr>
              <w:t>Poverty</w:t>
            </w:r>
          </w:hyperlink>
          <w:r w:rsidR="008E1CE9" w:rsidRPr="008E1CE9">
            <w:rPr>
              <w:rFonts w:ascii="Arial" w:eastAsia="Arial" w:hAnsi="Arial" w:cs="Arial"/>
              <w:color w:val="000000"/>
              <w:sz w:val="22"/>
              <w:szCs w:val="22"/>
            </w:rPr>
            <w:tab/>
          </w:r>
          <w:r w:rsidR="008E1CE9" w:rsidRPr="008E1CE9">
            <w:rPr>
              <w:rFonts w:ascii="Arial" w:hAnsi="Arial" w:cs="Arial"/>
            </w:rPr>
            <w:fldChar w:fldCharType="begin"/>
          </w:r>
          <w:r w:rsidR="008E1CE9" w:rsidRPr="008E1CE9">
            <w:rPr>
              <w:rFonts w:ascii="Arial" w:hAnsi="Arial" w:cs="Arial"/>
            </w:rPr>
            <w:instrText xml:space="preserve"> PAGEREF _led4vog2ntj0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eastAsia="Arial" w:hAnsi="Arial" w:cs="Arial"/>
              <w:color w:val="000000"/>
              <w:sz w:val="22"/>
              <w:szCs w:val="22"/>
            </w:rPr>
            <w:t>4</w:t>
          </w:r>
          <w:r w:rsidR="008E1CE9" w:rsidRPr="008E1CE9">
            <w:rPr>
              <w:rFonts w:ascii="Arial" w:hAnsi="Arial" w:cs="Arial"/>
            </w:rPr>
            <w:fldChar w:fldCharType="end"/>
          </w:r>
        </w:p>
        <w:p w14:paraId="706D5D31" w14:textId="77777777" w:rsidR="008E1CE9" w:rsidRPr="008E1CE9" w:rsidRDefault="00DB5432" w:rsidP="008E1CE9">
          <w:pPr>
            <w:tabs>
              <w:tab w:val="right" w:pos="9360"/>
            </w:tabs>
            <w:spacing w:before="60"/>
            <w:ind w:left="360"/>
            <w:rPr>
              <w:rFonts w:ascii="Arial" w:hAnsi="Arial" w:cs="Arial"/>
            </w:rPr>
          </w:pPr>
          <w:hyperlink w:anchor="_mj8hcqtltgkw">
            <w:r w:rsidR="008E1CE9" w:rsidRPr="008E1CE9">
              <w:rPr>
                <w:rFonts w:ascii="Arial" w:hAnsi="Arial" w:cs="Arial"/>
              </w:rPr>
              <w:t>Housing</w:t>
            </w:r>
          </w:hyperlink>
          <w:r w:rsidR="008E1CE9" w:rsidRPr="008E1CE9">
            <w:rPr>
              <w:rFonts w:ascii="Arial" w:hAnsi="Arial" w:cs="Arial"/>
            </w:rPr>
            <w:tab/>
          </w:r>
          <w:r w:rsidR="008E1CE9" w:rsidRPr="008E1CE9">
            <w:rPr>
              <w:rFonts w:ascii="Arial" w:hAnsi="Arial" w:cs="Arial"/>
            </w:rPr>
            <w:fldChar w:fldCharType="begin"/>
          </w:r>
          <w:r w:rsidR="008E1CE9" w:rsidRPr="008E1CE9">
            <w:rPr>
              <w:rFonts w:ascii="Arial" w:hAnsi="Arial" w:cs="Arial"/>
            </w:rPr>
            <w:instrText xml:space="preserve"> PAGEREF _mj8hcqtltgkw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hAnsi="Arial" w:cs="Arial"/>
            </w:rPr>
            <w:t>7</w:t>
          </w:r>
          <w:r w:rsidR="008E1CE9" w:rsidRPr="008E1CE9">
            <w:rPr>
              <w:rFonts w:ascii="Arial" w:hAnsi="Arial" w:cs="Arial"/>
            </w:rPr>
            <w:fldChar w:fldCharType="end"/>
          </w:r>
        </w:p>
        <w:p w14:paraId="2E9D2460" w14:textId="77777777" w:rsidR="008E1CE9" w:rsidRPr="008E1CE9" w:rsidRDefault="00DB5432" w:rsidP="008E1CE9">
          <w:pPr>
            <w:tabs>
              <w:tab w:val="right" w:pos="9360"/>
            </w:tabs>
            <w:spacing w:before="60"/>
            <w:ind w:left="360"/>
            <w:rPr>
              <w:rFonts w:ascii="Arial" w:hAnsi="Arial" w:cs="Arial"/>
            </w:rPr>
          </w:pPr>
          <w:hyperlink w:anchor="_sdmmexoilt44">
            <w:r w:rsidR="008E1CE9" w:rsidRPr="008E1CE9">
              <w:rPr>
                <w:rFonts w:ascii="Arial" w:hAnsi="Arial" w:cs="Arial"/>
              </w:rPr>
              <w:t>Homeless</w:t>
            </w:r>
          </w:hyperlink>
          <w:r w:rsidR="008E1CE9" w:rsidRPr="008E1CE9">
            <w:rPr>
              <w:rFonts w:ascii="Arial" w:hAnsi="Arial" w:cs="Arial"/>
            </w:rPr>
            <w:tab/>
          </w:r>
          <w:r w:rsidR="008E1CE9" w:rsidRPr="008E1CE9">
            <w:rPr>
              <w:rFonts w:ascii="Arial" w:hAnsi="Arial" w:cs="Arial"/>
            </w:rPr>
            <w:fldChar w:fldCharType="begin"/>
          </w:r>
          <w:r w:rsidR="008E1CE9" w:rsidRPr="008E1CE9">
            <w:rPr>
              <w:rFonts w:ascii="Arial" w:hAnsi="Arial" w:cs="Arial"/>
            </w:rPr>
            <w:instrText xml:space="preserve"> PAGEREF _sdmmexoilt44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hAnsi="Arial" w:cs="Arial"/>
            </w:rPr>
            <w:t>9</w:t>
          </w:r>
          <w:r w:rsidR="008E1CE9" w:rsidRPr="008E1CE9">
            <w:rPr>
              <w:rFonts w:ascii="Arial" w:hAnsi="Arial" w:cs="Arial"/>
            </w:rPr>
            <w:fldChar w:fldCharType="end"/>
          </w:r>
        </w:p>
        <w:p w14:paraId="5D894F37" w14:textId="77777777" w:rsidR="008E1CE9" w:rsidRPr="008E1CE9" w:rsidRDefault="00DB5432" w:rsidP="008E1CE9">
          <w:pPr>
            <w:tabs>
              <w:tab w:val="right" w:pos="9360"/>
            </w:tabs>
            <w:spacing w:before="200"/>
            <w:rPr>
              <w:rFonts w:ascii="Arial" w:hAnsi="Arial" w:cs="Arial"/>
            </w:rPr>
          </w:pPr>
          <w:hyperlink w:anchor="_wqmrr0x0kh3h">
            <w:r w:rsidR="008E1CE9" w:rsidRPr="008E1CE9">
              <w:rPr>
                <w:rFonts w:ascii="Arial" w:hAnsi="Arial" w:cs="Arial"/>
                <w:b/>
              </w:rPr>
              <w:t>Guaranteed minimum benefit</w:t>
            </w:r>
          </w:hyperlink>
          <w:r w:rsidR="008E1CE9" w:rsidRPr="008E1CE9">
            <w:rPr>
              <w:rFonts w:ascii="Arial" w:hAnsi="Arial" w:cs="Arial"/>
              <w:b/>
            </w:rPr>
            <w:tab/>
          </w:r>
          <w:r w:rsidR="008E1CE9" w:rsidRPr="008E1CE9">
            <w:rPr>
              <w:rFonts w:ascii="Arial" w:hAnsi="Arial" w:cs="Arial"/>
            </w:rPr>
            <w:fldChar w:fldCharType="begin"/>
          </w:r>
          <w:r w:rsidR="008E1CE9" w:rsidRPr="008E1CE9">
            <w:rPr>
              <w:rFonts w:ascii="Arial" w:hAnsi="Arial" w:cs="Arial"/>
            </w:rPr>
            <w:instrText xml:space="preserve"> PAGEREF _wqmrr0x0kh3h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hAnsi="Arial" w:cs="Arial"/>
              <w:b/>
            </w:rPr>
            <w:t>11</w:t>
          </w:r>
          <w:r w:rsidR="008E1CE9" w:rsidRPr="008E1CE9">
            <w:rPr>
              <w:rFonts w:ascii="Arial" w:hAnsi="Arial" w:cs="Arial"/>
            </w:rPr>
            <w:fldChar w:fldCharType="end"/>
          </w:r>
        </w:p>
        <w:p w14:paraId="77B0D0BC" w14:textId="77777777" w:rsidR="008E1CE9" w:rsidRPr="008E1CE9" w:rsidRDefault="00DB5432" w:rsidP="008E1CE9">
          <w:pPr>
            <w:tabs>
              <w:tab w:val="right" w:pos="9360"/>
            </w:tabs>
            <w:spacing w:before="200"/>
            <w:rPr>
              <w:rFonts w:ascii="Arial" w:hAnsi="Arial" w:cs="Arial"/>
            </w:rPr>
          </w:pPr>
          <w:hyperlink w:anchor="_kx95wbkedwb2">
            <w:r w:rsidR="008E1CE9" w:rsidRPr="008E1CE9">
              <w:rPr>
                <w:rFonts w:ascii="Arial" w:hAnsi="Arial" w:cs="Arial"/>
                <w:b/>
              </w:rPr>
              <w:t>Social services</w:t>
            </w:r>
          </w:hyperlink>
          <w:r w:rsidR="008E1CE9" w:rsidRPr="008E1CE9">
            <w:rPr>
              <w:rFonts w:ascii="Arial" w:hAnsi="Arial" w:cs="Arial"/>
              <w:b/>
            </w:rPr>
            <w:tab/>
          </w:r>
          <w:r w:rsidR="008E1CE9" w:rsidRPr="008E1CE9">
            <w:rPr>
              <w:rFonts w:ascii="Arial" w:hAnsi="Arial" w:cs="Arial"/>
            </w:rPr>
            <w:fldChar w:fldCharType="begin"/>
          </w:r>
          <w:r w:rsidR="008E1CE9" w:rsidRPr="008E1CE9">
            <w:rPr>
              <w:rFonts w:ascii="Arial" w:hAnsi="Arial" w:cs="Arial"/>
            </w:rPr>
            <w:instrText xml:space="preserve"> PAGEREF _kx95wbkedwb2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hAnsi="Arial" w:cs="Arial"/>
              <w:b/>
            </w:rPr>
            <w:t>12</w:t>
          </w:r>
          <w:r w:rsidR="008E1CE9" w:rsidRPr="008E1CE9">
            <w:rPr>
              <w:rFonts w:ascii="Arial" w:hAnsi="Arial" w:cs="Arial"/>
            </w:rPr>
            <w:fldChar w:fldCharType="end"/>
          </w:r>
        </w:p>
        <w:p w14:paraId="5544C1BE" w14:textId="77777777" w:rsidR="008E1CE9" w:rsidRPr="008E1CE9" w:rsidRDefault="00DB5432" w:rsidP="008E1CE9">
          <w:pPr>
            <w:tabs>
              <w:tab w:val="right" w:pos="9360"/>
            </w:tabs>
            <w:spacing w:before="200" w:after="80"/>
            <w:rPr>
              <w:rFonts w:ascii="Arial" w:hAnsi="Arial" w:cs="Arial"/>
            </w:rPr>
          </w:pPr>
          <w:hyperlink w:anchor="_o5k9w6n2srl8">
            <w:r w:rsidR="008E1CE9" w:rsidRPr="008E1CE9">
              <w:rPr>
                <w:rFonts w:ascii="Arial" w:hAnsi="Arial" w:cs="Arial"/>
                <w:b/>
              </w:rPr>
              <w:t>Additional issue - Free legal aid</w:t>
            </w:r>
          </w:hyperlink>
          <w:r w:rsidR="008E1CE9" w:rsidRPr="008E1CE9">
            <w:rPr>
              <w:rFonts w:ascii="Arial" w:hAnsi="Arial" w:cs="Arial"/>
              <w:b/>
            </w:rPr>
            <w:tab/>
          </w:r>
          <w:r w:rsidR="008E1CE9" w:rsidRPr="008E1CE9">
            <w:rPr>
              <w:rFonts w:ascii="Arial" w:hAnsi="Arial" w:cs="Arial"/>
            </w:rPr>
            <w:fldChar w:fldCharType="begin"/>
          </w:r>
          <w:r w:rsidR="008E1CE9" w:rsidRPr="008E1CE9">
            <w:rPr>
              <w:rFonts w:ascii="Arial" w:hAnsi="Arial" w:cs="Arial"/>
            </w:rPr>
            <w:instrText xml:space="preserve"> PAGEREF _o5k9w6n2srl8 \h </w:instrText>
          </w:r>
          <w:r w:rsidR="008E1CE9" w:rsidRPr="008E1CE9">
            <w:rPr>
              <w:rFonts w:ascii="Arial" w:hAnsi="Arial" w:cs="Arial"/>
            </w:rPr>
          </w:r>
          <w:r w:rsidR="008E1CE9" w:rsidRPr="008E1CE9">
            <w:rPr>
              <w:rFonts w:ascii="Arial" w:hAnsi="Arial" w:cs="Arial"/>
            </w:rPr>
            <w:fldChar w:fldCharType="separate"/>
          </w:r>
          <w:r w:rsidR="008E1CE9" w:rsidRPr="008E1CE9">
            <w:rPr>
              <w:rFonts w:ascii="Arial" w:hAnsi="Arial" w:cs="Arial"/>
              <w:b/>
            </w:rPr>
            <w:t>14</w:t>
          </w:r>
          <w:r w:rsidR="008E1CE9" w:rsidRPr="008E1CE9">
            <w:rPr>
              <w:rFonts w:ascii="Arial" w:hAnsi="Arial" w:cs="Arial"/>
            </w:rPr>
            <w:fldChar w:fldCharType="end"/>
          </w:r>
          <w:r w:rsidR="008E1CE9" w:rsidRPr="008E1CE9">
            <w:rPr>
              <w:rFonts w:ascii="Arial" w:hAnsi="Arial" w:cs="Arial"/>
            </w:rPr>
            <w:fldChar w:fldCharType="end"/>
          </w:r>
        </w:p>
      </w:sdtContent>
    </w:sdt>
    <w:p w14:paraId="49C98332" w14:textId="77777777" w:rsidR="008E1CE9" w:rsidRPr="008E1CE9" w:rsidRDefault="008E1CE9" w:rsidP="008E1CE9">
      <w:pPr>
        <w:rPr>
          <w:rFonts w:ascii="Arial" w:hAnsi="Arial" w:cs="Arial"/>
        </w:rPr>
      </w:pPr>
    </w:p>
    <w:p w14:paraId="666D422F" w14:textId="40A1C933" w:rsidR="008E1CE9" w:rsidRPr="008E1CE9" w:rsidRDefault="008E1CE9" w:rsidP="008E1CE9">
      <w:pPr>
        <w:rPr>
          <w:rFonts w:ascii="Arial" w:hAnsi="Arial" w:cs="Arial"/>
        </w:rPr>
      </w:pPr>
      <w:r w:rsidRPr="008E1CE9">
        <w:rPr>
          <w:rFonts w:ascii="Arial" w:hAnsi="Arial" w:cs="Arial"/>
        </w:rPr>
        <w:br w:type="page"/>
      </w:r>
    </w:p>
    <w:p w14:paraId="3A039A53" w14:textId="6BBFE6EA" w:rsidR="008E1CE9" w:rsidRPr="008E1CE9" w:rsidRDefault="008E1CE9" w:rsidP="00A20F29">
      <w:pPr>
        <w:pStyle w:val="Heading2"/>
      </w:pPr>
      <w:bookmarkStart w:id="0" w:name="_ywinihj41cmx" w:colFirst="0" w:colLast="0"/>
      <w:bookmarkEnd w:id="0"/>
      <w:r w:rsidRPr="00A20F29">
        <w:lastRenderedPageBreak/>
        <w:t>Statement of Interest</w:t>
      </w:r>
    </w:p>
    <w:p w14:paraId="37443E77" w14:textId="65FA6864"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A coalition of civil society organizations has listed below the opportunity to provide a joint input designed to assist the Pre-Sessional Working Group </w:t>
      </w:r>
      <w:r>
        <w:rPr>
          <w:rFonts w:ascii="Arial" w:hAnsi="Arial" w:cs="Arial"/>
          <w:sz w:val="22"/>
          <w:szCs w:val="22"/>
        </w:rPr>
        <w:t>in formulating</w:t>
      </w:r>
      <w:r w:rsidRPr="008E1CE9">
        <w:rPr>
          <w:rFonts w:ascii="Arial" w:hAnsi="Arial" w:cs="Arial"/>
          <w:sz w:val="22"/>
          <w:szCs w:val="22"/>
        </w:rPr>
        <w:t xml:space="preserve"> its list of issues and the Committee to review the performance of the Republic of Croatia under </w:t>
      </w:r>
      <w:r>
        <w:rPr>
          <w:rFonts w:ascii="Arial" w:hAnsi="Arial" w:cs="Arial"/>
          <w:sz w:val="22"/>
          <w:szCs w:val="22"/>
        </w:rPr>
        <w:t xml:space="preserve">the </w:t>
      </w:r>
      <w:r w:rsidRPr="008E1CE9">
        <w:rPr>
          <w:rFonts w:ascii="Arial" w:hAnsi="Arial" w:cs="Arial"/>
          <w:sz w:val="22"/>
          <w:szCs w:val="22"/>
        </w:rPr>
        <w:t>International Covenant on Economic, Social and Cultural Rights (hereinafter: Covenant, CESCR).</w:t>
      </w:r>
    </w:p>
    <w:p w14:paraId="501D2CAD" w14:textId="77777777" w:rsidR="008E1CE9" w:rsidRPr="00A20F29" w:rsidRDefault="008E1CE9" w:rsidP="00A20F29">
      <w:pPr>
        <w:pStyle w:val="Heading2"/>
      </w:pPr>
      <w:bookmarkStart w:id="1" w:name="_n04kjfal91qc" w:colFirst="0" w:colLast="0"/>
      <w:bookmarkEnd w:id="1"/>
      <w:r w:rsidRPr="00A20F29">
        <w:t>Members of the Coalition submitting information to the Committee</w:t>
      </w:r>
    </w:p>
    <w:p w14:paraId="0A47D3B3" w14:textId="0C0A836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Human Rights House Zagreb (HRH) is a human rights organization established in 2008 as a network of civil society organizations with the goal of protecting and promoting human rights and fundamental freedoms. The HRH’s vision is to build a democratic, pluralist and inclusive society founded upon the values of human rights, the rule of law, social justice and solidarity. The HRH contributes to the protection, promotion, developing and advancing human rights and fundamental freedoms through research, monitoring, public advocacy and education. By publishing annual human rights reviews, thematic reports and </w:t>
      </w:r>
      <w:r w:rsidR="008A6328">
        <w:rPr>
          <w:rFonts w:ascii="Arial" w:hAnsi="Arial" w:cs="Arial"/>
          <w:sz w:val="22"/>
          <w:szCs w:val="22"/>
        </w:rPr>
        <w:t>policy briefs</w:t>
      </w:r>
      <w:r w:rsidRPr="008E1CE9">
        <w:rPr>
          <w:rFonts w:ascii="Arial" w:hAnsi="Arial" w:cs="Arial"/>
          <w:sz w:val="22"/>
          <w:szCs w:val="22"/>
        </w:rPr>
        <w:t>, we help to create better laws and public policies.</w:t>
      </w:r>
    </w:p>
    <w:p w14:paraId="00912E42" w14:textId="77777777" w:rsidR="008E1CE9" w:rsidRPr="008E1CE9" w:rsidRDefault="008E1CE9" w:rsidP="008E1CE9">
      <w:pPr>
        <w:ind w:left="720"/>
        <w:jc w:val="both"/>
        <w:rPr>
          <w:rFonts w:ascii="Arial" w:hAnsi="Arial" w:cs="Arial"/>
          <w:sz w:val="22"/>
          <w:szCs w:val="22"/>
        </w:rPr>
      </w:pPr>
    </w:p>
    <w:p w14:paraId="5CA83E3E" w14:textId="2B38A32F" w:rsid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Centre for Peace, Nonviolence and Human Rights </w:t>
      </w:r>
      <w:r w:rsidR="008A6328">
        <w:rPr>
          <w:rFonts w:ascii="Arial" w:hAnsi="Arial" w:cs="Arial"/>
          <w:sz w:val="22"/>
          <w:szCs w:val="22"/>
        </w:rPr>
        <w:t xml:space="preserve">- </w:t>
      </w:r>
      <w:r w:rsidRPr="008E1CE9">
        <w:rPr>
          <w:rFonts w:ascii="Arial" w:hAnsi="Arial" w:cs="Arial"/>
          <w:sz w:val="22"/>
          <w:szCs w:val="22"/>
        </w:rPr>
        <w:t>Osijek (CPO) is a non-governmental organization focused on peacebuilding, protection and promotion of human rights and freedoms and nonviolent methods of conflict resolution at the individual, group, and political level. Founded in 1992, the organization aims to build sustainable peace in war-torn regions of Croatia, as well as in the region and at the European level. CPO is registered with the Ministry of Justice to provide free legal aid and as a regional contact point for discrimination of the Ombudsman.</w:t>
      </w:r>
    </w:p>
    <w:p w14:paraId="57931EB7" w14:textId="77777777" w:rsidR="000D1A80" w:rsidRDefault="000D1A80" w:rsidP="000D1A80">
      <w:pPr>
        <w:spacing w:line="276" w:lineRule="auto"/>
        <w:ind w:left="720"/>
        <w:jc w:val="both"/>
        <w:rPr>
          <w:rFonts w:ascii="Arial" w:hAnsi="Arial" w:cs="Arial"/>
          <w:sz w:val="22"/>
          <w:szCs w:val="22"/>
        </w:rPr>
      </w:pPr>
    </w:p>
    <w:p w14:paraId="278B144E" w14:textId="66A47ECF" w:rsidR="000D1A80" w:rsidRPr="008A6328" w:rsidRDefault="000D1A80" w:rsidP="000D1A80">
      <w:pPr>
        <w:numPr>
          <w:ilvl w:val="0"/>
          <w:numId w:val="1"/>
        </w:numPr>
        <w:spacing w:line="276" w:lineRule="auto"/>
        <w:jc w:val="both"/>
        <w:rPr>
          <w:rFonts w:ascii="Arial" w:hAnsi="Arial" w:cs="Arial"/>
          <w:sz w:val="22"/>
          <w:szCs w:val="22"/>
        </w:rPr>
      </w:pPr>
      <w:r>
        <w:rPr>
          <w:rFonts w:ascii="Arial" w:hAnsi="Arial" w:cs="Arial"/>
          <w:color w:val="000000"/>
          <w:sz w:val="22"/>
          <w:szCs w:val="22"/>
        </w:rPr>
        <w:t xml:space="preserve">Ambidexter </w:t>
      </w:r>
      <w:r w:rsidR="008E22BA">
        <w:rPr>
          <w:rFonts w:ascii="Arial" w:hAnsi="Arial" w:cs="Arial"/>
          <w:color w:val="000000"/>
          <w:sz w:val="22"/>
          <w:szCs w:val="22"/>
        </w:rPr>
        <w:t>C</w:t>
      </w:r>
      <w:r>
        <w:rPr>
          <w:rFonts w:ascii="Arial" w:hAnsi="Arial" w:cs="Arial"/>
          <w:color w:val="000000"/>
          <w:sz w:val="22"/>
          <w:szCs w:val="22"/>
        </w:rPr>
        <w:t xml:space="preserve">lub is a civil society organization that aims to contribute to the protection of human rights and social inclusion, especially children and youth and their families, youth with behavioral problems and NEET youth, Roma children and youth and other groups of children and youth facing poverty and social exclusion and youth with fewer opportunities. Ambidexter club provides social services and education activities focused on empowerment and social inclusion as well as Counselling Centre for children, youth and their families for protection of mental health and development of socio-emotional competences. </w:t>
      </w:r>
    </w:p>
    <w:p w14:paraId="6741F635" w14:textId="77777777" w:rsidR="008A6328" w:rsidRPr="008A6328" w:rsidRDefault="008A6328" w:rsidP="008A6328">
      <w:pPr>
        <w:spacing w:line="276" w:lineRule="auto"/>
        <w:ind w:left="720"/>
        <w:jc w:val="both"/>
        <w:rPr>
          <w:rFonts w:ascii="Arial" w:hAnsi="Arial" w:cs="Arial"/>
          <w:sz w:val="22"/>
          <w:szCs w:val="22"/>
        </w:rPr>
      </w:pPr>
    </w:p>
    <w:p w14:paraId="64F509EF" w14:textId="2473FFD9" w:rsidR="000D1A80" w:rsidRPr="008A6328" w:rsidRDefault="008A6328" w:rsidP="000D1A80">
      <w:pPr>
        <w:numPr>
          <w:ilvl w:val="0"/>
          <w:numId w:val="1"/>
        </w:numPr>
        <w:spacing w:line="276" w:lineRule="auto"/>
        <w:jc w:val="both"/>
        <w:rPr>
          <w:rFonts w:ascii="Arial" w:hAnsi="Arial" w:cs="Arial"/>
          <w:sz w:val="22"/>
          <w:szCs w:val="22"/>
        </w:rPr>
      </w:pPr>
      <w:r w:rsidRPr="008A6328">
        <w:rPr>
          <w:rFonts w:ascii="Arial" w:hAnsi="Arial" w:cs="Arial"/>
          <w:sz w:val="22"/>
          <w:szCs w:val="22"/>
        </w:rPr>
        <w:t>Right to the City is a non-profit organization engaged in research, advocacy, public campaigning and promoting citizen participation in urban transformations. Right to the City advocates protecting public and common goods and promoting democratization of their management as a way of both involving citizens in decision-making processes but also creating models of governance and policy that works towards just urbanization.</w:t>
      </w:r>
    </w:p>
    <w:p w14:paraId="72DE149C" w14:textId="646E04ED" w:rsidR="008E1CE9" w:rsidRPr="008E1CE9" w:rsidRDefault="008E1CE9" w:rsidP="00A20F29">
      <w:pPr>
        <w:pStyle w:val="Heading2"/>
      </w:pPr>
      <w:bookmarkStart w:id="2" w:name="_7d0msvyt5q0s" w:colFirst="0" w:colLast="0"/>
      <w:bookmarkEnd w:id="2"/>
      <w:r w:rsidRPr="00A20F29">
        <w:lastRenderedPageBreak/>
        <w:t>General - on the mechanism</w:t>
      </w:r>
    </w:p>
    <w:p w14:paraId="4CC991E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Croatia still has not signed the Optional Protocol to the International Covenant on Economic, Social and Cultural Rights, thus denying citizens the possibility of submitting individual complaints to the independent UN Committee on Economic, Social and Cultural Rights. </w:t>
      </w:r>
    </w:p>
    <w:p w14:paraId="6BEFB7EA" w14:textId="77777777" w:rsidR="008E1CE9" w:rsidRPr="008E1CE9" w:rsidRDefault="008E1CE9" w:rsidP="008E1CE9">
      <w:pPr>
        <w:ind w:left="720"/>
        <w:jc w:val="both"/>
        <w:rPr>
          <w:rFonts w:ascii="Arial" w:hAnsi="Arial" w:cs="Arial"/>
          <w:sz w:val="22"/>
          <w:szCs w:val="22"/>
        </w:rPr>
      </w:pPr>
    </w:p>
    <w:p w14:paraId="666F7A27"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Even though the establishment of the Government’s Human Rights Council in 2021, tasked with reviewing reports and recommendations of international human rights bodies, marked a step in the positive direction, Croatia still lacks a functioning system for the coordination and preparation of reporting and implementation of recommendations from international human rights mechanisms, leading to multi-year delays in reporting on the implementation of conventions and unsystematic implementation of received recommendations. </w:t>
      </w:r>
    </w:p>
    <w:p w14:paraId="5DAE049B" w14:textId="77777777" w:rsidR="008E1CE9" w:rsidRPr="008E1CE9" w:rsidRDefault="008E1CE9" w:rsidP="008E1CE9">
      <w:pPr>
        <w:ind w:left="720"/>
        <w:jc w:val="both"/>
        <w:rPr>
          <w:rFonts w:ascii="Arial" w:hAnsi="Arial" w:cs="Arial"/>
          <w:sz w:val="22"/>
          <w:szCs w:val="22"/>
        </w:rPr>
      </w:pPr>
    </w:p>
    <w:p w14:paraId="77F3915C"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Regarding the State’s Second Periodic Report, it is worrying that human rights organizations and human rights defenders have not been consulted in the preparation of it, which is a departure from the ongoing practice of organizing interactive dialogues with civil society before adopting national reports for international human rights instruments, including other treaty bodies. </w:t>
      </w:r>
    </w:p>
    <w:p w14:paraId="561C7B92" w14:textId="77777777" w:rsidR="008E1CE9" w:rsidRPr="008E1CE9" w:rsidRDefault="008E1CE9" w:rsidP="008E1CE9">
      <w:pPr>
        <w:ind w:left="720"/>
        <w:jc w:val="both"/>
        <w:rPr>
          <w:rFonts w:ascii="Arial" w:hAnsi="Arial" w:cs="Arial"/>
          <w:sz w:val="22"/>
          <w:szCs w:val="22"/>
        </w:rPr>
      </w:pPr>
    </w:p>
    <w:p w14:paraId="1DBD6157"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For more than 30 years, since the succession to the Covenant in 1992, Croatia has not yet published the officially translated version of the Covenant thus making it unavailable in the Croatian language. Also, the official text of the Covenant published in the 1971 Official Gazette of the SFRY is not included in the online law database on the internet page of the Official Gazzetta of the Republic of Croatia consequently making it inaccessible to almost everyone without the hardcopy of the 1971 publication. </w:t>
      </w:r>
    </w:p>
    <w:p w14:paraId="054BFD28" w14:textId="77777777" w:rsidR="008E1CE9" w:rsidRPr="008E1CE9" w:rsidRDefault="008E1CE9" w:rsidP="008E1CE9">
      <w:pPr>
        <w:ind w:left="720"/>
        <w:jc w:val="both"/>
        <w:rPr>
          <w:rFonts w:ascii="Arial" w:hAnsi="Arial" w:cs="Arial"/>
          <w:sz w:val="22"/>
          <w:szCs w:val="22"/>
        </w:rPr>
      </w:pPr>
    </w:p>
    <w:p w14:paraId="4F3BA3FF"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Moreover, no progress was made in translating the recommendations and opinions of the UN committees monitoring the implementation of human rights conventions, including the Committee on Economic, Social and Cultural Rights (CESCR), into Croatian, thus failing to make them more accessible to legal, policy and other professionals, human rights defenders and the general public.</w:t>
      </w:r>
    </w:p>
    <w:p w14:paraId="3E0F5DE1" w14:textId="77777777" w:rsidR="008E1CE9" w:rsidRPr="008E1CE9" w:rsidRDefault="008E1CE9" w:rsidP="008E1CE9">
      <w:pPr>
        <w:ind w:left="720"/>
        <w:jc w:val="both"/>
        <w:rPr>
          <w:rFonts w:ascii="Arial" w:hAnsi="Arial" w:cs="Arial"/>
          <w:sz w:val="22"/>
          <w:szCs w:val="22"/>
        </w:rPr>
      </w:pPr>
    </w:p>
    <w:p w14:paraId="6E915E52" w14:textId="156AE78F"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Pr>
          <w:rFonts w:ascii="Arial" w:hAnsi="Arial" w:cs="Arial"/>
          <w:sz w:val="22"/>
          <w:szCs w:val="22"/>
          <w:u w:val="single"/>
        </w:rPr>
        <w:t>Questions</w:t>
      </w:r>
    </w:p>
    <w:p w14:paraId="59DC6AF8" w14:textId="77777777" w:rsidR="008E1CE9" w:rsidRPr="008E1CE9" w:rsidRDefault="008E1CE9" w:rsidP="008E1CE9">
      <w:pPr>
        <w:jc w:val="both"/>
        <w:rPr>
          <w:rFonts w:ascii="Arial" w:hAnsi="Arial" w:cs="Arial"/>
          <w:sz w:val="22"/>
          <w:szCs w:val="22"/>
        </w:rPr>
      </w:pPr>
    </w:p>
    <w:p w14:paraId="78009D9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When is Croatia planning to sign the Optional Protocol to the International Covenant on Economic, Social and Cultural Rights? What are the next steps in establishing and implementing a functioning system for the coordination and preparation of reporting and implementation of recommendations from international human rights mechanisms? What are the next steps in translating the recommendations and opinions of UN committees monitoring the implementation of human rights conventions into Croatian?</w:t>
      </w:r>
    </w:p>
    <w:p w14:paraId="4AAB4AA1" w14:textId="77777777" w:rsidR="008E1CE9" w:rsidRPr="00A20F29" w:rsidRDefault="008E1CE9" w:rsidP="00A20F29">
      <w:pPr>
        <w:pStyle w:val="Heading2"/>
      </w:pPr>
      <w:bookmarkStart w:id="3" w:name="_qughe9jafisw" w:colFirst="0" w:colLast="0"/>
      <w:bookmarkEnd w:id="3"/>
      <w:r w:rsidRPr="00A20F29">
        <w:lastRenderedPageBreak/>
        <w:t>Adequate living conditions</w:t>
      </w:r>
    </w:p>
    <w:p w14:paraId="41085115" w14:textId="0B415532" w:rsidR="008E1CE9" w:rsidRPr="00A20F29" w:rsidRDefault="008E1CE9" w:rsidP="00A20F29">
      <w:pPr>
        <w:pStyle w:val="Heading3"/>
      </w:pPr>
      <w:bookmarkStart w:id="4" w:name="_led4vog2ntj0" w:colFirst="0" w:colLast="0"/>
      <w:bookmarkEnd w:id="4"/>
      <w:r w:rsidRPr="00A20F29">
        <w:t>Poverty</w:t>
      </w:r>
    </w:p>
    <w:p w14:paraId="771B7C33"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 After two years of stagnation at around 18% in 2019 and 2020, the at-risk-of-poverty rate grew in 2021 by almost 1%, and it totals 19,2%</w:t>
      </w:r>
      <w:r w:rsidRPr="008E1CE9">
        <w:rPr>
          <w:rFonts w:ascii="Arial" w:hAnsi="Arial" w:cs="Arial"/>
          <w:sz w:val="22"/>
          <w:szCs w:val="22"/>
          <w:vertAlign w:val="superscript"/>
        </w:rPr>
        <w:footnoteReference w:id="1"/>
      </w:r>
      <w:r w:rsidRPr="008E1CE9">
        <w:rPr>
          <w:rFonts w:ascii="Arial" w:hAnsi="Arial" w:cs="Arial"/>
          <w:sz w:val="22"/>
          <w:szCs w:val="22"/>
        </w:rPr>
        <w:t xml:space="preserve"> for 2022. The highest rate is in the Pannonian Croatia Region, where more than one-fourth (27%) of citizens are at this risk of poverty. The at-risk-of-poverty rate remains alarmingly high for some vulnerable groups, with more than half of persons over the age of 65 living in single-member households and 54,3% of women over the age of 65 living in single-member households who are at risk of poverty. The size of these vulnerable groups grew, and it is higher than last year by 3 to 4%. Pensioners are also one of the groups that is at the highest risk of poverty (33,5%). The at-risk-of-poverty rate for persons over 65 is 32,4% and is the highest for women over 65 (37%). </w:t>
      </w:r>
    </w:p>
    <w:p w14:paraId="7478AE1B" w14:textId="77777777" w:rsidR="008E1CE9" w:rsidRPr="008E1CE9" w:rsidRDefault="008E1CE9" w:rsidP="008E1CE9">
      <w:pPr>
        <w:ind w:left="720"/>
        <w:jc w:val="both"/>
        <w:rPr>
          <w:rFonts w:ascii="Arial" w:hAnsi="Arial" w:cs="Arial"/>
          <w:sz w:val="22"/>
          <w:szCs w:val="22"/>
        </w:rPr>
      </w:pPr>
    </w:p>
    <w:p w14:paraId="54BC2C22"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When it comes to social and economic rights of senior citizens, it is particularly worrying that Croatia records a high at-risk-of-poverty rate for that group of citizens, but also records a much higher suicide rate for persons over the age of 65 than the average for EU member states - the rate was 28.8 in 2021, 26.03 in 2020, while the rate in EU is around 15.</w:t>
      </w:r>
      <w:r w:rsidRPr="008E1CE9">
        <w:rPr>
          <w:rFonts w:ascii="Arial" w:hAnsi="Arial" w:cs="Arial"/>
          <w:sz w:val="22"/>
          <w:szCs w:val="22"/>
          <w:vertAlign w:val="superscript"/>
        </w:rPr>
        <w:footnoteReference w:id="2"/>
      </w:r>
      <w:r w:rsidRPr="008E1CE9">
        <w:rPr>
          <w:rFonts w:ascii="Arial" w:hAnsi="Arial" w:cs="Arial"/>
          <w:sz w:val="22"/>
          <w:szCs w:val="22"/>
        </w:rPr>
        <w:t xml:space="preserve"> Also, Croatia has an overall suicide rate higher than the average rate for EU member states (11.9 in the EU in 2019, 16.4 in Croatia), and the suicide rate in Croatia is highest for the group aged 65+.</w:t>
      </w:r>
      <w:r w:rsidRPr="008E1CE9">
        <w:rPr>
          <w:rFonts w:ascii="Arial" w:hAnsi="Arial" w:cs="Arial"/>
          <w:sz w:val="22"/>
          <w:szCs w:val="22"/>
          <w:vertAlign w:val="superscript"/>
        </w:rPr>
        <w:footnoteReference w:id="3"/>
      </w:r>
    </w:p>
    <w:p w14:paraId="51F5E499" w14:textId="77777777" w:rsidR="008E1CE9" w:rsidRPr="008E1CE9" w:rsidRDefault="008E1CE9" w:rsidP="008E1CE9">
      <w:pPr>
        <w:ind w:left="720"/>
        <w:jc w:val="both"/>
        <w:rPr>
          <w:rFonts w:ascii="Arial" w:hAnsi="Arial" w:cs="Arial"/>
          <w:sz w:val="22"/>
          <w:szCs w:val="22"/>
        </w:rPr>
      </w:pPr>
    </w:p>
    <w:p w14:paraId="614FB006"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It is further worrying that as many as 46,5% of the population lives in households that cannot meet unexpected financial expenses of 2,750 HRK (circa 365 EUR), more than 40% cannot afford a one-week vacation away from home, and a quarter of households find it very difficult or difficult to make ends meet.</w:t>
      </w:r>
      <w:r w:rsidRPr="008E1CE9">
        <w:rPr>
          <w:rFonts w:ascii="Arial" w:hAnsi="Arial" w:cs="Arial"/>
          <w:sz w:val="22"/>
          <w:szCs w:val="22"/>
          <w:vertAlign w:val="superscript"/>
        </w:rPr>
        <w:footnoteReference w:id="4"/>
      </w:r>
      <w:r w:rsidRPr="008E1CE9">
        <w:rPr>
          <w:rFonts w:ascii="Arial" w:hAnsi="Arial" w:cs="Arial"/>
          <w:sz w:val="22"/>
          <w:szCs w:val="22"/>
        </w:rPr>
        <w:t xml:space="preserve"> </w:t>
      </w:r>
    </w:p>
    <w:p w14:paraId="4920CC57" w14:textId="77777777" w:rsidR="008E1CE9" w:rsidRPr="008E1CE9" w:rsidRDefault="008E1CE9" w:rsidP="008E1CE9">
      <w:pPr>
        <w:ind w:left="720"/>
        <w:jc w:val="both"/>
        <w:rPr>
          <w:rFonts w:ascii="Arial" w:hAnsi="Arial" w:cs="Arial"/>
          <w:sz w:val="22"/>
          <w:szCs w:val="22"/>
        </w:rPr>
      </w:pPr>
    </w:p>
    <w:p w14:paraId="0A4C109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When it comes to families with dependent children, in 2021 as many as 37.5% of single-parent families were at risk of poverty, which is 7% more than in 2020.</w:t>
      </w:r>
      <w:r w:rsidRPr="008E1CE9">
        <w:rPr>
          <w:rFonts w:ascii="Arial" w:hAnsi="Arial" w:cs="Arial"/>
          <w:sz w:val="22"/>
          <w:szCs w:val="22"/>
          <w:vertAlign w:val="superscript"/>
        </w:rPr>
        <w:footnoteReference w:id="5"/>
      </w:r>
      <w:r w:rsidRPr="008E1CE9">
        <w:rPr>
          <w:rFonts w:ascii="Arial" w:hAnsi="Arial" w:cs="Arial"/>
          <w:sz w:val="22"/>
          <w:szCs w:val="22"/>
        </w:rPr>
        <w:t xml:space="preserve"> Single-parent families are a particularly vulnerable family category in which children grow up with a very high risk of poverty. Data from the end of 2021 shows a concerning number of as many as 268,436 children covered by the child benefit right</w:t>
      </w:r>
      <w:r w:rsidRPr="008E1CE9">
        <w:rPr>
          <w:rFonts w:ascii="Arial" w:hAnsi="Arial" w:cs="Arial"/>
          <w:sz w:val="22"/>
          <w:szCs w:val="22"/>
          <w:vertAlign w:val="superscript"/>
        </w:rPr>
        <w:footnoteReference w:id="6"/>
      </w:r>
      <w:r w:rsidRPr="008E1CE9">
        <w:rPr>
          <w:rFonts w:ascii="Arial" w:hAnsi="Arial" w:cs="Arial"/>
          <w:sz w:val="22"/>
          <w:szCs w:val="22"/>
        </w:rPr>
        <w:t xml:space="preserve">. </w:t>
      </w:r>
    </w:p>
    <w:p w14:paraId="2325CC79" w14:textId="77777777" w:rsidR="008E1CE9" w:rsidRPr="008E1CE9" w:rsidRDefault="008E1CE9" w:rsidP="008E1CE9">
      <w:pPr>
        <w:ind w:left="720"/>
        <w:jc w:val="both"/>
        <w:rPr>
          <w:rFonts w:ascii="Arial" w:hAnsi="Arial" w:cs="Arial"/>
          <w:sz w:val="22"/>
          <w:szCs w:val="22"/>
        </w:rPr>
      </w:pPr>
    </w:p>
    <w:p w14:paraId="7C220057" w14:textId="34B5D83D"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Research on the poverty of preschool children in Croatia conducted in 2015, shows that there is a significant difference in the affordability of specific goods and activities (e.g. adequate nutrition which is necessary for their healthy growth and development, purchase of clothes and shoes, toys for children, opportunities to participate in activities for children and the family, availability of services intended for children, access to cultural and recreational facilities) between all subgroups of parents who are beneficiaries of social assistance in the social welfare system and employed parents who are not at risk of poverty. More than two-thirds of poor preschool children in Croatia in their environment do not have access to a library, a </w:t>
      </w:r>
      <w:proofErr w:type="spellStart"/>
      <w:r w:rsidR="000D1A80">
        <w:rPr>
          <w:rFonts w:ascii="Arial" w:hAnsi="Arial" w:cs="Arial"/>
          <w:sz w:val="22"/>
          <w:szCs w:val="22"/>
        </w:rPr>
        <w:t>b</w:t>
      </w:r>
      <w:r w:rsidRPr="008E1CE9">
        <w:rPr>
          <w:rFonts w:ascii="Arial" w:hAnsi="Arial" w:cs="Arial"/>
          <w:sz w:val="22"/>
          <w:szCs w:val="22"/>
        </w:rPr>
        <w:t>iblio</w:t>
      </w:r>
      <w:proofErr w:type="spellEnd"/>
      <w:r w:rsidRPr="008E1CE9">
        <w:rPr>
          <w:rFonts w:ascii="Arial" w:hAnsi="Arial" w:cs="Arial"/>
          <w:sz w:val="22"/>
          <w:szCs w:val="22"/>
        </w:rPr>
        <w:t xml:space="preserve"> bus with children's books and toys, a cinema, a theatre and a museum, while at home they have less than 10 books. </w:t>
      </w:r>
      <w:r w:rsidRPr="008E1CE9">
        <w:rPr>
          <w:rFonts w:ascii="Arial" w:hAnsi="Arial" w:cs="Arial"/>
          <w:sz w:val="22"/>
          <w:szCs w:val="22"/>
          <w:vertAlign w:val="superscript"/>
        </w:rPr>
        <w:footnoteReference w:id="7"/>
      </w:r>
      <w:r w:rsidRPr="008E1CE9">
        <w:rPr>
          <w:rFonts w:ascii="Arial" w:hAnsi="Arial" w:cs="Arial"/>
          <w:sz w:val="22"/>
          <w:szCs w:val="22"/>
        </w:rPr>
        <w:t xml:space="preserve"> </w:t>
      </w:r>
    </w:p>
    <w:p w14:paraId="3F740743" w14:textId="77777777" w:rsidR="008E1CE9" w:rsidRPr="008E1CE9" w:rsidRDefault="008E1CE9" w:rsidP="008E1CE9">
      <w:pPr>
        <w:rPr>
          <w:rFonts w:ascii="Arial" w:hAnsi="Arial" w:cs="Arial"/>
          <w:sz w:val="22"/>
          <w:szCs w:val="22"/>
        </w:rPr>
      </w:pPr>
    </w:p>
    <w:p w14:paraId="61476057"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Almost two-thirds of economically deprived preschool children live in rural areas. Children belonging to the Roma national minority are at a significantly higher level of deprivation - more than two-thirds of Roma children do not have their own bed, folding toys (puzzles, cubes, etc.), or a children's bicycle, tricycle, or scooter. Much more often, their parents cannot afford children's school fees, books or picture books</w:t>
      </w:r>
      <w:r w:rsidRPr="008E1CE9">
        <w:rPr>
          <w:rFonts w:ascii="Arial" w:hAnsi="Arial" w:cs="Arial"/>
          <w:sz w:val="22"/>
          <w:szCs w:val="22"/>
          <w:vertAlign w:val="superscript"/>
        </w:rPr>
        <w:footnoteReference w:id="8"/>
      </w:r>
      <w:r w:rsidRPr="008E1CE9">
        <w:rPr>
          <w:rFonts w:ascii="Arial" w:hAnsi="Arial" w:cs="Arial"/>
          <w:sz w:val="22"/>
          <w:szCs w:val="22"/>
        </w:rPr>
        <w:t>.</w:t>
      </w:r>
    </w:p>
    <w:p w14:paraId="0A47E2FE" w14:textId="77777777" w:rsidR="008E1CE9" w:rsidRPr="008E1CE9" w:rsidRDefault="008E1CE9" w:rsidP="008E1CE9">
      <w:pPr>
        <w:jc w:val="both"/>
        <w:rPr>
          <w:rFonts w:ascii="Arial" w:hAnsi="Arial" w:cs="Arial"/>
          <w:sz w:val="22"/>
          <w:szCs w:val="22"/>
        </w:rPr>
      </w:pPr>
    </w:p>
    <w:p w14:paraId="02DBE7A5"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The rate of participation in early childhood and preschool education in Croatia from the age of three until the start of compulsory primary education is 78.8%, which is among the lowest in the EU where the participation rate is 93%. Participation is low, especially for disadvantaged groups, </w:t>
      </w:r>
      <w:proofErr w:type="gramStart"/>
      <w:r w:rsidRPr="008E1CE9">
        <w:rPr>
          <w:rFonts w:ascii="Arial" w:hAnsi="Arial" w:cs="Arial"/>
          <w:sz w:val="22"/>
          <w:szCs w:val="22"/>
        </w:rPr>
        <w:t>e.g.</w:t>
      </w:r>
      <w:proofErr w:type="gramEnd"/>
      <w:r w:rsidRPr="008E1CE9">
        <w:rPr>
          <w:rFonts w:ascii="Arial" w:hAnsi="Arial" w:cs="Arial"/>
          <w:sz w:val="22"/>
          <w:szCs w:val="22"/>
        </w:rPr>
        <w:t xml:space="preserve"> only 24% for Roma children.</w:t>
      </w:r>
      <w:r w:rsidRPr="008E1CE9">
        <w:rPr>
          <w:rFonts w:ascii="Arial" w:hAnsi="Arial" w:cs="Arial"/>
          <w:sz w:val="22"/>
          <w:szCs w:val="22"/>
          <w:vertAlign w:val="superscript"/>
        </w:rPr>
        <w:footnoteReference w:id="9"/>
      </w:r>
      <w:r w:rsidRPr="008E1CE9">
        <w:rPr>
          <w:rFonts w:ascii="Arial" w:hAnsi="Arial" w:cs="Arial"/>
          <w:sz w:val="22"/>
          <w:szCs w:val="22"/>
        </w:rPr>
        <w:t xml:space="preserve"> The gap in participation in early formal childcare or education of children who are at-risk-of-poverty or social exclusion and children who are not is the highest in the EU (61.1% of not-at-risk-of-poverty children are included, while only 25.4 % of children at-risk-of-poverty).</w:t>
      </w:r>
      <w:r w:rsidRPr="008E1CE9">
        <w:rPr>
          <w:rFonts w:ascii="Arial" w:hAnsi="Arial" w:cs="Arial"/>
          <w:sz w:val="22"/>
          <w:szCs w:val="22"/>
          <w:vertAlign w:val="superscript"/>
        </w:rPr>
        <w:footnoteReference w:id="10"/>
      </w:r>
    </w:p>
    <w:p w14:paraId="49524F5A" w14:textId="77777777" w:rsidR="008E1CE9" w:rsidRPr="008E1CE9" w:rsidRDefault="008E1CE9" w:rsidP="008E1CE9">
      <w:pPr>
        <w:jc w:val="both"/>
        <w:rPr>
          <w:rFonts w:ascii="Arial" w:hAnsi="Arial" w:cs="Arial"/>
          <w:sz w:val="22"/>
          <w:szCs w:val="22"/>
        </w:rPr>
      </w:pPr>
    </w:p>
    <w:p w14:paraId="75BB0231"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The network of early childhood and preschool educational services is insufficiently developed, with a lack of spatial capacity and large regional differences in accessibility. Additionally, the lack of educators, </w:t>
      </w:r>
      <w:proofErr w:type="spellStart"/>
      <w:r w:rsidRPr="008E1CE9">
        <w:rPr>
          <w:rFonts w:ascii="Arial" w:hAnsi="Arial" w:cs="Arial"/>
          <w:sz w:val="22"/>
          <w:szCs w:val="22"/>
        </w:rPr>
        <w:t>unfavourable</w:t>
      </w:r>
      <w:proofErr w:type="spellEnd"/>
      <w:r w:rsidRPr="008E1CE9">
        <w:rPr>
          <w:rFonts w:ascii="Arial" w:hAnsi="Arial" w:cs="Arial"/>
          <w:sz w:val="22"/>
          <w:szCs w:val="22"/>
        </w:rPr>
        <w:t xml:space="preserve"> working conditions and job insecurity are among the main factors that have a detrimental impact on the development of programs.</w:t>
      </w:r>
      <w:r w:rsidRPr="008E1CE9">
        <w:rPr>
          <w:rFonts w:ascii="Arial" w:hAnsi="Arial" w:cs="Arial"/>
          <w:sz w:val="22"/>
          <w:szCs w:val="22"/>
          <w:vertAlign w:val="superscript"/>
        </w:rPr>
        <w:footnoteReference w:id="11"/>
      </w:r>
    </w:p>
    <w:p w14:paraId="2250021F" w14:textId="77777777" w:rsidR="008E1CE9" w:rsidRPr="008E1CE9" w:rsidRDefault="008E1CE9" w:rsidP="008E1CE9">
      <w:pPr>
        <w:jc w:val="both"/>
        <w:rPr>
          <w:rFonts w:ascii="Arial" w:hAnsi="Arial" w:cs="Arial"/>
          <w:sz w:val="22"/>
          <w:szCs w:val="22"/>
        </w:rPr>
      </w:pPr>
    </w:p>
    <w:p w14:paraId="726E1D86"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lastRenderedPageBreak/>
        <w:t xml:space="preserve">Even though the newly adopted 2021-2027 National Plan for Fighting Poverty and Social Exclusion recognizes both single-parent families, women and elderly persons as vulnerable groups, there are no significant and focused measures in its 2021-2024 Action Plan that would be directed specifically to the poverty and social exclusion reduction of persons over 65 age and single-parent families that are at higher risk. The sole exception is a measure of redefining the family pension model and adjustment of the lowest pension targeting pensioners. </w:t>
      </w:r>
    </w:p>
    <w:p w14:paraId="056F9BB7" w14:textId="77777777" w:rsidR="008E1CE9" w:rsidRPr="008E1CE9" w:rsidRDefault="008E1CE9" w:rsidP="008E1CE9">
      <w:pPr>
        <w:ind w:left="720"/>
        <w:jc w:val="both"/>
        <w:rPr>
          <w:rFonts w:ascii="Arial" w:hAnsi="Arial" w:cs="Arial"/>
          <w:sz w:val="22"/>
          <w:szCs w:val="22"/>
        </w:rPr>
      </w:pPr>
    </w:p>
    <w:p w14:paraId="25B55CAD"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There are also no specific actions directed to women older than 65 in general, as well as women living in single-member households, even though they are at higher risk of poverty and social exclusion. There is a lack of action directed to asylum seekers and foreigners under subsidiary protection, as well as actions directed to children and young adults with </w:t>
      </w:r>
      <w:proofErr w:type="spellStart"/>
      <w:r w:rsidRPr="008E1CE9">
        <w:rPr>
          <w:rFonts w:ascii="Arial" w:hAnsi="Arial" w:cs="Arial"/>
          <w:sz w:val="22"/>
          <w:szCs w:val="22"/>
        </w:rPr>
        <w:t>behavioural</w:t>
      </w:r>
      <w:proofErr w:type="spellEnd"/>
      <w:r w:rsidRPr="008E1CE9">
        <w:rPr>
          <w:rFonts w:ascii="Arial" w:hAnsi="Arial" w:cs="Arial"/>
          <w:sz w:val="22"/>
          <w:szCs w:val="22"/>
        </w:rPr>
        <w:t xml:space="preserve"> problems, victims of crime, in particular victims of human trafficking and victims of domestic violence, that are recognized as vulnerable groups in the National plan. Still, no action directed to these vulnerable groups is found in the Action plan for 2021-2024. The lack of participation of civil society </w:t>
      </w:r>
      <w:proofErr w:type="spellStart"/>
      <w:r w:rsidRPr="008E1CE9">
        <w:rPr>
          <w:rFonts w:ascii="Arial" w:hAnsi="Arial" w:cs="Arial"/>
          <w:sz w:val="22"/>
          <w:szCs w:val="22"/>
        </w:rPr>
        <w:t>organisations</w:t>
      </w:r>
      <w:proofErr w:type="spellEnd"/>
      <w:r w:rsidRPr="008E1CE9">
        <w:rPr>
          <w:rFonts w:ascii="Arial" w:hAnsi="Arial" w:cs="Arial"/>
          <w:sz w:val="22"/>
          <w:szCs w:val="22"/>
        </w:rPr>
        <w:t xml:space="preserve"> that deal with socio-economic rights, as well as those representing and working with at-risk-of-poverty groups in the working group for developing the 2021-2027 National Plan for Fighting Poverty and Social Exclusion and its 2021-2024 Action Plan affected its scope, focus and target groups.</w:t>
      </w:r>
    </w:p>
    <w:p w14:paraId="39B11E3B" w14:textId="77777777" w:rsidR="008E1CE9" w:rsidRPr="008E1CE9" w:rsidRDefault="008E1CE9" w:rsidP="008E1CE9">
      <w:pPr>
        <w:rPr>
          <w:rFonts w:ascii="Arial" w:hAnsi="Arial" w:cs="Arial"/>
          <w:sz w:val="22"/>
          <w:szCs w:val="22"/>
        </w:rPr>
      </w:pPr>
    </w:p>
    <w:p w14:paraId="5AE19EEA" w14:textId="1CE68EA7"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Pr>
          <w:rFonts w:ascii="Arial" w:hAnsi="Arial" w:cs="Arial"/>
          <w:sz w:val="22"/>
          <w:szCs w:val="22"/>
          <w:u w:val="single"/>
        </w:rPr>
        <w:t>Questions</w:t>
      </w:r>
    </w:p>
    <w:p w14:paraId="1C9A5CEA" w14:textId="77777777" w:rsidR="008E1CE9" w:rsidRPr="008E1CE9" w:rsidRDefault="008E1CE9" w:rsidP="008E1CE9">
      <w:pPr>
        <w:rPr>
          <w:rFonts w:ascii="Arial" w:hAnsi="Arial" w:cs="Arial"/>
          <w:sz w:val="22"/>
          <w:szCs w:val="22"/>
        </w:rPr>
      </w:pPr>
    </w:p>
    <w:p w14:paraId="68EB31AE" w14:textId="147BB20D"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What are actions planned to reduce poverty and social exclusion of the elderly, especially women aged 65+ and those living in single-member households? What are actions planned to reduce poverty and social exclusion of vulnerable groups </w:t>
      </w:r>
      <w:proofErr w:type="gramStart"/>
      <w:r w:rsidRPr="008E1CE9">
        <w:rPr>
          <w:rFonts w:ascii="Arial" w:hAnsi="Arial" w:cs="Arial"/>
          <w:sz w:val="22"/>
          <w:szCs w:val="22"/>
        </w:rPr>
        <w:t>e.g.</w:t>
      </w:r>
      <w:proofErr w:type="gramEnd"/>
      <w:r w:rsidRPr="008E1CE9">
        <w:rPr>
          <w:rFonts w:ascii="Arial" w:hAnsi="Arial" w:cs="Arial"/>
          <w:sz w:val="22"/>
          <w:szCs w:val="22"/>
        </w:rPr>
        <w:t xml:space="preserve"> asylum seekers and foreigners under subsidiary protection, children and young adults with behavioral problems, victims of crime, in particular victims of human trafficking and victims of domestic violence, that are recognized as vulnerable groups in the National plan but no action directed to these vulnerable groups is found in the Action plan for 2021-2024? Does the government aim to include more civil society </w:t>
      </w:r>
      <w:proofErr w:type="spellStart"/>
      <w:r w:rsidRPr="008E1CE9">
        <w:rPr>
          <w:rFonts w:ascii="Arial" w:hAnsi="Arial" w:cs="Arial"/>
          <w:sz w:val="22"/>
          <w:szCs w:val="22"/>
        </w:rPr>
        <w:t>organisations</w:t>
      </w:r>
      <w:proofErr w:type="spellEnd"/>
      <w:r w:rsidRPr="008E1CE9">
        <w:rPr>
          <w:rFonts w:ascii="Arial" w:hAnsi="Arial" w:cs="Arial"/>
          <w:sz w:val="22"/>
          <w:szCs w:val="22"/>
        </w:rPr>
        <w:t xml:space="preserve"> representing and working with at-risk-of-poverty groups in the development of the Action plan for 2025-2027?</w:t>
      </w:r>
    </w:p>
    <w:p w14:paraId="5633C87C" w14:textId="1EB11A0E" w:rsidR="008E1CE9" w:rsidRPr="00A20F29" w:rsidRDefault="008E1CE9" w:rsidP="00A20F29">
      <w:pPr>
        <w:pStyle w:val="Heading3"/>
      </w:pPr>
      <w:bookmarkStart w:id="5" w:name="_mj8hcqtltgkw" w:colFirst="0" w:colLast="0"/>
      <w:bookmarkEnd w:id="5"/>
      <w:r w:rsidRPr="00A20F29">
        <w:t>Housing</w:t>
      </w:r>
    </w:p>
    <w:p w14:paraId="1B9F1145"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Croatia does not have a comprehensive needs-based housing policy. There is still no progress in regulating the housing rental system, while prices and ways of acquiring one’s own real estate remains unfavorable. There is also a lack of investment policies aimed at improving housing conditions. </w:t>
      </w:r>
    </w:p>
    <w:p w14:paraId="40663DD6" w14:textId="77777777" w:rsidR="008E1CE9" w:rsidRPr="008E1CE9" w:rsidRDefault="008E1CE9" w:rsidP="008E1CE9">
      <w:pPr>
        <w:jc w:val="both"/>
        <w:rPr>
          <w:rFonts w:ascii="Arial" w:hAnsi="Arial" w:cs="Arial"/>
          <w:sz w:val="22"/>
          <w:szCs w:val="22"/>
        </w:rPr>
      </w:pPr>
    </w:p>
    <w:p w14:paraId="2D5F164E"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lastRenderedPageBreak/>
        <w:t>Citizens still face problems with the availability and affordability of adequate heating (more than 5% of households)</w:t>
      </w:r>
      <w:r w:rsidRPr="008E1CE9">
        <w:rPr>
          <w:rFonts w:ascii="Arial" w:hAnsi="Arial" w:cs="Arial"/>
          <w:sz w:val="22"/>
          <w:szCs w:val="22"/>
          <w:vertAlign w:val="superscript"/>
        </w:rPr>
        <w:footnoteReference w:id="12"/>
      </w:r>
      <w:r w:rsidRPr="008E1CE9">
        <w:rPr>
          <w:rFonts w:ascii="Arial" w:hAnsi="Arial" w:cs="Arial"/>
          <w:sz w:val="22"/>
          <w:szCs w:val="22"/>
        </w:rPr>
        <w:t>, as well as overcrowded living spaces with more than 30% of the population living in overcrowded homes, which is among highest rates in the EU</w:t>
      </w:r>
      <w:r w:rsidRPr="008E1CE9">
        <w:rPr>
          <w:rFonts w:ascii="Arial" w:hAnsi="Arial" w:cs="Arial"/>
          <w:sz w:val="22"/>
          <w:szCs w:val="22"/>
          <w:vertAlign w:val="superscript"/>
        </w:rPr>
        <w:footnoteReference w:id="13"/>
      </w:r>
      <w:r w:rsidRPr="008E1CE9">
        <w:rPr>
          <w:rFonts w:ascii="Arial" w:hAnsi="Arial" w:cs="Arial"/>
          <w:sz w:val="22"/>
          <w:szCs w:val="22"/>
        </w:rPr>
        <w:t>. According to the latest data, the housing cost overburden rate is still higher among tenants than property owners</w:t>
      </w:r>
      <w:r w:rsidRPr="008E1CE9">
        <w:rPr>
          <w:rFonts w:ascii="Arial" w:hAnsi="Arial" w:cs="Arial"/>
          <w:sz w:val="22"/>
          <w:szCs w:val="22"/>
          <w:vertAlign w:val="superscript"/>
        </w:rPr>
        <w:footnoteReference w:id="14"/>
      </w:r>
      <w:r w:rsidRPr="008E1CE9">
        <w:rPr>
          <w:rFonts w:ascii="Arial" w:hAnsi="Arial" w:cs="Arial"/>
          <w:sz w:val="22"/>
          <w:szCs w:val="22"/>
        </w:rPr>
        <w:t xml:space="preserve"> and almost a third of tenants are at risk of poverty.</w:t>
      </w:r>
      <w:r w:rsidRPr="008E1CE9">
        <w:rPr>
          <w:rFonts w:ascii="Arial" w:hAnsi="Arial" w:cs="Arial"/>
          <w:sz w:val="22"/>
          <w:szCs w:val="22"/>
          <w:vertAlign w:val="superscript"/>
        </w:rPr>
        <w:footnoteReference w:id="15"/>
      </w:r>
    </w:p>
    <w:p w14:paraId="33E786D4" w14:textId="77777777" w:rsidR="008E1CE9" w:rsidRPr="008E1CE9" w:rsidRDefault="008E1CE9" w:rsidP="008E1CE9">
      <w:pPr>
        <w:jc w:val="both"/>
        <w:rPr>
          <w:rFonts w:ascii="Arial" w:hAnsi="Arial" w:cs="Arial"/>
          <w:sz w:val="22"/>
          <w:szCs w:val="22"/>
        </w:rPr>
      </w:pPr>
    </w:p>
    <w:p w14:paraId="542C3A59"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The one-off subsidy measure for housing loans</w:t>
      </w:r>
      <w:r w:rsidRPr="008E1CE9">
        <w:rPr>
          <w:rFonts w:ascii="Arial" w:hAnsi="Arial" w:cs="Arial"/>
          <w:sz w:val="22"/>
          <w:szCs w:val="22"/>
          <w:vertAlign w:val="superscript"/>
        </w:rPr>
        <w:footnoteReference w:id="16"/>
      </w:r>
      <w:r w:rsidRPr="008E1CE9">
        <w:rPr>
          <w:rFonts w:ascii="Arial" w:hAnsi="Arial" w:cs="Arial"/>
          <w:sz w:val="22"/>
          <w:szCs w:val="22"/>
        </w:rPr>
        <w:t xml:space="preserve"> remains the main housing policy measure despite the fact that it contributes to the rise in real estate prices</w:t>
      </w:r>
      <w:r w:rsidRPr="008E1CE9">
        <w:rPr>
          <w:rFonts w:ascii="Arial" w:hAnsi="Arial" w:cs="Arial"/>
          <w:sz w:val="22"/>
          <w:szCs w:val="22"/>
          <w:vertAlign w:val="superscript"/>
        </w:rPr>
        <w:footnoteReference w:id="17"/>
      </w:r>
      <w:r w:rsidRPr="008E1CE9">
        <w:rPr>
          <w:rFonts w:ascii="Arial" w:hAnsi="Arial" w:cs="Arial"/>
          <w:sz w:val="22"/>
          <w:szCs w:val="22"/>
        </w:rPr>
        <w:t>, is applicable only to citizens who are creditworthy and meet certain criteria, and encourages citizens to go into long-term debt. In 2021, the European Systemic Risk Board issued a warning to Croatia about the real estate market and subsidized housing loans, highlighting that the rising real estate prices could pose a threat to Croatia’s entire financial system and stability in the foreseeable future. They point to the rapid growth of housing loans and possible signs of inflated real estate prices, while there are simultaneously no measures that could mitigate the risks</w:t>
      </w:r>
      <w:r w:rsidRPr="008E1CE9">
        <w:rPr>
          <w:rFonts w:ascii="Arial" w:hAnsi="Arial" w:cs="Arial"/>
          <w:sz w:val="22"/>
          <w:szCs w:val="22"/>
          <w:vertAlign w:val="superscript"/>
        </w:rPr>
        <w:footnoteReference w:id="18"/>
      </w:r>
      <w:r w:rsidRPr="008E1CE9">
        <w:rPr>
          <w:rFonts w:ascii="Arial" w:hAnsi="Arial" w:cs="Arial"/>
          <w:sz w:val="22"/>
          <w:szCs w:val="22"/>
        </w:rPr>
        <w:t xml:space="preserve">. </w:t>
      </w:r>
    </w:p>
    <w:p w14:paraId="3FC73F2D" w14:textId="77777777" w:rsidR="008E1CE9" w:rsidRPr="008E1CE9" w:rsidRDefault="008E1CE9" w:rsidP="008E1CE9">
      <w:pPr>
        <w:ind w:left="720"/>
        <w:jc w:val="both"/>
        <w:rPr>
          <w:rFonts w:ascii="Arial" w:hAnsi="Arial" w:cs="Arial"/>
          <w:sz w:val="22"/>
          <w:szCs w:val="22"/>
        </w:rPr>
      </w:pPr>
    </w:p>
    <w:p w14:paraId="59CF68D4"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Roma families with a large number of children who do not own real estate and that are at risk of poverty live at constant risk of homelessness because there are not enough publicly subsidized apartments for rent. Due to prejudice against Roma and the reluctance of private individuals to rent to families with children as well as due to prices of rent, families can hardly find a suitable apartment to rent from private landlords, so they often only manage to get short time rents and illegal rent without registering which prevents them from accessing other services related to residence and residency. In the social welfare system, there are measures for accommodation in a safe house for victims of violence or separate accommodation for adults and children, but lack </w:t>
      </w:r>
      <w:proofErr w:type="gramStart"/>
      <w:r w:rsidRPr="008E1CE9">
        <w:rPr>
          <w:rFonts w:ascii="Arial" w:hAnsi="Arial" w:cs="Arial"/>
          <w:sz w:val="22"/>
          <w:szCs w:val="22"/>
        </w:rPr>
        <w:t xml:space="preserve">of  </w:t>
      </w:r>
      <w:r w:rsidRPr="008E1CE9">
        <w:rPr>
          <w:rFonts w:ascii="Arial" w:hAnsi="Arial" w:cs="Arial"/>
          <w:sz w:val="22"/>
          <w:szCs w:val="22"/>
        </w:rPr>
        <w:lastRenderedPageBreak/>
        <w:t>measures</w:t>
      </w:r>
      <w:proofErr w:type="gramEnd"/>
      <w:r w:rsidRPr="008E1CE9">
        <w:rPr>
          <w:rFonts w:ascii="Arial" w:hAnsi="Arial" w:cs="Arial"/>
          <w:sz w:val="22"/>
          <w:szCs w:val="22"/>
        </w:rPr>
        <w:t xml:space="preserve"> for joint accommodation and support to parents and children that live in the risk of homelessness is evident. According to the Social Welfare Act, that service is in the jurisdiction of the local government, which does not have enough resources to provide accommodation. The consequences are that these families often live in public spaces illegally, and sometimes without basic conditions (toilets, electricity, or running water). Also, parents are reluctant to ask for help in times of crisis connected with the loss of home because they are afraid that children would be separated from them.</w:t>
      </w:r>
    </w:p>
    <w:p w14:paraId="04F571CC" w14:textId="77777777" w:rsidR="008E1CE9" w:rsidRPr="008E1CE9" w:rsidRDefault="008E1CE9" w:rsidP="008E1CE9">
      <w:pPr>
        <w:jc w:val="both"/>
        <w:rPr>
          <w:rFonts w:ascii="Arial" w:hAnsi="Arial" w:cs="Arial"/>
          <w:sz w:val="22"/>
          <w:szCs w:val="22"/>
        </w:rPr>
      </w:pPr>
    </w:p>
    <w:p w14:paraId="571B5E59"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Issues with legal security, affordability, habitability, accessibility and access to housing have been further exacerbated especially in the aftermath of the earthquakes in Zagreb and Sisak-</w:t>
      </w:r>
      <w:proofErr w:type="spellStart"/>
      <w:r w:rsidRPr="008E1CE9">
        <w:rPr>
          <w:rFonts w:ascii="Arial" w:hAnsi="Arial" w:cs="Arial"/>
          <w:sz w:val="22"/>
          <w:szCs w:val="22"/>
        </w:rPr>
        <w:t>Moslavina</w:t>
      </w:r>
      <w:proofErr w:type="spellEnd"/>
      <w:r w:rsidRPr="008E1CE9">
        <w:rPr>
          <w:rFonts w:ascii="Arial" w:hAnsi="Arial" w:cs="Arial"/>
          <w:sz w:val="22"/>
          <w:szCs w:val="22"/>
        </w:rPr>
        <w:t xml:space="preserve"> County. The reconstruction of earthquake-affected buildings is extremely slow and inefficient, even the Prime Minister called it “unbelievably slow”</w:t>
      </w:r>
      <w:r w:rsidRPr="008E1CE9">
        <w:rPr>
          <w:rFonts w:ascii="Arial" w:hAnsi="Arial" w:cs="Arial"/>
          <w:sz w:val="22"/>
          <w:szCs w:val="22"/>
          <w:vertAlign w:val="superscript"/>
        </w:rPr>
        <w:footnoteReference w:id="19"/>
      </w:r>
      <w:r w:rsidRPr="008E1CE9">
        <w:rPr>
          <w:rFonts w:ascii="Arial" w:hAnsi="Arial" w:cs="Arial"/>
          <w:sz w:val="22"/>
          <w:szCs w:val="22"/>
        </w:rPr>
        <w:t xml:space="preserve">. Data show that by January 3, 2023, in </w:t>
      </w:r>
      <w:proofErr w:type="spellStart"/>
      <w:r w:rsidRPr="008E1CE9">
        <w:rPr>
          <w:rFonts w:ascii="Arial" w:hAnsi="Arial" w:cs="Arial"/>
          <w:sz w:val="22"/>
          <w:szCs w:val="22"/>
        </w:rPr>
        <w:t>Banija</w:t>
      </w:r>
      <w:proofErr w:type="spellEnd"/>
      <w:r w:rsidRPr="008E1CE9">
        <w:rPr>
          <w:rFonts w:ascii="Arial" w:hAnsi="Arial" w:cs="Arial"/>
          <w:sz w:val="22"/>
          <w:szCs w:val="22"/>
        </w:rPr>
        <w:t xml:space="preserve"> 9,735 requests for renovation and 8,635 requests for non-structural renovation were received. While 4,090 houses are non-structurally renovated, self-renovated are 1,081, works are being carried out on 586 houses. Devastatingly, two years after the earthquake, there are only 6 newly built houses</w:t>
      </w:r>
      <w:r w:rsidRPr="008E1CE9">
        <w:rPr>
          <w:rFonts w:ascii="Arial" w:hAnsi="Arial" w:cs="Arial"/>
          <w:sz w:val="22"/>
          <w:szCs w:val="22"/>
          <w:vertAlign w:val="superscript"/>
        </w:rPr>
        <w:footnoteReference w:id="20"/>
      </w:r>
      <w:r w:rsidRPr="008E1CE9">
        <w:rPr>
          <w:rFonts w:ascii="Arial" w:hAnsi="Arial" w:cs="Arial"/>
          <w:sz w:val="22"/>
          <w:szCs w:val="22"/>
        </w:rPr>
        <w:t>. Almost 4000 citizens still continue to live in inadequate living conditions, in improvised settlements in containers, including families with children and old age citizens</w:t>
      </w:r>
      <w:r w:rsidRPr="008E1CE9">
        <w:rPr>
          <w:rFonts w:ascii="Arial" w:hAnsi="Arial" w:cs="Arial"/>
          <w:sz w:val="22"/>
          <w:szCs w:val="22"/>
          <w:vertAlign w:val="superscript"/>
        </w:rPr>
        <w:footnoteReference w:id="21"/>
      </w:r>
      <w:r w:rsidRPr="008E1CE9">
        <w:rPr>
          <w:rFonts w:ascii="Arial" w:hAnsi="Arial" w:cs="Arial"/>
          <w:sz w:val="22"/>
          <w:szCs w:val="22"/>
        </w:rPr>
        <w:t xml:space="preserve">, without clear information regarding the deadlines for the reconstruction of their homes. Many citizens continue to face a range of obstacles to exercising their rights, increasing their distrust of the system and institutions, with many embarking on repairs themselves, which leads to significant financial investment and, consequently, credit borrowing. </w:t>
      </w:r>
    </w:p>
    <w:p w14:paraId="4FFF61DC" w14:textId="77777777" w:rsidR="008E1CE9" w:rsidRPr="008E1CE9" w:rsidRDefault="008E1CE9" w:rsidP="008E1CE9">
      <w:pPr>
        <w:jc w:val="both"/>
        <w:rPr>
          <w:rFonts w:ascii="Arial" w:hAnsi="Arial" w:cs="Arial"/>
          <w:sz w:val="22"/>
          <w:szCs w:val="22"/>
        </w:rPr>
      </w:pPr>
    </w:p>
    <w:p w14:paraId="135A137C" w14:textId="6DC80FE2"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Pr>
          <w:rFonts w:ascii="Arial" w:hAnsi="Arial" w:cs="Arial"/>
          <w:sz w:val="22"/>
          <w:szCs w:val="22"/>
          <w:u w:val="single"/>
        </w:rPr>
        <w:t>Q</w:t>
      </w:r>
      <w:r w:rsidRPr="008E1CE9">
        <w:rPr>
          <w:rFonts w:ascii="Arial" w:hAnsi="Arial" w:cs="Arial"/>
          <w:sz w:val="22"/>
          <w:szCs w:val="22"/>
          <w:u w:val="single"/>
        </w:rPr>
        <w:t>uestions</w:t>
      </w:r>
    </w:p>
    <w:p w14:paraId="01AA385E" w14:textId="77777777" w:rsidR="008E1CE9" w:rsidRPr="008E1CE9" w:rsidRDefault="008E1CE9" w:rsidP="008E1CE9">
      <w:pPr>
        <w:jc w:val="both"/>
        <w:rPr>
          <w:rFonts w:ascii="Arial" w:hAnsi="Arial" w:cs="Arial"/>
          <w:sz w:val="22"/>
          <w:szCs w:val="22"/>
        </w:rPr>
      </w:pPr>
    </w:p>
    <w:p w14:paraId="7A412A16"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What are the measures in order to tackle the issues of legal security, affordability, habitability, accessibility and access to housing? What are urgent measures to ensure adequate living conditions for almost 4000 citizens of the </w:t>
      </w:r>
      <w:proofErr w:type="spellStart"/>
      <w:r w:rsidRPr="008E1CE9">
        <w:rPr>
          <w:rFonts w:ascii="Arial" w:hAnsi="Arial" w:cs="Arial"/>
          <w:sz w:val="22"/>
          <w:szCs w:val="22"/>
        </w:rPr>
        <w:t>Banija</w:t>
      </w:r>
      <w:proofErr w:type="spellEnd"/>
      <w:r w:rsidRPr="008E1CE9">
        <w:rPr>
          <w:rFonts w:ascii="Arial" w:hAnsi="Arial" w:cs="Arial"/>
          <w:sz w:val="22"/>
          <w:szCs w:val="22"/>
        </w:rPr>
        <w:t xml:space="preserve"> region, still living in improvised settlements in containers, two years after the earthquake?</w:t>
      </w:r>
    </w:p>
    <w:p w14:paraId="4C3FDCC2" w14:textId="2D6BE15B" w:rsidR="008E1CE9" w:rsidRPr="00A20F29" w:rsidRDefault="008E1CE9" w:rsidP="00A20F29">
      <w:pPr>
        <w:pStyle w:val="Heading3"/>
      </w:pPr>
      <w:bookmarkStart w:id="6" w:name="_sdmmexoilt44" w:colFirst="0" w:colLast="0"/>
      <w:bookmarkEnd w:id="6"/>
      <w:r w:rsidRPr="00A20F29">
        <w:t>Homeless</w:t>
      </w:r>
    </w:p>
    <w:p w14:paraId="4904D698"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On 21 June 2021, Croatia signed the </w:t>
      </w:r>
      <w:hyperlink r:id="rId10" w:anchor=":~:text=WE%2C%20the%20European%20Commission%2C%20will%3A&amp;text=promote%20the%20use%20of%20EU,and%20initiatives%20addressing%20homelessness4.">
        <w:r w:rsidRPr="008E1CE9">
          <w:rPr>
            <w:rFonts w:ascii="Arial" w:hAnsi="Arial" w:cs="Arial"/>
            <w:color w:val="1155CC"/>
            <w:sz w:val="22"/>
            <w:szCs w:val="22"/>
            <w:u w:val="single"/>
          </w:rPr>
          <w:t>Lisbon Declaration on the European Platform on Combatting Homelessness</w:t>
        </w:r>
      </w:hyperlink>
      <w:r w:rsidRPr="008E1CE9">
        <w:rPr>
          <w:rFonts w:ascii="Arial" w:hAnsi="Arial" w:cs="Arial"/>
          <w:sz w:val="22"/>
          <w:szCs w:val="22"/>
        </w:rPr>
        <w:t xml:space="preserve">, committing to work towards the ending of homelessness </w:t>
      </w:r>
      <w:r w:rsidRPr="008E1CE9">
        <w:rPr>
          <w:rFonts w:ascii="Arial" w:hAnsi="Arial" w:cs="Arial"/>
          <w:sz w:val="22"/>
          <w:szCs w:val="22"/>
        </w:rPr>
        <w:lastRenderedPageBreak/>
        <w:t xml:space="preserve">by 2030. Specifically, the Government pledged to promote the prevention of homelessness, access to </w:t>
      </w:r>
      <w:r w:rsidRPr="000D1A80">
        <w:rPr>
          <w:rFonts w:ascii="Arial" w:hAnsi="Arial" w:cs="Arial"/>
          <w:sz w:val="22"/>
          <w:szCs w:val="22"/>
        </w:rPr>
        <w:t xml:space="preserve">permanent housing and the provision of enabling support services </w:t>
      </w:r>
      <w:r w:rsidRPr="008E1CE9">
        <w:rPr>
          <w:rFonts w:ascii="Arial" w:hAnsi="Arial" w:cs="Arial"/>
          <w:sz w:val="22"/>
          <w:szCs w:val="22"/>
        </w:rPr>
        <w:t>to the homeless. However, the current state is that shelters are the sole type of temporary/emergency accommodation for the homeless who have been living in emergency accommodation for a long period of time due to the lack of permanent housing options. There is no adequately developed social housing and social services supporting transition to permanent housing are inadequately funded and unsustainable. The National Strategy for Combating Poverty and Social Exclusion 2021-2027 and the accompanying Action Plan were adopted in 2021, but did not introduce new measures that would significantly affect the improvement of the rights of homeless persons.</w:t>
      </w:r>
    </w:p>
    <w:p w14:paraId="59A95012" w14:textId="77777777" w:rsidR="008E1CE9" w:rsidRPr="008E1CE9" w:rsidRDefault="008E1CE9" w:rsidP="008E1CE9">
      <w:pPr>
        <w:jc w:val="both"/>
        <w:rPr>
          <w:rFonts w:ascii="Arial" w:hAnsi="Arial" w:cs="Arial"/>
          <w:sz w:val="22"/>
          <w:szCs w:val="22"/>
        </w:rPr>
      </w:pPr>
    </w:p>
    <w:p w14:paraId="4F71ADFC"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The new Social Welfare Act still has an insufficiently broad legal definition of a homeless person that is not in line with the ETHOS typology of homelessness and housing exclusion and does not include persons living in inadequate living spaces or secondary and tertiary forms of homelessness, which impedes the creation of appropriate prevention policies. Homelessness does not take into account persons living in very precarious housing conditions, inadequate apartments and persons at risk of homelessness due to very precarious tenancy rights. </w:t>
      </w:r>
    </w:p>
    <w:p w14:paraId="572C8884" w14:textId="77777777" w:rsidR="008E1CE9" w:rsidRPr="008E1CE9" w:rsidRDefault="008E1CE9" w:rsidP="008E1CE9">
      <w:pPr>
        <w:jc w:val="both"/>
        <w:rPr>
          <w:rFonts w:ascii="Arial" w:hAnsi="Arial" w:cs="Arial"/>
          <w:sz w:val="22"/>
          <w:szCs w:val="22"/>
        </w:rPr>
      </w:pPr>
    </w:p>
    <w:p w14:paraId="627E2657"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Croatia still does not have accurate data on the number of homeless persons, which is vital for the creation of welfare measures and policies. There are 14 homeless shelters in Croatia, all of them in larger cities with a total accommodation capacity of up to 450 users, while the needs are multiple times greater. Although the number of homeless persons in official statistics ranges between 300 and 500, the actual number is much higher according to estimates in the field and amounts to around 2,000</w:t>
      </w:r>
      <w:r w:rsidRPr="008E1CE9">
        <w:rPr>
          <w:rFonts w:ascii="Arial" w:hAnsi="Arial" w:cs="Arial"/>
          <w:sz w:val="22"/>
          <w:szCs w:val="22"/>
          <w:vertAlign w:val="superscript"/>
        </w:rPr>
        <w:footnoteReference w:id="22"/>
      </w:r>
      <w:r w:rsidRPr="008E1CE9">
        <w:rPr>
          <w:rFonts w:ascii="Arial" w:hAnsi="Arial" w:cs="Arial"/>
          <w:sz w:val="22"/>
          <w:szCs w:val="22"/>
        </w:rPr>
        <w:t xml:space="preserve">, while the number of citizens living at risk of homelessness is around 10,000. </w:t>
      </w:r>
    </w:p>
    <w:p w14:paraId="1C91B126" w14:textId="77777777" w:rsidR="008E1CE9" w:rsidRPr="008E1CE9" w:rsidRDefault="008E1CE9" w:rsidP="008E1CE9">
      <w:pPr>
        <w:ind w:left="720"/>
        <w:jc w:val="both"/>
        <w:rPr>
          <w:rFonts w:ascii="Arial" w:hAnsi="Arial" w:cs="Arial"/>
          <w:sz w:val="22"/>
          <w:szCs w:val="22"/>
        </w:rPr>
      </w:pPr>
    </w:p>
    <w:p w14:paraId="1C45B49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Despite large cities and county seats having a legal obligation to allocate funds from their budget for serving food in soup kitchens and providing accommodation in homeless shelters and night shelters, a large number of cities in Croatia still lack homeless care programs. Soup kitchens and welfare self-service stores are often the result of initiatives organized by civil society, humanitarian and religious organizations, rather than structural national policies.</w:t>
      </w:r>
    </w:p>
    <w:p w14:paraId="392E61D2" w14:textId="77777777" w:rsidR="008E1CE9" w:rsidRPr="008E1CE9" w:rsidRDefault="008E1CE9" w:rsidP="008E1CE9">
      <w:pPr>
        <w:jc w:val="both"/>
        <w:rPr>
          <w:rFonts w:ascii="Arial" w:hAnsi="Arial" w:cs="Arial"/>
          <w:sz w:val="22"/>
          <w:szCs w:val="22"/>
        </w:rPr>
      </w:pPr>
    </w:p>
    <w:p w14:paraId="436B8204"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Croatia does not have a strategy for preventing and combating homelessness or a strategy for social housing. Given that homelessness is an extreme form of poverty and social exclusion that requires a special approach, there is a need to devise specific frameworks and social policy measures for homeless persons at the national level. The lack of a national homelessness strategy and of a protocol for the treatment of </w:t>
      </w:r>
      <w:r w:rsidRPr="008E1CE9">
        <w:rPr>
          <w:rFonts w:ascii="Arial" w:hAnsi="Arial" w:cs="Arial"/>
          <w:sz w:val="22"/>
          <w:szCs w:val="22"/>
        </w:rPr>
        <w:lastRenderedPageBreak/>
        <w:t>homeless persons affects the quality of services of all providers and the cooperation on homelessness with competent authorities.</w:t>
      </w:r>
    </w:p>
    <w:p w14:paraId="0E67AD4C" w14:textId="77777777" w:rsidR="008E1CE9" w:rsidRPr="008E1CE9" w:rsidRDefault="008E1CE9" w:rsidP="008E1CE9">
      <w:pPr>
        <w:jc w:val="both"/>
        <w:rPr>
          <w:rFonts w:ascii="Arial" w:hAnsi="Arial" w:cs="Arial"/>
          <w:sz w:val="22"/>
          <w:szCs w:val="22"/>
        </w:rPr>
      </w:pPr>
    </w:p>
    <w:p w14:paraId="3A6FE7E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The Ombudswoman warns of a lack of activities involving expert work with homeless persons in the field and visits to non-residential areas with the support and advice of experts, which would reduce the number of ‘hidden’ homeless persons and speed up their social integration. Also, the short-term project funding does not ensure the continuity of activities and services for homeless persons.</w:t>
      </w:r>
      <w:r w:rsidRPr="008E1CE9">
        <w:rPr>
          <w:rFonts w:ascii="Arial" w:hAnsi="Arial" w:cs="Arial"/>
          <w:sz w:val="22"/>
          <w:szCs w:val="22"/>
          <w:vertAlign w:val="superscript"/>
        </w:rPr>
        <w:footnoteReference w:id="23"/>
      </w:r>
      <w:r w:rsidRPr="008E1CE9">
        <w:rPr>
          <w:rFonts w:ascii="Arial" w:hAnsi="Arial" w:cs="Arial"/>
          <w:sz w:val="22"/>
          <w:szCs w:val="22"/>
        </w:rPr>
        <w:t xml:space="preserve"> </w:t>
      </w:r>
    </w:p>
    <w:p w14:paraId="7220FBC2" w14:textId="77777777" w:rsidR="008E1CE9" w:rsidRPr="008E1CE9" w:rsidRDefault="008E1CE9" w:rsidP="008E1CE9">
      <w:pPr>
        <w:jc w:val="both"/>
        <w:rPr>
          <w:rFonts w:ascii="Arial" w:hAnsi="Arial" w:cs="Arial"/>
          <w:sz w:val="22"/>
          <w:szCs w:val="22"/>
        </w:rPr>
      </w:pPr>
    </w:p>
    <w:p w14:paraId="76673610" w14:textId="0490823A"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Pr>
          <w:rFonts w:ascii="Arial" w:hAnsi="Arial" w:cs="Arial"/>
          <w:sz w:val="22"/>
          <w:szCs w:val="22"/>
          <w:u w:val="single"/>
        </w:rPr>
        <w:t>Q</w:t>
      </w:r>
      <w:r w:rsidRPr="008E1CE9">
        <w:rPr>
          <w:rFonts w:ascii="Arial" w:hAnsi="Arial" w:cs="Arial"/>
          <w:sz w:val="22"/>
          <w:szCs w:val="22"/>
          <w:u w:val="single"/>
        </w:rPr>
        <w:t>uestions</w:t>
      </w:r>
    </w:p>
    <w:p w14:paraId="7091F5ED" w14:textId="77777777" w:rsidR="008E1CE9" w:rsidRPr="008E1CE9" w:rsidRDefault="008E1CE9" w:rsidP="008E1CE9">
      <w:pPr>
        <w:jc w:val="both"/>
        <w:rPr>
          <w:rFonts w:ascii="Arial" w:hAnsi="Arial" w:cs="Arial"/>
          <w:sz w:val="22"/>
          <w:szCs w:val="22"/>
        </w:rPr>
      </w:pPr>
    </w:p>
    <w:p w14:paraId="2A947784"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What policies and measures are planned to fulfill the pledge from the Lisbon Declaration, grant access to permanent housing and enable support services towards eradicating homelessness by 2030? When will the strategy for preventing and combating homelessness and the strategy for social housing be introduced? How will the Government advance the lack of social services for homeless people and insure sustainability and availability of services across the country?</w:t>
      </w:r>
    </w:p>
    <w:p w14:paraId="6293CE01" w14:textId="1DADBE57" w:rsidR="008E1CE9" w:rsidRPr="00A20F29" w:rsidRDefault="008E1CE9" w:rsidP="00A20F29">
      <w:pPr>
        <w:pStyle w:val="Heading2"/>
      </w:pPr>
      <w:bookmarkStart w:id="7" w:name="_wqmrr0x0kh3h" w:colFirst="0" w:colLast="0"/>
      <w:bookmarkEnd w:id="7"/>
      <w:r w:rsidRPr="00A20F29">
        <w:t xml:space="preserve">Guaranteed minimum benefit </w:t>
      </w:r>
    </w:p>
    <w:p w14:paraId="1DB4D352" w14:textId="3F3567EA"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The number of beneficiaries of the guaranteed minimum benefit in Croatia is still declining, while its amount and coverage remain inadequate. The new Social Welfare Act increased the guaranteed minimum benefit from 800 HRK to 1,000 HRK (circa 106 EUR to 132 EUR) per month for a single adult person. However, the guaranteed benefit is still insufficient to realize fundamental human rights and get out of material deprivation. The risk-of-poverty line (3,038 HRK or 403.21 EUR) is significantly higher than the income threshold for achieving the guaranteed minimum benefit.</w:t>
      </w:r>
      <w:r w:rsidRPr="008E1CE9">
        <w:rPr>
          <w:rFonts w:ascii="Arial" w:hAnsi="Arial" w:cs="Arial"/>
          <w:sz w:val="22"/>
          <w:szCs w:val="22"/>
          <w:vertAlign w:val="superscript"/>
        </w:rPr>
        <w:footnoteReference w:id="24"/>
      </w:r>
      <w:r w:rsidRPr="008E1CE9">
        <w:rPr>
          <w:rFonts w:ascii="Arial" w:hAnsi="Arial" w:cs="Arial"/>
          <w:sz w:val="22"/>
          <w:szCs w:val="22"/>
        </w:rPr>
        <w:t xml:space="preserve"> In the new 2021-2027 National Plan for Fighting Poverty and Social Exclusion, one of the measures is to prescribe a gradual (annual) increase of the base of guaranteed minimum benefit following the determined line of extreme poverty (1,500 HRK or 199.08 EUR)</w:t>
      </w:r>
      <w:r w:rsidRPr="008E1CE9">
        <w:rPr>
          <w:rFonts w:ascii="Arial" w:hAnsi="Arial" w:cs="Arial"/>
          <w:sz w:val="22"/>
          <w:szCs w:val="22"/>
          <w:vertAlign w:val="superscript"/>
        </w:rPr>
        <w:footnoteReference w:id="25"/>
      </w:r>
      <w:r w:rsidRPr="008E1CE9">
        <w:rPr>
          <w:rFonts w:ascii="Arial" w:hAnsi="Arial" w:cs="Arial"/>
          <w:sz w:val="22"/>
          <w:szCs w:val="22"/>
        </w:rPr>
        <w:t xml:space="preserve">. Even with that increase, the issue of insufficient amount and </w:t>
      </w:r>
      <w:r w:rsidRPr="008E1CE9">
        <w:rPr>
          <w:rFonts w:ascii="Arial" w:hAnsi="Arial" w:cs="Arial"/>
          <w:sz w:val="22"/>
          <w:szCs w:val="22"/>
        </w:rPr>
        <w:lastRenderedPageBreak/>
        <w:t xml:space="preserve">discrepancy between the at-risk-of-poverty line and income threshold for achieving the guaranteed minimum benefit will not be solved. </w:t>
      </w:r>
    </w:p>
    <w:p w14:paraId="3D1BC2B0" w14:textId="77777777" w:rsidR="008E1CE9" w:rsidRPr="008E1CE9" w:rsidRDefault="008E1CE9" w:rsidP="008E1CE9">
      <w:pPr>
        <w:jc w:val="both"/>
        <w:rPr>
          <w:rFonts w:ascii="Arial" w:hAnsi="Arial" w:cs="Arial"/>
          <w:sz w:val="22"/>
          <w:szCs w:val="22"/>
        </w:rPr>
      </w:pPr>
    </w:p>
    <w:p w14:paraId="6D08A1DE"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Also, access to some specific benefits (</w:t>
      </w:r>
      <w:proofErr w:type="gramStart"/>
      <w:r w:rsidRPr="008E1CE9">
        <w:rPr>
          <w:rFonts w:ascii="Arial" w:hAnsi="Arial" w:cs="Arial"/>
          <w:sz w:val="22"/>
          <w:szCs w:val="22"/>
        </w:rPr>
        <w:t>e.g.</w:t>
      </w:r>
      <w:proofErr w:type="gramEnd"/>
      <w:r w:rsidRPr="008E1CE9">
        <w:rPr>
          <w:rFonts w:ascii="Arial" w:hAnsi="Arial" w:cs="Arial"/>
          <w:sz w:val="22"/>
          <w:szCs w:val="22"/>
        </w:rPr>
        <w:t xml:space="preserve"> compensation for vulnerable energy buyers, housing compensation and heating costs) is dependent on the guaranteed minimum benefits, meaning that many citizens who are at risk of poverty and are not users of guaranteed minimum benefits also do not have access to the above-mentioned benefits. </w:t>
      </w:r>
    </w:p>
    <w:p w14:paraId="7F36A9DF" w14:textId="77777777" w:rsidR="008E1CE9" w:rsidRPr="008E1CE9" w:rsidRDefault="008E1CE9" w:rsidP="008E1CE9">
      <w:pPr>
        <w:jc w:val="both"/>
        <w:rPr>
          <w:rFonts w:ascii="Arial" w:hAnsi="Arial" w:cs="Arial"/>
          <w:sz w:val="22"/>
          <w:szCs w:val="22"/>
        </w:rPr>
      </w:pPr>
    </w:p>
    <w:p w14:paraId="6F1FC353" w14:textId="1810CFBC" w:rsidR="008E1CE9" w:rsidRPr="008E1CE9" w:rsidRDefault="0023632B" w:rsidP="008E1CE9">
      <w:pPr>
        <w:numPr>
          <w:ilvl w:val="0"/>
          <w:numId w:val="1"/>
        </w:numPr>
        <w:spacing w:line="276" w:lineRule="auto"/>
        <w:jc w:val="both"/>
        <w:rPr>
          <w:rFonts w:ascii="Arial" w:hAnsi="Arial" w:cs="Arial"/>
          <w:sz w:val="22"/>
          <w:szCs w:val="22"/>
        </w:rPr>
      </w:pPr>
      <w:r>
        <w:rPr>
          <w:rFonts w:ascii="Arial" w:hAnsi="Arial" w:cs="Arial"/>
          <w:sz w:val="22"/>
          <w:szCs w:val="22"/>
        </w:rPr>
        <w:t>Reducing</w:t>
      </w:r>
      <w:r w:rsidR="008E1CE9" w:rsidRPr="008E1CE9">
        <w:rPr>
          <w:rFonts w:ascii="Arial" w:hAnsi="Arial" w:cs="Arial"/>
          <w:sz w:val="22"/>
          <w:szCs w:val="22"/>
        </w:rPr>
        <w:t xml:space="preserve"> the number of beneficiaries of the guaranteed minimum benefit requires a more detailed analysis of the causes of the decline in beneficiaries to reach correct conclusions about the contributing factors, which is one of Ombudswoman’s recommendations in the report for 2021. </w:t>
      </w:r>
    </w:p>
    <w:p w14:paraId="309535F9" w14:textId="77777777" w:rsidR="008E1CE9" w:rsidRPr="008E1CE9" w:rsidRDefault="008E1CE9" w:rsidP="008E1CE9">
      <w:pPr>
        <w:jc w:val="both"/>
        <w:rPr>
          <w:rFonts w:ascii="Arial" w:hAnsi="Arial" w:cs="Arial"/>
          <w:sz w:val="22"/>
          <w:szCs w:val="22"/>
        </w:rPr>
      </w:pPr>
    </w:p>
    <w:p w14:paraId="67445DCF" w14:textId="54E0B257"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Pr>
          <w:rFonts w:ascii="Arial" w:hAnsi="Arial" w:cs="Arial"/>
          <w:sz w:val="22"/>
          <w:szCs w:val="22"/>
          <w:u w:val="single"/>
        </w:rPr>
        <w:t>Questions</w:t>
      </w:r>
    </w:p>
    <w:p w14:paraId="44CFAB8F" w14:textId="77777777" w:rsidR="008E1CE9" w:rsidRPr="008E1CE9" w:rsidRDefault="008E1CE9" w:rsidP="008E1CE9">
      <w:pPr>
        <w:jc w:val="both"/>
        <w:rPr>
          <w:rFonts w:ascii="Arial" w:hAnsi="Arial" w:cs="Arial"/>
          <w:sz w:val="22"/>
          <w:szCs w:val="22"/>
        </w:rPr>
      </w:pPr>
    </w:p>
    <w:p w14:paraId="6DF57339"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What are the measures to make adequate guaranteed minimum benefit amount and coverage? What is the plan for reconciling the discrepancy between the at-risk-of-poverty line and income threshold for achieving the guaranteed minimum benefit? </w:t>
      </w:r>
    </w:p>
    <w:p w14:paraId="369A9ABC" w14:textId="1E68AC19" w:rsidR="0023632B" w:rsidRPr="00A20F29" w:rsidRDefault="008E1CE9" w:rsidP="00A20F29">
      <w:pPr>
        <w:pStyle w:val="Heading2"/>
      </w:pPr>
      <w:bookmarkStart w:id="8" w:name="_kx95wbkedwb2" w:colFirst="0" w:colLast="0"/>
      <w:bookmarkEnd w:id="8"/>
      <w:r w:rsidRPr="00A20F29">
        <w:t>Social services</w:t>
      </w:r>
    </w:p>
    <w:p w14:paraId="7CC40D52"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Of particular concern is the unequal availability of social services, which harms the exercise of the rights of vulnerable and marginalized groups and individuals. The research results</w:t>
      </w:r>
      <w:r w:rsidRPr="008E1CE9">
        <w:rPr>
          <w:rFonts w:ascii="Arial" w:hAnsi="Arial" w:cs="Arial"/>
          <w:sz w:val="22"/>
          <w:szCs w:val="22"/>
          <w:vertAlign w:val="superscript"/>
        </w:rPr>
        <w:footnoteReference w:id="26"/>
      </w:r>
      <w:r w:rsidRPr="008E1CE9">
        <w:rPr>
          <w:rFonts w:ascii="Arial" w:hAnsi="Arial" w:cs="Arial"/>
          <w:sz w:val="22"/>
          <w:szCs w:val="22"/>
        </w:rPr>
        <w:t xml:space="preserve"> on the availability of social services confirmed differences in the provision of almost all social services between rural and urban local self-government units. At the same time, differences were also recorded at the regional level. Differences between rural and urban local self-government units are most noticeable in the availability of social services for youth, persons with disabilities, persons with mental health difficulties, members of national minorities and refugees. The largest regional differences exist in the availability of services for children at risk. </w:t>
      </w:r>
    </w:p>
    <w:p w14:paraId="08400F49" w14:textId="77777777" w:rsidR="008E1CE9" w:rsidRPr="008E1CE9" w:rsidRDefault="008E1CE9" w:rsidP="008E1CE9">
      <w:pPr>
        <w:ind w:left="720"/>
        <w:jc w:val="both"/>
        <w:rPr>
          <w:rFonts w:ascii="Arial" w:hAnsi="Arial" w:cs="Arial"/>
          <w:sz w:val="22"/>
          <w:szCs w:val="22"/>
        </w:rPr>
      </w:pPr>
    </w:p>
    <w:p w14:paraId="1C9706D0"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Regional disparities in development and accessibility of social services are demonstrated in research as well as in the National plan for the development of social services</w:t>
      </w:r>
      <w:r w:rsidRPr="008E1CE9">
        <w:rPr>
          <w:rFonts w:ascii="Arial" w:hAnsi="Arial" w:cs="Arial"/>
          <w:sz w:val="22"/>
          <w:szCs w:val="22"/>
          <w:vertAlign w:val="superscript"/>
        </w:rPr>
        <w:footnoteReference w:id="27"/>
      </w:r>
      <w:r w:rsidRPr="008E1CE9">
        <w:rPr>
          <w:rFonts w:ascii="Arial" w:hAnsi="Arial" w:cs="Arial"/>
          <w:sz w:val="22"/>
          <w:szCs w:val="22"/>
        </w:rPr>
        <w:t xml:space="preserve">. However, the government decided to further </w:t>
      </w:r>
      <w:proofErr w:type="spellStart"/>
      <w:r w:rsidRPr="008E1CE9">
        <w:rPr>
          <w:rFonts w:ascii="Arial" w:hAnsi="Arial" w:cs="Arial"/>
          <w:sz w:val="22"/>
          <w:szCs w:val="22"/>
        </w:rPr>
        <w:t>centralise</w:t>
      </w:r>
      <w:proofErr w:type="spellEnd"/>
      <w:r w:rsidRPr="008E1CE9">
        <w:rPr>
          <w:rFonts w:ascii="Arial" w:hAnsi="Arial" w:cs="Arial"/>
          <w:sz w:val="22"/>
          <w:szCs w:val="22"/>
        </w:rPr>
        <w:t xml:space="preserve"> the social welfare system in the Social Welfare act adopted at the end of 2021. The centralization leaves local social welfare centers and regional and local self-government units with little or </w:t>
      </w:r>
      <w:r w:rsidRPr="008E1CE9">
        <w:rPr>
          <w:rFonts w:ascii="Arial" w:hAnsi="Arial" w:cs="Arial"/>
          <w:sz w:val="22"/>
          <w:szCs w:val="22"/>
        </w:rPr>
        <w:lastRenderedPageBreak/>
        <w:t>no impact on the type and scope of social services to be developed and financed to address the quality of life and living conditions of the local population.</w:t>
      </w:r>
    </w:p>
    <w:p w14:paraId="68ED223E" w14:textId="77777777" w:rsidR="008E1CE9" w:rsidRPr="008E1CE9" w:rsidRDefault="008E1CE9" w:rsidP="008E1CE9">
      <w:pPr>
        <w:jc w:val="both"/>
        <w:rPr>
          <w:rFonts w:ascii="Arial" w:hAnsi="Arial" w:cs="Arial"/>
          <w:sz w:val="22"/>
          <w:szCs w:val="22"/>
        </w:rPr>
      </w:pPr>
    </w:p>
    <w:p w14:paraId="6C4785B4"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Social services are less available in assisted areas of Croatia</w:t>
      </w:r>
      <w:r w:rsidRPr="008E1CE9">
        <w:rPr>
          <w:rFonts w:ascii="Arial" w:hAnsi="Arial" w:cs="Arial"/>
          <w:sz w:val="22"/>
          <w:szCs w:val="22"/>
          <w:vertAlign w:val="superscript"/>
        </w:rPr>
        <w:footnoteReference w:id="28"/>
      </w:r>
      <w:r w:rsidRPr="008E1CE9">
        <w:rPr>
          <w:rFonts w:ascii="Arial" w:hAnsi="Arial" w:cs="Arial"/>
          <w:sz w:val="22"/>
          <w:szCs w:val="22"/>
        </w:rPr>
        <w:t xml:space="preserve"> (areas that lag behind the average in terms of the level of development), and differences are the most prominent in services for young persons at risk, persons with disabilities, persons with mental health difficulties and members of national minorities and refugees. The availability of services also varies in relation to the number of inhabitants – social services are more accessible in cities with more than 20 thousand inhabitants.</w:t>
      </w:r>
    </w:p>
    <w:p w14:paraId="0EE13AC9" w14:textId="77777777" w:rsidR="008E1CE9" w:rsidRPr="008E1CE9" w:rsidRDefault="008E1CE9" w:rsidP="008E1CE9">
      <w:pPr>
        <w:jc w:val="both"/>
        <w:rPr>
          <w:rFonts w:ascii="Arial" w:hAnsi="Arial" w:cs="Arial"/>
          <w:sz w:val="22"/>
          <w:szCs w:val="22"/>
        </w:rPr>
      </w:pPr>
    </w:p>
    <w:p w14:paraId="7198F62D"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Social services for citizens who live in poverty (such as the delivery of groceries and/or hot meals, free school meals for children in poverty, or free legal aid, etc.) are paradoxically less available in local self-government units in assisted areas, making it difficult to exercise their human rights and lessening the burden of poverty.</w:t>
      </w:r>
    </w:p>
    <w:p w14:paraId="14290F4A" w14:textId="77777777" w:rsidR="008E1CE9" w:rsidRPr="008E1CE9" w:rsidRDefault="008E1CE9" w:rsidP="008E1CE9">
      <w:pPr>
        <w:ind w:left="720"/>
        <w:jc w:val="both"/>
        <w:rPr>
          <w:rFonts w:ascii="Arial" w:hAnsi="Arial" w:cs="Arial"/>
          <w:sz w:val="22"/>
          <w:szCs w:val="22"/>
        </w:rPr>
      </w:pPr>
    </w:p>
    <w:p w14:paraId="063C55F0"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Civil society organizations involved in the provision of social services draw attention to the discontinuity in the provision of project-funded social services, such as personal assistance, teaching assistance and home care services for the elderly. Namely, the provision of such services is suspended or terminated with the expiration of limited project funding from public sources, and beneficiaries are left without the basic social service they depend on</w:t>
      </w:r>
      <w:r w:rsidRPr="008E1CE9">
        <w:rPr>
          <w:rFonts w:ascii="Arial" w:hAnsi="Arial" w:cs="Arial"/>
          <w:sz w:val="22"/>
          <w:szCs w:val="22"/>
          <w:vertAlign w:val="superscript"/>
        </w:rPr>
        <w:footnoteReference w:id="29"/>
      </w:r>
      <w:r w:rsidRPr="008E1CE9">
        <w:rPr>
          <w:rFonts w:ascii="Arial" w:hAnsi="Arial" w:cs="Arial"/>
          <w:sz w:val="22"/>
          <w:szCs w:val="22"/>
        </w:rPr>
        <w:t>.</w:t>
      </w:r>
    </w:p>
    <w:p w14:paraId="53B999AD" w14:textId="77777777" w:rsidR="008E1CE9" w:rsidRPr="008E1CE9" w:rsidRDefault="008E1CE9" w:rsidP="008E1CE9">
      <w:pPr>
        <w:ind w:left="720"/>
        <w:jc w:val="both"/>
        <w:rPr>
          <w:rFonts w:ascii="Arial" w:hAnsi="Arial" w:cs="Arial"/>
          <w:sz w:val="22"/>
          <w:szCs w:val="22"/>
        </w:rPr>
      </w:pPr>
    </w:p>
    <w:p w14:paraId="12495240"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The last census (2021) shows the share of population in the age group 65 years and above of 22.45%</w:t>
      </w:r>
      <w:r w:rsidRPr="008E1CE9">
        <w:rPr>
          <w:rFonts w:ascii="Arial" w:hAnsi="Arial" w:cs="Arial"/>
          <w:sz w:val="22"/>
          <w:szCs w:val="22"/>
          <w:vertAlign w:val="superscript"/>
        </w:rPr>
        <w:footnoteReference w:id="30"/>
      </w:r>
      <w:r w:rsidRPr="008E1CE9">
        <w:rPr>
          <w:rFonts w:ascii="Arial" w:hAnsi="Arial" w:cs="Arial"/>
          <w:sz w:val="22"/>
          <w:szCs w:val="22"/>
        </w:rPr>
        <w:t>. The share of elderly people dependent on other people's help and care is 19.7%</w:t>
      </w:r>
      <w:r w:rsidRPr="008E1CE9">
        <w:rPr>
          <w:rFonts w:ascii="Arial" w:hAnsi="Arial" w:cs="Arial"/>
          <w:sz w:val="22"/>
          <w:szCs w:val="22"/>
          <w:vertAlign w:val="superscript"/>
        </w:rPr>
        <w:footnoteReference w:id="31"/>
      </w:r>
      <w:r w:rsidRPr="008E1CE9">
        <w:rPr>
          <w:rFonts w:ascii="Arial" w:hAnsi="Arial" w:cs="Arial"/>
          <w:sz w:val="22"/>
          <w:szCs w:val="22"/>
        </w:rPr>
        <w:t xml:space="preserve">, while </w:t>
      </w:r>
      <w:r w:rsidRPr="008E1CE9">
        <w:rPr>
          <w:rFonts w:ascii="Arial" w:eastAsia="Arial Unicode MS" w:hAnsi="Arial" w:cs="Arial"/>
          <w:sz w:val="22"/>
          <w:szCs w:val="22"/>
        </w:rPr>
        <w:t>self-reported use of homecare services among people aged ≥75 years is among the lowest in the EU (less than one-tenth)</w:t>
      </w:r>
      <w:r w:rsidRPr="008E1CE9">
        <w:rPr>
          <w:rFonts w:ascii="Arial" w:hAnsi="Arial" w:cs="Arial"/>
          <w:sz w:val="22"/>
          <w:szCs w:val="22"/>
          <w:vertAlign w:val="superscript"/>
        </w:rPr>
        <w:footnoteReference w:id="32"/>
      </w:r>
      <w:r w:rsidRPr="008E1CE9">
        <w:rPr>
          <w:rFonts w:ascii="Arial" w:hAnsi="Arial" w:cs="Arial"/>
          <w:sz w:val="22"/>
          <w:szCs w:val="22"/>
        </w:rPr>
        <w:t>. Nevertheless, in-house assistance for the elderly is dominantly financed by the European Social Fund, provided through time-limited projects granted often to legal subjects not licensed for social service provision and limiting the remuneration for in-house caregivers to the minimum wage. The government decided to continue this model of financing and provision of in-house assistance for the elderly in the new financial framework 2021-</w:t>
      </w:r>
      <w:r w:rsidRPr="008E1CE9">
        <w:rPr>
          <w:rFonts w:ascii="Arial" w:hAnsi="Arial" w:cs="Arial"/>
          <w:sz w:val="22"/>
          <w:szCs w:val="22"/>
        </w:rPr>
        <w:lastRenderedPageBreak/>
        <w:t>2027, even though it negatively affects the continuity of care (the service is discontinued when the project financing ends) and quality of service through putting care providers in insecure working conditions.</w:t>
      </w:r>
    </w:p>
    <w:p w14:paraId="21E510E8" w14:textId="77777777" w:rsidR="008E1CE9" w:rsidRPr="008E1CE9" w:rsidRDefault="008E1CE9" w:rsidP="008E1CE9">
      <w:pPr>
        <w:ind w:left="720"/>
        <w:jc w:val="both"/>
        <w:rPr>
          <w:rFonts w:ascii="Arial" w:hAnsi="Arial" w:cs="Arial"/>
          <w:sz w:val="22"/>
          <w:szCs w:val="22"/>
        </w:rPr>
      </w:pPr>
    </w:p>
    <w:p w14:paraId="6BC65BD6" w14:textId="76012145"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sidR="0023632B">
        <w:rPr>
          <w:rFonts w:ascii="Arial" w:hAnsi="Arial" w:cs="Arial"/>
          <w:sz w:val="22"/>
          <w:szCs w:val="22"/>
          <w:u w:val="single"/>
        </w:rPr>
        <w:t>Q</w:t>
      </w:r>
      <w:r w:rsidRPr="008E1CE9">
        <w:rPr>
          <w:rFonts w:ascii="Arial" w:hAnsi="Arial" w:cs="Arial"/>
          <w:sz w:val="22"/>
          <w:szCs w:val="22"/>
          <w:u w:val="single"/>
        </w:rPr>
        <w:t>uestions</w:t>
      </w:r>
    </w:p>
    <w:p w14:paraId="33BE0C7D" w14:textId="77777777" w:rsidR="008E1CE9" w:rsidRPr="008E1CE9" w:rsidRDefault="008E1CE9" w:rsidP="008E1CE9">
      <w:pPr>
        <w:jc w:val="both"/>
        <w:rPr>
          <w:rFonts w:ascii="Arial" w:hAnsi="Arial" w:cs="Arial"/>
          <w:sz w:val="22"/>
          <w:szCs w:val="22"/>
        </w:rPr>
      </w:pPr>
    </w:p>
    <w:p w14:paraId="1CF1F90B"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What actions is the Government going to take to guarantee equal rights to essential social services, necessary for improving living conditions and the quality of life of individuals and groups at risk, regardless of the region of the country they live in? How the Government plans to secure continuity and quality of social services to persons dependent on long-term care, including stability of funding and decent working conditions for care-givers? How the Government plans to approach the immense regional and local disparities in the development and accessibility of essential social services, given the limited jurisdiction given to local and regional self-government units, their limited fiscal capacities and centralization of the social welfare budget and restricted autonomy of local welfare centers?</w:t>
      </w:r>
    </w:p>
    <w:p w14:paraId="72A785C3" w14:textId="309F0DF4" w:rsidR="0023632B" w:rsidRPr="00A20F29" w:rsidRDefault="008E1CE9" w:rsidP="00A20F29">
      <w:pPr>
        <w:pStyle w:val="Heading2"/>
      </w:pPr>
      <w:bookmarkStart w:id="9" w:name="_o5k9w6n2srl8" w:colFirst="0" w:colLast="0"/>
      <w:bookmarkEnd w:id="9"/>
      <w:r w:rsidRPr="00A20F29">
        <w:t xml:space="preserve">Additional issue - Free </w:t>
      </w:r>
      <w:r w:rsidR="0023632B" w:rsidRPr="00A20F29">
        <w:t>L</w:t>
      </w:r>
      <w:r w:rsidRPr="00A20F29">
        <w:t xml:space="preserve">egal </w:t>
      </w:r>
      <w:r w:rsidR="0023632B" w:rsidRPr="00A20F29">
        <w:t>A</w:t>
      </w:r>
      <w:r w:rsidRPr="00A20F29">
        <w:t>id</w:t>
      </w:r>
    </w:p>
    <w:p w14:paraId="3A423CC1"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Croatia has continuous problems with the efficiency and quality of the judicial system, while citizens’ trust in institutions remains low. The level of perceived independence of the Croatian judiciary is still among the lowest in the EU.</w:t>
      </w:r>
      <w:r w:rsidRPr="008E1CE9">
        <w:rPr>
          <w:rFonts w:ascii="Arial" w:hAnsi="Arial" w:cs="Arial"/>
          <w:sz w:val="22"/>
          <w:szCs w:val="22"/>
          <w:vertAlign w:val="superscript"/>
        </w:rPr>
        <w:footnoteReference w:id="33"/>
      </w:r>
      <w:r w:rsidRPr="008E1CE9">
        <w:rPr>
          <w:rFonts w:ascii="Arial" w:hAnsi="Arial" w:cs="Arial"/>
          <w:sz w:val="22"/>
          <w:szCs w:val="22"/>
        </w:rPr>
        <w:t xml:space="preserve"> </w:t>
      </w:r>
    </w:p>
    <w:p w14:paraId="1A2186F1" w14:textId="77777777" w:rsidR="008E1CE9" w:rsidRPr="008E1CE9" w:rsidRDefault="008E1CE9" w:rsidP="008E1CE9">
      <w:pPr>
        <w:jc w:val="both"/>
        <w:rPr>
          <w:rFonts w:ascii="Arial" w:hAnsi="Arial" w:cs="Arial"/>
          <w:sz w:val="22"/>
          <w:szCs w:val="22"/>
        </w:rPr>
      </w:pPr>
    </w:p>
    <w:p w14:paraId="13428254"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In the last several years, no significant efforts were made to improve the system of free legal aid which is burdened with numerous problems stemming from insufficient and inadequate funding of the primary free legal aid providers which, in turn, results in uncertainty about the continuity of providers, quality of assistance, availability of free legal aid in rural areas and lack of awareness about the existence of this human rights mechanism in the first place.</w:t>
      </w:r>
    </w:p>
    <w:p w14:paraId="798E7B85" w14:textId="77777777" w:rsidR="008E1CE9" w:rsidRPr="008E1CE9" w:rsidRDefault="008E1CE9" w:rsidP="008E1CE9">
      <w:pPr>
        <w:jc w:val="both"/>
        <w:rPr>
          <w:rFonts w:ascii="Arial" w:hAnsi="Arial" w:cs="Arial"/>
          <w:sz w:val="22"/>
          <w:szCs w:val="22"/>
        </w:rPr>
      </w:pPr>
    </w:p>
    <w:p w14:paraId="6A25A78F" w14:textId="1F585B46"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Although civil society organizations and legal clinics recorded an increase in providing free primary legal aid to citizens in recent years, their financial resources for the provision of legal aid amounted to a maximum of HRK </w:t>
      </w:r>
      <w:proofErr w:type="gramStart"/>
      <w:r w:rsidRPr="008E1CE9">
        <w:rPr>
          <w:rFonts w:ascii="Arial" w:hAnsi="Arial" w:cs="Arial"/>
          <w:sz w:val="22"/>
          <w:szCs w:val="22"/>
        </w:rPr>
        <w:t>7,916.66  (</w:t>
      </w:r>
      <w:proofErr w:type="gramEnd"/>
      <w:r w:rsidRPr="008E1CE9">
        <w:rPr>
          <w:rFonts w:ascii="Arial" w:hAnsi="Arial" w:cs="Arial"/>
          <w:sz w:val="22"/>
          <w:szCs w:val="22"/>
        </w:rPr>
        <w:t xml:space="preserve">circa 1,050.72 EUR) per month, which is certainly insufficient to ensure the continuity of work of authorized providers. Additionally, the current scheme of annual public funding for free legal aid providers is creating unjustified administrative burdens and should be replaced with a </w:t>
      </w:r>
      <w:r w:rsidR="000D1A80" w:rsidRPr="008E1CE9">
        <w:rPr>
          <w:rFonts w:ascii="Arial" w:hAnsi="Arial" w:cs="Arial"/>
          <w:sz w:val="22"/>
          <w:szCs w:val="22"/>
        </w:rPr>
        <w:t>multiannual</w:t>
      </w:r>
      <w:r w:rsidRPr="008E1CE9">
        <w:rPr>
          <w:rFonts w:ascii="Arial" w:hAnsi="Arial" w:cs="Arial"/>
          <w:sz w:val="22"/>
          <w:szCs w:val="22"/>
        </w:rPr>
        <w:t xml:space="preserve"> funding scheme.</w:t>
      </w:r>
    </w:p>
    <w:p w14:paraId="4199F7BC" w14:textId="77777777" w:rsidR="008E1CE9" w:rsidRPr="008E1CE9" w:rsidRDefault="008E1CE9" w:rsidP="008E1CE9">
      <w:pPr>
        <w:ind w:left="720"/>
        <w:jc w:val="both"/>
        <w:rPr>
          <w:rFonts w:ascii="Arial" w:hAnsi="Arial" w:cs="Arial"/>
          <w:sz w:val="22"/>
          <w:szCs w:val="22"/>
        </w:rPr>
      </w:pPr>
    </w:p>
    <w:p w14:paraId="4AC1B885"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lastRenderedPageBreak/>
        <w:t>​​Appeal proceedings concerning the decisions on free secondary legal aid continue to take too long, beyond the time limit laid down by the Free Legal Aid Act. Namely, appeals are, on average, resolved within three years, while the Ministry of Justice and Public Administration has a legal obligation to decide on appeals within eight days from the date of receipt. The inertness and length of the procedure defeat the purpose of free legal aid because they prevent citizens from accessing justice and consequently from exercising adequate protection of their rights</w:t>
      </w:r>
    </w:p>
    <w:p w14:paraId="04D09C43" w14:textId="77777777" w:rsidR="008E1CE9" w:rsidRPr="008E1CE9" w:rsidRDefault="008E1CE9" w:rsidP="008E1CE9">
      <w:pPr>
        <w:ind w:left="720"/>
        <w:jc w:val="both"/>
        <w:rPr>
          <w:rFonts w:ascii="Arial" w:hAnsi="Arial" w:cs="Arial"/>
          <w:sz w:val="22"/>
          <w:szCs w:val="22"/>
        </w:rPr>
      </w:pPr>
      <w:r w:rsidRPr="008E1CE9">
        <w:rPr>
          <w:rFonts w:ascii="Arial" w:hAnsi="Arial" w:cs="Arial"/>
          <w:sz w:val="22"/>
          <w:szCs w:val="22"/>
        </w:rPr>
        <w:t>.</w:t>
      </w:r>
    </w:p>
    <w:p w14:paraId="520776ED"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 xml:space="preserve">​​Civil society </w:t>
      </w:r>
      <w:proofErr w:type="spellStart"/>
      <w:r w:rsidRPr="008E1CE9">
        <w:rPr>
          <w:rFonts w:ascii="Arial" w:hAnsi="Arial" w:cs="Arial"/>
          <w:sz w:val="22"/>
          <w:szCs w:val="22"/>
        </w:rPr>
        <w:t>organisations</w:t>
      </w:r>
      <w:proofErr w:type="spellEnd"/>
      <w:r w:rsidRPr="008E1CE9">
        <w:rPr>
          <w:rFonts w:ascii="Arial" w:hAnsi="Arial" w:cs="Arial"/>
          <w:sz w:val="22"/>
          <w:szCs w:val="22"/>
        </w:rPr>
        <w:t xml:space="preserve"> who are </w:t>
      </w:r>
      <w:proofErr w:type="spellStart"/>
      <w:r w:rsidRPr="008E1CE9">
        <w:rPr>
          <w:rFonts w:ascii="Arial" w:hAnsi="Arial" w:cs="Arial"/>
          <w:sz w:val="22"/>
          <w:szCs w:val="22"/>
        </w:rPr>
        <w:t>authorised</w:t>
      </w:r>
      <w:proofErr w:type="spellEnd"/>
      <w:r w:rsidRPr="008E1CE9">
        <w:rPr>
          <w:rFonts w:ascii="Arial" w:hAnsi="Arial" w:cs="Arial"/>
          <w:sz w:val="22"/>
          <w:szCs w:val="22"/>
        </w:rPr>
        <w:t xml:space="preserve"> primary free egal aid providers raised a concern about the conduct of individual county administrative bodies in approving requests for secondary free legal aid (assistance of attorneys in representation). In some cases, citizens are required to, in advance, obtain the consent of the attorney in representation for the administrative bodies to grant free legal aid. This is a significant problem in smaller towns where only a few attorneys work. However, in cases in which attorneys are unable to provide the service due to overload, citizens are forced to seek attorneys in larger cities and personally bear the travel costs of the attorney traveling to the hearing, as the payment of travel expenses is not approved to the parties. This causes additional financial burden to already economically deprived citizens and thus hinders their access to the judiciary. </w:t>
      </w:r>
    </w:p>
    <w:p w14:paraId="036A51F8" w14:textId="77777777" w:rsidR="008E1CE9" w:rsidRPr="008E1CE9" w:rsidRDefault="008E1CE9" w:rsidP="008E1CE9">
      <w:pPr>
        <w:jc w:val="both"/>
        <w:rPr>
          <w:rFonts w:ascii="Arial" w:hAnsi="Arial" w:cs="Arial"/>
          <w:sz w:val="22"/>
          <w:szCs w:val="22"/>
        </w:rPr>
      </w:pPr>
    </w:p>
    <w:p w14:paraId="20D751D7" w14:textId="7777777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Uneven access to free legal aid has been an unresolved issue for many years.1. Authorized providers of primary free legal aid operate in 13 counties, while there are none in the remaining 8 or their activities are only sporadic. Particularly problematic are rural areas and islands where citizens have difficulty exercising their right to legal aid.</w:t>
      </w:r>
    </w:p>
    <w:p w14:paraId="7F6B682A" w14:textId="77777777" w:rsidR="008E1CE9" w:rsidRPr="008E1CE9" w:rsidRDefault="008E1CE9" w:rsidP="008E1CE9">
      <w:pPr>
        <w:ind w:left="720"/>
        <w:jc w:val="both"/>
        <w:rPr>
          <w:rFonts w:ascii="Arial" w:hAnsi="Arial" w:cs="Arial"/>
          <w:sz w:val="22"/>
          <w:szCs w:val="22"/>
        </w:rPr>
      </w:pPr>
    </w:p>
    <w:p w14:paraId="568802E6" w14:textId="16913A5A" w:rsidR="008E1CE9" w:rsidRPr="008E1CE9" w:rsidRDefault="008E1CE9" w:rsidP="008E1CE9">
      <w:pPr>
        <w:jc w:val="both"/>
        <w:rPr>
          <w:rFonts w:ascii="Arial" w:hAnsi="Arial" w:cs="Arial"/>
          <w:sz w:val="22"/>
          <w:szCs w:val="22"/>
          <w:u w:val="single"/>
        </w:rPr>
      </w:pPr>
      <w:r w:rsidRPr="008E1CE9">
        <w:rPr>
          <w:rFonts w:ascii="Arial" w:hAnsi="Arial" w:cs="Arial"/>
          <w:sz w:val="22"/>
          <w:szCs w:val="22"/>
          <w:u w:val="single"/>
        </w:rPr>
        <w:t xml:space="preserve">Suggested </w:t>
      </w:r>
      <w:r w:rsidR="00A20F29">
        <w:rPr>
          <w:rFonts w:ascii="Arial" w:hAnsi="Arial" w:cs="Arial"/>
          <w:sz w:val="22"/>
          <w:szCs w:val="22"/>
          <w:u w:val="single"/>
        </w:rPr>
        <w:t>Questions</w:t>
      </w:r>
    </w:p>
    <w:p w14:paraId="3AE42445" w14:textId="77777777" w:rsidR="008E1CE9" w:rsidRPr="008E1CE9" w:rsidRDefault="008E1CE9" w:rsidP="008E1CE9">
      <w:pPr>
        <w:jc w:val="both"/>
        <w:rPr>
          <w:rFonts w:ascii="Arial" w:hAnsi="Arial" w:cs="Arial"/>
          <w:sz w:val="22"/>
          <w:szCs w:val="22"/>
        </w:rPr>
      </w:pPr>
    </w:p>
    <w:p w14:paraId="5D50486D" w14:textId="28594FE7" w:rsidR="008E1CE9" w:rsidRPr="008E1CE9" w:rsidRDefault="008E1CE9" w:rsidP="008E1CE9">
      <w:pPr>
        <w:numPr>
          <w:ilvl w:val="0"/>
          <w:numId w:val="1"/>
        </w:numPr>
        <w:spacing w:line="276" w:lineRule="auto"/>
        <w:jc w:val="both"/>
        <w:rPr>
          <w:rFonts w:ascii="Arial" w:hAnsi="Arial" w:cs="Arial"/>
          <w:sz w:val="22"/>
          <w:szCs w:val="22"/>
        </w:rPr>
      </w:pPr>
      <w:r w:rsidRPr="008E1CE9">
        <w:rPr>
          <w:rFonts w:ascii="Arial" w:hAnsi="Arial" w:cs="Arial"/>
          <w:sz w:val="22"/>
          <w:szCs w:val="22"/>
        </w:rPr>
        <w:t>Does Croatia plan to introduce a multiannual funding scheme for the authorized providers of free legal aid and raise the amount awarded to providers that would enable them to ensure the continuity of their work and to maintain the quality of their service? What are the plans to speed up the appeal proceedings in accordance with the Free Legal Aid Act and to resolve issues related to covering travel expenses for citizens seeking an attorney in towns outside of their place of residence due to the unavailability of legal representation closer to their homes? What are the actions sought to secure even access to free legal aid for citizens living in all parts of Croatia, especially in the rural areas and islands?</w:t>
      </w:r>
    </w:p>
    <w:p w14:paraId="71B7079A" w14:textId="77777777" w:rsidR="00737D5B" w:rsidRPr="008E1CE9" w:rsidRDefault="00737D5B">
      <w:pPr>
        <w:pBdr>
          <w:top w:val="nil"/>
          <w:left w:val="nil"/>
          <w:bottom w:val="nil"/>
          <w:right w:val="nil"/>
          <w:between w:val="nil"/>
        </w:pBdr>
        <w:shd w:val="clear" w:color="auto" w:fill="FFFFFF"/>
        <w:spacing w:after="225"/>
        <w:ind w:left="851" w:right="-6"/>
        <w:rPr>
          <w:rFonts w:ascii="Arial" w:eastAsia="Arial" w:hAnsi="Arial" w:cs="Arial"/>
          <w:sz w:val="20"/>
          <w:szCs w:val="20"/>
        </w:rPr>
      </w:pPr>
    </w:p>
    <w:sectPr w:rsidR="00737D5B" w:rsidRPr="008E1CE9">
      <w:headerReference w:type="default" r:id="rId11"/>
      <w:footerReference w:type="even" r:id="rId12"/>
      <w:footerReference w:type="default" r:id="rId13"/>
      <w:headerReference w:type="first" r:id="rId14"/>
      <w:pgSz w:w="11900" w:h="16840"/>
      <w:pgMar w:top="1417" w:right="1417" w:bottom="1417" w:left="1417" w:header="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637DB" w14:textId="77777777" w:rsidR="005B22D9" w:rsidRDefault="005B22D9">
      <w:r>
        <w:separator/>
      </w:r>
    </w:p>
  </w:endnote>
  <w:endnote w:type="continuationSeparator" w:id="0">
    <w:p w14:paraId="732A8ADE" w14:textId="77777777" w:rsidR="005B22D9" w:rsidRDefault="005B2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6491121"/>
      <w:docPartObj>
        <w:docPartGallery w:val="Page Numbers (Bottom of Page)"/>
        <w:docPartUnique/>
      </w:docPartObj>
    </w:sdtPr>
    <w:sdtEndPr>
      <w:rPr>
        <w:rStyle w:val="PageNumber"/>
      </w:rPr>
    </w:sdtEndPr>
    <w:sdtContent>
      <w:p w14:paraId="2CB57864" w14:textId="2DCB8A0D" w:rsidR="00A20F29" w:rsidRDefault="00A20F29" w:rsidP="001E5E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443BC3" w14:textId="77777777" w:rsidR="00A20F29" w:rsidRDefault="00A20F29" w:rsidP="00A20F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5149196"/>
      <w:docPartObj>
        <w:docPartGallery w:val="Page Numbers (Bottom of Page)"/>
        <w:docPartUnique/>
      </w:docPartObj>
    </w:sdtPr>
    <w:sdtEndPr>
      <w:rPr>
        <w:rStyle w:val="PageNumber"/>
      </w:rPr>
    </w:sdtEndPr>
    <w:sdtContent>
      <w:p w14:paraId="4F872A1B" w14:textId="7AE00448" w:rsidR="00A20F29" w:rsidRDefault="00A20F29" w:rsidP="001E5E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C45DEF4" w14:textId="77777777" w:rsidR="00A20F29" w:rsidRDefault="00A20F29" w:rsidP="00A20F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FB82B" w14:textId="77777777" w:rsidR="005B22D9" w:rsidRDefault="005B22D9">
      <w:r>
        <w:separator/>
      </w:r>
    </w:p>
  </w:footnote>
  <w:footnote w:type="continuationSeparator" w:id="0">
    <w:p w14:paraId="5DC3F94B" w14:textId="77777777" w:rsidR="005B22D9" w:rsidRDefault="005B22D9">
      <w:r>
        <w:continuationSeparator/>
      </w:r>
    </w:p>
  </w:footnote>
  <w:footnote w:id="1">
    <w:p w14:paraId="6BF763DF" w14:textId="77777777" w:rsidR="008E1CE9" w:rsidRDefault="008E1CE9" w:rsidP="008E1CE9">
      <w:pPr>
        <w:rPr>
          <w:sz w:val="18"/>
          <w:szCs w:val="18"/>
        </w:rPr>
      </w:pPr>
      <w:r>
        <w:rPr>
          <w:vertAlign w:val="superscript"/>
        </w:rPr>
        <w:footnoteRef/>
      </w:r>
      <w:r>
        <w:rPr>
          <w:sz w:val="18"/>
          <w:szCs w:val="18"/>
        </w:rPr>
        <w:t xml:space="preserve"> Croatian Bureau of Statistics, Indicators of Poverty and Social Exclusion in 2021, available at:</w:t>
      </w:r>
    </w:p>
    <w:p w14:paraId="0CBF5FE5" w14:textId="77777777" w:rsidR="008E1CE9" w:rsidRDefault="00DB5432" w:rsidP="008E1CE9">
      <w:pPr>
        <w:rPr>
          <w:sz w:val="18"/>
          <w:szCs w:val="18"/>
        </w:rPr>
      </w:pPr>
      <w:hyperlink r:id="rId1">
        <w:r w:rsidR="008E1CE9">
          <w:rPr>
            <w:color w:val="1155CC"/>
            <w:sz w:val="18"/>
            <w:szCs w:val="18"/>
            <w:u w:val="single"/>
          </w:rPr>
          <w:t>https://podaci.dzs.hr/2022/hr/29178</w:t>
        </w:r>
      </w:hyperlink>
    </w:p>
  </w:footnote>
  <w:footnote w:id="2">
    <w:p w14:paraId="24CE8DAA" w14:textId="77777777" w:rsidR="008E1CE9" w:rsidRDefault="008E1CE9" w:rsidP="008E1CE9">
      <w:pPr>
        <w:rPr>
          <w:sz w:val="18"/>
          <w:szCs w:val="18"/>
        </w:rPr>
      </w:pPr>
      <w:r>
        <w:rPr>
          <w:vertAlign w:val="superscript"/>
        </w:rPr>
        <w:footnoteRef/>
      </w:r>
      <w:r>
        <w:rPr>
          <w:sz w:val="18"/>
          <w:szCs w:val="18"/>
        </w:rPr>
        <w:t xml:space="preserve"> Croatian Institute of Public Health, Suicides in Croatia 2017, available at: </w:t>
      </w:r>
      <w:hyperlink r:id="rId2">
        <w:r>
          <w:rPr>
            <w:color w:val="1155CC"/>
            <w:sz w:val="18"/>
            <w:szCs w:val="18"/>
            <w:u w:val="single"/>
          </w:rPr>
          <w:t xml:space="preserve">https://www.hzjz.hr/aktualnosti/izvrsena-samoubojstva-u-hrvat-skoj-2021/ </w:t>
        </w:r>
      </w:hyperlink>
    </w:p>
  </w:footnote>
  <w:footnote w:id="3">
    <w:p w14:paraId="231D7273" w14:textId="77777777" w:rsidR="008E1CE9" w:rsidRDefault="008E1CE9" w:rsidP="008E1CE9">
      <w:pPr>
        <w:rPr>
          <w:sz w:val="18"/>
          <w:szCs w:val="18"/>
        </w:rPr>
      </w:pPr>
      <w:r>
        <w:rPr>
          <w:vertAlign w:val="superscript"/>
        </w:rPr>
        <w:footnoteRef/>
      </w:r>
      <w:r>
        <w:rPr>
          <w:sz w:val="18"/>
          <w:szCs w:val="18"/>
        </w:rPr>
        <w:t xml:space="preserve"> The World Bank, Suicide mortality rate (per 100,000 population) - European Union 2019, available at: </w:t>
      </w:r>
    </w:p>
    <w:p w14:paraId="3BBC6864" w14:textId="77777777" w:rsidR="008E1CE9" w:rsidRDefault="00DB5432" w:rsidP="008E1CE9">
      <w:pPr>
        <w:rPr>
          <w:sz w:val="18"/>
          <w:szCs w:val="18"/>
        </w:rPr>
      </w:pPr>
      <w:hyperlink r:id="rId3">
        <w:r w:rsidR="008E1CE9">
          <w:rPr>
            <w:color w:val="1155CC"/>
            <w:sz w:val="18"/>
            <w:szCs w:val="18"/>
            <w:u w:val="single"/>
          </w:rPr>
          <w:t>https://data.worldbank.org/indicator/SH.STA.SUIC.P5?end=2019&amp;locations=EU&amp;start=2000&amp;view=chart</w:t>
        </w:r>
      </w:hyperlink>
      <w:r w:rsidR="008E1CE9">
        <w:rPr>
          <w:sz w:val="18"/>
          <w:szCs w:val="18"/>
        </w:rPr>
        <w:t xml:space="preserve"> </w:t>
      </w:r>
    </w:p>
  </w:footnote>
  <w:footnote w:id="4">
    <w:p w14:paraId="45FD8A29" w14:textId="77777777" w:rsidR="008E1CE9" w:rsidRDefault="008E1CE9" w:rsidP="008E1CE9">
      <w:pPr>
        <w:rPr>
          <w:sz w:val="18"/>
          <w:szCs w:val="18"/>
        </w:rPr>
      </w:pPr>
      <w:r>
        <w:rPr>
          <w:vertAlign w:val="superscript"/>
        </w:rPr>
        <w:footnoteRef/>
      </w:r>
      <w:r>
        <w:rPr>
          <w:sz w:val="18"/>
          <w:szCs w:val="18"/>
        </w:rPr>
        <w:t xml:space="preserve"> Croatian Bureau of Statistics, Indicators of Poverty and Social Exclusion in 2021, available at:</w:t>
      </w:r>
    </w:p>
    <w:p w14:paraId="2AAA2BD3" w14:textId="77777777" w:rsidR="008E1CE9" w:rsidRDefault="00DB5432" w:rsidP="008E1CE9">
      <w:pPr>
        <w:rPr>
          <w:sz w:val="18"/>
          <w:szCs w:val="18"/>
        </w:rPr>
      </w:pPr>
      <w:hyperlink r:id="rId4">
        <w:r w:rsidR="008E1CE9">
          <w:rPr>
            <w:color w:val="1155CC"/>
            <w:sz w:val="18"/>
            <w:szCs w:val="18"/>
            <w:u w:val="single"/>
          </w:rPr>
          <w:t>https://podaci.dzs.hr/2022/hr/29178</w:t>
        </w:r>
      </w:hyperlink>
    </w:p>
  </w:footnote>
  <w:footnote w:id="5">
    <w:p w14:paraId="5D600AD4" w14:textId="77777777" w:rsidR="008E1CE9" w:rsidRDefault="008E1CE9" w:rsidP="008E1CE9">
      <w:pPr>
        <w:rPr>
          <w:sz w:val="18"/>
          <w:szCs w:val="18"/>
        </w:rPr>
      </w:pPr>
      <w:r>
        <w:rPr>
          <w:vertAlign w:val="superscript"/>
        </w:rPr>
        <w:footnoteRef/>
      </w:r>
      <w:r>
        <w:rPr>
          <w:sz w:val="18"/>
          <w:szCs w:val="18"/>
        </w:rPr>
        <w:t xml:space="preserve"> Ibid.</w:t>
      </w:r>
    </w:p>
  </w:footnote>
  <w:footnote w:id="6">
    <w:p w14:paraId="488C444D" w14:textId="77777777" w:rsidR="008E1CE9" w:rsidRDefault="008E1CE9" w:rsidP="008E1CE9">
      <w:pPr>
        <w:rPr>
          <w:sz w:val="18"/>
          <w:szCs w:val="18"/>
        </w:rPr>
      </w:pPr>
      <w:r>
        <w:rPr>
          <w:vertAlign w:val="superscript"/>
        </w:rPr>
        <w:footnoteRef/>
      </w:r>
      <w:r>
        <w:rPr>
          <w:sz w:val="18"/>
          <w:szCs w:val="18"/>
        </w:rPr>
        <w:t xml:space="preserve"> </w:t>
      </w:r>
      <w:r>
        <w:rPr>
          <w:sz w:val="18"/>
          <w:szCs w:val="18"/>
        </w:rPr>
        <w:t xml:space="preserve">Dragičević, T. &amp; Družić Ljubotina, </w:t>
      </w:r>
      <w:r>
        <w:rPr>
          <w:sz w:val="18"/>
          <w:szCs w:val="18"/>
        </w:rPr>
        <w:t>O.,Child Poverty - Consequences and Protective Factors, 2022, available at:</w:t>
      </w:r>
    </w:p>
    <w:p w14:paraId="48251D48" w14:textId="77777777" w:rsidR="008E1CE9" w:rsidRDefault="00DB5432" w:rsidP="008E1CE9">
      <w:pPr>
        <w:rPr>
          <w:sz w:val="18"/>
          <w:szCs w:val="18"/>
        </w:rPr>
      </w:pPr>
      <w:hyperlink r:id="rId5">
        <w:r w:rsidR="008E1CE9">
          <w:rPr>
            <w:color w:val="1155CC"/>
            <w:sz w:val="18"/>
            <w:szCs w:val="18"/>
            <w:u w:val="single"/>
          </w:rPr>
          <w:t>https://hrcak.srce.hr/file/411240</w:t>
        </w:r>
      </w:hyperlink>
      <w:r w:rsidR="008E1CE9">
        <w:rPr>
          <w:sz w:val="18"/>
          <w:szCs w:val="18"/>
        </w:rPr>
        <w:t xml:space="preserve"> </w:t>
      </w:r>
    </w:p>
  </w:footnote>
  <w:footnote w:id="7">
    <w:p w14:paraId="52E12ECB" w14:textId="77777777" w:rsidR="008E1CE9" w:rsidRDefault="008E1CE9" w:rsidP="008E1CE9">
      <w:pPr>
        <w:rPr>
          <w:sz w:val="20"/>
          <w:szCs w:val="20"/>
        </w:rPr>
      </w:pPr>
      <w:r>
        <w:rPr>
          <w:vertAlign w:val="superscript"/>
        </w:rPr>
        <w:footnoteRef/>
      </w:r>
      <w:r>
        <w:rPr>
          <w:sz w:val="20"/>
          <w:szCs w:val="20"/>
        </w:rPr>
        <w:t xml:space="preserve"> Ibid. </w:t>
      </w:r>
    </w:p>
  </w:footnote>
  <w:footnote w:id="8">
    <w:p w14:paraId="23CD0135" w14:textId="77777777" w:rsidR="008E1CE9" w:rsidRDefault="008E1CE9" w:rsidP="008E1CE9">
      <w:pPr>
        <w:rPr>
          <w:sz w:val="18"/>
          <w:szCs w:val="18"/>
        </w:rPr>
      </w:pPr>
      <w:r>
        <w:rPr>
          <w:vertAlign w:val="superscript"/>
        </w:rPr>
        <w:footnoteRef/>
      </w:r>
      <w:r>
        <w:rPr>
          <w:sz w:val="18"/>
          <w:szCs w:val="18"/>
        </w:rPr>
        <w:t xml:space="preserve"> UNICEF, Poverty and Well-being of Preschool Children in the Republic of Croatia, 2015, available at:</w:t>
      </w:r>
    </w:p>
    <w:p w14:paraId="0AB41178" w14:textId="77777777" w:rsidR="008E1CE9" w:rsidRDefault="00DB5432" w:rsidP="008E1CE9">
      <w:pPr>
        <w:rPr>
          <w:sz w:val="18"/>
          <w:szCs w:val="18"/>
        </w:rPr>
      </w:pPr>
      <w:hyperlink r:id="rId6">
        <w:r w:rsidR="008E1CE9">
          <w:rPr>
            <w:color w:val="1155CC"/>
            <w:sz w:val="18"/>
            <w:szCs w:val="18"/>
            <w:u w:val="single"/>
          </w:rPr>
          <w:t>https://www.unicef.hr/wp-content/uploads/2015/09/Publikacija_Siromastvo_Unicef_2015_online.pdf</w:t>
        </w:r>
      </w:hyperlink>
      <w:r w:rsidR="008E1CE9">
        <w:rPr>
          <w:sz w:val="18"/>
          <w:szCs w:val="18"/>
        </w:rPr>
        <w:t xml:space="preserve"> </w:t>
      </w:r>
    </w:p>
  </w:footnote>
  <w:footnote w:id="9">
    <w:p w14:paraId="390ED973"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European Commission, Education and Training Monitor 2022 - Croatia, available at: </w:t>
      </w:r>
      <w:hyperlink r:id="rId7">
        <w:r>
          <w:rPr>
            <w:color w:val="1155CC"/>
            <w:sz w:val="18"/>
            <w:szCs w:val="18"/>
            <w:u w:val="single"/>
          </w:rPr>
          <w:t>https://op.europa.eu/webpub/eac/education-and-training-monitor-2022/en/country-reports/croatia.html</w:t>
        </w:r>
      </w:hyperlink>
      <w:r>
        <w:rPr>
          <w:sz w:val="18"/>
          <w:szCs w:val="18"/>
        </w:rPr>
        <w:t xml:space="preserve"> </w:t>
      </w:r>
    </w:p>
  </w:footnote>
  <w:footnote w:id="10">
    <w:p w14:paraId="09B8D4BE" w14:textId="77777777" w:rsidR="008E1CE9" w:rsidRDefault="008E1CE9" w:rsidP="008E1CE9">
      <w:pPr>
        <w:rPr>
          <w:sz w:val="18"/>
          <w:szCs w:val="18"/>
        </w:rPr>
      </w:pPr>
      <w:r>
        <w:rPr>
          <w:vertAlign w:val="superscript"/>
        </w:rPr>
        <w:footnoteRef/>
      </w:r>
      <w:r>
        <w:rPr>
          <w:sz w:val="18"/>
          <w:szCs w:val="18"/>
        </w:rPr>
        <w:t xml:space="preserve"> Ibid.</w:t>
      </w:r>
    </w:p>
  </w:footnote>
  <w:footnote w:id="11">
    <w:p w14:paraId="12C626D6" w14:textId="77777777" w:rsidR="008E1CE9" w:rsidRDefault="008E1CE9" w:rsidP="008E1CE9">
      <w:pPr>
        <w:rPr>
          <w:sz w:val="18"/>
          <w:szCs w:val="18"/>
        </w:rPr>
      </w:pPr>
      <w:r>
        <w:rPr>
          <w:vertAlign w:val="superscript"/>
        </w:rPr>
        <w:footnoteRef/>
      </w:r>
      <w:r>
        <w:rPr>
          <w:sz w:val="20"/>
          <w:szCs w:val="20"/>
        </w:rPr>
        <w:t xml:space="preserve"> </w:t>
      </w:r>
      <w:r>
        <w:rPr>
          <w:sz w:val="18"/>
          <w:szCs w:val="18"/>
        </w:rPr>
        <w:t>UNICEF, In-depth analysis of the Situation and the Basis for Developing the European Child Guarantee National Action Plan in Croatia, January 2021, available at:</w:t>
      </w:r>
    </w:p>
    <w:p w14:paraId="56CCA0DB" w14:textId="77777777" w:rsidR="008E1CE9" w:rsidRDefault="00DB5432" w:rsidP="008E1CE9">
      <w:pPr>
        <w:rPr>
          <w:sz w:val="18"/>
          <w:szCs w:val="18"/>
        </w:rPr>
      </w:pPr>
      <w:hyperlink r:id="rId8">
        <w:r w:rsidR="008E1CE9">
          <w:rPr>
            <w:color w:val="1155CC"/>
            <w:sz w:val="18"/>
            <w:szCs w:val="18"/>
            <w:u w:val="single"/>
          </w:rPr>
          <w:t>https://www.unicef.org/croatia/media/10146/file/ Dubinska%20analiza%20stanja%20.pdf</w:t>
        </w:r>
      </w:hyperlink>
    </w:p>
  </w:footnote>
  <w:footnote w:id="12">
    <w:p w14:paraId="0343C57B" w14:textId="77777777" w:rsidR="008E1CE9" w:rsidRDefault="008E1CE9" w:rsidP="008E1CE9">
      <w:pPr>
        <w:rPr>
          <w:sz w:val="18"/>
          <w:szCs w:val="18"/>
        </w:rPr>
      </w:pPr>
      <w:r>
        <w:rPr>
          <w:vertAlign w:val="superscript"/>
        </w:rPr>
        <w:footnoteRef/>
      </w:r>
      <w:r>
        <w:rPr>
          <w:sz w:val="20"/>
          <w:szCs w:val="20"/>
        </w:rPr>
        <w:t xml:space="preserve"> </w:t>
      </w:r>
      <w:r>
        <w:rPr>
          <w:sz w:val="18"/>
          <w:szCs w:val="18"/>
        </w:rPr>
        <w:t>Croatian Bureau of Statistics, Indicators of Poverty and Social Exclusion in 2021, available at:</w:t>
      </w:r>
    </w:p>
    <w:p w14:paraId="59FBC3F1" w14:textId="77777777" w:rsidR="008E1CE9" w:rsidRDefault="00DB5432" w:rsidP="008E1CE9">
      <w:pPr>
        <w:rPr>
          <w:sz w:val="18"/>
          <w:szCs w:val="18"/>
        </w:rPr>
      </w:pPr>
      <w:hyperlink r:id="rId9">
        <w:r w:rsidR="008E1CE9">
          <w:rPr>
            <w:color w:val="1155CC"/>
            <w:sz w:val="18"/>
            <w:szCs w:val="18"/>
            <w:u w:val="single"/>
          </w:rPr>
          <w:t>https://podaci.dzs.hr/2022/hr/29178</w:t>
        </w:r>
      </w:hyperlink>
      <w:r w:rsidR="008E1CE9">
        <w:rPr>
          <w:sz w:val="18"/>
          <w:szCs w:val="18"/>
        </w:rPr>
        <w:t xml:space="preserve"> </w:t>
      </w:r>
    </w:p>
  </w:footnote>
  <w:footnote w:id="13">
    <w:p w14:paraId="2A98E09A"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Eurostat, Living conditions in Europe - housing, Housing conditions, 2022, available at: </w:t>
      </w:r>
      <w:hyperlink r:id="rId10" w:anchor="Housing_conditions">
        <w:r>
          <w:rPr>
            <w:color w:val="1155CC"/>
            <w:sz w:val="18"/>
            <w:szCs w:val="18"/>
            <w:u w:val="single"/>
          </w:rPr>
          <w:t>https://ec.europa.eu/eurostat/statistics-explained/index.php?title=Living_conditions_in_Europe_-_housing#Housing_conditions</w:t>
        </w:r>
      </w:hyperlink>
      <w:r>
        <w:rPr>
          <w:sz w:val="18"/>
          <w:szCs w:val="18"/>
        </w:rPr>
        <w:t xml:space="preserve"> </w:t>
      </w:r>
    </w:p>
  </w:footnote>
  <w:footnote w:id="14">
    <w:p w14:paraId="45ED3B94"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Eurostat, Income living conditions, 2022, available at: </w:t>
      </w:r>
      <w:hyperlink r:id="rId11">
        <w:r>
          <w:rPr>
            <w:color w:val="1155CC"/>
            <w:sz w:val="18"/>
            <w:szCs w:val="18"/>
            <w:u w:val="single"/>
          </w:rPr>
          <w:t>https://ec.europa.eu/eurostat/web/income-and-living-conditions/data/database</w:t>
        </w:r>
      </w:hyperlink>
    </w:p>
  </w:footnote>
  <w:footnote w:id="15">
    <w:p w14:paraId="3913691E" w14:textId="77777777" w:rsidR="008E1CE9" w:rsidRDefault="008E1CE9" w:rsidP="008E1CE9">
      <w:pPr>
        <w:rPr>
          <w:sz w:val="18"/>
          <w:szCs w:val="18"/>
        </w:rPr>
      </w:pPr>
      <w:r>
        <w:rPr>
          <w:vertAlign w:val="superscript"/>
        </w:rPr>
        <w:footnoteRef/>
      </w:r>
      <w:r>
        <w:rPr>
          <w:sz w:val="18"/>
          <w:szCs w:val="18"/>
        </w:rPr>
        <w:t xml:space="preserve"> Croatian Bureau of Statistics, Indicators of Poverty and Social Exclusion in 2021, available at:</w:t>
      </w:r>
    </w:p>
    <w:p w14:paraId="38B48143" w14:textId="77777777" w:rsidR="008E1CE9" w:rsidRDefault="00DB5432" w:rsidP="008E1CE9">
      <w:pPr>
        <w:rPr>
          <w:sz w:val="18"/>
          <w:szCs w:val="18"/>
        </w:rPr>
      </w:pPr>
      <w:hyperlink r:id="rId12">
        <w:r w:rsidR="008E1CE9">
          <w:rPr>
            <w:color w:val="1155CC"/>
            <w:sz w:val="18"/>
            <w:szCs w:val="18"/>
            <w:u w:val="single"/>
          </w:rPr>
          <w:t>https://podaci.dzs.hr/2022/hr/29178</w:t>
        </w:r>
      </w:hyperlink>
      <w:r w:rsidR="008E1CE9">
        <w:rPr>
          <w:sz w:val="18"/>
          <w:szCs w:val="18"/>
        </w:rPr>
        <w:t xml:space="preserve"> </w:t>
      </w:r>
    </w:p>
  </w:footnote>
  <w:footnote w:id="16">
    <w:p w14:paraId="7FCFA740" w14:textId="77777777" w:rsidR="008E1CE9" w:rsidRDefault="008E1CE9" w:rsidP="008E1CE9">
      <w:pPr>
        <w:rPr>
          <w:sz w:val="20"/>
          <w:szCs w:val="20"/>
        </w:rPr>
      </w:pPr>
      <w:r>
        <w:rPr>
          <w:vertAlign w:val="superscript"/>
        </w:rPr>
        <w:footnoteRef/>
      </w:r>
      <w:r>
        <w:rPr>
          <w:sz w:val="20"/>
          <w:szCs w:val="20"/>
        </w:rPr>
        <w:t xml:space="preserve"> </w:t>
      </w:r>
      <w:r>
        <w:rPr>
          <w:sz w:val="18"/>
          <w:szCs w:val="18"/>
        </w:rPr>
        <w:t xml:space="preserve">Agency for Legal Transactions and Real Estate Brokerage, Road to Subsidized Housing Loans, available at: </w:t>
      </w:r>
      <w:hyperlink r:id="rId13">
        <w:r>
          <w:rPr>
            <w:color w:val="1155CC"/>
            <w:sz w:val="18"/>
            <w:szCs w:val="18"/>
            <w:u w:val="single"/>
          </w:rPr>
          <w:t>https://apn.hr/subvencionirani-stambeni-krediti/put-do-kredita</w:t>
        </w:r>
      </w:hyperlink>
    </w:p>
  </w:footnote>
  <w:footnote w:id="17">
    <w:p w14:paraId="5C504021" w14:textId="77777777" w:rsidR="008E1CE9" w:rsidRDefault="008E1CE9" w:rsidP="008E1CE9">
      <w:pPr>
        <w:rPr>
          <w:sz w:val="20"/>
          <w:szCs w:val="20"/>
        </w:rPr>
      </w:pPr>
      <w:r>
        <w:rPr>
          <w:vertAlign w:val="superscript"/>
        </w:rPr>
        <w:footnoteRef/>
      </w:r>
      <w:r>
        <w:rPr>
          <w:sz w:val="20"/>
          <w:szCs w:val="20"/>
        </w:rPr>
        <w:t xml:space="preserve"> </w:t>
      </w:r>
      <w:r>
        <w:rPr>
          <w:sz w:val="18"/>
          <w:szCs w:val="18"/>
        </w:rPr>
        <w:t xml:space="preserve">Croatian National Bank, Home sweet home: The effects of housing loan subsidies on the housing market in Croatia, authors: Davor </w:t>
      </w:r>
      <w:r>
        <w:rPr>
          <w:sz w:val="18"/>
          <w:szCs w:val="18"/>
        </w:rPr>
        <w:t xml:space="preserve">Kunovac, Ivan Ž ilić, 2020, available at: </w:t>
      </w:r>
      <w:hyperlink r:id="rId14">
        <w:r>
          <w:rPr>
            <w:color w:val="1155CC"/>
            <w:sz w:val="18"/>
            <w:szCs w:val="18"/>
            <w:u w:val="single"/>
          </w:rPr>
          <w:t xml:space="preserve">https://www.hnb.hr/documents/20182/3596318/w-060.pdf/955d2e9e-76d7-8b3e-3c1a-8a8732ff326e </w:t>
        </w:r>
      </w:hyperlink>
    </w:p>
  </w:footnote>
  <w:footnote w:id="18">
    <w:p w14:paraId="0DB911D3" w14:textId="77777777" w:rsidR="008E1CE9" w:rsidRDefault="008E1CE9" w:rsidP="008E1CE9">
      <w:pPr>
        <w:rPr>
          <w:sz w:val="20"/>
          <w:szCs w:val="20"/>
        </w:rPr>
      </w:pPr>
      <w:r>
        <w:rPr>
          <w:vertAlign w:val="superscript"/>
        </w:rPr>
        <w:footnoteRef/>
      </w:r>
      <w:r>
        <w:rPr>
          <w:sz w:val="20"/>
          <w:szCs w:val="20"/>
        </w:rPr>
        <w:t xml:space="preserve"> </w:t>
      </w:r>
      <w:r>
        <w:rPr>
          <w:sz w:val="18"/>
          <w:szCs w:val="18"/>
        </w:rPr>
        <w:t xml:space="preserve">European System of Finance Supervision, European Systemic Risk Board, Warning of the European Systemic Risk Board of 2 December 2021, 2022, available at: </w:t>
      </w:r>
      <w:hyperlink r:id="rId15">
        <w:r>
          <w:rPr>
            <w:color w:val="1155CC"/>
            <w:sz w:val="18"/>
            <w:szCs w:val="18"/>
            <w:u w:val="single"/>
          </w:rPr>
          <w:t>https://www.esrb.europa.eu/pub/pdf/warnings/esrb.warning211202_on_residential_real_estate_croatia~de0c87d337.en.pdf</w:t>
        </w:r>
      </w:hyperlink>
    </w:p>
  </w:footnote>
  <w:footnote w:id="19">
    <w:p w14:paraId="0FED8B58"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Nacional, Independent News Magazine, Although he said the reconstruction is “unbelievably slow”, </w:t>
      </w:r>
      <w:r>
        <w:rPr>
          <w:sz w:val="18"/>
          <w:szCs w:val="18"/>
        </w:rPr>
        <w:t xml:space="preserve">Plenković still isn’t sure whether he will replace Paladina, 2023, available at: </w:t>
      </w:r>
      <w:hyperlink r:id="rId16">
        <w:r>
          <w:rPr>
            <w:color w:val="1155CC"/>
            <w:sz w:val="18"/>
            <w:szCs w:val="18"/>
            <w:u w:val="single"/>
          </w:rPr>
          <w:t>https://www.nacional.hr/iako-je-rekao-da-je-obnova-nestvarno-spora-plenkovic-jos-nije-siguran-hoce-li-smijeniti-paladina/</w:t>
        </w:r>
      </w:hyperlink>
      <w:r>
        <w:rPr>
          <w:sz w:val="18"/>
          <w:szCs w:val="18"/>
        </w:rPr>
        <w:t xml:space="preserve"> </w:t>
      </w:r>
    </w:p>
  </w:footnote>
  <w:footnote w:id="20">
    <w:p w14:paraId="27077195" w14:textId="77777777" w:rsidR="008E1CE9" w:rsidRDefault="008E1CE9" w:rsidP="008E1CE9">
      <w:pPr>
        <w:rPr>
          <w:sz w:val="18"/>
          <w:szCs w:val="18"/>
        </w:rPr>
      </w:pPr>
      <w:r>
        <w:rPr>
          <w:vertAlign w:val="superscript"/>
        </w:rPr>
        <w:footnoteRef/>
      </w:r>
      <w:r>
        <w:rPr>
          <w:sz w:val="20"/>
          <w:szCs w:val="20"/>
        </w:rPr>
        <w:t xml:space="preserve"> </w:t>
      </w:r>
      <w:r>
        <w:rPr>
          <w:sz w:val="18"/>
          <w:szCs w:val="18"/>
        </w:rPr>
        <w:t>Civil Protection Headquarters, Renovation Activities in Banovina (overview), 2023, available at:</w:t>
      </w:r>
    </w:p>
    <w:p w14:paraId="639D26F6" w14:textId="77777777" w:rsidR="008E1CE9" w:rsidRDefault="00DB5432" w:rsidP="008E1CE9">
      <w:pPr>
        <w:rPr>
          <w:sz w:val="18"/>
          <w:szCs w:val="18"/>
        </w:rPr>
      </w:pPr>
      <w:hyperlink r:id="rId17">
        <w:r w:rsidR="008E1CE9">
          <w:rPr>
            <w:color w:val="1155CC"/>
            <w:sz w:val="18"/>
            <w:szCs w:val="18"/>
            <w:u w:val="single"/>
          </w:rPr>
          <w:t>https://potresinfo.gov.hr/aktivnosti-obnove-na-banovini-pregled/501</w:t>
        </w:r>
      </w:hyperlink>
      <w:r w:rsidR="008E1CE9">
        <w:rPr>
          <w:sz w:val="18"/>
          <w:szCs w:val="18"/>
        </w:rPr>
        <w:t xml:space="preserve"> </w:t>
      </w:r>
    </w:p>
  </w:footnote>
  <w:footnote w:id="21">
    <w:p w14:paraId="1EEC904C"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N1, </w:t>
      </w:r>
      <w:r>
        <w:rPr>
          <w:sz w:val="18"/>
          <w:szCs w:val="18"/>
        </w:rPr>
        <w:t>Banija celebrates a second Christmas in Containers, the Government Gives them 2,000 HRK per Person, 2022, available at:</w:t>
      </w:r>
    </w:p>
    <w:p w14:paraId="746880C8" w14:textId="77777777" w:rsidR="008E1CE9" w:rsidRDefault="00DB5432" w:rsidP="008E1CE9">
      <w:pPr>
        <w:rPr>
          <w:sz w:val="18"/>
          <w:szCs w:val="18"/>
        </w:rPr>
      </w:pPr>
      <w:hyperlink r:id="rId18">
        <w:r w:rsidR="008E1CE9">
          <w:rPr>
            <w:color w:val="1155CC"/>
            <w:sz w:val="18"/>
            <w:szCs w:val="18"/>
            <w:u w:val="single"/>
          </w:rPr>
          <w:t>https://n1info.hr/vijesti/banija-vec-drugi-bozic-slavi-u-kontejnerima-vlada-im-daje-2-000-kn-po-osobi/</w:t>
        </w:r>
      </w:hyperlink>
      <w:r w:rsidR="008E1CE9">
        <w:rPr>
          <w:sz w:val="18"/>
          <w:szCs w:val="18"/>
        </w:rPr>
        <w:t xml:space="preserve"> </w:t>
      </w:r>
    </w:p>
  </w:footnote>
  <w:footnote w:id="22">
    <w:p w14:paraId="68217C4E" w14:textId="77777777" w:rsidR="008E1CE9" w:rsidRDefault="008E1CE9" w:rsidP="008E1CE9">
      <w:pPr>
        <w:rPr>
          <w:sz w:val="18"/>
          <w:szCs w:val="18"/>
        </w:rPr>
      </w:pPr>
      <w:r>
        <w:rPr>
          <w:vertAlign w:val="superscript"/>
        </w:rPr>
        <w:footnoteRef/>
      </w:r>
      <w:r>
        <w:rPr>
          <w:sz w:val="18"/>
          <w:szCs w:val="18"/>
        </w:rPr>
        <w:t xml:space="preserve"> Croatian Network for Homeless People, 2023, available at:</w:t>
      </w:r>
    </w:p>
    <w:p w14:paraId="67AA9BB8" w14:textId="77777777" w:rsidR="008E1CE9" w:rsidRDefault="00DB5432" w:rsidP="008E1CE9">
      <w:pPr>
        <w:rPr>
          <w:sz w:val="18"/>
          <w:szCs w:val="18"/>
        </w:rPr>
      </w:pPr>
      <w:hyperlink r:id="rId19">
        <w:r w:rsidR="008E1CE9">
          <w:rPr>
            <w:color w:val="1155CC"/>
            <w:sz w:val="18"/>
            <w:szCs w:val="18"/>
            <w:u w:val="single"/>
          </w:rPr>
          <w:t>https://beskucnici.info/</w:t>
        </w:r>
      </w:hyperlink>
      <w:r w:rsidR="008E1CE9">
        <w:rPr>
          <w:sz w:val="18"/>
          <w:szCs w:val="18"/>
        </w:rPr>
        <w:t xml:space="preserve"> </w:t>
      </w:r>
    </w:p>
  </w:footnote>
  <w:footnote w:id="23">
    <w:p w14:paraId="1724C474" w14:textId="77777777" w:rsidR="008E1CE9" w:rsidRDefault="008E1CE9" w:rsidP="008E1CE9">
      <w:pPr>
        <w:rPr>
          <w:sz w:val="18"/>
          <w:szCs w:val="18"/>
        </w:rPr>
      </w:pPr>
      <w:r>
        <w:rPr>
          <w:vertAlign w:val="superscript"/>
        </w:rPr>
        <w:footnoteRef/>
      </w:r>
      <w:r>
        <w:rPr>
          <w:sz w:val="18"/>
          <w:szCs w:val="18"/>
        </w:rPr>
        <w:t xml:space="preserve"> Annual Ombudswoman Report for 2021, available at: </w:t>
      </w:r>
      <w:hyperlink r:id="rId20">
        <w:r>
          <w:rPr>
            <w:color w:val="1155CC"/>
            <w:sz w:val="18"/>
            <w:szCs w:val="18"/>
            <w:u w:val="single"/>
          </w:rPr>
          <w:t xml:space="preserve">https://www.ombudsman.hr/hr/download/izvjesce-pucke-pravobraniteljice-za-2021-godinu/?wpdmdl=13454&amp;refresh=624f43c4a28581649361860 </w:t>
        </w:r>
      </w:hyperlink>
    </w:p>
  </w:footnote>
  <w:footnote w:id="24">
    <w:p w14:paraId="78914B1D"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Ministry of </w:t>
      </w:r>
      <w:r>
        <w:rPr>
          <w:sz w:val="18"/>
          <w:szCs w:val="18"/>
        </w:rPr>
        <w:t xml:space="preserve">Labour, the Pension System, Family and Social Policy, National Plan for the Fight Against Poverty and Social Exclusion (2021-2027), available at: </w:t>
      </w:r>
      <w:hyperlink r:id="rId21">
        <w:r>
          <w:rPr>
            <w:color w:val="1155CC"/>
            <w:sz w:val="18"/>
            <w:szCs w:val="18"/>
            <w:u w:val="single"/>
          </w:rPr>
          <w:t>https://mrosp.gov.hr/UserDocsImages/dokumenti/Glavno%20tajni%C5%A1tvo/Godi%C5%A1nji%20planovi%20i%20strate%C5%A1ka%20izvje%C5%A1%C4%87a/Nacionalni%20plan%20borbe%20protiv%20siroma%C5%A1tva%20i%20socijalne%20isklju%C4%8Denosti%20za%20razdoblje%20od%202021%20do%202027.pdf</w:t>
        </w:r>
      </w:hyperlink>
      <w:r>
        <w:rPr>
          <w:sz w:val="18"/>
          <w:szCs w:val="18"/>
        </w:rPr>
        <w:t xml:space="preserve"> </w:t>
      </w:r>
    </w:p>
  </w:footnote>
  <w:footnote w:id="25">
    <w:p w14:paraId="78FB817B"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Ministry of </w:t>
      </w:r>
      <w:r>
        <w:rPr>
          <w:sz w:val="18"/>
          <w:szCs w:val="18"/>
        </w:rPr>
        <w:t xml:space="preserve">Labour, the Pension System, Family and Social Policy, Action Plan for the Fight Against Poverty and Social Exclusion (2021-2024), available at: </w:t>
      </w:r>
      <w:hyperlink r:id="rId22">
        <w:r>
          <w:rPr>
            <w:color w:val="1155CC"/>
            <w:sz w:val="18"/>
            <w:szCs w:val="18"/>
            <w:u w:val="single"/>
          </w:rPr>
          <w:t>https://mrosp.gov.hr/UserDocsImages/dokumenti/Glavno%20tajni%C5%A1tvo/Godi%C5%A1nji%20planovi%20i%20strate%C5%A1ka%20izvje%C5%A1%C4%87a/Akcijski%20plan%20borbe%20protiv%20siroma%C5%A1tva%20i%20socijalne%20isklju%C4%8Denosti%20%20za%20razdoblje%20od%202021%20do%202024.pdf</w:t>
        </w:r>
      </w:hyperlink>
      <w:r>
        <w:rPr>
          <w:sz w:val="18"/>
          <w:szCs w:val="18"/>
        </w:rPr>
        <w:t xml:space="preserve"> </w:t>
      </w:r>
    </w:p>
  </w:footnote>
  <w:footnote w:id="26">
    <w:p w14:paraId="63A345E4"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RCT Zagreb and the Faculty of Law, University of Zagreb, Availability of social services in the Republic of Croatia, authors: </w:t>
      </w:r>
      <w:r>
        <w:rPr>
          <w:sz w:val="18"/>
          <w:szCs w:val="18"/>
        </w:rPr>
        <w:t xml:space="preserve">Knezić D. &amp; Opačić, A., available at: </w:t>
      </w:r>
      <w:hyperlink r:id="rId23">
        <w:r>
          <w:rPr>
            <w:color w:val="1155CC"/>
            <w:sz w:val="18"/>
            <w:szCs w:val="18"/>
            <w:u w:val="single"/>
          </w:rPr>
          <w:t>https://rctzg.hr/wp-content/uploads/2022/07/Dostupnost-socijalnih-usluga.pdf</w:t>
        </w:r>
      </w:hyperlink>
    </w:p>
  </w:footnote>
  <w:footnote w:id="27">
    <w:p w14:paraId="09BD1F90" w14:textId="77777777" w:rsidR="008E1CE9" w:rsidRDefault="008E1CE9" w:rsidP="008E1CE9">
      <w:pPr>
        <w:rPr>
          <w:sz w:val="18"/>
          <w:szCs w:val="18"/>
        </w:rPr>
      </w:pPr>
      <w:r>
        <w:rPr>
          <w:vertAlign w:val="superscript"/>
        </w:rPr>
        <w:footnoteRef/>
      </w:r>
      <w:r>
        <w:rPr>
          <w:sz w:val="20"/>
          <w:szCs w:val="20"/>
        </w:rPr>
        <w:t xml:space="preserve"> </w:t>
      </w:r>
      <w:r>
        <w:rPr>
          <w:sz w:val="18"/>
          <w:szCs w:val="18"/>
        </w:rPr>
        <w:t>The Government of the Republic of Croatia, Decision on the Adoption of the National Plan for the Development of Social Services (2021-2027) and the Action Plan for the Development of Social Services (2021-2024), available at:</w:t>
      </w:r>
    </w:p>
    <w:p w14:paraId="377081B9" w14:textId="77777777" w:rsidR="008E1CE9" w:rsidRDefault="00DB5432" w:rsidP="008E1CE9">
      <w:pPr>
        <w:rPr>
          <w:sz w:val="18"/>
          <w:szCs w:val="18"/>
        </w:rPr>
      </w:pPr>
      <w:hyperlink r:id="rId24">
        <w:r w:rsidR="008E1CE9">
          <w:rPr>
            <w:color w:val="1155CC"/>
            <w:sz w:val="18"/>
            <w:szCs w:val="18"/>
            <w:u w:val="single"/>
          </w:rPr>
          <w:t>https://narodne-novine.nn.hr/clanci/sluzbeni/2021_12_136_2240.html</w:t>
        </w:r>
      </w:hyperlink>
      <w:r w:rsidR="008E1CE9">
        <w:rPr>
          <w:sz w:val="18"/>
          <w:szCs w:val="18"/>
        </w:rPr>
        <w:t xml:space="preserve"> </w:t>
      </w:r>
    </w:p>
  </w:footnote>
  <w:footnote w:id="28">
    <w:p w14:paraId="722D68B3" w14:textId="77777777" w:rsidR="008E1CE9" w:rsidRDefault="008E1CE9" w:rsidP="008E1CE9">
      <w:pPr>
        <w:rPr>
          <w:sz w:val="18"/>
          <w:szCs w:val="18"/>
        </w:rPr>
      </w:pPr>
      <w:r>
        <w:rPr>
          <w:vertAlign w:val="superscript"/>
        </w:rPr>
        <w:footnoteRef/>
      </w:r>
      <w:r>
        <w:rPr>
          <w:sz w:val="18"/>
          <w:szCs w:val="18"/>
        </w:rPr>
        <w:t xml:space="preserve"> Ministry of Regional Development and EU Funds, List of Assisted Areas, 2021, available at: </w:t>
      </w:r>
      <w:hyperlink r:id="rId25">
        <w:r>
          <w:rPr>
            <w:color w:val="1155CC"/>
            <w:sz w:val="18"/>
            <w:szCs w:val="18"/>
            <w:u w:val="single"/>
          </w:rPr>
          <w:t>https://razvoj.gov.hr/UserDocsImages/O%20ministarstvu/Regionalni%20razvoj/Potpomognuta%20podru%C4%8Dja.pdf</w:t>
        </w:r>
      </w:hyperlink>
    </w:p>
  </w:footnote>
  <w:footnote w:id="29">
    <w:p w14:paraId="53169AB4" w14:textId="77777777" w:rsidR="008E1CE9" w:rsidRDefault="008E1CE9" w:rsidP="008E1CE9">
      <w:pPr>
        <w:rPr>
          <w:sz w:val="18"/>
          <w:szCs w:val="18"/>
        </w:rPr>
      </w:pPr>
      <w:r>
        <w:rPr>
          <w:vertAlign w:val="superscript"/>
        </w:rPr>
        <w:footnoteRef/>
      </w:r>
      <w:r>
        <w:rPr>
          <w:sz w:val="18"/>
          <w:szCs w:val="18"/>
        </w:rPr>
        <w:t xml:space="preserve"> Human Rights House Zagreb, Human Rights in Croatia, 2021, available at:</w:t>
      </w:r>
    </w:p>
    <w:p w14:paraId="2539D903" w14:textId="77777777" w:rsidR="008E1CE9" w:rsidRDefault="00DB5432" w:rsidP="008E1CE9">
      <w:pPr>
        <w:rPr>
          <w:sz w:val="18"/>
          <w:szCs w:val="18"/>
        </w:rPr>
      </w:pPr>
      <w:hyperlink r:id="rId26">
        <w:r w:rsidR="008E1CE9">
          <w:rPr>
            <w:color w:val="1155CC"/>
            <w:sz w:val="18"/>
            <w:szCs w:val="18"/>
            <w:u w:val="single"/>
          </w:rPr>
          <w:t>https://www.kucaljudskihprava.hr/wp-content/uploads/2022/07/KLJP_GI2021-EN_Online.pdf</w:t>
        </w:r>
      </w:hyperlink>
      <w:r w:rsidR="008E1CE9">
        <w:rPr>
          <w:sz w:val="18"/>
          <w:szCs w:val="18"/>
        </w:rPr>
        <w:t xml:space="preserve"> </w:t>
      </w:r>
    </w:p>
  </w:footnote>
  <w:footnote w:id="30">
    <w:p w14:paraId="374717F7" w14:textId="77777777" w:rsidR="008E1CE9" w:rsidRDefault="008E1CE9" w:rsidP="008E1CE9">
      <w:pPr>
        <w:rPr>
          <w:sz w:val="18"/>
          <w:szCs w:val="18"/>
        </w:rPr>
      </w:pPr>
      <w:r>
        <w:rPr>
          <w:vertAlign w:val="superscript"/>
        </w:rPr>
        <w:footnoteRef/>
      </w:r>
      <w:r>
        <w:rPr>
          <w:sz w:val="20"/>
          <w:szCs w:val="20"/>
        </w:rPr>
        <w:t xml:space="preserve"> </w:t>
      </w:r>
      <w:r>
        <w:rPr>
          <w:sz w:val="18"/>
          <w:szCs w:val="18"/>
        </w:rPr>
        <w:t>Croatian Bureau of Statistics, Population census: Population Age and Sex by Settlement, Census 2021, available at:</w:t>
      </w:r>
    </w:p>
    <w:p w14:paraId="3D6F2A55" w14:textId="77777777" w:rsidR="008E1CE9" w:rsidRDefault="00DB5432" w:rsidP="008E1CE9">
      <w:pPr>
        <w:rPr>
          <w:sz w:val="18"/>
          <w:szCs w:val="18"/>
        </w:rPr>
      </w:pPr>
      <w:hyperlink r:id="rId27">
        <w:r w:rsidR="008E1CE9">
          <w:rPr>
            <w:color w:val="1155CC"/>
            <w:sz w:val="18"/>
            <w:szCs w:val="18"/>
            <w:u w:val="single"/>
          </w:rPr>
          <w:t>https://podaci.dzs.hr/hr/podaci/stanovnistvo/popis-stanovnistva/</w:t>
        </w:r>
      </w:hyperlink>
      <w:r w:rsidR="008E1CE9">
        <w:rPr>
          <w:sz w:val="18"/>
          <w:szCs w:val="18"/>
        </w:rPr>
        <w:t xml:space="preserve"> </w:t>
      </w:r>
    </w:p>
  </w:footnote>
  <w:footnote w:id="31">
    <w:p w14:paraId="6CB7E348" w14:textId="77777777" w:rsidR="008E1CE9" w:rsidRDefault="008E1CE9" w:rsidP="008E1CE9">
      <w:pPr>
        <w:rPr>
          <w:sz w:val="18"/>
          <w:szCs w:val="18"/>
        </w:rPr>
      </w:pPr>
      <w:r>
        <w:rPr>
          <w:vertAlign w:val="superscript"/>
        </w:rPr>
        <w:footnoteRef/>
      </w:r>
      <w:r>
        <w:rPr>
          <w:sz w:val="20"/>
          <w:szCs w:val="20"/>
        </w:rPr>
        <w:t xml:space="preserve"> </w:t>
      </w:r>
      <w:r>
        <w:rPr>
          <w:sz w:val="18"/>
          <w:szCs w:val="18"/>
        </w:rPr>
        <w:t>Croatian Bureau of Statistics, Census of Population, Households and Dwellings 2011, Persons with Difficulties in Performing Activities of Daily Living, available at:</w:t>
      </w:r>
    </w:p>
    <w:p w14:paraId="65972A47" w14:textId="77777777" w:rsidR="008E1CE9" w:rsidRDefault="00DB5432" w:rsidP="008E1CE9">
      <w:pPr>
        <w:rPr>
          <w:sz w:val="18"/>
          <w:szCs w:val="18"/>
        </w:rPr>
      </w:pPr>
      <w:hyperlink r:id="rId28">
        <w:r w:rsidR="008E1CE9">
          <w:rPr>
            <w:color w:val="1155CC"/>
            <w:sz w:val="18"/>
            <w:szCs w:val="18"/>
            <w:u w:val="single"/>
          </w:rPr>
          <w:t>https://web.dzs.hr/Hrv_Eng/publication/2016/SI-1584.pdf</w:t>
        </w:r>
      </w:hyperlink>
      <w:r w:rsidR="008E1CE9">
        <w:rPr>
          <w:sz w:val="18"/>
          <w:szCs w:val="18"/>
        </w:rPr>
        <w:t xml:space="preserve"> </w:t>
      </w:r>
    </w:p>
  </w:footnote>
  <w:footnote w:id="32">
    <w:p w14:paraId="733DE000" w14:textId="77777777" w:rsidR="008E1CE9" w:rsidRDefault="008E1CE9" w:rsidP="008E1CE9">
      <w:pPr>
        <w:rPr>
          <w:sz w:val="18"/>
          <w:szCs w:val="18"/>
        </w:rPr>
      </w:pPr>
      <w:r>
        <w:rPr>
          <w:vertAlign w:val="superscript"/>
        </w:rPr>
        <w:footnoteRef/>
      </w:r>
      <w:r>
        <w:rPr>
          <w:sz w:val="20"/>
          <w:szCs w:val="20"/>
        </w:rPr>
        <w:t xml:space="preserve"> </w:t>
      </w:r>
      <w:r>
        <w:rPr>
          <w:sz w:val="18"/>
          <w:szCs w:val="18"/>
        </w:rPr>
        <w:t xml:space="preserve">Eurostat, Ageing Europe, Looking at the Lives of Older People in the EU, 2020, available at: </w:t>
      </w:r>
      <w:hyperlink r:id="rId29">
        <w:r>
          <w:rPr>
            <w:color w:val="1155CC"/>
            <w:sz w:val="18"/>
            <w:szCs w:val="18"/>
            <w:u w:val="single"/>
          </w:rPr>
          <w:t>https://ec.europa.eu/eurostat/documents/3217494/11478057/KS-02-20-655-EN-N.pdf/9b09606c-d4e8-4c33-63d2-3b20d5c19c91?t=1604055531000</w:t>
        </w:r>
      </w:hyperlink>
      <w:r>
        <w:rPr>
          <w:sz w:val="18"/>
          <w:szCs w:val="18"/>
        </w:rPr>
        <w:t xml:space="preserve"> </w:t>
      </w:r>
    </w:p>
  </w:footnote>
  <w:footnote w:id="33">
    <w:p w14:paraId="27C743A8" w14:textId="77777777" w:rsidR="008E1CE9" w:rsidRDefault="008E1CE9" w:rsidP="008E1CE9">
      <w:pPr>
        <w:rPr>
          <w:sz w:val="18"/>
          <w:szCs w:val="18"/>
        </w:rPr>
      </w:pPr>
      <w:r>
        <w:rPr>
          <w:vertAlign w:val="superscript"/>
        </w:rPr>
        <w:footnoteRef/>
      </w:r>
      <w:r>
        <w:rPr>
          <w:sz w:val="18"/>
          <w:szCs w:val="18"/>
        </w:rPr>
        <w:t xml:space="preserve"> European </w:t>
      </w:r>
      <w:r>
        <w:rPr>
          <w:sz w:val="18"/>
          <w:szCs w:val="18"/>
        </w:rPr>
        <w:t xml:space="preserve">Commision, 2022 Rule of Law Report, Country Chapter on the rule of law situation in Croatia, 2022, available at: </w:t>
      </w:r>
    </w:p>
    <w:p w14:paraId="227B4DFD" w14:textId="77777777" w:rsidR="008E1CE9" w:rsidRDefault="00DB5432" w:rsidP="008E1CE9">
      <w:pPr>
        <w:rPr>
          <w:sz w:val="18"/>
          <w:szCs w:val="18"/>
        </w:rPr>
      </w:pPr>
      <w:hyperlink r:id="rId30">
        <w:r w:rsidR="008E1CE9">
          <w:rPr>
            <w:color w:val="1155CC"/>
            <w:sz w:val="18"/>
            <w:szCs w:val="18"/>
            <w:u w:val="single"/>
          </w:rPr>
          <w:t>https://commission.europa.eu/system/files/2022-07/27_1_194032_coun_chap_croatia_en.pdf</w:t>
        </w:r>
      </w:hyperlink>
      <w:r w:rsidR="008E1CE9">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9636" w14:textId="77777777" w:rsidR="00737D5B" w:rsidRDefault="00DB5432">
    <w:pPr>
      <w:pBdr>
        <w:top w:val="nil"/>
        <w:left w:val="nil"/>
        <w:bottom w:val="nil"/>
        <w:right w:val="nil"/>
        <w:between w:val="nil"/>
      </w:pBdr>
      <w:tabs>
        <w:tab w:val="center" w:pos="4536"/>
        <w:tab w:val="right" w:pos="9072"/>
      </w:tabs>
      <w:ind w:left="-1417" w:right="-1417"/>
      <w:rPr>
        <w:color w:val="000000"/>
      </w:rPr>
    </w:pPr>
    <w:r>
      <w:rPr>
        <w:noProof/>
        <w:color w:val="000000"/>
      </w:rPr>
      <w:drawing>
        <wp:inline distT="0" distB="0" distL="0" distR="0" wp14:anchorId="4D1FAA1E" wp14:editId="52CE2500">
          <wp:extent cx="7560000" cy="1969636"/>
          <wp:effectExtent l="0" t="0" r="0" b="0"/>
          <wp:docPr id="7" name="Picture 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0000" cy="1969636"/>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A4DC" w14:textId="77777777" w:rsidR="00737D5B" w:rsidRDefault="00DB5432">
    <w:pPr>
      <w:pBdr>
        <w:top w:val="nil"/>
        <w:left w:val="nil"/>
        <w:bottom w:val="nil"/>
        <w:right w:val="nil"/>
        <w:between w:val="nil"/>
      </w:pBdr>
      <w:tabs>
        <w:tab w:val="center" w:pos="4536"/>
        <w:tab w:val="right" w:pos="9072"/>
      </w:tabs>
      <w:ind w:left="-1417" w:right="-1417"/>
      <w:rPr>
        <w:color w:val="000000"/>
      </w:rPr>
    </w:pPr>
    <w:r>
      <w:rPr>
        <w:noProof/>
        <w:color w:val="000000"/>
      </w:rPr>
      <w:drawing>
        <wp:inline distT="0" distB="0" distL="0" distR="0" wp14:anchorId="496E649D" wp14:editId="2B16BF4A">
          <wp:extent cx="7558327" cy="1969200"/>
          <wp:effectExtent l="0" t="0" r="0" b="0"/>
          <wp:docPr id="8"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8327" cy="1969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64BD8"/>
    <w:multiLevelType w:val="multilevel"/>
    <w:tmpl w:val="9EC0C8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D5B"/>
    <w:rsid w:val="00093B5B"/>
    <w:rsid w:val="000D1A80"/>
    <w:rsid w:val="0023632B"/>
    <w:rsid w:val="005B22D9"/>
    <w:rsid w:val="00737D5B"/>
    <w:rsid w:val="008A6328"/>
    <w:rsid w:val="008E1CE9"/>
    <w:rsid w:val="008E22BA"/>
    <w:rsid w:val="00A151CE"/>
    <w:rsid w:val="00A20F29"/>
    <w:rsid w:val="00B97931"/>
    <w:rsid w:val="00DB5432"/>
    <w:rsid w:val="00FE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D6F8E"/>
  <w15:docId w15:val="{8A9BFBC7-2180-6C4D-9977-175F9E98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hr-H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6E5"/>
    <w:rPr>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rsid w:val="00A20F29"/>
    <w:pPr>
      <w:keepNext/>
      <w:keepLines/>
      <w:spacing w:before="360" w:after="80"/>
      <w:outlineLvl w:val="1"/>
    </w:pPr>
    <w:rPr>
      <w:rFonts w:ascii="Arial" w:hAnsi="Arial" w:cs="Arial"/>
      <w:b/>
      <w:sz w:val="32"/>
      <w:szCs w:val="32"/>
    </w:rPr>
  </w:style>
  <w:style w:type="paragraph" w:styleId="Heading3">
    <w:name w:val="heading 3"/>
    <w:basedOn w:val="Normal"/>
    <w:next w:val="Normal"/>
    <w:uiPriority w:val="9"/>
    <w:unhideWhenUsed/>
    <w:qFormat/>
    <w:rsid w:val="00A20F29"/>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F56C3"/>
    <w:pPr>
      <w:tabs>
        <w:tab w:val="center" w:pos="4536"/>
        <w:tab w:val="right" w:pos="9072"/>
      </w:tabs>
    </w:pPr>
  </w:style>
  <w:style w:type="character" w:customStyle="1" w:styleId="HeaderChar">
    <w:name w:val="Header Char"/>
    <w:basedOn w:val="DefaultParagraphFont"/>
    <w:link w:val="Header"/>
    <w:uiPriority w:val="99"/>
    <w:rsid w:val="004F56C3"/>
  </w:style>
  <w:style w:type="paragraph" w:styleId="Footer">
    <w:name w:val="footer"/>
    <w:basedOn w:val="Normal"/>
    <w:link w:val="FooterChar"/>
    <w:uiPriority w:val="99"/>
    <w:unhideWhenUsed/>
    <w:rsid w:val="004F56C3"/>
    <w:pPr>
      <w:tabs>
        <w:tab w:val="center" w:pos="4536"/>
        <w:tab w:val="right" w:pos="9072"/>
      </w:tabs>
    </w:pPr>
  </w:style>
  <w:style w:type="character" w:customStyle="1" w:styleId="FooterChar">
    <w:name w:val="Footer Char"/>
    <w:basedOn w:val="DefaultParagraphFont"/>
    <w:link w:val="Footer"/>
    <w:uiPriority w:val="99"/>
    <w:rsid w:val="004F56C3"/>
  </w:style>
  <w:style w:type="paragraph" w:styleId="NormalWeb">
    <w:name w:val="Normal (Web)"/>
    <w:basedOn w:val="Normal"/>
    <w:uiPriority w:val="99"/>
    <w:unhideWhenUsed/>
    <w:rsid w:val="004F56C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F76E5"/>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PageNumber">
    <w:name w:val="page number"/>
    <w:basedOn w:val="DefaultParagraphFont"/>
    <w:uiPriority w:val="99"/>
    <w:semiHidden/>
    <w:unhideWhenUsed/>
    <w:rsid w:val="00236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ontakt@kucaljudskihprava.h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2021portugal.eu/en/news/lisbon-declaration-on-the-european-platform-on-combatting-homelessness/" TargetMode="External"/><Relationship Id="rId4" Type="http://schemas.openxmlformats.org/officeDocument/2006/relationships/settings" Target="settings.xml"/><Relationship Id="rId9" Type="http://schemas.openxmlformats.org/officeDocument/2006/relationships/hyperlink" Target="http://www.kucaljudskihprava.hr"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croatia/media/10146/file/%20Dubinska%20analiza%20stanja%20.pdf" TargetMode="External"/><Relationship Id="rId13" Type="http://schemas.openxmlformats.org/officeDocument/2006/relationships/hyperlink" Target="https://apn.hr/subvencionirani-stambeni-krediti/put-do-kredita" TargetMode="External"/><Relationship Id="rId18" Type="http://schemas.openxmlformats.org/officeDocument/2006/relationships/hyperlink" Target="https://n1info.hr/vijesti/banija-vec-drugi-bozic-slavi-u-kontejnerima-vlada-im-daje-2-000-kn-po-osobi/" TargetMode="External"/><Relationship Id="rId26" Type="http://schemas.openxmlformats.org/officeDocument/2006/relationships/hyperlink" Target="https://www.kucaljudskihprava.hr/wp-content/uploads/2022/07/KLJP_GI2021-EN_Online.pdf" TargetMode="External"/><Relationship Id="rId3" Type="http://schemas.openxmlformats.org/officeDocument/2006/relationships/hyperlink" Target="https://data.worldbank.org/indicator/SH.STA.SUIC.P5?end=2019&amp;locations=EU&amp;start=2000&amp;view=chart" TargetMode="External"/><Relationship Id="rId21" Type="http://schemas.openxmlformats.org/officeDocument/2006/relationships/hyperlink" Target="https://mrosp.gov.hr/UserDocsImages/dokumenti/Glavno%20tajni%C5%A1tvo/Godi%C5%A1nji%20planovi%20i%20strate%C5%A1ka%20izvje%C5%A1%C4%87a/Nacionalni%20plan%20borbe%20protiv%20siroma%C5%A1tva%20i%20socijalne%20isklju%C4%8Denosti%20za%20razdoblje%20od%202021%20do%202027.pdf" TargetMode="External"/><Relationship Id="rId7" Type="http://schemas.openxmlformats.org/officeDocument/2006/relationships/hyperlink" Target="https://op.europa.eu/webpub/eac/education-and-training-monitor-2022/en/country-reports/croatia.html" TargetMode="External"/><Relationship Id="rId12" Type="http://schemas.openxmlformats.org/officeDocument/2006/relationships/hyperlink" Target="https://podaci.dzs.hr/2022/hr/29178" TargetMode="External"/><Relationship Id="rId17" Type="http://schemas.openxmlformats.org/officeDocument/2006/relationships/hyperlink" Target="https://potresinfo.gov.hr/aktivnosti-obnove-na-banovini-pregled/501" TargetMode="External"/><Relationship Id="rId25" Type="http://schemas.openxmlformats.org/officeDocument/2006/relationships/hyperlink" Target="https://razvoj.gov.hr/UserDocsImages/O%20ministarstvu/Regionalni%20razvoj/Potpomognuta%20podru%C4%8Dja.pdf" TargetMode="External"/><Relationship Id="rId2" Type="http://schemas.openxmlformats.org/officeDocument/2006/relationships/hyperlink" Target="https://www.hzjz.hr/aktualnosti/izvrsena-samoubojstva-u-hrvat-" TargetMode="External"/><Relationship Id="rId16" Type="http://schemas.openxmlformats.org/officeDocument/2006/relationships/hyperlink" Target="https://www.nacional.hr/iako-je-rekao-da-je-obnova-nestvarno-spora-plenkovic-jos-nije-siguran-hoce-li-smijeniti-paladina/" TargetMode="External"/><Relationship Id="rId20" Type="http://schemas.openxmlformats.org/officeDocument/2006/relationships/hyperlink" Target="https://www.ombudsman.hr/hr/download/izvjesce-pucke-pravobraniteljice-za-2021-godinu/?wpdmdl=13454&amp;refresh=624f43c4a28581649361860" TargetMode="External"/><Relationship Id="rId29" Type="http://schemas.openxmlformats.org/officeDocument/2006/relationships/hyperlink" Target="https://ec.europa.eu/eurostat/documents/3217494/11478057/KS-02-20-655-EN-N.pdf/9b09606c-d4e8-4c33-63d2-3b20d5c19c91?t=1604055531000" TargetMode="External"/><Relationship Id="rId1" Type="http://schemas.openxmlformats.org/officeDocument/2006/relationships/hyperlink" Target="https://podaci.dzs.hr/2022/hr/29178" TargetMode="External"/><Relationship Id="rId6" Type="http://schemas.openxmlformats.org/officeDocument/2006/relationships/hyperlink" Target="https://www.unicef.hr/wp-content/uploads/2015/09/Publikacija_Siromastvo_Unicef_2015_online.pdf" TargetMode="External"/><Relationship Id="rId11" Type="http://schemas.openxmlformats.org/officeDocument/2006/relationships/hyperlink" Target="https://ec.europa.eu/eurostat/web/income-and-living-conditions/data/database" TargetMode="External"/><Relationship Id="rId24" Type="http://schemas.openxmlformats.org/officeDocument/2006/relationships/hyperlink" Target="https://narodne-novine.nn.hr/clanci/sluzbeni/2021_12_136_2240.html" TargetMode="External"/><Relationship Id="rId5" Type="http://schemas.openxmlformats.org/officeDocument/2006/relationships/hyperlink" Target="https://hrcak.srce.hr/file/411240" TargetMode="External"/><Relationship Id="rId15" Type="http://schemas.openxmlformats.org/officeDocument/2006/relationships/hyperlink" Target="https://www.esrb.europa.eu/pub/pdf/warnings/esrb.warning211202_on_residential_real_estate_croatia~de0c87d337.en.pdf" TargetMode="External"/><Relationship Id="rId23" Type="http://schemas.openxmlformats.org/officeDocument/2006/relationships/hyperlink" Target="https://rctzg.hr/wp-content/uploads/2022/07/Dostupnost-socijalnih-usluga.pdf" TargetMode="External"/><Relationship Id="rId28" Type="http://schemas.openxmlformats.org/officeDocument/2006/relationships/hyperlink" Target="https://web.dzs.hr/Hrv_Eng/publication/2016/SI-1584.pdf" TargetMode="External"/><Relationship Id="rId10" Type="http://schemas.openxmlformats.org/officeDocument/2006/relationships/hyperlink" Target="https://ec.europa.eu/eurostat/statistics-explained/index.php?title=Living_conditions_in_Europe_-_housing" TargetMode="External"/><Relationship Id="rId19" Type="http://schemas.openxmlformats.org/officeDocument/2006/relationships/hyperlink" Target="https://beskucnici.info/" TargetMode="External"/><Relationship Id="rId4" Type="http://schemas.openxmlformats.org/officeDocument/2006/relationships/hyperlink" Target="https://podaci.dzs.hr/2022/hr/29178" TargetMode="External"/><Relationship Id="rId9" Type="http://schemas.openxmlformats.org/officeDocument/2006/relationships/hyperlink" Target="https://podaci.dzs.hr/2022/hr/29178" TargetMode="External"/><Relationship Id="rId14" Type="http://schemas.openxmlformats.org/officeDocument/2006/relationships/hyperlink" Target="https://www.hnb.hr/documents/20182/3596318/w-060.pdf/955d2e9e-76d7-8b3e-3c1a-8a8732ff326e" TargetMode="External"/><Relationship Id="rId22" Type="http://schemas.openxmlformats.org/officeDocument/2006/relationships/hyperlink" Target="https://mrosp.gov.hr/UserDocsImages/dokumenti/Glavno%20tajni%C5%A1tvo/Godi%C5%A1nji%20planovi%20i%20strate%C5%A1ka%20izvje%C5%A1%C4%87a/Akcijski%20plan%20borbe%20protiv%20siroma%C5%A1tva%20i%20socijalne%20isklju%C4%8Denosti%20%20za%20razdoblje%20od%202021%20do%202024.pdf" TargetMode="External"/><Relationship Id="rId27" Type="http://schemas.openxmlformats.org/officeDocument/2006/relationships/hyperlink" Target="https://podaci.dzs.hr/hr/podaci/stanovnistvo/popis-stanovnistva/" TargetMode="External"/><Relationship Id="rId30" Type="http://schemas.openxmlformats.org/officeDocument/2006/relationships/hyperlink" Target="https://commission.europa.eu/system/files/2022-07/27_1_194032_coun_chap_croatia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WZdeyTXlbuc4qwq5nYqxmImv5A==">AMUW2mU/6UTbD5Hzbby3HDdwMZeRrxhsb+jIPTMbzPgOAsb9ASHde9zhGkfSoOcGa2h8nz2pN7Dpkj4bIOJe/MHGWxnLKj7QmKDwNkfTZ+uLdgC20gy7Eqs=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4870</Words>
  <Characters>27759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Celine Reynaud</cp:lastModifiedBy>
  <cp:revision>2</cp:revision>
  <dcterms:created xsi:type="dcterms:W3CDTF">2023-01-09T18:43:00Z</dcterms:created>
  <dcterms:modified xsi:type="dcterms:W3CDTF">2023-01-09T18:43:00Z</dcterms:modified>
</cp:coreProperties>
</file>