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BD2" w:rsidRPr="004D4825" w:rsidRDefault="00C53E54" w:rsidP="004D4825">
      <w:pPr>
        <w:jc w:val="center"/>
        <w:rPr>
          <w:rFonts w:cstheme="minorHAnsi"/>
          <w:sz w:val="24"/>
          <w:szCs w:val="24"/>
        </w:rPr>
      </w:pPr>
      <w:r w:rsidRPr="004D4825">
        <w:rPr>
          <w:rFonts w:cstheme="minorHAnsi"/>
          <w:noProof/>
          <w:sz w:val="24"/>
          <w:szCs w:val="24"/>
          <w:lang w:val="es-VE" w:eastAsia="es-VE"/>
        </w:rPr>
        <w:drawing>
          <wp:inline distT="0" distB="0" distL="0" distR="0">
            <wp:extent cx="3743325" cy="22860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jpg"/>
                    <pic:cNvPicPr/>
                  </pic:nvPicPr>
                  <pic:blipFill>
                    <a:blip r:embed="rId8">
                      <a:extLst>
                        <a:ext uri="{28A0092B-C50C-407E-A947-70E740481C1C}">
                          <a14:useLocalDpi xmlns:a14="http://schemas.microsoft.com/office/drawing/2010/main" val="0"/>
                        </a:ext>
                      </a:extLst>
                    </a:blip>
                    <a:stretch>
                      <a:fillRect/>
                    </a:stretch>
                  </pic:blipFill>
                  <pic:spPr>
                    <a:xfrm>
                      <a:off x="0" y="0"/>
                      <a:ext cx="3743325" cy="2286000"/>
                    </a:xfrm>
                    <a:prstGeom prst="rect">
                      <a:avLst/>
                    </a:prstGeom>
                  </pic:spPr>
                </pic:pic>
              </a:graphicData>
            </a:graphic>
          </wp:inline>
        </w:drawing>
      </w:r>
    </w:p>
    <w:p w:rsidR="00595BD2" w:rsidRPr="00543842" w:rsidRDefault="00595BD2" w:rsidP="004D4825">
      <w:pPr>
        <w:jc w:val="both"/>
        <w:rPr>
          <w:rFonts w:cstheme="minorHAnsi"/>
          <w:b/>
          <w:sz w:val="24"/>
          <w:szCs w:val="24"/>
        </w:rPr>
      </w:pPr>
    </w:p>
    <w:p w:rsidR="00595BD2" w:rsidRPr="00543842" w:rsidRDefault="00595BD2" w:rsidP="004D4825">
      <w:pPr>
        <w:jc w:val="center"/>
        <w:rPr>
          <w:rFonts w:cstheme="minorHAnsi"/>
          <w:b/>
          <w:sz w:val="24"/>
          <w:szCs w:val="24"/>
        </w:rPr>
      </w:pPr>
      <w:r w:rsidRPr="00543842">
        <w:rPr>
          <w:rFonts w:cstheme="minorHAnsi"/>
          <w:b/>
          <w:sz w:val="24"/>
          <w:szCs w:val="24"/>
        </w:rPr>
        <w:t>VENEZUELA</w:t>
      </w:r>
    </w:p>
    <w:p w:rsidR="00595BD2" w:rsidRPr="00543842" w:rsidRDefault="00595BD2" w:rsidP="004D4825">
      <w:pPr>
        <w:jc w:val="both"/>
        <w:rPr>
          <w:rFonts w:cstheme="minorHAnsi"/>
          <w:b/>
          <w:sz w:val="24"/>
          <w:szCs w:val="24"/>
          <w:lang w:val="es-VE"/>
        </w:rPr>
      </w:pPr>
      <w:r w:rsidRPr="00543842">
        <w:rPr>
          <w:rFonts w:cstheme="minorHAnsi"/>
          <w:b/>
          <w:sz w:val="24"/>
          <w:szCs w:val="24"/>
        </w:rPr>
        <w:t xml:space="preserve">Informe alternativo </w:t>
      </w:r>
      <w:r w:rsidRPr="00543842">
        <w:rPr>
          <w:rFonts w:cstheme="minorHAnsi"/>
          <w:b/>
          <w:sz w:val="24"/>
          <w:szCs w:val="24"/>
          <w:lang w:val="es-VE"/>
        </w:rPr>
        <w:t>sobre la aplicación del Pacto de Derechos Civiles y Políticos</w:t>
      </w:r>
    </w:p>
    <w:p w:rsidR="00595BD2" w:rsidRPr="00543842" w:rsidRDefault="00FB3AEF" w:rsidP="004D4825">
      <w:pPr>
        <w:jc w:val="both"/>
        <w:rPr>
          <w:rFonts w:cstheme="minorHAnsi"/>
          <w:b/>
          <w:sz w:val="24"/>
          <w:szCs w:val="24"/>
        </w:rPr>
      </w:pPr>
      <w:r w:rsidRPr="00543842">
        <w:rPr>
          <w:rFonts w:cstheme="minorHAnsi"/>
          <w:b/>
          <w:sz w:val="24"/>
          <w:szCs w:val="24"/>
        </w:rPr>
        <w:t>República</w:t>
      </w:r>
      <w:r w:rsidR="00650BD7" w:rsidRPr="00543842">
        <w:rPr>
          <w:rFonts w:cstheme="minorHAnsi"/>
          <w:b/>
          <w:sz w:val="24"/>
          <w:szCs w:val="24"/>
        </w:rPr>
        <w:t xml:space="preserve"> Bolivariana de Venezuela. Caracas, </w:t>
      </w:r>
      <w:r w:rsidRPr="00543842">
        <w:rPr>
          <w:rFonts w:cstheme="minorHAnsi"/>
          <w:b/>
          <w:sz w:val="24"/>
          <w:szCs w:val="24"/>
        </w:rPr>
        <w:t>septiembre</w:t>
      </w:r>
      <w:r w:rsidR="00650BD7" w:rsidRPr="00543842">
        <w:rPr>
          <w:rFonts w:cstheme="minorHAnsi"/>
          <w:b/>
          <w:sz w:val="24"/>
          <w:szCs w:val="24"/>
        </w:rPr>
        <w:t xml:space="preserve"> </w:t>
      </w:r>
      <w:r w:rsidRPr="00543842">
        <w:rPr>
          <w:rFonts w:cstheme="minorHAnsi"/>
          <w:b/>
          <w:sz w:val="24"/>
          <w:szCs w:val="24"/>
        </w:rPr>
        <w:t xml:space="preserve">de </w:t>
      </w:r>
      <w:r w:rsidR="00650BD7" w:rsidRPr="00543842">
        <w:rPr>
          <w:rFonts w:cstheme="minorHAnsi"/>
          <w:b/>
          <w:sz w:val="24"/>
          <w:szCs w:val="24"/>
        </w:rPr>
        <w:t>2023</w:t>
      </w:r>
    </w:p>
    <w:p w:rsidR="00595BD2" w:rsidRPr="004D4825" w:rsidRDefault="00595BD2" w:rsidP="004D4825">
      <w:pPr>
        <w:jc w:val="both"/>
        <w:rPr>
          <w:rFonts w:cstheme="minorHAnsi"/>
          <w:sz w:val="24"/>
          <w:szCs w:val="24"/>
        </w:rPr>
      </w:pPr>
    </w:p>
    <w:p w:rsidR="00595BD2" w:rsidRPr="00543842" w:rsidRDefault="00595BD2" w:rsidP="004D4825">
      <w:pPr>
        <w:jc w:val="both"/>
        <w:rPr>
          <w:rFonts w:cstheme="minorHAnsi"/>
          <w:b/>
          <w:sz w:val="24"/>
          <w:szCs w:val="24"/>
        </w:rPr>
      </w:pPr>
      <w:r w:rsidRPr="00543842">
        <w:rPr>
          <w:rFonts w:cstheme="minorHAnsi"/>
          <w:b/>
          <w:sz w:val="24"/>
          <w:szCs w:val="24"/>
        </w:rPr>
        <w:t>Organización/es autora/s:</w:t>
      </w:r>
    </w:p>
    <w:p w:rsidR="00FB3AEF" w:rsidRPr="004D4825" w:rsidRDefault="00FB3AEF" w:rsidP="004D4825">
      <w:pPr>
        <w:jc w:val="both"/>
        <w:rPr>
          <w:rFonts w:cstheme="minorHAnsi"/>
          <w:sz w:val="24"/>
          <w:szCs w:val="24"/>
          <w:lang w:val="es-VE"/>
        </w:rPr>
      </w:pPr>
    </w:p>
    <w:p w:rsidR="00FB3AEF" w:rsidRPr="004D4825" w:rsidRDefault="00FB3AEF" w:rsidP="004D4825">
      <w:pPr>
        <w:jc w:val="both"/>
        <w:rPr>
          <w:rFonts w:cstheme="minorHAnsi"/>
          <w:sz w:val="24"/>
          <w:szCs w:val="24"/>
          <w:lang w:val="es-VE"/>
        </w:rPr>
      </w:pPr>
      <w:r w:rsidRPr="004D4825">
        <w:rPr>
          <w:rFonts w:cstheme="minorHAnsi"/>
          <w:sz w:val="24"/>
          <w:szCs w:val="24"/>
          <w:lang w:val="es-VE"/>
        </w:rPr>
        <w:t>El presente informe ha sido elaborado por una Alianza de organizaciones de derechos humanos en 1</w:t>
      </w:r>
      <w:r w:rsidR="00947C39" w:rsidRPr="004D4825">
        <w:rPr>
          <w:rFonts w:cstheme="minorHAnsi"/>
          <w:sz w:val="24"/>
          <w:szCs w:val="24"/>
          <w:lang w:val="es-VE"/>
        </w:rPr>
        <w:t>5</w:t>
      </w:r>
      <w:r w:rsidRPr="004D4825">
        <w:rPr>
          <w:rFonts w:cstheme="minorHAnsi"/>
          <w:sz w:val="24"/>
          <w:szCs w:val="24"/>
          <w:lang w:val="es-VE"/>
        </w:rPr>
        <w:t xml:space="preserve"> estados de Venezuela: </w:t>
      </w:r>
      <w:proofErr w:type="spellStart"/>
      <w:r w:rsidRPr="004D4825">
        <w:rPr>
          <w:rFonts w:cstheme="minorHAnsi"/>
          <w:sz w:val="24"/>
          <w:szCs w:val="24"/>
          <w:lang w:val="es-VE"/>
        </w:rPr>
        <w:t>Civilis</w:t>
      </w:r>
      <w:proofErr w:type="spellEnd"/>
      <w:r w:rsidRPr="004D4825">
        <w:rPr>
          <w:rFonts w:cstheme="minorHAnsi"/>
          <w:sz w:val="24"/>
          <w:szCs w:val="24"/>
          <w:lang w:val="es-VE"/>
        </w:rPr>
        <w:t xml:space="preserve"> Derechos Humanos; Laboratorio de Paz; Provea; </w:t>
      </w:r>
      <w:proofErr w:type="spellStart"/>
      <w:r w:rsidRPr="004D4825">
        <w:rPr>
          <w:rFonts w:cstheme="minorHAnsi"/>
          <w:sz w:val="24"/>
          <w:szCs w:val="24"/>
          <w:lang w:val="es-VE"/>
        </w:rPr>
        <w:t>Funcamama</w:t>
      </w:r>
      <w:proofErr w:type="spellEnd"/>
      <w:r w:rsidRPr="004D4825">
        <w:rPr>
          <w:rFonts w:cstheme="minorHAnsi"/>
          <w:sz w:val="24"/>
          <w:szCs w:val="24"/>
          <w:lang w:val="es-VE"/>
        </w:rPr>
        <w:t xml:space="preserve">; </w:t>
      </w:r>
      <w:proofErr w:type="spellStart"/>
      <w:r w:rsidRPr="004D4825">
        <w:rPr>
          <w:rFonts w:cstheme="minorHAnsi"/>
          <w:sz w:val="24"/>
          <w:szCs w:val="24"/>
          <w:lang w:val="es-VE"/>
        </w:rPr>
        <w:t>Codhez</w:t>
      </w:r>
      <w:proofErr w:type="spellEnd"/>
      <w:r w:rsidRPr="004D4825">
        <w:rPr>
          <w:rFonts w:cstheme="minorHAnsi"/>
          <w:sz w:val="24"/>
          <w:szCs w:val="24"/>
          <w:lang w:val="es-VE"/>
        </w:rPr>
        <w:t xml:space="preserve">; OVP Lara; OVP Táchira, OVP- Apure; </w:t>
      </w:r>
      <w:proofErr w:type="spellStart"/>
      <w:r w:rsidRPr="004D4825">
        <w:rPr>
          <w:rFonts w:cstheme="minorHAnsi"/>
          <w:sz w:val="24"/>
          <w:szCs w:val="24"/>
          <w:lang w:val="es-VE"/>
        </w:rPr>
        <w:t>Redhanz</w:t>
      </w:r>
      <w:proofErr w:type="spellEnd"/>
      <w:r w:rsidRPr="004D4825">
        <w:rPr>
          <w:rFonts w:cstheme="minorHAnsi"/>
          <w:sz w:val="24"/>
          <w:szCs w:val="24"/>
          <w:lang w:val="es-VE"/>
        </w:rPr>
        <w:t xml:space="preserve">; Fundación Agua Sin Fronteras; </w:t>
      </w:r>
      <w:proofErr w:type="spellStart"/>
      <w:r w:rsidRPr="004D4825">
        <w:rPr>
          <w:rFonts w:cstheme="minorHAnsi"/>
          <w:sz w:val="24"/>
          <w:szCs w:val="24"/>
          <w:lang w:val="es-VE"/>
        </w:rPr>
        <w:t>Cadef</w:t>
      </w:r>
      <w:proofErr w:type="spellEnd"/>
      <w:r w:rsidRPr="004D4825">
        <w:rPr>
          <w:rFonts w:cstheme="minorHAnsi"/>
          <w:sz w:val="24"/>
          <w:szCs w:val="24"/>
          <w:lang w:val="es-VE"/>
        </w:rPr>
        <w:t xml:space="preserve">; Agencia </w:t>
      </w:r>
      <w:proofErr w:type="spellStart"/>
      <w:r w:rsidRPr="004D4825">
        <w:rPr>
          <w:rFonts w:cstheme="minorHAnsi"/>
          <w:sz w:val="24"/>
          <w:szCs w:val="24"/>
          <w:lang w:val="es-VE"/>
        </w:rPr>
        <w:t>Cojedeña</w:t>
      </w:r>
      <w:proofErr w:type="spellEnd"/>
      <w:r w:rsidRPr="004D4825">
        <w:rPr>
          <w:rFonts w:cstheme="minorHAnsi"/>
          <w:sz w:val="24"/>
          <w:szCs w:val="24"/>
          <w:lang w:val="es-VE"/>
        </w:rPr>
        <w:t xml:space="preserve"> de Investigación; Médicos Unidos de Venezuela Capítulo Carabobo; Comisión Nacional de Derechos Humanos de la Federación de Colegios de Abogados de Venezuela del estado Apure; Comisión Nacional de Derechos Humanos de la Federación de Colegios de Abogados de Venezuela del estado Táchira; CAMPO; Comisión Nacional de Derechos Humanos de la Federación de Colegios de Abogados de Venezuela del estado Lara; AVH Nueva Esparta; </w:t>
      </w:r>
      <w:r w:rsidR="00947C39" w:rsidRPr="004D4825">
        <w:rPr>
          <w:rFonts w:cstheme="minorHAnsi"/>
          <w:sz w:val="24"/>
          <w:szCs w:val="24"/>
          <w:lang w:val="es-VE"/>
        </w:rPr>
        <w:t xml:space="preserve">  ELP amazonas, ELP Aragua, ELP Apure, ELP Trujillo, ELP Yaracuy, ELP Lara, ELP Cojedes, ELP Zulia, ELP Nueva Esparta, ELP Carabobo, ELP Bolívar, Anzoátegui, ELP Caracas-Miranda, ELP Táchira.</w:t>
      </w:r>
    </w:p>
    <w:p w:rsidR="00595BD2" w:rsidRPr="004D4825" w:rsidRDefault="00595BD2" w:rsidP="004D4825">
      <w:pPr>
        <w:jc w:val="both"/>
        <w:rPr>
          <w:rFonts w:cstheme="minorHAnsi"/>
          <w:sz w:val="24"/>
          <w:szCs w:val="24"/>
        </w:rPr>
      </w:pPr>
      <w:r w:rsidRPr="004D4825">
        <w:rPr>
          <w:rFonts w:cstheme="minorHAnsi"/>
          <w:sz w:val="24"/>
          <w:szCs w:val="24"/>
        </w:rPr>
        <w:br w:type="page"/>
      </w:r>
    </w:p>
    <w:p w:rsidR="00FB3AEF" w:rsidRPr="00543842" w:rsidRDefault="00FB3AEF" w:rsidP="004D4825">
      <w:pPr>
        <w:jc w:val="both"/>
        <w:rPr>
          <w:rFonts w:cstheme="minorHAnsi"/>
          <w:b/>
          <w:sz w:val="24"/>
          <w:szCs w:val="24"/>
        </w:rPr>
      </w:pPr>
      <w:r w:rsidRPr="00543842">
        <w:rPr>
          <w:rFonts w:cstheme="minorHAnsi"/>
          <w:b/>
          <w:sz w:val="24"/>
          <w:szCs w:val="24"/>
        </w:rPr>
        <w:lastRenderedPageBreak/>
        <w:t>Resumen Ejecutivo</w:t>
      </w:r>
    </w:p>
    <w:p w:rsidR="00FB3AEF" w:rsidRDefault="00FB3AEF" w:rsidP="00543842">
      <w:pPr>
        <w:pStyle w:val="Prrafodelista"/>
        <w:numPr>
          <w:ilvl w:val="0"/>
          <w:numId w:val="11"/>
        </w:numPr>
        <w:ind w:left="0" w:firstLine="0"/>
        <w:jc w:val="both"/>
        <w:rPr>
          <w:rFonts w:cstheme="minorHAnsi"/>
          <w:sz w:val="24"/>
          <w:szCs w:val="24"/>
        </w:rPr>
      </w:pPr>
      <w:r w:rsidRPr="00543842">
        <w:rPr>
          <w:rFonts w:cstheme="minorHAnsi"/>
          <w:sz w:val="24"/>
          <w:szCs w:val="24"/>
        </w:rPr>
        <w:t xml:space="preserve">El siguiente informe tiene como propósito mostrar los patrones de </w:t>
      </w:r>
      <w:r w:rsidR="00241324" w:rsidRPr="00543842">
        <w:rPr>
          <w:rFonts w:cstheme="minorHAnsi"/>
          <w:sz w:val="24"/>
          <w:szCs w:val="24"/>
        </w:rPr>
        <w:t>violaciones de derecho a la defensa de derechos humanos. A</w:t>
      </w:r>
      <w:r w:rsidRPr="00543842">
        <w:rPr>
          <w:rFonts w:cstheme="minorHAnsi"/>
          <w:sz w:val="24"/>
          <w:szCs w:val="24"/>
        </w:rPr>
        <w:t>taque</w:t>
      </w:r>
      <w:r w:rsidR="00241324" w:rsidRPr="00543842">
        <w:rPr>
          <w:rFonts w:cstheme="minorHAnsi"/>
          <w:sz w:val="24"/>
          <w:szCs w:val="24"/>
        </w:rPr>
        <w:t>s y violaciones</w:t>
      </w:r>
      <w:r w:rsidRPr="00543842">
        <w:rPr>
          <w:rFonts w:cstheme="minorHAnsi"/>
          <w:sz w:val="24"/>
          <w:szCs w:val="24"/>
        </w:rPr>
        <w:t xml:space="preserve"> con mayor </w:t>
      </w:r>
      <w:proofErr w:type="spellStart"/>
      <w:r w:rsidRPr="00543842">
        <w:rPr>
          <w:rFonts w:cstheme="minorHAnsi"/>
          <w:sz w:val="24"/>
          <w:szCs w:val="24"/>
        </w:rPr>
        <w:t>repitencia</w:t>
      </w:r>
      <w:proofErr w:type="spellEnd"/>
      <w:r w:rsidRPr="00543842">
        <w:rPr>
          <w:rFonts w:cstheme="minorHAnsi"/>
          <w:sz w:val="24"/>
          <w:szCs w:val="24"/>
        </w:rPr>
        <w:t xml:space="preserve"> y repercusión contra Personas Defensoras de Derechos Humanos en Venezuela, miembros de organizaciones de sociedad civil, activistas, abogados y abogadas, personal de salud, sindicalistas, líderes sociales y comunitarios y los equipos de trabajo que contribuyen a la protección y asistencia humanitaria de poblaciones vulnerables, así como periodistas.</w:t>
      </w:r>
    </w:p>
    <w:p w:rsidR="00543842" w:rsidRPr="00543842" w:rsidRDefault="00543842" w:rsidP="00543842">
      <w:pPr>
        <w:pStyle w:val="Prrafodelista"/>
        <w:ind w:left="0"/>
        <w:jc w:val="both"/>
        <w:rPr>
          <w:rFonts w:cstheme="minorHAnsi"/>
          <w:sz w:val="24"/>
          <w:szCs w:val="24"/>
        </w:rPr>
      </w:pPr>
    </w:p>
    <w:p w:rsidR="00FB3AEF" w:rsidRDefault="00FB3AEF" w:rsidP="00543842">
      <w:pPr>
        <w:pStyle w:val="Prrafodelista"/>
        <w:numPr>
          <w:ilvl w:val="0"/>
          <w:numId w:val="11"/>
        </w:numPr>
        <w:ind w:left="0" w:firstLine="0"/>
        <w:jc w:val="both"/>
        <w:rPr>
          <w:rFonts w:cstheme="minorHAnsi"/>
          <w:sz w:val="24"/>
          <w:szCs w:val="24"/>
        </w:rPr>
      </w:pPr>
      <w:r w:rsidRPr="00543842">
        <w:rPr>
          <w:rFonts w:cstheme="minorHAnsi"/>
          <w:sz w:val="24"/>
          <w:szCs w:val="24"/>
        </w:rPr>
        <w:t xml:space="preserve">La situación de Emergencia Humanitaria Compleja y las restricciones consecuencia de un sistema de gobierno autoritario que adolece de garantías del Estado de Derecho, ha generado que personas de todos los sectores y estados del país han asumido en su práctica diaria y como paraguas de protección la defensa de los derechos humanos. </w:t>
      </w:r>
    </w:p>
    <w:p w:rsidR="00543842" w:rsidRPr="00543842" w:rsidRDefault="00543842" w:rsidP="00543842">
      <w:pPr>
        <w:pStyle w:val="Prrafodelista"/>
        <w:rPr>
          <w:rFonts w:cstheme="minorHAnsi"/>
          <w:sz w:val="24"/>
          <w:szCs w:val="24"/>
        </w:rPr>
      </w:pPr>
    </w:p>
    <w:p w:rsidR="004D4825" w:rsidRPr="00543842" w:rsidRDefault="004D4825" w:rsidP="00543842">
      <w:pPr>
        <w:pStyle w:val="Prrafodelista"/>
        <w:numPr>
          <w:ilvl w:val="0"/>
          <w:numId w:val="11"/>
        </w:numPr>
        <w:ind w:left="0" w:firstLine="0"/>
        <w:jc w:val="both"/>
        <w:rPr>
          <w:rFonts w:cstheme="minorHAnsi"/>
          <w:sz w:val="24"/>
          <w:szCs w:val="24"/>
        </w:rPr>
      </w:pPr>
      <w:r w:rsidRPr="00543842">
        <w:rPr>
          <w:rFonts w:cstheme="minorHAnsi"/>
          <w:color w:val="001723"/>
          <w:sz w:val="24"/>
          <w:szCs w:val="24"/>
          <w:lang w:val="es-VE"/>
        </w:rPr>
        <w:t>El informe está basado en la documentación de</w:t>
      </w:r>
      <w:r w:rsidRPr="00543842">
        <w:rPr>
          <w:rFonts w:cstheme="minorHAnsi"/>
          <w:color w:val="001723"/>
          <w:sz w:val="24"/>
          <w:szCs w:val="24"/>
          <w:lang w:val="es-VE"/>
        </w:rPr>
        <w:t xml:space="preserve"> casos </w:t>
      </w:r>
      <w:r w:rsidRPr="00543842">
        <w:rPr>
          <w:rFonts w:cstheme="minorHAnsi"/>
          <w:color w:val="001723"/>
          <w:sz w:val="24"/>
          <w:szCs w:val="24"/>
          <w:lang w:val="es-VE"/>
        </w:rPr>
        <w:t>de violación del derecho a la defensa</w:t>
      </w:r>
      <w:r w:rsidRPr="00543842">
        <w:rPr>
          <w:rFonts w:cstheme="minorHAnsi"/>
          <w:color w:val="001723"/>
          <w:sz w:val="24"/>
          <w:szCs w:val="24"/>
          <w:lang w:val="es-VE"/>
        </w:rPr>
        <w:t xml:space="preserve"> </w:t>
      </w:r>
      <w:r w:rsidRPr="00543842">
        <w:rPr>
          <w:rFonts w:cstheme="minorHAnsi"/>
          <w:color w:val="001723"/>
          <w:sz w:val="24"/>
          <w:szCs w:val="24"/>
          <w:lang w:val="es-VE"/>
        </w:rPr>
        <w:t xml:space="preserve">de los derechos humanos durante los últimos </w:t>
      </w:r>
      <w:r w:rsidRPr="00543842">
        <w:rPr>
          <w:rFonts w:cstheme="minorHAnsi"/>
          <w:color w:val="001723"/>
          <w:sz w:val="24"/>
          <w:szCs w:val="24"/>
          <w:lang w:val="es-VE"/>
        </w:rPr>
        <w:t>6</w:t>
      </w:r>
      <w:r w:rsidRPr="00543842">
        <w:rPr>
          <w:rFonts w:cstheme="minorHAnsi"/>
          <w:color w:val="001723"/>
          <w:sz w:val="24"/>
          <w:szCs w:val="24"/>
          <w:lang w:val="es-VE"/>
        </w:rPr>
        <w:t xml:space="preserve"> años.</w:t>
      </w:r>
      <w:r w:rsidRPr="00543842">
        <w:rPr>
          <w:rFonts w:cstheme="minorHAnsi"/>
          <w:color w:val="001723"/>
          <w:sz w:val="24"/>
          <w:szCs w:val="24"/>
          <w:lang w:val="es-VE"/>
        </w:rPr>
        <w:t xml:space="preserve"> R</w:t>
      </w:r>
      <w:r w:rsidRPr="00543842">
        <w:rPr>
          <w:rFonts w:cstheme="minorHAnsi"/>
          <w:color w:val="001723"/>
          <w:sz w:val="24"/>
          <w:szCs w:val="24"/>
          <w:lang w:val="es-VE"/>
        </w:rPr>
        <w:t>ecoge el contexto nacional y</w:t>
      </w:r>
      <w:r w:rsidRPr="00543842">
        <w:rPr>
          <w:rFonts w:cstheme="minorHAnsi"/>
          <w:color w:val="001723"/>
          <w:sz w:val="24"/>
          <w:szCs w:val="24"/>
          <w:lang w:val="es-VE"/>
        </w:rPr>
        <w:t xml:space="preserve"> </w:t>
      </w:r>
      <w:r w:rsidRPr="00543842">
        <w:rPr>
          <w:rFonts w:cstheme="minorHAnsi"/>
          <w:color w:val="001723"/>
          <w:sz w:val="24"/>
          <w:szCs w:val="24"/>
          <w:lang w:val="es-VE"/>
        </w:rPr>
        <w:t>los principales patrones de ataque sistematiza los reportes que realizaron las</w:t>
      </w:r>
      <w:r w:rsidRPr="00543842">
        <w:rPr>
          <w:rFonts w:cstheme="minorHAnsi"/>
          <w:color w:val="001723"/>
          <w:sz w:val="24"/>
          <w:szCs w:val="24"/>
          <w:lang w:val="es-VE"/>
        </w:rPr>
        <w:t xml:space="preserve"> </w:t>
      </w:r>
      <w:r w:rsidRPr="00543842">
        <w:rPr>
          <w:rFonts w:cstheme="minorHAnsi"/>
          <w:color w:val="001723"/>
          <w:sz w:val="24"/>
          <w:szCs w:val="24"/>
          <w:lang w:val="es-VE"/>
        </w:rPr>
        <w:t>organizaciones en cada uno de los estados, destacando</w:t>
      </w:r>
      <w:r w:rsidRPr="00543842">
        <w:rPr>
          <w:rFonts w:cstheme="minorHAnsi"/>
          <w:color w:val="001723"/>
          <w:sz w:val="24"/>
          <w:szCs w:val="24"/>
          <w:lang w:val="es-VE"/>
        </w:rPr>
        <w:t xml:space="preserve"> </w:t>
      </w:r>
      <w:r w:rsidRPr="00543842">
        <w:rPr>
          <w:rFonts w:cstheme="minorHAnsi"/>
          <w:color w:val="001723"/>
          <w:sz w:val="24"/>
          <w:szCs w:val="24"/>
          <w:lang w:val="es-VE"/>
        </w:rPr>
        <w:t>sus contextos, los ataques más notorios</w:t>
      </w:r>
      <w:r w:rsidRPr="00543842">
        <w:rPr>
          <w:rFonts w:cstheme="minorHAnsi"/>
          <w:color w:val="001723"/>
          <w:sz w:val="24"/>
          <w:szCs w:val="24"/>
          <w:lang w:val="es-VE"/>
        </w:rPr>
        <w:t xml:space="preserve">, casos emblemáticos </w:t>
      </w:r>
      <w:r w:rsidRPr="00543842">
        <w:rPr>
          <w:rFonts w:cstheme="minorHAnsi"/>
          <w:color w:val="001723"/>
          <w:sz w:val="24"/>
          <w:szCs w:val="24"/>
          <w:lang w:val="es-VE"/>
        </w:rPr>
        <w:t>y los impactos</w:t>
      </w:r>
      <w:r w:rsidRPr="00543842">
        <w:rPr>
          <w:rFonts w:cstheme="minorHAnsi"/>
          <w:color w:val="001723"/>
          <w:sz w:val="24"/>
          <w:szCs w:val="24"/>
          <w:lang w:val="es-VE"/>
        </w:rPr>
        <w:t xml:space="preserve"> </w:t>
      </w:r>
      <w:r w:rsidRPr="00543842">
        <w:rPr>
          <w:rFonts w:cstheme="minorHAnsi"/>
          <w:color w:val="001723"/>
          <w:sz w:val="24"/>
          <w:szCs w:val="24"/>
          <w:lang w:val="es-VE"/>
        </w:rPr>
        <w:t>que tienen éstos para el trabajo de las personas DDH.</w:t>
      </w:r>
    </w:p>
    <w:p w:rsidR="00FB3AEF" w:rsidRPr="00543842" w:rsidRDefault="00FB3AEF" w:rsidP="004D4825">
      <w:pPr>
        <w:jc w:val="both"/>
        <w:rPr>
          <w:rFonts w:cstheme="minorHAnsi"/>
          <w:b/>
          <w:sz w:val="24"/>
          <w:szCs w:val="24"/>
        </w:rPr>
      </w:pPr>
      <w:r w:rsidRPr="00543842">
        <w:rPr>
          <w:rFonts w:cstheme="minorHAnsi"/>
          <w:b/>
          <w:sz w:val="24"/>
          <w:szCs w:val="24"/>
        </w:rPr>
        <w:t>Breve Contexto</w:t>
      </w:r>
    </w:p>
    <w:p w:rsidR="00FB3AEF" w:rsidRDefault="00FB3AEF" w:rsidP="00543842">
      <w:pPr>
        <w:pStyle w:val="Prrafodelista"/>
        <w:numPr>
          <w:ilvl w:val="0"/>
          <w:numId w:val="11"/>
        </w:numPr>
        <w:ind w:left="0" w:hanging="11"/>
        <w:jc w:val="both"/>
        <w:rPr>
          <w:rFonts w:cstheme="minorHAnsi"/>
          <w:sz w:val="24"/>
          <w:szCs w:val="24"/>
        </w:rPr>
      </w:pPr>
      <w:r w:rsidRPr="00543842">
        <w:rPr>
          <w:rFonts w:cstheme="minorHAnsi"/>
          <w:sz w:val="24"/>
          <w:szCs w:val="24"/>
        </w:rPr>
        <w:t xml:space="preserve">Venezuela posee graves falencias en materia de separación de poderes, estado de derecho, y garantía de libertades democráticas. Una hegemonía institucional, comunicacional, económica y territorial que responde al ejecutivo nacional. Sin una justicia independiente, un gobierno no democrático que, a través de la estatización, el desmantelamiento de instituciones garantes de derechos, la creación de entidades paralelas y la desestructuración del ámbito económico y social provocó la emergencia humanitaria compleja poniendo en situación de alto riesgo de vida a amplios sectores de la sociedad civil venezolana. </w:t>
      </w:r>
    </w:p>
    <w:p w:rsidR="00543842" w:rsidRPr="00543842" w:rsidRDefault="00543842" w:rsidP="00543842">
      <w:pPr>
        <w:pStyle w:val="Prrafodelista"/>
        <w:ind w:left="0"/>
        <w:jc w:val="both"/>
        <w:rPr>
          <w:rFonts w:cstheme="minorHAnsi"/>
          <w:sz w:val="24"/>
          <w:szCs w:val="24"/>
        </w:rPr>
      </w:pPr>
    </w:p>
    <w:p w:rsidR="00FB3AEF" w:rsidRDefault="00FB3AEF" w:rsidP="00543842">
      <w:pPr>
        <w:pStyle w:val="Prrafodelista"/>
        <w:numPr>
          <w:ilvl w:val="0"/>
          <w:numId w:val="11"/>
        </w:numPr>
        <w:ind w:left="0" w:hanging="11"/>
        <w:jc w:val="both"/>
        <w:rPr>
          <w:rFonts w:cstheme="minorHAnsi"/>
          <w:sz w:val="24"/>
          <w:szCs w:val="24"/>
        </w:rPr>
      </w:pPr>
      <w:r w:rsidRPr="00543842">
        <w:rPr>
          <w:rFonts w:cstheme="minorHAnsi"/>
          <w:sz w:val="24"/>
          <w:szCs w:val="24"/>
        </w:rPr>
        <w:t xml:space="preserve">Sumado a esto, a partir del 2013, comenzó un periodo represivo que tuvo expresiones claras de violaciones graves a derechos civiles y políticos entre 2014- 2017, que originaron la apertura de una investigación por delitos de Lesa Humanidad por la Corte Penal Internacional, basados en el móvil de la persecución por razones políticas,  así como la presencia no de la Oficina del Alto </w:t>
      </w:r>
      <w:r w:rsidR="00AA10E4" w:rsidRPr="00543842">
        <w:rPr>
          <w:rFonts w:cstheme="minorHAnsi"/>
          <w:sz w:val="24"/>
          <w:szCs w:val="24"/>
        </w:rPr>
        <w:t>Comisionado para los Derechos H</w:t>
      </w:r>
      <w:r w:rsidRPr="00543842">
        <w:rPr>
          <w:rFonts w:cstheme="minorHAnsi"/>
          <w:sz w:val="24"/>
          <w:szCs w:val="24"/>
        </w:rPr>
        <w:t xml:space="preserve">umanos de Naciones Unidas; al Sistema humanitario de ONU y a las agencias del sector. Sumado a la Misión independiente de Investigación y Determinación de Hechos para Venezuela. </w:t>
      </w:r>
    </w:p>
    <w:p w:rsidR="002F767F" w:rsidRPr="002F767F" w:rsidRDefault="002F767F" w:rsidP="002F767F">
      <w:pPr>
        <w:pStyle w:val="Prrafodelista"/>
        <w:rPr>
          <w:rFonts w:cstheme="minorHAnsi"/>
          <w:sz w:val="24"/>
          <w:szCs w:val="24"/>
        </w:rPr>
      </w:pPr>
    </w:p>
    <w:p w:rsidR="002F767F" w:rsidRPr="00543842" w:rsidRDefault="002F767F" w:rsidP="002F767F">
      <w:pPr>
        <w:pStyle w:val="Prrafodelista"/>
        <w:ind w:left="0"/>
        <w:jc w:val="both"/>
        <w:rPr>
          <w:rFonts w:cstheme="minorHAnsi"/>
          <w:sz w:val="24"/>
          <w:szCs w:val="24"/>
        </w:rPr>
      </w:pPr>
    </w:p>
    <w:p w:rsidR="00FB3AEF" w:rsidRDefault="00FB3AEF" w:rsidP="00543842">
      <w:pPr>
        <w:pStyle w:val="Prrafodelista"/>
        <w:numPr>
          <w:ilvl w:val="0"/>
          <w:numId w:val="11"/>
        </w:numPr>
        <w:ind w:left="0" w:hanging="11"/>
        <w:jc w:val="both"/>
        <w:rPr>
          <w:rFonts w:cstheme="minorHAnsi"/>
          <w:sz w:val="24"/>
          <w:szCs w:val="24"/>
        </w:rPr>
      </w:pPr>
      <w:r w:rsidRPr="00543842">
        <w:rPr>
          <w:rFonts w:cstheme="minorHAnsi"/>
          <w:sz w:val="24"/>
          <w:szCs w:val="24"/>
        </w:rPr>
        <w:lastRenderedPageBreak/>
        <w:t>La combinación de un país con altísimas fragilidades en materia social y económica, sumado a la persecución política produjeron la tercera emergencia humanitaria del mundo y la principal crisis migratoria del continente. La razón principal según ACNUR “ 7,7 millones de personas han salido de Venezuela buscando protección y una vida mejor; la mayoría – más de 6,5 millones de personas – ha sido acogida por países de América Latina y el Caribe”</w:t>
      </w:r>
      <w:r w:rsidRPr="004D4825">
        <w:rPr>
          <w:rStyle w:val="Refdenotaalpie"/>
          <w:rFonts w:cstheme="minorHAnsi"/>
          <w:sz w:val="24"/>
          <w:szCs w:val="24"/>
        </w:rPr>
        <w:footnoteReference w:id="1"/>
      </w:r>
    </w:p>
    <w:p w:rsidR="00543842" w:rsidRPr="00543842" w:rsidRDefault="00543842" w:rsidP="00543842">
      <w:pPr>
        <w:pStyle w:val="Prrafodelista"/>
        <w:ind w:left="0"/>
        <w:jc w:val="both"/>
        <w:rPr>
          <w:rFonts w:cstheme="minorHAnsi"/>
          <w:sz w:val="24"/>
          <w:szCs w:val="24"/>
        </w:rPr>
      </w:pPr>
    </w:p>
    <w:p w:rsidR="00FB3AEF" w:rsidRDefault="00FB3AEF" w:rsidP="00543842">
      <w:pPr>
        <w:pStyle w:val="Prrafodelista"/>
        <w:numPr>
          <w:ilvl w:val="0"/>
          <w:numId w:val="11"/>
        </w:numPr>
        <w:ind w:left="0" w:hanging="11"/>
        <w:jc w:val="both"/>
        <w:rPr>
          <w:rFonts w:cstheme="minorHAnsi"/>
          <w:sz w:val="24"/>
          <w:szCs w:val="24"/>
        </w:rPr>
      </w:pPr>
      <w:r w:rsidRPr="00543842">
        <w:rPr>
          <w:rFonts w:cstheme="minorHAnsi"/>
          <w:sz w:val="24"/>
          <w:szCs w:val="24"/>
        </w:rPr>
        <w:t>Este contexto de persecución de la disidencia, de la represión, de violaciones de lesa humanidad que incluyen torturas, tratos crueles inhumanos y degradantes, violencia sexual, detenciones arbitrarias, desapariciones forzosas, ejecuciones extrajudiciales, instituciones y un sistema normativo usado de forma discrecional para limitar las libertades, para la persecución, el uso de la hegemonía de medios de comunicación, hacen de Venezuela un lugar con un sistema institucional, legal, policial, comunicacional, militar, social para limitar de manera estructural el derecho a la asociación y la acción de defensa de derechos humanos.</w:t>
      </w:r>
    </w:p>
    <w:p w:rsidR="00543842" w:rsidRPr="00543842" w:rsidRDefault="00543842" w:rsidP="00543842">
      <w:pPr>
        <w:pStyle w:val="Prrafodelista"/>
        <w:rPr>
          <w:rFonts w:cstheme="minorHAnsi"/>
          <w:sz w:val="24"/>
          <w:szCs w:val="24"/>
        </w:rPr>
      </w:pPr>
    </w:p>
    <w:p w:rsidR="00FB3AEF" w:rsidRDefault="00FB3AEF" w:rsidP="00543842">
      <w:pPr>
        <w:pStyle w:val="Prrafodelista"/>
        <w:numPr>
          <w:ilvl w:val="0"/>
          <w:numId w:val="11"/>
        </w:numPr>
        <w:ind w:left="0" w:hanging="11"/>
        <w:jc w:val="both"/>
        <w:rPr>
          <w:rFonts w:cstheme="minorHAnsi"/>
          <w:sz w:val="24"/>
          <w:szCs w:val="24"/>
        </w:rPr>
      </w:pPr>
      <w:r w:rsidRPr="00543842">
        <w:rPr>
          <w:rFonts w:cstheme="minorHAnsi"/>
          <w:sz w:val="24"/>
          <w:szCs w:val="24"/>
        </w:rPr>
        <w:t>Actualmente, posterior a la acción del Sistema Internacional de Protección, el Estado ha transformado su estrategia hacia la intervención en las autonomías e independencias de las organizaciones, por la vía legal, y judicial, así como el fomento de la fragmentación de la sociedad civil hacia dos nuevas polaridades:  aquellos vinculados a la estructura de poder del Estado, por diversas razones incluso la negociación, y aquellos que criminaliza como radicales, traidores a la patria, conspiradores, y que reciben financiamiento extranjero y de la cooperación para atentar contra el gobierno. Entre estos últimos las personas defensoras de derechos humanos y la sociedad civil independiente y autónoma.</w:t>
      </w:r>
    </w:p>
    <w:p w:rsidR="00543842" w:rsidRPr="00543842" w:rsidRDefault="00543842" w:rsidP="00543842">
      <w:pPr>
        <w:pStyle w:val="Prrafodelista"/>
        <w:rPr>
          <w:rFonts w:cstheme="minorHAnsi"/>
          <w:sz w:val="24"/>
          <w:szCs w:val="24"/>
        </w:rPr>
      </w:pPr>
    </w:p>
    <w:p w:rsidR="00FB3AEF" w:rsidRPr="00543842" w:rsidRDefault="00FB3AEF" w:rsidP="00543842">
      <w:pPr>
        <w:pStyle w:val="Prrafodelista"/>
        <w:numPr>
          <w:ilvl w:val="0"/>
          <w:numId w:val="11"/>
        </w:numPr>
        <w:ind w:left="0" w:hanging="11"/>
        <w:jc w:val="both"/>
        <w:rPr>
          <w:rFonts w:cstheme="minorHAnsi"/>
          <w:sz w:val="24"/>
          <w:szCs w:val="24"/>
        </w:rPr>
      </w:pPr>
      <w:r w:rsidRPr="00543842">
        <w:rPr>
          <w:rFonts w:cstheme="minorHAnsi"/>
          <w:sz w:val="24"/>
          <w:szCs w:val="24"/>
        </w:rPr>
        <w:t>La eminencia de un proceso electoral 2024-2025, donde se decidirá la Presidencia de la Republica y la permanencia en el poder, el año 2023 ha iniciado un ciclo acelerado de criminalización, estigmatización, persecución, hostigamiento, judicialización e intervención de Organizaciones de sociedad civil. Siendo el caso Cruz roja venezolana</w:t>
      </w:r>
      <w:r w:rsidRPr="004D4825">
        <w:rPr>
          <w:rStyle w:val="Refdenotaalpie"/>
          <w:rFonts w:cstheme="minorHAnsi"/>
          <w:sz w:val="24"/>
          <w:szCs w:val="24"/>
        </w:rPr>
        <w:footnoteReference w:id="2"/>
      </w:r>
      <w:r w:rsidRPr="00543842">
        <w:rPr>
          <w:rFonts w:cstheme="minorHAnsi"/>
          <w:sz w:val="24"/>
          <w:szCs w:val="24"/>
        </w:rPr>
        <w:t xml:space="preserve"> el más representativo</w:t>
      </w:r>
      <w:r w:rsidR="00AA10E4" w:rsidRPr="00543842">
        <w:rPr>
          <w:rFonts w:cstheme="minorHAnsi"/>
          <w:sz w:val="24"/>
          <w:szCs w:val="24"/>
        </w:rPr>
        <w:t>.</w:t>
      </w:r>
    </w:p>
    <w:p w:rsidR="00AA10E4" w:rsidRPr="00543842" w:rsidRDefault="00D51684" w:rsidP="004D4825">
      <w:pPr>
        <w:jc w:val="both"/>
        <w:rPr>
          <w:rFonts w:cstheme="minorHAnsi"/>
          <w:b/>
          <w:sz w:val="24"/>
          <w:szCs w:val="24"/>
        </w:rPr>
      </w:pPr>
      <w:r w:rsidRPr="00543842">
        <w:rPr>
          <w:rFonts w:cstheme="minorHAnsi"/>
          <w:b/>
          <w:sz w:val="24"/>
          <w:szCs w:val="24"/>
        </w:rPr>
        <w:t>Artículo 2. Procedimientos constitucionales y disposiciones legislativas.</w:t>
      </w:r>
    </w:p>
    <w:p w:rsidR="00D51684" w:rsidRPr="00543842" w:rsidRDefault="00D51684" w:rsidP="004D4825">
      <w:pPr>
        <w:jc w:val="both"/>
        <w:rPr>
          <w:rFonts w:cstheme="minorHAnsi"/>
          <w:b/>
          <w:sz w:val="24"/>
          <w:szCs w:val="24"/>
        </w:rPr>
      </w:pPr>
      <w:r w:rsidRPr="00543842">
        <w:rPr>
          <w:rFonts w:cstheme="minorHAnsi"/>
          <w:b/>
          <w:sz w:val="24"/>
          <w:szCs w:val="24"/>
        </w:rPr>
        <w:t xml:space="preserve">Marco Legal Restrictivo de los Derechos consagrados en el pacto de Derechos Civiles y Políticos. </w:t>
      </w:r>
    </w:p>
    <w:p w:rsidR="00340E39" w:rsidRDefault="00D51684" w:rsidP="00543842">
      <w:pPr>
        <w:pStyle w:val="Prrafodelista"/>
        <w:numPr>
          <w:ilvl w:val="0"/>
          <w:numId w:val="11"/>
        </w:numPr>
        <w:ind w:left="0" w:hanging="11"/>
        <w:jc w:val="both"/>
        <w:rPr>
          <w:rFonts w:cstheme="minorHAnsi"/>
          <w:sz w:val="24"/>
          <w:szCs w:val="24"/>
        </w:rPr>
      </w:pPr>
      <w:r w:rsidRPr="00543842">
        <w:rPr>
          <w:rFonts w:cstheme="minorHAnsi"/>
          <w:sz w:val="24"/>
          <w:szCs w:val="24"/>
        </w:rPr>
        <w:t xml:space="preserve">El marco normativo nacional es utilizado de manera coercitiva para criminalizar y tomar represalias contra organizaciones de la sociedad civil por ejercer las libertades de asociación, </w:t>
      </w:r>
      <w:r w:rsidRPr="00543842">
        <w:rPr>
          <w:rFonts w:cstheme="minorHAnsi"/>
          <w:sz w:val="24"/>
          <w:szCs w:val="24"/>
        </w:rPr>
        <w:lastRenderedPageBreak/>
        <w:t>expresión e información, reunión pacífica, así como los derechos a la defensa de los derechos humanos y la protección y asistencia humanitaria.</w:t>
      </w:r>
      <w:r w:rsidR="00543842">
        <w:rPr>
          <w:rFonts w:cstheme="minorHAnsi"/>
          <w:sz w:val="24"/>
          <w:szCs w:val="24"/>
        </w:rPr>
        <w:t xml:space="preserve"> a)</w:t>
      </w:r>
      <w:r w:rsidRPr="00543842">
        <w:rPr>
          <w:rFonts w:cstheme="minorHAnsi"/>
          <w:sz w:val="24"/>
          <w:szCs w:val="24"/>
        </w:rPr>
        <w:t xml:space="preserve">La Ley de Defensa de la Soberanía Política y Autodeterminación Nacional, de 2010; b) </w:t>
      </w:r>
      <w:r w:rsidR="00340E39" w:rsidRPr="00543842">
        <w:rPr>
          <w:rFonts w:cstheme="minorHAnsi"/>
          <w:sz w:val="24"/>
          <w:szCs w:val="24"/>
        </w:rPr>
        <w:t>L</w:t>
      </w:r>
      <w:r w:rsidRPr="00543842">
        <w:rPr>
          <w:rFonts w:cstheme="minorHAnsi"/>
          <w:sz w:val="24"/>
          <w:szCs w:val="24"/>
        </w:rPr>
        <w:t>a Ley contra la Delincuencia Organizada y el Financiamiento al Terrorismo, de 2012;</w:t>
      </w:r>
      <w:r w:rsidR="00340E39" w:rsidRPr="00543842">
        <w:rPr>
          <w:rFonts w:cstheme="minorHAnsi"/>
          <w:sz w:val="24"/>
          <w:szCs w:val="24"/>
        </w:rPr>
        <w:t xml:space="preserve"> c) </w:t>
      </w:r>
      <w:r w:rsidRPr="00543842">
        <w:rPr>
          <w:rFonts w:cstheme="minorHAnsi"/>
          <w:sz w:val="24"/>
          <w:szCs w:val="24"/>
        </w:rPr>
        <w:t xml:space="preserve"> la Ley de Instituciones Bancarias, de 2014 ; </w:t>
      </w:r>
      <w:r w:rsidR="00340E39" w:rsidRPr="00543842">
        <w:rPr>
          <w:rFonts w:cstheme="minorHAnsi"/>
          <w:sz w:val="24"/>
          <w:szCs w:val="24"/>
        </w:rPr>
        <w:t>d)</w:t>
      </w:r>
      <w:r w:rsidRPr="00543842">
        <w:rPr>
          <w:rFonts w:cstheme="minorHAnsi"/>
          <w:sz w:val="24"/>
          <w:szCs w:val="24"/>
        </w:rPr>
        <w:t xml:space="preserve"> la Ley Constitucional contra el Odio, por la Convivencia Pacífica y la Tolerancia, de 2017; </w:t>
      </w:r>
      <w:r w:rsidR="00340E39" w:rsidRPr="00543842">
        <w:rPr>
          <w:rFonts w:cstheme="minorHAnsi"/>
          <w:sz w:val="24"/>
          <w:szCs w:val="24"/>
        </w:rPr>
        <w:t xml:space="preserve">e) </w:t>
      </w:r>
      <w:r w:rsidRPr="00543842">
        <w:rPr>
          <w:rFonts w:cstheme="minorHAnsi"/>
          <w:sz w:val="24"/>
          <w:szCs w:val="24"/>
        </w:rPr>
        <w:t>Resolución N°50 del Ministerio del Interior, Justicia y Paz (MIJP) sobre Normas para la Prevención, Control y Fiscalización de las Operaciones de Legitimación de Capitales y el Financ</w:t>
      </w:r>
      <w:r w:rsidR="00340E39" w:rsidRPr="00543842">
        <w:rPr>
          <w:rFonts w:cstheme="minorHAnsi"/>
          <w:sz w:val="24"/>
          <w:szCs w:val="24"/>
        </w:rPr>
        <w:t>iamiento al Terrorismo, de 2011; f)</w:t>
      </w:r>
      <w:r w:rsidRPr="00543842">
        <w:rPr>
          <w:rFonts w:cstheme="minorHAnsi"/>
          <w:sz w:val="24"/>
          <w:szCs w:val="24"/>
        </w:rPr>
        <w:t xml:space="preserve"> el Decreto Nº 4.135 que crea el Cuerpo Nacional Contra el Terrorismo como órgano desconcentrado, adscrito al MIJP, de 2020; </w:t>
      </w:r>
      <w:r w:rsidR="00340E39" w:rsidRPr="00543842">
        <w:rPr>
          <w:rFonts w:cstheme="minorHAnsi"/>
          <w:sz w:val="24"/>
          <w:szCs w:val="24"/>
        </w:rPr>
        <w:t>g)</w:t>
      </w:r>
      <w:r w:rsidRPr="00543842">
        <w:rPr>
          <w:rFonts w:cstheme="minorHAnsi"/>
          <w:sz w:val="24"/>
          <w:szCs w:val="24"/>
        </w:rPr>
        <w:t xml:space="preserve"> el Decreto Nº 4.136 sobre el Plan Nacional Contra el </w:t>
      </w:r>
      <w:r w:rsidR="00340E39" w:rsidRPr="00543842">
        <w:rPr>
          <w:rFonts w:cstheme="minorHAnsi"/>
          <w:sz w:val="24"/>
          <w:szCs w:val="24"/>
        </w:rPr>
        <w:t>Terrorismo 2020-2022, del MIJP; h) La</w:t>
      </w:r>
      <w:r w:rsidRPr="00543842">
        <w:rPr>
          <w:rFonts w:cstheme="minorHAnsi"/>
          <w:sz w:val="24"/>
          <w:szCs w:val="24"/>
        </w:rPr>
        <w:t xml:space="preserve"> Providencia 001/2021 </w:t>
      </w:r>
      <w:r w:rsidR="00340E39" w:rsidRPr="00543842">
        <w:rPr>
          <w:rFonts w:cstheme="minorHAnsi"/>
          <w:sz w:val="24"/>
          <w:szCs w:val="24"/>
        </w:rPr>
        <w:t xml:space="preserve">aprobada en 2021 </w:t>
      </w:r>
      <w:r w:rsidRPr="00543842">
        <w:rPr>
          <w:rFonts w:cstheme="minorHAnsi"/>
          <w:sz w:val="24"/>
          <w:szCs w:val="24"/>
        </w:rPr>
        <w:t>con el fin de establecer un registro unificado de sujetos obligados ante la Oficina Nacional contra la Delincuencia Organizada y el Financiamiento del Terrorismo (</w:t>
      </w:r>
      <w:proofErr w:type="spellStart"/>
      <w:r w:rsidRPr="00543842">
        <w:rPr>
          <w:rFonts w:cstheme="minorHAnsi"/>
          <w:sz w:val="24"/>
          <w:szCs w:val="24"/>
        </w:rPr>
        <w:t>ONCDOyFT</w:t>
      </w:r>
      <w:proofErr w:type="spellEnd"/>
      <w:r w:rsidRPr="00543842">
        <w:rPr>
          <w:rFonts w:cstheme="minorHAnsi"/>
          <w:sz w:val="24"/>
          <w:szCs w:val="24"/>
        </w:rPr>
        <w:t xml:space="preserve">). </w:t>
      </w:r>
      <w:r w:rsidR="00340E39" w:rsidRPr="00543842">
        <w:rPr>
          <w:rFonts w:cstheme="minorHAnsi"/>
          <w:sz w:val="24"/>
          <w:szCs w:val="24"/>
        </w:rPr>
        <w:t xml:space="preserve">Modificada </w:t>
      </w:r>
      <w:r w:rsidRPr="00543842">
        <w:rPr>
          <w:rFonts w:cstheme="minorHAnsi"/>
          <w:sz w:val="24"/>
          <w:szCs w:val="24"/>
        </w:rPr>
        <w:t>002/2021, la cual mantiene el registro y restricciones condicionando las OSC al otorgamiento de un permiso o certificado</w:t>
      </w:r>
      <w:r w:rsidR="00517C9D" w:rsidRPr="00543842">
        <w:rPr>
          <w:rFonts w:cstheme="minorHAnsi"/>
          <w:sz w:val="24"/>
          <w:szCs w:val="24"/>
        </w:rPr>
        <w:t xml:space="preserve"> de habilitación en la </w:t>
      </w:r>
      <w:proofErr w:type="spellStart"/>
      <w:r w:rsidR="00517C9D" w:rsidRPr="00543842">
        <w:rPr>
          <w:rFonts w:cstheme="minorHAnsi"/>
          <w:sz w:val="24"/>
          <w:szCs w:val="24"/>
        </w:rPr>
        <w:t>ONCDOyFT</w:t>
      </w:r>
      <w:proofErr w:type="spellEnd"/>
      <w:r w:rsidR="00517C9D" w:rsidRPr="00543842">
        <w:rPr>
          <w:rFonts w:cstheme="minorHAnsi"/>
          <w:sz w:val="24"/>
          <w:szCs w:val="24"/>
        </w:rPr>
        <w:t xml:space="preserve"> la cual</w:t>
      </w:r>
      <w:r w:rsidRPr="00543842">
        <w:rPr>
          <w:rFonts w:cstheme="minorHAnsi"/>
          <w:sz w:val="24"/>
          <w:szCs w:val="24"/>
        </w:rPr>
        <w:t xml:space="preserve"> viola la presunción de inocencia al tenerse que demostrar que no se realizan actividades vinculadas a la delincuencia organizada</w:t>
      </w:r>
      <w:r w:rsidR="00517C9D" w:rsidRPr="00543842">
        <w:rPr>
          <w:rFonts w:cstheme="minorHAnsi"/>
          <w:sz w:val="24"/>
          <w:szCs w:val="24"/>
        </w:rPr>
        <w:t xml:space="preserve">, </w:t>
      </w:r>
      <w:r w:rsidRPr="00543842">
        <w:rPr>
          <w:rFonts w:cstheme="minorHAnsi"/>
          <w:sz w:val="24"/>
          <w:szCs w:val="24"/>
        </w:rPr>
        <w:t>se criminaliza la cooperación internacional</w:t>
      </w:r>
      <w:r w:rsidR="00517C9D" w:rsidRPr="00543842">
        <w:rPr>
          <w:rFonts w:cstheme="minorHAnsi"/>
          <w:sz w:val="24"/>
          <w:szCs w:val="24"/>
        </w:rPr>
        <w:t>.</w:t>
      </w:r>
      <w:r w:rsidR="00340E39" w:rsidRPr="00543842">
        <w:rPr>
          <w:rFonts w:cstheme="minorHAnsi"/>
          <w:sz w:val="24"/>
          <w:szCs w:val="24"/>
        </w:rPr>
        <w:t xml:space="preserve"> </w:t>
      </w:r>
    </w:p>
    <w:p w:rsidR="00543842" w:rsidRPr="00543842" w:rsidRDefault="00543842" w:rsidP="00543842">
      <w:pPr>
        <w:pStyle w:val="Prrafodelista"/>
        <w:ind w:left="0" w:hanging="11"/>
        <w:jc w:val="both"/>
        <w:rPr>
          <w:rFonts w:cstheme="minorHAnsi"/>
          <w:sz w:val="24"/>
          <w:szCs w:val="24"/>
        </w:rPr>
      </w:pPr>
    </w:p>
    <w:p w:rsidR="002966F7" w:rsidRDefault="00340E39" w:rsidP="00543842">
      <w:pPr>
        <w:pStyle w:val="Prrafodelista"/>
        <w:numPr>
          <w:ilvl w:val="0"/>
          <w:numId w:val="11"/>
        </w:numPr>
        <w:ind w:left="0" w:hanging="11"/>
        <w:jc w:val="both"/>
        <w:rPr>
          <w:rFonts w:cstheme="minorHAnsi"/>
          <w:sz w:val="24"/>
          <w:szCs w:val="24"/>
        </w:rPr>
      </w:pPr>
      <w:r w:rsidRPr="00543842">
        <w:rPr>
          <w:rFonts w:cstheme="minorHAnsi"/>
          <w:sz w:val="24"/>
          <w:szCs w:val="24"/>
        </w:rPr>
        <w:t xml:space="preserve">En 2022, </w:t>
      </w:r>
      <w:r w:rsidR="008D3CF8" w:rsidRPr="00543842">
        <w:rPr>
          <w:rFonts w:cstheme="minorHAnsi"/>
          <w:sz w:val="24"/>
          <w:szCs w:val="24"/>
        </w:rPr>
        <w:t>se presentó</w:t>
      </w:r>
      <w:r w:rsidR="00517C9D" w:rsidRPr="00543842">
        <w:rPr>
          <w:rFonts w:cstheme="minorHAnsi"/>
          <w:sz w:val="24"/>
          <w:szCs w:val="24"/>
        </w:rPr>
        <w:t xml:space="preserve"> un proyecto de </w:t>
      </w:r>
      <w:r w:rsidR="00517C9D" w:rsidRPr="002F767F">
        <w:rPr>
          <w:rFonts w:cstheme="minorHAnsi"/>
          <w:b/>
          <w:sz w:val="24"/>
          <w:szCs w:val="24"/>
        </w:rPr>
        <w:t>L</w:t>
      </w:r>
      <w:r w:rsidR="008D3CF8" w:rsidRPr="002F767F">
        <w:rPr>
          <w:rFonts w:cstheme="minorHAnsi"/>
          <w:b/>
          <w:sz w:val="24"/>
          <w:szCs w:val="24"/>
        </w:rPr>
        <w:t>ey de Cooperación Nacional</w:t>
      </w:r>
      <w:r w:rsidR="002966F7" w:rsidRPr="002F767F">
        <w:rPr>
          <w:rStyle w:val="Refdenotaalpie"/>
          <w:rFonts w:cstheme="minorHAnsi"/>
          <w:b/>
          <w:sz w:val="24"/>
          <w:szCs w:val="24"/>
        </w:rPr>
        <w:footnoteReference w:id="3"/>
      </w:r>
      <w:r w:rsidR="002966F7" w:rsidRPr="002F767F">
        <w:rPr>
          <w:rFonts w:cstheme="minorHAnsi"/>
          <w:b/>
          <w:sz w:val="24"/>
          <w:szCs w:val="24"/>
        </w:rPr>
        <w:t xml:space="preserve">, </w:t>
      </w:r>
      <w:r w:rsidR="002966F7" w:rsidRPr="00543842">
        <w:rPr>
          <w:rFonts w:cstheme="minorHAnsi"/>
          <w:sz w:val="24"/>
          <w:szCs w:val="24"/>
        </w:rPr>
        <w:t xml:space="preserve">con el cual se busca reinterpretar la definición de cooperación internacional hacia intereses ideológicos, políticos y/o económicos del gobierno nacional, dejando por fuera conceptos esenciales como derechos humanos y ayuda humanitaria. Proyecto con la intención de controlar y castigar a toda persona u organización que no se sujete a dicha interpretación. A su vez, un mecanismo para criminalizar, perseguir e ilegalizar a las asociaciones como represalia por el ejercicio autónomo e independiente del derecho a la cooperación y cerrar el espacio cívico en Venezuela. Sin embargo, en marzo 2023, La Comisión Permanente de Política Exterior, Soberanía e Integración, en su sesión ordinaria </w:t>
      </w:r>
      <w:r w:rsidR="00517C9D" w:rsidRPr="00543842">
        <w:rPr>
          <w:rFonts w:cstheme="minorHAnsi"/>
          <w:sz w:val="24"/>
          <w:szCs w:val="24"/>
        </w:rPr>
        <w:t xml:space="preserve">anunció que </w:t>
      </w:r>
      <w:r w:rsidR="002966F7" w:rsidRPr="00543842">
        <w:rPr>
          <w:rFonts w:cstheme="minorHAnsi"/>
          <w:sz w:val="24"/>
          <w:szCs w:val="24"/>
        </w:rPr>
        <w:t>aprobó el texto final de 26 artículos del Proyecto de Ley de Cooperación Internacional</w:t>
      </w:r>
      <w:r w:rsidR="00517C9D" w:rsidRPr="004D4825">
        <w:rPr>
          <w:rStyle w:val="Refdenotaalpie"/>
          <w:rFonts w:cstheme="minorHAnsi"/>
          <w:sz w:val="24"/>
          <w:szCs w:val="24"/>
        </w:rPr>
        <w:footnoteReference w:id="4"/>
      </w:r>
      <w:r w:rsidR="002966F7" w:rsidRPr="00543842">
        <w:rPr>
          <w:rFonts w:cstheme="minorHAnsi"/>
          <w:sz w:val="24"/>
          <w:szCs w:val="24"/>
        </w:rPr>
        <w:t>.</w:t>
      </w:r>
    </w:p>
    <w:p w:rsidR="00543842" w:rsidRPr="00543842" w:rsidRDefault="00543842" w:rsidP="00543842">
      <w:pPr>
        <w:pStyle w:val="Prrafodelista"/>
        <w:rPr>
          <w:rFonts w:cstheme="minorHAnsi"/>
          <w:sz w:val="24"/>
          <w:szCs w:val="24"/>
        </w:rPr>
      </w:pPr>
    </w:p>
    <w:p w:rsidR="00AA10E4" w:rsidRPr="00543842" w:rsidRDefault="00340E39" w:rsidP="00543842">
      <w:pPr>
        <w:pStyle w:val="Prrafodelista"/>
        <w:numPr>
          <w:ilvl w:val="0"/>
          <w:numId w:val="11"/>
        </w:numPr>
        <w:ind w:left="0" w:hanging="11"/>
        <w:jc w:val="both"/>
        <w:rPr>
          <w:rFonts w:cstheme="minorHAnsi"/>
          <w:sz w:val="24"/>
          <w:szCs w:val="24"/>
        </w:rPr>
      </w:pPr>
      <w:r w:rsidRPr="00543842">
        <w:rPr>
          <w:rFonts w:cstheme="minorHAnsi"/>
          <w:sz w:val="24"/>
          <w:szCs w:val="24"/>
        </w:rPr>
        <w:t xml:space="preserve">El 24 de enero de 2023, la Asamblea Nacional (AN) aprobó en primera discusión el </w:t>
      </w:r>
      <w:r w:rsidRPr="002F767F">
        <w:rPr>
          <w:rFonts w:cstheme="minorHAnsi"/>
          <w:b/>
          <w:sz w:val="24"/>
          <w:szCs w:val="24"/>
        </w:rPr>
        <w:t>Proyecto de Ley de Fiscalización, Regularización, Actuación y Financiamiento de las Organizaciones No Gubernamentales y Afines</w:t>
      </w:r>
      <w:r w:rsidR="008D3CF8" w:rsidRPr="002F767F">
        <w:rPr>
          <w:rFonts w:cstheme="minorHAnsi"/>
          <w:b/>
          <w:sz w:val="24"/>
          <w:szCs w:val="24"/>
        </w:rPr>
        <w:t xml:space="preserve"> (</w:t>
      </w:r>
      <w:proofErr w:type="spellStart"/>
      <w:r w:rsidR="008D3CF8" w:rsidRPr="002F767F">
        <w:rPr>
          <w:rFonts w:cstheme="minorHAnsi"/>
          <w:b/>
          <w:sz w:val="24"/>
          <w:szCs w:val="24"/>
        </w:rPr>
        <w:t>PLFEAFONGyA</w:t>
      </w:r>
      <w:proofErr w:type="spellEnd"/>
      <w:r w:rsidR="008D3CF8" w:rsidRPr="002F767F">
        <w:rPr>
          <w:rFonts w:cstheme="minorHAnsi"/>
          <w:b/>
          <w:sz w:val="24"/>
          <w:szCs w:val="24"/>
        </w:rPr>
        <w:t>)</w:t>
      </w:r>
      <w:r w:rsidRPr="002F767F">
        <w:rPr>
          <w:rFonts w:cstheme="minorHAnsi"/>
          <w:b/>
          <w:sz w:val="24"/>
          <w:szCs w:val="24"/>
        </w:rPr>
        <w:t>,</w:t>
      </w:r>
      <w:r w:rsidRPr="00543842">
        <w:rPr>
          <w:rFonts w:cstheme="minorHAnsi"/>
          <w:sz w:val="24"/>
          <w:szCs w:val="24"/>
        </w:rPr>
        <w:t xml:space="preserve"> por vía exprés, con un texto sin ninguna discusión de su contenido e irrespetando el procedimiento establecido para la formación de leyes.</w:t>
      </w:r>
      <w:r w:rsidRPr="004D4825">
        <w:rPr>
          <w:rStyle w:val="Refdenotaalpie"/>
          <w:rFonts w:cstheme="minorHAnsi"/>
          <w:sz w:val="24"/>
          <w:szCs w:val="24"/>
        </w:rPr>
        <w:footnoteReference w:id="5"/>
      </w:r>
      <w:r w:rsidRPr="00543842">
        <w:rPr>
          <w:rFonts w:cstheme="minorHAnsi"/>
          <w:sz w:val="24"/>
          <w:szCs w:val="24"/>
        </w:rPr>
        <w:t xml:space="preserve"> Entre las disposiciones más graves del proyecto de ley se encuentran las siguientes: 1. Declara la inexistencia de todas las formas de asociación sin fines de lucro (asociaciones, fundaciones y todas sus formas de </w:t>
      </w:r>
      <w:r w:rsidRPr="00543842">
        <w:rPr>
          <w:rFonts w:cstheme="minorHAnsi"/>
          <w:sz w:val="24"/>
          <w:szCs w:val="24"/>
        </w:rPr>
        <w:lastRenderedPageBreak/>
        <w:t>unión), ya registradas o que funcionen de hecho, mientras no se adecúe</w:t>
      </w:r>
      <w:r w:rsidR="008D3CF8" w:rsidRPr="00543842">
        <w:rPr>
          <w:rFonts w:cstheme="minorHAnsi"/>
          <w:sz w:val="24"/>
          <w:szCs w:val="24"/>
        </w:rPr>
        <w:t>n a las disposiciones de la ley; 2)</w:t>
      </w:r>
      <w:r w:rsidRPr="00543842">
        <w:rPr>
          <w:rFonts w:cstheme="minorHAnsi"/>
          <w:sz w:val="24"/>
          <w:szCs w:val="24"/>
        </w:rPr>
        <w:t xml:space="preserve"> </w:t>
      </w:r>
      <w:r w:rsidR="008D3CF8" w:rsidRPr="00543842">
        <w:rPr>
          <w:rFonts w:cstheme="minorHAnsi"/>
          <w:sz w:val="24"/>
          <w:szCs w:val="24"/>
        </w:rPr>
        <w:t>D</w:t>
      </w:r>
      <w:r w:rsidRPr="00543842">
        <w:rPr>
          <w:rFonts w:cstheme="minorHAnsi"/>
          <w:sz w:val="24"/>
          <w:szCs w:val="24"/>
        </w:rPr>
        <w:t>esproporción en materia de requisitos del nuevo sistema de registro, obligatorios y de renovación constante, sin límites de tiempo, ni criterios claros de evaluación, ni</w:t>
      </w:r>
      <w:r w:rsidR="008D3CF8" w:rsidRPr="00543842">
        <w:rPr>
          <w:rFonts w:cstheme="minorHAnsi"/>
          <w:sz w:val="24"/>
          <w:szCs w:val="24"/>
        </w:rPr>
        <w:t xml:space="preserve"> de garantías de debido proceso; 3) </w:t>
      </w:r>
      <w:r w:rsidRPr="00543842">
        <w:rPr>
          <w:rFonts w:cstheme="minorHAnsi"/>
          <w:sz w:val="24"/>
          <w:szCs w:val="24"/>
        </w:rPr>
        <w:t xml:space="preserve">El control por parte del Estado en todos los ámbitos de ejercicio del derecho a la libertad de asociación. El proyecto considera ilegal a las asociaciones de hecho; impone fines en actas y estatutos; interviene en la composición de miembros y formas de autogobierno; restringe los ámbitos geográficos de actuación; y dispone la fiscalización del Estado a toda la documentación y las labores de las asociaciones, para supervisar, inspeccionar, controlar y sancionar a las que no acaten la ley. </w:t>
      </w:r>
      <w:r w:rsidR="008D3CF8" w:rsidRPr="00543842">
        <w:rPr>
          <w:rFonts w:cstheme="minorHAnsi"/>
          <w:sz w:val="24"/>
          <w:szCs w:val="24"/>
        </w:rPr>
        <w:t>4)</w:t>
      </w:r>
      <w:r w:rsidRPr="00543842">
        <w:rPr>
          <w:rFonts w:cstheme="minorHAnsi"/>
          <w:sz w:val="24"/>
          <w:szCs w:val="24"/>
        </w:rPr>
        <w:t xml:space="preserve"> Las sanciones, además de ser excesivas y desproporcionadas, pueden aplica</w:t>
      </w:r>
      <w:r w:rsidR="008D3CF8" w:rsidRPr="00543842">
        <w:rPr>
          <w:rFonts w:cstheme="minorHAnsi"/>
          <w:sz w:val="24"/>
          <w:szCs w:val="24"/>
        </w:rPr>
        <w:t xml:space="preserve">rse con amplia discrecionalidad; </w:t>
      </w:r>
      <w:r w:rsidRPr="00543842">
        <w:rPr>
          <w:rFonts w:cstheme="minorHAnsi"/>
          <w:sz w:val="24"/>
          <w:szCs w:val="24"/>
        </w:rPr>
        <w:t>5</w:t>
      </w:r>
      <w:r w:rsidR="008D3CF8" w:rsidRPr="00543842">
        <w:rPr>
          <w:rFonts w:cstheme="minorHAnsi"/>
          <w:sz w:val="24"/>
          <w:szCs w:val="24"/>
        </w:rPr>
        <w:t>)</w:t>
      </w:r>
      <w:r w:rsidRPr="00543842">
        <w:rPr>
          <w:rFonts w:cstheme="minorHAnsi"/>
          <w:sz w:val="24"/>
          <w:szCs w:val="24"/>
        </w:rPr>
        <w:t xml:space="preserve"> </w:t>
      </w:r>
      <w:r w:rsidR="008D3CF8" w:rsidRPr="00543842">
        <w:rPr>
          <w:rFonts w:cstheme="minorHAnsi"/>
          <w:sz w:val="24"/>
          <w:szCs w:val="24"/>
        </w:rPr>
        <w:t>C</w:t>
      </w:r>
      <w:r w:rsidRPr="00543842">
        <w:rPr>
          <w:rFonts w:cstheme="minorHAnsi"/>
          <w:sz w:val="24"/>
          <w:szCs w:val="24"/>
        </w:rPr>
        <w:t>rea un régimen diferenciado discriminatorio entre “Organizaciones Sociales”, entendidas como las de carácter “popular comunitaria y comunal” y las “Organizaci</w:t>
      </w:r>
      <w:r w:rsidR="008D3CF8" w:rsidRPr="00543842">
        <w:rPr>
          <w:rFonts w:cstheme="minorHAnsi"/>
          <w:sz w:val="24"/>
          <w:szCs w:val="24"/>
        </w:rPr>
        <w:t>ones No Gubernamentales (ONG)”.</w:t>
      </w:r>
    </w:p>
    <w:p w:rsidR="00AA10E4" w:rsidRPr="002F767F" w:rsidRDefault="008D3CF8" w:rsidP="004D4825">
      <w:pPr>
        <w:jc w:val="both"/>
        <w:rPr>
          <w:rFonts w:cstheme="minorHAnsi"/>
          <w:b/>
          <w:sz w:val="24"/>
          <w:szCs w:val="24"/>
        </w:rPr>
      </w:pPr>
      <w:r w:rsidRPr="002F767F">
        <w:rPr>
          <w:rFonts w:cstheme="minorHAnsi"/>
          <w:b/>
          <w:sz w:val="24"/>
          <w:szCs w:val="24"/>
        </w:rPr>
        <w:t>Recomendaci</w:t>
      </w:r>
      <w:r w:rsidR="002F767F">
        <w:rPr>
          <w:rFonts w:cstheme="minorHAnsi"/>
          <w:b/>
          <w:sz w:val="24"/>
          <w:szCs w:val="24"/>
        </w:rPr>
        <w:t>ones</w:t>
      </w:r>
      <w:r w:rsidRPr="002F767F">
        <w:rPr>
          <w:rFonts w:cstheme="minorHAnsi"/>
          <w:b/>
          <w:sz w:val="24"/>
          <w:szCs w:val="24"/>
        </w:rPr>
        <w:t>:</w:t>
      </w:r>
    </w:p>
    <w:p w:rsidR="00517C9D" w:rsidRDefault="00517C9D" w:rsidP="002F767F">
      <w:pPr>
        <w:pStyle w:val="Prrafodelista"/>
        <w:numPr>
          <w:ilvl w:val="0"/>
          <w:numId w:val="11"/>
        </w:numPr>
        <w:ind w:left="0" w:hanging="11"/>
        <w:jc w:val="both"/>
        <w:rPr>
          <w:rFonts w:cstheme="minorHAnsi"/>
          <w:sz w:val="24"/>
          <w:szCs w:val="24"/>
        </w:rPr>
      </w:pPr>
      <w:r w:rsidRPr="00543842">
        <w:rPr>
          <w:rFonts w:cstheme="minorHAnsi"/>
          <w:sz w:val="24"/>
          <w:szCs w:val="24"/>
        </w:rPr>
        <w:t>El cese de la creación, aplicación de normativas para limitar las garantías del derecho a la defensa de derecho y las libertades asociativas en el país.</w:t>
      </w:r>
    </w:p>
    <w:p w:rsidR="002F767F" w:rsidRPr="00543842" w:rsidRDefault="002F767F" w:rsidP="002F767F">
      <w:pPr>
        <w:pStyle w:val="Prrafodelista"/>
        <w:ind w:left="0"/>
        <w:jc w:val="both"/>
        <w:rPr>
          <w:rFonts w:cstheme="minorHAnsi"/>
          <w:sz w:val="24"/>
          <w:szCs w:val="24"/>
        </w:rPr>
      </w:pPr>
    </w:p>
    <w:p w:rsidR="00517C9D" w:rsidRDefault="00517C9D" w:rsidP="002F767F">
      <w:pPr>
        <w:pStyle w:val="Prrafodelista"/>
        <w:numPr>
          <w:ilvl w:val="0"/>
          <w:numId w:val="11"/>
        </w:numPr>
        <w:ind w:left="0" w:hanging="11"/>
        <w:jc w:val="both"/>
        <w:rPr>
          <w:rFonts w:cstheme="minorHAnsi"/>
          <w:sz w:val="24"/>
          <w:szCs w:val="24"/>
        </w:rPr>
      </w:pPr>
      <w:r w:rsidRPr="00543842">
        <w:rPr>
          <w:rFonts w:cstheme="minorHAnsi"/>
          <w:sz w:val="24"/>
          <w:szCs w:val="24"/>
        </w:rPr>
        <w:t>Que el estado venezolano desestime la discusión y aprobación de una Ley de Cooperación en los términos en que el Proyecto está escrito. Por el contrario, que tenga asesoría de Naciones Unidas para una normativa basada y apoyada en los estándares internacionales para el derecho a la Cooperación internacional con amplia participación de la sociedad civil.</w:t>
      </w:r>
    </w:p>
    <w:p w:rsidR="002F767F" w:rsidRPr="002F767F" w:rsidRDefault="002F767F" w:rsidP="002F767F">
      <w:pPr>
        <w:pStyle w:val="Prrafodelista"/>
        <w:rPr>
          <w:rFonts w:cstheme="minorHAnsi"/>
          <w:sz w:val="24"/>
          <w:szCs w:val="24"/>
        </w:rPr>
      </w:pPr>
    </w:p>
    <w:p w:rsidR="008D3CF8" w:rsidRPr="00543842" w:rsidRDefault="008D3CF8" w:rsidP="002F767F">
      <w:pPr>
        <w:pStyle w:val="Prrafodelista"/>
        <w:numPr>
          <w:ilvl w:val="0"/>
          <w:numId w:val="11"/>
        </w:numPr>
        <w:ind w:left="0" w:hanging="11"/>
        <w:jc w:val="both"/>
        <w:rPr>
          <w:rFonts w:cstheme="minorHAnsi"/>
          <w:sz w:val="24"/>
          <w:szCs w:val="24"/>
        </w:rPr>
      </w:pPr>
      <w:r w:rsidRPr="00543842">
        <w:rPr>
          <w:rFonts w:cstheme="minorHAnsi"/>
          <w:sz w:val="24"/>
          <w:szCs w:val="24"/>
        </w:rPr>
        <w:t xml:space="preserve">Que el estado venezolano desestime el proceso en curso de aprobación en segunda discusión del </w:t>
      </w:r>
      <w:proofErr w:type="spellStart"/>
      <w:r w:rsidRPr="00543842">
        <w:rPr>
          <w:rFonts w:cstheme="minorHAnsi"/>
          <w:sz w:val="24"/>
          <w:szCs w:val="24"/>
        </w:rPr>
        <w:t>PLFEAFONGyA</w:t>
      </w:r>
      <w:proofErr w:type="spellEnd"/>
      <w:r w:rsidRPr="00543842">
        <w:rPr>
          <w:rFonts w:cstheme="minorHAnsi"/>
          <w:sz w:val="24"/>
          <w:szCs w:val="24"/>
        </w:rPr>
        <w:t>, incluyendo su reforma o cualquier otra norma legal en la agenda legislativa que vaya en similar sentido.</w:t>
      </w:r>
    </w:p>
    <w:p w:rsidR="000D30EE" w:rsidRPr="002F767F" w:rsidRDefault="000D30EE" w:rsidP="004D4825">
      <w:pPr>
        <w:jc w:val="both"/>
        <w:rPr>
          <w:rFonts w:cstheme="minorHAnsi"/>
          <w:b/>
          <w:sz w:val="24"/>
          <w:szCs w:val="24"/>
        </w:rPr>
      </w:pPr>
      <w:r w:rsidRPr="002F767F">
        <w:rPr>
          <w:rFonts w:cstheme="minorHAnsi"/>
          <w:b/>
          <w:sz w:val="24"/>
          <w:szCs w:val="24"/>
        </w:rPr>
        <w:t>Artículo 6. Derecho a la vida.</w:t>
      </w:r>
    </w:p>
    <w:p w:rsidR="000D30EE" w:rsidRPr="00543842" w:rsidRDefault="002F767F" w:rsidP="002F767F">
      <w:pPr>
        <w:pStyle w:val="Prrafodelista"/>
        <w:numPr>
          <w:ilvl w:val="0"/>
          <w:numId w:val="11"/>
        </w:numPr>
        <w:ind w:left="0" w:hanging="11"/>
        <w:jc w:val="both"/>
        <w:rPr>
          <w:rFonts w:cstheme="minorHAnsi"/>
          <w:sz w:val="24"/>
          <w:szCs w:val="24"/>
        </w:rPr>
      </w:pPr>
      <w:r w:rsidRPr="002F767F">
        <w:rPr>
          <w:rFonts w:cstheme="minorHAnsi"/>
          <w:b/>
          <w:sz w:val="24"/>
          <w:szCs w:val="24"/>
        </w:rPr>
        <w:t xml:space="preserve">Caso asesinato </w:t>
      </w:r>
      <w:proofErr w:type="spellStart"/>
      <w:r>
        <w:rPr>
          <w:rFonts w:cstheme="minorHAnsi"/>
          <w:b/>
          <w:sz w:val="24"/>
          <w:szCs w:val="24"/>
        </w:rPr>
        <w:t>Piaroa</w:t>
      </w:r>
      <w:proofErr w:type="spellEnd"/>
      <w:r>
        <w:rPr>
          <w:rFonts w:cstheme="minorHAnsi"/>
          <w:b/>
          <w:sz w:val="24"/>
          <w:szCs w:val="24"/>
        </w:rPr>
        <w:t xml:space="preserve"> </w:t>
      </w:r>
      <w:r w:rsidRPr="002F767F">
        <w:rPr>
          <w:rFonts w:cstheme="minorHAnsi"/>
          <w:b/>
          <w:sz w:val="24"/>
          <w:szCs w:val="24"/>
        </w:rPr>
        <w:t xml:space="preserve">Virgilio Trujillo. </w:t>
      </w:r>
      <w:r w:rsidR="00004845" w:rsidRPr="00543842">
        <w:rPr>
          <w:rFonts w:cstheme="minorHAnsi"/>
          <w:sz w:val="24"/>
          <w:szCs w:val="24"/>
        </w:rPr>
        <w:t xml:space="preserve">El 30.06.2022, el indígena </w:t>
      </w:r>
      <w:proofErr w:type="spellStart"/>
      <w:r w:rsidR="00004845" w:rsidRPr="00543842">
        <w:rPr>
          <w:rFonts w:cstheme="minorHAnsi"/>
          <w:sz w:val="24"/>
          <w:szCs w:val="24"/>
        </w:rPr>
        <w:t>Piaroa</w:t>
      </w:r>
      <w:proofErr w:type="spellEnd"/>
      <w:r w:rsidR="00004845" w:rsidRPr="00543842">
        <w:rPr>
          <w:rFonts w:cstheme="minorHAnsi"/>
          <w:sz w:val="24"/>
          <w:szCs w:val="24"/>
        </w:rPr>
        <w:t xml:space="preserve"> Virgilio Trujillo, del estado Amazonas, defensor del ambiente y el territorio, coordinador de Guardianes territoriales </w:t>
      </w:r>
      <w:proofErr w:type="spellStart"/>
      <w:r w:rsidR="00004845" w:rsidRPr="00543842">
        <w:rPr>
          <w:rFonts w:cstheme="minorHAnsi"/>
          <w:sz w:val="24"/>
          <w:szCs w:val="24"/>
        </w:rPr>
        <w:t>Uwottüja</w:t>
      </w:r>
      <w:proofErr w:type="spellEnd"/>
      <w:r w:rsidR="00004845" w:rsidRPr="00543842">
        <w:rPr>
          <w:rFonts w:cstheme="minorHAnsi"/>
          <w:sz w:val="24"/>
          <w:szCs w:val="24"/>
        </w:rPr>
        <w:t xml:space="preserve"> del municipio </w:t>
      </w:r>
      <w:proofErr w:type="spellStart"/>
      <w:r w:rsidR="00004845" w:rsidRPr="00543842">
        <w:rPr>
          <w:rFonts w:cstheme="minorHAnsi"/>
          <w:sz w:val="24"/>
          <w:szCs w:val="24"/>
        </w:rPr>
        <w:t>Autana</w:t>
      </w:r>
      <w:proofErr w:type="spellEnd"/>
      <w:r w:rsidR="00004845" w:rsidRPr="00543842">
        <w:rPr>
          <w:rFonts w:cstheme="minorHAnsi"/>
          <w:sz w:val="24"/>
          <w:szCs w:val="24"/>
        </w:rPr>
        <w:t xml:space="preserve">, fue asesinado el en Puerto Ayacucho, capital de la entidad, de varios disparos en la cara. Era miembro de la Organización Indígena </w:t>
      </w:r>
      <w:proofErr w:type="spellStart"/>
      <w:r w:rsidR="00004845" w:rsidRPr="00543842">
        <w:rPr>
          <w:rFonts w:cstheme="minorHAnsi"/>
          <w:sz w:val="24"/>
          <w:szCs w:val="24"/>
        </w:rPr>
        <w:t>Piaroas</w:t>
      </w:r>
      <w:proofErr w:type="spellEnd"/>
      <w:r w:rsidR="00004845" w:rsidRPr="00543842">
        <w:rPr>
          <w:rFonts w:cstheme="minorHAnsi"/>
          <w:sz w:val="24"/>
          <w:szCs w:val="24"/>
        </w:rPr>
        <w:t xml:space="preserve"> Unidos del </w:t>
      </w:r>
      <w:proofErr w:type="spellStart"/>
      <w:r w:rsidR="00004845" w:rsidRPr="00543842">
        <w:rPr>
          <w:rFonts w:cstheme="minorHAnsi"/>
          <w:sz w:val="24"/>
          <w:szCs w:val="24"/>
        </w:rPr>
        <w:t>Sipapo</w:t>
      </w:r>
      <w:proofErr w:type="spellEnd"/>
      <w:r w:rsidR="00004845" w:rsidRPr="00543842">
        <w:rPr>
          <w:rFonts w:cstheme="minorHAnsi"/>
          <w:sz w:val="24"/>
          <w:szCs w:val="24"/>
        </w:rPr>
        <w:t xml:space="preserve"> (OIPUS) y formaba parte de la Guardia Indígena Territorial. El 15 de agosto 2022, líderes y organizaciones indígenas exigieron ante la sede del Ministerio Público del estado Amazonas, el esclarecimiento del crimen al trascurrir dos meses de impunidad. A septiembre de 2023, cuando este informe se presenta el caso permanece sin resultados. Según los registros de la organización Provea</w:t>
      </w:r>
      <w:r w:rsidR="00004845" w:rsidRPr="004D4825">
        <w:rPr>
          <w:rStyle w:val="Refdenotaalpie"/>
          <w:rFonts w:cstheme="minorHAnsi"/>
          <w:sz w:val="24"/>
          <w:szCs w:val="24"/>
        </w:rPr>
        <w:footnoteReference w:id="6"/>
      </w:r>
      <w:r w:rsidR="00004845" w:rsidRPr="00543842">
        <w:rPr>
          <w:rFonts w:cstheme="minorHAnsi"/>
          <w:sz w:val="24"/>
          <w:szCs w:val="24"/>
        </w:rPr>
        <w:t xml:space="preserve">, al menos 47 indígenas pertenecientes a los pueblos </w:t>
      </w:r>
      <w:proofErr w:type="spellStart"/>
      <w:r w:rsidR="00004845" w:rsidRPr="00543842">
        <w:rPr>
          <w:rFonts w:cstheme="minorHAnsi"/>
          <w:sz w:val="24"/>
          <w:szCs w:val="24"/>
        </w:rPr>
        <w:t>Pemon</w:t>
      </w:r>
      <w:proofErr w:type="spellEnd"/>
      <w:r w:rsidR="00004845" w:rsidRPr="00543842">
        <w:rPr>
          <w:rFonts w:cstheme="minorHAnsi"/>
          <w:sz w:val="24"/>
          <w:szCs w:val="24"/>
        </w:rPr>
        <w:t xml:space="preserve">, </w:t>
      </w:r>
      <w:proofErr w:type="spellStart"/>
      <w:r w:rsidR="00004845" w:rsidRPr="00543842">
        <w:rPr>
          <w:rFonts w:cstheme="minorHAnsi"/>
          <w:sz w:val="24"/>
          <w:szCs w:val="24"/>
        </w:rPr>
        <w:t>Warao</w:t>
      </w:r>
      <w:proofErr w:type="spellEnd"/>
      <w:r w:rsidR="00004845" w:rsidRPr="00543842">
        <w:rPr>
          <w:rFonts w:cstheme="minorHAnsi"/>
          <w:sz w:val="24"/>
          <w:szCs w:val="24"/>
        </w:rPr>
        <w:t xml:space="preserve">, </w:t>
      </w:r>
      <w:proofErr w:type="spellStart"/>
      <w:r w:rsidR="00004845" w:rsidRPr="00543842">
        <w:rPr>
          <w:rFonts w:cstheme="minorHAnsi"/>
          <w:sz w:val="24"/>
          <w:szCs w:val="24"/>
        </w:rPr>
        <w:t>Jivi</w:t>
      </w:r>
      <w:proofErr w:type="spellEnd"/>
      <w:r w:rsidR="00004845" w:rsidRPr="00543842">
        <w:rPr>
          <w:rFonts w:cstheme="minorHAnsi"/>
          <w:sz w:val="24"/>
          <w:szCs w:val="24"/>
        </w:rPr>
        <w:t xml:space="preserve">, Yanomami, </w:t>
      </w:r>
      <w:proofErr w:type="spellStart"/>
      <w:r w:rsidR="00004845" w:rsidRPr="00543842">
        <w:rPr>
          <w:rFonts w:cstheme="minorHAnsi"/>
          <w:sz w:val="24"/>
          <w:szCs w:val="24"/>
        </w:rPr>
        <w:t>Piaroa</w:t>
      </w:r>
      <w:proofErr w:type="spellEnd"/>
      <w:r w:rsidR="00004845" w:rsidRPr="00543842">
        <w:rPr>
          <w:rFonts w:cstheme="minorHAnsi"/>
          <w:sz w:val="24"/>
          <w:szCs w:val="24"/>
        </w:rPr>
        <w:t xml:space="preserve"> y </w:t>
      </w:r>
      <w:proofErr w:type="spellStart"/>
      <w:r w:rsidR="00004845" w:rsidRPr="00543842">
        <w:rPr>
          <w:rFonts w:cstheme="minorHAnsi"/>
          <w:sz w:val="24"/>
          <w:szCs w:val="24"/>
        </w:rPr>
        <w:t>Wayúu</w:t>
      </w:r>
      <w:proofErr w:type="spellEnd"/>
      <w:r w:rsidR="00004845" w:rsidRPr="00543842">
        <w:rPr>
          <w:rFonts w:cstheme="minorHAnsi"/>
          <w:sz w:val="24"/>
          <w:szCs w:val="24"/>
        </w:rPr>
        <w:t xml:space="preserve">, han sido </w:t>
      </w:r>
      <w:r w:rsidR="00004845" w:rsidRPr="00543842">
        <w:rPr>
          <w:rFonts w:cstheme="minorHAnsi"/>
          <w:sz w:val="24"/>
          <w:szCs w:val="24"/>
        </w:rPr>
        <w:lastRenderedPageBreak/>
        <w:t>asesinados por agentes de la fuerza pública y actores no estatales -incluyendo presuntos miembros de disidencias de las FARC y el ELN-, desde 2010, en diversos conflictos que se han desarrollado en territorios indígenas bajo control militar o disputados por gobernanzas criminales.</w:t>
      </w:r>
    </w:p>
    <w:p w:rsidR="00004845" w:rsidRPr="004D4825" w:rsidRDefault="00004845" w:rsidP="004D4825">
      <w:pPr>
        <w:jc w:val="both"/>
        <w:rPr>
          <w:rFonts w:cstheme="minorHAnsi"/>
          <w:sz w:val="24"/>
          <w:szCs w:val="24"/>
        </w:rPr>
      </w:pPr>
      <w:r w:rsidRPr="002F767F">
        <w:rPr>
          <w:rFonts w:cstheme="minorHAnsi"/>
          <w:b/>
          <w:sz w:val="24"/>
          <w:szCs w:val="24"/>
        </w:rPr>
        <w:t>Recomendación</w:t>
      </w:r>
      <w:r w:rsidRPr="004D4825">
        <w:rPr>
          <w:rFonts w:cstheme="minorHAnsi"/>
          <w:sz w:val="24"/>
          <w:szCs w:val="24"/>
        </w:rPr>
        <w:t>:</w:t>
      </w:r>
    </w:p>
    <w:p w:rsidR="00004845" w:rsidRPr="00543842" w:rsidRDefault="00004845" w:rsidP="002F767F">
      <w:pPr>
        <w:pStyle w:val="Prrafodelista"/>
        <w:numPr>
          <w:ilvl w:val="0"/>
          <w:numId w:val="11"/>
        </w:numPr>
        <w:ind w:left="0" w:hanging="11"/>
        <w:jc w:val="both"/>
        <w:rPr>
          <w:rFonts w:cstheme="minorHAnsi"/>
          <w:sz w:val="24"/>
          <w:szCs w:val="24"/>
        </w:rPr>
      </w:pPr>
      <w:r w:rsidRPr="00543842">
        <w:rPr>
          <w:rFonts w:cstheme="minorHAnsi"/>
          <w:sz w:val="24"/>
          <w:szCs w:val="24"/>
        </w:rPr>
        <w:t xml:space="preserve">La </w:t>
      </w:r>
      <w:r w:rsidR="0079283D" w:rsidRPr="00543842">
        <w:rPr>
          <w:rFonts w:cstheme="minorHAnsi"/>
          <w:sz w:val="24"/>
          <w:szCs w:val="24"/>
        </w:rPr>
        <w:t>investigación,</w:t>
      </w:r>
      <w:r w:rsidRPr="00543842">
        <w:rPr>
          <w:rFonts w:cstheme="minorHAnsi"/>
          <w:sz w:val="24"/>
          <w:szCs w:val="24"/>
        </w:rPr>
        <w:t xml:space="preserve"> sanción y resarcimiento en el caso de Virgilio </w:t>
      </w:r>
      <w:proofErr w:type="gramStart"/>
      <w:r w:rsidRPr="00543842">
        <w:rPr>
          <w:rFonts w:cstheme="minorHAnsi"/>
          <w:sz w:val="24"/>
          <w:szCs w:val="24"/>
        </w:rPr>
        <w:t>Trujillo</w:t>
      </w:r>
      <w:proofErr w:type="gramEnd"/>
      <w:r w:rsidRPr="00543842">
        <w:rPr>
          <w:rFonts w:cstheme="minorHAnsi"/>
          <w:sz w:val="24"/>
          <w:szCs w:val="24"/>
        </w:rPr>
        <w:t xml:space="preserve"> </w:t>
      </w:r>
      <w:r w:rsidR="0079283D" w:rsidRPr="00543842">
        <w:rPr>
          <w:rFonts w:cstheme="minorHAnsi"/>
          <w:sz w:val="24"/>
          <w:szCs w:val="24"/>
        </w:rPr>
        <w:t>así</w:t>
      </w:r>
      <w:r w:rsidRPr="00543842">
        <w:rPr>
          <w:rFonts w:cstheme="minorHAnsi"/>
          <w:sz w:val="24"/>
          <w:szCs w:val="24"/>
        </w:rPr>
        <w:t xml:space="preserve"> como de los casos de indígenas asesinados en el marco del conflicto territorial y minero por el Decreto Arco </w:t>
      </w:r>
      <w:r w:rsidR="0079283D" w:rsidRPr="00543842">
        <w:rPr>
          <w:rFonts w:cstheme="minorHAnsi"/>
          <w:sz w:val="24"/>
          <w:szCs w:val="24"/>
        </w:rPr>
        <w:t>M</w:t>
      </w:r>
      <w:r w:rsidRPr="00543842">
        <w:rPr>
          <w:rFonts w:cstheme="minorHAnsi"/>
          <w:sz w:val="24"/>
          <w:szCs w:val="24"/>
        </w:rPr>
        <w:t xml:space="preserve">inero del Orinoco. </w:t>
      </w:r>
      <w:proofErr w:type="spellStart"/>
      <w:r w:rsidRPr="00543842">
        <w:rPr>
          <w:rFonts w:cstheme="minorHAnsi"/>
          <w:sz w:val="24"/>
          <w:szCs w:val="24"/>
        </w:rPr>
        <w:t>El</w:t>
      </w:r>
      <w:proofErr w:type="spellEnd"/>
      <w:r w:rsidRPr="00543842">
        <w:rPr>
          <w:rFonts w:cstheme="minorHAnsi"/>
          <w:sz w:val="24"/>
          <w:szCs w:val="24"/>
        </w:rPr>
        <w:t xml:space="preserve"> retiró de grupos armados ilegales y fuerzas militares de territorios indígenas.</w:t>
      </w:r>
      <w:r w:rsidR="0079283D" w:rsidRPr="00543842">
        <w:rPr>
          <w:rFonts w:cstheme="minorHAnsi"/>
          <w:sz w:val="24"/>
          <w:szCs w:val="24"/>
        </w:rPr>
        <w:t xml:space="preserve"> La consulta previa libre y el consentimiento libre e informado. La protección de líderes y lideresas indígenas en la defensa de sus territorios.</w:t>
      </w:r>
    </w:p>
    <w:p w:rsidR="00004845" w:rsidRPr="002F767F" w:rsidRDefault="00004845" w:rsidP="004D4825">
      <w:pPr>
        <w:jc w:val="both"/>
        <w:rPr>
          <w:rFonts w:cstheme="minorHAnsi"/>
          <w:b/>
          <w:sz w:val="24"/>
          <w:szCs w:val="24"/>
        </w:rPr>
      </w:pPr>
      <w:r w:rsidRPr="002F767F">
        <w:rPr>
          <w:rFonts w:cstheme="minorHAnsi"/>
          <w:b/>
          <w:sz w:val="24"/>
          <w:szCs w:val="24"/>
        </w:rPr>
        <w:t>Artículo 9</w:t>
      </w:r>
      <w:r w:rsidR="0079283D" w:rsidRPr="002F767F">
        <w:rPr>
          <w:rFonts w:cstheme="minorHAnsi"/>
          <w:b/>
          <w:sz w:val="24"/>
          <w:szCs w:val="24"/>
        </w:rPr>
        <w:t>. Libertad</w:t>
      </w:r>
      <w:r w:rsidRPr="002F767F">
        <w:rPr>
          <w:rFonts w:cstheme="minorHAnsi"/>
          <w:b/>
          <w:sz w:val="24"/>
          <w:szCs w:val="24"/>
        </w:rPr>
        <w:t xml:space="preserve"> y </w:t>
      </w:r>
      <w:r w:rsidR="0079283D" w:rsidRPr="002F767F">
        <w:rPr>
          <w:rFonts w:cstheme="minorHAnsi"/>
          <w:b/>
          <w:sz w:val="24"/>
          <w:szCs w:val="24"/>
        </w:rPr>
        <w:t>seguridad personal.</w:t>
      </w:r>
    </w:p>
    <w:p w:rsidR="002D3F29" w:rsidRDefault="002D3F29" w:rsidP="002F767F">
      <w:pPr>
        <w:pStyle w:val="Prrafodelista"/>
        <w:numPr>
          <w:ilvl w:val="0"/>
          <w:numId w:val="11"/>
        </w:numPr>
        <w:ind w:left="0" w:hanging="11"/>
        <w:jc w:val="both"/>
        <w:rPr>
          <w:rFonts w:cstheme="minorHAnsi"/>
          <w:sz w:val="24"/>
          <w:szCs w:val="24"/>
        </w:rPr>
      </w:pPr>
      <w:r w:rsidRPr="00543842">
        <w:rPr>
          <w:rFonts w:cstheme="minorHAnsi"/>
          <w:sz w:val="24"/>
          <w:szCs w:val="24"/>
        </w:rPr>
        <w:t xml:space="preserve">Es un patrón, generalizado a nivel de todos los estados del país y con un cada vez mayor uso e incremento de la judicialización de Personas Defensoras para que se inhiban, limitar su acción y criminalizar su labor. </w:t>
      </w:r>
      <w:r w:rsidR="001E7F1A" w:rsidRPr="00543842">
        <w:rPr>
          <w:rFonts w:cstheme="minorHAnsi"/>
          <w:sz w:val="24"/>
          <w:szCs w:val="24"/>
        </w:rPr>
        <w:t xml:space="preserve">En 2020, fueron arrestados arbitrariamente 2 Personas defensoras </w:t>
      </w:r>
      <w:proofErr w:type="gramStart"/>
      <w:r w:rsidR="001E7F1A" w:rsidRPr="00543842">
        <w:rPr>
          <w:rFonts w:cstheme="minorHAnsi"/>
          <w:sz w:val="24"/>
          <w:szCs w:val="24"/>
        </w:rPr>
        <w:t>en  Cojedes</w:t>
      </w:r>
      <w:proofErr w:type="gramEnd"/>
      <w:r w:rsidR="001E7F1A" w:rsidRPr="00543842">
        <w:rPr>
          <w:rFonts w:cstheme="minorHAnsi"/>
          <w:sz w:val="24"/>
          <w:szCs w:val="24"/>
        </w:rPr>
        <w:t>; en Lara el caso del defensor Henderson Maldonado detenido por acompañar una protesta, torturado y con medidas sustitutivas de libertad. En 2020, con el Estado de Alarma por la pandemia de Covid-19, Laboratorio de Paz y Provea sistematizaron 318 detenciones arbitrarias de personas defensoras en 17 estados del país: 35 sindicalistas, 27 de activistas de la sociedad civil y PDDH y 68 de comunicadores/as sociales y periodistas, además de 123 miembros de organizaciones partidistas. La ACNUDH, señaló que de junio 2020 a julio 2021, sistematizó 9 casos de PDDH que enfrentaban procesos penales, afirmando que “las acusaciones se basaron en pruebas poco sólidas” o en la criminalización del derecho a la libertad de expresión, reunión pacífica y participación política.</w:t>
      </w:r>
    </w:p>
    <w:p w:rsidR="002F767F" w:rsidRPr="00543842" w:rsidRDefault="002F767F" w:rsidP="002F767F">
      <w:pPr>
        <w:pStyle w:val="Prrafodelista"/>
        <w:ind w:left="0"/>
        <w:jc w:val="both"/>
        <w:rPr>
          <w:rFonts w:cstheme="minorHAnsi"/>
          <w:sz w:val="24"/>
          <w:szCs w:val="24"/>
        </w:rPr>
      </w:pPr>
    </w:p>
    <w:p w:rsidR="0079283D" w:rsidRDefault="00EA3E9A" w:rsidP="002F767F">
      <w:pPr>
        <w:pStyle w:val="Prrafodelista"/>
        <w:numPr>
          <w:ilvl w:val="0"/>
          <w:numId w:val="11"/>
        </w:numPr>
        <w:ind w:left="0" w:hanging="11"/>
        <w:jc w:val="both"/>
        <w:rPr>
          <w:rFonts w:cstheme="minorHAnsi"/>
          <w:sz w:val="24"/>
          <w:szCs w:val="24"/>
        </w:rPr>
      </w:pPr>
      <w:r w:rsidRPr="002F767F">
        <w:rPr>
          <w:rFonts w:cstheme="minorHAnsi"/>
          <w:b/>
          <w:sz w:val="24"/>
          <w:szCs w:val="24"/>
        </w:rPr>
        <w:t>Caso Azul Positivo</w:t>
      </w:r>
      <w:r w:rsidRPr="00543842">
        <w:rPr>
          <w:rFonts w:cstheme="minorHAnsi"/>
          <w:sz w:val="24"/>
          <w:szCs w:val="24"/>
        </w:rPr>
        <w:t xml:space="preserve">: </w:t>
      </w:r>
      <w:r w:rsidR="0079283D" w:rsidRPr="00543842">
        <w:rPr>
          <w:rFonts w:cstheme="minorHAnsi"/>
          <w:sz w:val="24"/>
          <w:szCs w:val="24"/>
        </w:rPr>
        <w:t xml:space="preserve">El 12 de enero del 2021, cinco miembros de la organización </w:t>
      </w:r>
      <w:r w:rsidR="00A9596E" w:rsidRPr="00543842">
        <w:rPr>
          <w:rFonts w:cstheme="minorHAnsi"/>
          <w:sz w:val="24"/>
          <w:szCs w:val="24"/>
        </w:rPr>
        <w:t>humanitaria del Estado Zulia, “</w:t>
      </w:r>
      <w:r w:rsidR="0079283D" w:rsidRPr="00543842">
        <w:rPr>
          <w:rFonts w:cstheme="minorHAnsi"/>
          <w:sz w:val="24"/>
          <w:szCs w:val="24"/>
        </w:rPr>
        <w:t>Azul Positivo</w:t>
      </w:r>
      <w:r w:rsidR="00A9596E" w:rsidRPr="00543842">
        <w:rPr>
          <w:rFonts w:cstheme="minorHAnsi"/>
          <w:sz w:val="24"/>
          <w:szCs w:val="24"/>
        </w:rPr>
        <w:t>”</w:t>
      </w:r>
      <w:r w:rsidR="0079283D" w:rsidRPr="00543842">
        <w:rPr>
          <w:rFonts w:cstheme="minorHAnsi"/>
          <w:sz w:val="24"/>
          <w:szCs w:val="24"/>
        </w:rPr>
        <w:t xml:space="preserve"> fueron detenidos arbitrariamente. Los actores humanitarios fueron en primera instancia a sometidos al Tribunal Militar Décimo Octavo, tras las denuncias realizadas el tribunal se declaró sin competencias y los remitió al Tribunal 4to de Control del Circuito Judicial Penal. Tras 1 mes de su detención, </w:t>
      </w:r>
      <w:r w:rsidR="00A9596E" w:rsidRPr="00543842">
        <w:rPr>
          <w:rFonts w:cstheme="minorHAnsi"/>
          <w:sz w:val="24"/>
          <w:szCs w:val="24"/>
        </w:rPr>
        <w:t xml:space="preserve">el 10 de febrero de 2021, </w:t>
      </w:r>
      <w:r w:rsidR="0079283D" w:rsidRPr="00543842">
        <w:rPr>
          <w:rFonts w:cstheme="minorHAnsi"/>
          <w:sz w:val="24"/>
          <w:szCs w:val="24"/>
        </w:rPr>
        <w:t xml:space="preserve">se les concedió </w:t>
      </w:r>
      <w:r w:rsidR="00A9596E" w:rsidRPr="00543842">
        <w:rPr>
          <w:rFonts w:cstheme="minorHAnsi"/>
          <w:sz w:val="24"/>
          <w:szCs w:val="24"/>
        </w:rPr>
        <w:t xml:space="preserve">a los activistas </w:t>
      </w:r>
      <w:proofErr w:type="spellStart"/>
      <w:r w:rsidR="00A9596E" w:rsidRPr="00543842">
        <w:rPr>
          <w:rFonts w:cstheme="minorHAnsi"/>
          <w:sz w:val="24"/>
          <w:szCs w:val="24"/>
        </w:rPr>
        <w:t>Layner</w:t>
      </w:r>
      <w:proofErr w:type="spellEnd"/>
      <w:r w:rsidR="00A9596E" w:rsidRPr="00543842">
        <w:rPr>
          <w:rFonts w:cstheme="minorHAnsi"/>
          <w:sz w:val="24"/>
          <w:szCs w:val="24"/>
        </w:rPr>
        <w:t xml:space="preserve"> Gutiérrez, </w:t>
      </w:r>
      <w:proofErr w:type="spellStart"/>
      <w:r w:rsidR="00A9596E" w:rsidRPr="00543842">
        <w:rPr>
          <w:rFonts w:cstheme="minorHAnsi"/>
          <w:sz w:val="24"/>
          <w:szCs w:val="24"/>
        </w:rPr>
        <w:t>Yordy</w:t>
      </w:r>
      <w:proofErr w:type="spellEnd"/>
      <w:r w:rsidR="00A9596E" w:rsidRPr="00543842">
        <w:rPr>
          <w:rFonts w:cstheme="minorHAnsi"/>
          <w:sz w:val="24"/>
          <w:szCs w:val="24"/>
        </w:rPr>
        <w:t xml:space="preserve"> Bermúdez, Johan León, Alejandro Gómez y Luis </w:t>
      </w:r>
      <w:proofErr w:type="spellStart"/>
      <w:r w:rsidR="00A9596E" w:rsidRPr="00543842">
        <w:rPr>
          <w:rFonts w:cstheme="minorHAnsi"/>
          <w:sz w:val="24"/>
          <w:szCs w:val="24"/>
        </w:rPr>
        <w:t>Ferrebus</w:t>
      </w:r>
      <w:proofErr w:type="spellEnd"/>
      <w:r w:rsidR="00A9596E" w:rsidRPr="00543842">
        <w:rPr>
          <w:rFonts w:cstheme="minorHAnsi"/>
          <w:sz w:val="24"/>
          <w:szCs w:val="24"/>
        </w:rPr>
        <w:t xml:space="preserve"> </w:t>
      </w:r>
      <w:r w:rsidR="0079283D" w:rsidRPr="00543842">
        <w:rPr>
          <w:rFonts w:cstheme="minorHAnsi"/>
          <w:sz w:val="24"/>
          <w:szCs w:val="24"/>
        </w:rPr>
        <w:t>una medida sustitutiva de libertad con un juicio abierto y acusados de legitimación de capitales y asociación para delinquir</w:t>
      </w:r>
      <w:r w:rsidR="00A9596E" w:rsidRPr="004D4825">
        <w:rPr>
          <w:rStyle w:val="Refdenotaalpie"/>
          <w:rFonts w:cstheme="minorHAnsi"/>
          <w:sz w:val="24"/>
          <w:szCs w:val="24"/>
        </w:rPr>
        <w:footnoteReference w:id="7"/>
      </w:r>
      <w:r w:rsidR="0079283D" w:rsidRPr="00543842">
        <w:rPr>
          <w:rFonts w:cstheme="minorHAnsi"/>
          <w:sz w:val="24"/>
          <w:szCs w:val="24"/>
        </w:rPr>
        <w:t>.</w:t>
      </w:r>
    </w:p>
    <w:p w:rsidR="002F767F" w:rsidRPr="002F767F" w:rsidRDefault="002F767F" w:rsidP="002F767F">
      <w:pPr>
        <w:pStyle w:val="Prrafodelista"/>
        <w:rPr>
          <w:rFonts w:cstheme="minorHAnsi"/>
          <w:sz w:val="24"/>
          <w:szCs w:val="24"/>
        </w:rPr>
      </w:pPr>
    </w:p>
    <w:p w:rsidR="00A9596E" w:rsidRDefault="00EA3E9A" w:rsidP="002F767F">
      <w:pPr>
        <w:pStyle w:val="Prrafodelista"/>
        <w:numPr>
          <w:ilvl w:val="0"/>
          <w:numId w:val="11"/>
        </w:numPr>
        <w:ind w:left="0" w:hanging="11"/>
        <w:jc w:val="both"/>
        <w:rPr>
          <w:rFonts w:cstheme="minorHAnsi"/>
          <w:sz w:val="24"/>
          <w:szCs w:val="24"/>
        </w:rPr>
      </w:pPr>
      <w:r w:rsidRPr="002F767F">
        <w:rPr>
          <w:rFonts w:cstheme="minorHAnsi"/>
          <w:b/>
          <w:sz w:val="24"/>
          <w:szCs w:val="24"/>
        </w:rPr>
        <w:t xml:space="preserve">Caso Javier Tarazona. </w:t>
      </w:r>
      <w:proofErr w:type="spellStart"/>
      <w:r w:rsidRPr="002F767F">
        <w:rPr>
          <w:rFonts w:cstheme="minorHAnsi"/>
          <w:b/>
          <w:sz w:val="24"/>
          <w:szCs w:val="24"/>
        </w:rPr>
        <w:t>Fundaredes</w:t>
      </w:r>
      <w:proofErr w:type="spellEnd"/>
      <w:r w:rsidRPr="00543842">
        <w:rPr>
          <w:rFonts w:cstheme="minorHAnsi"/>
          <w:sz w:val="24"/>
          <w:szCs w:val="24"/>
        </w:rPr>
        <w:t xml:space="preserve">: </w:t>
      </w:r>
      <w:r w:rsidR="00A9596E" w:rsidRPr="00543842">
        <w:rPr>
          <w:rFonts w:cstheme="minorHAnsi"/>
          <w:sz w:val="24"/>
          <w:szCs w:val="24"/>
        </w:rPr>
        <w:t xml:space="preserve">El 02 de julio del 2021, el defensor de derechos humanos Javier Tarazona, director de la Organización </w:t>
      </w:r>
      <w:proofErr w:type="spellStart"/>
      <w:r w:rsidR="00A9596E" w:rsidRPr="00543842">
        <w:rPr>
          <w:rFonts w:cstheme="minorHAnsi"/>
          <w:sz w:val="24"/>
          <w:szCs w:val="24"/>
        </w:rPr>
        <w:t>Fundaredes</w:t>
      </w:r>
      <w:proofErr w:type="spellEnd"/>
      <w:r w:rsidR="00CC482A" w:rsidRPr="00543842">
        <w:rPr>
          <w:rFonts w:cstheme="minorHAnsi"/>
          <w:sz w:val="24"/>
          <w:szCs w:val="24"/>
        </w:rPr>
        <w:t xml:space="preserve"> con sede en el Estado Táchira, </w:t>
      </w:r>
      <w:r w:rsidR="00A9596E" w:rsidRPr="00543842">
        <w:rPr>
          <w:rFonts w:cstheme="minorHAnsi"/>
          <w:sz w:val="24"/>
          <w:szCs w:val="24"/>
        </w:rPr>
        <w:t xml:space="preserve">junto a Omar </w:t>
      </w:r>
      <w:r w:rsidR="00CC482A" w:rsidRPr="00543842">
        <w:rPr>
          <w:rFonts w:cstheme="minorHAnsi"/>
          <w:sz w:val="24"/>
          <w:szCs w:val="24"/>
        </w:rPr>
        <w:t xml:space="preserve">de Dios </w:t>
      </w:r>
      <w:r w:rsidR="00A9596E" w:rsidRPr="00543842">
        <w:rPr>
          <w:rFonts w:cstheme="minorHAnsi"/>
          <w:sz w:val="24"/>
          <w:szCs w:val="24"/>
        </w:rPr>
        <w:t xml:space="preserve">García y su hermano Rafael Tarazona fueron detenidos arbitrariamente al salir de la sede del Ministerio Público en el estado Falcón, donde se encontraban realizando una denuncia de </w:t>
      </w:r>
      <w:r w:rsidR="00A9596E" w:rsidRPr="00543842">
        <w:rPr>
          <w:rFonts w:cstheme="minorHAnsi"/>
          <w:sz w:val="24"/>
          <w:szCs w:val="24"/>
        </w:rPr>
        <w:lastRenderedPageBreak/>
        <w:t>hostigamiento ´por parte de la policía del estado. Los tres activistas fueron trasladados a C</w:t>
      </w:r>
      <w:r w:rsidR="00CC482A" w:rsidRPr="00543842">
        <w:rPr>
          <w:rFonts w:cstheme="minorHAnsi"/>
          <w:sz w:val="24"/>
          <w:szCs w:val="24"/>
        </w:rPr>
        <w:t>aracas a la sede del SEBIN “Hel</w:t>
      </w:r>
      <w:r w:rsidR="00A9596E" w:rsidRPr="00543842">
        <w:rPr>
          <w:rFonts w:cstheme="minorHAnsi"/>
          <w:sz w:val="24"/>
          <w:szCs w:val="24"/>
        </w:rPr>
        <w:t>icoide”</w:t>
      </w:r>
      <w:r w:rsidR="00CC482A" w:rsidRPr="00543842">
        <w:rPr>
          <w:rFonts w:cstheme="minorHAnsi"/>
          <w:sz w:val="24"/>
          <w:szCs w:val="24"/>
        </w:rPr>
        <w:t>. Omar García y Rafael Tarazona fueron liberados con una medida sustitutiva de libertad</w:t>
      </w:r>
      <w:r w:rsidR="007B5263" w:rsidRPr="00543842">
        <w:rPr>
          <w:rFonts w:cstheme="minorHAnsi"/>
          <w:sz w:val="24"/>
          <w:szCs w:val="24"/>
        </w:rPr>
        <w:t xml:space="preserve"> el 26.10.2021. </w:t>
      </w:r>
      <w:r w:rsidR="00CC482A" w:rsidRPr="00543842">
        <w:rPr>
          <w:rFonts w:cstheme="minorHAnsi"/>
          <w:sz w:val="24"/>
          <w:szCs w:val="24"/>
        </w:rPr>
        <w:t xml:space="preserve">mientras Javier Tarazona continua tras dos años, privado de libertad, con un juicio que no ha respetado el debido proceso, acusado por “instigación al odio, terrorismo y traición a la patria”. </w:t>
      </w:r>
      <w:r w:rsidR="00A9596E" w:rsidRPr="00543842">
        <w:rPr>
          <w:rFonts w:cstheme="minorHAnsi"/>
          <w:sz w:val="24"/>
          <w:szCs w:val="24"/>
        </w:rPr>
        <w:t>La CIDH otorgó medidas cautelares a favor de José Javier Tarazona Sánchez y su familia, mediante la Resolución 30/20 de 18 de junio de 2020</w:t>
      </w:r>
      <w:r w:rsidR="00CC482A" w:rsidRPr="004D4825">
        <w:rPr>
          <w:rStyle w:val="Refdenotaalpie"/>
          <w:rFonts w:cstheme="minorHAnsi"/>
          <w:sz w:val="24"/>
          <w:szCs w:val="24"/>
        </w:rPr>
        <w:footnoteReference w:id="8"/>
      </w:r>
      <w:r w:rsidR="00CC482A" w:rsidRPr="00543842">
        <w:rPr>
          <w:rFonts w:cstheme="minorHAnsi"/>
          <w:sz w:val="24"/>
          <w:szCs w:val="24"/>
        </w:rPr>
        <w:t xml:space="preserve">. </w:t>
      </w:r>
      <w:proofErr w:type="spellStart"/>
      <w:r w:rsidR="00CC482A" w:rsidRPr="00543842">
        <w:rPr>
          <w:rFonts w:cstheme="minorHAnsi"/>
          <w:sz w:val="24"/>
          <w:szCs w:val="24"/>
        </w:rPr>
        <w:t>Amnistia</w:t>
      </w:r>
      <w:proofErr w:type="spellEnd"/>
      <w:r w:rsidR="00CC482A" w:rsidRPr="00543842">
        <w:rPr>
          <w:rFonts w:cstheme="minorHAnsi"/>
          <w:sz w:val="24"/>
          <w:szCs w:val="24"/>
        </w:rPr>
        <w:t xml:space="preserve"> internacional lo declaró preso de conciencia por estar detenido arbitrariamente por su labor de defensa de los derechos humanos</w:t>
      </w:r>
      <w:r w:rsidR="00CC482A" w:rsidRPr="004D4825">
        <w:rPr>
          <w:rStyle w:val="Refdenotaalpie"/>
          <w:rFonts w:cstheme="minorHAnsi"/>
          <w:sz w:val="24"/>
          <w:szCs w:val="24"/>
        </w:rPr>
        <w:footnoteReference w:id="9"/>
      </w:r>
      <w:r w:rsidR="00CC482A" w:rsidRPr="00543842">
        <w:rPr>
          <w:rFonts w:cstheme="minorHAnsi"/>
          <w:sz w:val="24"/>
          <w:szCs w:val="24"/>
        </w:rPr>
        <w:t>.</w:t>
      </w:r>
    </w:p>
    <w:p w:rsidR="002F767F" w:rsidRPr="002F767F" w:rsidRDefault="002F767F" w:rsidP="002F767F">
      <w:pPr>
        <w:pStyle w:val="Prrafodelista"/>
        <w:rPr>
          <w:rFonts w:cstheme="minorHAnsi"/>
          <w:sz w:val="24"/>
          <w:szCs w:val="24"/>
        </w:rPr>
      </w:pPr>
    </w:p>
    <w:p w:rsidR="001E7F1A" w:rsidRDefault="001E7F1A" w:rsidP="002F767F">
      <w:pPr>
        <w:pStyle w:val="Prrafodelista"/>
        <w:numPr>
          <w:ilvl w:val="0"/>
          <w:numId w:val="11"/>
        </w:numPr>
        <w:ind w:left="0" w:hanging="11"/>
        <w:jc w:val="both"/>
        <w:rPr>
          <w:rFonts w:cstheme="minorHAnsi"/>
          <w:sz w:val="24"/>
          <w:szCs w:val="24"/>
        </w:rPr>
      </w:pPr>
      <w:r w:rsidRPr="002F767F">
        <w:rPr>
          <w:rFonts w:cstheme="minorHAnsi"/>
          <w:b/>
          <w:sz w:val="24"/>
          <w:szCs w:val="24"/>
        </w:rPr>
        <w:t>Caso Vanessa Rosales</w:t>
      </w:r>
      <w:r w:rsidRPr="00543842">
        <w:rPr>
          <w:rFonts w:cstheme="minorHAnsi"/>
          <w:sz w:val="24"/>
          <w:szCs w:val="24"/>
        </w:rPr>
        <w:t xml:space="preserve">, la organización AVESA han documentado casos de criminalización contra mujeres defensoras que trabajan por la despenalización del aborto en el país. La defensora </w:t>
      </w:r>
      <w:proofErr w:type="spellStart"/>
      <w:r w:rsidRPr="00543842">
        <w:rPr>
          <w:rFonts w:cstheme="minorHAnsi"/>
          <w:sz w:val="24"/>
          <w:szCs w:val="24"/>
        </w:rPr>
        <w:t>Vannesa</w:t>
      </w:r>
      <w:proofErr w:type="spellEnd"/>
      <w:r w:rsidRPr="00543842">
        <w:rPr>
          <w:rFonts w:cstheme="minorHAnsi"/>
          <w:sz w:val="24"/>
          <w:szCs w:val="24"/>
        </w:rPr>
        <w:t xml:space="preserve"> Rosales en el estado Mérida, fue detenida arbitrariamente y sometida a un proceso judicial, por haber apoyado la interrupción de un embarazo -producto de una violación- contra una adolescente de 13 años cuya vida corría peligro. Desde enero de 2021, </w:t>
      </w:r>
      <w:proofErr w:type="spellStart"/>
      <w:r w:rsidRPr="00543842">
        <w:rPr>
          <w:rFonts w:cstheme="minorHAnsi"/>
          <w:sz w:val="24"/>
          <w:szCs w:val="24"/>
        </w:rPr>
        <w:t>Vannesa</w:t>
      </w:r>
      <w:proofErr w:type="spellEnd"/>
      <w:r w:rsidRPr="00543842">
        <w:rPr>
          <w:rFonts w:cstheme="minorHAnsi"/>
          <w:sz w:val="24"/>
          <w:szCs w:val="24"/>
        </w:rPr>
        <w:t xml:space="preserve"> Rosales permanece bajo arresto domiciliario.</w:t>
      </w:r>
    </w:p>
    <w:p w:rsidR="002F767F" w:rsidRPr="00543842" w:rsidRDefault="002F767F" w:rsidP="002F767F">
      <w:pPr>
        <w:pStyle w:val="Prrafodelista"/>
        <w:ind w:left="0"/>
        <w:jc w:val="both"/>
        <w:rPr>
          <w:rFonts w:cstheme="minorHAnsi"/>
          <w:sz w:val="24"/>
          <w:szCs w:val="24"/>
        </w:rPr>
      </w:pPr>
    </w:p>
    <w:p w:rsidR="0079283D" w:rsidRDefault="00EA3E9A" w:rsidP="002F767F">
      <w:pPr>
        <w:pStyle w:val="Prrafodelista"/>
        <w:numPr>
          <w:ilvl w:val="0"/>
          <w:numId w:val="11"/>
        </w:numPr>
        <w:ind w:left="0" w:hanging="11"/>
        <w:jc w:val="both"/>
        <w:rPr>
          <w:rFonts w:cstheme="minorHAnsi"/>
          <w:sz w:val="24"/>
          <w:szCs w:val="24"/>
        </w:rPr>
      </w:pPr>
      <w:r w:rsidRPr="002F767F">
        <w:rPr>
          <w:rFonts w:cstheme="minorHAnsi"/>
          <w:b/>
          <w:sz w:val="24"/>
          <w:szCs w:val="24"/>
        </w:rPr>
        <w:t>Caso Gabriel Blanco, (los 6 sindicalistas</w:t>
      </w:r>
      <w:r w:rsidRPr="00543842">
        <w:rPr>
          <w:rFonts w:cstheme="minorHAnsi"/>
          <w:sz w:val="24"/>
          <w:szCs w:val="24"/>
        </w:rPr>
        <w:t xml:space="preserve">): </w:t>
      </w:r>
      <w:r w:rsidR="00CC482A" w:rsidRPr="00543842">
        <w:rPr>
          <w:rFonts w:cstheme="minorHAnsi"/>
          <w:sz w:val="24"/>
          <w:szCs w:val="24"/>
        </w:rPr>
        <w:t>El 06 de julio de 2022, alrededor de las 7pm, funcionarios de la Dirección General de Contrainteligencia Militar (DGCIM), abordaron al activista humanitario y sindicalista de la Alianza Sindical Independiente (ASI) Gabriel Blanco en las inmediaciones de su hogar.</w:t>
      </w:r>
      <w:r w:rsidRPr="00543842">
        <w:rPr>
          <w:rFonts w:cstheme="minorHAnsi"/>
          <w:sz w:val="24"/>
          <w:szCs w:val="24"/>
        </w:rPr>
        <w:t xml:space="preserve">  Casi a la 1am del día siguiente, funcionarios de la Dirección de Investigaciones Estratégicas de la PNB, llevaron una orden de aprehensión por los delitos de terrorismo y asociación para delinquir, previstos en la Ley Contra la Delincuencia Organizada y Financiamiento al Terrorismo (LODOFAT), firmada por el juez José Márquez García, del Juzgado Cuarto con competencia en terrorismo de Caracas. El junto a otros activistas Reynaldo Cortés, Alonso Meléndez, Alcides Bracho, Néstor Astudillo, y Emilio Negrín, fueron sometidos a juicio y condenados a 16 años de prisión el 01 de agosto de 2023.</w:t>
      </w:r>
    </w:p>
    <w:p w:rsidR="002F767F" w:rsidRPr="00543842" w:rsidRDefault="002F767F" w:rsidP="002F767F">
      <w:pPr>
        <w:pStyle w:val="Prrafodelista"/>
        <w:ind w:left="0"/>
        <w:jc w:val="both"/>
        <w:rPr>
          <w:rFonts w:cstheme="minorHAnsi"/>
          <w:sz w:val="24"/>
          <w:szCs w:val="24"/>
        </w:rPr>
      </w:pPr>
    </w:p>
    <w:p w:rsidR="00844EAD" w:rsidRDefault="00EA3E9A" w:rsidP="002F767F">
      <w:pPr>
        <w:pStyle w:val="Prrafodelista"/>
        <w:numPr>
          <w:ilvl w:val="0"/>
          <w:numId w:val="11"/>
        </w:numPr>
        <w:ind w:left="0" w:hanging="11"/>
        <w:jc w:val="both"/>
        <w:rPr>
          <w:rFonts w:cstheme="minorHAnsi"/>
          <w:sz w:val="24"/>
          <w:szCs w:val="24"/>
        </w:rPr>
      </w:pPr>
      <w:r w:rsidRPr="002F767F">
        <w:rPr>
          <w:rFonts w:cstheme="minorHAnsi"/>
          <w:b/>
          <w:sz w:val="24"/>
          <w:szCs w:val="24"/>
        </w:rPr>
        <w:t xml:space="preserve">Detenciones </w:t>
      </w:r>
      <w:r w:rsidR="009C14CB" w:rsidRPr="002F767F">
        <w:rPr>
          <w:rFonts w:cstheme="minorHAnsi"/>
          <w:b/>
          <w:sz w:val="24"/>
          <w:szCs w:val="24"/>
        </w:rPr>
        <w:t xml:space="preserve">y juicios </w:t>
      </w:r>
      <w:r w:rsidRPr="002F767F">
        <w:rPr>
          <w:rFonts w:cstheme="minorHAnsi"/>
          <w:b/>
          <w:sz w:val="24"/>
          <w:szCs w:val="24"/>
        </w:rPr>
        <w:t>contra sindicalistas en Bolívar</w:t>
      </w:r>
      <w:r w:rsidRPr="00543842">
        <w:rPr>
          <w:rFonts w:cstheme="minorHAnsi"/>
          <w:sz w:val="24"/>
          <w:szCs w:val="24"/>
        </w:rPr>
        <w:t xml:space="preserve">. Entre enero </w:t>
      </w:r>
      <w:r w:rsidR="009C14CB" w:rsidRPr="00543842">
        <w:rPr>
          <w:rFonts w:cstheme="minorHAnsi"/>
          <w:sz w:val="24"/>
          <w:szCs w:val="24"/>
        </w:rPr>
        <w:t>y</w:t>
      </w:r>
      <w:r w:rsidRPr="00543842">
        <w:rPr>
          <w:rFonts w:cstheme="minorHAnsi"/>
          <w:sz w:val="24"/>
          <w:szCs w:val="24"/>
        </w:rPr>
        <w:t xml:space="preserve"> </w:t>
      </w:r>
      <w:r w:rsidR="009C14CB" w:rsidRPr="00543842">
        <w:rPr>
          <w:rFonts w:cstheme="minorHAnsi"/>
          <w:sz w:val="24"/>
          <w:szCs w:val="24"/>
        </w:rPr>
        <w:t xml:space="preserve">junio de 2023, el Equipo Local de Protección Bolívar ha documentado: 26 casos de detenciones arbitrarias contra trabajadores de empresas básicas por protestas laborales (Ciudad Guayana). A su vez, se han sistematizado al menos 20 casos de apertura de juicios, principalmente por cargos por “instigación al odio” (11) y “resistencia a la autoridad y </w:t>
      </w:r>
      <w:proofErr w:type="spellStart"/>
      <w:r w:rsidR="009C14CB" w:rsidRPr="00543842">
        <w:rPr>
          <w:rFonts w:cstheme="minorHAnsi"/>
          <w:sz w:val="24"/>
          <w:szCs w:val="24"/>
        </w:rPr>
        <w:t>agavillamiento</w:t>
      </w:r>
      <w:proofErr w:type="spellEnd"/>
      <w:r w:rsidR="009C14CB" w:rsidRPr="00543842">
        <w:rPr>
          <w:rFonts w:cstheme="minorHAnsi"/>
          <w:sz w:val="24"/>
          <w:szCs w:val="24"/>
        </w:rPr>
        <w:t xml:space="preserve">” (9), estos dos relacionados con manifestaciones por exigencias laborales. Es importante resaltar que 18 de acciones judiciales provinieron de un Tribunal de Primera Instancia del estado Bolívar, aplicando una “Medida Cautelar Innominada” que </w:t>
      </w:r>
      <w:proofErr w:type="gramStart"/>
      <w:r w:rsidR="009C14CB" w:rsidRPr="00543842">
        <w:rPr>
          <w:rFonts w:cstheme="minorHAnsi"/>
          <w:sz w:val="24"/>
          <w:szCs w:val="24"/>
        </w:rPr>
        <w:t>le</w:t>
      </w:r>
      <w:proofErr w:type="gramEnd"/>
      <w:r w:rsidR="009C14CB" w:rsidRPr="00543842">
        <w:rPr>
          <w:rFonts w:cstheme="minorHAnsi"/>
          <w:sz w:val="24"/>
          <w:szCs w:val="24"/>
        </w:rPr>
        <w:t xml:space="preserve"> prohíbe a 22 trabajadores de la empresa básica </w:t>
      </w:r>
      <w:proofErr w:type="spellStart"/>
      <w:r w:rsidR="009C14CB" w:rsidRPr="00543842">
        <w:rPr>
          <w:rFonts w:cstheme="minorHAnsi"/>
          <w:sz w:val="24"/>
          <w:szCs w:val="24"/>
        </w:rPr>
        <w:t>Sidor</w:t>
      </w:r>
      <w:proofErr w:type="spellEnd"/>
      <w:r w:rsidR="009C14CB" w:rsidRPr="00543842">
        <w:rPr>
          <w:rFonts w:cstheme="minorHAnsi"/>
          <w:sz w:val="24"/>
          <w:szCs w:val="24"/>
        </w:rPr>
        <w:t xml:space="preserve"> protestar, bajo la premisa de “participar en disturbios”.</w:t>
      </w:r>
    </w:p>
    <w:p w:rsidR="002F767F" w:rsidRPr="002F767F" w:rsidRDefault="002F767F" w:rsidP="002F767F">
      <w:pPr>
        <w:pStyle w:val="Prrafodelista"/>
        <w:rPr>
          <w:rFonts w:cstheme="minorHAnsi"/>
          <w:sz w:val="24"/>
          <w:szCs w:val="24"/>
        </w:rPr>
      </w:pPr>
    </w:p>
    <w:p w:rsidR="00844EAD" w:rsidRDefault="00844EAD" w:rsidP="002F767F">
      <w:pPr>
        <w:pStyle w:val="Prrafodelista"/>
        <w:numPr>
          <w:ilvl w:val="0"/>
          <w:numId w:val="11"/>
        </w:numPr>
        <w:ind w:left="0" w:hanging="11"/>
        <w:jc w:val="both"/>
        <w:rPr>
          <w:rFonts w:cstheme="minorHAnsi"/>
          <w:sz w:val="24"/>
          <w:szCs w:val="24"/>
        </w:rPr>
      </w:pPr>
      <w:r w:rsidRPr="002F767F">
        <w:rPr>
          <w:rFonts w:cstheme="minorHAnsi"/>
          <w:b/>
          <w:sz w:val="24"/>
          <w:szCs w:val="24"/>
        </w:rPr>
        <w:lastRenderedPageBreak/>
        <w:t xml:space="preserve">Entre los casos más emblemáticos </w:t>
      </w:r>
      <w:r w:rsidR="0007277E" w:rsidRPr="002F767F">
        <w:rPr>
          <w:rFonts w:cstheme="minorHAnsi"/>
          <w:b/>
          <w:sz w:val="24"/>
          <w:szCs w:val="24"/>
        </w:rPr>
        <w:t xml:space="preserve">resalta el de </w:t>
      </w:r>
      <w:r w:rsidRPr="002F767F">
        <w:rPr>
          <w:rFonts w:cstheme="minorHAnsi"/>
          <w:b/>
          <w:sz w:val="24"/>
          <w:szCs w:val="24"/>
        </w:rPr>
        <w:t xml:space="preserve">Leandro </w:t>
      </w:r>
      <w:proofErr w:type="spellStart"/>
      <w:r w:rsidRPr="002F767F">
        <w:rPr>
          <w:rFonts w:cstheme="minorHAnsi"/>
          <w:b/>
          <w:sz w:val="24"/>
          <w:szCs w:val="24"/>
        </w:rPr>
        <w:t>Azócar</w:t>
      </w:r>
      <w:proofErr w:type="spellEnd"/>
      <w:r w:rsidRPr="00543842">
        <w:rPr>
          <w:rFonts w:cstheme="minorHAnsi"/>
          <w:sz w:val="24"/>
          <w:szCs w:val="24"/>
        </w:rPr>
        <w:t xml:space="preserve"> (secretario de Trabajo y reclamos del sindicato </w:t>
      </w:r>
      <w:proofErr w:type="spellStart"/>
      <w:r w:rsidRPr="00543842">
        <w:rPr>
          <w:rFonts w:cstheme="minorHAnsi"/>
          <w:sz w:val="24"/>
          <w:szCs w:val="24"/>
        </w:rPr>
        <w:t>Sutis</w:t>
      </w:r>
      <w:proofErr w:type="spellEnd"/>
      <w:r w:rsidRPr="00543842">
        <w:rPr>
          <w:rFonts w:cstheme="minorHAnsi"/>
          <w:sz w:val="24"/>
          <w:szCs w:val="24"/>
        </w:rPr>
        <w:t xml:space="preserve">) y Daniel Romero </w:t>
      </w:r>
      <w:r w:rsidR="0007277E" w:rsidRPr="00543842">
        <w:rPr>
          <w:rFonts w:cstheme="minorHAnsi"/>
          <w:sz w:val="24"/>
          <w:szCs w:val="24"/>
        </w:rPr>
        <w:t>quienes fueron d</w:t>
      </w:r>
      <w:r w:rsidRPr="00543842">
        <w:rPr>
          <w:rFonts w:cstheme="minorHAnsi"/>
          <w:sz w:val="24"/>
          <w:szCs w:val="24"/>
        </w:rPr>
        <w:t xml:space="preserve">etenidos por la Dirección General de Contrainteligencia Militar (DGCIM) la madrugada del día lunes 12 de junio, junto a Juan Cabrera </w:t>
      </w:r>
      <w:r w:rsidR="0007277E" w:rsidRPr="00543842">
        <w:rPr>
          <w:rFonts w:cstheme="minorHAnsi"/>
          <w:sz w:val="24"/>
          <w:szCs w:val="24"/>
        </w:rPr>
        <w:t>(</w:t>
      </w:r>
      <w:r w:rsidRPr="00543842">
        <w:rPr>
          <w:rFonts w:cstheme="minorHAnsi"/>
          <w:sz w:val="24"/>
          <w:szCs w:val="24"/>
        </w:rPr>
        <w:t>liberado). Ambos estuvieron desaparecidos por 8 días, y es el 20 de junio que la Defensoría del Pueblo informó a Provea que se encuentran detenidos en la Dirección General de Contrainteligencia Militar (DGCIM).</w:t>
      </w:r>
      <w:r w:rsidR="0007277E" w:rsidRPr="00543842">
        <w:rPr>
          <w:rFonts w:cstheme="minorHAnsi"/>
          <w:sz w:val="24"/>
          <w:szCs w:val="24"/>
        </w:rPr>
        <w:t xml:space="preserve"> </w:t>
      </w:r>
      <w:r w:rsidRPr="00543842">
        <w:rPr>
          <w:rFonts w:cstheme="minorHAnsi"/>
          <w:sz w:val="24"/>
          <w:szCs w:val="24"/>
        </w:rPr>
        <w:t xml:space="preserve">Familiares de </w:t>
      </w:r>
      <w:proofErr w:type="spellStart"/>
      <w:r w:rsidRPr="00543842">
        <w:rPr>
          <w:rFonts w:cstheme="minorHAnsi"/>
          <w:sz w:val="24"/>
          <w:szCs w:val="24"/>
        </w:rPr>
        <w:t>Azócar</w:t>
      </w:r>
      <w:proofErr w:type="spellEnd"/>
      <w:r w:rsidRPr="00543842">
        <w:rPr>
          <w:rFonts w:cstheme="minorHAnsi"/>
          <w:sz w:val="24"/>
          <w:szCs w:val="24"/>
        </w:rPr>
        <w:t xml:space="preserve"> denuncia</w:t>
      </w:r>
      <w:r w:rsidR="0007277E" w:rsidRPr="00543842">
        <w:rPr>
          <w:rFonts w:cstheme="minorHAnsi"/>
          <w:sz w:val="24"/>
          <w:szCs w:val="24"/>
        </w:rPr>
        <w:t>ro</w:t>
      </w:r>
      <w:r w:rsidRPr="00543842">
        <w:rPr>
          <w:rFonts w:cstheme="minorHAnsi"/>
          <w:sz w:val="24"/>
          <w:szCs w:val="24"/>
        </w:rPr>
        <w:t>n que el Estado venezolano le asignó un abogado de oficio y no les permitieron cambiarlo por uno privado.</w:t>
      </w:r>
      <w:r w:rsidR="0007277E" w:rsidRPr="00543842">
        <w:rPr>
          <w:rFonts w:cstheme="minorHAnsi"/>
          <w:sz w:val="24"/>
          <w:szCs w:val="24"/>
        </w:rPr>
        <w:t xml:space="preserve"> </w:t>
      </w:r>
      <w:r w:rsidRPr="00543842">
        <w:rPr>
          <w:rFonts w:cstheme="minorHAnsi"/>
          <w:sz w:val="24"/>
          <w:szCs w:val="24"/>
        </w:rPr>
        <w:t xml:space="preserve">El caso permanece a cargo del Tribunal Primero de Control de Ilícitos Económicos y la Fiscalía 3º del Ministerio Público (MP), y se espera la audiencia preliminar. A Romero y </w:t>
      </w:r>
      <w:proofErr w:type="spellStart"/>
      <w:r w:rsidRPr="00543842">
        <w:rPr>
          <w:rFonts w:cstheme="minorHAnsi"/>
          <w:sz w:val="24"/>
          <w:szCs w:val="24"/>
        </w:rPr>
        <w:t>Azócar</w:t>
      </w:r>
      <w:proofErr w:type="spellEnd"/>
      <w:r w:rsidRPr="00543842">
        <w:rPr>
          <w:rFonts w:cstheme="minorHAnsi"/>
          <w:sz w:val="24"/>
          <w:szCs w:val="24"/>
        </w:rPr>
        <w:t xml:space="preserve"> se les imputaron los cargos de asociación para delinquir, boicot e instigación al odio. </w:t>
      </w:r>
      <w:r w:rsidR="0007277E" w:rsidRPr="00543842">
        <w:rPr>
          <w:rFonts w:cstheme="minorHAnsi"/>
          <w:sz w:val="24"/>
          <w:szCs w:val="24"/>
        </w:rPr>
        <w:t xml:space="preserve">50 sindicatos y organizaciones de derechos humanos venezolanas suscribieran e hiciera pública una carta para exigir la liberación de Leonardo </w:t>
      </w:r>
      <w:proofErr w:type="spellStart"/>
      <w:r w:rsidR="0007277E" w:rsidRPr="00543842">
        <w:rPr>
          <w:rFonts w:cstheme="minorHAnsi"/>
          <w:sz w:val="24"/>
          <w:szCs w:val="24"/>
        </w:rPr>
        <w:t>Azócar</w:t>
      </w:r>
      <w:proofErr w:type="spellEnd"/>
      <w:r w:rsidR="0007277E" w:rsidRPr="00543842">
        <w:rPr>
          <w:rFonts w:cstheme="minorHAnsi"/>
          <w:sz w:val="24"/>
          <w:szCs w:val="24"/>
        </w:rPr>
        <w:t xml:space="preserve"> y Daniel Romero</w:t>
      </w:r>
      <w:r w:rsidR="0007277E" w:rsidRPr="004D4825">
        <w:rPr>
          <w:rStyle w:val="Refdenotaalpie"/>
          <w:rFonts w:cstheme="minorHAnsi"/>
          <w:sz w:val="24"/>
          <w:szCs w:val="24"/>
        </w:rPr>
        <w:footnoteReference w:id="10"/>
      </w:r>
    </w:p>
    <w:p w:rsidR="002F767F" w:rsidRPr="002F767F" w:rsidRDefault="002F767F" w:rsidP="002F767F">
      <w:pPr>
        <w:pStyle w:val="Prrafodelista"/>
        <w:rPr>
          <w:rFonts w:cstheme="minorHAnsi"/>
          <w:sz w:val="24"/>
          <w:szCs w:val="24"/>
        </w:rPr>
      </w:pPr>
    </w:p>
    <w:p w:rsidR="00002237" w:rsidRDefault="009A4A64" w:rsidP="002F767F">
      <w:pPr>
        <w:pStyle w:val="Prrafodelista"/>
        <w:numPr>
          <w:ilvl w:val="0"/>
          <w:numId w:val="11"/>
        </w:numPr>
        <w:ind w:left="0" w:hanging="11"/>
        <w:jc w:val="both"/>
        <w:rPr>
          <w:rFonts w:cstheme="minorHAnsi"/>
          <w:sz w:val="24"/>
          <w:szCs w:val="24"/>
          <w:lang w:val="es-VE"/>
        </w:rPr>
      </w:pPr>
      <w:r w:rsidRPr="002F767F">
        <w:rPr>
          <w:rFonts w:cstheme="minorHAnsi"/>
          <w:b/>
          <w:sz w:val="24"/>
          <w:szCs w:val="24"/>
        </w:rPr>
        <w:t>Detención arbitraria, tratos degradantes y negación de defensa privada</w:t>
      </w:r>
      <w:r w:rsidRPr="00543842">
        <w:rPr>
          <w:rFonts w:cstheme="minorHAnsi"/>
          <w:sz w:val="24"/>
          <w:szCs w:val="24"/>
        </w:rPr>
        <w:t xml:space="preserve">: </w:t>
      </w:r>
      <w:r w:rsidR="008F39BC" w:rsidRPr="00543842">
        <w:rPr>
          <w:rFonts w:cstheme="minorHAnsi"/>
          <w:sz w:val="24"/>
          <w:szCs w:val="24"/>
        </w:rPr>
        <w:t xml:space="preserve">El 31.03.2023, </w:t>
      </w:r>
      <w:r w:rsidR="00002237" w:rsidRPr="00543842">
        <w:rPr>
          <w:rFonts w:cstheme="minorHAnsi"/>
          <w:sz w:val="24"/>
          <w:szCs w:val="24"/>
        </w:rPr>
        <w:t>El Equipo Local de Protección Anzoátegui, documento la detención arbitraria contra la activista</w:t>
      </w:r>
      <w:r w:rsidR="008F39BC" w:rsidRPr="00543842">
        <w:rPr>
          <w:rFonts w:cstheme="minorHAnsi"/>
          <w:sz w:val="24"/>
          <w:szCs w:val="24"/>
        </w:rPr>
        <w:t xml:space="preserve"> defensora LGBTTIQ+ del estado Anzoátegui</w:t>
      </w:r>
      <w:r w:rsidR="00002237" w:rsidRPr="00543842">
        <w:rPr>
          <w:rFonts w:cstheme="minorHAnsi"/>
          <w:sz w:val="24"/>
          <w:szCs w:val="24"/>
        </w:rPr>
        <w:t xml:space="preserve">, </w:t>
      </w:r>
      <w:proofErr w:type="spellStart"/>
      <w:r w:rsidR="008F39BC" w:rsidRPr="00543842">
        <w:rPr>
          <w:rFonts w:cstheme="minorHAnsi"/>
          <w:sz w:val="24"/>
          <w:szCs w:val="24"/>
        </w:rPr>
        <w:t>Zikiu</w:t>
      </w:r>
      <w:proofErr w:type="spellEnd"/>
      <w:r w:rsidR="008F39BC" w:rsidRPr="00543842">
        <w:rPr>
          <w:rFonts w:cstheme="minorHAnsi"/>
          <w:sz w:val="24"/>
          <w:szCs w:val="24"/>
        </w:rPr>
        <w:t xml:space="preserve"> Rivas por </w:t>
      </w:r>
      <w:r w:rsidR="00002237" w:rsidRPr="00543842">
        <w:rPr>
          <w:rFonts w:cstheme="minorHAnsi"/>
          <w:sz w:val="24"/>
          <w:szCs w:val="24"/>
        </w:rPr>
        <w:t xml:space="preserve">criticar en público al alcalde de </w:t>
      </w:r>
      <w:proofErr w:type="spellStart"/>
      <w:r w:rsidR="00002237" w:rsidRPr="00543842">
        <w:rPr>
          <w:rFonts w:cstheme="minorHAnsi"/>
          <w:sz w:val="24"/>
          <w:szCs w:val="24"/>
        </w:rPr>
        <w:t>Piritu</w:t>
      </w:r>
      <w:proofErr w:type="spellEnd"/>
      <w:r w:rsidR="00002237" w:rsidRPr="00543842">
        <w:rPr>
          <w:rFonts w:cstheme="minorHAnsi"/>
          <w:sz w:val="24"/>
          <w:szCs w:val="24"/>
        </w:rPr>
        <w:t xml:space="preserve"> Jesús Méndez. </w:t>
      </w:r>
      <w:proofErr w:type="spellStart"/>
      <w:r w:rsidR="00002237" w:rsidRPr="00543842">
        <w:rPr>
          <w:rFonts w:cstheme="minorHAnsi"/>
          <w:sz w:val="24"/>
          <w:szCs w:val="24"/>
        </w:rPr>
        <w:t>Zikiu</w:t>
      </w:r>
      <w:proofErr w:type="spellEnd"/>
      <w:r w:rsidR="00002237" w:rsidRPr="00543842">
        <w:rPr>
          <w:rFonts w:cstheme="minorHAnsi"/>
          <w:sz w:val="24"/>
          <w:szCs w:val="24"/>
        </w:rPr>
        <w:t xml:space="preserve"> Defensora y mujer </w:t>
      </w:r>
      <w:proofErr w:type="spellStart"/>
      <w:r w:rsidR="00002237" w:rsidRPr="00543842">
        <w:rPr>
          <w:rFonts w:cstheme="minorHAnsi"/>
          <w:sz w:val="24"/>
          <w:szCs w:val="24"/>
        </w:rPr>
        <w:t>trans</w:t>
      </w:r>
      <w:proofErr w:type="spellEnd"/>
      <w:r w:rsidR="00002237" w:rsidRPr="00543842">
        <w:rPr>
          <w:rFonts w:cstheme="minorHAnsi"/>
          <w:sz w:val="24"/>
          <w:szCs w:val="24"/>
        </w:rPr>
        <w:t xml:space="preserve"> fue promotora de la creación de la Dirección de la </w:t>
      </w:r>
      <w:proofErr w:type="spellStart"/>
      <w:r w:rsidR="00002237" w:rsidRPr="00543842">
        <w:rPr>
          <w:rFonts w:cstheme="minorHAnsi"/>
          <w:sz w:val="24"/>
          <w:szCs w:val="24"/>
        </w:rPr>
        <w:t>sexodiversidad</w:t>
      </w:r>
      <w:proofErr w:type="spellEnd"/>
      <w:r w:rsidR="00002237" w:rsidRPr="00543842">
        <w:rPr>
          <w:rFonts w:cstheme="minorHAnsi"/>
          <w:sz w:val="24"/>
          <w:szCs w:val="24"/>
        </w:rPr>
        <w:t xml:space="preserve"> de la Alcaldía de </w:t>
      </w:r>
      <w:proofErr w:type="spellStart"/>
      <w:r w:rsidR="00002237" w:rsidRPr="00543842">
        <w:rPr>
          <w:rFonts w:cstheme="minorHAnsi"/>
          <w:sz w:val="24"/>
          <w:szCs w:val="24"/>
        </w:rPr>
        <w:t>Píritu</w:t>
      </w:r>
      <w:proofErr w:type="spellEnd"/>
      <w:r w:rsidR="00002237" w:rsidRPr="00543842">
        <w:rPr>
          <w:rFonts w:cstheme="minorHAnsi"/>
          <w:sz w:val="24"/>
          <w:szCs w:val="24"/>
        </w:rPr>
        <w:t xml:space="preserve"> en el año 2019, fue abordada por la </w:t>
      </w:r>
      <w:r w:rsidR="00002237" w:rsidRPr="00543842">
        <w:rPr>
          <w:rFonts w:cstheme="minorHAnsi"/>
          <w:sz w:val="24"/>
          <w:szCs w:val="24"/>
          <w:lang w:val="es-VE"/>
        </w:rPr>
        <w:t xml:space="preserve">Policía Nacional Bolivariana (PNB) del municipio </w:t>
      </w:r>
      <w:proofErr w:type="spellStart"/>
      <w:r w:rsidR="00002237" w:rsidRPr="00543842">
        <w:rPr>
          <w:rFonts w:cstheme="minorHAnsi"/>
          <w:sz w:val="24"/>
          <w:szCs w:val="24"/>
          <w:lang w:val="es-VE"/>
        </w:rPr>
        <w:t>Píritu</w:t>
      </w:r>
      <w:proofErr w:type="spellEnd"/>
      <w:r w:rsidR="00002237" w:rsidRPr="00543842">
        <w:rPr>
          <w:rFonts w:cstheme="minorHAnsi"/>
          <w:sz w:val="24"/>
          <w:szCs w:val="24"/>
          <w:lang w:val="es-VE"/>
        </w:rPr>
        <w:t xml:space="preserve"> (</w:t>
      </w:r>
      <w:proofErr w:type="spellStart"/>
      <w:r w:rsidR="00002237" w:rsidRPr="00543842">
        <w:rPr>
          <w:rFonts w:cstheme="minorHAnsi"/>
          <w:sz w:val="24"/>
          <w:szCs w:val="24"/>
          <w:lang w:val="es-VE"/>
        </w:rPr>
        <w:t>Polianzoátegui</w:t>
      </w:r>
      <w:proofErr w:type="spellEnd"/>
      <w:r w:rsidR="00002237" w:rsidRPr="00543842">
        <w:rPr>
          <w:rFonts w:cstheme="minorHAnsi"/>
          <w:sz w:val="24"/>
          <w:szCs w:val="24"/>
          <w:lang w:val="es-VE"/>
        </w:rPr>
        <w:t xml:space="preserve">) y fue trasladada al Destacamento N° 03 de </w:t>
      </w:r>
      <w:proofErr w:type="spellStart"/>
      <w:r w:rsidR="00002237" w:rsidRPr="00543842">
        <w:rPr>
          <w:rFonts w:cstheme="minorHAnsi"/>
          <w:sz w:val="24"/>
          <w:szCs w:val="24"/>
          <w:lang w:val="es-VE"/>
        </w:rPr>
        <w:t>PoliAnzoátegui</w:t>
      </w:r>
      <w:proofErr w:type="spellEnd"/>
      <w:r w:rsidR="00002237" w:rsidRPr="00543842">
        <w:rPr>
          <w:rFonts w:cstheme="minorHAnsi"/>
          <w:sz w:val="24"/>
          <w:szCs w:val="24"/>
          <w:lang w:val="es-VE"/>
        </w:rPr>
        <w:t xml:space="preserve"> en </w:t>
      </w:r>
      <w:proofErr w:type="spellStart"/>
      <w:r w:rsidR="00002237" w:rsidRPr="00543842">
        <w:rPr>
          <w:rFonts w:cstheme="minorHAnsi"/>
          <w:sz w:val="24"/>
          <w:szCs w:val="24"/>
          <w:lang w:val="es-VE"/>
        </w:rPr>
        <w:t>Píritu</w:t>
      </w:r>
      <w:proofErr w:type="spellEnd"/>
      <w:r w:rsidR="00002237" w:rsidRPr="00543842">
        <w:rPr>
          <w:rFonts w:cstheme="minorHAnsi"/>
          <w:sz w:val="24"/>
          <w:szCs w:val="24"/>
          <w:lang w:val="es-VE"/>
        </w:rPr>
        <w:t xml:space="preserve">.  Sufrió amenazas de golpes, le ofrecieron agua sucia para beber, recluida en una celda con graves deficiencias higiénicas. Trasladada al tribunal Penal de Primera instancia Estadales y Municipales en Funciones de control, en Barcelona, le negaron un abogado de su confianza, siendo liberada por no cometer ningún delito. </w:t>
      </w:r>
    </w:p>
    <w:p w:rsidR="002F767F" w:rsidRPr="002F767F" w:rsidRDefault="002F767F" w:rsidP="002F767F">
      <w:pPr>
        <w:pStyle w:val="Prrafodelista"/>
        <w:rPr>
          <w:rFonts w:cstheme="minorHAnsi"/>
          <w:sz w:val="24"/>
          <w:szCs w:val="24"/>
          <w:lang w:val="es-VE"/>
        </w:rPr>
      </w:pPr>
    </w:p>
    <w:p w:rsidR="00002237" w:rsidRDefault="009A4A64" w:rsidP="002F767F">
      <w:pPr>
        <w:pStyle w:val="Prrafodelista"/>
        <w:numPr>
          <w:ilvl w:val="0"/>
          <w:numId w:val="11"/>
        </w:numPr>
        <w:ind w:left="0" w:hanging="11"/>
        <w:jc w:val="both"/>
        <w:rPr>
          <w:rFonts w:cstheme="minorHAnsi"/>
          <w:sz w:val="24"/>
          <w:szCs w:val="24"/>
          <w:lang w:val="es-VE"/>
        </w:rPr>
      </w:pPr>
      <w:r w:rsidRPr="002F767F">
        <w:rPr>
          <w:rFonts w:cstheme="minorHAnsi"/>
          <w:b/>
          <w:sz w:val="24"/>
          <w:szCs w:val="24"/>
          <w:lang w:val="es-VE"/>
        </w:rPr>
        <w:t>Investigación penal por un Tuit:</w:t>
      </w:r>
      <w:r w:rsidRPr="00543842">
        <w:rPr>
          <w:rFonts w:cstheme="minorHAnsi"/>
          <w:sz w:val="24"/>
          <w:szCs w:val="24"/>
          <w:lang w:val="es-VE"/>
        </w:rPr>
        <w:t xml:space="preserve"> El Equipo local de Protección Táchira acompañó y documentó que el 05 de mayo de 2023, al periodista Gustavo Azocar Alcalá</w:t>
      </w:r>
      <w:r w:rsidRPr="00543842">
        <w:rPr>
          <w:rFonts w:cstheme="minorHAnsi"/>
          <w:sz w:val="24"/>
          <w:szCs w:val="24"/>
        </w:rPr>
        <w:t xml:space="preserve">, fue citado por el </w:t>
      </w:r>
      <w:r w:rsidRPr="00543842">
        <w:rPr>
          <w:rFonts w:cstheme="minorHAnsi"/>
          <w:sz w:val="24"/>
          <w:szCs w:val="24"/>
          <w:lang w:val="es-VE"/>
        </w:rPr>
        <w:t>Fiscal Auxiliar Interino, de la Fiscalía Décimo Octava (18°) del Ministerio Público Alfredo José Buitrago Méndez,</w:t>
      </w:r>
      <w:r w:rsidRPr="00543842">
        <w:rPr>
          <w:rFonts w:cstheme="minorHAnsi"/>
          <w:sz w:val="24"/>
          <w:szCs w:val="24"/>
        </w:rPr>
        <w:t xml:space="preserve"> </w:t>
      </w:r>
      <w:r w:rsidRPr="00543842">
        <w:rPr>
          <w:rFonts w:cstheme="minorHAnsi"/>
          <w:sz w:val="24"/>
          <w:szCs w:val="24"/>
          <w:lang w:val="es-VE"/>
        </w:rPr>
        <w:t xml:space="preserve">por hacer un </w:t>
      </w:r>
      <w:proofErr w:type="spellStart"/>
      <w:r w:rsidRPr="00543842">
        <w:rPr>
          <w:rFonts w:cstheme="minorHAnsi"/>
          <w:sz w:val="24"/>
          <w:szCs w:val="24"/>
          <w:lang w:val="es-VE"/>
        </w:rPr>
        <w:t>repost</w:t>
      </w:r>
      <w:proofErr w:type="spellEnd"/>
      <w:r w:rsidRPr="00543842">
        <w:rPr>
          <w:rFonts w:cstheme="minorHAnsi"/>
          <w:sz w:val="24"/>
          <w:szCs w:val="24"/>
          <w:lang w:val="es-VE"/>
        </w:rPr>
        <w:t xml:space="preserve"> de una publicación en Twitter de los portales de noticias de Diario la Nación de la ciudadana </w:t>
      </w:r>
      <w:proofErr w:type="spellStart"/>
      <w:r w:rsidRPr="00543842">
        <w:rPr>
          <w:rFonts w:cstheme="minorHAnsi"/>
          <w:sz w:val="24"/>
          <w:szCs w:val="24"/>
          <w:lang w:val="es-VE"/>
        </w:rPr>
        <w:t>Nellyver</w:t>
      </w:r>
      <w:proofErr w:type="spellEnd"/>
      <w:r w:rsidRPr="00543842">
        <w:rPr>
          <w:rFonts w:cstheme="minorHAnsi"/>
          <w:sz w:val="24"/>
          <w:szCs w:val="24"/>
          <w:lang w:val="es-VE"/>
        </w:rPr>
        <w:t xml:space="preserve"> Lugo (activista del PSUV) donde se vinculaba con actos de corrupción. Siendo imputado por el delito de ofensa pública y violencia informática establecido en la ley orgánica sobre el derecho a las mujeres a una vida libre de violencia. Resalta que se le prohibió al periodista declarar quien es la denunciante.</w:t>
      </w:r>
    </w:p>
    <w:p w:rsidR="002F767F" w:rsidRPr="002F767F" w:rsidRDefault="002F767F" w:rsidP="002F767F">
      <w:pPr>
        <w:pStyle w:val="Prrafodelista"/>
        <w:rPr>
          <w:rFonts w:cstheme="minorHAnsi"/>
          <w:sz w:val="24"/>
          <w:szCs w:val="24"/>
          <w:lang w:val="es-VE"/>
        </w:rPr>
      </w:pPr>
    </w:p>
    <w:p w:rsidR="002F767F" w:rsidRDefault="00CC4041" w:rsidP="002F767F">
      <w:pPr>
        <w:pStyle w:val="Prrafodelista"/>
        <w:numPr>
          <w:ilvl w:val="0"/>
          <w:numId w:val="11"/>
        </w:numPr>
        <w:ind w:left="0" w:hanging="11"/>
        <w:jc w:val="both"/>
        <w:rPr>
          <w:rFonts w:cstheme="minorHAnsi"/>
          <w:sz w:val="24"/>
          <w:szCs w:val="24"/>
        </w:rPr>
      </w:pPr>
      <w:r w:rsidRPr="002F767F">
        <w:rPr>
          <w:rFonts w:cstheme="minorHAnsi"/>
          <w:b/>
          <w:sz w:val="24"/>
          <w:szCs w:val="24"/>
          <w:lang w:val="es-VE"/>
        </w:rPr>
        <w:lastRenderedPageBreak/>
        <w:t>Secuestro y agresiones físicas</w:t>
      </w:r>
      <w:r w:rsidR="00E8760B" w:rsidRPr="002F767F">
        <w:rPr>
          <w:rFonts w:cstheme="minorHAnsi"/>
          <w:b/>
          <w:sz w:val="24"/>
          <w:szCs w:val="24"/>
          <w:lang w:val="es-VE"/>
        </w:rPr>
        <w:t xml:space="preserve"> contra familiar de sindicalista</w:t>
      </w:r>
      <w:r w:rsidRPr="002F767F">
        <w:rPr>
          <w:rFonts w:cstheme="minorHAnsi"/>
          <w:b/>
          <w:sz w:val="24"/>
          <w:szCs w:val="24"/>
          <w:lang w:val="es-VE"/>
        </w:rPr>
        <w:t>:</w:t>
      </w:r>
      <w:r w:rsidRPr="00543842">
        <w:rPr>
          <w:rFonts w:cstheme="minorHAnsi"/>
          <w:sz w:val="24"/>
          <w:szCs w:val="24"/>
          <w:lang w:val="es-VE"/>
        </w:rPr>
        <w:t xml:space="preserve"> </w:t>
      </w:r>
      <w:r w:rsidR="002D3F29" w:rsidRPr="00543842">
        <w:rPr>
          <w:rFonts w:cstheme="minorHAnsi"/>
          <w:sz w:val="24"/>
          <w:szCs w:val="24"/>
          <w:lang w:val="es-VE"/>
        </w:rPr>
        <w:t xml:space="preserve">El Equipo local de protección Lara, documentó el hostigamiento y agresiones contra hijo del defensor Julio Marín. </w:t>
      </w:r>
      <w:r w:rsidR="00E8760B" w:rsidRPr="00543842">
        <w:rPr>
          <w:rFonts w:cstheme="minorHAnsi"/>
          <w:sz w:val="24"/>
          <w:szCs w:val="24"/>
          <w:lang w:val="es-VE"/>
        </w:rPr>
        <w:t xml:space="preserve">En enero 2023, </w:t>
      </w:r>
      <w:r w:rsidR="002D3F29" w:rsidRPr="00543842">
        <w:rPr>
          <w:rFonts w:cstheme="minorHAnsi"/>
          <w:sz w:val="24"/>
          <w:szCs w:val="24"/>
          <w:lang w:val="es-VE"/>
        </w:rPr>
        <w:t xml:space="preserve">el </w:t>
      </w:r>
      <w:r w:rsidRPr="00543842">
        <w:rPr>
          <w:rFonts w:cstheme="minorHAnsi"/>
          <w:sz w:val="24"/>
          <w:szCs w:val="24"/>
        </w:rPr>
        <w:t>representante del Sindicato de empleados de la Gobernación de Lara</w:t>
      </w:r>
      <w:r w:rsidRPr="00543842">
        <w:rPr>
          <w:rFonts w:cstheme="minorHAnsi"/>
          <w:sz w:val="24"/>
          <w:szCs w:val="24"/>
          <w:lang w:val="es-VE"/>
        </w:rPr>
        <w:t>,</w:t>
      </w:r>
      <w:r w:rsidR="002D3F29" w:rsidRPr="00543842">
        <w:rPr>
          <w:rFonts w:cstheme="minorHAnsi"/>
          <w:sz w:val="24"/>
          <w:szCs w:val="24"/>
          <w:lang w:val="es-VE"/>
        </w:rPr>
        <w:t xml:space="preserve"> Julio Marín</w:t>
      </w:r>
      <w:r w:rsidRPr="00543842">
        <w:rPr>
          <w:rFonts w:cstheme="minorHAnsi"/>
          <w:sz w:val="24"/>
          <w:szCs w:val="24"/>
          <w:lang w:val="es-VE"/>
        </w:rPr>
        <w:t xml:space="preserve"> participó en una manifestación </w:t>
      </w:r>
      <w:r w:rsidR="00E8760B" w:rsidRPr="00543842">
        <w:rPr>
          <w:rFonts w:cstheme="minorHAnsi"/>
          <w:sz w:val="24"/>
          <w:szCs w:val="24"/>
          <w:lang w:val="es-VE"/>
        </w:rPr>
        <w:t xml:space="preserve">pacífica convocada por el </w:t>
      </w:r>
      <w:r w:rsidR="001D45BA" w:rsidRPr="00543842">
        <w:rPr>
          <w:rFonts w:cstheme="minorHAnsi"/>
          <w:sz w:val="24"/>
          <w:szCs w:val="24"/>
        </w:rPr>
        <w:t xml:space="preserve">Colegio de Médicos del estado Lara por la precariedad del sistema sanitario regional y por el rechazo de los salarios y sueldos. </w:t>
      </w:r>
      <w:r w:rsidR="00E8760B" w:rsidRPr="00543842">
        <w:rPr>
          <w:rFonts w:cstheme="minorHAnsi"/>
          <w:sz w:val="24"/>
          <w:szCs w:val="24"/>
        </w:rPr>
        <w:t>Allí manifestantes fueron intimidados</w:t>
      </w:r>
      <w:r w:rsidR="001D45BA" w:rsidRPr="00543842">
        <w:rPr>
          <w:rFonts w:cstheme="minorHAnsi"/>
          <w:sz w:val="24"/>
          <w:szCs w:val="24"/>
        </w:rPr>
        <w:t xml:space="preserve"> por al menos 8 funcionarios y </w:t>
      </w:r>
      <w:r w:rsidR="00E8760B" w:rsidRPr="00543842">
        <w:rPr>
          <w:rFonts w:cstheme="minorHAnsi"/>
          <w:sz w:val="24"/>
          <w:szCs w:val="24"/>
        </w:rPr>
        <w:t xml:space="preserve">por personal de la Gobernación de Lara vestidos de civil quienes les pidieron identificación y lo fotografiaron. El 21 de enero, la vivienda de Julio Marín fue rondada por vehículos del Servicio Bolivariano de Inteligencia Nacional (SEBIN), El </w:t>
      </w:r>
      <w:r w:rsidR="001D45BA" w:rsidRPr="00543842">
        <w:rPr>
          <w:rFonts w:cstheme="minorHAnsi"/>
          <w:sz w:val="24"/>
          <w:szCs w:val="24"/>
        </w:rPr>
        <w:t>24 de enero en el Ministerio Público interpuso una denuncia por el hostigamiento</w:t>
      </w:r>
      <w:r w:rsidR="001D45BA" w:rsidRPr="004D4825">
        <w:rPr>
          <w:rStyle w:val="Refdenotaalpie"/>
          <w:rFonts w:cstheme="minorHAnsi"/>
          <w:sz w:val="24"/>
          <w:szCs w:val="24"/>
        </w:rPr>
        <w:footnoteReference w:id="11"/>
      </w:r>
      <w:r w:rsidR="001D45BA" w:rsidRPr="00543842">
        <w:rPr>
          <w:rFonts w:cstheme="minorHAnsi"/>
          <w:sz w:val="24"/>
          <w:szCs w:val="24"/>
        </w:rPr>
        <w:t xml:space="preserve"> y solicitaron una medida de protección, fueron acompañados por la ONG Movimiento </w:t>
      </w:r>
      <w:proofErr w:type="spellStart"/>
      <w:r w:rsidR="001D45BA" w:rsidRPr="00543842">
        <w:rPr>
          <w:rFonts w:cstheme="minorHAnsi"/>
          <w:sz w:val="24"/>
          <w:szCs w:val="24"/>
        </w:rPr>
        <w:t>Vinotinto</w:t>
      </w:r>
      <w:proofErr w:type="spellEnd"/>
      <w:r w:rsidR="001D45BA" w:rsidRPr="00543842">
        <w:rPr>
          <w:rFonts w:cstheme="minorHAnsi"/>
          <w:sz w:val="24"/>
          <w:szCs w:val="24"/>
        </w:rPr>
        <w:t>. Ese mismo día</w:t>
      </w:r>
      <w:r w:rsidR="00E8760B" w:rsidRPr="00543842">
        <w:rPr>
          <w:rFonts w:cstheme="minorHAnsi"/>
          <w:sz w:val="24"/>
          <w:szCs w:val="24"/>
        </w:rPr>
        <w:t>,</w:t>
      </w:r>
      <w:r w:rsidR="001D45BA" w:rsidRPr="00543842">
        <w:rPr>
          <w:rFonts w:cstheme="minorHAnsi"/>
          <w:sz w:val="24"/>
          <w:szCs w:val="24"/>
        </w:rPr>
        <w:t xml:space="preserve"> Marín a través de los medios de comunicación de la región denunció la persecución en su contra.</w:t>
      </w:r>
      <w:r w:rsidR="00E8760B" w:rsidRPr="00543842">
        <w:rPr>
          <w:rFonts w:cstheme="minorHAnsi"/>
          <w:sz w:val="24"/>
          <w:szCs w:val="24"/>
        </w:rPr>
        <w:t xml:space="preserve"> </w:t>
      </w:r>
      <w:r w:rsidR="001D45BA" w:rsidRPr="00543842">
        <w:rPr>
          <w:rFonts w:cstheme="minorHAnsi"/>
          <w:sz w:val="24"/>
          <w:szCs w:val="24"/>
        </w:rPr>
        <w:t xml:space="preserve">El 26 de enero </w:t>
      </w:r>
      <w:r w:rsidR="009126CC" w:rsidRPr="00543842">
        <w:rPr>
          <w:rFonts w:cstheme="minorHAnsi"/>
          <w:sz w:val="24"/>
          <w:szCs w:val="24"/>
        </w:rPr>
        <w:t xml:space="preserve">2023, </w:t>
      </w:r>
      <w:r w:rsidR="00E8760B" w:rsidRPr="00543842">
        <w:rPr>
          <w:rFonts w:cstheme="minorHAnsi"/>
          <w:sz w:val="24"/>
          <w:szCs w:val="24"/>
        </w:rPr>
        <w:t xml:space="preserve">el hijo del sindicalista </w:t>
      </w:r>
      <w:r w:rsidR="001D45BA" w:rsidRPr="00543842">
        <w:rPr>
          <w:rFonts w:cstheme="minorHAnsi"/>
          <w:sz w:val="24"/>
          <w:szCs w:val="24"/>
        </w:rPr>
        <w:t xml:space="preserve">Julio César Marín Castañeda, fue interceptado por cuatro hombres, vestidos de negro, con el rostro tapado y armados, sin identificación </w:t>
      </w:r>
      <w:r w:rsidR="00E8760B" w:rsidRPr="00543842">
        <w:rPr>
          <w:rFonts w:cstheme="minorHAnsi"/>
          <w:sz w:val="24"/>
          <w:szCs w:val="24"/>
        </w:rPr>
        <w:t xml:space="preserve">obligándolo a subir a </w:t>
      </w:r>
      <w:r w:rsidR="001D45BA" w:rsidRPr="00543842">
        <w:rPr>
          <w:rFonts w:cstheme="minorHAnsi"/>
          <w:sz w:val="24"/>
          <w:szCs w:val="24"/>
        </w:rPr>
        <w:t xml:space="preserve">un vehículo particular.  </w:t>
      </w:r>
      <w:r w:rsidR="00E8760B" w:rsidRPr="00543842">
        <w:rPr>
          <w:rFonts w:cstheme="minorHAnsi"/>
          <w:sz w:val="24"/>
          <w:szCs w:val="24"/>
        </w:rPr>
        <w:t>F</w:t>
      </w:r>
      <w:r w:rsidR="001D45BA" w:rsidRPr="00543842">
        <w:rPr>
          <w:rFonts w:cstheme="minorHAnsi"/>
          <w:sz w:val="24"/>
          <w:szCs w:val="24"/>
        </w:rPr>
        <w:t>ue privado de su libertad de forma ilegítima, fue golpeado y</w:t>
      </w:r>
      <w:r w:rsidR="00E8760B" w:rsidRPr="00543842">
        <w:rPr>
          <w:rFonts w:cstheme="minorHAnsi"/>
          <w:sz w:val="24"/>
          <w:szCs w:val="24"/>
        </w:rPr>
        <w:t xml:space="preserve"> amenazado, siendo abandonado</w:t>
      </w:r>
      <w:r w:rsidR="001D45BA" w:rsidRPr="00543842">
        <w:rPr>
          <w:rFonts w:cstheme="minorHAnsi"/>
          <w:sz w:val="24"/>
          <w:szCs w:val="24"/>
        </w:rPr>
        <w:t xml:space="preserve"> en la carrera </w:t>
      </w:r>
      <w:r w:rsidR="00E8760B" w:rsidRPr="00543842">
        <w:rPr>
          <w:rFonts w:cstheme="minorHAnsi"/>
          <w:sz w:val="24"/>
          <w:szCs w:val="24"/>
        </w:rPr>
        <w:t>21 con calle 56 de Barquisimeto, hecho</w:t>
      </w:r>
      <w:r w:rsidR="001D45BA" w:rsidRPr="00543842">
        <w:rPr>
          <w:rFonts w:cstheme="minorHAnsi"/>
          <w:sz w:val="24"/>
          <w:szCs w:val="24"/>
        </w:rPr>
        <w:t xml:space="preserve"> </w:t>
      </w:r>
      <w:r w:rsidR="00E8760B" w:rsidRPr="00543842">
        <w:rPr>
          <w:rFonts w:cstheme="minorHAnsi"/>
          <w:sz w:val="24"/>
          <w:szCs w:val="24"/>
        </w:rPr>
        <w:t>d</w:t>
      </w:r>
      <w:r w:rsidR="001D45BA" w:rsidRPr="00543842">
        <w:rPr>
          <w:rFonts w:cstheme="minorHAnsi"/>
          <w:sz w:val="24"/>
          <w:szCs w:val="24"/>
        </w:rPr>
        <w:t>enunciado en el Ministerio Público</w:t>
      </w:r>
      <w:r w:rsidR="009126CC" w:rsidRPr="00543842">
        <w:rPr>
          <w:rFonts w:cstheme="minorHAnsi"/>
          <w:sz w:val="24"/>
          <w:szCs w:val="24"/>
        </w:rPr>
        <w:t xml:space="preserve"> sin respuesta</w:t>
      </w:r>
      <w:r w:rsidR="001D45BA" w:rsidRPr="00543842">
        <w:rPr>
          <w:rFonts w:cstheme="minorHAnsi"/>
          <w:sz w:val="24"/>
          <w:szCs w:val="24"/>
        </w:rPr>
        <w:t xml:space="preserve">. </w:t>
      </w:r>
    </w:p>
    <w:p w:rsidR="002F767F" w:rsidRDefault="002F767F" w:rsidP="002F767F">
      <w:pPr>
        <w:pStyle w:val="Prrafodelista"/>
        <w:ind w:left="0"/>
        <w:jc w:val="both"/>
        <w:rPr>
          <w:rFonts w:cstheme="minorHAnsi"/>
          <w:sz w:val="24"/>
          <w:szCs w:val="24"/>
        </w:rPr>
      </w:pPr>
    </w:p>
    <w:p w:rsidR="00E67A7E" w:rsidRPr="002F767F" w:rsidRDefault="004552C3" w:rsidP="002F767F">
      <w:pPr>
        <w:pStyle w:val="Prrafodelista"/>
        <w:numPr>
          <w:ilvl w:val="0"/>
          <w:numId w:val="11"/>
        </w:numPr>
        <w:ind w:left="0" w:hanging="11"/>
        <w:jc w:val="both"/>
        <w:rPr>
          <w:rFonts w:cstheme="minorHAnsi"/>
          <w:sz w:val="24"/>
          <w:szCs w:val="24"/>
        </w:rPr>
      </w:pPr>
      <w:r w:rsidRPr="002F767F">
        <w:rPr>
          <w:rFonts w:eastAsia="Times New Roman" w:cstheme="minorHAnsi"/>
          <w:b/>
          <w:bCs/>
          <w:sz w:val="24"/>
          <w:szCs w:val="24"/>
        </w:rPr>
        <w:t>Grupos irregulares controlan, am</w:t>
      </w:r>
      <w:r w:rsidR="00E67A7E" w:rsidRPr="002F767F">
        <w:rPr>
          <w:rFonts w:eastAsia="Times New Roman" w:cstheme="minorHAnsi"/>
          <w:b/>
          <w:bCs/>
          <w:sz w:val="24"/>
          <w:szCs w:val="24"/>
        </w:rPr>
        <w:t>enazan la vida y seguridad personal:</w:t>
      </w:r>
      <w:r w:rsidR="00EE675C" w:rsidRPr="002F767F">
        <w:rPr>
          <w:rFonts w:eastAsia="Times New Roman" w:cstheme="minorHAnsi"/>
          <w:bCs/>
          <w:sz w:val="24"/>
          <w:szCs w:val="24"/>
        </w:rPr>
        <w:t xml:space="preserve"> </w:t>
      </w:r>
      <w:r w:rsidR="00E67A7E" w:rsidRPr="002F767F">
        <w:rPr>
          <w:rFonts w:eastAsia="Times New Roman" w:cstheme="minorHAnsi"/>
          <w:sz w:val="24"/>
          <w:szCs w:val="24"/>
        </w:rPr>
        <w:t>Grupos irregulares armados</w:t>
      </w:r>
      <w:r w:rsidR="00EE675C" w:rsidRPr="002F767F">
        <w:rPr>
          <w:rFonts w:eastAsia="Times New Roman" w:cstheme="minorHAnsi"/>
          <w:sz w:val="24"/>
          <w:szCs w:val="24"/>
        </w:rPr>
        <w:t xml:space="preserve"> diverso sino actúan con connivencia estatal en diferentes estados, comunidades y en zonas ricas en minería del país. Estructuras ilegales con poder de fuego, control territorial, códigos de convivencia, y con manejo de amplios sectores de la economía ilícita local. Sobre todo, en zonas donde el control y la garantía de la actuación del Estado no llega y que por acuerdos </w:t>
      </w:r>
      <w:r w:rsidRPr="002F767F">
        <w:rPr>
          <w:rFonts w:eastAsia="Times New Roman" w:cstheme="minorHAnsi"/>
          <w:sz w:val="24"/>
          <w:szCs w:val="24"/>
        </w:rPr>
        <w:t>h</w:t>
      </w:r>
      <w:r w:rsidR="00EE675C" w:rsidRPr="002F767F">
        <w:rPr>
          <w:rFonts w:eastAsia="Times New Roman" w:cstheme="minorHAnsi"/>
          <w:sz w:val="24"/>
          <w:szCs w:val="24"/>
        </w:rPr>
        <w:t xml:space="preserve">a cedido a estos </w:t>
      </w:r>
      <w:proofErr w:type="spellStart"/>
      <w:r w:rsidR="00EE675C" w:rsidRPr="002F767F">
        <w:rPr>
          <w:rFonts w:eastAsia="Times New Roman" w:cstheme="minorHAnsi"/>
          <w:sz w:val="24"/>
          <w:szCs w:val="24"/>
        </w:rPr>
        <w:t>microestados</w:t>
      </w:r>
      <w:proofErr w:type="spellEnd"/>
      <w:r w:rsidR="00EE675C" w:rsidRPr="002F767F">
        <w:rPr>
          <w:rFonts w:eastAsia="Times New Roman" w:cstheme="minorHAnsi"/>
          <w:sz w:val="24"/>
          <w:szCs w:val="24"/>
        </w:rPr>
        <w:t xml:space="preserve"> sus obligaciones. Dejando con e</w:t>
      </w:r>
      <w:r w:rsidRPr="002F767F">
        <w:rPr>
          <w:rFonts w:eastAsia="Times New Roman" w:cstheme="minorHAnsi"/>
          <w:sz w:val="24"/>
          <w:szCs w:val="24"/>
        </w:rPr>
        <w:t>llo, en</w:t>
      </w:r>
      <w:r w:rsidR="00EE675C" w:rsidRPr="002F767F">
        <w:rPr>
          <w:rFonts w:eastAsia="Times New Roman" w:cstheme="minorHAnsi"/>
          <w:sz w:val="24"/>
          <w:szCs w:val="24"/>
        </w:rPr>
        <w:t xml:space="preserve"> total vulnerabilidad a sus moradores. Con especial recrudecimiento del control paraestatal en zonas remotas, territorios indígenas, y sectores populares. Allí la</w:t>
      </w:r>
      <w:r w:rsidR="00E67A7E" w:rsidRPr="002F767F">
        <w:rPr>
          <w:rFonts w:eastAsia="Times New Roman" w:cstheme="minorHAnsi"/>
          <w:sz w:val="24"/>
          <w:szCs w:val="24"/>
        </w:rPr>
        <w:t xml:space="preserve"> vigilancia, el control, el amedrentamiento contra Personas D</w:t>
      </w:r>
      <w:r w:rsidR="00EE675C" w:rsidRPr="002F767F">
        <w:rPr>
          <w:rFonts w:eastAsia="Times New Roman" w:cstheme="minorHAnsi"/>
          <w:sz w:val="24"/>
          <w:szCs w:val="24"/>
        </w:rPr>
        <w:t xml:space="preserve">efensoras se hace más evidente y más riesgoso. </w:t>
      </w:r>
    </w:p>
    <w:p w:rsidR="00447F0D" w:rsidRPr="002F767F" w:rsidRDefault="00447F0D" w:rsidP="004D4825">
      <w:pPr>
        <w:jc w:val="both"/>
        <w:rPr>
          <w:rFonts w:cstheme="minorHAnsi"/>
          <w:b/>
          <w:sz w:val="24"/>
          <w:szCs w:val="24"/>
          <w:lang w:val="es-VE"/>
        </w:rPr>
      </w:pPr>
      <w:r w:rsidRPr="002F767F">
        <w:rPr>
          <w:rFonts w:cstheme="minorHAnsi"/>
          <w:b/>
          <w:sz w:val="24"/>
          <w:szCs w:val="24"/>
          <w:lang w:val="es-VE"/>
        </w:rPr>
        <w:t>Recomendaciones.</w:t>
      </w:r>
    </w:p>
    <w:p w:rsidR="00C34EC6" w:rsidRDefault="00C34EC6" w:rsidP="002F767F">
      <w:pPr>
        <w:pStyle w:val="Prrafodelista"/>
        <w:numPr>
          <w:ilvl w:val="0"/>
          <w:numId w:val="11"/>
        </w:numPr>
        <w:ind w:left="0" w:hanging="11"/>
        <w:jc w:val="both"/>
        <w:rPr>
          <w:rFonts w:eastAsia="Times New Roman" w:cstheme="minorHAnsi"/>
          <w:sz w:val="24"/>
          <w:szCs w:val="24"/>
          <w:lang w:eastAsia="es-VE"/>
        </w:rPr>
      </w:pPr>
      <w:r w:rsidRPr="00543842">
        <w:rPr>
          <w:rFonts w:eastAsia="Times New Roman" w:cstheme="minorHAnsi"/>
          <w:sz w:val="24"/>
          <w:szCs w:val="24"/>
          <w:lang w:eastAsia="es-VE"/>
        </w:rPr>
        <w:t xml:space="preserve">La Libertad plena para defensores de derechos humanos que permanecen detenidas, con juicios abiertos, con medidas sustitutivas de libertad o condenados por informar, denunciar, documentar y colaborar con los SIPDH o manifestar pacíficamente por la garantía de derechos. </w:t>
      </w:r>
    </w:p>
    <w:p w:rsidR="002F767F" w:rsidRPr="00543842" w:rsidRDefault="002F767F" w:rsidP="002F767F">
      <w:pPr>
        <w:pStyle w:val="Prrafodelista"/>
        <w:ind w:left="0"/>
        <w:jc w:val="both"/>
        <w:rPr>
          <w:rFonts w:eastAsia="Times New Roman" w:cstheme="minorHAnsi"/>
          <w:sz w:val="24"/>
          <w:szCs w:val="24"/>
          <w:lang w:eastAsia="es-VE"/>
        </w:rPr>
      </w:pPr>
    </w:p>
    <w:p w:rsidR="00C34EC6" w:rsidRPr="00543842" w:rsidRDefault="00C34EC6" w:rsidP="002F767F">
      <w:pPr>
        <w:pStyle w:val="Prrafodelista"/>
        <w:numPr>
          <w:ilvl w:val="0"/>
          <w:numId w:val="11"/>
        </w:numPr>
        <w:ind w:left="0" w:hanging="11"/>
        <w:jc w:val="both"/>
        <w:rPr>
          <w:rFonts w:eastAsia="Times New Roman" w:cstheme="minorHAnsi"/>
          <w:sz w:val="24"/>
          <w:szCs w:val="24"/>
          <w:lang w:eastAsia="es-VE"/>
        </w:rPr>
      </w:pPr>
      <w:r w:rsidRPr="00543842">
        <w:rPr>
          <w:rFonts w:eastAsia="Times New Roman" w:cstheme="minorHAnsi"/>
          <w:sz w:val="24"/>
          <w:szCs w:val="24"/>
          <w:lang w:eastAsia="es-VE"/>
        </w:rPr>
        <w:t>Solicitar el cese de las detenciones arbitrarias y la judicialización de personas defensoras de derechos humanos por el ejercicio en defensa de derechos humanos, la manifestación pacífica, la denuncia, la documentación, el acompañamiento a víctimas.</w:t>
      </w:r>
    </w:p>
    <w:p w:rsidR="00C34EC6" w:rsidRDefault="00C34EC6" w:rsidP="002F767F">
      <w:pPr>
        <w:pStyle w:val="Prrafodelista"/>
        <w:numPr>
          <w:ilvl w:val="0"/>
          <w:numId w:val="11"/>
        </w:numPr>
        <w:ind w:left="0" w:hanging="11"/>
        <w:jc w:val="both"/>
        <w:rPr>
          <w:rFonts w:eastAsia="Times New Roman" w:cstheme="minorHAnsi"/>
          <w:sz w:val="24"/>
          <w:szCs w:val="24"/>
          <w:lang w:eastAsia="es-VE"/>
        </w:rPr>
      </w:pPr>
      <w:r w:rsidRPr="00543842">
        <w:rPr>
          <w:rFonts w:eastAsia="Times New Roman" w:cstheme="minorHAnsi"/>
          <w:sz w:val="24"/>
          <w:szCs w:val="24"/>
          <w:lang w:eastAsia="es-VE"/>
        </w:rPr>
        <w:lastRenderedPageBreak/>
        <w:t xml:space="preserve">Liberación de los trabajadores detenidos y el cierre de todos los procesos penales contra trabajadores que ejercen su legítimo derecho a la protesta. Asimismo, el cese de las medidas intimidatorias en contra de las familias y compañeros de labores de los trabajadores que han sido portavoces del descontento salarial y violaciones de los pactos contractuales. </w:t>
      </w:r>
    </w:p>
    <w:p w:rsidR="002F767F" w:rsidRPr="00543842" w:rsidRDefault="002F767F" w:rsidP="002F767F">
      <w:pPr>
        <w:pStyle w:val="Prrafodelista"/>
        <w:ind w:left="0"/>
        <w:jc w:val="both"/>
        <w:rPr>
          <w:rFonts w:eastAsia="Times New Roman" w:cstheme="minorHAnsi"/>
          <w:sz w:val="24"/>
          <w:szCs w:val="24"/>
          <w:lang w:eastAsia="es-VE"/>
        </w:rPr>
      </w:pPr>
    </w:p>
    <w:p w:rsidR="00C34EC6" w:rsidRPr="00543842" w:rsidRDefault="00C34EC6" w:rsidP="002F767F">
      <w:pPr>
        <w:pStyle w:val="Prrafodelista"/>
        <w:numPr>
          <w:ilvl w:val="0"/>
          <w:numId w:val="11"/>
        </w:numPr>
        <w:ind w:left="0" w:hanging="11"/>
        <w:jc w:val="both"/>
        <w:rPr>
          <w:rFonts w:eastAsia="Times New Roman" w:cstheme="minorHAnsi"/>
          <w:sz w:val="24"/>
          <w:szCs w:val="24"/>
          <w:lang w:eastAsia="es-VE"/>
        </w:rPr>
      </w:pPr>
      <w:r w:rsidRPr="00543842">
        <w:rPr>
          <w:rFonts w:eastAsia="Times New Roman" w:cstheme="minorHAnsi"/>
          <w:sz w:val="24"/>
          <w:szCs w:val="24"/>
          <w:lang w:eastAsia="es-VE"/>
        </w:rPr>
        <w:t>Cumplir con las recomendaciones de la Oficina del Alto Comisionado de Derechos Humanos de Naciones Unidas con respecto a garantizar el derecho de asociación de los trabajadores, el ejercicio de libertad sindical y obtenerse de seguir usando el sistema de justicia como instrumento de represión contra el movimiento sindical</w:t>
      </w:r>
    </w:p>
    <w:p w:rsidR="009126CC" w:rsidRPr="004D4825" w:rsidRDefault="002D3F29" w:rsidP="004D4825">
      <w:pPr>
        <w:jc w:val="both"/>
        <w:rPr>
          <w:rFonts w:cstheme="minorHAnsi"/>
          <w:sz w:val="24"/>
          <w:szCs w:val="24"/>
          <w:lang w:val="es-VE"/>
        </w:rPr>
      </w:pPr>
      <w:r w:rsidRPr="002F767F">
        <w:rPr>
          <w:rFonts w:eastAsia="Times New Roman" w:cstheme="minorHAnsi"/>
          <w:b/>
          <w:sz w:val="24"/>
          <w:szCs w:val="24"/>
          <w:lang w:eastAsia="es-VE"/>
        </w:rPr>
        <w:t>Artículo 14. Debido Proceso</w:t>
      </w:r>
      <w:r w:rsidRPr="004D4825">
        <w:rPr>
          <w:rFonts w:eastAsia="Times New Roman" w:cstheme="minorHAnsi"/>
          <w:sz w:val="24"/>
          <w:szCs w:val="24"/>
          <w:lang w:eastAsia="es-VE"/>
        </w:rPr>
        <w:t>.</w:t>
      </w:r>
      <w:r w:rsidR="005256A5" w:rsidRPr="004D4825">
        <w:rPr>
          <w:rFonts w:eastAsia="Times New Roman" w:cstheme="minorHAnsi"/>
          <w:sz w:val="24"/>
          <w:szCs w:val="24"/>
          <w:lang w:eastAsia="es-VE"/>
        </w:rPr>
        <w:t xml:space="preserve"> </w:t>
      </w:r>
    </w:p>
    <w:p w:rsidR="005256A5" w:rsidRDefault="005256A5" w:rsidP="002F767F">
      <w:pPr>
        <w:pStyle w:val="Prrafodelista"/>
        <w:numPr>
          <w:ilvl w:val="0"/>
          <w:numId w:val="11"/>
        </w:numPr>
        <w:ind w:left="0" w:hanging="11"/>
        <w:jc w:val="both"/>
        <w:rPr>
          <w:rFonts w:cstheme="minorHAnsi"/>
          <w:sz w:val="24"/>
          <w:szCs w:val="24"/>
          <w:lang w:val="es-419"/>
        </w:rPr>
      </w:pPr>
      <w:r w:rsidRPr="002F767F">
        <w:rPr>
          <w:rFonts w:cstheme="minorHAnsi"/>
          <w:b/>
          <w:sz w:val="24"/>
          <w:szCs w:val="24"/>
          <w:lang w:val="es-419"/>
        </w:rPr>
        <w:t>Juicio por denunciar dilaciones indebidas</w:t>
      </w:r>
      <w:r w:rsidR="004F6A8B" w:rsidRPr="00543842">
        <w:rPr>
          <w:rFonts w:cstheme="minorHAnsi"/>
          <w:sz w:val="24"/>
          <w:szCs w:val="24"/>
          <w:lang w:val="es-419"/>
        </w:rPr>
        <w:t>. En acompañamiento del Equipo Local P</w:t>
      </w:r>
      <w:r w:rsidRPr="00543842">
        <w:rPr>
          <w:rFonts w:cstheme="minorHAnsi"/>
          <w:sz w:val="24"/>
          <w:szCs w:val="24"/>
          <w:lang w:val="es-419"/>
        </w:rPr>
        <w:t xml:space="preserve">rotección Apure, se documentó que el día 19 de </w:t>
      </w:r>
      <w:r w:rsidR="00E946C5" w:rsidRPr="00543842">
        <w:rPr>
          <w:rFonts w:cstheme="minorHAnsi"/>
          <w:sz w:val="24"/>
          <w:szCs w:val="24"/>
          <w:lang w:val="es-419"/>
        </w:rPr>
        <w:t>junio</w:t>
      </w:r>
      <w:r w:rsidRPr="00543842">
        <w:rPr>
          <w:rFonts w:cstheme="minorHAnsi"/>
          <w:sz w:val="24"/>
          <w:szCs w:val="24"/>
          <w:lang w:val="es-419"/>
        </w:rPr>
        <w:t xml:space="preserve"> el </w:t>
      </w:r>
      <w:r w:rsidR="004F6A8B" w:rsidRPr="00543842">
        <w:rPr>
          <w:rFonts w:cstheme="minorHAnsi"/>
          <w:sz w:val="24"/>
          <w:szCs w:val="24"/>
          <w:lang w:val="es-419"/>
        </w:rPr>
        <w:t>defensor y a</w:t>
      </w:r>
      <w:r w:rsidRPr="00543842">
        <w:rPr>
          <w:rFonts w:cstheme="minorHAnsi"/>
          <w:sz w:val="24"/>
          <w:szCs w:val="24"/>
          <w:lang w:val="es-419"/>
        </w:rPr>
        <w:t>bogado Leoncio Valera, fue sacado</w:t>
      </w:r>
      <w:r w:rsidR="004F6A8B" w:rsidRPr="00543842">
        <w:rPr>
          <w:rFonts w:cstheme="minorHAnsi"/>
          <w:sz w:val="24"/>
          <w:szCs w:val="24"/>
          <w:lang w:val="es-419"/>
        </w:rPr>
        <w:t xml:space="preserve"> esposado</w:t>
      </w:r>
      <w:r w:rsidRPr="00543842">
        <w:rPr>
          <w:rFonts w:cstheme="minorHAnsi"/>
          <w:sz w:val="24"/>
          <w:szCs w:val="24"/>
          <w:lang w:val="es-419"/>
        </w:rPr>
        <w:t xml:space="preserve"> de la sede de los Tribunales Municipales penales, </w:t>
      </w:r>
      <w:r w:rsidR="004F6A8B" w:rsidRPr="00543842">
        <w:rPr>
          <w:rFonts w:cstheme="minorHAnsi"/>
          <w:sz w:val="24"/>
          <w:szCs w:val="24"/>
          <w:lang w:val="es-419"/>
        </w:rPr>
        <w:t xml:space="preserve">tras hacer </w:t>
      </w:r>
      <w:r w:rsidR="00934659" w:rsidRPr="00543842">
        <w:rPr>
          <w:rFonts w:cstheme="minorHAnsi"/>
          <w:sz w:val="24"/>
          <w:szCs w:val="24"/>
          <w:lang w:val="es-419"/>
        </w:rPr>
        <w:t xml:space="preserve">un reclamo por </w:t>
      </w:r>
      <w:r w:rsidRPr="00543842">
        <w:rPr>
          <w:rFonts w:cstheme="minorHAnsi"/>
          <w:sz w:val="24"/>
          <w:szCs w:val="24"/>
          <w:lang w:val="es-419"/>
        </w:rPr>
        <w:t>el cambio de hora de las audiencias,</w:t>
      </w:r>
      <w:r w:rsidR="004F6A8B" w:rsidRPr="00543842">
        <w:rPr>
          <w:rFonts w:cstheme="minorHAnsi"/>
          <w:sz w:val="24"/>
          <w:szCs w:val="24"/>
          <w:lang w:val="es-419"/>
        </w:rPr>
        <w:t xml:space="preserve"> hecho recurrente en los tribunales retrasando los procesos por </w:t>
      </w:r>
      <w:r w:rsidR="00E946C5" w:rsidRPr="00543842">
        <w:rPr>
          <w:rFonts w:cstheme="minorHAnsi"/>
          <w:sz w:val="24"/>
          <w:szCs w:val="24"/>
          <w:lang w:val="es-419"/>
        </w:rPr>
        <w:t>las ausencias injustificadas</w:t>
      </w:r>
      <w:r w:rsidR="004F6A8B" w:rsidRPr="00543842">
        <w:rPr>
          <w:rFonts w:cstheme="minorHAnsi"/>
          <w:sz w:val="24"/>
          <w:szCs w:val="24"/>
          <w:lang w:val="es-419"/>
        </w:rPr>
        <w:t xml:space="preserve"> </w:t>
      </w:r>
      <w:r w:rsidR="00934659" w:rsidRPr="00543842">
        <w:rPr>
          <w:rFonts w:cstheme="minorHAnsi"/>
          <w:sz w:val="24"/>
          <w:szCs w:val="24"/>
          <w:lang w:val="es-419"/>
        </w:rPr>
        <w:t>de fiscales</w:t>
      </w:r>
      <w:r w:rsidRPr="00543842">
        <w:rPr>
          <w:rFonts w:cstheme="minorHAnsi"/>
          <w:sz w:val="24"/>
          <w:szCs w:val="24"/>
          <w:lang w:val="es-419"/>
        </w:rPr>
        <w:t xml:space="preserve"> u otros motivos </w:t>
      </w:r>
      <w:r w:rsidR="004F6A8B" w:rsidRPr="00543842">
        <w:rPr>
          <w:rFonts w:cstheme="minorHAnsi"/>
          <w:sz w:val="24"/>
          <w:szCs w:val="24"/>
          <w:lang w:val="es-419"/>
        </w:rPr>
        <w:t xml:space="preserve">ilegales e improcedentes. Razón por la que el defensor </w:t>
      </w:r>
      <w:r w:rsidRPr="00543842">
        <w:rPr>
          <w:rFonts w:cstheme="minorHAnsi"/>
          <w:sz w:val="24"/>
          <w:szCs w:val="24"/>
          <w:lang w:val="es-419"/>
        </w:rPr>
        <w:t xml:space="preserve">fue presentado </w:t>
      </w:r>
      <w:r w:rsidR="004F6A8B" w:rsidRPr="00543842">
        <w:rPr>
          <w:rFonts w:cstheme="minorHAnsi"/>
          <w:sz w:val="24"/>
          <w:szCs w:val="24"/>
          <w:lang w:val="es-419"/>
        </w:rPr>
        <w:t xml:space="preserve">en tribunales y actualmente </w:t>
      </w:r>
      <w:r w:rsidRPr="00543842">
        <w:rPr>
          <w:rFonts w:cstheme="minorHAnsi"/>
          <w:sz w:val="24"/>
          <w:szCs w:val="24"/>
          <w:lang w:val="es-419"/>
        </w:rPr>
        <w:t>se encuentra sometido a un proceso</w:t>
      </w:r>
      <w:r w:rsidR="004F6A8B" w:rsidRPr="00543842">
        <w:rPr>
          <w:rFonts w:cstheme="minorHAnsi"/>
          <w:sz w:val="24"/>
          <w:szCs w:val="24"/>
          <w:lang w:val="es-419"/>
        </w:rPr>
        <w:t xml:space="preserve"> penal. S</w:t>
      </w:r>
      <w:r w:rsidRPr="00543842">
        <w:rPr>
          <w:rFonts w:cstheme="minorHAnsi"/>
          <w:sz w:val="24"/>
          <w:szCs w:val="24"/>
          <w:lang w:val="es-419"/>
        </w:rPr>
        <w:t xml:space="preserve">u audiencia se </w:t>
      </w:r>
      <w:r w:rsidR="004F6A8B" w:rsidRPr="00543842">
        <w:rPr>
          <w:rFonts w:cstheme="minorHAnsi"/>
          <w:sz w:val="24"/>
          <w:szCs w:val="24"/>
          <w:lang w:val="es-419"/>
        </w:rPr>
        <w:t>llevó</w:t>
      </w:r>
      <w:r w:rsidRPr="00543842">
        <w:rPr>
          <w:rFonts w:cstheme="minorHAnsi"/>
          <w:sz w:val="24"/>
          <w:szCs w:val="24"/>
          <w:lang w:val="es-419"/>
        </w:rPr>
        <w:t xml:space="preserve"> a cabo el día 21 de </w:t>
      </w:r>
      <w:r w:rsidR="004F6A8B" w:rsidRPr="00543842">
        <w:rPr>
          <w:rFonts w:cstheme="minorHAnsi"/>
          <w:sz w:val="24"/>
          <w:szCs w:val="24"/>
          <w:lang w:val="es-419"/>
        </w:rPr>
        <w:t>junio</w:t>
      </w:r>
      <w:r w:rsidRPr="00543842">
        <w:rPr>
          <w:rFonts w:cstheme="minorHAnsi"/>
          <w:sz w:val="24"/>
          <w:szCs w:val="24"/>
          <w:lang w:val="es-419"/>
        </w:rPr>
        <w:t xml:space="preserve"> </w:t>
      </w:r>
      <w:r w:rsidR="004F6A8B" w:rsidRPr="00543842">
        <w:rPr>
          <w:rFonts w:cstheme="minorHAnsi"/>
          <w:sz w:val="24"/>
          <w:szCs w:val="24"/>
          <w:lang w:val="es-419"/>
        </w:rPr>
        <w:t>de 2023. Aunque el defensor a interpuestos denuncias y recursos ante el Ministerio público, la defensoría del pueblo</w:t>
      </w:r>
      <w:r w:rsidR="00934659" w:rsidRPr="00543842">
        <w:rPr>
          <w:rFonts w:cstheme="minorHAnsi"/>
          <w:sz w:val="24"/>
          <w:szCs w:val="24"/>
          <w:lang w:val="es-419"/>
        </w:rPr>
        <w:t xml:space="preserve"> no ha tenido respuestas y</w:t>
      </w:r>
      <w:r w:rsidR="004F6A8B" w:rsidRPr="00543842">
        <w:rPr>
          <w:rFonts w:cstheme="minorHAnsi"/>
          <w:sz w:val="24"/>
          <w:szCs w:val="24"/>
          <w:lang w:val="es-419"/>
        </w:rPr>
        <w:t xml:space="preserve"> el juicio se mantiene.</w:t>
      </w:r>
    </w:p>
    <w:p w:rsidR="002F767F" w:rsidRPr="00543842" w:rsidRDefault="002F767F" w:rsidP="002F767F">
      <w:pPr>
        <w:pStyle w:val="Prrafodelista"/>
        <w:ind w:left="0"/>
        <w:jc w:val="both"/>
        <w:rPr>
          <w:rFonts w:cstheme="minorHAnsi"/>
          <w:sz w:val="24"/>
          <w:szCs w:val="24"/>
          <w:lang w:val="es-419"/>
        </w:rPr>
      </w:pPr>
    </w:p>
    <w:p w:rsidR="00C55EAA" w:rsidRDefault="00934659" w:rsidP="002F767F">
      <w:pPr>
        <w:pStyle w:val="Prrafodelista"/>
        <w:numPr>
          <w:ilvl w:val="0"/>
          <w:numId w:val="11"/>
        </w:numPr>
        <w:ind w:left="0" w:hanging="11"/>
        <w:jc w:val="both"/>
        <w:rPr>
          <w:rFonts w:cstheme="minorHAnsi"/>
          <w:sz w:val="24"/>
          <w:szCs w:val="24"/>
          <w:lang w:val="es-VE"/>
        </w:rPr>
      </w:pPr>
      <w:r w:rsidRPr="002F767F">
        <w:rPr>
          <w:rFonts w:cstheme="minorHAnsi"/>
          <w:b/>
          <w:sz w:val="24"/>
          <w:szCs w:val="24"/>
          <w:lang w:val="es-VE"/>
        </w:rPr>
        <w:t>Obstrucción a la labor de acompañamiento de las víctimas en procesos judiciales y penales</w:t>
      </w:r>
      <w:r w:rsidRPr="00543842">
        <w:rPr>
          <w:rFonts w:cstheme="minorHAnsi"/>
          <w:sz w:val="24"/>
          <w:szCs w:val="24"/>
          <w:lang w:val="es-VE"/>
        </w:rPr>
        <w:t>.</w:t>
      </w:r>
      <w:r w:rsidR="00E67A7E" w:rsidRPr="00543842">
        <w:rPr>
          <w:rFonts w:cstheme="minorHAnsi"/>
          <w:sz w:val="24"/>
          <w:szCs w:val="24"/>
          <w:lang w:val="es-VE"/>
        </w:rPr>
        <w:t xml:space="preserve"> </w:t>
      </w:r>
      <w:r w:rsidR="00C55EAA" w:rsidRPr="00543842">
        <w:rPr>
          <w:rFonts w:cstheme="minorHAnsi"/>
          <w:sz w:val="24"/>
          <w:szCs w:val="24"/>
          <w:lang w:val="es-VE"/>
        </w:rPr>
        <w:t xml:space="preserve">Víctimas, familiares de víctimas, beneficiarios y beneficiarias han constatado que reciben por parte de fiscales y jueces exhortos a abandonar el acompañamiento por parte de Personas defensoras. En algunos casos Personas defensoras han debido abandonar casos por amenaza de los jueces de dictar privativa de libertad a las víctimas si la defensa es asumida por ellos.  Se han documentado casos de amenazas contra la integridad y vida por llevar algunos casos emblemáticos; así como intimidación para que no hagan denuncias públicas con amenazas de paralizar procesos judiciales que acompañan. Un patrón con mayor </w:t>
      </w:r>
      <w:proofErr w:type="spellStart"/>
      <w:r w:rsidR="00C55EAA" w:rsidRPr="00543842">
        <w:rPr>
          <w:rFonts w:cstheme="minorHAnsi"/>
          <w:sz w:val="24"/>
          <w:szCs w:val="24"/>
          <w:lang w:val="es-VE"/>
        </w:rPr>
        <w:t>repitencia</w:t>
      </w:r>
      <w:proofErr w:type="spellEnd"/>
      <w:r w:rsidR="00C55EAA" w:rsidRPr="00543842">
        <w:rPr>
          <w:rFonts w:cstheme="minorHAnsi"/>
          <w:sz w:val="24"/>
          <w:szCs w:val="24"/>
          <w:lang w:val="es-VE"/>
        </w:rPr>
        <w:t xml:space="preserve"> en Anzoátegui; Táchira; Trujillo; y Zulia.</w:t>
      </w:r>
    </w:p>
    <w:p w:rsidR="002F767F" w:rsidRPr="002F767F" w:rsidRDefault="002F767F" w:rsidP="002F767F">
      <w:pPr>
        <w:pStyle w:val="Prrafodelista"/>
        <w:rPr>
          <w:rFonts w:cstheme="minorHAnsi"/>
          <w:sz w:val="24"/>
          <w:szCs w:val="24"/>
          <w:lang w:val="es-VE"/>
        </w:rPr>
      </w:pPr>
    </w:p>
    <w:p w:rsidR="00BA21DB" w:rsidRDefault="00FD456C" w:rsidP="002F767F">
      <w:pPr>
        <w:pStyle w:val="Prrafodelista"/>
        <w:numPr>
          <w:ilvl w:val="0"/>
          <w:numId w:val="11"/>
        </w:numPr>
        <w:ind w:left="0" w:hanging="11"/>
        <w:jc w:val="both"/>
        <w:rPr>
          <w:rFonts w:cstheme="minorHAnsi"/>
          <w:sz w:val="24"/>
          <w:szCs w:val="24"/>
          <w:lang w:val="es-419"/>
        </w:rPr>
      </w:pPr>
      <w:r w:rsidRPr="002F767F">
        <w:rPr>
          <w:rFonts w:cstheme="minorHAnsi"/>
          <w:b/>
          <w:sz w:val="24"/>
          <w:szCs w:val="24"/>
          <w:lang w:val="es-419"/>
        </w:rPr>
        <w:t xml:space="preserve">Caso indígenas </w:t>
      </w:r>
      <w:proofErr w:type="spellStart"/>
      <w:r w:rsidRPr="002F767F">
        <w:rPr>
          <w:rFonts w:cstheme="minorHAnsi"/>
          <w:b/>
          <w:sz w:val="24"/>
          <w:szCs w:val="24"/>
          <w:lang w:val="es-419"/>
        </w:rPr>
        <w:t>Yukpas</w:t>
      </w:r>
      <w:proofErr w:type="spellEnd"/>
      <w:r w:rsidRPr="002F767F">
        <w:rPr>
          <w:rFonts w:cstheme="minorHAnsi"/>
          <w:b/>
          <w:sz w:val="24"/>
          <w:szCs w:val="24"/>
          <w:lang w:val="es-419"/>
        </w:rPr>
        <w:t xml:space="preserve"> estado Zulia</w:t>
      </w:r>
      <w:r w:rsidRPr="00543842">
        <w:rPr>
          <w:rFonts w:cstheme="minorHAnsi"/>
          <w:sz w:val="24"/>
          <w:szCs w:val="24"/>
          <w:lang w:val="es-419"/>
        </w:rPr>
        <w:t xml:space="preserve">: </w:t>
      </w:r>
      <w:r w:rsidR="00934659" w:rsidRPr="00543842">
        <w:rPr>
          <w:rFonts w:cstheme="minorHAnsi"/>
          <w:sz w:val="24"/>
          <w:szCs w:val="24"/>
          <w:lang w:val="es-419"/>
        </w:rPr>
        <w:t>En</w:t>
      </w:r>
      <w:r w:rsidR="00BA21DB" w:rsidRPr="00543842">
        <w:rPr>
          <w:rFonts w:cstheme="minorHAnsi"/>
          <w:sz w:val="24"/>
          <w:szCs w:val="24"/>
          <w:lang w:val="es-419"/>
        </w:rPr>
        <w:t xml:space="preserve"> junio de 2023, </w:t>
      </w:r>
      <w:r w:rsidR="00934659" w:rsidRPr="00543842">
        <w:rPr>
          <w:rFonts w:cstheme="minorHAnsi"/>
          <w:sz w:val="24"/>
          <w:szCs w:val="24"/>
          <w:lang w:val="es-419"/>
        </w:rPr>
        <w:t xml:space="preserve">el equipo local de protección Zulia, informó que la </w:t>
      </w:r>
      <w:r w:rsidR="00BA21DB" w:rsidRPr="00543842">
        <w:rPr>
          <w:rFonts w:cstheme="minorHAnsi"/>
          <w:sz w:val="24"/>
          <w:szCs w:val="24"/>
          <w:lang w:val="es-419"/>
        </w:rPr>
        <w:t>abogada Lorena Arcaya, coordinadora de defensa de</w:t>
      </w:r>
      <w:r w:rsidRPr="00543842">
        <w:rPr>
          <w:rFonts w:cstheme="minorHAnsi"/>
          <w:sz w:val="24"/>
          <w:szCs w:val="24"/>
          <w:lang w:val="es-419"/>
        </w:rPr>
        <w:t xml:space="preserve"> la organización</w:t>
      </w:r>
      <w:r w:rsidR="00BA21DB" w:rsidRPr="00543842">
        <w:rPr>
          <w:rFonts w:cstheme="minorHAnsi"/>
          <w:sz w:val="24"/>
          <w:szCs w:val="24"/>
          <w:lang w:val="es-419"/>
        </w:rPr>
        <w:t xml:space="preserve"> </w:t>
      </w:r>
      <w:proofErr w:type="spellStart"/>
      <w:r w:rsidR="00BA21DB" w:rsidRPr="00543842">
        <w:rPr>
          <w:rFonts w:cstheme="minorHAnsi"/>
          <w:sz w:val="24"/>
          <w:szCs w:val="24"/>
          <w:lang w:val="es-419"/>
        </w:rPr>
        <w:t>Codhez</w:t>
      </w:r>
      <w:proofErr w:type="spellEnd"/>
      <w:r w:rsidR="00BA21DB" w:rsidRPr="00543842">
        <w:rPr>
          <w:rFonts w:cstheme="minorHAnsi"/>
          <w:sz w:val="24"/>
          <w:szCs w:val="24"/>
          <w:lang w:val="es-419"/>
        </w:rPr>
        <w:t xml:space="preserve">, fue contactada por la Fundación </w:t>
      </w:r>
      <w:proofErr w:type="spellStart"/>
      <w:r w:rsidR="00BA21DB" w:rsidRPr="00543842">
        <w:rPr>
          <w:rFonts w:cstheme="minorHAnsi"/>
          <w:sz w:val="24"/>
          <w:szCs w:val="24"/>
          <w:lang w:val="es-419"/>
        </w:rPr>
        <w:t>Oripanto</w:t>
      </w:r>
      <w:proofErr w:type="spellEnd"/>
      <w:r w:rsidR="00BA21DB" w:rsidRPr="00543842">
        <w:rPr>
          <w:rFonts w:cstheme="minorHAnsi"/>
          <w:sz w:val="24"/>
          <w:szCs w:val="24"/>
          <w:lang w:val="es-419"/>
        </w:rPr>
        <w:t xml:space="preserve"> para apoyar y verificar la situación relativa a la detención de varios indígenas pertenecientes a la etnia </w:t>
      </w:r>
      <w:proofErr w:type="spellStart"/>
      <w:r w:rsidR="00BA21DB" w:rsidRPr="00543842">
        <w:rPr>
          <w:rFonts w:cstheme="minorHAnsi"/>
          <w:sz w:val="24"/>
          <w:szCs w:val="24"/>
          <w:lang w:val="es-419"/>
        </w:rPr>
        <w:t>yukpa</w:t>
      </w:r>
      <w:proofErr w:type="spellEnd"/>
      <w:r w:rsidR="00BA21DB" w:rsidRPr="00543842">
        <w:rPr>
          <w:rFonts w:cstheme="minorHAnsi"/>
          <w:sz w:val="24"/>
          <w:szCs w:val="24"/>
          <w:lang w:val="es-419"/>
        </w:rPr>
        <w:t xml:space="preserve"> por parte de las autoridades policiales del Zulia. Sin embargo, le fue muy difícil ubicar a los detenidos</w:t>
      </w:r>
      <w:r w:rsidRPr="00543842">
        <w:rPr>
          <w:rFonts w:cstheme="minorHAnsi"/>
          <w:sz w:val="24"/>
          <w:szCs w:val="24"/>
          <w:lang w:val="es-419"/>
        </w:rPr>
        <w:t xml:space="preserve"> al negársele la información</w:t>
      </w:r>
      <w:r w:rsidR="00BA21DB" w:rsidRPr="00543842">
        <w:rPr>
          <w:rFonts w:cstheme="minorHAnsi"/>
          <w:sz w:val="24"/>
          <w:szCs w:val="24"/>
          <w:lang w:val="es-419"/>
        </w:rPr>
        <w:t>, y aunque el 1</w:t>
      </w:r>
      <w:r w:rsidRPr="00543842">
        <w:rPr>
          <w:rFonts w:cstheme="minorHAnsi"/>
          <w:sz w:val="24"/>
          <w:szCs w:val="24"/>
          <w:lang w:val="es-419"/>
        </w:rPr>
        <w:t>8 de junio de 2023 se verificó que se realizó una</w:t>
      </w:r>
      <w:r w:rsidR="00BA21DB" w:rsidRPr="00543842">
        <w:rPr>
          <w:rFonts w:cstheme="minorHAnsi"/>
          <w:sz w:val="24"/>
          <w:szCs w:val="24"/>
          <w:lang w:val="es-419"/>
        </w:rPr>
        <w:t xml:space="preserve"> reunión de miembros de la Guardia Nacional con caciques de la etnia </w:t>
      </w:r>
      <w:proofErr w:type="spellStart"/>
      <w:r w:rsidR="00BA21DB" w:rsidRPr="00543842">
        <w:rPr>
          <w:rFonts w:cstheme="minorHAnsi"/>
          <w:sz w:val="24"/>
          <w:szCs w:val="24"/>
          <w:lang w:val="es-419"/>
        </w:rPr>
        <w:t>yukpa</w:t>
      </w:r>
      <w:proofErr w:type="spellEnd"/>
      <w:r w:rsidR="00BA21DB" w:rsidRPr="00543842">
        <w:rPr>
          <w:rFonts w:cstheme="minorHAnsi"/>
          <w:sz w:val="24"/>
          <w:szCs w:val="24"/>
          <w:lang w:val="es-419"/>
        </w:rPr>
        <w:t xml:space="preserve"> en la sede del CORE 3, no se</w:t>
      </w:r>
      <w:r w:rsidRPr="00543842">
        <w:rPr>
          <w:rFonts w:cstheme="minorHAnsi"/>
          <w:sz w:val="24"/>
          <w:szCs w:val="24"/>
          <w:lang w:val="es-419"/>
        </w:rPr>
        <w:t xml:space="preserve"> le</w:t>
      </w:r>
      <w:r w:rsidR="00BA21DB" w:rsidRPr="00543842">
        <w:rPr>
          <w:rFonts w:cstheme="minorHAnsi"/>
          <w:sz w:val="24"/>
          <w:szCs w:val="24"/>
          <w:lang w:val="es-419"/>
        </w:rPr>
        <w:t xml:space="preserve"> permitió la presencia en dicha reunión, a pesar de </w:t>
      </w:r>
      <w:r w:rsidRPr="00543842">
        <w:rPr>
          <w:rFonts w:cstheme="minorHAnsi"/>
          <w:sz w:val="24"/>
          <w:szCs w:val="24"/>
          <w:lang w:val="es-419"/>
        </w:rPr>
        <w:t xml:space="preserve">encontrarse en el comando militar. </w:t>
      </w:r>
      <w:r w:rsidR="00BA21DB" w:rsidRPr="00543842">
        <w:rPr>
          <w:rFonts w:cstheme="minorHAnsi"/>
          <w:sz w:val="24"/>
          <w:szCs w:val="24"/>
          <w:lang w:val="es-419"/>
        </w:rPr>
        <w:t xml:space="preserve">Durante </w:t>
      </w:r>
      <w:r w:rsidRPr="00543842">
        <w:rPr>
          <w:rFonts w:cstheme="minorHAnsi"/>
          <w:sz w:val="24"/>
          <w:szCs w:val="24"/>
          <w:lang w:val="es-419"/>
        </w:rPr>
        <w:t>las</w:t>
      </w:r>
      <w:r w:rsidR="00BA21DB" w:rsidRPr="00543842">
        <w:rPr>
          <w:rFonts w:cstheme="minorHAnsi"/>
          <w:sz w:val="24"/>
          <w:szCs w:val="24"/>
          <w:lang w:val="es-419"/>
        </w:rPr>
        <w:t xml:space="preserve"> primeras horas de la detención no se tuvo acceso a las actuaciones de Fiscalía, ni </w:t>
      </w:r>
      <w:r w:rsidRPr="00543842">
        <w:rPr>
          <w:rFonts w:cstheme="minorHAnsi"/>
          <w:sz w:val="24"/>
          <w:szCs w:val="24"/>
          <w:lang w:val="es-419"/>
        </w:rPr>
        <w:t>al Juzgado, ni a los detenidos. S</w:t>
      </w:r>
      <w:r w:rsidR="00BA21DB" w:rsidRPr="00543842">
        <w:rPr>
          <w:rFonts w:cstheme="minorHAnsi"/>
          <w:sz w:val="24"/>
          <w:szCs w:val="24"/>
          <w:lang w:val="es-419"/>
        </w:rPr>
        <w:t xml:space="preserve">e constató que </w:t>
      </w:r>
      <w:r w:rsidRPr="00543842">
        <w:rPr>
          <w:rFonts w:cstheme="minorHAnsi"/>
          <w:sz w:val="24"/>
          <w:szCs w:val="24"/>
          <w:lang w:val="es-419"/>
        </w:rPr>
        <w:t xml:space="preserve">a </w:t>
      </w:r>
      <w:r w:rsidR="00BA21DB" w:rsidRPr="00543842">
        <w:rPr>
          <w:rFonts w:cstheme="minorHAnsi"/>
          <w:sz w:val="24"/>
          <w:szCs w:val="24"/>
          <w:lang w:val="es-419"/>
        </w:rPr>
        <w:t xml:space="preserve">los mismos </w:t>
      </w:r>
      <w:r w:rsidRPr="00543842">
        <w:rPr>
          <w:rFonts w:cstheme="minorHAnsi"/>
          <w:sz w:val="24"/>
          <w:szCs w:val="24"/>
          <w:lang w:val="es-419"/>
        </w:rPr>
        <w:t xml:space="preserve">sólo se les </w:t>
      </w:r>
      <w:r w:rsidRPr="00543842">
        <w:rPr>
          <w:rFonts w:cstheme="minorHAnsi"/>
          <w:sz w:val="24"/>
          <w:szCs w:val="24"/>
          <w:lang w:val="es-419"/>
        </w:rPr>
        <w:lastRenderedPageBreak/>
        <w:t>permitió ser as</w:t>
      </w:r>
      <w:r w:rsidR="00BA21DB" w:rsidRPr="00543842">
        <w:rPr>
          <w:rFonts w:cstheme="minorHAnsi"/>
          <w:sz w:val="24"/>
          <w:szCs w:val="24"/>
          <w:lang w:val="es-419"/>
        </w:rPr>
        <w:t xml:space="preserve">istidos por defensores publico indígenas. En consecuencia, resultó difícil poder acompañarles en esas horas críticas, no fue sino después de muchas diligencias </w:t>
      </w:r>
      <w:r w:rsidRPr="00543842">
        <w:rPr>
          <w:rFonts w:cstheme="minorHAnsi"/>
          <w:sz w:val="24"/>
          <w:szCs w:val="24"/>
          <w:lang w:val="es-419"/>
        </w:rPr>
        <w:t>e insistencia que finalmente la defensora</w:t>
      </w:r>
      <w:r w:rsidR="00BA21DB" w:rsidRPr="00543842">
        <w:rPr>
          <w:rFonts w:cstheme="minorHAnsi"/>
          <w:sz w:val="24"/>
          <w:szCs w:val="24"/>
          <w:lang w:val="es-419"/>
        </w:rPr>
        <w:t xml:space="preserve"> pudo entrevistarles y documentar el estado físico en que se encontraban.</w:t>
      </w:r>
    </w:p>
    <w:p w:rsidR="002F767F" w:rsidRPr="00543842" w:rsidRDefault="002F767F" w:rsidP="002F767F">
      <w:pPr>
        <w:pStyle w:val="Prrafodelista"/>
        <w:ind w:left="0"/>
        <w:jc w:val="both"/>
        <w:rPr>
          <w:rFonts w:cstheme="minorHAnsi"/>
          <w:sz w:val="24"/>
          <w:szCs w:val="24"/>
          <w:lang w:val="es-419"/>
        </w:rPr>
      </w:pPr>
    </w:p>
    <w:p w:rsidR="00BA21DB" w:rsidRPr="00543842" w:rsidRDefault="00447F0D" w:rsidP="002F767F">
      <w:pPr>
        <w:pStyle w:val="Prrafodelista"/>
        <w:numPr>
          <w:ilvl w:val="0"/>
          <w:numId w:val="11"/>
        </w:numPr>
        <w:ind w:left="0" w:hanging="11"/>
        <w:jc w:val="both"/>
        <w:rPr>
          <w:rFonts w:cstheme="minorHAnsi"/>
          <w:sz w:val="24"/>
          <w:szCs w:val="24"/>
        </w:rPr>
      </w:pPr>
      <w:r w:rsidRPr="002F767F">
        <w:rPr>
          <w:rFonts w:cstheme="minorHAnsi"/>
          <w:b/>
          <w:sz w:val="24"/>
          <w:szCs w:val="24"/>
        </w:rPr>
        <w:t>Caso Foro Penal estado Táchira:</w:t>
      </w:r>
      <w:r w:rsidRPr="00543842">
        <w:rPr>
          <w:rFonts w:cstheme="minorHAnsi"/>
          <w:sz w:val="24"/>
          <w:szCs w:val="24"/>
        </w:rPr>
        <w:t xml:space="preserve"> En diversas oportunidades el</w:t>
      </w:r>
      <w:r w:rsidR="00FD456C" w:rsidRPr="00543842">
        <w:rPr>
          <w:rFonts w:cstheme="minorHAnsi"/>
          <w:sz w:val="24"/>
          <w:szCs w:val="24"/>
        </w:rPr>
        <w:t xml:space="preserve"> defensor </w:t>
      </w:r>
      <w:r w:rsidR="00BA21DB" w:rsidRPr="00543842">
        <w:rPr>
          <w:rFonts w:cstheme="minorHAnsi"/>
          <w:sz w:val="24"/>
          <w:szCs w:val="24"/>
        </w:rPr>
        <w:t xml:space="preserve">Orlando Gabriel González Barrios, </w:t>
      </w:r>
      <w:r w:rsidRPr="00543842">
        <w:rPr>
          <w:rFonts w:cstheme="minorHAnsi"/>
          <w:sz w:val="24"/>
          <w:szCs w:val="24"/>
        </w:rPr>
        <w:t>las defensoras</w:t>
      </w:r>
      <w:r w:rsidR="00FD456C" w:rsidRPr="00543842">
        <w:rPr>
          <w:rFonts w:cstheme="minorHAnsi"/>
          <w:sz w:val="24"/>
          <w:szCs w:val="24"/>
        </w:rPr>
        <w:t xml:space="preserve"> Raquel Sánchez y la defensora </w:t>
      </w:r>
      <w:proofErr w:type="spellStart"/>
      <w:r w:rsidR="00FD456C" w:rsidRPr="00543842">
        <w:rPr>
          <w:rFonts w:cstheme="minorHAnsi"/>
          <w:sz w:val="24"/>
          <w:szCs w:val="24"/>
        </w:rPr>
        <w:t>Raiza</w:t>
      </w:r>
      <w:proofErr w:type="spellEnd"/>
      <w:r w:rsidR="00FD456C" w:rsidRPr="00543842">
        <w:rPr>
          <w:rFonts w:cstheme="minorHAnsi"/>
          <w:sz w:val="24"/>
          <w:szCs w:val="24"/>
        </w:rPr>
        <w:t xml:space="preserve"> Ramírez,</w:t>
      </w:r>
      <w:r w:rsidR="00171FEB" w:rsidRPr="00543842">
        <w:rPr>
          <w:rFonts w:cstheme="minorHAnsi"/>
          <w:sz w:val="24"/>
          <w:szCs w:val="24"/>
        </w:rPr>
        <w:t xml:space="preserve"> miembros del equipo jurídico de la organización Foro Penal</w:t>
      </w:r>
      <w:r w:rsidR="00FD456C" w:rsidRPr="00543842">
        <w:rPr>
          <w:rFonts w:cstheme="minorHAnsi"/>
          <w:sz w:val="24"/>
          <w:szCs w:val="24"/>
        </w:rPr>
        <w:t xml:space="preserve"> han sido requeridos en varias oportun</w:t>
      </w:r>
      <w:r w:rsidR="00171FEB" w:rsidRPr="00543842">
        <w:rPr>
          <w:rFonts w:cstheme="minorHAnsi"/>
          <w:sz w:val="24"/>
          <w:szCs w:val="24"/>
        </w:rPr>
        <w:t xml:space="preserve">idades para asesoría y acompañamiento por periodistas, así como otros de procesados detenidos arbitrariamente en diferentes oportunidades en el estado Táchira. Los defensores al presentarse en la sede del Ministerio Público en cada oportunidad se les impide en primera instancia su acceso a los despachos, </w:t>
      </w:r>
      <w:r w:rsidRPr="00543842">
        <w:rPr>
          <w:rFonts w:cstheme="minorHAnsi"/>
          <w:sz w:val="24"/>
          <w:szCs w:val="24"/>
        </w:rPr>
        <w:t xml:space="preserve">alegando que “son órdenes” </w:t>
      </w:r>
      <w:r w:rsidR="00171FEB" w:rsidRPr="00543842">
        <w:rPr>
          <w:rFonts w:cstheme="minorHAnsi"/>
          <w:sz w:val="24"/>
          <w:szCs w:val="24"/>
        </w:rPr>
        <w:t xml:space="preserve">por el hecho de pertenecer a la organización de derechos humanos. </w:t>
      </w:r>
      <w:r w:rsidR="00BA21DB" w:rsidRPr="00543842">
        <w:rPr>
          <w:rFonts w:cstheme="minorHAnsi"/>
          <w:sz w:val="24"/>
          <w:szCs w:val="24"/>
        </w:rPr>
        <w:t>En cada oportunidad ha sido necesario requerir l</w:t>
      </w:r>
      <w:r w:rsidR="00171FEB" w:rsidRPr="00543842">
        <w:rPr>
          <w:rFonts w:cstheme="minorHAnsi"/>
          <w:sz w:val="24"/>
          <w:szCs w:val="24"/>
        </w:rPr>
        <w:t>a presencia del Fiscal Superior, ser objeto de insulto</w:t>
      </w:r>
      <w:r w:rsidR="00856547" w:rsidRPr="00543842">
        <w:rPr>
          <w:rFonts w:cstheme="minorHAnsi"/>
          <w:sz w:val="24"/>
          <w:szCs w:val="24"/>
        </w:rPr>
        <w:t>s</w:t>
      </w:r>
      <w:r w:rsidR="00171FEB" w:rsidRPr="00543842">
        <w:rPr>
          <w:rFonts w:cstheme="minorHAnsi"/>
          <w:sz w:val="24"/>
          <w:szCs w:val="24"/>
        </w:rPr>
        <w:t>,</w:t>
      </w:r>
      <w:r w:rsidR="00BA21DB" w:rsidRPr="00543842">
        <w:rPr>
          <w:rFonts w:cstheme="minorHAnsi"/>
          <w:sz w:val="24"/>
          <w:szCs w:val="24"/>
        </w:rPr>
        <w:t xml:space="preserve"> vejaciones, </w:t>
      </w:r>
      <w:r w:rsidR="00856547" w:rsidRPr="00543842">
        <w:rPr>
          <w:rFonts w:cstheme="minorHAnsi"/>
          <w:sz w:val="24"/>
          <w:szCs w:val="24"/>
        </w:rPr>
        <w:t xml:space="preserve">gritos </w:t>
      </w:r>
      <w:r w:rsidR="00171FEB" w:rsidRPr="00543842">
        <w:rPr>
          <w:rFonts w:cstheme="minorHAnsi"/>
          <w:sz w:val="24"/>
          <w:szCs w:val="24"/>
        </w:rPr>
        <w:t>acusando a los defensores de “</w:t>
      </w:r>
      <w:r w:rsidR="00BA21DB" w:rsidRPr="00543842">
        <w:rPr>
          <w:rFonts w:cstheme="minorHAnsi"/>
          <w:sz w:val="24"/>
          <w:szCs w:val="24"/>
        </w:rPr>
        <w:t>problemáticos que pretenden politizar los casos</w:t>
      </w:r>
      <w:r w:rsidR="00171FEB" w:rsidRPr="00543842">
        <w:rPr>
          <w:rFonts w:cstheme="minorHAnsi"/>
          <w:sz w:val="24"/>
          <w:szCs w:val="24"/>
        </w:rPr>
        <w:t xml:space="preserve">”, para poder asistir a las víctimas.  </w:t>
      </w:r>
      <w:r w:rsidRPr="00543842">
        <w:rPr>
          <w:rFonts w:cstheme="minorHAnsi"/>
          <w:sz w:val="24"/>
          <w:szCs w:val="24"/>
        </w:rPr>
        <w:t>Así</w:t>
      </w:r>
      <w:r w:rsidR="00171FEB" w:rsidRPr="00543842">
        <w:rPr>
          <w:rFonts w:cstheme="minorHAnsi"/>
          <w:sz w:val="24"/>
          <w:szCs w:val="24"/>
        </w:rPr>
        <w:t xml:space="preserve"> mismo,</w:t>
      </w:r>
      <w:r w:rsidRPr="00543842">
        <w:rPr>
          <w:rFonts w:cstheme="minorHAnsi"/>
          <w:sz w:val="24"/>
          <w:szCs w:val="24"/>
        </w:rPr>
        <w:t xml:space="preserve"> no se les permite</w:t>
      </w:r>
      <w:r w:rsidR="00BA21DB" w:rsidRPr="00543842">
        <w:rPr>
          <w:rFonts w:cstheme="minorHAnsi"/>
          <w:sz w:val="24"/>
          <w:szCs w:val="24"/>
        </w:rPr>
        <w:t xml:space="preserve"> acceder a los expediente</w:t>
      </w:r>
      <w:r w:rsidRPr="00543842">
        <w:rPr>
          <w:rFonts w:cstheme="minorHAnsi"/>
          <w:sz w:val="24"/>
          <w:szCs w:val="24"/>
        </w:rPr>
        <w:t>s</w:t>
      </w:r>
      <w:r w:rsidR="00BA21DB" w:rsidRPr="00543842">
        <w:rPr>
          <w:rFonts w:cstheme="minorHAnsi"/>
          <w:sz w:val="24"/>
          <w:szCs w:val="24"/>
        </w:rPr>
        <w:t>, ni hablar para realizar los alegatos de defensa</w:t>
      </w:r>
      <w:r w:rsidRPr="00543842">
        <w:rPr>
          <w:rFonts w:cstheme="minorHAnsi"/>
          <w:sz w:val="24"/>
          <w:szCs w:val="24"/>
        </w:rPr>
        <w:t>. En algunas oportunidades se les ha solicitado a las víctimas desistir o renunciar a sus defensores para dar celeridad y continuidad los casos judiciales.</w:t>
      </w:r>
    </w:p>
    <w:p w:rsidR="00447F0D" w:rsidRPr="002F767F" w:rsidRDefault="00C55EAA" w:rsidP="004D4825">
      <w:pPr>
        <w:jc w:val="both"/>
        <w:rPr>
          <w:rFonts w:cstheme="minorHAnsi"/>
          <w:b/>
          <w:sz w:val="24"/>
          <w:szCs w:val="24"/>
        </w:rPr>
      </w:pPr>
      <w:r w:rsidRPr="002F767F">
        <w:rPr>
          <w:rFonts w:cstheme="minorHAnsi"/>
          <w:b/>
          <w:sz w:val="24"/>
          <w:szCs w:val="24"/>
        </w:rPr>
        <w:t>Artículo 19. Libertad de inform</w:t>
      </w:r>
      <w:r w:rsidR="00E946C5" w:rsidRPr="002F767F">
        <w:rPr>
          <w:rFonts w:cstheme="minorHAnsi"/>
          <w:b/>
          <w:sz w:val="24"/>
          <w:szCs w:val="24"/>
        </w:rPr>
        <w:t>a</w:t>
      </w:r>
      <w:r w:rsidRPr="002F767F">
        <w:rPr>
          <w:rFonts w:cstheme="minorHAnsi"/>
          <w:b/>
          <w:sz w:val="24"/>
          <w:szCs w:val="24"/>
        </w:rPr>
        <w:t>ción, expresión</w:t>
      </w:r>
    </w:p>
    <w:p w:rsidR="00C609CC" w:rsidRDefault="00B14DBB" w:rsidP="002F767F">
      <w:pPr>
        <w:pStyle w:val="Prrafodelista"/>
        <w:numPr>
          <w:ilvl w:val="0"/>
          <w:numId w:val="11"/>
        </w:numPr>
        <w:ind w:left="0" w:hanging="11"/>
        <w:jc w:val="both"/>
        <w:rPr>
          <w:rFonts w:cstheme="minorHAnsi"/>
          <w:sz w:val="24"/>
          <w:szCs w:val="24"/>
        </w:rPr>
      </w:pPr>
      <w:r w:rsidRPr="002F767F">
        <w:rPr>
          <w:rFonts w:cstheme="minorHAnsi"/>
          <w:b/>
          <w:sz w:val="24"/>
          <w:szCs w:val="24"/>
        </w:rPr>
        <w:t>R</w:t>
      </w:r>
      <w:r w:rsidRPr="002F767F">
        <w:rPr>
          <w:rFonts w:cstheme="minorHAnsi"/>
          <w:b/>
          <w:sz w:val="24"/>
          <w:szCs w:val="24"/>
        </w:rPr>
        <w:t>estricción al derecho a la información pública para personas defensoras de derechos humanos</w:t>
      </w:r>
      <w:r w:rsidRPr="002F767F">
        <w:rPr>
          <w:rFonts w:cstheme="minorHAnsi"/>
          <w:b/>
          <w:sz w:val="24"/>
          <w:szCs w:val="24"/>
        </w:rPr>
        <w:t xml:space="preserve">: </w:t>
      </w:r>
      <w:r w:rsidR="00E946C5" w:rsidRPr="00543842">
        <w:rPr>
          <w:rFonts w:cstheme="minorHAnsi"/>
          <w:sz w:val="24"/>
          <w:szCs w:val="24"/>
        </w:rPr>
        <w:t>En Venezuela existe una r</w:t>
      </w:r>
      <w:r w:rsidR="00C55EAA" w:rsidRPr="00543842">
        <w:rPr>
          <w:rFonts w:cstheme="minorHAnsi"/>
          <w:sz w:val="24"/>
          <w:szCs w:val="24"/>
        </w:rPr>
        <w:t>estricción al derecho a la información pública</w:t>
      </w:r>
      <w:r w:rsidR="00E946C5" w:rsidRPr="00543842">
        <w:rPr>
          <w:rFonts w:cstheme="minorHAnsi"/>
          <w:sz w:val="24"/>
          <w:szCs w:val="24"/>
        </w:rPr>
        <w:t xml:space="preserve"> </w:t>
      </w:r>
      <w:r w:rsidR="00C609CC" w:rsidRPr="00543842">
        <w:rPr>
          <w:rFonts w:cstheme="minorHAnsi"/>
          <w:sz w:val="24"/>
          <w:szCs w:val="24"/>
        </w:rPr>
        <w:t>pa</w:t>
      </w:r>
      <w:r w:rsidR="00E946C5" w:rsidRPr="00543842">
        <w:rPr>
          <w:rFonts w:cstheme="minorHAnsi"/>
          <w:sz w:val="24"/>
          <w:szCs w:val="24"/>
        </w:rPr>
        <w:t xml:space="preserve">ra personas defensoras de derechos humanos, organizaciones de sociedad civil, medios de comunicación, periodistas y población en general. Es una política de estado </w:t>
      </w:r>
      <w:r w:rsidR="00C55EAA" w:rsidRPr="00543842">
        <w:rPr>
          <w:rFonts w:cstheme="minorHAnsi"/>
          <w:sz w:val="24"/>
          <w:szCs w:val="24"/>
        </w:rPr>
        <w:t>oculta</w:t>
      </w:r>
      <w:r w:rsidR="00E946C5" w:rsidRPr="00543842">
        <w:rPr>
          <w:rFonts w:cstheme="minorHAnsi"/>
          <w:sz w:val="24"/>
          <w:szCs w:val="24"/>
        </w:rPr>
        <w:t>r</w:t>
      </w:r>
      <w:r w:rsidR="00C55EAA" w:rsidRPr="00543842">
        <w:rPr>
          <w:rFonts w:cstheme="minorHAnsi"/>
          <w:sz w:val="24"/>
          <w:szCs w:val="24"/>
        </w:rPr>
        <w:t xml:space="preserve"> cifras </w:t>
      </w:r>
      <w:r w:rsidR="00E946C5" w:rsidRPr="00543842">
        <w:rPr>
          <w:rFonts w:cstheme="minorHAnsi"/>
          <w:sz w:val="24"/>
          <w:szCs w:val="24"/>
        </w:rPr>
        <w:t xml:space="preserve">reales y </w:t>
      </w:r>
      <w:r w:rsidR="00C55EAA" w:rsidRPr="00543842">
        <w:rPr>
          <w:rFonts w:cstheme="minorHAnsi"/>
          <w:sz w:val="24"/>
          <w:szCs w:val="24"/>
        </w:rPr>
        <w:t>fu</w:t>
      </w:r>
      <w:r w:rsidR="00B878F7" w:rsidRPr="00543842">
        <w:rPr>
          <w:rFonts w:cstheme="minorHAnsi"/>
          <w:sz w:val="24"/>
          <w:szCs w:val="24"/>
        </w:rPr>
        <w:t xml:space="preserve">ndamentales en materia de DDHH como forma indirecta de obstaculizar el trabajo de las PDDH y de las OSC.  </w:t>
      </w:r>
      <w:r w:rsidR="00E946C5" w:rsidRPr="00543842">
        <w:rPr>
          <w:rFonts w:cstheme="minorHAnsi"/>
          <w:sz w:val="24"/>
          <w:szCs w:val="24"/>
        </w:rPr>
        <w:t xml:space="preserve">Utiliza la propaganda como mecanismo para la inferencia de </w:t>
      </w:r>
      <w:r w:rsidR="00C609CC" w:rsidRPr="00543842">
        <w:rPr>
          <w:rFonts w:cstheme="minorHAnsi"/>
          <w:sz w:val="24"/>
          <w:szCs w:val="24"/>
        </w:rPr>
        <w:t xml:space="preserve">datos, cifras y </w:t>
      </w:r>
      <w:r w:rsidR="00E946C5" w:rsidRPr="00543842">
        <w:rPr>
          <w:rFonts w:cstheme="minorHAnsi"/>
          <w:sz w:val="24"/>
          <w:szCs w:val="24"/>
        </w:rPr>
        <w:t xml:space="preserve">acciones que no pueden ser </w:t>
      </w:r>
      <w:r w:rsidR="00C609CC" w:rsidRPr="00543842">
        <w:rPr>
          <w:rFonts w:cstheme="minorHAnsi"/>
          <w:sz w:val="24"/>
          <w:szCs w:val="24"/>
        </w:rPr>
        <w:t>contrastadas</w:t>
      </w:r>
      <w:r w:rsidR="00E946C5" w:rsidRPr="00543842">
        <w:rPr>
          <w:rFonts w:cstheme="minorHAnsi"/>
          <w:sz w:val="24"/>
          <w:szCs w:val="24"/>
        </w:rPr>
        <w:t xml:space="preserve"> en la realidad. Las memorias y cuentas se dejaron de publicar desde el año 2018</w:t>
      </w:r>
      <w:r w:rsidR="00B878F7" w:rsidRPr="00543842">
        <w:rPr>
          <w:rFonts w:cstheme="minorHAnsi"/>
          <w:sz w:val="24"/>
          <w:szCs w:val="24"/>
        </w:rPr>
        <w:t xml:space="preserve"> junto con el presupuesto público.</w:t>
      </w:r>
      <w:r w:rsidR="00E946C5" w:rsidRPr="00543842">
        <w:rPr>
          <w:rFonts w:cstheme="minorHAnsi"/>
          <w:sz w:val="24"/>
          <w:szCs w:val="24"/>
        </w:rPr>
        <w:t xml:space="preserve"> </w:t>
      </w:r>
      <w:r w:rsidR="00C609CC" w:rsidRPr="00543842">
        <w:rPr>
          <w:rFonts w:cstheme="minorHAnsi"/>
          <w:sz w:val="24"/>
          <w:szCs w:val="24"/>
        </w:rPr>
        <w:t>A</w:t>
      </w:r>
      <w:r w:rsidR="00E946C5" w:rsidRPr="00543842">
        <w:rPr>
          <w:rFonts w:cstheme="minorHAnsi"/>
          <w:sz w:val="24"/>
          <w:szCs w:val="24"/>
        </w:rPr>
        <w:t xml:space="preserve"> pesar de las peticiones </w:t>
      </w:r>
      <w:r w:rsidR="00C609CC" w:rsidRPr="00543842">
        <w:rPr>
          <w:rFonts w:cstheme="minorHAnsi"/>
          <w:sz w:val="24"/>
          <w:szCs w:val="24"/>
        </w:rPr>
        <w:t xml:space="preserve">de información </w:t>
      </w:r>
      <w:r w:rsidR="00E946C5" w:rsidRPr="00543842">
        <w:rPr>
          <w:rFonts w:cstheme="minorHAnsi"/>
          <w:sz w:val="24"/>
          <w:szCs w:val="24"/>
        </w:rPr>
        <w:t xml:space="preserve">es imposible obtener respuestas. Pero muy </w:t>
      </w:r>
      <w:r w:rsidR="00B8780F" w:rsidRPr="00543842">
        <w:rPr>
          <w:rFonts w:cstheme="minorHAnsi"/>
          <w:sz w:val="24"/>
          <w:szCs w:val="24"/>
        </w:rPr>
        <w:t xml:space="preserve">preocupante </w:t>
      </w:r>
      <w:r w:rsidR="00C609CC" w:rsidRPr="00543842">
        <w:rPr>
          <w:rFonts w:cstheme="minorHAnsi"/>
          <w:sz w:val="24"/>
          <w:szCs w:val="24"/>
        </w:rPr>
        <w:t xml:space="preserve">es que </w:t>
      </w:r>
      <w:r w:rsidR="00E946C5" w:rsidRPr="00543842">
        <w:rPr>
          <w:rFonts w:cstheme="minorHAnsi"/>
          <w:sz w:val="24"/>
          <w:szCs w:val="24"/>
        </w:rPr>
        <w:t>el Estado venezolano,</w:t>
      </w:r>
      <w:r w:rsidR="00B8780F" w:rsidRPr="00543842">
        <w:rPr>
          <w:rFonts w:cstheme="minorHAnsi"/>
          <w:sz w:val="24"/>
          <w:szCs w:val="24"/>
        </w:rPr>
        <w:t xml:space="preserve"> ejerce condicionamientos para que el si</w:t>
      </w:r>
      <w:r w:rsidR="00E946C5" w:rsidRPr="00543842">
        <w:rPr>
          <w:rFonts w:cstheme="minorHAnsi"/>
          <w:sz w:val="24"/>
          <w:szCs w:val="24"/>
        </w:rPr>
        <w:t xml:space="preserve">stema </w:t>
      </w:r>
      <w:r w:rsidR="00B8780F" w:rsidRPr="00543842">
        <w:rPr>
          <w:rFonts w:cstheme="minorHAnsi"/>
          <w:sz w:val="24"/>
          <w:szCs w:val="24"/>
        </w:rPr>
        <w:t>Hu</w:t>
      </w:r>
      <w:r w:rsidR="00E946C5" w:rsidRPr="00543842">
        <w:rPr>
          <w:rFonts w:cstheme="minorHAnsi"/>
          <w:sz w:val="24"/>
          <w:szCs w:val="24"/>
        </w:rPr>
        <w:t>manitario de Naciones Unidas</w:t>
      </w:r>
      <w:r w:rsidR="00B8780F" w:rsidRPr="00543842">
        <w:rPr>
          <w:rFonts w:cstheme="minorHAnsi"/>
          <w:sz w:val="24"/>
          <w:szCs w:val="24"/>
        </w:rPr>
        <w:t xml:space="preserve"> y las agencias</w:t>
      </w:r>
      <w:r w:rsidR="00B878F7" w:rsidRPr="00543842">
        <w:rPr>
          <w:rFonts w:cstheme="minorHAnsi"/>
          <w:sz w:val="24"/>
          <w:szCs w:val="24"/>
        </w:rPr>
        <w:t xml:space="preserve"> humanitarias</w:t>
      </w:r>
      <w:r w:rsidR="00E946C5" w:rsidRPr="00543842">
        <w:rPr>
          <w:rFonts w:cstheme="minorHAnsi"/>
          <w:sz w:val="24"/>
          <w:szCs w:val="24"/>
        </w:rPr>
        <w:t xml:space="preserve"> tampoco pueda emitir las cifras reales a cambio de perm</w:t>
      </w:r>
      <w:r w:rsidR="00B8780F" w:rsidRPr="00543842">
        <w:rPr>
          <w:rFonts w:cstheme="minorHAnsi"/>
          <w:sz w:val="24"/>
          <w:szCs w:val="24"/>
        </w:rPr>
        <w:t>a</w:t>
      </w:r>
      <w:r w:rsidR="00E946C5" w:rsidRPr="00543842">
        <w:rPr>
          <w:rFonts w:cstheme="minorHAnsi"/>
          <w:sz w:val="24"/>
          <w:szCs w:val="24"/>
        </w:rPr>
        <w:t>n</w:t>
      </w:r>
      <w:r w:rsidR="00B8780F" w:rsidRPr="00543842">
        <w:rPr>
          <w:rFonts w:cstheme="minorHAnsi"/>
          <w:sz w:val="24"/>
          <w:szCs w:val="24"/>
        </w:rPr>
        <w:t>e</w:t>
      </w:r>
      <w:r w:rsidR="00E946C5" w:rsidRPr="00543842">
        <w:rPr>
          <w:rFonts w:cstheme="minorHAnsi"/>
          <w:sz w:val="24"/>
          <w:szCs w:val="24"/>
        </w:rPr>
        <w:t>ncia en el país.</w:t>
      </w:r>
      <w:r w:rsidR="00C609CC" w:rsidRPr="00543842">
        <w:rPr>
          <w:rFonts w:cstheme="minorHAnsi"/>
          <w:sz w:val="24"/>
          <w:szCs w:val="24"/>
        </w:rPr>
        <w:t xml:space="preserve"> </w:t>
      </w:r>
    </w:p>
    <w:p w:rsidR="002F767F" w:rsidRPr="00543842" w:rsidRDefault="002F767F" w:rsidP="002F767F">
      <w:pPr>
        <w:pStyle w:val="Prrafodelista"/>
        <w:ind w:left="0"/>
        <w:jc w:val="both"/>
        <w:rPr>
          <w:rFonts w:cstheme="minorHAnsi"/>
          <w:sz w:val="24"/>
          <w:szCs w:val="24"/>
        </w:rPr>
      </w:pPr>
    </w:p>
    <w:p w:rsidR="002F767F" w:rsidRDefault="00C609CC" w:rsidP="002F767F">
      <w:pPr>
        <w:pStyle w:val="Prrafodelista"/>
        <w:numPr>
          <w:ilvl w:val="0"/>
          <w:numId w:val="11"/>
        </w:numPr>
        <w:ind w:left="0" w:hanging="11"/>
        <w:jc w:val="both"/>
        <w:rPr>
          <w:rFonts w:cstheme="minorHAnsi"/>
          <w:sz w:val="24"/>
          <w:szCs w:val="24"/>
        </w:rPr>
      </w:pPr>
      <w:r w:rsidRPr="00543842">
        <w:rPr>
          <w:rFonts w:cstheme="minorHAnsi"/>
          <w:sz w:val="24"/>
          <w:szCs w:val="24"/>
        </w:rPr>
        <w:t xml:space="preserve">La criminalización de la labor de periodistas, comunicadores y generadores de contenido ha sido una política marcada de violación </w:t>
      </w:r>
      <w:r w:rsidR="00B878F7" w:rsidRPr="00543842">
        <w:rPr>
          <w:rFonts w:cstheme="minorHAnsi"/>
          <w:sz w:val="24"/>
          <w:szCs w:val="24"/>
        </w:rPr>
        <w:t xml:space="preserve">contra </w:t>
      </w:r>
      <w:r w:rsidRPr="00543842">
        <w:rPr>
          <w:rFonts w:cstheme="minorHAnsi"/>
          <w:sz w:val="24"/>
          <w:szCs w:val="24"/>
        </w:rPr>
        <w:t>personas que defienden la libertad de expresión e opinión.</w:t>
      </w:r>
      <w:r w:rsidR="00B878F7" w:rsidRPr="00543842">
        <w:rPr>
          <w:rFonts w:cstheme="minorHAnsi"/>
          <w:sz w:val="24"/>
          <w:szCs w:val="24"/>
        </w:rPr>
        <w:t xml:space="preserve"> Las detenciones arbitrarias, las judicializaciones contra periodistas, e</w:t>
      </w:r>
      <w:r w:rsidRPr="00543842">
        <w:rPr>
          <w:rFonts w:cstheme="minorHAnsi"/>
          <w:sz w:val="24"/>
          <w:szCs w:val="24"/>
        </w:rPr>
        <w:t xml:space="preserve">l cierre de medios, la toma de radios, la anulación de concesiones del espectro radioeléctrico, la criminalización contra los medios de comunicación, </w:t>
      </w:r>
      <w:proofErr w:type="spellStart"/>
      <w:r w:rsidR="00B878F7" w:rsidRPr="00543842">
        <w:rPr>
          <w:rFonts w:cstheme="minorHAnsi"/>
          <w:sz w:val="24"/>
          <w:szCs w:val="24"/>
        </w:rPr>
        <w:t>etc</w:t>
      </w:r>
      <w:proofErr w:type="spellEnd"/>
      <w:r w:rsidR="00B878F7" w:rsidRPr="00543842">
        <w:rPr>
          <w:rFonts w:cstheme="minorHAnsi"/>
          <w:sz w:val="24"/>
          <w:szCs w:val="24"/>
        </w:rPr>
        <w:t>, en la consolidación de la denominada “</w:t>
      </w:r>
      <w:r w:rsidRPr="00543842">
        <w:rPr>
          <w:rFonts w:cstheme="minorHAnsi"/>
          <w:sz w:val="24"/>
          <w:szCs w:val="24"/>
        </w:rPr>
        <w:t>hegemonía comunicacional</w:t>
      </w:r>
      <w:r w:rsidR="00B878F7" w:rsidRPr="00543842">
        <w:rPr>
          <w:rFonts w:cstheme="minorHAnsi"/>
          <w:sz w:val="24"/>
          <w:szCs w:val="24"/>
        </w:rPr>
        <w:t>”</w:t>
      </w:r>
      <w:r w:rsidRPr="00543842">
        <w:rPr>
          <w:rFonts w:cstheme="minorHAnsi"/>
          <w:sz w:val="24"/>
          <w:szCs w:val="24"/>
        </w:rPr>
        <w:t xml:space="preserve"> con el uso</w:t>
      </w:r>
      <w:r w:rsidR="00B878F7" w:rsidRPr="00543842">
        <w:rPr>
          <w:rFonts w:cstheme="minorHAnsi"/>
          <w:sz w:val="24"/>
          <w:szCs w:val="24"/>
        </w:rPr>
        <w:t xml:space="preserve"> de la vigilancia, control a través de </w:t>
      </w:r>
      <w:proofErr w:type="spellStart"/>
      <w:r w:rsidRPr="00543842">
        <w:rPr>
          <w:rFonts w:cstheme="minorHAnsi"/>
          <w:sz w:val="24"/>
          <w:szCs w:val="24"/>
        </w:rPr>
        <w:t>Conatel</w:t>
      </w:r>
      <w:proofErr w:type="spellEnd"/>
      <w:r w:rsidRPr="00543842">
        <w:rPr>
          <w:rFonts w:cstheme="minorHAnsi"/>
          <w:sz w:val="24"/>
          <w:szCs w:val="24"/>
        </w:rPr>
        <w:t xml:space="preserve"> como órgano que </w:t>
      </w:r>
      <w:r w:rsidR="00B878F7" w:rsidRPr="00543842">
        <w:rPr>
          <w:rFonts w:cstheme="minorHAnsi"/>
          <w:sz w:val="24"/>
          <w:szCs w:val="24"/>
        </w:rPr>
        <w:t>restringe</w:t>
      </w:r>
      <w:r w:rsidRPr="00543842">
        <w:rPr>
          <w:rFonts w:cstheme="minorHAnsi"/>
          <w:sz w:val="24"/>
          <w:szCs w:val="24"/>
        </w:rPr>
        <w:t>, intimida, y ejecuta acciones judiciales para garantizar el</w:t>
      </w:r>
      <w:r w:rsidR="00B878F7" w:rsidRPr="00543842">
        <w:rPr>
          <w:rFonts w:cstheme="minorHAnsi"/>
          <w:sz w:val="24"/>
          <w:szCs w:val="24"/>
        </w:rPr>
        <w:t xml:space="preserve"> control y </w:t>
      </w:r>
      <w:r w:rsidRPr="00543842">
        <w:rPr>
          <w:rFonts w:cstheme="minorHAnsi"/>
          <w:sz w:val="24"/>
          <w:szCs w:val="24"/>
        </w:rPr>
        <w:t>cierre del acceso a la información.</w:t>
      </w:r>
    </w:p>
    <w:p w:rsidR="002F767F" w:rsidRPr="002F767F" w:rsidRDefault="002F767F" w:rsidP="002F767F">
      <w:pPr>
        <w:pStyle w:val="Prrafodelista"/>
        <w:rPr>
          <w:rFonts w:cstheme="minorHAnsi"/>
          <w:color w:val="4A4A4A"/>
          <w:spacing w:val="4"/>
          <w:sz w:val="24"/>
          <w:szCs w:val="24"/>
        </w:rPr>
      </w:pPr>
    </w:p>
    <w:p w:rsidR="00B14DBB" w:rsidRDefault="00843CE9" w:rsidP="002F767F">
      <w:pPr>
        <w:pStyle w:val="Prrafodelista"/>
        <w:numPr>
          <w:ilvl w:val="0"/>
          <w:numId w:val="11"/>
        </w:numPr>
        <w:ind w:left="0" w:hanging="11"/>
        <w:jc w:val="both"/>
        <w:rPr>
          <w:rFonts w:cstheme="minorHAnsi"/>
          <w:sz w:val="24"/>
          <w:szCs w:val="24"/>
        </w:rPr>
      </w:pPr>
      <w:r w:rsidRPr="002F767F">
        <w:rPr>
          <w:rFonts w:cstheme="minorHAnsi"/>
          <w:b/>
          <w:color w:val="4A4A4A"/>
          <w:spacing w:val="4"/>
          <w:sz w:val="24"/>
          <w:szCs w:val="24"/>
        </w:rPr>
        <w:lastRenderedPageBreak/>
        <w:t>Ataques a</w:t>
      </w:r>
      <w:r w:rsidR="00A820D5" w:rsidRPr="002F767F">
        <w:rPr>
          <w:rFonts w:cstheme="minorHAnsi"/>
          <w:b/>
          <w:color w:val="4A4A4A"/>
          <w:spacing w:val="4"/>
          <w:sz w:val="24"/>
          <w:szCs w:val="24"/>
        </w:rPr>
        <w:t xml:space="preserve"> </w:t>
      </w:r>
      <w:r w:rsidR="00B878F7" w:rsidRPr="002F767F">
        <w:rPr>
          <w:rFonts w:cstheme="minorHAnsi"/>
          <w:b/>
          <w:color w:val="4A4A4A"/>
          <w:spacing w:val="4"/>
          <w:sz w:val="24"/>
          <w:szCs w:val="24"/>
        </w:rPr>
        <w:t xml:space="preserve">la reputación </w:t>
      </w:r>
      <w:r w:rsidR="00A820D5" w:rsidRPr="002F767F">
        <w:rPr>
          <w:rFonts w:cstheme="minorHAnsi"/>
          <w:b/>
          <w:color w:val="4A4A4A"/>
          <w:spacing w:val="4"/>
          <w:sz w:val="24"/>
          <w:szCs w:val="24"/>
        </w:rPr>
        <w:t>y credibilid</w:t>
      </w:r>
      <w:r w:rsidRPr="002F767F">
        <w:rPr>
          <w:rFonts w:cstheme="minorHAnsi"/>
          <w:b/>
          <w:color w:val="4A4A4A"/>
          <w:spacing w:val="4"/>
          <w:sz w:val="24"/>
          <w:szCs w:val="24"/>
        </w:rPr>
        <w:t>ad. E</w:t>
      </w:r>
      <w:r w:rsidR="00B878F7" w:rsidRPr="002F767F">
        <w:rPr>
          <w:rFonts w:cstheme="minorHAnsi"/>
          <w:b/>
          <w:sz w:val="24"/>
          <w:szCs w:val="24"/>
        </w:rPr>
        <w:t>stigmatización, hostigamiento, amenazas, intimidación, acusaciones infundadas y campañas de desprestigio y difamación pública desde las altas esferas del gobierno venezolano.</w:t>
      </w:r>
      <w:r w:rsidR="00B14DBB" w:rsidRPr="002F767F">
        <w:rPr>
          <w:rFonts w:cstheme="minorHAnsi"/>
          <w:sz w:val="24"/>
          <w:szCs w:val="24"/>
        </w:rPr>
        <w:t xml:space="preserve"> </w:t>
      </w:r>
      <w:r w:rsidRPr="002F767F">
        <w:rPr>
          <w:rFonts w:cstheme="minorHAnsi"/>
          <w:sz w:val="24"/>
          <w:szCs w:val="24"/>
        </w:rPr>
        <w:t xml:space="preserve">Es un patrón sistemático y generalizado que </w:t>
      </w:r>
      <w:r w:rsidR="00B878F7" w:rsidRPr="002F767F">
        <w:rPr>
          <w:rFonts w:cstheme="minorHAnsi"/>
          <w:sz w:val="24"/>
          <w:szCs w:val="24"/>
        </w:rPr>
        <w:t xml:space="preserve">funcionarios </w:t>
      </w:r>
      <w:r w:rsidRPr="002F767F">
        <w:rPr>
          <w:rFonts w:cstheme="minorHAnsi"/>
          <w:sz w:val="24"/>
          <w:szCs w:val="24"/>
        </w:rPr>
        <w:t xml:space="preserve">públicos de distintos órdenes de la institucionalidad estatal en el país estigmaticen, amenacen, intimiden a personas defensoras y a organizaciones de sociedad civil independientes.  </w:t>
      </w:r>
      <w:r w:rsidR="00B878F7" w:rsidRPr="002F767F">
        <w:rPr>
          <w:rFonts w:cstheme="minorHAnsi"/>
          <w:sz w:val="24"/>
          <w:szCs w:val="24"/>
        </w:rPr>
        <w:t xml:space="preserve"> </w:t>
      </w:r>
      <w:r w:rsidRPr="002F767F">
        <w:rPr>
          <w:rFonts w:cstheme="minorHAnsi"/>
          <w:sz w:val="24"/>
          <w:szCs w:val="24"/>
        </w:rPr>
        <w:t xml:space="preserve">Señalándolas como personas que responden a intereses monetarios, transaccionales, que </w:t>
      </w:r>
      <w:r w:rsidR="00B878F7" w:rsidRPr="002F767F">
        <w:rPr>
          <w:rFonts w:cstheme="minorHAnsi"/>
          <w:sz w:val="24"/>
          <w:szCs w:val="24"/>
        </w:rPr>
        <w:t>realizan actividades desestabilizadoras, conspirativas, delictivas y contrarias a la soberanía</w:t>
      </w:r>
      <w:r w:rsidRPr="002F767F">
        <w:rPr>
          <w:rFonts w:cstheme="minorHAnsi"/>
          <w:sz w:val="24"/>
          <w:szCs w:val="24"/>
        </w:rPr>
        <w:t xml:space="preserve"> nacional</w:t>
      </w:r>
      <w:r w:rsidR="00B878F7" w:rsidRPr="002F767F">
        <w:rPr>
          <w:rFonts w:cstheme="minorHAnsi"/>
          <w:sz w:val="24"/>
          <w:szCs w:val="24"/>
        </w:rPr>
        <w:t xml:space="preserve">, las instituciones del Estado venezolano y los intereses de la </w:t>
      </w:r>
      <w:r w:rsidRPr="002F767F">
        <w:rPr>
          <w:rFonts w:cstheme="minorHAnsi"/>
          <w:sz w:val="24"/>
          <w:szCs w:val="24"/>
        </w:rPr>
        <w:t>república</w:t>
      </w:r>
      <w:r w:rsidR="00B878F7" w:rsidRPr="002F767F">
        <w:rPr>
          <w:rFonts w:cstheme="minorHAnsi"/>
          <w:sz w:val="24"/>
          <w:szCs w:val="24"/>
        </w:rPr>
        <w:t>.</w:t>
      </w:r>
    </w:p>
    <w:p w:rsidR="002F767F" w:rsidRPr="002F767F" w:rsidRDefault="002F767F" w:rsidP="002F767F">
      <w:pPr>
        <w:pStyle w:val="Prrafodelista"/>
        <w:rPr>
          <w:rFonts w:cstheme="minorHAnsi"/>
          <w:sz w:val="24"/>
          <w:szCs w:val="24"/>
        </w:rPr>
      </w:pPr>
    </w:p>
    <w:p w:rsidR="00CB6E63" w:rsidRDefault="00843CE9" w:rsidP="002F767F">
      <w:pPr>
        <w:pStyle w:val="Prrafodelista"/>
        <w:numPr>
          <w:ilvl w:val="0"/>
          <w:numId w:val="11"/>
        </w:numPr>
        <w:ind w:left="0" w:hanging="11"/>
        <w:jc w:val="both"/>
        <w:rPr>
          <w:rFonts w:cstheme="minorHAnsi"/>
          <w:sz w:val="24"/>
          <w:szCs w:val="24"/>
        </w:rPr>
      </w:pPr>
      <w:r w:rsidRPr="00543842">
        <w:rPr>
          <w:rFonts w:cstheme="minorHAnsi"/>
          <w:sz w:val="24"/>
          <w:szCs w:val="24"/>
        </w:rPr>
        <w:t xml:space="preserve">El uso </w:t>
      </w:r>
      <w:r w:rsidRPr="002F767F">
        <w:rPr>
          <w:rFonts w:cstheme="minorHAnsi"/>
          <w:sz w:val="24"/>
          <w:szCs w:val="24"/>
        </w:rPr>
        <w:t>de la hegemonía comunicacional</w:t>
      </w:r>
      <w:r w:rsidRPr="00543842">
        <w:rPr>
          <w:rFonts w:cstheme="minorHAnsi"/>
          <w:sz w:val="24"/>
          <w:szCs w:val="24"/>
        </w:rPr>
        <w:t xml:space="preserve"> se utiliza para campañas contra personas defensoras y ONG</w:t>
      </w:r>
      <w:r w:rsidR="00B878F7" w:rsidRPr="00543842">
        <w:rPr>
          <w:rFonts w:cstheme="minorHAnsi"/>
          <w:sz w:val="24"/>
          <w:szCs w:val="24"/>
        </w:rPr>
        <w:t xml:space="preserve"> por el origen de sus fondos y </w:t>
      </w:r>
      <w:r w:rsidRPr="00543842">
        <w:rPr>
          <w:rFonts w:cstheme="minorHAnsi"/>
          <w:sz w:val="24"/>
          <w:szCs w:val="24"/>
        </w:rPr>
        <w:t>el uso</w:t>
      </w:r>
      <w:r w:rsidR="00B878F7" w:rsidRPr="00543842">
        <w:rPr>
          <w:rFonts w:cstheme="minorHAnsi"/>
          <w:sz w:val="24"/>
          <w:szCs w:val="24"/>
        </w:rPr>
        <w:t xml:space="preserve"> d</w:t>
      </w:r>
      <w:r w:rsidRPr="00543842">
        <w:rPr>
          <w:rFonts w:cstheme="minorHAnsi"/>
          <w:sz w:val="24"/>
          <w:szCs w:val="24"/>
        </w:rPr>
        <w:t xml:space="preserve">el financiamiento internacional. Siendo el programa semanal del diputado </w:t>
      </w:r>
      <w:proofErr w:type="spellStart"/>
      <w:r w:rsidRPr="00543842">
        <w:rPr>
          <w:rFonts w:cstheme="minorHAnsi"/>
          <w:sz w:val="24"/>
          <w:szCs w:val="24"/>
        </w:rPr>
        <w:t>Diosdado</w:t>
      </w:r>
      <w:proofErr w:type="spellEnd"/>
      <w:r w:rsidRPr="00543842">
        <w:rPr>
          <w:rFonts w:cstheme="minorHAnsi"/>
          <w:sz w:val="24"/>
          <w:szCs w:val="24"/>
        </w:rPr>
        <w:t xml:space="preserve"> Cabello, </w:t>
      </w:r>
      <w:r w:rsidR="00CB6E63" w:rsidRPr="00543842">
        <w:rPr>
          <w:rFonts w:cstheme="minorHAnsi"/>
          <w:sz w:val="24"/>
          <w:szCs w:val="24"/>
        </w:rPr>
        <w:t>“</w:t>
      </w:r>
      <w:r w:rsidRPr="00543842">
        <w:rPr>
          <w:rFonts w:cstheme="minorHAnsi"/>
          <w:sz w:val="24"/>
          <w:szCs w:val="24"/>
        </w:rPr>
        <w:t>Con el mazo dando</w:t>
      </w:r>
      <w:r w:rsidR="00CB6E63" w:rsidRPr="00543842">
        <w:rPr>
          <w:rFonts w:cstheme="minorHAnsi"/>
          <w:sz w:val="24"/>
          <w:szCs w:val="24"/>
        </w:rPr>
        <w:t>”</w:t>
      </w:r>
      <w:r w:rsidRPr="00543842">
        <w:rPr>
          <w:rFonts w:cstheme="minorHAnsi"/>
          <w:sz w:val="24"/>
          <w:szCs w:val="24"/>
        </w:rPr>
        <w:t xml:space="preserve"> el principal vehículo de intimidación, criminalización y difamación</w:t>
      </w:r>
      <w:r w:rsidR="00CB6E63" w:rsidRPr="00543842">
        <w:rPr>
          <w:rFonts w:cstheme="minorHAnsi"/>
          <w:sz w:val="24"/>
          <w:szCs w:val="24"/>
        </w:rPr>
        <w:t xml:space="preserve">, </w:t>
      </w:r>
      <w:r w:rsidRPr="00543842">
        <w:rPr>
          <w:rFonts w:cstheme="minorHAnsi"/>
          <w:sz w:val="24"/>
          <w:szCs w:val="24"/>
        </w:rPr>
        <w:t xml:space="preserve">que luego es replicada por la </w:t>
      </w:r>
      <w:r w:rsidR="00CB6E63" w:rsidRPr="00543842">
        <w:rPr>
          <w:rFonts w:cstheme="minorHAnsi"/>
          <w:sz w:val="24"/>
          <w:szCs w:val="24"/>
        </w:rPr>
        <w:t>re</w:t>
      </w:r>
      <w:r w:rsidRPr="00543842">
        <w:rPr>
          <w:rFonts w:cstheme="minorHAnsi"/>
          <w:sz w:val="24"/>
          <w:szCs w:val="24"/>
        </w:rPr>
        <w:t>d de medios estatales.</w:t>
      </w:r>
      <w:r w:rsidR="00CB6E63" w:rsidRPr="00543842">
        <w:rPr>
          <w:rFonts w:cstheme="minorHAnsi"/>
          <w:sz w:val="24"/>
          <w:szCs w:val="24"/>
        </w:rPr>
        <w:t xml:space="preserve"> A través de órdenes, acusaciones y señalamientos, por supuestas personas anónimas, se ejecutan ataques que pueden incluso movilizar actuaciones de órganos de seguridad estatal, detenciones, ataques de grupos civiles armados, y juicios contra quienes son señalados.</w:t>
      </w:r>
    </w:p>
    <w:p w:rsidR="002F767F" w:rsidRPr="002F767F" w:rsidRDefault="002F767F" w:rsidP="002F767F">
      <w:pPr>
        <w:pStyle w:val="Prrafodelista"/>
        <w:rPr>
          <w:rFonts w:cstheme="minorHAnsi"/>
          <w:sz w:val="24"/>
          <w:szCs w:val="24"/>
        </w:rPr>
      </w:pPr>
    </w:p>
    <w:p w:rsidR="00B878F7" w:rsidRDefault="00B878F7" w:rsidP="002F767F">
      <w:pPr>
        <w:pStyle w:val="Prrafodelista"/>
        <w:numPr>
          <w:ilvl w:val="0"/>
          <w:numId w:val="11"/>
        </w:numPr>
        <w:ind w:left="0" w:hanging="11"/>
        <w:jc w:val="both"/>
        <w:rPr>
          <w:rFonts w:cstheme="minorHAnsi"/>
          <w:sz w:val="24"/>
          <w:szCs w:val="24"/>
          <w:lang w:val="es-VE"/>
        </w:rPr>
      </w:pPr>
      <w:r w:rsidRPr="00543842">
        <w:rPr>
          <w:rFonts w:cstheme="minorHAnsi"/>
          <w:sz w:val="24"/>
          <w:szCs w:val="24"/>
          <w:lang w:val="es-VE"/>
        </w:rPr>
        <w:t>La ACNUDH, en sus informes de seguimiento a los derechos humanos en Venezuela, pasó de registrar 17 eventos e incidencias contra las PDDH en 2019 a más de 90 hasta septiembre de 2021. Los ataques están dirigidos a personas que realizan labores de defensa, prestan asistencia humanitaria, periodistas, líderes sindicales, profesionales del derecho, activistas sociales, defensores ambientalistas y OSC.</w:t>
      </w:r>
    </w:p>
    <w:p w:rsidR="002F767F" w:rsidRPr="002F767F" w:rsidRDefault="002F767F" w:rsidP="002F767F">
      <w:pPr>
        <w:pStyle w:val="Prrafodelista"/>
        <w:rPr>
          <w:rFonts w:cstheme="minorHAnsi"/>
          <w:sz w:val="24"/>
          <w:szCs w:val="24"/>
          <w:lang w:val="es-VE"/>
        </w:rPr>
      </w:pPr>
    </w:p>
    <w:p w:rsidR="00B878F7" w:rsidRPr="00543842" w:rsidRDefault="00B878F7" w:rsidP="002F767F">
      <w:pPr>
        <w:pStyle w:val="Prrafodelista"/>
        <w:numPr>
          <w:ilvl w:val="0"/>
          <w:numId w:val="11"/>
        </w:numPr>
        <w:ind w:left="0" w:hanging="11"/>
        <w:jc w:val="both"/>
        <w:rPr>
          <w:rFonts w:eastAsia="Times New Roman" w:cstheme="minorHAnsi"/>
          <w:sz w:val="24"/>
          <w:szCs w:val="24"/>
        </w:rPr>
      </w:pPr>
      <w:r w:rsidRPr="002F767F">
        <w:rPr>
          <w:rFonts w:eastAsia="Times New Roman" w:cstheme="minorHAnsi"/>
          <w:b/>
          <w:bCs/>
          <w:sz w:val="24"/>
          <w:szCs w:val="24"/>
          <w:highlight w:val="white"/>
        </w:rPr>
        <w:t>Ataques a la intimidad, privacidad y seguridad:</w:t>
      </w:r>
      <w:r w:rsidR="00B14DBB" w:rsidRPr="002F767F">
        <w:rPr>
          <w:rFonts w:eastAsia="Times New Roman" w:cstheme="minorHAnsi"/>
          <w:b/>
          <w:bCs/>
          <w:sz w:val="24"/>
          <w:szCs w:val="24"/>
          <w:highlight w:val="white"/>
        </w:rPr>
        <w:t xml:space="preserve"> </w:t>
      </w:r>
      <w:r w:rsidRPr="002F767F">
        <w:rPr>
          <w:rFonts w:eastAsia="Times New Roman" w:cstheme="minorHAnsi"/>
          <w:b/>
          <w:sz w:val="24"/>
          <w:szCs w:val="24"/>
          <w:highlight w:val="white"/>
        </w:rPr>
        <w:t>E</w:t>
      </w:r>
      <w:r w:rsidRPr="00543842">
        <w:rPr>
          <w:rFonts w:eastAsia="Times New Roman" w:cstheme="minorHAnsi"/>
          <w:sz w:val="24"/>
          <w:szCs w:val="24"/>
          <w:highlight w:val="white"/>
        </w:rPr>
        <w:t xml:space="preserve">ste patrón comprende operativos de vigilancia y seguimiento de cuerpos de seguridad o de inteligencia y también de grupos de civiles, la mayoría de las veces sin identificación visible, en los sitios de trabajo, durante los traslados terrestres y aéreos, en eventos públicos o en sus propias casas. En estos operativos las personas defensoras son fotografiadas, grabadas, abordadas por individuos desconocidos. Reciben amenazas por llamadas telefónicas anónimas y en ocasiones son escuchadas en sus comunicaciones o reuniones privadas. </w:t>
      </w:r>
      <w:r w:rsidRPr="00543842">
        <w:rPr>
          <w:rFonts w:eastAsia="Times New Roman" w:cstheme="minorHAnsi"/>
          <w:sz w:val="24"/>
          <w:szCs w:val="24"/>
        </w:rPr>
        <w:t xml:space="preserve">Además, se han producido actos violentos contra las residencias, agresiones verbales y físicas e intentos de despojar de aparatos telefónicos o audiovisuales a las personas que están siendo hostigadas. Especialmente durante entrevistas en televisión, radio o prensa o después de una actividad, funcionarios han hecho visitas a los medios de comunicación o a los establecimientos para solicitar grabaciones y datos de ubicación de las personas que participaron. </w:t>
      </w:r>
    </w:p>
    <w:p w:rsidR="00B14DBB" w:rsidRPr="002F767F" w:rsidRDefault="00B14DBB" w:rsidP="004D4825">
      <w:pPr>
        <w:jc w:val="both"/>
        <w:rPr>
          <w:rFonts w:eastAsia="Times New Roman" w:cstheme="minorHAnsi"/>
          <w:b/>
          <w:sz w:val="24"/>
          <w:szCs w:val="24"/>
        </w:rPr>
      </w:pPr>
      <w:r w:rsidRPr="002F767F">
        <w:rPr>
          <w:rFonts w:eastAsia="Times New Roman" w:cstheme="minorHAnsi"/>
          <w:b/>
          <w:sz w:val="24"/>
          <w:szCs w:val="24"/>
        </w:rPr>
        <w:t>Recomendaciones</w:t>
      </w:r>
    </w:p>
    <w:p w:rsidR="00B14DBB" w:rsidRDefault="00B14DBB" w:rsidP="002F767F">
      <w:pPr>
        <w:pStyle w:val="Prrafodelista"/>
        <w:numPr>
          <w:ilvl w:val="0"/>
          <w:numId w:val="11"/>
        </w:numPr>
        <w:ind w:left="0" w:hanging="11"/>
        <w:jc w:val="both"/>
        <w:rPr>
          <w:rFonts w:eastAsia="Times New Roman" w:cstheme="minorHAnsi"/>
          <w:sz w:val="24"/>
          <w:szCs w:val="24"/>
        </w:rPr>
      </w:pPr>
      <w:r w:rsidRPr="00543842">
        <w:rPr>
          <w:rFonts w:eastAsia="Times New Roman" w:cstheme="minorHAnsi"/>
          <w:sz w:val="24"/>
          <w:szCs w:val="24"/>
        </w:rPr>
        <w:t xml:space="preserve">Garantizar el pleno acceso a la información pública y su máxima divulgación a todos los sectores y estados del país, al igual que la libertad de expresión y de prensa, el libre ejercicio de la </w:t>
      </w:r>
      <w:r w:rsidRPr="00543842">
        <w:rPr>
          <w:rFonts w:eastAsia="Times New Roman" w:cstheme="minorHAnsi"/>
          <w:sz w:val="24"/>
          <w:szCs w:val="24"/>
        </w:rPr>
        <w:lastRenderedPageBreak/>
        <w:t>labor periodística y de los medios de comunicación independientes, y la accesibilidad a los servicios de telefonía e internet.</w:t>
      </w:r>
    </w:p>
    <w:p w:rsidR="002F767F" w:rsidRPr="00543842" w:rsidRDefault="002F767F" w:rsidP="002F767F">
      <w:pPr>
        <w:pStyle w:val="Prrafodelista"/>
        <w:ind w:left="0"/>
        <w:jc w:val="both"/>
        <w:rPr>
          <w:rFonts w:eastAsia="Times New Roman" w:cstheme="minorHAnsi"/>
          <w:sz w:val="24"/>
          <w:szCs w:val="24"/>
        </w:rPr>
      </w:pPr>
    </w:p>
    <w:p w:rsidR="00B14DBB" w:rsidRPr="00543842" w:rsidRDefault="00B14DBB" w:rsidP="002F767F">
      <w:pPr>
        <w:pStyle w:val="Prrafodelista"/>
        <w:numPr>
          <w:ilvl w:val="0"/>
          <w:numId w:val="11"/>
        </w:numPr>
        <w:ind w:left="0" w:hanging="11"/>
        <w:jc w:val="both"/>
        <w:rPr>
          <w:rFonts w:cstheme="minorHAnsi"/>
          <w:sz w:val="24"/>
          <w:szCs w:val="24"/>
        </w:rPr>
      </w:pPr>
      <w:r w:rsidRPr="00543842">
        <w:rPr>
          <w:rFonts w:cstheme="minorHAnsi"/>
          <w:sz w:val="24"/>
          <w:szCs w:val="24"/>
        </w:rPr>
        <w:t>Acabar con la política de criminalización, difamación y desprestigio del trabajo de los defensores y defensoras de derechos humanos</w:t>
      </w:r>
      <w:r w:rsidR="00C34EC6" w:rsidRPr="00543842">
        <w:rPr>
          <w:rFonts w:cstheme="minorHAnsi"/>
          <w:sz w:val="24"/>
          <w:szCs w:val="24"/>
        </w:rPr>
        <w:t>.</w:t>
      </w:r>
    </w:p>
    <w:p w:rsidR="00856547" w:rsidRPr="0088202F" w:rsidRDefault="00856547" w:rsidP="004D4825">
      <w:pPr>
        <w:jc w:val="both"/>
        <w:rPr>
          <w:rFonts w:cstheme="minorHAnsi"/>
          <w:b/>
          <w:sz w:val="24"/>
          <w:szCs w:val="24"/>
        </w:rPr>
      </w:pPr>
      <w:r w:rsidRPr="0088202F">
        <w:rPr>
          <w:rFonts w:cstheme="minorHAnsi"/>
          <w:b/>
          <w:sz w:val="24"/>
          <w:szCs w:val="24"/>
          <w:lang w:eastAsia="es-VE"/>
        </w:rPr>
        <w:t>Artículo 22</w:t>
      </w:r>
      <w:r w:rsidR="00967B29" w:rsidRPr="0088202F">
        <w:rPr>
          <w:rFonts w:cstheme="minorHAnsi"/>
          <w:b/>
          <w:sz w:val="24"/>
          <w:szCs w:val="24"/>
          <w:lang w:eastAsia="es-VE"/>
        </w:rPr>
        <w:t xml:space="preserve">. Libertad de asociación. </w:t>
      </w:r>
    </w:p>
    <w:p w:rsidR="00967B29" w:rsidRPr="00543842" w:rsidRDefault="00967B29" w:rsidP="002F767F">
      <w:pPr>
        <w:pStyle w:val="Prrafodelista"/>
        <w:numPr>
          <w:ilvl w:val="0"/>
          <w:numId w:val="11"/>
        </w:numPr>
        <w:ind w:left="0" w:hanging="11"/>
        <w:jc w:val="both"/>
        <w:rPr>
          <w:rFonts w:eastAsia="Times New Roman" w:cstheme="minorHAnsi"/>
          <w:sz w:val="24"/>
          <w:szCs w:val="24"/>
          <w:lang w:eastAsia="es-VE"/>
        </w:rPr>
      </w:pPr>
      <w:r w:rsidRPr="0088202F">
        <w:rPr>
          <w:rFonts w:eastAsia="Times New Roman" w:cstheme="minorHAnsi"/>
          <w:b/>
          <w:sz w:val="24"/>
          <w:szCs w:val="24"/>
          <w:lang w:eastAsia="es-VE"/>
        </w:rPr>
        <w:t>Obstrucción de los procesos de</w:t>
      </w:r>
      <w:r w:rsidR="00241324" w:rsidRPr="0088202F">
        <w:rPr>
          <w:rFonts w:eastAsia="Times New Roman" w:cstheme="minorHAnsi"/>
          <w:b/>
          <w:sz w:val="24"/>
          <w:szCs w:val="24"/>
          <w:lang w:eastAsia="es-VE"/>
        </w:rPr>
        <w:t xml:space="preserve"> aprobación, creación y actualización de registros</w:t>
      </w:r>
      <w:r w:rsidR="00241324" w:rsidRPr="00543842">
        <w:rPr>
          <w:rFonts w:eastAsia="Times New Roman" w:cstheme="minorHAnsi"/>
          <w:sz w:val="24"/>
          <w:szCs w:val="24"/>
          <w:lang w:eastAsia="es-VE"/>
        </w:rPr>
        <w:t>. D</w:t>
      </w:r>
      <w:r w:rsidRPr="00543842">
        <w:rPr>
          <w:rFonts w:eastAsia="Times New Roman" w:cstheme="minorHAnsi"/>
          <w:sz w:val="24"/>
          <w:szCs w:val="24"/>
          <w:lang w:eastAsia="es-VE"/>
        </w:rPr>
        <w:t>esde 2010</w:t>
      </w:r>
      <w:r w:rsidR="00241324" w:rsidRPr="00543842">
        <w:rPr>
          <w:rFonts w:eastAsia="Times New Roman" w:cstheme="minorHAnsi"/>
          <w:sz w:val="24"/>
          <w:szCs w:val="24"/>
          <w:lang w:eastAsia="es-VE"/>
        </w:rPr>
        <w:t>,</w:t>
      </w:r>
      <w:r w:rsidRPr="00543842">
        <w:rPr>
          <w:rFonts w:eastAsia="Times New Roman" w:cstheme="minorHAnsi"/>
          <w:sz w:val="24"/>
          <w:szCs w:val="24"/>
          <w:lang w:eastAsia="es-VE"/>
        </w:rPr>
        <w:t xml:space="preserve"> los procedimientos para obtener personalidad jurídica, protocolizar actas de las asociaciones y fundaciones civiles han presentado obstrucciones y están sometidas a la discrecionalidad de funcionario/as en las oficinas de registro y notaria de los distintos estados del país. En septiembre de 2019, se evidenció un patrón de restricciones más severas a nivel nacional, producto de una orden superior que centralizó las actividades registrales en la sede del Servicio Autónomo de Registros y Notarías (SAREN) situada en la ciudad de Caracas. Para septiembre de 2023, al menos 60 organizaciones de derechos humanos han sido documentadas evidenciando la imposibilidad de tener documentación jurídica de la organización o actualización de las mismas. </w:t>
      </w:r>
    </w:p>
    <w:p w:rsidR="00856547" w:rsidRPr="0088202F" w:rsidRDefault="0088202F" w:rsidP="004D4825">
      <w:pPr>
        <w:jc w:val="both"/>
        <w:rPr>
          <w:rFonts w:cstheme="minorHAnsi"/>
          <w:b/>
          <w:sz w:val="24"/>
          <w:szCs w:val="24"/>
        </w:rPr>
      </w:pPr>
      <w:r>
        <w:rPr>
          <w:rFonts w:cstheme="minorHAnsi"/>
          <w:b/>
          <w:sz w:val="24"/>
          <w:szCs w:val="24"/>
        </w:rPr>
        <w:t>Recomendaciones</w:t>
      </w:r>
      <w:bookmarkStart w:id="0" w:name="_GoBack"/>
      <w:bookmarkEnd w:id="0"/>
    </w:p>
    <w:p w:rsidR="00967B29" w:rsidRDefault="00967B29" w:rsidP="002F767F">
      <w:pPr>
        <w:pStyle w:val="Prrafodelista"/>
        <w:numPr>
          <w:ilvl w:val="0"/>
          <w:numId w:val="11"/>
        </w:numPr>
        <w:ind w:left="0" w:hanging="11"/>
        <w:jc w:val="both"/>
        <w:rPr>
          <w:rFonts w:cstheme="minorHAnsi"/>
          <w:color w:val="000000"/>
          <w:sz w:val="24"/>
          <w:szCs w:val="24"/>
          <w:lang w:val="es-VE"/>
        </w:rPr>
      </w:pPr>
      <w:r w:rsidRPr="00543842">
        <w:rPr>
          <w:rFonts w:cstheme="minorHAnsi"/>
          <w:color w:val="000000"/>
          <w:sz w:val="24"/>
          <w:szCs w:val="24"/>
          <w:lang w:val="es-VE"/>
        </w:rPr>
        <w:t>Derogar</w:t>
      </w:r>
      <w:r w:rsidR="00C55EAA" w:rsidRPr="00543842">
        <w:rPr>
          <w:rFonts w:cstheme="minorHAnsi"/>
          <w:color w:val="000000"/>
          <w:sz w:val="24"/>
          <w:szCs w:val="24"/>
          <w:lang w:val="es-VE"/>
        </w:rPr>
        <w:t xml:space="preserve"> órdenes, lineamientos, </w:t>
      </w:r>
      <w:r w:rsidRPr="00543842">
        <w:rPr>
          <w:rFonts w:cstheme="minorHAnsi"/>
          <w:color w:val="000000"/>
          <w:sz w:val="24"/>
          <w:szCs w:val="24"/>
          <w:lang w:val="es-VE"/>
        </w:rPr>
        <w:t xml:space="preserve">levantar y no aprobar las normativas y legislaciones restrictivas que obstaculizan el registro de las organizaciones de la sociedad civil, la actualización de actas que limitan sus capacidades de financiamiento y criminalizan el ejercicio de la libertad de asociación y el derecho a defender derechos humanos. </w:t>
      </w:r>
    </w:p>
    <w:p w:rsidR="002F767F" w:rsidRPr="00543842" w:rsidRDefault="002F767F" w:rsidP="002F767F">
      <w:pPr>
        <w:pStyle w:val="Prrafodelista"/>
        <w:ind w:left="0"/>
        <w:jc w:val="both"/>
        <w:rPr>
          <w:rFonts w:cstheme="minorHAnsi"/>
          <w:color w:val="000000"/>
          <w:sz w:val="24"/>
          <w:szCs w:val="24"/>
          <w:lang w:val="es-VE"/>
        </w:rPr>
      </w:pPr>
    </w:p>
    <w:p w:rsidR="00967B29" w:rsidRPr="00543842" w:rsidRDefault="00C55EAA" w:rsidP="002F767F">
      <w:pPr>
        <w:pStyle w:val="Prrafodelista"/>
        <w:numPr>
          <w:ilvl w:val="0"/>
          <w:numId w:val="11"/>
        </w:numPr>
        <w:ind w:left="0" w:hanging="11"/>
        <w:jc w:val="both"/>
        <w:rPr>
          <w:rFonts w:cstheme="minorHAnsi"/>
          <w:sz w:val="24"/>
          <w:szCs w:val="24"/>
          <w:lang w:val="es-VE"/>
        </w:rPr>
      </w:pPr>
      <w:r w:rsidRPr="00543842">
        <w:rPr>
          <w:rFonts w:cstheme="minorHAnsi"/>
          <w:sz w:val="24"/>
          <w:szCs w:val="24"/>
          <w:lang w:val="es-VE"/>
        </w:rPr>
        <w:t>Capacitar a los organismos judiciales del Estado para el respeto y garantía del trabajo legítimo de quienes defienden derechos humanos.</w:t>
      </w:r>
    </w:p>
    <w:sectPr w:rsidR="00967B29" w:rsidRPr="00543842" w:rsidSect="00543842">
      <w:pgSz w:w="12240" w:h="15840"/>
      <w:pgMar w:top="1417" w:right="1041" w:bottom="1417" w:left="1418"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CFF" w:rsidRDefault="00C64CFF" w:rsidP="00595BD2">
      <w:pPr>
        <w:spacing w:after="0" w:line="240" w:lineRule="auto"/>
      </w:pPr>
      <w:r>
        <w:separator/>
      </w:r>
    </w:p>
  </w:endnote>
  <w:endnote w:type="continuationSeparator" w:id="0">
    <w:p w:rsidR="00C64CFF" w:rsidRDefault="00C64CFF" w:rsidP="00595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CFF" w:rsidRDefault="00C64CFF" w:rsidP="00595BD2">
      <w:pPr>
        <w:spacing w:after="0" w:line="240" w:lineRule="auto"/>
      </w:pPr>
      <w:r>
        <w:separator/>
      </w:r>
    </w:p>
  </w:footnote>
  <w:footnote w:type="continuationSeparator" w:id="0">
    <w:p w:rsidR="00C64CFF" w:rsidRDefault="00C64CFF" w:rsidP="00595BD2">
      <w:pPr>
        <w:spacing w:after="0" w:line="240" w:lineRule="auto"/>
      </w:pPr>
      <w:r>
        <w:continuationSeparator/>
      </w:r>
    </w:p>
  </w:footnote>
  <w:footnote w:id="1">
    <w:p w:rsidR="00CB6E63" w:rsidRPr="00FB3AEF" w:rsidRDefault="00CB6E63">
      <w:pPr>
        <w:pStyle w:val="Textonotapie"/>
        <w:rPr>
          <w:lang w:val="es-VE"/>
        </w:rPr>
      </w:pPr>
      <w:r>
        <w:rPr>
          <w:rStyle w:val="Refdenotaalpie"/>
        </w:rPr>
        <w:footnoteRef/>
      </w:r>
      <w:r>
        <w:rPr>
          <w:rStyle w:val="Refdenotaalpie"/>
        </w:rPr>
        <w:footnoteRef/>
      </w:r>
      <w:r>
        <w:t xml:space="preserve"> </w:t>
      </w:r>
      <w:r w:rsidRPr="00FB3AEF">
        <w:t>https://www.acnur.org/emergencias/situacion-de-venezuela#:~:text=M%C3%A1s%20de%207%2C7%20millones,Am%C3%A9rica%20Latina%20y%20el%20Caribe.</w:t>
      </w:r>
    </w:p>
  </w:footnote>
  <w:footnote w:id="2">
    <w:p w:rsidR="00CB6E63" w:rsidRDefault="00CB6E63" w:rsidP="00FB3AEF">
      <w:pPr>
        <w:pStyle w:val="Textonotapie"/>
      </w:pPr>
      <w:r>
        <w:rPr>
          <w:rStyle w:val="Refdenotaalpie"/>
        </w:rPr>
        <w:footnoteRef/>
      </w:r>
      <w:r>
        <w:t xml:space="preserve"> COMUNICADO CONJUNTO. Con la intervención judicial de la Sociedad Venezolana de la Cruz Roja</w:t>
      </w:r>
    </w:p>
    <w:p w:rsidR="00CB6E63" w:rsidRPr="00FB3AEF" w:rsidRDefault="00CB6E63" w:rsidP="00FB3AEF">
      <w:pPr>
        <w:pStyle w:val="Textonotapie"/>
        <w:rPr>
          <w:lang w:val="es-VE"/>
        </w:rPr>
      </w:pPr>
      <w:r>
        <w:t xml:space="preserve">SE AGRAVA EL PATRÓN DE VIOLACIONES CONTRA LA LIBERTAD DE ASOCIACIÓN EN VENEZUELA </w:t>
      </w:r>
      <w:r w:rsidRPr="00FB3AEF">
        <w:t>https://www.wola.org/wp-content/uploads/2023/08/COMUNICADO-CONJUNTO-intervencion-Cruz-Rojas-9-de-agostodef-1.pdf</w:t>
      </w:r>
    </w:p>
  </w:footnote>
  <w:footnote w:id="3">
    <w:p w:rsidR="00CB6E63" w:rsidRPr="002966F7" w:rsidRDefault="00CB6E63">
      <w:pPr>
        <w:pStyle w:val="Textonotapie"/>
      </w:pPr>
      <w:r>
        <w:rPr>
          <w:rStyle w:val="Refdenotaalpie"/>
        </w:rPr>
        <w:footnoteRef/>
      </w:r>
      <w:r>
        <w:t xml:space="preserve"> </w:t>
      </w:r>
      <w:r w:rsidRPr="002966F7">
        <w:t>https://www.civilisac.org/alertas/500-organizaciones-de-la-sociedad-civil-y-250-personas-rechazan-el-proyecto-de-ley-anti-solidaridad-que-cierra-la-cooperacion-internacional</w:t>
      </w:r>
    </w:p>
  </w:footnote>
  <w:footnote w:id="4">
    <w:p w:rsidR="00CB6E63" w:rsidRPr="00517C9D" w:rsidRDefault="00CB6E63">
      <w:pPr>
        <w:pStyle w:val="Textonotapie"/>
      </w:pPr>
      <w:r>
        <w:rPr>
          <w:rStyle w:val="Refdenotaalpie"/>
        </w:rPr>
        <w:footnoteRef/>
      </w:r>
      <w:r>
        <w:t xml:space="preserve"> </w:t>
      </w:r>
      <w:r w:rsidRPr="00517C9D">
        <w:t>https://www.asambleanacional.gob.ve/noticias/comision-de-politica-exterior-aprueba-proyecto-de-ley-de-cooperacion-internacional</w:t>
      </w:r>
    </w:p>
  </w:footnote>
  <w:footnote w:id="5">
    <w:p w:rsidR="00CB6E63" w:rsidRPr="00340E39" w:rsidRDefault="00CB6E63">
      <w:pPr>
        <w:pStyle w:val="Textonotapie"/>
        <w:rPr>
          <w:lang w:val="es-VE"/>
        </w:rPr>
      </w:pPr>
      <w:r>
        <w:rPr>
          <w:rStyle w:val="Refdenotaalpie"/>
        </w:rPr>
        <w:footnoteRef/>
      </w:r>
      <w:r>
        <w:t xml:space="preserve"> </w:t>
      </w:r>
      <w:r w:rsidRPr="00340E39">
        <w:t>https://www.civilisac.org/alertas/comunicado-conjunto-proyecto-de-ley-intenta-suprimir-el-derecho-de-libre-asociacion-en-venezuela</w:t>
      </w:r>
    </w:p>
  </w:footnote>
  <w:footnote w:id="6">
    <w:p w:rsidR="00CB6E63" w:rsidRPr="00004845" w:rsidRDefault="00CB6E63">
      <w:pPr>
        <w:pStyle w:val="Textonotapie"/>
        <w:rPr>
          <w:lang w:val="es-VE"/>
        </w:rPr>
      </w:pPr>
      <w:r>
        <w:rPr>
          <w:rStyle w:val="Refdenotaalpie"/>
        </w:rPr>
        <w:footnoteRef/>
      </w:r>
      <w:r>
        <w:t xml:space="preserve"> </w:t>
      </w:r>
      <w:r w:rsidRPr="00004845">
        <w:t>https://provea.org/actualidad/tras-un-ano-el-asesinato-del-lider-indigena-virgilio-trujillo-sigue-impune/</w:t>
      </w:r>
    </w:p>
  </w:footnote>
  <w:footnote w:id="7">
    <w:p w:rsidR="00CB6E63" w:rsidRPr="00A9596E" w:rsidRDefault="00CB6E63">
      <w:pPr>
        <w:pStyle w:val="Textonotapie"/>
        <w:rPr>
          <w:lang w:val="es-VE"/>
        </w:rPr>
      </w:pPr>
      <w:r>
        <w:rPr>
          <w:rStyle w:val="Refdenotaalpie"/>
        </w:rPr>
        <w:footnoteRef/>
      </w:r>
      <w:r>
        <w:t xml:space="preserve"> </w:t>
      </w:r>
      <w:r w:rsidRPr="00A9596E">
        <w:t>https://www.frontlinedefenders.org/es/case/six-members-humanitarian-organisation-azul-positivo-detained</w:t>
      </w:r>
    </w:p>
  </w:footnote>
  <w:footnote w:id="8">
    <w:p w:rsidR="00CB6E63" w:rsidRPr="00CC482A" w:rsidRDefault="00CB6E63">
      <w:pPr>
        <w:pStyle w:val="Textonotapie"/>
        <w:rPr>
          <w:lang w:val="es-VE"/>
        </w:rPr>
      </w:pPr>
      <w:r>
        <w:rPr>
          <w:rStyle w:val="Refdenotaalpie"/>
        </w:rPr>
        <w:footnoteRef/>
      </w:r>
      <w:r>
        <w:t xml:space="preserve"> </w:t>
      </w:r>
      <w:r w:rsidRPr="00CC482A">
        <w:t>https://www.oas.org/es/CIDH/jsForm/?File=/es/cidh/prensa/comunicados/2022/253.asp</w:t>
      </w:r>
    </w:p>
  </w:footnote>
  <w:footnote w:id="9">
    <w:p w:rsidR="00CB6E63" w:rsidRPr="00CC482A" w:rsidRDefault="00CB6E63">
      <w:pPr>
        <w:pStyle w:val="Textonotapie"/>
        <w:rPr>
          <w:lang w:val="es-VE"/>
        </w:rPr>
      </w:pPr>
      <w:r>
        <w:rPr>
          <w:rStyle w:val="Refdenotaalpie"/>
        </w:rPr>
        <w:footnoteRef/>
      </w:r>
      <w:r>
        <w:t xml:space="preserve"> </w:t>
      </w:r>
      <w:r w:rsidRPr="00CC482A">
        <w:t>https://www.amnesty.org/es/documents/amr53/5121/2021/es/</w:t>
      </w:r>
    </w:p>
  </w:footnote>
  <w:footnote w:id="10">
    <w:p w:rsidR="00CB6E63" w:rsidRPr="0007277E" w:rsidRDefault="00CB6E63" w:rsidP="0007277E">
      <w:pPr>
        <w:pStyle w:val="Ttulo1"/>
        <w:shd w:val="clear" w:color="auto" w:fill="FFFFFF"/>
        <w:spacing w:before="225" w:line="288" w:lineRule="atLeast"/>
        <w:rPr>
          <w:rFonts w:asciiTheme="minorHAnsi" w:hAnsiTheme="minorHAnsi" w:cstheme="minorHAnsi"/>
          <w:color w:val="000000"/>
          <w:sz w:val="59"/>
          <w:szCs w:val="59"/>
          <w:lang w:val="es-VE"/>
        </w:rPr>
      </w:pPr>
      <w:r w:rsidRPr="0007277E">
        <w:rPr>
          <w:rStyle w:val="Refdenotaalpie"/>
          <w:rFonts w:asciiTheme="minorHAnsi" w:hAnsiTheme="minorHAnsi" w:cstheme="minorHAnsi"/>
          <w:b w:val="0"/>
          <w:color w:val="auto"/>
          <w:sz w:val="20"/>
          <w:szCs w:val="20"/>
        </w:rPr>
        <w:footnoteRef/>
      </w:r>
      <w:r w:rsidRPr="0007277E">
        <w:rPr>
          <w:rFonts w:asciiTheme="minorHAnsi" w:hAnsiTheme="minorHAnsi" w:cstheme="minorHAnsi"/>
          <w:b w:val="0"/>
          <w:color w:val="auto"/>
          <w:sz w:val="20"/>
          <w:szCs w:val="20"/>
        </w:rPr>
        <w:t xml:space="preserve"> Comunicado</w:t>
      </w:r>
      <w:r w:rsidRPr="0007277E">
        <w:rPr>
          <w:rFonts w:asciiTheme="minorHAnsi" w:hAnsiTheme="minorHAnsi" w:cstheme="minorHAnsi"/>
        </w:rPr>
        <w:t xml:space="preserve"> </w:t>
      </w:r>
      <w:r w:rsidRPr="0007277E">
        <w:rPr>
          <w:rFonts w:asciiTheme="minorHAnsi" w:hAnsiTheme="minorHAnsi" w:cstheme="minorHAnsi"/>
          <w:b w:val="0"/>
          <w:color w:val="000000"/>
          <w:sz w:val="20"/>
          <w:szCs w:val="20"/>
        </w:rPr>
        <w:t>Sin Libertad Sindical no hay Democracia» Exigimos cese la persecución contra trabajadores que reclaman derechos. https://provea.org/comunicados/con-otros/sin-libertad-sindical-no-hay-democracia-exigimos-cese-la-persecucion-contra-trabajadores-que-reclaman-derechos/</w:t>
      </w:r>
    </w:p>
    <w:p w:rsidR="00CB6E63" w:rsidRPr="0007277E" w:rsidRDefault="00CB6E63">
      <w:pPr>
        <w:pStyle w:val="Textonotapie"/>
        <w:rPr>
          <w:lang w:val="es-VE"/>
        </w:rPr>
      </w:pPr>
    </w:p>
  </w:footnote>
  <w:footnote w:id="11">
    <w:p w:rsidR="00CB6E63" w:rsidRPr="00592CDC" w:rsidRDefault="00CB6E63" w:rsidP="001D45BA">
      <w:pPr>
        <w:pStyle w:val="Textonotapie"/>
        <w:rPr>
          <w:lang w:val="es-US"/>
        </w:rPr>
      </w:pPr>
      <w:r>
        <w:rPr>
          <w:rStyle w:val="Refdenotaalpie"/>
        </w:rPr>
        <w:footnoteRef/>
      </w:r>
      <w:r>
        <w:t xml:space="preserve"> El INFORMADOR. El dirigente sindical, Julio Marín denuncia hostigamiento en contra de su familia </w:t>
      </w:r>
      <w:r>
        <w:rPr>
          <w:color w:val="000000"/>
        </w:rPr>
        <w:t xml:space="preserve">[en línea] &lt; </w:t>
      </w:r>
      <w:hyperlink r:id="rId1" w:history="1">
        <w:r w:rsidRPr="002D203B">
          <w:rPr>
            <w:rStyle w:val="Hipervnculo"/>
          </w:rPr>
          <w:t>https://www.elinformadorve.com/26/01/2023/lara/el-dirigente-sindical-julio-marin-denuncia-hostigamiento-en-contra-de-su-familia/</w:t>
        </w:r>
      </w:hyperlink>
      <w:r w:rsidRPr="00974AA7">
        <w:rPr>
          <w:color w:val="000000"/>
        </w:rPr>
        <w:t>&gt; de fecha</w:t>
      </w:r>
      <w:r>
        <w:rPr>
          <w:color w:val="000000"/>
        </w:rPr>
        <w:t xml:space="preserve"> 26.01.2023</w:t>
      </w:r>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6267B"/>
    <w:multiLevelType w:val="hybridMultilevel"/>
    <w:tmpl w:val="71BA4A3C"/>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15:restartNumberingAfterBreak="0">
    <w:nsid w:val="0677466E"/>
    <w:multiLevelType w:val="hybridMultilevel"/>
    <w:tmpl w:val="46C66A38"/>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15:restartNumberingAfterBreak="0">
    <w:nsid w:val="09801885"/>
    <w:multiLevelType w:val="hybridMultilevel"/>
    <w:tmpl w:val="9716A348"/>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15:restartNumberingAfterBreak="0">
    <w:nsid w:val="1B066960"/>
    <w:multiLevelType w:val="hybridMultilevel"/>
    <w:tmpl w:val="BF84DF2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4" w15:restartNumberingAfterBreak="0">
    <w:nsid w:val="1BDE4C99"/>
    <w:multiLevelType w:val="hybridMultilevel"/>
    <w:tmpl w:val="8BFE0618"/>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15:restartNumberingAfterBreak="0">
    <w:nsid w:val="1DB55166"/>
    <w:multiLevelType w:val="hybridMultilevel"/>
    <w:tmpl w:val="22D8270C"/>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15:restartNumberingAfterBreak="0">
    <w:nsid w:val="1E100856"/>
    <w:multiLevelType w:val="hybridMultilevel"/>
    <w:tmpl w:val="8BE8CA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7E2B1B"/>
    <w:multiLevelType w:val="hybridMultilevel"/>
    <w:tmpl w:val="A652FFCA"/>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15:restartNumberingAfterBreak="0">
    <w:nsid w:val="292406A7"/>
    <w:multiLevelType w:val="hybridMultilevel"/>
    <w:tmpl w:val="B38A5514"/>
    <w:lvl w:ilvl="0" w:tplc="7396BFDA">
      <w:numFmt w:val="bullet"/>
      <w:lvlText w:val="-"/>
      <w:lvlJc w:val="left"/>
      <w:pPr>
        <w:ind w:left="720" w:hanging="360"/>
      </w:pPr>
      <w:rPr>
        <w:rFonts w:ascii="Arial" w:eastAsia="Calibri" w:hAnsi="Arial" w:cs="Arial" w:hint="default"/>
      </w:rPr>
    </w:lvl>
    <w:lvl w:ilvl="1" w:tplc="200A0003">
      <w:start w:val="1"/>
      <w:numFmt w:val="bullet"/>
      <w:lvlText w:val="o"/>
      <w:lvlJc w:val="left"/>
      <w:pPr>
        <w:ind w:left="1440" w:hanging="360"/>
      </w:pPr>
      <w:rPr>
        <w:rFonts w:ascii="Courier New" w:hAnsi="Courier New" w:cs="Courier New" w:hint="default"/>
      </w:rPr>
    </w:lvl>
    <w:lvl w:ilvl="2" w:tplc="200A0005">
      <w:start w:val="1"/>
      <w:numFmt w:val="bullet"/>
      <w:lvlText w:val=""/>
      <w:lvlJc w:val="left"/>
      <w:pPr>
        <w:ind w:left="2160" w:hanging="360"/>
      </w:pPr>
      <w:rPr>
        <w:rFonts w:ascii="Wingdings" w:hAnsi="Wingdings" w:hint="default"/>
      </w:rPr>
    </w:lvl>
    <w:lvl w:ilvl="3" w:tplc="200A0001">
      <w:start w:val="1"/>
      <w:numFmt w:val="bullet"/>
      <w:lvlText w:val=""/>
      <w:lvlJc w:val="left"/>
      <w:pPr>
        <w:ind w:left="2880" w:hanging="360"/>
      </w:pPr>
      <w:rPr>
        <w:rFonts w:ascii="Symbol" w:hAnsi="Symbol" w:hint="default"/>
      </w:rPr>
    </w:lvl>
    <w:lvl w:ilvl="4" w:tplc="200A0003">
      <w:start w:val="1"/>
      <w:numFmt w:val="bullet"/>
      <w:lvlText w:val="o"/>
      <w:lvlJc w:val="left"/>
      <w:pPr>
        <w:ind w:left="3600" w:hanging="360"/>
      </w:pPr>
      <w:rPr>
        <w:rFonts w:ascii="Courier New" w:hAnsi="Courier New" w:cs="Courier New" w:hint="default"/>
      </w:rPr>
    </w:lvl>
    <w:lvl w:ilvl="5" w:tplc="200A0005">
      <w:start w:val="1"/>
      <w:numFmt w:val="bullet"/>
      <w:lvlText w:val=""/>
      <w:lvlJc w:val="left"/>
      <w:pPr>
        <w:ind w:left="4320" w:hanging="360"/>
      </w:pPr>
      <w:rPr>
        <w:rFonts w:ascii="Wingdings" w:hAnsi="Wingdings" w:hint="default"/>
      </w:rPr>
    </w:lvl>
    <w:lvl w:ilvl="6" w:tplc="200A0001">
      <w:start w:val="1"/>
      <w:numFmt w:val="bullet"/>
      <w:lvlText w:val=""/>
      <w:lvlJc w:val="left"/>
      <w:pPr>
        <w:ind w:left="5040" w:hanging="360"/>
      </w:pPr>
      <w:rPr>
        <w:rFonts w:ascii="Symbol" w:hAnsi="Symbol" w:hint="default"/>
      </w:rPr>
    </w:lvl>
    <w:lvl w:ilvl="7" w:tplc="200A0003">
      <w:start w:val="1"/>
      <w:numFmt w:val="bullet"/>
      <w:lvlText w:val="o"/>
      <w:lvlJc w:val="left"/>
      <w:pPr>
        <w:ind w:left="5760" w:hanging="360"/>
      </w:pPr>
      <w:rPr>
        <w:rFonts w:ascii="Courier New" w:hAnsi="Courier New" w:cs="Courier New" w:hint="default"/>
      </w:rPr>
    </w:lvl>
    <w:lvl w:ilvl="8" w:tplc="200A0005">
      <w:start w:val="1"/>
      <w:numFmt w:val="bullet"/>
      <w:lvlText w:val=""/>
      <w:lvlJc w:val="left"/>
      <w:pPr>
        <w:ind w:left="6480" w:hanging="360"/>
      </w:pPr>
      <w:rPr>
        <w:rFonts w:ascii="Wingdings" w:hAnsi="Wingdings" w:hint="default"/>
      </w:rPr>
    </w:lvl>
  </w:abstractNum>
  <w:abstractNum w:abstractNumId="9" w15:restartNumberingAfterBreak="0">
    <w:nsid w:val="2B8E333B"/>
    <w:multiLevelType w:val="hybridMultilevel"/>
    <w:tmpl w:val="3C364808"/>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0" w15:restartNumberingAfterBreak="0">
    <w:nsid w:val="2C1C58CB"/>
    <w:multiLevelType w:val="hybridMultilevel"/>
    <w:tmpl w:val="771E2E46"/>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1" w15:restartNumberingAfterBreak="0">
    <w:nsid w:val="34EF7D05"/>
    <w:multiLevelType w:val="hybridMultilevel"/>
    <w:tmpl w:val="E2F8C04A"/>
    <w:lvl w:ilvl="0" w:tplc="200A000F">
      <w:start w:val="1"/>
      <w:numFmt w:val="decimal"/>
      <w:lvlText w:val="%1."/>
      <w:lvlJc w:val="left"/>
      <w:pPr>
        <w:ind w:left="1070" w:hanging="360"/>
      </w:pPr>
      <w:rPr>
        <w:rFonts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2" w15:restartNumberingAfterBreak="0">
    <w:nsid w:val="4DEB7B8F"/>
    <w:multiLevelType w:val="hybridMultilevel"/>
    <w:tmpl w:val="1D36137A"/>
    <w:lvl w:ilvl="0" w:tplc="240A0001">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7E41E60"/>
    <w:multiLevelType w:val="hybridMultilevel"/>
    <w:tmpl w:val="312012DA"/>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4" w15:restartNumberingAfterBreak="0">
    <w:nsid w:val="5DEF75E4"/>
    <w:multiLevelType w:val="hybridMultilevel"/>
    <w:tmpl w:val="D72424A6"/>
    <w:lvl w:ilvl="0" w:tplc="200A000F">
      <w:start w:val="1"/>
      <w:numFmt w:val="decimal"/>
      <w:lvlText w:val="%1."/>
      <w:lvlJc w:val="left"/>
      <w:pPr>
        <w:ind w:left="720" w:hanging="360"/>
      </w:pPr>
    </w:lvl>
    <w:lvl w:ilvl="1" w:tplc="73E69BE2">
      <w:start w:val="1"/>
      <w:numFmt w:val="lowerLetter"/>
      <w:lvlText w:val="%2)"/>
      <w:lvlJc w:val="left"/>
      <w:pPr>
        <w:ind w:left="1440" w:hanging="360"/>
      </w:pPr>
      <w:rPr>
        <w:rFonts w:hint="default"/>
      </w:r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5" w15:restartNumberingAfterBreak="0">
    <w:nsid w:val="685F60EB"/>
    <w:multiLevelType w:val="hybridMultilevel"/>
    <w:tmpl w:val="DBE21116"/>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6" w15:restartNumberingAfterBreak="0">
    <w:nsid w:val="6DF80999"/>
    <w:multiLevelType w:val="hybridMultilevel"/>
    <w:tmpl w:val="E87ED530"/>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7" w15:restartNumberingAfterBreak="0">
    <w:nsid w:val="72447351"/>
    <w:multiLevelType w:val="hybridMultilevel"/>
    <w:tmpl w:val="8A70720A"/>
    <w:lvl w:ilvl="0" w:tplc="200A0017">
      <w:start w:val="1"/>
      <w:numFmt w:val="lowerLetter"/>
      <w:lvlText w:val="%1)"/>
      <w:lvlJc w:val="left"/>
      <w:pPr>
        <w:ind w:left="720" w:hanging="360"/>
      </w:pPr>
    </w:lvl>
    <w:lvl w:ilvl="1" w:tplc="200A0019" w:tentative="1">
      <w:start w:val="1"/>
      <w:numFmt w:val="lowerLetter"/>
      <w:lvlText w:val="%2."/>
      <w:lvlJc w:val="left"/>
      <w:pPr>
        <w:ind w:left="1440" w:hanging="360"/>
      </w:pPr>
    </w:lvl>
    <w:lvl w:ilvl="2" w:tplc="200A001B">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15:restartNumberingAfterBreak="0">
    <w:nsid w:val="73A66A61"/>
    <w:multiLevelType w:val="hybridMultilevel"/>
    <w:tmpl w:val="A3B01626"/>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9" w15:restartNumberingAfterBreak="0">
    <w:nsid w:val="73CC1CBE"/>
    <w:multiLevelType w:val="hybridMultilevel"/>
    <w:tmpl w:val="C5224E1A"/>
    <w:lvl w:ilvl="0" w:tplc="E7449C54">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0" w15:restartNumberingAfterBreak="0">
    <w:nsid w:val="77653C6A"/>
    <w:multiLevelType w:val="hybridMultilevel"/>
    <w:tmpl w:val="C5224E1A"/>
    <w:lvl w:ilvl="0" w:tplc="E7449C54">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1" w15:restartNumberingAfterBreak="0">
    <w:nsid w:val="7A0678C5"/>
    <w:multiLevelType w:val="hybridMultilevel"/>
    <w:tmpl w:val="F078EC98"/>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11"/>
  </w:num>
  <w:num w:numId="2">
    <w:abstractNumId w:val="19"/>
  </w:num>
  <w:num w:numId="3">
    <w:abstractNumId w:val="3"/>
  </w:num>
  <w:num w:numId="4">
    <w:abstractNumId w:val="20"/>
  </w:num>
  <w:num w:numId="5">
    <w:abstractNumId w:val="12"/>
  </w:num>
  <w:num w:numId="6">
    <w:abstractNumId w:val="13"/>
  </w:num>
  <w:num w:numId="7">
    <w:abstractNumId w:val="8"/>
    <w:lvlOverride w:ilvl="0"/>
    <w:lvlOverride w:ilvl="1"/>
    <w:lvlOverride w:ilvl="2"/>
    <w:lvlOverride w:ilvl="3"/>
    <w:lvlOverride w:ilvl="4"/>
    <w:lvlOverride w:ilvl="5"/>
    <w:lvlOverride w:ilvl="6"/>
    <w:lvlOverride w:ilvl="7"/>
    <w:lvlOverride w:ilvl="8"/>
  </w:num>
  <w:num w:numId="8">
    <w:abstractNumId w:val="6"/>
  </w:num>
  <w:num w:numId="9">
    <w:abstractNumId w:val="17"/>
  </w:num>
  <w:num w:numId="10">
    <w:abstractNumId w:val="18"/>
  </w:num>
  <w:num w:numId="11">
    <w:abstractNumId w:val="0"/>
  </w:num>
  <w:num w:numId="12">
    <w:abstractNumId w:val="2"/>
  </w:num>
  <w:num w:numId="13">
    <w:abstractNumId w:val="14"/>
  </w:num>
  <w:num w:numId="14">
    <w:abstractNumId w:val="4"/>
  </w:num>
  <w:num w:numId="15">
    <w:abstractNumId w:val="10"/>
  </w:num>
  <w:num w:numId="16">
    <w:abstractNumId w:val="9"/>
  </w:num>
  <w:num w:numId="17">
    <w:abstractNumId w:val="21"/>
  </w:num>
  <w:num w:numId="18">
    <w:abstractNumId w:val="7"/>
  </w:num>
  <w:num w:numId="19">
    <w:abstractNumId w:val="15"/>
  </w:num>
  <w:num w:numId="20">
    <w:abstractNumId w:val="1"/>
  </w:num>
  <w:num w:numId="21">
    <w:abstractNumId w:val="16"/>
  </w:num>
  <w:num w:numId="2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BD7"/>
    <w:rsid w:val="00002237"/>
    <w:rsid w:val="00004845"/>
    <w:rsid w:val="0007277E"/>
    <w:rsid w:val="000B3DB2"/>
    <w:rsid w:val="000D30EE"/>
    <w:rsid w:val="00125A45"/>
    <w:rsid w:val="00171FEB"/>
    <w:rsid w:val="001D45BA"/>
    <w:rsid w:val="001E7F1A"/>
    <w:rsid w:val="00241324"/>
    <w:rsid w:val="00264BB5"/>
    <w:rsid w:val="002966F7"/>
    <w:rsid w:val="0029694D"/>
    <w:rsid w:val="002A0E2E"/>
    <w:rsid w:val="002D3F29"/>
    <w:rsid w:val="002F767F"/>
    <w:rsid w:val="00340E39"/>
    <w:rsid w:val="003A0735"/>
    <w:rsid w:val="00427FF3"/>
    <w:rsid w:val="00447F0D"/>
    <w:rsid w:val="004552C3"/>
    <w:rsid w:val="004D4825"/>
    <w:rsid w:val="004F6A8B"/>
    <w:rsid w:val="00517C9D"/>
    <w:rsid w:val="005256A5"/>
    <w:rsid w:val="00543842"/>
    <w:rsid w:val="00595BD2"/>
    <w:rsid w:val="00650BD7"/>
    <w:rsid w:val="006D7F6C"/>
    <w:rsid w:val="0079283D"/>
    <w:rsid w:val="007B5263"/>
    <w:rsid w:val="00843CE9"/>
    <w:rsid w:val="00844EAD"/>
    <w:rsid w:val="00856547"/>
    <w:rsid w:val="0088202F"/>
    <w:rsid w:val="008A1095"/>
    <w:rsid w:val="008D3CF8"/>
    <w:rsid w:val="008F39BC"/>
    <w:rsid w:val="009126CC"/>
    <w:rsid w:val="00934659"/>
    <w:rsid w:val="00947C39"/>
    <w:rsid w:val="00967B29"/>
    <w:rsid w:val="009A4A64"/>
    <w:rsid w:val="009C14CB"/>
    <w:rsid w:val="00A820D5"/>
    <w:rsid w:val="00A9596E"/>
    <w:rsid w:val="00AA10E4"/>
    <w:rsid w:val="00B14DBB"/>
    <w:rsid w:val="00B8780F"/>
    <w:rsid w:val="00B878F7"/>
    <w:rsid w:val="00BA21DB"/>
    <w:rsid w:val="00C34EC6"/>
    <w:rsid w:val="00C53E54"/>
    <w:rsid w:val="00C55EAA"/>
    <w:rsid w:val="00C609CC"/>
    <w:rsid w:val="00C64CFF"/>
    <w:rsid w:val="00CB6E63"/>
    <w:rsid w:val="00CC4041"/>
    <w:rsid w:val="00CC482A"/>
    <w:rsid w:val="00D4018E"/>
    <w:rsid w:val="00D51684"/>
    <w:rsid w:val="00E67A7E"/>
    <w:rsid w:val="00E8760B"/>
    <w:rsid w:val="00E946C5"/>
    <w:rsid w:val="00EA3E9A"/>
    <w:rsid w:val="00EE675C"/>
    <w:rsid w:val="00FB3AEF"/>
    <w:rsid w:val="00FD45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845C6"/>
  <w15:chartTrackingRefBased/>
  <w15:docId w15:val="{375D5B93-1BC1-4ADA-B329-2654F5C33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BD2"/>
    <w:pPr>
      <w:spacing w:after="200" w:line="276" w:lineRule="auto"/>
    </w:pPr>
    <w:rPr>
      <w:kern w:val="0"/>
      <w:lang w:val="es-ES"/>
      <w14:ligatures w14:val="none"/>
    </w:rPr>
  </w:style>
  <w:style w:type="paragraph" w:styleId="Ttulo1">
    <w:name w:val="heading 1"/>
    <w:basedOn w:val="Normal"/>
    <w:next w:val="Normal"/>
    <w:link w:val="Ttulo1Car"/>
    <w:uiPriority w:val="9"/>
    <w:qFormat/>
    <w:rsid w:val="00595BD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link w:val="Ttulo2Car"/>
    <w:uiPriority w:val="9"/>
    <w:qFormat/>
    <w:rsid w:val="00595BD2"/>
    <w:pPr>
      <w:spacing w:before="100" w:beforeAutospacing="1" w:after="100" w:afterAutospacing="1" w:line="240" w:lineRule="auto"/>
      <w:outlineLvl w:val="1"/>
    </w:pPr>
    <w:rPr>
      <w:rFonts w:ascii="Times New Roman" w:eastAsia="Times New Roman" w:hAnsi="Times New Roman" w:cs="Times New Roman"/>
      <w:b/>
      <w:bCs/>
      <w:sz w:val="36"/>
      <w:szCs w:val="36"/>
      <w:lang w:val="es-VE" w:eastAsia="es-VE"/>
    </w:rPr>
  </w:style>
  <w:style w:type="paragraph" w:styleId="Ttulo4">
    <w:name w:val="heading 4"/>
    <w:basedOn w:val="Normal"/>
    <w:next w:val="Normal"/>
    <w:link w:val="Ttulo4Car"/>
    <w:uiPriority w:val="9"/>
    <w:semiHidden/>
    <w:unhideWhenUsed/>
    <w:qFormat/>
    <w:rsid w:val="00595BD2"/>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95BD2"/>
    <w:rPr>
      <w:rFonts w:asciiTheme="majorHAnsi" w:eastAsiaTheme="majorEastAsia" w:hAnsiTheme="majorHAnsi" w:cstheme="majorBidi"/>
      <w:b/>
      <w:bCs/>
      <w:color w:val="2F5496" w:themeColor="accent1" w:themeShade="BF"/>
      <w:kern w:val="0"/>
      <w:sz w:val="28"/>
      <w:szCs w:val="28"/>
      <w:lang w:val="es-ES"/>
      <w14:ligatures w14:val="none"/>
    </w:rPr>
  </w:style>
  <w:style w:type="character" w:customStyle="1" w:styleId="Ttulo2Car">
    <w:name w:val="Título 2 Car"/>
    <w:basedOn w:val="Fuentedeprrafopredeter"/>
    <w:link w:val="Ttulo2"/>
    <w:uiPriority w:val="9"/>
    <w:rsid w:val="00595BD2"/>
    <w:rPr>
      <w:rFonts w:ascii="Times New Roman" w:eastAsia="Times New Roman" w:hAnsi="Times New Roman" w:cs="Times New Roman"/>
      <w:b/>
      <w:bCs/>
      <w:kern w:val="0"/>
      <w:sz w:val="36"/>
      <w:szCs w:val="36"/>
      <w:lang w:val="es-VE" w:eastAsia="es-VE"/>
      <w14:ligatures w14:val="none"/>
    </w:rPr>
  </w:style>
  <w:style w:type="character" w:customStyle="1" w:styleId="Ttulo4Car">
    <w:name w:val="Título 4 Car"/>
    <w:basedOn w:val="Fuentedeprrafopredeter"/>
    <w:link w:val="Ttulo4"/>
    <w:uiPriority w:val="9"/>
    <w:semiHidden/>
    <w:rsid w:val="00595BD2"/>
    <w:rPr>
      <w:rFonts w:asciiTheme="majorHAnsi" w:eastAsiaTheme="majorEastAsia" w:hAnsiTheme="majorHAnsi" w:cstheme="majorBidi"/>
      <w:b/>
      <w:bCs/>
      <w:i/>
      <w:iCs/>
      <w:color w:val="4472C4" w:themeColor="accent1"/>
      <w:kern w:val="0"/>
      <w:lang w:val="es-ES"/>
      <w14:ligatures w14:val="none"/>
    </w:rPr>
  </w:style>
  <w:style w:type="paragraph" w:styleId="Prrafodelista">
    <w:name w:val="List Paragraph"/>
    <w:basedOn w:val="Normal"/>
    <w:uiPriority w:val="1"/>
    <w:qFormat/>
    <w:rsid w:val="00595BD2"/>
    <w:pPr>
      <w:ind w:left="720"/>
      <w:contextualSpacing/>
    </w:pPr>
  </w:style>
  <w:style w:type="paragraph" w:customStyle="1" w:styleId="SingleTxtG">
    <w:name w:val="_ Single Txt_G"/>
    <w:basedOn w:val="Normal"/>
    <w:rsid w:val="00595BD2"/>
    <w:pPr>
      <w:spacing w:after="120" w:line="240" w:lineRule="atLeast"/>
      <w:ind w:left="1134" w:right="1134"/>
      <w:jc w:val="both"/>
    </w:pPr>
    <w:rPr>
      <w:rFonts w:ascii="Times New Roman" w:eastAsia="Times New Roman" w:hAnsi="Times New Roman" w:cs="Times New Roman"/>
      <w:sz w:val="20"/>
      <w:szCs w:val="20"/>
      <w:lang w:eastAsia="es-ES"/>
    </w:rPr>
  </w:style>
  <w:style w:type="paragraph" w:styleId="Textonotapie">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TextonotapieCar"/>
    <w:uiPriority w:val="99"/>
    <w:unhideWhenUsed/>
    <w:qFormat/>
    <w:rsid w:val="00595BD2"/>
    <w:pPr>
      <w:spacing w:after="0" w:line="240" w:lineRule="auto"/>
    </w:pPr>
    <w:rPr>
      <w:sz w:val="20"/>
      <w:szCs w:val="20"/>
    </w:rPr>
  </w:style>
  <w:style w:type="character" w:customStyle="1" w:styleId="TextonotapieCar">
    <w:name w:val="Texto nota pie Car"/>
    <w:aliases w:val="5_G Car,ft Car,FA Fu Car,Footnote Text Char Char Char Char Char Car,Footnote Text Char Char Char Char Car,Footnote reference Car,Footnote Text Char Char Char Car,texto de nota al pie Car,FA Fußnotentext Car,FA Fuﬂnotentext Car,Car Car"/>
    <w:basedOn w:val="Fuentedeprrafopredeter"/>
    <w:link w:val="Textonotapie"/>
    <w:uiPriority w:val="99"/>
    <w:rsid w:val="00595BD2"/>
    <w:rPr>
      <w:kern w:val="0"/>
      <w:sz w:val="20"/>
      <w:szCs w:val="20"/>
      <w:lang w:val="es-ES"/>
      <w14:ligatures w14:val="none"/>
    </w:rPr>
  </w:style>
  <w:style w:type="character" w:styleId="Refdenotaalpie">
    <w:name w:val="footnote reference"/>
    <w:aliases w:val="Footnotes refss,Texto de nota al pie,referencia nota al pie,BVI fnr,Appel note de bas de page,Footnote number,Ref. de nota al pie.,Footnote symbol,Footnote,4_G,16 Point,Superscript 6 Point,Texto nota al pie,Footnote Reference Char3"/>
    <w:basedOn w:val="Fuentedeprrafopredeter"/>
    <w:uiPriority w:val="99"/>
    <w:unhideWhenUsed/>
    <w:qFormat/>
    <w:rsid w:val="00595BD2"/>
    <w:rPr>
      <w:vertAlign w:val="superscript"/>
    </w:rPr>
  </w:style>
  <w:style w:type="character" w:styleId="Hipervnculo">
    <w:name w:val="Hyperlink"/>
    <w:basedOn w:val="Fuentedeprrafopredeter"/>
    <w:uiPriority w:val="99"/>
    <w:unhideWhenUsed/>
    <w:rsid w:val="00595BD2"/>
    <w:rPr>
      <w:color w:val="0563C1" w:themeColor="hyperlink"/>
      <w:u w:val="single"/>
    </w:rPr>
  </w:style>
  <w:style w:type="paragraph" w:customStyle="1" w:styleId="Default">
    <w:name w:val="Default"/>
    <w:rsid w:val="00595BD2"/>
    <w:pPr>
      <w:autoSpaceDE w:val="0"/>
      <w:autoSpaceDN w:val="0"/>
      <w:adjustRightInd w:val="0"/>
      <w:spacing w:after="0" w:line="240" w:lineRule="auto"/>
    </w:pPr>
    <w:rPr>
      <w:rFonts w:ascii="Times New Roman" w:hAnsi="Times New Roman" w:cs="Times New Roman"/>
      <w:color w:val="000000"/>
      <w:kern w:val="0"/>
      <w:sz w:val="24"/>
      <w:szCs w:val="24"/>
      <w:lang w:val="es-VE"/>
      <w14:ligatures w14:val="none"/>
    </w:rPr>
  </w:style>
  <w:style w:type="paragraph" w:styleId="DireccinHTML">
    <w:name w:val="HTML Address"/>
    <w:basedOn w:val="Normal"/>
    <w:link w:val="DireccinHTMLCar"/>
    <w:uiPriority w:val="99"/>
    <w:semiHidden/>
    <w:unhideWhenUsed/>
    <w:rsid w:val="00595BD2"/>
    <w:pPr>
      <w:spacing w:after="0" w:line="240" w:lineRule="auto"/>
    </w:pPr>
    <w:rPr>
      <w:rFonts w:ascii="Times New Roman" w:eastAsia="Times New Roman" w:hAnsi="Times New Roman" w:cs="Times New Roman"/>
      <w:i/>
      <w:iCs/>
      <w:sz w:val="24"/>
      <w:szCs w:val="24"/>
      <w:lang w:val="es-VE" w:eastAsia="es-VE"/>
    </w:rPr>
  </w:style>
  <w:style w:type="character" w:customStyle="1" w:styleId="DireccinHTMLCar">
    <w:name w:val="Dirección HTML Car"/>
    <w:basedOn w:val="Fuentedeprrafopredeter"/>
    <w:link w:val="DireccinHTML"/>
    <w:uiPriority w:val="99"/>
    <w:semiHidden/>
    <w:rsid w:val="00595BD2"/>
    <w:rPr>
      <w:rFonts w:ascii="Times New Roman" w:eastAsia="Times New Roman" w:hAnsi="Times New Roman" w:cs="Times New Roman"/>
      <w:i/>
      <w:iCs/>
      <w:kern w:val="0"/>
      <w:sz w:val="24"/>
      <w:szCs w:val="24"/>
      <w:lang w:val="es-VE" w:eastAsia="es-VE"/>
      <w14:ligatures w14:val="none"/>
    </w:rPr>
  </w:style>
  <w:style w:type="character" w:styleId="Textoennegrita">
    <w:name w:val="Strong"/>
    <w:basedOn w:val="Fuentedeprrafopredeter"/>
    <w:uiPriority w:val="22"/>
    <w:qFormat/>
    <w:rsid w:val="00595BD2"/>
    <w:rPr>
      <w:b/>
      <w:bCs/>
    </w:rPr>
  </w:style>
  <w:style w:type="character" w:customStyle="1" w:styleId="apple-converted-space">
    <w:name w:val="apple-converted-space"/>
    <w:basedOn w:val="Fuentedeprrafopredeter"/>
    <w:rsid w:val="00595BD2"/>
  </w:style>
  <w:style w:type="character" w:customStyle="1" w:styleId="apple-style-span">
    <w:name w:val="apple-style-span"/>
    <w:basedOn w:val="Fuentedeprrafopredeter"/>
    <w:rsid w:val="00595BD2"/>
  </w:style>
  <w:style w:type="paragraph" w:customStyle="1" w:styleId="Pa3">
    <w:name w:val="Pa3"/>
    <w:basedOn w:val="Normal"/>
    <w:next w:val="Normal"/>
    <w:uiPriority w:val="99"/>
    <w:rsid w:val="00595BD2"/>
    <w:pPr>
      <w:autoSpaceDE w:val="0"/>
      <w:autoSpaceDN w:val="0"/>
      <w:adjustRightInd w:val="0"/>
      <w:spacing w:after="0" w:line="221" w:lineRule="atLeast"/>
    </w:pPr>
    <w:rPr>
      <w:rFonts w:ascii="Times New Roman" w:hAnsi="Times New Roman" w:cs="Times New Roman"/>
      <w:sz w:val="24"/>
      <w:szCs w:val="24"/>
      <w:lang w:val="es-VE"/>
    </w:rPr>
  </w:style>
  <w:style w:type="character" w:customStyle="1" w:styleId="A8">
    <w:name w:val="A8"/>
    <w:uiPriority w:val="99"/>
    <w:rsid w:val="00595BD2"/>
    <w:rPr>
      <w:i/>
      <w:iCs/>
      <w:color w:val="000000"/>
      <w:sz w:val="26"/>
      <w:szCs w:val="26"/>
    </w:rPr>
  </w:style>
  <w:style w:type="character" w:customStyle="1" w:styleId="A7">
    <w:name w:val="A7"/>
    <w:uiPriority w:val="99"/>
    <w:rsid w:val="00595BD2"/>
    <w:rPr>
      <w:color w:val="000000"/>
      <w:sz w:val="20"/>
      <w:szCs w:val="20"/>
    </w:rPr>
  </w:style>
  <w:style w:type="character" w:customStyle="1" w:styleId="A15">
    <w:name w:val="A15"/>
    <w:uiPriority w:val="99"/>
    <w:rsid w:val="00595BD2"/>
    <w:rPr>
      <w:color w:val="000000"/>
      <w:sz w:val="20"/>
      <w:szCs w:val="20"/>
      <w:u w:val="single"/>
    </w:rPr>
  </w:style>
  <w:style w:type="paragraph" w:customStyle="1" w:styleId="Pa7">
    <w:name w:val="Pa7"/>
    <w:basedOn w:val="Default"/>
    <w:next w:val="Default"/>
    <w:uiPriority w:val="99"/>
    <w:rsid w:val="00595BD2"/>
    <w:pPr>
      <w:spacing w:line="241" w:lineRule="atLeast"/>
    </w:pPr>
    <w:rPr>
      <w:color w:val="auto"/>
    </w:rPr>
  </w:style>
  <w:style w:type="table" w:styleId="Tablaconcuadrcula">
    <w:name w:val="Table Grid"/>
    <w:basedOn w:val="Tablanormal"/>
    <w:uiPriority w:val="59"/>
    <w:rsid w:val="00595BD2"/>
    <w:pPr>
      <w:spacing w:after="0" w:line="240" w:lineRule="auto"/>
    </w:pPr>
    <w:rPr>
      <w:kern w:val="0"/>
      <w:lang w:val="es-V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5">
    <w:name w:val="Pa15"/>
    <w:basedOn w:val="Default"/>
    <w:next w:val="Default"/>
    <w:uiPriority w:val="99"/>
    <w:rsid w:val="00595BD2"/>
    <w:pPr>
      <w:spacing w:line="221" w:lineRule="atLeast"/>
    </w:pPr>
    <w:rPr>
      <w:color w:val="auto"/>
    </w:rPr>
  </w:style>
  <w:style w:type="character" w:styleId="nfasis">
    <w:name w:val="Emphasis"/>
    <w:basedOn w:val="Fuentedeprrafopredeter"/>
    <w:uiPriority w:val="20"/>
    <w:qFormat/>
    <w:rsid w:val="00595BD2"/>
    <w:rPr>
      <w:i/>
      <w:iCs/>
    </w:rPr>
  </w:style>
  <w:style w:type="paragraph" w:styleId="Encabezado">
    <w:name w:val="header"/>
    <w:basedOn w:val="Normal"/>
    <w:link w:val="EncabezadoCar"/>
    <w:uiPriority w:val="99"/>
    <w:semiHidden/>
    <w:unhideWhenUsed/>
    <w:rsid w:val="00595BD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595BD2"/>
    <w:rPr>
      <w:kern w:val="0"/>
      <w:lang w:val="es-ES"/>
      <w14:ligatures w14:val="none"/>
    </w:rPr>
  </w:style>
  <w:style w:type="paragraph" w:styleId="Piedepgina">
    <w:name w:val="footer"/>
    <w:basedOn w:val="Normal"/>
    <w:link w:val="PiedepginaCar"/>
    <w:uiPriority w:val="99"/>
    <w:unhideWhenUsed/>
    <w:rsid w:val="00595BD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BD2"/>
    <w:rPr>
      <w:kern w:val="0"/>
      <w:lang w:val="es-ES"/>
      <w14:ligatures w14:val="none"/>
    </w:rPr>
  </w:style>
  <w:style w:type="paragraph" w:styleId="NormalWeb">
    <w:name w:val="Normal (Web)"/>
    <w:basedOn w:val="Normal"/>
    <w:uiPriority w:val="99"/>
    <w:unhideWhenUsed/>
    <w:rsid w:val="00595BD2"/>
    <w:pPr>
      <w:spacing w:before="100" w:beforeAutospacing="1" w:after="100" w:afterAutospacing="1" w:line="240" w:lineRule="auto"/>
    </w:pPr>
    <w:rPr>
      <w:rFonts w:ascii="Times New Roman" w:eastAsia="Times New Roman" w:hAnsi="Times New Roman" w:cs="Times New Roman"/>
      <w:sz w:val="24"/>
      <w:szCs w:val="24"/>
      <w:lang w:val="es-VE" w:eastAsia="es-VE"/>
    </w:rPr>
  </w:style>
  <w:style w:type="character" w:customStyle="1" w:styleId="A12">
    <w:name w:val="A12"/>
    <w:uiPriority w:val="99"/>
    <w:rsid w:val="00595BD2"/>
    <w:rPr>
      <w:color w:val="000000"/>
      <w:sz w:val="15"/>
      <w:szCs w:val="15"/>
    </w:rPr>
  </w:style>
  <w:style w:type="paragraph" w:customStyle="1" w:styleId="Pa4">
    <w:name w:val="Pa4"/>
    <w:basedOn w:val="Default"/>
    <w:next w:val="Default"/>
    <w:uiPriority w:val="99"/>
    <w:rsid w:val="00595BD2"/>
    <w:pPr>
      <w:spacing w:line="221" w:lineRule="atLeast"/>
    </w:pPr>
    <w:rPr>
      <w:color w:val="auto"/>
    </w:rPr>
  </w:style>
  <w:style w:type="paragraph" w:styleId="Sinespaciado">
    <w:name w:val="No Spacing"/>
    <w:uiPriority w:val="1"/>
    <w:qFormat/>
    <w:rsid w:val="00595BD2"/>
    <w:pPr>
      <w:spacing w:after="0" w:line="240" w:lineRule="auto"/>
    </w:pPr>
    <w:rPr>
      <w:kern w:val="0"/>
      <w:lang w:val="es-ES"/>
      <w14:ligatures w14:val="none"/>
    </w:rPr>
  </w:style>
  <w:style w:type="paragraph" w:styleId="Textoindependiente">
    <w:name w:val="Body Text"/>
    <w:basedOn w:val="Normal"/>
    <w:link w:val="TextoindependienteCar"/>
    <w:uiPriority w:val="99"/>
    <w:rsid w:val="00595BD2"/>
    <w:pPr>
      <w:spacing w:after="0" w:line="240" w:lineRule="auto"/>
      <w:jc w:val="both"/>
    </w:pPr>
    <w:rPr>
      <w:rFonts w:ascii="Times New Roman" w:eastAsia="Times New Roman" w:hAnsi="Times New Roman" w:cs="Times New Roman"/>
      <w:sz w:val="28"/>
      <w:szCs w:val="24"/>
      <w:lang w:eastAsia="es-ES"/>
    </w:rPr>
  </w:style>
  <w:style w:type="character" w:customStyle="1" w:styleId="TextoindependienteCar">
    <w:name w:val="Texto independiente Car"/>
    <w:basedOn w:val="Fuentedeprrafopredeter"/>
    <w:link w:val="Textoindependiente"/>
    <w:uiPriority w:val="99"/>
    <w:rsid w:val="00595BD2"/>
    <w:rPr>
      <w:rFonts w:ascii="Times New Roman" w:eastAsia="Times New Roman" w:hAnsi="Times New Roman" w:cs="Times New Roman"/>
      <w:kern w:val="0"/>
      <w:sz w:val="28"/>
      <w:szCs w:val="24"/>
      <w:lang w:val="es-ES" w:eastAsia="es-ES"/>
      <w14:ligatures w14:val="none"/>
    </w:rPr>
  </w:style>
  <w:style w:type="character" w:customStyle="1" w:styleId="2Char">
    <w:name w:val="2 Char"/>
    <w:rsid w:val="00595BD2"/>
    <w:rPr>
      <w:rFonts w:ascii="Times New Roman" w:eastAsia="Times New Roman" w:hAnsi="Times New Roman" w:cs="Times New Roman"/>
      <w:sz w:val="20"/>
      <w:szCs w:val="20"/>
    </w:rPr>
  </w:style>
  <w:style w:type="paragraph" w:customStyle="1" w:styleId="Contenudetableau">
    <w:name w:val="Contenu de tableau"/>
    <w:basedOn w:val="Normal"/>
    <w:rsid w:val="00595BD2"/>
    <w:pPr>
      <w:suppressLineNumbers/>
      <w:spacing w:after="120" w:line="240" w:lineRule="auto"/>
    </w:pPr>
    <w:rPr>
      <w:rFonts w:ascii="Calibri" w:eastAsia="Lucida Sans Unicode" w:hAnsi="Calibri" w:cs="Times New Roman"/>
      <w:kern w:val="1"/>
      <w:sz w:val="24"/>
      <w:szCs w:val="24"/>
      <w:lang w:val="fr-FR"/>
    </w:rPr>
  </w:style>
  <w:style w:type="paragraph" w:styleId="Textodeglobo">
    <w:name w:val="Balloon Text"/>
    <w:basedOn w:val="Normal"/>
    <w:link w:val="TextodegloboCar"/>
    <w:uiPriority w:val="99"/>
    <w:semiHidden/>
    <w:unhideWhenUsed/>
    <w:rsid w:val="00595B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95BD2"/>
    <w:rPr>
      <w:rFonts w:ascii="Tahoma" w:hAnsi="Tahoma" w:cs="Tahoma"/>
      <w:kern w:val="0"/>
      <w:sz w:val="16"/>
      <w:szCs w:val="16"/>
      <w:lang w:val="es-ES"/>
      <w14:ligatures w14:val="none"/>
    </w:rPr>
  </w:style>
  <w:style w:type="paragraph" w:customStyle="1" w:styleId="Normal1">
    <w:name w:val="Normal1"/>
    <w:rsid w:val="00595BD2"/>
    <w:pPr>
      <w:spacing w:after="200" w:line="276" w:lineRule="auto"/>
    </w:pPr>
    <w:rPr>
      <w:rFonts w:ascii="Calibri" w:eastAsia="Calibri" w:hAnsi="Calibri" w:cs="Calibri"/>
      <w:color w:val="000000"/>
      <w:kern w:val="0"/>
      <w:szCs w:val="20"/>
      <w:lang w:val="es-VE" w:eastAsia="es-VE"/>
      <w14:ligatures w14:val="none"/>
    </w:rPr>
  </w:style>
  <w:style w:type="character" w:styleId="nfasissutil">
    <w:name w:val="Subtle Emphasis"/>
    <w:basedOn w:val="Fuentedeprrafopredeter"/>
    <w:uiPriority w:val="19"/>
    <w:qFormat/>
    <w:rsid w:val="00595BD2"/>
    <w:rPr>
      <w:i/>
      <w:iCs/>
      <w:color w:val="808080"/>
    </w:rPr>
  </w:style>
  <w:style w:type="paragraph" w:customStyle="1" w:styleId="StyleAIBodytextAsianSimSun">
    <w:name w:val="Style AI Body text + (Asian) SimSun"/>
    <w:basedOn w:val="AIBodytext"/>
    <w:link w:val="StyleAIBodytextAsianSimSunChar"/>
    <w:rsid w:val="00595BD2"/>
    <w:pPr>
      <w:spacing w:after="0" w:line="240" w:lineRule="auto"/>
    </w:pPr>
    <w:rPr>
      <w:rFonts w:eastAsia="SimSun" w:cs="Times New Roman"/>
      <w:kern w:val="0"/>
      <w:sz w:val="20"/>
      <w:szCs w:val="20"/>
      <w:lang w:bidi="es-ES"/>
      <w14:ligatures w14:val="none"/>
    </w:rPr>
  </w:style>
  <w:style w:type="character" w:customStyle="1" w:styleId="AIBodytextChar">
    <w:name w:val="AI Body text Char"/>
    <w:link w:val="AIBodytext"/>
    <w:locked/>
    <w:rsid w:val="00595BD2"/>
    <w:rPr>
      <w:rFonts w:ascii="Arial" w:hAnsi="Arial"/>
      <w:lang w:val="es-ES" w:eastAsia="es-ES"/>
    </w:rPr>
  </w:style>
  <w:style w:type="character" w:customStyle="1" w:styleId="StyleAIBodytextAsianSimSunChar">
    <w:name w:val="Style AI Body text + (Asian) SimSun Char"/>
    <w:link w:val="StyleAIBodytextAsianSimSun"/>
    <w:locked/>
    <w:rsid w:val="00595BD2"/>
    <w:rPr>
      <w:rFonts w:ascii="Arial" w:eastAsia="SimSun" w:hAnsi="Arial" w:cs="Times New Roman"/>
      <w:kern w:val="0"/>
      <w:sz w:val="20"/>
      <w:szCs w:val="20"/>
      <w:lang w:val="es-ES" w:eastAsia="es-ES" w:bidi="es-ES"/>
      <w14:ligatures w14:val="none"/>
    </w:rPr>
  </w:style>
  <w:style w:type="paragraph" w:customStyle="1" w:styleId="AIBodytext">
    <w:name w:val="AI Body text"/>
    <w:basedOn w:val="Normal"/>
    <w:link w:val="AIBodytextChar"/>
    <w:rsid w:val="00595BD2"/>
    <w:pPr>
      <w:tabs>
        <w:tab w:val="left" w:pos="567"/>
      </w:tabs>
      <w:adjustRightInd w:val="0"/>
      <w:snapToGrid w:val="0"/>
      <w:spacing w:after="240" w:line="240" w:lineRule="atLeast"/>
    </w:pPr>
    <w:rPr>
      <w:rFonts w:ascii="Arial" w:hAnsi="Arial"/>
      <w:kern w:val="2"/>
      <w:lang w:eastAsia="es-ES"/>
      <w14:ligatures w14:val="standardContextual"/>
    </w:rPr>
  </w:style>
  <w:style w:type="character" w:styleId="Refdecomentario">
    <w:name w:val="annotation reference"/>
    <w:basedOn w:val="Fuentedeprrafopredeter"/>
    <w:uiPriority w:val="99"/>
    <w:semiHidden/>
    <w:unhideWhenUsed/>
    <w:rsid w:val="00595BD2"/>
    <w:rPr>
      <w:sz w:val="16"/>
      <w:szCs w:val="16"/>
    </w:rPr>
  </w:style>
  <w:style w:type="paragraph" w:styleId="Textocomentario">
    <w:name w:val="annotation text"/>
    <w:basedOn w:val="Normal"/>
    <w:link w:val="TextocomentarioCar"/>
    <w:uiPriority w:val="99"/>
    <w:semiHidden/>
    <w:unhideWhenUsed/>
    <w:rsid w:val="00595B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95BD2"/>
    <w:rPr>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595BD2"/>
    <w:rPr>
      <w:b/>
      <w:bCs/>
    </w:rPr>
  </w:style>
  <w:style w:type="character" w:customStyle="1" w:styleId="AsuntodelcomentarioCar">
    <w:name w:val="Asunto del comentario Car"/>
    <w:basedOn w:val="TextocomentarioCar"/>
    <w:link w:val="Asuntodelcomentario"/>
    <w:uiPriority w:val="99"/>
    <w:semiHidden/>
    <w:rsid w:val="00595BD2"/>
    <w:rPr>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582272">
      <w:bodyDiv w:val="1"/>
      <w:marLeft w:val="0"/>
      <w:marRight w:val="0"/>
      <w:marTop w:val="0"/>
      <w:marBottom w:val="0"/>
      <w:divBdr>
        <w:top w:val="none" w:sz="0" w:space="0" w:color="auto"/>
        <w:left w:val="none" w:sz="0" w:space="0" w:color="auto"/>
        <w:bottom w:val="none" w:sz="0" w:space="0" w:color="auto"/>
        <w:right w:val="none" w:sz="0" w:space="0" w:color="auto"/>
      </w:divBdr>
    </w:div>
    <w:div w:id="828054061">
      <w:bodyDiv w:val="1"/>
      <w:marLeft w:val="0"/>
      <w:marRight w:val="0"/>
      <w:marTop w:val="0"/>
      <w:marBottom w:val="0"/>
      <w:divBdr>
        <w:top w:val="none" w:sz="0" w:space="0" w:color="auto"/>
        <w:left w:val="none" w:sz="0" w:space="0" w:color="auto"/>
        <w:bottom w:val="none" w:sz="0" w:space="0" w:color="auto"/>
        <w:right w:val="none" w:sz="0" w:space="0" w:color="auto"/>
      </w:divBdr>
    </w:div>
    <w:div w:id="1315643395">
      <w:bodyDiv w:val="1"/>
      <w:marLeft w:val="0"/>
      <w:marRight w:val="0"/>
      <w:marTop w:val="0"/>
      <w:marBottom w:val="0"/>
      <w:divBdr>
        <w:top w:val="none" w:sz="0" w:space="0" w:color="auto"/>
        <w:left w:val="none" w:sz="0" w:space="0" w:color="auto"/>
        <w:bottom w:val="none" w:sz="0" w:space="0" w:color="auto"/>
        <w:right w:val="none" w:sz="0" w:space="0" w:color="auto"/>
      </w:divBdr>
    </w:div>
    <w:div w:id="159234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linformadorve.com/26/01/2023/lara/el-dirigente-sindical-julio-marin-denuncia-hostigamiento-en-contra-de-su-famil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xys\OneDrive\Desktop\Plantilla%20presentaci&#243;n%20informe%20alternativo%20al%20Comit&#233;%20de%20DDHH%20ONU%20202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FEF0B-533E-4CAD-8349-0DA067723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presentación informe alternativo al Comité de DDHH ONU 2023</Template>
  <TotalTime>545</TotalTime>
  <Pages>13</Pages>
  <Words>5246</Words>
  <Characters>28857</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Lexys Rendon</dc:creator>
  <cp:keywords/>
  <dc:description/>
  <cp:lastModifiedBy>Lexys Rendon</cp:lastModifiedBy>
  <cp:revision>14</cp:revision>
  <dcterms:created xsi:type="dcterms:W3CDTF">2023-09-12T15:57:00Z</dcterms:created>
  <dcterms:modified xsi:type="dcterms:W3CDTF">2023-09-13T03:54:00Z</dcterms:modified>
</cp:coreProperties>
</file>