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D85" w:rsidRPr="00762EC1" w:rsidRDefault="00D77D85" w:rsidP="001B3ADB">
      <w:pPr>
        <w:pStyle w:val="ListParagraph"/>
        <w:numPr>
          <w:ilvl w:val="0"/>
          <w:numId w:val="1"/>
        </w:numPr>
        <w:spacing w:before="100" w:beforeAutospacing="1" w:after="100" w:afterAutospacing="1"/>
        <w:rPr>
          <w:rFonts w:ascii="Arial" w:hAnsi="Arial" w:cs="Arial"/>
          <w:b/>
          <w:bCs/>
          <w:color w:val="000000"/>
          <w:lang w:val="es-AR"/>
        </w:rPr>
      </w:pPr>
      <w:r>
        <w:rPr>
          <w:rFonts w:ascii="Arial" w:hAnsi="Arial" w:cs="Arial"/>
          <w:b/>
          <w:bCs/>
          <w:color w:val="000000"/>
          <w:shd w:val="clear" w:color="auto" w:fill="FFFFFF"/>
          <w:lang w:val="es-AR"/>
        </w:rPr>
        <w:t>¿</w:t>
      </w:r>
      <w:r w:rsidRPr="00762EC1">
        <w:rPr>
          <w:rFonts w:ascii="Arial" w:hAnsi="Arial" w:cs="Arial"/>
          <w:b/>
          <w:bCs/>
          <w:color w:val="000000"/>
          <w:shd w:val="clear" w:color="auto" w:fill="FFFFFF"/>
          <w:lang w:val="es-AR"/>
        </w:rPr>
        <w:t>Cuáles son las medidas para la efectiva aplicación de la ley respecto del maltrato infantil, hay medidas o planes de acción a nivel provincial y nacional?</w:t>
      </w:r>
    </w:p>
    <w:p w:rsidR="00D77D85" w:rsidRPr="00432CBE" w:rsidRDefault="00D77D85" w:rsidP="00432CBE">
      <w:pPr>
        <w:spacing w:before="120" w:after="120"/>
        <w:jc w:val="both"/>
        <w:rPr>
          <w:lang w:val="es-AR"/>
        </w:rPr>
      </w:pPr>
      <w:r w:rsidRPr="00432CBE">
        <w:rPr>
          <w:lang w:val="es-AR"/>
        </w:rPr>
        <w:t>Ley N° 26.061 de Protección Integral de los Derechos de las Niñas, Niños y Adolescentes estableció los lineamientos que deben regir las políticas públicas, se delimitaron las obligaciones y responsabilidades del Estado, la familia y la comunidad y se definieron las modalidades de intervención estatal frente a la amenaza o vulneración de derechos de niñas, niños y adolescentes.</w:t>
      </w:r>
    </w:p>
    <w:p w:rsidR="00D77D85" w:rsidRPr="002E1187" w:rsidRDefault="00D77D85" w:rsidP="00432CBE">
      <w:pPr>
        <w:spacing w:before="120" w:after="120"/>
        <w:jc w:val="both"/>
        <w:rPr>
          <w:lang w:val="es-AR"/>
        </w:rPr>
      </w:pPr>
      <w:r w:rsidRPr="002E1187">
        <w:rPr>
          <w:lang w:val="es-AR"/>
        </w:rPr>
        <w:t xml:space="preserve">A partir de la ley se crearon organismos tales como </w:t>
      </w:r>
      <w:smartTag w:uri="urn:schemas-microsoft-com:office:smarttags" w:element="PersonName">
        <w:smartTagPr>
          <w:attr w:name="ProductID" w:val="la Secretaría Nacional"/>
        </w:smartTagPr>
        <w:r w:rsidRPr="002E1187">
          <w:rPr>
            <w:lang w:val="es-AR"/>
          </w:rPr>
          <w:t>la Secretaría Nacional</w:t>
        </w:r>
      </w:smartTag>
      <w:r w:rsidRPr="002E1187">
        <w:rPr>
          <w:lang w:val="es-AR"/>
        </w:rPr>
        <w:t xml:space="preserve"> de Niñez, Adolescencia y Familia, el Consejo Federal de Niñez, Adolescencia y Familia, instancias rectoras en la materia, como así también los órganos de protección de derechos de cada jurisdicción provincial. </w:t>
      </w:r>
      <w:smartTag w:uri="urn:schemas-microsoft-com:office:smarttags" w:element="PersonName">
        <w:smartTagPr>
          <w:attr w:name="ProductID" w:val="La Ley N"/>
        </w:smartTagPr>
        <w:r w:rsidRPr="002E1187">
          <w:rPr>
            <w:lang w:val="es-AR"/>
          </w:rPr>
          <w:t>La Ley N</w:t>
        </w:r>
      </w:smartTag>
      <w:r w:rsidRPr="002E1187">
        <w:rPr>
          <w:lang w:val="es-AR"/>
        </w:rPr>
        <w:t xml:space="preserve">° 26.061 convive junto con </w:t>
      </w:r>
      <w:r w:rsidRPr="00432CBE">
        <w:rPr>
          <w:lang w:val="es-AR"/>
        </w:rPr>
        <w:t>las leyes provinciales de protección integral de niñas, niños y adolescentes</w:t>
      </w:r>
      <w:r w:rsidRPr="002E1187">
        <w:rPr>
          <w:lang w:val="es-AR"/>
        </w:rPr>
        <w:t>.</w:t>
      </w:r>
      <w:bookmarkStart w:id="0" w:name="_GoBack"/>
      <w:bookmarkEnd w:id="0"/>
    </w:p>
    <w:p w:rsidR="00D77D85" w:rsidRPr="00CA3181" w:rsidRDefault="00D77D85" w:rsidP="00CA3181">
      <w:pPr>
        <w:spacing w:before="120" w:after="120"/>
        <w:jc w:val="both"/>
        <w:rPr>
          <w:lang w:val="es-AR"/>
        </w:rPr>
      </w:pPr>
      <w:r w:rsidRPr="00432CBE">
        <w:rPr>
          <w:lang w:val="es-AR"/>
        </w:rPr>
        <w:t xml:space="preserve">Entre otras, se desarrolló la campaña “Buentrato”, que comprende varios programas y líneas para prevenir y combatir la violencia contra la infancia y la adolescencia. Asimismo, se pueden mencionar la línea de Capacitación y Tratamiento en Violencia Familiar, Maltrato Infantil y Abuso Sexual, línea de Prevención y Asistencia en </w:t>
      </w:r>
      <w:smartTag w:uri="urn:schemas-microsoft-com:office:smarttags" w:element="PersonName">
        <w:smartTagPr>
          <w:attr w:name="ProductID" w:val="la Explotación Infantil"/>
        </w:smartTagPr>
        <w:r w:rsidRPr="00432CBE">
          <w:rPr>
            <w:lang w:val="es-AR"/>
          </w:rPr>
          <w:t>la Explotación Infantil</w:t>
        </w:r>
      </w:smartTag>
      <w:r w:rsidRPr="00432CBE">
        <w:rPr>
          <w:lang w:val="es-AR"/>
        </w:rPr>
        <w:t xml:space="preserve"> y </w:t>
      </w:r>
      <w:smartTag w:uri="urn:schemas-microsoft-com:office:smarttags" w:element="PersonName">
        <w:smartTagPr>
          <w:attr w:name="ProductID" w:val="la Trata"/>
        </w:smartTagPr>
        <w:r w:rsidRPr="00432CBE">
          <w:rPr>
            <w:lang w:val="es-AR"/>
          </w:rPr>
          <w:t>la Trata</w:t>
        </w:r>
      </w:smartTag>
      <w:r w:rsidRPr="00432CBE">
        <w:rPr>
          <w:lang w:val="es-AR"/>
        </w:rPr>
        <w:t xml:space="preserve"> de Personas</w:t>
      </w:r>
    </w:p>
    <w:p w:rsidR="00D77D85" w:rsidRPr="00762EC1" w:rsidRDefault="00D77D85" w:rsidP="00406003">
      <w:pPr>
        <w:pStyle w:val="ListParagraph"/>
        <w:numPr>
          <w:ilvl w:val="0"/>
          <w:numId w:val="1"/>
        </w:numPr>
        <w:spacing w:before="100" w:beforeAutospacing="1" w:after="100" w:afterAutospacing="1"/>
        <w:rPr>
          <w:rFonts w:ascii="Arial" w:hAnsi="Arial" w:cs="Arial"/>
          <w:b/>
          <w:bCs/>
          <w:color w:val="000000"/>
          <w:lang w:val="es-AR"/>
        </w:rPr>
      </w:pPr>
      <w:r>
        <w:rPr>
          <w:rFonts w:ascii="Arial" w:hAnsi="Arial" w:cs="Arial"/>
          <w:b/>
          <w:bCs/>
          <w:color w:val="000000"/>
          <w:shd w:val="clear" w:color="auto" w:fill="FFFFFF"/>
          <w:lang w:val="es-AR"/>
        </w:rPr>
        <w:t>¿</w:t>
      </w:r>
      <w:r w:rsidRPr="00762EC1">
        <w:rPr>
          <w:rFonts w:ascii="Arial" w:hAnsi="Arial" w:cs="Arial"/>
          <w:b/>
          <w:bCs/>
          <w:color w:val="000000"/>
          <w:shd w:val="clear" w:color="auto" w:fill="FFFFFF"/>
          <w:lang w:val="es-AR"/>
        </w:rPr>
        <w:t xml:space="preserve">Creen que con la prohibición del castigo corporal alcanza y se puede eliminar convicción de que hay de castigar a los niños para disciplinarlos? </w:t>
      </w:r>
      <w:r>
        <w:rPr>
          <w:rFonts w:ascii="Arial" w:hAnsi="Arial" w:cs="Arial"/>
          <w:b/>
          <w:bCs/>
          <w:color w:val="000000"/>
          <w:shd w:val="clear" w:color="auto" w:fill="FFFFFF"/>
          <w:lang w:val="es-AR"/>
        </w:rPr>
        <w:t>¿</w:t>
      </w:r>
      <w:r w:rsidRPr="00762EC1">
        <w:rPr>
          <w:rFonts w:ascii="Arial" w:hAnsi="Arial" w:cs="Arial"/>
          <w:b/>
          <w:bCs/>
          <w:color w:val="000000"/>
          <w:shd w:val="clear" w:color="auto" w:fill="FFFFFF"/>
          <w:lang w:val="es-AR"/>
        </w:rPr>
        <w:t>Que otras medidas se están tomando?</w:t>
      </w:r>
    </w:p>
    <w:p w:rsidR="00D77D85" w:rsidRPr="00EA7A28" w:rsidRDefault="00D77D85" w:rsidP="00EA7A28">
      <w:pPr>
        <w:pStyle w:val="ListParagraph1"/>
        <w:autoSpaceDE w:val="0"/>
        <w:autoSpaceDN w:val="0"/>
        <w:ind w:left="0"/>
        <w:jc w:val="both"/>
        <w:rPr>
          <w:rFonts w:ascii="Arial" w:hAnsi="Arial" w:cs="Arial"/>
          <w:lang w:val="es-AR" w:eastAsia="en-US"/>
        </w:rPr>
      </w:pPr>
      <w:r w:rsidRPr="002E1187">
        <w:rPr>
          <w:lang w:val="es-AR"/>
        </w:rPr>
        <w:t xml:space="preserve">Legislar la prohibición del castigo físico en cualquiera de sus formas ha sido un gran avance para la sociedad argentina, sin embargo eliminar la convicción de castigo para disciplina implicaría un cambio cultural, que no es imposible. Desde el Estado, a partir de los distintos Ministerios y organismos nacionales se trabaja en algunos programas, campañas y jornadas para concientizar sobre el castigo y la violencia familiar. </w:t>
      </w:r>
    </w:p>
    <w:p w:rsidR="00D77D85" w:rsidRPr="002E1187" w:rsidRDefault="00D77D85" w:rsidP="002E1187">
      <w:pPr>
        <w:jc w:val="both"/>
        <w:rPr>
          <w:rFonts w:ascii="Arial" w:hAnsi="Arial" w:cs="Arial"/>
          <w:lang w:val="es-AR"/>
        </w:rPr>
      </w:pPr>
    </w:p>
    <w:p w:rsidR="00D77D85" w:rsidRPr="00304091" w:rsidRDefault="00D77D85" w:rsidP="00EA7A28">
      <w:pPr>
        <w:pStyle w:val="ListParagraph1"/>
        <w:autoSpaceDE w:val="0"/>
        <w:autoSpaceDN w:val="0"/>
        <w:ind w:left="0"/>
        <w:jc w:val="both"/>
        <w:rPr>
          <w:lang w:val="es-AR"/>
        </w:rPr>
      </w:pPr>
      <w:r w:rsidRPr="00EA7A28">
        <w:rPr>
          <w:lang w:val="es-AR"/>
        </w:rPr>
        <w:t xml:space="preserve">En cuanto al nuevo Código Civil y Comercial de </w:t>
      </w:r>
      <w:smartTag w:uri="urn:schemas-microsoft-com:office:smarttags" w:element="PersonName">
        <w:smartTagPr>
          <w:attr w:name="ProductID" w:val="la Nación"/>
        </w:smartTagPr>
        <w:r w:rsidRPr="00EA7A28">
          <w:rPr>
            <w:lang w:val="es-AR"/>
          </w:rPr>
          <w:t>la Nación</w:t>
        </w:r>
      </w:smartTag>
      <w:r w:rsidRPr="00EA7A28">
        <w:rPr>
          <w:lang w:val="es-AR"/>
        </w:rPr>
        <w:t xml:space="preserve"> en el artículo 647: </w:t>
      </w:r>
      <w:r w:rsidRPr="00304091">
        <w:rPr>
          <w:lang w:val="es-AR"/>
        </w:rPr>
        <w:t xml:space="preserve">“prohíbe el castigo corporal en cualquiera de sus formas, los malos tratos y cualquier hecho que lesione o menoscabe física o psíquicamente a los niños o adolescentes”. </w:t>
      </w:r>
    </w:p>
    <w:p w:rsidR="00D77D85" w:rsidRDefault="00D77D85" w:rsidP="00304091">
      <w:pPr>
        <w:ind w:right="333"/>
        <w:jc w:val="both"/>
        <w:rPr>
          <w:rFonts w:ascii="Arial" w:hAnsi="Arial" w:cs="Arial"/>
          <w:lang w:val="es-AR"/>
        </w:rPr>
      </w:pPr>
    </w:p>
    <w:p w:rsidR="00D77D85" w:rsidRPr="00EA7A28" w:rsidRDefault="00D77D85" w:rsidP="00EA7A28">
      <w:pPr>
        <w:pStyle w:val="ListParagraph1"/>
        <w:autoSpaceDE w:val="0"/>
        <w:autoSpaceDN w:val="0"/>
        <w:ind w:left="0"/>
        <w:jc w:val="both"/>
        <w:rPr>
          <w:lang w:val="es-AR"/>
        </w:rPr>
      </w:pPr>
      <w:r w:rsidRPr="00EA7A28">
        <w:rPr>
          <w:lang w:val="es-AR"/>
        </w:rPr>
        <w:t xml:space="preserve">Por primera vez se prohíbe en forma tajante el castigo físico de los padres a los hijos derogando el antiguo artículo 278 que enunciaba que “los padres tienen la facultad de corregir o hacer corregir la conducta de sus hijos menores”. </w:t>
      </w:r>
    </w:p>
    <w:p w:rsidR="00D77D85" w:rsidRPr="00762EC1" w:rsidRDefault="00D77D85" w:rsidP="00BB2799">
      <w:pPr>
        <w:pStyle w:val="ListParagraph"/>
        <w:numPr>
          <w:ilvl w:val="0"/>
          <w:numId w:val="1"/>
        </w:numPr>
        <w:spacing w:before="100" w:beforeAutospacing="1" w:after="100" w:afterAutospacing="1"/>
        <w:rPr>
          <w:rFonts w:ascii="Arial" w:hAnsi="Arial" w:cs="Arial"/>
          <w:b/>
          <w:bCs/>
          <w:color w:val="000000"/>
          <w:lang w:val="es-AR"/>
        </w:rPr>
      </w:pPr>
      <w:r w:rsidRPr="00762EC1">
        <w:rPr>
          <w:rFonts w:ascii="Arial" w:hAnsi="Arial" w:cs="Arial"/>
          <w:b/>
          <w:bCs/>
          <w:color w:val="000000"/>
          <w:lang w:val="es-AR"/>
        </w:rPr>
        <w:t>¿cuáles son los derechos exactos de los jóvenes y adolescentes según la decisión 991/2009? Cifras de jóvenes detenidos en establecimientos juveniles penales</w:t>
      </w:r>
    </w:p>
    <w:p w:rsidR="00D77D85" w:rsidRPr="00EA7A28" w:rsidRDefault="00D77D85" w:rsidP="00304091">
      <w:pPr>
        <w:jc w:val="both"/>
        <w:rPr>
          <w:lang w:val="es-AR" w:eastAsia="es-AR"/>
        </w:rPr>
      </w:pPr>
      <w:smartTag w:uri="urn:schemas-microsoft-com:office:smarttags" w:element="PersonName">
        <w:smartTagPr>
          <w:attr w:name="ProductID" w:val="La Resolución N"/>
        </w:smartTagPr>
        <w:r w:rsidRPr="00EA7A28">
          <w:rPr>
            <w:lang w:val="es-AR" w:eastAsia="es-AR"/>
          </w:rPr>
          <w:t>La Resolución N</w:t>
        </w:r>
      </w:smartTag>
      <w:r w:rsidRPr="00EA7A28">
        <w:rPr>
          <w:lang w:val="es-AR" w:eastAsia="es-AR"/>
        </w:rPr>
        <w:t xml:space="preserve">° 991/2009  de </w:t>
      </w:r>
      <w:smartTag w:uri="urn:schemas-microsoft-com:office:smarttags" w:element="PersonName">
        <w:smartTagPr>
          <w:attr w:name="ProductID" w:val="la Secretaría Nacional"/>
        </w:smartTagPr>
        <w:r w:rsidRPr="00EA7A28">
          <w:rPr>
            <w:lang w:val="es-AR" w:eastAsia="es-AR"/>
          </w:rPr>
          <w:t>la Secretaría Nacional</w:t>
        </w:r>
      </w:smartTag>
      <w:r w:rsidRPr="00EA7A28">
        <w:rPr>
          <w:lang w:val="es-AR" w:eastAsia="es-AR"/>
        </w:rPr>
        <w:t xml:space="preserve"> de Niñez, Adolescencia y Familia establece la normativa general para los Centros de Régimen Cerrado y aprueba un PROTOCOLO DE PROCEDIMIENTOS PARA DENUNCIAS DE MALOS TRATOS Y EL PROTOCOLO DE PROCEDIMIENTOS PARA INCIDENTES ENTRE JÓVENES.</w:t>
      </w:r>
    </w:p>
    <w:p w:rsidR="00D77D85" w:rsidRPr="00EA7A28" w:rsidRDefault="00D77D85" w:rsidP="00304091">
      <w:pPr>
        <w:jc w:val="both"/>
        <w:rPr>
          <w:lang w:val="es-AR" w:eastAsia="es-AR"/>
        </w:rPr>
      </w:pPr>
      <w:smartTag w:uri="urn:schemas-microsoft-com:office:smarttags" w:element="PersonName">
        <w:smartTagPr>
          <w:attr w:name="ProductID" w:val="La DIRECCION NACIONAL"/>
        </w:smartTagPr>
        <w:r w:rsidRPr="00EA7A28">
          <w:rPr>
            <w:lang w:val="es-AR" w:eastAsia="es-AR"/>
          </w:rPr>
          <w:t>La DIRECCION NACIONAL</w:t>
        </w:r>
      </w:smartTag>
      <w:r w:rsidRPr="00EA7A28">
        <w:rPr>
          <w:lang w:val="es-AR" w:eastAsia="es-AR"/>
        </w:rPr>
        <w:t xml:space="preserve"> PARA ADOLESCENTES INFRACTORES A </w:t>
      </w:r>
      <w:smartTag w:uri="urn:schemas-microsoft-com:office:smarttags" w:element="PersonName">
        <w:smartTagPr>
          <w:attr w:name="ProductID" w:val="LA LEY PENAL"/>
        </w:smartTagPr>
        <w:r w:rsidRPr="00EA7A28">
          <w:rPr>
            <w:lang w:val="es-AR" w:eastAsia="es-AR"/>
          </w:rPr>
          <w:t>LA LEY PENAL</w:t>
        </w:r>
      </w:smartTag>
      <w:r w:rsidRPr="00EA7A28">
        <w:rPr>
          <w:lang w:val="es-AR" w:eastAsia="es-AR"/>
        </w:rPr>
        <w:t xml:space="preserve"> que actúa bajo la órbita de </w:t>
      </w:r>
      <w:smartTag w:uri="urn:schemas-microsoft-com:office:smarttags" w:element="PersonName">
        <w:smartTagPr>
          <w:attr w:name="ProductID" w:val="la SUBSECRETARÍA DE"/>
        </w:smartTagPr>
        <w:r w:rsidRPr="00EA7A28">
          <w:rPr>
            <w:lang w:val="es-AR" w:eastAsia="es-AR"/>
          </w:rPr>
          <w:t>la SUBSECRETARÍA DE</w:t>
        </w:r>
      </w:smartTag>
      <w:r w:rsidRPr="00EA7A28">
        <w:rPr>
          <w:lang w:val="es-AR" w:eastAsia="es-AR"/>
        </w:rPr>
        <w:t xml:space="preserve"> DERECHOS PARA </w:t>
      </w:r>
      <w:smartTag w:uri="urn:schemas-microsoft-com:office:smarttags" w:element="PersonName">
        <w:smartTagPr>
          <w:attr w:name="ProductID" w:val="LA NIÑEZ"/>
        </w:smartTagPr>
        <w:r w:rsidRPr="00EA7A28">
          <w:rPr>
            <w:lang w:val="es-AR" w:eastAsia="es-AR"/>
          </w:rPr>
          <w:t>LA NIÑEZ</w:t>
        </w:r>
      </w:smartTag>
      <w:r w:rsidRPr="00EA7A28">
        <w:rPr>
          <w:lang w:val="es-AR" w:eastAsia="es-AR"/>
        </w:rPr>
        <w:t xml:space="preserve">, ADOLESCENCIA Y FAMILIA, es el órgano administrativo de aplicación, encontrándose su marco conceptual previsto en </w:t>
      </w:r>
      <w:smartTag w:uri="urn:schemas-microsoft-com:office:smarttags" w:element="PersonName">
        <w:smartTagPr>
          <w:attr w:name="ProductID" w:val="La Resolución N"/>
        </w:smartTagPr>
        <w:r w:rsidRPr="00EA7A28">
          <w:rPr>
            <w:lang w:val="es-AR" w:eastAsia="es-AR"/>
          </w:rPr>
          <w:t>la Resolución N</w:t>
        </w:r>
      </w:smartTag>
      <w:r w:rsidRPr="00EA7A28">
        <w:rPr>
          <w:lang w:val="es-AR" w:eastAsia="es-AR"/>
        </w:rPr>
        <w:t>° 3892/2011- MDS.</w:t>
      </w:r>
    </w:p>
    <w:p w:rsidR="00D77D85" w:rsidRPr="00762EC1" w:rsidRDefault="00D77D85" w:rsidP="00EA7A28">
      <w:pPr>
        <w:spacing w:before="100" w:beforeAutospacing="1" w:after="100" w:afterAutospacing="1"/>
        <w:jc w:val="both"/>
        <w:rPr>
          <w:lang w:val="es-AR" w:eastAsia="es-AR"/>
        </w:rPr>
      </w:pPr>
      <w:r w:rsidRPr="00EA7A28">
        <w:rPr>
          <w:lang w:val="es-AR" w:eastAsia="es-AR"/>
        </w:rPr>
        <w:t xml:space="preserve">El anexo I de </w:t>
      </w:r>
      <w:smartTag w:uri="urn:schemas-microsoft-com:office:smarttags" w:element="PersonName">
        <w:smartTagPr>
          <w:attr w:name="ProductID" w:val="la Res. N"/>
        </w:smartTagPr>
        <w:r w:rsidRPr="00EA7A28">
          <w:rPr>
            <w:lang w:val="es-AR" w:eastAsia="es-AR"/>
          </w:rPr>
          <w:t>la Res. N</w:t>
        </w:r>
      </w:smartTag>
      <w:r w:rsidRPr="00EA7A28">
        <w:rPr>
          <w:lang w:val="es-AR" w:eastAsia="es-AR"/>
        </w:rPr>
        <w:t>° 991/2009 </w:t>
      </w:r>
      <w:r w:rsidRPr="00762EC1">
        <w:rPr>
          <w:lang w:val="es-AR" w:eastAsia="es-AR"/>
        </w:rPr>
        <w:t xml:space="preserve">establece </w:t>
      </w:r>
      <w:smartTag w:uri="urn:schemas-microsoft-com:office:smarttags" w:element="PersonName">
        <w:smartTagPr>
          <w:attr w:name="ProductID" w:val="la Normativa"/>
        </w:smartTagPr>
        <w:r w:rsidRPr="00762EC1">
          <w:rPr>
            <w:lang w:val="es-AR" w:eastAsia="es-AR"/>
          </w:rPr>
          <w:t>la Normativa</w:t>
        </w:r>
      </w:smartTag>
      <w:r w:rsidRPr="00762EC1">
        <w:rPr>
          <w:lang w:val="es-AR" w:eastAsia="es-AR"/>
        </w:rPr>
        <w:t xml:space="preserve"> general para los Centros de Régimen Cerrados y las garantías para los jóvenes allí alojados: derecho a la salud; a la educación; a la libertad de conciencia; a la vinculación familiar; a peticionar; a recibir un trato digno; medidas de protección y seguridad. Régimen disciplinario: se insta a un espacio de diálogo entre adolescentes para resolver los conflictos planteados, como medidas de prevención de violencia y deberes del personal: se encuentran obligados a mantener el clima de respeto y a informar a jóvenes alojadas sobre las actividades y servicios que se brindan. </w:t>
      </w:r>
    </w:p>
    <w:p w:rsidR="00D77D85" w:rsidRPr="00CA3181" w:rsidRDefault="00D77D85" w:rsidP="00CA3181">
      <w:pPr>
        <w:spacing w:before="100" w:beforeAutospacing="1" w:after="100" w:afterAutospacing="1"/>
        <w:jc w:val="both"/>
        <w:rPr>
          <w:lang w:val="es-AR" w:eastAsia="es-AR"/>
        </w:rPr>
      </w:pPr>
      <w:r w:rsidRPr="00762EC1">
        <w:rPr>
          <w:lang w:val="es-AR" w:eastAsia="es-AR"/>
        </w:rPr>
        <w:t xml:space="preserve">En el anexo II se establece el procedimiento para denuncias de malos tratos y el anexo III el Protocolo de Procedimiento para incidentes entre jóvenes. </w:t>
      </w:r>
    </w:p>
    <w:p w:rsidR="00D77D85" w:rsidRPr="00CA3181" w:rsidRDefault="00D77D85" w:rsidP="00304091">
      <w:pPr>
        <w:rPr>
          <w:b/>
          <w:bCs/>
          <w:iCs/>
          <w:lang w:val="es-ES" w:eastAsia="es-AR"/>
        </w:rPr>
      </w:pPr>
      <w:r w:rsidRPr="00CA3181">
        <w:rPr>
          <w:b/>
          <w:bCs/>
          <w:iCs/>
          <w:lang w:val="es-ES" w:eastAsia="es-AR"/>
        </w:rPr>
        <w:t>Cifras de jóvenes detenidos en establecimientos juveniles penales</w:t>
      </w:r>
    </w:p>
    <w:p w:rsidR="00D77D85" w:rsidRPr="00CA3181" w:rsidRDefault="00D77D85" w:rsidP="00304091">
      <w:pPr>
        <w:rPr>
          <w:b/>
          <w:bCs/>
          <w:iCs/>
          <w:lang w:val="es-ES" w:eastAsia="es-AR"/>
        </w:rPr>
      </w:pPr>
    </w:p>
    <w:p w:rsidR="00D77D85" w:rsidRPr="00762EC1" w:rsidRDefault="00D77D85" w:rsidP="00CA3181">
      <w:pPr>
        <w:jc w:val="both"/>
        <w:rPr>
          <w:lang w:val="es-AR" w:eastAsia="es-AR"/>
        </w:rPr>
      </w:pPr>
      <w:r w:rsidRPr="00762EC1">
        <w:rPr>
          <w:lang w:val="es-AR" w:eastAsia="es-AR"/>
        </w:rPr>
        <w:t>Población Penal Juvenil. Relevamiento año 2015</w:t>
      </w:r>
      <w:r w:rsidRPr="00CA3181">
        <w:rPr>
          <w:lang w:val="es-ES" w:eastAsia="es-AR"/>
        </w:rPr>
        <w:t xml:space="preserve"> </w:t>
      </w:r>
      <w:r>
        <w:rPr>
          <w:lang w:val="es-AR" w:eastAsia="es-AR"/>
        </w:rPr>
        <w:t xml:space="preserve">(se ha considerado población de </w:t>
      </w:r>
      <w:r w:rsidRPr="00762EC1">
        <w:rPr>
          <w:lang w:val="es-AR" w:eastAsia="es-AR"/>
        </w:rPr>
        <w:t>adolescentes presente en dispositivos el día 4 de marzo de 2015)</w:t>
      </w:r>
    </w:p>
    <w:p w:rsidR="00D77D85" w:rsidRPr="00762EC1" w:rsidRDefault="00D77D85" w:rsidP="00304091">
      <w:pPr>
        <w:numPr>
          <w:ilvl w:val="0"/>
          <w:numId w:val="3"/>
        </w:numPr>
        <w:spacing w:after="200" w:line="276" w:lineRule="auto"/>
        <w:jc w:val="both"/>
        <w:rPr>
          <w:lang w:val="es-AR" w:eastAsia="es-AR"/>
        </w:rPr>
      </w:pPr>
      <w:r w:rsidRPr="00762EC1">
        <w:rPr>
          <w:lang w:val="es-AR" w:eastAsia="es-AR"/>
        </w:rPr>
        <w:t>3.877 adolescentes infractores y presuntos infractores, incluidos en dispositivos penales juveniles en todo el territorio nacional. Representa el 0,14% de la población total del país de entre 14 y 17 años (INDEC- Censo 2010)</w:t>
      </w:r>
    </w:p>
    <w:p w:rsidR="00D77D85" w:rsidRPr="00762EC1" w:rsidRDefault="00D77D85" w:rsidP="00304091">
      <w:pPr>
        <w:numPr>
          <w:ilvl w:val="0"/>
          <w:numId w:val="3"/>
        </w:numPr>
        <w:spacing w:after="200" w:line="276" w:lineRule="auto"/>
        <w:jc w:val="both"/>
        <w:rPr>
          <w:lang w:val="es-AR" w:eastAsia="es-AR"/>
        </w:rPr>
      </w:pPr>
      <w:r w:rsidRPr="00762EC1">
        <w:rPr>
          <w:lang w:val="es-AR" w:eastAsia="es-AR"/>
        </w:rPr>
        <w:t>Si consideramos que los sin edad registrados tienen entre 14 y 17 años: 4.199 adolescentes infractores y presuntos infractores, incluidos en dispositivos penales juveniles en todo el territorio nacional. Representa el 0,15% de la población total del país de entre 14 y 17 años (INDEC- Censo 2010)</w:t>
      </w:r>
    </w:p>
    <w:p w:rsidR="00D77D85" w:rsidRPr="00762EC1" w:rsidRDefault="00D77D85" w:rsidP="00304091">
      <w:pPr>
        <w:numPr>
          <w:ilvl w:val="0"/>
          <w:numId w:val="3"/>
        </w:numPr>
        <w:spacing w:after="200" w:line="276" w:lineRule="auto"/>
        <w:jc w:val="both"/>
        <w:rPr>
          <w:lang w:val="es-AR" w:eastAsia="es-AR"/>
        </w:rPr>
      </w:pPr>
      <w:r w:rsidRPr="00762EC1">
        <w:rPr>
          <w:lang w:val="es-AR" w:eastAsia="es-AR"/>
        </w:rPr>
        <w:t>Cantidad de adolescentes alojados en dispositivos penales juveniles según sexo: 5,3% Mujeres y 94,7% varones.</w:t>
      </w:r>
    </w:p>
    <w:p w:rsidR="00D77D85" w:rsidRDefault="00D77D85" w:rsidP="00304091">
      <w:pPr>
        <w:ind w:left="720"/>
        <w:jc w:val="both"/>
        <w:rPr>
          <w:lang w:val="es-AR" w:eastAsia="es-AR"/>
        </w:rPr>
      </w:pPr>
      <w:r w:rsidRPr="00D15316">
        <w:rPr>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cid:image001.png@01D1D2D1.E30FB3F0" style="width:196.5pt;height:166.5pt;visibility:visible">
            <v:imagedata r:id="rId7" r:href="rId8"/>
          </v:shape>
        </w:pict>
      </w:r>
    </w:p>
    <w:p w:rsidR="00D77D85" w:rsidRPr="00762EC1" w:rsidRDefault="00D77D85" w:rsidP="00304091">
      <w:pPr>
        <w:rPr>
          <w:lang w:val="es-AR" w:eastAsia="es-AR"/>
        </w:rPr>
      </w:pPr>
    </w:p>
    <w:p w:rsidR="00D77D85" w:rsidRPr="00877F98" w:rsidRDefault="00D77D85" w:rsidP="00C116D8">
      <w:pPr>
        <w:pStyle w:val="ListParagraph"/>
        <w:numPr>
          <w:ilvl w:val="0"/>
          <w:numId w:val="1"/>
        </w:numPr>
        <w:spacing w:before="100" w:beforeAutospacing="1" w:after="100" w:afterAutospacing="1"/>
        <w:rPr>
          <w:rFonts w:cs="Arial"/>
          <w:b/>
          <w:bCs/>
          <w:color w:val="000000"/>
          <w:lang w:val="es-AR"/>
        </w:rPr>
      </w:pPr>
      <w:r w:rsidRPr="00877F98">
        <w:rPr>
          <w:rFonts w:cs="Arial"/>
          <w:b/>
          <w:bCs/>
          <w:color w:val="000000"/>
          <w:lang w:val="es-AR"/>
        </w:rPr>
        <w:t xml:space="preserve">La referencia de la existencia de un Defensor de menores ¿significa asistencia letrada gratuita? </w:t>
      </w:r>
    </w:p>
    <w:p w:rsidR="00D77D85" w:rsidRPr="00877F98" w:rsidRDefault="00D77D85" w:rsidP="005416D1">
      <w:pPr>
        <w:spacing w:before="100" w:beforeAutospacing="1" w:after="100" w:afterAutospacing="1"/>
        <w:jc w:val="both"/>
        <w:rPr>
          <w:rFonts w:cs="Arial"/>
          <w:lang w:val="es-AR"/>
        </w:rPr>
      </w:pPr>
      <w:r w:rsidRPr="00877F98">
        <w:rPr>
          <w:rFonts w:cs="Arial"/>
          <w:lang w:val="es-AR"/>
        </w:rPr>
        <w:t xml:space="preserve">La ley 26.061 en su Art. 47, crea al Defensor de los Derechos de los Niños, Niñas y adolescentes, con una competencia específica de control en la defensa de los derechos del niño ante las instituciones públicas y privadas y la supervisión y auditoría de la aplicación del sistema de protección integral en dos niveles: a nivel nacional y a nivel provincial. Entre sus funciones se encuentra la función específica de recibe todo tipo de reclamo formulado por niños o cualquier denuncia que se efectúe con relación a los mismos, ya sea personalmente o mediante un servicio telefónico gratuito y permanente debiéndose dar curso inmediato al requerimiento de que se trate. </w:t>
      </w:r>
    </w:p>
    <w:p w:rsidR="00D77D85" w:rsidRPr="00877F98" w:rsidRDefault="00D77D85" w:rsidP="005416D1">
      <w:pPr>
        <w:spacing w:before="100" w:beforeAutospacing="1" w:after="100" w:afterAutospacing="1"/>
        <w:jc w:val="both"/>
        <w:rPr>
          <w:rFonts w:cs="Arial"/>
          <w:lang w:val="es-AR"/>
        </w:rPr>
      </w:pPr>
      <w:r w:rsidRPr="00877F98">
        <w:rPr>
          <w:rFonts w:cs="Arial"/>
          <w:lang w:val="es-AR"/>
        </w:rPr>
        <w:t xml:space="preserve">Si bien, a nivel nacional, el Defensor de los Derechos de los Niños, Niñas y Adolescentes, aún no ha sido implementado, dichas funciones son cumplidas por el Defensor del Pueblo de </w:t>
      </w:r>
      <w:smartTag w:uri="urn:schemas-microsoft-com:office:smarttags" w:element="PersonName">
        <w:smartTagPr>
          <w:attr w:name="ProductID" w:val="la Nación"/>
        </w:smartTagPr>
        <w:r w:rsidRPr="00877F98">
          <w:rPr>
            <w:rFonts w:cs="Arial"/>
            <w:lang w:val="es-AR"/>
          </w:rPr>
          <w:t>la Nación</w:t>
        </w:r>
      </w:smartTag>
      <w:r w:rsidRPr="00877F98">
        <w:rPr>
          <w:rFonts w:cs="Arial"/>
          <w:lang w:val="es-AR"/>
        </w:rPr>
        <w:t xml:space="preserve">, creado por </w:t>
      </w:r>
      <w:smartTag w:uri="urn:schemas-microsoft-com:office:smarttags" w:element="PersonName">
        <w:smartTagPr>
          <w:attr w:name="ProductID" w:val="la Constitución Nacional"/>
        </w:smartTagPr>
        <w:r w:rsidRPr="00877F98">
          <w:rPr>
            <w:rFonts w:cs="Arial"/>
            <w:lang w:val="es-AR"/>
          </w:rPr>
          <w:t>la Constitución Nacional</w:t>
        </w:r>
      </w:smartTag>
      <w:r w:rsidRPr="00877F98">
        <w:rPr>
          <w:rFonts w:cs="Arial"/>
          <w:lang w:val="es-AR"/>
        </w:rPr>
        <w:t xml:space="preserve"> (Art.86), que cuenta con delegaciones en todas las jurisdicciones provinciales.</w:t>
      </w:r>
    </w:p>
    <w:p w:rsidR="00D77D85" w:rsidRPr="00877F98" w:rsidRDefault="00D77D85" w:rsidP="005416D1">
      <w:pPr>
        <w:shd w:val="clear" w:color="auto" w:fill="FFFFFF"/>
        <w:spacing w:before="100" w:beforeAutospacing="1" w:after="100" w:afterAutospacing="1"/>
        <w:jc w:val="both"/>
        <w:rPr>
          <w:rFonts w:cs="Arial"/>
          <w:lang w:val="es-AR"/>
        </w:rPr>
      </w:pPr>
      <w:r w:rsidRPr="00877F98">
        <w:rPr>
          <w:rFonts w:cs="Arial"/>
          <w:lang w:val="es-AR" w:eastAsia="es-AR"/>
        </w:rPr>
        <w:t xml:space="preserve">Al respecto cabe referir que el 6 de julio de 2012, se instituyó </w:t>
      </w:r>
      <w:smartTag w:uri="urn:schemas-microsoft-com:office:smarttags" w:element="PersonName">
        <w:smartTagPr>
          <w:attr w:name="ProductID" w:val="la Red Nacional"/>
        </w:smartTagPr>
        <w:r w:rsidRPr="00877F98">
          <w:rPr>
            <w:rFonts w:cs="Arial"/>
            <w:lang w:val="es-AR" w:eastAsia="es-AR"/>
          </w:rPr>
          <w:t>la Red Nacional</w:t>
        </w:r>
      </w:smartTag>
      <w:r w:rsidRPr="00877F98">
        <w:rPr>
          <w:rFonts w:cs="Arial"/>
          <w:lang w:val="es-AR" w:eastAsia="es-AR"/>
        </w:rPr>
        <w:t xml:space="preserve"> de Defensorías de los Derechos de Niñas, Niños y Adolescentes, integrada por  las/los Defensoras/res, tanto titulares como adjuntos, que pertenecen a ADPRA, representantes -en caso que exista- del área específica de Infancia o Adolescencia o punto focal de cada una de las Defensorías del Pueblo provinciales y municipales que forman parte de </w:t>
      </w:r>
      <w:smartTag w:uri="urn:schemas-microsoft-com:office:smarttags" w:element="PersonName">
        <w:smartTagPr>
          <w:attr w:name="ProductID" w:val="la Asociación"/>
        </w:smartTagPr>
        <w:r w:rsidRPr="00877F98">
          <w:rPr>
            <w:rFonts w:cs="Arial"/>
            <w:lang w:val="es-AR" w:eastAsia="es-AR"/>
          </w:rPr>
          <w:t>la Asociación</w:t>
        </w:r>
      </w:smartTag>
      <w:r w:rsidRPr="00877F98">
        <w:rPr>
          <w:rFonts w:cs="Arial"/>
          <w:lang w:val="es-AR" w:eastAsia="es-AR"/>
        </w:rPr>
        <w:t xml:space="preserve"> y </w:t>
      </w:r>
      <w:smartTag w:uri="urn:schemas-microsoft-com:office:smarttags" w:element="PersonName">
        <w:smartTagPr>
          <w:attr w:name="ProductID" w:val="la Defensoría"/>
        </w:smartTagPr>
        <w:r w:rsidRPr="00877F98">
          <w:rPr>
            <w:rFonts w:cs="Arial"/>
            <w:lang w:val="es-AR" w:eastAsia="es-AR"/>
          </w:rPr>
          <w:t>la Defensoría</w:t>
        </w:r>
      </w:smartTag>
      <w:r w:rsidRPr="00877F98">
        <w:rPr>
          <w:rFonts w:cs="Arial"/>
          <w:lang w:val="es-AR" w:eastAsia="es-AR"/>
        </w:rPr>
        <w:t xml:space="preserve"> del Pueblo de </w:t>
      </w:r>
      <w:smartTag w:uri="urn:schemas-microsoft-com:office:smarttags" w:element="PersonName">
        <w:smartTagPr>
          <w:attr w:name="ProductID" w:val="la Nación. Sus"/>
        </w:smartTagPr>
        <w:r w:rsidRPr="00877F98">
          <w:rPr>
            <w:rFonts w:cs="Arial"/>
            <w:lang w:val="es-AR" w:eastAsia="es-AR"/>
          </w:rPr>
          <w:t>la Nación. Sus</w:t>
        </w:r>
      </w:smartTag>
      <w:r w:rsidRPr="00877F98">
        <w:rPr>
          <w:rFonts w:cs="Arial"/>
          <w:lang w:val="es-AR" w:eastAsia="es-AR"/>
        </w:rPr>
        <w:t xml:space="preserve"> principales objetivos son la creación de espacios especializados en la defensa de estos derechos en las Defensorías del Pueblo provinciales y municipales, y el fortalecimiento de los roles y competencias en aquellas que ya se encuentran en funcionamiento</w:t>
      </w:r>
    </w:p>
    <w:p w:rsidR="00D77D85" w:rsidRPr="00877F98" w:rsidRDefault="00D77D85" w:rsidP="005416D1">
      <w:pPr>
        <w:spacing w:before="100" w:beforeAutospacing="1" w:after="100" w:afterAutospacing="1"/>
        <w:jc w:val="both"/>
        <w:rPr>
          <w:rFonts w:cs="Arial"/>
          <w:lang w:val="es-AR"/>
        </w:rPr>
      </w:pPr>
      <w:r w:rsidRPr="00877F98">
        <w:rPr>
          <w:rFonts w:cs="Arial"/>
          <w:lang w:val="es-AR"/>
        </w:rPr>
        <w:t xml:space="preserve">Por su parte, también existen programas y sistemas de recepción de quejas de los niños específicamente destinados en materia de violencia o maltrato, tales como: -la </w:t>
      </w:r>
      <w:r w:rsidRPr="00877F98">
        <w:rPr>
          <w:rFonts w:cs="Arial"/>
          <w:b/>
          <w:lang w:val="es-AR"/>
        </w:rPr>
        <w:t>línea telefónica 102</w:t>
      </w:r>
      <w:r w:rsidRPr="00877F98">
        <w:rPr>
          <w:rFonts w:cs="Arial"/>
          <w:lang w:val="es-AR"/>
        </w:rPr>
        <w:t xml:space="preserve"> implementada desde el ámbito de </w:t>
      </w:r>
      <w:smartTag w:uri="urn:schemas-microsoft-com:office:smarttags" w:element="PersonName">
        <w:smartTagPr>
          <w:attr w:name="ProductID" w:val="la SENAF"/>
        </w:smartTagPr>
        <w:r w:rsidRPr="00877F98">
          <w:rPr>
            <w:rFonts w:cs="Arial"/>
            <w:lang w:val="es-AR"/>
          </w:rPr>
          <w:t>la SENAF</w:t>
        </w:r>
      </w:smartTag>
      <w:r w:rsidRPr="00877F98">
        <w:rPr>
          <w:rFonts w:cs="Arial"/>
          <w:lang w:val="es-AR"/>
        </w:rPr>
        <w:t xml:space="preserve"> en diferentes jurisdicciones provinciales mediante la celebración de convenios a tales fines. La línea 102 es gratuita y funciona las 24 horas durante todo el año. Los operadores se encuentran capacitados para brindar a toda la comunidad la posibilidad de realizar denuncias de violación de derechos de niños, niñas y adolescentes y de recibir información y orientación. </w:t>
      </w:r>
    </w:p>
    <w:p w:rsidR="00D77D85" w:rsidRPr="00877F98" w:rsidRDefault="00D77D85" w:rsidP="00B828BA">
      <w:pPr>
        <w:spacing w:before="100" w:beforeAutospacing="1" w:after="100" w:afterAutospacing="1"/>
        <w:jc w:val="both"/>
        <w:rPr>
          <w:rFonts w:cs="Arial"/>
          <w:lang w:val="es-AR"/>
        </w:rPr>
      </w:pPr>
      <w:r w:rsidRPr="00877F98">
        <w:rPr>
          <w:rFonts w:cs="Arial"/>
          <w:lang w:val="es-AR"/>
        </w:rPr>
        <w:t xml:space="preserve">La asistencia legal para niños además de contemplarse en el Arts. 18 de </w:t>
      </w:r>
      <w:smartTag w:uri="urn:schemas-microsoft-com:office:smarttags" w:element="PersonName">
        <w:smartTagPr>
          <w:attr w:name="ProductID" w:val="la Constitución Nacional"/>
        </w:smartTagPr>
        <w:r w:rsidRPr="00877F98">
          <w:rPr>
            <w:rFonts w:cs="Arial"/>
            <w:lang w:val="es-AR"/>
          </w:rPr>
          <w:t>la Constitución Nacional</w:t>
        </w:r>
      </w:smartTag>
      <w:r>
        <w:rPr>
          <w:rFonts w:cs="Arial"/>
          <w:lang w:val="es-AR"/>
        </w:rPr>
        <w:t xml:space="preserve"> (</w:t>
      </w:r>
      <w:r w:rsidRPr="00877F98">
        <w:rPr>
          <w:rFonts w:cs="Arial"/>
          <w:lang w:val="es-AR"/>
        </w:rPr>
        <w:t>C.N.</w:t>
      </w:r>
      <w:r>
        <w:rPr>
          <w:rFonts w:cs="Arial"/>
          <w:lang w:val="es-AR"/>
        </w:rPr>
        <w:t>)</w:t>
      </w:r>
      <w:r w:rsidRPr="00877F98">
        <w:rPr>
          <w:rFonts w:cs="Arial"/>
          <w:lang w:val="es-AR"/>
        </w:rPr>
        <w:t>, Art. 37 inc. d) y Art. 40.2 b) ii) C</w:t>
      </w:r>
      <w:r>
        <w:rPr>
          <w:rFonts w:cs="Arial"/>
          <w:lang w:val="es-AR"/>
        </w:rPr>
        <w:t xml:space="preserve">onvención de los </w:t>
      </w:r>
      <w:r w:rsidRPr="00877F98">
        <w:rPr>
          <w:rFonts w:cs="Arial"/>
          <w:lang w:val="es-AR"/>
        </w:rPr>
        <w:t>D</w:t>
      </w:r>
      <w:r>
        <w:rPr>
          <w:rFonts w:cs="Arial"/>
          <w:lang w:val="es-AR"/>
        </w:rPr>
        <w:t xml:space="preserve">erechos del </w:t>
      </w:r>
      <w:r w:rsidRPr="00877F98">
        <w:rPr>
          <w:rFonts w:cs="Arial"/>
          <w:lang w:val="es-AR"/>
        </w:rPr>
        <w:t>N</w:t>
      </w:r>
      <w:r>
        <w:rPr>
          <w:rFonts w:cs="Arial"/>
          <w:lang w:val="es-AR"/>
        </w:rPr>
        <w:t>iño</w:t>
      </w:r>
      <w:r w:rsidRPr="00877F98">
        <w:rPr>
          <w:rFonts w:cs="Arial"/>
          <w:lang w:val="es-AR"/>
        </w:rPr>
        <w:t xml:space="preserve"> (Art. 75 inc. 22 del C.N.), se encuentra expres</w:t>
      </w:r>
      <w:r>
        <w:rPr>
          <w:rFonts w:cs="Arial"/>
          <w:lang w:val="es-AR"/>
        </w:rPr>
        <w:t>amente reconocida en el Art.</w:t>
      </w:r>
      <w:r w:rsidRPr="00877F98">
        <w:rPr>
          <w:rFonts w:cs="Arial"/>
          <w:lang w:val="es-AR"/>
        </w:rPr>
        <w:t xml:space="preserve"> 27 inc. c) de la ley 26.061 mediante el cual expresa que los organismos del Estado deberán garantizar a las niñas, niños y adolescentes en cualquier procedimiento judicial o administrativo que los afecte (…) a ser asistido por un </w:t>
      </w:r>
      <w:r w:rsidRPr="00877F98">
        <w:rPr>
          <w:rFonts w:cs="Arial"/>
          <w:b/>
          <w:lang w:val="es-AR"/>
        </w:rPr>
        <w:t>letrado preferentemente especializado en niñez</w:t>
      </w:r>
      <w:r w:rsidRPr="00877F98">
        <w:rPr>
          <w:rFonts w:cs="Arial"/>
          <w:lang w:val="es-AR"/>
        </w:rPr>
        <w:t xml:space="preserve"> </w:t>
      </w:r>
      <w:r w:rsidRPr="00877F98">
        <w:rPr>
          <w:rFonts w:cs="Arial"/>
          <w:b/>
          <w:lang w:val="es-AR"/>
        </w:rPr>
        <w:t>y adolescencia</w:t>
      </w:r>
      <w:r w:rsidRPr="00877F98">
        <w:rPr>
          <w:rFonts w:cs="Arial"/>
          <w:lang w:val="es-AR"/>
        </w:rPr>
        <w:t xml:space="preserve"> desde el inicio del procedimiento judicial o administrativo que lo incluya, previéndose que en caso de carecer de recursos económicos el Estado deberá asignarle de oficio un letrado que lo patrocine. </w:t>
      </w:r>
    </w:p>
    <w:p w:rsidR="00D77D85" w:rsidRPr="00877F98" w:rsidRDefault="00D77D85" w:rsidP="00B828BA">
      <w:pPr>
        <w:spacing w:before="100" w:beforeAutospacing="1" w:after="100" w:afterAutospacing="1"/>
        <w:jc w:val="both"/>
        <w:rPr>
          <w:rFonts w:cs="Arial"/>
          <w:lang w:val="es-AR"/>
        </w:rPr>
      </w:pPr>
      <w:r w:rsidRPr="00877F98">
        <w:rPr>
          <w:rFonts w:cs="Arial"/>
          <w:lang w:val="es-AR"/>
        </w:rPr>
        <w:t>A la par de aclarar que el derecho del niño a ser representado por un abogado no reconoce en los términos de la ley sujeción a ningún límite de edad mínimo en función de la capacidad civil, corresponde también mencionar que dicha posibilidad del niño de asistido por el abogado, es independiente de la intervención en el procedimiento que tiene el Ministerio Pupilar. La reglamentación del artículo 27 de la ley 26.071 es clara al respecto, al expresar que: “El derecho a la asistencia letrada previsto en el inciso c) incluye el de designar un abogado que represente los intereses personales e individuales de la niña, niño o adolescente en el proceso administrativo o judicial, todo ello sin perjuicio de la representación promiscua que ejerce el Ministerio Pupilar” (Art. 27, Anexo I, Decreto 415/06).</w:t>
      </w:r>
    </w:p>
    <w:p w:rsidR="00D77D85" w:rsidRPr="00877F98" w:rsidRDefault="00D77D85" w:rsidP="00B828BA">
      <w:pPr>
        <w:spacing w:before="100" w:beforeAutospacing="1" w:after="100" w:afterAutospacing="1"/>
        <w:jc w:val="both"/>
        <w:rPr>
          <w:rFonts w:cs="Arial"/>
          <w:lang w:val="es-AR"/>
        </w:rPr>
      </w:pPr>
      <w:r w:rsidRPr="00877F98">
        <w:rPr>
          <w:rFonts w:cs="Arial"/>
          <w:lang w:val="es-AR"/>
        </w:rPr>
        <w:t xml:space="preserve">Es decir, a partir de los distintos roles y funciones que cumplen el abogado patrocinante del niño/a o adolescente y el Defensor o Asesor de menores, de la reglamentación surge que sus intervenciones no resultan incompatibles. </w:t>
      </w:r>
    </w:p>
    <w:p w:rsidR="00D77D85" w:rsidRPr="00877F98" w:rsidRDefault="00D77D85" w:rsidP="00B828BA">
      <w:pPr>
        <w:spacing w:before="100" w:beforeAutospacing="1" w:after="100" w:afterAutospacing="1"/>
        <w:jc w:val="both"/>
        <w:rPr>
          <w:rFonts w:cs="Arial"/>
          <w:lang w:val="es-MX"/>
        </w:rPr>
      </w:pPr>
      <w:r w:rsidRPr="00877F98">
        <w:rPr>
          <w:rFonts w:cs="Arial"/>
          <w:bCs/>
          <w:lang w:val="es-AR"/>
        </w:rPr>
        <w:t xml:space="preserve">Las funciones del defensor público de menores no coinciden y por tanto no deben confundirse con las </w:t>
      </w:r>
      <w:r w:rsidRPr="00877F98">
        <w:rPr>
          <w:rFonts w:cs="Arial"/>
          <w:lang w:val="es-MX"/>
        </w:rPr>
        <w:t>funciones ejercidas en el marco del proceso por la asistencia técnica propia del abogado.</w:t>
      </w:r>
    </w:p>
    <w:p w:rsidR="00D77D85" w:rsidRPr="001E312E" w:rsidRDefault="00D77D85" w:rsidP="00B828BA">
      <w:pPr>
        <w:spacing w:before="100" w:beforeAutospacing="1" w:after="100" w:afterAutospacing="1"/>
        <w:jc w:val="both"/>
        <w:rPr>
          <w:rFonts w:cs="Arial"/>
          <w:bCs/>
          <w:lang w:val="es-AR"/>
        </w:rPr>
      </w:pPr>
      <w:r w:rsidRPr="00877F98">
        <w:rPr>
          <w:rFonts w:cs="Arial"/>
          <w:bCs/>
          <w:lang w:val="es-AR"/>
        </w:rPr>
        <w:t xml:space="preserve">El abogado del niño defiende el interés personal y particular del niño que patrocina, representa sus puntos de vistas ante el juez, presta su conocimiento técnico para que se dicte una decisión jurisdiccional favorable a su representado. Es decir, representa el punto de vista de su cliente, a diferencia del Asesor cuya función consiste en solicitar al tribunal lo que él percibe como más conveniente, a la situación de la persona menor de edad. </w:t>
      </w:r>
    </w:p>
    <w:p w:rsidR="00D77D85" w:rsidRPr="00877F98" w:rsidRDefault="00D77D85" w:rsidP="00C116D8">
      <w:pPr>
        <w:pStyle w:val="ListParagraph"/>
        <w:numPr>
          <w:ilvl w:val="0"/>
          <w:numId w:val="1"/>
        </w:numPr>
        <w:spacing w:before="100" w:beforeAutospacing="1" w:after="100" w:afterAutospacing="1"/>
        <w:rPr>
          <w:rFonts w:cs="Arial"/>
          <w:b/>
          <w:bCs/>
          <w:color w:val="000000"/>
          <w:lang w:val="es-AR"/>
        </w:rPr>
      </w:pPr>
      <w:r w:rsidRPr="00877F98">
        <w:rPr>
          <w:rFonts w:cs="Arial"/>
          <w:b/>
          <w:bCs/>
          <w:color w:val="000000"/>
          <w:lang w:val="es-AR"/>
        </w:rPr>
        <w:t>Se habla de una Comisión que vigila a los adolescentes detenidos, ¿cómo funciona? ¿cómo evalúa las condiciones de dichas instituciones? ¿qué medidas se han tomado para mejorar dichas condiciones?</w:t>
      </w:r>
    </w:p>
    <w:p w:rsidR="00D77D85" w:rsidRPr="00877F98" w:rsidRDefault="00D77D85" w:rsidP="0090246F">
      <w:pPr>
        <w:jc w:val="both"/>
        <w:rPr>
          <w:rFonts w:cs="Arial"/>
          <w:lang w:val="es-MX"/>
        </w:rPr>
      </w:pPr>
      <w:r w:rsidRPr="00877F98">
        <w:rPr>
          <w:rFonts w:cs="Arial"/>
          <w:lang w:val="es-MX"/>
        </w:rPr>
        <w:t>La Comisión de Seguimiento del Tratamiento Institucional de Niñas, Niños y Adolescentes fue creada en el año 2006 mediante Resolución DGN Nº 841/2006 con la finalidad de coordinar acciones tendientes a verificar las condiciones generales de alojamiento de niñas, niños y adolescentes en las instituciones.</w:t>
      </w:r>
    </w:p>
    <w:p w:rsidR="00D77D85" w:rsidRPr="00877F98" w:rsidRDefault="00D77D85" w:rsidP="0090246F">
      <w:pPr>
        <w:jc w:val="both"/>
        <w:rPr>
          <w:rFonts w:cs="Arial"/>
          <w:lang w:val="es-MX"/>
        </w:rPr>
      </w:pPr>
      <w:r w:rsidRPr="00877F98">
        <w:rPr>
          <w:rFonts w:cs="Arial"/>
          <w:lang w:val="es-MX"/>
        </w:rPr>
        <w:t xml:space="preserve">La </w:t>
      </w:r>
      <w:r w:rsidRPr="00877F98">
        <w:rPr>
          <w:rFonts w:cs="Arial"/>
          <w:i/>
          <w:iCs/>
          <w:lang w:val="es-MX"/>
        </w:rPr>
        <w:t>Comisión</w:t>
      </w:r>
      <w:r w:rsidRPr="00877F98">
        <w:rPr>
          <w:rFonts w:cs="Arial"/>
          <w:lang w:val="es-MX"/>
        </w:rPr>
        <w:t xml:space="preserve"> está integrada por Coordinadores o Titulares que se desempeñan como Defensores Públicos Oficiales, Defensores Públicos Tutores o Curadores y Funcionarios. Asimismo, cuenta con un equipo de trabajo compuesto por funcionarios/as y empleadas con dedicación exclusiva para las tareas específicas.</w:t>
      </w:r>
    </w:p>
    <w:p w:rsidR="00D77D85" w:rsidRPr="00877F98" w:rsidRDefault="00D77D85" w:rsidP="0090246F">
      <w:pPr>
        <w:jc w:val="both"/>
        <w:rPr>
          <w:rFonts w:cs="Arial"/>
          <w:lang w:val="es-MX"/>
        </w:rPr>
      </w:pPr>
      <w:r w:rsidRPr="00877F98">
        <w:rPr>
          <w:rFonts w:cs="Arial"/>
          <w:lang w:val="es-MX"/>
        </w:rPr>
        <w:t>L</w:t>
      </w:r>
      <w:r w:rsidRPr="00877F98">
        <w:rPr>
          <w:rFonts w:cs="Arial"/>
          <w:lang w:val="es-AR"/>
        </w:rPr>
        <w:t xml:space="preserve">os coordinadores o titulares cumplen –en el ámbito de la Defensa Pública- dos roles: el desempeño como Defensores Públicos asumiendo las defensas de los casos particulares que lleguen a sus respectivas dependencias y, por otro lado, la labor de coordinación de la </w:t>
      </w:r>
      <w:r w:rsidRPr="00877F98">
        <w:rPr>
          <w:rFonts w:cs="Arial"/>
          <w:i/>
          <w:iCs/>
          <w:lang w:val="es-AR"/>
        </w:rPr>
        <w:t>Comisión</w:t>
      </w:r>
      <w:r w:rsidRPr="00877F98">
        <w:rPr>
          <w:rFonts w:cs="Arial"/>
          <w:lang w:val="es-AR"/>
        </w:rPr>
        <w:t>.</w:t>
      </w:r>
    </w:p>
    <w:p w:rsidR="00D77D85" w:rsidRPr="00877F98" w:rsidRDefault="00D77D85" w:rsidP="0090246F">
      <w:pPr>
        <w:jc w:val="both"/>
        <w:rPr>
          <w:rFonts w:cs="Arial"/>
          <w:lang w:val="es-MX"/>
        </w:rPr>
      </w:pPr>
      <w:r w:rsidRPr="00877F98">
        <w:rPr>
          <w:rFonts w:cs="Arial"/>
          <w:lang w:val="es-MX"/>
        </w:rPr>
        <w:t>La Comisión realiza un monitoreo que contribuye a detectar situaciones de vulneración de los derechos de los niños, niñas y adolescentes, y asimismo arbitra todas las medidas necesarias para que intervengan los organismos con competencia en la restitución y reparación de tales derechos.</w:t>
      </w:r>
    </w:p>
    <w:p w:rsidR="00D77D85" w:rsidRDefault="00D77D85" w:rsidP="0090246F">
      <w:pPr>
        <w:jc w:val="both"/>
        <w:rPr>
          <w:rFonts w:cs="Arial"/>
          <w:lang w:val="es-MX"/>
        </w:rPr>
      </w:pPr>
      <w:r w:rsidRPr="006C0EF4">
        <w:rPr>
          <w:rFonts w:cs="Arial"/>
          <w:lang w:val="es-MX"/>
        </w:rPr>
        <w:t xml:space="preserve">En el cumplimiento de sus objetivos la Comisión realiza múltiples y diversas tareas; principalmente se efectúan visitas oficiales -sin previo aviso y en diversos días y horarios -a las distintas instituciones, las que se programan semestralmente o se ordenan de urgencia, frente a situaciones que lo ameriten. En las visitas se efectúa un relevamiento general de las condiciones de alojamiento, constatando la adecuación a la normativa vigente. Asimismo, se mantienen entrevistas espontáneas, para conocer la opinión respecto de las condiciones de la institución y garantizar su derecho a ser escuchados. </w:t>
      </w:r>
    </w:p>
    <w:p w:rsidR="00D77D85" w:rsidRPr="003A54A9" w:rsidRDefault="00D77D85" w:rsidP="0090246F">
      <w:pPr>
        <w:jc w:val="both"/>
        <w:rPr>
          <w:rFonts w:cs="Arial"/>
          <w:lang w:val="es-MX"/>
        </w:rPr>
      </w:pPr>
      <w:r w:rsidRPr="003A54A9">
        <w:rPr>
          <w:rFonts w:cs="Arial"/>
          <w:lang w:val="es-MX"/>
        </w:rPr>
        <w:t>En el caso de los Centros de Régimen Cerrado, el personal de la Comisión se constituye en dichos establecimientos mensualmente, entendiendo que las condiciones de alojamiento pueden resultar más gravosas en las instituciones de encierro. Para las demás instituciones se establecen diversas periodicidades en las visitas, de acuerdo al resultado del monitoreo realizado.</w:t>
      </w:r>
    </w:p>
    <w:p w:rsidR="00D77D85" w:rsidRPr="003A54A9" w:rsidRDefault="00D77D85" w:rsidP="0090246F">
      <w:pPr>
        <w:jc w:val="both"/>
        <w:rPr>
          <w:rFonts w:cs="Arial"/>
          <w:lang w:val="es-MX"/>
        </w:rPr>
      </w:pPr>
      <w:r w:rsidRPr="003A54A9">
        <w:rPr>
          <w:rFonts w:cs="Arial"/>
          <w:lang w:val="es-MX"/>
        </w:rPr>
        <w:t>Finalmente, se efectúan visitas de diagnóstico en instituciones que no han sido monitoreadas con anterioridad a fin de realizar una evaluación de las condiciones generales de alojamiento y  considerar la realización posterior de una visita oficial.</w:t>
      </w:r>
    </w:p>
    <w:p w:rsidR="00D77D85" w:rsidRDefault="00D77D85" w:rsidP="0090246F">
      <w:pPr>
        <w:jc w:val="both"/>
        <w:rPr>
          <w:rFonts w:ascii="Arial" w:hAnsi="Arial" w:cs="Arial"/>
          <w:lang w:val="es-MX"/>
        </w:rPr>
      </w:pPr>
      <w:r>
        <w:rPr>
          <w:rFonts w:cs="Arial"/>
          <w:lang w:val="es-MX"/>
        </w:rPr>
        <w:t xml:space="preserve">La </w:t>
      </w:r>
      <w:r w:rsidRPr="003A54A9">
        <w:rPr>
          <w:rFonts w:cs="Arial"/>
          <w:lang w:val="es-MX"/>
        </w:rPr>
        <w:t>sistematicidad con que se realizan las visitas “oficiales” y “de seguimiento” permite  contribuir a la construcción de buenas prácticas en las instituciones, en tanto la CSTINNyA efectúa recomendaciones y aportes que fortalecen el diálogo con los organismos responsables del cuidado y alojamiento de los niños, niñas y adolescentes</w:t>
      </w:r>
      <w:r>
        <w:rPr>
          <w:rFonts w:ascii="Arial" w:hAnsi="Arial" w:cs="Arial"/>
          <w:lang w:val="es-MX"/>
        </w:rPr>
        <w:t>.</w:t>
      </w:r>
    </w:p>
    <w:p w:rsidR="00D77D85" w:rsidRPr="003A54A9" w:rsidRDefault="00D77D85" w:rsidP="003A54A9">
      <w:pPr>
        <w:pStyle w:val="ListParagraph"/>
        <w:numPr>
          <w:ilvl w:val="0"/>
          <w:numId w:val="1"/>
        </w:numPr>
        <w:spacing w:before="100" w:beforeAutospacing="1" w:after="100" w:afterAutospacing="1"/>
        <w:rPr>
          <w:rFonts w:cs="Arial"/>
          <w:b/>
          <w:bCs/>
          <w:color w:val="000000"/>
          <w:lang w:val="es-AR"/>
        </w:rPr>
      </w:pPr>
      <w:r w:rsidRPr="003A54A9">
        <w:rPr>
          <w:rFonts w:cs="Arial"/>
          <w:b/>
          <w:bCs/>
          <w:color w:val="000000"/>
          <w:lang w:val="es-AR"/>
        </w:rPr>
        <w:t>Promoción y protección del derecho de los niños: requerimos datos concretos de cómo se han difundido esos derechos y han hecho eficaces, ¿cómo se informa a los niños de los derechos que tienen?</w:t>
      </w:r>
    </w:p>
    <w:p w:rsidR="00D77D85" w:rsidRPr="003A54A9" w:rsidRDefault="00D77D85" w:rsidP="008C10C6">
      <w:pPr>
        <w:spacing w:before="100" w:beforeAutospacing="1" w:after="100" w:afterAutospacing="1"/>
        <w:jc w:val="both"/>
        <w:rPr>
          <w:rFonts w:cs="Arial"/>
          <w:lang w:val="es-MX"/>
        </w:rPr>
      </w:pPr>
      <w:r w:rsidRPr="003A54A9">
        <w:rPr>
          <w:rFonts w:cs="Arial"/>
          <w:lang w:val="es-MX"/>
        </w:rPr>
        <w:t>El Sistema Nacional de Promoción y Protección de los Derechos de la Niñez en la República Argentina se enmarca en la Ley N° 26.061 de Protección Integral de los Derechos de las Niñas, Niños y Adolescentes, la cual permitió la creación de la Secretaría Nacional de Niñez, Adolescencia y Familia (SENNAF), y del Consejo Federal de Niñez, Adolescencia y Familia (COFENAF). El COFENAF es quien realiza la promoción de los derechos en general y entiende la promoción como “todo aquello que tienda a mejorar las condiciones de vida, fortalecer los vínculos familiares, favorecer el acceso a prestaciones de calidad en educación, salud, deportes, cultura y formación laboral.</w:t>
      </w:r>
    </w:p>
    <w:p w:rsidR="00D77D85" w:rsidRDefault="00D77D85" w:rsidP="003A54A9">
      <w:pPr>
        <w:jc w:val="both"/>
        <w:rPr>
          <w:lang w:val="es-AR"/>
        </w:rPr>
      </w:pPr>
      <w:r>
        <w:rPr>
          <w:lang w:val="es-AR"/>
        </w:rPr>
        <w:t>El Sistema de Protección de Niños, Niñas y Adolescentes debe garantizar el cumplimiento de los derechos de todos los niños, niñas y adolescentes y a través de distintas políticas públicas promoverlos y hacerlos eficaces. Entre ellas podemos destacar:</w:t>
      </w:r>
    </w:p>
    <w:p w:rsidR="00D77D85" w:rsidRPr="003A54A9" w:rsidRDefault="00D77D85" w:rsidP="003A54A9">
      <w:pPr>
        <w:jc w:val="both"/>
        <w:rPr>
          <w:rFonts w:ascii="Arial" w:hAnsi="Arial" w:cs="Arial"/>
          <w:sz w:val="22"/>
          <w:szCs w:val="22"/>
          <w:lang w:val="es-AR"/>
        </w:rPr>
      </w:pPr>
      <w:r>
        <w:rPr>
          <w:b/>
          <w:bCs/>
          <w:lang w:val="es-AR"/>
        </w:rPr>
        <w:t>Programa Nacional para Adolescentes “Nuestro Lugar”</w:t>
      </w:r>
      <w:r>
        <w:rPr>
          <w:lang w:val="es-AR"/>
        </w:rPr>
        <w:t xml:space="preserve"> (2009-2015): A través de este Programa se trabajó en el derecho que todos los niños y adolescentes tienen a participar en la vida de sus comunidades.</w:t>
      </w:r>
    </w:p>
    <w:p w:rsidR="00D77D85" w:rsidRDefault="00D77D85" w:rsidP="003A54A9">
      <w:pPr>
        <w:pStyle w:val="ListParagraph"/>
        <w:ind w:left="0"/>
        <w:contextualSpacing w:val="0"/>
        <w:jc w:val="both"/>
        <w:rPr>
          <w:rFonts w:ascii="Arial" w:hAnsi="Arial" w:cs="Arial"/>
          <w:sz w:val="22"/>
          <w:szCs w:val="22"/>
          <w:lang w:val="es-AR"/>
        </w:rPr>
      </w:pPr>
      <w:r>
        <w:rPr>
          <w:rFonts w:ascii="Arial" w:hAnsi="Arial" w:cs="Arial"/>
          <w:b/>
          <w:bCs/>
          <w:sz w:val="22"/>
          <w:szCs w:val="22"/>
          <w:lang w:val="es-AR"/>
        </w:rPr>
        <w:t>Proyectos Sociocomunitarios</w:t>
      </w:r>
      <w:r>
        <w:rPr>
          <w:rFonts w:ascii="Arial" w:hAnsi="Arial" w:cs="Arial"/>
          <w:sz w:val="22"/>
          <w:szCs w:val="22"/>
          <w:lang w:val="es-AR"/>
        </w:rPr>
        <w:t xml:space="preserve">: Hasta el 2015 se han presentados 1720 proyectos en todo el país. A través de ellos se promueven espacios sociales y comunitarios de participación de niñas niños y adolescentes a partir de actividades artísticas, culturales, deportivas, de esparcimiento, etc., que permitan el desarrollo de sus habilidades y al mismo tiempo la promoción activa de sus derechos en ámbitos locales. </w:t>
      </w:r>
    </w:p>
    <w:p w:rsidR="00D77D85" w:rsidRDefault="00D77D85" w:rsidP="003A54A9">
      <w:pPr>
        <w:pStyle w:val="ListParagraph"/>
        <w:ind w:left="0"/>
        <w:contextualSpacing w:val="0"/>
        <w:jc w:val="both"/>
        <w:rPr>
          <w:rFonts w:ascii="Arial" w:hAnsi="Arial" w:cs="Arial"/>
          <w:sz w:val="22"/>
          <w:szCs w:val="22"/>
          <w:lang w:val="es-AR"/>
        </w:rPr>
      </w:pPr>
      <w:r>
        <w:rPr>
          <w:rFonts w:ascii="Arial" w:hAnsi="Arial" w:cs="Arial"/>
          <w:b/>
          <w:bCs/>
          <w:sz w:val="22"/>
          <w:szCs w:val="22"/>
          <w:lang w:val="es-AR"/>
        </w:rPr>
        <w:t xml:space="preserve">Foros Regionales y Locales de Participación Ciudadana – Encuentro Intergeneracional: </w:t>
      </w:r>
      <w:r>
        <w:rPr>
          <w:rFonts w:ascii="Arial" w:hAnsi="Arial" w:cs="Arial"/>
          <w:sz w:val="22"/>
          <w:szCs w:val="22"/>
          <w:lang w:val="es-AR"/>
        </w:rPr>
        <w:t xml:space="preserve">Encuentros regionales y locales donde se promueve el rol ciudadano de Niños, Niñas y Adolescentes en sus comunidades en tanto actor social y activo que fortalecen el sistema democrático. </w:t>
      </w:r>
    </w:p>
    <w:p w:rsidR="00D77D85" w:rsidRDefault="00D77D85" w:rsidP="003A54A9">
      <w:pPr>
        <w:pStyle w:val="ListParagraph"/>
        <w:ind w:left="0"/>
        <w:contextualSpacing w:val="0"/>
        <w:jc w:val="both"/>
        <w:rPr>
          <w:rFonts w:ascii="Arial" w:hAnsi="Arial" w:cs="Arial"/>
          <w:sz w:val="22"/>
          <w:szCs w:val="22"/>
          <w:lang w:val="es-AR"/>
        </w:rPr>
      </w:pPr>
      <w:r>
        <w:rPr>
          <w:rFonts w:ascii="Arial" w:hAnsi="Arial" w:cs="Arial"/>
          <w:b/>
          <w:bCs/>
          <w:sz w:val="22"/>
          <w:szCs w:val="22"/>
          <w:lang w:val="es-AR"/>
        </w:rPr>
        <w:t xml:space="preserve">Foros de Participación Adolescente “Mi Palabra Cuenta” (2016): </w:t>
      </w:r>
      <w:r>
        <w:rPr>
          <w:rFonts w:ascii="Arial" w:hAnsi="Arial" w:cs="Arial"/>
          <w:sz w:val="22"/>
          <w:szCs w:val="22"/>
          <w:lang w:val="es-AR"/>
        </w:rPr>
        <w:t>los chicos participan de un espacio de intercambio de experiencias y opiniones que serán consideradas en los ejes del Plan Nacional de Acción por los derechos de niñas, niños y adolescentes 2016-2019. Se están realizando por todas las regiones del país.</w:t>
      </w:r>
      <w:r>
        <w:rPr>
          <w:lang w:val="es-AR"/>
        </w:rPr>
        <w:t xml:space="preserve"> </w:t>
      </w:r>
    </w:p>
    <w:p w:rsidR="00D77D85" w:rsidRDefault="00D77D85" w:rsidP="003A54A9">
      <w:pPr>
        <w:pStyle w:val="ListParagraph"/>
        <w:ind w:left="0"/>
        <w:contextualSpacing w:val="0"/>
        <w:jc w:val="both"/>
        <w:rPr>
          <w:rFonts w:ascii="Arial" w:hAnsi="Arial" w:cs="Arial"/>
          <w:bCs/>
          <w:sz w:val="22"/>
          <w:szCs w:val="22"/>
          <w:lang w:val="es-AR"/>
        </w:rPr>
      </w:pPr>
      <w:r w:rsidRPr="008C10C6">
        <w:rPr>
          <w:rFonts w:ascii="Arial" w:hAnsi="Arial" w:cs="Arial"/>
          <w:b/>
          <w:bCs/>
          <w:sz w:val="22"/>
          <w:szCs w:val="22"/>
          <w:lang w:val="es-AR"/>
        </w:rPr>
        <w:t xml:space="preserve">Campaña </w:t>
      </w:r>
      <w:r>
        <w:rPr>
          <w:rFonts w:ascii="Arial" w:hAnsi="Arial" w:cs="Arial"/>
          <w:b/>
          <w:bCs/>
          <w:sz w:val="22"/>
          <w:szCs w:val="22"/>
          <w:lang w:val="es-AR"/>
        </w:rPr>
        <w:t xml:space="preserve">pública </w:t>
      </w:r>
      <w:r w:rsidRPr="008C10C6">
        <w:rPr>
          <w:rFonts w:ascii="Arial" w:hAnsi="Arial" w:cs="Arial"/>
          <w:b/>
          <w:bCs/>
          <w:sz w:val="22"/>
          <w:szCs w:val="22"/>
          <w:lang w:val="es-AR"/>
        </w:rPr>
        <w:t xml:space="preserve">del BUENTRATO del Ministerio de Desarrollo Social junto con UNICEF. </w:t>
      </w:r>
    </w:p>
    <w:p w:rsidR="00D77D85" w:rsidRDefault="00D77D85" w:rsidP="003A54A9">
      <w:pPr>
        <w:pStyle w:val="ListParagraph"/>
        <w:ind w:left="0"/>
        <w:contextualSpacing w:val="0"/>
        <w:jc w:val="both"/>
        <w:rPr>
          <w:rFonts w:ascii="Arial" w:hAnsi="Arial" w:cs="Arial"/>
          <w:sz w:val="22"/>
          <w:szCs w:val="22"/>
          <w:lang w:val="es-AR"/>
        </w:rPr>
      </w:pPr>
      <w:r>
        <w:rPr>
          <w:rFonts w:ascii="Arial" w:hAnsi="Arial" w:cs="Arial"/>
          <w:b/>
          <w:bCs/>
          <w:sz w:val="22"/>
          <w:szCs w:val="22"/>
          <w:lang w:val="es-AR"/>
        </w:rPr>
        <w:t xml:space="preserve">CAMPAÑA DE TRATA CON UNICEF: </w:t>
      </w:r>
      <w:r w:rsidRPr="008C10C6">
        <w:rPr>
          <w:rFonts w:ascii="Arial" w:hAnsi="Arial" w:cs="Arial"/>
          <w:bCs/>
          <w:sz w:val="22"/>
          <w:szCs w:val="22"/>
          <w:lang w:val="es-AR"/>
        </w:rPr>
        <w:t>Se realizó</w:t>
      </w:r>
      <w:r>
        <w:rPr>
          <w:rFonts w:ascii="Arial" w:hAnsi="Arial" w:cs="Arial"/>
          <w:bCs/>
          <w:sz w:val="22"/>
          <w:szCs w:val="22"/>
          <w:lang w:val="es-AR"/>
        </w:rPr>
        <w:t xml:space="preserve"> una campaña pública en medios y lugares de alto tránsito de personas, la campaña “La explotación y la trata de niños, niñas y adolescentes son delito”.  </w:t>
      </w:r>
    </w:p>
    <w:p w:rsidR="00D77D85" w:rsidRPr="008C10C6" w:rsidRDefault="00D77D85" w:rsidP="003A54A9">
      <w:pPr>
        <w:pStyle w:val="ListParagraph"/>
        <w:ind w:left="0"/>
        <w:contextualSpacing w:val="0"/>
        <w:jc w:val="both"/>
        <w:rPr>
          <w:rFonts w:ascii="Arial" w:hAnsi="Arial" w:cs="Arial"/>
          <w:bCs/>
          <w:sz w:val="22"/>
          <w:szCs w:val="22"/>
          <w:lang w:val="es-AR"/>
        </w:rPr>
      </w:pPr>
      <w:r w:rsidRPr="008C10C6">
        <w:rPr>
          <w:rFonts w:ascii="Arial" w:hAnsi="Arial" w:cs="Arial"/>
          <w:b/>
          <w:bCs/>
          <w:sz w:val="22"/>
          <w:szCs w:val="22"/>
          <w:lang w:val="es-AR"/>
        </w:rPr>
        <w:t xml:space="preserve">Consejo Federal de Niñez, Adolescencia y Familia: </w:t>
      </w:r>
      <w:r w:rsidRPr="008C10C6">
        <w:rPr>
          <w:rFonts w:ascii="Arial" w:hAnsi="Arial" w:cs="Arial"/>
          <w:bCs/>
          <w:sz w:val="22"/>
          <w:szCs w:val="22"/>
          <w:lang w:val="es-AR"/>
        </w:rPr>
        <w:t xml:space="preserve">Todas las autoridades se comprometieron a promocionar todos y cada uno del derechos en sus respectiva jurisdicciones. A modo de ejemplo podemos mencionar el Acta para </w:t>
      </w:r>
      <w:r>
        <w:rPr>
          <w:rFonts w:ascii="Arial" w:hAnsi="Arial" w:cs="Arial"/>
          <w:bCs/>
          <w:sz w:val="22"/>
          <w:szCs w:val="22"/>
          <w:lang w:val="es-AR"/>
        </w:rPr>
        <w:t>“P</w:t>
      </w:r>
      <w:r w:rsidRPr="008C10C6">
        <w:rPr>
          <w:rFonts w:ascii="Arial" w:hAnsi="Arial" w:cs="Arial"/>
          <w:bCs/>
          <w:sz w:val="22"/>
          <w:szCs w:val="22"/>
          <w:lang w:val="es-AR"/>
        </w:rPr>
        <w:t>r</w:t>
      </w:r>
      <w:r>
        <w:rPr>
          <w:rFonts w:ascii="Arial" w:hAnsi="Arial" w:cs="Arial"/>
          <w:bCs/>
          <w:sz w:val="22"/>
          <w:szCs w:val="22"/>
          <w:lang w:val="es-AR"/>
        </w:rPr>
        <w:t>o</w:t>
      </w:r>
      <w:r w:rsidRPr="008C10C6">
        <w:rPr>
          <w:rFonts w:ascii="Arial" w:hAnsi="Arial" w:cs="Arial"/>
          <w:bCs/>
          <w:sz w:val="22"/>
          <w:szCs w:val="22"/>
          <w:lang w:val="es-AR"/>
        </w:rPr>
        <w:t>mover y Facilitar el Voto de las y los Adolescentes de 16 y 17 años”</w:t>
      </w:r>
      <w:r>
        <w:rPr>
          <w:rFonts w:ascii="Arial" w:hAnsi="Arial" w:cs="Arial"/>
          <w:bCs/>
          <w:sz w:val="22"/>
          <w:szCs w:val="22"/>
          <w:lang w:val="es-AR"/>
        </w:rPr>
        <w:t>.</w:t>
      </w:r>
    </w:p>
    <w:p w:rsidR="00D77D85" w:rsidRPr="00A45C4B" w:rsidRDefault="00D77D85" w:rsidP="003A54A9">
      <w:pPr>
        <w:pStyle w:val="ListParagraph"/>
        <w:ind w:left="0"/>
        <w:contextualSpacing w:val="0"/>
        <w:jc w:val="both"/>
        <w:rPr>
          <w:rFonts w:ascii="Arial" w:hAnsi="Arial" w:cs="Arial"/>
          <w:bCs/>
          <w:sz w:val="22"/>
          <w:szCs w:val="22"/>
          <w:lang w:val="es-AR"/>
        </w:rPr>
      </w:pPr>
      <w:r>
        <w:rPr>
          <w:rFonts w:ascii="Arial" w:hAnsi="Arial" w:cs="Arial"/>
          <w:b/>
          <w:bCs/>
          <w:sz w:val="22"/>
          <w:szCs w:val="22"/>
          <w:lang w:val="es-AR"/>
        </w:rPr>
        <w:t xml:space="preserve">Publicaciones de la SENAF: </w:t>
      </w:r>
      <w:r w:rsidRPr="00A45C4B">
        <w:rPr>
          <w:rFonts w:ascii="Arial" w:hAnsi="Arial" w:cs="Arial"/>
          <w:bCs/>
          <w:sz w:val="22"/>
          <w:szCs w:val="22"/>
          <w:lang w:val="es-AR"/>
        </w:rPr>
        <w:t>De modo y en lenguaje amigable se difunde</w:t>
      </w:r>
      <w:r>
        <w:rPr>
          <w:rFonts w:ascii="Arial" w:hAnsi="Arial" w:cs="Arial"/>
          <w:bCs/>
          <w:sz w:val="22"/>
          <w:szCs w:val="22"/>
          <w:lang w:val="es-AR"/>
        </w:rPr>
        <w:t xml:space="preserve">n permanentemente </w:t>
      </w:r>
      <w:r w:rsidRPr="00A45C4B">
        <w:rPr>
          <w:rFonts w:ascii="Arial" w:hAnsi="Arial" w:cs="Arial"/>
          <w:bCs/>
          <w:sz w:val="22"/>
          <w:szCs w:val="22"/>
          <w:lang w:val="es-AR"/>
        </w:rPr>
        <w:t xml:space="preserve">todos los derechos que poseen </w:t>
      </w:r>
      <w:r>
        <w:rPr>
          <w:rFonts w:ascii="Arial" w:hAnsi="Arial" w:cs="Arial"/>
          <w:bCs/>
          <w:sz w:val="22"/>
          <w:szCs w:val="22"/>
          <w:lang w:val="es-AR"/>
        </w:rPr>
        <w:t xml:space="preserve">las niñas, niños y adolescentes. </w:t>
      </w:r>
    </w:p>
    <w:p w:rsidR="00D77D85" w:rsidRPr="002E1187" w:rsidRDefault="00D77D85" w:rsidP="003A54A9">
      <w:pPr>
        <w:jc w:val="both"/>
        <w:rPr>
          <w:rFonts w:ascii="Arial" w:hAnsi="Arial" w:cs="Arial"/>
          <w:lang w:val="es-AR"/>
        </w:rPr>
      </w:pPr>
    </w:p>
    <w:sectPr w:rsidR="00D77D85" w:rsidRPr="002E1187" w:rsidSect="00AF0A7C">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D85" w:rsidRDefault="00D77D85" w:rsidP="005416D1">
      <w:r>
        <w:separator/>
      </w:r>
    </w:p>
  </w:endnote>
  <w:endnote w:type="continuationSeparator" w:id="0">
    <w:p w:rsidR="00D77D85" w:rsidRDefault="00D77D85" w:rsidP="005416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D85" w:rsidRDefault="00D77D85" w:rsidP="005416D1">
      <w:r>
        <w:separator/>
      </w:r>
    </w:p>
  </w:footnote>
  <w:footnote w:type="continuationSeparator" w:id="0">
    <w:p w:rsidR="00D77D85" w:rsidRDefault="00D77D85" w:rsidP="005416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065C9"/>
    <w:multiLevelType w:val="hybridMultilevel"/>
    <w:tmpl w:val="CCC2E61A"/>
    <w:lvl w:ilvl="0" w:tplc="7B7CAE92">
      <w:start w:val="5"/>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2F2C36"/>
    <w:multiLevelType w:val="hybridMultilevel"/>
    <w:tmpl w:val="7FA2E2C0"/>
    <w:lvl w:ilvl="0" w:tplc="6ED694A2">
      <w:start w:val="3"/>
      <w:numFmt w:val="bullet"/>
      <w:lvlText w:val="-"/>
      <w:lvlJc w:val="left"/>
      <w:pPr>
        <w:ind w:left="720" w:hanging="360"/>
      </w:pPr>
      <w:rPr>
        <w:rFonts w:ascii="Calibri" w:eastAsia="Times New Roman" w:hAnsi="Calibri" w:hint="default"/>
      </w:rPr>
    </w:lvl>
    <w:lvl w:ilvl="1" w:tplc="2C0A0003">
      <w:start w:val="1"/>
      <w:numFmt w:val="bullet"/>
      <w:lvlText w:val="o"/>
      <w:lvlJc w:val="left"/>
      <w:pPr>
        <w:ind w:left="1440" w:hanging="360"/>
      </w:pPr>
      <w:rPr>
        <w:rFonts w:ascii="Courier New" w:hAnsi="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hint="default"/>
      </w:rPr>
    </w:lvl>
    <w:lvl w:ilvl="8" w:tplc="2C0A0005">
      <w:start w:val="1"/>
      <w:numFmt w:val="bullet"/>
      <w:lvlText w:val=""/>
      <w:lvlJc w:val="left"/>
      <w:pPr>
        <w:ind w:left="6480" w:hanging="360"/>
      </w:pPr>
      <w:rPr>
        <w:rFonts w:ascii="Wingdings" w:hAnsi="Wingdings" w:hint="default"/>
      </w:rPr>
    </w:lvl>
  </w:abstractNum>
  <w:abstractNum w:abstractNumId="2">
    <w:nsid w:val="640733D0"/>
    <w:multiLevelType w:val="hybridMultilevel"/>
    <w:tmpl w:val="5738659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64F72AB6"/>
    <w:multiLevelType w:val="hybridMultilevel"/>
    <w:tmpl w:val="447E0CDE"/>
    <w:lvl w:ilvl="0" w:tplc="F898776E">
      <w:start w:val="5"/>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6003"/>
    <w:rsid w:val="00130B88"/>
    <w:rsid w:val="001B3ADB"/>
    <w:rsid w:val="001E312E"/>
    <w:rsid w:val="0022617E"/>
    <w:rsid w:val="00284C5E"/>
    <w:rsid w:val="002C0538"/>
    <w:rsid w:val="002E1187"/>
    <w:rsid w:val="002F5783"/>
    <w:rsid w:val="00304091"/>
    <w:rsid w:val="00351AB5"/>
    <w:rsid w:val="003A0D23"/>
    <w:rsid w:val="003A54A9"/>
    <w:rsid w:val="003C4690"/>
    <w:rsid w:val="003F5174"/>
    <w:rsid w:val="00406003"/>
    <w:rsid w:val="00432CBE"/>
    <w:rsid w:val="00433611"/>
    <w:rsid w:val="004D12EE"/>
    <w:rsid w:val="005416D1"/>
    <w:rsid w:val="006C0EF4"/>
    <w:rsid w:val="006C26CD"/>
    <w:rsid w:val="006F3AC8"/>
    <w:rsid w:val="00762EC1"/>
    <w:rsid w:val="007B6BDF"/>
    <w:rsid w:val="007E3ADA"/>
    <w:rsid w:val="00877F98"/>
    <w:rsid w:val="008C10C6"/>
    <w:rsid w:val="0090246F"/>
    <w:rsid w:val="00A45C4B"/>
    <w:rsid w:val="00A733B8"/>
    <w:rsid w:val="00AB5EE9"/>
    <w:rsid w:val="00AF0A7C"/>
    <w:rsid w:val="00B828BA"/>
    <w:rsid w:val="00BB2799"/>
    <w:rsid w:val="00C116D8"/>
    <w:rsid w:val="00CA3181"/>
    <w:rsid w:val="00CB104C"/>
    <w:rsid w:val="00CB4F2B"/>
    <w:rsid w:val="00D15316"/>
    <w:rsid w:val="00D772FA"/>
    <w:rsid w:val="00D77D85"/>
    <w:rsid w:val="00E87A06"/>
    <w:rsid w:val="00EA7A28"/>
  </w:rsids>
  <m:mathPr>
    <m:mathFont m:val="Cambria Math"/>
    <m:brkBin m:val="before"/>
    <m:brkBinSub m:val="--"/>
    <m:smallFrac m:val="off"/>
    <m:dispDef/>
    <m:lMargin m:val="0"/>
    <m:rMargin m:val="0"/>
    <m:defJc m:val="centerGroup"/>
    <m:wrapIndent m:val="1440"/>
    <m:intLim m:val="subSup"/>
    <m:naryLim m:val="undOvr"/>
  </m:mathPr>
  <w:uiCompat97To2003/>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AR" w:eastAsia="es-A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003"/>
    <w:rPr>
      <w:rFonts w:ascii="Times New Roman" w:hAnsi="Times New Roman"/>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06003"/>
    <w:pPr>
      <w:ind w:left="720"/>
      <w:contextualSpacing/>
    </w:pPr>
  </w:style>
  <w:style w:type="paragraph" w:styleId="FootnoteText">
    <w:name w:val="footnote text"/>
    <w:basedOn w:val="Normal"/>
    <w:link w:val="FootnoteTextChar"/>
    <w:uiPriority w:val="99"/>
    <w:semiHidden/>
    <w:rsid w:val="005416D1"/>
    <w:pPr>
      <w:spacing w:line="360" w:lineRule="auto"/>
    </w:pPr>
    <w:rPr>
      <w:rFonts w:ascii="Calibri" w:eastAsia="Times New Roman" w:hAnsi="Calibri"/>
      <w:sz w:val="20"/>
      <w:szCs w:val="20"/>
      <w:lang w:val="es-AR"/>
    </w:rPr>
  </w:style>
  <w:style w:type="character" w:customStyle="1" w:styleId="FootnoteTextChar">
    <w:name w:val="Footnote Text Char"/>
    <w:basedOn w:val="DefaultParagraphFont"/>
    <w:link w:val="FootnoteText"/>
    <w:uiPriority w:val="99"/>
    <w:semiHidden/>
    <w:locked/>
    <w:rsid w:val="005416D1"/>
    <w:rPr>
      <w:rFonts w:ascii="Calibri" w:hAnsi="Calibri" w:cs="Times New Roman"/>
      <w:sz w:val="20"/>
      <w:szCs w:val="20"/>
      <w:lang w:val="es-AR"/>
    </w:rPr>
  </w:style>
  <w:style w:type="character" w:styleId="FootnoteReference">
    <w:name w:val="footnote reference"/>
    <w:basedOn w:val="DefaultParagraphFont"/>
    <w:uiPriority w:val="99"/>
    <w:semiHidden/>
    <w:rsid w:val="005416D1"/>
    <w:rPr>
      <w:rFonts w:cs="Times New Roman"/>
      <w:vertAlign w:val="superscript"/>
    </w:rPr>
  </w:style>
  <w:style w:type="paragraph" w:customStyle="1" w:styleId="ListParagraph1">
    <w:name w:val="List Paragraph1"/>
    <w:basedOn w:val="Normal"/>
    <w:uiPriority w:val="99"/>
    <w:rsid w:val="002E1187"/>
    <w:pPr>
      <w:ind w:left="720"/>
    </w:pPr>
    <w:rPr>
      <w:lang w:eastAsia="es-AR"/>
    </w:rPr>
  </w:style>
  <w:style w:type="character" w:styleId="IntenseEmphasis">
    <w:name w:val="Intense Emphasis"/>
    <w:basedOn w:val="DefaultParagraphFont"/>
    <w:uiPriority w:val="99"/>
    <w:qFormat/>
    <w:rsid w:val="00304091"/>
    <w:rPr>
      <w:rFonts w:cs="Times New Roman"/>
      <w:b/>
      <w:bCs/>
      <w:i/>
      <w:iCs/>
      <w:color w:val="4F81BD"/>
    </w:rPr>
  </w:style>
  <w:style w:type="paragraph" w:styleId="NormalWeb">
    <w:name w:val="Normal (Web)"/>
    <w:basedOn w:val="Normal"/>
    <w:uiPriority w:val="99"/>
    <w:semiHidden/>
    <w:rsid w:val="0090246F"/>
  </w:style>
  <w:style w:type="character" w:styleId="Strong">
    <w:name w:val="Strong"/>
    <w:basedOn w:val="DefaultParagraphFont"/>
    <w:uiPriority w:val="99"/>
    <w:qFormat/>
    <w:rsid w:val="0090246F"/>
    <w:rPr>
      <w:rFonts w:cs="Times New Roman"/>
      <w:b/>
      <w:bCs/>
    </w:rPr>
  </w:style>
</w:styles>
</file>

<file path=word/webSettings.xml><?xml version="1.0" encoding="utf-8"?>
<w:webSettings xmlns:r="http://schemas.openxmlformats.org/officeDocument/2006/relationships" xmlns:w="http://schemas.openxmlformats.org/wordprocessingml/2006/main">
  <w:divs>
    <w:div w:id="1260719187">
      <w:marLeft w:val="0"/>
      <w:marRight w:val="0"/>
      <w:marTop w:val="0"/>
      <w:marBottom w:val="0"/>
      <w:divBdr>
        <w:top w:val="none" w:sz="0" w:space="0" w:color="auto"/>
        <w:left w:val="none" w:sz="0" w:space="0" w:color="auto"/>
        <w:bottom w:val="none" w:sz="0" w:space="0" w:color="auto"/>
        <w:right w:val="none" w:sz="0" w:space="0" w:color="auto"/>
      </w:divBdr>
    </w:div>
    <w:div w:id="1260719188">
      <w:marLeft w:val="0"/>
      <w:marRight w:val="0"/>
      <w:marTop w:val="0"/>
      <w:marBottom w:val="0"/>
      <w:divBdr>
        <w:top w:val="none" w:sz="0" w:space="0" w:color="auto"/>
        <w:left w:val="none" w:sz="0" w:space="0" w:color="auto"/>
        <w:bottom w:val="none" w:sz="0" w:space="0" w:color="auto"/>
        <w:right w:val="none" w:sz="0" w:space="0" w:color="auto"/>
      </w:divBdr>
    </w:div>
    <w:div w:id="1260719189">
      <w:marLeft w:val="0"/>
      <w:marRight w:val="0"/>
      <w:marTop w:val="0"/>
      <w:marBottom w:val="0"/>
      <w:divBdr>
        <w:top w:val="none" w:sz="0" w:space="0" w:color="auto"/>
        <w:left w:val="none" w:sz="0" w:space="0" w:color="auto"/>
        <w:bottom w:val="none" w:sz="0" w:space="0" w:color="auto"/>
        <w:right w:val="none" w:sz="0" w:space="0" w:color="auto"/>
      </w:divBdr>
    </w:div>
    <w:div w:id="1260719190">
      <w:marLeft w:val="0"/>
      <w:marRight w:val="0"/>
      <w:marTop w:val="0"/>
      <w:marBottom w:val="0"/>
      <w:divBdr>
        <w:top w:val="none" w:sz="0" w:space="0" w:color="auto"/>
        <w:left w:val="none" w:sz="0" w:space="0" w:color="auto"/>
        <w:bottom w:val="none" w:sz="0" w:space="0" w:color="auto"/>
        <w:right w:val="none" w:sz="0" w:space="0" w:color="auto"/>
      </w:divBdr>
    </w:div>
    <w:div w:id="1260719191">
      <w:marLeft w:val="0"/>
      <w:marRight w:val="0"/>
      <w:marTop w:val="0"/>
      <w:marBottom w:val="0"/>
      <w:divBdr>
        <w:top w:val="none" w:sz="0" w:space="0" w:color="auto"/>
        <w:left w:val="none" w:sz="0" w:space="0" w:color="auto"/>
        <w:bottom w:val="none" w:sz="0" w:space="0" w:color="auto"/>
        <w:right w:val="none" w:sz="0" w:space="0" w:color="auto"/>
      </w:divBdr>
    </w:div>
    <w:div w:id="12607191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1D2D1.E30FB3F0"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3F5C7A-2A18-4A16-A8B2-6C443291A9B0}"/>
</file>

<file path=customXml/itemProps2.xml><?xml version="1.0" encoding="utf-8"?>
<ds:datastoreItem xmlns:ds="http://schemas.openxmlformats.org/officeDocument/2006/customXml" ds:itemID="{F0DD7DBD-7E07-402E-B484-8D7C4101BDEC}"/>
</file>

<file path=customXml/itemProps3.xml><?xml version="1.0" encoding="utf-8"?>
<ds:datastoreItem xmlns:ds="http://schemas.openxmlformats.org/officeDocument/2006/customXml" ds:itemID="{ED2608C3-E1D7-4403-A95C-E69F0E8B2779}"/>
</file>

<file path=docProps/app.xml><?xml version="1.0" encoding="utf-8"?>
<Properties xmlns="http://schemas.openxmlformats.org/officeDocument/2006/extended-properties" xmlns:vt="http://schemas.openxmlformats.org/officeDocument/2006/docPropsVTypes">
  <Template>Normal_Wordconv</Template>
  <TotalTime>54</TotalTime>
  <Pages>6</Pages>
  <Words>2407</Words>
  <Characters>13240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Alejo Torres de la Puerta</dc:creator>
  <cp:keywords/>
  <dc:description/>
  <cp:lastModifiedBy>MRECIC</cp:lastModifiedBy>
  <cp:revision>10</cp:revision>
  <dcterms:created xsi:type="dcterms:W3CDTF">2016-07-01T18:21:00Z</dcterms:created>
  <dcterms:modified xsi:type="dcterms:W3CDTF">2016-07-04T20:57:00Z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