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6950C80E" w:rsidR="00C05D9B" w:rsidRPr="009A3102" w:rsidRDefault="005319D6" w:rsidP="00626C39">
      <w:r>
        <w:rPr>
          <w:noProof/>
        </w:rPr>
        <w:drawing>
          <wp:anchor distT="0" distB="0" distL="114300" distR="114300" simplePos="0" relativeHeight="251659264" behindDoc="0" locked="0" layoutInCell="1" allowOverlap="1" wp14:anchorId="5B17BE97" wp14:editId="3266E6A0">
            <wp:simplePos x="0" y="0"/>
            <wp:positionH relativeFrom="column">
              <wp:posOffset>-57150</wp:posOffset>
            </wp:positionH>
            <wp:positionV relativeFrom="paragraph">
              <wp:posOffset>-523875</wp:posOffset>
            </wp:positionV>
            <wp:extent cx="1882140" cy="998579"/>
            <wp:effectExtent l="0" t="0" r="3810" b="0"/>
            <wp:wrapNone/>
            <wp:docPr id="77450031" name="Picture 77450031"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0031" name="Picture 77450031" descr="A white and grey sign with black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2140" cy="998579"/>
                    </a:xfrm>
                    <a:prstGeom prst="rect">
                      <a:avLst/>
                    </a:prstGeom>
                  </pic:spPr>
                </pic:pic>
              </a:graphicData>
            </a:graphic>
            <wp14:sizeRelH relativeFrom="page">
              <wp14:pctWidth>0</wp14:pctWidth>
            </wp14:sizeRelH>
            <wp14:sizeRelV relativeFrom="page">
              <wp14:pctHeight>0</wp14:pctHeight>
            </wp14:sizeRelV>
          </wp:anchor>
        </w:drawing>
      </w:r>
    </w:p>
    <w:p w14:paraId="1C720C6D" w14:textId="77777777" w:rsidR="005403E3" w:rsidRPr="009A3102" w:rsidRDefault="005403E3" w:rsidP="00626C39"/>
    <w:p w14:paraId="5E537D0D" w14:textId="77777777" w:rsidR="005403E3" w:rsidRPr="009A3102" w:rsidRDefault="005403E3" w:rsidP="00626C39"/>
    <w:p w14:paraId="43F13231" w14:textId="6143BCF0" w:rsidR="004B1E4E" w:rsidRPr="009A3102" w:rsidRDefault="005319D6" w:rsidP="004B1E4E">
      <w:pPr>
        <w:jc w:val="center"/>
        <w:rPr>
          <w:b/>
        </w:rPr>
      </w:pPr>
      <w:r>
        <w:rPr>
          <w:b/>
        </w:rPr>
        <w:t xml:space="preserve">The State of </w:t>
      </w:r>
      <w:r w:rsidR="00252CF8" w:rsidRPr="009A3102">
        <w:rPr>
          <w:b/>
        </w:rPr>
        <w:t>Palestine</w:t>
      </w:r>
      <w:r w:rsidR="004B1E4E" w:rsidRPr="009A3102">
        <w:rPr>
          <w:b/>
        </w:rPr>
        <w:t xml:space="preserve">’s Compliance with </w:t>
      </w:r>
      <w:r w:rsidR="00252CF8" w:rsidRPr="009A3102">
        <w:rPr>
          <w:b/>
        </w:rPr>
        <w:t>the International Covenant on Economic, Social and Cultural Rights</w:t>
      </w:r>
      <w:r w:rsidR="00E114C5" w:rsidRPr="009A3102">
        <w:rPr>
          <w:b/>
        </w:rPr>
        <w:t xml:space="preserve">: </w:t>
      </w:r>
      <w:r w:rsidR="00766E62" w:rsidRPr="009A3102">
        <w:rPr>
          <w:b/>
        </w:rPr>
        <w:t>The Death Penalty</w:t>
      </w:r>
    </w:p>
    <w:p w14:paraId="171F4CCF" w14:textId="77777777" w:rsidR="004B1E4E" w:rsidRPr="009A3102" w:rsidRDefault="004B1E4E" w:rsidP="004B1E4E">
      <w:pPr>
        <w:jc w:val="center"/>
      </w:pPr>
    </w:p>
    <w:p w14:paraId="26D24DDC" w14:textId="77777777" w:rsidR="004B1E4E" w:rsidRPr="009A3102" w:rsidRDefault="004B1E4E" w:rsidP="004B1E4E">
      <w:pPr>
        <w:jc w:val="center"/>
        <w:rPr>
          <w:b/>
        </w:rPr>
      </w:pPr>
      <w:r w:rsidRPr="009A3102">
        <w:rPr>
          <w:b/>
        </w:rPr>
        <w:t xml:space="preserve">Submitted by </w:t>
      </w:r>
      <w:r w:rsidR="00AA7FCB" w:rsidRPr="009A3102">
        <w:rPr>
          <w:b/>
        </w:rPr>
        <w:t>T</w:t>
      </w:r>
      <w:r w:rsidRPr="009A3102">
        <w:rPr>
          <w:b/>
        </w:rPr>
        <w:t>he Advocates for Human Rights</w:t>
      </w:r>
    </w:p>
    <w:p w14:paraId="6D01AE49" w14:textId="77777777" w:rsidR="004B1E4E" w:rsidRPr="009A3102" w:rsidRDefault="004B1E4E" w:rsidP="004B1E4E">
      <w:pPr>
        <w:jc w:val="center"/>
      </w:pPr>
      <w:r w:rsidRPr="009A3102">
        <w:t>a non-governmental organization in special consultative status with ECOSOC</w:t>
      </w:r>
      <w:r w:rsidR="00624A10" w:rsidRPr="009A3102">
        <w:t xml:space="preserve"> since 1996</w:t>
      </w:r>
    </w:p>
    <w:p w14:paraId="2ABDBCD9" w14:textId="1ED9A1ED" w:rsidR="00056B51" w:rsidRPr="00056B51" w:rsidRDefault="00056B51" w:rsidP="004B1E4E">
      <w:pPr>
        <w:jc w:val="center"/>
        <w:rPr>
          <w:b/>
          <w:bCs/>
        </w:rPr>
      </w:pPr>
      <w:r>
        <w:rPr>
          <w:b/>
          <w:bCs/>
        </w:rPr>
        <w:t>Human Rights and Democratic Participation Center (SHAMS)</w:t>
      </w:r>
    </w:p>
    <w:p w14:paraId="74881DA7" w14:textId="552FEDAC" w:rsidR="004B1E4E" w:rsidRDefault="00F83812" w:rsidP="004B1E4E">
      <w:pPr>
        <w:jc w:val="center"/>
      </w:pPr>
      <w:r>
        <w:t>and</w:t>
      </w:r>
    </w:p>
    <w:p w14:paraId="1FD174D9" w14:textId="68C77E9F" w:rsidR="00F83812" w:rsidRDefault="00F83812" w:rsidP="004B1E4E">
      <w:pPr>
        <w:jc w:val="center"/>
        <w:rPr>
          <w:b/>
          <w:bCs/>
        </w:rPr>
      </w:pPr>
      <w:r>
        <w:rPr>
          <w:b/>
          <w:bCs/>
        </w:rPr>
        <w:t>The World Coalition Against the Death Penalty</w:t>
      </w:r>
    </w:p>
    <w:p w14:paraId="24512498" w14:textId="77777777" w:rsidR="00F83812" w:rsidRPr="00A167E5" w:rsidRDefault="00F83812" w:rsidP="004B1E4E">
      <w:pPr>
        <w:jc w:val="center"/>
        <w:rPr>
          <w:b/>
          <w:bCs/>
        </w:rPr>
      </w:pPr>
    </w:p>
    <w:p w14:paraId="24E688AE" w14:textId="38269AAA" w:rsidR="004B1E4E" w:rsidRPr="009A3102" w:rsidRDefault="004B1E4E" w:rsidP="004B1E4E">
      <w:pPr>
        <w:jc w:val="center"/>
        <w:rPr>
          <w:b/>
          <w:bCs/>
        </w:rPr>
      </w:pPr>
      <w:r w:rsidRPr="009A3102">
        <w:rPr>
          <w:b/>
          <w:bCs/>
        </w:rPr>
        <w:t xml:space="preserve">for the </w:t>
      </w:r>
      <w:r w:rsidR="00AD16A9" w:rsidRPr="009A3102">
        <w:rPr>
          <w:b/>
          <w:bCs/>
        </w:rPr>
        <w:t>74</w:t>
      </w:r>
      <w:r w:rsidR="00AD16A9" w:rsidRPr="009A3102">
        <w:rPr>
          <w:b/>
          <w:bCs/>
          <w:vertAlign w:val="superscript"/>
        </w:rPr>
        <w:t>th</w:t>
      </w:r>
      <w:r w:rsidR="00AD16A9" w:rsidRPr="009A3102">
        <w:rPr>
          <w:b/>
          <w:bCs/>
        </w:rPr>
        <w:t xml:space="preserve"> Session of the Committee on Economic, Social and Cultural Rights</w:t>
      </w:r>
    </w:p>
    <w:p w14:paraId="3B163C2D" w14:textId="5874A7AD" w:rsidR="004B1E4E" w:rsidRPr="009A3102" w:rsidRDefault="009D722B" w:rsidP="004B1E4E">
      <w:pPr>
        <w:jc w:val="center"/>
        <w:rPr>
          <w:b/>
          <w:bCs/>
        </w:rPr>
      </w:pPr>
      <w:r w:rsidRPr="009A3102">
        <w:rPr>
          <w:b/>
          <w:bCs/>
        </w:rPr>
        <w:t>25 September</w:t>
      </w:r>
      <w:r w:rsidR="004B1E4E" w:rsidRPr="009A3102">
        <w:rPr>
          <w:b/>
          <w:bCs/>
        </w:rPr>
        <w:t>–</w:t>
      </w:r>
      <w:r w:rsidRPr="009A3102">
        <w:rPr>
          <w:b/>
          <w:bCs/>
        </w:rPr>
        <w:t>13 October 2023</w:t>
      </w:r>
    </w:p>
    <w:p w14:paraId="42599716" w14:textId="02060FAC" w:rsidR="00C214BA" w:rsidRPr="009A3102" w:rsidRDefault="00C214BA" w:rsidP="004B1E4E">
      <w:pPr>
        <w:jc w:val="center"/>
        <w:rPr>
          <w:b/>
          <w:bCs/>
        </w:rPr>
      </w:pPr>
    </w:p>
    <w:p w14:paraId="3D93E372" w14:textId="3B5D11C4" w:rsidR="00C214BA" w:rsidRPr="009A3102" w:rsidRDefault="00C214BA" w:rsidP="004B1E4E">
      <w:pPr>
        <w:jc w:val="center"/>
        <w:rPr>
          <w:b/>
          <w:bCs/>
        </w:rPr>
      </w:pPr>
      <w:r w:rsidRPr="009A3102">
        <w:rPr>
          <w:b/>
          <w:bCs/>
        </w:rPr>
        <w:t xml:space="preserve">Submitted </w:t>
      </w:r>
      <w:r w:rsidR="00C661FC" w:rsidRPr="009A3102">
        <w:rPr>
          <w:b/>
          <w:bCs/>
        </w:rPr>
        <w:t>28 August 2023</w:t>
      </w:r>
    </w:p>
    <w:p w14:paraId="5F0F5054" w14:textId="77777777" w:rsidR="001565F9" w:rsidRPr="009A3102" w:rsidRDefault="001565F9" w:rsidP="005132BB"/>
    <w:p w14:paraId="69899961" w14:textId="77777777" w:rsidR="005132BB" w:rsidRPr="009A3102" w:rsidRDefault="005132BB" w:rsidP="00626C39"/>
    <w:p w14:paraId="64B92EAF" w14:textId="70FA52ED" w:rsidR="27553789" w:rsidRDefault="004B1E4E" w:rsidP="20EBB8F7">
      <w:pPr>
        <w:jc w:val="both"/>
      </w:pPr>
      <w:r w:rsidRPr="009A3102">
        <w:rPr>
          <w:b/>
        </w:rPr>
        <w:t xml:space="preserve">The Advocates for Human Rights </w:t>
      </w:r>
      <w:r w:rsidRPr="009A3102">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27553789" w:rsidRPr="009A3102">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4F77115" w14:textId="77777777" w:rsidR="00F33080" w:rsidRDefault="00F33080" w:rsidP="20EBB8F7">
      <w:pPr>
        <w:jc w:val="both"/>
      </w:pPr>
    </w:p>
    <w:p w14:paraId="619A3EFE" w14:textId="5CB10FAC" w:rsidR="00F33080" w:rsidRPr="009A3102" w:rsidRDefault="001D5C0D" w:rsidP="20EBB8F7">
      <w:pPr>
        <w:jc w:val="both"/>
      </w:pPr>
      <w:r>
        <w:rPr>
          <w:rStyle w:val="normaltextrun"/>
          <w:b/>
          <w:bCs/>
          <w:color w:val="000000"/>
          <w:shd w:val="clear" w:color="auto" w:fill="FFFFFF"/>
        </w:rPr>
        <w:t>The World Coalition Against the Death Penalty</w:t>
      </w:r>
      <w:r>
        <w:rPr>
          <w:rStyle w:val="normaltextrun"/>
          <w:color w:val="000000"/>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Pr>
          <w:rStyle w:val="eop"/>
          <w:color w:val="000000"/>
          <w:shd w:val="clear" w:color="auto" w:fill="FFFFFF"/>
        </w:rPr>
        <w:t> </w:t>
      </w:r>
    </w:p>
    <w:p w14:paraId="7AE434B8" w14:textId="77777777" w:rsidR="00F4107A" w:rsidRDefault="00F4107A" w:rsidP="00626C39"/>
    <w:p w14:paraId="30BD2203" w14:textId="43A82C89" w:rsidR="00962746" w:rsidRPr="009A3102" w:rsidRDefault="00962746" w:rsidP="00AF3752">
      <w:pPr>
        <w:jc w:val="both"/>
      </w:pPr>
      <w:r w:rsidRPr="00D610A5">
        <w:rPr>
          <w:b/>
          <w:bCs/>
        </w:rPr>
        <w:t xml:space="preserve">Human Rights and Democratic Participation Center </w:t>
      </w:r>
      <w:r w:rsidRPr="00D610A5">
        <w:t>(SHAMS) is a Palestinian NGO, founded in 2003 that operates in the West Bank and Gaza Strip. SHAMS holds consultative membership with the United Nations Economic and Social Council (ECOSOC); is a member of the World Coalition against the Death Penalty; and is a member of many local, regional, and international coalitions. SHAMS is active in opposing the death penalty, in addition to its ongoing work on promoting and defending human rights and democracy within the Palestinian community; promoting good governance and human rights within the Palestinian security sector; enhancing women’s access to justice; advocating for children’s rights and community safety; defending the right to peaceful assembly; and providing legal aid to women and children.</w:t>
      </w:r>
    </w:p>
    <w:p w14:paraId="55E3315E" w14:textId="13AF2918" w:rsidR="004B1E4E" w:rsidRPr="009A3102" w:rsidRDefault="004B1E4E" w:rsidP="004B1E4E">
      <w:pPr>
        <w:jc w:val="center"/>
        <w:rPr>
          <w:b/>
          <w:caps/>
        </w:rPr>
      </w:pPr>
      <w:r w:rsidRPr="009A3102">
        <w:br w:type="page"/>
      </w:r>
      <w:r w:rsidRPr="009A3102">
        <w:rPr>
          <w:b/>
          <w:caps/>
        </w:rPr>
        <w:lastRenderedPageBreak/>
        <w:t>Executive Summary</w:t>
      </w:r>
    </w:p>
    <w:p w14:paraId="19DECF95" w14:textId="77777777" w:rsidR="00230465" w:rsidRPr="009A3102" w:rsidRDefault="00230465" w:rsidP="004B1E4E">
      <w:pPr>
        <w:jc w:val="center"/>
        <w:rPr>
          <w:b/>
          <w:caps/>
        </w:rPr>
      </w:pPr>
    </w:p>
    <w:p w14:paraId="0966F8F6" w14:textId="4D54F3D0" w:rsidR="00227EC3" w:rsidRPr="009A3102" w:rsidRDefault="00A5438C" w:rsidP="003955D7">
      <w:pPr>
        <w:numPr>
          <w:ilvl w:val="0"/>
          <w:numId w:val="7"/>
        </w:numPr>
        <w:spacing w:after="120"/>
        <w:ind w:left="360"/>
        <w:jc w:val="both"/>
      </w:pPr>
      <w:r w:rsidRPr="009A3102">
        <w:t xml:space="preserve">The State of Palestine acceded to the </w:t>
      </w:r>
      <w:r w:rsidR="00477634" w:rsidRPr="009A3102">
        <w:t xml:space="preserve">International Covenant on Economic, Social and Cultural Rights </w:t>
      </w:r>
      <w:r w:rsidR="007D369A" w:rsidRPr="009A3102">
        <w:t xml:space="preserve">on 1 April </w:t>
      </w:r>
      <w:r w:rsidR="00477634" w:rsidRPr="009A3102">
        <w:t xml:space="preserve">2014. </w:t>
      </w:r>
      <w:r w:rsidR="007D369A" w:rsidRPr="009A3102">
        <w:t>The State is now working to</w:t>
      </w:r>
      <w:r w:rsidR="0035166F" w:rsidRPr="009A3102">
        <w:t xml:space="preserve"> </w:t>
      </w:r>
      <w:r w:rsidR="00205546" w:rsidRPr="009A3102">
        <w:t>fulfill it</w:t>
      </w:r>
      <w:r w:rsidR="00DB763B" w:rsidRPr="009A3102">
        <w:t>s international obligations under the Covenant by dr</w:t>
      </w:r>
      <w:r w:rsidR="000C41C7" w:rsidRPr="009A3102">
        <w:t xml:space="preserve">afting laws pertaining to family protection, cybercrimes, labor, and </w:t>
      </w:r>
      <w:r w:rsidR="00205546" w:rsidRPr="009A3102">
        <w:t xml:space="preserve">the </w:t>
      </w:r>
      <w:r w:rsidR="000C41C7" w:rsidRPr="009A3102">
        <w:t>criminal code.</w:t>
      </w:r>
      <w:r w:rsidR="007D369A" w:rsidRPr="009A3102">
        <w:t xml:space="preserve"> </w:t>
      </w:r>
      <w:r w:rsidR="007C2E1A" w:rsidRPr="009A3102">
        <w:t xml:space="preserve">The State is considering </w:t>
      </w:r>
      <w:r w:rsidR="00DA4A93" w:rsidRPr="009A3102">
        <w:t>remov</w:t>
      </w:r>
      <w:r w:rsidR="007C2E1A" w:rsidRPr="009A3102">
        <w:t>ing</w:t>
      </w:r>
      <w:r w:rsidR="00DA4A93" w:rsidRPr="009A3102">
        <w:t xml:space="preserve"> the death penalty in its military code and </w:t>
      </w:r>
      <w:r w:rsidR="00617A09" w:rsidRPr="003D3949">
        <w:t xml:space="preserve">recently informed the Human Rights Committee that it </w:t>
      </w:r>
      <w:r w:rsidR="00617A09" w:rsidRPr="009A3102">
        <w:t xml:space="preserve">plans on </w:t>
      </w:r>
      <w:r w:rsidR="00DA4A93" w:rsidRPr="009A3102">
        <w:t>“</w:t>
      </w:r>
      <w:proofErr w:type="spellStart"/>
      <w:r w:rsidR="00DA4A93" w:rsidRPr="009A3102">
        <w:t>regulat</w:t>
      </w:r>
      <w:proofErr w:type="spellEnd"/>
      <w:r w:rsidR="00DA4A93" w:rsidRPr="009A3102">
        <w:t>[</w:t>
      </w:r>
      <w:proofErr w:type="spellStart"/>
      <w:r w:rsidR="00DA4A93" w:rsidRPr="009A3102">
        <w:t>ing</w:t>
      </w:r>
      <w:proofErr w:type="spellEnd"/>
      <w:r w:rsidR="00DA4A93" w:rsidRPr="009A3102">
        <w:t xml:space="preserve">] the death penalty </w:t>
      </w:r>
      <w:r w:rsidR="007C2E1A" w:rsidRPr="009A3102">
        <w:t xml:space="preserve">rather </w:t>
      </w:r>
      <w:r w:rsidR="00DA4A93" w:rsidRPr="009A3102">
        <w:t>than abolish</w:t>
      </w:r>
      <w:r w:rsidR="007345E9" w:rsidRPr="009A3102">
        <w:t>[</w:t>
      </w:r>
      <w:proofErr w:type="spellStart"/>
      <w:r w:rsidR="007345E9" w:rsidRPr="009A3102">
        <w:t>ing</w:t>
      </w:r>
      <w:proofErr w:type="spellEnd"/>
      <w:r w:rsidR="007345E9" w:rsidRPr="009A3102">
        <w:t>]</w:t>
      </w:r>
      <w:r w:rsidR="00DA4A93" w:rsidRPr="009A3102">
        <w:t xml:space="preserve"> it for lack of political will.”</w:t>
      </w:r>
      <w:r w:rsidR="00DA4A93" w:rsidRPr="009A3102">
        <w:rPr>
          <w:rStyle w:val="FootnoteReference"/>
        </w:rPr>
        <w:footnoteReference w:id="2"/>
      </w:r>
    </w:p>
    <w:p w14:paraId="78F36588" w14:textId="2F886CAC" w:rsidR="006051C0" w:rsidRPr="009A3102" w:rsidRDefault="006051C0" w:rsidP="007B46CD">
      <w:pPr>
        <w:numPr>
          <w:ilvl w:val="0"/>
          <w:numId w:val="7"/>
        </w:numPr>
        <w:spacing w:after="120"/>
        <w:ind w:left="360"/>
        <w:jc w:val="both"/>
      </w:pPr>
      <w:r w:rsidRPr="009A3102">
        <w:t>The State of Palestine</w:t>
      </w:r>
      <w:r w:rsidR="00294CD2">
        <w:t xml:space="preserve"> </w:t>
      </w:r>
      <w:r w:rsidR="00D10426" w:rsidRPr="009A3102">
        <w:t>retains</w:t>
      </w:r>
      <w:r w:rsidRPr="009A3102">
        <w:t xml:space="preserve"> the death penalty</w:t>
      </w:r>
      <w:r w:rsidR="009C2068" w:rsidRPr="009A3102">
        <w:t>,</w:t>
      </w:r>
      <w:r w:rsidRPr="009A3102">
        <w:t xml:space="preserve"> and </w:t>
      </w:r>
      <w:r w:rsidR="009C2068" w:rsidRPr="009A3102">
        <w:t xml:space="preserve">authorities in Gaza </w:t>
      </w:r>
      <w:r w:rsidR="00151688" w:rsidRPr="009A3102">
        <w:t>con</w:t>
      </w:r>
      <w:r w:rsidR="00B733D8" w:rsidRPr="009A3102">
        <w:t>tinue</w:t>
      </w:r>
      <w:r w:rsidR="00151688" w:rsidRPr="009A3102">
        <w:t xml:space="preserve"> to carry out executions. </w:t>
      </w:r>
      <w:r w:rsidR="00D80278">
        <w:t xml:space="preserve">As of </w:t>
      </w:r>
      <w:r w:rsidR="00A824D8">
        <w:t>August 2023</w:t>
      </w:r>
      <w:r w:rsidR="00E406DC">
        <w:t xml:space="preserve">, </w:t>
      </w:r>
      <w:r w:rsidR="002A7EB0">
        <w:t xml:space="preserve">courts in Gaza had reportedly handed down </w:t>
      </w:r>
      <w:r w:rsidR="00E406DC">
        <w:t xml:space="preserve">at least 20 death sentences </w:t>
      </w:r>
      <w:r w:rsidR="002A7EB0">
        <w:t>in 2023</w:t>
      </w:r>
      <w:r w:rsidR="00515A73">
        <w:t>.</w:t>
      </w:r>
      <w:r w:rsidR="00515A73">
        <w:rPr>
          <w:rStyle w:val="FootnoteReference"/>
        </w:rPr>
        <w:footnoteReference w:id="3"/>
      </w:r>
      <w:r w:rsidR="00E406DC">
        <w:t xml:space="preserve"> </w:t>
      </w:r>
      <w:r w:rsidR="00EF0871" w:rsidRPr="009A3102">
        <w:t xml:space="preserve">Authorities in the West Bank have observed a moratorium on executions since 2005. The </w:t>
      </w:r>
      <w:r w:rsidR="00A14123" w:rsidRPr="009A3102">
        <w:t>l</w:t>
      </w:r>
      <w:r w:rsidR="00EF0871" w:rsidRPr="009A3102">
        <w:t xml:space="preserve">aw stipulates that executions can be carried out only if the President </w:t>
      </w:r>
      <w:r w:rsidR="009912DA" w:rsidRPr="009A3102">
        <w:t>ratifies</w:t>
      </w:r>
      <w:r w:rsidR="00EF0871" w:rsidRPr="009A3102">
        <w:t xml:space="preserve"> the death sentence, and the President has no</w:t>
      </w:r>
      <w:r w:rsidR="009912DA" w:rsidRPr="009A3102">
        <w:t>t</w:t>
      </w:r>
      <w:r w:rsidR="00EF0871" w:rsidRPr="009A3102">
        <w:t xml:space="preserve"> ratified a death sentence since 2005.</w:t>
      </w:r>
      <w:r w:rsidR="00582F55">
        <w:rPr>
          <w:rStyle w:val="FootnoteReference"/>
        </w:rPr>
        <w:footnoteReference w:id="4"/>
      </w:r>
      <w:r w:rsidR="00EF0871" w:rsidRPr="009A3102">
        <w:t xml:space="preserve"> </w:t>
      </w:r>
    </w:p>
    <w:p w14:paraId="2BFD1A0D" w14:textId="15C6F858" w:rsidR="2BFB6CB4" w:rsidRPr="009A3102" w:rsidRDefault="00BB3ABA" w:rsidP="00515A73">
      <w:pPr>
        <w:numPr>
          <w:ilvl w:val="0"/>
          <w:numId w:val="7"/>
        </w:numPr>
        <w:spacing w:after="120"/>
        <w:ind w:left="360"/>
        <w:jc w:val="both"/>
      </w:pPr>
      <w:r w:rsidRPr="009A3102">
        <w:t>Palestine has failed to fulfill its obligation to ensure the equal rights of men and women in their enjoyment of all economic, social, and cultural rights (Art</w:t>
      </w:r>
      <w:r w:rsidR="00DF54EA">
        <w:t>s</w:t>
      </w:r>
      <w:r w:rsidRPr="009A3102">
        <w:t>.</w:t>
      </w:r>
      <w:r w:rsidR="00786FFE">
        <w:t xml:space="preserve"> 2</w:t>
      </w:r>
      <w:r w:rsidR="00DF54EA">
        <w:t xml:space="preserve"> </w:t>
      </w:r>
      <w:r w:rsidR="00786FFE">
        <w:t>&amp;</w:t>
      </w:r>
      <w:r w:rsidRPr="009A3102">
        <w:t>3). Palestinian women are subject to gender-based violence and lack economic resources</w:t>
      </w:r>
      <w:r w:rsidR="00431B52" w:rsidRPr="009A3102">
        <w:t xml:space="preserve"> and legal resources</w:t>
      </w:r>
      <w:r w:rsidRPr="009A3102">
        <w:t>.</w:t>
      </w:r>
      <w:r w:rsidR="00431B52" w:rsidRPr="009A3102">
        <w:rPr>
          <w:rStyle w:val="FootnoteReference"/>
        </w:rPr>
        <w:footnoteReference w:id="5"/>
      </w:r>
      <w:r w:rsidRPr="009A3102">
        <w:t xml:space="preserve"> The courts’ failure to recognize </w:t>
      </w:r>
      <w:r w:rsidR="00EB109D" w:rsidRPr="009A3102">
        <w:t xml:space="preserve">a </w:t>
      </w:r>
      <w:r w:rsidRPr="009A3102">
        <w:t xml:space="preserve">history of domestic violence as a mitigating factor during sentencing and the prevalence of honor killings in Palestinian society further perpetuate gender-based inequality and disrupt the family unit (Art. 10). </w:t>
      </w:r>
      <w:r w:rsidR="00D84E5D">
        <w:t>i</w:t>
      </w:r>
      <w:r w:rsidR="2BFB6CB4" w:rsidRPr="009A3102">
        <w:t xml:space="preserve">ndividuals held in Palestinian prisons have been </w:t>
      </w:r>
      <w:r w:rsidR="00294CD2">
        <w:t xml:space="preserve">deprived </w:t>
      </w:r>
      <w:r w:rsidR="2BFB6CB4" w:rsidRPr="009A3102">
        <w:t xml:space="preserve">of necessary </w:t>
      </w:r>
      <w:r w:rsidR="00EA267E">
        <w:t>health</w:t>
      </w:r>
      <w:r w:rsidR="00EA267E" w:rsidRPr="009A3102">
        <w:t xml:space="preserve"> </w:t>
      </w:r>
      <w:r w:rsidR="2BFB6CB4" w:rsidRPr="009A3102">
        <w:t>care.</w:t>
      </w:r>
      <w:r w:rsidR="2BFB6CB4" w:rsidRPr="009A3102">
        <w:rPr>
          <w:rStyle w:val="FootnoteReference"/>
        </w:rPr>
        <w:footnoteReference w:id="6"/>
      </w:r>
      <w:r w:rsidR="2BFB6CB4" w:rsidRPr="009A3102">
        <w:t xml:space="preserve"> </w:t>
      </w:r>
    </w:p>
    <w:p w14:paraId="2A6A3451" w14:textId="59048C1A" w:rsidR="00D06683" w:rsidRDefault="00E67A8C" w:rsidP="00A167E5">
      <w:pPr>
        <w:spacing w:after="120"/>
        <w:jc w:val="center"/>
        <w:rPr>
          <w:b/>
        </w:rPr>
      </w:pPr>
      <w:r w:rsidRPr="009A3102">
        <w:rPr>
          <w:b/>
        </w:rPr>
        <w:t xml:space="preserve">The State of Palestine </w:t>
      </w:r>
      <w:r w:rsidR="008F2F99" w:rsidRPr="009A3102">
        <w:rPr>
          <w:b/>
        </w:rPr>
        <w:t xml:space="preserve">fails to uphold its obligations under the </w:t>
      </w:r>
      <w:r w:rsidRPr="009A3102">
        <w:rPr>
          <w:b/>
        </w:rPr>
        <w:t xml:space="preserve">International </w:t>
      </w:r>
      <w:r w:rsidR="00A5438C" w:rsidRPr="009A3102">
        <w:rPr>
          <w:b/>
        </w:rPr>
        <w:t>Covenant on Economic, Social and Cultural Rights.</w:t>
      </w:r>
    </w:p>
    <w:p w14:paraId="71FF20C1" w14:textId="18570B25" w:rsidR="00ED7C43" w:rsidRPr="009A3102" w:rsidRDefault="00E504A1" w:rsidP="00CF7BF0">
      <w:pPr>
        <w:keepNext/>
        <w:numPr>
          <w:ilvl w:val="0"/>
          <w:numId w:val="8"/>
        </w:numPr>
        <w:spacing w:before="240" w:after="240"/>
        <w:ind w:hanging="360"/>
        <w:rPr>
          <w:b/>
        </w:rPr>
      </w:pPr>
      <w:r>
        <w:rPr>
          <w:b/>
        </w:rPr>
        <w:t>Non-Discrimination, Especially Non-</w:t>
      </w:r>
      <w:r w:rsidR="00ED7C43" w:rsidRPr="009A3102">
        <w:rPr>
          <w:b/>
        </w:rPr>
        <w:t xml:space="preserve">Discrimination Against Women </w:t>
      </w:r>
      <w:r w:rsidR="003D65AA" w:rsidRPr="009A3102">
        <w:rPr>
          <w:b/>
        </w:rPr>
        <w:t>(Art</w:t>
      </w:r>
      <w:r w:rsidR="00A631F4">
        <w:rPr>
          <w:b/>
        </w:rPr>
        <w:t>s</w:t>
      </w:r>
      <w:r w:rsidR="003D65AA" w:rsidRPr="009A3102">
        <w:rPr>
          <w:b/>
        </w:rPr>
        <w:t xml:space="preserve">. </w:t>
      </w:r>
      <w:r>
        <w:rPr>
          <w:b/>
        </w:rPr>
        <w:t>2</w:t>
      </w:r>
      <w:r w:rsidR="004F56EB">
        <w:rPr>
          <w:b/>
        </w:rPr>
        <w:t>.2</w:t>
      </w:r>
      <w:r>
        <w:rPr>
          <w:b/>
        </w:rPr>
        <w:t xml:space="preserve"> &amp;</w:t>
      </w:r>
      <w:r w:rsidR="00A84571">
        <w:rPr>
          <w:b/>
        </w:rPr>
        <w:t xml:space="preserve"> </w:t>
      </w:r>
      <w:r>
        <w:rPr>
          <w:b/>
        </w:rPr>
        <w:t>3</w:t>
      </w:r>
      <w:r w:rsidR="003D65AA" w:rsidRPr="009A3102">
        <w:rPr>
          <w:b/>
        </w:rPr>
        <w:t>, List of Issues paras. 10-1</w:t>
      </w:r>
      <w:r w:rsidR="00F66B6F" w:rsidRPr="009A3102">
        <w:rPr>
          <w:b/>
        </w:rPr>
        <w:t>2)</w:t>
      </w:r>
    </w:p>
    <w:p w14:paraId="5939E4C0" w14:textId="61B11189" w:rsidR="00EC4843" w:rsidRPr="009A3102" w:rsidRDefault="00ED7C43" w:rsidP="00A167E5">
      <w:pPr>
        <w:spacing w:after="120"/>
        <w:ind w:left="360"/>
        <w:jc w:val="both"/>
      </w:pPr>
      <w:r w:rsidRPr="009A3102">
        <w:t xml:space="preserve">The Committee </w:t>
      </w:r>
      <w:r w:rsidR="007563BB">
        <w:t>requested</w:t>
      </w:r>
      <w:r w:rsidR="007924B8">
        <w:t xml:space="preserve"> that</w:t>
      </w:r>
      <w:r w:rsidR="007563BB" w:rsidRPr="009A3102">
        <w:t xml:space="preserve"> </w:t>
      </w:r>
      <w:r w:rsidRPr="009A3102">
        <w:t>Palestine indicate its progress in addressing discriminatory stereotypes</w:t>
      </w:r>
      <w:r w:rsidR="00713717">
        <w:t>, de-facto inequalities,</w:t>
      </w:r>
      <w:r w:rsidR="006810EE">
        <w:t xml:space="preserve"> </w:t>
      </w:r>
      <w:r w:rsidRPr="009A3102">
        <w:t>and ensuring non-discriminatory enjoyment of economic, social, and cultural rights.</w:t>
      </w:r>
      <w:r w:rsidR="00E504A1">
        <w:rPr>
          <w:rStyle w:val="FootnoteReference"/>
        </w:rPr>
        <w:footnoteReference w:id="7"/>
      </w:r>
      <w:r w:rsidRPr="009A3102">
        <w:t xml:space="preserve"> </w:t>
      </w:r>
      <w:r w:rsidR="001B0055">
        <w:t xml:space="preserve">In its response to the List of Issues, </w:t>
      </w:r>
      <w:r w:rsidR="004B6495">
        <w:t>t</w:t>
      </w:r>
      <w:r w:rsidR="00F66B6F" w:rsidRPr="009A3102">
        <w:t xml:space="preserve">he State Party report does </w:t>
      </w:r>
      <w:r w:rsidRPr="009A3102">
        <w:t xml:space="preserve">not </w:t>
      </w:r>
      <w:r w:rsidRPr="009A3102">
        <w:lastRenderedPageBreak/>
        <w:t xml:space="preserve">address the prevalence of stereotypes and discrimination in the judicial system even though capital trials </w:t>
      </w:r>
      <w:r w:rsidR="005507DA" w:rsidRPr="009A3102">
        <w:t xml:space="preserve">can </w:t>
      </w:r>
      <w:r w:rsidRPr="009A3102">
        <w:t>aggravate pre-existing gender-based inequality.</w:t>
      </w:r>
      <w:r w:rsidR="00EB3556">
        <w:rPr>
          <w:rStyle w:val="FootnoteReference"/>
        </w:rPr>
        <w:footnoteReference w:id="8"/>
      </w:r>
      <w:r w:rsidR="00CE7212">
        <w:t xml:space="preserve"> </w:t>
      </w:r>
      <w:r w:rsidR="00CE7212" w:rsidRPr="00802775">
        <w:t>Further, Palestin</w:t>
      </w:r>
      <w:r w:rsidR="002A6F2D">
        <w:t>e</w:t>
      </w:r>
      <w:r w:rsidR="00CE7212" w:rsidRPr="00802775">
        <w:t xml:space="preserve"> states</w:t>
      </w:r>
      <w:r w:rsidR="00AB03F0">
        <w:t>,</w:t>
      </w:r>
      <w:r w:rsidR="00CE7212" w:rsidRPr="00802775">
        <w:t xml:space="preserve"> “</w:t>
      </w:r>
      <w:r w:rsidR="002A6F2D">
        <w:rPr>
          <w:color w:val="000000"/>
        </w:rPr>
        <w:t>[w]</w:t>
      </w:r>
      <w:proofErr w:type="spellStart"/>
      <w:r w:rsidR="00CE7212" w:rsidRPr="00A167E5">
        <w:rPr>
          <w:color w:val="000000"/>
        </w:rPr>
        <w:t>ith</w:t>
      </w:r>
      <w:proofErr w:type="spellEnd"/>
      <w:r w:rsidR="00CE7212" w:rsidRPr="00A167E5">
        <w:rPr>
          <w:color w:val="000000"/>
        </w:rPr>
        <w:t xml:space="preserve"> a view to enhancing the gender-sensitivity of providers of services in the security and justice sector, a unified gender training </w:t>
      </w:r>
      <w:proofErr w:type="spellStart"/>
      <w:r w:rsidR="00CE7212" w:rsidRPr="00A167E5">
        <w:rPr>
          <w:color w:val="000000"/>
        </w:rPr>
        <w:t>programme</w:t>
      </w:r>
      <w:proofErr w:type="spellEnd"/>
      <w:r w:rsidR="00CE7212" w:rsidRPr="00A167E5">
        <w:rPr>
          <w:color w:val="000000"/>
        </w:rPr>
        <w:t xml:space="preserve"> has been adopted by the Ministry of the Interior and the security establishment.”</w:t>
      </w:r>
      <w:r w:rsidR="00B251BB">
        <w:rPr>
          <w:color w:val="000000"/>
        </w:rPr>
        <w:t xml:space="preserve"> </w:t>
      </w:r>
      <w:r w:rsidR="00CE7212" w:rsidRPr="00A167E5">
        <w:rPr>
          <w:rStyle w:val="FootnoteReference"/>
          <w:color w:val="000000"/>
        </w:rPr>
        <w:footnoteReference w:id="9"/>
      </w:r>
      <w:r w:rsidR="00802775" w:rsidRPr="00802775">
        <w:t>I</w:t>
      </w:r>
      <w:r w:rsidR="00802775">
        <w:t xml:space="preserve">n its </w:t>
      </w:r>
      <w:r w:rsidR="004B2F95" w:rsidRPr="009A3102">
        <w:t>State Party Report</w:t>
      </w:r>
      <w:r w:rsidR="00802775">
        <w:t>, Palestin</w:t>
      </w:r>
      <w:r w:rsidR="002A6F2D">
        <w:t>e</w:t>
      </w:r>
      <w:r w:rsidR="00802775">
        <w:t xml:space="preserve"> </w:t>
      </w:r>
      <w:r w:rsidR="004B2F95" w:rsidRPr="009A3102">
        <w:t xml:space="preserve">concedes that </w:t>
      </w:r>
      <w:r w:rsidRPr="009A3102">
        <w:t xml:space="preserve">social stigma </w:t>
      </w:r>
      <w:r w:rsidR="00673D85">
        <w:t xml:space="preserve">may </w:t>
      </w:r>
      <w:r w:rsidR="00A946D4">
        <w:t>lead</w:t>
      </w:r>
      <w:r w:rsidRPr="009A3102">
        <w:t xml:space="preserve"> to placing blame on the victims of </w:t>
      </w:r>
      <w:r w:rsidR="008D7596">
        <w:t>violence against women</w:t>
      </w:r>
      <w:r w:rsidRPr="009A3102">
        <w:t>.</w:t>
      </w:r>
      <w:r w:rsidRPr="009A3102">
        <w:rPr>
          <w:rStyle w:val="FootnoteReference"/>
        </w:rPr>
        <w:footnoteReference w:id="10"/>
      </w:r>
      <w:r w:rsidRPr="009A3102">
        <w:t xml:space="preserve"> It is unclear how Palestine plans to address </w:t>
      </w:r>
      <w:r w:rsidR="00A946D4">
        <w:t>these</w:t>
      </w:r>
      <w:r w:rsidR="00A946D4" w:rsidRPr="009A3102">
        <w:t xml:space="preserve"> </w:t>
      </w:r>
      <w:r w:rsidRPr="009A3102">
        <w:t xml:space="preserve">harmful </w:t>
      </w:r>
      <w:r w:rsidR="0029253C">
        <w:t>practice</w:t>
      </w:r>
      <w:r w:rsidR="00D25538">
        <w:t>s</w:t>
      </w:r>
      <w:r w:rsidRPr="009A3102">
        <w:t>.</w:t>
      </w:r>
      <w:r w:rsidR="008F6306" w:rsidRPr="008F6306">
        <w:t xml:space="preserve"> </w:t>
      </w:r>
      <w:r w:rsidR="00802775">
        <w:t>At</w:t>
      </w:r>
      <w:r w:rsidR="008F6306" w:rsidRPr="009A3102">
        <w:t xml:space="preserve"> a global level, women tend to receive harsher sentences when perceived as deviating from their stereotypic roles as peaceful caregivers and caring mothers.</w:t>
      </w:r>
      <w:r w:rsidR="008F6306" w:rsidRPr="009A3102">
        <w:rPr>
          <w:rStyle w:val="FootnoteReference"/>
        </w:rPr>
        <w:footnoteReference w:id="11"/>
      </w:r>
    </w:p>
    <w:p w14:paraId="30A56DD2" w14:textId="1A31D285" w:rsidR="00612923" w:rsidRPr="00A167E5" w:rsidRDefault="00EC4843" w:rsidP="00A167E5">
      <w:pPr>
        <w:spacing w:after="120"/>
        <w:jc w:val="both"/>
        <w:rPr>
          <w:i/>
          <w:iCs/>
        </w:rPr>
      </w:pPr>
      <w:r w:rsidRPr="00A167E5">
        <w:rPr>
          <w:i/>
          <w:iCs/>
        </w:rPr>
        <w:t xml:space="preserve">Overall </w:t>
      </w:r>
      <w:r w:rsidR="00FD6795">
        <w:rPr>
          <w:i/>
          <w:iCs/>
        </w:rPr>
        <w:t xml:space="preserve">status </w:t>
      </w:r>
      <w:r w:rsidR="00612923" w:rsidRPr="00A167E5">
        <w:rPr>
          <w:i/>
          <w:iCs/>
        </w:rPr>
        <w:t>the death penalty in Palestine.</w:t>
      </w:r>
    </w:p>
    <w:p w14:paraId="2E5FFB6A" w14:textId="235B5A18" w:rsidR="00D940D9" w:rsidRPr="00A167E5" w:rsidRDefault="00962899" w:rsidP="00D940D9">
      <w:pPr>
        <w:numPr>
          <w:ilvl w:val="0"/>
          <w:numId w:val="7"/>
        </w:numPr>
        <w:spacing w:after="120"/>
        <w:ind w:left="360"/>
        <w:jc w:val="both"/>
        <w:rPr>
          <w:i/>
          <w:iCs/>
        </w:rPr>
      </w:pPr>
      <w:r w:rsidRPr="009A3102">
        <w:t>The State of Palestine</w:t>
      </w:r>
      <w:r>
        <w:t xml:space="preserve"> </w:t>
      </w:r>
      <w:r w:rsidRPr="009A3102">
        <w:t xml:space="preserve">retains the death penalty, and authorities in Gaza continue to carry out executions. </w:t>
      </w:r>
      <w:r w:rsidR="006F1A5E">
        <w:t>As of</w:t>
      </w:r>
      <w:r>
        <w:t xml:space="preserve"> August 2023, </w:t>
      </w:r>
      <w:r w:rsidR="00E312DA">
        <w:t xml:space="preserve">courts in Gaza had reportedly handed down </w:t>
      </w:r>
      <w:r>
        <w:t xml:space="preserve">at least 20 death sentences </w:t>
      </w:r>
      <w:r w:rsidR="00E312DA">
        <w:t>in 2023</w:t>
      </w:r>
      <w:r>
        <w:t>.</w:t>
      </w:r>
      <w:r>
        <w:rPr>
          <w:rStyle w:val="FootnoteReference"/>
        </w:rPr>
        <w:footnoteReference w:id="12"/>
      </w:r>
      <w:r>
        <w:t xml:space="preserve"> </w:t>
      </w:r>
      <w:r w:rsidRPr="009A3102">
        <w:t>Courts in Gaza issued 27 new death sentences in 2022; 11 more than in 2021.</w:t>
      </w:r>
      <w:r w:rsidRPr="009A3102">
        <w:rPr>
          <w:rStyle w:val="FootnoteReference"/>
        </w:rPr>
        <w:footnoteReference w:id="13"/>
      </w:r>
      <w:r w:rsidRPr="009A3102">
        <w:t xml:space="preserve"> Authorities in the West Bank have observed a moratorium on executions since 2005. The law stipulates that executions can be carried out only if the President ratifies the death sentence, and the President has not ratified a death sentence since 2005.</w:t>
      </w:r>
      <w:r w:rsidR="00564F6B">
        <w:rPr>
          <w:rStyle w:val="FootnoteReference"/>
        </w:rPr>
        <w:footnoteReference w:id="14"/>
      </w:r>
      <w:r w:rsidRPr="009A3102">
        <w:t xml:space="preserve"> </w:t>
      </w:r>
      <w:r w:rsidR="00D44845" w:rsidRPr="00D610A5">
        <w:t>West Bank courts last issued death sentences in 2015, when they sentenced two people to death.</w:t>
      </w:r>
      <w:r w:rsidR="00D44845" w:rsidRPr="00D610A5">
        <w:rPr>
          <w:rStyle w:val="FootnoteReference"/>
        </w:rPr>
        <w:footnoteReference w:id="15"/>
      </w:r>
      <w:r w:rsidR="00D44845" w:rsidRPr="00D610A5">
        <w:t xml:space="preserve"> </w:t>
      </w:r>
    </w:p>
    <w:p w14:paraId="29EC5335" w14:textId="029C0F95" w:rsidR="0014303F" w:rsidRPr="00A167E5" w:rsidRDefault="0014303F" w:rsidP="00D940D9">
      <w:pPr>
        <w:numPr>
          <w:ilvl w:val="0"/>
          <w:numId w:val="7"/>
        </w:numPr>
        <w:spacing w:after="120"/>
        <w:ind w:left="360"/>
        <w:jc w:val="both"/>
        <w:rPr>
          <w:i/>
          <w:iCs/>
        </w:rPr>
      </w:pPr>
      <w:r w:rsidRPr="009A3102">
        <w:t>Since the split in power on 14 June 2007 between the Palestinian Authority in the West Bank under President Abbas, and the Hamas movement in Gaza, Hamas has carried out executions in Gaza without the President’s requisite signature. Gazan military courts have also conducted trials of civilians</w:t>
      </w:r>
      <w:r w:rsidR="00976C87">
        <w:t xml:space="preserve">, and those courts may sentence civilians </w:t>
      </w:r>
      <w:r w:rsidRPr="009A3102">
        <w:t>to death.</w:t>
      </w:r>
    </w:p>
    <w:p w14:paraId="329D60A9" w14:textId="3AAC7DA5" w:rsidR="00FD6795" w:rsidRPr="00A167E5" w:rsidRDefault="00962899" w:rsidP="00A167E5">
      <w:pPr>
        <w:spacing w:after="120"/>
        <w:jc w:val="both"/>
        <w:rPr>
          <w:i/>
          <w:iCs/>
        </w:rPr>
      </w:pPr>
      <w:r w:rsidRPr="00D940D9">
        <w:rPr>
          <w:i/>
          <w:iCs/>
        </w:rPr>
        <w:t xml:space="preserve">Women in Palestine </w:t>
      </w:r>
      <w:r w:rsidR="00D940D9">
        <w:rPr>
          <w:i/>
          <w:iCs/>
        </w:rPr>
        <w:t xml:space="preserve">are </w:t>
      </w:r>
      <w:r w:rsidR="00976C87">
        <w:rPr>
          <w:i/>
          <w:iCs/>
        </w:rPr>
        <w:t xml:space="preserve">at a greater </w:t>
      </w:r>
      <w:r w:rsidR="00D940D9">
        <w:rPr>
          <w:i/>
          <w:iCs/>
        </w:rPr>
        <w:t xml:space="preserve">risk </w:t>
      </w:r>
      <w:r w:rsidR="0017318E">
        <w:rPr>
          <w:i/>
          <w:iCs/>
        </w:rPr>
        <w:t xml:space="preserve">of </w:t>
      </w:r>
      <w:r w:rsidR="00D940D9">
        <w:rPr>
          <w:i/>
          <w:iCs/>
        </w:rPr>
        <w:t>be</w:t>
      </w:r>
      <w:r w:rsidR="0017318E">
        <w:rPr>
          <w:i/>
          <w:iCs/>
        </w:rPr>
        <w:t>ing</w:t>
      </w:r>
      <w:r w:rsidR="00D940D9">
        <w:rPr>
          <w:i/>
          <w:iCs/>
        </w:rPr>
        <w:t xml:space="preserve"> sentenced to death</w:t>
      </w:r>
    </w:p>
    <w:p w14:paraId="79C71336" w14:textId="29E288A9" w:rsidR="002E44A4" w:rsidRPr="009A3102" w:rsidRDefault="00ED7C43" w:rsidP="009D3B16">
      <w:pPr>
        <w:numPr>
          <w:ilvl w:val="0"/>
          <w:numId w:val="7"/>
        </w:numPr>
        <w:spacing w:after="120"/>
        <w:ind w:left="360"/>
        <w:jc w:val="both"/>
      </w:pPr>
      <w:r w:rsidRPr="009A3102">
        <w:t>According to the Cornell Center on the Death Penalty Worldwide, women globally are most likely to be sentenced to death for murdering a family member, often in an environment of domestic violence</w:t>
      </w:r>
      <w:r w:rsidR="009427A0" w:rsidRPr="009A3102">
        <w:t>,</w:t>
      </w:r>
      <w:r w:rsidRPr="009A3102">
        <w:rPr>
          <w:rStyle w:val="FootnoteReference"/>
        </w:rPr>
        <w:footnoteReference w:id="16"/>
      </w:r>
      <w:r w:rsidR="009427A0" w:rsidRPr="009A3102">
        <w:t xml:space="preserve"> and conditions suggest that </w:t>
      </w:r>
      <w:r w:rsidR="005F4877" w:rsidRPr="009A3102">
        <w:t>women are similarly at risk in Palestine.</w:t>
      </w:r>
      <w:r w:rsidRPr="009A3102">
        <w:t xml:space="preserve"> </w:t>
      </w:r>
      <w:r w:rsidRPr="009A3102">
        <w:lastRenderedPageBreak/>
        <w:t>Violence in households and communities is a “deep-rooted phenomenon in the Palestinian society.</w:t>
      </w:r>
      <w:r w:rsidR="00900807" w:rsidRPr="009A3102">
        <w:t>”</w:t>
      </w:r>
      <w:r w:rsidRPr="009A3102">
        <w:rPr>
          <w:rStyle w:val="FootnoteReference"/>
        </w:rPr>
        <w:footnoteReference w:id="17"/>
      </w:r>
      <w:r w:rsidRPr="009A3102">
        <w:t xml:space="preserve"> </w:t>
      </w:r>
      <w:r w:rsidR="00140D62">
        <w:t>It is reported that P</w:t>
      </w:r>
      <w:r w:rsidRPr="009A3102">
        <w:t xml:space="preserve">alestinian women are particularly vulnerable to physical and </w:t>
      </w:r>
      <w:r w:rsidR="00140D62">
        <w:t>psychological</w:t>
      </w:r>
      <w:r w:rsidR="00140D62" w:rsidRPr="009A3102">
        <w:t xml:space="preserve"> </w:t>
      </w:r>
      <w:r w:rsidRPr="009A3102">
        <w:t xml:space="preserve">abuse because the country’s patriarchal and traditional societal structure </w:t>
      </w:r>
      <w:r w:rsidR="002A60D4" w:rsidRPr="009A3102">
        <w:t>leads to</w:t>
      </w:r>
      <w:r w:rsidRPr="009A3102">
        <w:t xml:space="preserve"> women hav</w:t>
      </w:r>
      <w:r w:rsidR="002A60D4" w:rsidRPr="009A3102">
        <w:t>ing</w:t>
      </w:r>
      <w:r w:rsidRPr="009A3102">
        <w:t xml:space="preserve"> less autonomy.</w:t>
      </w:r>
      <w:r w:rsidRPr="009A3102">
        <w:rPr>
          <w:rStyle w:val="FootnoteReference"/>
        </w:rPr>
        <w:footnoteReference w:id="18"/>
      </w:r>
      <w:r w:rsidRPr="009A3102">
        <w:t xml:space="preserve"> </w:t>
      </w:r>
    </w:p>
    <w:p w14:paraId="5A6DC693" w14:textId="283B93F4" w:rsidR="004F2F57" w:rsidRPr="009A3102" w:rsidRDefault="00815EA5" w:rsidP="002E44A4">
      <w:pPr>
        <w:numPr>
          <w:ilvl w:val="0"/>
          <w:numId w:val="7"/>
        </w:numPr>
        <w:spacing w:after="120"/>
        <w:ind w:left="360"/>
        <w:jc w:val="both"/>
      </w:pPr>
      <w:bookmarkStart w:id="0" w:name="_Ref142901853"/>
      <w:r>
        <w:t>I</w:t>
      </w:r>
      <w:r w:rsidR="00ED7C43" w:rsidRPr="009A3102">
        <w:t>n 2019, 29% of currently married or previously married Palestinian women experienced some form of violence by their husbands.</w:t>
      </w:r>
      <w:r w:rsidR="00ED7C43" w:rsidRPr="009A3102">
        <w:rPr>
          <w:rStyle w:val="FootnoteReference"/>
        </w:rPr>
        <w:footnoteReference w:id="19"/>
      </w:r>
      <w:r w:rsidR="00ED7C43" w:rsidRPr="009A3102">
        <w:t xml:space="preserve"> This number jumps to 38% for women residing in the Gaza Strip</w:t>
      </w:r>
      <w:r w:rsidR="00020D20" w:rsidRPr="009A3102">
        <w:t>,</w:t>
      </w:r>
      <w:r w:rsidR="00ED7C43" w:rsidRPr="009A3102">
        <w:t xml:space="preserve"> where UN Women reported that gender-based violence has been increasing.</w:t>
      </w:r>
      <w:r w:rsidR="00ED7C43" w:rsidRPr="009A3102">
        <w:rPr>
          <w:rStyle w:val="FootnoteReference"/>
        </w:rPr>
        <w:footnoteReference w:id="20"/>
      </w:r>
      <w:r w:rsidR="002E44A4" w:rsidRPr="009A3102">
        <w:t xml:space="preserve"> </w:t>
      </w:r>
      <w:r w:rsidR="00BD2847" w:rsidRPr="009A3102">
        <w:t xml:space="preserve">As a specific example </w:t>
      </w:r>
      <w:r w:rsidR="00DC551B" w:rsidRPr="009A3102">
        <w:t>involving the death penalty, o</w:t>
      </w:r>
      <w:r w:rsidR="004F2F57" w:rsidRPr="009A3102">
        <w:t xml:space="preserve">n October 5, 2016, the </w:t>
      </w:r>
      <w:proofErr w:type="spellStart"/>
      <w:r w:rsidR="004F2F57" w:rsidRPr="009A3102">
        <w:t>Khanyounis</w:t>
      </w:r>
      <w:proofErr w:type="spellEnd"/>
      <w:r w:rsidR="004F2F57" w:rsidRPr="009A3102">
        <w:t xml:space="preserve"> Court of First Instance convicted </w:t>
      </w:r>
      <w:r w:rsidR="00690BD8">
        <w:t xml:space="preserve">26-year-old </w:t>
      </w:r>
      <w:r w:rsidR="004F2F57" w:rsidRPr="009A3102">
        <w:t>Nahla Abu Anza of premediated murder of her husband and sentenced her to death by hanging. Nahla reported that she was forced into marriage against her will, and her husband insult</w:t>
      </w:r>
      <w:r w:rsidR="007B2E8B" w:rsidRPr="009A3102">
        <w:t>ed</w:t>
      </w:r>
      <w:r w:rsidR="004F2F57" w:rsidRPr="009A3102">
        <w:t xml:space="preserve"> and beat her daily.</w:t>
      </w:r>
      <w:r w:rsidR="004F2F57" w:rsidRPr="009A3102">
        <w:rPr>
          <w:rStyle w:val="FootnoteReference"/>
        </w:rPr>
        <w:footnoteReference w:id="21"/>
      </w:r>
      <w:r w:rsidR="0010779F" w:rsidRPr="009A3102">
        <w:t xml:space="preserve"> Unless a woman </w:t>
      </w:r>
      <w:r w:rsidR="00FF2FE8" w:rsidRPr="009A3102">
        <w:t>files a case raising domestic violence accusations against her husband</w:t>
      </w:r>
      <w:r w:rsidR="00972771" w:rsidRPr="009A3102">
        <w:t xml:space="preserve">—which </w:t>
      </w:r>
      <w:r w:rsidR="00403045">
        <w:t xml:space="preserve">victims </w:t>
      </w:r>
      <w:r w:rsidR="00972771" w:rsidRPr="009A3102">
        <w:t>rarely do—</w:t>
      </w:r>
      <w:r w:rsidR="00280186" w:rsidRPr="009A3102">
        <w:t xml:space="preserve">courts will not take </w:t>
      </w:r>
      <w:r w:rsidR="00FF2FE8" w:rsidRPr="009A3102">
        <w:t xml:space="preserve">domestic violence </w:t>
      </w:r>
      <w:r w:rsidR="00280186" w:rsidRPr="009A3102">
        <w:t xml:space="preserve">into account </w:t>
      </w:r>
      <w:r w:rsidR="00972771" w:rsidRPr="009A3102">
        <w:t xml:space="preserve">in her sentencing if she </w:t>
      </w:r>
      <w:r w:rsidR="009D276F" w:rsidRPr="009A3102">
        <w:t>later kills</w:t>
      </w:r>
      <w:r w:rsidR="00972771" w:rsidRPr="009A3102">
        <w:t xml:space="preserve"> her abusive husband</w:t>
      </w:r>
      <w:r w:rsidR="007B2E8B" w:rsidRPr="009A3102">
        <w:t>,</w:t>
      </w:r>
      <w:r w:rsidR="009D276F" w:rsidRPr="009A3102">
        <w:t xml:space="preserve"> even </w:t>
      </w:r>
      <w:r w:rsidR="007B2E8B" w:rsidRPr="009A3102">
        <w:t xml:space="preserve">she </w:t>
      </w:r>
      <w:r w:rsidR="009D276F" w:rsidRPr="009A3102">
        <w:t>act</w:t>
      </w:r>
      <w:r w:rsidR="007B2E8B" w:rsidRPr="009A3102">
        <w:t>s</w:t>
      </w:r>
      <w:r w:rsidR="009D276F" w:rsidRPr="009A3102">
        <w:t xml:space="preserve"> in </w:t>
      </w:r>
      <w:r w:rsidR="00052D58" w:rsidRPr="009A3102">
        <w:t>self-defense</w:t>
      </w:r>
      <w:r w:rsidR="00972771" w:rsidRPr="009A3102">
        <w:t>.</w:t>
      </w:r>
      <w:r w:rsidR="00972771" w:rsidRPr="009A3102">
        <w:rPr>
          <w:rStyle w:val="FootnoteReference"/>
        </w:rPr>
        <w:footnoteReference w:id="22"/>
      </w:r>
      <w:bookmarkEnd w:id="0"/>
    </w:p>
    <w:p w14:paraId="3B2EE188" w14:textId="5DE65E30" w:rsidR="00ED7C43" w:rsidRPr="00A167E5" w:rsidRDefault="00ED7C43" w:rsidP="00CF7BF0">
      <w:pPr>
        <w:numPr>
          <w:ilvl w:val="0"/>
          <w:numId w:val="7"/>
        </w:numPr>
        <w:spacing w:after="120"/>
        <w:ind w:left="360"/>
        <w:jc w:val="both"/>
      </w:pPr>
      <w:r w:rsidRPr="009F503B">
        <w:t>The COVID-19 pandemic has increased inciden</w:t>
      </w:r>
      <w:r w:rsidR="006071AE" w:rsidRPr="009F503B">
        <w:t>ts</w:t>
      </w:r>
      <w:r w:rsidRPr="009F503B">
        <w:t xml:space="preserve"> of domestic violence.</w:t>
      </w:r>
      <w:r w:rsidRPr="009F503B">
        <w:rPr>
          <w:rStyle w:val="FootnoteReference"/>
        </w:rPr>
        <w:footnoteReference w:id="23"/>
      </w:r>
      <w:r w:rsidRPr="009F503B">
        <w:t xml:space="preserve"> Economic discrimination and exclusion from the labor market </w:t>
      </w:r>
      <w:r w:rsidR="009E301D" w:rsidRPr="009F503B">
        <w:t xml:space="preserve">have </w:t>
      </w:r>
      <w:r w:rsidRPr="009F503B">
        <w:t>also increased as the pandemic pushed Palestinian women into extreme poverty and financial insecurity.</w:t>
      </w:r>
      <w:r w:rsidRPr="009F503B">
        <w:rPr>
          <w:rStyle w:val="FootnoteReference"/>
        </w:rPr>
        <w:footnoteReference w:id="24"/>
      </w:r>
      <w:r w:rsidRPr="009F503B">
        <w:t xml:space="preserve"> Further, </w:t>
      </w:r>
      <w:r w:rsidR="009E301D" w:rsidRPr="009F503B">
        <w:t xml:space="preserve">homemakers </w:t>
      </w:r>
      <w:r w:rsidRPr="009F503B">
        <w:t>and women</w:t>
      </w:r>
      <w:r w:rsidR="00584758" w:rsidRPr="009F503B">
        <w:t xml:space="preserve"> with </w:t>
      </w:r>
      <w:r w:rsidR="00D97010" w:rsidRPr="009F503B">
        <w:t xml:space="preserve">low </w:t>
      </w:r>
      <w:r w:rsidR="00A67881" w:rsidRPr="009F503B">
        <w:t>levels</w:t>
      </w:r>
      <w:r w:rsidR="00584758" w:rsidRPr="009F503B">
        <w:t xml:space="preserve"> of education</w:t>
      </w:r>
      <w:r w:rsidRPr="009F503B">
        <w:t xml:space="preserve"> </w:t>
      </w:r>
      <w:r w:rsidR="009E301D" w:rsidRPr="009F503B">
        <w:t xml:space="preserve">have been </w:t>
      </w:r>
      <w:r w:rsidRPr="009F503B">
        <w:t>exposed to gender-based violence more than others during the pandemic.</w:t>
      </w:r>
      <w:r w:rsidRPr="009F503B">
        <w:rPr>
          <w:rStyle w:val="FootnoteReference"/>
        </w:rPr>
        <w:footnoteReference w:id="25"/>
      </w:r>
      <w:r w:rsidRPr="009F503B">
        <w:t xml:space="preserve"> </w:t>
      </w:r>
    </w:p>
    <w:p w14:paraId="75B2BAED" w14:textId="68533BA5" w:rsidR="00604700" w:rsidRPr="00A167E5" w:rsidRDefault="00604700" w:rsidP="00A167E5">
      <w:pPr>
        <w:spacing w:after="120"/>
        <w:jc w:val="both"/>
        <w:rPr>
          <w:i/>
          <w:iCs/>
        </w:rPr>
      </w:pPr>
      <w:r w:rsidRPr="00A167E5">
        <w:rPr>
          <w:i/>
          <w:iCs/>
        </w:rPr>
        <w:t xml:space="preserve">Access to Justice </w:t>
      </w:r>
    </w:p>
    <w:p w14:paraId="4E60AC8D" w14:textId="7CF74770" w:rsidR="001B122F" w:rsidRPr="009A3102" w:rsidRDefault="00ED7C43" w:rsidP="00CF7BF0">
      <w:pPr>
        <w:numPr>
          <w:ilvl w:val="0"/>
          <w:numId w:val="7"/>
        </w:numPr>
        <w:spacing w:after="120"/>
        <w:ind w:left="360"/>
        <w:jc w:val="both"/>
      </w:pPr>
      <w:r w:rsidRPr="009A3102">
        <w:t xml:space="preserve">Palestine reported </w:t>
      </w:r>
      <w:r w:rsidR="00474991">
        <w:t>the constitution of the</w:t>
      </w:r>
      <w:r w:rsidR="00CB3807">
        <w:t xml:space="preserve"> </w:t>
      </w:r>
      <w:r w:rsidR="005C644D">
        <w:t>N</w:t>
      </w:r>
      <w:r w:rsidR="005C644D" w:rsidRPr="005C644D">
        <w:t xml:space="preserve">ational </w:t>
      </w:r>
      <w:r w:rsidR="005C644D">
        <w:t>C</w:t>
      </w:r>
      <w:r w:rsidR="005C644D" w:rsidRPr="005C644D">
        <w:t xml:space="preserve">ommittee against </w:t>
      </w:r>
      <w:r w:rsidR="005C644D">
        <w:t>V</w:t>
      </w:r>
      <w:r w:rsidR="005C644D" w:rsidRPr="005C644D">
        <w:t xml:space="preserve">iolence against </w:t>
      </w:r>
      <w:r w:rsidR="005C644D">
        <w:t>W</w:t>
      </w:r>
      <w:r w:rsidR="005C644D" w:rsidRPr="005C644D">
        <w:t>omen</w:t>
      </w:r>
      <w:r w:rsidRPr="009A3102">
        <w:t xml:space="preserve">, which </w:t>
      </w:r>
      <w:r w:rsidR="005679FB">
        <w:t xml:space="preserve">it is reported to implemented strategies for prevention of violence and </w:t>
      </w:r>
      <w:r w:rsidR="00673F9D">
        <w:t xml:space="preserve">ensuring </w:t>
      </w:r>
      <w:r w:rsidR="00673F9D">
        <w:lastRenderedPageBreak/>
        <w:t xml:space="preserve">equality of </w:t>
      </w:r>
      <w:proofErr w:type="gramStart"/>
      <w:r w:rsidR="00673F9D">
        <w:t xml:space="preserve">women </w:t>
      </w:r>
      <w:r w:rsidRPr="009A3102">
        <w:t>.</w:t>
      </w:r>
      <w:proofErr w:type="gramEnd"/>
      <w:r w:rsidR="00CB3807">
        <w:rPr>
          <w:rStyle w:val="FootnoteReference"/>
        </w:rPr>
        <w:footnoteReference w:id="26"/>
      </w:r>
      <w:r w:rsidR="00A94825">
        <w:t xml:space="preserve"> </w:t>
      </w:r>
      <w:r w:rsidR="000B28FE">
        <w:t>I</w:t>
      </w:r>
      <w:r w:rsidRPr="009A3102">
        <w:t xml:space="preserve">n 2019, </w:t>
      </w:r>
      <w:r w:rsidR="000B28FE">
        <w:t xml:space="preserve">however, </w:t>
      </w:r>
      <w:r w:rsidRPr="009A3102">
        <w:t>only 28% of married women living in the Gaza Strip were aware of centers or institutions near them for protection against violence.</w:t>
      </w:r>
      <w:r w:rsidRPr="009A3102">
        <w:rPr>
          <w:rStyle w:val="FootnoteReference"/>
        </w:rPr>
        <w:footnoteReference w:id="27"/>
      </w:r>
      <w:r w:rsidRPr="009A3102">
        <w:t xml:space="preserve"> </w:t>
      </w:r>
    </w:p>
    <w:p w14:paraId="56484B78" w14:textId="71651058" w:rsidR="00EE6099" w:rsidRPr="009A3102" w:rsidRDefault="001B5A91" w:rsidP="001B122F">
      <w:pPr>
        <w:numPr>
          <w:ilvl w:val="0"/>
          <w:numId w:val="7"/>
        </w:numPr>
        <w:spacing w:after="120"/>
        <w:ind w:left="360"/>
        <w:jc w:val="both"/>
      </w:pPr>
      <w:r>
        <w:t>Women</w:t>
      </w:r>
      <w:r w:rsidR="001B122F" w:rsidRPr="009A3102">
        <w:t xml:space="preserve"> who report </w:t>
      </w:r>
      <w:r w:rsidR="008C0E4B">
        <w:t>enduring violence</w:t>
      </w:r>
      <w:r w:rsidR="001B122F" w:rsidRPr="009A3102">
        <w:t xml:space="preserve"> are perceive</w:t>
      </w:r>
      <w:r w:rsidR="00F94AA8">
        <w:t>d</w:t>
      </w:r>
      <w:r w:rsidR="001B122F" w:rsidRPr="009A3102">
        <w:t xml:space="preserve"> negatively</w:t>
      </w:r>
      <w:r>
        <w:t xml:space="preserve"> among their communities</w:t>
      </w:r>
      <w:r w:rsidR="003579DE" w:rsidRPr="009A3102">
        <w:t>.</w:t>
      </w:r>
      <w:r w:rsidR="001B122F" w:rsidRPr="009A3102">
        <w:rPr>
          <w:rStyle w:val="FootnoteReference"/>
        </w:rPr>
        <w:footnoteReference w:id="28"/>
      </w:r>
      <w:r w:rsidR="001B122F" w:rsidRPr="009A3102">
        <w:t xml:space="preserve"> </w:t>
      </w:r>
      <w:r w:rsidR="00941A87">
        <w:t>As</w:t>
      </w:r>
      <w:r w:rsidR="00052D58">
        <w:t xml:space="preserve"> a</w:t>
      </w:r>
      <w:r w:rsidR="00941A87">
        <w:t xml:space="preserve"> consequence, </w:t>
      </w:r>
      <w:r w:rsidR="00ED7C43" w:rsidRPr="009A3102">
        <w:t xml:space="preserve">61% of women who experienced violence by their </w:t>
      </w:r>
      <w:r w:rsidR="008C0E4B">
        <w:t>spouses</w:t>
      </w:r>
      <w:r w:rsidR="008C0E4B" w:rsidRPr="009A3102">
        <w:t xml:space="preserve"> </w:t>
      </w:r>
      <w:r w:rsidR="00ED7C43" w:rsidRPr="009A3102">
        <w:t>remain silent, and only 1% of women went to the police.</w:t>
      </w:r>
      <w:r w:rsidR="00ED7C43" w:rsidRPr="009A3102">
        <w:rPr>
          <w:rStyle w:val="FootnoteReference"/>
        </w:rPr>
        <w:footnoteReference w:id="29"/>
      </w:r>
      <w:r w:rsidR="00ED7C43" w:rsidRPr="009A3102">
        <w:t xml:space="preserve"> Underreporting signals that services are not survivor-centered and that survivors do not trust existing services.</w:t>
      </w:r>
      <w:r w:rsidR="00ED7C43" w:rsidRPr="009A3102">
        <w:rPr>
          <w:rStyle w:val="FootnoteReference"/>
        </w:rPr>
        <w:footnoteReference w:id="30"/>
      </w:r>
      <w:r w:rsidR="0016054D" w:rsidRPr="009A3102">
        <w:t xml:space="preserve"> </w:t>
      </w:r>
    </w:p>
    <w:p w14:paraId="108EEE95" w14:textId="58D8885C" w:rsidR="00ED7C43" w:rsidRPr="009A3102" w:rsidRDefault="00C11C9C" w:rsidP="001B122F">
      <w:pPr>
        <w:numPr>
          <w:ilvl w:val="0"/>
          <w:numId w:val="7"/>
        </w:numPr>
        <w:spacing w:after="120"/>
        <w:ind w:left="360"/>
        <w:jc w:val="both"/>
      </w:pPr>
      <w:r w:rsidRPr="009A3102">
        <w:t>Many factors prevent women</w:t>
      </w:r>
      <w:r w:rsidR="00C51AEF">
        <w:t>’s access to justice</w:t>
      </w:r>
      <w:r w:rsidRPr="009A3102">
        <w:t xml:space="preserve">. </w:t>
      </w:r>
      <w:r w:rsidR="00F521AB">
        <w:t>A</w:t>
      </w:r>
      <w:r w:rsidR="00DF1413">
        <w:t xml:space="preserve">ccording to one report, </w:t>
      </w:r>
      <w:r w:rsidR="00075981">
        <w:t>s</w:t>
      </w:r>
      <w:r w:rsidR="00DD0A4F" w:rsidRPr="009A3102">
        <w:t xml:space="preserve">ome religious groups </w:t>
      </w:r>
      <w:r w:rsidR="00F521AB">
        <w:t>misuse</w:t>
      </w:r>
      <w:r w:rsidR="005A2358" w:rsidRPr="009A3102">
        <w:t xml:space="preserve"> </w:t>
      </w:r>
      <w:r w:rsidR="00DD0A4F" w:rsidRPr="009A3102">
        <w:t>Sharia principles to prevent women from accessing legal ch</w:t>
      </w:r>
      <w:r w:rsidR="0016054D" w:rsidRPr="009A3102">
        <w:t>annels.</w:t>
      </w:r>
      <w:r w:rsidR="0016054D" w:rsidRPr="009A3102">
        <w:rPr>
          <w:rStyle w:val="FootnoteReference"/>
        </w:rPr>
        <w:footnoteReference w:id="31"/>
      </w:r>
      <w:r w:rsidR="0016054D" w:rsidRPr="009A3102">
        <w:t xml:space="preserve"> </w:t>
      </w:r>
      <w:r w:rsidR="00257F76" w:rsidRPr="009A3102">
        <w:t xml:space="preserve">The </w:t>
      </w:r>
      <w:r w:rsidR="003579DE" w:rsidRPr="009A3102">
        <w:t>informal judicial system and the power of tribes also hinder</w:t>
      </w:r>
      <w:r w:rsidR="00DC5506" w:rsidRPr="009A3102">
        <w:t xml:space="preserve"> </w:t>
      </w:r>
      <w:r w:rsidR="003579DE" w:rsidRPr="009A3102">
        <w:t>women’s access to justice.</w:t>
      </w:r>
      <w:r w:rsidR="00EE6099" w:rsidRPr="009A3102">
        <w:rPr>
          <w:rStyle w:val="FootnoteReference"/>
        </w:rPr>
        <w:footnoteReference w:id="32"/>
      </w:r>
      <w:r w:rsidR="003579DE" w:rsidRPr="009A3102">
        <w:t xml:space="preserve"> </w:t>
      </w:r>
      <w:r w:rsidR="004D4CE0" w:rsidRPr="009A3102">
        <w:t>T</w:t>
      </w:r>
      <w:r w:rsidR="005A5BF9" w:rsidRPr="009A3102">
        <w:t xml:space="preserve">he long duration of litigation and </w:t>
      </w:r>
      <w:r w:rsidR="00E166ED" w:rsidRPr="009A3102">
        <w:t xml:space="preserve">low success rate </w:t>
      </w:r>
      <w:r w:rsidR="004D4CE0" w:rsidRPr="009A3102">
        <w:t>further deter women.</w:t>
      </w:r>
      <w:r w:rsidR="004D4CE0" w:rsidRPr="009A3102">
        <w:rPr>
          <w:rStyle w:val="FootnoteReference"/>
        </w:rPr>
        <w:footnoteReference w:id="33"/>
      </w:r>
      <w:r w:rsidR="004D4CE0" w:rsidRPr="009A3102">
        <w:t xml:space="preserve"> </w:t>
      </w:r>
    </w:p>
    <w:p w14:paraId="15B6DE12" w14:textId="5C4A7F27" w:rsidR="0088659E" w:rsidRPr="009A3102" w:rsidRDefault="001D475B" w:rsidP="001B122F">
      <w:pPr>
        <w:numPr>
          <w:ilvl w:val="0"/>
          <w:numId w:val="7"/>
        </w:numPr>
        <w:spacing w:after="120"/>
        <w:ind w:left="360"/>
        <w:jc w:val="both"/>
      </w:pPr>
      <w:r w:rsidRPr="009A3102">
        <w:t xml:space="preserve">According to the findings of a </w:t>
      </w:r>
      <w:r w:rsidR="00703B17" w:rsidRPr="009A3102">
        <w:t>2018 UN</w:t>
      </w:r>
      <w:r w:rsidR="003D25B8" w:rsidRPr="009A3102">
        <w:t xml:space="preserve"> </w:t>
      </w:r>
      <w:r w:rsidR="00703B17" w:rsidRPr="009A3102">
        <w:t xml:space="preserve">Women case study in </w:t>
      </w:r>
      <w:r w:rsidR="005300BE" w:rsidRPr="009A3102">
        <w:t>the Jordan Valley, Tubas</w:t>
      </w:r>
      <w:r w:rsidR="00C62142" w:rsidRPr="009A3102">
        <w:t>,</w:t>
      </w:r>
      <w:r w:rsidR="005300BE" w:rsidRPr="009A3102">
        <w:t xml:space="preserve"> and H2 areas of </w:t>
      </w:r>
      <w:r w:rsidR="00703B17" w:rsidRPr="009A3102">
        <w:t>Palestine</w:t>
      </w:r>
      <w:r w:rsidRPr="009A3102">
        <w:t xml:space="preserve">, only 2% of women experiencing </w:t>
      </w:r>
      <w:r w:rsidR="00843C2F" w:rsidRPr="009A3102">
        <w:t xml:space="preserve">gender-based violence </w:t>
      </w:r>
      <w:r w:rsidR="00703B17" w:rsidRPr="009A3102">
        <w:t xml:space="preserve">had </w:t>
      </w:r>
      <w:r w:rsidR="008C1146" w:rsidRPr="009A3102">
        <w:t xml:space="preserve">knowledge of and </w:t>
      </w:r>
      <w:r w:rsidR="00843C2F" w:rsidRPr="009A3102">
        <w:t xml:space="preserve">access </w:t>
      </w:r>
      <w:r w:rsidR="00703B17" w:rsidRPr="009A3102">
        <w:t xml:space="preserve">to </w:t>
      </w:r>
      <w:r w:rsidR="00843C2F" w:rsidRPr="009A3102">
        <w:t>legal services</w:t>
      </w:r>
      <w:r w:rsidRPr="009A3102">
        <w:t>.</w:t>
      </w:r>
      <w:r w:rsidR="00843C2F" w:rsidRPr="009A3102">
        <w:rPr>
          <w:rStyle w:val="FootnoteReference"/>
        </w:rPr>
        <w:footnoteReference w:id="34"/>
      </w:r>
    </w:p>
    <w:p w14:paraId="604FF1EF" w14:textId="20DE8A97" w:rsidR="00B666D8" w:rsidRPr="00A167E5" w:rsidRDefault="00B666D8" w:rsidP="00A167E5">
      <w:pPr>
        <w:spacing w:after="120"/>
        <w:jc w:val="both"/>
        <w:rPr>
          <w:i/>
          <w:iCs/>
        </w:rPr>
      </w:pPr>
      <w:r w:rsidRPr="00A167E5">
        <w:rPr>
          <w:i/>
          <w:iCs/>
        </w:rPr>
        <w:t>Feminization of poverty increases</w:t>
      </w:r>
      <w:r w:rsidR="00040237">
        <w:rPr>
          <w:i/>
          <w:iCs/>
        </w:rPr>
        <w:t xml:space="preserve"> the</w:t>
      </w:r>
      <w:r w:rsidRPr="00A167E5">
        <w:rPr>
          <w:i/>
          <w:iCs/>
        </w:rPr>
        <w:t xml:space="preserve"> </w:t>
      </w:r>
      <w:r w:rsidR="008C790E">
        <w:rPr>
          <w:i/>
          <w:iCs/>
        </w:rPr>
        <w:t xml:space="preserve">risk of being sentenced to death. </w:t>
      </w:r>
    </w:p>
    <w:p w14:paraId="56638B3E" w14:textId="5903D785" w:rsidR="00ED7C43" w:rsidRPr="009A3102" w:rsidRDefault="00ED7C43" w:rsidP="00CF7BF0">
      <w:pPr>
        <w:numPr>
          <w:ilvl w:val="0"/>
          <w:numId w:val="7"/>
        </w:numPr>
        <w:spacing w:after="120"/>
        <w:ind w:left="360"/>
        <w:jc w:val="both"/>
      </w:pPr>
      <w:r w:rsidRPr="009A3102">
        <w:t>Women in poverty are at a severe disadvantage when faced with the risk of a death sentence.</w:t>
      </w:r>
      <w:r w:rsidRPr="009A3102">
        <w:rPr>
          <w:rStyle w:val="FootnoteReference"/>
        </w:rPr>
        <w:footnoteReference w:id="35"/>
      </w:r>
      <w:r w:rsidRPr="009A3102">
        <w:t xml:space="preserve"> 1.4 million Palestinians live in poverty, and Palestinian women living in poverty are a “particularly vulnerable group.”</w:t>
      </w:r>
      <w:r w:rsidRPr="009A3102">
        <w:rPr>
          <w:rStyle w:val="FootnoteReference"/>
        </w:rPr>
        <w:footnoteReference w:id="36"/>
      </w:r>
      <w:r w:rsidRPr="009A3102">
        <w:t xml:space="preserve"> </w:t>
      </w:r>
      <w:r w:rsidR="00A806B9" w:rsidRPr="009A3102">
        <w:t xml:space="preserve">The State Party report provides </w:t>
      </w:r>
      <w:r w:rsidRPr="009A3102">
        <w:t xml:space="preserve">raw numbers on the </w:t>
      </w:r>
      <w:r w:rsidR="00A806B9" w:rsidRPr="009A3102">
        <w:t xml:space="preserve">number </w:t>
      </w:r>
      <w:r w:rsidRPr="009A3102">
        <w:t>of “economic empowerment projects” awarded to women.</w:t>
      </w:r>
      <w:r w:rsidR="00502D3D">
        <w:rPr>
          <w:rStyle w:val="FootnoteReference"/>
        </w:rPr>
        <w:footnoteReference w:id="37"/>
      </w:r>
      <w:r w:rsidRPr="009A3102">
        <w:t xml:space="preserve"> </w:t>
      </w:r>
      <w:r w:rsidR="00DE6FD7" w:rsidRPr="009A3102">
        <w:t>I</w:t>
      </w:r>
      <w:r w:rsidRPr="009A3102">
        <w:t>t is difficult to assess the impact of these projects</w:t>
      </w:r>
      <w:r w:rsidR="00DE6FD7" w:rsidRPr="009A3102">
        <w:t>, however,</w:t>
      </w:r>
      <w:r w:rsidRPr="009A3102">
        <w:t xml:space="preserve"> without knowing the percentage of women receiving them. Further, </w:t>
      </w:r>
      <w:r w:rsidR="00DE6FD7" w:rsidRPr="009A3102">
        <w:t xml:space="preserve">it is unclear whether </w:t>
      </w:r>
      <w:r w:rsidRPr="009A3102">
        <w:t xml:space="preserve">these projects </w:t>
      </w:r>
      <w:r w:rsidR="00DE6FD7" w:rsidRPr="009A3102">
        <w:t xml:space="preserve">are effective </w:t>
      </w:r>
      <w:r w:rsidRPr="009A3102">
        <w:t xml:space="preserve">in reducing poverty and generating long-term income. </w:t>
      </w:r>
    </w:p>
    <w:p w14:paraId="43E19D71" w14:textId="765BE7D9" w:rsidR="00ED7C43" w:rsidRPr="009A3102" w:rsidRDefault="00964A11" w:rsidP="00CF7BF0">
      <w:pPr>
        <w:numPr>
          <w:ilvl w:val="0"/>
          <w:numId w:val="7"/>
        </w:numPr>
        <w:spacing w:after="120"/>
        <w:ind w:left="360"/>
        <w:jc w:val="both"/>
      </w:pPr>
      <w:r w:rsidRPr="009A3102">
        <w:t>Indeed,</w:t>
      </w:r>
      <w:r w:rsidR="00EA2A1B" w:rsidRPr="009A3102">
        <w:t xml:space="preserve"> on a global scale</w:t>
      </w:r>
      <w:r w:rsidRPr="009A3102">
        <w:t xml:space="preserve"> m</w:t>
      </w:r>
      <w:r w:rsidR="00ED7C43" w:rsidRPr="009A3102">
        <w:t>any women sentenced to death have disadvantaged socio-economic backgrounds.</w:t>
      </w:r>
      <w:r w:rsidR="00ED7C43" w:rsidRPr="009A3102">
        <w:rPr>
          <w:rStyle w:val="FootnoteReference"/>
        </w:rPr>
        <w:footnoteReference w:id="38"/>
      </w:r>
      <w:r w:rsidR="00ED7C43" w:rsidRPr="009A3102">
        <w:t xml:space="preserve"> Palestinian women have a low rate of participation in the labor force (17%) and a high rate of unemployment (43%).</w:t>
      </w:r>
      <w:r w:rsidR="00ED7C43" w:rsidRPr="009A3102">
        <w:rPr>
          <w:rStyle w:val="FootnoteReference"/>
        </w:rPr>
        <w:footnoteReference w:id="39"/>
      </w:r>
      <w:r w:rsidR="00ED7C43" w:rsidRPr="009A3102">
        <w:t xml:space="preserve"> </w:t>
      </w:r>
      <w:r w:rsidR="00D069D9" w:rsidRPr="009A3102">
        <w:t xml:space="preserve">According to </w:t>
      </w:r>
      <w:r w:rsidR="00494A9F" w:rsidRPr="009A3102">
        <w:t xml:space="preserve">the 2019 Violence in Palestinian </w:t>
      </w:r>
      <w:r w:rsidR="00494A9F" w:rsidRPr="009A3102">
        <w:lastRenderedPageBreak/>
        <w:t>Society Survey conducted by the Palestinian Central Bureau of Statistics, b</w:t>
      </w:r>
      <w:r w:rsidR="00F757D6" w:rsidRPr="009A3102">
        <w:t>eyond the physical domestic violence discussed above</w:t>
      </w:r>
      <w:r w:rsidR="00ED7C43" w:rsidRPr="009A3102">
        <w:t>, 41% of Palestinian women experienced economic violence by their husbands in 2019.</w:t>
      </w:r>
      <w:r w:rsidR="00ED7C43" w:rsidRPr="009A3102">
        <w:rPr>
          <w:rStyle w:val="FootnoteReference"/>
        </w:rPr>
        <w:footnoteReference w:id="40"/>
      </w:r>
      <w:r w:rsidR="00ED7C43" w:rsidRPr="009A3102">
        <w:t xml:space="preserve"> The lack of economic resources makes it difficult for women to retain qualified legal counsel during capital </w:t>
      </w:r>
      <w:r w:rsidR="00A612EF">
        <w:t>trials</w:t>
      </w:r>
      <w:r w:rsidR="00ED7C43" w:rsidRPr="009A3102">
        <w:t>.</w:t>
      </w:r>
      <w:r w:rsidR="00ED7C43" w:rsidRPr="009A3102">
        <w:rPr>
          <w:rStyle w:val="FootnoteReference"/>
        </w:rPr>
        <w:footnoteReference w:id="41"/>
      </w:r>
    </w:p>
    <w:p w14:paraId="4161E2AD" w14:textId="7A4E2F8D" w:rsidR="00ED7C43" w:rsidRPr="009A3102" w:rsidRDefault="005D63B7" w:rsidP="00CF7BF0">
      <w:pPr>
        <w:numPr>
          <w:ilvl w:val="0"/>
          <w:numId w:val="7"/>
        </w:numPr>
        <w:spacing w:after="120"/>
        <w:ind w:left="360"/>
        <w:jc w:val="both"/>
      </w:pPr>
      <w:r w:rsidRPr="009A3102">
        <w:t>Because</w:t>
      </w:r>
      <w:r w:rsidR="00ED7C43" w:rsidRPr="009A3102">
        <w:t xml:space="preserve"> Palestinian women frequently lack property or money of their own,</w:t>
      </w:r>
      <w:r w:rsidR="00F914C0" w:rsidRPr="009A3102">
        <w:t xml:space="preserve"> </w:t>
      </w:r>
      <w:r w:rsidR="00BC0ADE" w:rsidRPr="009A3102">
        <w:t xml:space="preserve">they are at increased risk of facing </w:t>
      </w:r>
      <w:r w:rsidR="00F914C0" w:rsidRPr="009A3102">
        <w:t>the death penalty.</w:t>
      </w:r>
      <w:r w:rsidR="00ED7C43" w:rsidRPr="009A3102">
        <w:t xml:space="preserve"> </w:t>
      </w:r>
      <w:r w:rsidR="00B50D5E" w:rsidRPr="009A3102">
        <w:t xml:space="preserve">In </w:t>
      </w:r>
      <w:r w:rsidR="00ED7C43" w:rsidRPr="009A3102">
        <w:t>Palestine</w:t>
      </w:r>
      <w:r w:rsidR="00B50D5E" w:rsidRPr="009A3102">
        <w:t>,</w:t>
      </w:r>
      <w:r w:rsidR="00ED7C43" w:rsidRPr="009A3102">
        <w:t xml:space="preserve"> financial restitution can reduce the accused’s sentence or settle the case.</w:t>
      </w:r>
      <w:r w:rsidR="00ED7C43" w:rsidRPr="009A3102">
        <w:rPr>
          <w:rStyle w:val="FootnoteReference"/>
        </w:rPr>
        <w:footnoteReference w:id="42"/>
      </w:r>
      <w:r w:rsidR="00ED7C43" w:rsidRPr="009A3102">
        <w:t xml:space="preserve"> For example,</w:t>
      </w:r>
      <w:r w:rsidR="003B5878" w:rsidRPr="009A3102">
        <w:t xml:space="preserve"> the family of</w:t>
      </w:r>
      <w:r w:rsidR="00ED7C43" w:rsidRPr="009A3102">
        <w:t xml:space="preserve"> Nahla Abu Anza</w:t>
      </w:r>
      <w:r w:rsidR="003B5878" w:rsidRPr="009A3102">
        <w:t xml:space="preserve">, discussed in paragraph </w:t>
      </w:r>
      <w:r w:rsidR="00C80ECE">
        <w:t>_</w:t>
      </w:r>
      <w:r w:rsidR="003B5878" w:rsidRPr="009A3102">
        <w:t xml:space="preserve"> above, </w:t>
      </w:r>
      <w:r w:rsidR="00ED7C43" w:rsidRPr="009A3102">
        <w:t>refused to pay “blood money” to her husband’s family after she killed her husband. Compensating the husband’s family would have settled the case.</w:t>
      </w:r>
      <w:r w:rsidR="00ED7C43" w:rsidRPr="009A3102">
        <w:rPr>
          <w:rStyle w:val="FootnoteReference"/>
        </w:rPr>
        <w:footnoteReference w:id="43"/>
      </w:r>
      <w:r w:rsidR="00B50D5E" w:rsidRPr="009A3102">
        <w:t xml:space="preserve"> </w:t>
      </w:r>
      <w:r w:rsidR="00ED7C43" w:rsidRPr="009A3102">
        <w:t>Instead, the court appointed her a lawyer who provided substandard representation</w:t>
      </w:r>
      <w:r w:rsidR="00C711B9">
        <w:t>,</w:t>
      </w:r>
      <w:r w:rsidR="008E727A" w:rsidRPr="009A3102">
        <w:t xml:space="preserve"> and ultimately</w:t>
      </w:r>
      <w:r w:rsidR="00C711B9">
        <w:t>,</w:t>
      </w:r>
      <w:r w:rsidR="008E727A" w:rsidRPr="009A3102">
        <w:t xml:space="preserve"> she </w:t>
      </w:r>
      <w:r w:rsidR="00C711B9">
        <w:t>was sentenced to</w:t>
      </w:r>
      <w:r w:rsidR="00C711B9" w:rsidRPr="009A3102">
        <w:t xml:space="preserve"> </w:t>
      </w:r>
      <w:r w:rsidR="008E727A" w:rsidRPr="009A3102">
        <w:t>death</w:t>
      </w:r>
      <w:r w:rsidR="00ED7C43" w:rsidRPr="009A3102">
        <w:t>.</w:t>
      </w:r>
      <w:r w:rsidR="00ED7C43" w:rsidRPr="009A3102">
        <w:rPr>
          <w:rStyle w:val="FootnoteReference"/>
        </w:rPr>
        <w:footnoteReference w:id="44"/>
      </w:r>
      <w:r w:rsidR="00ED7C43" w:rsidRPr="009A3102">
        <w:t xml:space="preserve"> </w:t>
      </w:r>
    </w:p>
    <w:p w14:paraId="6341CC87" w14:textId="1DB7C6B4" w:rsidR="00ED7C43" w:rsidRPr="009A3102" w:rsidRDefault="00ED7C43" w:rsidP="00CF7BF0">
      <w:pPr>
        <w:numPr>
          <w:ilvl w:val="0"/>
          <w:numId w:val="7"/>
        </w:numPr>
        <w:spacing w:after="120"/>
        <w:ind w:left="360"/>
        <w:jc w:val="both"/>
      </w:pPr>
      <w:r w:rsidRPr="009A3102">
        <w:t>Fair trial principles dictate that courts should consider all relevant mitigating circumstances.</w:t>
      </w:r>
      <w:r w:rsidRPr="009A3102">
        <w:rPr>
          <w:rStyle w:val="FootnoteReference"/>
        </w:rPr>
        <w:footnoteReference w:id="45"/>
      </w:r>
      <w:r w:rsidRPr="009A3102">
        <w:t xml:space="preserve"> Sentencing courts often fail to consider a woman’s history as a survivor of gender-based violence or a psychologically abusive relationship as mitigating factors.</w:t>
      </w:r>
      <w:r w:rsidRPr="009A3102">
        <w:rPr>
          <w:rStyle w:val="FootnoteReference"/>
        </w:rPr>
        <w:footnoteReference w:id="46"/>
      </w:r>
      <w:r w:rsidRPr="009A3102">
        <w:t xml:space="preserve"> Further, </w:t>
      </w:r>
      <w:r w:rsidR="00D1313D" w:rsidRPr="009A3102">
        <w:t xml:space="preserve">as discussed above, except under limited circumstances, </w:t>
      </w:r>
      <w:r w:rsidRPr="009A3102">
        <w:t>Palestine does not recognize self-defense, even for women like Nahla Abu Anza who have experienced prolonged domestic violence.</w:t>
      </w:r>
      <w:r w:rsidR="002747B4" w:rsidRPr="009A3102">
        <w:rPr>
          <w:rStyle w:val="FootnoteReference"/>
        </w:rPr>
        <w:footnoteReference w:id="47"/>
      </w:r>
    </w:p>
    <w:p w14:paraId="1AC2A27A" w14:textId="67DF9A5B" w:rsidR="00ED7C43" w:rsidRPr="009A3102" w:rsidRDefault="00ED7C43" w:rsidP="00CF7BF0">
      <w:pPr>
        <w:numPr>
          <w:ilvl w:val="0"/>
          <w:numId w:val="7"/>
        </w:numPr>
        <w:spacing w:after="120"/>
        <w:ind w:left="360"/>
        <w:jc w:val="both"/>
      </w:pPr>
      <w:r w:rsidRPr="009A3102">
        <w:t>Lack of education makes it difficult for women to be fully engaged in their defense and to read and interpret legal documents.</w:t>
      </w:r>
      <w:r w:rsidRPr="009A3102">
        <w:rPr>
          <w:rStyle w:val="FootnoteReference"/>
        </w:rPr>
        <w:footnoteReference w:id="48"/>
      </w:r>
      <w:r w:rsidRPr="009A3102">
        <w:t xml:space="preserve"> The Israeli occupation has disrupted the educational infrastructure of Palestine.</w:t>
      </w:r>
      <w:r w:rsidRPr="009A3102">
        <w:rPr>
          <w:rStyle w:val="FootnoteReference"/>
        </w:rPr>
        <w:footnoteReference w:id="49"/>
      </w:r>
      <w:r w:rsidRPr="009A3102">
        <w:t xml:space="preserve"> Palestine did not report efforts to address the adverse effects of the armed conflict on access to educational opportunities. The Israeli occupation has particularly undermined the rights of Palestinian refugees to education, employment, and </w:t>
      </w:r>
      <w:r w:rsidRPr="009A3102">
        <w:lastRenderedPageBreak/>
        <w:t>property.</w:t>
      </w:r>
      <w:r w:rsidRPr="009A3102">
        <w:rPr>
          <w:rStyle w:val="FootnoteReference"/>
        </w:rPr>
        <w:footnoteReference w:id="50"/>
      </w:r>
      <w:r w:rsidRPr="009A3102">
        <w:t xml:space="preserve"> In general, living under military occupation increase</w:t>
      </w:r>
      <w:r w:rsidR="00014216" w:rsidRPr="009A3102">
        <w:t>s women’s</w:t>
      </w:r>
      <w:r w:rsidRPr="009A3102">
        <w:t xml:space="preserve"> risk of discrimination and victimization.</w:t>
      </w:r>
      <w:r w:rsidRPr="009A3102">
        <w:rPr>
          <w:rStyle w:val="FootnoteReference"/>
        </w:rPr>
        <w:footnoteReference w:id="51"/>
      </w:r>
      <w:r w:rsidRPr="009A3102">
        <w:t xml:space="preserve"> </w:t>
      </w:r>
    </w:p>
    <w:p w14:paraId="37DFD87F" w14:textId="77777777" w:rsidR="00ED7C43" w:rsidRPr="009A3102" w:rsidRDefault="00ED7C43" w:rsidP="00CF7BF0">
      <w:pPr>
        <w:numPr>
          <w:ilvl w:val="0"/>
          <w:numId w:val="7"/>
        </w:numPr>
        <w:spacing w:after="120"/>
        <w:ind w:left="360"/>
        <w:jc w:val="both"/>
      </w:pPr>
      <w:r w:rsidRPr="009A3102">
        <w:rPr>
          <w:b/>
        </w:rPr>
        <w:t>Suggested recommendations</w:t>
      </w:r>
      <w:r w:rsidRPr="009A3102">
        <w:t xml:space="preserve"> relating to women and the death penalty:</w:t>
      </w:r>
    </w:p>
    <w:p w14:paraId="21814021" w14:textId="77F5AC9C" w:rsidR="00ED7C43" w:rsidRPr="009A3102" w:rsidRDefault="00ED7C43" w:rsidP="00CF7BF0">
      <w:pPr>
        <w:numPr>
          <w:ilvl w:val="1"/>
          <w:numId w:val="7"/>
        </w:numPr>
        <w:spacing w:after="120"/>
        <w:ind w:left="1080"/>
        <w:jc w:val="both"/>
      </w:pPr>
      <w:r w:rsidRPr="009A3102">
        <w:t>Abolish the death penalty and replace it with a penalty that is fair, proportionate, and consistent with international human rights standards</w:t>
      </w:r>
      <w:r w:rsidR="00155FAD" w:rsidRPr="009A3102">
        <w:t>.</w:t>
      </w:r>
      <w:r w:rsidRPr="009A3102">
        <w:t xml:space="preserve"> </w:t>
      </w:r>
    </w:p>
    <w:p w14:paraId="7685EA1B" w14:textId="727B1C32" w:rsidR="00ED7C43" w:rsidRPr="009A3102" w:rsidRDefault="00ED7C43" w:rsidP="00CF7BF0">
      <w:pPr>
        <w:numPr>
          <w:ilvl w:val="1"/>
          <w:numId w:val="7"/>
        </w:numPr>
        <w:spacing w:after="120"/>
        <w:ind w:left="1080"/>
        <w:jc w:val="both"/>
      </w:pPr>
      <w:r w:rsidRPr="009A3102">
        <w:t>In the interim, eliminate the death penalty as a possible sentence for non-violent offenses</w:t>
      </w:r>
      <w:r w:rsidR="00155FAD" w:rsidRPr="009A3102">
        <w:t>.</w:t>
      </w:r>
      <w:r w:rsidRPr="009A3102">
        <w:t xml:space="preserve"> </w:t>
      </w:r>
    </w:p>
    <w:p w14:paraId="0A730FE3" w14:textId="1A70BFCF" w:rsidR="00ED7C43" w:rsidRPr="009A3102" w:rsidRDefault="00ED7C43" w:rsidP="00CF7BF0">
      <w:pPr>
        <w:numPr>
          <w:ilvl w:val="1"/>
          <w:numId w:val="7"/>
        </w:numPr>
        <w:spacing w:after="120"/>
        <w:ind w:left="1080"/>
        <w:jc w:val="both"/>
      </w:pPr>
      <w:r w:rsidRPr="009A3102">
        <w:t>Prevent the application of the death penalty to women and girls who have survived gender-based violence, including early and forced marriages as well as rape and sexual assault, and who subsequently engage in criminal conduct against their abusers</w:t>
      </w:r>
      <w:r w:rsidR="00155FAD" w:rsidRPr="009A3102">
        <w:t>.</w:t>
      </w:r>
      <w:r w:rsidRPr="009A3102">
        <w:t xml:space="preserve"> </w:t>
      </w:r>
    </w:p>
    <w:p w14:paraId="7B353786" w14:textId="4A397CAC" w:rsidR="00ED7C43" w:rsidRPr="009A3102" w:rsidRDefault="00ED7C43" w:rsidP="00CF7BF0">
      <w:pPr>
        <w:numPr>
          <w:ilvl w:val="1"/>
          <w:numId w:val="7"/>
        </w:numPr>
        <w:spacing w:after="120"/>
        <w:ind w:left="1080"/>
        <w:jc w:val="both"/>
      </w:pPr>
      <w:r w:rsidRPr="009A3102">
        <w:t>Conduct the Violence in Palestinian Society Survey every five years</w:t>
      </w:r>
      <w:r w:rsidR="00155FAD" w:rsidRPr="009A3102">
        <w:t>.</w:t>
      </w:r>
    </w:p>
    <w:p w14:paraId="43A01B7F" w14:textId="09F2FF51" w:rsidR="00ED7C43" w:rsidRPr="009A3102" w:rsidRDefault="00ED7C43" w:rsidP="00CF7BF0">
      <w:pPr>
        <w:numPr>
          <w:ilvl w:val="1"/>
          <w:numId w:val="7"/>
        </w:numPr>
        <w:spacing w:after="120"/>
        <w:ind w:left="1080"/>
        <w:jc w:val="both"/>
      </w:pPr>
      <w:r w:rsidRPr="009A3102">
        <w:t>Disseminate information to women about local centers or institutions for protection against violence, focusing on women in the Gaza Strip</w:t>
      </w:r>
      <w:r w:rsidR="00155FAD" w:rsidRPr="009A3102">
        <w:t>.</w:t>
      </w:r>
    </w:p>
    <w:p w14:paraId="704BAEE0" w14:textId="0433DBD4" w:rsidR="00ED7C43" w:rsidRPr="009A3102" w:rsidRDefault="00ED7C43" w:rsidP="00CF7BF0">
      <w:pPr>
        <w:numPr>
          <w:ilvl w:val="1"/>
          <w:numId w:val="7"/>
        </w:numPr>
        <w:spacing w:after="120"/>
        <w:ind w:left="1080"/>
        <w:jc w:val="both"/>
      </w:pPr>
      <w:r w:rsidRPr="009A3102">
        <w:t xml:space="preserve">Collaborate with civil society organizations that specialize in gender-based violence to provide judges who have sentencing authority with comprehensive gender-sensitization </w:t>
      </w:r>
      <w:r w:rsidR="00EE250E">
        <w:t>training</w:t>
      </w:r>
      <w:r w:rsidRPr="009A3102">
        <w:t>, including with respect to women and girls accused of crimes who have experience</w:t>
      </w:r>
      <w:r w:rsidR="00CA4F94" w:rsidRPr="009A3102">
        <w:t>d</w:t>
      </w:r>
      <w:r w:rsidRPr="009A3102">
        <w:t xml:space="preserve"> gender-based violence, focusing on gender-based discrimination, domestic violence, and coerc</w:t>
      </w:r>
      <w:r w:rsidR="00B10531" w:rsidRPr="009A3102">
        <w:t>ive control</w:t>
      </w:r>
      <w:r w:rsidRPr="009A3102">
        <w:t xml:space="preserve"> that may lead women to commit capital offenses</w:t>
      </w:r>
      <w:r w:rsidR="00155FAD" w:rsidRPr="009A3102">
        <w:t>.</w:t>
      </w:r>
    </w:p>
    <w:p w14:paraId="2280BC1E" w14:textId="2DED6F9E" w:rsidR="00ED7C43" w:rsidRPr="009A3102" w:rsidRDefault="00ED7C43" w:rsidP="00CF7BF0">
      <w:pPr>
        <w:numPr>
          <w:ilvl w:val="1"/>
          <w:numId w:val="7"/>
        </w:numPr>
        <w:spacing w:after="120"/>
        <w:ind w:left="1080"/>
        <w:jc w:val="both"/>
      </w:pPr>
      <w:r w:rsidRPr="009A3102">
        <w:t>Ensure that all women accused of capital crimes have access to free and effective legal representation by attorneys who specialize in death penalty cases, ensure access to counsel at all times in the litigation, and ensure that the defense team has sufficient funding to conduct a thorough investigation and secure relevant expert witnesses, particularly regarding gender-specific defenses</w:t>
      </w:r>
      <w:r w:rsidR="00155FAD" w:rsidRPr="009A3102">
        <w:t>.</w:t>
      </w:r>
      <w:r w:rsidRPr="009A3102">
        <w:t xml:space="preserve"> </w:t>
      </w:r>
    </w:p>
    <w:p w14:paraId="3FBD7E60" w14:textId="18A31564" w:rsidR="00ED7C43" w:rsidRPr="009A3102" w:rsidRDefault="00ED7C43" w:rsidP="00CF7BF0">
      <w:pPr>
        <w:numPr>
          <w:ilvl w:val="1"/>
          <w:numId w:val="7"/>
        </w:numPr>
        <w:spacing w:after="120"/>
        <w:ind w:left="1080"/>
        <w:jc w:val="both"/>
      </w:pPr>
      <w:r w:rsidRPr="009A3102">
        <w:t>Commute the sentences of women sentence</w:t>
      </w:r>
      <w:r w:rsidR="00B10531" w:rsidRPr="009A3102">
        <w:t>d</w:t>
      </w:r>
      <w:r w:rsidRPr="009A3102">
        <w:t xml:space="preserve"> to death for killing people who perpetrated gender-based violence against them</w:t>
      </w:r>
      <w:r w:rsidR="00155FAD" w:rsidRPr="009A3102">
        <w:t>.</w:t>
      </w:r>
      <w:r w:rsidRPr="009A3102">
        <w:t xml:space="preserve"> </w:t>
      </w:r>
    </w:p>
    <w:p w14:paraId="7E4FBC1C" w14:textId="6D350962" w:rsidR="00EA0EEB" w:rsidRPr="009A3102" w:rsidRDefault="00ED7C43" w:rsidP="00CF7BF0">
      <w:pPr>
        <w:numPr>
          <w:ilvl w:val="1"/>
          <w:numId w:val="7"/>
        </w:numPr>
        <w:spacing w:after="120"/>
        <w:ind w:left="1080"/>
        <w:jc w:val="both"/>
      </w:pPr>
      <w:r w:rsidRPr="009A3102">
        <w:t>Track the impact and effectiveness of the economic empowerment projects on generating long-term income and eradicating poverty</w:t>
      </w:r>
      <w:r w:rsidR="00155FAD" w:rsidRPr="009A3102">
        <w:t>.</w:t>
      </w:r>
    </w:p>
    <w:p w14:paraId="01C2B24A" w14:textId="157639A6" w:rsidR="00D74AF5" w:rsidRPr="009A3102" w:rsidRDefault="00534F42" w:rsidP="4496F487">
      <w:pPr>
        <w:keepNext/>
        <w:numPr>
          <w:ilvl w:val="0"/>
          <w:numId w:val="8"/>
        </w:numPr>
        <w:spacing w:before="240" w:after="240"/>
        <w:ind w:left="720" w:hanging="360"/>
        <w:jc w:val="both"/>
        <w:rPr>
          <w:b/>
          <w:bCs/>
        </w:rPr>
      </w:pPr>
      <w:r w:rsidRPr="009A3102">
        <w:rPr>
          <w:b/>
          <w:bCs/>
        </w:rPr>
        <w:t>The right to p</w:t>
      </w:r>
      <w:r w:rsidR="00D74AF5" w:rsidRPr="009A3102">
        <w:rPr>
          <w:b/>
          <w:bCs/>
        </w:rPr>
        <w:t xml:space="preserve">hysical </w:t>
      </w:r>
      <w:r w:rsidRPr="009A3102">
        <w:rPr>
          <w:b/>
          <w:bCs/>
        </w:rPr>
        <w:t>and mental h</w:t>
      </w:r>
      <w:r w:rsidR="00D74AF5" w:rsidRPr="009A3102">
        <w:rPr>
          <w:b/>
          <w:bCs/>
        </w:rPr>
        <w:t>ealth</w:t>
      </w:r>
      <w:r w:rsidR="0077692C" w:rsidRPr="009A3102">
        <w:rPr>
          <w:b/>
          <w:bCs/>
        </w:rPr>
        <w:t xml:space="preserve"> </w:t>
      </w:r>
      <w:r w:rsidR="00F360E5" w:rsidRPr="009A3102">
        <w:rPr>
          <w:b/>
          <w:bCs/>
        </w:rPr>
        <w:t>(Art. 12</w:t>
      </w:r>
      <w:r w:rsidR="009C5F6C" w:rsidRPr="009A3102">
        <w:rPr>
          <w:b/>
          <w:bCs/>
        </w:rPr>
        <w:t>, List of Issues para. 25</w:t>
      </w:r>
      <w:r w:rsidR="00F360E5" w:rsidRPr="009A3102">
        <w:rPr>
          <w:b/>
          <w:bCs/>
        </w:rPr>
        <w:t>)</w:t>
      </w:r>
    </w:p>
    <w:p w14:paraId="58D0D9C3" w14:textId="6B8E33D9" w:rsidR="047D4AB3" w:rsidRPr="00E11A3E" w:rsidRDefault="00D97C0D" w:rsidP="53D03AEF">
      <w:pPr>
        <w:pStyle w:val="ListParagraph"/>
        <w:keepNext/>
        <w:numPr>
          <w:ilvl w:val="0"/>
          <w:numId w:val="7"/>
        </w:numPr>
        <w:spacing w:before="240" w:after="240"/>
        <w:jc w:val="both"/>
        <w:rPr>
          <w:rFonts w:ascii="Times New Roman" w:eastAsia="Times New Roman" w:hAnsi="Times New Roman"/>
          <w:sz w:val="24"/>
          <w:szCs w:val="24"/>
        </w:rPr>
      </w:pPr>
      <w:r w:rsidRPr="00E11A3E">
        <w:rPr>
          <w:rFonts w:ascii="Times New Roman" w:eastAsia="Times New Roman" w:hAnsi="Times New Roman"/>
          <w:sz w:val="24"/>
          <w:szCs w:val="24"/>
        </w:rPr>
        <w:t xml:space="preserve">The Committee requested </w:t>
      </w:r>
      <w:r w:rsidR="001A3C1B" w:rsidRPr="00E11A3E">
        <w:rPr>
          <w:rFonts w:ascii="Times New Roman" w:eastAsia="Times New Roman" w:hAnsi="Times New Roman"/>
          <w:sz w:val="24"/>
          <w:szCs w:val="24"/>
        </w:rPr>
        <w:t xml:space="preserve">information about </w:t>
      </w:r>
      <w:r w:rsidR="00D61E6A" w:rsidRPr="00E11A3E">
        <w:rPr>
          <w:rFonts w:ascii="Times New Roman" w:eastAsia="Times New Roman" w:hAnsi="Times New Roman"/>
          <w:sz w:val="24"/>
          <w:szCs w:val="24"/>
        </w:rPr>
        <w:t xml:space="preserve">accessibility of </w:t>
      </w:r>
      <w:r w:rsidR="009C5F6C" w:rsidRPr="00E11A3E">
        <w:rPr>
          <w:rFonts w:ascii="Times New Roman" w:eastAsia="Times New Roman" w:hAnsi="Times New Roman"/>
          <w:sz w:val="24"/>
          <w:szCs w:val="24"/>
        </w:rPr>
        <w:t>health-care services.</w:t>
      </w:r>
      <w:r w:rsidR="00BD28CF" w:rsidRPr="00E11A3E">
        <w:rPr>
          <w:rStyle w:val="FootnoteReference"/>
          <w:rFonts w:ascii="Times New Roman" w:eastAsia="Times New Roman" w:hAnsi="Times New Roman"/>
          <w:sz w:val="24"/>
          <w:szCs w:val="24"/>
        </w:rPr>
        <w:footnoteReference w:id="52"/>
      </w:r>
      <w:r w:rsidR="008B6DF5" w:rsidRPr="00E11A3E">
        <w:rPr>
          <w:rFonts w:ascii="Times New Roman" w:eastAsia="Times New Roman" w:hAnsi="Times New Roman"/>
          <w:sz w:val="24"/>
          <w:szCs w:val="24"/>
        </w:rPr>
        <w:t xml:space="preserve"> Palestine </w:t>
      </w:r>
      <w:r w:rsidR="00695870" w:rsidRPr="00E11A3E">
        <w:rPr>
          <w:rFonts w:ascii="Times New Roman" w:eastAsia="Times New Roman" w:hAnsi="Times New Roman"/>
          <w:sz w:val="24"/>
          <w:szCs w:val="24"/>
        </w:rPr>
        <w:t>in its</w:t>
      </w:r>
      <w:r w:rsidR="006C0683" w:rsidRPr="00E11A3E">
        <w:rPr>
          <w:rFonts w:ascii="Times New Roman" w:eastAsia="Times New Roman" w:hAnsi="Times New Roman"/>
          <w:sz w:val="24"/>
          <w:szCs w:val="24"/>
        </w:rPr>
        <w:t xml:space="preserve"> Replie</w:t>
      </w:r>
      <w:r w:rsidR="00484882">
        <w:rPr>
          <w:rFonts w:ascii="Times New Roman" w:eastAsia="Times New Roman" w:hAnsi="Times New Roman"/>
          <w:sz w:val="24"/>
          <w:szCs w:val="24"/>
        </w:rPr>
        <w:t>s</w:t>
      </w:r>
      <w:r w:rsidR="006C0683" w:rsidRPr="00E11A3E">
        <w:rPr>
          <w:rFonts w:ascii="Times New Roman" w:eastAsia="Times New Roman" w:hAnsi="Times New Roman"/>
          <w:sz w:val="24"/>
          <w:szCs w:val="24"/>
        </w:rPr>
        <w:t xml:space="preserve"> </w:t>
      </w:r>
      <w:r w:rsidR="00484882">
        <w:rPr>
          <w:rFonts w:ascii="Times New Roman" w:eastAsia="Times New Roman" w:hAnsi="Times New Roman"/>
          <w:sz w:val="24"/>
          <w:szCs w:val="24"/>
        </w:rPr>
        <w:t xml:space="preserve">to the </w:t>
      </w:r>
      <w:r w:rsidR="006C0683" w:rsidRPr="00E11A3E">
        <w:rPr>
          <w:rFonts w:ascii="Times New Roman" w:eastAsia="Times New Roman" w:hAnsi="Times New Roman"/>
          <w:sz w:val="24"/>
          <w:szCs w:val="24"/>
        </w:rPr>
        <w:t xml:space="preserve">List of Issues report </w:t>
      </w:r>
      <w:r w:rsidR="00C538CC" w:rsidRPr="00E11A3E">
        <w:rPr>
          <w:rFonts w:ascii="Times New Roman" w:eastAsia="Times New Roman" w:hAnsi="Times New Roman"/>
          <w:sz w:val="24"/>
          <w:szCs w:val="24"/>
        </w:rPr>
        <w:t>stated</w:t>
      </w:r>
      <w:r w:rsidR="00484882">
        <w:rPr>
          <w:rFonts w:ascii="Times New Roman" w:eastAsia="Times New Roman" w:hAnsi="Times New Roman"/>
          <w:sz w:val="24"/>
          <w:szCs w:val="24"/>
        </w:rPr>
        <w:t>,</w:t>
      </w:r>
      <w:r w:rsidR="00C538CC" w:rsidRPr="00E11A3E">
        <w:rPr>
          <w:rFonts w:ascii="Times New Roman" w:eastAsia="Times New Roman" w:hAnsi="Times New Roman"/>
          <w:sz w:val="24"/>
          <w:szCs w:val="24"/>
        </w:rPr>
        <w:t xml:space="preserve"> </w:t>
      </w:r>
      <w:r w:rsidR="00E11A3E" w:rsidRPr="00E11A3E">
        <w:rPr>
          <w:rFonts w:ascii="Times New Roman" w:eastAsia="Times New Roman" w:hAnsi="Times New Roman"/>
          <w:sz w:val="24"/>
          <w:szCs w:val="24"/>
        </w:rPr>
        <w:t>“</w:t>
      </w:r>
      <w:r w:rsidR="00E655E7">
        <w:rPr>
          <w:rFonts w:ascii="Times New Roman" w:hAnsi="Times New Roman"/>
          <w:color w:val="000000"/>
          <w:sz w:val="24"/>
          <w:szCs w:val="24"/>
        </w:rPr>
        <w:t>[h]</w:t>
      </w:r>
      <w:proofErr w:type="spellStart"/>
      <w:r w:rsidR="00E11A3E" w:rsidRPr="00A167E5">
        <w:rPr>
          <w:rFonts w:ascii="Times New Roman" w:hAnsi="Times New Roman"/>
          <w:color w:val="000000"/>
          <w:sz w:val="24"/>
          <w:szCs w:val="24"/>
        </w:rPr>
        <w:t>ealth</w:t>
      </w:r>
      <w:proofErr w:type="spellEnd"/>
      <w:r w:rsidR="00E11A3E" w:rsidRPr="00A167E5">
        <w:rPr>
          <w:rFonts w:ascii="Times New Roman" w:hAnsi="Times New Roman"/>
          <w:color w:val="000000"/>
          <w:sz w:val="24"/>
          <w:szCs w:val="24"/>
        </w:rPr>
        <w:t xml:space="preserve"> insurance services have been provided to 132 Palestinian prisoners, and the insurance is regularly renewed on an </w:t>
      </w:r>
      <w:r w:rsidR="00E11A3E" w:rsidRPr="00A167E5">
        <w:rPr>
          <w:rFonts w:ascii="Times New Roman" w:hAnsi="Times New Roman"/>
          <w:color w:val="000000"/>
          <w:sz w:val="24"/>
          <w:szCs w:val="24"/>
        </w:rPr>
        <w:lastRenderedPageBreak/>
        <w:t>annual basis for persons who remain in detention for more than a year.”</w:t>
      </w:r>
      <w:r w:rsidR="00E11A3E" w:rsidRPr="00A167E5">
        <w:rPr>
          <w:rStyle w:val="FootnoteReference"/>
          <w:rFonts w:ascii="Times New Roman" w:hAnsi="Times New Roman"/>
          <w:color w:val="000000"/>
          <w:sz w:val="24"/>
          <w:szCs w:val="24"/>
        </w:rPr>
        <w:footnoteReference w:id="53"/>
      </w:r>
      <w:r w:rsidR="005A4DF8">
        <w:rPr>
          <w:rFonts w:ascii="Times New Roman" w:hAnsi="Times New Roman"/>
          <w:color w:val="000000"/>
          <w:sz w:val="24"/>
          <w:szCs w:val="24"/>
        </w:rPr>
        <w:t xml:space="preserve"> It is unclear from the information provided by Palestine which criteria </w:t>
      </w:r>
      <w:r w:rsidR="00800E66">
        <w:rPr>
          <w:rFonts w:ascii="Times New Roman" w:hAnsi="Times New Roman"/>
          <w:color w:val="000000"/>
          <w:sz w:val="24"/>
          <w:szCs w:val="24"/>
        </w:rPr>
        <w:t xml:space="preserve">are </w:t>
      </w:r>
      <w:r w:rsidR="005A4DF8">
        <w:rPr>
          <w:rFonts w:ascii="Times New Roman" w:hAnsi="Times New Roman"/>
          <w:color w:val="000000"/>
          <w:sz w:val="24"/>
          <w:szCs w:val="24"/>
        </w:rPr>
        <w:t xml:space="preserve">used to select </w:t>
      </w:r>
      <w:r w:rsidR="00E56A47">
        <w:rPr>
          <w:rFonts w:ascii="Times New Roman" w:hAnsi="Times New Roman"/>
          <w:color w:val="000000"/>
          <w:sz w:val="24"/>
          <w:szCs w:val="24"/>
        </w:rPr>
        <w:t xml:space="preserve">people receiving health insurance while in detention or where are detained. </w:t>
      </w:r>
    </w:p>
    <w:p w14:paraId="35D849FD" w14:textId="3F7DBEFF" w:rsidR="00AB2537" w:rsidRPr="00A167E5" w:rsidRDefault="00671E1F" w:rsidP="001C48E4">
      <w:pPr>
        <w:pStyle w:val="ListParagraph"/>
        <w:keepNext/>
        <w:numPr>
          <w:ilvl w:val="0"/>
          <w:numId w:val="7"/>
        </w:numPr>
        <w:spacing w:before="240" w:after="240"/>
        <w:jc w:val="both"/>
        <w:rPr>
          <w:rFonts w:ascii="Times New Roman" w:hAnsi="Times New Roman"/>
          <w:sz w:val="24"/>
          <w:szCs w:val="24"/>
        </w:rPr>
      </w:pPr>
      <w:r w:rsidRPr="009A3102">
        <w:rPr>
          <w:rFonts w:ascii="Times New Roman" w:eastAsia="Times New Roman" w:hAnsi="Times New Roman"/>
          <w:sz w:val="24"/>
          <w:szCs w:val="24"/>
        </w:rPr>
        <w:t xml:space="preserve">People detained in </w:t>
      </w:r>
      <w:r w:rsidR="283E7050" w:rsidRPr="009A3102">
        <w:rPr>
          <w:rFonts w:ascii="Times New Roman" w:eastAsia="Times New Roman" w:hAnsi="Times New Roman"/>
          <w:sz w:val="24"/>
          <w:szCs w:val="24"/>
        </w:rPr>
        <w:t>Palestinian jails</w:t>
      </w:r>
      <w:r w:rsidR="008E01F2" w:rsidRPr="009A3102">
        <w:rPr>
          <w:rFonts w:ascii="Times New Roman" w:eastAsia="Times New Roman" w:hAnsi="Times New Roman"/>
          <w:sz w:val="24"/>
          <w:szCs w:val="24"/>
        </w:rPr>
        <w:t xml:space="preserve"> are deprived </w:t>
      </w:r>
      <w:r w:rsidR="372F6779" w:rsidRPr="009A3102">
        <w:rPr>
          <w:rFonts w:ascii="Times New Roman" w:eastAsia="Times New Roman" w:hAnsi="Times New Roman"/>
          <w:sz w:val="24"/>
          <w:szCs w:val="24"/>
        </w:rPr>
        <w:t>of adequate medical treatment.</w:t>
      </w:r>
      <w:r w:rsidR="283E7050" w:rsidRPr="009A3102">
        <w:rPr>
          <w:rStyle w:val="FootnoteReference"/>
          <w:rFonts w:ascii="Times New Roman" w:eastAsia="Times New Roman" w:hAnsi="Times New Roman"/>
          <w:sz w:val="24"/>
          <w:szCs w:val="24"/>
        </w:rPr>
        <w:footnoteReference w:id="54"/>
      </w:r>
      <w:r w:rsidR="009A3102" w:rsidRPr="009A3102">
        <w:rPr>
          <w:rFonts w:ascii="Times New Roman" w:eastAsia="Times New Roman" w:hAnsi="Times New Roman"/>
          <w:sz w:val="24"/>
          <w:szCs w:val="24"/>
        </w:rPr>
        <w:t xml:space="preserve"> </w:t>
      </w:r>
      <w:r w:rsidR="4418C405" w:rsidRPr="00A167E5">
        <w:rPr>
          <w:rFonts w:ascii="Times New Roman" w:hAnsi="Times New Roman"/>
          <w:sz w:val="24"/>
          <w:szCs w:val="24"/>
        </w:rPr>
        <w:t>Up to 12 individuals may be housed in one cell, leading to hygiene and ventilation concerns.</w:t>
      </w:r>
      <w:r w:rsidR="03E56531" w:rsidRPr="009A3102">
        <w:rPr>
          <w:rStyle w:val="FootnoteReference"/>
          <w:rFonts w:ascii="Times New Roman" w:eastAsia="Times New Roman" w:hAnsi="Times New Roman"/>
          <w:sz w:val="24"/>
          <w:szCs w:val="24"/>
        </w:rPr>
        <w:footnoteReference w:id="55"/>
      </w:r>
      <w:r w:rsidR="009A3102">
        <w:rPr>
          <w:rFonts w:ascii="Times New Roman" w:hAnsi="Times New Roman"/>
          <w:sz w:val="24"/>
          <w:szCs w:val="24"/>
        </w:rPr>
        <w:t xml:space="preserve"> </w:t>
      </w:r>
      <w:r w:rsidR="4C9EE193" w:rsidRPr="00A167E5">
        <w:rPr>
          <w:rFonts w:ascii="Times New Roman" w:hAnsi="Times New Roman"/>
          <w:sz w:val="24"/>
          <w:szCs w:val="24"/>
        </w:rPr>
        <w:t xml:space="preserve">According to the Palestinian Center for Human Rights, several people in Palestinian prisons have suffered declining health conditions leading to death while in custody. </w:t>
      </w:r>
      <w:r w:rsidR="00647D38" w:rsidRPr="001C48E4">
        <w:rPr>
          <w:rFonts w:ascii="Times New Roman" w:hAnsi="Times New Roman"/>
          <w:sz w:val="24"/>
          <w:szCs w:val="24"/>
        </w:rPr>
        <w:t>T</w:t>
      </w:r>
      <w:r w:rsidR="7E18788A" w:rsidRPr="00A167E5">
        <w:rPr>
          <w:rFonts w:ascii="Times New Roman" w:hAnsi="Times New Roman"/>
          <w:sz w:val="24"/>
          <w:szCs w:val="24"/>
        </w:rPr>
        <w:t xml:space="preserve">wo people have died in police </w:t>
      </w:r>
      <w:r w:rsidR="003653A6" w:rsidRPr="001C48E4">
        <w:rPr>
          <w:rFonts w:ascii="Times New Roman" w:hAnsi="Times New Roman"/>
          <w:sz w:val="24"/>
          <w:szCs w:val="24"/>
        </w:rPr>
        <w:t>custody</w:t>
      </w:r>
      <w:r w:rsidR="003653A6" w:rsidRPr="00A167E5">
        <w:rPr>
          <w:rFonts w:ascii="Times New Roman" w:hAnsi="Times New Roman"/>
          <w:sz w:val="24"/>
          <w:szCs w:val="24"/>
        </w:rPr>
        <w:t xml:space="preserve"> </w:t>
      </w:r>
      <w:r w:rsidR="00AA23C8" w:rsidRPr="00A167E5">
        <w:rPr>
          <w:rFonts w:ascii="Times New Roman" w:hAnsi="Times New Roman"/>
          <w:sz w:val="24"/>
          <w:szCs w:val="24"/>
        </w:rPr>
        <w:t>in 2023 alone</w:t>
      </w:r>
      <w:r w:rsidR="7E18788A" w:rsidRPr="00A167E5">
        <w:rPr>
          <w:rFonts w:ascii="Times New Roman" w:hAnsi="Times New Roman"/>
          <w:sz w:val="24"/>
          <w:szCs w:val="24"/>
        </w:rPr>
        <w:t xml:space="preserve">. </w:t>
      </w:r>
      <w:r w:rsidR="3224B688" w:rsidRPr="00A167E5">
        <w:rPr>
          <w:rFonts w:ascii="Times New Roman" w:hAnsi="Times New Roman"/>
          <w:sz w:val="24"/>
          <w:szCs w:val="24"/>
        </w:rPr>
        <w:t>One of these individuals</w:t>
      </w:r>
      <w:r w:rsidR="00A8298B" w:rsidRPr="00A167E5">
        <w:rPr>
          <w:rFonts w:ascii="Times New Roman" w:hAnsi="Times New Roman"/>
          <w:sz w:val="24"/>
          <w:szCs w:val="24"/>
        </w:rPr>
        <w:t xml:space="preserve"> who died in detention</w:t>
      </w:r>
      <w:r w:rsidR="3224B688" w:rsidRPr="00A167E5">
        <w:rPr>
          <w:rFonts w:ascii="Times New Roman" w:hAnsi="Times New Roman"/>
          <w:sz w:val="24"/>
          <w:szCs w:val="24"/>
        </w:rPr>
        <w:t>,</w:t>
      </w:r>
      <w:r w:rsidR="7422A15A" w:rsidRPr="00A167E5">
        <w:rPr>
          <w:rFonts w:ascii="Times New Roman" w:hAnsi="Times New Roman"/>
          <w:sz w:val="24"/>
          <w:szCs w:val="24"/>
        </w:rPr>
        <w:t xml:space="preserve"> M.S., died on April 20 while in police detention after officers</w:t>
      </w:r>
      <w:r w:rsidR="0029429F">
        <w:rPr>
          <w:rFonts w:ascii="Times New Roman" w:hAnsi="Times New Roman"/>
          <w:sz w:val="24"/>
          <w:szCs w:val="24"/>
        </w:rPr>
        <w:t xml:space="preserve"> allegedly</w:t>
      </w:r>
      <w:r w:rsidR="7422A15A" w:rsidRPr="00A167E5">
        <w:rPr>
          <w:rFonts w:ascii="Times New Roman" w:hAnsi="Times New Roman"/>
          <w:sz w:val="24"/>
          <w:szCs w:val="24"/>
        </w:rPr>
        <w:t xml:space="preserve"> beat him during an interrogation.</w:t>
      </w:r>
      <w:r w:rsidR="4C9EE193" w:rsidRPr="001C48E4">
        <w:rPr>
          <w:rStyle w:val="FootnoteReference"/>
          <w:rFonts w:ascii="Times New Roman" w:eastAsia="Times New Roman" w:hAnsi="Times New Roman"/>
          <w:sz w:val="24"/>
          <w:szCs w:val="24"/>
        </w:rPr>
        <w:footnoteReference w:id="56"/>
      </w:r>
      <w:r w:rsidR="7422A15A" w:rsidRPr="00A167E5">
        <w:rPr>
          <w:rFonts w:ascii="Times New Roman" w:hAnsi="Times New Roman"/>
          <w:sz w:val="24"/>
          <w:szCs w:val="24"/>
        </w:rPr>
        <w:t xml:space="preserve"> M.S.’s son, who was also in detention, overheard the interrogation, his father’s whines of pain, and eventually the police officers calling M.S. to wake up</w:t>
      </w:r>
      <w:r w:rsidR="67ACCFB8" w:rsidRPr="00A167E5">
        <w:rPr>
          <w:rFonts w:ascii="Times New Roman" w:hAnsi="Times New Roman"/>
          <w:sz w:val="24"/>
          <w:szCs w:val="24"/>
        </w:rPr>
        <w:t>.</w:t>
      </w:r>
      <w:r w:rsidR="4C9EE193" w:rsidRPr="001C48E4">
        <w:rPr>
          <w:rStyle w:val="FootnoteReference"/>
          <w:rFonts w:ascii="Times New Roman" w:eastAsia="Times New Roman" w:hAnsi="Times New Roman"/>
          <w:sz w:val="24"/>
          <w:szCs w:val="24"/>
        </w:rPr>
        <w:footnoteReference w:id="57"/>
      </w:r>
      <w:r w:rsidR="67ACCFB8" w:rsidRPr="001C48E4">
        <w:t xml:space="preserve"> </w:t>
      </w:r>
    </w:p>
    <w:p w14:paraId="769E9065" w14:textId="784623CC" w:rsidR="4C9EE193" w:rsidRPr="00A167E5" w:rsidRDefault="30F4BAC3" w:rsidP="009A3102">
      <w:pPr>
        <w:pStyle w:val="ListParagraph"/>
        <w:keepNext/>
        <w:numPr>
          <w:ilvl w:val="0"/>
          <w:numId w:val="7"/>
        </w:numPr>
        <w:spacing w:before="240" w:after="240"/>
        <w:jc w:val="both"/>
        <w:rPr>
          <w:rFonts w:ascii="Times New Roman" w:hAnsi="Times New Roman"/>
          <w:sz w:val="24"/>
          <w:szCs w:val="24"/>
        </w:rPr>
      </w:pPr>
      <w:r w:rsidRPr="00A167E5">
        <w:rPr>
          <w:rFonts w:ascii="Times New Roman" w:hAnsi="Times New Roman"/>
          <w:sz w:val="24"/>
          <w:szCs w:val="24"/>
        </w:rPr>
        <w:t>The second</w:t>
      </w:r>
      <w:r w:rsidR="5784AC6C" w:rsidRPr="00A167E5">
        <w:rPr>
          <w:rFonts w:ascii="Times New Roman" w:hAnsi="Times New Roman"/>
          <w:sz w:val="24"/>
          <w:szCs w:val="24"/>
        </w:rPr>
        <w:t xml:space="preserve"> </w:t>
      </w:r>
      <w:r w:rsidRPr="00A167E5">
        <w:rPr>
          <w:rFonts w:ascii="Times New Roman" w:hAnsi="Times New Roman"/>
          <w:sz w:val="24"/>
          <w:szCs w:val="24"/>
        </w:rPr>
        <w:t>individual,</w:t>
      </w:r>
      <w:r w:rsidR="65444683" w:rsidRPr="00A167E5">
        <w:rPr>
          <w:rFonts w:ascii="Times New Roman" w:hAnsi="Times New Roman"/>
          <w:sz w:val="24"/>
          <w:szCs w:val="24"/>
        </w:rPr>
        <w:t xml:space="preserve"> A.L., died on May 1 in military police detention, after his asthma condition had continued to worsen.</w:t>
      </w:r>
      <w:r w:rsidR="4C9EE193" w:rsidRPr="009A3102">
        <w:rPr>
          <w:rStyle w:val="FootnoteReference"/>
          <w:rFonts w:ascii="Times New Roman" w:eastAsia="Times New Roman" w:hAnsi="Times New Roman"/>
          <w:sz w:val="24"/>
          <w:szCs w:val="24"/>
        </w:rPr>
        <w:footnoteReference w:id="58"/>
      </w:r>
      <w:r w:rsidR="65444683" w:rsidRPr="00A167E5">
        <w:rPr>
          <w:rFonts w:ascii="Times New Roman" w:hAnsi="Times New Roman"/>
          <w:sz w:val="24"/>
          <w:szCs w:val="24"/>
        </w:rPr>
        <w:t xml:space="preserve"> While A.L.’s family had personally been delivering his medication to the prison, A.L.’s son had informed his mother that A.L.</w:t>
      </w:r>
      <w:r w:rsidR="127014A5" w:rsidRPr="00A167E5">
        <w:rPr>
          <w:rFonts w:ascii="Times New Roman" w:hAnsi="Times New Roman"/>
          <w:sz w:val="24"/>
          <w:szCs w:val="24"/>
        </w:rPr>
        <w:t>’</w:t>
      </w:r>
      <w:r w:rsidR="65444683" w:rsidRPr="00A167E5">
        <w:rPr>
          <w:rFonts w:ascii="Times New Roman" w:hAnsi="Times New Roman"/>
          <w:sz w:val="24"/>
          <w:szCs w:val="24"/>
        </w:rPr>
        <w:t>s condition was bad the day before the death.</w:t>
      </w:r>
      <w:r w:rsidR="4C9EE193" w:rsidRPr="009A3102">
        <w:rPr>
          <w:rStyle w:val="FootnoteReference"/>
          <w:rFonts w:ascii="Times New Roman" w:eastAsia="Times New Roman" w:hAnsi="Times New Roman"/>
          <w:sz w:val="24"/>
          <w:szCs w:val="24"/>
        </w:rPr>
        <w:footnoteReference w:id="59"/>
      </w:r>
    </w:p>
    <w:p w14:paraId="6582CA78" w14:textId="2215448C" w:rsidR="0058339E" w:rsidRPr="009A3102" w:rsidRDefault="00314C9C" w:rsidP="53D03AEF">
      <w:pPr>
        <w:pStyle w:val="ListParagraph"/>
        <w:keepNext/>
        <w:numPr>
          <w:ilvl w:val="0"/>
          <w:numId w:val="7"/>
        </w:numPr>
        <w:spacing w:before="240" w:after="240"/>
        <w:jc w:val="both"/>
        <w:rPr>
          <w:rFonts w:ascii="Times New Roman" w:eastAsia="Times New Roman" w:hAnsi="Times New Roman"/>
          <w:sz w:val="24"/>
          <w:szCs w:val="24"/>
        </w:rPr>
      </w:pPr>
      <w:r>
        <w:rPr>
          <w:rFonts w:ascii="Times New Roman" w:hAnsi="Times New Roman"/>
          <w:sz w:val="24"/>
          <w:szCs w:val="24"/>
        </w:rPr>
        <w:t>A</w:t>
      </w:r>
      <w:r w:rsidR="0058339E" w:rsidRPr="009A3102">
        <w:rPr>
          <w:rFonts w:ascii="Times New Roman" w:hAnsi="Times New Roman"/>
          <w:sz w:val="24"/>
          <w:szCs w:val="24"/>
        </w:rPr>
        <w:t xml:space="preserve"> </w:t>
      </w:r>
      <w:r w:rsidR="00675DE8" w:rsidRPr="009A3102">
        <w:rPr>
          <w:rFonts w:ascii="Times New Roman" w:hAnsi="Times New Roman"/>
          <w:sz w:val="24"/>
          <w:szCs w:val="24"/>
        </w:rPr>
        <w:t xml:space="preserve">2019 </w:t>
      </w:r>
      <w:r w:rsidR="0058339E" w:rsidRPr="009A3102">
        <w:rPr>
          <w:rFonts w:ascii="Times New Roman" w:hAnsi="Times New Roman"/>
          <w:sz w:val="24"/>
          <w:szCs w:val="24"/>
        </w:rPr>
        <w:t>report issued by the Independent Commission for Human Rights titled “Report on the Assessment of the Compliance of the Correction and Rehabilitation Centers in Palestine with International Prison Standards,</w:t>
      </w:r>
      <w:r w:rsidR="00675DE8" w:rsidRPr="009A3102">
        <w:rPr>
          <w:rFonts w:ascii="Times New Roman" w:hAnsi="Times New Roman"/>
          <w:sz w:val="24"/>
          <w:szCs w:val="24"/>
        </w:rPr>
        <w:t>”</w:t>
      </w:r>
      <w:r w:rsidR="0058339E" w:rsidRPr="009A3102">
        <w:rPr>
          <w:rFonts w:ascii="Times New Roman" w:hAnsi="Times New Roman"/>
          <w:sz w:val="24"/>
          <w:szCs w:val="24"/>
        </w:rPr>
        <w:t xml:space="preserve"> </w:t>
      </w:r>
      <w:r>
        <w:rPr>
          <w:rFonts w:ascii="Times New Roman" w:hAnsi="Times New Roman"/>
          <w:sz w:val="24"/>
          <w:szCs w:val="24"/>
        </w:rPr>
        <w:t xml:space="preserve">confirms </w:t>
      </w:r>
      <w:r w:rsidR="0058339E" w:rsidRPr="009A3102">
        <w:rPr>
          <w:rFonts w:ascii="Times New Roman" w:hAnsi="Times New Roman"/>
          <w:sz w:val="24"/>
          <w:szCs w:val="24"/>
        </w:rPr>
        <w:t xml:space="preserve">that there is </w:t>
      </w:r>
      <w:r>
        <w:rPr>
          <w:rFonts w:ascii="Times New Roman" w:hAnsi="Times New Roman"/>
          <w:sz w:val="24"/>
          <w:szCs w:val="24"/>
        </w:rPr>
        <w:t xml:space="preserve">a </w:t>
      </w:r>
      <w:r w:rsidR="0058339E" w:rsidRPr="009A3102">
        <w:rPr>
          <w:rFonts w:ascii="Times New Roman" w:hAnsi="Times New Roman"/>
          <w:sz w:val="24"/>
          <w:szCs w:val="24"/>
        </w:rPr>
        <w:t xml:space="preserve">shortage </w:t>
      </w:r>
      <w:r>
        <w:rPr>
          <w:rFonts w:ascii="Times New Roman" w:hAnsi="Times New Roman"/>
          <w:sz w:val="24"/>
          <w:szCs w:val="24"/>
        </w:rPr>
        <w:t xml:space="preserve">of </w:t>
      </w:r>
      <w:r w:rsidR="0058339E" w:rsidRPr="009A3102">
        <w:rPr>
          <w:rFonts w:ascii="Times New Roman" w:hAnsi="Times New Roman"/>
          <w:sz w:val="24"/>
          <w:szCs w:val="24"/>
        </w:rPr>
        <w:t xml:space="preserve">primary health care services available for persons </w:t>
      </w:r>
      <w:r w:rsidR="00A63EEC">
        <w:rPr>
          <w:rFonts w:ascii="Times New Roman" w:hAnsi="Times New Roman"/>
          <w:sz w:val="24"/>
          <w:szCs w:val="24"/>
        </w:rPr>
        <w:t xml:space="preserve">in </w:t>
      </w:r>
      <w:r w:rsidR="0058339E" w:rsidRPr="009A3102">
        <w:rPr>
          <w:rFonts w:ascii="Times New Roman" w:hAnsi="Times New Roman"/>
          <w:sz w:val="24"/>
          <w:szCs w:val="24"/>
        </w:rPr>
        <w:t>custody. According to the report, there is no specialized doctor in each center</w:t>
      </w:r>
      <w:r w:rsidR="00D150FC">
        <w:rPr>
          <w:rFonts w:ascii="Times New Roman" w:hAnsi="Times New Roman"/>
          <w:sz w:val="24"/>
          <w:szCs w:val="24"/>
        </w:rPr>
        <w:t>,</w:t>
      </w:r>
      <w:r w:rsidR="0058339E" w:rsidRPr="009A3102">
        <w:rPr>
          <w:rFonts w:ascii="Times New Roman" w:hAnsi="Times New Roman"/>
          <w:sz w:val="24"/>
          <w:szCs w:val="24"/>
        </w:rPr>
        <w:t xml:space="preserve"> and women in rehabilitation centers </w:t>
      </w:r>
      <w:r w:rsidR="00A63EEC">
        <w:rPr>
          <w:rFonts w:ascii="Times New Roman" w:hAnsi="Times New Roman"/>
          <w:sz w:val="24"/>
          <w:szCs w:val="24"/>
        </w:rPr>
        <w:t xml:space="preserve">experience </w:t>
      </w:r>
      <w:r w:rsidR="0058339E" w:rsidRPr="009A3102">
        <w:rPr>
          <w:rFonts w:ascii="Times New Roman" w:hAnsi="Times New Roman"/>
          <w:sz w:val="24"/>
          <w:szCs w:val="24"/>
        </w:rPr>
        <w:t>shortage</w:t>
      </w:r>
      <w:r w:rsidR="00A63EEC">
        <w:rPr>
          <w:rFonts w:ascii="Times New Roman" w:hAnsi="Times New Roman"/>
          <w:sz w:val="24"/>
          <w:szCs w:val="24"/>
        </w:rPr>
        <w:t>s</w:t>
      </w:r>
      <w:r w:rsidR="0058339E" w:rsidRPr="009A3102">
        <w:rPr>
          <w:rFonts w:ascii="Times New Roman" w:hAnsi="Times New Roman"/>
          <w:sz w:val="24"/>
          <w:szCs w:val="24"/>
        </w:rPr>
        <w:t xml:space="preserve"> </w:t>
      </w:r>
      <w:r w:rsidR="0058339E" w:rsidRPr="009A3102">
        <w:rPr>
          <w:rFonts w:ascii="Times New Roman" w:hAnsi="Times New Roman"/>
          <w:sz w:val="24"/>
          <w:szCs w:val="24"/>
        </w:rPr>
        <w:lastRenderedPageBreak/>
        <w:t xml:space="preserve">in available health care services. </w:t>
      </w:r>
      <w:r w:rsidR="00D150FC">
        <w:rPr>
          <w:rFonts w:ascii="Times New Roman" w:hAnsi="Times New Roman"/>
          <w:sz w:val="24"/>
          <w:szCs w:val="24"/>
        </w:rPr>
        <w:t>Further,</w:t>
      </w:r>
      <w:r w:rsidR="0058339E" w:rsidRPr="009A3102">
        <w:rPr>
          <w:rFonts w:ascii="Times New Roman" w:hAnsi="Times New Roman"/>
          <w:sz w:val="24"/>
          <w:szCs w:val="24"/>
        </w:rPr>
        <w:t xml:space="preserve"> there is no special clinic for women nor is there </w:t>
      </w:r>
      <w:r w:rsidR="00D357F9">
        <w:rPr>
          <w:rFonts w:ascii="Times New Roman" w:hAnsi="Times New Roman"/>
          <w:sz w:val="24"/>
          <w:szCs w:val="24"/>
        </w:rPr>
        <w:t>an o</w:t>
      </w:r>
      <w:r w:rsidR="0058339E" w:rsidRPr="009A3102">
        <w:rPr>
          <w:rFonts w:ascii="Times New Roman" w:hAnsi="Times New Roman"/>
          <w:sz w:val="24"/>
          <w:szCs w:val="24"/>
        </w:rPr>
        <w:t>bstetrician-</w:t>
      </w:r>
      <w:r w:rsidR="00D357F9">
        <w:rPr>
          <w:rFonts w:ascii="Times New Roman" w:hAnsi="Times New Roman"/>
          <w:sz w:val="24"/>
          <w:szCs w:val="24"/>
        </w:rPr>
        <w:t>g</w:t>
      </w:r>
      <w:r w:rsidR="0058339E" w:rsidRPr="009A3102">
        <w:rPr>
          <w:rFonts w:ascii="Times New Roman" w:hAnsi="Times New Roman"/>
          <w:sz w:val="24"/>
          <w:szCs w:val="24"/>
        </w:rPr>
        <w:t>ynecologist in these centers</w:t>
      </w:r>
      <w:r w:rsidR="0058339E" w:rsidRPr="009A3102">
        <w:rPr>
          <w:rFonts w:ascii="Times New Roman" w:hAnsi="Times New Roman"/>
          <w:color w:val="374151"/>
          <w:sz w:val="24"/>
          <w:szCs w:val="24"/>
        </w:rPr>
        <w:t>.</w:t>
      </w:r>
      <w:r w:rsidR="0058339E" w:rsidRPr="009A3102">
        <w:rPr>
          <w:rStyle w:val="FootnoteReference"/>
          <w:rFonts w:ascii="Times New Roman" w:hAnsi="Times New Roman"/>
          <w:color w:val="374151"/>
          <w:sz w:val="24"/>
          <w:szCs w:val="24"/>
        </w:rPr>
        <w:footnoteReference w:id="60"/>
      </w:r>
    </w:p>
    <w:p w14:paraId="64190E2A" w14:textId="5E534615" w:rsidR="5DF2CE4A" w:rsidRPr="009A3102" w:rsidRDefault="5DF2CE4A" w:rsidP="005712E9">
      <w:pPr>
        <w:pStyle w:val="ListParagraph"/>
        <w:keepNext/>
        <w:numPr>
          <w:ilvl w:val="0"/>
          <w:numId w:val="7"/>
        </w:numPr>
        <w:spacing w:before="240" w:after="0"/>
        <w:jc w:val="both"/>
        <w:rPr>
          <w:rFonts w:ascii="Times New Roman" w:eastAsia="Times New Roman" w:hAnsi="Times New Roman"/>
          <w:sz w:val="24"/>
          <w:szCs w:val="24"/>
        </w:rPr>
      </w:pPr>
      <w:r w:rsidRPr="009A3102">
        <w:rPr>
          <w:rFonts w:ascii="Times New Roman" w:eastAsia="Times New Roman" w:hAnsi="Times New Roman"/>
          <w:b/>
          <w:bCs/>
          <w:sz w:val="24"/>
          <w:szCs w:val="24"/>
        </w:rPr>
        <w:t>Suggested recommendations</w:t>
      </w:r>
      <w:r w:rsidRPr="009A3102">
        <w:rPr>
          <w:rFonts w:ascii="Times New Roman" w:eastAsia="Times New Roman" w:hAnsi="Times New Roman"/>
          <w:sz w:val="24"/>
          <w:szCs w:val="24"/>
        </w:rPr>
        <w:t xml:space="preserve"> relating to health conditions in Palestinian prisons:</w:t>
      </w:r>
    </w:p>
    <w:p w14:paraId="3843E145" w14:textId="2D912B07" w:rsidR="5C3A9779" w:rsidRPr="009A3102" w:rsidRDefault="5C3A9779" w:rsidP="4496F487">
      <w:pPr>
        <w:numPr>
          <w:ilvl w:val="1"/>
          <w:numId w:val="7"/>
        </w:numPr>
        <w:spacing w:after="120"/>
        <w:jc w:val="both"/>
      </w:pPr>
      <w:r w:rsidRPr="009A3102">
        <w:t>On at least an annual basis, publish transparent information on the number of men, women, transgender persons, and nonbinary persons sentenced to death and on death row, disaggregated by age, age of dependent children (if any), nationality, race / ethnic group, relationship to the victim, relationship to any codefendants, date of arrest, date of notification of the right to consular notification (if applicable), crime of conviction, date of conviction, and date of execution (if applicable), to facilitate analysis of the demographics of women on death row.</w:t>
      </w:r>
    </w:p>
    <w:p w14:paraId="1A27333E" w14:textId="099FEC69" w:rsidR="05299703" w:rsidRPr="009A3102" w:rsidRDefault="05299703" w:rsidP="53D03AEF">
      <w:pPr>
        <w:numPr>
          <w:ilvl w:val="1"/>
          <w:numId w:val="7"/>
        </w:numPr>
        <w:spacing w:after="120"/>
        <w:jc w:val="both"/>
      </w:pPr>
      <w:r w:rsidRPr="009A3102">
        <w:t xml:space="preserve">Develop a system in which individuals in Palestinian prisons are permitted to contact external nongovernmental organizations or legal aid services in relation to access to medical care. </w:t>
      </w:r>
    </w:p>
    <w:p w14:paraId="0FC95A2F" w14:textId="573D25B3" w:rsidR="05299703" w:rsidRPr="009A3102" w:rsidRDefault="05299703" w:rsidP="53D03AEF">
      <w:pPr>
        <w:numPr>
          <w:ilvl w:val="1"/>
          <w:numId w:val="7"/>
        </w:numPr>
        <w:spacing w:after="120"/>
        <w:jc w:val="both"/>
      </w:pPr>
      <w:r w:rsidRPr="009A3102">
        <w:t xml:space="preserve">Develop regular healthcare services for individuals in Palestinian prisons, allowing medication to be housed internally for </w:t>
      </w:r>
      <w:r w:rsidR="00F620CD">
        <w:t xml:space="preserve">people </w:t>
      </w:r>
      <w:r w:rsidRPr="009A3102">
        <w:t xml:space="preserve">with chronic conditions. </w:t>
      </w:r>
    </w:p>
    <w:p w14:paraId="5AE9117B" w14:textId="37F38DB0" w:rsidR="00F51AFD" w:rsidRPr="009A3102" w:rsidRDefault="05299703" w:rsidP="007B46CD">
      <w:pPr>
        <w:numPr>
          <w:ilvl w:val="1"/>
          <w:numId w:val="7"/>
        </w:numPr>
        <w:spacing w:after="120"/>
        <w:jc w:val="both"/>
      </w:pPr>
      <w:r w:rsidRPr="009A3102">
        <w:t xml:space="preserve">Allow </w:t>
      </w:r>
      <w:r w:rsidR="00F620CD">
        <w:t xml:space="preserve">people in detention facilities </w:t>
      </w:r>
      <w:r w:rsidRPr="009A3102">
        <w:t xml:space="preserve">to </w:t>
      </w:r>
      <w:r w:rsidR="006270C1">
        <w:t xml:space="preserve">have </w:t>
      </w:r>
      <w:r w:rsidRPr="009A3102">
        <w:t xml:space="preserve">annual health checkups to ensure their physical wellbeing and </w:t>
      </w:r>
      <w:r w:rsidR="04AC953F" w:rsidRPr="009A3102">
        <w:t xml:space="preserve">permit doctors to check in with </w:t>
      </w:r>
      <w:proofErr w:type="gramStart"/>
      <w:r w:rsidR="006270C1">
        <w:t>individuals</w:t>
      </w:r>
      <w:proofErr w:type="gramEnd"/>
      <w:r w:rsidR="006270C1">
        <w:t xml:space="preserve"> </w:t>
      </w:r>
      <w:r w:rsidR="04AC953F" w:rsidRPr="009A3102">
        <w:t xml:space="preserve">post-checkups if additional examination and monitoring is needed. </w:t>
      </w:r>
    </w:p>
    <w:sectPr w:rsidR="00F51AFD" w:rsidRPr="009A3102" w:rsidSect="004B1E4E">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571C2" w14:textId="77777777" w:rsidR="009B5858" w:rsidRDefault="009B5858">
      <w:r>
        <w:separator/>
      </w:r>
    </w:p>
  </w:endnote>
  <w:endnote w:type="continuationSeparator" w:id="0">
    <w:p w14:paraId="2739B7FF" w14:textId="77777777" w:rsidR="009B5858" w:rsidRDefault="009B5858">
      <w:r>
        <w:continuationSeparator/>
      </w:r>
    </w:p>
  </w:endnote>
  <w:endnote w:type="continuationNotice" w:id="1">
    <w:p w14:paraId="7F895ABE" w14:textId="77777777" w:rsidR="009B5858" w:rsidRDefault="009B58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D190E" w14:textId="77777777" w:rsidR="005319D6" w:rsidRDefault="005319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B224EC"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4A1AB830" w:rsidR="00804604" w:rsidRPr="00345B90" w:rsidRDefault="005319D6"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72DA1" w14:textId="77777777" w:rsidR="009B5858" w:rsidRDefault="009B5858">
      <w:r>
        <w:separator/>
      </w:r>
    </w:p>
  </w:footnote>
  <w:footnote w:type="continuationSeparator" w:id="0">
    <w:p w14:paraId="6A1EAB3C" w14:textId="77777777" w:rsidR="009B5858" w:rsidRDefault="009B5858">
      <w:r>
        <w:continuationSeparator/>
      </w:r>
    </w:p>
  </w:footnote>
  <w:footnote w:type="continuationNotice" w:id="1">
    <w:p w14:paraId="3C09949C" w14:textId="77777777" w:rsidR="009B5858" w:rsidRDefault="009B5858"/>
  </w:footnote>
  <w:footnote w:id="2">
    <w:p w14:paraId="50CBCD0C" w14:textId="34918FD9" w:rsidR="00DA4A93" w:rsidRPr="00881BCE" w:rsidRDefault="00DA4A93">
      <w:pPr>
        <w:pStyle w:val="FootnoteText"/>
        <w:rPr>
          <w:sz w:val="20"/>
          <w:szCs w:val="20"/>
        </w:rPr>
      </w:pPr>
      <w:r w:rsidRPr="00881BCE">
        <w:rPr>
          <w:rStyle w:val="FootnoteReference"/>
          <w:sz w:val="20"/>
          <w:szCs w:val="20"/>
        </w:rPr>
        <w:footnoteRef/>
      </w:r>
      <w:r w:rsidRPr="00881BCE">
        <w:rPr>
          <w:sz w:val="20"/>
          <w:szCs w:val="20"/>
        </w:rPr>
        <w:t xml:space="preserve"> </w:t>
      </w:r>
      <w:r w:rsidR="00F92313" w:rsidRPr="00881BCE">
        <w:rPr>
          <w:i/>
          <w:sz w:val="20"/>
          <w:szCs w:val="20"/>
        </w:rPr>
        <w:t>In Dialogue with the State of Palestine, Experts of the Human Rights Committee Commend the Creation of an Observatory to Combat Gender-Based Violence, Raise Issues Concerning the Death Penalty, and Reported Targeting of Persons Exercising Freedom of Expression</w:t>
      </w:r>
      <w:r w:rsidR="00F92313" w:rsidRPr="00881BCE">
        <w:rPr>
          <w:iCs/>
          <w:sz w:val="20"/>
          <w:szCs w:val="20"/>
        </w:rPr>
        <w:t>,</w:t>
      </w:r>
      <w:r w:rsidR="00F92313" w:rsidRPr="00881BCE">
        <w:rPr>
          <w:i/>
          <w:sz w:val="20"/>
          <w:szCs w:val="20"/>
        </w:rPr>
        <w:t xml:space="preserve"> </w:t>
      </w:r>
      <w:r w:rsidR="00F92313" w:rsidRPr="00881BCE">
        <w:rPr>
          <w:sz w:val="20"/>
          <w:szCs w:val="20"/>
        </w:rPr>
        <w:t xml:space="preserve">UN Human Rights (July, 6, 2023), </w:t>
      </w:r>
      <w:r w:rsidR="00DA2CC2" w:rsidRPr="00881BCE">
        <w:rPr>
          <w:sz w:val="20"/>
          <w:szCs w:val="20"/>
        </w:rPr>
        <w:t>https://www.ohchr.org/en/news/2023/07/dialogue-state-palestine-experts-human-rights-committee-commend-creation-observatory.</w:t>
      </w:r>
    </w:p>
  </w:footnote>
  <w:footnote w:id="3">
    <w:p w14:paraId="6D9F5060" w14:textId="07624DC4" w:rsidR="00515A73" w:rsidRPr="00A167E5" w:rsidRDefault="00515A73">
      <w:pPr>
        <w:pStyle w:val="FootnoteText"/>
        <w:rPr>
          <w:sz w:val="20"/>
          <w:szCs w:val="20"/>
        </w:rPr>
      </w:pPr>
      <w:r w:rsidRPr="00A167E5">
        <w:rPr>
          <w:rStyle w:val="FootnoteReference"/>
          <w:sz w:val="20"/>
          <w:szCs w:val="20"/>
        </w:rPr>
        <w:footnoteRef/>
      </w:r>
      <w:r w:rsidRPr="00A167E5">
        <w:rPr>
          <w:sz w:val="20"/>
          <w:szCs w:val="20"/>
        </w:rPr>
        <w:t xml:space="preserve"> </w:t>
      </w:r>
      <w:r w:rsidR="006F4A4E" w:rsidRPr="00A167E5">
        <w:rPr>
          <w:sz w:val="20"/>
          <w:szCs w:val="20"/>
        </w:rPr>
        <w:t>The Office of the European Representative</w:t>
      </w:r>
      <w:r w:rsidR="006B6258" w:rsidRPr="00A167E5">
        <w:rPr>
          <w:sz w:val="20"/>
          <w:szCs w:val="20"/>
        </w:rPr>
        <w:t xml:space="preserve"> (West Bank and Gaza Strip, UNRWA). </w:t>
      </w:r>
      <w:r w:rsidR="006B6258" w:rsidRPr="00A167E5">
        <w:rPr>
          <w:i/>
          <w:iCs/>
          <w:sz w:val="20"/>
          <w:szCs w:val="20"/>
        </w:rPr>
        <w:t>The EU Missions in Jerusalem and Ramallah condemn the death sentences issued in Gaza</w:t>
      </w:r>
      <w:r w:rsidR="006B6258">
        <w:rPr>
          <w:i/>
          <w:iCs/>
          <w:sz w:val="20"/>
          <w:szCs w:val="20"/>
        </w:rPr>
        <w:t xml:space="preserve">, </w:t>
      </w:r>
      <w:r w:rsidR="006B6258" w:rsidRPr="00A167E5">
        <w:rPr>
          <w:sz w:val="20"/>
          <w:szCs w:val="20"/>
        </w:rPr>
        <w:t xml:space="preserve">Press </w:t>
      </w:r>
      <w:r w:rsidR="0041242F" w:rsidRPr="00A167E5">
        <w:rPr>
          <w:sz w:val="20"/>
          <w:szCs w:val="20"/>
        </w:rPr>
        <w:t>release,</w:t>
      </w:r>
      <w:r w:rsidR="006B6258" w:rsidRPr="00A167E5">
        <w:rPr>
          <w:sz w:val="20"/>
          <w:szCs w:val="20"/>
        </w:rPr>
        <w:t xml:space="preserve"> (18 August 2023), </w:t>
      </w:r>
      <w:r w:rsidR="0041242F" w:rsidRPr="00A167E5">
        <w:rPr>
          <w:sz w:val="20"/>
          <w:szCs w:val="20"/>
        </w:rPr>
        <w:t>available online at:</w:t>
      </w:r>
      <w:r w:rsidR="0041242F" w:rsidRPr="0041242F">
        <w:t xml:space="preserve"> </w:t>
      </w:r>
      <w:r w:rsidR="0041242F" w:rsidRPr="00A167E5">
        <w:rPr>
          <w:sz w:val="20"/>
          <w:szCs w:val="20"/>
        </w:rPr>
        <w:t>https://www.eeas.europa.eu/delegations/palestine-occupied-palestinian-territory-west-bank-and-gaza-strip/eu-missions-jerusalem-and-ramallah-condemn-death-sentences-issued-gaza_en</w:t>
      </w:r>
    </w:p>
  </w:footnote>
  <w:footnote w:id="4">
    <w:p w14:paraId="1FCA55DC" w14:textId="507E6EB9" w:rsidR="00582F55" w:rsidRPr="00A167E5" w:rsidRDefault="00582F55">
      <w:pPr>
        <w:pStyle w:val="FootnoteText"/>
        <w:rPr>
          <w:sz w:val="20"/>
          <w:szCs w:val="20"/>
        </w:rPr>
      </w:pPr>
      <w:r>
        <w:rPr>
          <w:rStyle w:val="FootnoteReference"/>
        </w:rPr>
        <w:footnoteRef/>
      </w:r>
      <w:r>
        <w:t xml:space="preserve"> </w:t>
      </w:r>
      <w:r w:rsidR="009E1F47">
        <w:rPr>
          <w:sz w:val="20"/>
          <w:szCs w:val="20"/>
        </w:rPr>
        <w:t>Information provide</w:t>
      </w:r>
      <w:r w:rsidR="00CB4D69">
        <w:rPr>
          <w:sz w:val="20"/>
          <w:szCs w:val="20"/>
        </w:rPr>
        <w:t>d</w:t>
      </w:r>
      <w:r w:rsidR="009E1F47">
        <w:rPr>
          <w:sz w:val="20"/>
          <w:szCs w:val="20"/>
        </w:rPr>
        <w:t xml:space="preserve"> by Palestine on</w:t>
      </w:r>
      <w:r w:rsidR="00CB4D69">
        <w:rPr>
          <w:sz w:val="20"/>
          <w:szCs w:val="20"/>
        </w:rPr>
        <w:t xml:space="preserve"> </w:t>
      </w:r>
      <w:r w:rsidR="00CB4D69" w:rsidRPr="004719B3">
        <w:rPr>
          <w:sz w:val="20"/>
          <w:szCs w:val="20"/>
        </w:rPr>
        <w:t>Human Rights Committee, Initial report submitted by the State of Palestine under article 40 of the Covenant, due in 2015, (August 26, 2021), U.N. Doc. CCPR/C/PSE/1, ¶127.</w:t>
      </w:r>
    </w:p>
  </w:footnote>
  <w:footnote w:id="5">
    <w:p w14:paraId="31E8EE9E" w14:textId="158F6E5C" w:rsidR="00431B52" w:rsidRPr="00881BCE" w:rsidRDefault="00431B52">
      <w:pPr>
        <w:pStyle w:val="FootnoteText"/>
        <w:rPr>
          <w:sz w:val="20"/>
          <w:szCs w:val="20"/>
        </w:rPr>
      </w:pPr>
      <w:r w:rsidRPr="0041242F">
        <w:rPr>
          <w:rStyle w:val="FootnoteReference"/>
          <w:sz w:val="20"/>
          <w:szCs w:val="20"/>
        </w:rPr>
        <w:footnoteRef/>
      </w:r>
      <w:r w:rsidRPr="0041242F">
        <w:rPr>
          <w:sz w:val="20"/>
          <w:szCs w:val="20"/>
        </w:rPr>
        <w:t xml:space="preserve"> </w:t>
      </w:r>
      <w:r w:rsidR="006E37CC" w:rsidRPr="0041242F">
        <w:rPr>
          <w:sz w:val="20"/>
          <w:szCs w:val="20"/>
        </w:rPr>
        <w:t>Testimony in e</w:t>
      </w:r>
      <w:r w:rsidRPr="0041242F">
        <w:rPr>
          <w:sz w:val="20"/>
          <w:szCs w:val="20"/>
        </w:rPr>
        <w:t>mail on file with the author.</w:t>
      </w:r>
    </w:p>
  </w:footnote>
  <w:footnote w:id="6">
    <w:p w14:paraId="2E1CD411" w14:textId="7F147585" w:rsidR="53D03AEF" w:rsidRPr="00881BCE" w:rsidRDefault="53D03AEF" w:rsidP="00DF4197">
      <w:pPr>
        <w:pStyle w:val="FootnoteText"/>
        <w:rPr>
          <w:sz w:val="20"/>
          <w:szCs w:val="20"/>
        </w:rPr>
      </w:pPr>
      <w:r w:rsidRPr="00881BCE">
        <w:rPr>
          <w:rStyle w:val="FootnoteReference"/>
          <w:sz w:val="20"/>
          <w:szCs w:val="20"/>
        </w:rPr>
        <w:footnoteRef/>
      </w:r>
      <w:r w:rsidRPr="00881BCE">
        <w:rPr>
          <w:sz w:val="20"/>
          <w:szCs w:val="20"/>
        </w:rPr>
        <w:t xml:space="preserve"> </w:t>
      </w:r>
      <w:r w:rsidRPr="00881BCE">
        <w:rPr>
          <w:i/>
          <w:iCs/>
          <w:sz w:val="20"/>
          <w:szCs w:val="20"/>
        </w:rPr>
        <w:t xml:space="preserve">Experts of the Committee against Torture Praise the State of Palestine for Supporting Female Victims of Violence, Ask about Conditions in Detention </w:t>
      </w:r>
      <w:r w:rsidRPr="00881BCE">
        <w:rPr>
          <w:i/>
          <w:iCs/>
          <w:sz w:val="20"/>
          <w:szCs w:val="20"/>
        </w:rPr>
        <w:t>Centres and Torture Legislation</w:t>
      </w:r>
      <w:r w:rsidRPr="00881BCE">
        <w:rPr>
          <w:sz w:val="20"/>
          <w:szCs w:val="20"/>
        </w:rPr>
        <w:t xml:space="preserve">, United Nations, https://www.ohchr.org/en/press-releases/2022/07/experts-committee-against-torture-praise-state-palestine-supporting-female.  </w:t>
      </w:r>
    </w:p>
  </w:footnote>
  <w:footnote w:id="7">
    <w:p w14:paraId="2E69CC01" w14:textId="2C6AE8D0" w:rsidR="00E504A1" w:rsidRPr="00A167E5" w:rsidRDefault="00E504A1">
      <w:pPr>
        <w:pStyle w:val="FootnoteText"/>
        <w:rPr>
          <w:sz w:val="20"/>
          <w:szCs w:val="20"/>
        </w:rPr>
      </w:pPr>
      <w:r w:rsidRPr="00A167E5">
        <w:rPr>
          <w:rStyle w:val="FootnoteReference"/>
          <w:sz w:val="20"/>
          <w:szCs w:val="20"/>
        </w:rPr>
        <w:footnoteRef/>
      </w:r>
      <w:r w:rsidRPr="00A167E5">
        <w:rPr>
          <w:sz w:val="20"/>
          <w:szCs w:val="20"/>
        </w:rPr>
        <w:t xml:space="preserve"> </w:t>
      </w:r>
      <w:r w:rsidR="002E48F8" w:rsidRPr="00A167E5">
        <w:rPr>
          <w:sz w:val="20"/>
          <w:szCs w:val="20"/>
        </w:rPr>
        <w:t>Committee on Economic, Social and Cultural Rights</w:t>
      </w:r>
      <w:r w:rsidR="009569CF" w:rsidRPr="00A167E5">
        <w:rPr>
          <w:sz w:val="20"/>
          <w:szCs w:val="20"/>
        </w:rPr>
        <w:t>, List of issues in relation to the initial report of the State of Palestine</w:t>
      </w:r>
      <w:r w:rsidR="00C13448" w:rsidRPr="00A167E5">
        <w:rPr>
          <w:sz w:val="20"/>
          <w:szCs w:val="20"/>
        </w:rPr>
        <w:t xml:space="preserve">, </w:t>
      </w:r>
      <w:r w:rsidR="00C13448" w:rsidRPr="00A167E5">
        <w:rPr>
          <w:sz w:val="20"/>
          <w:szCs w:val="20"/>
        </w:rPr>
        <w:t>UN.Doc E/C.12/PSE/Q/1,</w:t>
      </w:r>
      <w:r w:rsidR="00BB152B" w:rsidRPr="00A167E5">
        <w:rPr>
          <w:sz w:val="20"/>
          <w:szCs w:val="20"/>
        </w:rPr>
        <w:t xml:space="preserve"> (</w:t>
      </w:r>
      <w:r w:rsidR="00BB152B" w:rsidRPr="00A167E5">
        <w:rPr>
          <w:color w:val="000000"/>
          <w:sz w:val="20"/>
          <w:szCs w:val="20"/>
        </w:rPr>
        <w:t>16 November 2021)</w:t>
      </w:r>
      <w:r w:rsidR="00C13448" w:rsidRPr="00A167E5">
        <w:rPr>
          <w:sz w:val="20"/>
          <w:szCs w:val="20"/>
        </w:rPr>
        <w:t xml:space="preserve"> </w:t>
      </w:r>
      <w:r w:rsidR="001B7418" w:rsidRPr="00A167E5">
        <w:rPr>
          <w:color w:val="040C28"/>
          <w:sz w:val="20"/>
          <w:szCs w:val="20"/>
        </w:rPr>
        <w:t>¶</w:t>
      </w:r>
      <w:r w:rsidR="006810EE" w:rsidRPr="00A167E5">
        <w:rPr>
          <w:color w:val="040C28"/>
          <w:sz w:val="20"/>
          <w:szCs w:val="20"/>
        </w:rPr>
        <w:t>10.</w:t>
      </w:r>
    </w:p>
  </w:footnote>
  <w:footnote w:id="8">
    <w:p w14:paraId="6705D01F" w14:textId="7FEBFE5A" w:rsidR="00EB3556" w:rsidRDefault="00EB3556" w:rsidP="00705574">
      <w:pPr>
        <w:pStyle w:val="FootnoteText"/>
      </w:pPr>
      <w:r w:rsidRPr="00A167E5">
        <w:rPr>
          <w:rStyle w:val="FootnoteReference"/>
          <w:sz w:val="20"/>
          <w:szCs w:val="20"/>
        </w:rPr>
        <w:footnoteRef/>
      </w:r>
      <w:r w:rsidRPr="00A167E5">
        <w:rPr>
          <w:sz w:val="20"/>
          <w:szCs w:val="20"/>
        </w:rPr>
        <w:t xml:space="preserve"> </w:t>
      </w:r>
      <w:r w:rsidR="00802775" w:rsidRPr="00A167E5">
        <w:rPr>
          <w:sz w:val="20"/>
          <w:szCs w:val="20"/>
        </w:rPr>
        <w:t xml:space="preserve">Committee on Economic, Social and Cultural Rights, </w:t>
      </w:r>
      <w:r w:rsidR="0068114A" w:rsidRPr="00A167E5">
        <w:rPr>
          <w:sz w:val="20"/>
          <w:szCs w:val="20"/>
        </w:rPr>
        <w:t xml:space="preserve">Replies of the State of Palestine to the list of issues in relation to its initial report, UN Doc. </w:t>
      </w:r>
      <w:r w:rsidR="00705574" w:rsidRPr="00A167E5">
        <w:rPr>
          <w:sz w:val="20"/>
          <w:szCs w:val="20"/>
        </w:rPr>
        <w:t xml:space="preserve">E/C.12/PSE/RQ/1 </w:t>
      </w:r>
      <w:r w:rsidR="0068114A" w:rsidRPr="00A167E5">
        <w:rPr>
          <w:sz w:val="20"/>
          <w:szCs w:val="20"/>
        </w:rPr>
        <w:t>(</w:t>
      </w:r>
      <w:r w:rsidR="0068114A" w:rsidRPr="00A167E5">
        <w:rPr>
          <w:color w:val="000000"/>
          <w:sz w:val="20"/>
          <w:szCs w:val="20"/>
        </w:rPr>
        <w:t>1 May 2023)</w:t>
      </w:r>
      <w:r w:rsidR="00705574" w:rsidRPr="00A167E5">
        <w:rPr>
          <w:color w:val="000000"/>
          <w:sz w:val="20"/>
          <w:szCs w:val="20"/>
        </w:rPr>
        <w:t>.</w:t>
      </w:r>
    </w:p>
  </w:footnote>
  <w:footnote w:id="9">
    <w:p w14:paraId="0E52FB2B" w14:textId="131EDC78" w:rsidR="00CE7212" w:rsidRDefault="00CE7212">
      <w:pPr>
        <w:pStyle w:val="FootnoteText"/>
      </w:pPr>
      <w:r>
        <w:rPr>
          <w:rStyle w:val="FootnoteReference"/>
        </w:rPr>
        <w:footnoteRef/>
      </w:r>
      <w:r>
        <w:t xml:space="preserve"> </w:t>
      </w:r>
      <w:r w:rsidR="00B72A99" w:rsidRPr="00A56B39">
        <w:rPr>
          <w:sz w:val="20"/>
          <w:szCs w:val="20"/>
        </w:rPr>
        <w:t>Committee on Economic, Social and Cultural Rights, Replies of the State of Palestine to the list of issues in relation to its initial report, UN Doc. E/C.12/PSE/RQ/1 (</w:t>
      </w:r>
      <w:r w:rsidR="00B72A99" w:rsidRPr="00A56B39">
        <w:rPr>
          <w:color w:val="000000"/>
          <w:sz w:val="20"/>
          <w:szCs w:val="20"/>
        </w:rPr>
        <w:t>1 May 2023).</w:t>
      </w:r>
    </w:p>
  </w:footnote>
  <w:footnote w:id="10">
    <w:p w14:paraId="1E7B2B49" w14:textId="0623EFC2" w:rsidR="00ED7C43" w:rsidRPr="00881BCE" w:rsidRDefault="00ED7C43" w:rsidP="00EA267E">
      <w:pPr>
        <w:pStyle w:val="FootnoteText"/>
        <w:rPr>
          <w:sz w:val="20"/>
          <w:szCs w:val="20"/>
        </w:rPr>
      </w:pPr>
      <w:r w:rsidRPr="00881BCE">
        <w:rPr>
          <w:rStyle w:val="FootnoteReference"/>
          <w:sz w:val="20"/>
          <w:szCs w:val="20"/>
        </w:rPr>
        <w:footnoteRef/>
      </w:r>
      <w:r w:rsidRPr="00881BCE">
        <w:rPr>
          <w:sz w:val="20"/>
          <w:szCs w:val="20"/>
        </w:rPr>
        <w:t xml:space="preserve"> </w:t>
      </w:r>
      <w:r w:rsidR="009F0471" w:rsidRPr="00A56B39">
        <w:rPr>
          <w:sz w:val="20"/>
          <w:szCs w:val="20"/>
        </w:rPr>
        <w:t xml:space="preserve">Committee on Economic, Social and Cultural Rights, Replies of the State of Palestine to the list of issues in relation to its initial report, UN Doc. </w:t>
      </w:r>
      <w:r w:rsidR="0077505D" w:rsidRPr="0077505D">
        <w:rPr>
          <w:sz w:val="20"/>
          <w:szCs w:val="20"/>
        </w:rPr>
        <w:t xml:space="preserve">E/C.12/PSE/1 </w:t>
      </w:r>
      <w:r w:rsidR="009F0471" w:rsidRPr="00A56B39">
        <w:rPr>
          <w:sz w:val="20"/>
          <w:szCs w:val="20"/>
        </w:rPr>
        <w:t>(</w:t>
      </w:r>
      <w:r w:rsidR="00EA267E" w:rsidRPr="00EA267E">
        <w:rPr>
          <w:color w:val="000000"/>
          <w:sz w:val="20"/>
          <w:szCs w:val="20"/>
        </w:rPr>
        <w:t>3 February 2021</w:t>
      </w:r>
      <w:r w:rsidR="009F0471" w:rsidRPr="00A56B39">
        <w:rPr>
          <w:color w:val="000000"/>
          <w:sz w:val="20"/>
          <w:szCs w:val="20"/>
        </w:rPr>
        <w:t>).</w:t>
      </w:r>
      <w:r w:rsidR="009F0471">
        <w:rPr>
          <w:color w:val="000000"/>
          <w:sz w:val="20"/>
          <w:szCs w:val="20"/>
        </w:rPr>
        <w:t xml:space="preserve"> </w:t>
      </w:r>
    </w:p>
  </w:footnote>
  <w:footnote w:id="11">
    <w:p w14:paraId="61D55D41" w14:textId="77777777" w:rsidR="008F6306" w:rsidRPr="00881BCE" w:rsidRDefault="008F6306" w:rsidP="008F6306">
      <w:pPr>
        <w:autoSpaceDE w:val="0"/>
        <w:autoSpaceDN w:val="0"/>
        <w:adjustRightInd w:val="0"/>
        <w:rPr>
          <w:rFonts w:eastAsiaTheme="minorEastAsia"/>
          <w:kern w:val="0"/>
          <w:sz w:val="20"/>
          <w:szCs w:val="20"/>
          <w:lang w:eastAsia="en-US"/>
        </w:rPr>
      </w:pPr>
      <w:r w:rsidRPr="00881BCE">
        <w:rPr>
          <w:rStyle w:val="FootnoteReference"/>
          <w:sz w:val="20"/>
          <w:szCs w:val="20"/>
        </w:rPr>
        <w:footnoteRef/>
      </w:r>
      <w:r w:rsidRPr="00881BCE">
        <w:rPr>
          <w:sz w:val="20"/>
          <w:szCs w:val="20"/>
        </w:rPr>
        <w:t xml:space="preserve"> </w:t>
      </w:r>
      <w:r w:rsidRPr="00881BCE">
        <w:rPr>
          <w:rFonts w:eastAsiaTheme="minorHAnsi"/>
          <w:i/>
          <w:kern w:val="0"/>
          <w:sz w:val="20"/>
          <w:szCs w:val="20"/>
          <w:lang w:eastAsia="en-US"/>
        </w:rPr>
        <w:t>Judged for More Than Her Crime: A Global Overview of Women Facing the Death Penalty</w:t>
      </w:r>
      <w:r w:rsidRPr="00881BCE">
        <w:rPr>
          <w:rFonts w:eastAsiaTheme="minorHAnsi"/>
          <w:kern w:val="0"/>
          <w:sz w:val="20"/>
          <w:szCs w:val="20"/>
          <w:lang w:eastAsia="en-US"/>
        </w:rPr>
        <w:t>, Cornell Center on the</w:t>
      </w:r>
    </w:p>
    <w:p w14:paraId="51677D73" w14:textId="77777777" w:rsidR="008F6306" w:rsidRPr="00881BCE" w:rsidRDefault="008F6306" w:rsidP="008F6306">
      <w:pPr>
        <w:autoSpaceDE w:val="0"/>
        <w:autoSpaceDN w:val="0"/>
        <w:adjustRightInd w:val="0"/>
        <w:rPr>
          <w:rFonts w:eastAsiaTheme="minorEastAsia"/>
          <w:kern w:val="0"/>
          <w:sz w:val="20"/>
          <w:szCs w:val="20"/>
          <w:lang w:eastAsia="en-US"/>
        </w:rPr>
      </w:pPr>
      <w:r w:rsidRPr="00881BCE">
        <w:rPr>
          <w:rFonts w:eastAsiaTheme="minorHAnsi"/>
          <w:kern w:val="0"/>
          <w:sz w:val="20"/>
          <w:szCs w:val="20"/>
          <w:lang w:eastAsia="en-US"/>
        </w:rPr>
        <w:t>Death Penalty Worldwide, 6 (Sept. 2018), https://www.deathpenaltyworldwide.org/wpcontent/</w:t>
      </w:r>
    </w:p>
    <w:p w14:paraId="0A4481C4" w14:textId="77777777" w:rsidR="008F6306" w:rsidRPr="00881BCE" w:rsidRDefault="008F6306" w:rsidP="008F6306">
      <w:pPr>
        <w:autoSpaceDE w:val="0"/>
        <w:autoSpaceDN w:val="0"/>
        <w:adjustRightInd w:val="0"/>
        <w:rPr>
          <w:sz w:val="20"/>
          <w:szCs w:val="20"/>
        </w:rPr>
      </w:pPr>
      <w:r w:rsidRPr="00881BCE">
        <w:rPr>
          <w:rFonts w:eastAsiaTheme="minorHAnsi"/>
          <w:kern w:val="0"/>
          <w:sz w:val="20"/>
          <w:szCs w:val="20"/>
          <w:lang w:eastAsia="en-US"/>
        </w:rPr>
        <w:t>uploads/2019/12/Judged-More-Than-Her-Crime.pdf</w:t>
      </w:r>
    </w:p>
  </w:footnote>
  <w:footnote w:id="12">
    <w:p w14:paraId="6F2239D9" w14:textId="77777777" w:rsidR="00962899" w:rsidRPr="00A56B39" w:rsidRDefault="00962899" w:rsidP="00962899">
      <w:pPr>
        <w:pStyle w:val="FootnoteText"/>
        <w:rPr>
          <w:sz w:val="20"/>
          <w:szCs w:val="20"/>
        </w:rPr>
      </w:pPr>
      <w:r w:rsidRPr="00A56B39">
        <w:rPr>
          <w:rStyle w:val="FootnoteReference"/>
          <w:sz w:val="20"/>
          <w:szCs w:val="20"/>
        </w:rPr>
        <w:footnoteRef/>
      </w:r>
      <w:r w:rsidRPr="00A56B39">
        <w:rPr>
          <w:sz w:val="20"/>
          <w:szCs w:val="20"/>
        </w:rPr>
        <w:t xml:space="preserve"> The Office of the European Representative (West Bank and Gaza Strip, UNRWA). </w:t>
      </w:r>
      <w:r w:rsidRPr="00A56B39">
        <w:rPr>
          <w:i/>
          <w:iCs/>
          <w:sz w:val="20"/>
          <w:szCs w:val="20"/>
        </w:rPr>
        <w:t>The EU Missions in Jerusalem and Ramallah condemn the death sentences issued in Gaza</w:t>
      </w:r>
      <w:r>
        <w:rPr>
          <w:i/>
          <w:iCs/>
          <w:sz w:val="20"/>
          <w:szCs w:val="20"/>
        </w:rPr>
        <w:t xml:space="preserve">, </w:t>
      </w:r>
      <w:r w:rsidRPr="00A56B39">
        <w:rPr>
          <w:sz w:val="20"/>
          <w:szCs w:val="20"/>
        </w:rPr>
        <w:t>Press release, (18 August 2023), available online at:</w:t>
      </w:r>
      <w:r w:rsidRPr="0041242F">
        <w:t xml:space="preserve"> </w:t>
      </w:r>
      <w:r w:rsidRPr="00A56B39">
        <w:rPr>
          <w:sz w:val="20"/>
          <w:szCs w:val="20"/>
        </w:rPr>
        <w:t>https://www.eeas.europa.eu/delegations/palestine-occupied-palestinian-territory-west-bank-and-gaza-strip/eu-missions-jerusalem-and-ramallah-condemn-death-sentences-issued-gaza_en</w:t>
      </w:r>
    </w:p>
  </w:footnote>
  <w:footnote w:id="13">
    <w:p w14:paraId="0F121BFE" w14:textId="77777777" w:rsidR="00962899" w:rsidRPr="00881BCE" w:rsidRDefault="00962899" w:rsidP="00962899">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Palestine (State of) 2022</w:t>
      </w:r>
      <w:r w:rsidRPr="00881BCE">
        <w:rPr>
          <w:iCs/>
          <w:sz w:val="20"/>
          <w:szCs w:val="20"/>
        </w:rPr>
        <w:t xml:space="preserve">, </w:t>
      </w:r>
      <w:r w:rsidRPr="00881BCE">
        <w:rPr>
          <w:sz w:val="20"/>
          <w:szCs w:val="20"/>
        </w:rPr>
        <w:t xml:space="preserve">Amnesty International, https://www.amnesty.org/en/location/middle-east-and-north-africa/palestine-state-of/report-palestine-state-of/ (last assessed July 13, 2023). </w:t>
      </w:r>
    </w:p>
  </w:footnote>
  <w:footnote w:id="14">
    <w:p w14:paraId="21715184" w14:textId="456F7590" w:rsidR="00564F6B" w:rsidRPr="00564F6B" w:rsidRDefault="00564F6B">
      <w:pPr>
        <w:pStyle w:val="FootnoteText"/>
      </w:pPr>
      <w:r w:rsidRPr="00564F6B">
        <w:rPr>
          <w:rStyle w:val="FootnoteReference"/>
        </w:rPr>
        <w:footnoteRef/>
      </w:r>
      <w:r w:rsidRPr="00564F6B">
        <w:t xml:space="preserve"> </w:t>
      </w:r>
      <w:r w:rsidR="00BD26F2">
        <w:rPr>
          <w:sz w:val="20"/>
          <w:szCs w:val="20"/>
        </w:rPr>
        <w:t xml:space="preserve">Information provided by Palestine on </w:t>
      </w:r>
      <w:r w:rsidR="00BD26F2" w:rsidRPr="004719B3">
        <w:rPr>
          <w:sz w:val="20"/>
          <w:szCs w:val="20"/>
        </w:rPr>
        <w:t>Human Rights Committee, Initial report submitted by the State of Palestine under article 40 of the Covenant, due in 2015, (August 26, 2021), U.N. Doc. CCPR/C/PSE/1, ¶127.</w:t>
      </w:r>
    </w:p>
  </w:footnote>
  <w:footnote w:id="15">
    <w:p w14:paraId="2B94403F" w14:textId="42A365D5" w:rsidR="00D44845" w:rsidRPr="004719B3" w:rsidRDefault="00D44845" w:rsidP="00D44845">
      <w:pPr>
        <w:pStyle w:val="FootnoteText"/>
        <w:rPr>
          <w:sz w:val="20"/>
          <w:szCs w:val="20"/>
        </w:rPr>
      </w:pPr>
      <w:r w:rsidRPr="004719B3">
        <w:rPr>
          <w:rStyle w:val="FootnoteReference"/>
          <w:sz w:val="20"/>
          <w:szCs w:val="20"/>
        </w:rPr>
        <w:footnoteRef/>
      </w:r>
      <w:r w:rsidR="00FD684C">
        <w:rPr>
          <w:sz w:val="20"/>
          <w:szCs w:val="20"/>
        </w:rPr>
        <w:t>Information in file with the author.</w:t>
      </w:r>
    </w:p>
  </w:footnote>
  <w:footnote w:id="16">
    <w:p w14:paraId="76383ECC" w14:textId="77777777" w:rsidR="00ED7C43" w:rsidRPr="00881BCE" w:rsidRDefault="00ED7C43" w:rsidP="00ED7C43">
      <w:pPr>
        <w:autoSpaceDE w:val="0"/>
        <w:autoSpaceDN w:val="0"/>
        <w:adjustRightInd w:val="0"/>
        <w:rPr>
          <w:rFonts w:eastAsiaTheme="minorEastAsia"/>
          <w:kern w:val="0"/>
          <w:sz w:val="20"/>
          <w:szCs w:val="20"/>
          <w:lang w:eastAsia="en-US"/>
        </w:rPr>
      </w:pPr>
      <w:r w:rsidRPr="00881BCE">
        <w:rPr>
          <w:rStyle w:val="FootnoteReference"/>
          <w:sz w:val="20"/>
          <w:szCs w:val="20"/>
        </w:rPr>
        <w:footnoteRef/>
      </w:r>
      <w:r w:rsidRPr="00881BCE">
        <w:rPr>
          <w:sz w:val="20"/>
          <w:szCs w:val="20"/>
        </w:rPr>
        <w:t xml:space="preserve"> </w:t>
      </w:r>
      <w:r w:rsidRPr="00881BCE">
        <w:rPr>
          <w:rFonts w:eastAsiaTheme="minorHAnsi"/>
          <w:i/>
          <w:kern w:val="0"/>
          <w:sz w:val="20"/>
          <w:szCs w:val="20"/>
          <w:lang w:eastAsia="en-US"/>
        </w:rPr>
        <w:t>Judged for More Than Her Crime: A Global Overview of Women Facing the Death Penalty</w:t>
      </w:r>
      <w:r w:rsidRPr="00881BCE">
        <w:rPr>
          <w:rFonts w:eastAsiaTheme="minorHAnsi"/>
          <w:kern w:val="0"/>
          <w:sz w:val="20"/>
          <w:szCs w:val="20"/>
          <w:lang w:eastAsia="en-US"/>
        </w:rPr>
        <w:t>, Cornell Center on the</w:t>
      </w:r>
    </w:p>
    <w:p w14:paraId="1DC2236D" w14:textId="73420008" w:rsidR="006169EF" w:rsidRPr="00881BCE" w:rsidRDefault="00ED7C43" w:rsidP="006169EF">
      <w:pPr>
        <w:autoSpaceDE w:val="0"/>
        <w:autoSpaceDN w:val="0"/>
        <w:adjustRightInd w:val="0"/>
        <w:rPr>
          <w:rFonts w:eastAsiaTheme="minorEastAsia"/>
          <w:kern w:val="0"/>
          <w:sz w:val="20"/>
          <w:szCs w:val="20"/>
          <w:lang w:eastAsia="en-US"/>
        </w:rPr>
      </w:pPr>
      <w:r w:rsidRPr="00881BCE">
        <w:rPr>
          <w:rFonts w:eastAsiaTheme="minorHAnsi"/>
          <w:kern w:val="0"/>
          <w:sz w:val="20"/>
          <w:szCs w:val="20"/>
          <w:lang w:eastAsia="en-US"/>
        </w:rPr>
        <w:t>Death Penalty Worldwide, 4 (Sept. 2018)</w:t>
      </w:r>
      <w:r w:rsidR="006169EF" w:rsidRPr="00881BCE">
        <w:rPr>
          <w:rFonts w:eastAsiaTheme="minorHAnsi"/>
          <w:kern w:val="0"/>
          <w:sz w:val="20"/>
          <w:szCs w:val="20"/>
          <w:lang w:eastAsia="en-US"/>
        </w:rPr>
        <w:t>, https://www.deathpenaltyworldwide.org/wpcontent/</w:t>
      </w:r>
    </w:p>
    <w:p w14:paraId="66CE098C" w14:textId="3BD5BD9A" w:rsidR="00ED7C43" w:rsidRPr="00881BCE" w:rsidRDefault="006169EF" w:rsidP="006169EF">
      <w:pPr>
        <w:autoSpaceDE w:val="0"/>
        <w:autoSpaceDN w:val="0"/>
        <w:adjustRightInd w:val="0"/>
        <w:rPr>
          <w:sz w:val="20"/>
          <w:szCs w:val="20"/>
        </w:rPr>
      </w:pPr>
      <w:r w:rsidRPr="00881BCE">
        <w:rPr>
          <w:rFonts w:eastAsiaTheme="minorHAnsi"/>
          <w:kern w:val="0"/>
          <w:sz w:val="20"/>
          <w:szCs w:val="20"/>
          <w:lang w:eastAsia="en-US"/>
        </w:rPr>
        <w:t>uploads/2019/12/Judged-More-Than-Her-Crime.pdf</w:t>
      </w:r>
      <w:r w:rsidR="00ED7C43" w:rsidRPr="00881BCE">
        <w:rPr>
          <w:rFonts w:eastAsiaTheme="minorHAnsi"/>
          <w:kern w:val="0"/>
          <w:sz w:val="20"/>
          <w:szCs w:val="20"/>
          <w:lang w:eastAsia="en-US"/>
        </w:rPr>
        <w:t>.</w:t>
      </w:r>
    </w:p>
  </w:footnote>
  <w:footnote w:id="17">
    <w:p w14:paraId="0951405D" w14:textId="08E0365A"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Preliminary Results of the Violence Survey in the Palestinian Society</w:t>
      </w:r>
      <w:r w:rsidRPr="00881BCE">
        <w:rPr>
          <w:iCs/>
          <w:sz w:val="20"/>
          <w:szCs w:val="20"/>
        </w:rPr>
        <w:t>,</w:t>
      </w:r>
      <w:r w:rsidRPr="00881BCE">
        <w:rPr>
          <w:i/>
          <w:sz w:val="20"/>
          <w:szCs w:val="20"/>
        </w:rPr>
        <w:t xml:space="preserve"> </w:t>
      </w:r>
      <w:r w:rsidRPr="00881BCE">
        <w:rPr>
          <w:sz w:val="20"/>
          <w:szCs w:val="20"/>
        </w:rPr>
        <w:t>Palestinian Central Bureau of Statistics, 9 (Nov. 2019</w:t>
      </w:r>
      <w:r w:rsidRPr="00881BCE">
        <w:rPr>
          <w:sz w:val="20"/>
          <w:szCs w:val="20"/>
        </w:rPr>
        <w:t>).</w:t>
      </w:r>
      <w:r w:rsidR="000E6431">
        <w:rPr>
          <w:sz w:val="20"/>
          <w:szCs w:val="20"/>
        </w:rPr>
        <w:t xml:space="preserve">Available online at: </w:t>
      </w:r>
      <w:r w:rsidR="000E6431" w:rsidRPr="000E6431">
        <w:rPr>
          <w:sz w:val="20"/>
          <w:szCs w:val="20"/>
        </w:rPr>
        <w:t>https://palestine.unfpa.org/sites/default/files/pub-pdf/violence_survey_preliminary_results_2019.pdf</w:t>
      </w:r>
    </w:p>
  </w:footnote>
  <w:footnote w:id="18">
    <w:p w14:paraId="0D1EF6F8" w14:textId="77777777" w:rsidR="00ED7C43" w:rsidRPr="00881BCE" w:rsidRDefault="00ED7C43" w:rsidP="00ED7C43">
      <w:pPr>
        <w:pStyle w:val="FootnoteText"/>
        <w:rPr>
          <w:sz w:val="20"/>
          <w:szCs w:val="20"/>
        </w:rPr>
      </w:pPr>
      <w:r w:rsidRPr="00881BCE">
        <w:rPr>
          <w:rStyle w:val="FootnoteReference"/>
          <w:sz w:val="20"/>
          <w:szCs w:val="20"/>
        </w:rPr>
        <w:footnoteRef/>
      </w:r>
      <w:r w:rsidRPr="00881BCE">
        <w:rPr>
          <w:color w:val="212121"/>
          <w:sz w:val="20"/>
          <w:szCs w:val="20"/>
          <w:shd w:val="clear" w:color="auto" w:fill="FFFFFF"/>
        </w:rPr>
        <w:t xml:space="preserve"> </w:t>
      </w:r>
      <w:r w:rsidRPr="00881BCE">
        <w:rPr>
          <w:color w:val="212121"/>
          <w:sz w:val="20"/>
          <w:szCs w:val="20"/>
          <w:shd w:val="clear" w:color="auto" w:fill="FFFFFF"/>
        </w:rPr>
        <w:t xml:space="preserve">Ensherah Khoury E &amp; Michal Krumer-Nevo, </w:t>
      </w:r>
      <w:r w:rsidRPr="00881BCE">
        <w:rPr>
          <w:i/>
          <w:color w:val="212121"/>
          <w:sz w:val="20"/>
          <w:szCs w:val="20"/>
          <w:shd w:val="clear" w:color="auto" w:fill="FFFFFF"/>
        </w:rPr>
        <w:t>Poverty in Arab-Palestinian society in Israel: Social work perspectives before and during COVID-19</w:t>
      </w:r>
      <w:r w:rsidRPr="00881BCE">
        <w:rPr>
          <w:color w:val="212121"/>
          <w:sz w:val="20"/>
          <w:szCs w:val="20"/>
          <w:shd w:val="clear" w:color="auto" w:fill="FFFFFF"/>
        </w:rPr>
        <w:t xml:space="preserve">. 66 Int’l Soc Work 117, 125 (Jan. 2023). </w:t>
      </w:r>
    </w:p>
  </w:footnote>
  <w:footnote w:id="19">
    <w:p w14:paraId="77F550FF" w14:textId="77777777"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Preliminary Results of the Violence Survey in the Palestinian Society</w:t>
      </w:r>
      <w:r w:rsidRPr="00881BCE">
        <w:rPr>
          <w:iCs/>
          <w:sz w:val="20"/>
          <w:szCs w:val="20"/>
        </w:rPr>
        <w:t>,</w:t>
      </w:r>
      <w:r w:rsidRPr="00881BCE">
        <w:rPr>
          <w:i/>
          <w:sz w:val="20"/>
          <w:szCs w:val="20"/>
        </w:rPr>
        <w:t xml:space="preserve"> </w:t>
      </w:r>
      <w:r w:rsidRPr="00881BCE">
        <w:rPr>
          <w:sz w:val="20"/>
          <w:szCs w:val="20"/>
        </w:rPr>
        <w:t>Palestinian Central Bureau of Statistics, 20 (Nov. 2019).</w:t>
      </w:r>
    </w:p>
  </w:footnote>
  <w:footnote w:id="20">
    <w:p w14:paraId="19313CBA" w14:textId="77777777"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Preliminary Results of the Violence Survey in the Palestinian Society</w:t>
      </w:r>
      <w:r w:rsidRPr="00881BCE">
        <w:rPr>
          <w:iCs/>
          <w:sz w:val="20"/>
          <w:szCs w:val="20"/>
        </w:rPr>
        <w:t>,</w:t>
      </w:r>
      <w:r w:rsidRPr="00881BCE">
        <w:rPr>
          <w:i/>
          <w:sz w:val="20"/>
          <w:szCs w:val="20"/>
        </w:rPr>
        <w:t xml:space="preserve"> </w:t>
      </w:r>
      <w:r w:rsidRPr="00881BCE">
        <w:rPr>
          <w:sz w:val="20"/>
          <w:szCs w:val="20"/>
        </w:rPr>
        <w:t xml:space="preserve">Palestinian Central Bureau of Statistics, 20 (Nov. 2019); </w:t>
      </w:r>
      <w:r w:rsidRPr="00881BCE">
        <w:rPr>
          <w:i/>
          <w:sz w:val="20"/>
          <w:szCs w:val="20"/>
        </w:rPr>
        <w:t xml:space="preserve">2021 Gender Alert: A Multisectoral Gender Analysis to Inform the 2022 Humanitarian </w:t>
      </w:r>
      <w:r w:rsidRPr="00881BCE">
        <w:rPr>
          <w:i/>
          <w:sz w:val="20"/>
          <w:szCs w:val="20"/>
        </w:rPr>
        <w:t>Programme Cycle in the oPt</w:t>
      </w:r>
      <w:r w:rsidRPr="00881BCE">
        <w:rPr>
          <w:iCs/>
          <w:sz w:val="20"/>
          <w:szCs w:val="20"/>
        </w:rPr>
        <w:t>,</w:t>
      </w:r>
      <w:r w:rsidRPr="00881BCE">
        <w:rPr>
          <w:i/>
          <w:sz w:val="20"/>
          <w:szCs w:val="20"/>
        </w:rPr>
        <w:t xml:space="preserve"> </w:t>
      </w:r>
      <w:r w:rsidRPr="00881BCE">
        <w:rPr>
          <w:sz w:val="20"/>
          <w:szCs w:val="20"/>
        </w:rPr>
        <w:t xml:space="preserve">UN Women, 9 (2021). </w:t>
      </w:r>
    </w:p>
  </w:footnote>
  <w:footnote w:id="21">
    <w:p w14:paraId="633C7E6D" w14:textId="33DF5806" w:rsidR="004F2F57" w:rsidRPr="00881BCE" w:rsidRDefault="004F2F57">
      <w:pPr>
        <w:pStyle w:val="FootnoteText"/>
        <w:rPr>
          <w:sz w:val="20"/>
          <w:szCs w:val="20"/>
        </w:rPr>
      </w:pPr>
      <w:r w:rsidRPr="00881BCE">
        <w:rPr>
          <w:rStyle w:val="FootnoteReference"/>
          <w:sz w:val="20"/>
          <w:szCs w:val="20"/>
        </w:rPr>
        <w:footnoteRef/>
      </w:r>
      <w:r w:rsidRPr="00881BCE">
        <w:rPr>
          <w:sz w:val="20"/>
          <w:szCs w:val="20"/>
        </w:rPr>
        <w:t xml:space="preserve"> </w:t>
      </w:r>
      <w:r w:rsidR="006E37CC">
        <w:rPr>
          <w:sz w:val="20"/>
          <w:szCs w:val="20"/>
        </w:rPr>
        <w:t xml:space="preserve">Testimony in </w:t>
      </w:r>
      <w:r w:rsidRPr="00881BCE">
        <w:rPr>
          <w:sz w:val="20"/>
          <w:szCs w:val="20"/>
        </w:rPr>
        <w:t xml:space="preserve">Email on file with the author. </w:t>
      </w:r>
    </w:p>
  </w:footnote>
  <w:footnote w:id="22">
    <w:p w14:paraId="32240175" w14:textId="5B5C0FBE" w:rsidR="00972771" w:rsidRPr="00881BCE" w:rsidRDefault="00972771">
      <w:pPr>
        <w:pStyle w:val="FootnoteText"/>
        <w:rPr>
          <w:sz w:val="20"/>
          <w:szCs w:val="20"/>
        </w:rPr>
      </w:pPr>
      <w:r w:rsidRPr="00881BCE">
        <w:rPr>
          <w:rStyle w:val="FootnoteReference"/>
          <w:sz w:val="20"/>
          <w:szCs w:val="20"/>
        </w:rPr>
        <w:footnoteRef/>
      </w:r>
      <w:r w:rsidRPr="00881BCE">
        <w:rPr>
          <w:sz w:val="20"/>
          <w:szCs w:val="20"/>
        </w:rPr>
        <w:t xml:space="preserve"> Email on file with the author.</w:t>
      </w:r>
    </w:p>
  </w:footnote>
  <w:footnote w:id="23">
    <w:p w14:paraId="10F3693D" w14:textId="034D6DEF"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 xml:space="preserve">2021 Gender Alert: A Multisectoral Gender Analysis to Inform the 2022 Humanitarian </w:t>
      </w:r>
      <w:r w:rsidRPr="00881BCE">
        <w:rPr>
          <w:i/>
          <w:sz w:val="20"/>
          <w:szCs w:val="20"/>
        </w:rPr>
        <w:t>Programme Cycle in the oPt</w:t>
      </w:r>
      <w:r w:rsidRPr="00881BCE">
        <w:rPr>
          <w:iCs/>
          <w:sz w:val="20"/>
          <w:szCs w:val="20"/>
        </w:rPr>
        <w:t>,</w:t>
      </w:r>
      <w:r w:rsidRPr="00881BCE">
        <w:rPr>
          <w:i/>
          <w:sz w:val="20"/>
          <w:szCs w:val="20"/>
        </w:rPr>
        <w:t xml:space="preserve"> </w:t>
      </w:r>
      <w:r w:rsidRPr="00881BCE">
        <w:rPr>
          <w:sz w:val="20"/>
          <w:szCs w:val="20"/>
        </w:rPr>
        <w:t xml:space="preserve">UN Women, 9 (2021). </w:t>
      </w:r>
      <w:r w:rsidR="00BB6FB4">
        <w:rPr>
          <w:sz w:val="20"/>
          <w:szCs w:val="20"/>
        </w:rPr>
        <w:t xml:space="preserve">Available online at: </w:t>
      </w:r>
      <w:r w:rsidR="00BB6FB4" w:rsidRPr="00BB6FB4">
        <w:rPr>
          <w:sz w:val="20"/>
          <w:szCs w:val="20"/>
        </w:rPr>
        <w:t>https://palestine.un.org/sites/default/files/2021-12/un%20women%20gender%20alert%20analysis-111121_compressed.pdf</w:t>
      </w:r>
    </w:p>
  </w:footnote>
  <w:footnote w:id="24">
    <w:p w14:paraId="65190F71" w14:textId="74935996"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Fayez </w:t>
      </w:r>
      <w:r w:rsidRPr="00881BCE">
        <w:rPr>
          <w:sz w:val="20"/>
          <w:szCs w:val="20"/>
        </w:rPr>
        <w:t xml:space="preserve">Mahamid, Guido Veronese, &amp; Dana Bdier, </w:t>
      </w:r>
      <w:r w:rsidRPr="00881BCE">
        <w:rPr>
          <w:i/>
          <w:sz w:val="20"/>
          <w:szCs w:val="20"/>
        </w:rPr>
        <w:t xml:space="preserve">Gender-based violence experiences among Palestinian women during the COVID-19 pandemic: mental health professionals’ perceptions and concerns, </w:t>
      </w:r>
      <w:r w:rsidRPr="00881BCE">
        <w:rPr>
          <w:sz w:val="20"/>
          <w:szCs w:val="20"/>
        </w:rPr>
        <w:t>16 Conflict and Health</w:t>
      </w:r>
      <w:r w:rsidR="009A21F4" w:rsidRPr="00881BCE">
        <w:rPr>
          <w:sz w:val="20"/>
          <w:szCs w:val="20"/>
        </w:rPr>
        <w:t xml:space="preserve"> </w:t>
      </w:r>
      <w:r w:rsidR="00D87161" w:rsidRPr="00881BCE">
        <w:rPr>
          <w:sz w:val="20"/>
          <w:szCs w:val="20"/>
        </w:rPr>
        <w:t xml:space="preserve">2 (2022). </w:t>
      </w:r>
      <w:r w:rsidRPr="00881BCE">
        <w:rPr>
          <w:sz w:val="20"/>
          <w:szCs w:val="20"/>
        </w:rPr>
        <w:t xml:space="preserve"> </w:t>
      </w:r>
    </w:p>
  </w:footnote>
  <w:footnote w:id="25">
    <w:p w14:paraId="0D724A6E" w14:textId="7F53FB67"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00D87161" w:rsidRPr="00881BCE">
        <w:rPr>
          <w:sz w:val="20"/>
          <w:szCs w:val="20"/>
        </w:rPr>
        <w:t xml:space="preserve">Fayez </w:t>
      </w:r>
      <w:r w:rsidR="00D87161" w:rsidRPr="00881BCE">
        <w:rPr>
          <w:sz w:val="20"/>
          <w:szCs w:val="20"/>
        </w:rPr>
        <w:t xml:space="preserve">Mahamid, Guido Veronese, &amp; Dana Bdier, </w:t>
      </w:r>
      <w:r w:rsidR="00D87161" w:rsidRPr="00881BCE">
        <w:rPr>
          <w:i/>
          <w:sz w:val="20"/>
          <w:szCs w:val="20"/>
        </w:rPr>
        <w:t xml:space="preserve">Gender-based violence experiences among Palestinian women during the COVID-19 pandemic: mental health professionals’ perceptions and concerns, </w:t>
      </w:r>
      <w:r w:rsidR="00D87161" w:rsidRPr="00881BCE">
        <w:rPr>
          <w:sz w:val="20"/>
          <w:szCs w:val="20"/>
        </w:rPr>
        <w:t xml:space="preserve">16 Conflict and Health </w:t>
      </w:r>
      <w:r w:rsidR="00194244" w:rsidRPr="00881BCE">
        <w:rPr>
          <w:sz w:val="20"/>
          <w:szCs w:val="20"/>
        </w:rPr>
        <w:t>5</w:t>
      </w:r>
      <w:r w:rsidR="00D87161" w:rsidRPr="00881BCE">
        <w:rPr>
          <w:sz w:val="20"/>
          <w:szCs w:val="20"/>
        </w:rPr>
        <w:t xml:space="preserve"> (2022).</w:t>
      </w:r>
    </w:p>
  </w:footnote>
  <w:footnote w:id="26">
    <w:p w14:paraId="6F9D325E" w14:textId="42448FE6" w:rsidR="00CB3807" w:rsidRPr="00A167E5" w:rsidRDefault="00CB3807">
      <w:pPr>
        <w:pStyle w:val="FootnoteText"/>
        <w:rPr>
          <w:sz w:val="20"/>
          <w:szCs w:val="20"/>
        </w:rPr>
      </w:pPr>
      <w:r w:rsidRPr="00A167E5">
        <w:rPr>
          <w:rStyle w:val="FootnoteReference"/>
          <w:sz w:val="20"/>
          <w:szCs w:val="20"/>
        </w:rPr>
        <w:footnoteRef/>
      </w:r>
      <w:r w:rsidRPr="00A167E5">
        <w:rPr>
          <w:sz w:val="20"/>
          <w:szCs w:val="20"/>
        </w:rPr>
        <w:t xml:space="preserve"> </w:t>
      </w:r>
      <w:r w:rsidR="00AA4B81" w:rsidRPr="00A167E5">
        <w:rPr>
          <w:sz w:val="20"/>
          <w:szCs w:val="20"/>
        </w:rPr>
        <w:t xml:space="preserve">Committee on Economic, Social and Cultural Rights, </w:t>
      </w:r>
      <w:r w:rsidR="00983398" w:rsidRPr="00A167E5">
        <w:rPr>
          <w:sz w:val="20"/>
          <w:szCs w:val="20"/>
        </w:rPr>
        <w:t xml:space="preserve">Initial report submitted by the State of Palestine under articles 16 and 17 of the Covenant, due in 2016, UN Doc. E/C.12/PSE/1, </w:t>
      </w:r>
      <w:r w:rsidR="00913CF8" w:rsidRPr="00913CF8">
        <w:rPr>
          <w:sz w:val="20"/>
          <w:szCs w:val="20"/>
        </w:rPr>
        <w:t>(</w:t>
      </w:r>
      <w:r w:rsidR="00913CF8" w:rsidRPr="00A167E5">
        <w:rPr>
          <w:color w:val="000000"/>
          <w:sz w:val="20"/>
          <w:szCs w:val="20"/>
        </w:rPr>
        <w:t>3 February 2021</w:t>
      </w:r>
      <w:r w:rsidR="00913CF8" w:rsidRPr="00A167E5">
        <w:rPr>
          <w:color w:val="000000"/>
          <w:sz w:val="20"/>
          <w:szCs w:val="20"/>
        </w:rPr>
        <w:t>),</w:t>
      </w:r>
      <w:r w:rsidR="00AA4B81" w:rsidRPr="00A167E5">
        <w:rPr>
          <w:sz w:val="20"/>
          <w:szCs w:val="20"/>
        </w:rPr>
        <w:t>¶51</w:t>
      </w:r>
    </w:p>
  </w:footnote>
  <w:footnote w:id="27">
    <w:p w14:paraId="749E1268" w14:textId="77777777"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 xml:space="preserve">Preliminary Results of the Violence Survey in the Palestinian Society, </w:t>
      </w:r>
      <w:r w:rsidRPr="00881BCE">
        <w:rPr>
          <w:sz w:val="20"/>
          <w:szCs w:val="20"/>
        </w:rPr>
        <w:t>Palestinian Central Bureau of Statistics, 23 (Nov. 2019).</w:t>
      </w:r>
    </w:p>
  </w:footnote>
  <w:footnote w:id="28">
    <w:p w14:paraId="556301F0" w14:textId="77777777" w:rsidR="001B122F" w:rsidRPr="00881BCE" w:rsidRDefault="001B122F" w:rsidP="001B122F">
      <w:pPr>
        <w:pStyle w:val="FootnoteText"/>
        <w:rPr>
          <w:sz w:val="20"/>
          <w:szCs w:val="20"/>
        </w:rPr>
      </w:pPr>
      <w:r w:rsidRPr="00881BCE">
        <w:rPr>
          <w:rStyle w:val="FootnoteReference"/>
          <w:sz w:val="20"/>
          <w:szCs w:val="20"/>
        </w:rPr>
        <w:footnoteRef/>
      </w:r>
      <w:r w:rsidRPr="00881BCE">
        <w:rPr>
          <w:sz w:val="20"/>
          <w:szCs w:val="20"/>
        </w:rPr>
        <w:t xml:space="preserve"> Email on file with the author. </w:t>
      </w:r>
    </w:p>
  </w:footnote>
  <w:footnote w:id="29">
    <w:p w14:paraId="6F3525AD" w14:textId="77777777"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 xml:space="preserve">Preliminary Results of the Violence Survey in the Palestinian Society, </w:t>
      </w:r>
      <w:r w:rsidRPr="00881BCE">
        <w:rPr>
          <w:sz w:val="20"/>
          <w:szCs w:val="20"/>
        </w:rPr>
        <w:t>Palestinian Central Bureau of Statistics, 22 (Nov. 2019).</w:t>
      </w:r>
    </w:p>
  </w:footnote>
  <w:footnote w:id="30">
    <w:p w14:paraId="64F34E77" w14:textId="77777777"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 xml:space="preserve">2021 Gender Alert: A Multisectoral Gender Analysis to Inform the 2022 Humanitarian </w:t>
      </w:r>
      <w:r w:rsidRPr="00881BCE">
        <w:rPr>
          <w:i/>
          <w:sz w:val="20"/>
          <w:szCs w:val="20"/>
        </w:rPr>
        <w:t xml:space="preserve">Programme Cycle in the oPt, </w:t>
      </w:r>
      <w:r w:rsidRPr="00881BCE">
        <w:rPr>
          <w:sz w:val="20"/>
          <w:szCs w:val="20"/>
        </w:rPr>
        <w:t>UN Women, 9 (2021).</w:t>
      </w:r>
    </w:p>
  </w:footnote>
  <w:footnote w:id="31">
    <w:p w14:paraId="3CF01538" w14:textId="2BB1A491" w:rsidR="0016054D" w:rsidRPr="00881BCE" w:rsidRDefault="0016054D">
      <w:pPr>
        <w:pStyle w:val="FootnoteText"/>
        <w:rPr>
          <w:sz w:val="20"/>
          <w:szCs w:val="20"/>
        </w:rPr>
      </w:pPr>
      <w:r w:rsidRPr="00881BCE">
        <w:rPr>
          <w:rStyle w:val="FootnoteReference"/>
          <w:sz w:val="20"/>
          <w:szCs w:val="20"/>
        </w:rPr>
        <w:footnoteRef/>
      </w:r>
      <w:r w:rsidRPr="00881BCE">
        <w:rPr>
          <w:sz w:val="20"/>
          <w:szCs w:val="20"/>
        </w:rPr>
        <w:t xml:space="preserve"> </w:t>
      </w:r>
      <w:r w:rsidR="008C0E4B">
        <w:rPr>
          <w:sz w:val="20"/>
          <w:szCs w:val="20"/>
        </w:rPr>
        <w:t>Testimony in e</w:t>
      </w:r>
      <w:r w:rsidRPr="00881BCE">
        <w:rPr>
          <w:sz w:val="20"/>
          <w:szCs w:val="20"/>
        </w:rPr>
        <w:t xml:space="preserve">mail on file with the author. </w:t>
      </w:r>
    </w:p>
  </w:footnote>
  <w:footnote w:id="32">
    <w:p w14:paraId="1D302B11" w14:textId="59032644" w:rsidR="00EE6099" w:rsidRPr="00881BCE" w:rsidRDefault="00EE6099">
      <w:pPr>
        <w:pStyle w:val="FootnoteText"/>
        <w:rPr>
          <w:sz w:val="20"/>
          <w:szCs w:val="20"/>
        </w:rPr>
      </w:pPr>
      <w:r w:rsidRPr="00881BCE">
        <w:rPr>
          <w:rStyle w:val="FootnoteReference"/>
          <w:sz w:val="20"/>
          <w:szCs w:val="20"/>
        </w:rPr>
        <w:footnoteRef/>
      </w:r>
      <w:r w:rsidRPr="00881BCE">
        <w:rPr>
          <w:sz w:val="20"/>
          <w:szCs w:val="20"/>
        </w:rPr>
        <w:t xml:space="preserve"> </w:t>
      </w:r>
      <w:r w:rsidR="008C0E4B">
        <w:rPr>
          <w:sz w:val="20"/>
          <w:szCs w:val="20"/>
        </w:rPr>
        <w:t>Testimony in e</w:t>
      </w:r>
      <w:r w:rsidR="008C0E4B" w:rsidRPr="00881BCE">
        <w:rPr>
          <w:sz w:val="20"/>
          <w:szCs w:val="20"/>
        </w:rPr>
        <w:t xml:space="preserve">mail on file </w:t>
      </w:r>
      <w:r w:rsidRPr="00881BCE">
        <w:rPr>
          <w:sz w:val="20"/>
          <w:szCs w:val="20"/>
        </w:rPr>
        <w:t xml:space="preserve">with the author. </w:t>
      </w:r>
    </w:p>
  </w:footnote>
  <w:footnote w:id="33">
    <w:p w14:paraId="6E40F0E1" w14:textId="68DFE581" w:rsidR="004D4CE0" w:rsidRPr="00881BCE" w:rsidRDefault="004D4CE0">
      <w:pPr>
        <w:pStyle w:val="FootnoteText"/>
        <w:rPr>
          <w:sz w:val="20"/>
          <w:szCs w:val="20"/>
        </w:rPr>
      </w:pPr>
      <w:r w:rsidRPr="00881BCE">
        <w:rPr>
          <w:rStyle w:val="FootnoteReference"/>
          <w:sz w:val="20"/>
          <w:szCs w:val="20"/>
        </w:rPr>
        <w:footnoteRef/>
      </w:r>
      <w:r w:rsidRPr="00881BCE">
        <w:rPr>
          <w:sz w:val="20"/>
          <w:szCs w:val="20"/>
        </w:rPr>
        <w:t xml:space="preserve"> </w:t>
      </w:r>
      <w:r w:rsidR="008C0E4B">
        <w:rPr>
          <w:sz w:val="20"/>
          <w:szCs w:val="20"/>
        </w:rPr>
        <w:t>Testimony in e</w:t>
      </w:r>
      <w:r w:rsidR="008C0E4B" w:rsidRPr="00881BCE">
        <w:rPr>
          <w:sz w:val="20"/>
          <w:szCs w:val="20"/>
        </w:rPr>
        <w:t xml:space="preserve">mail on file </w:t>
      </w:r>
      <w:r w:rsidRPr="00881BCE">
        <w:rPr>
          <w:sz w:val="20"/>
          <w:szCs w:val="20"/>
        </w:rPr>
        <w:t xml:space="preserve">with the author. </w:t>
      </w:r>
    </w:p>
  </w:footnote>
  <w:footnote w:id="34">
    <w:p w14:paraId="30D803CC" w14:textId="6214E0BD" w:rsidR="00843C2F" w:rsidRPr="00881BCE" w:rsidRDefault="00843C2F" w:rsidP="00992621">
      <w:pPr>
        <w:pStyle w:val="Heading2"/>
        <w:shd w:val="clear" w:color="auto" w:fill="FFFFFF"/>
        <w:spacing w:before="0" w:beforeAutospacing="0" w:after="0" w:afterAutospacing="0"/>
        <w:rPr>
          <w:b w:val="0"/>
          <w:bCs w:val="0"/>
          <w:sz w:val="20"/>
          <w:szCs w:val="20"/>
        </w:rPr>
      </w:pPr>
      <w:r w:rsidRPr="00881BCE">
        <w:rPr>
          <w:rStyle w:val="FootnoteReference"/>
          <w:b w:val="0"/>
          <w:bCs w:val="0"/>
          <w:sz w:val="20"/>
          <w:szCs w:val="20"/>
        </w:rPr>
        <w:footnoteRef/>
      </w:r>
      <w:r w:rsidRPr="00881BCE">
        <w:rPr>
          <w:b w:val="0"/>
          <w:bCs w:val="0"/>
          <w:sz w:val="20"/>
          <w:szCs w:val="20"/>
        </w:rPr>
        <w:t xml:space="preserve"> </w:t>
      </w:r>
      <w:r w:rsidR="00B41DD5" w:rsidRPr="00881BCE">
        <w:rPr>
          <w:b w:val="0"/>
          <w:bCs w:val="0"/>
          <w:i/>
          <w:iCs/>
          <w:sz w:val="20"/>
          <w:szCs w:val="20"/>
        </w:rPr>
        <w:t>Caught Up Between a Rock &amp; a Hard Place: Occupation, Patriarchy and Gender Relations: A UN Women Case Study of Palestinian Women in Area C &amp;</w:t>
      </w:r>
      <w:r w:rsidR="00992621" w:rsidRPr="00881BCE">
        <w:rPr>
          <w:b w:val="0"/>
          <w:bCs w:val="0"/>
          <w:i/>
          <w:iCs/>
          <w:sz w:val="20"/>
          <w:szCs w:val="20"/>
        </w:rPr>
        <w:t xml:space="preserve"> H2</w:t>
      </w:r>
      <w:r w:rsidR="007C05AE" w:rsidRPr="00881BCE">
        <w:rPr>
          <w:b w:val="0"/>
          <w:bCs w:val="0"/>
          <w:sz w:val="20"/>
          <w:szCs w:val="20"/>
        </w:rPr>
        <w:t xml:space="preserve">, UN Women, </w:t>
      </w:r>
      <w:r w:rsidR="00BC6DDF" w:rsidRPr="00881BCE">
        <w:rPr>
          <w:b w:val="0"/>
          <w:bCs w:val="0"/>
          <w:sz w:val="20"/>
          <w:szCs w:val="20"/>
        </w:rPr>
        <w:t xml:space="preserve">60 </w:t>
      </w:r>
      <w:r w:rsidR="007C05AE" w:rsidRPr="00881BCE">
        <w:rPr>
          <w:b w:val="0"/>
          <w:bCs w:val="0"/>
          <w:sz w:val="20"/>
          <w:szCs w:val="20"/>
        </w:rPr>
        <w:t>(2018)</w:t>
      </w:r>
      <w:r w:rsidR="00B55854" w:rsidRPr="00881BCE">
        <w:rPr>
          <w:b w:val="0"/>
          <w:bCs w:val="0"/>
          <w:sz w:val="20"/>
          <w:szCs w:val="20"/>
        </w:rPr>
        <w:t>.</w:t>
      </w:r>
    </w:p>
  </w:footnote>
  <w:footnote w:id="35">
    <w:p w14:paraId="6516055E" w14:textId="3EA3EBF0" w:rsidR="00ED7C43" w:rsidRPr="00881BCE" w:rsidRDefault="00ED7C43" w:rsidP="00ED7C43">
      <w:pPr>
        <w:pStyle w:val="FootnoteText"/>
        <w:rPr>
          <w:sz w:val="20"/>
          <w:szCs w:val="20"/>
        </w:rPr>
      </w:pPr>
      <w:r w:rsidRPr="00881BCE">
        <w:rPr>
          <w:rStyle w:val="FootnoteReference"/>
          <w:sz w:val="20"/>
          <w:szCs w:val="20"/>
        </w:rPr>
        <w:footnoteRef/>
      </w:r>
      <w:r w:rsidR="00323E41" w:rsidRPr="00881BCE">
        <w:rPr>
          <w:sz w:val="20"/>
          <w:szCs w:val="20"/>
        </w:rPr>
        <w:t xml:space="preserve"> </w:t>
      </w:r>
      <w:r w:rsidR="00CB105F" w:rsidRPr="00881BCE">
        <w:rPr>
          <w:i/>
          <w:sz w:val="20"/>
          <w:szCs w:val="20"/>
        </w:rPr>
        <w:t>Death penalty disproportionately affects the poor, UN rights experts warn</w:t>
      </w:r>
      <w:r w:rsidR="00CB105F" w:rsidRPr="00881BCE">
        <w:rPr>
          <w:iCs/>
          <w:sz w:val="20"/>
          <w:szCs w:val="20"/>
        </w:rPr>
        <w:t xml:space="preserve">, </w:t>
      </w:r>
      <w:r w:rsidR="00CB105F" w:rsidRPr="00881BCE">
        <w:rPr>
          <w:sz w:val="20"/>
          <w:szCs w:val="20"/>
        </w:rPr>
        <w:t>UN</w:t>
      </w:r>
      <w:r w:rsidR="00F545D3" w:rsidRPr="00881BCE">
        <w:rPr>
          <w:sz w:val="20"/>
          <w:szCs w:val="20"/>
        </w:rPr>
        <w:t xml:space="preserve"> Human Rights</w:t>
      </w:r>
      <w:r w:rsidR="0058577A" w:rsidRPr="00881BCE">
        <w:rPr>
          <w:sz w:val="20"/>
          <w:szCs w:val="20"/>
        </w:rPr>
        <w:t xml:space="preserve"> (Oct. 6, 2017)</w:t>
      </w:r>
      <w:r w:rsidR="0077692C" w:rsidRPr="00881BCE">
        <w:rPr>
          <w:sz w:val="20"/>
          <w:szCs w:val="20"/>
        </w:rPr>
        <w:t>.</w:t>
      </w:r>
      <w:r w:rsidR="0058577A" w:rsidRPr="00881BCE">
        <w:rPr>
          <w:sz w:val="20"/>
          <w:szCs w:val="20"/>
        </w:rPr>
        <w:t xml:space="preserve"> </w:t>
      </w:r>
    </w:p>
  </w:footnote>
  <w:footnote w:id="36">
    <w:p w14:paraId="18D8D4B2" w14:textId="77777777"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Pr="00881BCE">
        <w:rPr>
          <w:i/>
          <w:sz w:val="20"/>
          <w:szCs w:val="20"/>
        </w:rPr>
        <w:t xml:space="preserve">2021 Gender Alert: A Multisectoral Gender Analysis to Inform the 2022 Humanitarian </w:t>
      </w:r>
      <w:r w:rsidRPr="00881BCE">
        <w:rPr>
          <w:i/>
          <w:sz w:val="20"/>
          <w:szCs w:val="20"/>
        </w:rPr>
        <w:t>Programme Cycle in the oPt</w:t>
      </w:r>
      <w:r w:rsidRPr="00881BCE">
        <w:rPr>
          <w:iCs/>
          <w:sz w:val="20"/>
          <w:szCs w:val="20"/>
        </w:rPr>
        <w:t>,</w:t>
      </w:r>
      <w:r w:rsidRPr="00881BCE">
        <w:rPr>
          <w:i/>
          <w:sz w:val="20"/>
          <w:szCs w:val="20"/>
        </w:rPr>
        <w:t xml:space="preserve"> </w:t>
      </w:r>
      <w:r w:rsidRPr="00881BCE">
        <w:rPr>
          <w:sz w:val="20"/>
          <w:szCs w:val="20"/>
        </w:rPr>
        <w:t>UN Women, 8 (2021).</w:t>
      </w:r>
    </w:p>
  </w:footnote>
  <w:footnote w:id="37">
    <w:p w14:paraId="1CF0A767" w14:textId="3B415BE1" w:rsidR="00502D3D" w:rsidRDefault="00502D3D">
      <w:pPr>
        <w:pStyle w:val="FootnoteText"/>
      </w:pPr>
      <w:r>
        <w:rPr>
          <w:rStyle w:val="FootnoteReference"/>
        </w:rPr>
        <w:footnoteRef/>
      </w:r>
      <w:r>
        <w:t xml:space="preserve"> </w:t>
      </w:r>
      <w:r w:rsidR="00957560" w:rsidRPr="008F4770">
        <w:rPr>
          <w:sz w:val="20"/>
          <w:szCs w:val="20"/>
        </w:rPr>
        <w:t xml:space="preserve">Committee on Economic, Social and Cultural Rights, Initial report submitted by the State of Palestine under articles 16 and 17 of the Covenant, due in 2016, UN Doc. E/C.12/PSE/1, </w:t>
      </w:r>
      <w:r w:rsidR="00957560" w:rsidRPr="00913CF8">
        <w:rPr>
          <w:sz w:val="20"/>
          <w:szCs w:val="20"/>
        </w:rPr>
        <w:t>(</w:t>
      </w:r>
      <w:r w:rsidR="00957560" w:rsidRPr="008F4770">
        <w:rPr>
          <w:color w:val="000000"/>
          <w:sz w:val="20"/>
          <w:szCs w:val="20"/>
        </w:rPr>
        <w:t>3 February 2021</w:t>
      </w:r>
      <w:r w:rsidR="00957560" w:rsidRPr="008F4770">
        <w:rPr>
          <w:color w:val="000000"/>
          <w:sz w:val="20"/>
          <w:szCs w:val="20"/>
        </w:rPr>
        <w:t>),</w:t>
      </w:r>
      <w:r w:rsidR="00957560" w:rsidRPr="008F4770">
        <w:rPr>
          <w:sz w:val="20"/>
          <w:szCs w:val="20"/>
        </w:rPr>
        <w:t>¶</w:t>
      </w:r>
      <w:r w:rsidR="00957560">
        <w:rPr>
          <w:sz w:val="20"/>
          <w:szCs w:val="20"/>
        </w:rPr>
        <w:t>131</w:t>
      </w:r>
    </w:p>
  </w:footnote>
  <w:footnote w:id="38">
    <w:p w14:paraId="51647992" w14:textId="77777777" w:rsidR="00ED7C43" w:rsidRPr="00881BCE" w:rsidRDefault="00ED7C43" w:rsidP="00ED7C43">
      <w:pPr>
        <w:autoSpaceDE w:val="0"/>
        <w:autoSpaceDN w:val="0"/>
        <w:adjustRightInd w:val="0"/>
        <w:rPr>
          <w:rFonts w:eastAsiaTheme="minorEastAsia"/>
          <w:kern w:val="0"/>
          <w:sz w:val="20"/>
          <w:szCs w:val="20"/>
          <w:lang w:eastAsia="en-US"/>
        </w:rPr>
      </w:pPr>
      <w:r w:rsidRPr="00881BCE">
        <w:rPr>
          <w:rStyle w:val="FootnoteReference"/>
          <w:sz w:val="20"/>
          <w:szCs w:val="20"/>
        </w:rPr>
        <w:footnoteRef/>
      </w:r>
      <w:r w:rsidRPr="00881BCE">
        <w:rPr>
          <w:sz w:val="20"/>
          <w:szCs w:val="20"/>
        </w:rPr>
        <w:t xml:space="preserve"> </w:t>
      </w:r>
      <w:r w:rsidRPr="00881BCE">
        <w:rPr>
          <w:rFonts w:eastAsiaTheme="minorHAnsi"/>
          <w:i/>
          <w:kern w:val="0"/>
          <w:sz w:val="20"/>
          <w:szCs w:val="20"/>
          <w:lang w:eastAsia="en-US"/>
        </w:rPr>
        <w:t>Judged for More Than Her Crime: A Global Overview of Women Facing the Death Penalty</w:t>
      </w:r>
      <w:r w:rsidRPr="00881BCE">
        <w:rPr>
          <w:rFonts w:eastAsiaTheme="minorHAnsi"/>
          <w:kern w:val="0"/>
          <w:sz w:val="20"/>
          <w:szCs w:val="20"/>
          <w:lang w:eastAsia="en-US"/>
        </w:rPr>
        <w:t>, Cornell Center on the Death Penalty Worldwide, 4 (Sept. 2018).</w:t>
      </w:r>
    </w:p>
  </w:footnote>
  <w:footnote w:id="39">
    <w:p w14:paraId="1698A5C4" w14:textId="5CA24141"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0090338A" w:rsidRPr="00881BCE">
        <w:rPr>
          <w:sz w:val="20"/>
          <w:szCs w:val="20"/>
        </w:rPr>
        <w:t xml:space="preserve">M.K., </w:t>
      </w:r>
      <w:r w:rsidR="0090338A" w:rsidRPr="00881BCE">
        <w:rPr>
          <w:i/>
          <w:sz w:val="20"/>
          <w:szCs w:val="20"/>
        </w:rPr>
        <w:t>While female enrollment in education is higher than males, their labor participation remains highly inferior</w:t>
      </w:r>
      <w:r w:rsidR="0090338A" w:rsidRPr="00881BCE">
        <w:rPr>
          <w:iCs/>
          <w:sz w:val="20"/>
          <w:szCs w:val="20"/>
        </w:rPr>
        <w:t>,</w:t>
      </w:r>
      <w:r w:rsidR="0090338A" w:rsidRPr="00881BCE">
        <w:rPr>
          <w:i/>
          <w:sz w:val="20"/>
          <w:szCs w:val="20"/>
        </w:rPr>
        <w:t xml:space="preserve"> </w:t>
      </w:r>
      <w:r w:rsidR="000321F8" w:rsidRPr="00881BCE">
        <w:rPr>
          <w:sz w:val="20"/>
          <w:szCs w:val="20"/>
        </w:rPr>
        <w:t>WAFA News Agency</w:t>
      </w:r>
      <w:r w:rsidR="00DD33C0" w:rsidRPr="00881BCE">
        <w:rPr>
          <w:sz w:val="20"/>
          <w:szCs w:val="20"/>
        </w:rPr>
        <w:t xml:space="preserve"> (March 7, 2022, 1:17 PM)</w:t>
      </w:r>
      <w:r w:rsidR="00E969A6" w:rsidRPr="00881BCE">
        <w:rPr>
          <w:sz w:val="20"/>
          <w:szCs w:val="20"/>
        </w:rPr>
        <w:t>,</w:t>
      </w:r>
      <w:r w:rsidR="0005405E" w:rsidRPr="00881BCE">
        <w:rPr>
          <w:sz w:val="20"/>
          <w:szCs w:val="20"/>
        </w:rPr>
        <w:t xml:space="preserve"> https://english.wafa.ps/Pages/Details/128313.</w:t>
      </w:r>
    </w:p>
  </w:footnote>
  <w:footnote w:id="40">
    <w:p w14:paraId="791C0DDE" w14:textId="757398AC" w:rsidR="00ED7C43" w:rsidRPr="00881BCE" w:rsidRDefault="00ED7C43" w:rsidP="00ED7C43">
      <w:pPr>
        <w:pStyle w:val="FootnoteText"/>
        <w:rPr>
          <w:sz w:val="20"/>
          <w:szCs w:val="20"/>
        </w:rPr>
      </w:pPr>
      <w:r w:rsidRPr="00881BCE">
        <w:rPr>
          <w:rStyle w:val="FootnoteReference"/>
          <w:sz w:val="20"/>
          <w:szCs w:val="20"/>
        </w:rPr>
        <w:footnoteRef/>
      </w:r>
      <w:r w:rsidR="00D069D9">
        <w:rPr>
          <w:i/>
          <w:sz w:val="20"/>
          <w:szCs w:val="20"/>
        </w:rPr>
        <w:t xml:space="preserve"> </w:t>
      </w:r>
      <w:r w:rsidRPr="00881BCE">
        <w:rPr>
          <w:i/>
          <w:sz w:val="20"/>
          <w:szCs w:val="20"/>
        </w:rPr>
        <w:t>Preliminary Results of the Violence Survey in the Palestinian Society</w:t>
      </w:r>
      <w:r w:rsidRPr="00881BCE">
        <w:rPr>
          <w:iCs/>
          <w:sz w:val="20"/>
          <w:szCs w:val="20"/>
        </w:rPr>
        <w:t>,</w:t>
      </w:r>
      <w:r w:rsidRPr="00881BCE">
        <w:rPr>
          <w:i/>
          <w:sz w:val="20"/>
          <w:szCs w:val="20"/>
        </w:rPr>
        <w:t xml:space="preserve"> </w:t>
      </w:r>
      <w:r w:rsidRPr="00881BCE">
        <w:rPr>
          <w:sz w:val="20"/>
          <w:szCs w:val="20"/>
        </w:rPr>
        <w:t>Palestinian Central Bureau of Statistics, 20 (Nov. 2019).</w:t>
      </w:r>
    </w:p>
  </w:footnote>
  <w:footnote w:id="41">
    <w:p w14:paraId="444CEA4B" w14:textId="7194E7FE" w:rsidR="00ED7C43" w:rsidRPr="00881BCE" w:rsidRDefault="00ED7C43" w:rsidP="00ED7C43">
      <w:pPr>
        <w:pStyle w:val="FootnoteText"/>
        <w:rPr>
          <w:sz w:val="20"/>
          <w:szCs w:val="20"/>
        </w:rPr>
      </w:pPr>
      <w:r w:rsidRPr="00881BCE">
        <w:rPr>
          <w:rStyle w:val="FootnoteReference"/>
          <w:sz w:val="20"/>
          <w:szCs w:val="20"/>
        </w:rPr>
        <w:footnoteRef/>
      </w:r>
      <w:r w:rsidR="00DD611C" w:rsidRPr="00881BCE">
        <w:rPr>
          <w:sz w:val="20"/>
          <w:szCs w:val="20"/>
        </w:rPr>
        <w:t xml:space="preserve"> Lydia Cardwell, </w:t>
      </w:r>
      <w:r w:rsidR="00DD611C" w:rsidRPr="00881BCE">
        <w:rPr>
          <w:i/>
          <w:sz w:val="20"/>
          <w:szCs w:val="20"/>
        </w:rPr>
        <w:t>The State of Girls’ Education in Palestine</w:t>
      </w:r>
      <w:r w:rsidR="00DD611C" w:rsidRPr="00881BCE">
        <w:rPr>
          <w:iCs/>
          <w:sz w:val="20"/>
          <w:szCs w:val="20"/>
        </w:rPr>
        <w:t>,</w:t>
      </w:r>
      <w:r w:rsidR="00DD611C" w:rsidRPr="00881BCE">
        <w:rPr>
          <w:i/>
          <w:sz w:val="20"/>
          <w:szCs w:val="20"/>
        </w:rPr>
        <w:t xml:space="preserve"> </w:t>
      </w:r>
      <w:r w:rsidR="00DD611C" w:rsidRPr="00881BCE">
        <w:rPr>
          <w:sz w:val="20"/>
          <w:szCs w:val="20"/>
        </w:rPr>
        <w:t xml:space="preserve">The Borgen Project (June 21, 2018), </w:t>
      </w:r>
      <w:r w:rsidR="001955DB" w:rsidRPr="00881BCE">
        <w:rPr>
          <w:sz w:val="20"/>
          <w:szCs w:val="20"/>
        </w:rPr>
        <w:t>https://borgenproject.org/the-state-of-girls-education-in-palestine/#:~:text=Girls%27%20education%20in%20Palestine%20can,as%20often%20as%20boys%20do.</w:t>
      </w:r>
    </w:p>
  </w:footnote>
  <w:footnote w:id="42">
    <w:p w14:paraId="55C527C5" w14:textId="77777777" w:rsidR="00ED7C43" w:rsidRPr="00881BCE" w:rsidRDefault="00ED7C43" w:rsidP="00ED7C43">
      <w:pPr>
        <w:autoSpaceDE w:val="0"/>
        <w:autoSpaceDN w:val="0"/>
        <w:adjustRightInd w:val="0"/>
        <w:rPr>
          <w:sz w:val="20"/>
          <w:szCs w:val="20"/>
        </w:rPr>
      </w:pPr>
      <w:r w:rsidRPr="00881BCE">
        <w:rPr>
          <w:rStyle w:val="FootnoteReference"/>
          <w:sz w:val="20"/>
          <w:szCs w:val="20"/>
        </w:rPr>
        <w:footnoteRef/>
      </w:r>
      <w:r w:rsidRPr="00881BCE">
        <w:rPr>
          <w:sz w:val="20"/>
          <w:szCs w:val="20"/>
        </w:rPr>
        <w:t xml:space="preserve"> </w:t>
      </w:r>
      <w:r w:rsidRPr="00881BCE">
        <w:rPr>
          <w:rFonts w:eastAsiaTheme="minorHAnsi"/>
          <w:i/>
          <w:kern w:val="0"/>
          <w:sz w:val="20"/>
          <w:szCs w:val="20"/>
          <w:lang w:eastAsia="en-US"/>
        </w:rPr>
        <w:t>Judged for More Than Her Crime: A Global Overview of Women Facing the Death Penalty</w:t>
      </w:r>
      <w:r w:rsidRPr="00881BCE">
        <w:rPr>
          <w:rFonts w:eastAsiaTheme="minorHAnsi"/>
          <w:kern w:val="0"/>
          <w:sz w:val="20"/>
          <w:szCs w:val="20"/>
          <w:lang w:eastAsia="en-US"/>
        </w:rPr>
        <w:t>, Cornell Center on the Death Penalty Worldwide, 8 (Sept. 2018).</w:t>
      </w:r>
    </w:p>
  </w:footnote>
  <w:footnote w:id="43">
    <w:p w14:paraId="07939952" w14:textId="76FF1406" w:rsidR="00ED7C43" w:rsidRPr="00881BCE" w:rsidRDefault="00ED7C43" w:rsidP="00ED7C43">
      <w:pPr>
        <w:pStyle w:val="FootnoteText"/>
        <w:rPr>
          <w:b/>
          <w:bCs/>
          <w:sz w:val="20"/>
          <w:szCs w:val="20"/>
        </w:rPr>
      </w:pPr>
      <w:r w:rsidRPr="00881BCE">
        <w:rPr>
          <w:rStyle w:val="FootnoteReference"/>
          <w:sz w:val="20"/>
          <w:szCs w:val="20"/>
        </w:rPr>
        <w:footnoteRef/>
      </w:r>
      <w:r w:rsidR="004E5EA4" w:rsidRPr="00881BCE">
        <w:rPr>
          <w:sz w:val="20"/>
          <w:szCs w:val="20"/>
        </w:rPr>
        <w:t xml:space="preserve"> Rasha Abou Jalal, </w:t>
      </w:r>
      <w:r w:rsidR="004E5EA4" w:rsidRPr="00881BCE">
        <w:rPr>
          <w:i/>
          <w:sz w:val="20"/>
          <w:szCs w:val="20"/>
        </w:rPr>
        <w:t>Gaza to hear appeal of women’s death sentence</w:t>
      </w:r>
      <w:r w:rsidR="001A0F57" w:rsidRPr="00881BCE">
        <w:rPr>
          <w:iCs/>
          <w:sz w:val="20"/>
          <w:szCs w:val="20"/>
        </w:rPr>
        <w:t>,</w:t>
      </w:r>
      <w:r w:rsidR="001A0F57" w:rsidRPr="00881BCE">
        <w:rPr>
          <w:i/>
          <w:sz w:val="20"/>
          <w:szCs w:val="20"/>
        </w:rPr>
        <w:t xml:space="preserve"> </w:t>
      </w:r>
      <w:r w:rsidR="001A0F57" w:rsidRPr="00881BCE">
        <w:rPr>
          <w:sz w:val="20"/>
          <w:szCs w:val="20"/>
        </w:rPr>
        <w:t xml:space="preserve">Al-Monitor (Dec. 23, 2016), </w:t>
      </w:r>
      <w:r w:rsidR="000B5AC1" w:rsidRPr="00881BCE">
        <w:rPr>
          <w:sz w:val="20"/>
          <w:szCs w:val="20"/>
        </w:rPr>
        <w:t>https://www.al-monitor.com/originals/2016/12/palestine-execution-women-first-time-death-penalty-nahla.html.</w:t>
      </w:r>
    </w:p>
  </w:footnote>
  <w:footnote w:id="44">
    <w:p w14:paraId="446D8FB8" w14:textId="450A97EE"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000B5AC1" w:rsidRPr="00881BCE">
        <w:rPr>
          <w:sz w:val="20"/>
          <w:szCs w:val="20"/>
        </w:rPr>
        <w:t xml:space="preserve">Rasha Abou Jalal, </w:t>
      </w:r>
      <w:r w:rsidR="000B5AC1" w:rsidRPr="00881BCE">
        <w:rPr>
          <w:i/>
          <w:sz w:val="20"/>
          <w:szCs w:val="20"/>
        </w:rPr>
        <w:t>Gaza to hear appeal of women’s death sentence</w:t>
      </w:r>
      <w:r w:rsidR="000B5AC1" w:rsidRPr="00881BCE">
        <w:rPr>
          <w:iCs/>
          <w:sz w:val="20"/>
          <w:szCs w:val="20"/>
        </w:rPr>
        <w:t>,</w:t>
      </w:r>
      <w:r w:rsidR="000B5AC1" w:rsidRPr="00881BCE">
        <w:rPr>
          <w:i/>
          <w:sz w:val="20"/>
          <w:szCs w:val="20"/>
        </w:rPr>
        <w:t xml:space="preserve"> </w:t>
      </w:r>
      <w:r w:rsidR="000B5AC1" w:rsidRPr="00881BCE">
        <w:rPr>
          <w:sz w:val="20"/>
          <w:szCs w:val="20"/>
        </w:rPr>
        <w:t>Al-Monitor (Dec. 23, 2016), https://www.al-monitor.com/originals/2016/12/palestine-execution-women-first-time-death-penalty-nahla.html.</w:t>
      </w:r>
    </w:p>
  </w:footnote>
  <w:footnote w:id="45">
    <w:p w14:paraId="3A2F50C6" w14:textId="4072A46C"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001C37EE" w:rsidRPr="00881BCE">
        <w:rPr>
          <w:rFonts w:eastAsiaTheme="minorHAnsi"/>
          <w:i/>
          <w:kern w:val="0"/>
          <w:sz w:val="20"/>
          <w:szCs w:val="20"/>
          <w:lang w:eastAsia="en-US"/>
        </w:rPr>
        <w:t>“</w:t>
      </w:r>
      <w:r w:rsidRPr="00881BCE">
        <w:rPr>
          <w:rFonts w:eastAsiaTheme="minorHAnsi"/>
          <w:i/>
          <w:kern w:val="0"/>
          <w:sz w:val="20"/>
          <w:szCs w:val="20"/>
          <w:lang w:eastAsia="en-US"/>
        </w:rPr>
        <w:t>No One Believed Me”: A Global Overview of Women Facing the Death Penalty for Drug Offenses</w:t>
      </w:r>
      <w:r w:rsidR="001C37EE" w:rsidRPr="00881BCE">
        <w:rPr>
          <w:rFonts w:eastAsiaTheme="minorHAnsi"/>
          <w:iCs/>
          <w:kern w:val="0"/>
          <w:sz w:val="20"/>
          <w:szCs w:val="20"/>
          <w:lang w:eastAsia="en-US"/>
        </w:rPr>
        <w:t xml:space="preserve">, </w:t>
      </w:r>
      <w:r w:rsidR="001C37EE" w:rsidRPr="00881BCE">
        <w:rPr>
          <w:rFonts w:eastAsiaTheme="minorHAnsi"/>
          <w:kern w:val="0"/>
          <w:sz w:val="20"/>
          <w:szCs w:val="20"/>
          <w:lang w:eastAsia="en-US"/>
        </w:rPr>
        <w:t>Cornell Center on the Death Penalty Worldwide,</w:t>
      </w:r>
      <w:r w:rsidRPr="00881BCE">
        <w:rPr>
          <w:rFonts w:eastAsiaTheme="minorHAnsi"/>
          <w:i/>
          <w:kern w:val="0"/>
          <w:sz w:val="20"/>
          <w:szCs w:val="20"/>
          <w:lang w:eastAsia="en-US"/>
        </w:rPr>
        <w:t xml:space="preserve"> </w:t>
      </w:r>
      <w:r w:rsidRPr="00881BCE">
        <w:rPr>
          <w:rFonts w:eastAsiaTheme="minorHAnsi"/>
          <w:kern w:val="0"/>
          <w:sz w:val="20"/>
          <w:szCs w:val="20"/>
          <w:lang w:eastAsia="en-US"/>
        </w:rPr>
        <w:t>(Sept. 6, 2021)</w:t>
      </w:r>
      <w:r w:rsidR="00A76C43" w:rsidRPr="00881BCE">
        <w:rPr>
          <w:rFonts w:eastAsiaTheme="minorHAnsi"/>
          <w:kern w:val="0"/>
          <w:sz w:val="20"/>
          <w:szCs w:val="20"/>
          <w:lang w:eastAsia="en-US"/>
        </w:rPr>
        <w:t xml:space="preserve">, </w:t>
      </w:r>
      <w:r w:rsidRPr="00881BCE">
        <w:rPr>
          <w:rFonts w:eastAsiaTheme="minorHAnsi"/>
          <w:kern w:val="0"/>
          <w:sz w:val="20"/>
          <w:szCs w:val="20"/>
          <w:lang w:eastAsia="en-US"/>
        </w:rPr>
        <w:t>https://deathpenaltyworldwide.org/publication/no-one-believed-me-a-global-overview-of-women-facing-the-death-penalty-for-drug-offenses/.</w:t>
      </w:r>
    </w:p>
  </w:footnote>
  <w:footnote w:id="46">
    <w:p w14:paraId="443A87FB" w14:textId="77777777" w:rsidR="00ED7C43" w:rsidRPr="00881BCE" w:rsidRDefault="00ED7C43" w:rsidP="00ED7C43">
      <w:pPr>
        <w:autoSpaceDE w:val="0"/>
        <w:autoSpaceDN w:val="0"/>
        <w:adjustRightInd w:val="0"/>
        <w:rPr>
          <w:rFonts w:eastAsiaTheme="minorEastAsia"/>
          <w:kern w:val="0"/>
          <w:sz w:val="20"/>
          <w:szCs w:val="20"/>
          <w:lang w:eastAsia="en-US"/>
        </w:rPr>
      </w:pPr>
      <w:r w:rsidRPr="00881BCE">
        <w:rPr>
          <w:rStyle w:val="FootnoteReference"/>
          <w:sz w:val="20"/>
          <w:szCs w:val="20"/>
        </w:rPr>
        <w:footnoteRef/>
      </w:r>
      <w:r w:rsidRPr="00881BCE">
        <w:rPr>
          <w:sz w:val="20"/>
          <w:szCs w:val="20"/>
        </w:rPr>
        <w:t xml:space="preserve"> </w:t>
      </w:r>
      <w:r w:rsidRPr="00881BCE">
        <w:rPr>
          <w:rFonts w:eastAsiaTheme="minorHAnsi"/>
          <w:i/>
          <w:kern w:val="0"/>
          <w:sz w:val="20"/>
          <w:szCs w:val="20"/>
          <w:lang w:eastAsia="en-US"/>
        </w:rPr>
        <w:t>Judged for More Than Her Crime: A Global Overview of Women Facing the Death Penalty</w:t>
      </w:r>
      <w:r w:rsidRPr="00881BCE">
        <w:rPr>
          <w:rFonts w:eastAsiaTheme="minorHAnsi"/>
          <w:kern w:val="0"/>
          <w:sz w:val="20"/>
          <w:szCs w:val="20"/>
          <w:lang w:eastAsia="en-US"/>
        </w:rPr>
        <w:t>, Cornell Center on the Death Penalty Worldwide, 19, 22 (Sept. 2018), https://www.deathpenaltyworldwide.org/wpcontent/</w:t>
      </w:r>
    </w:p>
    <w:p w14:paraId="147F900A" w14:textId="77777777" w:rsidR="00ED7C43" w:rsidRPr="00881BCE" w:rsidRDefault="00ED7C43" w:rsidP="00ED7C43">
      <w:pPr>
        <w:autoSpaceDE w:val="0"/>
        <w:autoSpaceDN w:val="0"/>
        <w:adjustRightInd w:val="0"/>
        <w:rPr>
          <w:sz w:val="20"/>
          <w:szCs w:val="20"/>
        </w:rPr>
      </w:pPr>
      <w:r w:rsidRPr="00881BCE">
        <w:rPr>
          <w:rFonts w:eastAsiaTheme="minorHAnsi"/>
          <w:kern w:val="0"/>
          <w:sz w:val="20"/>
          <w:szCs w:val="20"/>
          <w:lang w:eastAsia="en-US"/>
        </w:rPr>
        <w:t>uploads/2019/12/Judged-More-Than-Her-Crime.pdf</w:t>
      </w:r>
      <w:r w:rsidRPr="00881BCE">
        <w:rPr>
          <w:sz w:val="20"/>
          <w:szCs w:val="20"/>
        </w:rPr>
        <w:t>.</w:t>
      </w:r>
    </w:p>
  </w:footnote>
  <w:footnote w:id="47">
    <w:p w14:paraId="3477CAA7" w14:textId="2912B1ED" w:rsidR="002747B4" w:rsidRPr="00881BCE" w:rsidRDefault="002747B4">
      <w:pPr>
        <w:pStyle w:val="FootnoteText"/>
        <w:rPr>
          <w:sz w:val="20"/>
          <w:szCs w:val="20"/>
        </w:rPr>
      </w:pPr>
      <w:r w:rsidRPr="00881BCE">
        <w:rPr>
          <w:rStyle w:val="FootnoteReference"/>
          <w:sz w:val="20"/>
          <w:szCs w:val="20"/>
        </w:rPr>
        <w:footnoteRef/>
      </w:r>
      <w:r w:rsidRPr="00881BCE">
        <w:rPr>
          <w:sz w:val="20"/>
          <w:szCs w:val="20"/>
        </w:rPr>
        <w:t xml:space="preserve"> </w:t>
      </w:r>
      <w:r w:rsidR="00CE63E1" w:rsidRPr="00881BCE">
        <w:rPr>
          <w:sz w:val="20"/>
          <w:szCs w:val="20"/>
        </w:rPr>
        <w:t xml:space="preserve">Email on file with the author. </w:t>
      </w:r>
    </w:p>
  </w:footnote>
  <w:footnote w:id="48">
    <w:p w14:paraId="35F00BA3" w14:textId="77777777" w:rsidR="00ED7C43" w:rsidRPr="00881BCE" w:rsidRDefault="00ED7C43" w:rsidP="00ED7C43">
      <w:pPr>
        <w:autoSpaceDE w:val="0"/>
        <w:autoSpaceDN w:val="0"/>
        <w:adjustRightInd w:val="0"/>
        <w:rPr>
          <w:rFonts w:eastAsiaTheme="minorEastAsia"/>
          <w:kern w:val="0"/>
          <w:sz w:val="20"/>
          <w:szCs w:val="20"/>
          <w:lang w:eastAsia="en-US"/>
        </w:rPr>
      </w:pPr>
      <w:r w:rsidRPr="00881BCE">
        <w:rPr>
          <w:rStyle w:val="FootnoteReference"/>
          <w:sz w:val="20"/>
          <w:szCs w:val="20"/>
        </w:rPr>
        <w:footnoteRef/>
      </w:r>
      <w:r w:rsidRPr="00881BCE">
        <w:rPr>
          <w:sz w:val="20"/>
          <w:szCs w:val="20"/>
        </w:rPr>
        <w:t xml:space="preserve"> </w:t>
      </w:r>
      <w:r w:rsidRPr="00881BCE">
        <w:rPr>
          <w:rFonts w:eastAsiaTheme="minorHAnsi"/>
          <w:i/>
          <w:kern w:val="0"/>
          <w:sz w:val="20"/>
          <w:szCs w:val="20"/>
          <w:lang w:eastAsia="en-US"/>
        </w:rPr>
        <w:t>Judged for More Than Her Crime: A Global Overview of Women Facing the Death Penalty</w:t>
      </w:r>
      <w:r w:rsidRPr="00881BCE">
        <w:rPr>
          <w:rFonts w:eastAsiaTheme="minorHAnsi"/>
          <w:kern w:val="0"/>
          <w:sz w:val="20"/>
          <w:szCs w:val="20"/>
          <w:lang w:eastAsia="en-US"/>
        </w:rPr>
        <w:t>, Cornell Center on the Death Penalty Worldwide, 8 (Sept. 2018), https://www.deathpenaltyworldwide.org/wpcontent/</w:t>
      </w:r>
    </w:p>
    <w:p w14:paraId="54FB3199" w14:textId="77777777" w:rsidR="00ED7C43" w:rsidRPr="00881BCE" w:rsidRDefault="00ED7C43" w:rsidP="00ED7C43">
      <w:pPr>
        <w:pStyle w:val="FootnoteText"/>
        <w:rPr>
          <w:sz w:val="20"/>
          <w:szCs w:val="20"/>
        </w:rPr>
      </w:pPr>
      <w:r w:rsidRPr="00881BCE">
        <w:rPr>
          <w:rFonts w:eastAsiaTheme="minorHAnsi"/>
          <w:kern w:val="0"/>
          <w:sz w:val="20"/>
          <w:szCs w:val="20"/>
          <w:lang w:eastAsia="en-US"/>
        </w:rPr>
        <w:t>uploads/2019/12/Judged-More-Than-Her-Crime.pdf.</w:t>
      </w:r>
    </w:p>
  </w:footnote>
  <w:footnote w:id="49">
    <w:p w14:paraId="43AA9C10" w14:textId="59A6666F"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00E2762B" w:rsidRPr="00881BCE">
        <w:rPr>
          <w:sz w:val="20"/>
          <w:szCs w:val="20"/>
        </w:rPr>
        <w:t xml:space="preserve">Lydia Cardwell, </w:t>
      </w:r>
      <w:r w:rsidR="00E2762B" w:rsidRPr="00881BCE">
        <w:rPr>
          <w:i/>
          <w:sz w:val="20"/>
          <w:szCs w:val="20"/>
        </w:rPr>
        <w:t>The State of Girls’ Education in Palestine</w:t>
      </w:r>
      <w:r w:rsidR="00E2762B" w:rsidRPr="00881BCE">
        <w:rPr>
          <w:iCs/>
          <w:sz w:val="20"/>
          <w:szCs w:val="20"/>
        </w:rPr>
        <w:t>,</w:t>
      </w:r>
      <w:r w:rsidR="00E2762B" w:rsidRPr="00881BCE">
        <w:rPr>
          <w:i/>
          <w:sz w:val="20"/>
          <w:szCs w:val="20"/>
        </w:rPr>
        <w:t xml:space="preserve"> </w:t>
      </w:r>
      <w:r w:rsidR="00E2762B" w:rsidRPr="00881BCE">
        <w:rPr>
          <w:sz w:val="20"/>
          <w:szCs w:val="20"/>
        </w:rPr>
        <w:t>The Borgen Project (June 21, 2018), https://borgenproject.org/the-state-of-girls-education-in-palestine/#:~:text=Girls%27%20education%20in%20Palestine%20can,as%20often%20as%20boys%20do.</w:t>
      </w:r>
    </w:p>
  </w:footnote>
  <w:footnote w:id="50">
    <w:p w14:paraId="0331F7B8" w14:textId="707467CB"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00B572E7" w:rsidRPr="00A56B39">
        <w:rPr>
          <w:sz w:val="20"/>
          <w:szCs w:val="20"/>
        </w:rPr>
        <w:t xml:space="preserve">Committee on Economic, Social and Cultural Rights, Replies of the State of Palestine to the list of issues in relation to its initial report, UN Doc. </w:t>
      </w:r>
      <w:r w:rsidR="00B572E7" w:rsidRPr="0077505D">
        <w:rPr>
          <w:sz w:val="20"/>
          <w:szCs w:val="20"/>
        </w:rPr>
        <w:t xml:space="preserve">E/C.12/PSE/1 </w:t>
      </w:r>
      <w:r w:rsidR="00B572E7" w:rsidRPr="00A56B39">
        <w:rPr>
          <w:sz w:val="20"/>
          <w:szCs w:val="20"/>
        </w:rPr>
        <w:t>(</w:t>
      </w:r>
      <w:r w:rsidR="00B572E7" w:rsidRPr="00EA267E">
        <w:rPr>
          <w:color w:val="000000"/>
          <w:sz w:val="20"/>
          <w:szCs w:val="20"/>
        </w:rPr>
        <w:t>3 February 2021</w:t>
      </w:r>
      <w:r w:rsidR="00B572E7" w:rsidRPr="00A56B39">
        <w:rPr>
          <w:color w:val="000000"/>
          <w:sz w:val="20"/>
          <w:szCs w:val="20"/>
        </w:rPr>
        <w:t>).</w:t>
      </w:r>
      <w:r w:rsidR="00B572E7">
        <w:rPr>
          <w:color w:val="000000"/>
          <w:sz w:val="20"/>
          <w:szCs w:val="20"/>
        </w:rPr>
        <w:t xml:space="preserve"> </w:t>
      </w:r>
    </w:p>
  </w:footnote>
  <w:footnote w:id="51">
    <w:p w14:paraId="2EF90285" w14:textId="6E581E1E" w:rsidR="00ED7C43" w:rsidRPr="00881BCE" w:rsidRDefault="00ED7C43" w:rsidP="00ED7C43">
      <w:pPr>
        <w:pStyle w:val="FootnoteText"/>
        <w:rPr>
          <w:sz w:val="20"/>
          <w:szCs w:val="20"/>
        </w:rPr>
      </w:pPr>
      <w:r w:rsidRPr="00881BCE">
        <w:rPr>
          <w:rStyle w:val="FootnoteReference"/>
          <w:sz w:val="20"/>
          <w:szCs w:val="20"/>
        </w:rPr>
        <w:footnoteRef/>
      </w:r>
      <w:r w:rsidRPr="00881BCE">
        <w:rPr>
          <w:sz w:val="20"/>
          <w:szCs w:val="20"/>
        </w:rPr>
        <w:t xml:space="preserve"> </w:t>
      </w:r>
      <w:r w:rsidR="00194244" w:rsidRPr="00881BCE">
        <w:rPr>
          <w:sz w:val="20"/>
          <w:szCs w:val="20"/>
        </w:rPr>
        <w:t xml:space="preserve">Fayez </w:t>
      </w:r>
      <w:r w:rsidR="00194244" w:rsidRPr="00881BCE">
        <w:rPr>
          <w:sz w:val="20"/>
          <w:szCs w:val="20"/>
        </w:rPr>
        <w:t xml:space="preserve">Mahamid, Guido Veronese, &amp; Dana Bdier, </w:t>
      </w:r>
      <w:r w:rsidR="00194244" w:rsidRPr="00881BCE">
        <w:rPr>
          <w:i/>
          <w:sz w:val="20"/>
          <w:szCs w:val="20"/>
        </w:rPr>
        <w:t xml:space="preserve">Gender-based violence experiences among Palestinian women during the COVID-19 pandemic: mental health professionals’ perceptions and concerns, </w:t>
      </w:r>
      <w:r w:rsidR="00194244" w:rsidRPr="00881BCE">
        <w:rPr>
          <w:sz w:val="20"/>
          <w:szCs w:val="20"/>
        </w:rPr>
        <w:t xml:space="preserve">16 Conflict and Health </w:t>
      </w:r>
      <w:r w:rsidR="00014216" w:rsidRPr="00881BCE">
        <w:rPr>
          <w:sz w:val="20"/>
          <w:szCs w:val="20"/>
        </w:rPr>
        <w:t>7</w:t>
      </w:r>
      <w:r w:rsidR="00194244" w:rsidRPr="00881BCE">
        <w:rPr>
          <w:sz w:val="20"/>
          <w:szCs w:val="20"/>
        </w:rPr>
        <w:t xml:space="preserve"> (2022).</w:t>
      </w:r>
    </w:p>
  </w:footnote>
  <w:footnote w:id="52">
    <w:p w14:paraId="01B63DA5" w14:textId="043B1CAC" w:rsidR="00BD28CF" w:rsidRPr="00A167E5" w:rsidRDefault="00BD28CF" w:rsidP="00695870">
      <w:pPr>
        <w:pStyle w:val="FootnoteText"/>
        <w:rPr>
          <w:sz w:val="20"/>
          <w:szCs w:val="20"/>
        </w:rPr>
      </w:pPr>
      <w:r w:rsidRPr="00A167E5">
        <w:rPr>
          <w:rStyle w:val="FootnoteReference"/>
          <w:sz w:val="20"/>
          <w:szCs w:val="20"/>
        </w:rPr>
        <w:footnoteRef/>
      </w:r>
      <w:r w:rsidRPr="00A167E5">
        <w:rPr>
          <w:sz w:val="20"/>
          <w:szCs w:val="20"/>
        </w:rPr>
        <w:t xml:space="preserve"> </w:t>
      </w:r>
      <w:r w:rsidR="00695870" w:rsidRPr="00A167E5">
        <w:rPr>
          <w:sz w:val="20"/>
          <w:szCs w:val="20"/>
        </w:rPr>
        <w:t xml:space="preserve">Committee on Economic, Social and Cultural Rights, List of issues in relation to the initial report of the State of Palestine, UN. </w:t>
      </w:r>
      <w:r w:rsidR="00695870" w:rsidRPr="00A167E5">
        <w:rPr>
          <w:sz w:val="20"/>
          <w:szCs w:val="20"/>
        </w:rPr>
        <w:t>Doc.E/C.12/PSE/Q/</w:t>
      </w:r>
      <w:r w:rsidR="00BD26F2" w:rsidRPr="00BD26F2">
        <w:rPr>
          <w:sz w:val="20"/>
          <w:szCs w:val="20"/>
        </w:rPr>
        <w:t>1, ¶</w:t>
      </w:r>
      <w:r w:rsidR="008B6DF5" w:rsidRPr="00A167E5">
        <w:rPr>
          <w:sz w:val="20"/>
          <w:szCs w:val="20"/>
        </w:rPr>
        <w:t>25</w:t>
      </w:r>
    </w:p>
  </w:footnote>
  <w:footnote w:id="53">
    <w:p w14:paraId="70AB5F11" w14:textId="5095FB64" w:rsidR="00E11A3E" w:rsidRDefault="00E11A3E">
      <w:pPr>
        <w:pStyle w:val="FootnoteText"/>
      </w:pPr>
      <w:r w:rsidRPr="00A167E5">
        <w:rPr>
          <w:rStyle w:val="FootnoteReference"/>
          <w:sz w:val="20"/>
          <w:szCs w:val="20"/>
        </w:rPr>
        <w:footnoteRef/>
      </w:r>
      <w:r w:rsidRPr="00A167E5">
        <w:rPr>
          <w:sz w:val="20"/>
          <w:szCs w:val="20"/>
        </w:rPr>
        <w:t xml:space="preserve"> Committee on Economic, Social and Cultural Rights</w:t>
      </w:r>
      <w:r w:rsidR="00AF2052" w:rsidRPr="00A167E5">
        <w:rPr>
          <w:sz w:val="20"/>
          <w:szCs w:val="20"/>
        </w:rPr>
        <w:t xml:space="preserve">, Replies of the State of Palestine to the list of issues in relation to </w:t>
      </w:r>
      <w:r w:rsidR="00AF2052" w:rsidRPr="00A167E5">
        <w:rPr>
          <w:sz w:val="20"/>
          <w:szCs w:val="20"/>
        </w:rPr>
        <w:t xml:space="preserve">itsinitial report [sic]. UN. Doc </w:t>
      </w:r>
      <w:r w:rsidR="00610853" w:rsidRPr="00A167E5">
        <w:rPr>
          <w:sz w:val="20"/>
          <w:szCs w:val="20"/>
        </w:rPr>
        <w:t>E/C.12/PSE/RQ/1</w:t>
      </w:r>
    </w:p>
  </w:footnote>
  <w:footnote w:id="54">
    <w:p w14:paraId="55C8D193" w14:textId="15AE97B9" w:rsidR="4496F487" w:rsidRPr="00881BCE" w:rsidRDefault="4496F487" w:rsidP="5782BD88">
      <w:pPr>
        <w:pStyle w:val="FootnoteText"/>
        <w:rPr>
          <w:sz w:val="20"/>
          <w:szCs w:val="20"/>
        </w:rPr>
      </w:pPr>
      <w:r w:rsidRPr="00881BCE">
        <w:rPr>
          <w:rStyle w:val="FootnoteReference"/>
          <w:sz w:val="20"/>
          <w:szCs w:val="20"/>
        </w:rPr>
        <w:footnoteRef/>
      </w:r>
      <w:r w:rsidR="5782BD88" w:rsidRPr="00881BCE">
        <w:rPr>
          <w:sz w:val="20"/>
          <w:szCs w:val="20"/>
        </w:rPr>
        <w:t xml:space="preserve"> </w:t>
      </w:r>
      <w:r w:rsidR="5782BD88" w:rsidRPr="00881BCE">
        <w:rPr>
          <w:i/>
          <w:iCs/>
          <w:sz w:val="20"/>
          <w:szCs w:val="20"/>
        </w:rPr>
        <w:t xml:space="preserve">Annual Report 2021: Human Rights in the occupied Palestinian Territory (oPt) </w:t>
      </w:r>
      <w:r w:rsidR="5782BD88" w:rsidRPr="00881BCE">
        <w:rPr>
          <w:sz w:val="20"/>
          <w:szCs w:val="20"/>
        </w:rPr>
        <w:t>(Gaza City: 2022), 27,103-08</w:t>
      </w:r>
      <w:r w:rsidR="008423AF" w:rsidRPr="00881BCE">
        <w:rPr>
          <w:sz w:val="20"/>
          <w:szCs w:val="20"/>
        </w:rPr>
        <w:t>,</w:t>
      </w:r>
      <w:r w:rsidR="5782BD88" w:rsidRPr="00881BCE">
        <w:rPr>
          <w:sz w:val="20"/>
          <w:szCs w:val="20"/>
        </w:rPr>
        <w:t xml:space="preserve"> </w:t>
      </w:r>
      <w:r w:rsidR="00450DCF" w:rsidRPr="00881BCE">
        <w:rPr>
          <w:sz w:val="20"/>
          <w:szCs w:val="20"/>
        </w:rPr>
        <w:t xml:space="preserve">Palestinian Centre for Human Rights, </w:t>
      </w:r>
      <w:r w:rsidR="5782BD88" w:rsidRPr="00881BCE">
        <w:rPr>
          <w:sz w:val="20"/>
          <w:szCs w:val="20"/>
        </w:rPr>
        <w:t>https://pchrgaza.org/en/annual-report-2021/.</w:t>
      </w:r>
    </w:p>
  </w:footnote>
  <w:footnote w:id="55">
    <w:p w14:paraId="47DE55A9" w14:textId="100AA0EA" w:rsidR="4496F487" w:rsidRPr="00881BCE" w:rsidRDefault="4496F487" w:rsidP="4496F487">
      <w:pPr>
        <w:pStyle w:val="FootnoteText"/>
        <w:rPr>
          <w:sz w:val="20"/>
          <w:szCs w:val="20"/>
        </w:rPr>
      </w:pPr>
      <w:r w:rsidRPr="00881BCE">
        <w:rPr>
          <w:rStyle w:val="FootnoteReference"/>
          <w:sz w:val="20"/>
          <w:szCs w:val="20"/>
        </w:rPr>
        <w:footnoteRef/>
      </w:r>
      <w:r w:rsidRPr="00881BCE">
        <w:rPr>
          <w:sz w:val="20"/>
          <w:szCs w:val="20"/>
        </w:rPr>
        <w:t xml:space="preserve"> </w:t>
      </w:r>
      <w:r w:rsidRPr="00881BCE">
        <w:rPr>
          <w:i/>
          <w:iCs/>
          <w:sz w:val="20"/>
          <w:szCs w:val="20"/>
        </w:rPr>
        <w:t xml:space="preserve">Experts of the Committee against Torture Praise the State of Palestine for Supporting Female Victims of Violence, Ask about Conditions in Detention </w:t>
      </w:r>
      <w:r w:rsidRPr="00881BCE">
        <w:rPr>
          <w:i/>
          <w:iCs/>
          <w:sz w:val="20"/>
          <w:szCs w:val="20"/>
        </w:rPr>
        <w:t>Centres and Torture Legislation</w:t>
      </w:r>
      <w:r w:rsidRPr="00881BCE">
        <w:rPr>
          <w:sz w:val="20"/>
          <w:szCs w:val="20"/>
        </w:rPr>
        <w:t xml:space="preserve">, United Nations, https://www.ohchr.org/en/press-releases/2022/07/experts-committee-against-torture-praise-state-palestine-supporting-female.  </w:t>
      </w:r>
    </w:p>
  </w:footnote>
  <w:footnote w:id="56">
    <w:p w14:paraId="74E167DA" w14:textId="081D58B6" w:rsidR="4496F487" w:rsidRPr="00881BCE" w:rsidRDefault="4496F487" w:rsidP="4496F487">
      <w:pPr>
        <w:pStyle w:val="FootnoteText"/>
        <w:rPr>
          <w:sz w:val="20"/>
          <w:szCs w:val="20"/>
        </w:rPr>
      </w:pPr>
      <w:r w:rsidRPr="00881BCE">
        <w:rPr>
          <w:rStyle w:val="FootnoteReference"/>
          <w:sz w:val="20"/>
          <w:szCs w:val="20"/>
        </w:rPr>
        <w:footnoteRef/>
      </w:r>
      <w:r w:rsidRPr="00881BCE">
        <w:rPr>
          <w:sz w:val="20"/>
          <w:szCs w:val="20"/>
        </w:rPr>
        <w:t xml:space="preserve"> </w:t>
      </w:r>
      <w:r w:rsidRPr="00881BCE">
        <w:rPr>
          <w:i/>
          <w:iCs/>
          <w:sz w:val="20"/>
          <w:szCs w:val="20"/>
        </w:rPr>
        <w:t>PCHR Demands Investigation into Death Circumstances of Detainee in Police Custody in Rafah</w:t>
      </w:r>
      <w:r w:rsidRPr="00881BCE">
        <w:rPr>
          <w:sz w:val="20"/>
          <w:szCs w:val="20"/>
        </w:rPr>
        <w:t xml:space="preserve">, Press </w:t>
      </w:r>
      <w:r w:rsidRPr="00881BCE">
        <w:rPr>
          <w:sz w:val="20"/>
          <w:szCs w:val="20"/>
        </w:rPr>
        <w:t xml:space="preserve">Release,(April 20, 2023), </w:t>
      </w:r>
      <w:r w:rsidR="00770395" w:rsidRPr="00881BCE">
        <w:rPr>
          <w:sz w:val="20"/>
          <w:szCs w:val="20"/>
        </w:rPr>
        <w:t xml:space="preserve">Palestinian Center for Human Rights, </w:t>
      </w:r>
      <w:r w:rsidRPr="00881BCE">
        <w:rPr>
          <w:sz w:val="20"/>
          <w:szCs w:val="20"/>
        </w:rPr>
        <w:t>https://pchrgaza.org/en/pchr-demands-investigation-into-death-circumstances-of-detainee-in-police-custody-in-rafah/.</w:t>
      </w:r>
    </w:p>
  </w:footnote>
  <w:footnote w:id="57">
    <w:p w14:paraId="4407B4C7" w14:textId="513FBAAF" w:rsidR="4496F487" w:rsidRPr="00881BCE" w:rsidRDefault="4496F487" w:rsidP="4496F487">
      <w:pPr>
        <w:pStyle w:val="FootnoteText"/>
        <w:rPr>
          <w:sz w:val="20"/>
          <w:szCs w:val="20"/>
        </w:rPr>
      </w:pPr>
      <w:r w:rsidRPr="00881BCE">
        <w:rPr>
          <w:rStyle w:val="FootnoteReference"/>
          <w:sz w:val="20"/>
          <w:szCs w:val="20"/>
        </w:rPr>
        <w:footnoteRef/>
      </w:r>
      <w:r w:rsidRPr="00881BCE">
        <w:rPr>
          <w:sz w:val="20"/>
          <w:szCs w:val="20"/>
        </w:rPr>
        <w:t xml:space="preserve"> </w:t>
      </w:r>
      <w:r w:rsidR="002A0A6C" w:rsidRPr="00881BCE">
        <w:rPr>
          <w:i/>
          <w:iCs/>
          <w:sz w:val="20"/>
          <w:szCs w:val="20"/>
        </w:rPr>
        <w:t>PCHR Demands Investigation into Death Circumstances of Detainee in Police Custody in Rafah</w:t>
      </w:r>
      <w:r w:rsidR="002A0A6C" w:rsidRPr="00881BCE">
        <w:rPr>
          <w:sz w:val="20"/>
          <w:szCs w:val="20"/>
        </w:rPr>
        <w:t xml:space="preserve">, Press </w:t>
      </w:r>
      <w:r w:rsidR="002A0A6C" w:rsidRPr="00881BCE">
        <w:rPr>
          <w:sz w:val="20"/>
          <w:szCs w:val="20"/>
        </w:rPr>
        <w:t>Release,(April 20, 2023), Palestinian Center for Human Rights, https://pchrgaza.org/en/pchr-demands-investigation-into-death-circumstances-of-detainee-in-police-custody-in-rafah/.</w:t>
      </w:r>
    </w:p>
  </w:footnote>
  <w:footnote w:id="58">
    <w:p w14:paraId="3A035E8E" w14:textId="66C60698" w:rsidR="4496F487" w:rsidRPr="00881BCE" w:rsidRDefault="4496F487" w:rsidP="4496F487">
      <w:pPr>
        <w:pStyle w:val="FootnoteText"/>
        <w:rPr>
          <w:sz w:val="20"/>
          <w:szCs w:val="20"/>
        </w:rPr>
      </w:pPr>
      <w:r w:rsidRPr="00881BCE">
        <w:rPr>
          <w:rStyle w:val="FootnoteReference"/>
          <w:sz w:val="20"/>
          <w:szCs w:val="20"/>
        </w:rPr>
        <w:footnoteRef/>
      </w:r>
      <w:r w:rsidRPr="00881BCE">
        <w:rPr>
          <w:sz w:val="20"/>
          <w:szCs w:val="20"/>
        </w:rPr>
        <w:t xml:space="preserve"> </w:t>
      </w:r>
      <w:r w:rsidRPr="00881BCE">
        <w:rPr>
          <w:i/>
          <w:iCs/>
          <w:sz w:val="20"/>
          <w:szCs w:val="20"/>
        </w:rPr>
        <w:t>Second Case of This Year: Palestinian Detainee Died at Military Police Detention</w:t>
      </w:r>
      <w:r w:rsidRPr="00881BCE">
        <w:rPr>
          <w:sz w:val="20"/>
          <w:szCs w:val="20"/>
        </w:rPr>
        <w:t xml:space="preserve">, Press Release, (May 1, 2023), </w:t>
      </w:r>
      <w:r w:rsidR="002A0A6C" w:rsidRPr="00881BCE">
        <w:rPr>
          <w:sz w:val="20"/>
          <w:szCs w:val="20"/>
        </w:rPr>
        <w:t xml:space="preserve">Palestinian Center for Human Rights, </w:t>
      </w:r>
      <w:r w:rsidRPr="00881BCE">
        <w:rPr>
          <w:sz w:val="20"/>
          <w:szCs w:val="20"/>
        </w:rPr>
        <w:t>https://pchrgaza.org/en/second-case-of-this-year-palestinian-detainee-died-at-military-police-detention/.</w:t>
      </w:r>
    </w:p>
  </w:footnote>
  <w:footnote w:id="59">
    <w:p w14:paraId="0770C6D3" w14:textId="38025FB2" w:rsidR="4496F487" w:rsidRPr="00881BCE" w:rsidRDefault="4496F487" w:rsidP="4496F487">
      <w:pPr>
        <w:pStyle w:val="FootnoteText"/>
        <w:rPr>
          <w:sz w:val="20"/>
          <w:szCs w:val="20"/>
        </w:rPr>
      </w:pPr>
      <w:r w:rsidRPr="00881BCE">
        <w:rPr>
          <w:rStyle w:val="FootnoteReference"/>
          <w:sz w:val="20"/>
          <w:szCs w:val="20"/>
        </w:rPr>
        <w:footnoteRef/>
      </w:r>
      <w:r w:rsidRPr="00881BCE">
        <w:rPr>
          <w:sz w:val="20"/>
          <w:szCs w:val="20"/>
        </w:rPr>
        <w:t xml:space="preserve"> Palestinian Center for Human Rights, Second Case of This Year: Palestinian Detainee Died at Military Police De</w:t>
      </w:r>
      <w:r w:rsidR="002A0A6C" w:rsidRPr="00881BCE">
        <w:rPr>
          <w:i/>
          <w:iCs/>
          <w:sz w:val="20"/>
          <w:szCs w:val="20"/>
        </w:rPr>
        <w:t xml:space="preserve"> Second Case of This Year: Palestinian Detainee Died at Military Police Detention</w:t>
      </w:r>
      <w:r w:rsidR="002A0A6C" w:rsidRPr="00881BCE">
        <w:rPr>
          <w:sz w:val="20"/>
          <w:szCs w:val="20"/>
        </w:rPr>
        <w:t>, Press Release, (May 1, 2023), Palestinian Center for Human Rights, https://pchrgaza.org/en/second-case-of-this-year-palestinian-detainee-died-at-military-police-detention/.</w:t>
      </w:r>
    </w:p>
  </w:footnote>
  <w:footnote w:id="60">
    <w:p w14:paraId="31D75903" w14:textId="0A9E537B" w:rsidR="0058339E" w:rsidRPr="00881BCE" w:rsidRDefault="0058339E">
      <w:pPr>
        <w:pStyle w:val="FootnoteText"/>
        <w:rPr>
          <w:sz w:val="20"/>
          <w:szCs w:val="20"/>
        </w:rPr>
      </w:pPr>
      <w:r w:rsidRPr="00881BCE">
        <w:rPr>
          <w:rStyle w:val="FootnoteReference"/>
          <w:i/>
          <w:iCs/>
          <w:sz w:val="20"/>
          <w:szCs w:val="20"/>
        </w:rPr>
        <w:footnoteRef/>
      </w:r>
      <w:r w:rsidRPr="00881BCE">
        <w:rPr>
          <w:i/>
          <w:iCs/>
          <w:sz w:val="20"/>
          <w:szCs w:val="20"/>
        </w:rPr>
        <w:t>Report on the Assessment of the Compliance of the Correction and Rehabilitation Centers in Palestine with International Prison Standards</w:t>
      </w:r>
      <w:r w:rsidR="008A2051" w:rsidRPr="00881BCE">
        <w:rPr>
          <w:sz w:val="20"/>
          <w:szCs w:val="20"/>
        </w:rPr>
        <w:t>, Independent Commission for Human Rights</w:t>
      </w:r>
      <w:r w:rsidR="00D42667" w:rsidRPr="00881BCE">
        <w:rPr>
          <w:sz w:val="20"/>
          <w:szCs w:val="20"/>
        </w:rPr>
        <w:t xml:space="preserve"> (Oct. 2019)</w:t>
      </w:r>
      <w:r w:rsidR="008A2051" w:rsidRPr="00881BCE">
        <w:rPr>
          <w:sz w:val="20"/>
          <w:szCs w:val="20"/>
        </w:rPr>
        <w:t>,</w:t>
      </w:r>
      <w:r w:rsidRPr="00881BCE">
        <w:rPr>
          <w:sz w:val="20"/>
          <w:szCs w:val="20"/>
        </w:rPr>
        <w:t xml:space="preserve"> تقييم-مواءمة-مراكز-الإصلاح-والتا-هيل-في-فلسطين-سلسلة-تقارير-رقم-2-النسخة-الانجليزية-1675322629.pdf (ichr.ps)</w:t>
      </w:r>
      <w:r w:rsidR="00D42667" w:rsidRPr="00881BCE">
        <w:rPr>
          <w:sz w:val="20"/>
          <w:szCs w:val="20"/>
        </w:rPr>
        <w:t>; s</w:t>
      </w:r>
      <w:r w:rsidRPr="00881BCE">
        <w:rPr>
          <w:sz w:val="20"/>
          <w:szCs w:val="20"/>
        </w:rPr>
        <w:t>ee also email on file with the author.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005D9" w14:textId="77777777" w:rsidR="005319D6" w:rsidRDefault="005319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CDE1E64" w:rsidR="00804604" w:rsidRDefault="00056B51">
    <w:pPr>
      <w:pStyle w:val="Header"/>
    </w:pPr>
    <w:r w:rsidRPr="007C5717">
      <w:rPr>
        <w:noProof/>
      </w:rPr>
      <w:drawing>
        <wp:anchor distT="0" distB="0" distL="114300" distR="114300" simplePos="0" relativeHeight="251661312" behindDoc="0" locked="0" layoutInCell="1" allowOverlap="1" wp14:anchorId="724C3269" wp14:editId="5C04436B">
          <wp:simplePos x="0" y="0"/>
          <wp:positionH relativeFrom="margin">
            <wp:posOffset>2339975</wp:posOffset>
          </wp:positionH>
          <wp:positionV relativeFrom="paragraph">
            <wp:posOffset>-243205</wp:posOffset>
          </wp:positionV>
          <wp:extent cx="1314844" cy="1097280"/>
          <wp:effectExtent l="0" t="0" r="0" b="7620"/>
          <wp:wrapNone/>
          <wp:docPr id="1846114802" name="Picture 184611480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14802" name="Picture 2" descr="A picture containing text, font, logo, symb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844"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0D691956" wp14:editId="7924E565">
          <wp:simplePos x="0" y="0"/>
          <wp:positionH relativeFrom="column">
            <wp:posOffset>4361815</wp:posOffset>
          </wp:positionH>
          <wp:positionV relativeFrom="paragraph">
            <wp:posOffset>-66675</wp:posOffset>
          </wp:positionV>
          <wp:extent cx="2012950" cy="771525"/>
          <wp:effectExtent l="0" t="0" r="6350" b="9525"/>
          <wp:wrapTight wrapText="bothSides">
            <wp:wrapPolygon edited="0">
              <wp:start x="0" y="0"/>
              <wp:lineTo x="0" y="21333"/>
              <wp:lineTo x="21464" y="21333"/>
              <wp:lineTo x="2146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2950" cy="7715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C9B52C"/>
    <w:multiLevelType w:val="hybridMultilevel"/>
    <w:tmpl w:val="880CD718"/>
    <w:lvl w:ilvl="0" w:tplc="6BE8FD8E">
      <w:start w:val="1"/>
      <w:numFmt w:val="bullet"/>
      <w:lvlText w:val=""/>
      <w:lvlJc w:val="left"/>
      <w:pPr>
        <w:ind w:left="720" w:hanging="360"/>
      </w:pPr>
      <w:rPr>
        <w:rFonts w:ascii="Symbol" w:hAnsi="Symbol" w:hint="default"/>
      </w:rPr>
    </w:lvl>
    <w:lvl w:ilvl="1" w:tplc="E36E71D0">
      <w:start w:val="1"/>
      <w:numFmt w:val="bullet"/>
      <w:lvlText w:val="o"/>
      <w:lvlJc w:val="left"/>
      <w:pPr>
        <w:ind w:left="1440" w:hanging="360"/>
      </w:pPr>
      <w:rPr>
        <w:rFonts w:ascii="Courier New" w:hAnsi="Courier New" w:hint="default"/>
      </w:rPr>
    </w:lvl>
    <w:lvl w:ilvl="2" w:tplc="C5B41B88">
      <w:start w:val="1"/>
      <w:numFmt w:val="bullet"/>
      <w:lvlText w:val=""/>
      <w:lvlJc w:val="left"/>
      <w:pPr>
        <w:ind w:left="2160" w:hanging="360"/>
      </w:pPr>
      <w:rPr>
        <w:rFonts w:ascii="Wingdings" w:hAnsi="Wingdings" w:hint="default"/>
      </w:rPr>
    </w:lvl>
    <w:lvl w:ilvl="3" w:tplc="A01E41D0">
      <w:start w:val="1"/>
      <w:numFmt w:val="bullet"/>
      <w:lvlText w:val=""/>
      <w:lvlJc w:val="left"/>
      <w:pPr>
        <w:ind w:left="2880" w:hanging="360"/>
      </w:pPr>
      <w:rPr>
        <w:rFonts w:ascii="Symbol" w:hAnsi="Symbol" w:hint="default"/>
      </w:rPr>
    </w:lvl>
    <w:lvl w:ilvl="4" w:tplc="45AA1F0E">
      <w:start w:val="1"/>
      <w:numFmt w:val="bullet"/>
      <w:lvlText w:val="o"/>
      <w:lvlJc w:val="left"/>
      <w:pPr>
        <w:ind w:left="3600" w:hanging="360"/>
      </w:pPr>
      <w:rPr>
        <w:rFonts w:ascii="Courier New" w:hAnsi="Courier New" w:hint="default"/>
      </w:rPr>
    </w:lvl>
    <w:lvl w:ilvl="5" w:tplc="C3EEF46A">
      <w:start w:val="1"/>
      <w:numFmt w:val="bullet"/>
      <w:lvlText w:val=""/>
      <w:lvlJc w:val="left"/>
      <w:pPr>
        <w:ind w:left="4320" w:hanging="360"/>
      </w:pPr>
      <w:rPr>
        <w:rFonts w:ascii="Wingdings" w:hAnsi="Wingdings" w:hint="default"/>
      </w:rPr>
    </w:lvl>
    <w:lvl w:ilvl="6" w:tplc="35F42C9C">
      <w:start w:val="1"/>
      <w:numFmt w:val="bullet"/>
      <w:lvlText w:val=""/>
      <w:lvlJc w:val="left"/>
      <w:pPr>
        <w:ind w:left="5040" w:hanging="360"/>
      </w:pPr>
      <w:rPr>
        <w:rFonts w:ascii="Symbol" w:hAnsi="Symbol" w:hint="default"/>
      </w:rPr>
    </w:lvl>
    <w:lvl w:ilvl="7" w:tplc="E9089076">
      <w:start w:val="1"/>
      <w:numFmt w:val="bullet"/>
      <w:lvlText w:val="o"/>
      <w:lvlJc w:val="left"/>
      <w:pPr>
        <w:ind w:left="5760" w:hanging="360"/>
      </w:pPr>
      <w:rPr>
        <w:rFonts w:ascii="Courier New" w:hAnsi="Courier New" w:hint="default"/>
      </w:rPr>
    </w:lvl>
    <w:lvl w:ilvl="8" w:tplc="6226B5D6">
      <w:start w:val="1"/>
      <w:numFmt w:val="bullet"/>
      <w:lvlText w:val=""/>
      <w:lvlJc w:val="left"/>
      <w:pPr>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360" w:hanging="72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1915969075">
    <w:abstractNumId w:val="5"/>
  </w:num>
  <w:num w:numId="2" w16cid:durableId="2029719975">
    <w:abstractNumId w:val="4"/>
  </w:num>
  <w:num w:numId="3" w16cid:durableId="1539776804">
    <w:abstractNumId w:val="8"/>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5123329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153F"/>
    <w:rsid w:val="0001363D"/>
    <w:rsid w:val="00014216"/>
    <w:rsid w:val="0001643C"/>
    <w:rsid w:val="00020D20"/>
    <w:rsid w:val="00030F59"/>
    <w:rsid w:val="000321F8"/>
    <w:rsid w:val="000342B6"/>
    <w:rsid w:val="00040237"/>
    <w:rsid w:val="0004300F"/>
    <w:rsid w:val="00046377"/>
    <w:rsid w:val="00051D4C"/>
    <w:rsid w:val="00052B63"/>
    <w:rsid w:val="00052D58"/>
    <w:rsid w:val="0005405E"/>
    <w:rsid w:val="00056B51"/>
    <w:rsid w:val="00056CF5"/>
    <w:rsid w:val="000606A9"/>
    <w:rsid w:val="00064FD8"/>
    <w:rsid w:val="00070715"/>
    <w:rsid w:val="000734A4"/>
    <w:rsid w:val="00075981"/>
    <w:rsid w:val="0008238F"/>
    <w:rsid w:val="00084C52"/>
    <w:rsid w:val="00085935"/>
    <w:rsid w:val="00086F71"/>
    <w:rsid w:val="000910FC"/>
    <w:rsid w:val="0009644E"/>
    <w:rsid w:val="00097F9A"/>
    <w:rsid w:val="000A1F17"/>
    <w:rsid w:val="000A588C"/>
    <w:rsid w:val="000A66B8"/>
    <w:rsid w:val="000B042D"/>
    <w:rsid w:val="000B0FCB"/>
    <w:rsid w:val="000B20C8"/>
    <w:rsid w:val="000B28FE"/>
    <w:rsid w:val="000B445D"/>
    <w:rsid w:val="000B4DB3"/>
    <w:rsid w:val="000B5AC1"/>
    <w:rsid w:val="000C41C7"/>
    <w:rsid w:val="000C61AF"/>
    <w:rsid w:val="000C6340"/>
    <w:rsid w:val="000D0680"/>
    <w:rsid w:val="000D3E98"/>
    <w:rsid w:val="000E1DDC"/>
    <w:rsid w:val="000E6431"/>
    <w:rsid w:val="000F1E67"/>
    <w:rsid w:val="000F56E0"/>
    <w:rsid w:val="001008D1"/>
    <w:rsid w:val="00104B41"/>
    <w:rsid w:val="0010779F"/>
    <w:rsid w:val="00111994"/>
    <w:rsid w:val="0011369A"/>
    <w:rsid w:val="00115A12"/>
    <w:rsid w:val="001170F7"/>
    <w:rsid w:val="001215B4"/>
    <w:rsid w:val="001331B8"/>
    <w:rsid w:val="00136514"/>
    <w:rsid w:val="001372C7"/>
    <w:rsid w:val="00140D62"/>
    <w:rsid w:val="0014303F"/>
    <w:rsid w:val="00143423"/>
    <w:rsid w:val="00146F8D"/>
    <w:rsid w:val="00147EA4"/>
    <w:rsid w:val="00151688"/>
    <w:rsid w:val="00155FAD"/>
    <w:rsid w:val="001565F9"/>
    <w:rsid w:val="0016054D"/>
    <w:rsid w:val="00160BDA"/>
    <w:rsid w:val="00161DFC"/>
    <w:rsid w:val="0017318E"/>
    <w:rsid w:val="0017662B"/>
    <w:rsid w:val="0017739D"/>
    <w:rsid w:val="001801A8"/>
    <w:rsid w:val="00181B2A"/>
    <w:rsid w:val="00181EF5"/>
    <w:rsid w:val="00185AF9"/>
    <w:rsid w:val="001861C0"/>
    <w:rsid w:val="0018642B"/>
    <w:rsid w:val="00192F9F"/>
    <w:rsid w:val="00194244"/>
    <w:rsid w:val="001955DB"/>
    <w:rsid w:val="00195F35"/>
    <w:rsid w:val="00196FC2"/>
    <w:rsid w:val="001A0F57"/>
    <w:rsid w:val="001A3C1B"/>
    <w:rsid w:val="001A59C1"/>
    <w:rsid w:val="001A5ED5"/>
    <w:rsid w:val="001A7AF4"/>
    <w:rsid w:val="001AAA51"/>
    <w:rsid w:val="001B0055"/>
    <w:rsid w:val="001B122F"/>
    <w:rsid w:val="001B1AC4"/>
    <w:rsid w:val="001B27D7"/>
    <w:rsid w:val="001B46C2"/>
    <w:rsid w:val="001B5015"/>
    <w:rsid w:val="001B5A91"/>
    <w:rsid w:val="001B7418"/>
    <w:rsid w:val="001B799A"/>
    <w:rsid w:val="001C171C"/>
    <w:rsid w:val="001C37EE"/>
    <w:rsid w:val="001C42EB"/>
    <w:rsid w:val="001C48E4"/>
    <w:rsid w:val="001C4C62"/>
    <w:rsid w:val="001D3B99"/>
    <w:rsid w:val="001D475B"/>
    <w:rsid w:val="001D5C0D"/>
    <w:rsid w:val="001E01FB"/>
    <w:rsid w:val="001F3AD9"/>
    <w:rsid w:val="001F3EF4"/>
    <w:rsid w:val="001F626A"/>
    <w:rsid w:val="002033C0"/>
    <w:rsid w:val="00204450"/>
    <w:rsid w:val="00205546"/>
    <w:rsid w:val="00212B3C"/>
    <w:rsid w:val="00213540"/>
    <w:rsid w:val="00216101"/>
    <w:rsid w:val="00217063"/>
    <w:rsid w:val="00220D48"/>
    <w:rsid w:val="00227EC3"/>
    <w:rsid w:val="00230465"/>
    <w:rsid w:val="00237C8C"/>
    <w:rsid w:val="00242F64"/>
    <w:rsid w:val="002439A3"/>
    <w:rsid w:val="00243E14"/>
    <w:rsid w:val="00245B95"/>
    <w:rsid w:val="002513B8"/>
    <w:rsid w:val="00252CF8"/>
    <w:rsid w:val="00255789"/>
    <w:rsid w:val="00257F76"/>
    <w:rsid w:val="00272519"/>
    <w:rsid w:val="002734D9"/>
    <w:rsid w:val="00273933"/>
    <w:rsid w:val="002747B4"/>
    <w:rsid w:val="00280186"/>
    <w:rsid w:val="00282223"/>
    <w:rsid w:val="00284498"/>
    <w:rsid w:val="002866B9"/>
    <w:rsid w:val="00291BE8"/>
    <w:rsid w:val="0029253C"/>
    <w:rsid w:val="0029429F"/>
    <w:rsid w:val="00294CD2"/>
    <w:rsid w:val="0029683C"/>
    <w:rsid w:val="002A0797"/>
    <w:rsid w:val="002A0A6C"/>
    <w:rsid w:val="002A4838"/>
    <w:rsid w:val="002A60D4"/>
    <w:rsid w:val="002A6F2D"/>
    <w:rsid w:val="002A7EB0"/>
    <w:rsid w:val="002C46C6"/>
    <w:rsid w:val="002C57BC"/>
    <w:rsid w:val="002C6F2C"/>
    <w:rsid w:val="002D19BE"/>
    <w:rsid w:val="002D2042"/>
    <w:rsid w:val="002D36C6"/>
    <w:rsid w:val="002D6476"/>
    <w:rsid w:val="002E1607"/>
    <w:rsid w:val="002E17BF"/>
    <w:rsid w:val="002E1D9E"/>
    <w:rsid w:val="002E34EA"/>
    <w:rsid w:val="002E44A4"/>
    <w:rsid w:val="002E46A1"/>
    <w:rsid w:val="002E48F8"/>
    <w:rsid w:val="002F7A11"/>
    <w:rsid w:val="00302095"/>
    <w:rsid w:val="00302E69"/>
    <w:rsid w:val="003057F6"/>
    <w:rsid w:val="003107CA"/>
    <w:rsid w:val="00314C9C"/>
    <w:rsid w:val="00315C53"/>
    <w:rsid w:val="00322545"/>
    <w:rsid w:val="00322CB1"/>
    <w:rsid w:val="00323E41"/>
    <w:rsid w:val="003369A6"/>
    <w:rsid w:val="00340484"/>
    <w:rsid w:val="00344140"/>
    <w:rsid w:val="00344556"/>
    <w:rsid w:val="00345B90"/>
    <w:rsid w:val="0035166F"/>
    <w:rsid w:val="00352140"/>
    <w:rsid w:val="0035378E"/>
    <w:rsid w:val="0035424D"/>
    <w:rsid w:val="003579DE"/>
    <w:rsid w:val="003604E7"/>
    <w:rsid w:val="003653A6"/>
    <w:rsid w:val="00370644"/>
    <w:rsid w:val="00371654"/>
    <w:rsid w:val="00374FD8"/>
    <w:rsid w:val="003763A0"/>
    <w:rsid w:val="00390AC3"/>
    <w:rsid w:val="003929F5"/>
    <w:rsid w:val="0039334D"/>
    <w:rsid w:val="003937C6"/>
    <w:rsid w:val="003955D7"/>
    <w:rsid w:val="00396C2C"/>
    <w:rsid w:val="003A0BC2"/>
    <w:rsid w:val="003A1D3E"/>
    <w:rsid w:val="003A2033"/>
    <w:rsid w:val="003A354D"/>
    <w:rsid w:val="003A5FD5"/>
    <w:rsid w:val="003A6191"/>
    <w:rsid w:val="003A6F6D"/>
    <w:rsid w:val="003B2B19"/>
    <w:rsid w:val="003B3AB6"/>
    <w:rsid w:val="003B5878"/>
    <w:rsid w:val="003C1E49"/>
    <w:rsid w:val="003C2820"/>
    <w:rsid w:val="003C2CD5"/>
    <w:rsid w:val="003C60FE"/>
    <w:rsid w:val="003D25B8"/>
    <w:rsid w:val="003D350C"/>
    <w:rsid w:val="003D5B74"/>
    <w:rsid w:val="003D608F"/>
    <w:rsid w:val="003D65AA"/>
    <w:rsid w:val="003E079C"/>
    <w:rsid w:val="003E098F"/>
    <w:rsid w:val="003E20A8"/>
    <w:rsid w:val="003E3E64"/>
    <w:rsid w:val="003E6A6D"/>
    <w:rsid w:val="00401F7C"/>
    <w:rsid w:val="00403045"/>
    <w:rsid w:val="00403BF5"/>
    <w:rsid w:val="004076CD"/>
    <w:rsid w:val="00411235"/>
    <w:rsid w:val="0041242F"/>
    <w:rsid w:val="00413FD3"/>
    <w:rsid w:val="0041608D"/>
    <w:rsid w:val="00417CE5"/>
    <w:rsid w:val="00425E4D"/>
    <w:rsid w:val="00430A63"/>
    <w:rsid w:val="00431B52"/>
    <w:rsid w:val="004342C0"/>
    <w:rsid w:val="0045004E"/>
    <w:rsid w:val="00450118"/>
    <w:rsid w:val="00450405"/>
    <w:rsid w:val="00450DCF"/>
    <w:rsid w:val="00453314"/>
    <w:rsid w:val="004548EA"/>
    <w:rsid w:val="00474991"/>
    <w:rsid w:val="00476CC4"/>
    <w:rsid w:val="00477634"/>
    <w:rsid w:val="00484882"/>
    <w:rsid w:val="004859EF"/>
    <w:rsid w:val="00486599"/>
    <w:rsid w:val="004866AE"/>
    <w:rsid w:val="00491620"/>
    <w:rsid w:val="00494A9F"/>
    <w:rsid w:val="004A17D9"/>
    <w:rsid w:val="004A5B01"/>
    <w:rsid w:val="004A7D93"/>
    <w:rsid w:val="004A7FF9"/>
    <w:rsid w:val="004B1E4E"/>
    <w:rsid w:val="004B2F95"/>
    <w:rsid w:val="004B49A9"/>
    <w:rsid w:val="004B4CAF"/>
    <w:rsid w:val="004B6495"/>
    <w:rsid w:val="004B73AF"/>
    <w:rsid w:val="004B9F69"/>
    <w:rsid w:val="004C43D5"/>
    <w:rsid w:val="004C6556"/>
    <w:rsid w:val="004D2568"/>
    <w:rsid w:val="004D3EE9"/>
    <w:rsid w:val="004D4CE0"/>
    <w:rsid w:val="004D51DD"/>
    <w:rsid w:val="004E150B"/>
    <w:rsid w:val="004E5EA4"/>
    <w:rsid w:val="004E7176"/>
    <w:rsid w:val="004E783D"/>
    <w:rsid w:val="004F2465"/>
    <w:rsid w:val="004F2F57"/>
    <w:rsid w:val="004F34E5"/>
    <w:rsid w:val="004F39B6"/>
    <w:rsid w:val="004F5276"/>
    <w:rsid w:val="004F56EB"/>
    <w:rsid w:val="004F761D"/>
    <w:rsid w:val="004F7B4E"/>
    <w:rsid w:val="00502D3D"/>
    <w:rsid w:val="00507627"/>
    <w:rsid w:val="005132BB"/>
    <w:rsid w:val="005143E9"/>
    <w:rsid w:val="0051494C"/>
    <w:rsid w:val="00515A73"/>
    <w:rsid w:val="005178F5"/>
    <w:rsid w:val="00524166"/>
    <w:rsid w:val="00524C18"/>
    <w:rsid w:val="005300BE"/>
    <w:rsid w:val="005319D6"/>
    <w:rsid w:val="005336C2"/>
    <w:rsid w:val="00534F42"/>
    <w:rsid w:val="005403E3"/>
    <w:rsid w:val="00541567"/>
    <w:rsid w:val="00543B93"/>
    <w:rsid w:val="00544296"/>
    <w:rsid w:val="005507DA"/>
    <w:rsid w:val="005530D9"/>
    <w:rsid w:val="005538D7"/>
    <w:rsid w:val="0055461C"/>
    <w:rsid w:val="0055769E"/>
    <w:rsid w:val="00564F6B"/>
    <w:rsid w:val="005679FB"/>
    <w:rsid w:val="00567FD1"/>
    <w:rsid w:val="005712E9"/>
    <w:rsid w:val="00571EF6"/>
    <w:rsid w:val="00582F55"/>
    <w:rsid w:val="005830D0"/>
    <w:rsid w:val="0058339E"/>
    <w:rsid w:val="00584758"/>
    <w:rsid w:val="0058577A"/>
    <w:rsid w:val="00585C81"/>
    <w:rsid w:val="00593053"/>
    <w:rsid w:val="00594538"/>
    <w:rsid w:val="0059754B"/>
    <w:rsid w:val="005A2358"/>
    <w:rsid w:val="005A4DF8"/>
    <w:rsid w:val="005A5BF9"/>
    <w:rsid w:val="005B0C1B"/>
    <w:rsid w:val="005B7F55"/>
    <w:rsid w:val="005C04D6"/>
    <w:rsid w:val="005C183B"/>
    <w:rsid w:val="005C3119"/>
    <w:rsid w:val="005C58B6"/>
    <w:rsid w:val="005C5BF7"/>
    <w:rsid w:val="005C644D"/>
    <w:rsid w:val="005D0423"/>
    <w:rsid w:val="005D4EE6"/>
    <w:rsid w:val="005D5F82"/>
    <w:rsid w:val="005D63B7"/>
    <w:rsid w:val="005E674D"/>
    <w:rsid w:val="005F2A19"/>
    <w:rsid w:val="005F3D6F"/>
    <w:rsid w:val="005F473D"/>
    <w:rsid w:val="005F4877"/>
    <w:rsid w:val="005F6055"/>
    <w:rsid w:val="006025D0"/>
    <w:rsid w:val="00604700"/>
    <w:rsid w:val="006051C0"/>
    <w:rsid w:val="0060568A"/>
    <w:rsid w:val="0060622C"/>
    <w:rsid w:val="006071AE"/>
    <w:rsid w:val="00610853"/>
    <w:rsid w:val="00612923"/>
    <w:rsid w:val="006169EF"/>
    <w:rsid w:val="0061778F"/>
    <w:rsid w:val="00617A09"/>
    <w:rsid w:val="00620E4D"/>
    <w:rsid w:val="006218CC"/>
    <w:rsid w:val="00621AF5"/>
    <w:rsid w:val="00624A10"/>
    <w:rsid w:val="00626C39"/>
    <w:rsid w:val="006270C1"/>
    <w:rsid w:val="00643B7F"/>
    <w:rsid w:val="00643D7A"/>
    <w:rsid w:val="0064416E"/>
    <w:rsid w:val="00646D29"/>
    <w:rsid w:val="00647D38"/>
    <w:rsid w:val="006552E3"/>
    <w:rsid w:val="0066318F"/>
    <w:rsid w:val="00663973"/>
    <w:rsid w:val="006647A8"/>
    <w:rsid w:val="00664FE7"/>
    <w:rsid w:val="00671E1F"/>
    <w:rsid w:val="00673D85"/>
    <w:rsid w:val="00673F9D"/>
    <w:rsid w:val="006754BE"/>
    <w:rsid w:val="00675DE8"/>
    <w:rsid w:val="0067739C"/>
    <w:rsid w:val="006810EE"/>
    <w:rsid w:val="0068114A"/>
    <w:rsid w:val="00690BD8"/>
    <w:rsid w:val="006927DD"/>
    <w:rsid w:val="00695870"/>
    <w:rsid w:val="00696DAF"/>
    <w:rsid w:val="006B015F"/>
    <w:rsid w:val="006B02F4"/>
    <w:rsid w:val="006B138A"/>
    <w:rsid w:val="006B3C5B"/>
    <w:rsid w:val="006B4AAD"/>
    <w:rsid w:val="006B6258"/>
    <w:rsid w:val="006B7B89"/>
    <w:rsid w:val="006C0683"/>
    <w:rsid w:val="006C243D"/>
    <w:rsid w:val="006C459E"/>
    <w:rsid w:val="006C4D2C"/>
    <w:rsid w:val="006C53AC"/>
    <w:rsid w:val="006D39C4"/>
    <w:rsid w:val="006D67A9"/>
    <w:rsid w:val="006E37CC"/>
    <w:rsid w:val="006E3EC0"/>
    <w:rsid w:val="006E7937"/>
    <w:rsid w:val="006E7D5B"/>
    <w:rsid w:val="006F1A5E"/>
    <w:rsid w:val="006F4A4E"/>
    <w:rsid w:val="006F582F"/>
    <w:rsid w:val="006F673F"/>
    <w:rsid w:val="0070368D"/>
    <w:rsid w:val="00703B17"/>
    <w:rsid w:val="00705574"/>
    <w:rsid w:val="007064C2"/>
    <w:rsid w:val="00713717"/>
    <w:rsid w:val="007143B8"/>
    <w:rsid w:val="0072063B"/>
    <w:rsid w:val="0072601C"/>
    <w:rsid w:val="007316AA"/>
    <w:rsid w:val="007344E4"/>
    <w:rsid w:val="007345E9"/>
    <w:rsid w:val="00741105"/>
    <w:rsid w:val="00741B9C"/>
    <w:rsid w:val="007563BB"/>
    <w:rsid w:val="00757A1C"/>
    <w:rsid w:val="007637D8"/>
    <w:rsid w:val="00765EBC"/>
    <w:rsid w:val="00766E62"/>
    <w:rsid w:val="00770395"/>
    <w:rsid w:val="0077231B"/>
    <w:rsid w:val="00774643"/>
    <w:rsid w:val="0077505D"/>
    <w:rsid w:val="00775D95"/>
    <w:rsid w:val="0077692C"/>
    <w:rsid w:val="00782E4A"/>
    <w:rsid w:val="007838DE"/>
    <w:rsid w:val="00783E72"/>
    <w:rsid w:val="00783ECC"/>
    <w:rsid w:val="00786FFE"/>
    <w:rsid w:val="007920D2"/>
    <w:rsid w:val="007924B8"/>
    <w:rsid w:val="00795412"/>
    <w:rsid w:val="007A72EA"/>
    <w:rsid w:val="007B2E8B"/>
    <w:rsid w:val="007B46CD"/>
    <w:rsid w:val="007B5A13"/>
    <w:rsid w:val="007C05AE"/>
    <w:rsid w:val="007C2E1A"/>
    <w:rsid w:val="007C4387"/>
    <w:rsid w:val="007C747E"/>
    <w:rsid w:val="007C7A60"/>
    <w:rsid w:val="007C7CCE"/>
    <w:rsid w:val="007D2FB7"/>
    <w:rsid w:val="007D369A"/>
    <w:rsid w:val="007D49ED"/>
    <w:rsid w:val="007E633E"/>
    <w:rsid w:val="007E79C4"/>
    <w:rsid w:val="007F1FAB"/>
    <w:rsid w:val="007F23A8"/>
    <w:rsid w:val="007F3251"/>
    <w:rsid w:val="007F52B2"/>
    <w:rsid w:val="007F5F00"/>
    <w:rsid w:val="007F5FCB"/>
    <w:rsid w:val="007F6160"/>
    <w:rsid w:val="007F77A5"/>
    <w:rsid w:val="00800E66"/>
    <w:rsid w:val="00802775"/>
    <w:rsid w:val="00804604"/>
    <w:rsid w:val="008112E3"/>
    <w:rsid w:val="0081221D"/>
    <w:rsid w:val="00814D29"/>
    <w:rsid w:val="00815EA5"/>
    <w:rsid w:val="00820F2E"/>
    <w:rsid w:val="00826961"/>
    <w:rsid w:val="00836428"/>
    <w:rsid w:val="00837CA1"/>
    <w:rsid w:val="008423AF"/>
    <w:rsid w:val="00843C2F"/>
    <w:rsid w:val="00847082"/>
    <w:rsid w:val="00847C78"/>
    <w:rsid w:val="00850464"/>
    <w:rsid w:val="00852B97"/>
    <w:rsid w:val="008544D9"/>
    <w:rsid w:val="00870521"/>
    <w:rsid w:val="0087642D"/>
    <w:rsid w:val="008806CE"/>
    <w:rsid w:val="00881BCE"/>
    <w:rsid w:val="00883849"/>
    <w:rsid w:val="008856D7"/>
    <w:rsid w:val="0088659E"/>
    <w:rsid w:val="00890056"/>
    <w:rsid w:val="0089523C"/>
    <w:rsid w:val="008A2051"/>
    <w:rsid w:val="008A39EE"/>
    <w:rsid w:val="008A582E"/>
    <w:rsid w:val="008B6DF5"/>
    <w:rsid w:val="008C0E4B"/>
    <w:rsid w:val="008C1146"/>
    <w:rsid w:val="008C3B9B"/>
    <w:rsid w:val="008C7547"/>
    <w:rsid w:val="008C77DC"/>
    <w:rsid w:val="008C790E"/>
    <w:rsid w:val="008C7B1F"/>
    <w:rsid w:val="008C7B63"/>
    <w:rsid w:val="008D4EEE"/>
    <w:rsid w:val="008D7596"/>
    <w:rsid w:val="008D78E5"/>
    <w:rsid w:val="008E01F2"/>
    <w:rsid w:val="008E0859"/>
    <w:rsid w:val="008E727A"/>
    <w:rsid w:val="008F053C"/>
    <w:rsid w:val="008F0BDD"/>
    <w:rsid w:val="008F1272"/>
    <w:rsid w:val="008F2F99"/>
    <w:rsid w:val="008F6084"/>
    <w:rsid w:val="008F6306"/>
    <w:rsid w:val="008F6E1D"/>
    <w:rsid w:val="00900807"/>
    <w:rsid w:val="0090338A"/>
    <w:rsid w:val="009057C8"/>
    <w:rsid w:val="00913CF8"/>
    <w:rsid w:val="009170A5"/>
    <w:rsid w:val="00930A39"/>
    <w:rsid w:val="0093193B"/>
    <w:rsid w:val="00933586"/>
    <w:rsid w:val="00941A87"/>
    <w:rsid w:val="009427A0"/>
    <w:rsid w:val="00947170"/>
    <w:rsid w:val="00947B3D"/>
    <w:rsid w:val="009569CF"/>
    <w:rsid w:val="00956E94"/>
    <w:rsid w:val="00957560"/>
    <w:rsid w:val="00962312"/>
    <w:rsid w:val="00962746"/>
    <w:rsid w:val="009627A1"/>
    <w:rsid w:val="00962899"/>
    <w:rsid w:val="00964A11"/>
    <w:rsid w:val="00964BA2"/>
    <w:rsid w:val="00967836"/>
    <w:rsid w:val="009712FE"/>
    <w:rsid w:val="00972771"/>
    <w:rsid w:val="00976C87"/>
    <w:rsid w:val="00983398"/>
    <w:rsid w:val="009875AD"/>
    <w:rsid w:val="0099040C"/>
    <w:rsid w:val="009912DA"/>
    <w:rsid w:val="009924AF"/>
    <w:rsid w:val="00992621"/>
    <w:rsid w:val="009A21F4"/>
    <w:rsid w:val="009A2DCD"/>
    <w:rsid w:val="009A3102"/>
    <w:rsid w:val="009A7F71"/>
    <w:rsid w:val="009B51D7"/>
    <w:rsid w:val="009B5501"/>
    <w:rsid w:val="009B5858"/>
    <w:rsid w:val="009C2068"/>
    <w:rsid w:val="009C41AB"/>
    <w:rsid w:val="009C438D"/>
    <w:rsid w:val="009C5F6C"/>
    <w:rsid w:val="009D276F"/>
    <w:rsid w:val="009D3B16"/>
    <w:rsid w:val="009D3BEA"/>
    <w:rsid w:val="009D48CC"/>
    <w:rsid w:val="009D5161"/>
    <w:rsid w:val="009D722B"/>
    <w:rsid w:val="009E1F47"/>
    <w:rsid w:val="009E2689"/>
    <w:rsid w:val="009E301D"/>
    <w:rsid w:val="009E4D16"/>
    <w:rsid w:val="009F0471"/>
    <w:rsid w:val="009F12E2"/>
    <w:rsid w:val="009F2B71"/>
    <w:rsid w:val="009F3358"/>
    <w:rsid w:val="009F42BF"/>
    <w:rsid w:val="009F478B"/>
    <w:rsid w:val="009F503B"/>
    <w:rsid w:val="009F69C1"/>
    <w:rsid w:val="009F6F1A"/>
    <w:rsid w:val="00A01DFE"/>
    <w:rsid w:val="00A05001"/>
    <w:rsid w:val="00A14123"/>
    <w:rsid w:val="00A167E5"/>
    <w:rsid w:val="00A24618"/>
    <w:rsid w:val="00A31CD0"/>
    <w:rsid w:val="00A364ED"/>
    <w:rsid w:val="00A37E4B"/>
    <w:rsid w:val="00A40EE1"/>
    <w:rsid w:val="00A423ED"/>
    <w:rsid w:val="00A426FE"/>
    <w:rsid w:val="00A4476D"/>
    <w:rsid w:val="00A536F3"/>
    <w:rsid w:val="00A53CD6"/>
    <w:rsid w:val="00A53F5A"/>
    <w:rsid w:val="00A5438C"/>
    <w:rsid w:val="00A548B7"/>
    <w:rsid w:val="00A612EF"/>
    <w:rsid w:val="00A62B33"/>
    <w:rsid w:val="00A631F4"/>
    <w:rsid w:val="00A63EEC"/>
    <w:rsid w:val="00A67881"/>
    <w:rsid w:val="00A71EAD"/>
    <w:rsid w:val="00A72103"/>
    <w:rsid w:val="00A72D59"/>
    <w:rsid w:val="00A75C67"/>
    <w:rsid w:val="00A76C43"/>
    <w:rsid w:val="00A806B9"/>
    <w:rsid w:val="00A824D8"/>
    <w:rsid w:val="00A8298B"/>
    <w:rsid w:val="00A84571"/>
    <w:rsid w:val="00A86837"/>
    <w:rsid w:val="00A91D08"/>
    <w:rsid w:val="00A91D44"/>
    <w:rsid w:val="00A946D4"/>
    <w:rsid w:val="00A94825"/>
    <w:rsid w:val="00AA23C8"/>
    <w:rsid w:val="00AA4B81"/>
    <w:rsid w:val="00AA6318"/>
    <w:rsid w:val="00AA7FCB"/>
    <w:rsid w:val="00AB03F0"/>
    <w:rsid w:val="00AB2537"/>
    <w:rsid w:val="00AB59AE"/>
    <w:rsid w:val="00AB5BD9"/>
    <w:rsid w:val="00AB5E66"/>
    <w:rsid w:val="00AB716B"/>
    <w:rsid w:val="00AC040C"/>
    <w:rsid w:val="00AC5AF5"/>
    <w:rsid w:val="00AD0AA1"/>
    <w:rsid w:val="00AD16A9"/>
    <w:rsid w:val="00AD27FB"/>
    <w:rsid w:val="00AD631F"/>
    <w:rsid w:val="00AD6F21"/>
    <w:rsid w:val="00AE07A3"/>
    <w:rsid w:val="00AE372A"/>
    <w:rsid w:val="00AE3957"/>
    <w:rsid w:val="00AF2052"/>
    <w:rsid w:val="00AF3752"/>
    <w:rsid w:val="00B015E8"/>
    <w:rsid w:val="00B06494"/>
    <w:rsid w:val="00B10531"/>
    <w:rsid w:val="00B10FF8"/>
    <w:rsid w:val="00B1575D"/>
    <w:rsid w:val="00B237E7"/>
    <w:rsid w:val="00B251BB"/>
    <w:rsid w:val="00B25DC7"/>
    <w:rsid w:val="00B275A9"/>
    <w:rsid w:val="00B36F06"/>
    <w:rsid w:val="00B37A7E"/>
    <w:rsid w:val="00B40A1A"/>
    <w:rsid w:val="00B40DBF"/>
    <w:rsid w:val="00B41DD5"/>
    <w:rsid w:val="00B44231"/>
    <w:rsid w:val="00B457C4"/>
    <w:rsid w:val="00B463CA"/>
    <w:rsid w:val="00B47236"/>
    <w:rsid w:val="00B50D5E"/>
    <w:rsid w:val="00B54060"/>
    <w:rsid w:val="00B55854"/>
    <w:rsid w:val="00B572E7"/>
    <w:rsid w:val="00B6314E"/>
    <w:rsid w:val="00B666D8"/>
    <w:rsid w:val="00B679E8"/>
    <w:rsid w:val="00B67E7B"/>
    <w:rsid w:val="00B71178"/>
    <w:rsid w:val="00B72A99"/>
    <w:rsid w:val="00B733D8"/>
    <w:rsid w:val="00B80EA3"/>
    <w:rsid w:val="00B81352"/>
    <w:rsid w:val="00B824CE"/>
    <w:rsid w:val="00B914A2"/>
    <w:rsid w:val="00B9541E"/>
    <w:rsid w:val="00BA034B"/>
    <w:rsid w:val="00BA0AF0"/>
    <w:rsid w:val="00BA4CDE"/>
    <w:rsid w:val="00BA5FD3"/>
    <w:rsid w:val="00BA7078"/>
    <w:rsid w:val="00BB0488"/>
    <w:rsid w:val="00BB152B"/>
    <w:rsid w:val="00BB3ABA"/>
    <w:rsid w:val="00BB3ED5"/>
    <w:rsid w:val="00BB4AB9"/>
    <w:rsid w:val="00BB6550"/>
    <w:rsid w:val="00BB6FB4"/>
    <w:rsid w:val="00BC07C0"/>
    <w:rsid w:val="00BC0ADE"/>
    <w:rsid w:val="00BC6DDF"/>
    <w:rsid w:val="00BD26F2"/>
    <w:rsid w:val="00BD2847"/>
    <w:rsid w:val="00BD28CF"/>
    <w:rsid w:val="00BD3CFF"/>
    <w:rsid w:val="00BD523A"/>
    <w:rsid w:val="00BE5285"/>
    <w:rsid w:val="00BE59BD"/>
    <w:rsid w:val="00BE7C3D"/>
    <w:rsid w:val="00BF27C6"/>
    <w:rsid w:val="00C01212"/>
    <w:rsid w:val="00C0174A"/>
    <w:rsid w:val="00C02226"/>
    <w:rsid w:val="00C02348"/>
    <w:rsid w:val="00C051C7"/>
    <w:rsid w:val="00C05D9B"/>
    <w:rsid w:val="00C11C9C"/>
    <w:rsid w:val="00C12242"/>
    <w:rsid w:val="00C13448"/>
    <w:rsid w:val="00C16823"/>
    <w:rsid w:val="00C17174"/>
    <w:rsid w:val="00C214BA"/>
    <w:rsid w:val="00C24CE8"/>
    <w:rsid w:val="00C26130"/>
    <w:rsid w:val="00C27F2F"/>
    <w:rsid w:val="00C315B6"/>
    <w:rsid w:val="00C328C5"/>
    <w:rsid w:val="00C32EBA"/>
    <w:rsid w:val="00C35B44"/>
    <w:rsid w:val="00C376F3"/>
    <w:rsid w:val="00C4132F"/>
    <w:rsid w:val="00C463D2"/>
    <w:rsid w:val="00C51AEF"/>
    <w:rsid w:val="00C52F09"/>
    <w:rsid w:val="00C538CC"/>
    <w:rsid w:val="00C62142"/>
    <w:rsid w:val="00C6218C"/>
    <w:rsid w:val="00C62A44"/>
    <w:rsid w:val="00C661FC"/>
    <w:rsid w:val="00C711B9"/>
    <w:rsid w:val="00C80A39"/>
    <w:rsid w:val="00C80ECE"/>
    <w:rsid w:val="00C81045"/>
    <w:rsid w:val="00C81936"/>
    <w:rsid w:val="00C84C4C"/>
    <w:rsid w:val="00C851D1"/>
    <w:rsid w:val="00C91FBA"/>
    <w:rsid w:val="00CA1702"/>
    <w:rsid w:val="00CA21FB"/>
    <w:rsid w:val="00CA4F94"/>
    <w:rsid w:val="00CA5CC2"/>
    <w:rsid w:val="00CA7D78"/>
    <w:rsid w:val="00CB105F"/>
    <w:rsid w:val="00CB3807"/>
    <w:rsid w:val="00CB4D69"/>
    <w:rsid w:val="00CB631F"/>
    <w:rsid w:val="00CC3932"/>
    <w:rsid w:val="00CC4E23"/>
    <w:rsid w:val="00CC5314"/>
    <w:rsid w:val="00CE63E1"/>
    <w:rsid w:val="00CE7212"/>
    <w:rsid w:val="00CF28D8"/>
    <w:rsid w:val="00CF5003"/>
    <w:rsid w:val="00CF796D"/>
    <w:rsid w:val="00CF7BF0"/>
    <w:rsid w:val="00D0019C"/>
    <w:rsid w:val="00D06683"/>
    <w:rsid w:val="00D069D9"/>
    <w:rsid w:val="00D10426"/>
    <w:rsid w:val="00D10FCE"/>
    <w:rsid w:val="00D1313D"/>
    <w:rsid w:val="00D150FC"/>
    <w:rsid w:val="00D17F80"/>
    <w:rsid w:val="00D25538"/>
    <w:rsid w:val="00D3182B"/>
    <w:rsid w:val="00D34321"/>
    <w:rsid w:val="00D357F9"/>
    <w:rsid w:val="00D42667"/>
    <w:rsid w:val="00D434AE"/>
    <w:rsid w:val="00D44845"/>
    <w:rsid w:val="00D52AD6"/>
    <w:rsid w:val="00D53887"/>
    <w:rsid w:val="00D61E6A"/>
    <w:rsid w:val="00D71EC4"/>
    <w:rsid w:val="00D74187"/>
    <w:rsid w:val="00D7481C"/>
    <w:rsid w:val="00D74AF5"/>
    <w:rsid w:val="00D760FA"/>
    <w:rsid w:val="00D80278"/>
    <w:rsid w:val="00D809A4"/>
    <w:rsid w:val="00D84E5D"/>
    <w:rsid w:val="00D861C1"/>
    <w:rsid w:val="00D86901"/>
    <w:rsid w:val="00D87161"/>
    <w:rsid w:val="00D92835"/>
    <w:rsid w:val="00D940D9"/>
    <w:rsid w:val="00D94424"/>
    <w:rsid w:val="00D97010"/>
    <w:rsid w:val="00D97C0D"/>
    <w:rsid w:val="00DA0C4D"/>
    <w:rsid w:val="00DA2CC2"/>
    <w:rsid w:val="00DA4A93"/>
    <w:rsid w:val="00DA6DB6"/>
    <w:rsid w:val="00DA7109"/>
    <w:rsid w:val="00DA7371"/>
    <w:rsid w:val="00DB546C"/>
    <w:rsid w:val="00DB763B"/>
    <w:rsid w:val="00DC41C9"/>
    <w:rsid w:val="00DC5473"/>
    <w:rsid w:val="00DC5506"/>
    <w:rsid w:val="00DC551B"/>
    <w:rsid w:val="00DC6A3F"/>
    <w:rsid w:val="00DD0A4F"/>
    <w:rsid w:val="00DD2F76"/>
    <w:rsid w:val="00DD33C0"/>
    <w:rsid w:val="00DD3996"/>
    <w:rsid w:val="00DD52E4"/>
    <w:rsid w:val="00DD611C"/>
    <w:rsid w:val="00DE02D6"/>
    <w:rsid w:val="00DE6FD7"/>
    <w:rsid w:val="00DE6FE8"/>
    <w:rsid w:val="00DF1413"/>
    <w:rsid w:val="00DF4117"/>
    <w:rsid w:val="00DF4197"/>
    <w:rsid w:val="00DF499E"/>
    <w:rsid w:val="00DF54EA"/>
    <w:rsid w:val="00DF57BA"/>
    <w:rsid w:val="00E06C54"/>
    <w:rsid w:val="00E114C5"/>
    <w:rsid w:val="00E11A3E"/>
    <w:rsid w:val="00E13D93"/>
    <w:rsid w:val="00E162F5"/>
    <w:rsid w:val="00E166ED"/>
    <w:rsid w:val="00E2233F"/>
    <w:rsid w:val="00E24300"/>
    <w:rsid w:val="00E247EB"/>
    <w:rsid w:val="00E267FC"/>
    <w:rsid w:val="00E2762B"/>
    <w:rsid w:val="00E307F3"/>
    <w:rsid w:val="00E312DA"/>
    <w:rsid w:val="00E3230E"/>
    <w:rsid w:val="00E35775"/>
    <w:rsid w:val="00E406DC"/>
    <w:rsid w:val="00E504A1"/>
    <w:rsid w:val="00E5197D"/>
    <w:rsid w:val="00E54329"/>
    <w:rsid w:val="00E56A47"/>
    <w:rsid w:val="00E56E0B"/>
    <w:rsid w:val="00E655E7"/>
    <w:rsid w:val="00E6756B"/>
    <w:rsid w:val="00E67A8C"/>
    <w:rsid w:val="00E72EDB"/>
    <w:rsid w:val="00E826D1"/>
    <w:rsid w:val="00E95CF7"/>
    <w:rsid w:val="00E96380"/>
    <w:rsid w:val="00E9661C"/>
    <w:rsid w:val="00E969A6"/>
    <w:rsid w:val="00EA0877"/>
    <w:rsid w:val="00EA0EEB"/>
    <w:rsid w:val="00EA267E"/>
    <w:rsid w:val="00EA2A1B"/>
    <w:rsid w:val="00EB090D"/>
    <w:rsid w:val="00EB109D"/>
    <w:rsid w:val="00EB3556"/>
    <w:rsid w:val="00EC2379"/>
    <w:rsid w:val="00EC2C4F"/>
    <w:rsid w:val="00EC4843"/>
    <w:rsid w:val="00EC620E"/>
    <w:rsid w:val="00ED2912"/>
    <w:rsid w:val="00ED2DCC"/>
    <w:rsid w:val="00ED7C43"/>
    <w:rsid w:val="00EE1163"/>
    <w:rsid w:val="00EE17AD"/>
    <w:rsid w:val="00EE1C80"/>
    <w:rsid w:val="00EE250E"/>
    <w:rsid w:val="00EE49F4"/>
    <w:rsid w:val="00EE4FE7"/>
    <w:rsid w:val="00EE6099"/>
    <w:rsid w:val="00EF0295"/>
    <w:rsid w:val="00EF0871"/>
    <w:rsid w:val="00EF2639"/>
    <w:rsid w:val="00EF2BE5"/>
    <w:rsid w:val="00EF3D6C"/>
    <w:rsid w:val="00F042FA"/>
    <w:rsid w:val="00F16002"/>
    <w:rsid w:val="00F16374"/>
    <w:rsid w:val="00F213BD"/>
    <w:rsid w:val="00F22813"/>
    <w:rsid w:val="00F23562"/>
    <w:rsid w:val="00F23CD7"/>
    <w:rsid w:val="00F23FC3"/>
    <w:rsid w:val="00F2442A"/>
    <w:rsid w:val="00F310F1"/>
    <w:rsid w:val="00F33080"/>
    <w:rsid w:val="00F360E5"/>
    <w:rsid w:val="00F4107A"/>
    <w:rsid w:val="00F51AFD"/>
    <w:rsid w:val="00F51C57"/>
    <w:rsid w:val="00F521AB"/>
    <w:rsid w:val="00F545D3"/>
    <w:rsid w:val="00F565CC"/>
    <w:rsid w:val="00F605E8"/>
    <w:rsid w:val="00F612FF"/>
    <w:rsid w:val="00F620CD"/>
    <w:rsid w:val="00F6493F"/>
    <w:rsid w:val="00F66B6F"/>
    <w:rsid w:val="00F729E7"/>
    <w:rsid w:val="00F73336"/>
    <w:rsid w:val="00F75663"/>
    <w:rsid w:val="00F757D6"/>
    <w:rsid w:val="00F811E7"/>
    <w:rsid w:val="00F83812"/>
    <w:rsid w:val="00F84ACD"/>
    <w:rsid w:val="00F9056C"/>
    <w:rsid w:val="00F914C0"/>
    <w:rsid w:val="00F92313"/>
    <w:rsid w:val="00F92EF4"/>
    <w:rsid w:val="00F94AA8"/>
    <w:rsid w:val="00F94D1E"/>
    <w:rsid w:val="00F95DCA"/>
    <w:rsid w:val="00FA4B36"/>
    <w:rsid w:val="00FB4891"/>
    <w:rsid w:val="00FB53B9"/>
    <w:rsid w:val="00FC4D39"/>
    <w:rsid w:val="00FC686F"/>
    <w:rsid w:val="00FC7FBE"/>
    <w:rsid w:val="00FD5223"/>
    <w:rsid w:val="00FD6795"/>
    <w:rsid w:val="00FD680E"/>
    <w:rsid w:val="00FD684C"/>
    <w:rsid w:val="00FE0378"/>
    <w:rsid w:val="00FE2347"/>
    <w:rsid w:val="00FE3830"/>
    <w:rsid w:val="00FE3D78"/>
    <w:rsid w:val="00FE69CC"/>
    <w:rsid w:val="00FF2FE8"/>
    <w:rsid w:val="00FF3D1D"/>
    <w:rsid w:val="00FF623B"/>
    <w:rsid w:val="015101DA"/>
    <w:rsid w:val="01DD7F6E"/>
    <w:rsid w:val="01FD63B3"/>
    <w:rsid w:val="025F405B"/>
    <w:rsid w:val="02660C86"/>
    <w:rsid w:val="02824F72"/>
    <w:rsid w:val="02F4FAA2"/>
    <w:rsid w:val="03080762"/>
    <w:rsid w:val="03E56531"/>
    <w:rsid w:val="047D4AB3"/>
    <w:rsid w:val="04AC953F"/>
    <w:rsid w:val="04FEDF96"/>
    <w:rsid w:val="050174D4"/>
    <w:rsid w:val="051B474E"/>
    <w:rsid w:val="05299703"/>
    <w:rsid w:val="057FDFB2"/>
    <w:rsid w:val="0596E11D"/>
    <w:rsid w:val="05B482B9"/>
    <w:rsid w:val="06212947"/>
    <w:rsid w:val="067220C0"/>
    <w:rsid w:val="0685703B"/>
    <w:rsid w:val="06B9A59E"/>
    <w:rsid w:val="06FB6266"/>
    <w:rsid w:val="0748EA0B"/>
    <w:rsid w:val="07637131"/>
    <w:rsid w:val="0771A470"/>
    <w:rsid w:val="07910828"/>
    <w:rsid w:val="07A4AEE4"/>
    <w:rsid w:val="07B82402"/>
    <w:rsid w:val="0855FBEF"/>
    <w:rsid w:val="08A8E705"/>
    <w:rsid w:val="08AE6C6F"/>
    <w:rsid w:val="08B820B8"/>
    <w:rsid w:val="09011C9C"/>
    <w:rsid w:val="09078084"/>
    <w:rsid w:val="09C1861C"/>
    <w:rsid w:val="09C6C5E9"/>
    <w:rsid w:val="0A53E1D2"/>
    <w:rsid w:val="0A87F3DC"/>
    <w:rsid w:val="0AE1811D"/>
    <w:rsid w:val="0AEC9E9B"/>
    <w:rsid w:val="0B3B844C"/>
    <w:rsid w:val="0BE31647"/>
    <w:rsid w:val="0C067C86"/>
    <w:rsid w:val="0C580AA8"/>
    <w:rsid w:val="0C7CFB86"/>
    <w:rsid w:val="0CA7093D"/>
    <w:rsid w:val="0CAA42FA"/>
    <w:rsid w:val="0CB593B2"/>
    <w:rsid w:val="0CDFCEAD"/>
    <w:rsid w:val="0E37A308"/>
    <w:rsid w:val="0E4DCF36"/>
    <w:rsid w:val="0E9CFF62"/>
    <w:rsid w:val="0F08D539"/>
    <w:rsid w:val="0FD4A276"/>
    <w:rsid w:val="100E79FC"/>
    <w:rsid w:val="10617A26"/>
    <w:rsid w:val="1065B4AA"/>
    <w:rsid w:val="10AA5E11"/>
    <w:rsid w:val="11355530"/>
    <w:rsid w:val="113665EC"/>
    <w:rsid w:val="11912200"/>
    <w:rsid w:val="1212410C"/>
    <w:rsid w:val="12187663"/>
    <w:rsid w:val="1252363C"/>
    <w:rsid w:val="127014A5"/>
    <w:rsid w:val="1283538D"/>
    <w:rsid w:val="13494EB5"/>
    <w:rsid w:val="135E1EC3"/>
    <w:rsid w:val="1372A31D"/>
    <w:rsid w:val="13ACC9DB"/>
    <w:rsid w:val="13C4631A"/>
    <w:rsid w:val="14E6C6B3"/>
    <w:rsid w:val="15D1BECC"/>
    <w:rsid w:val="15F23334"/>
    <w:rsid w:val="161B4847"/>
    <w:rsid w:val="163BF888"/>
    <w:rsid w:val="16E458EB"/>
    <w:rsid w:val="17302022"/>
    <w:rsid w:val="17634DC8"/>
    <w:rsid w:val="18E6F799"/>
    <w:rsid w:val="198709C8"/>
    <w:rsid w:val="19C16731"/>
    <w:rsid w:val="1A36A7B6"/>
    <w:rsid w:val="1A41E4ED"/>
    <w:rsid w:val="1AC5A457"/>
    <w:rsid w:val="1B4DA0CE"/>
    <w:rsid w:val="1B9DD770"/>
    <w:rsid w:val="1C8C65C6"/>
    <w:rsid w:val="1C98CE14"/>
    <w:rsid w:val="1CE4131B"/>
    <w:rsid w:val="1D2802CB"/>
    <w:rsid w:val="1D2B9428"/>
    <w:rsid w:val="1D48C908"/>
    <w:rsid w:val="1D521D03"/>
    <w:rsid w:val="1D628A13"/>
    <w:rsid w:val="1D86FB75"/>
    <w:rsid w:val="1DAD754F"/>
    <w:rsid w:val="20AFF702"/>
    <w:rsid w:val="20E7EE24"/>
    <w:rsid w:val="20EBB8F7"/>
    <w:rsid w:val="213CD361"/>
    <w:rsid w:val="218B0364"/>
    <w:rsid w:val="21A745CA"/>
    <w:rsid w:val="21BA86A3"/>
    <w:rsid w:val="22DA7ECC"/>
    <w:rsid w:val="23646F02"/>
    <w:rsid w:val="2418D568"/>
    <w:rsid w:val="243B0460"/>
    <w:rsid w:val="24BF3682"/>
    <w:rsid w:val="24CF89DA"/>
    <w:rsid w:val="24DB5AB7"/>
    <w:rsid w:val="2522AE8B"/>
    <w:rsid w:val="25A70B47"/>
    <w:rsid w:val="25AFB416"/>
    <w:rsid w:val="2618C4F0"/>
    <w:rsid w:val="26FC19F1"/>
    <w:rsid w:val="27109A2E"/>
    <w:rsid w:val="27115911"/>
    <w:rsid w:val="274C166A"/>
    <w:rsid w:val="27553789"/>
    <w:rsid w:val="278FC0CD"/>
    <w:rsid w:val="27C18478"/>
    <w:rsid w:val="2803BB11"/>
    <w:rsid w:val="2812FB79"/>
    <w:rsid w:val="283E7050"/>
    <w:rsid w:val="286DF4CD"/>
    <w:rsid w:val="28E3F665"/>
    <w:rsid w:val="28F5D6CD"/>
    <w:rsid w:val="2947E546"/>
    <w:rsid w:val="295DCAC2"/>
    <w:rsid w:val="29900363"/>
    <w:rsid w:val="29A11CD8"/>
    <w:rsid w:val="29AE932D"/>
    <w:rsid w:val="29CF8B96"/>
    <w:rsid w:val="29E2BBF9"/>
    <w:rsid w:val="29ED5D76"/>
    <w:rsid w:val="2A483AF0"/>
    <w:rsid w:val="2A5F5AB2"/>
    <w:rsid w:val="2AF15514"/>
    <w:rsid w:val="2BA011D3"/>
    <w:rsid w:val="2BAE1992"/>
    <w:rsid w:val="2BFB6CB4"/>
    <w:rsid w:val="2C29B173"/>
    <w:rsid w:val="2CF4E71D"/>
    <w:rsid w:val="2D1A0308"/>
    <w:rsid w:val="2DA5FE54"/>
    <w:rsid w:val="2E5D43C3"/>
    <w:rsid w:val="2F9C981F"/>
    <w:rsid w:val="2FC487E8"/>
    <w:rsid w:val="2FF6D802"/>
    <w:rsid w:val="303BCA78"/>
    <w:rsid w:val="30C5B856"/>
    <w:rsid w:val="30F4BAC3"/>
    <w:rsid w:val="312D5A8B"/>
    <w:rsid w:val="31436290"/>
    <w:rsid w:val="3152F72B"/>
    <w:rsid w:val="319C2335"/>
    <w:rsid w:val="31DC1AC0"/>
    <w:rsid w:val="31FC462E"/>
    <w:rsid w:val="32023A7B"/>
    <w:rsid w:val="3218D79B"/>
    <w:rsid w:val="3224B688"/>
    <w:rsid w:val="328F1E01"/>
    <w:rsid w:val="32DE1F9B"/>
    <w:rsid w:val="32F6F98D"/>
    <w:rsid w:val="32FCA0F7"/>
    <w:rsid w:val="3347FF1E"/>
    <w:rsid w:val="334B97BC"/>
    <w:rsid w:val="33A7E4E3"/>
    <w:rsid w:val="34841A1D"/>
    <w:rsid w:val="34949056"/>
    <w:rsid w:val="372F6779"/>
    <w:rsid w:val="378111D5"/>
    <w:rsid w:val="378F8C56"/>
    <w:rsid w:val="37C238AF"/>
    <w:rsid w:val="3857A4F8"/>
    <w:rsid w:val="38A73055"/>
    <w:rsid w:val="38CF9B4B"/>
    <w:rsid w:val="3903812C"/>
    <w:rsid w:val="3977DB8A"/>
    <w:rsid w:val="3980148F"/>
    <w:rsid w:val="398E0E8F"/>
    <w:rsid w:val="3A3CA7C2"/>
    <w:rsid w:val="3AE3C405"/>
    <w:rsid w:val="3B1A37B0"/>
    <w:rsid w:val="3BD47407"/>
    <w:rsid w:val="3BF03B29"/>
    <w:rsid w:val="3C169ECA"/>
    <w:rsid w:val="3C542400"/>
    <w:rsid w:val="3C59AF2D"/>
    <w:rsid w:val="3C6EF107"/>
    <w:rsid w:val="3CD0D421"/>
    <w:rsid w:val="3D071DE9"/>
    <w:rsid w:val="3D1B1930"/>
    <w:rsid w:val="3D5358D8"/>
    <w:rsid w:val="3D616F7E"/>
    <w:rsid w:val="3D8E64F3"/>
    <w:rsid w:val="3DE2A457"/>
    <w:rsid w:val="3E90347D"/>
    <w:rsid w:val="3EC3F6AC"/>
    <w:rsid w:val="3F2FCD07"/>
    <w:rsid w:val="3FC013D9"/>
    <w:rsid w:val="40A195A5"/>
    <w:rsid w:val="41585014"/>
    <w:rsid w:val="41A0DB29"/>
    <w:rsid w:val="41BE8E05"/>
    <w:rsid w:val="41F56BC3"/>
    <w:rsid w:val="425CDDE8"/>
    <w:rsid w:val="42B6157A"/>
    <w:rsid w:val="43348326"/>
    <w:rsid w:val="435A9713"/>
    <w:rsid w:val="43BF435A"/>
    <w:rsid w:val="4418C405"/>
    <w:rsid w:val="44771927"/>
    <w:rsid w:val="4496F487"/>
    <w:rsid w:val="44A2FDE4"/>
    <w:rsid w:val="44B608EE"/>
    <w:rsid w:val="450C9CAA"/>
    <w:rsid w:val="454545E3"/>
    <w:rsid w:val="45487723"/>
    <w:rsid w:val="45628170"/>
    <w:rsid w:val="456F1BB1"/>
    <w:rsid w:val="45913BC9"/>
    <w:rsid w:val="45E2BCF1"/>
    <w:rsid w:val="45F01FEA"/>
    <w:rsid w:val="461A3403"/>
    <w:rsid w:val="46DB4E2F"/>
    <w:rsid w:val="46F3B0C2"/>
    <w:rsid w:val="4724A9B6"/>
    <w:rsid w:val="482DCF89"/>
    <w:rsid w:val="48EE2AEB"/>
    <w:rsid w:val="4974021D"/>
    <w:rsid w:val="4990B53C"/>
    <w:rsid w:val="499A4B5F"/>
    <w:rsid w:val="49DA0058"/>
    <w:rsid w:val="49E6D8B3"/>
    <w:rsid w:val="4A244098"/>
    <w:rsid w:val="4A2E1210"/>
    <w:rsid w:val="4A5C4A78"/>
    <w:rsid w:val="4A66810C"/>
    <w:rsid w:val="4AF7D2D9"/>
    <w:rsid w:val="4B3A9CDD"/>
    <w:rsid w:val="4B3BF4F9"/>
    <w:rsid w:val="4C25CBAD"/>
    <w:rsid w:val="4C366901"/>
    <w:rsid w:val="4C48844C"/>
    <w:rsid w:val="4C6BEC74"/>
    <w:rsid w:val="4C9EE193"/>
    <w:rsid w:val="4CC019C7"/>
    <w:rsid w:val="4CDE5AC4"/>
    <w:rsid w:val="4D41E493"/>
    <w:rsid w:val="4D83D2F4"/>
    <w:rsid w:val="4DAD031B"/>
    <w:rsid w:val="4DCF285F"/>
    <w:rsid w:val="4DE454AD"/>
    <w:rsid w:val="4F360A21"/>
    <w:rsid w:val="4FA38D36"/>
    <w:rsid w:val="501FC11E"/>
    <w:rsid w:val="50234DEE"/>
    <w:rsid w:val="5045CE34"/>
    <w:rsid w:val="51174086"/>
    <w:rsid w:val="513566E2"/>
    <w:rsid w:val="517FABF1"/>
    <w:rsid w:val="5204D67F"/>
    <w:rsid w:val="527801F7"/>
    <w:rsid w:val="5298B118"/>
    <w:rsid w:val="52B310E7"/>
    <w:rsid w:val="52DD528C"/>
    <w:rsid w:val="53069168"/>
    <w:rsid w:val="530EAA20"/>
    <w:rsid w:val="53A38085"/>
    <w:rsid w:val="53D03AEF"/>
    <w:rsid w:val="53E3DF74"/>
    <w:rsid w:val="53F653D3"/>
    <w:rsid w:val="53F9A804"/>
    <w:rsid w:val="5466694D"/>
    <w:rsid w:val="55475924"/>
    <w:rsid w:val="55922434"/>
    <w:rsid w:val="55BC5776"/>
    <w:rsid w:val="5641750B"/>
    <w:rsid w:val="5669E309"/>
    <w:rsid w:val="56A6D157"/>
    <w:rsid w:val="56B2B425"/>
    <w:rsid w:val="5782BD88"/>
    <w:rsid w:val="5784AC6C"/>
    <w:rsid w:val="5851AA62"/>
    <w:rsid w:val="586E92F5"/>
    <w:rsid w:val="5880DB24"/>
    <w:rsid w:val="58B8A0A6"/>
    <w:rsid w:val="5922526B"/>
    <w:rsid w:val="59F33C3F"/>
    <w:rsid w:val="5A2110FA"/>
    <w:rsid w:val="5A3FBB12"/>
    <w:rsid w:val="5A970A02"/>
    <w:rsid w:val="5AC61052"/>
    <w:rsid w:val="5AEE2D63"/>
    <w:rsid w:val="5B7280A7"/>
    <w:rsid w:val="5BC39206"/>
    <w:rsid w:val="5C2B7621"/>
    <w:rsid w:val="5C3A9779"/>
    <w:rsid w:val="5C79532D"/>
    <w:rsid w:val="5CF8EB93"/>
    <w:rsid w:val="5D32B6E7"/>
    <w:rsid w:val="5DA02364"/>
    <w:rsid w:val="5DF2CE4A"/>
    <w:rsid w:val="5DF6168D"/>
    <w:rsid w:val="5E675589"/>
    <w:rsid w:val="5E8BA6CF"/>
    <w:rsid w:val="5ECAF1CE"/>
    <w:rsid w:val="5EEBBE59"/>
    <w:rsid w:val="5F1C15DA"/>
    <w:rsid w:val="5F5DE0F8"/>
    <w:rsid w:val="5FFD57CF"/>
    <w:rsid w:val="60D7C426"/>
    <w:rsid w:val="61BC4A5C"/>
    <w:rsid w:val="61C34791"/>
    <w:rsid w:val="623BBD2F"/>
    <w:rsid w:val="62F65583"/>
    <w:rsid w:val="6320A230"/>
    <w:rsid w:val="635E94A7"/>
    <w:rsid w:val="63E003FE"/>
    <w:rsid w:val="6416B6DB"/>
    <w:rsid w:val="6422CACE"/>
    <w:rsid w:val="642374EB"/>
    <w:rsid w:val="65444683"/>
    <w:rsid w:val="6553B0B1"/>
    <w:rsid w:val="6596630A"/>
    <w:rsid w:val="65FD499E"/>
    <w:rsid w:val="66FC85EC"/>
    <w:rsid w:val="67A3A404"/>
    <w:rsid w:val="67ACCFB8"/>
    <w:rsid w:val="67EAC507"/>
    <w:rsid w:val="684B7B08"/>
    <w:rsid w:val="68FE726B"/>
    <w:rsid w:val="69C06071"/>
    <w:rsid w:val="6A273896"/>
    <w:rsid w:val="6A657E0F"/>
    <w:rsid w:val="6AA29080"/>
    <w:rsid w:val="6ADC341C"/>
    <w:rsid w:val="6AF945B1"/>
    <w:rsid w:val="6C1D1928"/>
    <w:rsid w:val="6C461B96"/>
    <w:rsid w:val="6C6D714F"/>
    <w:rsid w:val="6D1C271E"/>
    <w:rsid w:val="6D7075D6"/>
    <w:rsid w:val="6D9148DC"/>
    <w:rsid w:val="6E0F80F1"/>
    <w:rsid w:val="6EB65F6F"/>
    <w:rsid w:val="6F17933C"/>
    <w:rsid w:val="6F2C9D5F"/>
    <w:rsid w:val="70C44C57"/>
    <w:rsid w:val="71539430"/>
    <w:rsid w:val="7157808F"/>
    <w:rsid w:val="71D7FFFD"/>
    <w:rsid w:val="71E23DC9"/>
    <w:rsid w:val="723F3893"/>
    <w:rsid w:val="724E2D47"/>
    <w:rsid w:val="725ED0A6"/>
    <w:rsid w:val="72A096C5"/>
    <w:rsid w:val="72ACD81C"/>
    <w:rsid w:val="72E81C18"/>
    <w:rsid w:val="72E91CB0"/>
    <w:rsid w:val="737CB908"/>
    <w:rsid w:val="73A00261"/>
    <w:rsid w:val="73E52D57"/>
    <w:rsid w:val="7422A15A"/>
    <w:rsid w:val="742EE772"/>
    <w:rsid w:val="74EC11AD"/>
    <w:rsid w:val="751AF1E1"/>
    <w:rsid w:val="7687216A"/>
    <w:rsid w:val="771C36A1"/>
    <w:rsid w:val="77219E6A"/>
    <w:rsid w:val="77390AF7"/>
    <w:rsid w:val="773CA25F"/>
    <w:rsid w:val="77433EDD"/>
    <w:rsid w:val="77CA578D"/>
    <w:rsid w:val="78BD6ECB"/>
    <w:rsid w:val="78D492FB"/>
    <w:rsid w:val="78D872C0"/>
    <w:rsid w:val="7928A2C1"/>
    <w:rsid w:val="79326FB2"/>
    <w:rsid w:val="79B23875"/>
    <w:rsid w:val="7A289D64"/>
    <w:rsid w:val="7A744321"/>
    <w:rsid w:val="7A7EE411"/>
    <w:rsid w:val="7B4E08D6"/>
    <w:rsid w:val="7B4F223A"/>
    <w:rsid w:val="7BD2A421"/>
    <w:rsid w:val="7BF50F8D"/>
    <w:rsid w:val="7CE3098E"/>
    <w:rsid w:val="7D08E03B"/>
    <w:rsid w:val="7D0E352E"/>
    <w:rsid w:val="7D5D4982"/>
    <w:rsid w:val="7DB87A20"/>
    <w:rsid w:val="7E015DF3"/>
    <w:rsid w:val="7E0D0BC9"/>
    <w:rsid w:val="7E18788A"/>
    <w:rsid w:val="7F2ED4E3"/>
    <w:rsid w:val="7F6A463C"/>
    <w:rsid w:val="7F81DB02"/>
    <w:rsid w:val="7FB62E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B3848562-FF82-43F1-AAFB-7DFAF094C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qFormat/>
    <w:rsid w:val="00FE38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41DD5"/>
    <w:pPr>
      <w:spacing w:before="100" w:beforeAutospacing="1" w:after="100" w:afterAutospacing="1"/>
      <w:outlineLvl w:val="1"/>
    </w:pPr>
    <w:rPr>
      <w:b/>
      <w:bCs/>
      <w:kern w:val="0"/>
      <w:sz w:val="36"/>
      <w:szCs w:val="36"/>
      <w:lang w:eastAsia="en-US"/>
    </w:rPr>
  </w:style>
  <w:style w:type="paragraph" w:styleId="Heading3">
    <w:name w:val="heading 3"/>
    <w:basedOn w:val="Normal"/>
    <w:next w:val="Normal"/>
    <w:link w:val="Heading3Char"/>
    <w:semiHidden/>
    <w:unhideWhenUsed/>
    <w:qFormat/>
    <w:rsid w:val="0068114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Revision">
    <w:name w:val="Revision"/>
    <w:hidden/>
    <w:uiPriority w:val="99"/>
    <w:semiHidden/>
    <w:rsid w:val="00E72EDB"/>
  </w:style>
  <w:style w:type="character" w:styleId="FollowedHyperlink">
    <w:name w:val="FollowedHyperlink"/>
    <w:basedOn w:val="DefaultParagraphFont"/>
    <w:rsid w:val="00014216"/>
    <w:rPr>
      <w:color w:val="954F72" w:themeColor="followedHyperlink"/>
      <w:u w:val="single"/>
    </w:rPr>
  </w:style>
  <w:style w:type="character" w:styleId="UnresolvedMention">
    <w:name w:val="Unresolved Mention"/>
    <w:basedOn w:val="DefaultParagraphFont"/>
    <w:uiPriority w:val="99"/>
    <w:semiHidden/>
    <w:unhideWhenUsed/>
    <w:rsid w:val="00B463CA"/>
    <w:rPr>
      <w:color w:val="605E5C"/>
      <w:shd w:val="clear" w:color="auto" w:fill="E1DFDD"/>
    </w:rPr>
  </w:style>
  <w:style w:type="character" w:customStyle="1" w:styleId="Heading2Char">
    <w:name w:val="Heading 2 Char"/>
    <w:basedOn w:val="DefaultParagraphFont"/>
    <w:link w:val="Heading2"/>
    <w:uiPriority w:val="9"/>
    <w:rsid w:val="00B41DD5"/>
    <w:rPr>
      <w:b/>
      <w:bCs/>
      <w:kern w:val="0"/>
      <w:sz w:val="36"/>
      <w:szCs w:val="36"/>
      <w:lang w:eastAsia="en-US"/>
    </w:rPr>
  </w:style>
  <w:style w:type="character" w:customStyle="1" w:styleId="Heading1Char">
    <w:name w:val="Heading 1 Char"/>
    <w:basedOn w:val="DefaultParagraphFont"/>
    <w:link w:val="Heading1"/>
    <w:rsid w:val="00FE38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68114A"/>
    <w:rPr>
      <w:rFonts w:asciiTheme="majorHAnsi" w:eastAsiaTheme="majorEastAsia" w:hAnsiTheme="majorHAnsi" w:cstheme="majorBidi"/>
      <w:color w:val="1F3763" w:themeColor="accent1" w:themeShade="7F"/>
    </w:rPr>
  </w:style>
  <w:style w:type="character" w:customStyle="1" w:styleId="normaltextrun">
    <w:name w:val="normaltextrun"/>
    <w:basedOn w:val="DefaultParagraphFont"/>
    <w:rsid w:val="001D5C0D"/>
  </w:style>
  <w:style w:type="character" w:customStyle="1" w:styleId="eop">
    <w:name w:val="eop"/>
    <w:basedOn w:val="DefaultParagraphFont"/>
    <w:rsid w:val="001D5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4059">
      <w:bodyDiv w:val="1"/>
      <w:marLeft w:val="0"/>
      <w:marRight w:val="0"/>
      <w:marTop w:val="0"/>
      <w:marBottom w:val="0"/>
      <w:divBdr>
        <w:top w:val="none" w:sz="0" w:space="0" w:color="auto"/>
        <w:left w:val="none" w:sz="0" w:space="0" w:color="auto"/>
        <w:bottom w:val="none" w:sz="0" w:space="0" w:color="auto"/>
        <w:right w:val="none" w:sz="0" w:space="0" w:color="auto"/>
      </w:divBdr>
    </w:div>
    <w:div w:id="354501014">
      <w:bodyDiv w:val="1"/>
      <w:marLeft w:val="0"/>
      <w:marRight w:val="0"/>
      <w:marTop w:val="0"/>
      <w:marBottom w:val="0"/>
      <w:divBdr>
        <w:top w:val="none" w:sz="0" w:space="0" w:color="auto"/>
        <w:left w:val="none" w:sz="0" w:space="0" w:color="auto"/>
        <w:bottom w:val="none" w:sz="0" w:space="0" w:color="auto"/>
        <w:right w:val="none" w:sz="0" w:space="0" w:color="auto"/>
      </w:divBdr>
    </w:div>
    <w:div w:id="360130913">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93647147">
      <w:bodyDiv w:val="1"/>
      <w:marLeft w:val="0"/>
      <w:marRight w:val="0"/>
      <w:marTop w:val="0"/>
      <w:marBottom w:val="0"/>
      <w:divBdr>
        <w:top w:val="none" w:sz="0" w:space="0" w:color="auto"/>
        <w:left w:val="none" w:sz="0" w:space="0" w:color="auto"/>
        <w:bottom w:val="none" w:sz="0" w:space="0" w:color="auto"/>
        <w:right w:val="none" w:sz="0" w:space="0" w:color="auto"/>
      </w:divBdr>
    </w:div>
    <w:div w:id="548029885">
      <w:bodyDiv w:val="1"/>
      <w:marLeft w:val="0"/>
      <w:marRight w:val="0"/>
      <w:marTop w:val="0"/>
      <w:marBottom w:val="0"/>
      <w:divBdr>
        <w:top w:val="none" w:sz="0" w:space="0" w:color="auto"/>
        <w:left w:val="none" w:sz="0" w:space="0" w:color="auto"/>
        <w:bottom w:val="none" w:sz="0" w:space="0" w:color="auto"/>
        <w:right w:val="none" w:sz="0" w:space="0" w:color="auto"/>
      </w:divBdr>
    </w:div>
    <w:div w:id="602804301">
      <w:bodyDiv w:val="1"/>
      <w:marLeft w:val="0"/>
      <w:marRight w:val="0"/>
      <w:marTop w:val="0"/>
      <w:marBottom w:val="0"/>
      <w:divBdr>
        <w:top w:val="none" w:sz="0" w:space="0" w:color="auto"/>
        <w:left w:val="none" w:sz="0" w:space="0" w:color="auto"/>
        <w:bottom w:val="none" w:sz="0" w:space="0" w:color="auto"/>
        <w:right w:val="none" w:sz="0" w:space="0" w:color="auto"/>
      </w:divBdr>
      <w:divsChild>
        <w:div w:id="1308123671">
          <w:marLeft w:val="0"/>
          <w:marRight w:val="0"/>
          <w:marTop w:val="0"/>
          <w:marBottom w:val="0"/>
          <w:divBdr>
            <w:top w:val="none" w:sz="0" w:space="0" w:color="auto"/>
            <w:left w:val="none" w:sz="0" w:space="0" w:color="auto"/>
            <w:bottom w:val="none" w:sz="0" w:space="0" w:color="auto"/>
            <w:right w:val="none" w:sz="0" w:space="0" w:color="auto"/>
          </w:divBdr>
          <w:divsChild>
            <w:div w:id="1833447673">
              <w:marLeft w:val="0"/>
              <w:marRight w:val="0"/>
              <w:marTop w:val="0"/>
              <w:marBottom w:val="0"/>
              <w:divBdr>
                <w:top w:val="none" w:sz="0" w:space="0" w:color="auto"/>
                <w:left w:val="none" w:sz="0" w:space="0" w:color="auto"/>
                <w:bottom w:val="none" w:sz="0" w:space="0" w:color="auto"/>
                <w:right w:val="none" w:sz="0" w:space="0" w:color="auto"/>
              </w:divBdr>
              <w:divsChild>
                <w:div w:id="562256458">
                  <w:marLeft w:val="0"/>
                  <w:marRight w:val="0"/>
                  <w:marTop w:val="0"/>
                  <w:marBottom w:val="0"/>
                  <w:divBdr>
                    <w:top w:val="none" w:sz="0" w:space="0" w:color="auto"/>
                    <w:left w:val="none" w:sz="0" w:space="0" w:color="auto"/>
                    <w:bottom w:val="none" w:sz="0" w:space="0" w:color="auto"/>
                    <w:right w:val="none" w:sz="0" w:space="0" w:color="auto"/>
                  </w:divBdr>
                  <w:divsChild>
                    <w:div w:id="768084673">
                      <w:marLeft w:val="0"/>
                      <w:marRight w:val="0"/>
                      <w:marTop w:val="0"/>
                      <w:marBottom w:val="0"/>
                      <w:divBdr>
                        <w:top w:val="none" w:sz="0" w:space="0" w:color="auto"/>
                        <w:left w:val="none" w:sz="0" w:space="0" w:color="auto"/>
                        <w:bottom w:val="none" w:sz="0" w:space="0" w:color="auto"/>
                        <w:right w:val="none" w:sz="0" w:space="0" w:color="auto"/>
                      </w:divBdr>
                      <w:divsChild>
                        <w:div w:id="1350183390">
                          <w:marLeft w:val="0"/>
                          <w:marRight w:val="0"/>
                          <w:marTop w:val="0"/>
                          <w:marBottom w:val="0"/>
                          <w:divBdr>
                            <w:top w:val="none" w:sz="0" w:space="0" w:color="auto"/>
                            <w:left w:val="none" w:sz="0" w:space="0" w:color="auto"/>
                            <w:bottom w:val="none" w:sz="0" w:space="0" w:color="auto"/>
                            <w:right w:val="none" w:sz="0" w:space="0" w:color="auto"/>
                          </w:divBdr>
                          <w:divsChild>
                            <w:div w:id="161843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533202">
      <w:bodyDiv w:val="1"/>
      <w:marLeft w:val="0"/>
      <w:marRight w:val="0"/>
      <w:marTop w:val="0"/>
      <w:marBottom w:val="0"/>
      <w:divBdr>
        <w:top w:val="none" w:sz="0" w:space="0" w:color="auto"/>
        <w:left w:val="none" w:sz="0" w:space="0" w:color="auto"/>
        <w:bottom w:val="none" w:sz="0" w:space="0" w:color="auto"/>
        <w:right w:val="none" w:sz="0" w:space="0" w:color="auto"/>
      </w:divBdr>
    </w:div>
    <w:div w:id="1198547749">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11290736">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12917539">
      <w:bodyDiv w:val="1"/>
      <w:marLeft w:val="0"/>
      <w:marRight w:val="0"/>
      <w:marTop w:val="0"/>
      <w:marBottom w:val="0"/>
      <w:divBdr>
        <w:top w:val="none" w:sz="0" w:space="0" w:color="auto"/>
        <w:left w:val="none" w:sz="0" w:space="0" w:color="auto"/>
        <w:bottom w:val="none" w:sz="0" w:space="0" w:color="auto"/>
        <w:right w:val="none" w:sz="0" w:space="0" w:color="auto"/>
      </w:divBdr>
    </w:div>
    <w:div w:id="1917284220">
      <w:bodyDiv w:val="1"/>
      <w:marLeft w:val="0"/>
      <w:marRight w:val="0"/>
      <w:marTop w:val="0"/>
      <w:marBottom w:val="0"/>
      <w:divBdr>
        <w:top w:val="none" w:sz="0" w:space="0" w:color="auto"/>
        <w:left w:val="none" w:sz="0" w:space="0" w:color="auto"/>
        <w:bottom w:val="none" w:sz="0" w:space="0" w:color="auto"/>
        <w:right w:val="none" w:sz="0" w:space="0" w:color="auto"/>
      </w:divBdr>
    </w:div>
    <w:div w:id="1924560820">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11C62840-BEC4-4C10-A63A-47DFC2CFB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2748</Words>
  <Characters>15062</Characters>
  <Application>Microsoft Office Word</Application>
  <DocSecurity>0</DocSecurity>
  <Lines>278</Lines>
  <Paragraphs>55</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Celine Reynaud</cp:lastModifiedBy>
  <cp:revision>2</cp:revision>
  <cp:lastPrinted>2011-09-16T18:52:00Z</cp:lastPrinted>
  <dcterms:created xsi:type="dcterms:W3CDTF">2023-08-29T14:06:00Z</dcterms:created>
  <dcterms:modified xsi:type="dcterms:W3CDTF">2023-08-29T14:06:00Z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0ea3b2d27ddd0c103b117642961cdf5309a039f1a51b635144307a5793fd6836</vt:lpwstr>
  </property>
</Properties>
</file>