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drawing>
          <wp:anchor distT="0" distB="0" distL="0" distR="0" allowOverlap="1" layoutInCell="1" locked="0" behindDoc="0" simplePos="0" relativeHeight="1072">
            <wp:simplePos x="0" y="0"/>
            <wp:positionH relativeFrom="page">
              <wp:posOffset>0</wp:posOffset>
            </wp:positionH>
            <wp:positionV relativeFrom="page">
              <wp:posOffset>3620389</wp:posOffset>
            </wp:positionV>
            <wp:extent cx="9905999" cy="3237609"/>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9905999" cy="3237609"/>
                    </a:xfrm>
                    <a:prstGeom prst="rect">
                      <a:avLst/>
                    </a:prstGeom>
                  </pic:spPr>
                </pic:pic>
              </a:graphicData>
            </a:graphic>
          </wp:anchor>
        </w:drawing>
      </w:r>
      <w:r>
        <w:rPr/>
        <w:pict>
          <v:shape style="position:absolute;margin-left:738.75pt;margin-top:236.25pt;width:31.2pt;height:31.2pt;mso-position-horizontal-relative:page;mso-position-vertical-relative:page;z-index:1096" coordorigin="14775,4725" coordsize="624,624" path="m15087,4725l15015,4733,14950,4757,14892,4793,14843,4842,14807,4900,14783,4965,14775,5037,14783,5108,14807,5174,14843,5232,14892,5280,14950,5317,15015,5340,15087,5349,15158,5340,15224,5317,15282,5280,15330,5232,15367,5174,15390,5108,15399,5037,15390,4965,15367,4900,15330,4842,15282,4793,15224,4757,15158,4733,15087,4725xe" filled="true" fillcolor="#ffc000" stroked="false">
            <v:path arrowok="t"/>
            <v:fill type="solid"/>
            <w10:wrap type="none"/>
          </v:shape>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spacing w:line="968" w:lineRule="exact" w:before="91"/>
        <w:ind w:left="996" w:right="0" w:firstLine="0"/>
        <w:jc w:val="left"/>
        <w:rPr>
          <w:b/>
          <w:sz w:val="80"/>
        </w:rPr>
      </w:pPr>
      <w:r>
        <w:rPr>
          <w:b/>
          <w:sz w:val="80"/>
        </w:rPr>
        <w:t>SITUATION</w:t>
      </w:r>
    </w:p>
    <w:p>
      <w:pPr>
        <w:spacing w:line="968" w:lineRule="exact" w:before="0"/>
        <w:ind w:left="996" w:right="0" w:firstLine="0"/>
        <w:jc w:val="left"/>
        <w:rPr>
          <w:b/>
          <w:sz w:val="80"/>
        </w:rPr>
      </w:pPr>
      <w:r>
        <w:rPr>
          <w:b/>
          <w:sz w:val="80"/>
        </w:rPr>
        <w:t>DES FEMMES EN CÔTE D’IVOIRE</w:t>
      </w:r>
    </w:p>
    <w:p>
      <w:pPr>
        <w:pStyle w:val="BodyText"/>
        <w:rPr>
          <w:b/>
          <w:sz w:val="20"/>
        </w:rPr>
      </w:pPr>
    </w:p>
    <w:p>
      <w:pPr>
        <w:pStyle w:val="BodyText"/>
        <w:spacing w:before="5"/>
        <w:rPr>
          <w:b/>
          <w:sz w:val="22"/>
        </w:rPr>
      </w:pPr>
      <w:r>
        <w:rPr/>
        <w:pict>
          <v:line style="position:absolute;mso-position-horizontal-relative:page;mso-position-vertical-relative:paragraph;z-index:-1024;mso-wrap-distance-left:0;mso-wrap-distance-right:0" from="49.842999pt,16.12875pt" to="730.159999pt,16.12875pt" stroked="true" strokeweight="1pt" strokecolor="#747678">
            <v:stroke dashstyle="solid"/>
            <w10:wrap type="topAndBottom"/>
          </v:line>
        </w:pict>
      </w:r>
    </w:p>
    <w:p>
      <w:pPr>
        <w:spacing w:before="87"/>
        <w:ind w:left="996" w:right="0" w:firstLine="0"/>
        <w:jc w:val="left"/>
        <w:rPr>
          <w:sz w:val="32"/>
        </w:rPr>
      </w:pPr>
      <w:r>
        <w:rPr>
          <w:sz w:val="32"/>
        </w:rPr>
        <w:t>Convention sur l’Elimination de toutes les formes de Discrimination à l’égard des Femmes | Juillet 2019</w:t>
      </w:r>
    </w:p>
    <w:p>
      <w:pPr>
        <w:pStyle w:val="BodyText"/>
        <w:spacing w:before="4"/>
        <w:rPr>
          <w:sz w:val="9"/>
        </w:rPr>
      </w:pPr>
      <w:r>
        <w:rPr/>
        <w:pict>
          <v:line style="position:absolute;mso-position-horizontal-relative:page;mso-position-vertical-relative:paragraph;z-index:-1000;mso-wrap-distance-left:0;mso-wrap-distance-right:0" from="49.842999pt,8.188750pt" to="730.159999pt,8.188750pt" stroked="true" strokeweight="1pt" strokecolor="#747678">
            <v:stroke dashstyle="solid"/>
            <w10:wrap type="topAndBottom"/>
          </v:line>
        </w:pict>
      </w:r>
    </w:p>
    <w:p>
      <w:pPr>
        <w:spacing w:before="70"/>
        <w:ind w:left="7185" w:right="0" w:firstLine="0"/>
        <w:jc w:val="left"/>
        <w:rPr>
          <w:b/>
          <w:sz w:val="32"/>
        </w:rPr>
      </w:pPr>
      <w:r>
        <w:rPr>
          <w:color w:val="404040"/>
          <w:sz w:val="32"/>
        </w:rPr>
        <w:t>Présentée par: </w:t>
      </w:r>
      <w:r>
        <w:rPr>
          <w:b/>
          <w:sz w:val="32"/>
        </w:rPr>
        <w:t>Soroptimist International • Côte d’Ivoire</w:t>
      </w:r>
    </w:p>
    <w:p>
      <w:pPr>
        <w:spacing w:after="0"/>
        <w:jc w:val="left"/>
        <w:rPr>
          <w:sz w:val="32"/>
        </w:rPr>
        <w:sectPr>
          <w:headerReference w:type="default" r:id="rId5"/>
          <w:type w:val="continuous"/>
          <w:pgSz w:w="15600" w:h="10800" w:orient="landscape"/>
          <w:pgMar w:header="0" w:top="520" w:bottom="0" w:left="0" w:right="0"/>
        </w:sectPr>
      </w:pPr>
    </w:p>
    <w:p>
      <w:pPr>
        <w:pStyle w:val="BodyText"/>
        <w:spacing w:before="1"/>
        <w:rPr>
          <w:b/>
          <w:sz w:val="23"/>
        </w:rPr>
      </w:pPr>
    </w:p>
    <w:p>
      <w:pPr>
        <w:spacing w:line="670" w:lineRule="exact" w:before="0"/>
        <w:ind w:left="996" w:right="0" w:firstLine="0"/>
        <w:jc w:val="left"/>
        <w:rPr>
          <w:b/>
          <w:sz w:val="56"/>
        </w:rPr>
      </w:pPr>
      <w:r>
        <w:rPr/>
        <w:pict>
          <v:group style="position:absolute;margin-left:.000244pt;margin-top:5.465275pt;width:780pt;height:223.8pt;mso-position-horizontal-relative:page;mso-position-vertical-relative:paragraph;z-index:-11536" coordorigin="0,109" coordsize="15600,4476">
            <v:shape style="position:absolute;left:833;top:109;width:14211;height:1187" type="#_x0000_t75" stroked="false">
              <v:imagedata r:id="rId8" o:title=""/>
            </v:shape>
            <v:rect style="position:absolute;left:0;top:1036;width:15581;height:259" filled="true" fillcolor="#ffffff" stroked="false">
              <v:fill type="solid"/>
            </v:rect>
            <v:shape style="position:absolute;left:9160;top:1351;width:6440;height:3233" type="#_x0000_t75" stroked="false">
              <v:imagedata r:id="rId9" o:title=""/>
            </v:shape>
            <v:shape style="position:absolute;left:11769;top:2996;width:114;height:114" type="#_x0000_t75" stroked="false">
              <v:imagedata r:id="rId10" o:title=""/>
            </v:shape>
            <w10:wrap type="none"/>
          </v:group>
        </w:pict>
      </w:r>
      <w:r>
        <w:rPr>
          <w:b/>
          <w:color w:val="001846"/>
          <w:sz w:val="56"/>
        </w:rPr>
        <w:t>LA CÔTE D’IVOIRE EN BREF….</w:t>
      </w:r>
    </w:p>
    <w:p>
      <w:pPr>
        <w:pStyle w:val="BodyText"/>
        <w:rPr>
          <w:b/>
          <w:sz w:val="20"/>
        </w:rPr>
      </w:pPr>
    </w:p>
    <w:p>
      <w:pPr>
        <w:pStyle w:val="BodyText"/>
        <w:rPr>
          <w:b/>
          <w:sz w:val="20"/>
        </w:rPr>
      </w:pPr>
    </w:p>
    <w:p>
      <w:pPr>
        <w:pStyle w:val="BodyText"/>
        <w:spacing w:before="11"/>
        <w:rPr>
          <w:b/>
          <w:sz w:val="27"/>
        </w:rPr>
      </w:pPr>
    </w:p>
    <w:p>
      <w:pPr>
        <w:pStyle w:val="BodyText"/>
        <w:spacing w:line="436" w:lineRule="exact" w:before="28"/>
        <w:ind w:left="996"/>
      </w:pPr>
      <w:r>
        <w:rPr>
          <w:spacing w:val="-3"/>
        </w:rPr>
        <w:t>La </w:t>
      </w:r>
      <w:r>
        <w:rPr>
          <w:spacing w:val="-5"/>
        </w:rPr>
        <w:t>Côte </w:t>
      </w:r>
      <w:r>
        <w:rPr>
          <w:spacing w:val="-6"/>
        </w:rPr>
        <w:t>d’Ivoire </w:t>
      </w:r>
      <w:r>
        <w:rPr>
          <w:spacing w:val="-5"/>
        </w:rPr>
        <w:t>est </w:t>
      </w:r>
      <w:r>
        <w:rPr/>
        <w:t>un </w:t>
      </w:r>
      <w:r>
        <w:rPr>
          <w:spacing w:val="-6"/>
        </w:rPr>
        <w:t>pays </w:t>
      </w:r>
      <w:r>
        <w:rPr>
          <w:spacing w:val="-5"/>
        </w:rPr>
        <w:t>francophone </w:t>
      </w:r>
      <w:r>
        <w:rPr>
          <w:spacing w:val="-10"/>
        </w:rPr>
        <w:t>d’Afrique</w:t>
      </w:r>
    </w:p>
    <w:p>
      <w:pPr>
        <w:pStyle w:val="BodyText"/>
        <w:spacing w:line="436" w:lineRule="exact"/>
        <w:ind w:left="996"/>
      </w:pPr>
      <w:r>
        <w:rPr/>
        <w:t>de l’Ouest, dont la capitale économique est Abidjan.</w:t>
      </w:r>
    </w:p>
    <w:p>
      <w:pPr>
        <w:pStyle w:val="BodyText"/>
        <w:spacing w:line="235" w:lineRule="auto" w:before="120"/>
        <w:ind w:left="996" w:right="7119"/>
        <w:jc w:val="both"/>
      </w:pPr>
      <w:r>
        <w:rPr/>
        <w:t>D’une superficie de 322.462 km</w:t>
      </w:r>
      <w:r>
        <w:rPr>
          <w:position w:val="11"/>
          <w:sz w:val="24"/>
        </w:rPr>
        <w:t>2</w:t>
      </w:r>
      <w:r>
        <w:rPr/>
        <w:t>, avec près de 27 millions d’habitants, elle compte une population relativement jeune, dont 45% a moins de 15 ans.</w:t>
      </w:r>
    </w:p>
    <w:p>
      <w:pPr>
        <w:pStyle w:val="BodyText"/>
        <w:spacing w:line="235" w:lineRule="auto" w:before="124"/>
        <w:ind w:left="996" w:right="7116"/>
        <w:jc w:val="both"/>
      </w:pPr>
      <w:r>
        <w:rPr/>
        <w:pict>
          <v:group style="position:absolute;margin-left:458.040009pt;margin-top:53.432896pt;width:322pt;height:149.7pt;mso-position-horizontal-relative:page;mso-position-vertical-relative:paragraph;z-index:1144" coordorigin="9161,1069" coordsize="6440,2994">
            <v:shape style="position:absolute;left:9160;top:1068;width:3390;height:2994" type="#_x0000_t75" stroked="false">
              <v:imagedata r:id="rId11" o:title=""/>
            </v:shape>
            <v:shape style="position:absolute;left:12606;top:1068;width:2994;height:2994" type="#_x0000_t75" stroked="false">
              <v:imagedata r:id="rId12" o:title=""/>
            </v:shape>
            <w10:wrap type="none"/>
          </v:group>
        </w:pict>
      </w:r>
      <w:r>
        <w:rPr/>
        <w:t>Considérée comme la première économie de la </w:t>
      </w:r>
      <w:r>
        <w:rPr>
          <w:spacing w:val="-3"/>
        </w:rPr>
        <w:t>zone </w:t>
      </w:r>
      <w:r>
        <w:rPr/>
        <w:t>UEMOA – Union Economique et Monétaire Ouest Africain, la Côte d’Ivoire est le premier producteur mondial de cacao et </w:t>
      </w:r>
      <w:r>
        <w:rPr>
          <w:spacing w:val="-4"/>
        </w:rPr>
        <w:t>d’anacarde, </w:t>
      </w:r>
      <w:r>
        <w:rPr/>
        <w:t>et le troisième producteur mondial de </w:t>
      </w:r>
      <w:r>
        <w:rPr>
          <w:spacing w:val="-3"/>
        </w:rPr>
        <w:t>café, </w:t>
      </w:r>
      <w:r>
        <w:rPr/>
        <w:t>avec un taux de croissance de 8% en</w:t>
      </w:r>
      <w:r>
        <w:rPr>
          <w:spacing w:val="4"/>
        </w:rPr>
        <w:t> </w:t>
      </w:r>
      <w:r>
        <w:rPr/>
        <w:t>2017.</w:t>
      </w:r>
    </w:p>
    <w:p>
      <w:pPr>
        <w:pStyle w:val="BodyText"/>
        <w:spacing w:line="235" w:lineRule="auto" w:before="129"/>
        <w:ind w:left="996" w:right="7109"/>
        <w:jc w:val="both"/>
      </w:pPr>
      <w:r>
        <w:rPr>
          <w:spacing w:val="-7"/>
        </w:rPr>
        <w:t>Son </w:t>
      </w:r>
      <w:r>
        <w:rPr>
          <w:spacing w:val="-10"/>
        </w:rPr>
        <w:t>économie repose essentiellement </w:t>
      </w:r>
      <w:r>
        <w:rPr>
          <w:spacing w:val="-7"/>
        </w:rPr>
        <w:t>sur</w:t>
      </w:r>
      <w:r>
        <w:rPr>
          <w:spacing w:val="-33"/>
        </w:rPr>
        <w:t> </w:t>
      </w:r>
      <w:r>
        <w:rPr>
          <w:spacing w:val="-12"/>
        </w:rPr>
        <w:t>l’agriculture, </w:t>
      </w:r>
      <w:r>
        <w:rPr>
          <w:spacing w:val="-4"/>
        </w:rPr>
        <w:t>qui </w:t>
      </w:r>
      <w:r>
        <w:rPr>
          <w:spacing w:val="-5"/>
        </w:rPr>
        <w:t>occupe 65,8% </w:t>
      </w:r>
      <w:r>
        <w:rPr>
          <w:spacing w:val="-3"/>
        </w:rPr>
        <w:t>de </w:t>
      </w:r>
      <w:r>
        <w:rPr>
          <w:spacing w:val="-5"/>
        </w:rPr>
        <w:t>la </w:t>
      </w:r>
      <w:r>
        <w:rPr>
          <w:spacing w:val="-7"/>
        </w:rPr>
        <w:t>population </w:t>
      </w:r>
      <w:r>
        <w:rPr>
          <w:spacing w:val="-6"/>
        </w:rPr>
        <w:t>active, </w:t>
      </w:r>
      <w:r>
        <w:rPr>
          <w:spacing w:val="-5"/>
        </w:rPr>
        <w:t>dont 67% </w:t>
      </w:r>
      <w:r>
        <w:rPr/>
        <w:t>de femmes.</w:t>
      </w:r>
    </w:p>
    <w:p>
      <w:pPr>
        <w:spacing w:after="0" w:line="235" w:lineRule="auto"/>
        <w:jc w:val="both"/>
        <w:sectPr>
          <w:headerReference w:type="default" r:id="rId7"/>
          <w:pgSz w:w="15600" w:h="10800" w:orient="landscape"/>
          <w:pgMar w:header="0" w:footer="0" w:top="1660" w:bottom="280" w:left="0" w:right="0"/>
        </w:sectPr>
      </w:pPr>
    </w:p>
    <w:p>
      <w:pPr>
        <w:pStyle w:val="BodyText"/>
        <w:rPr>
          <w:sz w:val="20"/>
        </w:rPr>
      </w:pPr>
    </w:p>
    <w:p>
      <w:pPr>
        <w:pStyle w:val="BodyText"/>
        <w:spacing w:before="2"/>
        <w:rPr>
          <w:sz w:val="11"/>
        </w:rPr>
      </w:pPr>
    </w:p>
    <w:p>
      <w:pPr>
        <w:pStyle w:val="BodyText"/>
        <w:ind w:right="-44"/>
        <w:rPr>
          <w:sz w:val="20"/>
        </w:rPr>
      </w:pPr>
      <w:r>
        <w:rPr>
          <w:sz w:val="20"/>
        </w:rPr>
        <w:pict>
          <v:group style="width:779.05pt;height:59.8pt;mso-position-horizontal-relative:char;mso-position-vertical-relative:line" coordorigin="0,0" coordsize="15581,1196">
            <v:shape style="position:absolute;left:833;top:9;width:14211;height:1187" type="#_x0000_t75" stroked="false">
              <v:imagedata r:id="rId8" o:title=""/>
            </v:shape>
            <v:rect style="position:absolute;left:0;top:936;width:15581;height:259" filled="true" fillcolor="#ffffff" stroked="false">
              <v:fill type="solid"/>
            </v:rect>
            <v:shape style="position:absolute;left:0;top:0;width:15581;height:1196" type="#_x0000_t202" filled="false" stroked="false">
              <v:textbox inset="0,0,0,0">
                <w:txbxContent>
                  <w:p>
                    <w:pPr>
                      <w:spacing w:line="570" w:lineRule="exact" w:before="0"/>
                      <w:ind w:left="996" w:right="0" w:firstLine="0"/>
                      <w:jc w:val="left"/>
                      <w:rPr>
                        <w:b/>
                        <w:sz w:val="56"/>
                      </w:rPr>
                    </w:pPr>
                    <w:r>
                      <w:rPr>
                        <w:b/>
                        <w:color w:val="001846"/>
                        <w:sz w:val="56"/>
                      </w:rPr>
                      <w:t>SITUATION DES FEMMES EN COTE D’IVOIRE</w:t>
                    </w:r>
                  </w:p>
                </w:txbxContent>
              </v:textbox>
              <w10:wrap type="none"/>
            </v:shape>
          </v:group>
        </w:pict>
      </w:r>
      <w:r>
        <w:rPr>
          <w:sz w:val="20"/>
        </w:rPr>
      </w:r>
    </w:p>
    <w:p>
      <w:pPr>
        <w:pStyle w:val="BodyText"/>
        <w:spacing w:line="235" w:lineRule="auto" w:before="71"/>
        <w:ind w:left="996" w:right="876"/>
        <w:jc w:val="both"/>
      </w:pPr>
      <w:r>
        <w:rPr/>
        <w:t>En dépit de ses performances sur le plan économique et social, avec les nombreuses  </w:t>
      </w:r>
      <w:r>
        <w:rPr>
          <w:spacing w:val="-3"/>
        </w:rPr>
        <w:t>réformes </w:t>
      </w:r>
      <w:r>
        <w:rPr/>
        <w:t>engagées ces dix dernières années, notamment sur </w:t>
      </w:r>
      <w:r>
        <w:rPr>
          <w:spacing w:val="-5"/>
        </w:rPr>
        <w:t>l’égalité </w:t>
      </w:r>
      <w:r>
        <w:rPr/>
        <w:t>entre les hommes et les femmes, la Côte d’Ivoire se distingue toujours comme un des </w:t>
      </w:r>
      <w:r>
        <w:rPr>
          <w:spacing w:val="-3"/>
        </w:rPr>
        <w:t>pays </w:t>
      </w:r>
      <w:r>
        <w:rPr/>
        <w:t>au monde où les disparités entre hommes et femmes sont les plus </w:t>
      </w:r>
      <w:r>
        <w:rPr>
          <w:spacing w:val="-3"/>
        </w:rPr>
        <w:t>fortes, </w:t>
      </w:r>
      <w:r>
        <w:rPr/>
        <w:t>avec un classement de 171</w:t>
      </w:r>
      <w:r>
        <w:rPr>
          <w:position w:val="11"/>
          <w:sz w:val="24"/>
        </w:rPr>
        <w:t>ème </w:t>
      </w:r>
      <w:r>
        <w:rPr/>
        <w:t>rang sur 188 </w:t>
      </w:r>
      <w:r>
        <w:rPr>
          <w:spacing w:val="-3"/>
        </w:rPr>
        <w:t>pays </w:t>
      </w:r>
      <w:r>
        <w:rPr/>
        <w:t>au niveau mondial, et 43</w:t>
      </w:r>
      <w:r>
        <w:rPr>
          <w:position w:val="11"/>
          <w:sz w:val="24"/>
        </w:rPr>
        <w:t>ème </w:t>
      </w:r>
      <w:r>
        <w:rPr/>
        <w:t>sur 52 </w:t>
      </w:r>
      <w:r>
        <w:rPr>
          <w:spacing w:val="-3"/>
        </w:rPr>
        <w:t>pays </w:t>
      </w:r>
      <w:r>
        <w:rPr/>
        <w:t>en</w:t>
      </w:r>
      <w:r>
        <w:rPr>
          <w:spacing w:val="-18"/>
        </w:rPr>
        <w:t> </w:t>
      </w:r>
      <w:r>
        <w:rPr/>
        <w:t>Afrique.</w:t>
      </w:r>
    </w:p>
    <w:p>
      <w:pPr>
        <w:pStyle w:val="BodyText"/>
        <w:spacing w:line="235" w:lineRule="auto" w:before="208"/>
        <w:ind w:left="996" w:right="877"/>
        <w:jc w:val="both"/>
      </w:pPr>
      <w:r>
        <w:rPr/>
        <w:t>Bien que les femmes représentent 49% de la population, elle sont peu représentées dans la vie publique et dans les instances de décisions. En 2017, les femmes ivoiriennes constituent environ 20% des Ministres (6 sur 28), 11 % des Députés, 5 % des Maires, 3% des Présidents de conseils régionaux, 3% des </w:t>
      </w:r>
      <w:r>
        <w:rPr>
          <w:spacing w:val="-4"/>
        </w:rPr>
        <w:t>Préfets </w:t>
      </w:r>
      <w:r>
        <w:rPr/>
        <w:t>de régions, 9% de </w:t>
      </w:r>
      <w:r>
        <w:rPr>
          <w:spacing w:val="-3"/>
        </w:rPr>
        <w:t>Préfets </w:t>
      </w:r>
      <w:r>
        <w:rPr/>
        <w:t>de département et 17% de Sous-préfets.</w:t>
      </w:r>
    </w:p>
    <w:p>
      <w:pPr>
        <w:pStyle w:val="BodyText"/>
        <w:spacing w:line="235" w:lineRule="auto" w:before="128"/>
        <w:ind w:left="996" w:right="877"/>
        <w:jc w:val="both"/>
      </w:pPr>
      <w:r>
        <w:rPr/>
        <w:t>Les écarts de genres </w:t>
      </w:r>
      <w:r>
        <w:rPr>
          <w:spacing w:val="-3"/>
        </w:rPr>
        <w:t>restent </w:t>
      </w:r>
      <w:r>
        <w:rPr/>
        <w:t>tout aussi flagrants sur le marché de </w:t>
      </w:r>
      <w:r>
        <w:rPr>
          <w:spacing w:val="-4"/>
        </w:rPr>
        <w:t>l’emploi, </w:t>
      </w:r>
      <w:r>
        <w:rPr/>
        <w:t>dans le </w:t>
      </w:r>
      <w:r>
        <w:rPr>
          <w:spacing w:val="-3"/>
        </w:rPr>
        <w:t>système </w:t>
      </w:r>
      <w:r>
        <w:rPr/>
        <w:t>éducatif et dans </w:t>
      </w:r>
      <w:r>
        <w:rPr>
          <w:spacing w:val="-5"/>
        </w:rPr>
        <w:t>l’accès </w:t>
      </w:r>
      <w:r>
        <w:rPr/>
        <w:t>aux soins de santé. Ces discriminations se complètent et </w:t>
      </w:r>
      <w:r>
        <w:rPr>
          <w:spacing w:val="-3"/>
        </w:rPr>
        <w:t>renforcent </w:t>
      </w:r>
      <w:r>
        <w:rPr/>
        <w:t>les</w:t>
      </w:r>
      <w:r>
        <w:rPr>
          <w:spacing w:val="-2"/>
        </w:rPr>
        <w:t> </w:t>
      </w:r>
      <w:r>
        <w:rPr/>
        <w:t>inégalités.</w:t>
      </w:r>
    </w:p>
    <w:p>
      <w:pPr>
        <w:spacing w:after="0" w:line="235" w:lineRule="auto"/>
        <w:jc w:val="both"/>
        <w:sectPr>
          <w:pgSz w:w="15600" w:h="10800" w:orient="landscape"/>
          <w:pgMar w:header="0" w:footer="0" w:top="1660" w:bottom="280" w:left="0" w:right="0"/>
        </w:sectPr>
      </w:pPr>
    </w:p>
    <w:p>
      <w:pPr>
        <w:pStyle w:val="BodyText"/>
        <w:rPr>
          <w:sz w:val="20"/>
        </w:rPr>
      </w:pPr>
      <w:r>
        <w:rPr/>
        <w:pict>
          <v:group style="position:absolute;margin-left:.000244pt;margin-top:102.489998pt;width:779.05pt;height:59.8pt;mso-position-horizontal-relative:page;mso-position-vertical-relative:page;z-index:1240" coordorigin="0,2050" coordsize="15581,1196">
            <v:shape style="position:absolute;left:833;top:2058;width:14211;height:1187" type="#_x0000_t75" stroked="false">
              <v:imagedata r:id="rId8" o:title=""/>
            </v:shape>
            <v:rect style="position:absolute;left:0;top:2986;width:15581;height:259" filled="true" fillcolor="#ffffff" stroked="false">
              <v:fill type="solid"/>
            </v:rect>
            <v:shape style="position:absolute;left:0;top:2049;width:15581;height:1196" type="#_x0000_t202" filled="false" stroked="false">
              <v:textbox inset="0,0,0,0">
                <w:txbxContent>
                  <w:p>
                    <w:pPr>
                      <w:spacing w:line="570" w:lineRule="exact" w:before="0"/>
                      <w:ind w:left="996" w:right="0" w:firstLine="0"/>
                      <w:jc w:val="left"/>
                      <w:rPr>
                        <w:b/>
                        <w:sz w:val="56"/>
                      </w:rPr>
                    </w:pPr>
                    <w:r>
                      <w:rPr>
                        <w:b/>
                        <w:color w:val="001846"/>
                        <w:sz w:val="56"/>
                      </w:rPr>
                      <w:t>ECARTS DES GENRES EN COTE D’IVOIRE</w:t>
                    </w:r>
                  </w:p>
                </w:txbxContent>
              </v:textbox>
              <w10:wrap type="non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rPr>
          <w:sz w:val="26"/>
        </w:rPr>
      </w:pPr>
    </w:p>
    <w:tbl>
      <w:tblPr>
        <w:tblW w:w="0" w:type="auto"/>
        <w:jc w:val="left"/>
        <w:tblInd w:w="1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37"/>
        <w:gridCol w:w="1814"/>
        <w:gridCol w:w="226"/>
        <w:gridCol w:w="1813"/>
        <w:gridCol w:w="1813"/>
      </w:tblGrid>
      <w:tr>
        <w:trPr>
          <w:trHeight w:val="680" w:hRule="atLeast"/>
        </w:trPr>
        <w:tc>
          <w:tcPr>
            <w:tcW w:w="7937" w:type="dxa"/>
            <w:tcBorders>
              <w:top w:val="nil"/>
              <w:left w:val="nil"/>
            </w:tcBorders>
          </w:tcPr>
          <w:p>
            <w:pPr>
              <w:pStyle w:val="TableParagraph"/>
              <w:spacing w:before="0"/>
              <w:ind w:left="0"/>
              <w:jc w:val="left"/>
              <w:rPr>
                <w:rFonts w:ascii="Times New Roman"/>
                <w:sz w:val="30"/>
              </w:rPr>
            </w:pPr>
          </w:p>
        </w:tc>
        <w:tc>
          <w:tcPr>
            <w:tcW w:w="1814" w:type="dxa"/>
            <w:shd w:val="clear" w:color="auto" w:fill="F5DB7D"/>
          </w:tcPr>
          <w:p>
            <w:pPr>
              <w:pStyle w:val="TableParagraph"/>
              <w:spacing w:before="167"/>
              <w:ind w:left="143" w:right="120"/>
              <w:rPr>
                <w:b/>
                <w:sz w:val="28"/>
              </w:rPr>
            </w:pPr>
            <w:r>
              <w:rPr>
                <w:b/>
                <w:sz w:val="28"/>
              </w:rPr>
              <w:t>Côte d’Ivoire</w:t>
            </w:r>
          </w:p>
        </w:tc>
        <w:tc>
          <w:tcPr>
            <w:tcW w:w="226" w:type="dxa"/>
            <w:vMerge w:val="restart"/>
            <w:tcBorders>
              <w:top w:val="nil"/>
              <w:bottom w:val="nil"/>
            </w:tcBorders>
          </w:tcPr>
          <w:p>
            <w:pPr>
              <w:pStyle w:val="TableParagraph"/>
              <w:spacing w:before="0"/>
              <w:ind w:left="0"/>
              <w:jc w:val="left"/>
              <w:rPr>
                <w:rFonts w:ascii="Times New Roman"/>
                <w:sz w:val="30"/>
              </w:rPr>
            </w:pPr>
          </w:p>
        </w:tc>
        <w:tc>
          <w:tcPr>
            <w:tcW w:w="1813" w:type="dxa"/>
            <w:shd w:val="clear" w:color="auto" w:fill="F9ECBE"/>
          </w:tcPr>
          <w:p>
            <w:pPr>
              <w:pStyle w:val="TableParagraph"/>
              <w:spacing w:line="235" w:lineRule="auto" w:before="53"/>
              <w:ind w:left="178" w:right="136" w:firstLine="355"/>
              <w:jc w:val="left"/>
              <w:rPr>
                <w:b/>
                <w:sz w:val="24"/>
              </w:rPr>
            </w:pPr>
            <w:r>
              <w:rPr>
                <w:b/>
                <w:sz w:val="24"/>
              </w:rPr>
              <w:t>Afrique subsaharienne</w:t>
            </w:r>
          </w:p>
        </w:tc>
        <w:tc>
          <w:tcPr>
            <w:tcW w:w="1813" w:type="dxa"/>
            <w:shd w:val="clear" w:color="auto" w:fill="F9ECBE"/>
          </w:tcPr>
          <w:p>
            <w:pPr>
              <w:pStyle w:val="TableParagraph"/>
              <w:spacing w:line="235" w:lineRule="auto" w:before="53"/>
              <w:ind w:left="230" w:right="136"/>
              <w:jc w:val="left"/>
              <w:rPr>
                <w:b/>
                <w:sz w:val="24"/>
              </w:rPr>
            </w:pPr>
            <w:r>
              <w:rPr>
                <w:b/>
                <w:sz w:val="24"/>
              </w:rPr>
              <w:t>Pays à revenu intermédiaire</w:t>
            </w:r>
          </w:p>
        </w:tc>
      </w:tr>
      <w:tr>
        <w:trPr>
          <w:trHeight w:val="546" w:hRule="atLeast"/>
        </w:trPr>
        <w:tc>
          <w:tcPr>
            <w:tcW w:w="9751" w:type="dxa"/>
            <w:gridSpan w:val="2"/>
            <w:shd w:val="clear" w:color="auto" w:fill="B1D3EE"/>
          </w:tcPr>
          <w:p>
            <w:pPr>
              <w:pStyle w:val="TableParagraph"/>
              <w:spacing w:before="51"/>
              <w:ind w:left="170"/>
              <w:jc w:val="left"/>
              <w:rPr>
                <w:b/>
                <w:sz w:val="36"/>
              </w:rPr>
            </w:pPr>
            <w:r>
              <w:rPr>
                <w:b/>
                <w:sz w:val="36"/>
              </w:rPr>
              <w:t>Ecart sur le marché du travail</w:t>
            </w:r>
          </w:p>
        </w:tc>
        <w:tc>
          <w:tcPr>
            <w:tcW w:w="226" w:type="dxa"/>
            <w:vMerge/>
            <w:tcBorders>
              <w:top w:val="nil"/>
              <w:bottom w:val="nil"/>
            </w:tcBorders>
          </w:tcPr>
          <w:p>
            <w:pPr>
              <w:rPr>
                <w:sz w:val="2"/>
                <w:szCs w:val="2"/>
              </w:rPr>
            </w:pPr>
          </w:p>
        </w:tc>
        <w:tc>
          <w:tcPr>
            <w:tcW w:w="3626" w:type="dxa"/>
            <w:gridSpan w:val="2"/>
            <w:shd w:val="clear" w:color="auto" w:fill="B1D3EE"/>
          </w:tcPr>
          <w:p>
            <w:pPr>
              <w:pStyle w:val="TableParagraph"/>
              <w:spacing w:before="0"/>
              <w:ind w:left="0"/>
              <w:jc w:val="left"/>
              <w:rPr>
                <w:rFonts w:ascii="Times New Roman"/>
                <w:sz w:val="30"/>
              </w:rPr>
            </w:pPr>
          </w:p>
        </w:tc>
      </w:tr>
      <w:tr>
        <w:trPr>
          <w:trHeight w:val="490" w:hRule="atLeast"/>
        </w:trPr>
        <w:tc>
          <w:tcPr>
            <w:tcW w:w="7937" w:type="dxa"/>
          </w:tcPr>
          <w:p>
            <w:pPr>
              <w:pStyle w:val="TableParagraph"/>
              <w:spacing w:before="61"/>
              <w:ind w:left="170"/>
              <w:jc w:val="left"/>
              <w:rPr>
                <w:sz w:val="20"/>
              </w:rPr>
            </w:pPr>
            <w:r>
              <w:rPr>
                <w:sz w:val="30"/>
              </w:rPr>
              <w:t>Ecart participation entre hommes et femmes (%) </w:t>
            </w:r>
            <w:r>
              <w:rPr>
                <w:position w:val="9"/>
                <w:sz w:val="20"/>
              </w:rPr>
              <w:t>1</w:t>
            </w:r>
          </w:p>
        </w:tc>
        <w:tc>
          <w:tcPr>
            <w:tcW w:w="1814" w:type="dxa"/>
            <w:shd w:val="clear" w:color="auto" w:fill="F9ECBE"/>
          </w:tcPr>
          <w:p>
            <w:pPr>
              <w:pStyle w:val="TableParagraph"/>
              <w:spacing w:before="61"/>
              <w:ind w:left="140" w:right="120"/>
              <w:rPr>
                <w:b/>
                <w:sz w:val="30"/>
              </w:rPr>
            </w:pPr>
            <w:r>
              <w:rPr>
                <w:b/>
                <w:sz w:val="30"/>
              </w:rPr>
              <w:t>13</w:t>
            </w:r>
          </w:p>
        </w:tc>
        <w:tc>
          <w:tcPr>
            <w:tcW w:w="226" w:type="dxa"/>
            <w:vMerge/>
            <w:tcBorders>
              <w:top w:val="nil"/>
              <w:bottom w:val="nil"/>
            </w:tcBorders>
          </w:tcPr>
          <w:p>
            <w:pPr>
              <w:rPr>
                <w:sz w:val="2"/>
                <w:szCs w:val="2"/>
              </w:rPr>
            </w:pPr>
          </w:p>
        </w:tc>
        <w:tc>
          <w:tcPr>
            <w:tcW w:w="1813" w:type="dxa"/>
          </w:tcPr>
          <w:p>
            <w:pPr>
              <w:pStyle w:val="TableParagraph"/>
              <w:spacing w:before="61"/>
              <w:ind w:left="537" w:right="513"/>
              <w:rPr>
                <w:sz w:val="30"/>
              </w:rPr>
            </w:pPr>
            <w:r>
              <w:rPr>
                <w:sz w:val="30"/>
              </w:rPr>
              <w:t>20</w:t>
            </w:r>
          </w:p>
        </w:tc>
        <w:tc>
          <w:tcPr>
            <w:tcW w:w="1813" w:type="dxa"/>
          </w:tcPr>
          <w:p>
            <w:pPr>
              <w:pStyle w:val="TableParagraph"/>
              <w:spacing w:before="61"/>
              <w:ind w:right="512"/>
              <w:rPr>
                <w:sz w:val="30"/>
              </w:rPr>
            </w:pPr>
            <w:r>
              <w:rPr>
                <w:sz w:val="30"/>
              </w:rPr>
              <w:t>16</w:t>
            </w:r>
          </w:p>
        </w:tc>
      </w:tr>
      <w:tr>
        <w:trPr>
          <w:trHeight w:val="490" w:hRule="atLeast"/>
        </w:trPr>
        <w:tc>
          <w:tcPr>
            <w:tcW w:w="7937" w:type="dxa"/>
          </w:tcPr>
          <w:p>
            <w:pPr>
              <w:pStyle w:val="TableParagraph"/>
              <w:spacing w:before="61"/>
              <w:ind w:left="170"/>
              <w:jc w:val="left"/>
              <w:rPr>
                <w:sz w:val="20"/>
              </w:rPr>
            </w:pPr>
            <w:r>
              <w:rPr>
                <w:sz w:val="30"/>
              </w:rPr>
              <w:t>Différentiel salarial (%) </w:t>
            </w:r>
            <w:r>
              <w:rPr>
                <w:position w:val="9"/>
                <w:sz w:val="20"/>
              </w:rPr>
              <w:t>1</w:t>
            </w:r>
          </w:p>
        </w:tc>
        <w:tc>
          <w:tcPr>
            <w:tcW w:w="1814" w:type="dxa"/>
            <w:shd w:val="clear" w:color="auto" w:fill="F9ECBE"/>
          </w:tcPr>
          <w:p>
            <w:pPr>
              <w:pStyle w:val="TableParagraph"/>
              <w:spacing w:before="61"/>
              <w:ind w:left="140" w:right="120"/>
              <w:rPr>
                <w:b/>
                <w:sz w:val="30"/>
              </w:rPr>
            </w:pPr>
            <w:r>
              <w:rPr>
                <w:b/>
                <w:sz w:val="30"/>
              </w:rPr>
              <w:t>50</w:t>
            </w:r>
          </w:p>
        </w:tc>
        <w:tc>
          <w:tcPr>
            <w:tcW w:w="226" w:type="dxa"/>
            <w:vMerge/>
            <w:tcBorders>
              <w:top w:val="nil"/>
              <w:bottom w:val="nil"/>
            </w:tcBorders>
          </w:tcPr>
          <w:p>
            <w:pPr>
              <w:rPr>
                <w:sz w:val="2"/>
                <w:szCs w:val="2"/>
              </w:rPr>
            </w:pPr>
          </w:p>
        </w:tc>
        <w:tc>
          <w:tcPr>
            <w:tcW w:w="1813" w:type="dxa"/>
          </w:tcPr>
          <w:p>
            <w:pPr>
              <w:pStyle w:val="TableParagraph"/>
              <w:spacing w:before="61"/>
              <w:ind w:left="537" w:right="513"/>
              <w:rPr>
                <w:sz w:val="30"/>
              </w:rPr>
            </w:pPr>
            <w:r>
              <w:rPr>
                <w:sz w:val="30"/>
              </w:rPr>
              <w:t>20-30</w:t>
            </w:r>
          </w:p>
        </w:tc>
        <w:tc>
          <w:tcPr>
            <w:tcW w:w="1813" w:type="dxa"/>
          </w:tcPr>
          <w:p>
            <w:pPr>
              <w:pStyle w:val="TableParagraph"/>
              <w:spacing w:before="61"/>
              <w:ind w:right="512"/>
              <w:rPr>
                <w:sz w:val="30"/>
              </w:rPr>
            </w:pPr>
            <w:r>
              <w:rPr>
                <w:sz w:val="30"/>
              </w:rPr>
              <w:t>25-30</w:t>
            </w:r>
          </w:p>
        </w:tc>
      </w:tr>
      <w:tr>
        <w:trPr>
          <w:trHeight w:val="546" w:hRule="atLeast"/>
        </w:trPr>
        <w:tc>
          <w:tcPr>
            <w:tcW w:w="9751" w:type="dxa"/>
            <w:gridSpan w:val="2"/>
            <w:shd w:val="clear" w:color="auto" w:fill="E4F0F9"/>
          </w:tcPr>
          <w:p>
            <w:pPr>
              <w:pStyle w:val="TableParagraph"/>
              <w:spacing w:before="52"/>
              <w:ind w:left="170"/>
              <w:jc w:val="left"/>
              <w:rPr>
                <w:b/>
                <w:sz w:val="36"/>
              </w:rPr>
            </w:pPr>
            <w:r>
              <w:rPr>
                <w:b/>
                <w:sz w:val="36"/>
              </w:rPr>
              <w:t>Ecart dans l’éducation</w:t>
            </w:r>
          </w:p>
        </w:tc>
        <w:tc>
          <w:tcPr>
            <w:tcW w:w="226" w:type="dxa"/>
            <w:vMerge/>
            <w:tcBorders>
              <w:top w:val="nil"/>
              <w:bottom w:val="nil"/>
            </w:tcBorders>
          </w:tcPr>
          <w:p>
            <w:pPr>
              <w:rPr>
                <w:sz w:val="2"/>
                <w:szCs w:val="2"/>
              </w:rPr>
            </w:pPr>
          </w:p>
        </w:tc>
        <w:tc>
          <w:tcPr>
            <w:tcW w:w="3626" w:type="dxa"/>
            <w:gridSpan w:val="2"/>
            <w:shd w:val="clear" w:color="auto" w:fill="E4F0F9"/>
          </w:tcPr>
          <w:p>
            <w:pPr>
              <w:pStyle w:val="TableParagraph"/>
              <w:spacing w:before="0"/>
              <w:ind w:left="0"/>
              <w:jc w:val="left"/>
              <w:rPr>
                <w:rFonts w:ascii="Times New Roman"/>
                <w:sz w:val="30"/>
              </w:rPr>
            </w:pPr>
          </w:p>
        </w:tc>
      </w:tr>
      <w:tr>
        <w:trPr>
          <w:trHeight w:val="490" w:hRule="atLeast"/>
        </w:trPr>
        <w:tc>
          <w:tcPr>
            <w:tcW w:w="7937" w:type="dxa"/>
          </w:tcPr>
          <w:p>
            <w:pPr>
              <w:pStyle w:val="TableParagraph"/>
              <w:ind w:left="170"/>
              <w:jc w:val="left"/>
              <w:rPr>
                <w:sz w:val="20"/>
              </w:rPr>
            </w:pPr>
            <w:r>
              <w:rPr>
                <w:sz w:val="30"/>
              </w:rPr>
              <w:t>Parité à l’inscription primaire (1 = parité)</w:t>
            </w:r>
            <w:r>
              <w:rPr>
                <w:position w:val="9"/>
                <w:sz w:val="20"/>
              </w:rPr>
              <w:t>2</w:t>
            </w:r>
          </w:p>
        </w:tc>
        <w:tc>
          <w:tcPr>
            <w:tcW w:w="1814" w:type="dxa"/>
            <w:shd w:val="clear" w:color="auto" w:fill="F9ECBE"/>
          </w:tcPr>
          <w:p>
            <w:pPr>
              <w:pStyle w:val="TableParagraph"/>
              <w:ind w:left="140" w:right="120"/>
              <w:rPr>
                <w:b/>
                <w:sz w:val="30"/>
              </w:rPr>
            </w:pPr>
            <w:r>
              <w:rPr>
                <w:b/>
                <w:sz w:val="30"/>
              </w:rPr>
              <w:t>0.87</w:t>
            </w:r>
          </w:p>
        </w:tc>
        <w:tc>
          <w:tcPr>
            <w:tcW w:w="226" w:type="dxa"/>
            <w:vMerge/>
            <w:tcBorders>
              <w:top w:val="nil"/>
              <w:bottom w:val="nil"/>
            </w:tcBorders>
          </w:tcPr>
          <w:p>
            <w:pPr>
              <w:rPr>
                <w:sz w:val="2"/>
                <w:szCs w:val="2"/>
              </w:rPr>
            </w:pPr>
          </w:p>
        </w:tc>
        <w:tc>
          <w:tcPr>
            <w:tcW w:w="1813" w:type="dxa"/>
          </w:tcPr>
          <w:p>
            <w:pPr>
              <w:pStyle w:val="TableParagraph"/>
              <w:ind w:right="511"/>
              <w:rPr>
                <w:sz w:val="30"/>
              </w:rPr>
            </w:pPr>
            <w:r>
              <w:rPr>
                <w:sz w:val="30"/>
              </w:rPr>
              <w:t>0.93</w:t>
            </w:r>
          </w:p>
        </w:tc>
        <w:tc>
          <w:tcPr>
            <w:tcW w:w="1813" w:type="dxa"/>
          </w:tcPr>
          <w:p>
            <w:pPr>
              <w:pStyle w:val="TableParagraph"/>
              <w:ind w:right="509"/>
              <w:rPr>
                <w:sz w:val="30"/>
              </w:rPr>
            </w:pPr>
            <w:r>
              <w:rPr>
                <w:sz w:val="30"/>
              </w:rPr>
              <w:t>0.99</w:t>
            </w:r>
          </w:p>
        </w:tc>
      </w:tr>
      <w:tr>
        <w:trPr>
          <w:trHeight w:val="490" w:hRule="atLeast"/>
        </w:trPr>
        <w:tc>
          <w:tcPr>
            <w:tcW w:w="7937" w:type="dxa"/>
          </w:tcPr>
          <w:p>
            <w:pPr>
              <w:pStyle w:val="TableParagraph"/>
              <w:ind w:left="170"/>
              <w:jc w:val="left"/>
              <w:rPr>
                <w:sz w:val="20"/>
              </w:rPr>
            </w:pPr>
            <w:r>
              <w:rPr>
                <w:sz w:val="30"/>
              </w:rPr>
              <w:t>Parité dans le secondaire (1= parité)</w:t>
            </w:r>
            <w:r>
              <w:rPr>
                <w:position w:val="9"/>
                <w:sz w:val="20"/>
              </w:rPr>
              <w:t>2</w:t>
            </w:r>
          </w:p>
        </w:tc>
        <w:tc>
          <w:tcPr>
            <w:tcW w:w="1814" w:type="dxa"/>
            <w:shd w:val="clear" w:color="auto" w:fill="F9ECBE"/>
          </w:tcPr>
          <w:p>
            <w:pPr>
              <w:pStyle w:val="TableParagraph"/>
              <w:ind w:left="140" w:right="120"/>
              <w:rPr>
                <w:b/>
                <w:sz w:val="30"/>
              </w:rPr>
            </w:pPr>
            <w:r>
              <w:rPr>
                <w:b/>
                <w:sz w:val="30"/>
              </w:rPr>
              <w:t>0.71</w:t>
            </w:r>
          </w:p>
        </w:tc>
        <w:tc>
          <w:tcPr>
            <w:tcW w:w="226" w:type="dxa"/>
            <w:vMerge/>
            <w:tcBorders>
              <w:top w:val="nil"/>
              <w:bottom w:val="nil"/>
            </w:tcBorders>
          </w:tcPr>
          <w:p>
            <w:pPr>
              <w:rPr>
                <w:sz w:val="2"/>
                <w:szCs w:val="2"/>
              </w:rPr>
            </w:pPr>
          </w:p>
        </w:tc>
        <w:tc>
          <w:tcPr>
            <w:tcW w:w="1813" w:type="dxa"/>
          </w:tcPr>
          <w:p>
            <w:pPr>
              <w:pStyle w:val="TableParagraph"/>
              <w:ind w:right="511"/>
              <w:rPr>
                <w:sz w:val="30"/>
              </w:rPr>
            </w:pPr>
            <w:r>
              <w:rPr>
                <w:sz w:val="30"/>
              </w:rPr>
              <w:t>0.81</w:t>
            </w:r>
          </w:p>
        </w:tc>
        <w:tc>
          <w:tcPr>
            <w:tcW w:w="1813" w:type="dxa"/>
          </w:tcPr>
          <w:p>
            <w:pPr>
              <w:pStyle w:val="TableParagraph"/>
              <w:ind w:right="512"/>
              <w:rPr>
                <w:sz w:val="30"/>
              </w:rPr>
            </w:pPr>
            <w:r>
              <w:rPr>
                <w:sz w:val="30"/>
              </w:rPr>
              <w:t>1.1</w:t>
            </w:r>
          </w:p>
        </w:tc>
      </w:tr>
      <w:tr>
        <w:trPr>
          <w:trHeight w:val="490" w:hRule="atLeast"/>
        </w:trPr>
        <w:tc>
          <w:tcPr>
            <w:tcW w:w="7937" w:type="dxa"/>
          </w:tcPr>
          <w:p>
            <w:pPr>
              <w:pStyle w:val="TableParagraph"/>
              <w:ind w:left="170"/>
              <w:jc w:val="left"/>
              <w:rPr>
                <w:sz w:val="20"/>
              </w:rPr>
            </w:pPr>
            <w:r>
              <w:rPr>
                <w:sz w:val="30"/>
              </w:rPr>
              <w:t>Parité dans le tertiaire (1= parité) </w:t>
            </w:r>
            <w:r>
              <w:rPr>
                <w:position w:val="9"/>
                <w:sz w:val="20"/>
              </w:rPr>
              <w:t>2</w:t>
            </w:r>
          </w:p>
        </w:tc>
        <w:tc>
          <w:tcPr>
            <w:tcW w:w="1814" w:type="dxa"/>
            <w:shd w:val="clear" w:color="auto" w:fill="F9ECBE"/>
          </w:tcPr>
          <w:p>
            <w:pPr>
              <w:pStyle w:val="TableParagraph"/>
              <w:ind w:left="140" w:right="120"/>
              <w:rPr>
                <w:b/>
                <w:sz w:val="30"/>
              </w:rPr>
            </w:pPr>
            <w:r>
              <w:rPr>
                <w:b/>
                <w:sz w:val="30"/>
              </w:rPr>
              <w:t>0.58</w:t>
            </w:r>
          </w:p>
        </w:tc>
        <w:tc>
          <w:tcPr>
            <w:tcW w:w="226" w:type="dxa"/>
            <w:vMerge/>
            <w:tcBorders>
              <w:top w:val="nil"/>
              <w:bottom w:val="nil"/>
            </w:tcBorders>
          </w:tcPr>
          <w:p>
            <w:pPr>
              <w:rPr>
                <w:sz w:val="2"/>
                <w:szCs w:val="2"/>
              </w:rPr>
            </w:pPr>
          </w:p>
        </w:tc>
        <w:tc>
          <w:tcPr>
            <w:tcW w:w="1813" w:type="dxa"/>
          </w:tcPr>
          <w:p>
            <w:pPr>
              <w:pStyle w:val="TableParagraph"/>
              <w:ind w:right="511"/>
              <w:rPr>
                <w:sz w:val="30"/>
              </w:rPr>
            </w:pPr>
            <w:r>
              <w:rPr>
                <w:sz w:val="30"/>
              </w:rPr>
              <w:t>0.73</w:t>
            </w:r>
          </w:p>
        </w:tc>
        <w:tc>
          <w:tcPr>
            <w:tcW w:w="1813" w:type="dxa"/>
          </w:tcPr>
          <w:p>
            <w:pPr>
              <w:pStyle w:val="TableParagraph"/>
              <w:ind w:right="509"/>
              <w:rPr>
                <w:sz w:val="30"/>
              </w:rPr>
            </w:pPr>
            <w:r>
              <w:rPr>
                <w:sz w:val="30"/>
              </w:rPr>
              <w:t>1.12</w:t>
            </w:r>
          </w:p>
        </w:tc>
      </w:tr>
      <w:tr>
        <w:trPr>
          <w:trHeight w:val="603" w:hRule="atLeast"/>
        </w:trPr>
        <w:tc>
          <w:tcPr>
            <w:tcW w:w="9751" w:type="dxa"/>
            <w:gridSpan w:val="2"/>
            <w:shd w:val="clear" w:color="auto" w:fill="F4F8FC"/>
          </w:tcPr>
          <w:p>
            <w:pPr>
              <w:pStyle w:val="TableParagraph"/>
              <w:spacing w:before="81"/>
              <w:ind w:left="170"/>
              <w:jc w:val="left"/>
              <w:rPr>
                <w:b/>
                <w:sz w:val="36"/>
              </w:rPr>
            </w:pPr>
            <w:r>
              <w:rPr>
                <w:b/>
                <w:sz w:val="36"/>
              </w:rPr>
              <w:t>Ecart dans la santé et l’accès au planning familial</w:t>
            </w:r>
          </w:p>
        </w:tc>
        <w:tc>
          <w:tcPr>
            <w:tcW w:w="226" w:type="dxa"/>
            <w:vMerge/>
            <w:tcBorders>
              <w:top w:val="nil"/>
              <w:bottom w:val="nil"/>
            </w:tcBorders>
          </w:tcPr>
          <w:p>
            <w:pPr>
              <w:rPr>
                <w:sz w:val="2"/>
                <w:szCs w:val="2"/>
              </w:rPr>
            </w:pPr>
          </w:p>
        </w:tc>
        <w:tc>
          <w:tcPr>
            <w:tcW w:w="3626" w:type="dxa"/>
            <w:gridSpan w:val="2"/>
            <w:shd w:val="clear" w:color="auto" w:fill="F4F8FC"/>
          </w:tcPr>
          <w:p>
            <w:pPr>
              <w:pStyle w:val="TableParagraph"/>
              <w:spacing w:before="0"/>
              <w:ind w:left="0"/>
              <w:jc w:val="left"/>
              <w:rPr>
                <w:rFonts w:ascii="Times New Roman"/>
                <w:sz w:val="30"/>
              </w:rPr>
            </w:pPr>
          </w:p>
        </w:tc>
      </w:tr>
      <w:tr>
        <w:trPr>
          <w:trHeight w:val="490" w:hRule="atLeast"/>
        </w:trPr>
        <w:tc>
          <w:tcPr>
            <w:tcW w:w="7937" w:type="dxa"/>
          </w:tcPr>
          <w:p>
            <w:pPr>
              <w:pStyle w:val="TableParagraph"/>
              <w:ind w:left="170"/>
              <w:jc w:val="left"/>
              <w:rPr>
                <w:sz w:val="20"/>
              </w:rPr>
            </w:pPr>
            <w:r>
              <w:rPr>
                <w:sz w:val="30"/>
              </w:rPr>
              <w:t>Taux de mortalité maternelle (%) </w:t>
            </w:r>
            <w:r>
              <w:rPr>
                <w:position w:val="9"/>
                <w:sz w:val="20"/>
              </w:rPr>
              <w:t>2</w:t>
            </w:r>
          </w:p>
        </w:tc>
        <w:tc>
          <w:tcPr>
            <w:tcW w:w="1814" w:type="dxa"/>
            <w:shd w:val="clear" w:color="auto" w:fill="F9ECBE"/>
          </w:tcPr>
          <w:p>
            <w:pPr>
              <w:pStyle w:val="TableParagraph"/>
              <w:ind w:left="140" w:right="120"/>
              <w:rPr>
                <w:b/>
                <w:sz w:val="30"/>
              </w:rPr>
            </w:pPr>
            <w:r>
              <w:rPr>
                <w:b/>
                <w:sz w:val="30"/>
              </w:rPr>
              <w:t>6.45</w:t>
            </w:r>
          </w:p>
        </w:tc>
        <w:tc>
          <w:tcPr>
            <w:tcW w:w="226" w:type="dxa"/>
            <w:vMerge/>
            <w:tcBorders>
              <w:top w:val="nil"/>
              <w:bottom w:val="nil"/>
            </w:tcBorders>
          </w:tcPr>
          <w:p>
            <w:pPr>
              <w:rPr>
                <w:sz w:val="2"/>
                <w:szCs w:val="2"/>
              </w:rPr>
            </w:pPr>
          </w:p>
        </w:tc>
        <w:tc>
          <w:tcPr>
            <w:tcW w:w="1813" w:type="dxa"/>
          </w:tcPr>
          <w:p>
            <w:pPr>
              <w:pStyle w:val="TableParagraph"/>
              <w:ind w:right="511"/>
              <w:rPr>
                <w:sz w:val="30"/>
              </w:rPr>
            </w:pPr>
            <w:r>
              <w:rPr>
                <w:sz w:val="30"/>
              </w:rPr>
              <w:t>5.47</w:t>
            </w:r>
          </w:p>
        </w:tc>
        <w:tc>
          <w:tcPr>
            <w:tcW w:w="1813" w:type="dxa"/>
          </w:tcPr>
          <w:p>
            <w:pPr>
              <w:pStyle w:val="TableParagraph"/>
              <w:ind w:right="509"/>
              <w:rPr>
                <w:sz w:val="30"/>
              </w:rPr>
            </w:pPr>
            <w:r>
              <w:rPr>
                <w:sz w:val="30"/>
              </w:rPr>
              <w:t>0.49</w:t>
            </w:r>
          </w:p>
        </w:tc>
      </w:tr>
      <w:tr>
        <w:trPr>
          <w:trHeight w:val="490" w:hRule="atLeast"/>
        </w:trPr>
        <w:tc>
          <w:tcPr>
            <w:tcW w:w="7937" w:type="dxa"/>
          </w:tcPr>
          <w:p>
            <w:pPr>
              <w:pStyle w:val="TableParagraph"/>
              <w:ind w:left="170"/>
              <w:jc w:val="left"/>
              <w:rPr>
                <w:sz w:val="20"/>
              </w:rPr>
            </w:pPr>
            <w:r>
              <w:rPr>
                <w:sz w:val="30"/>
              </w:rPr>
              <w:t>Taux de fertilité chez les adolescentes (15-19 ans, pour 1000) </w:t>
            </w:r>
            <w:r>
              <w:rPr>
                <w:position w:val="9"/>
                <w:sz w:val="20"/>
              </w:rPr>
              <w:t>2</w:t>
            </w:r>
          </w:p>
        </w:tc>
        <w:tc>
          <w:tcPr>
            <w:tcW w:w="1814" w:type="dxa"/>
            <w:shd w:val="clear" w:color="auto" w:fill="F9ECBE"/>
          </w:tcPr>
          <w:p>
            <w:pPr>
              <w:pStyle w:val="TableParagraph"/>
              <w:ind w:left="142" w:right="120"/>
              <w:rPr>
                <w:b/>
                <w:sz w:val="30"/>
              </w:rPr>
            </w:pPr>
            <w:r>
              <w:rPr>
                <w:b/>
                <w:sz w:val="30"/>
              </w:rPr>
              <w:t>136</w:t>
            </w:r>
          </w:p>
        </w:tc>
        <w:tc>
          <w:tcPr>
            <w:tcW w:w="226" w:type="dxa"/>
            <w:vMerge/>
            <w:tcBorders>
              <w:top w:val="nil"/>
              <w:bottom w:val="nil"/>
            </w:tcBorders>
          </w:tcPr>
          <w:p>
            <w:pPr>
              <w:rPr>
                <w:sz w:val="2"/>
                <w:szCs w:val="2"/>
              </w:rPr>
            </w:pPr>
          </w:p>
        </w:tc>
        <w:tc>
          <w:tcPr>
            <w:tcW w:w="1813" w:type="dxa"/>
          </w:tcPr>
          <w:p>
            <w:pPr>
              <w:pStyle w:val="TableParagraph"/>
              <w:ind w:right="512"/>
              <w:rPr>
                <w:sz w:val="30"/>
              </w:rPr>
            </w:pPr>
            <w:r>
              <w:rPr>
                <w:sz w:val="30"/>
              </w:rPr>
              <w:t>100</w:t>
            </w:r>
          </w:p>
        </w:tc>
        <w:tc>
          <w:tcPr>
            <w:tcW w:w="1813" w:type="dxa"/>
          </w:tcPr>
          <w:p>
            <w:pPr>
              <w:pStyle w:val="TableParagraph"/>
              <w:ind w:right="512"/>
              <w:rPr>
                <w:sz w:val="30"/>
              </w:rPr>
            </w:pPr>
            <w:r>
              <w:rPr>
                <w:sz w:val="30"/>
              </w:rPr>
              <w:t>22</w:t>
            </w:r>
          </w:p>
        </w:tc>
      </w:tr>
      <w:tr>
        <w:trPr>
          <w:trHeight w:val="492" w:hRule="atLeast"/>
        </w:trPr>
        <w:tc>
          <w:tcPr>
            <w:tcW w:w="7937" w:type="dxa"/>
          </w:tcPr>
          <w:p>
            <w:pPr>
              <w:pStyle w:val="TableParagraph"/>
              <w:ind w:left="170"/>
              <w:jc w:val="left"/>
              <w:rPr>
                <w:sz w:val="20"/>
              </w:rPr>
            </w:pPr>
            <w:r>
              <w:rPr>
                <w:sz w:val="30"/>
              </w:rPr>
              <w:t>Usage de méthodes contraceptives (%) </w:t>
            </w:r>
            <w:r>
              <w:rPr>
                <w:position w:val="9"/>
                <w:sz w:val="20"/>
              </w:rPr>
              <w:t>3</w:t>
            </w:r>
          </w:p>
        </w:tc>
        <w:tc>
          <w:tcPr>
            <w:tcW w:w="1814" w:type="dxa"/>
            <w:shd w:val="clear" w:color="auto" w:fill="F9ECBE"/>
          </w:tcPr>
          <w:p>
            <w:pPr>
              <w:pStyle w:val="TableParagraph"/>
              <w:ind w:left="140" w:right="120"/>
              <w:rPr>
                <w:b/>
                <w:sz w:val="30"/>
              </w:rPr>
            </w:pPr>
            <w:r>
              <w:rPr>
                <w:b/>
                <w:sz w:val="30"/>
              </w:rPr>
              <w:t>20.4</w:t>
            </w:r>
          </w:p>
        </w:tc>
        <w:tc>
          <w:tcPr>
            <w:tcW w:w="226" w:type="dxa"/>
            <w:vMerge/>
            <w:tcBorders>
              <w:top w:val="nil"/>
              <w:bottom w:val="nil"/>
            </w:tcBorders>
          </w:tcPr>
          <w:p>
            <w:pPr>
              <w:rPr>
                <w:sz w:val="2"/>
                <w:szCs w:val="2"/>
              </w:rPr>
            </w:pPr>
          </w:p>
        </w:tc>
        <w:tc>
          <w:tcPr>
            <w:tcW w:w="1813" w:type="dxa"/>
          </w:tcPr>
          <w:p>
            <w:pPr>
              <w:pStyle w:val="TableParagraph"/>
              <w:ind w:right="511"/>
              <w:rPr>
                <w:sz w:val="30"/>
              </w:rPr>
            </w:pPr>
            <w:r>
              <w:rPr>
                <w:sz w:val="30"/>
              </w:rPr>
              <w:t>28.4</w:t>
            </w:r>
          </w:p>
        </w:tc>
        <w:tc>
          <w:tcPr>
            <w:tcW w:w="1813" w:type="dxa"/>
          </w:tcPr>
          <w:p>
            <w:pPr>
              <w:pStyle w:val="TableParagraph"/>
              <w:ind w:right="509"/>
              <w:rPr>
                <w:sz w:val="30"/>
              </w:rPr>
            </w:pPr>
            <w:r>
              <w:rPr>
                <w:sz w:val="30"/>
              </w:rPr>
              <w:t>81.8</w:t>
            </w:r>
          </w:p>
        </w:tc>
      </w:tr>
    </w:tbl>
    <w:p>
      <w:pPr>
        <w:pStyle w:val="BodyText"/>
        <w:spacing w:before="8"/>
        <w:rPr>
          <w:sz w:val="8"/>
        </w:rPr>
      </w:pPr>
    </w:p>
    <w:p>
      <w:pPr>
        <w:spacing w:before="52"/>
        <w:ind w:left="996" w:right="0" w:firstLine="0"/>
        <w:jc w:val="left"/>
        <w:rPr>
          <w:sz w:val="24"/>
        </w:rPr>
      </w:pPr>
      <w:r>
        <w:rPr>
          <w:sz w:val="24"/>
        </w:rPr>
        <w:t>Source: 1/ World Economic Forum; 2/ World Development Indicators; 3/ World Health</w:t>
      </w:r>
    </w:p>
    <w:p>
      <w:pPr>
        <w:spacing w:after="0"/>
        <w:jc w:val="left"/>
        <w:rPr>
          <w:sz w:val="24"/>
        </w:rPr>
        <w:sectPr>
          <w:pgSz w:w="15600" w:h="10800" w:orient="landscape"/>
          <w:pgMar w:header="0" w:footer="0" w:top="1660" w:bottom="280" w:left="0" w:right="0"/>
        </w:sectPr>
      </w:pPr>
    </w:p>
    <w:p>
      <w:pPr>
        <w:pStyle w:val="BodyText"/>
        <w:rPr>
          <w:sz w:val="20"/>
        </w:rPr>
      </w:pPr>
    </w:p>
    <w:p>
      <w:pPr>
        <w:pStyle w:val="BodyText"/>
        <w:spacing w:before="2"/>
        <w:rPr>
          <w:sz w:val="11"/>
        </w:rPr>
      </w:pPr>
    </w:p>
    <w:p>
      <w:pPr>
        <w:pStyle w:val="BodyText"/>
        <w:ind w:right="-44"/>
        <w:rPr>
          <w:sz w:val="20"/>
        </w:rPr>
      </w:pPr>
      <w:r>
        <w:rPr>
          <w:sz w:val="20"/>
        </w:rPr>
        <w:pict>
          <v:group style="width:779.05pt;height:59.8pt;mso-position-horizontal-relative:char;mso-position-vertical-relative:line" coordorigin="0,0" coordsize="15581,1196">
            <v:shape style="position:absolute;left:833;top:9;width:14211;height:1187" type="#_x0000_t75" stroked="false">
              <v:imagedata r:id="rId8" o:title=""/>
            </v:shape>
            <v:rect style="position:absolute;left:0;top:936;width:15581;height:259" filled="true" fillcolor="#ffffff" stroked="false">
              <v:fill type="solid"/>
            </v:rect>
            <v:shape style="position:absolute;left:0;top:0;width:15581;height:1196" type="#_x0000_t202" filled="false" stroked="false">
              <v:textbox inset="0,0,0,0">
                <w:txbxContent>
                  <w:p>
                    <w:pPr>
                      <w:spacing w:line="570" w:lineRule="exact" w:before="0"/>
                      <w:ind w:left="996" w:right="0" w:firstLine="0"/>
                      <w:jc w:val="left"/>
                      <w:rPr>
                        <w:sz w:val="56"/>
                      </w:rPr>
                    </w:pPr>
                    <w:r>
                      <w:rPr>
                        <w:b/>
                        <w:color w:val="001846"/>
                        <w:sz w:val="56"/>
                      </w:rPr>
                      <w:t>MARCHE DU TRAVAIL </w:t>
                    </w:r>
                    <w:r>
                      <w:rPr>
                        <w:color w:val="001846"/>
                        <w:sz w:val="56"/>
                      </w:rPr>
                      <w:t>| CONTRIBUTION DES FEMMES</w:t>
                    </w:r>
                  </w:p>
                </w:txbxContent>
              </v:textbox>
              <w10:wrap type="none"/>
            </v:shape>
          </v:group>
        </w:pict>
      </w:r>
      <w:r>
        <w:rPr>
          <w:sz w:val="20"/>
        </w:rPr>
      </w:r>
    </w:p>
    <w:p>
      <w:pPr>
        <w:pStyle w:val="BodyText"/>
        <w:spacing w:before="68"/>
        <w:ind w:left="882"/>
      </w:pPr>
      <w:r>
        <w:rPr/>
        <w:t>En Côte d’Ivoire, les femmes en âge de travailler sont relativement actives.</w:t>
      </w:r>
    </w:p>
    <w:p>
      <w:pPr>
        <w:pStyle w:val="BodyText"/>
        <w:spacing w:line="235" w:lineRule="auto" w:before="115"/>
        <w:ind w:left="882" w:right="996"/>
        <w:jc w:val="both"/>
      </w:pPr>
      <w:r>
        <w:rPr/>
        <w:t>En effet, elles contribuent largement à la production agricole, principale source de revenu du pays, qui occupe 65,8% de la population active, dont 67% de femmes. 60 à 80% de la production alimentaire est assurée par des femmes.</w:t>
      </w:r>
    </w:p>
    <w:p>
      <w:pPr>
        <w:pStyle w:val="BodyText"/>
        <w:spacing w:line="437" w:lineRule="exact"/>
        <w:ind w:left="882"/>
        <w:jc w:val="both"/>
      </w:pPr>
      <w:r>
        <w:rPr/>
        <w:drawing>
          <wp:anchor distT="0" distB="0" distL="0" distR="0" allowOverlap="1" layoutInCell="1" locked="0" behindDoc="0" simplePos="0" relativeHeight="1312">
            <wp:simplePos x="0" y="0"/>
            <wp:positionH relativeFrom="page">
              <wp:posOffset>560514</wp:posOffset>
            </wp:positionH>
            <wp:positionV relativeFrom="paragraph">
              <wp:posOffset>857147</wp:posOffset>
            </wp:positionV>
            <wp:extent cx="8712009" cy="2696263"/>
            <wp:effectExtent l="0" t="0" r="0" b="0"/>
            <wp:wrapNone/>
            <wp:docPr id="3" name="image7.png" descr=""/>
            <wp:cNvGraphicFramePr>
              <a:graphicFrameLocks noChangeAspect="1"/>
            </wp:cNvGraphicFramePr>
            <a:graphic>
              <a:graphicData uri="http://schemas.openxmlformats.org/drawingml/2006/picture">
                <pic:pic>
                  <pic:nvPicPr>
                    <pic:cNvPr id="4" name="image7.png"/>
                    <pic:cNvPicPr/>
                  </pic:nvPicPr>
                  <pic:blipFill>
                    <a:blip r:embed="rId13" cstate="print"/>
                    <a:stretch>
                      <a:fillRect/>
                    </a:stretch>
                  </pic:blipFill>
                  <pic:spPr>
                    <a:xfrm>
                      <a:off x="0" y="0"/>
                      <a:ext cx="8712009" cy="2696263"/>
                    </a:xfrm>
                    <a:prstGeom prst="rect">
                      <a:avLst/>
                    </a:prstGeom>
                  </pic:spPr>
                </pic:pic>
              </a:graphicData>
            </a:graphic>
          </wp:anchor>
        </w:drawing>
      </w:r>
      <w:r>
        <w:rPr/>
        <w:t>Le secteur tertiaire - commerce, services, administration - est occupé à 59% par des femmes.</w:t>
      </w:r>
    </w:p>
    <w:p>
      <w:pPr>
        <w:spacing w:after="0" w:line="437" w:lineRule="exact"/>
        <w:jc w:val="both"/>
        <w:sectPr>
          <w:pgSz w:w="15600" w:h="10800" w:orient="landscape"/>
          <w:pgMar w:header="0" w:footer="0" w:top="1660" w:bottom="0" w:left="0" w:right="0"/>
        </w:sectPr>
      </w:pPr>
    </w:p>
    <w:p>
      <w:pPr>
        <w:pStyle w:val="BodyText"/>
        <w:spacing w:before="9"/>
        <w:rPr>
          <w:sz w:val="16"/>
        </w:rPr>
      </w:pPr>
    </w:p>
    <w:p>
      <w:pPr>
        <w:pStyle w:val="BodyText"/>
        <w:spacing w:line="20" w:lineRule="exact"/>
        <w:ind w:left="1036"/>
        <w:rPr>
          <w:sz w:val="2"/>
        </w:rPr>
      </w:pPr>
      <w:r>
        <w:rPr>
          <w:sz w:val="2"/>
        </w:rPr>
        <w:pict>
          <v:group style="width:680.35pt;height:1pt;mso-position-horizontal-relative:char;mso-position-vertical-relative:line" coordorigin="0,0" coordsize="13607,20">
            <v:line style="position:absolute" from="0,10" to="13606,10" stroked="true" strokeweight="1pt" strokecolor="#747678">
              <v:stroke dashstyle="solid"/>
            </v:line>
          </v:group>
        </w:pict>
      </w:r>
      <w:r>
        <w:rPr>
          <w:sz w:val="2"/>
        </w:rPr>
      </w:r>
    </w:p>
    <w:p>
      <w:pPr>
        <w:pStyle w:val="BodyText"/>
        <w:spacing w:before="10"/>
        <w:rPr>
          <w:sz w:val="19"/>
        </w:rPr>
      </w:pPr>
      <w:r>
        <w:rPr/>
        <w:pict>
          <v:group style="position:absolute;margin-left:.000244pt;margin-top:14.073067pt;width:779.05pt;height:64.8500pt;mso-position-horizontal-relative:page;mso-position-vertical-relative:paragraph;z-index:-664;mso-wrap-distance-left:0;mso-wrap-distance-right:0" coordorigin="0,281" coordsize="15581,1297">
            <v:shape style="position:absolute;left:833;top:391;width:14211;height:1187" type="#_x0000_t75" stroked="false">
              <v:imagedata r:id="rId8" o:title=""/>
            </v:shape>
            <v:rect style="position:absolute;left:0;top:1318;width:15581;height:259" filled="true" fillcolor="#ffffff" stroked="false">
              <v:fill type="solid"/>
            </v:rect>
            <v:shape style="position:absolute;left:0;top:281;width:15581;height:1297" type="#_x0000_t202" filled="false" stroked="false">
              <v:textbox inset="0,0,0,0">
                <w:txbxContent>
                  <w:p>
                    <w:pPr>
                      <w:spacing w:line="674" w:lineRule="exact" w:before="0"/>
                      <w:ind w:left="996" w:right="0" w:firstLine="0"/>
                      <w:jc w:val="left"/>
                      <w:rPr>
                        <w:rFonts w:ascii="Arial" w:hAnsi="Arial"/>
                        <w:sz w:val="56"/>
                      </w:rPr>
                    </w:pPr>
                    <w:r>
                      <w:rPr>
                        <w:b/>
                        <w:color w:val="001846"/>
                        <w:sz w:val="56"/>
                      </w:rPr>
                      <w:t>MARCHE DU TRAVAIL </w:t>
                    </w:r>
                    <w:r>
                      <w:rPr>
                        <w:color w:val="001846"/>
                        <w:sz w:val="56"/>
                      </w:rPr>
                      <w:t>| INÉGALITÉS HOMMES-FEMMES </w:t>
                    </w:r>
                    <w:r>
                      <w:rPr>
                        <w:rFonts w:ascii="Gill Sans MT Condensed" w:hAnsi="Gill Sans MT Condensed"/>
                        <w:color w:val="001846"/>
                        <w:sz w:val="56"/>
                      </w:rPr>
                      <w:t>• </w:t>
                    </w:r>
                    <w:r>
                      <w:rPr>
                        <w:rFonts w:ascii="Arial" w:hAnsi="Arial"/>
                        <w:color w:val="001846"/>
                        <w:sz w:val="56"/>
                      </w:rPr>
                      <w:t>1</w:t>
                    </w:r>
                  </w:p>
                </w:txbxContent>
              </v:textbox>
              <w10:wrap type="none"/>
            </v:shape>
            <w10:wrap type="topAndBottom"/>
          </v:group>
        </w:pict>
      </w:r>
    </w:p>
    <w:p>
      <w:pPr>
        <w:pStyle w:val="BodyText"/>
        <w:spacing w:line="235" w:lineRule="auto" w:before="75"/>
        <w:ind w:left="882" w:right="989"/>
        <w:jc w:val="both"/>
      </w:pPr>
      <w:r>
        <w:rPr/>
        <w:t>Paradoxalement, il existe un écart de participation de 13% entre les hommes et les femmes sur la marché du travail en Côte d’Ivoire. Cela s’explique par le fait que les femmes sont souvent très peu ou mal rémunérées pour le travail qu’elles effectuent.</w:t>
      </w:r>
    </w:p>
    <w:p>
      <w:pPr>
        <w:pStyle w:val="Heading1"/>
        <w:spacing w:before="118"/>
      </w:pPr>
      <w:r>
        <w:rPr>
          <w:color w:val="001846"/>
        </w:rPr>
        <w:t>Les femmes dans le secteur agricole</w:t>
      </w:r>
    </w:p>
    <w:p>
      <w:pPr>
        <w:pStyle w:val="BodyText"/>
        <w:spacing w:line="235" w:lineRule="auto" w:before="59"/>
        <w:ind w:left="882" w:right="992"/>
        <w:jc w:val="both"/>
      </w:pPr>
      <w:r>
        <w:rPr/>
        <w:t>En effet, les femmes ne bénéficient pas du fruit de leur travail, du fait qu’elles n’ont pas de pouvoir de contrôle et de gestion de leurs activités, notamment dans le secteur agricole. Selon les statistiques fournies en 2017 par la Banque Mondiales, seulement 8% des femmes détiennent un titre foncier et sont propriétaires d’exploitations de cultures d’exportation.</w:t>
      </w:r>
    </w:p>
    <w:p>
      <w:pPr>
        <w:pStyle w:val="BodyText"/>
        <w:spacing w:line="235" w:lineRule="auto" w:before="6"/>
        <w:ind w:left="882" w:right="990"/>
        <w:jc w:val="both"/>
      </w:pPr>
      <w:r>
        <w:rPr/>
        <w:t>La majorité des femmes </w:t>
      </w:r>
      <w:r>
        <w:rPr>
          <w:spacing w:val="-3"/>
        </w:rPr>
        <w:t>travaillant </w:t>
      </w:r>
      <w:r>
        <w:rPr/>
        <w:t>dans les exploitations de cultures </w:t>
      </w:r>
      <w:r>
        <w:rPr>
          <w:spacing w:val="-4"/>
        </w:rPr>
        <w:t>d’exportation </w:t>
      </w:r>
      <w:r>
        <w:rPr/>
        <w:t>familiales ne sont pas rémunérés. Les cultures vivrières, destinées à la production alimentaire, occupent en outre une part de leurs activités agricoles, et ne sont souvent ni rémunérées, ni pris en </w:t>
      </w:r>
      <w:r>
        <w:rPr>
          <w:spacing w:val="-3"/>
        </w:rPr>
        <w:t>compte </w:t>
      </w:r>
      <w:r>
        <w:rPr/>
        <w:t>dans </w:t>
      </w:r>
      <w:r>
        <w:rPr>
          <w:spacing w:val="-4"/>
        </w:rPr>
        <w:t>l’économie </w:t>
      </w:r>
      <w:r>
        <w:rPr/>
        <w:t>domestique, notamment si elles sont destinées à la subsistance des ménages et non à la vente. La vente locale des produits vivriers est du </w:t>
      </w:r>
      <w:r>
        <w:rPr>
          <w:spacing w:val="-4"/>
        </w:rPr>
        <w:t>reste </w:t>
      </w:r>
      <w:r>
        <w:rPr/>
        <w:t>encore mal organisée en Côte d’Ivoire et expose les productrices à de nombreux abus de la part de </w:t>
      </w:r>
      <w:r>
        <w:rPr>
          <w:spacing w:val="-4"/>
        </w:rPr>
        <w:t>certain-e-s commerçant-e-s </w:t>
      </w:r>
      <w:r>
        <w:rPr/>
        <w:t>et </w:t>
      </w:r>
      <w:r>
        <w:rPr>
          <w:spacing w:val="-3"/>
        </w:rPr>
        <w:t>autres </w:t>
      </w:r>
      <w:r>
        <w:rPr>
          <w:spacing w:val="-4"/>
        </w:rPr>
        <w:t>intermédiaires </w:t>
      </w:r>
      <w:r>
        <w:rPr>
          <w:spacing w:val="-3"/>
        </w:rPr>
        <w:t>venant approvisionner </w:t>
      </w:r>
      <w:r>
        <w:rPr>
          <w:spacing w:val="-2"/>
        </w:rPr>
        <w:t>les </w:t>
      </w:r>
      <w:r>
        <w:rPr>
          <w:spacing w:val="-4"/>
        </w:rPr>
        <w:t>centres</w:t>
      </w:r>
      <w:r>
        <w:rPr>
          <w:spacing w:val="49"/>
        </w:rPr>
        <w:t> </w:t>
      </w:r>
      <w:r>
        <w:rPr>
          <w:spacing w:val="-3"/>
        </w:rPr>
        <w:t>urbains.</w:t>
      </w:r>
    </w:p>
    <w:p>
      <w:pPr>
        <w:spacing w:after="0" w:line="235" w:lineRule="auto"/>
        <w:jc w:val="both"/>
        <w:sectPr>
          <w:headerReference w:type="default" r:id="rId14"/>
          <w:pgSz w:w="15600" w:h="10800" w:orient="landscape"/>
          <w:pgMar w:header="0" w:footer="0" w:top="1440" w:bottom="280" w:left="0" w:right="0"/>
        </w:sectPr>
      </w:pPr>
    </w:p>
    <w:p>
      <w:pPr>
        <w:pStyle w:val="BodyText"/>
        <w:spacing w:before="9"/>
        <w:rPr>
          <w:sz w:val="16"/>
        </w:rPr>
      </w:pPr>
    </w:p>
    <w:p>
      <w:pPr>
        <w:pStyle w:val="BodyText"/>
        <w:spacing w:line="20" w:lineRule="exact"/>
        <w:ind w:left="1036"/>
        <w:rPr>
          <w:sz w:val="2"/>
        </w:rPr>
      </w:pPr>
      <w:r>
        <w:rPr>
          <w:sz w:val="2"/>
        </w:rPr>
        <w:pict>
          <v:group style="width:680.35pt;height:1pt;mso-position-horizontal-relative:char;mso-position-vertical-relative:line" coordorigin="0,0" coordsize="13607,20">
            <v:line style="position:absolute" from="0,10" to="13606,10" stroked="true" strokeweight="1pt" strokecolor="#747678">
              <v:stroke dashstyle="solid"/>
            </v:line>
          </v:group>
        </w:pict>
      </w:r>
      <w:r>
        <w:rPr>
          <w:sz w:val="2"/>
        </w:rPr>
      </w:r>
    </w:p>
    <w:p>
      <w:pPr>
        <w:pStyle w:val="BodyText"/>
        <w:spacing w:before="10"/>
        <w:rPr>
          <w:sz w:val="19"/>
        </w:rPr>
      </w:pPr>
      <w:r>
        <w:rPr/>
        <w:pict>
          <v:group style="position:absolute;margin-left:.000244pt;margin-top:14.073067pt;width:779.05pt;height:64.8500pt;mso-position-horizontal-relative:page;mso-position-vertical-relative:paragraph;z-index:-592;mso-wrap-distance-left:0;mso-wrap-distance-right:0" coordorigin="0,281" coordsize="15581,1297">
            <v:shape style="position:absolute;left:833;top:391;width:14211;height:1187" type="#_x0000_t75" stroked="false">
              <v:imagedata r:id="rId8" o:title=""/>
            </v:shape>
            <v:rect style="position:absolute;left:0;top:1318;width:15581;height:259" filled="true" fillcolor="#ffffff" stroked="false">
              <v:fill type="solid"/>
            </v:rect>
            <v:shape style="position:absolute;left:0;top:281;width:15581;height:1297" type="#_x0000_t202" filled="false" stroked="false">
              <v:textbox inset="0,0,0,0">
                <w:txbxContent>
                  <w:p>
                    <w:pPr>
                      <w:spacing w:line="674" w:lineRule="exact" w:before="0"/>
                      <w:ind w:left="996" w:right="0" w:firstLine="0"/>
                      <w:jc w:val="left"/>
                      <w:rPr>
                        <w:rFonts w:ascii="Arial" w:hAnsi="Arial"/>
                        <w:sz w:val="56"/>
                      </w:rPr>
                    </w:pPr>
                    <w:r>
                      <w:rPr>
                        <w:b/>
                        <w:color w:val="001846"/>
                        <w:sz w:val="56"/>
                      </w:rPr>
                      <w:t>MARCHE DU TRAVAIL </w:t>
                    </w:r>
                    <w:r>
                      <w:rPr>
                        <w:color w:val="001846"/>
                        <w:sz w:val="56"/>
                      </w:rPr>
                      <w:t>| INÉGALITÉS HOMMES-FEMMES </w:t>
                    </w:r>
                    <w:r>
                      <w:rPr>
                        <w:rFonts w:ascii="Gill Sans MT Condensed" w:hAnsi="Gill Sans MT Condensed"/>
                        <w:color w:val="001846"/>
                        <w:sz w:val="56"/>
                      </w:rPr>
                      <w:t>• </w:t>
                    </w:r>
                    <w:r>
                      <w:rPr>
                        <w:rFonts w:ascii="Arial" w:hAnsi="Arial"/>
                        <w:color w:val="001846"/>
                        <w:sz w:val="56"/>
                      </w:rPr>
                      <w:t>2</w:t>
                    </w:r>
                  </w:p>
                </w:txbxContent>
              </v:textbox>
              <w10:wrap type="none"/>
            </v:shape>
            <w10:wrap type="topAndBottom"/>
          </v:group>
        </w:pict>
      </w:r>
    </w:p>
    <w:p>
      <w:pPr>
        <w:pStyle w:val="Heading1"/>
        <w:spacing w:before="68"/>
      </w:pPr>
      <w:r>
        <w:rPr>
          <w:color w:val="001846"/>
        </w:rPr>
        <w:t>Les femmes dans le secteur secondaire et tertiaire</w:t>
      </w:r>
    </w:p>
    <w:p>
      <w:pPr>
        <w:pStyle w:val="BodyText"/>
        <w:spacing w:line="235" w:lineRule="auto" w:before="60"/>
        <w:ind w:left="882" w:right="992"/>
        <w:jc w:val="both"/>
      </w:pPr>
      <w:r>
        <w:rPr>
          <w:spacing w:val="-3"/>
        </w:rPr>
        <w:t>Au </w:t>
      </w:r>
      <w:r>
        <w:rPr>
          <w:spacing w:val="-5"/>
        </w:rPr>
        <w:t>niveau </w:t>
      </w:r>
      <w:r>
        <w:rPr>
          <w:spacing w:val="-3"/>
        </w:rPr>
        <w:t>du </w:t>
      </w:r>
      <w:r>
        <w:rPr>
          <w:spacing w:val="-5"/>
        </w:rPr>
        <w:t>secteur secondaire </w:t>
      </w:r>
      <w:r>
        <w:rPr>
          <w:spacing w:val="-4"/>
        </w:rPr>
        <w:t>et </w:t>
      </w:r>
      <w:r>
        <w:rPr>
          <w:spacing w:val="-6"/>
        </w:rPr>
        <w:t>tertiaire, </w:t>
      </w:r>
      <w:r>
        <w:rPr>
          <w:spacing w:val="-4"/>
        </w:rPr>
        <w:t>les </w:t>
      </w:r>
      <w:r>
        <w:rPr>
          <w:spacing w:val="-5"/>
        </w:rPr>
        <w:t>écarts </w:t>
      </w:r>
      <w:r>
        <w:rPr>
          <w:spacing w:val="-3"/>
        </w:rPr>
        <w:t>de </w:t>
      </w:r>
      <w:r>
        <w:rPr>
          <w:spacing w:val="-5"/>
        </w:rPr>
        <w:t>participation </w:t>
      </w:r>
      <w:r>
        <w:rPr>
          <w:spacing w:val="-4"/>
        </w:rPr>
        <w:t>sont </w:t>
      </w:r>
      <w:r>
        <w:rPr>
          <w:spacing w:val="-3"/>
        </w:rPr>
        <w:t>dus aux </w:t>
      </w:r>
      <w:r>
        <w:rPr>
          <w:spacing w:val="-6"/>
        </w:rPr>
        <w:t>inégalités </w:t>
      </w:r>
      <w:r>
        <w:rPr/>
        <w:t>à </w:t>
      </w:r>
      <w:r>
        <w:rPr>
          <w:spacing w:val="-4"/>
        </w:rPr>
        <w:t>l’encontre </w:t>
      </w:r>
      <w:r>
        <w:rPr/>
        <w:t>des femmes sur le marché du </w:t>
      </w:r>
      <w:r>
        <w:rPr>
          <w:spacing w:val="-3"/>
        </w:rPr>
        <w:t>travail, </w:t>
      </w:r>
      <w:r>
        <w:rPr/>
        <w:t>causées par la combinaison de </w:t>
      </w:r>
      <w:r>
        <w:rPr>
          <w:spacing w:val="-3"/>
        </w:rPr>
        <w:t>contraintes </w:t>
      </w:r>
      <w:r>
        <w:rPr/>
        <w:t>dans la gestion de leur temps et dans leur accès difficile à certains types </w:t>
      </w:r>
      <w:r>
        <w:rPr>
          <w:spacing w:val="-4"/>
        </w:rPr>
        <w:t>d’emplois.</w:t>
      </w:r>
    </w:p>
    <w:p>
      <w:pPr>
        <w:pStyle w:val="BodyText"/>
        <w:spacing w:line="235" w:lineRule="auto" w:before="124"/>
        <w:ind w:left="882" w:right="996"/>
        <w:jc w:val="both"/>
      </w:pPr>
      <w:r>
        <w:rPr/>
        <w:t>Les femmes ont moins facilement accès à des emplois productifs que les hommes, car elles travaillent généralement dans des entreprises, souvent petites et informelles, faiblement productives et donc relativement peu rémunératrices.</w:t>
      </w:r>
    </w:p>
    <w:p>
      <w:pPr>
        <w:pStyle w:val="BodyText"/>
        <w:spacing w:line="235" w:lineRule="auto" w:before="4"/>
        <w:ind w:left="882" w:right="996"/>
        <w:jc w:val="both"/>
      </w:pPr>
      <w:r>
        <w:rPr/>
        <w:t>La concentration des femmes dans des emplois informels peut </w:t>
      </w:r>
      <w:r>
        <w:rPr>
          <w:spacing w:val="-3"/>
        </w:rPr>
        <w:t>être </w:t>
      </w:r>
      <w:r>
        <w:rPr/>
        <w:t>la conséquence d’un choix délibéré car ces formes </w:t>
      </w:r>
      <w:r>
        <w:rPr>
          <w:spacing w:val="-4"/>
        </w:rPr>
        <w:t>d’emplois </w:t>
      </w:r>
      <w:r>
        <w:rPr/>
        <w:t>leur </w:t>
      </w:r>
      <w:r>
        <w:rPr>
          <w:spacing w:val="-2"/>
        </w:rPr>
        <w:t>procurent </w:t>
      </w:r>
      <w:r>
        <w:rPr>
          <w:spacing w:val="-3"/>
        </w:rPr>
        <w:t>davantage </w:t>
      </w:r>
      <w:r>
        <w:rPr/>
        <w:t>de</w:t>
      </w:r>
      <w:r>
        <w:rPr>
          <w:spacing w:val="14"/>
        </w:rPr>
        <w:t> </w:t>
      </w:r>
      <w:r>
        <w:rPr/>
        <w:t>flexibilité.</w:t>
      </w:r>
    </w:p>
    <w:p>
      <w:pPr>
        <w:pStyle w:val="BodyText"/>
        <w:spacing w:line="235" w:lineRule="auto" w:before="3"/>
        <w:ind w:left="882" w:right="992"/>
        <w:jc w:val="both"/>
      </w:pPr>
      <w:r>
        <w:rPr/>
        <w:t>Par exemple, les femmes sont plus amenées que les hommes à rechercher des emplois qui offrent des arrangements flexibles afin de mieux les combiner avec leurs tâches domestiques. Parce que ces types d’emplois sont souvent moins bien payés et offrent des opportunités d’ascension moins rapide, la concentration des femmes dans ces positions réduit leur participation au marché du travail tout en renforçant leur manque de productivité.</w:t>
      </w:r>
    </w:p>
    <w:p>
      <w:pPr>
        <w:spacing w:after="0" w:line="235" w:lineRule="auto"/>
        <w:jc w:val="both"/>
        <w:sectPr>
          <w:pgSz w:w="15600" w:h="10800" w:orient="landscape"/>
          <w:pgMar w:header="0" w:footer="0" w:top="1440" w:bottom="280" w:left="0" w:right="0"/>
        </w:sectPr>
      </w:pPr>
    </w:p>
    <w:p>
      <w:pPr>
        <w:pStyle w:val="BodyText"/>
        <w:spacing w:before="9"/>
        <w:rPr>
          <w:sz w:val="16"/>
        </w:rPr>
      </w:pPr>
    </w:p>
    <w:p>
      <w:pPr>
        <w:pStyle w:val="BodyText"/>
        <w:spacing w:line="20" w:lineRule="exact"/>
        <w:ind w:left="1036"/>
        <w:rPr>
          <w:sz w:val="2"/>
        </w:rPr>
      </w:pPr>
      <w:r>
        <w:rPr>
          <w:sz w:val="2"/>
        </w:rPr>
        <w:pict>
          <v:group style="width:680.35pt;height:1pt;mso-position-horizontal-relative:char;mso-position-vertical-relative:line" coordorigin="0,0" coordsize="13607,20">
            <v:line style="position:absolute" from="0,10" to="13606,10" stroked="true" strokeweight="1pt" strokecolor="#747678">
              <v:stroke dashstyle="solid"/>
            </v:line>
          </v:group>
        </w:pict>
      </w:r>
      <w:r>
        <w:rPr>
          <w:sz w:val="2"/>
        </w:rPr>
      </w:r>
    </w:p>
    <w:p>
      <w:pPr>
        <w:pStyle w:val="BodyText"/>
        <w:spacing w:before="10"/>
        <w:rPr>
          <w:sz w:val="19"/>
        </w:rPr>
      </w:pPr>
      <w:r>
        <w:rPr/>
        <w:pict>
          <v:group style="position:absolute;margin-left:.000244pt;margin-top:14.073067pt;width:779.05pt;height:64.8500pt;mso-position-horizontal-relative:page;mso-position-vertical-relative:paragraph;z-index:-520;mso-wrap-distance-left:0;mso-wrap-distance-right:0" coordorigin="0,281" coordsize="15581,1297">
            <v:shape style="position:absolute;left:833;top:391;width:14211;height:1187" type="#_x0000_t75" stroked="false">
              <v:imagedata r:id="rId8" o:title=""/>
            </v:shape>
            <v:rect style="position:absolute;left:0;top:1318;width:15581;height:259" filled="true" fillcolor="#ffffff" stroked="false">
              <v:fill type="solid"/>
            </v:rect>
            <v:shape style="position:absolute;left:0;top:281;width:15581;height:1297" type="#_x0000_t202" filled="false" stroked="false">
              <v:textbox inset="0,0,0,0">
                <w:txbxContent>
                  <w:p>
                    <w:pPr>
                      <w:spacing w:line="674" w:lineRule="exact" w:before="0"/>
                      <w:ind w:left="996" w:right="0" w:firstLine="0"/>
                      <w:jc w:val="left"/>
                      <w:rPr>
                        <w:rFonts w:ascii="Arial" w:hAnsi="Arial"/>
                        <w:sz w:val="56"/>
                      </w:rPr>
                    </w:pPr>
                    <w:r>
                      <w:rPr>
                        <w:b/>
                        <w:color w:val="001846"/>
                        <w:sz w:val="56"/>
                      </w:rPr>
                      <w:t>MARCHE DU TRAVAIL </w:t>
                    </w:r>
                    <w:r>
                      <w:rPr>
                        <w:color w:val="001846"/>
                        <w:sz w:val="56"/>
                      </w:rPr>
                      <w:t>| INÉGALITÉS HOMMES-FEMMES </w:t>
                    </w:r>
                    <w:r>
                      <w:rPr>
                        <w:rFonts w:ascii="Gill Sans MT Condensed" w:hAnsi="Gill Sans MT Condensed"/>
                        <w:color w:val="001846"/>
                        <w:sz w:val="56"/>
                      </w:rPr>
                      <w:t>• </w:t>
                    </w:r>
                    <w:r>
                      <w:rPr>
                        <w:rFonts w:ascii="Arial" w:hAnsi="Arial"/>
                        <w:color w:val="001846"/>
                        <w:sz w:val="56"/>
                      </w:rPr>
                      <w:t>3</w:t>
                    </w:r>
                  </w:p>
                </w:txbxContent>
              </v:textbox>
              <w10:wrap type="none"/>
            </v:shape>
            <w10:wrap type="topAndBottom"/>
          </v:group>
        </w:pict>
      </w:r>
    </w:p>
    <w:p>
      <w:pPr>
        <w:pStyle w:val="BodyText"/>
        <w:spacing w:line="235" w:lineRule="auto" w:before="75"/>
        <w:ind w:left="882" w:right="990"/>
        <w:jc w:val="both"/>
      </w:pPr>
      <w:r>
        <w:rPr/>
        <w:t>Les femmes sont aussi systématiquement écartées de postes à responsabilité dans des secteurs, ou au sein des entreprises, comme dans la finance, l’immobilier et le secteur public, selon le Rapport de la Banque Mondiale sur la Côte d’Ivoire - 2017. Rares sont aussi les femmes qui dirigent des entreprises puisque sur 800 entreprises enregistrées au sein du CEPICI entre janvier et mai 2013, seules 15% étaient dirigées par des femmes.</w:t>
      </w:r>
    </w:p>
    <w:p>
      <w:pPr>
        <w:pStyle w:val="BodyText"/>
        <w:spacing w:line="235" w:lineRule="auto" w:before="67"/>
        <w:ind w:left="882" w:right="993"/>
        <w:jc w:val="both"/>
      </w:pPr>
      <w:r>
        <w:rPr/>
        <w:drawing>
          <wp:anchor distT="0" distB="0" distL="0" distR="0" allowOverlap="1" layoutInCell="1" locked="0" behindDoc="0" simplePos="0" relativeHeight="1552">
            <wp:simplePos x="0" y="0"/>
            <wp:positionH relativeFrom="page">
              <wp:posOffset>564070</wp:posOffset>
            </wp:positionH>
            <wp:positionV relativeFrom="paragraph">
              <wp:posOffset>1212543</wp:posOffset>
            </wp:positionV>
            <wp:extent cx="5685028" cy="2144646"/>
            <wp:effectExtent l="0" t="0" r="0" b="0"/>
            <wp:wrapNone/>
            <wp:docPr id="5" name="image8.jpeg" descr=""/>
            <wp:cNvGraphicFramePr>
              <a:graphicFrameLocks noChangeAspect="1"/>
            </wp:cNvGraphicFramePr>
            <a:graphic>
              <a:graphicData uri="http://schemas.openxmlformats.org/drawingml/2006/picture">
                <pic:pic>
                  <pic:nvPicPr>
                    <pic:cNvPr id="6" name="image8.jpeg"/>
                    <pic:cNvPicPr/>
                  </pic:nvPicPr>
                  <pic:blipFill>
                    <a:blip r:embed="rId15" cstate="print"/>
                    <a:stretch>
                      <a:fillRect/>
                    </a:stretch>
                  </pic:blipFill>
                  <pic:spPr>
                    <a:xfrm>
                      <a:off x="0" y="0"/>
                      <a:ext cx="5685028" cy="2144646"/>
                    </a:xfrm>
                    <a:prstGeom prst="rect">
                      <a:avLst/>
                    </a:prstGeom>
                  </pic:spPr>
                </pic:pic>
              </a:graphicData>
            </a:graphic>
          </wp:anchor>
        </w:drawing>
      </w:r>
      <w:r>
        <w:rPr>
          <w:spacing w:val="-7"/>
        </w:rPr>
        <w:t>L’Etat </w:t>
      </w:r>
      <w:r>
        <w:rPr/>
        <w:t>est aujourd’hui le premier employeur du secteur formel en Côte d’Ivoire et </w:t>
      </w:r>
      <w:r>
        <w:rPr>
          <w:spacing w:val="-7"/>
        </w:rPr>
        <w:t>c’est </w:t>
      </w:r>
      <w:r>
        <w:rPr/>
        <w:t>dans la Fonction Publique que les inégalités </w:t>
      </w:r>
      <w:r>
        <w:rPr>
          <w:spacing w:val="-3"/>
        </w:rPr>
        <w:t>envers </w:t>
      </w:r>
      <w:r>
        <w:rPr/>
        <w:t>les femmes sont importantes, </w:t>
      </w:r>
      <w:r>
        <w:rPr>
          <w:spacing w:val="-3"/>
        </w:rPr>
        <w:t>puisqu’elles </w:t>
      </w:r>
      <w:r>
        <w:rPr/>
        <w:t>ne composaient en 2015, que 31% de </w:t>
      </w:r>
      <w:r>
        <w:rPr>
          <w:spacing w:val="-5"/>
        </w:rPr>
        <w:t>l’effectif </w:t>
      </w:r>
      <w:r>
        <w:rPr/>
        <w:t>total.</w:t>
      </w:r>
    </w:p>
    <w:p>
      <w:pPr>
        <w:spacing w:after="0" w:line="235" w:lineRule="auto"/>
        <w:jc w:val="both"/>
        <w:sectPr>
          <w:pgSz w:w="15600" w:h="10800" w:orient="landscape"/>
          <w:pgMar w:header="0" w:footer="0" w:top="1440" w:bottom="0" w:left="0" w:right="0"/>
        </w:sectPr>
      </w:pPr>
    </w:p>
    <w:p>
      <w:pPr>
        <w:pStyle w:val="BodyText"/>
        <w:rPr>
          <w:sz w:val="20"/>
        </w:rPr>
      </w:pPr>
    </w:p>
    <w:p>
      <w:pPr>
        <w:pStyle w:val="BodyText"/>
        <w:spacing w:before="2"/>
        <w:rPr>
          <w:sz w:val="11"/>
        </w:rPr>
      </w:pPr>
    </w:p>
    <w:p>
      <w:pPr>
        <w:pStyle w:val="BodyText"/>
        <w:ind w:right="-44"/>
        <w:rPr>
          <w:sz w:val="20"/>
        </w:rPr>
      </w:pPr>
      <w:r>
        <w:rPr>
          <w:sz w:val="20"/>
        </w:rPr>
        <w:pict>
          <v:group style="width:779.05pt;height:59.55pt;mso-position-horizontal-relative:char;mso-position-vertical-relative:line" coordorigin="0,0" coordsize="15581,1191">
            <v:shape style="position:absolute;left:833;top:4;width:14211;height:1187" type="#_x0000_t75" stroked="false">
              <v:imagedata r:id="rId8" o:title=""/>
            </v:shape>
            <v:rect style="position:absolute;left:0;top:931;width:15581;height:259" filled="true" fillcolor="#ffffff" stroked="false">
              <v:fill type="solid"/>
            </v:rect>
            <v:shape style="position:absolute;left:0;top:0;width:15581;height:1191" type="#_x0000_t202" filled="false" stroked="false">
              <v:textbox inset="0,0,0,0">
                <w:txbxContent>
                  <w:p>
                    <w:pPr>
                      <w:spacing w:line="570" w:lineRule="exact" w:before="0"/>
                      <w:ind w:left="996" w:right="0" w:firstLine="0"/>
                      <w:jc w:val="left"/>
                      <w:rPr>
                        <w:sz w:val="56"/>
                      </w:rPr>
                    </w:pPr>
                    <w:r>
                      <w:rPr>
                        <w:b/>
                        <w:color w:val="001846"/>
                        <w:sz w:val="56"/>
                      </w:rPr>
                      <w:t>RÉMUNÉRATIONS</w:t>
                    </w:r>
                    <w:r>
                      <w:rPr>
                        <w:color w:val="001846"/>
                        <w:sz w:val="56"/>
                      </w:rPr>
                      <w:t>| INÉGALITÉS HOMMES-FEMMES</w:t>
                    </w:r>
                  </w:p>
                </w:txbxContent>
              </v:textbox>
              <w10:wrap type="none"/>
            </v:shape>
          </v:group>
        </w:pict>
      </w:r>
      <w:r>
        <w:rPr>
          <w:sz w:val="20"/>
        </w:rPr>
      </w:r>
    </w:p>
    <w:p>
      <w:pPr>
        <w:spacing w:line="235" w:lineRule="auto" w:before="71"/>
        <w:ind w:left="882" w:right="990" w:firstLine="0"/>
        <w:jc w:val="both"/>
        <w:rPr>
          <w:sz w:val="36"/>
        </w:rPr>
      </w:pPr>
      <w:r>
        <w:rPr>
          <w:b/>
          <w:sz w:val="36"/>
        </w:rPr>
        <w:t>La </w:t>
      </w:r>
      <w:r>
        <w:rPr>
          <w:b/>
          <w:spacing w:val="-4"/>
          <w:sz w:val="36"/>
        </w:rPr>
        <w:t>véritable discrimination </w:t>
      </w:r>
      <w:r>
        <w:rPr>
          <w:b/>
          <w:sz w:val="36"/>
        </w:rPr>
        <w:t>à </w:t>
      </w:r>
      <w:r>
        <w:rPr>
          <w:b/>
          <w:spacing w:val="-7"/>
          <w:sz w:val="36"/>
        </w:rPr>
        <w:t>l’encontre </w:t>
      </w:r>
      <w:r>
        <w:rPr>
          <w:b/>
          <w:spacing w:val="-3"/>
          <w:sz w:val="36"/>
        </w:rPr>
        <w:t>des </w:t>
      </w:r>
      <w:r>
        <w:rPr>
          <w:b/>
          <w:spacing w:val="-4"/>
          <w:sz w:val="36"/>
        </w:rPr>
        <w:t>femmes ivoiriennes </w:t>
      </w:r>
      <w:r>
        <w:rPr>
          <w:b/>
          <w:spacing w:val="-3"/>
          <w:sz w:val="36"/>
        </w:rPr>
        <w:t>est dans </w:t>
      </w:r>
      <w:r>
        <w:rPr>
          <w:b/>
          <w:spacing w:val="-4"/>
          <w:sz w:val="36"/>
        </w:rPr>
        <w:t>leurs rémunérations</w:t>
      </w:r>
      <w:r>
        <w:rPr>
          <w:spacing w:val="-4"/>
          <w:sz w:val="36"/>
        </w:rPr>
        <w:t>, </w:t>
      </w:r>
      <w:r>
        <w:rPr>
          <w:sz w:val="36"/>
        </w:rPr>
        <w:t>qui sont en moyenne égale à la moitié de celles touchées par les hommes dans le secteur secondaire et tertiaire. Sur la base des données officielles de 2014, les salaires des femmes sont en moyenne égaux à 125 dollars par mois, alors que ceux des hommes à 240 dollars.</w:t>
      </w:r>
    </w:p>
    <w:p>
      <w:pPr>
        <w:pStyle w:val="BodyText"/>
        <w:spacing w:line="235" w:lineRule="auto" w:before="125"/>
        <w:ind w:left="882" w:right="992"/>
        <w:jc w:val="both"/>
      </w:pPr>
      <w:r>
        <w:rPr/>
        <w:t>Au niveau de la Fonction publique, non seulement les femmes sont largement sous- représentées, mais elles touchent des rémunérations qui sont en moyenne 33% inférieures à celles des hommes, avec une concentration dans les grades les moins élevés.</w:t>
      </w:r>
    </w:p>
    <w:p>
      <w:pPr>
        <w:pStyle w:val="BodyText"/>
        <w:spacing w:line="235" w:lineRule="auto" w:before="5"/>
        <w:ind w:left="882" w:right="994"/>
        <w:jc w:val="both"/>
      </w:pPr>
      <w:r>
        <w:rPr/>
        <w:t>Selon </w:t>
      </w:r>
      <w:r>
        <w:rPr>
          <w:spacing w:val="-6"/>
        </w:rPr>
        <w:t>l’Annuaire </w:t>
      </w:r>
      <w:r>
        <w:rPr/>
        <w:t>de la Fonction Publique 2009-2015, une femme reçoit en moyenne un salaire mensuel de 94,000 </w:t>
      </w:r>
      <w:r>
        <w:rPr>
          <w:spacing w:val="-6"/>
        </w:rPr>
        <w:t>FCFA </w:t>
      </w:r>
      <w:r>
        <w:rPr/>
        <w:t>- 152 dollars, alors que celui </w:t>
      </w:r>
      <w:r>
        <w:rPr>
          <w:spacing w:val="-3"/>
        </w:rPr>
        <w:t>d’un </w:t>
      </w:r>
      <w:r>
        <w:rPr/>
        <w:t>homme avoisine 141,000 </w:t>
      </w:r>
      <w:r>
        <w:rPr>
          <w:spacing w:val="-6"/>
        </w:rPr>
        <w:t>FCFA </w:t>
      </w:r>
      <w:r>
        <w:rPr/>
        <w:t>- 240 dollars.</w:t>
      </w:r>
    </w:p>
    <w:p>
      <w:pPr>
        <w:pStyle w:val="BodyText"/>
        <w:spacing w:line="235" w:lineRule="auto" w:before="4"/>
        <w:ind w:left="882" w:right="1001"/>
        <w:jc w:val="both"/>
      </w:pPr>
      <w:r>
        <w:rPr/>
        <w:t>Ces écarts salariaux </w:t>
      </w:r>
      <w:r>
        <w:rPr>
          <w:spacing w:val="-3"/>
        </w:rPr>
        <w:t>reflètent </w:t>
      </w:r>
      <w:r>
        <w:rPr/>
        <w:t>en grande partie la grille hiérarchique de la Fonction Publique où les hommes sont environ 3,5 plus nombreux que les femmes dans la catégorie</w:t>
      </w:r>
      <w:r>
        <w:rPr>
          <w:spacing w:val="-11"/>
        </w:rPr>
        <w:t> </w:t>
      </w:r>
      <w:r>
        <w:rPr/>
        <w:t>A.</w:t>
      </w:r>
    </w:p>
    <w:p>
      <w:pPr>
        <w:pStyle w:val="BodyText"/>
        <w:spacing w:line="235" w:lineRule="auto" w:before="3"/>
        <w:ind w:left="882" w:right="984"/>
        <w:jc w:val="both"/>
      </w:pPr>
      <w:r>
        <w:rPr>
          <w:spacing w:val="-10"/>
        </w:rPr>
        <w:t>Pour </w:t>
      </w:r>
      <w:r>
        <w:rPr>
          <w:spacing w:val="-7"/>
        </w:rPr>
        <w:t>les </w:t>
      </w:r>
      <w:r>
        <w:rPr>
          <w:spacing w:val="-9"/>
        </w:rPr>
        <w:t>emplois moins </w:t>
      </w:r>
      <w:r>
        <w:rPr>
          <w:spacing w:val="-10"/>
        </w:rPr>
        <w:t>qualifiés </w:t>
      </w:r>
      <w:r>
        <w:rPr/>
        <w:t>- </w:t>
      </w:r>
      <w:r>
        <w:rPr>
          <w:spacing w:val="-11"/>
        </w:rPr>
        <w:t>catégorie </w:t>
      </w:r>
      <w:r>
        <w:rPr>
          <w:spacing w:val="-10"/>
        </w:rPr>
        <w:t>D, </w:t>
      </w:r>
      <w:r>
        <w:rPr>
          <w:spacing w:val="-13"/>
        </w:rPr>
        <w:t>l’écart </w:t>
      </w:r>
      <w:r>
        <w:rPr>
          <w:spacing w:val="-5"/>
        </w:rPr>
        <w:t>se </w:t>
      </w:r>
      <w:r>
        <w:rPr>
          <w:spacing w:val="-11"/>
        </w:rPr>
        <w:t>rétrécit </w:t>
      </w:r>
      <w:r>
        <w:rPr>
          <w:spacing w:val="-9"/>
        </w:rPr>
        <w:t>puisque </w:t>
      </w:r>
      <w:r>
        <w:rPr>
          <w:spacing w:val="-7"/>
        </w:rPr>
        <w:t>les </w:t>
      </w:r>
      <w:r>
        <w:rPr>
          <w:spacing w:val="-9"/>
        </w:rPr>
        <w:t>hommes </w:t>
      </w:r>
      <w:r>
        <w:rPr>
          <w:spacing w:val="-10"/>
        </w:rPr>
        <w:t>n’y </w:t>
      </w:r>
      <w:r>
        <w:rPr>
          <w:spacing w:val="-8"/>
        </w:rPr>
        <w:t>sont </w:t>
      </w:r>
      <w:r>
        <w:rPr>
          <w:spacing w:val="-9"/>
        </w:rPr>
        <w:t>qu’1,4 </w:t>
      </w:r>
      <w:r>
        <w:rPr/>
        <w:t>plus nombreux que les femmes, avec même plus de femmes dans la dernière catégorie - D2.</w:t>
      </w:r>
    </w:p>
    <w:p>
      <w:pPr>
        <w:spacing w:after="0" w:line="235" w:lineRule="auto"/>
        <w:jc w:val="both"/>
        <w:sectPr>
          <w:headerReference w:type="default" r:id="rId16"/>
          <w:pgSz w:w="15600" w:h="10800" w:orient="landscape"/>
          <w:pgMar w:header="0" w:footer="0" w:top="1660" w:bottom="280" w:left="0" w:right="0"/>
        </w:sectPr>
      </w:pPr>
    </w:p>
    <w:p>
      <w:pPr>
        <w:pStyle w:val="BodyText"/>
        <w:rPr>
          <w:sz w:val="20"/>
        </w:rPr>
      </w:pPr>
    </w:p>
    <w:p>
      <w:pPr>
        <w:pStyle w:val="BodyText"/>
        <w:spacing w:before="2"/>
        <w:rPr>
          <w:sz w:val="11"/>
        </w:rPr>
      </w:pPr>
    </w:p>
    <w:p>
      <w:pPr>
        <w:pStyle w:val="BodyText"/>
        <w:ind w:right="-44"/>
        <w:rPr>
          <w:sz w:val="20"/>
        </w:rPr>
      </w:pPr>
      <w:r>
        <w:rPr>
          <w:sz w:val="20"/>
        </w:rPr>
        <w:pict>
          <v:group style="width:779.05pt;height:59.55pt;mso-position-horizontal-relative:char;mso-position-vertical-relative:line" coordorigin="0,0" coordsize="15581,1191">
            <v:shape style="position:absolute;left:833;top:4;width:14211;height:1187" type="#_x0000_t75" stroked="false">
              <v:imagedata r:id="rId8" o:title=""/>
            </v:shape>
            <v:rect style="position:absolute;left:0;top:931;width:15581;height:259" filled="true" fillcolor="#ffffff" stroked="false">
              <v:fill type="solid"/>
            </v:rect>
            <v:shape style="position:absolute;left:0;top:0;width:15581;height:1191" type="#_x0000_t202" filled="false" stroked="false">
              <v:textbox inset="0,0,0,0">
                <w:txbxContent>
                  <w:p>
                    <w:pPr>
                      <w:spacing w:line="570" w:lineRule="exact" w:before="0"/>
                      <w:ind w:left="996" w:right="0" w:firstLine="0"/>
                      <w:jc w:val="left"/>
                      <w:rPr>
                        <w:sz w:val="56"/>
                      </w:rPr>
                    </w:pPr>
                    <w:r>
                      <w:rPr>
                        <w:b/>
                        <w:color w:val="001846"/>
                        <w:sz w:val="56"/>
                      </w:rPr>
                      <w:t>PERSPECTIVES ET OPPORTUNITÉS </w:t>
                    </w:r>
                    <w:r>
                      <w:rPr>
                        <w:color w:val="001846"/>
                        <w:sz w:val="56"/>
                      </w:rPr>
                      <w:t>| ACTIONS À MENER</w:t>
                    </w:r>
                  </w:p>
                </w:txbxContent>
              </v:textbox>
              <w10:wrap type="none"/>
            </v:shape>
          </v:group>
        </w:pict>
      </w:r>
      <w:r>
        <w:rPr>
          <w:sz w:val="20"/>
        </w:rPr>
      </w:r>
    </w:p>
    <w:p>
      <w:pPr>
        <w:pStyle w:val="BodyText"/>
        <w:spacing w:before="8"/>
        <w:rPr>
          <w:sz w:val="5"/>
        </w:rPr>
      </w:pPr>
    </w:p>
    <w:p>
      <w:pPr>
        <w:spacing w:after="0"/>
        <w:rPr>
          <w:sz w:val="5"/>
        </w:rPr>
        <w:sectPr>
          <w:pgSz w:w="15600" w:h="10800" w:orient="landscape"/>
          <w:pgMar w:header="0" w:footer="0" w:top="1660" w:bottom="280" w:left="0" w:right="0"/>
        </w:sectPr>
      </w:pPr>
    </w:p>
    <w:p>
      <w:pPr>
        <w:pStyle w:val="Heading1"/>
        <w:spacing w:line="432" w:lineRule="exact"/>
        <w:ind w:left="1046"/>
      </w:pPr>
      <w:r>
        <w:rPr>
          <w:color w:val="001846"/>
        </w:rPr>
        <w:t>Equité des genres et développement</w:t>
      </w:r>
    </w:p>
    <w:p>
      <w:pPr>
        <w:spacing w:line="235" w:lineRule="auto" w:before="4"/>
        <w:ind w:left="1046" w:right="1" w:firstLine="0"/>
        <w:jc w:val="both"/>
        <w:rPr>
          <w:sz w:val="35"/>
        </w:rPr>
      </w:pPr>
      <w:r>
        <w:rPr>
          <w:sz w:val="35"/>
        </w:rPr>
        <w:t>La question de l’équité des genres n’est pas seulement un enjeu d’ordre éthique et social, elle est aujourd’hui pour la Côte d’Ivoire un enjeu d’ordre économique, dans son projet de développement à long terme.</w:t>
      </w:r>
    </w:p>
    <w:p>
      <w:pPr>
        <w:spacing w:line="235" w:lineRule="auto" w:before="5"/>
        <w:ind w:left="1046" w:right="0" w:firstLine="0"/>
        <w:jc w:val="both"/>
        <w:rPr>
          <w:sz w:val="35"/>
        </w:rPr>
      </w:pPr>
      <w:r>
        <w:rPr>
          <w:sz w:val="35"/>
        </w:rPr>
        <w:t>De nombre d’études et l’expérience internationale au cours des dernières années ont démontrées que le succès des pays industrialisés et de plusieurs pays émergents est en partie expliqué par l’élimination des inégalités à l’encontre des femmes.</w:t>
      </w:r>
    </w:p>
    <w:p>
      <w:pPr>
        <w:spacing w:line="235" w:lineRule="auto" w:before="127"/>
        <w:ind w:left="1046" w:right="0" w:firstLine="0"/>
        <w:jc w:val="both"/>
        <w:rPr>
          <w:sz w:val="35"/>
        </w:rPr>
      </w:pPr>
      <w:r>
        <w:rPr>
          <w:sz w:val="35"/>
        </w:rPr>
        <w:t>Une politique </w:t>
      </w:r>
      <w:r>
        <w:rPr>
          <w:spacing w:val="-4"/>
          <w:sz w:val="35"/>
        </w:rPr>
        <w:t>d’équité </w:t>
      </w:r>
      <w:r>
        <w:rPr>
          <w:sz w:val="35"/>
        </w:rPr>
        <w:t>des genres pourrait apporter à la Côte d’Ivoire, selon une simulation de la Banque Mondiale, des gains qui pourraient atteindre entre 6 et 8 milliards de dollars par an dans le long terme, si les inégalités sont réduites à celles des </w:t>
      </w:r>
      <w:r>
        <w:rPr>
          <w:spacing w:val="-3"/>
          <w:sz w:val="35"/>
        </w:rPr>
        <w:t>pays </w:t>
      </w:r>
      <w:r>
        <w:rPr>
          <w:sz w:val="35"/>
        </w:rPr>
        <w:t>les plus performants dans le</w:t>
      </w:r>
      <w:r>
        <w:rPr>
          <w:spacing w:val="-2"/>
          <w:sz w:val="35"/>
        </w:rPr>
        <w:t> </w:t>
      </w:r>
      <w:r>
        <w:rPr>
          <w:sz w:val="35"/>
        </w:rPr>
        <w:t>monde.</w:t>
      </w:r>
    </w:p>
    <w:p>
      <w:pPr>
        <w:spacing w:line="397" w:lineRule="exact" w:before="0"/>
        <w:ind w:left="297" w:right="0" w:firstLine="0"/>
        <w:jc w:val="left"/>
        <w:rPr>
          <w:b/>
          <w:sz w:val="33"/>
        </w:rPr>
      </w:pPr>
      <w:r>
        <w:rPr/>
        <w:br w:type="column"/>
      </w:r>
      <w:r>
        <w:rPr>
          <w:b/>
          <w:color w:val="006FC0"/>
          <w:sz w:val="33"/>
        </w:rPr>
        <w:t>Education</w:t>
      </w:r>
    </w:p>
    <w:p>
      <w:pPr>
        <w:spacing w:line="235" w:lineRule="auto" w:before="3"/>
        <w:ind w:left="297" w:right="760" w:firstLine="0"/>
        <w:jc w:val="both"/>
        <w:rPr>
          <w:sz w:val="33"/>
        </w:rPr>
      </w:pPr>
      <w:r>
        <w:rPr>
          <w:sz w:val="33"/>
        </w:rPr>
        <w:t>Le point de départ au niveau de l’équité, c’est l’éducation, levier principal pour améliorer la situation des femmes dans le monde du travail et leur statut social.</w:t>
      </w:r>
    </w:p>
    <w:p>
      <w:pPr>
        <w:spacing w:line="235" w:lineRule="auto" w:before="125"/>
        <w:ind w:left="297" w:right="755" w:firstLine="0"/>
        <w:jc w:val="both"/>
        <w:rPr>
          <w:sz w:val="33"/>
        </w:rPr>
      </w:pPr>
      <w:r>
        <w:rPr>
          <w:sz w:val="33"/>
        </w:rPr>
        <w:t>Une politique de recrutement dans </w:t>
      </w:r>
      <w:r>
        <w:rPr>
          <w:spacing w:val="-4"/>
          <w:sz w:val="33"/>
        </w:rPr>
        <w:t>l’éducation</w:t>
      </w:r>
      <w:r>
        <w:rPr>
          <w:spacing w:val="66"/>
          <w:sz w:val="33"/>
        </w:rPr>
        <w:t> </w:t>
      </w:r>
      <w:r>
        <w:rPr>
          <w:sz w:val="33"/>
        </w:rPr>
        <w:t>pourrait être un point de départ </w:t>
      </w:r>
      <w:r>
        <w:rPr>
          <w:spacing w:val="-9"/>
          <w:sz w:val="33"/>
        </w:rPr>
        <w:t>car </w:t>
      </w:r>
      <w:r>
        <w:rPr>
          <w:spacing w:val="-7"/>
          <w:sz w:val="33"/>
        </w:rPr>
        <w:t>les </w:t>
      </w:r>
      <w:r>
        <w:rPr>
          <w:spacing w:val="-11"/>
          <w:sz w:val="33"/>
        </w:rPr>
        <w:t>enseignantes </w:t>
      </w:r>
      <w:r>
        <w:rPr>
          <w:spacing w:val="-5"/>
          <w:sz w:val="33"/>
        </w:rPr>
        <w:t>ne </w:t>
      </w:r>
      <w:r>
        <w:rPr>
          <w:spacing w:val="-11"/>
          <w:sz w:val="33"/>
        </w:rPr>
        <w:t>constituent </w:t>
      </w:r>
      <w:r>
        <w:rPr>
          <w:spacing w:val="-8"/>
          <w:sz w:val="33"/>
        </w:rPr>
        <w:t>que </w:t>
      </w:r>
      <w:r>
        <w:rPr>
          <w:spacing w:val="-5"/>
          <w:sz w:val="33"/>
        </w:rPr>
        <w:t>27 </w:t>
      </w:r>
      <w:r>
        <w:rPr>
          <w:sz w:val="33"/>
        </w:rPr>
        <w:t>% de </w:t>
      </w:r>
      <w:r>
        <w:rPr>
          <w:spacing w:val="-9"/>
          <w:sz w:val="33"/>
        </w:rPr>
        <w:t>l’effectif </w:t>
      </w:r>
      <w:r>
        <w:rPr>
          <w:spacing w:val="-3"/>
          <w:sz w:val="33"/>
        </w:rPr>
        <w:t>au </w:t>
      </w:r>
      <w:r>
        <w:rPr>
          <w:spacing w:val="-5"/>
          <w:sz w:val="33"/>
        </w:rPr>
        <w:t>niveau </w:t>
      </w:r>
      <w:r>
        <w:rPr>
          <w:spacing w:val="-6"/>
          <w:sz w:val="33"/>
        </w:rPr>
        <w:t>primaire, </w:t>
      </w:r>
      <w:r>
        <w:rPr>
          <w:sz w:val="33"/>
        </w:rPr>
        <w:t>alors </w:t>
      </w:r>
      <w:r>
        <w:rPr>
          <w:spacing w:val="-4"/>
          <w:sz w:val="33"/>
        </w:rPr>
        <w:t>qu’elles </w:t>
      </w:r>
      <w:r>
        <w:rPr>
          <w:spacing w:val="-3"/>
          <w:sz w:val="33"/>
        </w:rPr>
        <w:t>représentent </w:t>
      </w:r>
      <w:r>
        <w:rPr>
          <w:sz w:val="33"/>
        </w:rPr>
        <w:t>45 % et 67% des </w:t>
      </w:r>
      <w:r>
        <w:rPr>
          <w:spacing w:val="-3"/>
          <w:sz w:val="33"/>
        </w:rPr>
        <w:t>effectifs </w:t>
      </w:r>
      <w:r>
        <w:rPr>
          <w:sz w:val="33"/>
        </w:rPr>
        <w:t>en Afrique Sub-saharienne et dans les </w:t>
      </w:r>
      <w:r>
        <w:rPr>
          <w:spacing w:val="-3"/>
          <w:sz w:val="33"/>
        </w:rPr>
        <w:t>pays </w:t>
      </w:r>
      <w:r>
        <w:rPr>
          <w:sz w:val="33"/>
        </w:rPr>
        <w:t>à revenus intermédiaires.</w:t>
      </w:r>
    </w:p>
    <w:p>
      <w:pPr>
        <w:spacing w:line="235" w:lineRule="auto" w:before="9"/>
        <w:ind w:left="297" w:right="765" w:firstLine="0"/>
        <w:jc w:val="both"/>
        <w:rPr>
          <w:sz w:val="33"/>
        </w:rPr>
      </w:pPr>
      <w:r>
        <w:rPr>
          <w:sz w:val="33"/>
        </w:rPr>
        <w:t>La parité </w:t>
      </w:r>
      <w:r>
        <w:rPr>
          <w:spacing w:val="-3"/>
          <w:sz w:val="33"/>
        </w:rPr>
        <w:t>éducative </w:t>
      </w:r>
      <w:r>
        <w:rPr>
          <w:sz w:val="33"/>
        </w:rPr>
        <w:t>a été au centre de la </w:t>
      </w:r>
      <w:r>
        <w:rPr>
          <w:spacing w:val="-3"/>
          <w:sz w:val="33"/>
        </w:rPr>
        <w:t>stratégie </w:t>
      </w:r>
      <w:r>
        <w:rPr>
          <w:sz w:val="33"/>
        </w:rPr>
        <w:t>poursuivie par la plupart des </w:t>
      </w:r>
      <w:r>
        <w:rPr>
          <w:spacing w:val="-3"/>
          <w:sz w:val="33"/>
        </w:rPr>
        <w:t>pays </w:t>
      </w:r>
      <w:r>
        <w:rPr>
          <w:sz w:val="33"/>
        </w:rPr>
        <w:t>qui ont </w:t>
      </w:r>
      <w:r>
        <w:rPr>
          <w:spacing w:val="-5"/>
          <w:sz w:val="33"/>
        </w:rPr>
        <w:t>réussi </w:t>
      </w:r>
      <w:r>
        <w:rPr>
          <w:spacing w:val="-4"/>
          <w:sz w:val="33"/>
        </w:rPr>
        <w:t>leur </w:t>
      </w:r>
      <w:r>
        <w:rPr>
          <w:spacing w:val="-5"/>
          <w:sz w:val="33"/>
        </w:rPr>
        <w:t>émergence, </w:t>
      </w:r>
      <w:r>
        <w:rPr>
          <w:spacing w:val="-4"/>
          <w:sz w:val="33"/>
        </w:rPr>
        <w:t>selon </w:t>
      </w:r>
      <w:r>
        <w:rPr>
          <w:spacing w:val="-8"/>
          <w:sz w:val="33"/>
        </w:rPr>
        <w:t>l’OECD </w:t>
      </w:r>
      <w:r>
        <w:rPr>
          <w:sz w:val="33"/>
        </w:rPr>
        <w:t>-</w:t>
      </w:r>
      <w:r>
        <w:rPr>
          <w:spacing w:val="-13"/>
          <w:sz w:val="33"/>
        </w:rPr>
        <w:t> </w:t>
      </w:r>
      <w:r>
        <w:rPr>
          <w:spacing w:val="-4"/>
          <w:sz w:val="33"/>
        </w:rPr>
        <w:t>2012.</w:t>
      </w:r>
    </w:p>
    <w:p>
      <w:pPr>
        <w:spacing w:after="0" w:line="235" w:lineRule="auto"/>
        <w:jc w:val="both"/>
        <w:rPr>
          <w:sz w:val="33"/>
        </w:rPr>
        <w:sectPr>
          <w:type w:val="continuous"/>
          <w:pgSz w:w="15600" w:h="10800" w:orient="landscape"/>
          <w:pgMar w:top="520" w:bottom="0" w:left="0" w:right="0"/>
          <w:cols w:num="2" w:equalWidth="0">
            <w:col w:w="8825" w:space="40"/>
            <w:col w:w="6735"/>
          </w:cols>
        </w:sectPr>
      </w:pPr>
    </w:p>
    <w:p>
      <w:pPr>
        <w:pStyle w:val="BodyText"/>
        <w:rPr>
          <w:sz w:val="20"/>
        </w:rPr>
      </w:pPr>
    </w:p>
    <w:p>
      <w:pPr>
        <w:pStyle w:val="BodyText"/>
        <w:spacing w:before="2"/>
        <w:rPr>
          <w:sz w:val="11"/>
        </w:rPr>
      </w:pPr>
    </w:p>
    <w:p>
      <w:pPr>
        <w:pStyle w:val="BodyText"/>
        <w:ind w:right="-44"/>
        <w:rPr>
          <w:sz w:val="20"/>
        </w:rPr>
      </w:pPr>
      <w:r>
        <w:rPr>
          <w:sz w:val="20"/>
        </w:rPr>
        <w:pict>
          <v:group style="width:779.05pt;height:59.55pt;mso-position-horizontal-relative:char;mso-position-vertical-relative:line" coordorigin="0,0" coordsize="15581,1191">
            <v:shape style="position:absolute;left:833;top:4;width:14211;height:1187" type="#_x0000_t75" stroked="false">
              <v:imagedata r:id="rId8" o:title=""/>
            </v:shape>
            <v:rect style="position:absolute;left:0;top:931;width:15581;height:259" filled="true" fillcolor="#ffffff" stroked="false">
              <v:fill type="solid"/>
            </v:rect>
            <v:shape style="position:absolute;left:0;top:0;width:15581;height:1191" type="#_x0000_t202" filled="false" stroked="false">
              <v:textbox inset="0,0,0,0">
                <w:txbxContent>
                  <w:p>
                    <w:pPr>
                      <w:spacing w:line="570" w:lineRule="exact" w:before="0"/>
                      <w:ind w:left="996" w:right="0" w:firstLine="0"/>
                      <w:jc w:val="left"/>
                      <w:rPr>
                        <w:sz w:val="56"/>
                      </w:rPr>
                    </w:pPr>
                    <w:r>
                      <w:rPr>
                        <w:b/>
                        <w:color w:val="001846"/>
                        <w:sz w:val="56"/>
                      </w:rPr>
                      <w:t>PERSPECTIVES ET OPPORTUNITÉS </w:t>
                    </w:r>
                    <w:r>
                      <w:rPr>
                        <w:color w:val="001846"/>
                        <w:sz w:val="56"/>
                      </w:rPr>
                      <w:t>| ACTIONS À MENER</w:t>
                    </w:r>
                  </w:p>
                </w:txbxContent>
              </v:textbox>
              <w10:wrap type="none"/>
            </v:shape>
          </v:group>
        </w:pict>
      </w:r>
      <w:r>
        <w:rPr>
          <w:sz w:val="20"/>
        </w:rPr>
      </w:r>
    </w:p>
    <w:p>
      <w:pPr>
        <w:pStyle w:val="Heading1"/>
        <w:spacing w:line="436" w:lineRule="exact" w:before="64"/>
        <w:ind w:left="932"/>
      </w:pPr>
      <w:r>
        <w:rPr>
          <w:color w:val="006FC0"/>
        </w:rPr>
        <w:t>Leadership, plaidoyer et actions</w:t>
      </w:r>
    </w:p>
    <w:p>
      <w:pPr>
        <w:pStyle w:val="BodyText"/>
        <w:spacing w:line="235" w:lineRule="auto" w:before="3"/>
        <w:ind w:left="932" w:right="1058"/>
        <w:jc w:val="both"/>
      </w:pPr>
      <w:r>
        <w:rPr>
          <w:spacing w:val="-3"/>
        </w:rPr>
        <w:t>En </w:t>
      </w:r>
      <w:r>
        <w:rPr>
          <w:spacing w:val="-5"/>
        </w:rPr>
        <w:t>Côte d’Ivoire, </w:t>
      </w:r>
      <w:r>
        <w:rPr>
          <w:spacing w:val="-3"/>
        </w:rPr>
        <w:t>une </w:t>
      </w:r>
      <w:r>
        <w:rPr>
          <w:spacing w:val="-5"/>
        </w:rPr>
        <w:t>initiative pertinente </w:t>
      </w:r>
      <w:r>
        <w:rPr/>
        <w:t>a </w:t>
      </w:r>
      <w:r>
        <w:rPr>
          <w:spacing w:val="-6"/>
        </w:rPr>
        <w:t>été </w:t>
      </w:r>
      <w:r>
        <w:rPr>
          <w:spacing w:val="-4"/>
        </w:rPr>
        <w:t>menées </w:t>
      </w:r>
      <w:r>
        <w:rPr/>
        <w:t>en </w:t>
      </w:r>
      <w:r>
        <w:rPr>
          <w:spacing w:val="-4"/>
        </w:rPr>
        <w:t>vue </w:t>
      </w:r>
      <w:r>
        <w:rPr>
          <w:spacing w:val="-8"/>
        </w:rPr>
        <w:t>d’améliorer </w:t>
      </w:r>
      <w:r>
        <w:rPr>
          <w:spacing w:val="-3"/>
        </w:rPr>
        <w:t>la </w:t>
      </w:r>
      <w:r>
        <w:rPr>
          <w:spacing w:val="-5"/>
        </w:rPr>
        <w:t>situation des </w:t>
      </w:r>
      <w:r>
        <w:rPr>
          <w:spacing w:val="-6"/>
        </w:rPr>
        <w:t>femmes </w:t>
      </w:r>
      <w:r>
        <w:rPr>
          <w:spacing w:val="-4"/>
        </w:rPr>
        <w:t>dans </w:t>
      </w:r>
      <w:r>
        <w:rPr>
          <w:spacing w:val="-3"/>
        </w:rPr>
        <w:t>le </w:t>
      </w:r>
      <w:r>
        <w:rPr>
          <w:spacing w:val="-5"/>
        </w:rPr>
        <w:t>monde </w:t>
      </w:r>
      <w:r>
        <w:rPr>
          <w:spacing w:val="-3"/>
        </w:rPr>
        <w:t>du </w:t>
      </w:r>
      <w:r>
        <w:rPr>
          <w:spacing w:val="-7"/>
        </w:rPr>
        <w:t>travail: </w:t>
      </w:r>
      <w:r>
        <w:rPr>
          <w:spacing w:val="-3"/>
        </w:rPr>
        <w:t>la </w:t>
      </w:r>
      <w:r>
        <w:rPr>
          <w:spacing w:val="-6"/>
        </w:rPr>
        <w:t>création d’un </w:t>
      </w:r>
      <w:r>
        <w:rPr>
          <w:b/>
        </w:rPr>
        <w:t>Compendium des Compétences Féminines</w:t>
      </w:r>
      <w:r>
        <w:rPr/>
        <w:t>. Ce Compendium viserait à donner une meilleure visibilité aux femmes dans les </w:t>
      </w:r>
      <w:r>
        <w:rPr>
          <w:spacing w:val="-3"/>
        </w:rPr>
        <w:t>différents </w:t>
      </w:r>
      <w:r>
        <w:rPr/>
        <w:t>domaines </w:t>
      </w:r>
      <w:r>
        <w:rPr>
          <w:spacing w:val="-3"/>
        </w:rPr>
        <w:t>d’activités, </w:t>
      </w:r>
      <w:r>
        <w:rPr/>
        <w:t>pour </w:t>
      </w:r>
      <w:r>
        <w:rPr>
          <w:spacing w:val="-4"/>
        </w:rPr>
        <w:t>qu’elles </w:t>
      </w:r>
      <w:r>
        <w:rPr/>
        <w:t>soient plus représentées, à compétences égales, dans la vie publique et dans les instances de décisions, notamment au sein des entreprises.</w:t>
      </w:r>
    </w:p>
    <w:p>
      <w:pPr>
        <w:pStyle w:val="BodyText"/>
        <w:spacing w:line="235" w:lineRule="auto" w:before="7"/>
        <w:ind w:left="932" w:right="1058"/>
        <w:jc w:val="both"/>
      </w:pPr>
      <w:r>
        <w:rPr/>
        <w:t>En perspective, le développement de réseaux de femmes professionnelles et d’affaires, de femmes dirigeantes dans l’administration publique et dans les conseils d’administration de grandes entreprises constituerait l’un des principaux défis à relever, afin de susciter des "championnes" capables de porter des reformes et de les conduire.</w:t>
      </w:r>
    </w:p>
    <w:p>
      <w:pPr>
        <w:pStyle w:val="BodyText"/>
        <w:spacing w:line="235" w:lineRule="auto" w:before="125"/>
        <w:ind w:left="932" w:right="1061"/>
        <w:jc w:val="both"/>
      </w:pPr>
      <w:r>
        <w:rPr/>
        <w:t>Si le principe de l’équité peut être considéré comme un acquis en Côte d’Ivoire, la politique du Gouvernement y étant largement favorable, le constat de la situation actuelle, citée plus haut, mènerait à promouvoir plutôt des actions concrètes, pour veiller à l’application effective des lois, à la mise en œuvre des dispositions prises par l’Etat, et l’adoption de pratiques visant à réduire les inégalités et les discriminations à l’égard des femmes.</w:t>
      </w:r>
    </w:p>
    <w:sectPr>
      <w:pgSz w:w="15600" w:h="10800" w:orient="landscape"/>
      <w:pgMar w:header="0" w:footer="0" w:top="166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Gill Sans MT Condensed">
    <w:altName w:val="Gill Sans MT Condensed"/>
    <w:charset w:val="0"/>
    <w:family w:val="swiss"/>
    <w:pitch w:val="variable"/>
  </w:font>
  <w:font w:name="Arial">
    <w:altName w:val="Arial"/>
    <w:charset w:val="0"/>
    <w:family w:val="swiss"/>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0pt;margin-top:0pt;width:361.65pt;height:26.25pt;mso-position-horizontal-relative:page;mso-position-vertical-relative:page;z-index:-11632" filled="true" fillcolor="#001f5f" stroked="false">
          <v:fill type="solid"/>
          <w10:wrap type="none"/>
        </v:rect>
      </w:pict>
    </w:r>
    <w:r>
      <w:rPr/>
      <w:pict>
        <v:group style="position:absolute;margin-left:537.450012pt;margin-top:0pt;width:242.55pt;height:26.25pt;mso-position-horizontal-relative:page;mso-position-vertical-relative:page;z-index:-11608" coordorigin="10749,0" coordsize="4851,525">
          <v:rect style="position:absolute;left:14604;top:0;width:996;height:525" filled="true" fillcolor="#001f5f" stroked="false">
            <v:fill type="solid"/>
          </v:rect>
          <v:rect style="position:absolute;left:10749;top:0;width:3855;height:525" filled="true" fillcolor="#00afef" stroked="false">
            <v:fill type="solid"/>
          </v:rect>
          <w10:wrap type="non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0pt;margin-top:0pt;width:361.65pt;height:26.25pt;mso-position-horizontal-relative:page;mso-position-vertical-relative:page;z-index:-11584" filled="true" fillcolor="#001f5f" stroked="false">
          <v:fill type="solid"/>
          <w10:wrap type="none"/>
        </v:rect>
      </w:pict>
    </w:r>
    <w:r>
      <w:rPr/>
      <w:pict>
        <v:group style="position:absolute;margin-left:537.450012pt;margin-top:0pt;width:242.55pt;height:26.25pt;mso-position-horizontal-relative:page;mso-position-vertical-relative:page;z-index:-11560" coordorigin="10749,0" coordsize="4851,525">
          <v:rect style="position:absolute;left:14604;top:0;width:996;height:525" filled="true" fillcolor="#001f5f" stroked="false">
            <v:fill type="solid"/>
          </v:rect>
          <v:rect style="position:absolute;left:10749;top:0;width:3855;height:525" filled="true" fillcolor="#00afef" stroked="false">
            <v:fill type="solid"/>
          </v:rect>
          <w10:wrap type="none"/>
        </v:group>
      </w:pict>
    </w:r>
    <w:r>
      <w:rPr/>
      <w:pict>
        <v:line style="position:absolute;mso-position-horizontal-relative:page;mso-position-vertical-relative:page;z-index:-11536" from="49.842999pt,82.889999pt" to="730.159999pt,82.889999pt" stroked="true" strokeweight="1pt" strokecolor="#747678">
          <v:stroke dashstyle="solid"/>
          <w10:wrap type="none"/>
        </v:line>
      </w:pict>
    </w:r>
    <w:r>
      <w:rPr/>
      <w:pict>
        <v:shapetype id="_x0000_t202" o:spt="202" coordsize="21600,21600" path="m,l,21600r21600,l21600,xe">
          <v:stroke joinstyle="miter"/>
          <v:path gradientshapeok="t" o:connecttype="rect"/>
        </v:shapetype>
        <v:shape style="position:absolute;margin-left:48.848pt;margin-top:55.669998pt;width:670.55pt;height:17.5pt;mso-position-horizontal-relative:page;mso-position-vertical-relative:page;z-index:-11512" type="#_x0000_t202" filled="false" stroked="false">
          <v:textbox inset="0,0,0,0">
            <w:txbxContent>
              <w:p>
                <w:pPr>
                  <w:spacing w:line="335" w:lineRule="exact" w:before="0"/>
                  <w:ind w:left="20" w:right="0" w:firstLine="0"/>
                  <w:jc w:val="left"/>
                  <w:rPr>
                    <w:b/>
                    <w:sz w:val="31"/>
                  </w:rPr>
                </w:pPr>
                <w:r>
                  <w:rPr>
                    <w:b/>
                    <w:sz w:val="31"/>
                  </w:rPr>
                  <w:t>CONVENTION SUR </w:t>
                </w:r>
                <w:r>
                  <w:rPr>
                    <w:b/>
                    <w:spacing w:val="-4"/>
                    <w:sz w:val="31"/>
                  </w:rPr>
                  <w:t>L’ELIMINATION </w:t>
                </w:r>
                <w:r>
                  <w:rPr>
                    <w:b/>
                    <w:sz w:val="31"/>
                  </w:rPr>
                  <w:t>DE </w:t>
                </w:r>
                <w:r>
                  <w:rPr>
                    <w:b/>
                    <w:spacing w:val="-3"/>
                    <w:sz w:val="31"/>
                  </w:rPr>
                  <w:t>TOUTES </w:t>
                </w:r>
                <w:r>
                  <w:rPr>
                    <w:b/>
                    <w:sz w:val="31"/>
                  </w:rPr>
                  <w:t>LES FORMES DE </w:t>
                </w:r>
                <w:r>
                  <w:rPr>
                    <w:b/>
                    <w:spacing w:val="-3"/>
                    <w:sz w:val="31"/>
                  </w:rPr>
                  <w:t>DISCRIMINATION </w:t>
                </w:r>
                <w:r>
                  <w:rPr>
                    <w:b/>
                    <w:sz w:val="31"/>
                  </w:rPr>
                  <w:t>À </w:t>
                </w:r>
                <w:r>
                  <w:rPr>
                    <w:b/>
                    <w:spacing w:val="-5"/>
                    <w:sz w:val="31"/>
                  </w:rPr>
                  <w:t>L’ÉGARD </w:t>
                </w:r>
                <w:r>
                  <w:rPr>
                    <w:b/>
                    <w:sz w:val="31"/>
                  </w:rPr>
                  <w:t>DES FEMMES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0pt;margin-top:0pt;width:361.65pt;height:26.25pt;mso-position-horizontal-relative:page;mso-position-vertical-relative:page;z-index:-11488" filled="true" fillcolor="#001f5f" stroked="false">
          <v:fill type="solid"/>
          <w10:wrap type="none"/>
        </v:rect>
      </w:pict>
    </w:r>
    <w:r>
      <w:rPr/>
      <w:pict>
        <v:group style="position:absolute;margin-left:537.450012pt;margin-top:0pt;width:242.55pt;height:26.25pt;mso-position-horizontal-relative:page;mso-position-vertical-relative:page;z-index:-11464" coordorigin="10749,0" coordsize="4851,525">
          <v:rect style="position:absolute;left:14604;top:0;width:996;height:525" filled="true" fillcolor="#001f5f" stroked="false">
            <v:fill type="solid"/>
          </v:rect>
          <v:rect style="position:absolute;left:10749;top:0;width:3855;height:525" filled="true" fillcolor="#00afef" stroked="false">
            <v:fill type="solid"/>
          </v:rect>
          <w10:wrap type="none"/>
        </v:group>
      </w:pict>
    </w:r>
    <w:r>
      <w:rPr/>
      <w:pict>
        <v:shape style="position:absolute;margin-left:48.848pt;margin-top:55.669998pt;width:670.55pt;height:17.5pt;mso-position-horizontal-relative:page;mso-position-vertical-relative:page;z-index:-11440" type="#_x0000_t202" filled="false" stroked="false">
          <v:textbox inset="0,0,0,0">
            <w:txbxContent>
              <w:p>
                <w:pPr>
                  <w:spacing w:line="335" w:lineRule="exact" w:before="0"/>
                  <w:ind w:left="20" w:right="0" w:firstLine="0"/>
                  <w:jc w:val="left"/>
                  <w:rPr>
                    <w:b/>
                    <w:sz w:val="31"/>
                  </w:rPr>
                </w:pPr>
                <w:r>
                  <w:rPr>
                    <w:b/>
                    <w:sz w:val="31"/>
                  </w:rPr>
                  <w:t>CONVENTION SUR </w:t>
                </w:r>
                <w:r>
                  <w:rPr>
                    <w:b/>
                    <w:spacing w:val="-4"/>
                    <w:sz w:val="31"/>
                  </w:rPr>
                  <w:t>L’ELIMINATION </w:t>
                </w:r>
                <w:r>
                  <w:rPr>
                    <w:b/>
                    <w:sz w:val="31"/>
                  </w:rPr>
                  <w:t>DE </w:t>
                </w:r>
                <w:r>
                  <w:rPr>
                    <w:b/>
                    <w:spacing w:val="-3"/>
                    <w:sz w:val="31"/>
                  </w:rPr>
                  <w:t>TOUTES </w:t>
                </w:r>
                <w:r>
                  <w:rPr>
                    <w:b/>
                    <w:sz w:val="31"/>
                  </w:rPr>
                  <w:t>LES FORMES DE </w:t>
                </w:r>
                <w:r>
                  <w:rPr>
                    <w:b/>
                    <w:spacing w:val="-3"/>
                    <w:sz w:val="31"/>
                  </w:rPr>
                  <w:t>DISCRIMINATION </w:t>
                </w:r>
                <w:r>
                  <w:rPr>
                    <w:b/>
                    <w:sz w:val="31"/>
                  </w:rPr>
                  <w:t>À </w:t>
                </w:r>
                <w:r>
                  <w:rPr>
                    <w:b/>
                    <w:spacing w:val="-5"/>
                    <w:sz w:val="31"/>
                  </w:rPr>
                  <w:t>L’ÉGARD </w:t>
                </w:r>
                <w:r>
                  <w:rPr>
                    <w:b/>
                    <w:sz w:val="31"/>
                  </w:rPr>
                  <w:t>DES FEMMES</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0pt;margin-top:0pt;width:361.65pt;height:26.25pt;mso-position-horizontal-relative:page;mso-position-vertical-relative:page;z-index:-11416" filled="true" fillcolor="#001f5f" stroked="false">
          <v:fill type="solid"/>
          <w10:wrap type="none"/>
        </v:rect>
      </w:pict>
    </w:r>
    <w:r>
      <w:rPr/>
      <w:pict>
        <v:group style="position:absolute;margin-left:537.450012pt;margin-top:0pt;width:242.55pt;height:26.25pt;mso-position-horizontal-relative:page;mso-position-vertical-relative:page;z-index:-11392" coordorigin="10749,0" coordsize="4851,525">
          <v:rect style="position:absolute;left:14604;top:0;width:996;height:525" filled="true" fillcolor="#001f5f" stroked="false">
            <v:fill type="solid"/>
          </v:rect>
          <v:rect style="position:absolute;left:10749;top:0;width:3855;height:525" filled="true" fillcolor="#00afef" stroked="false">
            <v:fill type="solid"/>
          </v:rect>
          <w10:wrap type="none"/>
        </v:group>
      </w:pict>
    </w:r>
    <w:r>
      <w:rPr/>
      <w:pict>
        <v:line style="position:absolute;mso-position-horizontal-relative:page;mso-position-vertical-relative:page;z-index:-11368" from="52.346001pt,82.889999pt" to="732.660001pt,82.889999pt" stroked="true" strokeweight="1pt" strokecolor="#747678">
          <v:stroke dashstyle="solid"/>
          <w10:wrap type="none"/>
        </v:line>
      </w:pict>
    </w:r>
    <w:r>
      <w:rPr/>
      <w:pict>
        <v:shape style="position:absolute;margin-left:48.848pt;margin-top:55.669998pt;width:670.55pt;height:17.5pt;mso-position-horizontal-relative:page;mso-position-vertical-relative:page;z-index:-11344" type="#_x0000_t202" filled="false" stroked="false">
          <v:textbox inset="0,0,0,0">
            <w:txbxContent>
              <w:p>
                <w:pPr>
                  <w:spacing w:line="335" w:lineRule="exact" w:before="0"/>
                  <w:ind w:left="20" w:right="0" w:firstLine="0"/>
                  <w:jc w:val="left"/>
                  <w:rPr>
                    <w:b/>
                    <w:sz w:val="31"/>
                  </w:rPr>
                </w:pPr>
                <w:r>
                  <w:rPr>
                    <w:b/>
                    <w:sz w:val="31"/>
                  </w:rPr>
                  <w:t>CONVENTION SUR </w:t>
                </w:r>
                <w:r>
                  <w:rPr>
                    <w:b/>
                    <w:spacing w:val="-4"/>
                    <w:sz w:val="31"/>
                  </w:rPr>
                  <w:t>L’ELIMINATION </w:t>
                </w:r>
                <w:r>
                  <w:rPr>
                    <w:b/>
                    <w:sz w:val="31"/>
                  </w:rPr>
                  <w:t>DE </w:t>
                </w:r>
                <w:r>
                  <w:rPr>
                    <w:b/>
                    <w:spacing w:val="-3"/>
                    <w:sz w:val="31"/>
                  </w:rPr>
                  <w:t>TOUTES </w:t>
                </w:r>
                <w:r>
                  <w:rPr>
                    <w:b/>
                    <w:sz w:val="31"/>
                  </w:rPr>
                  <w:t>LES FORMES DE </w:t>
                </w:r>
                <w:r>
                  <w:rPr>
                    <w:b/>
                    <w:spacing w:val="-3"/>
                    <w:sz w:val="31"/>
                  </w:rPr>
                  <w:t>DISCRIMINATION </w:t>
                </w:r>
                <w:r>
                  <w:rPr>
                    <w:b/>
                    <w:sz w:val="31"/>
                  </w:rPr>
                  <w:t>À </w:t>
                </w:r>
                <w:r>
                  <w:rPr>
                    <w:b/>
                    <w:spacing w:val="-5"/>
                    <w:sz w:val="31"/>
                  </w:rPr>
                  <w:t>L’ÉGARD </w:t>
                </w:r>
                <w:r>
                  <w:rPr>
                    <w:b/>
                    <w:sz w:val="31"/>
                  </w:rPr>
                  <w:t>DES FEMMES</w:t>
                </w:r>
              </w:p>
            </w:txbxContent>
          </v:textbox>
          <w10:wrap type="non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fr-FR" w:eastAsia="fr-FR" w:bidi="fr-FR"/>
    </w:rPr>
  </w:style>
  <w:style w:styleId="BodyText" w:type="paragraph">
    <w:name w:val="Body Text"/>
    <w:basedOn w:val="Normal"/>
    <w:uiPriority w:val="1"/>
    <w:qFormat/>
    <w:pPr/>
    <w:rPr>
      <w:rFonts w:ascii="Calibri" w:hAnsi="Calibri" w:eastAsia="Calibri" w:cs="Calibri"/>
      <w:sz w:val="36"/>
      <w:szCs w:val="36"/>
      <w:lang w:val="fr-FR" w:eastAsia="fr-FR" w:bidi="fr-FR"/>
    </w:rPr>
  </w:style>
  <w:style w:styleId="Heading1" w:type="paragraph">
    <w:name w:val="Heading 1"/>
    <w:basedOn w:val="Normal"/>
    <w:uiPriority w:val="1"/>
    <w:qFormat/>
    <w:pPr>
      <w:ind w:left="882"/>
      <w:outlineLvl w:val="1"/>
    </w:pPr>
    <w:rPr>
      <w:rFonts w:ascii="Calibri" w:hAnsi="Calibri" w:eastAsia="Calibri" w:cs="Calibri"/>
      <w:b/>
      <w:bCs/>
      <w:sz w:val="36"/>
      <w:szCs w:val="36"/>
      <w:lang w:val="fr-FR" w:eastAsia="fr-FR" w:bidi="fr-FR"/>
    </w:rPr>
  </w:style>
  <w:style w:styleId="ListParagraph" w:type="paragraph">
    <w:name w:val="List Paragraph"/>
    <w:basedOn w:val="Normal"/>
    <w:uiPriority w:val="1"/>
    <w:qFormat/>
    <w:pPr/>
    <w:rPr>
      <w:lang w:val="fr-FR" w:eastAsia="fr-FR" w:bidi="fr-FR"/>
    </w:rPr>
  </w:style>
  <w:style w:styleId="TableParagraph" w:type="paragraph">
    <w:name w:val="Table Paragraph"/>
    <w:basedOn w:val="Normal"/>
    <w:uiPriority w:val="1"/>
    <w:qFormat/>
    <w:pPr>
      <w:spacing w:before="62"/>
      <w:ind w:left="538"/>
      <w:jc w:val="center"/>
    </w:pPr>
    <w:rPr>
      <w:rFonts w:ascii="Calibri" w:hAnsi="Calibri" w:eastAsia="Calibri" w:cs="Calibri"/>
      <w:lang w:val="fr-FR" w:eastAsia="fr-FR" w:bidi="fr-FR"/>
    </w:r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customXml/item2.xml"/><Relationship Id="rId3"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6.jpeg"/><Relationship Id="rId17" Type="http://schemas.openxmlformats.org/officeDocument/2006/relationships/customXml" Target="../customXml/item1.xml"/><Relationship Id="rId2" Type="http://schemas.openxmlformats.org/officeDocument/2006/relationships/fontTable" Target="fontTable.xml"/><Relationship Id="rId16" Type="http://schemas.openxmlformats.org/officeDocument/2006/relationships/header" Target="head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header" Target="header1.xml"/><Relationship Id="rId15"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11C898-908F-4BD9-AF79-1842AE93FF09}"/>
</file>

<file path=customXml/itemProps2.xml><?xml version="1.0" encoding="utf-8"?>
<ds:datastoreItem xmlns:ds="http://schemas.openxmlformats.org/officeDocument/2006/customXml" ds:itemID="{18196154-AFBA-41DA-9F1A-A6CD67BB6863}"/>
</file>

<file path=customXml/itemProps3.xml><?xml version="1.0" encoding="utf-8"?>
<ds:datastoreItem xmlns:ds="http://schemas.openxmlformats.org/officeDocument/2006/customXml" ds:itemID="{F4FF0CE6-B509-41AC-BB03-3DF90546D8E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 Packaging</dc:title>
  <dc:creator>Ambroise ETTE</dc:creator>
  <dcterms:created xsi:type="dcterms:W3CDTF">2019-06-10T09:56:16Z</dcterms:created>
  <dcterms:modified xsi:type="dcterms:W3CDTF">2019-06-10T09:56:16Z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2019-06-09T00:00:00Z</vt:filetime>
  </property>
  <property fmtid="{D5CDD505-2E9C-101B-9397-08002B2CF9AE}" pid="3" name="Creator">
    <vt:lpwstr>Microsoft® Office PowerPoint® 2007</vt:lpwstr>
  </property>
  <property fmtid="{D5CDD505-2E9C-101B-9397-08002B2CF9AE}" pid="4" name="LastSaved">
    <vt:filetime>2019-06-10T00:00:00Z</vt:filetime>
  </property>
  <property fmtid="{D5CDD505-2E9C-101B-9397-08002B2CF9AE}" pid="5" name="ContentTypeId">
    <vt:lpwstr>0x010100F397614B75B84E4C841CE911BA0CCB9D</vt:lpwstr>
  </property>
</Properties>
</file>