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D3C63" w14:textId="77777777" w:rsidR="002D62A7" w:rsidRDefault="004B03B0" w:rsidP="002421EC">
      <w:pPr>
        <w:shd w:val="clear" w:color="auto" w:fill="FFFFFF"/>
        <w:spacing w:before="120" w:after="120" w:line="240" w:lineRule="auto"/>
        <w:jc w:val="center"/>
        <w:rPr>
          <w:rFonts w:ascii="Open Sans" w:eastAsia="Open Sans" w:hAnsi="Open Sans" w:cs="Open Sans"/>
          <w:b/>
          <w:color w:val="212222"/>
          <w:sz w:val="24"/>
          <w:szCs w:val="24"/>
        </w:rPr>
      </w:pPr>
      <w:r>
        <w:rPr>
          <w:rFonts w:ascii="Open Sans" w:eastAsia="Open Sans" w:hAnsi="Open Sans" w:cs="Open Sans"/>
          <w:b/>
          <w:color w:val="212222"/>
          <w:sz w:val="24"/>
          <w:szCs w:val="24"/>
        </w:rPr>
        <w:t>Submission to the UN Committee on Economic, Social and Cultural Rights</w:t>
      </w:r>
    </w:p>
    <w:p w14:paraId="7D62931A" w14:textId="77777777" w:rsidR="002D62A7" w:rsidRDefault="004B03B0">
      <w:pPr>
        <w:shd w:val="clear" w:color="auto" w:fill="FFFFFF"/>
        <w:spacing w:before="120" w:after="120" w:line="240" w:lineRule="auto"/>
        <w:jc w:val="center"/>
        <w:rPr>
          <w:rFonts w:ascii="Open Sans" w:eastAsia="Open Sans" w:hAnsi="Open Sans" w:cs="Open Sans"/>
          <w:b/>
          <w:sz w:val="24"/>
          <w:szCs w:val="24"/>
        </w:rPr>
      </w:pPr>
      <w:r>
        <w:rPr>
          <w:rFonts w:ascii="Open Sans" w:eastAsia="Open Sans" w:hAnsi="Open Sans" w:cs="Open Sans"/>
          <w:b/>
          <w:sz w:val="24"/>
          <w:szCs w:val="24"/>
        </w:rPr>
        <w:t>73</w:t>
      </w:r>
      <w:r>
        <w:rPr>
          <w:rFonts w:ascii="Open Sans" w:eastAsia="Open Sans" w:hAnsi="Open Sans" w:cs="Open Sans"/>
          <w:b/>
          <w:sz w:val="24"/>
          <w:szCs w:val="24"/>
          <w:vertAlign w:val="superscript"/>
        </w:rPr>
        <w:t>rd</w:t>
      </w:r>
      <w:r>
        <w:rPr>
          <w:rFonts w:ascii="Open Sans" w:eastAsia="Open Sans" w:hAnsi="Open Sans" w:cs="Open Sans"/>
          <w:b/>
          <w:sz w:val="24"/>
          <w:szCs w:val="24"/>
        </w:rPr>
        <w:t xml:space="preserve"> Pre-Sessional Working Group </w:t>
      </w:r>
    </w:p>
    <w:p w14:paraId="49B25770" w14:textId="0A49D8B3" w:rsidR="002D62A7" w:rsidRDefault="004B03B0">
      <w:pPr>
        <w:shd w:val="clear" w:color="auto" w:fill="FFFFFF"/>
        <w:spacing w:before="120" w:after="120" w:line="240" w:lineRule="auto"/>
        <w:jc w:val="center"/>
        <w:rPr>
          <w:rFonts w:ascii="Open Sans" w:eastAsia="Open Sans" w:hAnsi="Open Sans" w:cs="Open Sans"/>
          <w:b/>
          <w:sz w:val="24"/>
          <w:szCs w:val="24"/>
        </w:rPr>
      </w:pPr>
      <w:r>
        <w:rPr>
          <w:rFonts w:ascii="Open Sans" w:eastAsia="Open Sans" w:hAnsi="Open Sans" w:cs="Open Sans"/>
          <w:b/>
          <w:sz w:val="24"/>
          <w:szCs w:val="24"/>
        </w:rPr>
        <w:t xml:space="preserve">A Just Energy Transition for the </w:t>
      </w:r>
      <w:r w:rsidR="000A71A3">
        <w:rPr>
          <w:rFonts w:ascii="Open Sans" w:eastAsia="Open Sans" w:hAnsi="Open Sans" w:cs="Open Sans"/>
          <w:b/>
          <w:sz w:val="24"/>
          <w:szCs w:val="24"/>
        </w:rPr>
        <w:t>R</w:t>
      </w:r>
      <w:r>
        <w:rPr>
          <w:rFonts w:ascii="Open Sans" w:eastAsia="Open Sans" w:hAnsi="Open Sans" w:cs="Open Sans"/>
          <w:b/>
          <w:sz w:val="24"/>
          <w:szCs w:val="24"/>
        </w:rPr>
        <w:t xml:space="preserve">ealisation of Economic, Social, Cultural, and </w:t>
      </w:r>
    </w:p>
    <w:p w14:paraId="59D13B6D" w14:textId="77777777" w:rsidR="002D62A7" w:rsidRDefault="004B03B0">
      <w:pPr>
        <w:shd w:val="clear" w:color="auto" w:fill="FFFFFF"/>
        <w:spacing w:before="120" w:after="120" w:line="240" w:lineRule="auto"/>
        <w:jc w:val="center"/>
        <w:rPr>
          <w:rFonts w:ascii="Open Sans" w:eastAsia="Open Sans" w:hAnsi="Open Sans" w:cs="Open Sans"/>
          <w:b/>
          <w:sz w:val="24"/>
          <w:szCs w:val="24"/>
        </w:rPr>
      </w:pPr>
      <w:r>
        <w:rPr>
          <w:rFonts w:ascii="Open Sans" w:eastAsia="Open Sans" w:hAnsi="Open Sans" w:cs="Open Sans"/>
          <w:b/>
          <w:sz w:val="24"/>
          <w:szCs w:val="24"/>
        </w:rPr>
        <w:t xml:space="preserve">Environmental </w:t>
      </w:r>
      <w:sdt>
        <w:sdtPr>
          <w:tag w:val="goog_rdk_0"/>
          <w:id w:val="-367609436"/>
        </w:sdtPr>
        <w:sdtEndPr/>
        <w:sdtContent/>
      </w:sdt>
      <w:r>
        <w:rPr>
          <w:rFonts w:ascii="Open Sans" w:eastAsia="Open Sans" w:hAnsi="Open Sans" w:cs="Open Sans"/>
          <w:b/>
          <w:sz w:val="24"/>
          <w:szCs w:val="24"/>
        </w:rPr>
        <w:t xml:space="preserve">Rights </w:t>
      </w:r>
    </w:p>
    <w:p w14:paraId="4AE1B956" w14:textId="77777777" w:rsidR="002D62A7" w:rsidRDefault="002D62A7">
      <w:pPr>
        <w:shd w:val="clear" w:color="auto" w:fill="FFFFFF"/>
        <w:spacing w:before="120" w:after="120" w:line="240" w:lineRule="auto"/>
        <w:jc w:val="center"/>
        <w:rPr>
          <w:rFonts w:ascii="Open Sans" w:eastAsia="Open Sans" w:hAnsi="Open Sans" w:cs="Open Sans"/>
          <w:b/>
          <w:color w:val="212222"/>
        </w:rPr>
      </w:pPr>
    </w:p>
    <w:p w14:paraId="508FF1EE" w14:textId="77777777" w:rsidR="002D62A7" w:rsidRDefault="004B03B0">
      <w:pPr>
        <w:shd w:val="clear" w:color="auto" w:fill="FFFFFF"/>
        <w:spacing w:before="120" w:after="120" w:line="240" w:lineRule="auto"/>
        <w:jc w:val="both"/>
        <w:rPr>
          <w:rFonts w:ascii="Open Sans" w:eastAsia="Open Sans" w:hAnsi="Open Sans" w:cs="Open Sans"/>
          <w:i/>
          <w:color w:val="007EC1"/>
        </w:rPr>
      </w:pPr>
      <w:r>
        <w:rPr>
          <w:rFonts w:ascii="Open Sans" w:eastAsia="Open Sans" w:hAnsi="Open Sans" w:cs="Open Sans"/>
          <w:i/>
          <w:color w:val="007EC1"/>
        </w:rPr>
        <w:t>7 August 2023</w:t>
      </w:r>
    </w:p>
    <w:p w14:paraId="3D41218F" w14:textId="152BDF8D" w:rsidR="002D62A7" w:rsidRDefault="004B03B0">
      <w:pPr>
        <w:tabs>
          <w:tab w:val="left" w:pos="2824"/>
        </w:tabs>
        <w:spacing w:before="120" w:after="120" w:line="240" w:lineRule="auto"/>
        <w:ind w:right="-6"/>
        <w:jc w:val="both"/>
        <w:rPr>
          <w:rFonts w:ascii="Open Sans" w:eastAsia="Open Sans" w:hAnsi="Open Sans" w:cs="Open Sans"/>
        </w:rPr>
      </w:pPr>
      <w:r>
        <w:rPr>
          <w:rFonts w:ascii="Open Sans" w:eastAsia="Open Sans" w:hAnsi="Open Sans" w:cs="Open Sans"/>
        </w:rPr>
        <w:t>The Global Initiative for Economic, Social and Cultural Rights (GI-ESCR) and</w:t>
      </w:r>
      <w:r w:rsidR="002421EC">
        <w:rPr>
          <w:rFonts w:ascii="Open Sans" w:eastAsia="Open Sans" w:hAnsi="Open Sans" w:cs="Open Sans"/>
        </w:rPr>
        <w:t xml:space="preserve"> </w:t>
      </w:r>
      <w:proofErr w:type="spellStart"/>
      <w:r w:rsidR="002421EC">
        <w:rPr>
          <w:rFonts w:ascii="Open Sans" w:eastAsia="Open Sans" w:hAnsi="Open Sans" w:cs="Open Sans"/>
        </w:rPr>
        <w:t>Asociación</w:t>
      </w:r>
      <w:proofErr w:type="spellEnd"/>
      <w:r w:rsidR="002421EC">
        <w:rPr>
          <w:rFonts w:ascii="Open Sans" w:eastAsia="Open Sans" w:hAnsi="Open Sans" w:cs="Open Sans"/>
        </w:rPr>
        <w:t xml:space="preserve"> </w:t>
      </w:r>
      <w:proofErr w:type="spellStart"/>
      <w:r w:rsidR="002421EC">
        <w:rPr>
          <w:rFonts w:ascii="Open Sans" w:eastAsia="Open Sans" w:hAnsi="Open Sans" w:cs="Open Sans"/>
        </w:rPr>
        <w:t>Interamericana</w:t>
      </w:r>
      <w:proofErr w:type="spellEnd"/>
      <w:r w:rsidR="002421EC">
        <w:rPr>
          <w:rFonts w:ascii="Open Sans" w:eastAsia="Open Sans" w:hAnsi="Open Sans" w:cs="Open Sans"/>
        </w:rPr>
        <w:t xml:space="preserve"> para la </w:t>
      </w:r>
      <w:proofErr w:type="spellStart"/>
      <w:r w:rsidR="002421EC">
        <w:rPr>
          <w:rFonts w:ascii="Open Sans" w:eastAsia="Open Sans" w:hAnsi="Open Sans" w:cs="Open Sans"/>
        </w:rPr>
        <w:t>Defensa</w:t>
      </w:r>
      <w:proofErr w:type="spellEnd"/>
      <w:r w:rsidR="002421EC">
        <w:rPr>
          <w:rFonts w:ascii="Open Sans" w:eastAsia="Open Sans" w:hAnsi="Open Sans" w:cs="Open Sans"/>
        </w:rPr>
        <w:t xml:space="preserve"> del </w:t>
      </w:r>
      <w:proofErr w:type="spellStart"/>
      <w:r w:rsidR="002421EC">
        <w:rPr>
          <w:rFonts w:ascii="Open Sans" w:eastAsia="Open Sans" w:hAnsi="Open Sans" w:cs="Open Sans"/>
        </w:rPr>
        <w:t>Ambiente</w:t>
      </w:r>
      <w:proofErr w:type="spellEnd"/>
      <w:r w:rsidR="002421EC">
        <w:rPr>
          <w:rFonts w:ascii="Open Sans" w:eastAsia="Open Sans" w:hAnsi="Open Sans" w:cs="Open Sans"/>
        </w:rPr>
        <w:t xml:space="preserve"> (AIDA)</w:t>
      </w:r>
      <w:r>
        <w:rPr>
          <w:rFonts w:ascii="Open Sans" w:eastAsia="Open Sans" w:hAnsi="Open Sans" w:cs="Open Sans"/>
        </w:rPr>
        <w:t xml:space="preserve"> welcomes the opportunity to contribute with this </w:t>
      </w:r>
      <w:proofErr w:type="gramStart"/>
      <w:r w:rsidR="00645DA8">
        <w:rPr>
          <w:rFonts w:ascii="Open Sans" w:eastAsia="Open Sans" w:hAnsi="Open Sans" w:cs="Open Sans"/>
        </w:rPr>
        <w:t xml:space="preserve">information </w:t>
      </w:r>
      <w:r>
        <w:rPr>
          <w:rFonts w:ascii="Open Sans" w:eastAsia="Open Sans" w:hAnsi="Open Sans" w:cs="Open Sans"/>
        </w:rPr>
        <w:t xml:space="preserve"> to</w:t>
      </w:r>
      <w:proofErr w:type="gramEnd"/>
      <w:r>
        <w:rPr>
          <w:rFonts w:ascii="Open Sans" w:eastAsia="Open Sans" w:hAnsi="Open Sans" w:cs="Open Sans"/>
        </w:rPr>
        <w:t xml:space="preserve"> the Committee on Economic, Social and Cultural Rights during its 73</w:t>
      </w:r>
      <w:r>
        <w:rPr>
          <w:rFonts w:ascii="Open Sans" w:eastAsia="Open Sans" w:hAnsi="Open Sans" w:cs="Open Sans"/>
          <w:vertAlign w:val="superscript"/>
        </w:rPr>
        <w:t>rd</w:t>
      </w:r>
      <w:r>
        <w:rPr>
          <w:rFonts w:ascii="Open Sans" w:eastAsia="Open Sans" w:hAnsi="Open Sans" w:cs="Open Sans"/>
        </w:rPr>
        <w:t xml:space="preserve"> Pre-Sessional Working Group (16 to 23 October 2023) for the drafting of the List of Issues Prior to Reporting (LOIPR) concerning the re</w:t>
      </w:r>
      <w:r w:rsidR="00645DA8">
        <w:rPr>
          <w:rFonts w:ascii="Open Sans" w:eastAsia="Open Sans" w:hAnsi="Open Sans" w:cs="Open Sans"/>
        </w:rPr>
        <w:t xml:space="preserve">view </w:t>
      </w:r>
      <w:r>
        <w:rPr>
          <w:rFonts w:ascii="Open Sans" w:eastAsia="Open Sans" w:hAnsi="Open Sans" w:cs="Open Sans"/>
        </w:rPr>
        <w:t xml:space="preserve"> of the State of Colombia. </w:t>
      </w:r>
    </w:p>
    <w:p w14:paraId="06B14C96" w14:textId="71E15D89" w:rsidR="002D62A7" w:rsidRDefault="004B03B0">
      <w:pPr>
        <w:tabs>
          <w:tab w:val="left" w:pos="2824"/>
        </w:tabs>
        <w:spacing w:before="120" w:after="120" w:line="240" w:lineRule="auto"/>
        <w:ind w:right="-6"/>
        <w:jc w:val="both"/>
        <w:rPr>
          <w:rFonts w:ascii="Open Sans" w:eastAsia="Open Sans" w:hAnsi="Open Sans" w:cs="Open Sans"/>
        </w:rPr>
      </w:pPr>
      <w:r>
        <w:rPr>
          <w:rFonts w:ascii="Open Sans" w:eastAsia="Open Sans" w:hAnsi="Open Sans" w:cs="Open Sans"/>
        </w:rPr>
        <w:t xml:space="preserve">This submission aims to clarify </w:t>
      </w:r>
      <w:r w:rsidR="00433ECA">
        <w:rPr>
          <w:rFonts w:ascii="Open Sans" w:eastAsia="Open Sans" w:hAnsi="Open Sans" w:cs="Open Sans"/>
        </w:rPr>
        <w:t>Colombia’s</w:t>
      </w:r>
      <w:r>
        <w:rPr>
          <w:rFonts w:ascii="Open Sans" w:eastAsia="Open Sans" w:hAnsi="Open Sans" w:cs="Open Sans"/>
        </w:rPr>
        <w:t xml:space="preserve"> human rights obligations under the </w:t>
      </w:r>
      <w:r>
        <w:rPr>
          <w:rFonts w:ascii="Open Sans" w:eastAsia="Open Sans" w:hAnsi="Open Sans" w:cs="Open Sans"/>
          <w:color w:val="111111"/>
        </w:rPr>
        <w:t xml:space="preserve">International Covenant on Economic, Social, and Cultural Rights (ICESCR) in relation to a just transition to sustainability. It </w:t>
      </w:r>
      <w:proofErr w:type="gramStart"/>
      <w:r>
        <w:rPr>
          <w:rFonts w:ascii="Open Sans" w:eastAsia="Open Sans" w:hAnsi="Open Sans" w:cs="Open Sans"/>
          <w:color w:val="111111"/>
        </w:rPr>
        <w:t>will</w:t>
      </w:r>
      <w:r w:rsidR="00433ECA">
        <w:rPr>
          <w:rFonts w:ascii="Open Sans" w:eastAsia="Open Sans" w:hAnsi="Open Sans" w:cs="Open Sans"/>
          <w:color w:val="111111"/>
        </w:rPr>
        <w:t xml:space="preserve"> </w:t>
      </w:r>
      <w:r>
        <w:rPr>
          <w:rFonts w:ascii="Open Sans" w:eastAsia="Open Sans" w:hAnsi="Open Sans" w:cs="Open Sans"/>
          <w:color w:val="111111"/>
        </w:rPr>
        <w:t xml:space="preserve"> provide</w:t>
      </w:r>
      <w:proofErr w:type="gramEnd"/>
      <w:r>
        <w:rPr>
          <w:rFonts w:ascii="Open Sans" w:eastAsia="Open Sans" w:hAnsi="Open Sans" w:cs="Open Sans"/>
          <w:color w:val="111111"/>
        </w:rPr>
        <w:t xml:space="preserve"> information on the current state of the decarbonisation process in the country and the efforts advanced to undertake a swift and just process to transition to green energy. Finally, the document incorporates a set of conclusions and </w:t>
      </w:r>
      <w:proofErr w:type="gramStart"/>
      <w:r w:rsidR="00645DA8">
        <w:rPr>
          <w:rFonts w:ascii="Open Sans" w:eastAsia="Open Sans" w:hAnsi="Open Sans" w:cs="Open Sans"/>
          <w:color w:val="111111"/>
        </w:rPr>
        <w:t xml:space="preserve">suggestions </w:t>
      </w:r>
      <w:r>
        <w:rPr>
          <w:rFonts w:ascii="Open Sans" w:eastAsia="Open Sans" w:hAnsi="Open Sans" w:cs="Open Sans"/>
          <w:color w:val="111111"/>
        </w:rPr>
        <w:t xml:space="preserve"> on</w:t>
      </w:r>
      <w:proofErr w:type="gramEnd"/>
      <w:r>
        <w:rPr>
          <w:rFonts w:ascii="Open Sans" w:eastAsia="Open Sans" w:hAnsi="Open Sans" w:cs="Open Sans"/>
          <w:color w:val="111111"/>
        </w:rPr>
        <w:t xml:space="preserve"> the questions that the Committee could envisage in the LOIPR to contribute to </w:t>
      </w:r>
      <w:r w:rsidR="000A71A3">
        <w:rPr>
          <w:rFonts w:ascii="Open Sans" w:eastAsia="Open Sans" w:hAnsi="Open Sans" w:cs="Open Sans"/>
          <w:color w:val="111111"/>
        </w:rPr>
        <w:t xml:space="preserve">advancing </w:t>
      </w:r>
      <w:r>
        <w:rPr>
          <w:rFonts w:ascii="Open Sans" w:eastAsia="Open Sans" w:hAnsi="Open Sans" w:cs="Open Sans"/>
          <w:color w:val="111111"/>
        </w:rPr>
        <w:t xml:space="preserve">a rights-based transition to </w:t>
      </w:r>
      <w:r w:rsidR="000A71A3">
        <w:rPr>
          <w:rFonts w:ascii="Open Sans" w:eastAsia="Open Sans" w:hAnsi="Open Sans" w:cs="Open Sans"/>
          <w:color w:val="111111"/>
        </w:rPr>
        <w:t>zero-carbon</w:t>
      </w:r>
      <w:r>
        <w:rPr>
          <w:rFonts w:ascii="Open Sans" w:eastAsia="Open Sans" w:hAnsi="Open Sans" w:cs="Open Sans"/>
          <w:color w:val="111111"/>
        </w:rPr>
        <w:t xml:space="preserve"> societies in Colombia. </w:t>
      </w:r>
    </w:p>
    <w:p w14:paraId="5AD3BD9A" w14:textId="6632B745" w:rsidR="002D62A7" w:rsidRDefault="004B03B0">
      <w:pPr>
        <w:numPr>
          <w:ilvl w:val="0"/>
          <w:numId w:val="3"/>
        </w:numPr>
        <w:pBdr>
          <w:top w:val="nil"/>
          <w:left w:val="nil"/>
          <w:bottom w:val="nil"/>
          <w:right w:val="nil"/>
          <w:between w:val="nil"/>
        </w:pBdr>
        <w:tabs>
          <w:tab w:val="left" w:pos="2824"/>
        </w:tabs>
        <w:spacing w:before="120" w:after="120" w:line="240" w:lineRule="auto"/>
        <w:ind w:right="-6"/>
        <w:jc w:val="both"/>
        <w:rPr>
          <w:rFonts w:ascii="Open Sans" w:eastAsia="Open Sans" w:hAnsi="Open Sans" w:cs="Open Sans"/>
          <w:b/>
          <w:color w:val="111111"/>
        </w:rPr>
      </w:pPr>
      <w:r>
        <w:rPr>
          <w:rFonts w:ascii="Open Sans" w:eastAsia="Open Sans" w:hAnsi="Open Sans" w:cs="Open Sans"/>
          <w:b/>
          <w:color w:val="111111"/>
        </w:rPr>
        <w:t xml:space="preserve">Introduction: ESC Rights Obligations in the Context of a Just Transition </w:t>
      </w:r>
    </w:p>
    <w:p w14:paraId="081DB61C" w14:textId="589A41F3" w:rsidR="002D62A7" w:rsidRDefault="004B03B0">
      <w:pPr>
        <w:shd w:val="clear" w:color="auto" w:fill="FFFFFF"/>
        <w:spacing w:before="120" w:after="120" w:line="240" w:lineRule="auto"/>
        <w:jc w:val="both"/>
        <w:rPr>
          <w:rFonts w:ascii="Open Sans" w:eastAsia="Open Sans" w:hAnsi="Open Sans" w:cs="Open Sans"/>
          <w:color w:val="111111"/>
        </w:rPr>
      </w:pPr>
      <w:r>
        <w:rPr>
          <w:rFonts w:ascii="Open Sans" w:eastAsia="Open Sans" w:hAnsi="Open Sans" w:cs="Open Sans"/>
          <w:color w:val="111111"/>
        </w:rPr>
        <w:t xml:space="preserve">The ICESCR </w:t>
      </w:r>
      <w:sdt>
        <w:sdtPr>
          <w:tag w:val="goog_rdk_2"/>
          <w:id w:val="-485857085"/>
        </w:sdtPr>
        <w:sdtEndPr/>
        <w:sdtContent>
          <w:r>
            <w:rPr>
              <w:rFonts w:ascii="Open Sans" w:eastAsia="Open Sans" w:hAnsi="Open Sans" w:cs="Open Sans"/>
              <w:color w:val="111111"/>
            </w:rPr>
            <w:t>enshrines</w:t>
          </w:r>
          <w:r w:rsidR="002421EC">
            <w:rPr>
              <w:rFonts w:ascii="Open Sans" w:eastAsia="Open Sans" w:hAnsi="Open Sans" w:cs="Open Sans"/>
              <w:color w:val="111111"/>
            </w:rPr>
            <w:t xml:space="preserve"> </w:t>
          </w:r>
        </w:sdtContent>
      </w:sdt>
      <w:r>
        <w:rPr>
          <w:rFonts w:ascii="Open Sans" w:eastAsia="Open Sans" w:hAnsi="Open Sans" w:cs="Open Sans"/>
          <w:color w:val="111111"/>
        </w:rPr>
        <w:t xml:space="preserve">fundamental rights and principles, including extraterritorial obligations, </w:t>
      </w:r>
      <w:r w:rsidR="00645DA8">
        <w:rPr>
          <w:rFonts w:ascii="Open Sans" w:eastAsia="Open Sans" w:hAnsi="Open Sans" w:cs="Open Sans"/>
          <w:color w:val="111111"/>
        </w:rPr>
        <w:t>that should guide States in the design and implementation of policies and interventions</w:t>
      </w:r>
      <w:r>
        <w:rPr>
          <w:rFonts w:ascii="Open Sans" w:eastAsia="Open Sans" w:hAnsi="Open Sans" w:cs="Open Sans"/>
          <w:color w:val="111111"/>
        </w:rPr>
        <w:t xml:space="preserve"> to combat the climate emergency. </w:t>
      </w:r>
      <w:r w:rsidR="00645DA8">
        <w:rPr>
          <w:rFonts w:ascii="Open Sans" w:eastAsia="Open Sans" w:hAnsi="Open Sans" w:cs="Open Sans"/>
          <w:color w:val="111111"/>
        </w:rPr>
        <w:t>In the statement on climate change, released by the Committee on Economic, Social and Cultural Rights f</w:t>
      </w:r>
      <w:r>
        <w:rPr>
          <w:rFonts w:ascii="Open Sans" w:eastAsia="Open Sans" w:hAnsi="Open Sans" w:cs="Open Sans"/>
          <w:color w:val="111111"/>
        </w:rPr>
        <w:t xml:space="preserve">ollowing the publication of the special report of the Intergovernmental Panel on Climate Change on the impacts of global warming of 1.5°C above </w:t>
      </w:r>
      <w:r w:rsidR="00EC7CB1">
        <w:rPr>
          <w:rFonts w:ascii="Open Sans" w:eastAsia="Open Sans" w:hAnsi="Open Sans" w:cs="Open Sans"/>
          <w:color w:val="111111"/>
        </w:rPr>
        <w:t xml:space="preserve">pre-industrial levels </w:t>
      </w:r>
      <w:r w:rsidR="00645DA8">
        <w:rPr>
          <w:rFonts w:ascii="Open Sans" w:eastAsia="Open Sans" w:hAnsi="Open Sans" w:cs="Open Sans"/>
          <w:color w:val="111111"/>
        </w:rPr>
        <w:t>the Committee</w:t>
      </w:r>
      <w:r>
        <w:rPr>
          <w:rFonts w:ascii="Open Sans" w:eastAsia="Open Sans" w:hAnsi="Open Sans" w:cs="Open Sans"/>
          <w:color w:val="111111"/>
        </w:rPr>
        <w:t xml:space="preserve"> </w:t>
      </w:r>
      <w:r w:rsidR="00645DA8">
        <w:rPr>
          <w:rFonts w:ascii="Open Sans" w:eastAsia="Open Sans" w:hAnsi="Open Sans" w:cs="Open Sans"/>
          <w:color w:val="111111"/>
        </w:rPr>
        <w:t xml:space="preserve">has </w:t>
      </w:r>
      <w:r>
        <w:rPr>
          <w:rFonts w:ascii="Open Sans" w:eastAsia="Open Sans" w:hAnsi="Open Sans" w:cs="Open Sans"/>
          <w:color w:val="111111"/>
        </w:rPr>
        <w:t>highlight</w:t>
      </w:r>
      <w:r w:rsidR="00645DA8">
        <w:rPr>
          <w:rFonts w:ascii="Open Sans" w:eastAsia="Open Sans" w:hAnsi="Open Sans" w:cs="Open Sans"/>
          <w:color w:val="111111"/>
        </w:rPr>
        <w:t>ed</w:t>
      </w:r>
      <w:r>
        <w:rPr>
          <w:rFonts w:ascii="Open Sans" w:eastAsia="Open Sans" w:hAnsi="Open Sans" w:cs="Open Sans"/>
          <w:color w:val="111111"/>
        </w:rPr>
        <w:t xml:space="preserve"> the States’ duty to prevent foreseeable human rights harms caused by the climate emergency.</w:t>
      </w:r>
      <w:r>
        <w:rPr>
          <w:rFonts w:ascii="Open Sans" w:eastAsia="Open Sans" w:hAnsi="Open Sans" w:cs="Open Sans"/>
          <w:color w:val="111111"/>
          <w:vertAlign w:val="superscript"/>
        </w:rPr>
        <w:footnoteReference w:id="1"/>
      </w:r>
      <w:r>
        <w:rPr>
          <w:rFonts w:ascii="Open Sans" w:eastAsia="Open Sans" w:hAnsi="Open Sans" w:cs="Open Sans"/>
          <w:color w:val="111111"/>
        </w:rPr>
        <w:t xml:space="preserve"> A failure by State Parties to </w:t>
      </w:r>
      <w:r w:rsidR="000A71A3">
        <w:rPr>
          <w:rFonts w:ascii="Open Sans" w:eastAsia="Open Sans" w:hAnsi="Open Sans" w:cs="Open Sans"/>
          <w:color w:val="111111"/>
        </w:rPr>
        <w:t xml:space="preserve">comply with these duties </w:t>
      </w:r>
      <w:r>
        <w:rPr>
          <w:rFonts w:ascii="Open Sans" w:eastAsia="Open Sans" w:hAnsi="Open Sans" w:cs="Open Sans"/>
          <w:color w:val="111111"/>
        </w:rPr>
        <w:t xml:space="preserve"> or to mobili</w:t>
      </w:r>
      <w:r w:rsidR="000A71A3">
        <w:rPr>
          <w:rFonts w:ascii="Open Sans" w:eastAsia="Open Sans" w:hAnsi="Open Sans" w:cs="Open Sans"/>
          <w:color w:val="111111"/>
        </w:rPr>
        <w:t>s</w:t>
      </w:r>
      <w:r>
        <w:rPr>
          <w:rFonts w:ascii="Open Sans" w:eastAsia="Open Sans" w:hAnsi="Open Sans" w:cs="Open Sans"/>
          <w:color w:val="111111"/>
        </w:rPr>
        <w:t>e  the maximum available resources to prevent climate related human rights harms</w:t>
      </w:r>
      <w:r w:rsidR="000A71A3">
        <w:rPr>
          <w:rFonts w:ascii="Open Sans" w:eastAsia="Open Sans" w:hAnsi="Open Sans" w:cs="Open Sans"/>
          <w:color w:val="111111"/>
        </w:rPr>
        <w:t>,</w:t>
      </w:r>
      <w:r>
        <w:rPr>
          <w:rFonts w:ascii="Open Sans" w:eastAsia="Open Sans" w:hAnsi="Open Sans" w:cs="Open Sans"/>
          <w:color w:val="111111"/>
        </w:rPr>
        <w:t xml:space="preserve"> could constitute a breach to</w:t>
      </w:r>
      <w:r w:rsidR="00EC7CB1">
        <w:rPr>
          <w:rFonts w:ascii="Open Sans" w:eastAsia="Open Sans" w:hAnsi="Open Sans" w:cs="Open Sans"/>
          <w:color w:val="111111"/>
        </w:rPr>
        <w:t xml:space="preserve"> </w:t>
      </w:r>
      <w:r>
        <w:rPr>
          <w:rFonts w:ascii="Open Sans" w:eastAsia="Open Sans" w:hAnsi="Open Sans" w:cs="Open Sans"/>
          <w:color w:val="111111"/>
        </w:rPr>
        <w:t>the international human rights regime.</w:t>
      </w:r>
      <w:r>
        <w:rPr>
          <w:rFonts w:ascii="Open Sans" w:eastAsia="Open Sans" w:hAnsi="Open Sans" w:cs="Open Sans"/>
          <w:color w:val="111111"/>
          <w:vertAlign w:val="superscript"/>
        </w:rPr>
        <w:footnoteReference w:id="2"/>
      </w:r>
      <w:r>
        <w:rPr>
          <w:rFonts w:ascii="Open Sans" w:eastAsia="Open Sans" w:hAnsi="Open Sans" w:cs="Open Sans"/>
          <w:color w:val="111111"/>
        </w:rPr>
        <w:t xml:space="preserve"> </w:t>
      </w:r>
    </w:p>
    <w:p w14:paraId="76DFF8A1" w14:textId="77777777" w:rsidR="002D62A7" w:rsidRDefault="004B03B0">
      <w:pPr>
        <w:shd w:val="clear" w:color="auto" w:fill="FFFFFF"/>
        <w:spacing w:before="120" w:after="120" w:line="240" w:lineRule="auto"/>
        <w:jc w:val="both"/>
        <w:rPr>
          <w:rFonts w:ascii="Open Sans" w:eastAsia="Open Sans" w:hAnsi="Open Sans" w:cs="Open Sans"/>
          <w:color w:val="111111"/>
        </w:rPr>
      </w:pPr>
      <w:r>
        <w:rPr>
          <w:rFonts w:ascii="Open Sans" w:eastAsia="Open Sans" w:hAnsi="Open Sans" w:cs="Open Sans"/>
          <w:color w:val="111111"/>
        </w:rPr>
        <w:t xml:space="preserve">Furthermore, the Committee recognised that a “ fundamental shift in the global energy order is urgently required from hydrocarbon to renewable energy sources, in order to avoid </w:t>
      </w:r>
      <w:r>
        <w:rPr>
          <w:rFonts w:ascii="Open Sans" w:eastAsia="Open Sans" w:hAnsi="Open Sans" w:cs="Open Sans"/>
          <w:color w:val="111111"/>
        </w:rPr>
        <w:lastRenderedPageBreak/>
        <w:t>dangerous anthropogenic interference with the climate system and the significant human rights violations that such interference would cause.”</w:t>
      </w:r>
      <w:r>
        <w:rPr>
          <w:rFonts w:ascii="Open Sans" w:eastAsia="Open Sans" w:hAnsi="Open Sans" w:cs="Open Sans"/>
          <w:color w:val="111111"/>
          <w:vertAlign w:val="superscript"/>
        </w:rPr>
        <w:footnoteReference w:id="3"/>
      </w:r>
      <w:r>
        <w:rPr>
          <w:rFonts w:ascii="Open Sans" w:eastAsia="Open Sans" w:hAnsi="Open Sans" w:cs="Open Sans"/>
          <w:color w:val="111111"/>
        </w:rPr>
        <w:t xml:space="preserve"> In this line, all human rights mechanisms have an essential role to play in protecting human rights by ensuring that States undertake measures to the maximum of their available resources to mitigate climate change, including by accelerating the shift to renewable sources of energy, such as wind or solar.</w:t>
      </w:r>
      <w:r>
        <w:rPr>
          <w:rFonts w:ascii="Open Sans" w:eastAsia="Open Sans" w:hAnsi="Open Sans" w:cs="Open Sans"/>
          <w:color w:val="111111"/>
          <w:vertAlign w:val="superscript"/>
        </w:rPr>
        <w:footnoteReference w:id="4"/>
      </w:r>
      <w:r>
        <w:rPr>
          <w:rFonts w:ascii="Open Sans" w:eastAsia="Open Sans" w:hAnsi="Open Sans" w:cs="Open Sans"/>
          <w:color w:val="111111"/>
        </w:rPr>
        <w:t xml:space="preserve"> For instance, measures such as taxes on carbon, on personal and corporate wealth, and on extractive industries can be designed to price adverse environmental impacts and mobilise resources to finance mitigation and adaptation efforts, such as investments on green energy systems that aim to benefit the most marginalised.</w:t>
      </w:r>
      <w:r>
        <w:rPr>
          <w:rFonts w:ascii="Open Sans" w:eastAsia="Open Sans" w:hAnsi="Open Sans" w:cs="Open Sans"/>
          <w:color w:val="111111"/>
          <w:vertAlign w:val="superscript"/>
        </w:rPr>
        <w:footnoteReference w:id="5"/>
      </w:r>
      <w:r>
        <w:rPr>
          <w:rFonts w:ascii="Open Sans" w:eastAsia="Open Sans" w:hAnsi="Open Sans" w:cs="Open Sans"/>
          <w:color w:val="111111"/>
        </w:rPr>
        <w:t xml:space="preserve"> </w:t>
      </w:r>
    </w:p>
    <w:p w14:paraId="09523BFE" w14:textId="4031562A" w:rsidR="002D62A7" w:rsidRDefault="004B03B0">
      <w:pPr>
        <w:shd w:val="clear" w:color="auto" w:fill="FFFFFF"/>
        <w:spacing w:before="120" w:after="120" w:line="240" w:lineRule="auto"/>
        <w:jc w:val="both"/>
        <w:rPr>
          <w:rFonts w:ascii="Open Sans" w:eastAsia="Open Sans" w:hAnsi="Open Sans" w:cs="Open Sans"/>
          <w:color w:val="111111"/>
        </w:rPr>
      </w:pPr>
      <w:r>
        <w:rPr>
          <w:rFonts w:ascii="Open Sans" w:eastAsia="Open Sans" w:hAnsi="Open Sans" w:cs="Open Sans"/>
          <w:color w:val="111111"/>
        </w:rPr>
        <w:t xml:space="preserve">Under the ICESCR, not only State actors, but also businesses are expected to respect Covenant rights regardless of the existence of adequate domestic regulation or </w:t>
      </w:r>
      <w:sdt>
        <w:sdtPr>
          <w:tag w:val="goog_rdk_6"/>
          <w:id w:val="-1991784871"/>
        </w:sdtPr>
        <w:sdtEndPr/>
        <w:sdtContent>
          <w:r>
            <w:rPr>
              <w:rFonts w:ascii="Open Sans" w:eastAsia="Open Sans" w:hAnsi="Open Sans" w:cs="Open Sans"/>
              <w:color w:val="111111"/>
            </w:rPr>
            <w:t>whether</w:t>
          </w:r>
        </w:sdtContent>
      </w:sdt>
      <w:r w:rsidR="00EC7CB1">
        <w:t xml:space="preserve"> </w:t>
      </w:r>
      <w:r>
        <w:rPr>
          <w:rFonts w:ascii="Open Sans" w:eastAsia="Open Sans" w:hAnsi="Open Sans" w:cs="Open Sans"/>
          <w:color w:val="111111"/>
        </w:rPr>
        <w:t>this is fully enforced in practice.</w:t>
      </w:r>
      <w:r>
        <w:rPr>
          <w:rFonts w:ascii="Open Sans" w:eastAsia="Open Sans" w:hAnsi="Open Sans" w:cs="Open Sans"/>
          <w:color w:val="111111"/>
          <w:vertAlign w:val="superscript"/>
        </w:rPr>
        <w:footnoteReference w:id="6"/>
      </w:r>
      <w:r>
        <w:rPr>
          <w:rFonts w:ascii="Open Sans" w:eastAsia="Open Sans" w:hAnsi="Open Sans" w:cs="Open Sans"/>
          <w:color w:val="111111"/>
        </w:rPr>
        <w:t xml:space="preserve"> In this regard, the UN Working Group on the issue of human rights and transnational business and other enterprises clarified how the UN Guiding Principles on Business and Human Rights are applicable in the context of climate change.</w:t>
      </w:r>
      <w:r>
        <w:rPr>
          <w:rFonts w:ascii="Open Sans" w:eastAsia="Open Sans" w:hAnsi="Open Sans" w:cs="Open Sans"/>
          <w:color w:val="111111"/>
          <w:vertAlign w:val="superscript"/>
        </w:rPr>
        <w:footnoteReference w:id="7"/>
      </w:r>
      <w:r>
        <w:rPr>
          <w:rFonts w:ascii="Open Sans" w:eastAsia="Open Sans" w:hAnsi="Open Sans" w:cs="Open Sans"/>
          <w:color w:val="111111"/>
        </w:rPr>
        <w:t xml:space="preserve"> It recognised that the obligations of States under this framework comprise the duty to regulate business activities to ensure they are compliant with a transition to a zero-carbon economy that is just and rights-based.</w:t>
      </w:r>
      <w:r>
        <w:rPr>
          <w:rFonts w:ascii="Open Sans" w:eastAsia="Open Sans" w:hAnsi="Open Sans" w:cs="Open Sans"/>
          <w:color w:val="111111"/>
          <w:vertAlign w:val="superscript"/>
        </w:rPr>
        <w:footnoteReference w:id="8"/>
      </w:r>
      <w:r>
        <w:rPr>
          <w:rFonts w:ascii="Open Sans" w:eastAsia="Open Sans" w:hAnsi="Open Sans" w:cs="Open Sans"/>
          <w:color w:val="111111"/>
        </w:rPr>
        <w:t xml:space="preserve"> This entails adopting climate and human rights due diligence policies in all corporate decision-making processes, procedures, and governance structures to address, and in any case, repair any business-related human rights abuses.</w:t>
      </w:r>
      <w:r>
        <w:rPr>
          <w:rFonts w:ascii="Open Sans" w:eastAsia="Open Sans" w:hAnsi="Open Sans" w:cs="Open Sans"/>
          <w:color w:val="111111"/>
          <w:vertAlign w:val="superscript"/>
        </w:rPr>
        <w:footnoteReference w:id="9"/>
      </w:r>
      <w:r>
        <w:rPr>
          <w:rFonts w:ascii="Open Sans" w:eastAsia="Open Sans" w:hAnsi="Open Sans" w:cs="Open Sans"/>
          <w:color w:val="111111"/>
        </w:rPr>
        <w:t xml:space="preserve"> </w:t>
      </w:r>
    </w:p>
    <w:p w14:paraId="32D42A5C" w14:textId="77777777" w:rsidR="002D62A7" w:rsidRDefault="004B03B0">
      <w:pPr>
        <w:shd w:val="clear" w:color="auto" w:fill="FFFFFF"/>
        <w:spacing w:before="120" w:after="120" w:line="240" w:lineRule="auto"/>
        <w:jc w:val="both"/>
        <w:rPr>
          <w:rFonts w:ascii="Open Sans" w:eastAsia="Open Sans" w:hAnsi="Open Sans" w:cs="Open Sans"/>
          <w:color w:val="111111"/>
        </w:rPr>
      </w:pPr>
      <w:r>
        <w:rPr>
          <w:rFonts w:ascii="Open Sans" w:eastAsia="Open Sans" w:hAnsi="Open Sans" w:cs="Open Sans"/>
          <w:color w:val="111111"/>
        </w:rPr>
        <w:t>Businesses should also “ensure their value chains and practices are in line with the goal of achieving a just transition to a zero-carbon economy”.</w:t>
      </w:r>
      <w:r>
        <w:rPr>
          <w:rFonts w:ascii="Open Sans" w:eastAsia="Open Sans" w:hAnsi="Open Sans" w:cs="Open Sans"/>
          <w:color w:val="111111"/>
          <w:vertAlign w:val="superscript"/>
        </w:rPr>
        <w:footnoteReference w:id="10"/>
      </w:r>
      <w:r>
        <w:rPr>
          <w:rFonts w:ascii="Open Sans" w:eastAsia="Open Sans" w:hAnsi="Open Sans" w:cs="Open Sans"/>
          <w:color w:val="111111"/>
        </w:rPr>
        <w:t xml:space="preserve">These obligations require businesses to uphold the rights enshrined in the Covenant at all stages of the life cycle of renewable energies from the exploration and extraction of minerals on which low-carbon technology development depends, to the construction and operation of energy infrastructure projects and the provisioning of good quality sustainable energy services for all. </w:t>
      </w:r>
    </w:p>
    <w:p w14:paraId="1069CFE9" w14:textId="77777777" w:rsidR="002D62A7" w:rsidRDefault="004B03B0">
      <w:pPr>
        <w:shd w:val="clear" w:color="auto" w:fill="FFFFFF"/>
        <w:spacing w:before="120" w:after="120" w:line="240" w:lineRule="auto"/>
        <w:jc w:val="both"/>
        <w:rPr>
          <w:rFonts w:ascii="Open Sans" w:eastAsia="Open Sans" w:hAnsi="Open Sans" w:cs="Open Sans"/>
          <w:color w:val="111111"/>
        </w:rPr>
      </w:pPr>
      <w:r>
        <w:rPr>
          <w:rFonts w:ascii="Open Sans" w:eastAsia="Open Sans" w:hAnsi="Open Sans" w:cs="Open Sans"/>
          <w:color w:val="111111"/>
        </w:rPr>
        <w:t xml:space="preserve">In this line, the Committee has also raised human rights concerns in relation to mitigation projects, such as the construction of large-scale renewable energy infrastructure, that might </w:t>
      </w:r>
      <w:r>
        <w:rPr>
          <w:rFonts w:ascii="Open Sans" w:eastAsia="Open Sans" w:hAnsi="Open Sans" w:cs="Open Sans"/>
          <w:color w:val="111111"/>
        </w:rPr>
        <w:lastRenderedPageBreak/>
        <w:t xml:space="preserve">encroach upon the economic, social, </w:t>
      </w:r>
      <w:proofErr w:type="gramStart"/>
      <w:r>
        <w:rPr>
          <w:rFonts w:ascii="Open Sans" w:eastAsia="Open Sans" w:hAnsi="Open Sans" w:cs="Open Sans"/>
          <w:color w:val="111111"/>
        </w:rPr>
        <w:t>cultural</w:t>
      </w:r>
      <w:proofErr w:type="gramEnd"/>
      <w:r>
        <w:rPr>
          <w:rFonts w:ascii="Open Sans" w:eastAsia="Open Sans" w:hAnsi="Open Sans" w:cs="Open Sans"/>
          <w:color w:val="111111"/>
        </w:rPr>
        <w:t xml:space="preserve"> or environmental rights of local populations. This has </w:t>
      </w:r>
      <w:proofErr w:type="gramStart"/>
      <w:r>
        <w:rPr>
          <w:rFonts w:ascii="Open Sans" w:eastAsia="Open Sans" w:hAnsi="Open Sans" w:cs="Open Sans"/>
          <w:color w:val="111111"/>
        </w:rPr>
        <w:t>been mostly acknowledged</w:t>
      </w:r>
      <w:proofErr w:type="gramEnd"/>
      <w:r>
        <w:rPr>
          <w:rFonts w:ascii="Open Sans" w:eastAsia="Open Sans" w:hAnsi="Open Sans" w:cs="Open Sans"/>
          <w:color w:val="111111"/>
        </w:rPr>
        <w:t xml:space="preserve"> in relation to the misuse and mismanagement of land for climate action, and the failure to respect the right of indigenous people to free, prior, and informed consent.</w:t>
      </w:r>
      <w:r>
        <w:rPr>
          <w:rFonts w:ascii="Open Sans" w:eastAsia="Open Sans" w:hAnsi="Open Sans" w:cs="Open Sans"/>
          <w:color w:val="111111"/>
          <w:vertAlign w:val="superscript"/>
        </w:rPr>
        <w:footnoteReference w:id="11"/>
      </w:r>
    </w:p>
    <w:p w14:paraId="4659D1DF" w14:textId="39890738" w:rsidR="002D62A7" w:rsidRDefault="004B03B0">
      <w:pPr>
        <w:shd w:val="clear" w:color="auto" w:fill="FFFFFF"/>
        <w:spacing w:before="120" w:after="120" w:line="240" w:lineRule="auto"/>
        <w:jc w:val="both"/>
        <w:rPr>
          <w:rFonts w:ascii="Open Sans" w:eastAsia="Open Sans" w:hAnsi="Open Sans" w:cs="Open Sans"/>
          <w:color w:val="111111"/>
        </w:rPr>
      </w:pPr>
      <w:r>
        <w:rPr>
          <w:rFonts w:ascii="Open Sans" w:eastAsia="Open Sans" w:hAnsi="Open Sans" w:cs="Open Sans"/>
          <w:color w:val="111111"/>
        </w:rPr>
        <w:t xml:space="preserve">Ensuring the rapid decarbonisation of energy systems to avoid the worst effects of the climate emergency should </w:t>
      </w:r>
      <w:r w:rsidR="00C14CD5">
        <w:rPr>
          <w:rFonts w:ascii="Open Sans" w:eastAsia="Open Sans" w:hAnsi="Open Sans" w:cs="Open Sans"/>
          <w:color w:val="111111"/>
        </w:rPr>
        <w:t xml:space="preserve">also </w:t>
      </w:r>
      <w:r>
        <w:rPr>
          <w:rFonts w:ascii="Open Sans" w:eastAsia="Open Sans" w:hAnsi="Open Sans" w:cs="Open Sans"/>
          <w:color w:val="111111"/>
        </w:rPr>
        <w:t>not constrain efforts to provide access to good quality energy services and combat energy poverty. For instance, the Committee has stated that an essential normative component of the right to adequate housing is that everyone should have sustainable access to energy for cooking, heating, and lighting.</w:t>
      </w:r>
      <w:r>
        <w:rPr>
          <w:rFonts w:ascii="Open Sans" w:eastAsia="Open Sans" w:hAnsi="Open Sans" w:cs="Open Sans"/>
          <w:color w:val="111111"/>
          <w:vertAlign w:val="superscript"/>
        </w:rPr>
        <w:footnoteReference w:id="12"/>
      </w:r>
      <w:r>
        <w:rPr>
          <w:rFonts w:ascii="Open Sans" w:eastAsia="Open Sans" w:hAnsi="Open Sans" w:cs="Open Sans"/>
          <w:color w:val="111111"/>
        </w:rPr>
        <w:t xml:space="preserve"> Without access to sustainable, available, accessible, and adequate energy services </w:t>
      </w:r>
      <w:proofErr w:type="gramStart"/>
      <w:r>
        <w:rPr>
          <w:rFonts w:ascii="Open Sans" w:eastAsia="Open Sans" w:hAnsi="Open Sans" w:cs="Open Sans"/>
          <w:color w:val="111111"/>
        </w:rPr>
        <w:t>a number of</w:t>
      </w:r>
      <w:proofErr w:type="gramEnd"/>
      <w:r>
        <w:rPr>
          <w:rFonts w:ascii="Open Sans" w:eastAsia="Open Sans" w:hAnsi="Open Sans" w:cs="Open Sans"/>
          <w:color w:val="111111"/>
        </w:rPr>
        <w:t xml:space="preserve"> rights contained in the Covenant are impossible to fulfil, including the rights to food, water, sanitation, education, and health.</w:t>
      </w:r>
      <w:r>
        <w:rPr>
          <w:rFonts w:ascii="Open Sans" w:eastAsia="Open Sans" w:hAnsi="Open Sans" w:cs="Open Sans"/>
          <w:color w:val="111111"/>
          <w:vertAlign w:val="superscript"/>
        </w:rPr>
        <w:footnoteReference w:id="13"/>
      </w:r>
      <w:r>
        <w:rPr>
          <w:rFonts w:ascii="Open Sans" w:eastAsia="Open Sans" w:hAnsi="Open Sans" w:cs="Open Sans"/>
          <w:color w:val="111111"/>
        </w:rPr>
        <w:t xml:space="preserve"> </w:t>
      </w:r>
    </w:p>
    <w:p w14:paraId="7ED522A3" w14:textId="138FB3D9" w:rsidR="002D62A7" w:rsidRDefault="004B03B0">
      <w:pPr>
        <w:shd w:val="clear" w:color="auto" w:fill="FFFFFF"/>
        <w:spacing w:before="120" w:after="120" w:line="240" w:lineRule="auto"/>
        <w:jc w:val="both"/>
        <w:rPr>
          <w:rFonts w:ascii="Open Sans" w:eastAsia="Open Sans" w:hAnsi="Open Sans" w:cs="Open Sans"/>
          <w:color w:val="111111"/>
        </w:rPr>
      </w:pPr>
      <w:r>
        <w:rPr>
          <w:rFonts w:ascii="Open Sans" w:eastAsia="Open Sans" w:hAnsi="Open Sans" w:cs="Open Sans"/>
          <w:color w:val="111111"/>
        </w:rPr>
        <w:t>In addition, the ICESCR enshrines two obligations that are critical to guide a just transition to zero-carbon societies and which provide the basis for the implementation of all the obligations contained in the Covenant: the principles of non-discrimination</w:t>
      </w:r>
      <w:r w:rsidR="000A71A3">
        <w:rPr>
          <w:rFonts w:ascii="Open Sans" w:eastAsia="Open Sans" w:hAnsi="Open Sans" w:cs="Open Sans"/>
          <w:color w:val="111111"/>
        </w:rPr>
        <w:t xml:space="preserve"> (art.2</w:t>
      </w:r>
      <w:proofErr w:type="gramStart"/>
      <w:r w:rsidR="000A71A3">
        <w:rPr>
          <w:rFonts w:ascii="Open Sans" w:eastAsia="Open Sans" w:hAnsi="Open Sans" w:cs="Open Sans"/>
          <w:color w:val="111111"/>
        </w:rPr>
        <w:t xml:space="preserve">) </w:t>
      </w:r>
      <w:r>
        <w:rPr>
          <w:rFonts w:ascii="Open Sans" w:eastAsia="Open Sans" w:hAnsi="Open Sans" w:cs="Open Sans"/>
          <w:color w:val="111111"/>
        </w:rPr>
        <w:t xml:space="preserve"> and</w:t>
      </w:r>
      <w:proofErr w:type="gramEnd"/>
      <w:r>
        <w:rPr>
          <w:rFonts w:ascii="Open Sans" w:eastAsia="Open Sans" w:hAnsi="Open Sans" w:cs="Open Sans"/>
          <w:color w:val="111111"/>
        </w:rPr>
        <w:t xml:space="preserve"> gender equality</w:t>
      </w:r>
      <w:r w:rsidR="000A71A3">
        <w:rPr>
          <w:rFonts w:ascii="Open Sans" w:eastAsia="Open Sans" w:hAnsi="Open Sans" w:cs="Open Sans"/>
          <w:color w:val="111111"/>
        </w:rPr>
        <w:t xml:space="preserve"> (art. 3)</w:t>
      </w:r>
      <w:r>
        <w:rPr>
          <w:rFonts w:ascii="Open Sans" w:eastAsia="Open Sans" w:hAnsi="Open Sans" w:cs="Open Sans"/>
          <w:color w:val="111111"/>
        </w:rPr>
        <w:t>, and the duty of international assistance and cooperation</w:t>
      </w:r>
      <w:r w:rsidR="00EC7CB1">
        <w:rPr>
          <w:rFonts w:ascii="Open Sans" w:eastAsia="Open Sans" w:hAnsi="Open Sans" w:cs="Open Sans"/>
          <w:color w:val="111111"/>
        </w:rPr>
        <w:t>.</w:t>
      </w:r>
      <w:r>
        <w:rPr>
          <w:rFonts w:ascii="Open Sans" w:eastAsia="Open Sans" w:hAnsi="Open Sans" w:cs="Open Sans"/>
          <w:color w:val="111111"/>
        </w:rPr>
        <w:t xml:space="preserve"> </w:t>
      </w:r>
    </w:p>
    <w:p w14:paraId="519EC41F" w14:textId="6FF129C0" w:rsidR="002D62A7" w:rsidRDefault="004B03B0">
      <w:pPr>
        <w:shd w:val="clear" w:color="auto" w:fill="FFFFFF"/>
        <w:spacing w:before="120" w:after="120" w:line="240" w:lineRule="auto"/>
        <w:jc w:val="both"/>
        <w:rPr>
          <w:rFonts w:ascii="Open Sans" w:eastAsia="Open Sans" w:hAnsi="Open Sans" w:cs="Open Sans"/>
          <w:color w:val="111111"/>
        </w:rPr>
      </w:pPr>
      <w:r>
        <w:rPr>
          <w:rFonts w:ascii="Open Sans" w:eastAsia="Open Sans" w:hAnsi="Open Sans" w:cs="Open Sans"/>
          <w:color w:val="111111"/>
        </w:rPr>
        <w:t xml:space="preserve">On the obligation of non-discrimination and gender equality, States and other non-State actors are required to, on the one hand, address the disproportionate and differentiated impacts of climate change on groups and people suffering from pre-existing conditions of marginalisation, and on the other hand, to ensure climate policy provides better access to rights and contributes to </w:t>
      </w:r>
      <w:r w:rsidR="000A71A3">
        <w:rPr>
          <w:rFonts w:ascii="Open Sans" w:eastAsia="Open Sans" w:hAnsi="Open Sans" w:cs="Open Sans"/>
          <w:color w:val="111111"/>
        </w:rPr>
        <w:t xml:space="preserve">reducing </w:t>
      </w:r>
      <w:r>
        <w:rPr>
          <w:rFonts w:ascii="Open Sans" w:eastAsia="Open Sans" w:hAnsi="Open Sans" w:cs="Open Sans"/>
          <w:color w:val="111111"/>
        </w:rPr>
        <w:t>pre-existing inequalities.</w:t>
      </w:r>
      <w:r>
        <w:rPr>
          <w:rFonts w:ascii="Open Sans" w:eastAsia="Open Sans" w:hAnsi="Open Sans" w:cs="Open Sans"/>
          <w:color w:val="111111"/>
          <w:vertAlign w:val="superscript"/>
        </w:rPr>
        <w:footnoteReference w:id="14"/>
      </w:r>
      <w:r>
        <w:rPr>
          <w:rFonts w:ascii="Open Sans" w:eastAsia="Open Sans" w:hAnsi="Open Sans" w:cs="Open Sans"/>
          <w:color w:val="111111"/>
        </w:rPr>
        <w:t xml:space="preserve"> Accordingly, an intersectional approach centred on the needs of women and girls in all their diversity is critical to ensure that the shift to renewable energy combats negative gender stereotypes and advances gender equality. Care should </w:t>
      </w:r>
      <w:proofErr w:type="gramStart"/>
      <w:r>
        <w:rPr>
          <w:rFonts w:ascii="Open Sans" w:eastAsia="Open Sans" w:hAnsi="Open Sans" w:cs="Open Sans"/>
          <w:color w:val="111111"/>
        </w:rPr>
        <w:t>be taken</w:t>
      </w:r>
      <w:proofErr w:type="gramEnd"/>
      <w:r>
        <w:rPr>
          <w:rFonts w:ascii="Open Sans" w:eastAsia="Open Sans" w:hAnsi="Open Sans" w:cs="Open Sans"/>
          <w:color w:val="111111"/>
        </w:rPr>
        <w:t xml:space="preserve"> to ensure that gender equality is included in all planning and implementation of climate action. Furthermore, the rights of indigenous peoples, persons with disabilities, minorities, migrants, and future generations and others in disadvantaged conditions must </w:t>
      </w:r>
      <w:proofErr w:type="gramStart"/>
      <w:r>
        <w:rPr>
          <w:rFonts w:ascii="Open Sans" w:eastAsia="Open Sans" w:hAnsi="Open Sans" w:cs="Open Sans"/>
          <w:color w:val="111111"/>
        </w:rPr>
        <w:t>be effectively protected</w:t>
      </w:r>
      <w:proofErr w:type="gramEnd"/>
      <w:r>
        <w:rPr>
          <w:rFonts w:ascii="Open Sans" w:eastAsia="Open Sans" w:hAnsi="Open Sans" w:cs="Open Sans"/>
          <w:color w:val="111111"/>
        </w:rPr>
        <w:t xml:space="preserve">. </w:t>
      </w:r>
    </w:p>
    <w:p w14:paraId="52D6AB4F" w14:textId="40C037C2" w:rsidR="002D62A7" w:rsidRDefault="000A71A3">
      <w:pPr>
        <w:shd w:val="clear" w:color="auto" w:fill="FFFFFF"/>
        <w:spacing w:before="120" w:after="120" w:line="240" w:lineRule="auto"/>
        <w:jc w:val="both"/>
        <w:rPr>
          <w:rFonts w:ascii="Open Sans" w:eastAsia="Open Sans" w:hAnsi="Open Sans" w:cs="Open Sans"/>
          <w:color w:val="111111"/>
        </w:rPr>
      </w:pPr>
      <w:r>
        <w:rPr>
          <w:rFonts w:ascii="Open Sans" w:eastAsia="Open Sans" w:hAnsi="Open Sans" w:cs="Open Sans"/>
          <w:color w:val="111111"/>
        </w:rPr>
        <w:t>Concerning</w:t>
      </w:r>
      <w:r w:rsidR="004B03B0">
        <w:rPr>
          <w:rFonts w:ascii="Open Sans" w:eastAsia="Open Sans" w:hAnsi="Open Sans" w:cs="Open Sans"/>
          <w:color w:val="111111"/>
        </w:rPr>
        <w:t xml:space="preserve"> the duty of States to promote international assistance and cooperation, especially economically and technical, for the realisation of ESC rights, States </w:t>
      </w:r>
      <w:proofErr w:type="gramStart"/>
      <w:r w:rsidR="004B03B0">
        <w:rPr>
          <w:rFonts w:ascii="Open Sans" w:eastAsia="Open Sans" w:hAnsi="Open Sans" w:cs="Open Sans"/>
          <w:color w:val="111111"/>
        </w:rPr>
        <w:t>are required</w:t>
      </w:r>
      <w:proofErr w:type="gramEnd"/>
      <w:r w:rsidR="004B03B0">
        <w:rPr>
          <w:rFonts w:ascii="Open Sans" w:eastAsia="Open Sans" w:hAnsi="Open Sans" w:cs="Open Sans"/>
          <w:color w:val="111111"/>
        </w:rPr>
        <w:t xml:space="preserve"> to </w:t>
      </w:r>
      <w:r w:rsidR="004B03B0">
        <w:rPr>
          <w:rFonts w:ascii="Open Sans" w:eastAsia="Open Sans" w:hAnsi="Open Sans" w:cs="Open Sans"/>
          <w:color w:val="111111"/>
        </w:rPr>
        <w:lastRenderedPageBreak/>
        <w:t>foster international solidarity and coordinated global responses to face the climate emergency.</w:t>
      </w:r>
      <w:r w:rsidR="004B03B0">
        <w:rPr>
          <w:rFonts w:ascii="Open Sans" w:eastAsia="Open Sans" w:hAnsi="Open Sans" w:cs="Open Sans"/>
          <w:color w:val="111111"/>
          <w:vertAlign w:val="superscript"/>
        </w:rPr>
        <w:footnoteReference w:id="15"/>
      </w:r>
      <w:r w:rsidR="004B03B0">
        <w:rPr>
          <w:rFonts w:ascii="Open Sans" w:eastAsia="Open Sans" w:hAnsi="Open Sans" w:cs="Open Sans"/>
          <w:color w:val="111111"/>
        </w:rPr>
        <w:t xml:space="preserve"> As the global warming phenomena </w:t>
      </w:r>
      <w:r w:rsidR="00741B52">
        <w:rPr>
          <w:rFonts w:ascii="Open Sans" w:eastAsia="Open Sans" w:hAnsi="Open Sans" w:cs="Open Sans"/>
          <w:color w:val="111111"/>
        </w:rPr>
        <w:t>are</w:t>
      </w:r>
      <w:r w:rsidR="004B03B0">
        <w:rPr>
          <w:rFonts w:ascii="Open Sans" w:eastAsia="Open Sans" w:hAnsi="Open Sans" w:cs="Open Sans"/>
          <w:color w:val="111111"/>
        </w:rPr>
        <w:t xml:space="preserve"> cause</w:t>
      </w:r>
      <w:r w:rsidR="00741B52">
        <w:rPr>
          <w:rFonts w:ascii="Open Sans" w:eastAsia="Open Sans" w:hAnsi="Open Sans" w:cs="Open Sans"/>
          <w:color w:val="111111"/>
        </w:rPr>
        <w:t>d</w:t>
      </w:r>
      <w:r w:rsidR="004B03B0">
        <w:rPr>
          <w:rFonts w:ascii="Open Sans" w:eastAsia="Open Sans" w:hAnsi="Open Sans" w:cs="Open Sans"/>
          <w:color w:val="111111"/>
        </w:rPr>
        <w:t xml:space="preserve"> and </w:t>
      </w:r>
      <w:r w:rsidR="00741B52">
        <w:rPr>
          <w:rFonts w:ascii="Open Sans" w:eastAsia="Open Sans" w:hAnsi="Open Sans" w:cs="Open Sans"/>
          <w:color w:val="111111"/>
        </w:rPr>
        <w:t xml:space="preserve">a </w:t>
      </w:r>
      <w:r w:rsidR="004B03B0">
        <w:rPr>
          <w:rFonts w:ascii="Open Sans" w:eastAsia="Open Sans" w:hAnsi="Open Sans" w:cs="Open Sans"/>
          <w:color w:val="111111"/>
        </w:rPr>
        <w:t>consequence of cross</w:t>
      </w:r>
      <w:r>
        <w:rPr>
          <w:rFonts w:ascii="Open Sans" w:eastAsia="Open Sans" w:hAnsi="Open Sans" w:cs="Open Sans"/>
          <w:color w:val="111111"/>
        </w:rPr>
        <w:t>-</w:t>
      </w:r>
      <w:r w:rsidR="004B03B0">
        <w:rPr>
          <w:rFonts w:ascii="Open Sans" w:eastAsia="Open Sans" w:hAnsi="Open Sans" w:cs="Open Sans"/>
          <w:color w:val="111111"/>
        </w:rPr>
        <w:t xml:space="preserve">border activities, States must ensure they share resources, knowledge, and technology to ensure coordinated and effective climate action. As part of the international </w:t>
      </w:r>
      <w:proofErr w:type="gramStart"/>
      <w:r w:rsidR="004B03B0">
        <w:rPr>
          <w:rFonts w:ascii="Open Sans" w:eastAsia="Open Sans" w:hAnsi="Open Sans" w:cs="Open Sans"/>
          <w:color w:val="111111"/>
        </w:rPr>
        <w:t>community</w:t>
      </w:r>
      <w:r>
        <w:rPr>
          <w:rFonts w:ascii="Open Sans" w:eastAsia="Open Sans" w:hAnsi="Open Sans" w:cs="Open Sans"/>
          <w:color w:val="111111"/>
        </w:rPr>
        <w:t xml:space="preserve">, </w:t>
      </w:r>
      <w:r w:rsidR="004B03B0">
        <w:rPr>
          <w:rFonts w:ascii="Open Sans" w:eastAsia="Open Sans" w:hAnsi="Open Sans" w:cs="Open Sans"/>
          <w:color w:val="111111"/>
        </w:rPr>
        <w:t xml:space="preserve"> </w:t>
      </w:r>
      <w:r>
        <w:rPr>
          <w:rFonts w:ascii="Open Sans" w:eastAsia="Open Sans" w:hAnsi="Open Sans" w:cs="Open Sans"/>
          <w:color w:val="111111"/>
        </w:rPr>
        <w:t>States</w:t>
      </w:r>
      <w:proofErr w:type="gramEnd"/>
      <w:r w:rsidR="004B03B0">
        <w:rPr>
          <w:rFonts w:ascii="Open Sans" w:eastAsia="Open Sans" w:hAnsi="Open Sans" w:cs="Open Sans"/>
          <w:color w:val="111111"/>
        </w:rPr>
        <w:t xml:space="preserve"> should collaborate in relevant regional and international multilateral fora and uphold commitments that can prevent the impacts of the climate emergency and deliver on a rights-based just transition. </w:t>
      </w:r>
    </w:p>
    <w:p w14:paraId="1076CB92" w14:textId="77777777" w:rsidR="002D62A7" w:rsidRDefault="004B03B0">
      <w:pPr>
        <w:numPr>
          <w:ilvl w:val="0"/>
          <w:numId w:val="3"/>
        </w:numPr>
        <w:pBdr>
          <w:top w:val="nil"/>
          <w:left w:val="nil"/>
          <w:bottom w:val="nil"/>
          <w:right w:val="nil"/>
          <w:between w:val="nil"/>
        </w:pBdr>
        <w:tabs>
          <w:tab w:val="left" w:pos="2824"/>
        </w:tabs>
        <w:spacing w:before="120" w:after="120" w:line="240" w:lineRule="auto"/>
        <w:ind w:right="-6"/>
        <w:jc w:val="both"/>
        <w:rPr>
          <w:rFonts w:ascii="Open Sans" w:eastAsia="Open Sans" w:hAnsi="Open Sans" w:cs="Open Sans"/>
          <w:b/>
          <w:color w:val="111111"/>
        </w:rPr>
      </w:pPr>
      <w:r>
        <w:rPr>
          <w:rFonts w:ascii="Open Sans" w:eastAsia="Open Sans" w:hAnsi="Open Sans" w:cs="Open Sans"/>
          <w:b/>
          <w:color w:val="111111"/>
        </w:rPr>
        <w:t xml:space="preserve">The Economic, Social, Cultural and Environmental Implications of Energy Transition in Colombia </w:t>
      </w:r>
    </w:p>
    <w:p w14:paraId="386C59A9" w14:textId="58E6B866" w:rsidR="002D62A7" w:rsidRDefault="004B03B0">
      <w:pPr>
        <w:tabs>
          <w:tab w:val="left" w:pos="2824"/>
        </w:tabs>
        <w:spacing w:before="120" w:after="120" w:line="240" w:lineRule="auto"/>
        <w:ind w:right="-6"/>
        <w:jc w:val="both"/>
        <w:rPr>
          <w:rFonts w:ascii="Open Sans" w:eastAsia="Open Sans" w:hAnsi="Open Sans" w:cs="Open Sans"/>
          <w:color w:val="111111"/>
        </w:rPr>
      </w:pPr>
      <w:r>
        <w:rPr>
          <w:rFonts w:ascii="Open Sans" w:eastAsia="Open Sans" w:hAnsi="Open Sans" w:cs="Open Sans"/>
          <w:color w:val="111111"/>
        </w:rPr>
        <w:t>In Colombia</w:t>
      </w:r>
      <w:r w:rsidR="00741B52">
        <w:rPr>
          <w:rFonts w:ascii="Open Sans" w:eastAsia="Open Sans" w:hAnsi="Open Sans" w:cs="Open Sans"/>
          <w:color w:val="111111"/>
        </w:rPr>
        <w:t>,</w:t>
      </w:r>
      <w:r>
        <w:rPr>
          <w:rFonts w:ascii="Open Sans" w:eastAsia="Open Sans" w:hAnsi="Open Sans" w:cs="Open Sans"/>
          <w:color w:val="111111"/>
        </w:rPr>
        <w:t xml:space="preserve"> the national demand</w:t>
      </w:r>
      <w:r w:rsidR="00741B52">
        <w:rPr>
          <w:rFonts w:ascii="Open Sans" w:eastAsia="Open Sans" w:hAnsi="Open Sans" w:cs="Open Sans"/>
          <w:color w:val="111111"/>
        </w:rPr>
        <w:t xml:space="preserve"> for</w:t>
      </w:r>
      <w:r>
        <w:rPr>
          <w:rFonts w:ascii="Open Sans" w:eastAsia="Open Sans" w:hAnsi="Open Sans" w:cs="Open Sans"/>
          <w:color w:val="111111"/>
        </w:rPr>
        <w:t xml:space="preserve"> energy corresponds 76.5% to fossil fuels and 23.5% to renewable energy sources by 2019.</w:t>
      </w:r>
      <w:r>
        <w:rPr>
          <w:rFonts w:ascii="Open Sans" w:eastAsia="Open Sans" w:hAnsi="Open Sans" w:cs="Open Sans"/>
          <w:color w:val="111111"/>
          <w:vertAlign w:val="superscript"/>
        </w:rPr>
        <w:footnoteReference w:id="16"/>
      </w:r>
      <w:r>
        <w:rPr>
          <w:rFonts w:ascii="Open Sans" w:eastAsia="Open Sans" w:hAnsi="Open Sans" w:cs="Open Sans"/>
          <w:color w:val="111111"/>
        </w:rPr>
        <w:t xml:space="preserve"> In recent years the electric system, however, has significantly increased the number of low-carbon energy sources in its energy matrix. Approximately, 12.1% of the sources of electricity in Colombia come from hydroelectric energy.</w:t>
      </w:r>
      <w:r>
        <w:rPr>
          <w:rFonts w:ascii="Open Sans" w:eastAsia="Open Sans" w:hAnsi="Open Sans" w:cs="Open Sans"/>
          <w:color w:val="111111"/>
          <w:vertAlign w:val="superscript"/>
        </w:rPr>
        <w:footnoteReference w:id="17"/>
      </w:r>
      <w:r>
        <w:rPr>
          <w:rFonts w:ascii="Open Sans" w:eastAsia="Open Sans" w:hAnsi="Open Sans" w:cs="Open Sans"/>
          <w:color w:val="111111"/>
        </w:rPr>
        <w:t xml:space="preserve"> There is also a great potential to rapidly develop infrastructure on renewable energies where communities traditionally have suffered from the impacts of extractive industries, and which for decades have produced high levels of inequality, violence, and multidimensional forms of poverty, including different form</w:t>
      </w:r>
      <w:r w:rsidR="00741B52">
        <w:rPr>
          <w:rFonts w:ascii="Open Sans" w:eastAsia="Open Sans" w:hAnsi="Open Sans" w:cs="Open Sans"/>
          <w:color w:val="111111"/>
        </w:rPr>
        <w:t>s</w:t>
      </w:r>
      <w:r>
        <w:rPr>
          <w:rFonts w:ascii="Open Sans" w:eastAsia="Open Sans" w:hAnsi="Open Sans" w:cs="Open Sans"/>
          <w:color w:val="111111"/>
        </w:rPr>
        <w:t xml:space="preserve"> of energy poverty and lack of access to adequate and sustainable energy services. For instance, the region of “La Guajira”,</w:t>
      </w:r>
      <w:r w:rsidR="00741B52">
        <w:rPr>
          <w:rFonts w:ascii="Open Sans" w:eastAsia="Open Sans" w:hAnsi="Open Sans" w:cs="Open Sans"/>
          <w:color w:val="111111"/>
        </w:rPr>
        <w:t xml:space="preserve"> </w:t>
      </w:r>
      <w:r>
        <w:rPr>
          <w:rFonts w:ascii="Open Sans" w:eastAsia="Open Sans" w:hAnsi="Open Sans" w:cs="Open Sans"/>
          <w:color w:val="111111"/>
        </w:rPr>
        <w:t xml:space="preserve">one of the most </w:t>
      </w:r>
      <w:proofErr w:type="gramStart"/>
      <w:r w:rsidR="00741B52">
        <w:rPr>
          <w:rFonts w:ascii="Open Sans" w:eastAsia="Open Sans" w:hAnsi="Open Sans" w:cs="Open Sans"/>
          <w:color w:val="111111"/>
        </w:rPr>
        <w:t xml:space="preserve">critical </w:t>
      </w:r>
      <w:r>
        <w:rPr>
          <w:rFonts w:ascii="Open Sans" w:eastAsia="Open Sans" w:hAnsi="Open Sans" w:cs="Open Sans"/>
          <w:color w:val="111111"/>
        </w:rPr>
        <w:t xml:space="preserve"> national</w:t>
      </w:r>
      <w:proofErr w:type="gramEnd"/>
      <w:r>
        <w:rPr>
          <w:rFonts w:ascii="Open Sans" w:eastAsia="Open Sans" w:hAnsi="Open Sans" w:cs="Open Sans"/>
          <w:color w:val="111111"/>
        </w:rPr>
        <w:t xml:space="preserve"> fossil-fuel extractive sites, jointly with the </w:t>
      </w:r>
      <w:r w:rsidR="00741B52">
        <w:rPr>
          <w:rFonts w:ascii="Open Sans" w:eastAsia="Open Sans" w:hAnsi="Open Sans" w:cs="Open Sans"/>
          <w:color w:val="111111"/>
        </w:rPr>
        <w:t>D</w:t>
      </w:r>
      <w:r>
        <w:rPr>
          <w:rFonts w:ascii="Open Sans" w:eastAsia="Open Sans" w:hAnsi="Open Sans" w:cs="Open Sans"/>
          <w:color w:val="111111"/>
        </w:rPr>
        <w:t>epartment of César, originates about 90% of all Colombian coal exports.</w:t>
      </w:r>
      <w:r>
        <w:rPr>
          <w:rFonts w:ascii="Open Sans" w:eastAsia="Open Sans" w:hAnsi="Open Sans" w:cs="Open Sans"/>
          <w:color w:val="111111"/>
          <w:vertAlign w:val="superscript"/>
        </w:rPr>
        <w:t xml:space="preserve"> </w:t>
      </w:r>
      <w:r>
        <w:rPr>
          <w:rFonts w:ascii="Open Sans" w:eastAsia="Open Sans" w:hAnsi="Open Sans" w:cs="Open Sans"/>
          <w:color w:val="111111"/>
          <w:vertAlign w:val="superscript"/>
        </w:rPr>
        <w:footnoteReference w:id="18"/>
      </w:r>
      <w:r>
        <w:rPr>
          <w:rFonts w:ascii="Open Sans" w:eastAsia="Open Sans" w:hAnsi="Open Sans" w:cs="Open Sans"/>
          <w:color w:val="111111"/>
        </w:rPr>
        <w:t xml:space="preserve"> However, the region is also known for its significant wind power resources representing 18 GW of the national wind power potential.</w:t>
      </w:r>
      <w:r>
        <w:rPr>
          <w:rFonts w:ascii="Open Sans" w:eastAsia="Open Sans" w:hAnsi="Open Sans" w:cs="Open Sans"/>
          <w:color w:val="111111"/>
          <w:vertAlign w:val="superscript"/>
        </w:rPr>
        <w:footnoteReference w:id="19"/>
      </w:r>
      <w:r>
        <w:rPr>
          <w:rFonts w:ascii="Open Sans" w:eastAsia="Open Sans" w:hAnsi="Open Sans" w:cs="Open Sans"/>
          <w:color w:val="111111"/>
        </w:rPr>
        <w:t xml:space="preserve"> There is a great untapped opportunity to use renewable energies to transform one of the most marginalised regions in the country into an area with new green employment opportunities and better living standards for the overall realisation of economic, social, cultural, and environmental rights. </w:t>
      </w:r>
    </w:p>
    <w:p w14:paraId="2FB87606" w14:textId="0C9240A0" w:rsidR="002D62A7" w:rsidRDefault="004B03B0">
      <w:pPr>
        <w:tabs>
          <w:tab w:val="left" w:pos="2824"/>
        </w:tabs>
        <w:spacing w:before="120" w:after="120" w:line="240" w:lineRule="auto"/>
        <w:ind w:right="-6"/>
        <w:jc w:val="both"/>
        <w:rPr>
          <w:rFonts w:ascii="Open Sans" w:eastAsia="Open Sans" w:hAnsi="Open Sans" w:cs="Open Sans"/>
          <w:color w:val="111111"/>
        </w:rPr>
      </w:pPr>
      <w:r>
        <w:rPr>
          <w:rFonts w:ascii="Open Sans" w:eastAsia="Open Sans" w:hAnsi="Open Sans" w:cs="Open Sans"/>
          <w:color w:val="111111"/>
        </w:rPr>
        <w:t xml:space="preserve">One of the </w:t>
      </w:r>
      <w:r w:rsidR="00741B52">
        <w:rPr>
          <w:rFonts w:ascii="Open Sans" w:eastAsia="Open Sans" w:hAnsi="Open Sans" w:cs="Open Sans"/>
          <w:color w:val="111111"/>
        </w:rPr>
        <w:t xml:space="preserve">critical </w:t>
      </w:r>
      <w:r>
        <w:rPr>
          <w:rFonts w:ascii="Open Sans" w:eastAsia="Open Sans" w:hAnsi="Open Sans" w:cs="Open Sans"/>
          <w:color w:val="111111"/>
        </w:rPr>
        <w:t xml:space="preserve">challenges to advance an ambitious energy transition in Colombia is its economic dependence not only on national fossil fuel use but on its exports. Currently, oil, gas, and coal export revenues represent a large percentage of the country’s economic wealth. In 2022, oil, and coal accounted for 55% of good exports, 17 percentage points higher </w:t>
      </w:r>
      <w:r>
        <w:rPr>
          <w:rFonts w:ascii="Open Sans" w:eastAsia="Open Sans" w:hAnsi="Open Sans" w:cs="Open Sans"/>
          <w:color w:val="111111"/>
        </w:rPr>
        <w:lastRenderedPageBreak/>
        <w:t>than in 2006.</w:t>
      </w:r>
      <w:r>
        <w:rPr>
          <w:rFonts w:ascii="Open Sans" w:eastAsia="Open Sans" w:hAnsi="Open Sans" w:cs="Open Sans"/>
          <w:color w:val="111111"/>
          <w:vertAlign w:val="superscript"/>
        </w:rPr>
        <w:footnoteReference w:id="20"/>
      </w:r>
      <w:r>
        <w:rPr>
          <w:rFonts w:ascii="Open Sans" w:eastAsia="Open Sans" w:hAnsi="Open Sans" w:cs="Open Sans"/>
          <w:color w:val="111111"/>
        </w:rPr>
        <w:t xml:space="preserve"> The implications of</w:t>
      </w:r>
      <w:r w:rsidR="00741B52">
        <w:rPr>
          <w:rFonts w:ascii="Open Sans" w:eastAsia="Open Sans" w:hAnsi="Open Sans" w:cs="Open Sans"/>
          <w:color w:val="111111"/>
        </w:rPr>
        <w:t xml:space="preserve"> the</w:t>
      </w:r>
      <w:r>
        <w:rPr>
          <w:rFonts w:ascii="Open Sans" w:eastAsia="Open Sans" w:hAnsi="Open Sans" w:cs="Open Sans"/>
          <w:color w:val="111111"/>
        </w:rPr>
        <w:t xml:space="preserve"> State’s dependency on fossil fuels for public revenue </w:t>
      </w:r>
      <w:r w:rsidR="00741B52">
        <w:rPr>
          <w:rFonts w:ascii="Open Sans" w:eastAsia="Open Sans" w:hAnsi="Open Sans" w:cs="Open Sans"/>
          <w:color w:val="111111"/>
        </w:rPr>
        <w:t>constrain</w:t>
      </w:r>
      <w:r>
        <w:rPr>
          <w:rFonts w:ascii="Open Sans" w:eastAsia="Open Sans" w:hAnsi="Open Sans" w:cs="Open Sans"/>
          <w:color w:val="111111"/>
        </w:rPr>
        <w:t xml:space="preserve"> its capacity to sustainably invest in the realisation of the rights contained in the Covenant.</w:t>
      </w:r>
    </w:p>
    <w:p w14:paraId="52947E8C" w14:textId="162CF20C" w:rsidR="002D62A7" w:rsidRDefault="004B03B0">
      <w:pPr>
        <w:tabs>
          <w:tab w:val="left" w:pos="2824"/>
        </w:tabs>
        <w:spacing w:before="120" w:after="120" w:line="240" w:lineRule="auto"/>
        <w:ind w:right="-6"/>
        <w:jc w:val="both"/>
        <w:rPr>
          <w:rFonts w:ascii="Open Sans" w:eastAsia="Open Sans" w:hAnsi="Open Sans" w:cs="Open Sans"/>
          <w:color w:val="111111"/>
        </w:rPr>
      </w:pPr>
      <w:r>
        <w:rPr>
          <w:rFonts w:ascii="Open Sans" w:eastAsia="Open Sans" w:hAnsi="Open Sans" w:cs="Open Sans"/>
          <w:color w:val="111111"/>
        </w:rPr>
        <w:t>In addition, Colombia is amongst the countries with more human rights abuses related to the development and operation of renewable energy technologies and projects in Latin America. A recent report based on 501 cases of corporate</w:t>
      </w:r>
      <w:r w:rsidR="00741B52">
        <w:rPr>
          <w:rFonts w:ascii="Open Sans" w:eastAsia="Open Sans" w:hAnsi="Open Sans" w:cs="Open Sans"/>
          <w:color w:val="111111"/>
        </w:rPr>
        <w:t>--</w:t>
      </w:r>
      <w:r>
        <w:rPr>
          <w:rFonts w:ascii="Open Sans" w:eastAsia="Open Sans" w:hAnsi="Open Sans" w:cs="Open Sans"/>
          <w:color w:val="111111"/>
        </w:rPr>
        <w:t>related human rights abuses in the renewable energy sector found that 13% of all cases were committed in Colombia.</w:t>
      </w:r>
      <w:r>
        <w:rPr>
          <w:rFonts w:ascii="Open Sans" w:eastAsia="Open Sans" w:hAnsi="Open Sans" w:cs="Open Sans"/>
          <w:color w:val="111111"/>
          <w:vertAlign w:val="superscript"/>
        </w:rPr>
        <w:footnoteReference w:id="21"/>
      </w:r>
      <w:r>
        <w:rPr>
          <w:rFonts w:ascii="Open Sans" w:eastAsia="Open Sans" w:hAnsi="Open Sans" w:cs="Open Sans"/>
          <w:color w:val="111111"/>
        </w:rPr>
        <w:t xml:space="preserve"> These </w:t>
      </w:r>
      <w:r w:rsidR="00741B52">
        <w:rPr>
          <w:rFonts w:ascii="Open Sans" w:eastAsia="Open Sans" w:hAnsi="Open Sans" w:cs="Open Sans"/>
          <w:color w:val="111111"/>
        </w:rPr>
        <w:t xml:space="preserve">cases related </w:t>
      </w:r>
      <w:r>
        <w:rPr>
          <w:rFonts w:ascii="Open Sans" w:eastAsia="Open Sans" w:hAnsi="Open Sans" w:cs="Open Sans"/>
          <w:color w:val="111111"/>
        </w:rPr>
        <w:t xml:space="preserve"> to land rights, attacks against human rights environmental defenders, and violations </w:t>
      </w:r>
      <w:r w:rsidR="00741B52">
        <w:rPr>
          <w:rFonts w:ascii="Open Sans" w:eastAsia="Open Sans" w:hAnsi="Open Sans" w:cs="Open Sans"/>
          <w:color w:val="111111"/>
        </w:rPr>
        <w:t>of</w:t>
      </w:r>
      <w:r>
        <w:rPr>
          <w:rFonts w:ascii="Open Sans" w:eastAsia="Open Sans" w:hAnsi="Open Sans" w:cs="Open Sans"/>
          <w:color w:val="111111"/>
        </w:rPr>
        <w:t xml:space="preserve"> the rights of indigenous peoples.</w:t>
      </w:r>
      <w:r>
        <w:rPr>
          <w:rFonts w:ascii="Open Sans" w:eastAsia="Open Sans" w:hAnsi="Open Sans" w:cs="Open Sans"/>
          <w:color w:val="111111"/>
          <w:vertAlign w:val="superscript"/>
        </w:rPr>
        <w:footnoteReference w:id="22"/>
      </w:r>
      <w:r>
        <w:rPr>
          <w:rFonts w:ascii="Open Sans" w:eastAsia="Open Sans" w:hAnsi="Open Sans" w:cs="Open Sans"/>
          <w:color w:val="111111"/>
        </w:rPr>
        <w:t xml:space="preserve"> The oversight of large-scale renewable energy projects by relevant State authorities and the implementation of human rights due diligence policies by corporations is one of the most pressing issues to address to advance a just energy transition in the country. </w:t>
      </w:r>
    </w:p>
    <w:p w14:paraId="25C7ADCF" w14:textId="7A6E313A" w:rsidR="002D62A7" w:rsidRDefault="004B03B0">
      <w:pPr>
        <w:tabs>
          <w:tab w:val="left" w:pos="2824"/>
        </w:tabs>
        <w:spacing w:before="120" w:after="120" w:line="240" w:lineRule="auto"/>
        <w:ind w:right="-6"/>
        <w:jc w:val="both"/>
        <w:rPr>
          <w:rFonts w:ascii="Open Sans" w:eastAsia="Open Sans" w:hAnsi="Open Sans" w:cs="Open Sans"/>
          <w:color w:val="111111"/>
        </w:rPr>
      </w:pPr>
      <w:r>
        <w:rPr>
          <w:rFonts w:ascii="Open Sans" w:eastAsia="Open Sans" w:hAnsi="Open Sans" w:cs="Open Sans"/>
          <w:color w:val="111111"/>
        </w:rPr>
        <w:t>Despite efforts to combat gender inequality, Colombia does not have disaggregated data available on women participating in the renewable energy workforce</w:t>
      </w:r>
      <w:r w:rsidR="00741B52">
        <w:rPr>
          <w:rFonts w:ascii="Open Sans" w:eastAsia="Open Sans" w:hAnsi="Open Sans" w:cs="Open Sans"/>
          <w:color w:val="111111"/>
        </w:rPr>
        <w:t>. Still,</w:t>
      </w:r>
      <w:r>
        <w:rPr>
          <w:rFonts w:ascii="Open Sans" w:eastAsia="Open Sans" w:hAnsi="Open Sans" w:cs="Open Sans"/>
          <w:color w:val="111111"/>
        </w:rPr>
        <w:t xml:space="preserve"> recent studies suggest that most green energy employees are men. For instance, in the “La Loma” solar energy park out of 762 employees</w:t>
      </w:r>
      <w:r w:rsidR="00741B52">
        <w:rPr>
          <w:rFonts w:ascii="Open Sans" w:eastAsia="Open Sans" w:hAnsi="Open Sans" w:cs="Open Sans"/>
          <w:color w:val="111111"/>
        </w:rPr>
        <w:t>,</w:t>
      </w:r>
      <w:r>
        <w:rPr>
          <w:rFonts w:ascii="Open Sans" w:eastAsia="Open Sans" w:hAnsi="Open Sans" w:cs="Open Sans"/>
          <w:color w:val="111111"/>
        </w:rPr>
        <w:t xml:space="preserve"> only 15% are women</w:t>
      </w:r>
      <w:r w:rsidR="007F7C85">
        <w:rPr>
          <w:rFonts w:ascii="Open Sans" w:eastAsia="Open Sans" w:hAnsi="Open Sans" w:cs="Open Sans"/>
          <w:color w:val="111111"/>
        </w:rPr>
        <w:t>. In</w:t>
      </w:r>
      <w:r w:rsidR="007F7C85" w:rsidRPr="007F7C85">
        <w:rPr>
          <w:rFonts w:ascii="Open Sans" w:eastAsia="Open Sans" w:hAnsi="Open Sans" w:cs="Open Sans"/>
          <w:color w:val="111111"/>
        </w:rPr>
        <w:t xml:space="preserve"> </w:t>
      </w:r>
      <w:r w:rsidR="007F7C85">
        <w:rPr>
          <w:rFonts w:ascii="Open Sans" w:eastAsia="Open Sans" w:hAnsi="Open Sans" w:cs="Open Sans"/>
          <w:color w:val="111111"/>
        </w:rPr>
        <w:t xml:space="preserve">San Fernando, another large-scale solar park, </w:t>
      </w:r>
      <w:proofErr w:type="gramStart"/>
      <w:r w:rsidR="007F7C85">
        <w:rPr>
          <w:rFonts w:ascii="Open Sans" w:eastAsia="Open Sans" w:hAnsi="Open Sans" w:cs="Open Sans"/>
          <w:color w:val="111111"/>
        </w:rPr>
        <w:t xml:space="preserve">only </w:t>
      </w:r>
      <w:r>
        <w:rPr>
          <w:rFonts w:ascii="Open Sans" w:eastAsia="Open Sans" w:hAnsi="Open Sans" w:cs="Open Sans"/>
          <w:color w:val="111111"/>
        </w:rPr>
        <w:t xml:space="preserve"> 38</w:t>
      </w:r>
      <w:proofErr w:type="gramEnd"/>
      <w:r>
        <w:rPr>
          <w:rFonts w:ascii="Open Sans" w:eastAsia="Open Sans" w:hAnsi="Open Sans" w:cs="Open Sans"/>
          <w:color w:val="111111"/>
        </w:rPr>
        <w:t>% of the workforce are female.</w:t>
      </w:r>
      <w:r>
        <w:rPr>
          <w:rFonts w:ascii="Open Sans" w:eastAsia="Open Sans" w:hAnsi="Open Sans" w:cs="Open Sans"/>
          <w:color w:val="111111"/>
          <w:vertAlign w:val="superscript"/>
        </w:rPr>
        <w:footnoteReference w:id="23"/>
      </w:r>
      <w:r>
        <w:rPr>
          <w:rFonts w:ascii="Open Sans" w:eastAsia="Open Sans" w:hAnsi="Open Sans" w:cs="Open Sans"/>
          <w:color w:val="111111"/>
        </w:rPr>
        <w:t xml:space="preserve"> This provides clear evidence of the negative gender stereotypes</w:t>
      </w:r>
      <w:r w:rsidR="00C14CD5">
        <w:rPr>
          <w:rFonts w:ascii="Open Sans" w:eastAsia="Open Sans" w:hAnsi="Open Sans" w:cs="Open Sans"/>
          <w:color w:val="111111"/>
        </w:rPr>
        <w:t xml:space="preserve"> that are</w:t>
      </w:r>
      <w:r>
        <w:rPr>
          <w:rFonts w:ascii="Open Sans" w:eastAsia="Open Sans" w:hAnsi="Open Sans" w:cs="Open Sans"/>
          <w:color w:val="111111"/>
        </w:rPr>
        <w:t xml:space="preserve"> still pervasive in the transition to green energy.</w:t>
      </w:r>
    </w:p>
    <w:p w14:paraId="786395B8" w14:textId="065BE81F" w:rsidR="002D62A7" w:rsidRDefault="00E00488">
      <w:pPr>
        <w:tabs>
          <w:tab w:val="left" w:pos="2824"/>
        </w:tabs>
        <w:spacing w:before="120" w:after="120" w:line="240" w:lineRule="auto"/>
        <w:ind w:right="-6"/>
        <w:jc w:val="both"/>
        <w:rPr>
          <w:rFonts w:ascii="Open Sans" w:eastAsia="Open Sans" w:hAnsi="Open Sans" w:cs="Open Sans"/>
          <w:color w:val="111111"/>
        </w:rPr>
      </w:pPr>
      <w:r>
        <w:rPr>
          <w:rFonts w:ascii="Open Sans" w:eastAsia="Open Sans" w:hAnsi="Open Sans" w:cs="Open Sans"/>
          <w:color w:val="111111"/>
        </w:rPr>
        <w:t>Concerning human rights defenders, i</w:t>
      </w:r>
      <w:r w:rsidR="004B03B0">
        <w:rPr>
          <w:rFonts w:ascii="Open Sans" w:eastAsia="Open Sans" w:hAnsi="Open Sans" w:cs="Open Sans"/>
          <w:color w:val="111111"/>
        </w:rPr>
        <w:t>n 202</w:t>
      </w:r>
      <w:r>
        <w:rPr>
          <w:rFonts w:ascii="Open Sans" w:eastAsia="Open Sans" w:hAnsi="Open Sans" w:cs="Open Sans"/>
          <w:color w:val="111111"/>
        </w:rPr>
        <w:t>2</w:t>
      </w:r>
      <w:r w:rsidR="004B03B0">
        <w:rPr>
          <w:rFonts w:ascii="Open Sans" w:eastAsia="Open Sans" w:hAnsi="Open Sans" w:cs="Open Sans"/>
          <w:color w:val="111111"/>
        </w:rPr>
        <w:t xml:space="preserve"> </w:t>
      </w:r>
      <w:r w:rsidR="007F7C85">
        <w:rPr>
          <w:rFonts w:ascii="Open Sans" w:eastAsia="Open Sans" w:hAnsi="Open Sans" w:cs="Open Sans"/>
          <w:color w:val="111111"/>
        </w:rPr>
        <w:t xml:space="preserve">a report indicated that </w:t>
      </w:r>
      <w:r w:rsidR="004B03B0">
        <w:rPr>
          <w:rFonts w:ascii="Open Sans" w:eastAsia="Open Sans" w:hAnsi="Open Sans" w:cs="Open Sans"/>
          <w:color w:val="111111"/>
        </w:rPr>
        <w:t xml:space="preserve">violence directed </w:t>
      </w:r>
      <w:r w:rsidR="007F7C85">
        <w:rPr>
          <w:rFonts w:ascii="Open Sans" w:eastAsia="Open Sans" w:hAnsi="Open Sans" w:cs="Open Sans"/>
          <w:color w:val="111111"/>
        </w:rPr>
        <w:t xml:space="preserve">at </w:t>
      </w:r>
      <w:r w:rsidR="004B03B0">
        <w:rPr>
          <w:rFonts w:ascii="Open Sans" w:eastAsia="Open Sans" w:hAnsi="Open Sans" w:cs="Open Sans"/>
          <w:color w:val="111111"/>
        </w:rPr>
        <w:t>human rights defenders in Colombia</w:t>
      </w:r>
      <w:r>
        <w:rPr>
          <w:rFonts w:ascii="Open Sans" w:eastAsia="Open Sans" w:hAnsi="Open Sans" w:cs="Open Sans"/>
          <w:color w:val="111111"/>
        </w:rPr>
        <w:t>,</w:t>
      </w:r>
      <w:r w:rsidR="004B03B0">
        <w:rPr>
          <w:rFonts w:ascii="Open Sans" w:eastAsia="Open Sans" w:hAnsi="Open Sans" w:cs="Open Sans"/>
          <w:color w:val="111111"/>
        </w:rPr>
        <w:t xml:space="preserve"> alone accounted for 44% of all the defenders killed worldwide.</w:t>
      </w:r>
      <w:r w:rsidR="004B03B0">
        <w:rPr>
          <w:rFonts w:ascii="Open Sans" w:eastAsia="Open Sans" w:hAnsi="Open Sans" w:cs="Open Sans"/>
          <w:color w:val="111111"/>
          <w:vertAlign w:val="superscript"/>
        </w:rPr>
        <w:footnoteReference w:id="24"/>
      </w:r>
      <w:r w:rsidR="004B03B0">
        <w:rPr>
          <w:rFonts w:ascii="Open Sans" w:eastAsia="Open Sans" w:hAnsi="Open Sans" w:cs="Open Sans"/>
          <w:color w:val="111111"/>
        </w:rPr>
        <w:t xml:space="preserve"> Defenders working on land, indigenous </w:t>
      </w:r>
      <w:r w:rsidR="007F7C85">
        <w:rPr>
          <w:rFonts w:ascii="Open Sans" w:eastAsia="Open Sans" w:hAnsi="Open Sans" w:cs="Open Sans"/>
          <w:color w:val="111111"/>
        </w:rPr>
        <w:t>peoples</w:t>
      </w:r>
      <w:r w:rsidR="004B03B0">
        <w:rPr>
          <w:rFonts w:ascii="Open Sans" w:eastAsia="Open Sans" w:hAnsi="Open Sans" w:cs="Open Sans"/>
          <w:color w:val="111111"/>
        </w:rPr>
        <w:t>, and environmental rights were the most targeted accounting for almost half of the total defenders killed in the country (47%).</w:t>
      </w:r>
      <w:r w:rsidR="004B03B0">
        <w:rPr>
          <w:rFonts w:ascii="Open Sans" w:eastAsia="Open Sans" w:hAnsi="Open Sans" w:cs="Open Sans"/>
          <w:color w:val="111111"/>
          <w:vertAlign w:val="superscript"/>
        </w:rPr>
        <w:footnoteReference w:id="25"/>
      </w:r>
      <w:r w:rsidR="004B03B0">
        <w:rPr>
          <w:rFonts w:ascii="Open Sans" w:eastAsia="Open Sans" w:hAnsi="Open Sans" w:cs="Open Sans"/>
          <w:color w:val="111111"/>
        </w:rPr>
        <w:t xml:space="preserve"> Many of them were working to protect their communities, land, and natural resources from energy-related extractive projects. Tackling the structural causes and cycles of violence affecting environmental human rights defenders is paramount to ensure the </w:t>
      </w:r>
      <w:r w:rsidR="004B03B0">
        <w:rPr>
          <w:rFonts w:ascii="Open Sans" w:eastAsia="Open Sans" w:hAnsi="Open Sans" w:cs="Open Sans"/>
          <w:color w:val="111111"/>
        </w:rPr>
        <w:lastRenderedPageBreak/>
        <w:t xml:space="preserve">transition to renewables does not exacerbate, but rather </w:t>
      </w:r>
      <w:r w:rsidR="007F7C85">
        <w:rPr>
          <w:rFonts w:ascii="Open Sans" w:eastAsia="Open Sans" w:hAnsi="Open Sans" w:cs="Open Sans"/>
          <w:color w:val="111111"/>
        </w:rPr>
        <w:t xml:space="preserve">provides </w:t>
      </w:r>
      <w:r w:rsidR="004B03B0">
        <w:rPr>
          <w:rFonts w:ascii="Open Sans" w:eastAsia="Open Sans" w:hAnsi="Open Sans" w:cs="Open Sans"/>
          <w:color w:val="111111"/>
        </w:rPr>
        <w:t>opportunities for the protection of rights.</w:t>
      </w:r>
    </w:p>
    <w:p w14:paraId="1F73A48A" w14:textId="543916A0" w:rsidR="002D62A7" w:rsidRDefault="004B03B0">
      <w:pPr>
        <w:tabs>
          <w:tab w:val="left" w:pos="2824"/>
        </w:tabs>
        <w:spacing w:before="120" w:after="120" w:line="240" w:lineRule="auto"/>
        <w:ind w:right="-6"/>
        <w:jc w:val="both"/>
        <w:rPr>
          <w:rFonts w:ascii="Open Sans" w:eastAsia="Open Sans" w:hAnsi="Open Sans" w:cs="Open Sans"/>
          <w:color w:val="111111"/>
        </w:rPr>
      </w:pPr>
      <w:r>
        <w:rPr>
          <w:rFonts w:ascii="Open Sans" w:eastAsia="Open Sans" w:hAnsi="Open Sans" w:cs="Open Sans"/>
          <w:color w:val="111111"/>
        </w:rPr>
        <w:t xml:space="preserve">In relation to the provision of good quality and sustainable energy services, </w:t>
      </w:r>
      <w:r w:rsidR="007F7C85">
        <w:rPr>
          <w:rFonts w:ascii="Open Sans" w:eastAsia="Open Sans" w:hAnsi="Open Sans" w:cs="Open Sans"/>
          <w:color w:val="111111"/>
        </w:rPr>
        <w:t xml:space="preserve">Colombia's </w:t>
      </w:r>
      <w:r>
        <w:rPr>
          <w:rFonts w:ascii="Open Sans" w:eastAsia="Open Sans" w:hAnsi="Open Sans" w:cs="Open Sans"/>
          <w:color w:val="111111"/>
        </w:rPr>
        <w:t xml:space="preserve">official data </w:t>
      </w:r>
      <w:r w:rsidR="00E00488">
        <w:rPr>
          <w:rFonts w:ascii="Open Sans" w:eastAsia="Open Sans" w:hAnsi="Open Sans" w:cs="Open Sans"/>
          <w:color w:val="111111"/>
        </w:rPr>
        <w:t xml:space="preserve">show </w:t>
      </w:r>
      <w:r>
        <w:rPr>
          <w:rFonts w:ascii="Open Sans" w:eastAsia="Open Sans" w:hAnsi="Open Sans" w:cs="Open Sans"/>
          <w:color w:val="111111"/>
        </w:rPr>
        <w:t>that 96% of the population have access to electricity, leaving about 1.2 million citizens without recourse to this service.</w:t>
      </w:r>
      <w:r>
        <w:rPr>
          <w:rFonts w:ascii="Open Sans" w:eastAsia="Open Sans" w:hAnsi="Open Sans" w:cs="Open Sans"/>
          <w:color w:val="111111"/>
          <w:vertAlign w:val="superscript"/>
        </w:rPr>
        <w:footnoteReference w:id="26"/>
      </w:r>
      <w:r>
        <w:rPr>
          <w:rFonts w:ascii="Open Sans" w:eastAsia="Open Sans" w:hAnsi="Open Sans" w:cs="Open Sans"/>
          <w:color w:val="111111"/>
        </w:rPr>
        <w:t xml:space="preserve"> Despite the </w:t>
      </w:r>
      <w:r w:rsidR="007F7C85">
        <w:rPr>
          <w:rFonts w:ascii="Open Sans" w:eastAsia="Open Sans" w:hAnsi="Open Sans" w:cs="Open Sans"/>
          <w:color w:val="111111"/>
        </w:rPr>
        <w:t xml:space="preserve">level of </w:t>
      </w:r>
      <w:r>
        <w:rPr>
          <w:rFonts w:ascii="Open Sans" w:eastAsia="Open Sans" w:hAnsi="Open Sans" w:cs="Open Sans"/>
          <w:color w:val="111111"/>
        </w:rPr>
        <w:t xml:space="preserve">coverage reported, </w:t>
      </w:r>
      <w:r w:rsidR="00C91950">
        <w:rPr>
          <w:rFonts w:ascii="Open Sans" w:eastAsia="Open Sans" w:hAnsi="Open Sans" w:cs="Open Sans"/>
          <w:color w:val="111111"/>
        </w:rPr>
        <w:t xml:space="preserve">inequality in energy consumption is stark and the quality of </w:t>
      </w:r>
      <w:r>
        <w:rPr>
          <w:rFonts w:ascii="Open Sans" w:eastAsia="Open Sans" w:hAnsi="Open Sans" w:cs="Open Sans"/>
          <w:color w:val="111111"/>
        </w:rPr>
        <w:t>electricity services are intermittent in several regions.</w:t>
      </w:r>
      <w:r>
        <w:rPr>
          <w:rFonts w:ascii="Open Sans" w:eastAsia="Open Sans" w:hAnsi="Open Sans" w:cs="Open Sans"/>
          <w:color w:val="111111"/>
          <w:vertAlign w:val="superscript"/>
        </w:rPr>
        <w:footnoteReference w:id="27"/>
      </w:r>
      <w:r>
        <w:rPr>
          <w:rFonts w:ascii="Open Sans" w:eastAsia="Open Sans" w:hAnsi="Open Sans" w:cs="Open Sans"/>
          <w:color w:val="111111"/>
        </w:rPr>
        <w:t xml:space="preserve"> On average, the </w:t>
      </w:r>
      <w:r w:rsidR="007F7C85">
        <w:rPr>
          <w:rFonts w:ascii="Open Sans" w:eastAsia="Open Sans" w:hAnsi="Open Sans" w:cs="Open Sans"/>
          <w:color w:val="111111"/>
        </w:rPr>
        <w:t>highest-income</w:t>
      </w:r>
      <w:r>
        <w:rPr>
          <w:rFonts w:ascii="Open Sans" w:eastAsia="Open Sans" w:hAnsi="Open Sans" w:cs="Open Sans"/>
          <w:color w:val="111111"/>
        </w:rPr>
        <w:t xml:space="preserve"> people consume almost three times more electricity than the </w:t>
      </w:r>
      <w:r w:rsidR="007F7C85">
        <w:rPr>
          <w:rFonts w:ascii="Open Sans" w:eastAsia="Open Sans" w:hAnsi="Open Sans" w:cs="Open Sans"/>
          <w:color w:val="111111"/>
        </w:rPr>
        <w:t>lowest-income</w:t>
      </w:r>
      <w:r>
        <w:rPr>
          <w:rFonts w:ascii="Open Sans" w:eastAsia="Open Sans" w:hAnsi="Open Sans" w:cs="Open Sans"/>
          <w:color w:val="111111"/>
        </w:rPr>
        <w:t xml:space="preserve"> people.</w:t>
      </w:r>
      <w:r>
        <w:rPr>
          <w:rFonts w:ascii="Open Sans" w:eastAsia="Open Sans" w:hAnsi="Open Sans" w:cs="Open Sans"/>
          <w:color w:val="111111"/>
          <w:vertAlign w:val="superscript"/>
        </w:rPr>
        <w:footnoteReference w:id="28"/>
      </w:r>
      <w:r>
        <w:rPr>
          <w:rFonts w:ascii="Open Sans" w:eastAsia="Open Sans" w:hAnsi="Open Sans" w:cs="Open Sans"/>
          <w:color w:val="111111"/>
        </w:rPr>
        <w:t xml:space="preserve"> Thus, a high percentage of poor household’s incomes are dedicated to paying energy bills</w:t>
      </w:r>
      <w:r w:rsidR="00C91950">
        <w:rPr>
          <w:rFonts w:ascii="Open Sans" w:eastAsia="Open Sans" w:hAnsi="Open Sans" w:cs="Open Sans"/>
          <w:color w:val="111111"/>
        </w:rPr>
        <w:t xml:space="preserve"> in </w:t>
      </w:r>
      <w:r>
        <w:rPr>
          <w:rFonts w:ascii="Open Sans" w:eastAsia="Open Sans" w:hAnsi="Open Sans" w:cs="Open Sans"/>
          <w:color w:val="111111"/>
        </w:rPr>
        <w:t xml:space="preserve">the Colombian Caribbean (i.e. the </w:t>
      </w:r>
      <w:r w:rsidR="007F7C85">
        <w:rPr>
          <w:rFonts w:ascii="Open Sans" w:eastAsia="Open Sans" w:hAnsi="Open Sans" w:cs="Open Sans"/>
          <w:color w:val="111111"/>
        </w:rPr>
        <w:t>D</w:t>
      </w:r>
      <w:r>
        <w:rPr>
          <w:rFonts w:ascii="Open Sans" w:eastAsia="Open Sans" w:hAnsi="Open Sans" w:cs="Open Sans"/>
          <w:color w:val="111111"/>
        </w:rPr>
        <w:t>epartments of Atlántico, Bolívar, Cesar, Córdoba, La Guajira, Magdalena, and Sucre), where the population have access to few technological appliances to meet conditions necessary to realise the rights to education, health, food, water, and sanitation</w:t>
      </w:r>
      <w:r w:rsidR="00E00488">
        <w:rPr>
          <w:rFonts w:ascii="Open Sans" w:eastAsia="Open Sans" w:hAnsi="Open Sans" w:cs="Open Sans"/>
          <w:color w:val="111111"/>
        </w:rPr>
        <w:t>, among others</w:t>
      </w:r>
      <w:r>
        <w:rPr>
          <w:rFonts w:ascii="Open Sans" w:eastAsia="Open Sans" w:hAnsi="Open Sans" w:cs="Open Sans"/>
          <w:color w:val="111111"/>
        </w:rPr>
        <w:t>.</w:t>
      </w:r>
      <w:r>
        <w:rPr>
          <w:rFonts w:ascii="Open Sans" w:eastAsia="Open Sans" w:hAnsi="Open Sans" w:cs="Open Sans"/>
          <w:color w:val="111111"/>
          <w:vertAlign w:val="superscript"/>
        </w:rPr>
        <w:footnoteReference w:id="29"/>
      </w:r>
      <w:r>
        <w:rPr>
          <w:rFonts w:ascii="Open Sans" w:eastAsia="Open Sans" w:hAnsi="Open Sans" w:cs="Open Sans"/>
          <w:color w:val="111111"/>
        </w:rPr>
        <w:t xml:space="preserve"> Energy poverty continues to be a cause and consequence of marginalisation in Colombia. </w:t>
      </w:r>
    </w:p>
    <w:p w14:paraId="327BFCCE" w14:textId="77777777" w:rsidR="002D62A7" w:rsidRDefault="004B03B0">
      <w:pPr>
        <w:numPr>
          <w:ilvl w:val="0"/>
          <w:numId w:val="3"/>
        </w:numPr>
        <w:pBdr>
          <w:top w:val="nil"/>
          <w:left w:val="nil"/>
          <w:bottom w:val="nil"/>
          <w:right w:val="nil"/>
          <w:between w:val="nil"/>
        </w:pBdr>
        <w:tabs>
          <w:tab w:val="left" w:pos="2824"/>
        </w:tabs>
        <w:spacing w:before="120" w:after="120" w:line="240" w:lineRule="auto"/>
        <w:ind w:right="-6"/>
        <w:jc w:val="both"/>
        <w:rPr>
          <w:rFonts w:ascii="Open Sans" w:eastAsia="Open Sans" w:hAnsi="Open Sans" w:cs="Open Sans"/>
          <w:b/>
          <w:color w:val="111111"/>
        </w:rPr>
      </w:pPr>
      <w:r>
        <w:rPr>
          <w:rFonts w:ascii="Open Sans" w:eastAsia="Open Sans" w:hAnsi="Open Sans" w:cs="Open Sans"/>
          <w:b/>
          <w:color w:val="111111"/>
        </w:rPr>
        <w:t xml:space="preserve">Efforts to Advance a Just Energy Transition in Colombia </w:t>
      </w:r>
    </w:p>
    <w:p w14:paraId="599E26ED" w14:textId="04EE1DBA" w:rsidR="002D62A7" w:rsidRPr="001043F7" w:rsidRDefault="004B03B0">
      <w:pPr>
        <w:tabs>
          <w:tab w:val="left" w:pos="2824"/>
        </w:tabs>
        <w:spacing w:before="120" w:after="120" w:line="240" w:lineRule="auto"/>
        <w:ind w:right="-6"/>
        <w:jc w:val="both"/>
        <w:rPr>
          <w:rFonts w:ascii="Open Sans" w:eastAsia="Open Sans" w:hAnsi="Open Sans" w:cs="Open Sans"/>
          <w:color w:val="111111"/>
        </w:rPr>
      </w:pPr>
      <w:r>
        <w:rPr>
          <w:rFonts w:ascii="Open Sans" w:eastAsia="Open Sans" w:hAnsi="Open Sans" w:cs="Open Sans"/>
          <w:color w:val="111111"/>
        </w:rPr>
        <w:t>To address these challenges, the Government of Colombia is taking a wide range of policies to deliver a just and sustainable energy transition, which most notably include the following actions</w:t>
      </w:r>
      <w:r>
        <w:rPr>
          <w:rFonts w:ascii="Open Sans" w:eastAsia="Open Sans" w:hAnsi="Open Sans" w:cs="Open Sans"/>
          <w:color w:val="111111"/>
          <w:vertAlign w:val="superscript"/>
        </w:rPr>
        <w:footnoteReference w:id="30"/>
      </w:r>
      <w:r>
        <w:rPr>
          <w:rFonts w:ascii="Open Sans" w:eastAsia="Open Sans" w:hAnsi="Open Sans" w:cs="Open Sans"/>
          <w:color w:val="111111"/>
        </w:rPr>
        <w:t>:</w:t>
      </w:r>
    </w:p>
    <w:p w14:paraId="234845DD" w14:textId="495288AE" w:rsidR="002D62A7" w:rsidRDefault="004B03B0">
      <w:pPr>
        <w:numPr>
          <w:ilvl w:val="0"/>
          <w:numId w:val="1"/>
        </w:numPr>
        <w:pBdr>
          <w:top w:val="nil"/>
          <w:left w:val="nil"/>
          <w:bottom w:val="nil"/>
          <w:right w:val="nil"/>
          <w:between w:val="nil"/>
        </w:pBdr>
        <w:tabs>
          <w:tab w:val="left" w:pos="2824"/>
        </w:tabs>
        <w:spacing w:before="120" w:after="0" w:line="240" w:lineRule="auto"/>
        <w:ind w:right="-6"/>
        <w:jc w:val="both"/>
        <w:rPr>
          <w:rFonts w:ascii="Open Sans" w:eastAsia="Open Sans" w:hAnsi="Open Sans" w:cs="Open Sans"/>
          <w:color w:val="111111"/>
        </w:rPr>
      </w:pPr>
      <w:r>
        <w:rPr>
          <w:rFonts w:ascii="Open Sans" w:eastAsia="Open Sans" w:hAnsi="Open Sans" w:cs="Open Sans"/>
          <w:color w:val="111111"/>
        </w:rPr>
        <w:t xml:space="preserve">Major investments in renewable energy technologies and the decarbonisation of energy systems based on principles of democracy, participation, </w:t>
      </w:r>
      <w:r w:rsidR="007F7C85">
        <w:rPr>
          <w:rFonts w:ascii="Open Sans" w:eastAsia="Open Sans" w:hAnsi="Open Sans" w:cs="Open Sans"/>
          <w:color w:val="111111"/>
        </w:rPr>
        <w:t>gender equality</w:t>
      </w:r>
      <w:r>
        <w:rPr>
          <w:rFonts w:ascii="Open Sans" w:eastAsia="Open Sans" w:hAnsi="Open Sans" w:cs="Open Sans"/>
          <w:color w:val="111111"/>
        </w:rPr>
        <w:t xml:space="preserve"> and the realisation of rights. This includes fostering the proliferation of decentralised energy communities as </w:t>
      </w:r>
      <w:r w:rsidR="007F7C85">
        <w:rPr>
          <w:rFonts w:ascii="Open Sans" w:eastAsia="Open Sans" w:hAnsi="Open Sans" w:cs="Open Sans"/>
          <w:color w:val="111111"/>
        </w:rPr>
        <w:t xml:space="preserve">means </w:t>
      </w:r>
      <w:r>
        <w:rPr>
          <w:rFonts w:ascii="Open Sans" w:eastAsia="Open Sans" w:hAnsi="Open Sans" w:cs="Open Sans"/>
          <w:color w:val="111111"/>
        </w:rPr>
        <w:t>to create participatory and self-sufficient energy services in both, rural and urban areas.</w:t>
      </w:r>
    </w:p>
    <w:p w14:paraId="26ACFB1D" w14:textId="2D25D15E" w:rsidR="002D62A7" w:rsidRDefault="004B03B0">
      <w:pPr>
        <w:numPr>
          <w:ilvl w:val="0"/>
          <w:numId w:val="1"/>
        </w:numPr>
        <w:pBdr>
          <w:top w:val="nil"/>
          <w:left w:val="nil"/>
          <w:bottom w:val="nil"/>
          <w:right w:val="nil"/>
          <w:between w:val="nil"/>
        </w:pBdr>
        <w:tabs>
          <w:tab w:val="left" w:pos="2824"/>
        </w:tabs>
        <w:spacing w:after="0" w:line="240" w:lineRule="auto"/>
        <w:ind w:right="-6"/>
        <w:jc w:val="both"/>
        <w:rPr>
          <w:rFonts w:ascii="Open Sans" w:eastAsia="Open Sans" w:hAnsi="Open Sans" w:cs="Open Sans"/>
          <w:color w:val="111111"/>
        </w:rPr>
      </w:pPr>
      <w:r>
        <w:rPr>
          <w:rFonts w:ascii="Open Sans" w:eastAsia="Open Sans" w:hAnsi="Open Sans" w:cs="Open Sans"/>
          <w:color w:val="111111"/>
        </w:rPr>
        <w:t xml:space="preserve">Economic diversification to reduce high dependency on fossil fuels revenues, including the progressive substitution of fossil fuel subsidies and the implementation of a progressive fiscal reform. The latter will aim to tax the environmental impacts of the fossil fuel and extractive industries and ensure the collection of public revenue </w:t>
      </w:r>
      <w:r>
        <w:rPr>
          <w:rFonts w:ascii="Open Sans" w:eastAsia="Open Sans" w:hAnsi="Open Sans" w:cs="Open Sans"/>
          <w:color w:val="111111"/>
        </w:rPr>
        <w:lastRenderedPageBreak/>
        <w:t xml:space="preserve">from polluting activities as a mean to finance a just transition towards renewable energy, </w:t>
      </w:r>
    </w:p>
    <w:p w14:paraId="552A5A7B" w14:textId="77777777" w:rsidR="002D62A7" w:rsidRDefault="004B03B0">
      <w:pPr>
        <w:numPr>
          <w:ilvl w:val="0"/>
          <w:numId w:val="1"/>
        </w:numPr>
        <w:pBdr>
          <w:top w:val="nil"/>
          <w:left w:val="nil"/>
          <w:bottom w:val="nil"/>
          <w:right w:val="nil"/>
          <w:between w:val="nil"/>
        </w:pBdr>
        <w:tabs>
          <w:tab w:val="left" w:pos="2824"/>
        </w:tabs>
        <w:spacing w:after="0" w:line="240" w:lineRule="auto"/>
        <w:ind w:right="-6"/>
        <w:jc w:val="both"/>
        <w:rPr>
          <w:rFonts w:ascii="Open Sans" w:eastAsia="Open Sans" w:hAnsi="Open Sans" w:cs="Open Sans"/>
          <w:color w:val="111111"/>
        </w:rPr>
      </w:pPr>
      <w:r>
        <w:rPr>
          <w:rFonts w:ascii="Open Sans" w:eastAsia="Open Sans" w:hAnsi="Open Sans" w:cs="Open Sans"/>
          <w:color w:val="111111"/>
        </w:rPr>
        <w:t>Fostering the resilience of the energy systems by investing in diverse renewable energy sources adapted to the changing climate,</w:t>
      </w:r>
    </w:p>
    <w:p w14:paraId="54DDFD72" w14:textId="3A27E7C8" w:rsidR="002D62A7" w:rsidRDefault="004B03B0">
      <w:pPr>
        <w:numPr>
          <w:ilvl w:val="0"/>
          <w:numId w:val="1"/>
        </w:numPr>
        <w:pBdr>
          <w:top w:val="nil"/>
          <w:left w:val="nil"/>
          <w:bottom w:val="nil"/>
          <w:right w:val="nil"/>
          <w:between w:val="nil"/>
        </w:pBdr>
        <w:tabs>
          <w:tab w:val="left" w:pos="2824"/>
        </w:tabs>
        <w:spacing w:after="0" w:line="240" w:lineRule="auto"/>
        <w:ind w:right="-6"/>
        <w:jc w:val="both"/>
        <w:rPr>
          <w:rFonts w:ascii="Open Sans" w:eastAsia="Open Sans" w:hAnsi="Open Sans" w:cs="Open Sans"/>
          <w:color w:val="111111"/>
        </w:rPr>
      </w:pPr>
      <w:r>
        <w:rPr>
          <w:rFonts w:ascii="Open Sans" w:eastAsia="Open Sans" w:hAnsi="Open Sans" w:cs="Open Sans"/>
          <w:color w:val="111111"/>
        </w:rPr>
        <w:t xml:space="preserve">Promoting regional cooperation to ensure socially and environmentally responsible use of critical minerals necessary for the development of low-carbon technologies, and </w:t>
      </w:r>
    </w:p>
    <w:p w14:paraId="6350D34E" w14:textId="77777777" w:rsidR="002D62A7" w:rsidRDefault="004B03B0">
      <w:pPr>
        <w:numPr>
          <w:ilvl w:val="0"/>
          <w:numId w:val="1"/>
        </w:numPr>
        <w:pBdr>
          <w:top w:val="nil"/>
          <w:left w:val="nil"/>
          <w:bottom w:val="nil"/>
          <w:right w:val="nil"/>
          <w:between w:val="nil"/>
        </w:pBdr>
        <w:tabs>
          <w:tab w:val="left" w:pos="2824"/>
        </w:tabs>
        <w:spacing w:after="120" w:line="240" w:lineRule="auto"/>
        <w:ind w:right="-6"/>
        <w:jc w:val="both"/>
        <w:rPr>
          <w:rFonts w:ascii="Open Sans" w:eastAsia="Open Sans" w:hAnsi="Open Sans" w:cs="Open Sans"/>
          <w:color w:val="111111"/>
        </w:rPr>
      </w:pPr>
      <w:r>
        <w:rPr>
          <w:rFonts w:ascii="Open Sans" w:eastAsia="Open Sans" w:hAnsi="Open Sans" w:cs="Open Sans"/>
          <w:color w:val="111111"/>
        </w:rPr>
        <w:t>Increased and meaningful representation of women, afro-descendant, indigenous peoples, and other historically marginalised groups in decision-making processes, including by ensuring gender parity in the workforce of the Ministry of Energy.</w:t>
      </w:r>
    </w:p>
    <w:p w14:paraId="2EC74FD2" w14:textId="27F3A61F" w:rsidR="002D62A7" w:rsidRDefault="004B03B0">
      <w:pPr>
        <w:tabs>
          <w:tab w:val="left" w:pos="2824"/>
        </w:tabs>
        <w:spacing w:before="120" w:after="120" w:line="240" w:lineRule="auto"/>
        <w:ind w:right="-6"/>
        <w:jc w:val="both"/>
        <w:rPr>
          <w:rFonts w:ascii="Open Sans" w:eastAsia="Open Sans" w:hAnsi="Open Sans" w:cs="Open Sans"/>
          <w:color w:val="111111"/>
        </w:rPr>
      </w:pPr>
      <w:r>
        <w:rPr>
          <w:rFonts w:ascii="Open Sans" w:eastAsia="Open Sans" w:hAnsi="Open Sans" w:cs="Open Sans"/>
          <w:color w:val="111111"/>
        </w:rPr>
        <w:t>In November 2022 the Colombian government launched an unprecedented nationwide participatory effort to define a critical roadmap that will identify the next steps, timeline, opportunities, potential obstacles, and a clear Action Plan to advance a just energy transition.</w:t>
      </w:r>
      <w:r>
        <w:rPr>
          <w:rFonts w:ascii="Open Sans" w:eastAsia="Open Sans" w:hAnsi="Open Sans" w:cs="Open Sans"/>
          <w:color w:val="111111"/>
          <w:vertAlign w:val="superscript"/>
        </w:rPr>
        <w:footnoteReference w:id="31"/>
      </w:r>
      <w:r>
        <w:rPr>
          <w:rFonts w:ascii="Open Sans" w:eastAsia="Open Sans" w:hAnsi="Open Sans" w:cs="Open Sans"/>
          <w:color w:val="111111"/>
        </w:rPr>
        <w:t xml:space="preserve"> To inform this process, the Government of Colombia has held numerous national dialogues with different sectors of society, including indigenous peoples, women, human rights defenders, experts, and activists working across all strategic areas of the energy transition.</w:t>
      </w:r>
      <w:r>
        <w:rPr>
          <w:rFonts w:ascii="Open Sans" w:eastAsia="Open Sans" w:hAnsi="Open Sans" w:cs="Open Sans"/>
          <w:color w:val="111111"/>
          <w:vertAlign w:val="superscript"/>
        </w:rPr>
        <w:footnoteReference w:id="32"/>
      </w:r>
      <w:r>
        <w:rPr>
          <w:rFonts w:ascii="Open Sans" w:eastAsia="Open Sans" w:hAnsi="Open Sans" w:cs="Open Sans"/>
          <w:color w:val="111111"/>
        </w:rPr>
        <w:t xml:space="preserve"> The government is expected to publish this ambitious roadmap for a just energy transition in early 2024.</w:t>
      </w:r>
    </w:p>
    <w:p w14:paraId="2F4E0820" w14:textId="4C25CBCD" w:rsidR="002D62A7" w:rsidRDefault="004B03B0">
      <w:pPr>
        <w:tabs>
          <w:tab w:val="left" w:pos="2824"/>
        </w:tabs>
        <w:spacing w:before="240" w:after="240" w:line="240" w:lineRule="auto"/>
        <w:jc w:val="both"/>
        <w:rPr>
          <w:rFonts w:ascii="Open Sans" w:eastAsia="Open Sans" w:hAnsi="Open Sans" w:cs="Open Sans"/>
          <w:color w:val="111111"/>
        </w:rPr>
      </w:pPr>
      <w:r>
        <w:rPr>
          <w:rFonts w:ascii="Open Sans" w:eastAsia="Open Sans" w:hAnsi="Open Sans" w:cs="Open Sans"/>
          <w:color w:val="111111"/>
        </w:rPr>
        <w:t xml:space="preserve">On tax issues, Colombia </w:t>
      </w:r>
      <w:r w:rsidR="007F7C85">
        <w:rPr>
          <w:rFonts w:ascii="Open Sans" w:eastAsia="Open Sans" w:hAnsi="Open Sans" w:cs="Open Sans"/>
          <w:color w:val="111111"/>
        </w:rPr>
        <w:t>lead</w:t>
      </w:r>
      <w:r>
        <w:rPr>
          <w:rFonts w:ascii="Open Sans" w:eastAsia="Open Sans" w:hAnsi="Open Sans" w:cs="Open Sans"/>
          <w:color w:val="111111"/>
        </w:rPr>
        <w:t xml:space="preserve"> the </w:t>
      </w:r>
      <w:proofErr w:type="gramStart"/>
      <w:r>
        <w:rPr>
          <w:rFonts w:ascii="Open Sans" w:eastAsia="Open Sans" w:hAnsi="Open Sans" w:cs="Open Sans"/>
          <w:color w:val="111111"/>
        </w:rPr>
        <w:t xml:space="preserve">first </w:t>
      </w:r>
      <w:r w:rsidR="007F7C85">
        <w:rPr>
          <w:rFonts w:ascii="Open Sans" w:eastAsia="Open Sans" w:hAnsi="Open Sans" w:cs="Open Sans"/>
          <w:color w:val="111111"/>
        </w:rPr>
        <w:t xml:space="preserve"> “</w:t>
      </w:r>
      <w:proofErr w:type="gramEnd"/>
      <w:r>
        <w:rPr>
          <w:rFonts w:ascii="Open Sans" w:eastAsia="Open Sans" w:hAnsi="Open Sans" w:cs="Open Sans"/>
          <w:color w:val="111111"/>
        </w:rPr>
        <w:t>Latin American and Caribbean Summit for global, inclusive, sustainable, and equitable taxation</w:t>
      </w:r>
      <w:r w:rsidR="007F7C85">
        <w:rPr>
          <w:rFonts w:ascii="Open Sans" w:eastAsia="Open Sans" w:hAnsi="Open Sans" w:cs="Open Sans"/>
          <w:color w:val="111111"/>
        </w:rPr>
        <w:t>”</w:t>
      </w:r>
      <w:r>
        <w:rPr>
          <w:rFonts w:ascii="Open Sans" w:eastAsia="Open Sans" w:hAnsi="Open Sans" w:cs="Open Sans"/>
          <w:color w:val="111111"/>
        </w:rPr>
        <w:t xml:space="preserve">, </w:t>
      </w:r>
      <w:r w:rsidR="007F7C85">
        <w:rPr>
          <w:rFonts w:ascii="Open Sans" w:eastAsia="Open Sans" w:hAnsi="Open Sans" w:cs="Open Sans"/>
          <w:color w:val="111111"/>
        </w:rPr>
        <w:t xml:space="preserve">which took place </w:t>
      </w:r>
      <w:r w:rsidR="007521D5">
        <w:rPr>
          <w:rFonts w:ascii="Open Sans" w:eastAsia="Open Sans" w:hAnsi="Open Sans" w:cs="Open Sans"/>
          <w:color w:val="111111"/>
        </w:rPr>
        <w:t xml:space="preserve">on 27-28 </w:t>
      </w:r>
      <w:r w:rsidR="007F7C85">
        <w:rPr>
          <w:rFonts w:ascii="Open Sans" w:eastAsia="Open Sans" w:hAnsi="Open Sans" w:cs="Open Sans"/>
          <w:color w:val="111111"/>
        </w:rPr>
        <w:t xml:space="preserve">July 2023 in Cartagena de </w:t>
      </w:r>
      <w:proofErr w:type="spellStart"/>
      <w:r w:rsidR="007F7C85">
        <w:rPr>
          <w:rFonts w:ascii="Open Sans" w:eastAsia="Open Sans" w:hAnsi="Open Sans" w:cs="Open Sans"/>
          <w:color w:val="111111"/>
        </w:rPr>
        <w:t>Indias</w:t>
      </w:r>
      <w:proofErr w:type="spellEnd"/>
      <w:r>
        <w:rPr>
          <w:rFonts w:ascii="Open Sans" w:eastAsia="Open Sans" w:hAnsi="Open Sans" w:cs="Open Sans"/>
          <w:color w:val="111111"/>
        </w:rPr>
        <w:t xml:space="preserve">. </w:t>
      </w:r>
      <w:r w:rsidR="007521D5">
        <w:rPr>
          <w:rFonts w:ascii="Open Sans" w:eastAsia="Open Sans" w:hAnsi="Open Sans" w:cs="Open Sans"/>
          <w:color w:val="111111"/>
        </w:rPr>
        <w:t xml:space="preserve">One key outcome of the summit was the </w:t>
      </w:r>
      <w:r>
        <w:rPr>
          <w:rFonts w:ascii="Open Sans" w:eastAsia="Open Sans" w:hAnsi="Open Sans" w:cs="Open Sans"/>
          <w:color w:val="111111"/>
        </w:rPr>
        <w:t>set</w:t>
      </w:r>
      <w:r w:rsidR="007521D5">
        <w:rPr>
          <w:rFonts w:ascii="Open Sans" w:eastAsia="Open Sans" w:hAnsi="Open Sans" w:cs="Open Sans"/>
          <w:color w:val="111111"/>
        </w:rPr>
        <w:t>-</w:t>
      </w:r>
      <w:r>
        <w:rPr>
          <w:rFonts w:ascii="Open Sans" w:eastAsia="Open Sans" w:hAnsi="Open Sans" w:cs="Open Sans"/>
          <w:color w:val="111111"/>
        </w:rPr>
        <w:t xml:space="preserve">up </w:t>
      </w:r>
      <w:r w:rsidR="007521D5">
        <w:rPr>
          <w:rFonts w:ascii="Open Sans" w:eastAsia="Open Sans" w:hAnsi="Open Sans" w:cs="Open Sans"/>
          <w:color w:val="111111"/>
        </w:rPr>
        <w:t xml:space="preserve">of </w:t>
      </w:r>
      <w:r>
        <w:rPr>
          <w:rFonts w:ascii="Open Sans" w:eastAsia="Open Sans" w:hAnsi="Open Sans" w:cs="Open Sans"/>
          <w:color w:val="111111"/>
        </w:rPr>
        <w:t xml:space="preserve">a platform to cooperate in tax policies in the region, </w:t>
      </w:r>
      <w:r w:rsidR="007521D5">
        <w:rPr>
          <w:rFonts w:ascii="Open Sans" w:eastAsia="Open Sans" w:hAnsi="Open Sans" w:cs="Open Sans"/>
          <w:color w:val="111111"/>
        </w:rPr>
        <w:t xml:space="preserve">so the region as a bloc </w:t>
      </w:r>
      <w:proofErr w:type="gramStart"/>
      <w:r w:rsidR="007521D5">
        <w:rPr>
          <w:rFonts w:ascii="Open Sans" w:eastAsia="Open Sans" w:hAnsi="Open Sans" w:cs="Open Sans"/>
          <w:color w:val="111111"/>
        </w:rPr>
        <w:t xml:space="preserve">can </w:t>
      </w:r>
      <w:r>
        <w:rPr>
          <w:rFonts w:ascii="Open Sans" w:eastAsia="Open Sans" w:hAnsi="Open Sans" w:cs="Open Sans"/>
          <w:color w:val="111111"/>
        </w:rPr>
        <w:t xml:space="preserve"> have</w:t>
      </w:r>
      <w:proofErr w:type="gramEnd"/>
      <w:r>
        <w:rPr>
          <w:rFonts w:ascii="Open Sans" w:eastAsia="Open Sans" w:hAnsi="Open Sans" w:cs="Open Sans"/>
          <w:color w:val="111111"/>
        </w:rPr>
        <w:t xml:space="preserve"> a stronger voice in international tax negotiations. </w:t>
      </w:r>
      <w:r w:rsidR="007521D5">
        <w:rPr>
          <w:rFonts w:ascii="Open Sans" w:eastAsia="Open Sans" w:hAnsi="Open Sans" w:cs="Open Sans"/>
          <w:color w:val="111111"/>
        </w:rPr>
        <w:t>The n</w:t>
      </w:r>
      <w:r>
        <w:rPr>
          <w:rFonts w:ascii="Open Sans" w:eastAsia="Open Sans" w:hAnsi="Open Sans" w:cs="Open Sans"/>
          <w:color w:val="111111"/>
        </w:rPr>
        <w:t xml:space="preserve">ew body will promote dialogue and the exchange of information, with the aim of achieving progressive and fairer taxation, combating tax evasion, and mobilising the necessary resources to guarantee quality, universal and sustainable public </w:t>
      </w:r>
      <w:proofErr w:type="gramStart"/>
      <w:r>
        <w:rPr>
          <w:rFonts w:ascii="Open Sans" w:eastAsia="Open Sans" w:hAnsi="Open Sans" w:cs="Open Sans"/>
          <w:color w:val="111111"/>
        </w:rPr>
        <w:t>services</w:t>
      </w:r>
      <w:proofErr w:type="gramEnd"/>
      <w:r w:rsidR="00B270A1">
        <w:rPr>
          <w:rFonts w:ascii="Open Sans" w:eastAsia="Open Sans" w:hAnsi="Open Sans" w:cs="Open Sans"/>
          <w:color w:val="111111"/>
        </w:rPr>
        <w:t xml:space="preserve"> and a green transition to low carbon societies</w:t>
      </w:r>
      <w:r>
        <w:rPr>
          <w:rFonts w:ascii="Open Sans" w:eastAsia="Open Sans" w:hAnsi="Open Sans" w:cs="Open Sans"/>
          <w:color w:val="111111"/>
        </w:rPr>
        <w:t xml:space="preserve">. The top priorities to discuss in the next 12 months will be </w:t>
      </w:r>
      <w:r w:rsidR="007521D5">
        <w:rPr>
          <w:rFonts w:ascii="Open Sans" w:eastAsia="Open Sans" w:hAnsi="Open Sans" w:cs="Open Sans"/>
          <w:color w:val="111111"/>
        </w:rPr>
        <w:t xml:space="preserve">the </w:t>
      </w:r>
      <w:r>
        <w:rPr>
          <w:rFonts w:ascii="Open Sans" w:eastAsia="Open Sans" w:hAnsi="Open Sans" w:cs="Open Sans"/>
          <w:color w:val="111111"/>
        </w:rPr>
        <w:t>progressivity of tax systems, green taxes, and international corporate taxation.</w:t>
      </w:r>
    </w:p>
    <w:p w14:paraId="5F9A8F7C" w14:textId="2BAF4115" w:rsidR="002D62A7" w:rsidRDefault="004B03B0">
      <w:pPr>
        <w:tabs>
          <w:tab w:val="left" w:pos="2824"/>
        </w:tabs>
        <w:spacing w:before="240" w:after="240" w:line="240" w:lineRule="auto"/>
        <w:jc w:val="both"/>
        <w:rPr>
          <w:rFonts w:ascii="Open Sans" w:eastAsia="Open Sans" w:hAnsi="Open Sans" w:cs="Open Sans"/>
          <w:color w:val="111111"/>
        </w:rPr>
      </w:pPr>
      <w:r>
        <w:rPr>
          <w:rFonts w:ascii="Open Sans" w:eastAsia="Open Sans" w:hAnsi="Open Sans" w:cs="Open Sans"/>
          <w:color w:val="111111"/>
          <w:highlight w:val="white"/>
        </w:rPr>
        <w:t xml:space="preserve">In terms of governance, Colombia </w:t>
      </w:r>
      <w:proofErr w:type="gramStart"/>
      <w:r>
        <w:rPr>
          <w:rFonts w:ascii="Open Sans" w:eastAsia="Open Sans" w:hAnsi="Open Sans" w:cs="Open Sans"/>
          <w:color w:val="111111"/>
          <w:highlight w:val="white"/>
        </w:rPr>
        <w:t xml:space="preserve">was </w:t>
      </w:r>
      <w:r>
        <w:rPr>
          <w:rFonts w:ascii="Open Sans" w:eastAsia="Open Sans" w:hAnsi="Open Sans" w:cs="Open Sans"/>
          <w:color w:val="111111"/>
        </w:rPr>
        <w:t>designated</w:t>
      </w:r>
      <w:proofErr w:type="gramEnd"/>
      <w:r>
        <w:rPr>
          <w:rFonts w:ascii="Open Sans" w:eastAsia="Open Sans" w:hAnsi="Open Sans" w:cs="Open Sans"/>
          <w:color w:val="111111"/>
        </w:rPr>
        <w:t xml:space="preserve"> to hold the pro</w:t>
      </w:r>
      <w:r w:rsidR="00C91950">
        <w:rPr>
          <w:rFonts w:ascii="Open Sans" w:eastAsia="Open Sans" w:hAnsi="Open Sans" w:cs="Open Sans"/>
          <w:color w:val="111111"/>
        </w:rPr>
        <w:t>-</w:t>
      </w:r>
      <w:r>
        <w:rPr>
          <w:rFonts w:ascii="Open Sans" w:eastAsia="Open Sans" w:hAnsi="Open Sans" w:cs="Open Sans"/>
          <w:color w:val="111111"/>
        </w:rPr>
        <w:t>tempore presidency of the new platform for the next 12 months, while the Economic Commission for Latin America and the Caribbean (ECLAC) will assume its Technical Secretariat.</w:t>
      </w:r>
      <w:r w:rsidR="00B270A1">
        <w:rPr>
          <w:rFonts w:ascii="Open Sans" w:eastAsia="Open Sans" w:hAnsi="Open Sans" w:cs="Open Sans"/>
          <w:color w:val="111111"/>
        </w:rPr>
        <w:t xml:space="preserve"> This opens a valuable </w:t>
      </w:r>
      <w:r w:rsidR="00B270A1">
        <w:rPr>
          <w:rFonts w:ascii="Open Sans" w:eastAsia="Open Sans" w:hAnsi="Open Sans" w:cs="Open Sans"/>
          <w:color w:val="111111"/>
        </w:rPr>
        <w:lastRenderedPageBreak/>
        <w:t>opportunity to shape tax policy in Colombia and the Latin American region</w:t>
      </w:r>
      <w:r w:rsidR="007521D5">
        <w:rPr>
          <w:rFonts w:ascii="Open Sans" w:eastAsia="Open Sans" w:hAnsi="Open Sans" w:cs="Open Sans"/>
          <w:color w:val="111111"/>
        </w:rPr>
        <w:t xml:space="preserve"> in</w:t>
      </w:r>
      <w:r w:rsidR="00B270A1">
        <w:rPr>
          <w:rFonts w:ascii="Open Sans" w:eastAsia="Open Sans" w:hAnsi="Open Sans" w:cs="Open Sans"/>
          <w:color w:val="111111"/>
        </w:rPr>
        <w:t xml:space="preserve"> line with human rights norms and ambitious climate goals</w:t>
      </w:r>
      <w:r w:rsidR="00EC7CB1">
        <w:rPr>
          <w:rFonts w:ascii="Open Sans" w:eastAsia="Open Sans" w:hAnsi="Open Sans" w:cs="Open Sans"/>
          <w:color w:val="111111"/>
        </w:rPr>
        <w:t xml:space="preserve"> </w:t>
      </w:r>
      <w:r w:rsidR="00C91950">
        <w:rPr>
          <w:rFonts w:ascii="Open Sans" w:eastAsia="Open Sans" w:hAnsi="Open Sans" w:cs="Open Sans"/>
          <w:color w:val="111111"/>
        </w:rPr>
        <w:t xml:space="preserve">to </w:t>
      </w:r>
      <w:r w:rsidR="00EC7CB1">
        <w:rPr>
          <w:rFonts w:ascii="Open Sans" w:eastAsia="Open Sans" w:hAnsi="Open Sans" w:cs="Open Sans"/>
          <w:color w:val="111111"/>
        </w:rPr>
        <w:t xml:space="preserve">ensure a just transition. </w:t>
      </w:r>
    </w:p>
    <w:p w14:paraId="477F7C69" w14:textId="77777777" w:rsidR="002D62A7" w:rsidRDefault="004B03B0">
      <w:pPr>
        <w:numPr>
          <w:ilvl w:val="0"/>
          <w:numId w:val="3"/>
        </w:numPr>
        <w:pBdr>
          <w:top w:val="nil"/>
          <w:left w:val="nil"/>
          <w:bottom w:val="nil"/>
          <w:right w:val="nil"/>
          <w:between w:val="nil"/>
        </w:pBdr>
        <w:tabs>
          <w:tab w:val="left" w:pos="2824"/>
        </w:tabs>
        <w:spacing w:before="120" w:after="120" w:line="240" w:lineRule="auto"/>
        <w:ind w:right="-6"/>
        <w:jc w:val="both"/>
        <w:rPr>
          <w:rFonts w:ascii="Open Sans" w:eastAsia="Open Sans" w:hAnsi="Open Sans" w:cs="Open Sans"/>
          <w:b/>
          <w:color w:val="111111"/>
        </w:rPr>
      </w:pPr>
      <w:r>
        <w:rPr>
          <w:rFonts w:ascii="Open Sans" w:eastAsia="Open Sans" w:hAnsi="Open Sans" w:cs="Open Sans"/>
          <w:b/>
          <w:color w:val="111111"/>
        </w:rPr>
        <w:t xml:space="preserve">Conclusions and Recommendations </w:t>
      </w:r>
    </w:p>
    <w:p w14:paraId="00D4A55C" w14:textId="7D609246" w:rsidR="002D62A7" w:rsidRDefault="004B03B0">
      <w:pPr>
        <w:tabs>
          <w:tab w:val="left" w:pos="2824"/>
        </w:tabs>
        <w:spacing w:before="120" w:after="120" w:line="240" w:lineRule="auto"/>
        <w:ind w:right="-6"/>
        <w:jc w:val="both"/>
        <w:rPr>
          <w:rFonts w:ascii="Open Sans" w:eastAsia="Open Sans" w:hAnsi="Open Sans" w:cs="Open Sans"/>
          <w:color w:val="111111"/>
        </w:rPr>
      </w:pPr>
      <w:r>
        <w:rPr>
          <w:rFonts w:ascii="Open Sans" w:eastAsia="Open Sans" w:hAnsi="Open Sans" w:cs="Open Sans"/>
          <w:color w:val="111111"/>
        </w:rPr>
        <w:t xml:space="preserve">Considering the relevance that a just energy transition represents for the respect, protection, and fulfilment of </w:t>
      </w:r>
      <w:r w:rsidR="007521D5">
        <w:rPr>
          <w:rFonts w:ascii="Open Sans" w:eastAsia="Open Sans" w:hAnsi="Open Sans" w:cs="Open Sans"/>
          <w:color w:val="111111"/>
        </w:rPr>
        <w:t>several</w:t>
      </w:r>
      <w:r>
        <w:rPr>
          <w:rFonts w:ascii="Open Sans" w:eastAsia="Open Sans" w:hAnsi="Open Sans" w:cs="Open Sans"/>
          <w:color w:val="111111"/>
        </w:rPr>
        <w:t xml:space="preserve"> rights enshrined in the Covenant, we strongly encourage the Committee to engage with Colombia on the measures undertaken and the plans envisioned to combat climate change and advance an energy transition during its reporting procedure. Obtaining further information on these issues would foster transparency, help inform the ongoing participation of civil society in the definition of energy </w:t>
      </w:r>
      <w:proofErr w:type="gramStart"/>
      <w:r>
        <w:rPr>
          <w:rFonts w:ascii="Open Sans" w:eastAsia="Open Sans" w:hAnsi="Open Sans" w:cs="Open Sans"/>
          <w:color w:val="111111"/>
        </w:rPr>
        <w:t>policies, and</w:t>
      </w:r>
      <w:proofErr w:type="gramEnd"/>
      <w:r>
        <w:rPr>
          <w:rFonts w:ascii="Open Sans" w:eastAsia="Open Sans" w:hAnsi="Open Sans" w:cs="Open Sans"/>
          <w:color w:val="111111"/>
        </w:rPr>
        <w:t xml:space="preserve"> assist in shaping Colombia’s energy framework so it is aligned with Covenant rights.</w:t>
      </w:r>
    </w:p>
    <w:p w14:paraId="78D86C65" w14:textId="45A2DA69" w:rsidR="002D62A7" w:rsidRDefault="004B03B0">
      <w:pPr>
        <w:tabs>
          <w:tab w:val="left" w:pos="2824"/>
        </w:tabs>
        <w:spacing w:before="120" w:after="120" w:line="240" w:lineRule="auto"/>
        <w:ind w:right="-6"/>
        <w:jc w:val="both"/>
        <w:rPr>
          <w:rFonts w:ascii="Open Sans" w:eastAsia="Open Sans" w:hAnsi="Open Sans" w:cs="Open Sans"/>
          <w:color w:val="111111"/>
        </w:rPr>
      </w:pPr>
      <w:r>
        <w:rPr>
          <w:rFonts w:ascii="Open Sans" w:eastAsia="Open Sans" w:hAnsi="Open Sans" w:cs="Open Sans"/>
          <w:color w:val="111111"/>
        </w:rPr>
        <w:t xml:space="preserve">Accordingly, the submitting organisations suggest </w:t>
      </w:r>
      <w:r w:rsidR="007521D5">
        <w:rPr>
          <w:rFonts w:ascii="Open Sans" w:eastAsia="Open Sans" w:hAnsi="Open Sans" w:cs="Open Sans"/>
          <w:color w:val="111111"/>
        </w:rPr>
        <w:t>incorporating</w:t>
      </w:r>
      <w:r>
        <w:rPr>
          <w:rFonts w:ascii="Open Sans" w:eastAsia="Open Sans" w:hAnsi="Open Sans" w:cs="Open Sans"/>
          <w:color w:val="111111"/>
        </w:rPr>
        <w:t xml:space="preserve"> the following questions in the </w:t>
      </w:r>
      <w:r w:rsidR="007521D5">
        <w:rPr>
          <w:rFonts w:ascii="Open Sans" w:eastAsia="Open Sans" w:hAnsi="Open Sans" w:cs="Open Sans"/>
        </w:rPr>
        <w:t xml:space="preserve">List of Issues Prior to Reporting </w:t>
      </w:r>
      <w:r>
        <w:rPr>
          <w:rFonts w:ascii="Open Sans" w:eastAsia="Open Sans" w:hAnsi="Open Sans" w:cs="Open Sans"/>
          <w:color w:val="111111"/>
        </w:rPr>
        <w:t>of Colombia:</w:t>
      </w:r>
    </w:p>
    <w:p w14:paraId="21C364D1" w14:textId="77777777" w:rsidR="002D62A7" w:rsidRDefault="004B03B0">
      <w:pPr>
        <w:numPr>
          <w:ilvl w:val="0"/>
          <w:numId w:val="2"/>
        </w:numPr>
        <w:pBdr>
          <w:top w:val="nil"/>
          <w:left w:val="nil"/>
          <w:bottom w:val="nil"/>
          <w:right w:val="nil"/>
          <w:between w:val="nil"/>
        </w:pBdr>
        <w:tabs>
          <w:tab w:val="left" w:pos="2824"/>
        </w:tabs>
        <w:spacing w:before="120" w:after="0" w:line="240" w:lineRule="auto"/>
        <w:ind w:right="-6"/>
        <w:jc w:val="both"/>
        <w:rPr>
          <w:rFonts w:ascii="Open Sans" w:eastAsia="Open Sans" w:hAnsi="Open Sans" w:cs="Open Sans"/>
          <w:color w:val="111111"/>
        </w:rPr>
      </w:pPr>
      <w:r>
        <w:rPr>
          <w:rFonts w:ascii="Open Sans" w:eastAsia="Open Sans" w:hAnsi="Open Sans" w:cs="Open Sans"/>
          <w:color w:val="111111"/>
        </w:rPr>
        <w:t>Please provide information on the main objectives, methodology, and plans to develop a just energy transition program aligned with the rights enshrined in the Covenant.</w:t>
      </w:r>
    </w:p>
    <w:p w14:paraId="5FFF6A2F" w14:textId="13A1B82D" w:rsidR="002D62A7" w:rsidRDefault="004B03B0">
      <w:pPr>
        <w:numPr>
          <w:ilvl w:val="0"/>
          <w:numId w:val="2"/>
        </w:numPr>
        <w:pBdr>
          <w:top w:val="nil"/>
          <w:left w:val="nil"/>
          <w:bottom w:val="nil"/>
          <w:right w:val="nil"/>
          <w:between w:val="nil"/>
        </w:pBdr>
        <w:tabs>
          <w:tab w:val="left" w:pos="2824"/>
        </w:tabs>
        <w:spacing w:after="0" w:line="240" w:lineRule="auto"/>
        <w:ind w:right="-6"/>
        <w:jc w:val="both"/>
        <w:rPr>
          <w:rFonts w:ascii="Open Sans" w:eastAsia="Open Sans" w:hAnsi="Open Sans" w:cs="Open Sans"/>
          <w:color w:val="111111"/>
        </w:rPr>
      </w:pPr>
      <w:r>
        <w:rPr>
          <w:rFonts w:ascii="Open Sans" w:eastAsia="Open Sans" w:hAnsi="Open Sans" w:cs="Open Sans"/>
          <w:color w:val="111111"/>
        </w:rPr>
        <w:t xml:space="preserve">Please provide information on the efforts advanced to regulate transnational businesses and other enterprises to comply with the obligations contained in the ICESCR to avoid business-related social and environmental impacts across their </w:t>
      </w:r>
      <w:r w:rsidR="007521D5">
        <w:rPr>
          <w:rFonts w:ascii="Open Sans" w:eastAsia="Open Sans" w:hAnsi="Open Sans" w:cs="Open Sans"/>
          <w:color w:val="111111"/>
        </w:rPr>
        <w:t>value chains</w:t>
      </w:r>
      <w:r>
        <w:rPr>
          <w:rFonts w:ascii="Open Sans" w:eastAsia="Open Sans" w:hAnsi="Open Sans" w:cs="Open Sans"/>
          <w:color w:val="111111"/>
        </w:rPr>
        <w:t xml:space="preserve">, and for enterprises to adopt human rights due diligence policies. </w:t>
      </w:r>
    </w:p>
    <w:p w14:paraId="6499791E" w14:textId="7CD88ADA" w:rsidR="002D62A7" w:rsidRDefault="004B03B0">
      <w:pPr>
        <w:numPr>
          <w:ilvl w:val="0"/>
          <w:numId w:val="2"/>
        </w:numPr>
        <w:pBdr>
          <w:top w:val="nil"/>
          <w:left w:val="nil"/>
          <w:bottom w:val="nil"/>
          <w:right w:val="nil"/>
          <w:between w:val="nil"/>
        </w:pBdr>
        <w:tabs>
          <w:tab w:val="left" w:pos="2824"/>
        </w:tabs>
        <w:spacing w:after="0" w:line="240" w:lineRule="auto"/>
        <w:ind w:right="-6"/>
        <w:jc w:val="both"/>
        <w:rPr>
          <w:rFonts w:ascii="Open Sans" w:eastAsia="Open Sans" w:hAnsi="Open Sans" w:cs="Open Sans"/>
          <w:color w:val="111111"/>
        </w:rPr>
      </w:pPr>
      <w:r>
        <w:rPr>
          <w:rFonts w:ascii="Open Sans" w:eastAsia="Open Sans" w:hAnsi="Open Sans" w:cs="Open Sans"/>
          <w:color w:val="111111"/>
        </w:rPr>
        <w:t xml:space="preserve">Colombia is leading </w:t>
      </w:r>
      <w:r w:rsidR="007521D5">
        <w:rPr>
          <w:rFonts w:ascii="Open Sans" w:eastAsia="Open Sans" w:hAnsi="Open Sans" w:cs="Open Sans"/>
          <w:color w:val="111111"/>
        </w:rPr>
        <w:t>significant</w:t>
      </w:r>
      <w:r w:rsidR="00EC7CB1">
        <w:rPr>
          <w:rFonts w:ascii="Open Sans" w:eastAsia="Open Sans" w:hAnsi="Open Sans" w:cs="Open Sans"/>
          <w:color w:val="111111"/>
        </w:rPr>
        <w:t xml:space="preserve"> efforts towards</w:t>
      </w:r>
      <w:r w:rsidR="007521D5">
        <w:rPr>
          <w:rFonts w:ascii="Open Sans" w:eastAsia="Open Sans" w:hAnsi="Open Sans" w:cs="Open Sans"/>
          <w:color w:val="111111"/>
        </w:rPr>
        <w:t xml:space="preserve"> </w:t>
      </w:r>
      <w:r w:rsidRPr="00EC7CB1">
        <w:rPr>
          <w:rFonts w:ascii="Open Sans" w:eastAsia="Open Sans" w:hAnsi="Open Sans" w:cs="Open Sans"/>
          <w:color w:val="111111"/>
        </w:rPr>
        <w:t>progressive</w:t>
      </w:r>
      <w:r>
        <w:rPr>
          <w:rFonts w:ascii="Open Sans" w:eastAsia="Open Sans" w:hAnsi="Open Sans" w:cs="Open Sans"/>
          <w:color w:val="111111"/>
        </w:rPr>
        <w:t xml:space="preserve"> tax </w:t>
      </w:r>
      <w:sdt>
        <w:sdtPr>
          <w:rPr>
            <w:rFonts w:ascii="Open Sans" w:eastAsia="Open Sans" w:hAnsi="Open Sans" w:cs="Open Sans"/>
            <w:color w:val="111111"/>
          </w:rPr>
          <w:tag w:val="goog_rdk_10"/>
          <w:id w:val="883908598"/>
        </w:sdtPr>
        <w:sdtEndPr/>
        <w:sdtContent>
          <w:r>
            <w:rPr>
              <w:rFonts w:ascii="Open Sans" w:eastAsia="Open Sans" w:hAnsi="Open Sans" w:cs="Open Sans"/>
              <w:color w:val="111111"/>
            </w:rPr>
            <w:t>policies. Please</w:t>
          </w:r>
        </w:sdtContent>
      </w:sdt>
      <w:r w:rsidR="002421EC" w:rsidRPr="00EC7CB1">
        <w:rPr>
          <w:rFonts w:ascii="Open Sans" w:eastAsia="Open Sans" w:hAnsi="Open Sans" w:cs="Open Sans"/>
          <w:color w:val="111111"/>
        </w:rPr>
        <w:t xml:space="preserve"> </w:t>
      </w:r>
      <w:r>
        <w:rPr>
          <w:rFonts w:ascii="Open Sans" w:eastAsia="Open Sans" w:hAnsi="Open Sans" w:cs="Open Sans"/>
          <w:color w:val="111111"/>
        </w:rPr>
        <w:t xml:space="preserve">provide details on the measures </w:t>
      </w:r>
      <w:sdt>
        <w:sdtPr>
          <w:rPr>
            <w:rFonts w:ascii="Open Sans" w:eastAsia="Open Sans" w:hAnsi="Open Sans" w:cs="Open Sans"/>
            <w:color w:val="111111"/>
          </w:rPr>
          <w:tag w:val="goog_rdk_20"/>
          <w:id w:val="-752808716"/>
        </w:sdtPr>
        <w:sdtEndPr/>
        <w:sdtContent>
          <w:r>
            <w:rPr>
              <w:rFonts w:ascii="Open Sans" w:eastAsia="Open Sans" w:hAnsi="Open Sans" w:cs="Open Sans"/>
              <w:color w:val="111111"/>
            </w:rPr>
            <w:t>implemented to</w:t>
          </w:r>
        </w:sdtContent>
      </w:sdt>
      <w:sdt>
        <w:sdtPr>
          <w:rPr>
            <w:rFonts w:ascii="Open Sans" w:eastAsia="Open Sans" w:hAnsi="Open Sans" w:cs="Open Sans"/>
            <w:color w:val="111111"/>
          </w:rPr>
          <w:tag w:val="goog_rdk_21"/>
          <w:id w:val="-1585215646"/>
        </w:sdtPr>
        <w:sdtEndPr/>
        <w:sdtContent>
          <w:sdt>
            <w:sdtPr>
              <w:rPr>
                <w:rFonts w:ascii="Open Sans" w:eastAsia="Open Sans" w:hAnsi="Open Sans" w:cs="Open Sans"/>
                <w:color w:val="111111"/>
              </w:rPr>
              <w:tag w:val="goog_rdk_22"/>
              <w:id w:val="812222843"/>
            </w:sdtPr>
            <w:sdtEndPr/>
            <w:sdtContent>
              <w:r w:rsidR="002421EC" w:rsidRPr="00EC7CB1">
                <w:rPr>
                  <w:rFonts w:ascii="Open Sans" w:eastAsia="Open Sans" w:hAnsi="Open Sans" w:cs="Open Sans"/>
                  <w:color w:val="111111"/>
                </w:rPr>
                <w:t xml:space="preserve"> </w:t>
              </w:r>
            </w:sdtContent>
          </w:sdt>
        </w:sdtContent>
      </w:sdt>
      <w:r>
        <w:rPr>
          <w:rFonts w:ascii="Open Sans" w:eastAsia="Open Sans" w:hAnsi="Open Sans" w:cs="Open Sans"/>
          <w:color w:val="111111"/>
        </w:rPr>
        <w:t xml:space="preserve">ensure </w:t>
      </w:r>
      <w:sdt>
        <w:sdtPr>
          <w:rPr>
            <w:rFonts w:ascii="Open Sans" w:eastAsia="Open Sans" w:hAnsi="Open Sans" w:cs="Open Sans"/>
            <w:color w:val="111111"/>
          </w:rPr>
          <w:tag w:val="goog_rdk_24"/>
          <w:id w:val="1791858853"/>
        </w:sdtPr>
        <w:sdtEndPr/>
        <w:sdtContent>
          <w:r>
            <w:rPr>
              <w:rFonts w:ascii="Open Sans" w:eastAsia="Open Sans" w:hAnsi="Open Sans" w:cs="Open Sans"/>
              <w:color w:val="111111"/>
            </w:rPr>
            <w:t xml:space="preserve">that </w:t>
          </w:r>
        </w:sdtContent>
      </w:sdt>
      <w:r>
        <w:rPr>
          <w:rFonts w:ascii="Open Sans" w:eastAsia="Open Sans" w:hAnsi="Open Sans" w:cs="Open Sans"/>
          <w:color w:val="111111"/>
        </w:rPr>
        <w:t>the maximum available</w:t>
      </w:r>
      <w:r w:rsidR="007521D5">
        <w:rPr>
          <w:rFonts w:ascii="Open Sans" w:eastAsia="Open Sans" w:hAnsi="Open Sans" w:cs="Open Sans"/>
          <w:color w:val="111111"/>
        </w:rPr>
        <w:t xml:space="preserve"> resources</w:t>
      </w:r>
      <w:r>
        <w:rPr>
          <w:rFonts w:ascii="Open Sans" w:eastAsia="Open Sans" w:hAnsi="Open Sans" w:cs="Open Sans"/>
          <w:color w:val="111111"/>
        </w:rPr>
        <w:t xml:space="preserve"> are mobilised </w:t>
      </w:r>
      <w:sdt>
        <w:sdtPr>
          <w:rPr>
            <w:rFonts w:ascii="Open Sans" w:eastAsia="Open Sans" w:hAnsi="Open Sans" w:cs="Open Sans"/>
            <w:color w:val="111111"/>
          </w:rPr>
          <w:tag w:val="goog_rdk_25"/>
          <w:id w:val="1500465651"/>
        </w:sdtPr>
        <w:sdtEndPr/>
        <w:sdtContent>
          <w:r>
            <w:rPr>
              <w:rFonts w:ascii="Open Sans" w:eastAsia="Open Sans" w:hAnsi="Open Sans" w:cs="Open Sans"/>
              <w:color w:val="111111"/>
            </w:rPr>
            <w:t xml:space="preserve">at the national and regional level </w:t>
          </w:r>
        </w:sdtContent>
      </w:sdt>
      <w:r>
        <w:rPr>
          <w:rFonts w:ascii="Open Sans" w:eastAsia="Open Sans" w:hAnsi="Open Sans" w:cs="Open Sans"/>
          <w:color w:val="111111"/>
        </w:rPr>
        <w:t>to sustainably realise the rights contained in the Covenant and invest in a just energy transition.</w:t>
      </w:r>
    </w:p>
    <w:p w14:paraId="6EC87140" w14:textId="77777777" w:rsidR="002D62A7" w:rsidRDefault="004B03B0">
      <w:pPr>
        <w:numPr>
          <w:ilvl w:val="0"/>
          <w:numId w:val="2"/>
        </w:numPr>
        <w:pBdr>
          <w:top w:val="nil"/>
          <w:left w:val="nil"/>
          <w:bottom w:val="nil"/>
          <w:right w:val="nil"/>
          <w:between w:val="nil"/>
        </w:pBdr>
        <w:tabs>
          <w:tab w:val="left" w:pos="2824"/>
        </w:tabs>
        <w:spacing w:after="0" w:line="240" w:lineRule="auto"/>
        <w:ind w:right="-6"/>
        <w:jc w:val="both"/>
        <w:rPr>
          <w:rFonts w:ascii="Open Sans" w:eastAsia="Open Sans" w:hAnsi="Open Sans" w:cs="Open Sans"/>
          <w:color w:val="111111"/>
        </w:rPr>
      </w:pPr>
      <w:r>
        <w:rPr>
          <w:rFonts w:ascii="Open Sans" w:eastAsia="Open Sans" w:hAnsi="Open Sans" w:cs="Open Sans"/>
          <w:color w:val="111111"/>
        </w:rPr>
        <w:t xml:space="preserve">Please provide information on the action undertaken by Colombia to prevent human rights abuses committed in the responses to advert the climate emergency, including the abuses inflicted on local populations and human rights defenders resisting the development of energy transition projects. </w:t>
      </w:r>
    </w:p>
    <w:p w14:paraId="1AADA009" w14:textId="3B345928" w:rsidR="002D62A7" w:rsidRDefault="004B03B0">
      <w:pPr>
        <w:numPr>
          <w:ilvl w:val="0"/>
          <w:numId w:val="2"/>
        </w:numPr>
        <w:pBdr>
          <w:top w:val="nil"/>
          <w:left w:val="nil"/>
          <w:bottom w:val="nil"/>
          <w:right w:val="nil"/>
          <w:between w:val="nil"/>
        </w:pBdr>
        <w:tabs>
          <w:tab w:val="left" w:pos="2824"/>
        </w:tabs>
        <w:spacing w:after="120" w:line="240" w:lineRule="auto"/>
        <w:ind w:right="-6"/>
        <w:jc w:val="both"/>
        <w:rPr>
          <w:rFonts w:ascii="Open Sans" w:eastAsia="Open Sans" w:hAnsi="Open Sans" w:cs="Open Sans"/>
          <w:color w:val="111111"/>
        </w:rPr>
      </w:pPr>
      <w:proofErr w:type="gramStart"/>
      <w:r>
        <w:rPr>
          <w:rFonts w:ascii="Open Sans" w:eastAsia="Open Sans" w:hAnsi="Open Sans" w:cs="Open Sans"/>
          <w:color w:val="111111"/>
        </w:rPr>
        <w:t>Considering  that</w:t>
      </w:r>
      <w:proofErr w:type="gramEnd"/>
      <w:r>
        <w:rPr>
          <w:rFonts w:ascii="Open Sans" w:eastAsia="Open Sans" w:hAnsi="Open Sans" w:cs="Open Sans"/>
          <w:color w:val="111111"/>
        </w:rPr>
        <w:t xml:space="preserve"> access to sustainable, adequate, accessible and available energy services is a precondition for the realisation of a number of rights enshrined in the Covenant, including the rights to food, education, health, water and sanitation, please provide information on how Colombia is combating energy poverty affecting </w:t>
      </w:r>
      <w:r w:rsidR="00B04080">
        <w:rPr>
          <w:rFonts w:ascii="Open Sans" w:eastAsia="Open Sans" w:hAnsi="Open Sans" w:cs="Open Sans"/>
          <w:color w:val="111111"/>
        </w:rPr>
        <w:t>low-income</w:t>
      </w:r>
      <w:r>
        <w:rPr>
          <w:rFonts w:ascii="Open Sans" w:eastAsia="Open Sans" w:hAnsi="Open Sans" w:cs="Open Sans"/>
          <w:color w:val="111111"/>
        </w:rPr>
        <w:t xml:space="preserve"> households and public services in the most marginalised regions. </w:t>
      </w:r>
    </w:p>
    <w:p w14:paraId="3C54D201" w14:textId="77777777" w:rsidR="00EC7CB1" w:rsidRPr="00C91950" w:rsidRDefault="00EC7CB1" w:rsidP="00EC7CB1">
      <w:pPr>
        <w:tabs>
          <w:tab w:val="left" w:pos="2824"/>
        </w:tabs>
        <w:spacing w:before="120" w:after="120" w:line="240" w:lineRule="auto"/>
        <w:ind w:right="-6"/>
        <w:jc w:val="both"/>
        <w:rPr>
          <w:rFonts w:ascii="Open Sans" w:eastAsia="Open Sans" w:hAnsi="Open Sans" w:cs="Open Sans"/>
          <w:b/>
          <w:bCs/>
          <w:color w:val="111111"/>
        </w:rPr>
      </w:pPr>
      <w:r w:rsidRPr="00C91950">
        <w:rPr>
          <w:rFonts w:ascii="Open Sans" w:eastAsia="Open Sans" w:hAnsi="Open Sans" w:cs="Open Sans"/>
          <w:b/>
          <w:bCs/>
          <w:color w:val="111111"/>
        </w:rPr>
        <w:t>Additional Resources:</w:t>
      </w:r>
    </w:p>
    <w:p w14:paraId="7A8CCFC5" w14:textId="211CE353" w:rsidR="00EC7CB1" w:rsidRPr="00C91950" w:rsidRDefault="005E733A" w:rsidP="00EC7CB1">
      <w:pPr>
        <w:pStyle w:val="ListParagraph"/>
        <w:numPr>
          <w:ilvl w:val="0"/>
          <w:numId w:val="4"/>
        </w:numPr>
        <w:tabs>
          <w:tab w:val="left" w:pos="2824"/>
        </w:tabs>
        <w:spacing w:before="120" w:after="120" w:line="240" w:lineRule="auto"/>
        <w:ind w:right="-6"/>
        <w:jc w:val="both"/>
        <w:rPr>
          <w:rFonts w:ascii="Open Sans" w:eastAsia="Open Sans" w:hAnsi="Open Sans" w:cs="Open Sans"/>
          <w:color w:val="111111"/>
        </w:rPr>
      </w:pPr>
      <w:hyperlink r:id="rId9" w:history="1">
        <w:r w:rsidR="00C91950" w:rsidRPr="00C91950">
          <w:rPr>
            <w:rStyle w:val="Hyperlink"/>
            <w:rFonts w:ascii="Open Sans" w:eastAsia="Open Sans" w:hAnsi="Open Sans" w:cs="Open Sans"/>
          </w:rPr>
          <w:t>States Human Rights Obligations in the Context of Climate Change</w:t>
        </w:r>
      </w:hyperlink>
      <w:r w:rsidR="00C91950" w:rsidRPr="00C91950">
        <w:rPr>
          <w:rFonts w:ascii="Open Sans" w:eastAsia="Open Sans" w:hAnsi="Open Sans" w:cs="Open Sans"/>
          <w:color w:val="111111"/>
        </w:rPr>
        <w:t>, 2022</w:t>
      </w:r>
      <w:r w:rsidR="00C91950">
        <w:rPr>
          <w:rFonts w:ascii="Open Sans" w:eastAsia="Open Sans" w:hAnsi="Open Sans" w:cs="Open Sans"/>
          <w:color w:val="111111"/>
        </w:rPr>
        <w:t xml:space="preserve">. </w:t>
      </w:r>
    </w:p>
    <w:p w14:paraId="0D01C2A2" w14:textId="4E1114D0" w:rsidR="00C91950" w:rsidRDefault="005E733A" w:rsidP="00EC7CB1">
      <w:pPr>
        <w:pStyle w:val="ListParagraph"/>
        <w:numPr>
          <w:ilvl w:val="0"/>
          <w:numId w:val="4"/>
        </w:numPr>
        <w:tabs>
          <w:tab w:val="left" w:pos="2824"/>
        </w:tabs>
        <w:spacing w:before="120" w:after="120" w:line="240" w:lineRule="auto"/>
        <w:ind w:right="-6"/>
        <w:jc w:val="both"/>
        <w:rPr>
          <w:rFonts w:ascii="Open Sans" w:eastAsia="Open Sans" w:hAnsi="Open Sans" w:cs="Open Sans"/>
          <w:color w:val="111111"/>
        </w:rPr>
      </w:pPr>
      <w:hyperlink r:id="rId10" w:history="1">
        <w:r w:rsidR="00041FFD" w:rsidRPr="00041FFD">
          <w:rPr>
            <w:rStyle w:val="Hyperlink"/>
            <w:rFonts w:ascii="Open Sans" w:eastAsia="Open Sans" w:hAnsi="Open Sans" w:cs="Open Sans"/>
          </w:rPr>
          <w:t>Setting a Roadmap for a Green Feminist Transformation</w:t>
        </w:r>
      </w:hyperlink>
      <w:r w:rsidR="00041FFD">
        <w:rPr>
          <w:rFonts w:ascii="Open Sans" w:eastAsia="Open Sans" w:hAnsi="Open Sans" w:cs="Open Sans"/>
          <w:color w:val="111111"/>
        </w:rPr>
        <w:t xml:space="preserve">, 2022. </w:t>
      </w:r>
    </w:p>
    <w:p w14:paraId="450A47E9" w14:textId="407E9283" w:rsidR="00041FFD" w:rsidRDefault="005E733A" w:rsidP="00EC7CB1">
      <w:pPr>
        <w:pStyle w:val="ListParagraph"/>
        <w:numPr>
          <w:ilvl w:val="0"/>
          <w:numId w:val="4"/>
        </w:numPr>
        <w:tabs>
          <w:tab w:val="left" w:pos="2824"/>
        </w:tabs>
        <w:spacing w:before="120" w:after="120" w:line="240" w:lineRule="auto"/>
        <w:ind w:right="-6"/>
        <w:jc w:val="both"/>
        <w:rPr>
          <w:rFonts w:ascii="Open Sans" w:eastAsia="Open Sans" w:hAnsi="Open Sans" w:cs="Open Sans"/>
          <w:color w:val="111111"/>
        </w:rPr>
      </w:pPr>
      <w:hyperlink r:id="rId11" w:history="1">
        <w:r w:rsidR="00041FFD" w:rsidRPr="00041FFD">
          <w:rPr>
            <w:rStyle w:val="Hyperlink"/>
            <w:rFonts w:ascii="Open Sans" w:eastAsia="Open Sans" w:hAnsi="Open Sans" w:cs="Open Sans"/>
          </w:rPr>
          <w:t>Loss and Damage: The Missing Piece, International Tax Cooperation for New Climate Finance</w:t>
        </w:r>
      </w:hyperlink>
      <w:r w:rsidR="00041FFD">
        <w:rPr>
          <w:rFonts w:ascii="Open Sans" w:eastAsia="Open Sans" w:hAnsi="Open Sans" w:cs="Open Sans"/>
          <w:color w:val="111111"/>
        </w:rPr>
        <w:t xml:space="preserve">, 2022. </w:t>
      </w:r>
    </w:p>
    <w:p w14:paraId="0D12D899" w14:textId="09D3E5A0" w:rsidR="00041FFD" w:rsidRDefault="005E733A" w:rsidP="00EC7CB1">
      <w:pPr>
        <w:pStyle w:val="ListParagraph"/>
        <w:numPr>
          <w:ilvl w:val="0"/>
          <w:numId w:val="4"/>
        </w:numPr>
        <w:tabs>
          <w:tab w:val="left" w:pos="2824"/>
        </w:tabs>
        <w:spacing w:before="120" w:after="120" w:line="240" w:lineRule="auto"/>
        <w:ind w:right="-6"/>
        <w:jc w:val="both"/>
        <w:rPr>
          <w:rFonts w:ascii="Open Sans" w:eastAsia="Open Sans" w:hAnsi="Open Sans" w:cs="Open Sans"/>
          <w:color w:val="111111"/>
        </w:rPr>
      </w:pPr>
      <w:hyperlink r:id="rId12" w:history="1">
        <w:r w:rsidR="00041FFD" w:rsidRPr="00041FFD">
          <w:rPr>
            <w:rStyle w:val="Hyperlink"/>
            <w:rFonts w:ascii="Open Sans" w:eastAsia="Open Sans" w:hAnsi="Open Sans" w:cs="Open Sans"/>
          </w:rPr>
          <w:t>Renewable Energy and Gender Justice</w:t>
        </w:r>
      </w:hyperlink>
      <w:r w:rsidR="00041FFD">
        <w:rPr>
          <w:rFonts w:ascii="Open Sans" w:eastAsia="Open Sans" w:hAnsi="Open Sans" w:cs="Open Sans"/>
          <w:color w:val="111111"/>
        </w:rPr>
        <w:t>, 2021.</w:t>
      </w:r>
    </w:p>
    <w:p w14:paraId="601114E6" w14:textId="587C68F2" w:rsidR="00041FFD" w:rsidRPr="00EC7CB1" w:rsidRDefault="005E733A" w:rsidP="00EC7CB1">
      <w:pPr>
        <w:pStyle w:val="ListParagraph"/>
        <w:numPr>
          <w:ilvl w:val="0"/>
          <w:numId w:val="4"/>
        </w:numPr>
        <w:tabs>
          <w:tab w:val="left" w:pos="2824"/>
        </w:tabs>
        <w:spacing w:before="120" w:after="120" w:line="240" w:lineRule="auto"/>
        <w:ind w:right="-6"/>
        <w:jc w:val="both"/>
        <w:rPr>
          <w:rFonts w:ascii="Open Sans" w:eastAsia="Open Sans" w:hAnsi="Open Sans" w:cs="Open Sans"/>
          <w:color w:val="111111"/>
        </w:rPr>
      </w:pPr>
      <w:hyperlink r:id="rId13" w:history="1">
        <w:r w:rsidR="0094073E" w:rsidRPr="0094073E">
          <w:rPr>
            <w:rStyle w:val="Hyperlink"/>
            <w:rFonts w:ascii="Open Sans" w:eastAsia="Open Sans" w:hAnsi="Open Sans" w:cs="Open Sans"/>
          </w:rPr>
          <w:t>The Maastricht Principles on the Human Rights of Future Generations</w:t>
        </w:r>
      </w:hyperlink>
      <w:r w:rsidR="0094073E">
        <w:rPr>
          <w:rFonts w:ascii="Open Sans" w:eastAsia="Open Sans" w:hAnsi="Open Sans" w:cs="Open Sans"/>
          <w:color w:val="111111"/>
        </w:rPr>
        <w:t xml:space="preserve">, 2023. </w:t>
      </w:r>
    </w:p>
    <w:p w14:paraId="11E12F72" w14:textId="77777777" w:rsidR="00B270A1" w:rsidRDefault="00B270A1" w:rsidP="00EC7CB1">
      <w:pPr>
        <w:pBdr>
          <w:top w:val="nil"/>
          <w:left w:val="nil"/>
          <w:bottom w:val="nil"/>
          <w:right w:val="nil"/>
          <w:between w:val="nil"/>
        </w:pBdr>
        <w:tabs>
          <w:tab w:val="left" w:pos="2824"/>
        </w:tabs>
        <w:spacing w:after="120" w:line="240" w:lineRule="auto"/>
        <w:ind w:right="-6"/>
        <w:jc w:val="both"/>
        <w:rPr>
          <w:rFonts w:ascii="Open Sans" w:eastAsia="Open Sans" w:hAnsi="Open Sans" w:cs="Open Sans"/>
          <w:color w:val="111111"/>
        </w:rPr>
      </w:pPr>
    </w:p>
    <w:p w14:paraId="06E5E868" w14:textId="06AB714D" w:rsidR="00EC7CB1" w:rsidRDefault="00B270A1" w:rsidP="00EC7CB1">
      <w:pPr>
        <w:pBdr>
          <w:top w:val="single" w:sz="4" w:space="1" w:color="auto"/>
          <w:left w:val="single" w:sz="4" w:space="4" w:color="auto"/>
          <w:bottom w:val="single" w:sz="4" w:space="1" w:color="auto"/>
          <w:right w:val="single" w:sz="4" w:space="4" w:color="auto"/>
        </w:pBdr>
        <w:tabs>
          <w:tab w:val="left" w:pos="2824"/>
        </w:tabs>
        <w:spacing w:before="120" w:after="120" w:line="240" w:lineRule="auto"/>
        <w:ind w:right="-6"/>
        <w:jc w:val="both"/>
        <w:rPr>
          <w:rFonts w:ascii="Open Sans" w:eastAsia="Open Sans" w:hAnsi="Open Sans" w:cs="Open Sans"/>
          <w:color w:val="111111"/>
        </w:rPr>
      </w:pPr>
      <w:r w:rsidRPr="00B270A1">
        <w:rPr>
          <w:rFonts w:ascii="Open Sans" w:eastAsia="Open Sans" w:hAnsi="Open Sans" w:cs="Open Sans"/>
          <w:b/>
          <w:bCs/>
          <w:color w:val="111111"/>
        </w:rPr>
        <w:t>Contact:</w:t>
      </w:r>
      <w:r w:rsidRPr="00B270A1">
        <w:rPr>
          <w:rFonts w:ascii="Open Sans" w:eastAsia="Open Sans" w:hAnsi="Open Sans" w:cs="Open Sans"/>
          <w:color w:val="111111"/>
        </w:rPr>
        <w:t xml:space="preserve"> Alejandra Lozano, Programme Officer on Climate and Environmental Justice at the </w:t>
      </w:r>
    </w:p>
    <w:p w14:paraId="4F9C22B2" w14:textId="299F5F36" w:rsidR="00EC7CB1" w:rsidRPr="00EC7CB1" w:rsidRDefault="00EC7CB1" w:rsidP="00EC7CB1">
      <w:pPr>
        <w:pBdr>
          <w:top w:val="single" w:sz="4" w:space="1" w:color="auto"/>
          <w:left w:val="single" w:sz="4" w:space="4" w:color="auto"/>
          <w:bottom w:val="single" w:sz="4" w:space="1" w:color="auto"/>
          <w:right w:val="single" w:sz="4" w:space="4" w:color="auto"/>
        </w:pBdr>
        <w:tabs>
          <w:tab w:val="left" w:pos="2824"/>
        </w:tabs>
        <w:spacing w:before="120" w:after="120" w:line="240" w:lineRule="auto"/>
        <w:ind w:right="-6"/>
        <w:jc w:val="both"/>
        <w:rPr>
          <w:rFonts w:ascii="Open Sans" w:eastAsia="Open Sans" w:hAnsi="Open Sans" w:cs="Open Sans"/>
          <w:color w:val="111111"/>
        </w:rPr>
      </w:pPr>
      <w:r w:rsidRPr="00EC7CB1">
        <w:rPr>
          <w:rFonts w:ascii="Open Sans" w:eastAsia="Open Sans" w:hAnsi="Open Sans" w:cs="Open Sans"/>
          <w:color w:val="111111"/>
        </w:rPr>
        <w:t xml:space="preserve">Global Initiative for Economic, Social and Cultural Rights </w:t>
      </w:r>
      <w:r>
        <w:rPr>
          <w:rFonts w:ascii="Open Sans" w:eastAsia="Open Sans" w:hAnsi="Open Sans" w:cs="Open Sans"/>
          <w:color w:val="111111"/>
        </w:rPr>
        <w:t xml:space="preserve">(GI-ESCR). Email: </w:t>
      </w:r>
      <w:hyperlink r:id="rId14" w:history="1">
        <w:r w:rsidRPr="007C4F05">
          <w:rPr>
            <w:rStyle w:val="Hyperlink"/>
            <w:rFonts w:ascii="Open Sans" w:eastAsia="Open Sans" w:hAnsi="Open Sans" w:cs="Open Sans"/>
          </w:rPr>
          <w:t>Alejandra@gi-escr.org</w:t>
        </w:r>
      </w:hyperlink>
      <w:r>
        <w:rPr>
          <w:rFonts w:ascii="Open Sans" w:eastAsia="Open Sans" w:hAnsi="Open Sans" w:cs="Open Sans"/>
          <w:color w:val="111111"/>
        </w:rPr>
        <w:t xml:space="preserve"> </w:t>
      </w:r>
    </w:p>
    <w:p w14:paraId="57B27CD9" w14:textId="211D8FFF" w:rsidR="00B04080" w:rsidRDefault="00B04080">
      <w:pPr>
        <w:tabs>
          <w:tab w:val="left" w:pos="2824"/>
        </w:tabs>
        <w:spacing w:before="120" w:after="120" w:line="240" w:lineRule="auto"/>
        <w:ind w:right="-6"/>
        <w:jc w:val="both"/>
        <w:rPr>
          <w:rFonts w:ascii="Open Sans" w:eastAsia="Open Sans" w:hAnsi="Open Sans" w:cs="Open Sans"/>
          <w:color w:val="111111"/>
        </w:rPr>
      </w:pPr>
    </w:p>
    <w:sectPr w:rsidR="00B04080">
      <w:headerReference w:type="default" r:id="rId15"/>
      <w:footerReference w:type="default" r:id="rId1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A2C856" w14:textId="77777777" w:rsidR="004B03B0" w:rsidRDefault="004B03B0">
      <w:pPr>
        <w:spacing w:after="0" w:line="240" w:lineRule="auto"/>
      </w:pPr>
      <w:r>
        <w:separator/>
      </w:r>
    </w:p>
  </w:endnote>
  <w:endnote w:type="continuationSeparator" w:id="0">
    <w:p w14:paraId="2014E02C" w14:textId="77777777" w:rsidR="004B03B0" w:rsidRDefault="004B03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D48A9" w14:textId="77777777" w:rsidR="002D62A7" w:rsidRDefault="005E733A">
    <w:pPr>
      <w:tabs>
        <w:tab w:val="left" w:pos="2404"/>
      </w:tabs>
      <w:ind w:left="5516" w:right="-144" w:firstLine="2404"/>
      <w:jc w:val="both"/>
      <w:rPr>
        <w:sz w:val="16"/>
        <w:szCs w:val="16"/>
      </w:rPr>
    </w:pPr>
    <w:hyperlink r:id="rId1">
      <w:r w:rsidR="004B03B0">
        <w:rPr>
          <w:rFonts w:ascii="Open Sans" w:eastAsia="Open Sans" w:hAnsi="Open Sans" w:cs="Open Sans"/>
          <w:color w:val="1155CC"/>
          <w:sz w:val="16"/>
          <w:szCs w:val="16"/>
          <w:u w:val="single"/>
        </w:rPr>
        <w:t>gi-escr.org</w:t>
      </w:r>
    </w:hyperlink>
    <w:r w:rsidR="004B03B0">
      <w:rPr>
        <w:noProof/>
      </w:rPr>
      <w:drawing>
        <wp:anchor distT="114300" distB="114300" distL="114300" distR="114300" simplePos="0" relativeHeight="251658240" behindDoc="0" locked="0" layoutInCell="1" hidden="0" allowOverlap="1" wp14:anchorId="70198E46" wp14:editId="1F740F5D">
          <wp:simplePos x="0" y="0"/>
          <wp:positionH relativeFrom="column">
            <wp:posOffset>570230</wp:posOffset>
          </wp:positionH>
          <wp:positionV relativeFrom="paragraph">
            <wp:posOffset>-55244</wp:posOffset>
          </wp:positionV>
          <wp:extent cx="721995" cy="255270"/>
          <wp:effectExtent l="0" t="0" r="0" b="0"/>
          <wp:wrapSquare wrapText="bothSides" distT="114300" distB="114300" distL="114300" distR="114300"/>
          <wp:docPr id="15543484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t="4536" b="4535"/>
                  <a:stretch>
                    <a:fillRect/>
                  </a:stretch>
                </pic:blipFill>
                <pic:spPr>
                  <a:xfrm>
                    <a:off x="0" y="0"/>
                    <a:ext cx="721995" cy="25527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6DC188" w14:textId="77777777" w:rsidR="004B03B0" w:rsidRDefault="004B03B0">
      <w:pPr>
        <w:spacing w:after="0" w:line="240" w:lineRule="auto"/>
      </w:pPr>
      <w:r>
        <w:separator/>
      </w:r>
    </w:p>
  </w:footnote>
  <w:footnote w:type="continuationSeparator" w:id="0">
    <w:p w14:paraId="148ED1D7" w14:textId="77777777" w:rsidR="004B03B0" w:rsidRDefault="004B03B0">
      <w:pPr>
        <w:spacing w:after="0" w:line="240" w:lineRule="auto"/>
      </w:pPr>
      <w:r>
        <w:continuationSeparator/>
      </w:r>
    </w:p>
  </w:footnote>
  <w:footnote w:id="1">
    <w:p w14:paraId="427E270C" w14:textId="348966A4" w:rsidR="002D62A7" w:rsidRDefault="004B03B0">
      <w:pPr>
        <w:pBdr>
          <w:top w:val="nil"/>
          <w:left w:val="nil"/>
          <w:bottom w:val="nil"/>
          <w:right w:val="nil"/>
          <w:between w:val="nil"/>
        </w:pBdr>
        <w:spacing w:after="0" w:line="240" w:lineRule="auto"/>
        <w:jc w:val="both"/>
        <w:rPr>
          <w:color w:val="000000"/>
          <w:sz w:val="20"/>
          <w:szCs w:val="20"/>
        </w:rPr>
      </w:pPr>
      <w:r>
        <w:rPr>
          <w:rStyle w:val="FootnoteReference"/>
        </w:rPr>
        <w:footnoteRef/>
      </w:r>
      <w:r>
        <w:rPr>
          <w:color w:val="000000"/>
          <w:sz w:val="20"/>
          <w:szCs w:val="20"/>
        </w:rPr>
        <w:t xml:space="preserve"> UN Committee on Economic, Social and Cultural Rights (CESCR), Climate Change and the International Covenant on Economic, Social, and Cultural Rights, Statement of the Committee on Economic, Social and Cultural Rights, 2018, paras. 5 and </w:t>
      </w:r>
      <w:proofErr w:type="gramStart"/>
      <w:r>
        <w:rPr>
          <w:color w:val="000000"/>
          <w:sz w:val="20"/>
          <w:szCs w:val="20"/>
        </w:rPr>
        <w:t>6.Last</w:t>
      </w:r>
      <w:proofErr w:type="gramEnd"/>
      <w:r>
        <w:rPr>
          <w:color w:val="000000"/>
          <w:sz w:val="20"/>
          <w:szCs w:val="20"/>
        </w:rPr>
        <w:t xml:space="preserve"> accessed 28 July 2022</w:t>
      </w:r>
      <w:r w:rsidR="000314FD">
        <w:rPr>
          <w:color w:val="000000"/>
          <w:sz w:val="20"/>
          <w:szCs w:val="20"/>
        </w:rPr>
        <w:t>. A</w:t>
      </w:r>
      <w:r>
        <w:rPr>
          <w:color w:val="000000"/>
          <w:sz w:val="20"/>
          <w:szCs w:val="20"/>
        </w:rPr>
        <w:t xml:space="preserve">vailable at: </w:t>
      </w:r>
      <w:hyperlink r:id="rId1">
        <w:r>
          <w:rPr>
            <w:color w:val="0563C1"/>
            <w:sz w:val="20"/>
            <w:szCs w:val="20"/>
            <w:u w:val="single"/>
          </w:rPr>
          <w:t>https://www.ohchr.org/en/statements/2018/10/committee-releases-statement-climate-change-and-covenant</w:t>
        </w:r>
      </w:hyperlink>
      <w:r>
        <w:rPr>
          <w:color w:val="000000"/>
          <w:sz w:val="20"/>
          <w:szCs w:val="20"/>
        </w:rPr>
        <w:t xml:space="preserve"> </w:t>
      </w:r>
    </w:p>
  </w:footnote>
  <w:footnote w:id="2">
    <w:p w14:paraId="7CACBD0A" w14:textId="77777777" w:rsidR="002D62A7" w:rsidRDefault="004B03B0">
      <w:pPr>
        <w:pBdr>
          <w:top w:val="nil"/>
          <w:left w:val="nil"/>
          <w:bottom w:val="nil"/>
          <w:right w:val="nil"/>
          <w:between w:val="nil"/>
        </w:pBdr>
        <w:spacing w:after="0" w:line="240" w:lineRule="auto"/>
        <w:jc w:val="both"/>
        <w:rPr>
          <w:color w:val="000000"/>
          <w:sz w:val="20"/>
          <w:szCs w:val="20"/>
        </w:rPr>
      </w:pPr>
      <w:r>
        <w:rPr>
          <w:rStyle w:val="FootnoteReference"/>
        </w:rPr>
        <w:footnoteRef/>
      </w:r>
      <w:r>
        <w:rPr>
          <w:color w:val="000000"/>
          <w:sz w:val="20"/>
          <w:szCs w:val="20"/>
        </w:rPr>
        <w:t xml:space="preserve"> Ibid.</w:t>
      </w:r>
    </w:p>
  </w:footnote>
  <w:footnote w:id="3">
    <w:p w14:paraId="09DD25FE" w14:textId="77777777" w:rsidR="002D62A7" w:rsidRDefault="004B03B0">
      <w:pPr>
        <w:pBdr>
          <w:top w:val="nil"/>
          <w:left w:val="nil"/>
          <w:bottom w:val="nil"/>
          <w:right w:val="nil"/>
          <w:between w:val="nil"/>
        </w:pBdr>
        <w:spacing w:after="0" w:line="240" w:lineRule="auto"/>
        <w:jc w:val="both"/>
        <w:rPr>
          <w:color w:val="000000"/>
          <w:sz w:val="20"/>
          <w:szCs w:val="20"/>
        </w:rPr>
      </w:pPr>
      <w:r>
        <w:rPr>
          <w:rStyle w:val="FootnoteReference"/>
        </w:rPr>
        <w:footnoteRef/>
      </w:r>
      <w:r>
        <w:rPr>
          <w:color w:val="000000"/>
          <w:sz w:val="20"/>
          <w:szCs w:val="20"/>
        </w:rPr>
        <w:t xml:space="preserve"> Ibid. para. 8.</w:t>
      </w:r>
    </w:p>
  </w:footnote>
  <w:footnote w:id="4">
    <w:p w14:paraId="04073068" w14:textId="77777777" w:rsidR="002D62A7" w:rsidRDefault="004B03B0">
      <w:pPr>
        <w:pBdr>
          <w:top w:val="nil"/>
          <w:left w:val="nil"/>
          <w:bottom w:val="nil"/>
          <w:right w:val="nil"/>
          <w:between w:val="nil"/>
        </w:pBdr>
        <w:spacing w:after="0" w:line="240" w:lineRule="auto"/>
        <w:jc w:val="both"/>
        <w:rPr>
          <w:color w:val="000000"/>
          <w:sz w:val="20"/>
          <w:szCs w:val="20"/>
        </w:rPr>
      </w:pPr>
      <w:r>
        <w:rPr>
          <w:rStyle w:val="FootnoteReference"/>
        </w:rPr>
        <w:footnoteRef/>
      </w:r>
      <w:r>
        <w:rPr>
          <w:color w:val="000000"/>
          <w:sz w:val="20"/>
          <w:szCs w:val="20"/>
        </w:rPr>
        <w:t xml:space="preserve"> Ibid.</w:t>
      </w:r>
    </w:p>
  </w:footnote>
  <w:footnote w:id="5">
    <w:p w14:paraId="22D8C2ED" w14:textId="77777777" w:rsidR="002D62A7" w:rsidRDefault="004B03B0">
      <w:pPr>
        <w:pBdr>
          <w:top w:val="nil"/>
          <w:left w:val="nil"/>
          <w:bottom w:val="nil"/>
          <w:right w:val="nil"/>
          <w:between w:val="nil"/>
        </w:pBdr>
        <w:spacing w:after="0" w:line="240" w:lineRule="auto"/>
        <w:jc w:val="both"/>
        <w:rPr>
          <w:color w:val="000000"/>
          <w:sz w:val="20"/>
          <w:szCs w:val="20"/>
        </w:rPr>
      </w:pPr>
      <w:r>
        <w:rPr>
          <w:rStyle w:val="FootnoteReference"/>
        </w:rPr>
        <w:footnoteRef/>
      </w:r>
      <w:r>
        <w:rPr>
          <w:color w:val="000000"/>
          <w:sz w:val="20"/>
          <w:szCs w:val="20"/>
        </w:rPr>
        <w:t xml:space="preserve"> United Nations Office of the High Commissioner on Human Rights (OHCHR), Frequently Asked Questions on Human Rights and Climate Change, Fact Sheet No. 38, 2021, pag.32.</w:t>
      </w:r>
    </w:p>
  </w:footnote>
  <w:footnote w:id="6">
    <w:p w14:paraId="70BAB9F6" w14:textId="6C3CF7A8" w:rsidR="002D62A7" w:rsidRDefault="004B03B0">
      <w:pPr>
        <w:spacing w:after="0" w:line="240" w:lineRule="auto"/>
        <w:jc w:val="both"/>
        <w:rPr>
          <w:color w:val="111111"/>
          <w:sz w:val="20"/>
          <w:szCs w:val="20"/>
        </w:rPr>
      </w:pPr>
      <w:r>
        <w:rPr>
          <w:rStyle w:val="FootnoteReference"/>
        </w:rPr>
        <w:footnoteRef/>
      </w:r>
      <w:r>
        <w:rPr>
          <w:sz w:val="20"/>
          <w:szCs w:val="20"/>
        </w:rPr>
        <w:t xml:space="preserve"> CESCR, General comment No. 24 on State obligations under the International Covenant on Economic, Social and Cultural Rights in the context of business activities, E/C.12/GC/24, 2017</w:t>
      </w:r>
      <w:r w:rsidR="000314FD">
        <w:rPr>
          <w:sz w:val="20"/>
          <w:szCs w:val="20"/>
        </w:rPr>
        <w:t>.L</w:t>
      </w:r>
      <w:r>
        <w:rPr>
          <w:sz w:val="20"/>
          <w:szCs w:val="20"/>
        </w:rPr>
        <w:t xml:space="preserve">ast accessed 28 July 2023, </w:t>
      </w:r>
      <w:r w:rsidR="000314FD">
        <w:rPr>
          <w:sz w:val="20"/>
          <w:szCs w:val="20"/>
        </w:rPr>
        <w:t>A</w:t>
      </w:r>
      <w:r>
        <w:rPr>
          <w:sz w:val="20"/>
          <w:szCs w:val="20"/>
        </w:rPr>
        <w:t xml:space="preserve">vailable at: </w:t>
      </w:r>
      <w:hyperlink r:id="rId2">
        <w:r>
          <w:rPr>
            <w:color w:val="0563C1"/>
            <w:sz w:val="20"/>
            <w:szCs w:val="20"/>
            <w:u w:val="single"/>
          </w:rPr>
          <w:t>https://tbinternet.ohchr.org/_layouts/15/treatybodyexternal/Download.aspx?symbolno=E%2FC.12%2F2002%2F11&amp;Lang=en</w:t>
        </w:r>
      </w:hyperlink>
      <w:r>
        <w:rPr>
          <w:sz w:val="20"/>
          <w:szCs w:val="20"/>
        </w:rPr>
        <w:t xml:space="preserve"> </w:t>
      </w:r>
    </w:p>
  </w:footnote>
  <w:footnote w:id="7">
    <w:p w14:paraId="467D1797" w14:textId="57805A09" w:rsidR="002D62A7" w:rsidRDefault="004B03B0">
      <w:pPr>
        <w:pBdr>
          <w:top w:val="nil"/>
          <w:left w:val="nil"/>
          <w:bottom w:val="nil"/>
          <w:right w:val="nil"/>
          <w:between w:val="nil"/>
        </w:pBdr>
        <w:spacing w:after="0" w:line="240" w:lineRule="auto"/>
        <w:jc w:val="both"/>
        <w:rPr>
          <w:color w:val="000000"/>
          <w:sz w:val="20"/>
          <w:szCs w:val="20"/>
        </w:rPr>
      </w:pPr>
      <w:r>
        <w:rPr>
          <w:rStyle w:val="FootnoteReference"/>
        </w:rPr>
        <w:footnoteRef/>
      </w:r>
      <w:r>
        <w:rPr>
          <w:color w:val="000000"/>
          <w:sz w:val="20"/>
          <w:szCs w:val="20"/>
        </w:rPr>
        <w:t xml:space="preserve"> Working Group on the issue of human rights and transnational corporations and other business enterprises, Information Note on Climate Change and the Guiding Principles on Business and Human Rights, 2023</w:t>
      </w:r>
      <w:r w:rsidR="00C051D1">
        <w:rPr>
          <w:color w:val="000000"/>
          <w:sz w:val="20"/>
          <w:szCs w:val="20"/>
        </w:rPr>
        <w:t>, l</w:t>
      </w:r>
      <w:r>
        <w:rPr>
          <w:color w:val="000000"/>
          <w:sz w:val="20"/>
          <w:szCs w:val="20"/>
        </w:rPr>
        <w:t>ast accessed 28 July 2023</w:t>
      </w:r>
      <w:r w:rsidR="000314FD">
        <w:rPr>
          <w:color w:val="000000"/>
          <w:sz w:val="20"/>
          <w:szCs w:val="20"/>
        </w:rPr>
        <w:t>. A</w:t>
      </w:r>
      <w:r>
        <w:rPr>
          <w:color w:val="000000"/>
          <w:sz w:val="20"/>
          <w:szCs w:val="20"/>
        </w:rPr>
        <w:t xml:space="preserve">vailable at: </w:t>
      </w:r>
      <w:hyperlink r:id="rId3">
        <w:r>
          <w:rPr>
            <w:color w:val="0563C1"/>
            <w:sz w:val="20"/>
            <w:szCs w:val="20"/>
            <w:u w:val="single"/>
          </w:rPr>
          <w:t>https://www.ohchr.org/en/special-procedures/wg-business/climate-change-and-ungps</w:t>
        </w:r>
      </w:hyperlink>
      <w:r>
        <w:rPr>
          <w:color w:val="000000"/>
          <w:sz w:val="20"/>
          <w:szCs w:val="20"/>
        </w:rPr>
        <w:t xml:space="preserve"> </w:t>
      </w:r>
    </w:p>
  </w:footnote>
  <w:footnote w:id="8">
    <w:p w14:paraId="47FED432" w14:textId="77777777" w:rsidR="002D62A7" w:rsidRPr="002421EC" w:rsidRDefault="004B03B0">
      <w:pPr>
        <w:pBdr>
          <w:top w:val="nil"/>
          <w:left w:val="nil"/>
          <w:bottom w:val="nil"/>
          <w:right w:val="nil"/>
          <w:between w:val="nil"/>
        </w:pBdr>
        <w:spacing w:after="0" w:line="240" w:lineRule="auto"/>
        <w:jc w:val="both"/>
        <w:rPr>
          <w:color w:val="000000"/>
          <w:sz w:val="20"/>
          <w:szCs w:val="20"/>
          <w:lang w:val="es-419"/>
        </w:rPr>
      </w:pPr>
      <w:r>
        <w:rPr>
          <w:rStyle w:val="FootnoteReference"/>
        </w:rPr>
        <w:footnoteRef/>
      </w:r>
      <w:r w:rsidRPr="002421EC">
        <w:rPr>
          <w:color w:val="000000"/>
          <w:sz w:val="20"/>
          <w:szCs w:val="20"/>
          <w:lang w:val="es-419"/>
        </w:rPr>
        <w:t>Ibid. para.8 (g).</w:t>
      </w:r>
    </w:p>
  </w:footnote>
  <w:footnote w:id="9">
    <w:p w14:paraId="161F61ED" w14:textId="77777777" w:rsidR="002D62A7" w:rsidRPr="002421EC" w:rsidRDefault="004B03B0">
      <w:pPr>
        <w:pBdr>
          <w:top w:val="nil"/>
          <w:left w:val="nil"/>
          <w:bottom w:val="nil"/>
          <w:right w:val="nil"/>
          <w:between w:val="nil"/>
        </w:pBdr>
        <w:spacing w:after="0" w:line="240" w:lineRule="auto"/>
        <w:jc w:val="both"/>
        <w:rPr>
          <w:color w:val="000000"/>
          <w:sz w:val="20"/>
          <w:szCs w:val="20"/>
          <w:lang w:val="es-419"/>
        </w:rPr>
      </w:pPr>
      <w:r>
        <w:rPr>
          <w:rStyle w:val="FootnoteReference"/>
        </w:rPr>
        <w:footnoteRef/>
      </w:r>
      <w:r w:rsidRPr="002421EC">
        <w:rPr>
          <w:color w:val="000000"/>
          <w:sz w:val="20"/>
          <w:szCs w:val="20"/>
          <w:lang w:val="es-419"/>
        </w:rPr>
        <w:t>Ibid. paras.17 (a) and (c).</w:t>
      </w:r>
    </w:p>
  </w:footnote>
  <w:footnote w:id="10">
    <w:p w14:paraId="4CFC79D1" w14:textId="77777777" w:rsidR="002D62A7" w:rsidRDefault="004B03B0">
      <w:pPr>
        <w:pBdr>
          <w:top w:val="nil"/>
          <w:left w:val="nil"/>
          <w:bottom w:val="nil"/>
          <w:right w:val="nil"/>
          <w:between w:val="nil"/>
        </w:pBdr>
        <w:spacing w:after="0" w:line="240" w:lineRule="auto"/>
        <w:jc w:val="both"/>
        <w:rPr>
          <w:color w:val="000000"/>
          <w:sz w:val="20"/>
          <w:szCs w:val="20"/>
        </w:rPr>
      </w:pPr>
      <w:r>
        <w:rPr>
          <w:rStyle w:val="FootnoteReference"/>
        </w:rPr>
        <w:footnoteRef/>
      </w:r>
      <w:r>
        <w:rPr>
          <w:color w:val="000000"/>
          <w:sz w:val="20"/>
          <w:szCs w:val="20"/>
        </w:rPr>
        <w:t>Ibid. para. 19 (d).</w:t>
      </w:r>
    </w:p>
  </w:footnote>
  <w:footnote w:id="11">
    <w:p w14:paraId="0CDA3406" w14:textId="77777777" w:rsidR="002D62A7" w:rsidRDefault="004B03B0">
      <w:pPr>
        <w:spacing w:after="0" w:line="240" w:lineRule="auto"/>
        <w:jc w:val="both"/>
        <w:rPr>
          <w:color w:val="111111"/>
          <w:sz w:val="20"/>
          <w:szCs w:val="20"/>
        </w:rPr>
      </w:pPr>
      <w:r>
        <w:rPr>
          <w:rStyle w:val="FootnoteReference"/>
        </w:rPr>
        <w:footnoteRef/>
      </w:r>
      <w:r>
        <w:rPr>
          <w:sz w:val="20"/>
          <w:szCs w:val="20"/>
        </w:rPr>
        <w:t xml:space="preserve"> CESCR, General comment No. 26 on land and economic, </w:t>
      </w:r>
      <w:proofErr w:type="gramStart"/>
      <w:r>
        <w:rPr>
          <w:sz w:val="20"/>
          <w:szCs w:val="20"/>
        </w:rPr>
        <w:t>social</w:t>
      </w:r>
      <w:proofErr w:type="gramEnd"/>
      <w:r>
        <w:rPr>
          <w:sz w:val="20"/>
          <w:szCs w:val="20"/>
        </w:rPr>
        <w:t xml:space="preserve"> and cultural rights, E/C.12/GC/26, (2022), para. 2 (e), last accessed 28 July 2023, available at: </w:t>
      </w:r>
      <w:hyperlink r:id="rId4">
        <w:r>
          <w:rPr>
            <w:color w:val="0563C1"/>
            <w:sz w:val="20"/>
            <w:szCs w:val="20"/>
            <w:u w:val="single"/>
          </w:rPr>
          <w:t>https://tbinternet.ohchr.org/_layouts/15/treatybodyexternal/Download.aspx?symbolno=E%2FC.12%2FGC%2F26&amp;Lang=en</w:t>
        </w:r>
      </w:hyperlink>
      <w:r>
        <w:rPr>
          <w:sz w:val="20"/>
          <w:szCs w:val="20"/>
        </w:rPr>
        <w:t xml:space="preserve"> ; Also see: CESCR, Concluding observations on the seventh periodic report of Finland, E/C.12/FIN/CO/7, (2021), para.50; CESCR, Concluding observations on the combined fifth and sixth periodic reports of Mexico, E/C.12/MEX/CO/5-6, 2018, para.12; CESCR, Concluding observations on the sixth periodic report of Colombia, E/C.12/COL/CO/, 2017, para. 16.</w:t>
      </w:r>
    </w:p>
    <w:bookmarkStart w:id="0" w:name="_heading=h.gjdgxs" w:colFirst="0" w:colLast="0"/>
    <w:bookmarkEnd w:id="0"/>
  </w:footnote>
  <w:footnote w:id="12">
    <w:p w14:paraId="2A0A8FA4" w14:textId="77777777" w:rsidR="002D62A7" w:rsidRDefault="004B03B0">
      <w:pPr>
        <w:spacing w:after="0" w:line="240" w:lineRule="auto"/>
        <w:jc w:val="both"/>
        <w:rPr>
          <w:sz w:val="20"/>
          <w:szCs w:val="20"/>
        </w:rPr>
      </w:pPr>
      <w:bookmarkStart w:id="1" w:name="_heading=h.gjdgxs" w:colFirst="0" w:colLast="0"/>
      <w:bookmarkEnd w:id="1"/>
      <w:r>
        <w:rPr>
          <w:rStyle w:val="FootnoteReference"/>
        </w:rPr>
        <w:footnoteRef/>
      </w:r>
      <w:r>
        <w:rPr>
          <w:sz w:val="20"/>
          <w:szCs w:val="20"/>
        </w:rPr>
        <w:t xml:space="preserve"> CESCR, General comment No. 4:  The right to adequate housing (art. 11 (1) of the Covenant), 1991, para.7 (b).</w:t>
      </w:r>
    </w:p>
  </w:footnote>
  <w:footnote w:id="13">
    <w:p w14:paraId="723548AA" w14:textId="77777777" w:rsidR="002D62A7" w:rsidRDefault="004B03B0">
      <w:pPr>
        <w:pBdr>
          <w:top w:val="nil"/>
          <w:left w:val="nil"/>
          <w:bottom w:val="nil"/>
          <w:right w:val="nil"/>
          <w:between w:val="nil"/>
        </w:pBdr>
        <w:spacing w:after="0" w:line="240" w:lineRule="auto"/>
        <w:jc w:val="both"/>
        <w:rPr>
          <w:color w:val="000000"/>
          <w:sz w:val="20"/>
          <w:szCs w:val="20"/>
        </w:rPr>
      </w:pPr>
      <w:r>
        <w:rPr>
          <w:rStyle w:val="FootnoteReference"/>
        </w:rPr>
        <w:footnoteRef/>
      </w:r>
      <w:r>
        <w:rPr>
          <w:color w:val="000000"/>
          <w:sz w:val="20"/>
          <w:szCs w:val="20"/>
        </w:rPr>
        <w:t xml:space="preserve"> </w:t>
      </w:r>
      <w:r>
        <w:rPr>
          <w:color w:val="1C1D1E"/>
          <w:sz w:val="20"/>
          <w:szCs w:val="20"/>
          <w:highlight w:val="white"/>
        </w:rPr>
        <w:t xml:space="preserve">Wewerinke-Singh, M. A human rights approach to energy: Realizing the rights of billions within ecological limits. </w:t>
      </w:r>
      <w:r>
        <w:rPr>
          <w:i/>
          <w:color w:val="1C1D1E"/>
          <w:sz w:val="20"/>
          <w:szCs w:val="20"/>
          <w:highlight w:val="white"/>
        </w:rPr>
        <w:t>RECIEL</w:t>
      </w:r>
      <w:r>
        <w:rPr>
          <w:color w:val="1C1D1E"/>
          <w:sz w:val="20"/>
          <w:szCs w:val="20"/>
          <w:highlight w:val="white"/>
        </w:rPr>
        <w:t>.2022; 31(1):16-26.</w:t>
      </w:r>
      <w:hyperlink r:id="rId5">
        <w:r>
          <w:rPr>
            <w:color w:val="0563C1"/>
            <w:sz w:val="20"/>
            <w:szCs w:val="20"/>
            <w:highlight w:val="white"/>
            <w:u w:val="single"/>
          </w:rPr>
          <w:t>https://doi.org/10.1111/reel.12412</w:t>
        </w:r>
      </w:hyperlink>
    </w:p>
  </w:footnote>
  <w:footnote w:id="14">
    <w:p w14:paraId="0131838B" w14:textId="77777777" w:rsidR="002D62A7" w:rsidRDefault="004B03B0">
      <w:pPr>
        <w:pBdr>
          <w:top w:val="nil"/>
          <w:left w:val="nil"/>
          <w:bottom w:val="nil"/>
          <w:right w:val="nil"/>
          <w:between w:val="nil"/>
        </w:pBdr>
        <w:spacing w:after="0" w:line="240" w:lineRule="auto"/>
        <w:jc w:val="both"/>
        <w:rPr>
          <w:color w:val="000000"/>
          <w:sz w:val="20"/>
          <w:szCs w:val="20"/>
        </w:rPr>
      </w:pPr>
      <w:r>
        <w:rPr>
          <w:rStyle w:val="FootnoteReference"/>
        </w:rPr>
        <w:footnoteRef/>
      </w:r>
      <w:r>
        <w:rPr>
          <w:color w:val="000000"/>
          <w:sz w:val="20"/>
          <w:szCs w:val="20"/>
        </w:rPr>
        <w:t xml:space="preserve"> International Covenant on Economic, Social and Cultural Rights (ICESCR), Articles 2 and 3.</w:t>
      </w:r>
    </w:p>
  </w:footnote>
  <w:footnote w:id="15">
    <w:p w14:paraId="6390209E" w14:textId="1528A8AC" w:rsidR="002D62A7" w:rsidRPr="002421EC" w:rsidRDefault="004B03B0">
      <w:pPr>
        <w:pBdr>
          <w:top w:val="nil"/>
          <w:left w:val="nil"/>
          <w:bottom w:val="nil"/>
          <w:right w:val="nil"/>
          <w:between w:val="nil"/>
        </w:pBdr>
        <w:spacing w:after="0" w:line="240" w:lineRule="auto"/>
        <w:jc w:val="both"/>
        <w:rPr>
          <w:color w:val="000000"/>
          <w:sz w:val="20"/>
          <w:szCs w:val="20"/>
          <w:lang w:val="es-419"/>
        </w:rPr>
      </w:pPr>
      <w:r>
        <w:rPr>
          <w:rStyle w:val="FootnoteReference"/>
        </w:rPr>
        <w:footnoteRef/>
      </w:r>
      <w:r w:rsidRPr="002421EC">
        <w:rPr>
          <w:color w:val="000000"/>
          <w:sz w:val="20"/>
          <w:szCs w:val="20"/>
          <w:lang w:val="es-419"/>
        </w:rPr>
        <w:t xml:space="preserve"> ICESCR, art. 2.1. </w:t>
      </w:r>
    </w:p>
  </w:footnote>
  <w:footnote w:id="16">
    <w:p w14:paraId="2B404549" w14:textId="5E809A10" w:rsidR="002D62A7" w:rsidRDefault="004B03B0">
      <w:pPr>
        <w:pBdr>
          <w:top w:val="nil"/>
          <w:left w:val="nil"/>
          <w:bottom w:val="nil"/>
          <w:right w:val="nil"/>
          <w:between w:val="nil"/>
        </w:pBdr>
        <w:spacing w:after="0" w:line="240" w:lineRule="auto"/>
        <w:jc w:val="both"/>
        <w:rPr>
          <w:color w:val="000000"/>
          <w:sz w:val="20"/>
          <w:szCs w:val="20"/>
        </w:rPr>
      </w:pPr>
      <w:r>
        <w:rPr>
          <w:rStyle w:val="FootnoteReference"/>
        </w:rPr>
        <w:footnoteRef/>
      </w:r>
      <w:r w:rsidRPr="002421EC">
        <w:rPr>
          <w:color w:val="000000"/>
          <w:sz w:val="20"/>
          <w:szCs w:val="20"/>
          <w:lang w:val="es-419"/>
        </w:rPr>
        <w:t xml:space="preserve">Ministerio de Minas y </w:t>
      </w:r>
      <w:proofErr w:type="spellStart"/>
      <w:r w:rsidRPr="002421EC">
        <w:rPr>
          <w:color w:val="000000"/>
          <w:sz w:val="20"/>
          <w:szCs w:val="20"/>
          <w:lang w:val="es-419"/>
        </w:rPr>
        <w:t>Energias</w:t>
      </w:r>
      <w:proofErr w:type="spellEnd"/>
      <w:r w:rsidRPr="002421EC">
        <w:rPr>
          <w:color w:val="000000"/>
          <w:sz w:val="20"/>
          <w:szCs w:val="20"/>
          <w:lang w:val="es-419"/>
        </w:rPr>
        <w:t xml:space="preserve"> del Gobierno de Colombia, Diálogo Social para Definir una Hoja de Ruta para una Transición Energética Justa en Colombia, 2022, p. 10</w:t>
      </w:r>
      <w:r w:rsidR="00EF3893">
        <w:rPr>
          <w:color w:val="000000"/>
          <w:sz w:val="20"/>
          <w:szCs w:val="20"/>
          <w:lang w:val="es-419"/>
        </w:rPr>
        <w:t>.</w:t>
      </w:r>
      <w:r w:rsidRPr="002421EC">
        <w:rPr>
          <w:color w:val="000000"/>
          <w:sz w:val="20"/>
          <w:szCs w:val="20"/>
          <w:lang w:val="es-419"/>
        </w:rPr>
        <w:t xml:space="preserve"> </w:t>
      </w:r>
      <w:r w:rsidR="00EF3893" w:rsidRPr="005E733A">
        <w:rPr>
          <w:color w:val="000000"/>
          <w:sz w:val="20"/>
          <w:szCs w:val="20"/>
        </w:rPr>
        <w:t>L</w:t>
      </w:r>
      <w:r w:rsidRPr="005E733A">
        <w:rPr>
          <w:color w:val="000000"/>
          <w:sz w:val="20"/>
          <w:szCs w:val="20"/>
        </w:rPr>
        <w:t>ast accessed 31 July 2023</w:t>
      </w:r>
      <w:r w:rsidR="00741B52" w:rsidRPr="005E733A">
        <w:rPr>
          <w:color w:val="000000"/>
          <w:sz w:val="20"/>
          <w:szCs w:val="20"/>
        </w:rPr>
        <w:t xml:space="preserve">. </w:t>
      </w:r>
      <w:proofErr w:type="spellStart"/>
      <w:r w:rsidR="00741B52" w:rsidRPr="00EC7CB1">
        <w:rPr>
          <w:color w:val="000000"/>
          <w:sz w:val="20"/>
          <w:szCs w:val="20"/>
        </w:rPr>
        <w:t>A</w:t>
      </w:r>
      <w:r w:rsidRPr="00EC7CB1">
        <w:rPr>
          <w:color w:val="000000"/>
          <w:sz w:val="20"/>
          <w:szCs w:val="20"/>
        </w:rPr>
        <w:t>vilable</w:t>
      </w:r>
      <w:proofErr w:type="spellEnd"/>
      <w:r w:rsidRPr="00EC7CB1">
        <w:rPr>
          <w:color w:val="000000"/>
          <w:sz w:val="20"/>
          <w:szCs w:val="20"/>
        </w:rPr>
        <w:t xml:space="preserve"> at: </w:t>
      </w:r>
      <w:hyperlink r:id="rId6">
        <w:r>
          <w:rPr>
            <w:color w:val="0563C1"/>
            <w:sz w:val="20"/>
            <w:szCs w:val="20"/>
            <w:u w:val="single"/>
          </w:rPr>
          <w:t>https://bit.ly/HojaRutaTransicionEnergeticaJustaCO</w:t>
        </w:r>
      </w:hyperlink>
      <w:r>
        <w:rPr>
          <w:color w:val="000000"/>
          <w:sz w:val="20"/>
          <w:szCs w:val="20"/>
        </w:rPr>
        <w:t xml:space="preserve"> </w:t>
      </w:r>
    </w:p>
  </w:footnote>
  <w:footnote w:id="17">
    <w:p w14:paraId="5BAED86F" w14:textId="77777777" w:rsidR="002D62A7" w:rsidRDefault="004B03B0">
      <w:pPr>
        <w:pBdr>
          <w:top w:val="nil"/>
          <w:left w:val="nil"/>
          <w:bottom w:val="nil"/>
          <w:right w:val="nil"/>
          <w:between w:val="nil"/>
        </w:pBdr>
        <w:spacing w:after="0" w:line="240" w:lineRule="auto"/>
        <w:jc w:val="both"/>
        <w:rPr>
          <w:color w:val="000000"/>
          <w:sz w:val="20"/>
          <w:szCs w:val="20"/>
        </w:rPr>
      </w:pPr>
      <w:r>
        <w:rPr>
          <w:rStyle w:val="FootnoteReference"/>
        </w:rPr>
        <w:footnoteRef/>
      </w:r>
      <w:r>
        <w:rPr>
          <w:color w:val="000000"/>
          <w:sz w:val="20"/>
          <w:szCs w:val="20"/>
        </w:rPr>
        <w:t xml:space="preserve"> Ibid.</w:t>
      </w:r>
    </w:p>
  </w:footnote>
  <w:footnote w:id="18">
    <w:p w14:paraId="5DB20F23" w14:textId="36EB0A68" w:rsidR="002D62A7" w:rsidRDefault="004B03B0">
      <w:pPr>
        <w:pBdr>
          <w:top w:val="nil"/>
          <w:left w:val="nil"/>
          <w:bottom w:val="nil"/>
          <w:right w:val="nil"/>
          <w:between w:val="nil"/>
        </w:pBdr>
        <w:spacing w:after="0" w:line="240" w:lineRule="auto"/>
        <w:jc w:val="both"/>
        <w:rPr>
          <w:color w:val="000000"/>
          <w:sz w:val="20"/>
          <w:szCs w:val="20"/>
        </w:rPr>
      </w:pPr>
      <w:r>
        <w:rPr>
          <w:rStyle w:val="FootnoteReference"/>
        </w:rPr>
        <w:footnoteRef/>
      </w:r>
      <w:proofErr w:type="spellStart"/>
      <w:r>
        <w:rPr>
          <w:color w:val="000000"/>
          <w:sz w:val="20"/>
          <w:szCs w:val="20"/>
        </w:rPr>
        <w:t>Strambo</w:t>
      </w:r>
      <w:proofErr w:type="spellEnd"/>
      <w:r>
        <w:rPr>
          <w:color w:val="000000"/>
          <w:sz w:val="20"/>
          <w:szCs w:val="20"/>
        </w:rPr>
        <w:t xml:space="preserve">, Claudia and Atteridge, Aaron, </w:t>
      </w:r>
      <w:proofErr w:type="gramStart"/>
      <w:r>
        <w:rPr>
          <w:color w:val="000000"/>
          <w:sz w:val="20"/>
          <w:szCs w:val="20"/>
        </w:rPr>
        <w:t>How</w:t>
      </w:r>
      <w:proofErr w:type="gramEnd"/>
      <w:r>
        <w:rPr>
          <w:color w:val="000000"/>
          <w:sz w:val="20"/>
          <w:szCs w:val="20"/>
        </w:rPr>
        <w:t xml:space="preserve"> can Colombia plan for a future without coal, Stockholm Environmental Institute, 2018, p. 2</w:t>
      </w:r>
      <w:r w:rsidR="00EF3893">
        <w:rPr>
          <w:color w:val="000000"/>
          <w:sz w:val="20"/>
          <w:szCs w:val="20"/>
        </w:rPr>
        <w:t>. L</w:t>
      </w:r>
      <w:r>
        <w:rPr>
          <w:color w:val="000000"/>
          <w:sz w:val="20"/>
          <w:szCs w:val="20"/>
        </w:rPr>
        <w:t>ast accessed 31 July 2023</w:t>
      </w:r>
      <w:r w:rsidR="00741B52">
        <w:rPr>
          <w:color w:val="000000"/>
          <w:sz w:val="20"/>
          <w:szCs w:val="20"/>
        </w:rPr>
        <w:t xml:space="preserve">. </w:t>
      </w:r>
      <w:r>
        <w:rPr>
          <w:color w:val="000000"/>
          <w:sz w:val="20"/>
          <w:szCs w:val="20"/>
        </w:rPr>
        <w:t xml:space="preserve"> </w:t>
      </w:r>
      <w:r w:rsidR="00741B52">
        <w:rPr>
          <w:color w:val="000000"/>
          <w:sz w:val="20"/>
          <w:szCs w:val="20"/>
        </w:rPr>
        <w:t>A</w:t>
      </w:r>
      <w:r>
        <w:rPr>
          <w:color w:val="000000"/>
          <w:sz w:val="20"/>
          <w:szCs w:val="20"/>
        </w:rPr>
        <w:t xml:space="preserve">vailable at: </w:t>
      </w:r>
      <w:hyperlink r:id="rId7">
        <w:r>
          <w:rPr>
            <w:color w:val="0563C1"/>
            <w:sz w:val="20"/>
            <w:szCs w:val="20"/>
            <w:u w:val="single"/>
          </w:rPr>
          <w:t>https://www.sei.org/wp-content/uploads/2018/08/how-colombia-can-plan-for-a-future-without-coal.pdf</w:t>
        </w:r>
      </w:hyperlink>
      <w:r>
        <w:rPr>
          <w:color w:val="000000"/>
          <w:sz w:val="20"/>
          <w:szCs w:val="20"/>
        </w:rPr>
        <w:t xml:space="preserve"> </w:t>
      </w:r>
    </w:p>
  </w:footnote>
  <w:footnote w:id="19">
    <w:p w14:paraId="12FB9260" w14:textId="77777777" w:rsidR="002D62A7" w:rsidRDefault="004B03B0">
      <w:pPr>
        <w:pBdr>
          <w:top w:val="nil"/>
          <w:left w:val="nil"/>
          <w:bottom w:val="nil"/>
          <w:right w:val="nil"/>
          <w:between w:val="nil"/>
        </w:pBdr>
        <w:spacing w:after="0" w:line="240" w:lineRule="auto"/>
        <w:jc w:val="both"/>
        <w:rPr>
          <w:color w:val="000000"/>
          <w:sz w:val="20"/>
          <w:szCs w:val="20"/>
        </w:rPr>
      </w:pPr>
      <w:r>
        <w:rPr>
          <w:rStyle w:val="FootnoteReference"/>
        </w:rPr>
        <w:footnoteRef/>
      </w:r>
      <w:r>
        <w:rPr>
          <w:color w:val="000000"/>
          <w:sz w:val="20"/>
          <w:szCs w:val="20"/>
        </w:rPr>
        <w:t xml:space="preserve"> Ibid. </w:t>
      </w:r>
    </w:p>
  </w:footnote>
  <w:footnote w:id="20">
    <w:p w14:paraId="582B2C7D" w14:textId="0BBDCB0E" w:rsidR="002D62A7" w:rsidRDefault="004B03B0">
      <w:pPr>
        <w:pBdr>
          <w:top w:val="nil"/>
          <w:left w:val="nil"/>
          <w:bottom w:val="nil"/>
          <w:right w:val="nil"/>
          <w:between w:val="nil"/>
        </w:pBdr>
        <w:spacing w:after="0" w:line="240" w:lineRule="auto"/>
        <w:jc w:val="both"/>
        <w:rPr>
          <w:color w:val="000000"/>
          <w:sz w:val="20"/>
          <w:szCs w:val="20"/>
        </w:rPr>
      </w:pPr>
      <w:r>
        <w:rPr>
          <w:rStyle w:val="FootnoteReference"/>
        </w:rPr>
        <w:footnoteRef/>
      </w:r>
      <w:r>
        <w:rPr>
          <w:color w:val="000000"/>
          <w:sz w:val="20"/>
          <w:szCs w:val="20"/>
        </w:rPr>
        <w:t xml:space="preserve"> International Monetary Fund (IMF), Export Diversification in Colombia: A Way Forward and Implications for the Energy Transition, 2023, last accessed 1 August 2023</w:t>
      </w:r>
      <w:r w:rsidR="00EF3893">
        <w:rPr>
          <w:color w:val="000000"/>
          <w:sz w:val="20"/>
          <w:szCs w:val="20"/>
        </w:rPr>
        <w:t>. A</w:t>
      </w:r>
      <w:r>
        <w:rPr>
          <w:color w:val="000000"/>
          <w:sz w:val="20"/>
          <w:szCs w:val="20"/>
        </w:rPr>
        <w:t xml:space="preserve">vailable at: </w:t>
      </w:r>
      <w:hyperlink r:id="rId8" w:anchor=":~:text=Colombian%20commodity%20exports%20have%20been,points%20higher%20than%20in%202006">
        <w:r>
          <w:rPr>
            <w:color w:val="0563C1"/>
            <w:sz w:val="20"/>
            <w:szCs w:val="20"/>
            <w:u w:val="single"/>
          </w:rPr>
          <w:t>https://www.elibrary.imf.org/view/journals/002/2023/121/article-A003-en.xml#:~:text=Colombian%20commodity%20exports%20have%20been,points%20higher%20than%20in%202006</w:t>
        </w:r>
      </w:hyperlink>
      <w:r>
        <w:rPr>
          <w:color w:val="000000"/>
          <w:sz w:val="20"/>
          <w:szCs w:val="20"/>
        </w:rPr>
        <w:t xml:space="preserve">. </w:t>
      </w:r>
    </w:p>
  </w:footnote>
  <w:footnote w:id="21">
    <w:p w14:paraId="0B56996B" w14:textId="0646C3EE" w:rsidR="002D62A7" w:rsidRDefault="004B03B0">
      <w:pPr>
        <w:pBdr>
          <w:top w:val="nil"/>
          <w:left w:val="nil"/>
          <w:bottom w:val="nil"/>
          <w:right w:val="nil"/>
          <w:between w:val="nil"/>
        </w:pBdr>
        <w:spacing w:after="0" w:line="240" w:lineRule="auto"/>
        <w:jc w:val="both"/>
        <w:rPr>
          <w:color w:val="000000"/>
          <w:sz w:val="20"/>
          <w:szCs w:val="20"/>
        </w:rPr>
      </w:pPr>
      <w:r>
        <w:rPr>
          <w:rStyle w:val="FootnoteReference"/>
        </w:rPr>
        <w:footnoteRef/>
      </w:r>
      <w:r>
        <w:rPr>
          <w:color w:val="000000"/>
          <w:sz w:val="20"/>
          <w:szCs w:val="20"/>
        </w:rPr>
        <w:t xml:space="preserve"> Business and Human Rights Resource Centre, (IN) Justicia </w:t>
      </w:r>
      <w:proofErr w:type="spellStart"/>
      <w:r>
        <w:rPr>
          <w:color w:val="000000"/>
          <w:sz w:val="20"/>
          <w:szCs w:val="20"/>
        </w:rPr>
        <w:t>Energética</w:t>
      </w:r>
      <w:proofErr w:type="spellEnd"/>
      <w:r>
        <w:rPr>
          <w:color w:val="000000"/>
          <w:sz w:val="20"/>
          <w:szCs w:val="20"/>
        </w:rPr>
        <w:t xml:space="preserve"> </w:t>
      </w:r>
      <w:proofErr w:type="spellStart"/>
      <w:r>
        <w:rPr>
          <w:color w:val="000000"/>
          <w:sz w:val="20"/>
          <w:szCs w:val="20"/>
        </w:rPr>
        <w:t>en</w:t>
      </w:r>
      <w:proofErr w:type="spellEnd"/>
      <w:r>
        <w:rPr>
          <w:color w:val="000000"/>
          <w:sz w:val="20"/>
          <w:szCs w:val="20"/>
        </w:rPr>
        <w:t xml:space="preserve"> América Latina, 2021, p. 5, last accessed 1 August 2023</w:t>
      </w:r>
      <w:r w:rsidR="007F7C85">
        <w:rPr>
          <w:color w:val="000000"/>
          <w:sz w:val="20"/>
          <w:szCs w:val="20"/>
        </w:rPr>
        <w:t>.</w:t>
      </w:r>
      <w:r>
        <w:rPr>
          <w:color w:val="000000"/>
          <w:sz w:val="20"/>
          <w:szCs w:val="20"/>
        </w:rPr>
        <w:t xml:space="preserve"> </w:t>
      </w:r>
      <w:r w:rsidR="007F7C85">
        <w:rPr>
          <w:color w:val="000000"/>
          <w:sz w:val="20"/>
          <w:szCs w:val="20"/>
        </w:rPr>
        <w:t>A</w:t>
      </w:r>
      <w:r>
        <w:rPr>
          <w:color w:val="000000"/>
          <w:sz w:val="20"/>
          <w:szCs w:val="20"/>
        </w:rPr>
        <w:t xml:space="preserve">vailable at: </w:t>
      </w:r>
      <w:hyperlink r:id="rId9">
        <w:r>
          <w:rPr>
            <w:color w:val="0563C1"/>
            <w:sz w:val="20"/>
            <w:szCs w:val="20"/>
            <w:u w:val="single"/>
          </w:rPr>
          <w:t>https://media.business-humanrights.org/media/documents/reporte_RE_espanol04.08_BgB3kz3.pdf</w:t>
        </w:r>
      </w:hyperlink>
      <w:r>
        <w:rPr>
          <w:color w:val="000000"/>
          <w:sz w:val="20"/>
          <w:szCs w:val="20"/>
        </w:rPr>
        <w:t xml:space="preserve"> </w:t>
      </w:r>
    </w:p>
  </w:footnote>
  <w:footnote w:id="22">
    <w:p w14:paraId="144867D4" w14:textId="77777777" w:rsidR="002D62A7" w:rsidRDefault="004B03B0">
      <w:pPr>
        <w:pBdr>
          <w:top w:val="nil"/>
          <w:left w:val="nil"/>
          <w:bottom w:val="nil"/>
          <w:right w:val="nil"/>
          <w:between w:val="nil"/>
        </w:pBdr>
        <w:spacing w:after="0" w:line="240" w:lineRule="auto"/>
        <w:jc w:val="both"/>
        <w:rPr>
          <w:color w:val="000000"/>
          <w:sz w:val="20"/>
          <w:szCs w:val="20"/>
        </w:rPr>
      </w:pPr>
      <w:r>
        <w:rPr>
          <w:rStyle w:val="FootnoteReference"/>
        </w:rPr>
        <w:footnoteRef/>
      </w:r>
      <w:r>
        <w:rPr>
          <w:color w:val="000000"/>
          <w:sz w:val="20"/>
          <w:szCs w:val="20"/>
        </w:rPr>
        <w:t xml:space="preserve"> Ibid.</w:t>
      </w:r>
    </w:p>
  </w:footnote>
  <w:footnote w:id="23">
    <w:p w14:paraId="38C3EE35" w14:textId="4B308786" w:rsidR="002D62A7" w:rsidRDefault="004B03B0">
      <w:pPr>
        <w:pBdr>
          <w:top w:val="nil"/>
          <w:left w:val="nil"/>
          <w:bottom w:val="nil"/>
          <w:right w:val="nil"/>
          <w:between w:val="nil"/>
        </w:pBdr>
        <w:spacing w:after="0" w:line="240" w:lineRule="auto"/>
        <w:jc w:val="both"/>
        <w:rPr>
          <w:color w:val="000000"/>
          <w:sz w:val="20"/>
          <w:szCs w:val="20"/>
        </w:rPr>
      </w:pPr>
      <w:r>
        <w:rPr>
          <w:rStyle w:val="FootnoteReference"/>
        </w:rPr>
        <w:footnoteRef/>
      </w:r>
      <w:r>
        <w:rPr>
          <w:color w:val="000000"/>
          <w:sz w:val="20"/>
          <w:szCs w:val="20"/>
        </w:rPr>
        <w:t xml:space="preserve"> Vega Araújo, José and Mu</w:t>
      </w:r>
      <w:r w:rsidR="007F7C85" w:rsidRPr="00EC7CB1">
        <w:rPr>
          <w:color w:val="000000"/>
          <w:sz w:val="20"/>
          <w:szCs w:val="20"/>
        </w:rPr>
        <w:t>ñ</w:t>
      </w:r>
      <w:r>
        <w:rPr>
          <w:color w:val="000000"/>
          <w:sz w:val="20"/>
          <w:szCs w:val="20"/>
        </w:rPr>
        <w:t xml:space="preserve">oz </w:t>
      </w:r>
      <w:proofErr w:type="spellStart"/>
      <w:r>
        <w:rPr>
          <w:color w:val="000000"/>
          <w:sz w:val="20"/>
          <w:szCs w:val="20"/>
        </w:rPr>
        <w:t>Cabré</w:t>
      </w:r>
      <w:proofErr w:type="spellEnd"/>
      <w:r>
        <w:rPr>
          <w:color w:val="000000"/>
          <w:sz w:val="20"/>
          <w:szCs w:val="20"/>
        </w:rPr>
        <w:t>, Miquel, Solar and Wind Power in Colombia: 2022 Policy Overview, Stockholm Environment Institute in collaboration with the Natural Resource Governance Institute, last accessed 1 August 2023</w:t>
      </w:r>
      <w:r w:rsidR="007F7C85">
        <w:rPr>
          <w:color w:val="000000"/>
          <w:sz w:val="20"/>
          <w:szCs w:val="20"/>
        </w:rPr>
        <w:t xml:space="preserve">. </w:t>
      </w:r>
      <w:r>
        <w:rPr>
          <w:color w:val="000000"/>
          <w:sz w:val="20"/>
          <w:szCs w:val="20"/>
        </w:rPr>
        <w:t xml:space="preserve"> </w:t>
      </w:r>
      <w:r w:rsidR="007F7C85">
        <w:rPr>
          <w:color w:val="000000"/>
          <w:sz w:val="20"/>
          <w:szCs w:val="20"/>
        </w:rPr>
        <w:t>A</w:t>
      </w:r>
      <w:r>
        <w:rPr>
          <w:color w:val="000000"/>
          <w:sz w:val="20"/>
          <w:szCs w:val="20"/>
        </w:rPr>
        <w:t xml:space="preserve">vailable at: </w:t>
      </w:r>
      <w:hyperlink r:id="rId10">
        <w:r>
          <w:rPr>
            <w:color w:val="0563C1"/>
            <w:sz w:val="20"/>
            <w:szCs w:val="20"/>
            <w:u w:val="single"/>
          </w:rPr>
          <w:t>https://www.sei.org/wp-content/uploads/2023/03/solar-wind-colombia-sei2023.015.pdf</w:t>
        </w:r>
      </w:hyperlink>
      <w:r>
        <w:rPr>
          <w:color w:val="000000"/>
          <w:sz w:val="20"/>
          <w:szCs w:val="20"/>
        </w:rPr>
        <w:t xml:space="preserve"> </w:t>
      </w:r>
    </w:p>
  </w:footnote>
  <w:footnote w:id="24">
    <w:p w14:paraId="4F9637F3" w14:textId="71A5B8AA" w:rsidR="002D62A7" w:rsidRDefault="004B03B0">
      <w:pPr>
        <w:pBdr>
          <w:top w:val="nil"/>
          <w:left w:val="nil"/>
          <w:bottom w:val="nil"/>
          <w:right w:val="nil"/>
          <w:between w:val="nil"/>
        </w:pBdr>
        <w:spacing w:after="0" w:line="240" w:lineRule="auto"/>
        <w:jc w:val="both"/>
        <w:rPr>
          <w:color w:val="000000"/>
          <w:sz w:val="20"/>
          <w:szCs w:val="20"/>
        </w:rPr>
      </w:pPr>
      <w:r>
        <w:rPr>
          <w:rStyle w:val="FootnoteReference"/>
        </w:rPr>
        <w:footnoteRef/>
      </w:r>
      <w:r>
        <w:rPr>
          <w:color w:val="000000"/>
          <w:sz w:val="20"/>
          <w:szCs w:val="20"/>
        </w:rPr>
        <w:t xml:space="preserve"> Font Line Defenders, Global Analysis 2022, last accessed 1 August 2023</w:t>
      </w:r>
      <w:r w:rsidR="007F7C85">
        <w:rPr>
          <w:color w:val="000000"/>
          <w:sz w:val="20"/>
          <w:szCs w:val="20"/>
        </w:rPr>
        <w:t>.</w:t>
      </w:r>
      <w:r>
        <w:rPr>
          <w:color w:val="000000"/>
          <w:sz w:val="20"/>
          <w:szCs w:val="20"/>
        </w:rPr>
        <w:t xml:space="preserve"> </w:t>
      </w:r>
      <w:r w:rsidR="007F7C85">
        <w:rPr>
          <w:color w:val="000000"/>
          <w:sz w:val="20"/>
          <w:szCs w:val="20"/>
        </w:rPr>
        <w:t>A</w:t>
      </w:r>
      <w:r>
        <w:rPr>
          <w:color w:val="000000"/>
          <w:sz w:val="20"/>
          <w:szCs w:val="20"/>
        </w:rPr>
        <w:t xml:space="preserve">vailable at: </w:t>
      </w:r>
      <w:hyperlink r:id="rId11">
        <w:r>
          <w:rPr>
            <w:color w:val="0563C1"/>
            <w:sz w:val="20"/>
            <w:szCs w:val="20"/>
            <w:u w:val="single"/>
          </w:rPr>
          <w:t>https://www.frontlinedefenders.org/en/resource-publication/global-analysis-2022</w:t>
        </w:r>
      </w:hyperlink>
      <w:r>
        <w:rPr>
          <w:color w:val="000000"/>
          <w:sz w:val="20"/>
          <w:szCs w:val="20"/>
        </w:rPr>
        <w:t xml:space="preserve"> </w:t>
      </w:r>
    </w:p>
  </w:footnote>
  <w:footnote w:id="25">
    <w:p w14:paraId="50ED572B" w14:textId="77777777" w:rsidR="002D62A7" w:rsidRDefault="004B03B0">
      <w:pPr>
        <w:pBdr>
          <w:top w:val="nil"/>
          <w:left w:val="nil"/>
          <w:bottom w:val="nil"/>
          <w:right w:val="nil"/>
          <w:between w:val="nil"/>
        </w:pBdr>
        <w:spacing w:after="0" w:line="240" w:lineRule="auto"/>
        <w:jc w:val="both"/>
        <w:rPr>
          <w:color w:val="000000"/>
          <w:sz w:val="20"/>
          <w:szCs w:val="20"/>
        </w:rPr>
      </w:pPr>
      <w:r>
        <w:rPr>
          <w:rStyle w:val="FootnoteReference"/>
        </w:rPr>
        <w:footnoteRef/>
      </w:r>
      <w:r>
        <w:rPr>
          <w:color w:val="000000"/>
          <w:sz w:val="20"/>
          <w:szCs w:val="20"/>
        </w:rPr>
        <w:t xml:space="preserve"> Ibid. </w:t>
      </w:r>
    </w:p>
  </w:footnote>
  <w:footnote w:id="26">
    <w:p w14:paraId="3C35EA0F" w14:textId="45DB1542" w:rsidR="002D62A7" w:rsidRDefault="004B03B0">
      <w:pPr>
        <w:pBdr>
          <w:top w:val="nil"/>
          <w:left w:val="nil"/>
          <w:bottom w:val="nil"/>
          <w:right w:val="nil"/>
          <w:between w:val="nil"/>
        </w:pBdr>
        <w:spacing w:after="0" w:line="240" w:lineRule="auto"/>
        <w:jc w:val="both"/>
        <w:rPr>
          <w:color w:val="000000"/>
          <w:sz w:val="20"/>
          <w:szCs w:val="20"/>
        </w:rPr>
      </w:pPr>
      <w:r>
        <w:rPr>
          <w:rStyle w:val="FootnoteReference"/>
        </w:rPr>
        <w:footnoteRef/>
      </w:r>
      <w:r>
        <w:rPr>
          <w:color w:val="000000"/>
          <w:sz w:val="20"/>
          <w:szCs w:val="20"/>
        </w:rPr>
        <w:t xml:space="preserve"> Cabello Eras, Juan José; Mendoza Fandiño, Jorge Mario, et. al, The inequality of electricity consumption in Colombia: Projections and Implications, Energy, Volume 249, 2022,123711, ISSN 0360-5442, </w:t>
      </w:r>
      <w:hyperlink r:id="rId12" w:history="1">
        <w:r w:rsidR="007F7C85" w:rsidRPr="002B5D4F">
          <w:rPr>
            <w:rStyle w:val="Hyperlink"/>
            <w:sz w:val="20"/>
            <w:szCs w:val="20"/>
          </w:rPr>
          <w:t>https://doi.org/10.1016/j.energy.2022.123711</w:t>
        </w:r>
      </w:hyperlink>
      <w:r w:rsidR="007F7C85">
        <w:rPr>
          <w:color w:val="000000"/>
          <w:sz w:val="20"/>
          <w:szCs w:val="20"/>
        </w:rPr>
        <w:t xml:space="preserve"> </w:t>
      </w:r>
    </w:p>
  </w:footnote>
  <w:footnote w:id="27">
    <w:p w14:paraId="7B610854" w14:textId="77777777" w:rsidR="002D62A7" w:rsidRPr="00EC7CB1" w:rsidRDefault="004B03B0">
      <w:pPr>
        <w:pBdr>
          <w:top w:val="nil"/>
          <w:left w:val="nil"/>
          <w:bottom w:val="nil"/>
          <w:right w:val="nil"/>
          <w:between w:val="nil"/>
        </w:pBdr>
        <w:spacing w:after="0" w:line="240" w:lineRule="auto"/>
        <w:jc w:val="both"/>
        <w:rPr>
          <w:color w:val="000000"/>
          <w:sz w:val="20"/>
          <w:szCs w:val="20"/>
        </w:rPr>
      </w:pPr>
      <w:r>
        <w:rPr>
          <w:rStyle w:val="FootnoteReference"/>
        </w:rPr>
        <w:footnoteRef/>
      </w:r>
      <w:r w:rsidRPr="00EC7CB1">
        <w:rPr>
          <w:color w:val="000000"/>
          <w:sz w:val="20"/>
          <w:szCs w:val="20"/>
        </w:rPr>
        <w:t xml:space="preserve"> Ibid.</w:t>
      </w:r>
    </w:p>
  </w:footnote>
  <w:footnote w:id="28">
    <w:p w14:paraId="54897846" w14:textId="77777777" w:rsidR="002D62A7" w:rsidRPr="00EC7CB1" w:rsidRDefault="004B03B0">
      <w:pPr>
        <w:pBdr>
          <w:top w:val="nil"/>
          <w:left w:val="nil"/>
          <w:bottom w:val="nil"/>
          <w:right w:val="nil"/>
          <w:between w:val="nil"/>
        </w:pBdr>
        <w:spacing w:after="0" w:line="240" w:lineRule="auto"/>
        <w:jc w:val="both"/>
        <w:rPr>
          <w:color w:val="000000"/>
          <w:sz w:val="20"/>
          <w:szCs w:val="20"/>
        </w:rPr>
      </w:pPr>
      <w:r>
        <w:rPr>
          <w:rStyle w:val="FootnoteReference"/>
        </w:rPr>
        <w:footnoteRef/>
      </w:r>
      <w:r w:rsidRPr="00EC7CB1">
        <w:rPr>
          <w:color w:val="000000"/>
          <w:sz w:val="20"/>
          <w:szCs w:val="20"/>
        </w:rPr>
        <w:t xml:space="preserve"> Ibid.</w:t>
      </w:r>
    </w:p>
  </w:footnote>
  <w:footnote w:id="29">
    <w:p w14:paraId="38D7F5B7" w14:textId="07009F9C" w:rsidR="002D62A7" w:rsidRDefault="004B03B0">
      <w:pPr>
        <w:pBdr>
          <w:top w:val="nil"/>
          <w:left w:val="nil"/>
          <w:bottom w:val="nil"/>
          <w:right w:val="nil"/>
          <w:between w:val="nil"/>
        </w:pBdr>
        <w:spacing w:after="0" w:line="240" w:lineRule="auto"/>
        <w:jc w:val="both"/>
        <w:rPr>
          <w:color w:val="000000"/>
          <w:sz w:val="20"/>
          <w:szCs w:val="20"/>
        </w:rPr>
      </w:pPr>
      <w:r>
        <w:rPr>
          <w:rStyle w:val="FootnoteReference"/>
        </w:rPr>
        <w:footnoteRef/>
      </w:r>
      <w:r w:rsidRPr="00EC7CB1">
        <w:rPr>
          <w:color w:val="000000"/>
          <w:sz w:val="20"/>
          <w:szCs w:val="20"/>
        </w:rPr>
        <w:t xml:space="preserve"> </w:t>
      </w:r>
      <w:proofErr w:type="spellStart"/>
      <w:r w:rsidRPr="00EC7CB1">
        <w:rPr>
          <w:color w:val="000000"/>
          <w:sz w:val="20"/>
          <w:szCs w:val="20"/>
        </w:rPr>
        <w:t>Bayona-Velásquez</w:t>
      </w:r>
      <w:proofErr w:type="spellEnd"/>
      <w:r w:rsidRPr="00EC7CB1">
        <w:rPr>
          <w:color w:val="000000"/>
          <w:sz w:val="20"/>
          <w:szCs w:val="20"/>
        </w:rPr>
        <w:t xml:space="preserve">, Etna, </w:t>
      </w:r>
      <w:proofErr w:type="spellStart"/>
      <w:r w:rsidRPr="00EC7CB1">
        <w:rPr>
          <w:color w:val="000000"/>
          <w:sz w:val="20"/>
          <w:szCs w:val="20"/>
        </w:rPr>
        <w:t>Pirela</w:t>
      </w:r>
      <w:proofErr w:type="spellEnd"/>
      <w:r w:rsidRPr="00EC7CB1">
        <w:rPr>
          <w:color w:val="000000"/>
          <w:sz w:val="20"/>
          <w:szCs w:val="20"/>
        </w:rPr>
        <w:t>-Ríos, Ana, et. al.</w:t>
      </w:r>
      <w:r w:rsidR="007F7C85" w:rsidRPr="00EC7CB1">
        <w:rPr>
          <w:color w:val="000000"/>
          <w:sz w:val="20"/>
          <w:szCs w:val="20"/>
        </w:rPr>
        <w:t>,</w:t>
      </w:r>
      <w:r w:rsidRPr="00EC7CB1">
        <w:rPr>
          <w:color w:val="000000"/>
          <w:sz w:val="20"/>
          <w:szCs w:val="20"/>
        </w:rPr>
        <w:t xml:space="preserve"> </w:t>
      </w:r>
      <w:r>
        <w:rPr>
          <w:color w:val="000000"/>
          <w:sz w:val="20"/>
          <w:szCs w:val="20"/>
        </w:rPr>
        <w:t>Measurement of Energy Poverty in the Colombian Caribbean Region: Comparative Analysis, 2022, last accessed 1 August 2023</w:t>
      </w:r>
      <w:r w:rsidR="007F7C85">
        <w:rPr>
          <w:color w:val="000000"/>
          <w:sz w:val="20"/>
          <w:szCs w:val="20"/>
        </w:rPr>
        <w:t xml:space="preserve">. </w:t>
      </w:r>
      <w:r>
        <w:rPr>
          <w:color w:val="000000"/>
          <w:sz w:val="20"/>
          <w:szCs w:val="20"/>
        </w:rPr>
        <w:t xml:space="preserve"> </w:t>
      </w:r>
      <w:r w:rsidR="007F7C85">
        <w:rPr>
          <w:color w:val="000000"/>
          <w:sz w:val="20"/>
          <w:szCs w:val="20"/>
        </w:rPr>
        <w:t>A</w:t>
      </w:r>
      <w:r>
        <w:rPr>
          <w:color w:val="000000"/>
          <w:sz w:val="20"/>
          <w:szCs w:val="20"/>
        </w:rPr>
        <w:t xml:space="preserve">vailable at: </w:t>
      </w:r>
      <w:hyperlink r:id="rId13">
        <w:r>
          <w:rPr>
            <w:color w:val="0563C1"/>
            <w:sz w:val="20"/>
            <w:szCs w:val="20"/>
            <w:u w:val="single"/>
          </w:rPr>
          <w:t>https://assets.researchsquare.com/files/rs-1340558/v1/be125903-0801-4a3a-b082-2e9aa6cde67d.pdf?c=1645112582</w:t>
        </w:r>
      </w:hyperlink>
      <w:r>
        <w:rPr>
          <w:color w:val="000000"/>
          <w:sz w:val="20"/>
          <w:szCs w:val="20"/>
        </w:rPr>
        <w:t xml:space="preserve"> </w:t>
      </w:r>
    </w:p>
  </w:footnote>
  <w:footnote w:id="30">
    <w:p w14:paraId="4FFA309E" w14:textId="6553BD83" w:rsidR="002D62A7" w:rsidRPr="00EC7CB1" w:rsidRDefault="004B03B0">
      <w:pPr>
        <w:pBdr>
          <w:top w:val="nil"/>
          <w:left w:val="nil"/>
          <w:bottom w:val="nil"/>
          <w:right w:val="nil"/>
          <w:between w:val="nil"/>
        </w:pBdr>
        <w:spacing w:after="0" w:line="240" w:lineRule="auto"/>
        <w:jc w:val="both"/>
        <w:rPr>
          <w:color w:val="000000"/>
          <w:sz w:val="20"/>
          <w:szCs w:val="20"/>
        </w:rPr>
      </w:pPr>
      <w:r>
        <w:rPr>
          <w:rStyle w:val="FootnoteReference"/>
        </w:rPr>
        <w:footnoteRef/>
      </w:r>
      <w:r w:rsidRPr="002421EC">
        <w:rPr>
          <w:color w:val="000000"/>
          <w:sz w:val="20"/>
          <w:szCs w:val="20"/>
          <w:lang w:val="es-419"/>
        </w:rPr>
        <w:t xml:space="preserve"> Ministerio de Minas y Energía de Colombia, Metodología para definir una hoja de ruta de la transición energética justa en Colombia,2023, </w:t>
      </w:r>
      <w:proofErr w:type="spellStart"/>
      <w:r w:rsidRPr="002421EC">
        <w:rPr>
          <w:color w:val="000000"/>
          <w:sz w:val="20"/>
          <w:szCs w:val="20"/>
          <w:lang w:val="es-419"/>
        </w:rPr>
        <w:t>last</w:t>
      </w:r>
      <w:proofErr w:type="spellEnd"/>
      <w:r w:rsidRPr="002421EC">
        <w:rPr>
          <w:color w:val="000000"/>
          <w:sz w:val="20"/>
          <w:szCs w:val="20"/>
          <w:lang w:val="es-419"/>
        </w:rPr>
        <w:t xml:space="preserve"> </w:t>
      </w:r>
      <w:proofErr w:type="spellStart"/>
      <w:r w:rsidRPr="002421EC">
        <w:rPr>
          <w:color w:val="000000"/>
          <w:sz w:val="20"/>
          <w:szCs w:val="20"/>
          <w:lang w:val="es-419"/>
        </w:rPr>
        <w:t>accessed</w:t>
      </w:r>
      <w:proofErr w:type="spellEnd"/>
      <w:r w:rsidRPr="002421EC">
        <w:rPr>
          <w:color w:val="000000"/>
          <w:sz w:val="20"/>
          <w:szCs w:val="20"/>
          <w:lang w:val="es-419"/>
        </w:rPr>
        <w:t xml:space="preserve"> 2 August 2023</w:t>
      </w:r>
      <w:r w:rsidR="007F7C85">
        <w:rPr>
          <w:color w:val="000000"/>
          <w:sz w:val="20"/>
          <w:szCs w:val="20"/>
          <w:lang w:val="es-419"/>
        </w:rPr>
        <w:t xml:space="preserve">. </w:t>
      </w:r>
      <w:r w:rsidR="007F7C85" w:rsidRPr="00EC7CB1">
        <w:rPr>
          <w:color w:val="000000"/>
          <w:sz w:val="20"/>
          <w:szCs w:val="20"/>
        </w:rPr>
        <w:t>A</w:t>
      </w:r>
      <w:r w:rsidRPr="00EC7CB1">
        <w:rPr>
          <w:color w:val="000000"/>
          <w:sz w:val="20"/>
          <w:szCs w:val="20"/>
        </w:rPr>
        <w:t xml:space="preserve">vailable at: </w:t>
      </w:r>
      <w:hyperlink r:id="rId14">
        <w:r w:rsidRPr="00EC7CB1">
          <w:rPr>
            <w:color w:val="0563C1"/>
            <w:sz w:val="20"/>
            <w:szCs w:val="20"/>
            <w:u w:val="single"/>
          </w:rPr>
          <w:t>https://www.minenergia.gov.co/documents/10143/MetodologiaHojaRuta-TEJ-2023.pdf</w:t>
        </w:r>
      </w:hyperlink>
      <w:r w:rsidRPr="00EC7CB1">
        <w:rPr>
          <w:color w:val="000000"/>
          <w:sz w:val="20"/>
          <w:szCs w:val="20"/>
        </w:rPr>
        <w:t xml:space="preserve"> </w:t>
      </w:r>
    </w:p>
  </w:footnote>
  <w:footnote w:id="31">
    <w:p w14:paraId="4C27EDA5" w14:textId="77777777" w:rsidR="002D62A7" w:rsidRPr="002421EC" w:rsidRDefault="004B03B0">
      <w:pPr>
        <w:pBdr>
          <w:top w:val="nil"/>
          <w:left w:val="nil"/>
          <w:bottom w:val="nil"/>
          <w:right w:val="nil"/>
          <w:between w:val="nil"/>
        </w:pBdr>
        <w:spacing w:after="0"/>
        <w:rPr>
          <w:color w:val="000000"/>
          <w:sz w:val="20"/>
          <w:szCs w:val="20"/>
          <w:lang w:val="es-419"/>
        </w:rPr>
      </w:pPr>
      <w:r>
        <w:rPr>
          <w:rStyle w:val="FootnoteReference"/>
        </w:rPr>
        <w:footnoteRef/>
      </w:r>
      <w:r w:rsidRPr="002421EC">
        <w:rPr>
          <w:color w:val="000000"/>
          <w:sz w:val="20"/>
          <w:szCs w:val="20"/>
          <w:lang w:val="es-419"/>
        </w:rPr>
        <w:t xml:space="preserve"> Ibid.</w:t>
      </w:r>
    </w:p>
  </w:footnote>
  <w:footnote w:id="32">
    <w:p w14:paraId="32D4C163" w14:textId="2FF8B1FE" w:rsidR="002D62A7" w:rsidRPr="00433ECA" w:rsidRDefault="004B03B0">
      <w:pPr>
        <w:pBdr>
          <w:top w:val="nil"/>
          <w:left w:val="nil"/>
          <w:bottom w:val="nil"/>
          <w:right w:val="nil"/>
          <w:between w:val="nil"/>
        </w:pBdr>
        <w:spacing w:after="0"/>
        <w:rPr>
          <w:color w:val="000000"/>
          <w:sz w:val="20"/>
          <w:szCs w:val="20"/>
        </w:rPr>
      </w:pPr>
      <w:r>
        <w:rPr>
          <w:rStyle w:val="FootnoteReference"/>
        </w:rPr>
        <w:footnoteRef/>
      </w:r>
      <w:r w:rsidRPr="002421EC">
        <w:rPr>
          <w:color w:val="000000"/>
          <w:sz w:val="20"/>
          <w:szCs w:val="20"/>
          <w:lang w:val="es-419"/>
        </w:rPr>
        <w:t xml:space="preserve"> Ministerio de Minería y Energía de Colombia, Líderes y Expertos se reunieron en el primer diálogo nacional para la transición energética justa, 2022, </w:t>
      </w:r>
      <w:proofErr w:type="spellStart"/>
      <w:r w:rsidRPr="002421EC">
        <w:rPr>
          <w:color w:val="000000"/>
          <w:sz w:val="20"/>
          <w:szCs w:val="20"/>
          <w:lang w:val="es-419"/>
        </w:rPr>
        <w:t>last</w:t>
      </w:r>
      <w:proofErr w:type="spellEnd"/>
      <w:r w:rsidRPr="002421EC">
        <w:rPr>
          <w:color w:val="000000"/>
          <w:sz w:val="20"/>
          <w:szCs w:val="20"/>
          <w:lang w:val="es-419"/>
        </w:rPr>
        <w:t xml:space="preserve"> </w:t>
      </w:r>
      <w:proofErr w:type="spellStart"/>
      <w:r w:rsidRPr="002421EC">
        <w:rPr>
          <w:color w:val="000000"/>
          <w:sz w:val="20"/>
          <w:szCs w:val="20"/>
          <w:lang w:val="es-419"/>
        </w:rPr>
        <w:t>accessed</w:t>
      </w:r>
      <w:proofErr w:type="spellEnd"/>
      <w:r w:rsidRPr="002421EC">
        <w:rPr>
          <w:color w:val="000000"/>
          <w:sz w:val="20"/>
          <w:szCs w:val="20"/>
          <w:lang w:val="es-419"/>
        </w:rPr>
        <w:t xml:space="preserve"> 2 August 2023</w:t>
      </w:r>
      <w:r w:rsidR="00433ECA">
        <w:rPr>
          <w:color w:val="000000"/>
          <w:sz w:val="20"/>
          <w:szCs w:val="20"/>
          <w:lang w:val="es-419"/>
        </w:rPr>
        <w:t xml:space="preserve">. </w:t>
      </w:r>
      <w:r w:rsidR="00433ECA" w:rsidRPr="00433ECA">
        <w:rPr>
          <w:color w:val="000000"/>
          <w:sz w:val="20"/>
          <w:szCs w:val="20"/>
        </w:rPr>
        <w:t>A</w:t>
      </w:r>
      <w:r w:rsidRPr="00433ECA">
        <w:rPr>
          <w:color w:val="000000"/>
          <w:sz w:val="20"/>
          <w:szCs w:val="20"/>
        </w:rPr>
        <w:t xml:space="preserve">vailable at: </w:t>
      </w:r>
      <w:hyperlink r:id="rId15">
        <w:r w:rsidRPr="00433ECA">
          <w:rPr>
            <w:color w:val="0563C1"/>
            <w:sz w:val="20"/>
            <w:szCs w:val="20"/>
            <w:u w:val="single"/>
          </w:rPr>
          <w:t>https://www.minenergia.gov.co/es/sala-de-prensa/noticias-index/l%C3%ADderes-y-expertos-se-reunieron-en-el-primer-di%C3%A1logo-nacional-para-la-transici%C3%B3n-energ%C3%A9tica-justa-liderado-por-minenerg%C3%ADa/</w:t>
        </w:r>
      </w:hyperlink>
      <w:r w:rsidRPr="00433ECA">
        <w:rPr>
          <w:color w:val="000000"/>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31CB1" w14:textId="77777777" w:rsidR="002D62A7" w:rsidRDefault="002421EC">
    <w:pPr>
      <w:pBdr>
        <w:top w:val="nil"/>
        <w:left w:val="nil"/>
        <w:bottom w:val="nil"/>
        <w:right w:val="nil"/>
        <w:between w:val="nil"/>
      </w:pBdr>
      <w:tabs>
        <w:tab w:val="center" w:pos="4680"/>
        <w:tab w:val="right" w:pos="9360"/>
      </w:tabs>
      <w:spacing w:after="0"/>
      <w:jc w:val="center"/>
      <w:rPr>
        <w:color w:val="000000"/>
      </w:rPr>
    </w:pPr>
    <w:r>
      <w:rPr>
        <w:noProof/>
        <w:color w:val="000000"/>
      </w:rPr>
      <w:drawing>
        <wp:anchor distT="0" distB="0" distL="114300" distR="114300" simplePos="0" relativeHeight="251659264" behindDoc="0" locked="0" layoutInCell="1" allowOverlap="1" wp14:anchorId="42EDB2BE" wp14:editId="33EEEEED">
          <wp:simplePos x="0" y="0"/>
          <wp:positionH relativeFrom="column">
            <wp:posOffset>1314450</wp:posOffset>
          </wp:positionH>
          <wp:positionV relativeFrom="paragraph">
            <wp:posOffset>-333375</wp:posOffset>
          </wp:positionV>
          <wp:extent cx="2301875" cy="986155"/>
          <wp:effectExtent l="0" t="0" r="0" b="0"/>
          <wp:wrapTopAndBottom/>
          <wp:docPr id="15543484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301875" cy="986155"/>
                  </a:xfrm>
                  <a:prstGeom prst="rect">
                    <a:avLst/>
                  </a:prstGeom>
                  <a:ln/>
                </pic:spPr>
              </pic:pic>
            </a:graphicData>
          </a:graphic>
        </wp:anchor>
      </w:drawing>
    </w:r>
    <w:r>
      <w:rPr>
        <w:noProof/>
        <w:color w:val="000000"/>
      </w:rPr>
      <w:drawing>
        <wp:anchor distT="0" distB="0" distL="114300" distR="114300" simplePos="0" relativeHeight="251660288" behindDoc="0" locked="0" layoutInCell="1" allowOverlap="1" wp14:anchorId="7050D402" wp14:editId="67E24FBA">
          <wp:simplePos x="0" y="0"/>
          <wp:positionH relativeFrom="column">
            <wp:posOffset>3886200</wp:posOffset>
          </wp:positionH>
          <wp:positionV relativeFrom="paragraph">
            <wp:posOffset>-371475</wp:posOffset>
          </wp:positionV>
          <wp:extent cx="819150" cy="822325"/>
          <wp:effectExtent l="0" t="0" r="0" b="0"/>
          <wp:wrapSquare wrapText="bothSides"/>
          <wp:docPr id="43115369" name="Picture 1" descr="A white lizard and a map of the wor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15369" name="Picture 1" descr="A white lizard and a map of the world&#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819150" cy="8223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C27F2"/>
    <w:multiLevelType w:val="multilevel"/>
    <w:tmpl w:val="61FC93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C844E9E"/>
    <w:multiLevelType w:val="multilevel"/>
    <w:tmpl w:val="7DC679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CCD5620"/>
    <w:multiLevelType w:val="hybridMultilevel"/>
    <w:tmpl w:val="B97EA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AF533F"/>
    <w:multiLevelType w:val="multilevel"/>
    <w:tmpl w:val="C20AB5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41529177">
    <w:abstractNumId w:val="3"/>
  </w:num>
  <w:num w:numId="2" w16cid:durableId="1778141141">
    <w:abstractNumId w:val="0"/>
  </w:num>
  <w:num w:numId="3" w16cid:durableId="215971539">
    <w:abstractNumId w:val="1"/>
  </w:num>
  <w:num w:numId="4" w16cid:durableId="9285412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62A7"/>
    <w:rsid w:val="000314FD"/>
    <w:rsid w:val="00041FFD"/>
    <w:rsid w:val="000A71A3"/>
    <w:rsid w:val="001043F7"/>
    <w:rsid w:val="002421EC"/>
    <w:rsid w:val="002D62A7"/>
    <w:rsid w:val="00414DC1"/>
    <w:rsid w:val="00433ECA"/>
    <w:rsid w:val="004B03B0"/>
    <w:rsid w:val="005E733A"/>
    <w:rsid w:val="00645DA8"/>
    <w:rsid w:val="00741B52"/>
    <w:rsid w:val="007521D5"/>
    <w:rsid w:val="00757E70"/>
    <w:rsid w:val="007F7C85"/>
    <w:rsid w:val="0094073E"/>
    <w:rsid w:val="00A73421"/>
    <w:rsid w:val="00B04080"/>
    <w:rsid w:val="00B270A1"/>
    <w:rsid w:val="00C051D1"/>
    <w:rsid w:val="00C14CD5"/>
    <w:rsid w:val="00C91950"/>
    <w:rsid w:val="00E00488"/>
    <w:rsid w:val="00EC7CB1"/>
    <w:rsid w:val="00EF38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230344"/>
  <w15:docId w15:val="{42495FAF-5C5C-4386-B338-C2955BE51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7AA98B89"/>
  </w:style>
  <w:style w:type="paragraph" w:styleId="Heading1">
    <w:name w:val="heading 1"/>
    <w:basedOn w:val="Normal"/>
    <w:next w:val="Normal"/>
    <w:link w:val="Heading1Char"/>
    <w:uiPriority w:val="9"/>
    <w:qFormat/>
    <w:rsid w:val="7AA98B89"/>
    <w:pPr>
      <w:keepNext/>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322A3"/>
    <w:pPr>
      <w:keepNext/>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322A3"/>
    <w:pPr>
      <w:keepNext/>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semiHidden/>
    <w:unhideWhenUsed/>
    <w:qFormat/>
    <w:rsid w:val="006322A3"/>
    <w:pPr>
      <w:keepNext/>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322A3"/>
    <w:pPr>
      <w:keepNext/>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322A3"/>
    <w:pPr>
      <w:keepNext/>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006322A3"/>
    <w:pPr>
      <w:keepNext/>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006322A3"/>
    <w:pPr>
      <w:keepNext/>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006322A3"/>
    <w:pPr>
      <w:keepNext/>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322A3"/>
    <w:pPr>
      <w:spacing w:after="0"/>
      <w:contextualSpacing/>
    </w:pPr>
    <w:rPr>
      <w:rFonts w:asciiTheme="majorHAnsi" w:eastAsiaTheme="majorEastAsia" w:hAnsiTheme="majorHAnsi" w:cstheme="majorBidi"/>
      <w:sz w:val="56"/>
      <w:szCs w:val="56"/>
    </w:rPr>
  </w:style>
  <w:style w:type="paragraph" w:styleId="ListParagraph">
    <w:name w:val="List Paragraph"/>
    <w:basedOn w:val="Normal"/>
    <w:uiPriority w:val="34"/>
    <w:qFormat/>
    <w:pPr>
      <w:ind w:left="720"/>
      <w:contextualSpacing/>
    </w:pPr>
  </w:style>
  <w:style w:type="paragraph" w:styleId="NormalWeb">
    <w:name w:val="Normal (Web)"/>
    <w:basedOn w:val="Normal"/>
    <w:uiPriority w:val="99"/>
    <w:unhideWhenUsed/>
    <w:rsid w:val="7AA98B89"/>
    <w:pPr>
      <w:spacing w:beforeAutospacing="1"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0B4687"/>
    <w:rPr>
      <w:b/>
      <w:bCs/>
    </w:rPr>
  </w:style>
  <w:style w:type="character" w:customStyle="1" w:styleId="normaltextrun">
    <w:name w:val="normaltextrun"/>
    <w:basedOn w:val="DefaultParagraphFont"/>
    <w:rsid w:val="00484F8C"/>
  </w:style>
  <w:style w:type="character" w:customStyle="1" w:styleId="eop">
    <w:name w:val="eop"/>
    <w:basedOn w:val="DefaultParagraphFont"/>
    <w:rsid w:val="00484F8C"/>
  </w:style>
  <w:style w:type="paragraph" w:customStyle="1" w:styleId="paragraph">
    <w:name w:val="paragraph"/>
    <w:basedOn w:val="Normal"/>
    <w:uiPriority w:val="1"/>
    <w:rsid w:val="7AA98B89"/>
    <w:pPr>
      <w:spacing w:beforeAutospacing="1" w:afterAutospacing="1"/>
    </w:pPr>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qFormat/>
    <w:rsid w:val="7AA98B89"/>
    <w:pPr>
      <w:spacing w:after="0"/>
    </w:pPr>
    <w:rPr>
      <w:sz w:val="20"/>
      <w:szCs w:val="20"/>
    </w:rPr>
  </w:style>
  <w:style w:type="character" w:customStyle="1" w:styleId="FootnoteTextChar">
    <w:name w:val="Footnote Text Char"/>
    <w:basedOn w:val="DefaultParagraphFont"/>
    <w:link w:val="FootnoteText"/>
    <w:uiPriority w:val="99"/>
    <w:rsid w:val="00643C40"/>
    <w:rPr>
      <w:sz w:val="20"/>
      <w:szCs w:val="20"/>
      <w:lang w:val="en-GB"/>
    </w:rPr>
  </w:style>
  <w:style w:type="character" w:styleId="FootnoteReference">
    <w:name w:val="footnote reference"/>
    <w:aliases w:val="4_G"/>
    <w:basedOn w:val="DefaultParagraphFont"/>
    <w:uiPriority w:val="99"/>
    <w:unhideWhenUsed/>
    <w:qFormat/>
    <w:rsid w:val="00643C40"/>
    <w:rPr>
      <w:vertAlign w:val="superscript"/>
    </w:rPr>
  </w:style>
  <w:style w:type="character" w:styleId="Hyperlink">
    <w:name w:val="Hyperlink"/>
    <w:basedOn w:val="DefaultParagraphFont"/>
    <w:uiPriority w:val="99"/>
    <w:unhideWhenUsed/>
    <w:rsid w:val="008538C2"/>
    <w:rPr>
      <w:color w:val="0563C1" w:themeColor="hyperlink"/>
      <w:u w:val="single"/>
    </w:rPr>
  </w:style>
  <w:style w:type="character" w:styleId="UnresolvedMention">
    <w:name w:val="Unresolved Mention"/>
    <w:basedOn w:val="DefaultParagraphFont"/>
    <w:uiPriority w:val="99"/>
    <w:semiHidden/>
    <w:unhideWhenUsed/>
    <w:rsid w:val="008538C2"/>
    <w:rPr>
      <w:color w:val="605E5C"/>
      <w:shd w:val="clear" w:color="auto" w:fill="E1DFDD"/>
    </w:rPr>
  </w:style>
  <w:style w:type="character" w:styleId="CommentReference">
    <w:name w:val="annotation reference"/>
    <w:basedOn w:val="DefaultParagraphFont"/>
    <w:uiPriority w:val="99"/>
    <w:semiHidden/>
    <w:unhideWhenUsed/>
    <w:rsid w:val="00EB5953"/>
    <w:rPr>
      <w:sz w:val="16"/>
      <w:szCs w:val="16"/>
    </w:rPr>
  </w:style>
  <w:style w:type="character" w:styleId="FollowedHyperlink">
    <w:name w:val="FollowedHyperlink"/>
    <w:basedOn w:val="DefaultParagraphFont"/>
    <w:uiPriority w:val="99"/>
    <w:semiHidden/>
    <w:unhideWhenUsed/>
    <w:rsid w:val="00664242"/>
    <w:rPr>
      <w:color w:val="954F72" w:themeColor="followedHyperlink"/>
      <w:u w:val="single"/>
    </w:rPr>
  </w:style>
  <w:style w:type="paragraph" w:styleId="Header">
    <w:name w:val="header"/>
    <w:basedOn w:val="Normal"/>
    <w:link w:val="HeaderChar"/>
    <w:uiPriority w:val="99"/>
    <w:unhideWhenUsed/>
    <w:rsid w:val="7AA98B89"/>
    <w:pPr>
      <w:tabs>
        <w:tab w:val="center" w:pos="4680"/>
        <w:tab w:val="right" w:pos="9360"/>
      </w:tabs>
      <w:spacing w:after="0"/>
    </w:pPr>
  </w:style>
  <w:style w:type="character" w:customStyle="1" w:styleId="HeaderChar">
    <w:name w:val="Header Char"/>
    <w:basedOn w:val="DefaultParagraphFont"/>
    <w:link w:val="Header"/>
    <w:uiPriority w:val="99"/>
    <w:rsid w:val="007E6DAF"/>
    <w:rPr>
      <w:lang w:val="en-GB"/>
    </w:rPr>
  </w:style>
  <w:style w:type="paragraph" w:styleId="Footer">
    <w:name w:val="footer"/>
    <w:basedOn w:val="Normal"/>
    <w:link w:val="FooterChar"/>
    <w:uiPriority w:val="99"/>
    <w:unhideWhenUsed/>
    <w:rsid w:val="7AA98B89"/>
    <w:pPr>
      <w:tabs>
        <w:tab w:val="center" w:pos="4680"/>
        <w:tab w:val="right" w:pos="9360"/>
      </w:tabs>
      <w:spacing w:after="0"/>
    </w:pPr>
  </w:style>
  <w:style w:type="character" w:customStyle="1" w:styleId="FooterChar">
    <w:name w:val="Footer Char"/>
    <w:basedOn w:val="DefaultParagraphFont"/>
    <w:link w:val="Footer"/>
    <w:uiPriority w:val="99"/>
    <w:rsid w:val="007E6DAF"/>
    <w:rPr>
      <w:lang w:val="en-GB"/>
    </w:rPr>
  </w:style>
  <w:style w:type="paragraph" w:styleId="CommentText">
    <w:name w:val="annotation text"/>
    <w:basedOn w:val="Normal"/>
    <w:link w:val="CommentTextChar"/>
    <w:uiPriority w:val="99"/>
    <w:unhideWhenUsed/>
    <w:rsid w:val="7AA98B89"/>
    <w:rPr>
      <w:sz w:val="20"/>
      <w:szCs w:val="20"/>
    </w:rPr>
  </w:style>
  <w:style w:type="character" w:customStyle="1" w:styleId="CommentTextChar">
    <w:name w:val="Comment Text Char"/>
    <w:basedOn w:val="DefaultParagraphFont"/>
    <w:link w:val="CommentText"/>
    <w:uiPriority w:val="99"/>
    <w:rsid w:val="00BF7F30"/>
    <w:rPr>
      <w:sz w:val="20"/>
      <w:szCs w:val="20"/>
      <w:lang w:val="en-GB"/>
    </w:rPr>
  </w:style>
  <w:style w:type="paragraph" w:styleId="CommentSubject">
    <w:name w:val="annotation subject"/>
    <w:basedOn w:val="CommentText"/>
    <w:next w:val="CommentText"/>
    <w:link w:val="CommentSubjectChar"/>
    <w:uiPriority w:val="99"/>
    <w:semiHidden/>
    <w:unhideWhenUsed/>
    <w:rsid w:val="00BF7F30"/>
    <w:rPr>
      <w:b/>
      <w:bCs/>
    </w:rPr>
  </w:style>
  <w:style w:type="character" w:customStyle="1" w:styleId="CommentSubjectChar">
    <w:name w:val="Comment Subject Char"/>
    <w:basedOn w:val="CommentTextChar"/>
    <w:link w:val="CommentSubject"/>
    <w:uiPriority w:val="99"/>
    <w:semiHidden/>
    <w:rsid w:val="00BF7F30"/>
    <w:rPr>
      <w:b/>
      <w:bCs/>
      <w:sz w:val="20"/>
      <w:szCs w:val="20"/>
      <w:lang w:val="en-GB"/>
    </w:rPr>
  </w:style>
  <w:style w:type="character" w:customStyle="1" w:styleId="Heading1Char">
    <w:name w:val="Heading 1 Char"/>
    <w:basedOn w:val="DefaultParagraphFont"/>
    <w:link w:val="Heading1"/>
    <w:uiPriority w:val="9"/>
    <w:rsid w:val="00033ADE"/>
    <w:rPr>
      <w:rFonts w:asciiTheme="majorHAnsi" w:eastAsiaTheme="majorEastAsia" w:hAnsiTheme="majorHAnsi" w:cstheme="majorBidi"/>
      <w:color w:val="2F5496" w:themeColor="accent1" w:themeShade="BF"/>
      <w:sz w:val="32"/>
      <w:szCs w:val="32"/>
      <w:lang w:val="en-GB"/>
    </w:rPr>
  </w:style>
  <w:style w:type="paragraph" w:styleId="Revision">
    <w:name w:val="Revision"/>
    <w:hidden/>
    <w:uiPriority w:val="99"/>
    <w:semiHidden/>
    <w:rsid w:val="001B31F9"/>
    <w:pPr>
      <w:spacing w:after="0" w:line="240" w:lineRule="auto"/>
    </w:pPr>
  </w:style>
  <w:style w:type="paragraph" w:customStyle="1" w:styleId="Default">
    <w:name w:val="Default"/>
    <w:rsid w:val="00286E56"/>
    <w:pPr>
      <w:autoSpaceDE w:val="0"/>
      <w:autoSpaceDN w:val="0"/>
      <w:adjustRightInd w:val="0"/>
      <w:spacing w:after="0" w:line="240" w:lineRule="auto"/>
    </w:pPr>
    <w:rPr>
      <w:color w:val="000000"/>
      <w:sz w:val="24"/>
      <w:szCs w:val="24"/>
    </w:rPr>
  </w:style>
  <w:style w:type="table" w:styleId="TableGrid">
    <w:name w:val="Table Grid"/>
    <w:basedOn w:val="TableNormal"/>
    <w:rsid w:val="00A228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sid w:val="006322A3"/>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6322A3"/>
    <w:rPr>
      <w:rFonts w:asciiTheme="majorHAnsi" w:eastAsiaTheme="majorEastAsia" w:hAnsiTheme="majorHAnsi" w:cstheme="majorBidi"/>
      <w:color w:val="1F3763"/>
      <w:sz w:val="24"/>
      <w:szCs w:val="24"/>
      <w:lang w:val="en-GB"/>
    </w:rPr>
  </w:style>
  <w:style w:type="character" w:customStyle="1" w:styleId="Heading4Char">
    <w:name w:val="Heading 4 Char"/>
    <w:basedOn w:val="DefaultParagraphFont"/>
    <w:link w:val="Heading4"/>
    <w:uiPriority w:val="9"/>
    <w:rsid w:val="006322A3"/>
    <w:rPr>
      <w:rFonts w:asciiTheme="majorHAnsi" w:eastAsiaTheme="majorEastAsia" w:hAnsiTheme="majorHAnsi" w:cstheme="majorBidi"/>
      <w:i/>
      <w:iCs/>
      <w:color w:val="2F5496" w:themeColor="accent1" w:themeShade="BF"/>
      <w:lang w:val="en-GB"/>
    </w:rPr>
  </w:style>
  <w:style w:type="character" w:customStyle="1" w:styleId="Heading5Char">
    <w:name w:val="Heading 5 Char"/>
    <w:basedOn w:val="DefaultParagraphFont"/>
    <w:link w:val="Heading5"/>
    <w:uiPriority w:val="9"/>
    <w:rsid w:val="006322A3"/>
    <w:rPr>
      <w:rFonts w:asciiTheme="majorHAnsi" w:eastAsiaTheme="majorEastAsia" w:hAnsiTheme="majorHAnsi" w:cstheme="majorBidi"/>
      <w:color w:val="2F5496" w:themeColor="accent1" w:themeShade="BF"/>
      <w:lang w:val="en-GB"/>
    </w:rPr>
  </w:style>
  <w:style w:type="character" w:customStyle="1" w:styleId="Heading6Char">
    <w:name w:val="Heading 6 Char"/>
    <w:basedOn w:val="DefaultParagraphFont"/>
    <w:link w:val="Heading6"/>
    <w:uiPriority w:val="9"/>
    <w:rsid w:val="006322A3"/>
    <w:rPr>
      <w:rFonts w:asciiTheme="majorHAnsi" w:eastAsiaTheme="majorEastAsia" w:hAnsiTheme="majorHAnsi" w:cstheme="majorBidi"/>
      <w:color w:val="1F3763"/>
      <w:lang w:val="en-GB"/>
    </w:rPr>
  </w:style>
  <w:style w:type="character" w:customStyle="1" w:styleId="Heading7Char">
    <w:name w:val="Heading 7 Char"/>
    <w:basedOn w:val="DefaultParagraphFont"/>
    <w:link w:val="Heading7"/>
    <w:uiPriority w:val="9"/>
    <w:rsid w:val="006322A3"/>
    <w:rPr>
      <w:rFonts w:asciiTheme="majorHAnsi" w:eastAsiaTheme="majorEastAsia" w:hAnsiTheme="majorHAnsi" w:cstheme="majorBidi"/>
      <w:i/>
      <w:iCs/>
      <w:color w:val="1F3763"/>
      <w:lang w:val="en-GB"/>
    </w:rPr>
  </w:style>
  <w:style w:type="character" w:customStyle="1" w:styleId="Heading8Char">
    <w:name w:val="Heading 8 Char"/>
    <w:basedOn w:val="DefaultParagraphFont"/>
    <w:link w:val="Heading8"/>
    <w:uiPriority w:val="9"/>
    <w:rsid w:val="006322A3"/>
    <w:rPr>
      <w:rFonts w:asciiTheme="majorHAnsi" w:eastAsiaTheme="majorEastAsia" w:hAnsiTheme="majorHAnsi" w:cstheme="majorBidi"/>
      <w:color w:val="272727"/>
      <w:sz w:val="21"/>
      <w:szCs w:val="21"/>
      <w:lang w:val="en-GB"/>
    </w:rPr>
  </w:style>
  <w:style w:type="character" w:customStyle="1" w:styleId="Heading9Char">
    <w:name w:val="Heading 9 Char"/>
    <w:basedOn w:val="DefaultParagraphFont"/>
    <w:link w:val="Heading9"/>
    <w:uiPriority w:val="9"/>
    <w:rsid w:val="006322A3"/>
    <w:rPr>
      <w:rFonts w:asciiTheme="majorHAnsi" w:eastAsiaTheme="majorEastAsia" w:hAnsiTheme="majorHAnsi" w:cstheme="majorBidi"/>
      <w:i/>
      <w:iCs/>
      <w:color w:val="272727"/>
      <w:sz w:val="21"/>
      <w:szCs w:val="21"/>
      <w:lang w:val="en-GB"/>
    </w:rPr>
  </w:style>
  <w:style w:type="character" w:customStyle="1" w:styleId="TitleChar">
    <w:name w:val="Title Char"/>
    <w:basedOn w:val="DefaultParagraphFont"/>
    <w:link w:val="Title"/>
    <w:uiPriority w:val="10"/>
    <w:rsid w:val="006322A3"/>
    <w:rPr>
      <w:rFonts w:asciiTheme="majorHAnsi" w:eastAsiaTheme="majorEastAsia" w:hAnsiTheme="majorHAnsi" w:cstheme="majorBidi"/>
      <w:sz w:val="56"/>
      <w:szCs w:val="56"/>
      <w:lang w:val="en-GB"/>
    </w:rPr>
  </w:style>
  <w:style w:type="paragraph" w:styleId="Subtitle">
    <w:name w:val="Subtitle"/>
    <w:basedOn w:val="Normal"/>
    <w:next w:val="Normal"/>
    <w:link w:val="SubtitleChar"/>
    <w:uiPriority w:val="11"/>
    <w:qFormat/>
    <w:rPr>
      <w:color w:val="5A5A5A"/>
    </w:rPr>
  </w:style>
  <w:style w:type="character" w:customStyle="1" w:styleId="SubtitleChar">
    <w:name w:val="Subtitle Char"/>
    <w:basedOn w:val="DefaultParagraphFont"/>
    <w:link w:val="Subtitle"/>
    <w:uiPriority w:val="11"/>
    <w:rsid w:val="006322A3"/>
    <w:rPr>
      <w:rFonts w:eastAsiaTheme="minorEastAsia"/>
      <w:color w:val="5A5A5A"/>
      <w:lang w:val="en-GB"/>
    </w:rPr>
  </w:style>
  <w:style w:type="paragraph" w:styleId="Quote">
    <w:name w:val="Quote"/>
    <w:basedOn w:val="Normal"/>
    <w:next w:val="Normal"/>
    <w:link w:val="QuoteChar"/>
    <w:uiPriority w:val="29"/>
    <w:qFormat/>
    <w:rsid w:val="006322A3"/>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6322A3"/>
    <w:rPr>
      <w:i/>
      <w:iCs/>
      <w:color w:val="404040" w:themeColor="text1" w:themeTint="BF"/>
      <w:lang w:val="en-GB"/>
    </w:rPr>
  </w:style>
  <w:style w:type="paragraph" w:styleId="IntenseQuote">
    <w:name w:val="Intense Quote"/>
    <w:basedOn w:val="Normal"/>
    <w:next w:val="Normal"/>
    <w:link w:val="IntenseQuoteChar"/>
    <w:uiPriority w:val="30"/>
    <w:qFormat/>
    <w:rsid w:val="006322A3"/>
    <w:pP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6322A3"/>
    <w:rPr>
      <w:i/>
      <w:iCs/>
      <w:color w:val="4472C4" w:themeColor="accent1"/>
      <w:lang w:val="en-GB"/>
    </w:rPr>
  </w:style>
  <w:style w:type="paragraph" w:styleId="TOC1">
    <w:name w:val="toc 1"/>
    <w:basedOn w:val="Normal"/>
    <w:next w:val="Normal"/>
    <w:uiPriority w:val="39"/>
    <w:unhideWhenUsed/>
    <w:rsid w:val="006322A3"/>
    <w:pPr>
      <w:spacing w:after="100"/>
    </w:pPr>
  </w:style>
  <w:style w:type="paragraph" w:styleId="TOC2">
    <w:name w:val="toc 2"/>
    <w:basedOn w:val="Normal"/>
    <w:next w:val="Normal"/>
    <w:uiPriority w:val="39"/>
    <w:unhideWhenUsed/>
    <w:rsid w:val="006322A3"/>
    <w:pPr>
      <w:spacing w:after="100"/>
      <w:ind w:left="220"/>
    </w:pPr>
  </w:style>
  <w:style w:type="paragraph" w:styleId="TOC3">
    <w:name w:val="toc 3"/>
    <w:basedOn w:val="Normal"/>
    <w:next w:val="Normal"/>
    <w:uiPriority w:val="39"/>
    <w:unhideWhenUsed/>
    <w:rsid w:val="006322A3"/>
    <w:pPr>
      <w:spacing w:after="100"/>
      <w:ind w:left="440"/>
    </w:pPr>
  </w:style>
  <w:style w:type="paragraph" w:styleId="TOC4">
    <w:name w:val="toc 4"/>
    <w:basedOn w:val="Normal"/>
    <w:next w:val="Normal"/>
    <w:uiPriority w:val="39"/>
    <w:unhideWhenUsed/>
    <w:rsid w:val="006322A3"/>
    <w:pPr>
      <w:spacing w:after="100"/>
      <w:ind w:left="660"/>
    </w:pPr>
  </w:style>
  <w:style w:type="paragraph" w:styleId="TOC5">
    <w:name w:val="toc 5"/>
    <w:basedOn w:val="Normal"/>
    <w:next w:val="Normal"/>
    <w:uiPriority w:val="39"/>
    <w:unhideWhenUsed/>
    <w:rsid w:val="006322A3"/>
    <w:pPr>
      <w:spacing w:after="100"/>
      <w:ind w:left="880"/>
    </w:pPr>
  </w:style>
  <w:style w:type="paragraph" w:styleId="TOC6">
    <w:name w:val="toc 6"/>
    <w:basedOn w:val="Normal"/>
    <w:next w:val="Normal"/>
    <w:uiPriority w:val="39"/>
    <w:unhideWhenUsed/>
    <w:rsid w:val="006322A3"/>
    <w:pPr>
      <w:spacing w:after="100"/>
      <w:ind w:left="1100"/>
    </w:pPr>
  </w:style>
  <w:style w:type="paragraph" w:styleId="TOC7">
    <w:name w:val="toc 7"/>
    <w:basedOn w:val="Normal"/>
    <w:next w:val="Normal"/>
    <w:uiPriority w:val="39"/>
    <w:unhideWhenUsed/>
    <w:rsid w:val="006322A3"/>
    <w:pPr>
      <w:spacing w:after="100"/>
      <w:ind w:left="1320"/>
    </w:pPr>
  </w:style>
  <w:style w:type="paragraph" w:styleId="TOC8">
    <w:name w:val="toc 8"/>
    <w:basedOn w:val="Normal"/>
    <w:next w:val="Normal"/>
    <w:uiPriority w:val="39"/>
    <w:unhideWhenUsed/>
    <w:rsid w:val="006322A3"/>
    <w:pPr>
      <w:spacing w:after="100"/>
      <w:ind w:left="1540"/>
    </w:pPr>
  </w:style>
  <w:style w:type="paragraph" w:styleId="TOC9">
    <w:name w:val="toc 9"/>
    <w:basedOn w:val="Normal"/>
    <w:next w:val="Normal"/>
    <w:uiPriority w:val="39"/>
    <w:unhideWhenUsed/>
    <w:rsid w:val="006322A3"/>
    <w:pPr>
      <w:spacing w:after="100"/>
      <w:ind w:left="1760"/>
    </w:pPr>
  </w:style>
  <w:style w:type="paragraph" w:styleId="EndnoteText">
    <w:name w:val="endnote text"/>
    <w:basedOn w:val="Normal"/>
    <w:link w:val="EndnoteTextChar"/>
    <w:uiPriority w:val="99"/>
    <w:semiHidden/>
    <w:unhideWhenUsed/>
    <w:rsid w:val="006322A3"/>
    <w:pPr>
      <w:spacing w:after="0"/>
    </w:pPr>
    <w:rPr>
      <w:sz w:val="20"/>
      <w:szCs w:val="20"/>
    </w:rPr>
  </w:style>
  <w:style w:type="character" w:customStyle="1" w:styleId="EndnoteTextChar">
    <w:name w:val="Endnote Text Char"/>
    <w:basedOn w:val="DefaultParagraphFont"/>
    <w:link w:val="EndnoteText"/>
    <w:uiPriority w:val="99"/>
    <w:semiHidden/>
    <w:rsid w:val="006322A3"/>
    <w:rPr>
      <w:sz w:val="20"/>
      <w:szCs w:val="20"/>
      <w:lang w:val="en-GB"/>
    </w:rPr>
  </w:style>
  <w:style w:type="character" w:customStyle="1" w:styleId="author">
    <w:name w:val="author"/>
    <w:basedOn w:val="DefaultParagraphFont"/>
    <w:rsid w:val="006970D0"/>
  </w:style>
  <w:style w:type="character" w:customStyle="1" w:styleId="articletitle">
    <w:name w:val="articletitle"/>
    <w:basedOn w:val="DefaultParagraphFont"/>
    <w:rsid w:val="006970D0"/>
  </w:style>
  <w:style w:type="character" w:customStyle="1" w:styleId="pubyear">
    <w:name w:val="pubyear"/>
    <w:basedOn w:val="DefaultParagraphFont"/>
    <w:rsid w:val="006970D0"/>
  </w:style>
  <w:style w:type="character" w:customStyle="1" w:styleId="vol">
    <w:name w:val="vol"/>
    <w:basedOn w:val="DefaultParagraphFont"/>
    <w:rsid w:val="006970D0"/>
  </w:style>
  <w:style w:type="character" w:customStyle="1" w:styleId="citedissue">
    <w:name w:val="citedissue"/>
    <w:basedOn w:val="DefaultParagraphFont"/>
    <w:rsid w:val="006970D0"/>
  </w:style>
  <w:style w:type="character" w:customStyle="1" w:styleId="pagefirst">
    <w:name w:val="pagefirst"/>
    <w:basedOn w:val="DefaultParagraphFont"/>
    <w:rsid w:val="006970D0"/>
  </w:style>
  <w:style w:type="character" w:customStyle="1" w:styleId="pagelast">
    <w:name w:val="pagelast"/>
    <w:basedOn w:val="DefaultParagraphFont"/>
    <w:rsid w:val="006970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gi-escr.org/en/our-work/on-the-ground/maastricht-principles-on-the-human-rights-of-future-generations"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gi-escr.org/en/resources/publications/renewable-energy-and-gender-justice-briefing-pape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gi-escr.org/en/resources/publications/loss-and-damage-the-missing-piece"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gi-escr.org/en/resources/publications/setting-a-roadmap-for-a-feminist-green-transformation" TargetMode="External"/><Relationship Id="rId4" Type="http://schemas.openxmlformats.org/officeDocument/2006/relationships/styles" Target="styles.xml"/><Relationship Id="rId9" Type="http://schemas.openxmlformats.org/officeDocument/2006/relationships/hyperlink" Target="https://gi-escr.org/en/resources/publications/states-human-rights-obligations-in-the-context-of-climate-change" TargetMode="External"/><Relationship Id="rId14" Type="http://schemas.openxmlformats.org/officeDocument/2006/relationships/hyperlink" Target="mailto:Alejandra@gi-escr.org"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hyperlink" Target="https://www.gi-escr.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elibrary.imf.org/view/journals/002/2023/121/article-A003-en.xml" TargetMode="External"/><Relationship Id="rId13" Type="http://schemas.openxmlformats.org/officeDocument/2006/relationships/hyperlink" Target="https://assets.researchsquare.com/files/rs-1340558/v1/be125903-0801-4a3a-b082-2e9aa6cde67d.pdf?c=1645112582" TargetMode="External"/><Relationship Id="rId3" Type="http://schemas.openxmlformats.org/officeDocument/2006/relationships/hyperlink" Target="https://www.ohchr.org/en/special-procedures/wg-business/climate-change-and-ungps" TargetMode="External"/><Relationship Id="rId7" Type="http://schemas.openxmlformats.org/officeDocument/2006/relationships/hyperlink" Target="https://www.sei.org/wp-content/uploads/2018/08/how-colombia-can-plan-for-a-future-without-coal.pdf" TargetMode="External"/><Relationship Id="rId12" Type="http://schemas.openxmlformats.org/officeDocument/2006/relationships/hyperlink" Target="https://doi.org/10.1016/j.energy.2022.123711" TargetMode="External"/><Relationship Id="rId2" Type="http://schemas.openxmlformats.org/officeDocument/2006/relationships/hyperlink" Target="https://tbinternet.ohchr.org/_layouts/15/treatybodyexternal/Download.aspx?symbolno=E%2FC.12%2F2002%2F11&amp;Lang=en" TargetMode="External"/><Relationship Id="rId1" Type="http://schemas.openxmlformats.org/officeDocument/2006/relationships/hyperlink" Target="https://www.ohchr.org/en/statements/2018/10/committee-releases-statement-climate-change-and-covenant" TargetMode="External"/><Relationship Id="rId6" Type="http://schemas.openxmlformats.org/officeDocument/2006/relationships/hyperlink" Target="https://bit.ly/HojaRutaTransicionEnergeticaJustaCO" TargetMode="External"/><Relationship Id="rId11" Type="http://schemas.openxmlformats.org/officeDocument/2006/relationships/hyperlink" Target="https://www.frontlinedefenders.org/en/resource-publication/global-analysis-2022" TargetMode="External"/><Relationship Id="rId5" Type="http://schemas.openxmlformats.org/officeDocument/2006/relationships/hyperlink" Target="https://doi.org/10.1111/reel.12412" TargetMode="External"/><Relationship Id="rId15" Type="http://schemas.openxmlformats.org/officeDocument/2006/relationships/hyperlink" Target="https://www.minenergia.gov.co/es/sala-de-prensa/noticias-index/l%C3%ADderes-y-expertos-se-reunieron-en-el-primer-di%C3%A1logo-nacional-para-la-transici%C3%B3n-energ%C3%A9tica-justa-liderado-por-minenerg%C3%ADa/" TargetMode="External"/><Relationship Id="rId10" Type="http://schemas.openxmlformats.org/officeDocument/2006/relationships/hyperlink" Target="https://www.sei.org/wp-content/uploads/2023/03/solar-wind-colombia-sei2023.015.pdf" TargetMode="External"/><Relationship Id="rId4" Type="http://schemas.openxmlformats.org/officeDocument/2006/relationships/hyperlink" Target="https://tbinternet.ohchr.org/_layouts/15/treatybodyexternal/Download.aspx?symbolno=E%2FC.12%2FGC%2F26&amp;Lang=en" TargetMode="External"/><Relationship Id="rId9" Type="http://schemas.openxmlformats.org/officeDocument/2006/relationships/hyperlink" Target="https://media.business-humanrights.org/media/documents/reporte_RE_espanol04.08_BgB3kz3.pdf" TargetMode="External"/><Relationship Id="rId14" Type="http://schemas.openxmlformats.org/officeDocument/2006/relationships/hyperlink" Target="https://www.minenergia.gov.co/documents/10143/MetodologiaHojaRuta-TEJ-2023.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hlY7eiz2e8rCJV9S0cQJxmhLXw==">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</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A02AFDF-8627-499A-9D2C-9C06F7D7D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2877</Words>
  <Characters>16893</Characters>
  <Application>Microsoft Office Word</Application>
  <DocSecurity>0</DocSecurity>
  <Lines>276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Juana Barragan</dc:creator>
  <cp:lastModifiedBy>Celine Reynaud</cp:lastModifiedBy>
  <cp:revision>2</cp:revision>
  <dcterms:created xsi:type="dcterms:W3CDTF">2023-08-24T08:34:00Z</dcterms:created>
  <dcterms:modified xsi:type="dcterms:W3CDTF">2023-08-24T08:34:00Z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0x0101001635EBF2B95EFF4D971B3D52AFC8CD47</vt:lpwstr>
  </property>
  <property fmtid="{D5CDD505-2E9C-101B-9397-08002B2CF9AE}" pid="3" name="MediaServiceImageTags">
    <vt:lpwstr/>
  </property>
  <property fmtid="{D5CDD505-2E9C-101B-9397-08002B2CF9AE}" pid="4" name="GrammarlyDocumentId">
    <vt:lpwstr>88ed6b60a68e1d8d80133869924aec3035c79ddcb187cd13047bede76c035124</vt:lpwstr>
  </property>
</Properties>
</file>