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Source Sans 3" w:cs="Source Sans 3" w:eastAsia="Source Sans 3" w:hAnsi="Source Sans 3"/>
        </w:rPr>
      </w:pPr>
      <w:r w:rsidDel="00000000" w:rsidR="00000000" w:rsidRPr="00000000">
        <w:rPr>
          <w:rFonts w:ascii="Source Sans 3" w:cs="Source Sans 3" w:eastAsia="Source Sans 3" w:hAnsi="Source Sans 3"/>
        </w:rPr>
        <w:drawing>
          <wp:inline distB="114300" distT="114300" distL="114300" distR="114300">
            <wp:extent cx="1971675" cy="685800"/>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971675" cy="685800"/>
                    </a:xfrm>
                    <a:prstGeom prst="rect"/>
                    <a:ln/>
                  </pic:spPr>
                </pic:pic>
              </a:graphicData>
            </a:graphic>
          </wp:inline>
        </w:drawing>
      </w:r>
      <w:r w:rsidDel="00000000" w:rsidR="00000000" w:rsidRPr="00000000">
        <w:rPr>
          <w:rFonts w:ascii="Source Sans 3" w:cs="Source Sans 3" w:eastAsia="Source Sans 3" w:hAnsi="Source Sans 3"/>
          <w:rtl w:val="0"/>
        </w:rPr>
        <w:t xml:space="preserve">                  </w:t>
      </w:r>
      <w:r w:rsidDel="00000000" w:rsidR="00000000" w:rsidRPr="00000000">
        <w:rPr>
          <w:rFonts w:ascii="Source Sans 3" w:cs="Source Sans 3" w:eastAsia="Source Sans 3" w:hAnsi="Source Sans 3"/>
        </w:rPr>
        <w:drawing>
          <wp:inline distB="114300" distT="114300" distL="114300" distR="114300">
            <wp:extent cx="1071563" cy="1500188"/>
            <wp:effectExtent b="0" l="0" r="0" t="0"/>
            <wp:docPr id="1"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1071563" cy="150018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03">
      <w:pPr>
        <w:jc w:val="center"/>
        <w:rPr>
          <w:rFonts w:ascii="Source Sans 3" w:cs="Source Sans 3" w:eastAsia="Source Sans 3" w:hAnsi="Source Sans 3"/>
          <w:b w:val="1"/>
          <w:bCs w:val="1"/>
        </w:rPr>
      </w:pPr>
      <w:r w:rsidDel="00000000" w:rsidR="00000000" w:rsidRPr="00000000">
        <w:rPr>
          <w:rtl w:val="0"/>
        </w:rPr>
      </w:r>
    </w:p>
    <w:p w:rsidR="00000000" w:rsidDel="00000000" w:rsidP="00000000" w:rsidRDefault="00000000" w:rsidRPr="00000000" w14:paraId="00000004">
      <w:pPr>
        <w:pStyle w:val="Heading1"/>
        <w:jc w:val="center"/>
        <w:rPr>
          <w:rFonts w:ascii="Source Sans 3" w:cs="Source Sans 3" w:eastAsia="Source Sans 3" w:hAnsi="Source Sans 3"/>
          <w:b w:val="1"/>
          <w:bCs w:val="1"/>
        </w:rPr>
      </w:pPr>
      <w:bookmarkStart w:colFirst="0" w:colLast="0" w:name="_qqfs4rsermbu" w:id="0"/>
      <w:bookmarkEnd w:id="0"/>
      <w:r w:rsidDel="00000000" w:rsidR="00000000" w:rsidRPr="00000000">
        <w:rPr>
          <w:rFonts w:ascii="Source Sans 3" w:cs="Source Sans 3" w:eastAsia="Source Sans 3" w:hAnsi="Source Sans 3"/>
          <w:b w:val="1"/>
          <w:bCs w:val="1"/>
          <w:rtl w:val="0"/>
        </w:rPr>
        <w:t xml:space="preserve">Presentación ante el Comité de Derechos Humanos sobre el seguimiento de las Observaciones finales relativas al sexto informe periódico de Uruguay</w:t>
      </w:r>
    </w:p>
    <w:p w:rsidR="00000000" w:rsidDel="00000000" w:rsidP="00000000" w:rsidRDefault="00000000" w:rsidRPr="00000000" w14:paraId="00000005">
      <w:pPr>
        <w:ind w:left="270" w:firstLine="0"/>
        <w:jc w:val="center"/>
        <w:rPr>
          <w:rFonts w:ascii="Source Sans 3" w:cs="Source Sans 3" w:eastAsia="Source Sans 3" w:hAnsi="Source Sans 3"/>
          <w:b w:val="1"/>
          <w:bCs w:val="1"/>
        </w:rPr>
      </w:pPr>
      <w:r w:rsidDel="00000000" w:rsidR="00000000" w:rsidRPr="00000000">
        <w:rPr>
          <w:rtl w:val="0"/>
        </w:rPr>
      </w:r>
    </w:p>
    <w:sdt>
      <w:sdtPr>
        <w:id w:val="-904126168"/>
        <w:docPartObj>
          <w:docPartGallery w:val="Table of Contents"/>
          <w:docPartUnique w:val="1"/>
        </w:docPartObj>
      </w:sdtPr>
      <w:sdtContent>
        <w:p w:rsidR="00000000" w:rsidDel="00000000" w:rsidP="00000000" w:rsidRDefault="00000000" w:rsidRPr="00000000" w14:paraId="00000006">
          <w:pPr>
            <w:widowControl w:val="0"/>
            <w:tabs>
              <w:tab w:val="right" w:leader="none" w:pos="12000"/>
            </w:tabs>
            <w:spacing w:before="60" w:line="240" w:lineRule="auto"/>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qqfs4rsermbu">
            <w:r w:rsidDel="00000000" w:rsidR="00000000" w:rsidRPr="00000000">
              <w:rPr>
                <w:rFonts w:ascii="Source Sans 3" w:cs="Source Sans 3" w:eastAsia="Source Sans 3" w:hAnsi="Source Sans 3"/>
                <w:b w:val="1"/>
                <w:bCs w:val="1"/>
                <w:i w:val="0"/>
                <w:iCs w:val="0"/>
                <w:smallCaps w:val="0"/>
                <w:strike w:val="0"/>
                <w:color w:val="000000"/>
                <w:sz w:val="22"/>
                <w:szCs w:val="22"/>
                <w:u w:val="none"/>
                <w:shd w:fill="auto" w:val="clear"/>
                <w:vertAlign w:val="baseline"/>
                <w:rtl w:val="0"/>
              </w:rPr>
              <w:t xml:space="preserve">Presentación ante el Comité de Derechos Humanos sobre el seguimiento de las Observaciones finales relativas al sexto informe periódico de Uruguay</w:t>
              <w:tab/>
              <w:t xml:space="preserve">0</w:t>
            </w:r>
          </w:hyperlink>
          <w:r w:rsidDel="00000000" w:rsidR="00000000" w:rsidRPr="00000000">
            <w:rPr>
              <w:rtl w:val="0"/>
            </w:rPr>
          </w:r>
        </w:p>
        <w:p w:rsidR="00000000" w:rsidDel="00000000" w:rsidP="00000000" w:rsidRDefault="00000000" w:rsidRPr="00000000" w14:paraId="00000007">
          <w:pPr>
            <w:widowControl w:val="0"/>
            <w:tabs>
              <w:tab w:val="right" w:leader="none" w:pos="12000"/>
            </w:tabs>
            <w:spacing w:before="60" w:line="240" w:lineRule="auto"/>
            <w:ind w:left="360" w:firstLine="0"/>
            <w:rPr>
              <w:color w:val="000000"/>
              <w:u w:val="none"/>
            </w:rPr>
          </w:pPr>
          <w:hyperlink w:anchor="_m6vigxtxgqzz">
            <w:r w:rsidDel="00000000" w:rsidR="00000000" w:rsidRPr="00000000">
              <w:rPr>
                <w:rFonts w:ascii="Source Sans 3" w:cs="Source Sans 3" w:eastAsia="Source Sans 3" w:hAnsi="Source Sans 3"/>
                <w:b w:val="0"/>
                <w:bCs w:val="0"/>
                <w:i w:val="0"/>
                <w:iCs w:val="0"/>
                <w:smallCaps w:val="0"/>
                <w:strike w:val="0"/>
                <w:color w:val="000000"/>
                <w:sz w:val="22"/>
                <w:szCs w:val="22"/>
                <w:u w:val="none"/>
                <w:shd w:fill="auto" w:val="clear"/>
                <w:vertAlign w:val="baseline"/>
                <w:rtl w:val="0"/>
              </w:rPr>
              <w:t xml:space="preserve">I. Introducción</w:t>
              <w:tab/>
              <w:t xml:space="preserve">1</w:t>
            </w:r>
          </w:hyperlink>
          <w:r w:rsidDel="00000000" w:rsidR="00000000" w:rsidRPr="00000000">
            <w:rPr>
              <w:rtl w:val="0"/>
            </w:rPr>
          </w:r>
        </w:p>
        <w:p w:rsidR="00000000" w:rsidDel="00000000" w:rsidP="00000000" w:rsidRDefault="00000000" w:rsidRPr="00000000" w14:paraId="00000008">
          <w:pPr>
            <w:widowControl w:val="0"/>
            <w:tabs>
              <w:tab w:val="right" w:leader="none" w:pos="12000"/>
            </w:tabs>
            <w:spacing w:before="60" w:line="240" w:lineRule="auto"/>
            <w:ind w:left="360" w:firstLine="0"/>
            <w:rPr>
              <w:color w:val="000000"/>
              <w:u w:val="none"/>
            </w:rPr>
          </w:pPr>
          <w:hyperlink w:anchor="_vpquy3o6jnu2">
            <w:r w:rsidDel="00000000" w:rsidR="00000000" w:rsidRPr="00000000">
              <w:rPr>
                <w:rFonts w:ascii="Source Sans 3" w:cs="Source Sans 3" w:eastAsia="Source Sans 3" w:hAnsi="Source Sans 3"/>
                <w:b w:val="0"/>
                <w:bCs w:val="0"/>
                <w:i w:val="0"/>
                <w:iCs w:val="0"/>
                <w:smallCaps w:val="0"/>
                <w:strike w:val="0"/>
                <w:color w:val="000000"/>
                <w:sz w:val="22"/>
                <w:szCs w:val="22"/>
                <w:u w:val="none"/>
                <w:shd w:fill="auto" w:val="clear"/>
                <w:vertAlign w:val="baseline"/>
                <w:rtl w:val="0"/>
              </w:rPr>
              <w:t xml:space="preserve">II. Información de seguimiento</w:t>
              <w:tab/>
              <w:t xml:space="preserve">2</w:t>
            </w:r>
          </w:hyperlink>
          <w:r w:rsidDel="00000000" w:rsidR="00000000" w:rsidRPr="00000000">
            <w:rPr>
              <w:rtl w:val="0"/>
            </w:rPr>
          </w:r>
        </w:p>
        <w:p w:rsidR="00000000" w:rsidDel="00000000" w:rsidP="00000000" w:rsidRDefault="00000000" w:rsidRPr="00000000" w14:paraId="00000009">
          <w:pPr>
            <w:widowControl w:val="0"/>
            <w:tabs>
              <w:tab w:val="right" w:leader="none" w:pos="12000"/>
            </w:tabs>
            <w:spacing w:before="60" w:line="240" w:lineRule="auto"/>
            <w:ind w:left="720" w:firstLine="0"/>
            <w:rPr>
              <w:color w:val="000000"/>
              <w:u w:val="none"/>
            </w:rPr>
          </w:pPr>
          <w:hyperlink w:anchor="_8bpvfkbb6hae">
            <w:r w:rsidDel="00000000" w:rsidR="00000000" w:rsidRPr="00000000">
              <w:rPr>
                <w:rFonts w:ascii="Source Sans 3" w:cs="Source Sans 3" w:eastAsia="Source Sans 3" w:hAnsi="Source Sans 3"/>
                <w:b w:val="0"/>
                <w:bCs w:val="0"/>
                <w:i w:val="0"/>
                <w:iCs w:val="0"/>
                <w:smallCaps w:val="0"/>
                <w:strike w:val="0"/>
                <w:color w:val="000000"/>
                <w:sz w:val="22"/>
                <w:szCs w:val="22"/>
                <w:u w:val="none"/>
                <w:shd w:fill="auto" w:val="clear"/>
                <w:vertAlign w:val="baseline"/>
                <w:rtl w:val="0"/>
              </w:rPr>
              <w:t xml:space="preserve">a. Prevención, investigación y sanción de la violencia de género</w:t>
              <w:tab/>
              <w:t xml:space="preserve">2</w:t>
            </w:r>
          </w:hyperlink>
          <w:r w:rsidDel="00000000" w:rsidR="00000000" w:rsidRPr="00000000">
            <w:rPr>
              <w:rtl w:val="0"/>
            </w:rPr>
          </w:r>
        </w:p>
        <w:p w:rsidR="00000000" w:rsidDel="00000000" w:rsidP="00000000" w:rsidRDefault="00000000" w:rsidRPr="00000000" w14:paraId="0000000A">
          <w:pPr>
            <w:widowControl w:val="0"/>
            <w:tabs>
              <w:tab w:val="right" w:leader="none" w:pos="12000"/>
            </w:tabs>
            <w:spacing w:before="60" w:line="240" w:lineRule="auto"/>
            <w:ind w:left="720" w:firstLine="0"/>
            <w:rPr>
              <w:color w:val="000000"/>
              <w:u w:val="none"/>
            </w:rPr>
          </w:pPr>
          <w:hyperlink w:anchor="_yjal8s1fwsih">
            <w:r w:rsidDel="00000000" w:rsidR="00000000" w:rsidRPr="00000000">
              <w:rPr>
                <w:rFonts w:ascii="Source Sans 3" w:cs="Source Sans 3" w:eastAsia="Source Sans 3" w:hAnsi="Source Sans 3"/>
                <w:b w:val="0"/>
                <w:bCs w:val="0"/>
                <w:i w:val="0"/>
                <w:iCs w:val="0"/>
                <w:smallCaps w:val="0"/>
                <w:strike w:val="0"/>
                <w:color w:val="000000"/>
                <w:sz w:val="22"/>
                <w:szCs w:val="22"/>
                <w:u w:val="none"/>
                <w:shd w:fill="auto" w:val="clear"/>
                <w:vertAlign w:val="baseline"/>
                <w:rtl w:val="0"/>
              </w:rPr>
              <w:t xml:space="preserve">b. Desafíos legislativos en materia de violencia sexual</w:t>
              <w:tab/>
              <w:t xml:space="preserve">4</w:t>
            </w:r>
          </w:hyperlink>
          <w:r w:rsidDel="00000000" w:rsidR="00000000" w:rsidRPr="00000000">
            <w:rPr>
              <w:rtl w:val="0"/>
            </w:rPr>
          </w:r>
        </w:p>
        <w:p w:rsidR="00000000" w:rsidDel="00000000" w:rsidP="00000000" w:rsidRDefault="00000000" w:rsidRPr="00000000" w14:paraId="0000000B">
          <w:pPr>
            <w:widowControl w:val="0"/>
            <w:tabs>
              <w:tab w:val="right" w:leader="none" w:pos="12000"/>
            </w:tabs>
            <w:spacing w:before="60" w:line="240" w:lineRule="auto"/>
            <w:ind w:left="720" w:firstLine="0"/>
            <w:rPr>
              <w:color w:val="000000"/>
              <w:u w:val="none"/>
            </w:rPr>
          </w:pPr>
          <w:hyperlink w:anchor="_u0bx3hkzz4c0">
            <w:r w:rsidDel="00000000" w:rsidR="00000000" w:rsidRPr="00000000">
              <w:rPr>
                <w:rFonts w:ascii="Source Sans 3" w:cs="Source Sans 3" w:eastAsia="Source Sans 3" w:hAnsi="Source Sans 3"/>
                <w:b w:val="0"/>
                <w:bCs w:val="0"/>
                <w:i w:val="0"/>
                <w:iCs w:val="0"/>
                <w:smallCaps w:val="0"/>
                <w:strike w:val="0"/>
                <w:color w:val="000000"/>
                <w:sz w:val="22"/>
                <w:szCs w:val="22"/>
                <w:u w:val="none"/>
                <w:shd w:fill="auto" w:val="clear"/>
                <w:vertAlign w:val="baseline"/>
                <w:rtl w:val="0"/>
              </w:rPr>
              <w:t xml:space="preserve">c. Violencia sexual contra niños, niñas y adolescentes</w:t>
              <w:tab/>
              <w:t xml:space="preserve">6</w:t>
            </w:r>
          </w:hyperlink>
          <w:r w:rsidDel="00000000" w:rsidR="00000000" w:rsidRPr="00000000">
            <w:rPr>
              <w:rtl w:val="0"/>
            </w:rPr>
          </w:r>
        </w:p>
        <w:p w:rsidR="00000000" w:rsidDel="00000000" w:rsidP="00000000" w:rsidRDefault="00000000" w:rsidRPr="00000000" w14:paraId="0000000C">
          <w:pPr>
            <w:widowControl w:val="0"/>
            <w:tabs>
              <w:tab w:val="right" w:leader="none" w:pos="12000"/>
            </w:tabs>
            <w:spacing w:before="60" w:line="240" w:lineRule="auto"/>
            <w:ind w:left="720" w:firstLine="0"/>
            <w:rPr>
              <w:color w:val="000000"/>
              <w:u w:val="none"/>
            </w:rPr>
          </w:pPr>
          <w:hyperlink w:anchor="_8vjp8c6osgug">
            <w:r w:rsidDel="00000000" w:rsidR="00000000" w:rsidRPr="00000000">
              <w:rPr>
                <w:rFonts w:ascii="Source Sans 3" w:cs="Source Sans 3" w:eastAsia="Source Sans 3" w:hAnsi="Source Sans 3"/>
                <w:b w:val="0"/>
                <w:bCs w:val="0"/>
                <w:i w:val="0"/>
                <w:iCs w:val="0"/>
                <w:smallCaps w:val="0"/>
                <w:strike w:val="0"/>
                <w:color w:val="000000"/>
                <w:sz w:val="22"/>
                <w:szCs w:val="22"/>
                <w:u w:val="none"/>
                <w:shd w:fill="auto" w:val="clear"/>
                <w:vertAlign w:val="baseline"/>
                <w:rtl w:val="0"/>
              </w:rPr>
              <w:t xml:space="preserve">d. Sistema de monitoreo</w:t>
              <w:tab/>
              <w:t xml:space="preserve">7</w:t>
            </w:r>
          </w:hyperlink>
          <w:r w:rsidDel="00000000" w:rsidR="00000000" w:rsidRPr="00000000">
            <w:rPr>
              <w:rtl w:val="0"/>
            </w:rPr>
          </w:r>
        </w:p>
        <w:p w:rsidR="00000000" w:rsidDel="00000000" w:rsidP="00000000" w:rsidRDefault="00000000" w:rsidRPr="00000000" w14:paraId="0000000D">
          <w:pPr>
            <w:widowControl w:val="0"/>
            <w:tabs>
              <w:tab w:val="right" w:leader="none" w:pos="12000"/>
            </w:tabs>
            <w:spacing w:before="60" w:line="240" w:lineRule="auto"/>
            <w:ind w:left="360" w:firstLine="0"/>
            <w:rPr>
              <w:color w:val="000000"/>
              <w:u w:val="none"/>
            </w:rPr>
          </w:pPr>
          <w:hyperlink w:anchor="_7vqhtth58xa5">
            <w:r w:rsidDel="00000000" w:rsidR="00000000" w:rsidRPr="00000000">
              <w:rPr>
                <w:rFonts w:ascii="Source Sans 3" w:cs="Source Sans 3" w:eastAsia="Source Sans 3" w:hAnsi="Source Sans 3"/>
                <w:b w:val="0"/>
                <w:bCs w:val="0"/>
                <w:i w:val="0"/>
                <w:iCs w:val="0"/>
                <w:smallCaps w:val="0"/>
                <w:strike w:val="0"/>
                <w:color w:val="000000"/>
                <w:sz w:val="22"/>
                <w:szCs w:val="22"/>
                <w:u w:val="none"/>
                <w:shd w:fill="auto" w:val="clear"/>
                <w:vertAlign w:val="baseline"/>
                <w:rtl w:val="0"/>
              </w:rPr>
              <w:t xml:space="preserve">III. Recomendaciones</w:t>
              <w:tab/>
              <w:t xml:space="preserve">8</w:t>
            </w:r>
          </w:hyperlink>
          <w:r w:rsidDel="00000000" w:rsidR="00000000" w:rsidRPr="00000000">
            <w:rPr>
              <w:rtl w:val="0"/>
            </w:rPr>
          </w:r>
        </w:p>
        <w:p w:rsidR="00000000" w:rsidDel="00000000" w:rsidP="00000000" w:rsidRDefault="00000000" w:rsidRPr="00000000" w14:paraId="0000000E">
          <w:pPr>
            <w:widowControl w:val="0"/>
            <w:tabs>
              <w:tab w:val="right" w:leader="none" w:pos="12000"/>
            </w:tabs>
            <w:spacing w:before="60" w:line="240" w:lineRule="auto"/>
            <w:ind w:left="720" w:firstLine="0"/>
            <w:rPr>
              <w:color w:val="000000"/>
              <w:u w:val="none"/>
            </w:rPr>
          </w:pPr>
          <w:hyperlink w:anchor="_b168ut6tiw4q">
            <w:r w:rsidDel="00000000" w:rsidR="00000000" w:rsidRPr="00000000">
              <w:rPr>
                <w:rFonts w:ascii="Source Sans 3" w:cs="Source Sans 3" w:eastAsia="Source Sans 3" w:hAnsi="Source Sans 3"/>
                <w:b w:val="0"/>
                <w:bCs w:val="0"/>
                <w:i w:val="0"/>
                <w:iCs w:val="0"/>
                <w:smallCaps w:val="0"/>
                <w:strike w:val="0"/>
                <w:color w:val="000000"/>
                <w:sz w:val="22"/>
                <w:szCs w:val="22"/>
                <w:u w:val="none"/>
                <w:shd w:fill="auto" w:val="clear"/>
                <w:vertAlign w:val="baseline"/>
                <w:rtl w:val="0"/>
              </w:rPr>
              <w:t xml:space="preserve">Marco normativo</w:t>
              <w:tab/>
              <w:t xml:space="preserve">8</w:t>
            </w:r>
          </w:hyperlink>
          <w:r w:rsidDel="00000000" w:rsidR="00000000" w:rsidRPr="00000000">
            <w:rPr>
              <w:rtl w:val="0"/>
            </w:rPr>
          </w:r>
        </w:p>
        <w:p w:rsidR="00000000" w:rsidDel="00000000" w:rsidP="00000000" w:rsidRDefault="00000000" w:rsidRPr="00000000" w14:paraId="0000000F">
          <w:pPr>
            <w:widowControl w:val="0"/>
            <w:tabs>
              <w:tab w:val="right" w:leader="none" w:pos="12000"/>
            </w:tabs>
            <w:spacing w:before="60" w:line="240" w:lineRule="auto"/>
            <w:ind w:left="720" w:firstLine="0"/>
            <w:rPr>
              <w:color w:val="000000"/>
              <w:u w:val="none"/>
            </w:rPr>
          </w:pPr>
          <w:hyperlink w:anchor="_y8lxqn4i07uz">
            <w:r w:rsidDel="00000000" w:rsidR="00000000" w:rsidRPr="00000000">
              <w:rPr>
                <w:rFonts w:ascii="Source Sans 3" w:cs="Source Sans 3" w:eastAsia="Source Sans 3" w:hAnsi="Source Sans 3"/>
                <w:b w:val="0"/>
                <w:bCs w:val="0"/>
                <w:i w:val="0"/>
                <w:iCs w:val="0"/>
                <w:smallCaps w:val="0"/>
                <w:strike w:val="0"/>
                <w:color w:val="000000"/>
                <w:sz w:val="22"/>
                <w:szCs w:val="22"/>
                <w:u w:val="none"/>
                <w:shd w:fill="auto" w:val="clear"/>
                <w:vertAlign w:val="baseline"/>
                <w:rtl w:val="0"/>
              </w:rPr>
              <w:t xml:space="preserve">Debida diligencia, capacitación y sistemas de información</w:t>
              <w:tab/>
              <w:t xml:space="preserve">9</w:t>
            </w:r>
          </w:hyperlink>
          <w:r w:rsidDel="00000000" w:rsidR="00000000" w:rsidRPr="00000000">
            <w:rPr>
              <w:rtl w:val="0"/>
            </w:rPr>
          </w:r>
        </w:p>
        <w:p w:rsidR="00000000" w:rsidDel="00000000" w:rsidP="00000000" w:rsidRDefault="00000000" w:rsidRPr="00000000" w14:paraId="00000010">
          <w:pPr>
            <w:widowControl w:val="0"/>
            <w:tabs>
              <w:tab w:val="right" w:leader="none" w:pos="12000"/>
            </w:tabs>
            <w:spacing w:before="60" w:line="240" w:lineRule="auto"/>
            <w:ind w:left="720" w:firstLine="0"/>
            <w:rPr>
              <w:color w:val="000000"/>
              <w:u w:val="none"/>
            </w:rPr>
          </w:pPr>
          <w:hyperlink w:anchor="_2ecil1tig4c1">
            <w:r w:rsidDel="00000000" w:rsidR="00000000" w:rsidRPr="00000000">
              <w:rPr>
                <w:rFonts w:ascii="Source Sans 3" w:cs="Source Sans 3" w:eastAsia="Source Sans 3" w:hAnsi="Source Sans 3"/>
                <w:b w:val="0"/>
                <w:bCs w:val="0"/>
                <w:i w:val="0"/>
                <w:iCs w:val="0"/>
                <w:smallCaps w:val="0"/>
                <w:strike w:val="0"/>
                <w:color w:val="000000"/>
                <w:sz w:val="22"/>
                <w:szCs w:val="22"/>
                <w:u w:val="none"/>
                <w:shd w:fill="auto" w:val="clear"/>
                <w:vertAlign w:val="baseline"/>
                <w:rtl w:val="0"/>
              </w:rPr>
              <w:t xml:space="preserve">Eliminación de estereotipos y enfoque interseccional</w:t>
              <w:tab/>
              <w:t xml:space="preserve">10</w:t>
            </w:r>
          </w:hyperlink>
          <w:r w:rsidDel="00000000" w:rsidR="00000000" w:rsidRPr="00000000">
            <w:rPr>
              <w:rtl w:val="0"/>
            </w:rPr>
          </w:r>
        </w:p>
        <w:p w:rsidR="00000000" w:rsidDel="00000000" w:rsidP="00000000" w:rsidRDefault="00000000" w:rsidRPr="00000000" w14:paraId="00000011">
          <w:pPr>
            <w:widowControl w:val="0"/>
            <w:tabs>
              <w:tab w:val="right" w:leader="none" w:pos="12000"/>
            </w:tabs>
            <w:spacing w:before="60" w:line="240" w:lineRule="auto"/>
            <w:ind w:left="360" w:firstLine="0"/>
            <w:rPr>
              <w:color w:val="000000"/>
              <w:u w:val="none"/>
            </w:rPr>
          </w:pPr>
          <w:hyperlink w:anchor="_6512hkdbvxi8">
            <w:r w:rsidDel="00000000" w:rsidR="00000000" w:rsidRPr="00000000">
              <w:rPr>
                <w:rFonts w:ascii="Source Sans 3" w:cs="Source Sans 3" w:eastAsia="Source Sans 3" w:hAnsi="Source Sans 3"/>
                <w:b w:val="0"/>
                <w:bCs w:val="0"/>
                <w:i w:val="0"/>
                <w:iCs w:val="0"/>
                <w:smallCaps w:val="0"/>
                <w:strike w:val="0"/>
                <w:color w:val="000000"/>
                <w:sz w:val="22"/>
                <w:szCs w:val="22"/>
                <w:u w:val="none"/>
                <w:shd w:fill="auto" w:val="clear"/>
                <w:vertAlign w:val="baseline"/>
                <w:rtl w:val="0"/>
              </w:rPr>
              <w:t xml:space="preserve">Anexo I</w:t>
              <w:tab/>
              <w:t xml:space="preserve">10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2">
      <w:pPr>
        <w:spacing w:after="240" w:before="240" w:lineRule="auto"/>
        <w:ind w:firstLine="810"/>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13">
      <w:pPr>
        <w:jc w:val="both"/>
        <w:rPr>
          <w:rFonts w:ascii="Source Sans 3" w:cs="Source Sans 3" w:eastAsia="Source Sans 3" w:hAnsi="Source Sans 3"/>
          <w:b w:val="1"/>
          <w:bCs w:val="1"/>
        </w:rPr>
      </w:pPr>
      <w:r w:rsidDel="00000000" w:rsidR="00000000" w:rsidRPr="00000000">
        <w:rPr>
          <w:rtl w:val="0"/>
        </w:rPr>
      </w:r>
    </w:p>
    <w:p w:rsidR="00000000" w:rsidDel="00000000" w:rsidP="00000000" w:rsidRDefault="00000000" w:rsidRPr="00000000" w14:paraId="00000014">
      <w:pPr>
        <w:jc w:val="both"/>
        <w:rPr>
          <w:rFonts w:ascii="Source Sans 3" w:cs="Source Sans 3" w:eastAsia="Source Sans 3" w:hAnsi="Source Sans 3"/>
          <w:b w:val="1"/>
          <w:bCs w:val="1"/>
        </w:rPr>
      </w:pPr>
      <w:r w:rsidDel="00000000" w:rsidR="00000000" w:rsidRPr="00000000">
        <w:rPr>
          <w:rtl w:val="0"/>
        </w:rPr>
      </w:r>
    </w:p>
    <w:p w:rsidR="00000000" w:rsidDel="00000000" w:rsidP="00000000" w:rsidRDefault="00000000" w:rsidRPr="00000000" w14:paraId="00000015">
      <w:pPr>
        <w:jc w:val="both"/>
        <w:rPr>
          <w:rFonts w:ascii="Source Sans 3" w:cs="Source Sans 3" w:eastAsia="Source Sans 3" w:hAnsi="Source Sans 3"/>
          <w:b w:val="1"/>
          <w:bCs w:val="1"/>
        </w:rPr>
      </w:pPr>
      <w:r w:rsidDel="00000000" w:rsidR="00000000" w:rsidRPr="00000000">
        <w:rPr>
          <w:rtl w:val="0"/>
        </w:rPr>
      </w:r>
    </w:p>
    <w:p w:rsidR="00000000" w:rsidDel="00000000" w:rsidP="00000000" w:rsidRDefault="00000000" w:rsidRPr="00000000" w14:paraId="00000016">
      <w:pPr>
        <w:pStyle w:val="Heading2"/>
        <w:rPr>
          <w:rFonts w:ascii="Source Sans 3" w:cs="Source Sans 3" w:eastAsia="Source Sans 3" w:hAnsi="Source Sans 3"/>
          <w:b w:val="1"/>
          <w:bCs w:val="1"/>
          <w:sz w:val="28"/>
          <w:szCs w:val="28"/>
        </w:rPr>
      </w:pPr>
      <w:bookmarkStart w:colFirst="0" w:colLast="0" w:name="_m6vigxtxgqzz" w:id="1"/>
      <w:bookmarkEnd w:id="1"/>
      <w:r w:rsidDel="00000000" w:rsidR="00000000" w:rsidRPr="00000000">
        <w:rPr>
          <w:rFonts w:ascii="Source Sans 3" w:cs="Source Sans 3" w:eastAsia="Source Sans 3" w:hAnsi="Source Sans 3"/>
          <w:b w:val="1"/>
          <w:bCs w:val="1"/>
          <w:sz w:val="28"/>
          <w:szCs w:val="28"/>
          <w:rtl w:val="0"/>
        </w:rPr>
        <w:t xml:space="preserve">I. Introducción</w:t>
      </w:r>
    </w:p>
    <w:p w:rsidR="00000000" w:rsidDel="00000000" w:rsidP="00000000" w:rsidRDefault="00000000" w:rsidRPr="00000000" w14:paraId="00000017">
      <w:pPr>
        <w:numPr>
          <w:ilvl w:val="0"/>
          <w:numId w:val="1"/>
        </w:numPr>
        <w:spacing w:after="240" w:before="240" w:lineRule="auto"/>
        <w:ind w:lef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En sus observaciones finales al sexto informe periódico del Uruguay, el Comité de Derechos Humanos (en adelante, el Comité) expresó preocupación por la persistencia de la violencia contra mujeres, niñas y adolescentes y por las dificultades para asegurar la implementación efectiva de la Ley N.º 19.580</w:t>
      </w:r>
      <w:r w:rsidDel="00000000" w:rsidR="00000000" w:rsidRPr="00000000">
        <w:rPr>
          <w:rFonts w:ascii="Source Sans 3" w:cs="Source Sans 3" w:eastAsia="Source Sans 3" w:hAnsi="Source Sans 3"/>
          <w:vertAlign w:val="superscript"/>
        </w:rPr>
        <w:footnoteReference w:customMarkFollows="0" w:id="0"/>
      </w:r>
      <w:r w:rsidDel="00000000" w:rsidR="00000000" w:rsidRPr="00000000">
        <w:rPr>
          <w:rFonts w:ascii="Source Sans 3" w:cs="Source Sans 3" w:eastAsia="Source Sans 3" w:hAnsi="Source Sans 3"/>
          <w:vertAlign w:val="superscript"/>
        </w:rPr>
        <w:footnoteReference w:customMarkFollows="0" w:id="1"/>
      </w:r>
      <w:r w:rsidDel="00000000" w:rsidR="00000000" w:rsidRPr="00000000">
        <w:rPr>
          <w:rFonts w:ascii="Source Sans 3" w:cs="Source Sans 3" w:eastAsia="Source Sans 3" w:hAnsi="Source Sans 3"/>
          <w:rtl w:val="0"/>
        </w:rPr>
        <w:t xml:space="preserve">. El Comité señaló debilidades en la disponibilidad de recursos, la capacitación de los operadores, el acceso a la justicia, la investigación efectiva de los casos y la garantía de reparación integral a las víctimas.</w:t>
      </w:r>
    </w:p>
    <w:p w:rsidR="00000000" w:rsidDel="00000000" w:rsidP="00000000" w:rsidRDefault="00000000" w:rsidRPr="00000000" w14:paraId="00000018">
      <w:pPr>
        <w:spacing w:after="240" w:before="240" w:lineRule="auto"/>
        <w:ind w:left="720" w:firstLine="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19">
      <w:pPr>
        <w:numPr>
          <w:ilvl w:val="0"/>
          <w:numId w:val="1"/>
        </w:numPr>
        <w:spacing w:after="240" w:before="240" w:lineRule="auto"/>
        <w:ind w:lef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En el marco del procedimiento de seguimiento previsto en el artículo 75, párrafo 1, de su reglamento, el Comité solicitó información sobre la implementación de las recomendaciones que consideró prioritarias. Entre ellas, las contenidas en los párrafos 15 (violencia contra la mujer y violencia doméstica) y 25 (acceso a la justicia, independencia judicial y derecho a un juicio imparcial), que son el foco del presente informe.</w:t>
      </w:r>
    </w:p>
    <w:p w:rsidR="00000000" w:rsidDel="00000000" w:rsidP="00000000" w:rsidRDefault="00000000" w:rsidRPr="00000000" w14:paraId="0000001A">
      <w:pPr>
        <w:spacing w:after="240" w:before="240" w:lineRule="auto"/>
        <w:ind w:left="720" w:firstLine="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1B">
      <w:pPr>
        <w:numPr>
          <w:ilvl w:val="0"/>
          <w:numId w:val="1"/>
        </w:numPr>
        <w:spacing w:after="240" w:before="240" w:lineRule="auto"/>
        <w:ind w:lef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Al respecto, en su informe de seguimiento, el Estado destacó avances vinculados al fortalecimiento de los servicios de atención y protección, la expansión de la coordinación interinstitucional, la creación de juzgados y fiscalías especializadas y el despliegue de diversas medidas orientadas a mejorar el acceso a la justicia de las víctimas y sobrevivientes.</w:t>
      </w:r>
      <w:r w:rsidDel="00000000" w:rsidR="00000000" w:rsidRPr="00000000">
        <w:rPr>
          <w:rFonts w:ascii="Source Sans 3" w:cs="Source Sans 3" w:eastAsia="Source Sans 3" w:hAnsi="Source Sans 3"/>
          <w:vertAlign w:val="superscript"/>
        </w:rPr>
        <w:footnoteReference w:customMarkFollows="0" w:id="2"/>
      </w:r>
      <w:r w:rsidDel="00000000" w:rsidR="00000000" w:rsidRPr="00000000">
        <w:rPr>
          <w:rtl w:val="0"/>
        </w:rPr>
      </w:r>
    </w:p>
    <w:p w:rsidR="00000000" w:rsidDel="00000000" w:rsidP="00000000" w:rsidRDefault="00000000" w:rsidRPr="00000000" w14:paraId="0000001C">
      <w:pPr>
        <w:spacing w:after="240" w:before="240" w:lineRule="auto"/>
        <w:ind w:left="720" w:firstLine="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1D">
      <w:pPr>
        <w:numPr>
          <w:ilvl w:val="0"/>
          <w:numId w:val="1"/>
        </w:numPr>
        <w:spacing w:after="240" w:before="240" w:lineRule="auto"/>
        <w:ind w:lef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Sin perjuicio de estos progresos, persisten brechas estructurales que limitan la implementación efectiva de las recomendaciones del Comité. El presente informe identifica los desafíos persistentes y formula propuestas orientadas a fortalecer la respuesta del Estado frente a la violencia contra las mujeres, niñas y adolescentes.</w:t>
      </w:r>
    </w:p>
    <w:p w:rsidR="00000000" w:rsidDel="00000000" w:rsidP="00000000" w:rsidRDefault="00000000" w:rsidRPr="00000000" w14:paraId="0000001E">
      <w:pPr>
        <w:pStyle w:val="Heading2"/>
        <w:spacing w:after="240" w:before="240" w:lineRule="auto"/>
        <w:ind w:hanging="360"/>
        <w:rPr>
          <w:rFonts w:ascii="Source Sans 3" w:cs="Source Sans 3" w:eastAsia="Source Sans 3" w:hAnsi="Source Sans 3"/>
          <w:b w:val="1"/>
          <w:bCs w:val="1"/>
          <w:sz w:val="28"/>
          <w:szCs w:val="28"/>
        </w:rPr>
      </w:pPr>
      <w:bookmarkStart w:colFirst="0" w:colLast="0" w:name="_vpquy3o6jnu2" w:id="2"/>
      <w:bookmarkEnd w:id="2"/>
      <w:r w:rsidDel="00000000" w:rsidR="00000000" w:rsidRPr="00000000">
        <w:rPr>
          <w:rFonts w:ascii="Source Sans 3" w:cs="Source Sans 3" w:eastAsia="Source Sans 3" w:hAnsi="Source Sans 3"/>
          <w:b w:val="1"/>
          <w:bCs w:val="1"/>
          <w:sz w:val="28"/>
          <w:szCs w:val="28"/>
          <w:rtl w:val="0"/>
        </w:rPr>
        <w:t xml:space="preserve">II. Información de seguimiento</w:t>
      </w:r>
    </w:p>
    <w:p w:rsidR="00000000" w:rsidDel="00000000" w:rsidP="00000000" w:rsidRDefault="00000000" w:rsidRPr="00000000" w14:paraId="0000001F">
      <w:pPr>
        <w:pStyle w:val="Heading3"/>
        <w:keepNext w:val="0"/>
        <w:keepLines w:val="0"/>
        <w:spacing w:before="280" w:lineRule="auto"/>
        <w:ind w:left="0" w:hanging="360"/>
        <w:jc w:val="both"/>
        <w:rPr>
          <w:rFonts w:ascii="Source Sans 3" w:cs="Source Sans 3" w:eastAsia="Source Sans 3" w:hAnsi="Source Sans 3"/>
          <w:b w:val="1"/>
          <w:bCs w:val="1"/>
          <w:color w:val="000000"/>
          <w:sz w:val="22"/>
          <w:szCs w:val="22"/>
        </w:rPr>
      </w:pPr>
      <w:bookmarkStart w:colFirst="0" w:colLast="0" w:name="_8bpvfkbb6hae" w:id="3"/>
      <w:bookmarkEnd w:id="3"/>
      <w:r w:rsidDel="00000000" w:rsidR="00000000" w:rsidRPr="00000000">
        <w:rPr>
          <w:rFonts w:ascii="Source Sans 3" w:cs="Source Sans 3" w:eastAsia="Source Sans 3" w:hAnsi="Source Sans 3"/>
          <w:b w:val="1"/>
          <w:bCs w:val="1"/>
          <w:color w:val="000000"/>
          <w:sz w:val="22"/>
          <w:szCs w:val="22"/>
          <w:rtl w:val="0"/>
        </w:rPr>
        <w:t xml:space="preserve">a. Prevención, investigación y sanción de la violencia de género </w:t>
      </w:r>
    </w:p>
    <w:p w:rsidR="00000000" w:rsidDel="00000000" w:rsidP="00000000" w:rsidRDefault="00000000" w:rsidRPr="00000000" w14:paraId="00000020">
      <w:pPr>
        <w:numPr>
          <w:ilvl w:val="0"/>
          <w:numId w:val="1"/>
        </w:numPr>
        <w:spacing w:after="240" w:before="240" w:lineRule="auto"/>
        <w:ind w:lef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La magnitud de la violencia de género en Uruguay es alarmante. De acuerdo con la II Encuesta Nacional de Prevalencia sobre Violencia Basada en Género y Generaciones, el 76,7% de las mujeres de 15 años y más residentes en el país manifestó haber experimentado, a lo largo de su vida, al menos una situación de violencia basada en género en alguno de los ámbitos relevados</w:t>
      </w:r>
      <w:r w:rsidDel="00000000" w:rsidR="00000000" w:rsidRPr="00000000">
        <w:rPr>
          <w:rFonts w:ascii="Source Sans 3" w:cs="Source Sans 3" w:eastAsia="Source Sans 3" w:hAnsi="Source Sans 3"/>
          <w:vertAlign w:val="superscript"/>
        </w:rPr>
        <w:footnoteReference w:customMarkFollows="0" w:id="3"/>
      </w:r>
      <w:r w:rsidDel="00000000" w:rsidR="00000000" w:rsidRPr="00000000">
        <w:rPr>
          <w:rFonts w:ascii="Source Sans 3" w:cs="Source Sans 3" w:eastAsia="Source Sans 3" w:hAnsi="Source Sans 3"/>
          <w:rtl w:val="0"/>
        </w:rPr>
        <w:t xml:space="preserve">. Asimismo, las denuncias por violencia intrafamiliar superan las 40.000 por año, lo que convierte a este fenómeno en el segundo delito más denunciado del país, después del hurto</w:t>
      </w:r>
      <w:r w:rsidDel="00000000" w:rsidR="00000000" w:rsidRPr="00000000">
        <w:rPr>
          <w:rFonts w:ascii="Source Sans 3" w:cs="Source Sans 3" w:eastAsia="Source Sans 3" w:hAnsi="Source Sans 3"/>
          <w:vertAlign w:val="superscript"/>
        </w:rPr>
        <w:footnoteReference w:customMarkFollows="0" w:id="4"/>
      </w:r>
      <w:r w:rsidDel="00000000" w:rsidR="00000000" w:rsidRPr="00000000">
        <w:rPr>
          <w:rFonts w:ascii="Source Sans 3" w:cs="Source Sans 3" w:eastAsia="Source Sans 3" w:hAnsi="Source Sans 3"/>
          <w:rtl w:val="0"/>
        </w:rPr>
        <w:t xml:space="preserve">. En la misma línea, el reciente </w:t>
      </w:r>
      <w:r w:rsidDel="00000000" w:rsidR="00000000" w:rsidRPr="00000000">
        <w:rPr>
          <w:rFonts w:ascii="Source Sans 3" w:cs="Source Sans 3" w:eastAsia="Source Sans 3" w:hAnsi="Source Sans 3"/>
          <w:i w:val="1"/>
          <w:iCs w:val="1"/>
          <w:rtl w:val="0"/>
        </w:rPr>
        <w:t xml:space="preserve">Perfil de género y generaciones de Uruguay</w:t>
      </w:r>
      <w:r w:rsidDel="00000000" w:rsidR="00000000" w:rsidRPr="00000000">
        <w:rPr>
          <w:rFonts w:ascii="Source Sans 3" w:cs="Source Sans 3" w:eastAsia="Source Sans 3" w:hAnsi="Source Sans 3"/>
          <w:rtl w:val="0"/>
        </w:rPr>
        <w:t xml:space="preserve"> de Onu Mujeres identifica la meta 5.2 de los Objetivos de Desarrollo Sostenible, relativa a la eliminación de la violencia de género, como la de peor desempeño en el país, lo que evidencia las dificultades para prevenir y erradicar esta forma de violencia.</w:t>
      </w:r>
      <w:r w:rsidDel="00000000" w:rsidR="00000000" w:rsidRPr="00000000">
        <w:rPr>
          <w:rFonts w:ascii="Source Sans 3" w:cs="Source Sans 3" w:eastAsia="Source Sans 3" w:hAnsi="Source Sans 3"/>
          <w:vertAlign w:val="superscript"/>
        </w:rPr>
        <w:footnoteReference w:customMarkFollows="0" w:id="5"/>
      </w:r>
      <w:r w:rsidDel="00000000" w:rsidR="00000000" w:rsidRPr="00000000">
        <w:rPr>
          <w:rtl w:val="0"/>
        </w:rPr>
      </w:r>
    </w:p>
    <w:p w:rsidR="00000000" w:rsidDel="00000000" w:rsidP="00000000" w:rsidRDefault="00000000" w:rsidRPr="00000000" w14:paraId="00000021">
      <w:pPr>
        <w:spacing w:after="240" w:before="240" w:lineRule="auto"/>
        <w:ind w:left="720" w:firstLine="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 </w:t>
      </w:r>
      <w:r w:rsidDel="00000000" w:rsidR="00000000" w:rsidRPr="00000000">
        <w:rPr>
          <w:rtl w:val="0"/>
        </w:rPr>
      </w:r>
    </w:p>
    <w:p w:rsidR="00000000" w:rsidDel="00000000" w:rsidP="00000000" w:rsidRDefault="00000000" w:rsidRPr="00000000" w14:paraId="00000022">
      <w:pPr>
        <w:numPr>
          <w:ilvl w:val="0"/>
          <w:numId w:val="1"/>
        </w:numPr>
        <w:spacing w:after="240" w:before="240" w:lineRule="auto"/>
        <w:ind w:lef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En este marco, p</w:t>
      </w:r>
      <w:r w:rsidDel="00000000" w:rsidR="00000000" w:rsidRPr="00000000">
        <w:rPr>
          <w:rFonts w:ascii="Source Sans 3" w:cs="Source Sans 3" w:eastAsia="Source Sans 3" w:hAnsi="Source Sans 3"/>
          <w:rtl w:val="0"/>
        </w:rPr>
        <w:t xml:space="preserve">ersisten importantes déficits estructurales en la asignación de recursos financieros, técnicos y humanos destinados a prevenir, investigar y sancionar la violencia contra las mujeres, niñas y adolescentes en Uruguay. La insuficiente voluntad política para priorizar presupuestariamente las políticas públicas en la materia y la persistencia de estereotipos de género en distintos ámbitos del Estado continúan limitando la capacidad de respuesta institucional. </w:t>
      </w:r>
    </w:p>
    <w:p w:rsidR="00000000" w:rsidDel="00000000" w:rsidP="00000000" w:rsidRDefault="00000000" w:rsidRPr="00000000" w14:paraId="00000023">
      <w:pPr>
        <w:spacing w:after="240" w:before="240" w:lineRule="auto"/>
        <w:ind w:left="720" w:firstLine="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24">
      <w:pPr>
        <w:numPr>
          <w:ilvl w:val="0"/>
          <w:numId w:val="1"/>
        </w:numPr>
        <w:spacing w:after="240" w:before="240" w:lineRule="auto"/>
        <w:ind w:lef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Si bien la Fiscalía General de la Nación ha recibido mayores recursos en los últimos años, la implementación de la Ley N.º 19.580 continúa enfrentando importantes limitaciones presupuestarias. En el proceso presupuestal 2025–2029, el Poder Judicial destinó cerca del 30 % de su solicitud presupuestaria a fortalecer la respuesta frente a la violencia basada en género, incluyendo la especialización de los servicios, su expansión territorial, la creación de cargos y la capacitación con perspectiva de género.</w:t>
      </w:r>
      <w:r w:rsidDel="00000000" w:rsidR="00000000" w:rsidRPr="00000000">
        <w:rPr>
          <w:rFonts w:ascii="Source Sans 3" w:cs="Source Sans 3" w:eastAsia="Source Sans 3" w:hAnsi="Source Sans 3"/>
          <w:vertAlign w:val="superscript"/>
        </w:rPr>
        <w:footnoteReference w:customMarkFollows="0" w:id="6"/>
      </w:r>
      <w:r w:rsidDel="00000000" w:rsidR="00000000" w:rsidRPr="00000000">
        <w:rPr>
          <w:rFonts w:ascii="Source Sans 3" w:cs="Source Sans 3" w:eastAsia="Source Sans 3" w:hAnsi="Source Sans 3"/>
          <w:rtl w:val="0"/>
        </w:rPr>
        <w:t xml:space="preserve"> Sin embargo, el Parlamento aprobó únicamente alrededor del 7 % de los recursos solicitados para estos fines. La actual rendición de cuentas tampoco incorpora los recursos requeridos para avanzar en estas medidas, previendo únicamente una partida anual de $300.000 a partir de 2027 destinada a capacitación, monto insuficiente para atender las necesidades identificadas. </w:t>
      </w:r>
    </w:p>
    <w:p w:rsidR="00000000" w:rsidDel="00000000" w:rsidP="00000000" w:rsidRDefault="00000000" w:rsidRPr="00000000" w14:paraId="00000025">
      <w:pPr>
        <w:spacing w:after="240" w:before="240" w:lineRule="auto"/>
        <w:ind w:left="720" w:firstLine="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26">
      <w:pPr>
        <w:numPr>
          <w:ilvl w:val="0"/>
          <w:numId w:val="1"/>
        </w:numPr>
        <w:spacing w:after="240" w:before="240" w:lineRule="auto"/>
        <w:ind w:lef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Estas limitaciones se reflejan en una cobertura insuficiente de los servicios especializados, especialmente fuera de la capital. Montevideo cuenta con 12 juzgados especializados en violencia doméstica y basada en género —con competencia en materia civil—, mientras que solo Rivera, Salto y Maldonado disponen de juzgados especializados en violencia sexual. En consecuencia, pese a lo previsto en la Ley N.º 19.580, la mayoría de los departamentos del país continúa sin contar con esta especialización.</w:t>
      </w:r>
    </w:p>
    <w:p w:rsidR="00000000" w:rsidDel="00000000" w:rsidP="00000000" w:rsidRDefault="00000000" w:rsidRPr="00000000" w14:paraId="00000027">
      <w:pPr>
        <w:spacing w:after="240" w:before="240" w:lineRule="auto"/>
        <w:ind w:left="720" w:firstLine="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28">
      <w:pPr>
        <w:numPr>
          <w:ilvl w:val="0"/>
          <w:numId w:val="1"/>
        </w:numPr>
        <w:spacing w:after="240" w:before="240" w:lineRule="auto"/>
        <w:ind w:lef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Aunque el marco normativo reconoce el derecho de las víctimas a acceder a servicios de atención médica, psicológica, social, acompañamiento y apoyo habitacional, la respuesta estatal sigue sin asegurar una cobertura adecuada para todas las formas de violencia de género, en particular la violencia </w:t>
      </w:r>
      <w:r w:rsidDel="00000000" w:rsidR="00000000" w:rsidRPr="00000000">
        <w:rPr>
          <w:rFonts w:ascii="Source Sans 3" w:cs="Source Sans 3" w:eastAsia="Source Sans 3" w:hAnsi="Source Sans 3"/>
          <w:rtl w:val="0"/>
        </w:rPr>
        <w:t xml:space="preserve">sexual</w:t>
      </w:r>
      <w:r w:rsidDel="00000000" w:rsidR="00000000" w:rsidRPr="00000000">
        <w:rPr>
          <w:rFonts w:ascii="Source Sans 3" w:cs="Source Sans 3" w:eastAsia="Source Sans 3" w:hAnsi="Source Sans 3"/>
          <w:rtl w:val="0"/>
        </w:rPr>
        <w:t xml:space="preserve">.</w:t>
      </w:r>
      <w:r w:rsidDel="00000000" w:rsidR="00000000" w:rsidRPr="00000000">
        <w:rPr>
          <w:rFonts w:ascii="Source Sans 3" w:cs="Source Sans 3" w:eastAsia="Source Sans 3" w:hAnsi="Source Sans 3"/>
          <w:vertAlign w:val="superscript"/>
        </w:rPr>
        <w:footnoteReference w:customMarkFollows="0" w:id="7"/>
      </w:r>
      <w:r w:rsidDel="00000000" w:rsidR="00000000" w:rsidRPr="00000000">
        <w:rPr>
          <w:rtl w:val="0"/>
        </w:rPr>
      </w:r>
    </w:p>
    <w:p w:rsidR="00000000" w:rsidDel="00000000" w:rsidP="00000000" w:rsidRDefault="00000000" w:rsidRPr="00000000" w14:paraId="00000029">
      <w:pPr>
        <w:spacing w:after="240" w:before="240" w:lineRule="auto"/>
        <w:ind w:left="720" w:firstLine="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2A">
      <w:pPr>
        <w:numPr>
          <w:ilvl w:val="0"/>
          <w:numId w:val="1"/>
        </w:numPr>
        <w:spacing w:after="240" w:before="240" w:lineRule="auto"/>
        <w:ind w:lef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En el ámbito de la investigación, subsisten obstáculos derivados de las dificultades probatorias propias de estos delitos, la desigualdad en el acceso a recursos técnicos y la limitada disponibilidad de información sobre protocolos periciales. También subsisten enfoques tradicionales en la valoración de la prueba, orientados a cuestionar la credibilidad de las víctimas. Ello se refleja en una brecha persistente entre el incremento de las denuncias por delitos sexuales y la proporción de casos que culminan con una sentencia. Persisten, además, deficiencias en la comunicación con las sobrevivientes, quienes en muchos casos no reciben información clara, oportuna y comprensible sobre el estado y avance de sus causas.</w:t>
      </w:r>
    </w:p>
    <w:p w:rsidR="00000000" w:rsidDel="00000000" w:rsidP="00000000" w:rsidRDefault="00000000" w:rsidRPr="00000000" w14:paraId="0000002B">
      <w:pPr>
        <w:spacing w:after="240" w:before="240" w:lineRule="auto"/>
        <w:ind w:left="720" w:firstLine="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2C">
      <w:pPr>
        <w:numPr>
          <w:ilvl w:val="0"/>
          <w:numId w:val="1"/>
        </w:numPr>
        <w:spacing w:after="240" w:before="240" w:lineRule="auto"/>
        <w:ind w:lef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La insuficiente formación del personal para investigar con perspectiva de género se refleja en la persistencia de prácticas </w:t>
      </w:r>
      <w:r w:rsidDel="00000000" w:rsidR="00000000" w:rsidRPr="00000000">
        <w:rPr>
          <w:rFonts w:ascii="Source Sans 3" w:cs="Source Sans 3" w:eastAsia="Source Sans 3" w:hAnsi="Source Sans 3"/>
          <w:rtl w:val="0"/>
        </w:rPr>
        <w:t xml:space="preserve">revictimizantes</w:t>
      </w:r>
      <w:r w:rsidDel="00000000" w:rsidR="00000000" w:rsidRPr="00000000">
        <w:rPr>
          <w:rFonts w:ascii="Source Sans 3" w:cs="Source Sans 3" w:eastAsia="Source Sans 3" w:hAnsi="Source Sans 3"/>
          <w:rtl w:val="0"/>
        </w:rPr>
        <w:t xml:space="preserve">, como la exigencia de que las víctimas presten declaración en múltiples oportunidades, pese a la existencia de mecanismos procesales como la declaración anticipada. Del mismo modo, continúan registrándose dificultades en la implementación efectiva de las medidas de protección previstas en la Ley N.º 19.580, en particular aquellas destinadas a evitar el contacto entre la víctima y el </w:t>
      </w:r>
      <w:r w:rsidDel="00000000" w:rsidR="00000000" w:rsidRPr="00000000">
        <w:rPr>
          <w:rFonts w:ascii="Source Sans 3" w:cs="Source Sans 3" w:eastAsia="Source Sans 3" w:hAnsi="Source Sans 3"/>
          <w:rtl w:val="0"/>
        </w:rPr>
        <w:t xml:space="preserve">agresor</w:t>
      </w:r>
      <w:r w:rsidDel="00000000" w:rsidR="00000000" w:rsidRPr="00000000">
        <w:rPr>
          <w:rFonts w:ascii="Source Sans 3" w:cs="Source Sans 3" w:eastAsia="Source Sans 3" w:hAnsi="Source Sans 3"/>
          <w:rtl w:val="0"/>
        </w:rPr>
        <w:t xml:space="preserve">.</w:t>
      </w:r>
      <w:r w:rsidDel="00000000" w:rsidR="00000000" w:rsidRPr="00000000">
        <w:rPr>
          <w:rFonts w:ascii="Source Sans 3" w:cs="Source Sans 3" w:eastAsia="Source Sans 3" w:hAnsi="Source Sans 3"/>
          <w:vertAlign w:val="superscript"/>
        </w:rPr>
        <w:footnoteReference w:customMarkFollows="0" w:id="8"/>
      </w:r>
      <w:r w:rsidDel="00000000" w:rsidR="00000000" w:rsidRPr="00000000">
        <w:rPr>
          <w:rtl w:val="0"/>
        </w:rPr>
      </w:r>
    </w:p>
    <w:p w:rsidR="00000000" w:rsidDel="00000000" w:rsidP="00000000" w:rsidRDefault="00000000" w:rsidRPr="00000000" w14:paraId="0000002D">
      <w:pPr>
        <w:spacing w:after="240" w:before="240" w:lineRule="auto"/>
        <w:ind w:left="720" w:firstLine="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2E">
      <w:pPr>
        <w:numPr>
          <w:ilvl w:val="0"/>
          <w:numId w:val="1"/>
        </w:numPr>
        <w:spacing w:after="240" w:before="240" w:lineRule="auto"/>
        <w:ind w:lef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A su vez, las demoras judiciales, la persistencia de estereotipos que afectan la credibilidad de las víctimas y la ausencia de datos suficientemente desagregados para evaluar el funcionamiento del sistema de justicia e identificar brechas territoriales continúan debilitando el acceso efectivo a la justicia.</w:t>
      </w:r>
    </w:p>
    <w:p w:rsidR="00000000" w:rsidDel="00000000" w:rsidP="00000000" w:rsidRDefault="00000000" w:rsidRPr="00000000" w14:paraId="0000002F">
      <w:pPr>
        <w:pStyle w:val="Heading3"/>
        <w:spacing w:after="240" w:before="240" w:lineRule="auto"/>
        <w:jc w:val="both"/>
        <w:rPr>
          <w:rFonts w:ascii="Source Sans 3" w:cs="Source Sans 3" w:eastAsia="Source Sans 3" w:hAnsi="Source Sans 3"/>
          <w:b w:val="1"/>
          <w:bCs w:val="1"/>
          <w:color w:val="000000"/>
          <w:sz w:val="22"/>
          <w:szCs w:val="22"/>
        </w:rPr>
      </w:pPr>
      <w:bookmarkStart w:colFirst="0" w:colLast="0" w:name="_yjal8s1fwsih" w:id="4"/>
      <w:bookmarkEnd w:id="4"/>
      <w:r w:rsidDel="00000000" w:rsidR="00000000" w:rsidRPr="00000000">
        <w:rPr>
          <w:rFonts w:ascii="Source Sans 3" w:cs="Source Sans 3" w:eastAsia="Source Sans 3" w:hAnsi="Source Sans 3"/>
          <w:b w:val="1"/>
          <w:bCs w:val="1"/>
          <w:color w:val="000000"/>
          <w:sz w:val="22"/>
          <w:szCs w:val="22"/>
          <w:rtl w:val="0"/>
        </w:rPr>
        <w:t xml:space="preserve">b. Desafíos legislativos en materia de violencia sexual</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76" w:lineRule="auto"/>
        <w:ind w:left="0" w:righ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El Código Penal uruguayo no define los delitos sexuales sobre la base de la ausencia de consentimiento, sino del empleo de violencia o amenazas, o de circunstancias en las que la ley presume la existencia de violencia, lo que resulta incompatible con los estándares internacionales de derechos humanos.</w:t>
      </w:r>
      <w:r w:rsidDel="00000000" w:rsidR="00000000" w:rsidRPr="00000000">
        <w:rPr>
          <w:rFonts w:ascii="Source Sans 3" w:cs="Source Sans 3" w:eastAsia="Source Sans 3" w:hAnsi="Source Sans 3"/>
          <w:vertAlign w:val="superscript"/>
        </w:rPr>
        <w:footnoteReference w:customMarkFollows="0" w:id="9"/>
      </w:r>
      <w:r w:rsidDel="00000000" w:rsidR="00000000" w:rsidRPr="00000000">
        <w:rPr>
          <w:rFonts w:ascii="Source Sans 3" w:cs="Source Sans 3" w:eastAsia="Source Sans 3" w:hAnsi="Source Sans 3"/>
          <w:rtl w:val="0"/>
        </w:rPr>
        <w:t xml:space="preserve"> Si bien la Ley N.º 19.580 incorpora el concepto de consentimiento, lo hace únicamente como una regla de valoración de la prueba y de protección de las víctimas, estableciendo que el silencio, la falta de resistencia o la historia sexual de la víctima no pueden interpretarse como manifestaciones de consentimiento. En consecuencia, el consentimiento aún no constituye el elemento central de las definiciones en sede penal.</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720" w:right="0" w:firstLine="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76" w:lineRule="auto"/>
        <w:ind w:left="0" w:righ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Por otra parte, los plazos de prescripción aplicables a los delitos sexuales continúan constituyendo un obstáculo para el acceso a la justicia, ya que muchas víctimas demoran años en denunciar debido al trauma o el miedo. Como consecuencia, estos plazos pueden impedir la investigación y sanción de los responsables, favoreciendo situaciones de impunidad.</w:t>
      </w:r>
      <w:r w:rsidDel="00000000" w:rsidR="00000000" w:rsidRPr="00000000">
        <w:rPr>
          <w:rFonts w:ascii="Source Sans 3" w:cs="Source Sans 3" w:eastAsia="Source Sans 3" w:hAnsi="Source Sans 3"/>
          <w:vertAlign w:val="superscript"/>
        </w:rPr>
        <w:footnoteReference w:customMarkFollows="0" w:id="10"/>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720" w:right="0" w:firstLine="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34">
      <w:pPr>
        <w:numPr>
          <w:ilvl w:val="0"/>
          <w:numId w:val="1"/>
        </w:numPr>
        <w:spacing w:after="240" w:before="240" w:lineRule="auto"/>
        <w:ind w:lef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En los últimos años, la Ley N.º 19.580 ha sido objeto de diversas iniciativas de reforma regresiva, impulsadas en un contexto de creciente reacción frente a los avances en el reconocimiento de los derechos de las mujeres y en la protección frente a la violencia basada en género. Estas propuestas, presentadas durante 2024 y comienzos de 2025, procuraron modificar aspectos sustantivos de la ley sobre la base de argumentos que cuestionan su legitimidad, la identifican como una norma parcial en favor de las mujeres o invocan la existencia de denuncias falsas como fundamento para reducir sus estándares de protección. Estas iniciativas fueron advertidas críticamente por el Comité de Expertas del Mecanismo de Seguimiento de la Convención Interamericana para Prevenir, Sancionar y Erradicar la Violencia contra la Mujer (MESECVI), que llamó a desestimar propuestas regresivas, evitar debates basados en desinformación y, en cambio, profundizar el cumplimiento efectivo de la Ley N.º 19.580, mediante recursos presupuestarios adecuados.</w:t>
      </w:r>
      <w:r w:rsidDel="00000000" w:rsidR="00000000" w:rsidRPr="00000000">
        <w:rPr>
          <w:rFonts w:ascii="Source Sans 3" w:cs="Source Sans 3" w:eastAsia="Source Sans 3" w:hAnsi="Source Sans 3"/>
          <w:vertAlign w:val="superscript"/>
        </w:rPr>
        <w:footnoteReference w:customMarkFollows="0" w:id="11"/>
      </w:r>
      <w:r w:rsidDel="00000000" w:rsidR="00000000" w:rsidRPr="00000000">
        <w:rPr>
          <w:rtl w:val="0"/>
        </w:rPr>
      </w:r>
    </w:p>
    <w:p w:rsidR="00000000" w:rsidDel="00000000" w:rsidP="00000000" w:rsidRDefault="00000000" w:rsidRPr="00000000" w14:paraId="00000035">
      <w:pPr>
        <w:spacing w:after="240" w:before="240" w:lineRule="auto"/>
        <w:ind w:left="720" w:firstLine="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 </w:t>
      </w:r>
    </w:p>
    <w:p w:rsidR="00000000" w:rsidDel="00000000" w:rsidP="00000000" w:rsidRDefault="00000000" w:rsidRPr="00000000" w14:paraId="00000036">
      <w:pPr>
        <w:numPr>
          <w:ilvl w:val="0"/>
          <w:numId w:val="1"/>
        </w:numPr>
        <w:spacing w:after="240" w:before="240" w:lineRule="auto"/>
        <w:ind w:lef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Asimismo, en 2023, se incorporó al Código Penal una circunstancia agravante para el tipo penal de simulación de delito cuando la falsa imputación recae sobre hechos de violencia basada en género.</w:t>
      </w:r>
      <w:r w:rsidDel="00000000" w:rsidR="00000000" w:rsidRPr="00000000">
        <w:rPr>
          <w:rFonts w:ascii="Source Sans 3" w:cs="Source Sans 3" w:eastAsia="Source Sans 3" w:hAnsi="Source Sans 3"/>
          <w:vertAlign w:val="superscript"/>
        </w:rPr>
        <w:footnoteReference w:customMarkFollows="0" w:id="12"/>
      </w:r>
      <w:r w:rsidDel="00000000" w:rsidR="00000000" w:rsidRPr="00000000">
        <w:rPr>
          <w:rFonts w:ascii="Source Sans 3" w:cs="Source Sans 3" w:eastAsia="Source Sans 3" w:hAnsi="Source Sans 3"/>
          <w:rtl w:val="0"/>
        </w:rPr>
        <w:t xml:space="preserve"> Si bien la simulación de delito ya se encontraba tipificada en la legislación penal, esta reforma introdujo un tratamiento agravado para estos supuestos específicos en un contexto de creciente difusión de narrativas sobre las denominadas "denuncias falsas". Esta modificación carece de sustento empírico y puede contribuir a desalentar la denuncia de hechos de violencia al reforzar discursos que cuestionan la credibilidad de las víctimas.</w:t>
      </w:r>
      <w:r w:rsidDel="00000000" w:rsidR="00000000" w:rsidRPr="00000000">
        <w:rPr>
          <w:rFonts w:ascii="Source Sans 3" w:cs="Source Sans 3" w:eastAsia="Source Sans 3" w:hAnsi="Source Sans 3"/>
          <w:vertAlign w:val="superscript"/>
        </w:rPr>
        <w:footnoteReference w:customMarkFollows="0" w:id="13"/>
      </w:r>
      <w:r w:rsidDel="00000000" w:rsidR="00000000" w:rsidRPr="00000000">
        <w:rPr>
          <w:rFonts w:ascii="Source Sans 3" w:cs="Source Sans 3" w:eastAsia="Source Sans 3" w:hAnsi="Source Sans 3"/>
          <w:rtl w:val="0"/>
        </w:rPr>
        <w:t xml:space="preserve"> </w:t>
      </w:r>
    </w:p>
    <w:p w:rsidR="00000000" w:rsidDel="00000000" w:rsidP="00000000" w:rsidRDefault="00000000" w:rsidRPr="00000000" w14:paraId="00000037">
      <w:pPr>
        <w:spacing w:after="240" w:before="240" w:lineRule="auto"/>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38">
      <w:pPr>
        <w:pStyle w:val="Heading3"/>
        <w:spacing w:after="240" w:before="240" w:lineRule="auto"/>
        <w:ind w:hanging="360"/>
        <w:rPr>
          <w:rFonts w:ascii="Source Sans 3" w:cs="Source Sans 3" w:eastAsia="Source Sans 3" w:hAnsi="Source Sans 3"/>
          <w:b w:val="1"/>
          <w:bCs w:val="1"/>
          <w:color w:val="000000"/>
          <w:sz w:val="22"/>
          <w:szCs w:val="22"/>
        </w:rPr>
      </w:pPr>
      <w:bookmarkStart w:colFirst="0" w:colLast="0" w:name="_u0bx3hkzz4c0" w:id="5"/>
      <w:bookmarkEnd w:id="5"/>
      <w:r w:rsidDel="00000000" w:rsidR="00000000" w:rsidRPr="00000000">
        <w:rPr>
          <w:rFonts w:ascii="Source Sans 3" w:cs="Source Sans 3" w:eastAsia="Source Sans 3" w:hAnsi="Source Sans 3"/>
          <w:b w:val="1"/>
          <w:bCs w:val="1"/>
          <w:color w:val="000000"/>
          <w:sz w:val="22"/>
          <w:szCs w:val="22"/>
          <w:rtl w:val="0"/>
        </w:rPr>
        <w:t xml:space="preserve">c. Violencia sexual contra niños, niñas y </w:t>
      </w:r>
      <w:r w:rsidDel="00000000" w:rsidR="00000000" w:rsidRPr="00000000">
        <w:rPr>
          <w:rFonts w:ascii="Source Sans 3" w:cs="Source Sans 3" w:eastAsia="Source Sans 3" w:hAnsi="Source Sans 3"/>
          <w:b w:val="1"/>
          <w:bCs w:val="1"/>
          <w:color w:val="000000"/>
          <w:sz w:val="22"/>
          <w:szCs w:val="22"/>
          <w:rtl w:val="0"/>
        </w:rPr>
        <w:t xml:space="preserve">adolescentes</w:t>
      </w:r>
      <w:r w:rsidDel="00000000" w:rsidR="00000000" w:rsidRPr="00000000">
        <w:rPr>
          <w:rtl w:val="0"/>
        </w:rPr>
      </w:r>
    </w:p>
    <w:p w:rsidR="00000000" w:rsidDel="00000000" w:rsidP="00000000" w:rsidRDefault="00000000" w:rsidRPr="00000000" w14:paraId="00000039">
      <w:pPr>
        <w:keepNext w:val="0"/>
        <w:keepLines w:val="0"/>
        <w:numPr>
          <w:ilvl w:val="0"/>
          <w:numId w:val="1"/>
        </w:numPr>
        <w:spacing w:after="240" w:before="240" w:lineRule="auto"/>
        <w:ind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Las observaciones del Comité destacan la necesidad de fortalecer la protección frente a la violencia y explotación sexual de niños, niñas y adolescentes. Aun cuando se registran avances en la detección y visibilización de estos delitos, así como en la elaboración de protocolos especializados y una mayor coordinación institucional con enfoque de derechos, persiste, una baja proporción de casos que llegan a instancias judiciales o a condena, lo que evidencia debilidades en la investigación y persecución penal, agravadas por la falta de datos desagregados que permitan evaluar integralmente la respuesta estatal.</w:t>
      </w:r>
      <w:r w:rsidDel="00000000" w:rsidR="00000000" w:rsidRPr="00000000">
        <w:rPr>
          <w:rFonts w:ascii="Source Sans 3" w:cs="Source Sans 3" w:eastAsia="Source Sans 3" w:hAnsi="Source Sans 3"/>
          <w:vertAlign w:val="superscript"/>
        </w:rPr>
        <w:footnoteReference w:customMarkFollows="0" w:id="14"/>
      </w:r>
      <w:r w:rsidDel="00000000" w:rsidR="00000000" w:rsidRPr="00000000">
        <w:rPr>
          <w:rtl w:val="0"/>
        </w:rPr>
      </w:r>
    </w:p>
    <w:p w:rsidR="00000000" w:rsidDel="00000000" w:rsidP="00000000" w:rsidRDefault="00000000" w:rsidRPr="00000000" w14:paraId="0000003A">
      <w:pPr>
        <w:keepNext w:val="0"/>
        <w:keepLines w:val="0"/>
        <w:spacing w:after="240" w:before="240" w:lineRule="auto"/>
        <w:ind w:left="720" w:firstLine="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  </w:t>
      </w:r>
    </w:p>
    <w:p w:rsidR="00000000" w:rsidDel="00000000" w:rsidP="00000000" w:rsidRDefault="00000000" w:rsidRPr="00000000" w14:paraId="0000003B">
      <w:pPr>
        <w:keepNext w:val="0"/>
        <w:keepLines w:val="0"/>
        <w:numPr>
          <w:ilvl w:val="0"/>
          <w:numId w:val="1"/>
        </w:numPr>
        <w:spacing w:after="240" w:before="240" w:lineRule="auto"/>
        <w:ind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Se identifican además barreras culturales e institucionales, como estereotipos sexistas, escasez de personal especializado y un enfoque adultocéntrico que limita la participación efectiva de niños, niñas y adolescentes en los procesos que les afectan. </w:t>
      </w:r>
    </w:p>
    <w:p w:rsidR="00000000" w:rsidDel="00000000" w:rsidP="00000000" w:rsidRDefault="00000000" w:rsidRPr="00000000" w14:paraId="0000003C">
      <w:pPr>
        <w:ind w:left="720" w:firstLine="0"/>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3D">
      <w:pPr>
        <w:keepNext w:val="0"/>
        <w:keepLines w:val="0"/>
        <w:numPr>
          <w:ilvl w:val="0"/>
          <w:numId w:val="1"/>
        </w:numPr>
        <w:spacing w:after="240" w:before="240" w:lineRule="auto"/>
        <w:ind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También se constatan prácticas </w:t>
      </w:r>
      <w:r w:rsidDel="00000000" w:rsidR="00000000" w:rsidRPr="00000000">
        <w:rPr>
          <w:rFonts w:ascii="Source Sans 3" w:cs="Source Sans 3" w:eastAsia="Source Sans 3" w:hAnsi="Source Sans 3"/>
          <w:rtl w:val="0"/>
        </w:rPr>
        <w:t xml:space="preserve">revictimizantes</w:t>
      </w:r>
      <w:r w:rsidDel="00000000" w:rsidR="00000000" w:rsidRPr="00000000">
        <w:rPr>
          <w:rFonts w:ascii="Source Sans 3" w:cs="Source Sans 3" w:eastAsia="Source Sans 3" w:hAnsi="Source Sans 3"/>
          <w:rtl w:val="0"/>
        </w:rPr>
        <w:t xml:space="preserve"> y deficiencias en las condiciones de atención, incluyendo reiteración de declaraciones, enfoques protectores que restringen la autonomía progresiva y falta de información sobre recursos, como las cámaras Gesell a nivel nacional. </w:t>
      </w:r>
    </w:p>
    <w:p w:rsidR="00000000" w:rsidDel="00000000" w:rsidP="00000000" w:rsidRDefault="00000000" w:rsidRPr="00000000" w14:paraId="0000003E">
      <w:pPr>
        <w:pStyle w:val="Heading3"/>
        <w:spacing w:before="280" w:lineRule="auto"/>
        <w:ind w:hanging="360"/>
        <w:jc w:val="both"/>
        <w:rPr>
          <w:rFonts w:ascii="Source Sans 3" w:cs="Source Sans 3" w:eastAsia="Source Sans 3" w:hAnsi="Source Sans 3"/>
          <w:color w:val="000000"/>
          <w:sz w:val="22"/>
          <w:szCs w:val="22"/>
        </w:rPr>
      </w:pPr>
      <w:bookmarkStart w:colFirst="0" w:colLast="0" w:name="_8vjp8c6osgug" w:id="6"/>
      <w:bookmarkEnd w:id="6"/>
      <w:r w:rsidDel="00000000" w:rsidR="00000000" w:rsidRPr="00000000">
        <w:rPr>
          <w:rFonts w:ascii="Source Sans 3" w:cs="Source Sans 3" w:eastAsia="Source Sans 3" w:hAnsi="Source Sans 3"/>
          <w:b w:val="1"/>
          <w:bCs w:val="1"/>
          <w:color w:val="000000"/>
          <w:sz w:val="22"/>
          <w:szCs w:val="22"/>
          <w:rtl w:val="0"/>
        </w:rPr>
        <w:t xml:space="preserve">d. Sistema de monitoreo</w:t>
      </w:r>
      <w:r w:rsidDel="00000000" w:rsidR="00000000" w:rsidRPr="00000000">
        <w:rPr>
          <w:rFonts w:ascii="Source Sans 3" w:cs="Source Sans 3" w:eastAsia="Source Sans 3" w:hAnsi="Source Sans 3"/>
          <w:color w:val="000000"/>
          <w:sz w:val="22"/>
          <w:szCs w:val="22"/>
          <w:rtl w:val="0"/>
        </w:rPr>
        <w:t xml:space="preserve"> </w:t>
      </w:r>
    </w:p>
    <w:p w:rsidR="00000000" w:rsidDel="00000000" w:rsidP="00000000" w:rsidRDefault="00000000" w:rsidRPr="00000000" w14:paraId="0000003F">
      <w:pPr>
        <w:numPr>
          <w:ilvl w:val="0"/>
          <w:numId w:val="1"/>
        </w:numPr>
        <w:spacing w:after="240" w:before="240" w:lineRule="auto"/>
        <w:ind w:lef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En sus observaciones finales, el Comité destacó la importancia de contar con información adecuada para evaluar el cumplimiento de las obligaciones asumidas por el Estado. Uruguay ha registrado algunos avances en la producción y sistematización de información sobre violencia de género, particularmente a través de los registros del Sistema Integral de Protección a Infancia y Adolescencia contra la Violencia  (SIPIAV), del Instituto del Niño y Adolescente del Uruguay (INAU)</w:t>
      </w:r>
      <w:r w:rsidDel="00000000" w:rsidR="00000000" w:rsidRPr="00000000">
        <w:rPr>
          <w:rFonts w:ascii="Source Sans 3" w:cs="Source Sans 3" w:eastAsia="Source Sans 3" w:hAnsi="Source Sans 3"/>
          <w:vertAlign w:val="superscript"/>
        </w:rPr>
        <w:footnoteReference w:customMarkFollows="0" w:id="15"/>
      </w:r>
      <w:r w:rsidDel="00000000" w:rsidR="00000000" w:rsidRPr="00000000">
        <w:rPr>
          <w:rFonts w:ascii="Source Sans 3" w:cs="Source Sans 3" w:eastAsia="Source Sans 3" w:hAnsi="Source Sans 3"/>
          <w:rtl w:val="0"/>
        </w:rPr>
        <w:t xml:space="preserve">, del Ministerio del Interior</w:t>
      </w:r>
      <w:r w:rsidDel="00000000" w:rsidR="00000000" w:rsidRPr="00000000">
        <w:rPr>
          <w:rFonts w:ascii="Source Sans 3" w:cs="Source Sans 3" w:eastAsia="Source Sans 3" w:hAnsi="Source Sans 3"/>
          <w:vertAlign w:val="superscript"/>
        </w:rPr>
        <w:footnoteReference w:customMarkFollows="0" w:id="16"/>
      </w:r>
      <w:r w:rsidDel="00000000" w:rsidR="00000000" w:rsidRPr="00000000">
        <w:rPr>
          <w:rFonts w:ascii="Source Sans 3" w:cs="Source Sans 3" w:eastAsia="Source Sans 3" w:hAnsi="Source Sans 3"/>
          <w:rtl w:val="0"/>
        </w:rPr>
        <w:t xml:space="preserve"> y de la Fiscalía General de la Nación.</w:t>
      </w:r>
    </w:p>
    <w:p w:rsidR="00000000" w:rsidDel="00000000" w:rsidP="00000000" w:rsidRDefault="00000000" w:rsidRPr="00000000" w14:paraId="00000040">
      <w:pPr>
        <w:spacing w:after="240" w:before="240" w:lineRule="auto"/>
        <w:ind w:left="720" w:firstLine="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41">
      <w:pPr>
        <w:numPr>
          <w:ilvl w:val="0"/>
          <w:numId w:val="1"/>
        </w:numPr>
        <w:spacing w:after="240" w:before="240" w:lineRule="auto"/>
        <w:ind w:lef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Sin embargo, persisten brechas importantes en la desagregación de datos y en la trazabilidad de los casos. No existen datos públicos que indiquen el número de formalizaciones o condenas según la edad de las víctimas. Las cifras son de diversas fuentes y aunque permiten visualizar la magnitud de la violencia sexual no permiten comparar denuncias con formalizaciones y/o condenas.  A la vez, no existen sistemas integrados que permitan seguir el recorrido completo de una denuncia desde su ingreso hasta una eventual condena o reparación. Tampoco se dispone de información suficiente sobre la situación específica de las personas afrodescendientes, personas con discapacidad o la población </w:t>
      </w:r>
      <w:r w:rsidDel="00000000" w:rsidR="00000000" w:rsidRPr="00000000">
        <w:rPr>
          <w:rFonts w:ascii="Source Sans 3" w:cs="Source Sans 3" w:eastAsia="Source Sans 3" w:hAnsi="Source Sans 3"/>
          <w:rtl w:val="0"/>
        </w:rPr>
        <w:t xml:space="preserve">LGBTIQ+</w:t>
      </w:r>
      <w:r w:rsidDel="00000000" w:rsidR="00000000" w:rsidRPr="00000000">
        <w:rPr>
          <w:rFonts w:ascii="Source Sans 3" w:cs="Source Sans 3" w:eastAsia="Source Sans 3" w:hAnsi="Source Sans 3"/>
          <w:rtl w:val="0"/>
        </w:rPr>
        <w:t xml:space="preserve">, ni indicadores que permitan evaluar la reducción efectiva de la revictimización durante las investigaciones y procesos judiciales.</w:t>
      </w:r>
    </w:p>
    <w:p w:rsidR="00000000" w:rsidDel="00000000" w:rsidP="00000000" w:rsidRDefault="00000000" w:rsidRPr="00000000" w14:paraId="00000042">
      <w:pPr>
        <w:spacing w:after="240" w:before="240" w:lineRule="auto"/>
        <w:ind w:left="720" w:firstLine="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43">
      <w:pPr>
        <w:numPr>
          <w:ilvl w:val="0"/>
          <w:numId w:val="1"/>
        </w:numPr>
        <w:spacing w:after="240" w:before="240" w:lineRule="auto"/>
        <w:ind w:lef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Los obstáculos se deben principalmente a la fragmentación institucional, a la ausencia de metodologías comunes de recolección de datos y a las limitaciones técnicas y presupuestarias para desarrollar sistemas estadísticos más robustos y comparables.</w:t>
      </w:r>
    </w:p>
    <w:p w:rsidR="00000000" w:rsidDel="00000000" w:rsidP="00000000" w:rsidRDefault="00000000" w:rsidRPr="00000000" w14:paraId="00000044">
      <w:pPr>
        <w:spacing w:after="240" w:before="240" w:lineRule="auto"/>
        <w:ind w:left="0" w:hanging="360"/>
        <w:jc w:val="center"/>
        <w:rPr>
          <w:rFonts w:ascii="Source Sans 3" w:cs="Source Sans 3" w:eastAsia="Source Sans 3" w:hAnsi="Source Sans 3"/>
          <w:b w:val="1"/>
          <w:bCs w:val="1"/>
        </w:rPr>
      </w:pPr>
      <w:r w:rsidDel="00000000" w:rsidR="00000000" w:rsidRPr="00000000">
        <w:rPr>
          <w:rtl w:val="0"/>
        </w:rPr>
      </w:r>
    </w:p>
    <w:p w:rsidR="00000000" w:rsidDel="00000000" w:rsidP="00000000" w:rsidRDefault="00000000" w:rsidRPr="00000000" w14:paraId="00000045">
      <w:pPr>
        <w:pStyle w:val="Heading2"/>
        <w:spacing w:after="240" w:before="240" w:lineRule="auto"/>
        <w:ind w:hanging="360"/>
        <w:rPr>
          <w:rFonts w:ascii="Source Sans 3" w:cs="Source Sans 3" w:eastAsia="Source Sans 3" w:hAnsi="Source Sans 3"/>
          <w:b w:val="1"/>
          <w:bCs w:val="1"/>
          <w:sz w:val="28"/>
          <w:szCs w:val="28"/>
        </w:rPr>
      </w:pPr>
      <w:bookmarkStart w:colFirst="0" w:colLast="0" w:name="_7vqhtth58xa5" w:id="7"/>
      <w:bookmarkEnd w:id="7"/>
      <w:r w:rsidDel="00000000" w:rsidR="00000000" w:rsidRPr="00000000">
        <w:rPr>
          <w:rFonts w:ascii="Source Sans 3" w:cs="Source Sans 3" w:eastAsia="Source Sans 3" w:hAnsi="Source Sans 3"/>
          <w:b w:val="1"/>
          <w:bCs w:val="1"/>
          <w:sz w:val="28"/>
          <w:szCs w:val="28"/>
          <w:rtl w:val="0"/>
        </w:rPr>
        <w:t xml:space="preserve">III. Recomendaciones </w:t>
      </w:r>
    </w:p>
    <w:p w:rsidR="00000000" w:rsidDel="00000000" w:rsidP="00000000" w:rsidRDefault="00000000" w:rsidRPr="00000000" w14:paraId="00000046">
      <w:pPr>
        <w:pStyle w:val="Heading3"/>
        <w:ind w:hanging="360"/>
        <w:rPr>
          <w:rFonts w:ascii="Source Sans 3" w:cs="Source Sans 3" w:eastAsia="Source Sans 3" w:hAnsi="Source Sans 3"/>
          <w:b w:val="1"/>
          <w:bCs w:val="1"/>
          <w:color w:val="000000"/>
          <w:sz w:val="22"/>
          <w:szCs w:val="22"/>
        </w:rPr>
      </w:pPr>
      <w:bookmarkStart w:colFirst="0" w:colLast="0" w:name="_b168ut6tiw4q" w:id="8"/>
      <w:bookmarkEnd w:id="8"/>
      <w:r w:rsidDel="00000000" w:rsidR="00000000" w:rsidRPr="00000000">
        <w:rPr>
          <w:rFonts w:ascii="Source Sans 3" w:cs="Source Sans 3" w:eastAsia="Source Sans 3" w:hAnsi="Source Sans 3"/>
          <w:b w:val="1"/>
          <w:bCs w:val="1"/>
          <w:color w:val="000000"/>
          <w:sz w:val="22"/>
          <w:szCs w:val="22"/>
          <w:rtl w:val="0"/>
        </w:rPr>
        <w:t xml:space="preserve">Marco normativo</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76" w:lineRule="auto"/>
        <w:ind w:left="0" w:righ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Reformar la legislación penal en materia de delitos sexuales para incorporar la ausencia de consentimiento como elemento central, reconocer la libertad sexual y la autonomía corporal como bienes jurídicos protegidos y adecuar la sistemática del Código Penal a los estándares internacionales de derechos humanos.</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720" w:right="0" w:firstLine="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76" w:lineRule="auto"/>
        <w:ind w:left="0" w:righ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Eliminar los plazos de prescripción aplicables a los delitos sexuales, cuando las víctimas sean niñas, niños o adolescentes, de conformidad con los estándares internacionales de derechos humanos.</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720" w:right="0" w:firstLine="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76" w:lineRule="auto"/>
        <w:ind w:left="0" w:righ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Preservar y fortalecer el marco normativo de protección frente a la violencia basada en género, absteniéndose de promover o adoptar reformas legislativas que impliquen un retroceso en los derechos y garantías reconocidos por la Ley N.º 19.580. Asimismo, asegurar que cualquier proceso de reforma legislativa se fundamente en evidencia y sea compatible con las obligaciones internacionales del Estado en materia de derechos humanos.</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720" w:right="0" w:firstLine="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76" w:lineRule="auto"/>
        <w:ind w:left="0" w:righ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Reforzar el compromiso institucional y presupuestario para la implementación efectiva de la Ley N.º 19.580, garantizando recursos humanos, técnicos y financieros suficientes; ampliando la cobertura de los servicios y órganos especializados, especialmente fuera de Montevideo y asegurando que </w:t>
      </w:r>
      <w:r w:rsidDel="00000000" w:rsidR="00000000" w:rsidRPr="00000000">
        <w:rPr>
          <w:rFonts w:ascii="Source Sans 3" w:cs="Source Sans 3" w:eastAsia="Source Sans 3" w:hAnsi="Source Sans 3"/>
          <w:rtl w:val="0"/>
        </w:rPr>
        <w:t xml:space="preserve">los servicios de protección y asistencia respondan a todas las formas de violencia de género, y, en particular a la violencia sexual.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720" w:right="0" w:firstLine="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76" w:lineRule="auto"/>
        <w:ind w:left="0" w:righ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Revisar el artículo 179 bis del Código Penal para evaluar su compatibilidad con las obligaciones internacionales del Estado en materia de acceso a la justicia y asegurar que la legislación no refuerce narrativas que puedan desalentar la denuncia de hechos de violencia de género, ni afectar la confianza de las víctimas en el sistema de justicia.</w:t>
      </w:r>
    </w:p>
    <w:p w:rsidR="00000000" w:rsidDel="00000000" w:rsidP="00000000" w:rsidRDefault="00000000" w:rsidRPr="00000000" w14:paraId="00000050">
      <w:pPr>
        <w:pStyle w:val="Heading3"/>
        <w:ind w:hanging="360"/>
        <w:rPr>
          <w:rFonts w:ascii="Source Sans 3" w:cs="Source Sans 3" w:eastAsia="Source Sans 3" w:hAnsi="Source Sans 3"/>
          <w:b w:val="1"/>
          <w:bCs w:val="1"/>
          <w:color w:val="000000"/>
          <w:sz w:val="22"/>
          <w:szCs w:val="22"/>
        </w:rPr>
      </w:pPr>
      <w:bookmarkStart w:colFirst="0" w:colLast="0" w:name="_y8lxqn4i07uz" w:id="9"/>
      <w:bookmarkEnd w:id="9"/>
      <w:r w:rsidDel="00000000" w:rsidR="00000000" w:rsidRPr="00000000">
        <w:rPr>
          <w:rFonts w:ascii="Source Sans 3" w:cs="Source Sans 3" w:eastAsia="Source Sans 3" w:hAnsi="Source Sans 3"/>
          <w:b w:val="1"/>
          <w:bCs w:val="1"/>
          <w:color w:val="000000"/>
          <w:sz w:val="22"/>
          <w:szCs w:val="22"/>
          <w:rtl w:val="0"/>
        </w:rPr>
        <w:t xml:space="preserve">Debida diligencia, capacitación y sistemas de información</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76" w:lineRule="auto"/>
        <w:ind w:left="0" w:righ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Garantizar investigaciones diligentes y eficaces de los delitos de violencia sexual mediante la correcta recolección, preservación, documentación y trazabilidad de la evidencia, el adecuado registro de la cadena de custodia y la aplicación efectiva y uniforme de los protocolos de actuación. </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720" w:right="0" w:firstLine="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76" w:lineRule="auto"/>
        <w:ind w:left="0" w:righ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Robustecer la coordinación interinstitucional, mediante mecanismos de supervisión, seguimiento y evaluación que garanticen respuestas oportunas, coherentes y centradas en las víctimas.</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720" w:right="0" w:firstLine="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76" w:lineRule="auto"/>
        <w:ind w:left="0" w:righ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Garantizar condiciones equitativas de acceso a la justicia en todo el territorio, fortaleciendo los recursos técnicos y las capacidades forenses.</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720" w:right="0" w:firstLine="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76" w:lineRule="auto"/>
        <w:ind w:left="0" w:righ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Fortalecer la comunicación y el acompañamiento a las víctimas durante todo el proceso, garantizando información accesible.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720" w:right="0" w:firstLine="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76" w:lineRule="auto"/>
        <w:ind w:left="0" w:righ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Reducir la fragmentación institucional y las demoras en la atención, promoviendo procedimientos coordinados que minimicen la revictimización y aseguren una respuesta integral a las víctimas.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720" w:right="0" w:firstLine="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76" w:lineRule="auto"/>
        <w:ind w:left="0" w:righ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Fortalecer la formación obligatoria y continua de todos los operadores del sistema de justicia, orientada a prevenir la revictimización y asegurar una actuación con enfoque de género, derechos humanos e interseccionalidad.</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720" w:right="0" w:firstLine="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76" w:lineRule="auto"/>
        <w:ind w:left="0" w:righ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Desarrollar sistemas de información integrados e interoperables, que permitan el seguimiento integral de los casos, la producción de datos desagregados, y la evaluación del impacto de las políticas públicas.</w:t>
      </w:r>
      <w:r w:rsidDel="00000000" w:rsidR="00000000" w:rsidRPr="00000000">
        <w:rPr>
          <w:rtl w:val="0"/>
        </w:rPr>
      </w:r>
    </w:p>
    <w:p w:rsidR="00000000" w:rsidDel="00000000" w:rsidP="00000000" w:rsidRDefault="00000000" w:rsidRPr="00000000" w14:paraId="0000005E">
      <w:pPr>
        <w:pStyle w:val="Heading3"/>
        <w:ind w:hanging="360"/>
        <w:jc w:val="both"/>
        <w:rPr>
          <w:rFonts w:ascii="Source Sans 3" w:cs="Source Sans 3" w:eastAsia="Source Sans 3" w:hAnsi="Source Sans 3"/>
          <w:b w:val="1"/>
          <w:bCs w:val="1"/>
          <w:color w:val="000000"/>
          <w:sz w:val="22"/>
          <w:szCs w:val="22"/>
        </w:rPr>
      </w:pPr>
      <w:bookmarkStart w:colFirst="0" w:colLast="0" w:name="_2ecil1tig4c1" w:id="10"/>
      <w:bookmarkEnd w:id="10"/>
      <w:r w:rsidDel="00000000" w:rsidR="00000000" w:rsidRPr="00000000">
        <w:rPr>
          <w:rFonts w:ascii="Source Sans 3" w:cs="Source Sans 3" w:eastAsia="Source Sans 3" w:hAnsi="Source Sans 3"/>
          <w:b w:val="1"/>
          <w:bCs w:val="1"/>
          <w:color w:val="000000"/>
          <w:sz w:val="22"/>
          <w:szCs w:val="22"/>
          <w:rtl w:val="0"/>
        </w:rPr>
        <w:t xml:space="preserve">Eliminación de estereotipos y enfoque interseccional</w:t>
      </w:r>
    </w:p>
    <w:p w:rsidR="00000000" w:rsidDel="00000000" w:rsidP="00000000" w:rsidRDefault="00000000" w:rsidRPr="00000000" w14:paraId="000000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76" w:lineRule="auto"/>
        <w:ind w:left="0" w:righ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Fortalecer la incorporación transversal de la perspectiva de género e interseccional en el sistema de justicia</w:t>
      </w:r>
      <w:r w:rsidDel="00000000" w:rsidR="00000000" w:rsidRPr="00000000">
        <w:rPr>
          <w:rFonts w:ascii="Source Sans 3" w:cs="Source Sans 3" w:eastAsia="Source Sans 3" w:hAnsi="Source Sans 3"/>
          <w:rtl w:val="0"/>
        </w:rPr>
        <w:t xml:space="preserve">, eliminando estereotipos basados en el género, la edad, la discapacidad, la etnia, el origen socioeconómico u otras condiciones, y garantizando una atención accesible, no discriminatoria y respetuosa de los derechos humanos.</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720" w:right="0" w:firstLine="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76" w:lineRule="auto"/>
        <w:ind w:left="0" w:righ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Reforzar la protección de niñas, niños y adolescentes víctimas de violencia sexual</w:t>
      </w:r>
      <w:r w:rsidDel="00000000" w:rsidR="00000000" w:rsidRPr="00000000">
        <w:rPr>
          <w:rFonts w:ascii="Source Sans 3" w:cs="Source Sans 3" w:eastAsia="Source Sans 3" w:hAnsi="Source Sans 3"/>
          <w:rtl w:val="0"/>
        </w:rPr>
        <w:t xml:space="preserve">, eliminando prácticas adultocéntricas, garantizando su derecho a ser escuchados y a participar de manera efectiva en los procesos que les conciernen, de conformidad con su edad y grado de madurez.</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720" w:right="0" w:firstLine="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76" w:lineRule="auto"/>
        <w:ind w:left="0" w:right="0" w:hanging="360"/>
        <w:jc w:val="both"/>
        <w:rPr>
          <w:rFonts w:ascii="Source Sans 3" w:cs="Source Sans 3" w:eastAsia="Source Sans 3" w:hAnsi="Source Sans 3"/>
        </w:rPr>
      </w:pPr>
      <w:r w:rsidDel="00000000" w:rsidR="00000000" w:rsidRPr="00000000">
        <w:rPr>
          <w:rFonts w:ascii="Source Sans 3" w:cs="Source Sans 3" w:eastAsia="Source Sans 3" w:hAnsi="Source Sans 3"/>
          <w:rtl w:val="0"/>
        </w:rPr>
        <w:t xml:space="preserve">Garantizar una respuesta integral para niñas, niños y adolescentes</w:t>
      </w:r>
      <w:r w:rsidDel="00000000" w:rsidR="00000000" w:rsidRPr="00000000">
        <w:rPr>
          <w:rFonts w:ascii="Source Sans 3" w:cs="Source Sans 3" w:eastAsia="Source Sans 3" w:hAnsi="Source Sans 3"/>
          <w:rtl w:val="0"/>
        </w:rPr>
        <w:t xml:space="preserve">, asegurando el acceso equitativo a servicios especializados de atención, apoyo psicológico y medidas de reparación adecuadas.</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right="0"/>
        <w:jc w:val="both"/>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65">
      <w:pPr>
        <w:pStyle w:val="Heading2"/>
        <w:spacing w:after="240" w:before="240" w:lineRule="auto"/>
        <w:ind w:left="720" w:firstLine="0"/>
        <w:jc w:val="center"/>
        <w:rPr>
          <w:rFonts w:ascii="Source Sans 3" w:cs="Source Sans 3" w:eastAsia="Source Sans 3" w:hAnsi="Source Sans 3"/>
          <w:b w:val="1"/>
          <w:bCs w:val="1"/>
          <w:sz w:val="28"/>
          <w:szCs w:val="28"/>
        </w:rPr>
      </w:pPr>
      <w:bookmarkStart w:colFirst="0" w:colLast="0" w:name="_6512hkdbvxi8" w:id="11"/>
      <w:bookmarkEnd w:id="11"/>
      <w:r w:rsidDel="00000000" w:rsidR="00000000" w:rsidRPr="00000000">
        <w:rPr>
          <w:rFonts w:ascii="Source Sans 3" w:cs="Source Sans 3" w:eastAsia="Source Sans 3" w:hAnsi="Source Sans 3"/>
          <w:b w:val="1"/>
          <w:bCs w:val="1"/>
          <w:sz w:val="28"/>
          <w:szCs w:val="28"/>
          <w:rtl w:val="0"/>
        </w:rPr>
        <w:t xml:space="preserve">Anexo I</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720" w:right="0" w:firstLine="0"/>
        <w:jc w:val="center"/>
        <w:rPr>
          <w:rFonts w:ascii="Source Sans 3" w:cs="Source Sans 3" w:eastAsia="Source Sans 3" w:hAnsi="Source Sans 3"/>
          <w:b w:val="1"/>
          <w:bCs w:val="1"/>
        </w:rPr>
      </w:pPr>
      <w:r w:rsidDel="00000000" w:rsidR="00000000" w:rsidRPr="00000000">
        <w:rPr>
          <w:rFonts w:ascii="Source Sans 3" w:cs="Source Sans 3" w:eastAsia="Source Sans 3" w:hAnsi="Source Sans 3"/>
          <w:b w:val="1"/>
          <w:bCs w:val="1"/>
          <w:rtl w:val="0"/>
        </w:rPr>
        <w:t xml:space="preserve">Organizaciones firmantes</w:t>
      </w:r>
    </w:p>
    <w:p w:rsidR="00000000" w:rsidDel="00000000" w:rsidP="00000000" w:rsidRDefault="00000000" w:rsidRPr="00000000" w14:paraId="00000067">
      <w:pPr>
        <w:jc w:val="both"/>
        <w:rPr>
          <w:rFonts w:ascii="Source Sans 3" w:cs="Source Sans 3" w:eastAsia="Source Sans 3" w:hAnsi="Source Sans 3"/>
        </w:rPr>
      </w:pPr>
      <w:hyperlink r:id="rId9">
        <w:r w:rsidDel="00000000" w:rsidR="00000000" w:rsidRPr="00000000">
          <w:rPr>
            <w:rFonts w:ascii="Source Sans 3" w:cs="Source Sans 3" w:eastAsia="Source Sans 3" w:hAnsi="Source Sans 3"/>
            <w:b w:val="1"/>
            <w:bCs w:val="1"/>
            <w:u w:val="single"/>
            <w:rtl w:val="0"/>
          </w:rPr>
          <w:t xml:space="preserve">CLADEM Uruguay</w:t>
        </w:r>
      </w:hyperlink>
      <w:r w:rsidDel="00000000" w:rsidR="00000000" w:rsidRPr="00000000">
        <w:rPr>
          <w:rFonts w:ascii="Source Sans 3" w:cs="Source Sans 3" w:eastAsia="Source Sans 3" w:hAnsi="Source Sans 3"/>
          <w:rtl w:val="0"/>
        </w:rPr>
        <w:t xml:space="preserve"> trabaja hace más de dos décadas en la defensa de los derechos humanos de las mujeres, promoviendo la igualdad y luchando contra la discriminación y la violencia de género. Ha monitoreado el cumplimiento de los tratados internacionales sobre derechos humanos y presentado informes alternativos ante diversos Órganos de Tratados de Naciones Unidas. A nivel nacional, ha impulsado litigios estratégicos y presentado amicus curiae, impactando en la adopción de perspectivas de género en las sentencias judiciales.</w:t>
      </w:r>
      <w:r w:rsidDel="00000000" w:rsidR="00000000" w:rsidRPr="00000000">
        <w:rPr>
          <w:rtl w:val="0"/>
        </w:rPr>
      </w:r>
    </w:p>
    <w:p w:rsidR="00000000" w:rsidDel="00000000" w:rsidP="00000000" w:rsidRDefault="00000000" w:rsidRPr="00000000" w14:paraId="00000068">
      <w:pPr>
        <w:rPr>
          <w:rFonts w:ascii="Source Sans 3" w:cs="Source Sans 3" w:eastAsia="Source Sans 3" w:hAnsi="Source Sans 3"/>
        </w:rPr>
      </w:pPr>
      <w:r w:rsidDel="00000000" w:rsidR="00000000" w:rsidRPr="00000000">
        <w:rPr>
          <w:rtl w:val="0"/>
        </w:rPr>
      </w:r>
    </w:p>
    <w:p w:rsidR="00000000" w:rsidDel="00000000" w:rsidP="00000000" w:rsidRDefault="00000000" w:rsidRPr="00000000" w14:paraId="00000069">
      <w:pPr>
        <w:jc w:val="both"/>
        <w:rPr>
          <w:rFonts w:ascii="Source Sans 3" w:cs="Source Sans 3" w:eastAsia="Source Sans 3" w:hAnsi="Source Sans 3"/>
        </w:rPr>
      </w:pPr>
      <w:hyperlink r:id="rId10">
        <w:r w:rsidDel="00000000" w:rsidR="00000000" w:rsidRPr="00000000">
          <w:rPr>
            <w:rFonts w:ascii="Source Sans 3" w:cs="Source Sans 3" w:eastAsia="Source Sans 3" w:hAnsi="Source Sans 3"/>
            <w:b w:val="1"/>
            <w:bCs w:val="1"/>
            <w:u w:val="single"/>
            <w:rtl w:val="0"/>
          </w:rPr>
          <w:t xml:space="preserve">Equality Now</w:t>
        </w:r>
      </w:hyperlink>
      <w:r w:rsidDel="00000000" w:rsidR="00000000" w:rsidRPr="00000000">
        <w:rPr>
          <w:rFonts w:ascii="Source Sans 3" w:cs="Source Sans 3" w:eastAsia="Source Sans 3" w:hAnsi="Source Sans 3"/>
          <w:rtl w:val="0"/>
        </w:rPr>
        <w:t xml:space="preserve"> es una organización global de derechos humanos dedicada a promover los cambios legales y sistémicos necesarios para poner fin a la discriminación contra todas las mujeres y niñas. Desde su creación en 1992, ha contribuido a reformar 137 leyes discriminatorias en todo el mundo, impactando de manera positiva la vida de cientos de millones de mujeres y niñas, sus comunidades y sus países, tanto en el presente como para las generaciones futuras. Trabajando con aliadas a nivel nacional, regional y global, Equality Now combina una profunda experiencia jurídica con una amplia diversidad de perspectivas sociales, políticas y culturales para seguir impulsando los cambios necesarios para alcanzar una igualdad de género duradera que beneficie a todas las personas.</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720" w:right="0" w:firstLine="0"/>
        <w:jc w:val="both"/>
        <w:rPr>
          <w:rFonts w:ascii="Source Sans 3" w:cs="Source Sans 3" w:eastAsia="Source Sans 3" w:hAnsi="Source Sans 3"/>
        </w:rPr>
      </w:pPr>
      <w:r w:rsidDel="00000000" w:rsidR="00000000" w:rsidRPr="00000000">
        <w:rPr>
          <w:rtl w:val="0"/>
        </w:rPr>
      </w:r>
    </w:p>
    <w:sectPr>
      <w:footerReference r:id="rId11" w:type="default"/>
      <w:footerReference r:id="rId12"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Source Sans 3">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6">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0">
    <w:p w:rsidR="00000000" w:rsidDel="00000000" w:rsidP="00000000" w:rsidRDefault="00000000" w:rsidRPr="00000000" w14:paraId="0000006C">
      <w:pPr>
        <w:spacing w:line="240" w:lineRule="auto"/>
        <w:rPr>
          <w:rFonts w:ascii="Source Sans 3" w:cs="Source Sans 3" w:eastAsia="Source Sans 3" w:hAnsi="Source Sans 3"/>
          <w:sz w:val="20"/>
          <w:szCs w:val="20"/>
        </w:rPr>
      </w:pPr>
      <w:r w:rsidDel="00000000" w:rsidR="00000000" w:rsidRPr="00000000">
        <w:rPr>
          <w:rStyle w:val="FootnoteReference"/>
          <w:vertAlign w:val="superscript"/>
        </w:rPr>
        <w:footnoteRef/>
      </w:r>
      <w:r w:rsidDel="00000000" w:rsidR="00000000" w:rsidRPr="00000000">
        <w:rPr>
          <w:rFonts w:ascii="Source Sans 3" w:cs="Source Sans 3" w:eastAsia="Source Sans 3" w:hAnsi="Source Sans 3"/>
          <w:sz w:val="18"/>
          <w:szCs w:val="18"/>
          <w:rtl w:val="0"/>
        </w:rPr>
        <w:t xml:space="preserve"> </w:t>
      </w:r>
      <w:r w:rsidDel="00000000" w:rsidR="00000000" w:rsidRPr="00000000">
        <w:rPr>
          <w:rFonts w:ascii="Source Sans 3" w:cs="Source Sans 3" w:eastAsia="Source Sans 3" w:hAnsi="Source Sans 3"/>
          <w:sz w:val="20"/>
          <w:szCs w:val="20"/>
          <w:rtl w:val="0"/>
        </w:rPr>
        <w:t xml:space="preserve">Equality Now,</w:t>
      </w:r>
      <w:r w:rsidDel="00000000" w:rsidR="00000000" w:rsidRPr="00000000">
        <w:rPr>
          <w:rFonts w:ascii="Source Sans 3" w:cs="Source Sans 3" w:eastAsia="Source Sans 3" w:hAnsi="Source Sans 3"/>
          <w:i w:val="1"/>
          <w:iCs w:val="1"/>
          <w:sz w:val="20"/>
          <w:szCs w:val="20"/>
          <w:rtl w:val="0"/>
        </w:rPr>
        <w:t xml:space="preserve"> Fracaso en la protección: Cómo las leyes y prácticas discriminatorias en materia de violencia sexual perjudican a las mujeres, niñas y adolescentes en las Américas</w:t>
      </w:r>
      <w:r w:rsidDel="00000000" w:rsidR="00000000" w:rsidRPr="00000000">
        <w:rPr>
          <w:rFonts w:ascii="Source Sans 3" w:cs="Source Sans 3" w:eastAsia="Source Sans 3" w:hAnsi="Source Sans 3"/>
          <w:sz w:val="20"/>
          <w:szCs w:val="20"/>
          <w:rtl w:val="0"/>
        </w:rPr>
        <w:t xml:space="preserve">, 2021, disponible en </w:t>
      </w:r>
      <w:hyperlink r:id="rId1">
        <w:r w:rsidDel="00000000" w:rsidR="00000000" w:rsidRPr="00000000">
          <w:rPr>
            <w:rFonts w:ascii="Source Sans 3" w:cs="Source Sans 3" w:eastAsia="Source Sans 3" w:hAnsi="Source Sans 3"/>
            <w:color w:val="1155cc"/>
            <w:sz w:val="20"/>
            <w:szCs w:val="20"/>
            <w:u w:val="single"/>
            <w:rtl w:val="0"/>
          </w:rPr>
          <w:t xml:space="preserve">https://equalitynow.org/wp-content/uploads/2021/09/Failure_to_Protect_-_Equality_Now_2021_-_ESP-min.pdf</w:t>
        </w:r>
      </w:hyperlink>
      <w:r w:rsidDel="00000000" w:rsidR="00000000" w:rsidRPr="00000000">
        <w:rPr>
          <w:rtl w:val="0"/>
        </w:rPr>
      </w:r>
    </w:p>
  </w:footnote>
  <w:footnote w:id="3">
    <w:p w:rsidR="00000000" w:rsidDel="00000000" w:rsidP="00000000" w:rsidRDefault="00000000" w:rsidRPr="00000000" w14:paraId="0000006D">
      <w:pPr>
        <w:spacing w:line="240" w:lineRule="auto"/>
        <w:jc w:val="both"/>
        <w:rPr>
          <w:rFonts w:ascii="Source Sans 3" w:cs="Source Sans 3" w:eastAsia="Source Sans 3" w:hAnsi="Source Sans 3"/>
          <w:sz w:val="20"/>
          <w:szCs w:val="20"/>
        </w:rPr>
      </w:pPr>
      <w:r w:rsidDel="00000000" w:rsidR="00000000" w:rsidRPr="00000000">
        <w:rPr>
          <w:rStyle w:val="FootnoteReference"/>
          <w:vertAlign w:val="superscript"/>
        </w:rPr>
        <w:footnoteRef/>
      </w:r>
      <w:r w:rsidDel="00000000" w:rsidR="00000000" w:rsidRPr="00000000">
        <w:rPr>
          <w:rFonts w:ascii="Source Sans 3" w:cs="Source Sans 3" w:eastAsia="Source Sans 3" w:hAnsi="Source Sans 3"/>
          <w:sz w:val="20"/>
          <w:szCs w:val="20"/>
          <w:rtl w:val="0"/>
        </w:rPr>
        <w:t xml:space="preserve">Observatorio sobre Violencia Basada en Género hacia las Mujeres, </w:t>
      </w:r>
      <w:r w:rsidDel="00000000" w:rsidR="00000000" w:rsidRPr="00000000">
        <w:rPr>
          <w:rFonts w:ascii="Source Sans 3" w:cs="Source Sans 3" w:eastAsia="Source Sans 3" w:hAnsi="Source Sans 3"/>
          <w:sz w:val="20"/>
          <w:szCs w:val="20"/>
          <w:rtl w:val="0"/>
        </w:rPr>
        <w:t xml:space="preserve">2020. Disponible en:  </w:t>
      </w:r>
      <w:hyperlink r:id="rId2">
        <w:r w:rsidDel="00000000" w:rsidR="00000000" w:rsidRPr="00000000">
          <w:rPr>
            <w:rFonts w:ascii="Source Sans 3" w:cs="Source Sans 3" w:eastAsia="Source Sans 3" w:hAnsi="Source Sans 3"/>
            <w:color w:val="1155cc"/>
            <w:sz w:val="20"/>
            <w:szCs w:val="20"/>
            <w:u w:val="single"/>
            <w:rtl w:val="0"/>
          </w:rPr>
          <w:t xml:space="preserve">https://lac.unwomen.org/sites/default/files/Field%20Office%20Americas/Documentos/Publicaciones/2020/12/Segunda%20encuesta%20nacional_web%20-%20Uruguay.pdf</w:t>
        </w:r>
      </w:hyperlink>
      <w:r w:rsidDel="00000000" w:rsidR="00000000" w:rsidRPr="00000000">
        <w:rPr>
          <w:rFonts w:ascii="Source Sans 3" w:cs="Source Sans 3" w:eastAsia="Source Sans 3" w:hAnsi="Source Sans 3"/>
          <w:sz w:val="20"/>
          <w:szCs w:val="20"/>
          <w:rtl w:val="0"/>
        </w:rPr>
        <w:t xml:space="preserve"> </w:t>
      </w:r>
    </w:p>
  </w:footnote>
  <w:footnote w:id="5">
    <w:p w:rsidR="00000000" w:rsidDel="00000000" w:rsidP="00000000" w:rsidRDefault="00000000" w:rsidRPr="00000000" w14:paraId="0000006E">
      <w:pPr>
        <w:spacing w:line="240" w:lineRule="auto"/>
        <w:jc w:val="both"/>
        <w:rPr>
          <w:rFonts w:ascii="Source Sans 3" w:cs="Source Sans 3" w:eastAsia="Source Sans 3" w:hAnsi="Source Sans 3"/>
          <w:sz w:val="20"/>
          <w:szCs w:val="20"/>
        </w:rPr>
      </w:pPr>
      <w:r w:rsidDel="00000000" w:rsidR="00000000" w:rsidRPr="00000000">
        <w:rPr>
          <w:rStyle w:val="FootnoteReference"/>
          <w:vertAlign w:val="superscript"/>
        </w:rPr>
        <w:footnoteRef/>
      </w:r>
      <w:r w:rsidDel="00000000" w:rsidR="00000000" w:rsidRPr="00000000">
        <w:rPr>
          <w:rFonts w:ascii="Source Sans 3" w:cs="Source Sans 3" w:eastAsia="Source Sans 3" w:hAnsi="Source Sans 3"/>
          <w:sz w:val="20"/>
          <w:szCs w:val="20"/>
          <w:rtl w:val="0"/>
        </w:rPr>
        <w:t xml:space="preserve">Onu Mujeres, </w:t>
      </w:r>
      <w:r w:rsidDel="00000000" w:rsidR="00000000" w:rsidRPr="00000000">
        <w:rPr>
          <w:rFonts w:ascii="Source Sans 3" w:cs="Source Sans 3" w:eastAsia="Source Sans 3" w:hAnsi="Source Sans 3"/>
          <w:i w:val="1"/>
          <w:iCs w:val="1"/>
          <w:sz w:val="20"/>
          <w:szCs w:val="20"/>
          <w:rtl w:val="0"/>
        </w:rPr>
        <w:t xml:space="preserve">Perfil de género y generaciones de Uruguay, página 9. </w:t>
      </w:r>
      <w:r w:rsidDel="00000000" w:rsidR="00000000" w:rsidRPr="00000000">
        <w:rPr>
          <w:rFonts w:ascii="Source Sans 3" w:cs="Source Sans 3" w:eastAsia="Source Sans 3" w:hAnsi="Source Sans 3"/>
          <w:sz w:val="20"/>
          <w:szCs w:val="20"/>
          <w:rtl w:val="0"/>
        </w:rPr>
        <w:t xml:space="preserve">Disponible en: </w:t>
      </w:r>
      <w:hyperlink r:id="rId3">
        <w:r w:rsidDel="00000000" w:rsidR="00000000" w:rsidRPr="00000000">
          <w:rPr>
            <w:rFonts w:ascii="Source Sans 3" w:cs="Source Sans 3" w:eastAsia="Source Sans 3" w:hAnsi="Source Sans 3"/>
            <w:color w:val="1155cc"/>
            <w:sz w:val="20"/>
            <w:szCs w:val="20"/>
            <w:u w:val="single"/>
            <w:rtl w:val="0"/>
          </w:rPr>
          <w:t xml:space="preserve">https://lac.unwomen.org/sites/default/files/2025-03/es-perfilgenero-uy_21mar25.pdf</w:t>
        </w:r>
      </w:hyperlink>
      <w:r w:rsidDel="00000000" w:rsidR="00000000" w:rsidRPr="00000000">
        <w:rPr>
          <w:rFonts w:ascii="Source Sans 3" w:cs="Source Sans 3" w:eastAsia="Source Sans 3" w:hAnsi="Source Sans 3"/>
          <w:sz w:val="20"/>
          <w:szCs w:val="20"/>
          <w:rtl w:val="0"/>
        </w:rPr>
        <w:t xml:space="preserve"> </w:t>
      </w:r>
    </w:p>
  </w:footnote>
  <w:footnote w:id="11">
    <w:p w:rsidR="00000000" w:rsidDel="00000000" w:rsidP="00000000" w:rsidRDefault="00000000" w:rsidRPr="00000000" w14:paraId="0000006F">
      <w:pPr>
        <w:spacing w:line="240" w:lineRule="auto"/>
        <w:rPr>
          <w:rFonts w:ascii="Source Sans 3" w:cs="Source Sans 3" w:eastAsia="Source Sans 3" w:hAnsi="Source Sans 3"/>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Source Sans 3" w:cs="Source Sans 3" w:eastAsia="Source Sans 3" w:hAnsi="Source Sans 3"/>
          <w:sz w:val="20"/>
          <w:szCs w:val="20"/>
          <w:rtl w:val="0"/>
        </w:rPr>
        <w:t xml:space="preserve">CEVI, </w:t>
      </w:r>
      <w:r w:rsidDel="00000000" w:rsidR="00000000" w:rsidRPr="00000000">
        <w:rPr>
          <w:rFonts w:ascii="Source Sans 3" w:cs="Source Sans 3" w:eastAsia="Source Sans 3" w:hAnsi="Source Sans 3"/>
          <w:i w:val="1"/>
          <w:iCs w:val="1"/>
          <w:sz w:val="20"/>
          <w:szCs w:val="20"/>
          <w:rtl w:val="0"/>
        </w:rPr>
        <w:t xml:space="preserve">Comité de Expertas del MESECVI expresa su preocupación ante propuestas regresivas para modificar la Ley de violencia hacia las mujeres en Uruguay</w:t>
      </w:r>
      <w:r w:rsidDel="00000000" w:rsidR="00000000" w:rsidRPr="00000000">
        <w:rPr>
          <w:rFonts w:ascii="Source Sans 3" w:cs="Source Sans 3" w:eastAsia="Source Sans 3" w:hAnsi="Source Sans 3"/>
          <w:sz w:val="20"/>
          <w:szCs w:val="20"/>
          <w:rtl w:val="0"/>
        </w:rPr>
        <w:t xml:space="preserve">, 9 de mayo de 2024. Disponible en: </w:t>
      </w:r>
      <w:hyperlink r:id="rId4">
        <w:r w:rsidDel="00000000" w:rsidR="00000000" w:rsidRPr="00000000">
          <w:rPr>
            <w:rFonts w:ascii="Source Sans 3" w:cs="Source Sans 3" w:eastAsia="Source Sans 3" w:hAnsi="Source Sans 3"/>
            <w:color w:val="1155cc"/>
            <w:sz w:val="20"/>
            <w:szCs w:val="20"/>
            <w:u w:val="single"/>
            <w:rtl w:val="0"/>
          </w:rPr>
          <w:t xml:space="preserve">https://belemdopara.org/wp-content/uploads/2024/05/Comunicado-Uruguay-Ley-Integral.pdf</w:t>
        </w:r>
      </w:hyperlink>
      <w:r w:rsidDel="00000000" w:rsidR="00000000" w:rsidRPr="00000000">
        <w:rPr>
          <w:rFonts w:ascii="Source Sans 3" w:cs="Source Sans 3" w:eastAsia="Source Sans 3" w:hAnsi="Source Sans 3"/>
          <w:sz w:val="20"/>
          <w:szCs w:val="20"/>
          <w:rtl w:val="0"/>
        </w:rPr>
        <w:t xml:space="preserve"> </w:t>
      </w:r>
      <w:r w:rsidDel="00000000" w:rsidR="00000000" w:rsidRPr="00000000">
        <w:rPr>
          <w:rtl w:val="0"/>
        </w:rPr>
      </w:r>
    </w:p>
  </w:footnote>
  <w:footnote w:id="13">
    <w:p w:rsidR="00000000" w:rsidDel="00000000" w:rsidP="00000000" w:rsidRDefault="00000000" w:rsidRPr="00000000" w14:paraId="00000070">
      <w:pPr>
        <w:spacing w:line="240" w:lineRule="auto"/>
        <w:jc w:val="both"/>
        <w:rPr>
          <w:rFonts w:ascii="Source Sans 3" w:cs="Source Sans 3" w:eastAsia="Source Sans 3" w:hAnsi="Source Sans 3"/>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Source Sans 3" w:cs="Source Sans 3" w:eastAsia="Source Sans 3" w:hAnsi="Source Sans 3"/>
          <w:sz w:val="20"/>
          <w:szCs w:val="20"/>
          <w:rtl w:val="0"/>
        </w:rPr>
        <w:t xml:space="preserve">Al respecto, ver Ministerio de Desarrollo Social de Uruguay, Informe sobre denuncias falsas de Violencia Basada en Género en Uruguay, 16 de julio de 2025. Disponible en: </w:t>
      </w:r>
      <w:hyperlink r:id="rId5">
        <w:r w:rsidDel="00000000" w:rsidR="00000000" w:rsidRPr="00000000">
          <w:rPr>
            <w:rFonts w:ascii="Source Sans 3" w:cs="Source Sans 3" w:eastAsia="Source Sans 3" w:hAnsi="Source Sans 3"/>
            <w:color w:val="1155cc"/>
            <w:sz w:val="20"/>
            <w:szCs w:val="20"/>
            <w:u w:val="single"/>
            <w:rtl w:val="0"/>
          </w:rPr>
          <w:t xml:space="preserve">https://www.gub.uy/ministerio-desarrollo-social/comunicacion/noticias/informe-sobre-denuncias-falsas-violencia-basada-genero-uruguay</w:t>
        </w:r>
      </w:hyperlink>
      <w:r w:rsidDel="00000000" w:rsidR="00000000" w:rsidRPr="00000000">
        <w:rPr>
          <w:rFonts w:ascii="Source Sans 3" w:cs="Source Sans 3" w:eastAsia="Source Sans 3" w:hAnsi="Source Sans 3"/>
          <w:sz w:val="20"/>
          <w:szCs w:val="20"/>
          <w:rtl w:val="0"/>
        </w:rPr>
        <w:t xml:space="preserve"> ;</w:t>
      </w:r>
      <w:r w:rsidDel="00000000" w:rsidR="00000000" w:rsidRPr="00000000">
        <w:rPr>
          <w:sz w:val="20"/>
          <w:szCs w:val="20"/>
          <w:rtl w:val="0"/>
        </w:rPr>
        <w:t xml:space="preserve"> </w:t>
      </w:r>
      <w:r w:rsidDel="00000000" w:rsidR="00000000" w:rsidRPr="00000000">
        <w:rPr>
          <w:rFonts w:ascii="Source Sans 3" w:cs="Source Sans 3" w:eastAsia="Source Sans 3" w:hAnsi="Source Sans 3"/>
          <w:sz w:val="20"/>
          <w:szCs w:val="20"/>
          <w:rtl w:val="0"/>
        </w:rPr>
        <w:t xml:space="preserve">Onu Mujeres, Denuncias falsas de violencia basada en Género en Uruguay 2021-2023. Informe final Julio de 2025. Disponible en: </w:t>
      </w:r>
      <w:hyperlink r:id="rId6">
        <w:r w:rsidDel="00000000" w:rsidR="00000000" w:rsidRPr="00000000">
          <w:rPr>
            <w:rFonts w:ascii="Source Sans 3" w:cs="Source Sans 3" w:eastAsia="Source Sans 3" w:hAnsi="Source Sans 3"/>
            <w:color w:val="1155cc"/>
            <w:sz w:val="20"/>
            <w:szCs w:val="20"/>
            <w:u w:val="single"/>
            <w:rtl w:val="0"/>
          </w:rPr>
          <w:t xml:space="preserve">https://universidad.claeh.edu.uy/wp-content/uploads/2025/07/INFORME-FINAL-DENUNCIAS-FALSAS.docx.pdf</w:t>
        </w:r>
      </w:hyperlink>
      <w:r w:rsidDel="00000000" w:rsidR="00000000" w:rsidRPr="00000000">
        <w:rPr>
          <w:rFonts w:ascii="Source Sans 3" w:cs="Source Sans 3" w:eastAsia="Source Sans 3" w:hAnsi="Source Sans 3"/>
          <w:sz w:val="18"/>
          <w:szCs w:val="18"/>
          <w:rtl w:val="0"/>
        </w:rPr>
        <w:t xml:space="preserve"> </w:t>
      </w:r>
    </w:p>
    <w:p w:rsidR="00000000" w:rsidDel="00000000" w:rsidP="00000000" w:rsidRDefault="00000000" w:rsidRPr="00000000" w14:paraId="00000071">
      <w:pPr>
        <w:spacing w:line="240" w:lineRule="auto"/>
        <w:rPr>
          <w:sz w:val="20"/>
          <w:szCs w:val="20"/>
        </w:rPr>
      </w:pPr>
      <w:r w:rsidDel="00000000" w:rsidR="00000000" w:rsidRPr="00000000">
        <w:rPr>
          <w:rtl w:val="0"/>
        </w:rPr>
      </w:r>
    </w:p>
  </w:footnote>
  <w:footnote w:id="12">
    <w:p w:rsidR="00000000" w:rsidDel="00000000" w:rsidP="00000000" w:rsidRDefault="00000000" w:rsidRPr="00000000" w14:paraId="00000072">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rFonts w:ascii="Source Sans 3" w:cs="Source Sans 3" w:eastAsia="Source Sans 3" w:hAnsi="Source Sans 3"/>
          <w:sz w:val="20"/>
          <w:szCs w:val="20"/>
          <w:rtl w:val="0"/>
        </w:rPr>
        <w:t xml:space="preserve"> El nuevo artículo 179 bis del Código Penal se incorporó a través del artículo 15 de la </w:t>
      </w:r>
      <w:r w:rsidDel="00000000" w:rsidR="00000000" w:rsidRPr="00000000">
        <w:rPr>
          <w:rFonts w:ascii="Source Sans 3" w:cs="Source Sans 3" w:eastAsia="Source Sans 3" w:hAnsi="Source Sans 3"/>
          <w:sz w:val="20"/>
          <w:szCs w:val="20"/>
          <w:rtl w:val="0"/>
        </w:rPr>
        <w:t xml:space="preserve">Ley Nº 20.141 del 12 de mayo de 2023.</w:t>
      </w:r>
      <w:r w:rsidDel="00000000" w:rsidR="00000000" w:rsidRPr="00000000">
        <w:rPr>
          <w:rFonts w:ascii="Source Sans 3" w:cs="Source Sans 3" w:eastAsia="Source Sans 3" w:hAnsi="Source Sans 3"/>
          <w:sz w:val="20"/>
          <w:szCs w:val="20"/>
          <w:rtl w:val="0"/>
        </w:rPr>
        <w:t xml:space="preserve">Los artículos 179 y 179 bis del Código Penal de Uruguay disponen: “</w:t>
      </w:r>
      <w:r w:rsidDel="00000000" w:rsidR="00000000" w:rsidRPr="00000000">
        <w:rPr>
          <w:rFonts w:ascii="Source Sans 3" w:cs="Source Sans 3" w:eastAsia="Source Sans 3" w:hAnsi="Source Sans 3"/>
          <w:sz w:val="20"/>
          <w:szCs w:val="20"/>
          <w:rtl w:val="0"/>
        </w:rPr>
        <w:t xml:space="preserve">Artículo 179 </w:t>
      </w:r>
      <w:r w:rsidDel="00000000" w:rsidR="00000000" w:rsidRPr="00000000">
        <w:rPr>
          <w:rFonts w:ascii="Source Sans 3" w:cs="Source Sans 3" w:eastAsia="Source Sans 3" w:hAnsi="Source Sans 3"/>
          <w:sz w:val="20"/>
          <w:szCs w:val="20"/>
          <w:rtl w:val="0"/>
        </w:rPr>
        <w:t xml:space="preserve"> (Calumnia y simulación de delito) El que a sabiendas denuncia a la autoridad judicial o policial, o ante la Junta Asesora en Materia Económico Financiera del Estado o ante un funcionario público el cual tenga la obligación de dirigirse a tales autoridades, un delito que no se ha cometido, o que simule los indicios de un delito, en forma que proceda la iniciación de un procedimiento penal para su averiguación, será castigado con pena de tres meses de prisión a tres años de penitenciaría. Artículo 179 bis: Se considerará circunstancia agravante del delito previsto en el artículo anterior, que la denuncia vaya dirigida contra la persona con quien el denunciante tenga hijos en común, y que, a consecuencia de dicha   denuncia, la justicia disponga alguna medida cautelar en aplicación de  la Ley N° 19.580, de 22 de diciembre de 2017, o de la Ley N° 17.514,  de 2 de julio de 2002.</w:t>
      </w:r>
      <w:r w:rsidDel="00000000" w:rsidR="00000000" w:rsidRPr="00000000">
        <w:rPr>
          <w:rFonts w:ascii="Source Sans 3" w:cs="Source Sans 3" w:eastAsia="Source Sans 3" w:hAnsi="Source Sans 3"/>
          <w:sz w:val="20"/>
          <w:szCs w:val="20"/>
          <w:rtl w:val="0"/>
        </w:rPr>
        <w:t xml:space="preserve">” Ver al respecto, Código Penal de Uruguay, disponible en: </w:t>
      </w:r>
      <w:hyperlink r:id="rId7">
        <w:r w:rsidDel="00000000" w:rsidR="00000000" w:rsidRPr="00000000">
          <w:rPr>
            <w:rFonts w:ascii="Source Sans 3" w:cs="Source Sans 3" w:eastAsia="Source Sans 3" w:hAnsi="Source Sans 3"/>
            <w:color w:val="1155cc"/>
            <w:sz w:val="20"/>
            <w:szCs w:val="20"/>
            <w:u w:val="single"/>
            <w:rtl w:val="0"/>
          </w:rPr>
          <w:t xml:space="preserve">https://www.impo.com.uy/bases/codigo-penal/9155-1933</w:t>
        </w:r>
      </w:hyperlink>
      <w:r w:rsidDel="00000000" w:rsidR="00000000" w:rsidRPr="00000000">
        <w:rPr>
          <w:rFonts w:ascii="Source Sans 3" w:cs="Source Sans 3" w:eastAsia="Source Sans 3" w:hAnsi="Source Sans 3"/>
          <w:sz w:val="20"/>
          <w:szCs w:val="20"/>
          <w:rtl w:val="0"/>
        </w:rPr>
        <w:t xml:space="preserve"> </w:t>
      </w:r>
      <w:r w:rsidDel="00000000" w:rsidR="00000000" w:rsidRPr="00000000">
        <w:rPr>
          <w:rtl w:val="0"/>
        </w:rPr>
      </w:r>
    </w:p>
  </w:footnote>
  <w:footnote w:id="15">
    <w:p w:rsidR="00000000" w:rsidDel="00000000" w:rsidP="00000000" w:rsidRDefault="00000000" w:rsidRPr="00000000" w14:paraId="00000073">
      <w:pPr>
        <w:spacing w:line="240" w:lineRule="au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Source Sans 3" w:cs="Source Sans 3" w:eastAsia="Source Sans 3" w:hAnsi="Source Sans 3"/>
          <w:sz w:val="20"/>
          <w:szCs w:val="20"/>
          <w:highlight w:val="white"/>
          <w:rtl w:val="0"/>
        </w:rPr>
        <w:t xml:space="preserve">Instituto del Niño y Adolescente del Uruguay (INAU). (2024). Informe de Gestión SIPIAV 2024.</w:t>
      </w:r>
      <w:r w:rsidDel="00000000" w:rsidR="00000000" w:rsidRPr="00000000">
        <w:rPr>
          <w:rtl w:val="0"/>
        </w:rPr>
        <w:t xml:space="preserve"> </w:t>
      </w:r>
    </w:p>
  </w:footnote>
  <w:footnote w:id="16">
    <w:p w:rsidR="00000000" w:rsidDel="00000000" w:rsidP="00000000" w:rsidRDefault="00000000" w:rsidRPr="00000000" w14:paraId="00000074">
      <w:pPr>
        <w:spacing w:line="240" w:lineRule="auto"/>
        <w:rPr>
          <w:rFonts w:ascii="Source Sans 3" w:cs="Source Sans 3" w:eastAsia="Source Sans 3" w:hAnsi="Source Sans 3"/>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Source Sans 3" w:cs="Source Sans 3" w:eastAsia="Source Sans 3" w:hAnsi="Source Sans 3"/>
          <w:sz w:val="20"/>
          <w:szCs w:val="20"/>
          <w:rtl w:val="0"/>
        </w:rPr>
        <w:t xml:space="preserve">Ministerio del Interior del Uruguay. (2024). Estadísticas de delitos sexuales. Montevideo.</w:t>
      </w:r>
    </w:p>
  </w:footnote>
  <w:footnote w:id="1">
    <w:p w:rsidR="00000000" w:rsidDel="00000000" w:rsidP="00000000" w:rsidRDefault="00000000" w:rsidRPr="00000000" w14:paraId="00000075">
      <w:pPr>
        <w:spacing w:line="240" w:lineRule="auto"/>
        <w:rPr>
          <w:rFonts w:ascii="Source Sans 3" w:cs="Source Sans 3" w:eastAsia="Source Sans 3" w:hAnsi="Source Sans 3"/>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Source Sans 3" w:cs="Source Sans 3" w:eastAsia="Source Sans 3" w:hAnsi="Source Sans 3"/>
          <w:sz w:val="20"/>
          <w:szCs w:val="20"/>
          <w:rtl w:val="0"/>
        </w:rPr>
        <w:t xml:space="preserve">Ley de Violencia hacia las mujeres basada en género, Ley N°19580.</w:t>
      </w:r>
    </w:p>
  </w:footnote>
  <w:footnote w:id="7">
    <w:p w:rsidR="00000000" w:rsidDel="00000000" w:rsidP="00000000" w:rsidRDefault="00000000" w:rsidRPr="00000000" w14:paraId="00000077">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Source Sans 3" w:cs="Source Sans 3" w:eastAsia="Source Sans 3" w:hAnsi="Source Sans 3"/>
          <w:sz w:val="20"/>
          <w:szCs w:val="20"/>
          <w:rtl w:val="0"/>
        </w:rPr>
        <w:t xml:space="preserve">Ministerio de Desarrollo Social, Evaluación del Plan de Acción 2016-2019 por una vida libre de violencia de género con mirada generacional en Uruguay, 14 enero de 2020. Disponible en: </w:t>
      </w:r>
      <w:hyperlink r:id="rId8">
        <w:r w:rsidDel="00000000" w:rsidR="00000000" w:rsidRPr="00000000">
          <w:rPr>
            <w:rFonts w:ascii="Source Sans 3" w:cs="Source Sans 3" w:eastAsia="Source Sans 3" w:hAnsi="Source Sans 3"/>
            <w:color w:val="1155cc"/>
            <w:sz w:val="20"/>
            <w:szCs w:val="20"/>
            <w:u w:val="single"/>
            <w:rtl w:val="0"/>
          </w:rPr>
          <w:t xml:space="preserve">https://www.gub.uy/ministerio-desarrollo-social/sites/ministerio-desarrollo-social/files/2024-04/informe_final_de_evaluacion_plan_de_accion-2016-2019_dinamia_14enero_2020.pdf</w:t>
        </w:r>
      </w:hyperlink>
      <w:r w:rsidDel="00000000" w:rsidR="00000000" w:rsidRPr="00000000">
        <w:rPr>
          <w:rFonts w:ascii="Source Sans 3" w:cs="Source Sans 3" w:eastAsia="Source Sans 3" w:hAnsi="Source Sans 3"/>
          <w:sz w:val="20"/>
          <w:szCs w:val="20"/>
          <w:rtl w:val="0"/>
        </w:rPr>
        <w:t xml:space="preserve"> </w:t>
      </w:r>
      <w:r w:rsidDel="00000000" w:rsidR="00000000" w:rsidRPr="00000000">
        <w:rPr>
          <w:rtl w:val="0"/>
        </w:rPr>
      </w:r>
    </w:p>
  </w:footnote>
  <w:footnote w:id="9">
    <w:p w:rsidR="00000000" w:rsidDel="00000000" w:rsidP="00000000" w:rsidRDefault="00000000" w:rsidRPr="00000000" w14:paraId="00000078">
      <w:pPr>
        <w:spacing w:line="240" w:lineRule="au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Source Sans 3" w:cs="Source Sans 3" w:eastAsia="Source Sans 3" w:hAnsi="Source Sans 3"/>
          <w:sz w:val="20"/>
          <w:szCs w:val="20"/>
          <w:rtl w:val="0"/>
        </w:rPr>
        <w:t xml:space="preserve">Corte Interamericana de Derechos Humanos, </w:t>
      </w:r>
      <w:r w:rsidDel="00000000" w:rsidR="00000000" w:rsidRPr="00000000">
        <w:rPr>
          <w:rFonts w:ascii="Source Sans 3" w:cs="Source Sans 3" w:eastAsia="Source Sans 3" w:hAnsi="Source Sans 3"/>
          <w:sz w:val="20"/>
          <w:szCs w:val="20"/>
          <w:rtl w:val="0"/>
        </w:rPr>
        <w:t xml:space="preserve">Caso Angulo Losada Vs. Bolivia</w:t>
      </w:r>
      <w:r w:rsidDel="00000000" w:rsidR="00000000" w:rsidRPr="00000000">
        <w:rPr>
          <w:rFonts w:ascii="Source Sans 3" w:cs="Source Sans 3" w:eastAsia="Source Sans 3" w:hAnsi="Source Sans 3"/>
          <w:sz w:val="20"/>
          <w:szCs w:val="20"/>
          <w:rtl w:val="0"/>
        </w:rPr>
        <w:t xml:space="preserve">, sentencia del 18 de noviembre de 2022.</w:t>
      </w:r>
      <w:r w:rsidDel="00000000" w:rsidR="00000000" w:rsidRPr="00000000">
        <w:rPr>
          <w:rtl w:val="0"/>
        </w:rPr>
      </w:r>
    </w:p>
  </w:footnote>
  <w:footnote w:id="4">
    <w:p w:rsidR="00000000" w:rsidDel="00000000" w:rsidP="00000000" w:rsidRDefault="00000000" w:rsidRPr="00000000" w14:paraId="00000079">
      <w:pPr>
        <w:spacing w:line="240" w:lineRule="au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Source Sans 3" w:cs="Source Sans 3" w:eastAsia="Source Sans 3" w:hAnsi="Source Sans 3"/>
          <w:sz w:val="20"/>
          <w:szCs w:val="20"/>
          <w:rtl w:val="0"/>
        </w:rPr>
        <w:t xml:space="preserve">Onu Mujeres, Denuncias falsas de violencia basada en Género en Uruguay 2021-2023. Informe final Julio de 2025. Disponible en: </w:t>
      </w:r>
      <w:hyperlink r:id="rId9">
        <w:r w:rsidDel="00000000" w:rsidR="00000000" w:rsidRPr="00000000">
          <w:rPr>
            <w:rFonts w:ascii="Source Sans 3" w:cs="Source Sans 3" w:eastAsia="Source Sans 3" w:hAnsi="Source Sans 3"/>
            <w:color w:val="1155cc"/>
            <w:sz w:val="20"/>
            <w:szCs w:val="20"/>
            <w:u w:val="single"/>
            <w:rtl w:val="0"/>
          </w:rPr>
          <w:t xml:space="preserve">https://universidad.claeh.edu.uy/wp-content/uploads/2025/07/INFORME-FINAL-DENUNCIAS-FALSAS.docx.pdf</w:t>
        </w:r>
      </w:hyperlink>
      <w:r w:rsidDel="00000000" w:rsidR="00000000" w:rsidRPr="00000000">
        <w:rPr>
          <w:rFonts w:ascii="Source Sans 3" w:cs="Source Sans 3" w:eastAsia="Source Sans 3" w:hAnsi="Source Sans 3"/>
          <w:sz w:val="20"/>
          <w:szCs w:val="20"/>
          <w:rtl w:val="0"/>
        </w:rPr>
        <w:t xml:space="preserve"> </w:t>
      </w:r>
      <w:r w:rsidDel="00000000" w:rsidR="00000000" w:rsidRPr="00000000">
        <w:rPr>
          <w:rtl w:val="0"/>
        </w:rPr>
      </w:r>
    </w:p>
  </w:footnote>
  <w:footnote w:id="6">
    <w:p w:rsidR="00000000" w:rsidDel="00000000" w:rsidP="00000000" w:rsidRDefault="00000000" w:rsidRPr="00000000" w14:paraId="0000007A">
      <w:pPr>
        <w:spacing w:line="240" w:lineRule="auto"/>
        <w:rPr>
          <w:rFonts w:ascii="Source Sans 3" w:cs="Source Sans 3" w:eastAsia="Source Sans 3" w:hAnsi="Source Sans 3"/>
          <w:sz w:val="20"/>
          <w:szCs w:val="20"/>
        </w:rPr>
      </w:pPr>
      <w:r w:rsidDel="00000000" w:rsidR="00000000" w:rsidRPr="00000000">
        <w:rPr>
          <w:rStyle w:val="FootnoteReference"/>
          <w:vertAlign w:val="superscript"/>
        </w:rPr>
        <w:footnoteRef/>
      </w:r>
      <w:r w:rsidDel="00000000" w:rsidR="00000000" w:rsidRPr="00000000">
        <w:rPr>
          <w:rFonts w:ascii="Source Sans 3" w:cs="Source Sans 3" w:eastAsia="Source Sans 3" w:hAnsi="Source Sans 3"/>
          <w:rtl w:val="0"/>
        </w:rPr>
        <w:t xml:space="preserve"> </w:t>
      </w:r>
      <w:r w:rsidDel="00000000" w:rsidR="00000000" w:rsidRPr="00000000">
        <w:rPr>
          <w:rFonts w:ascii="Source Sans 3" w:cs="Source Sans 3" w:eastAsia="Source Sans 3" w:hAnsi="Source Sans 3"/>
          <w:sz w:val="20"/>
          <w:szCs w:val="20"/>
          <w:rtl w:val="0"/>
        </w:rPr>
        <w:t xml:space="preserve">Al respecto, ver: </w:t>
      </w:r>
      <w:hyperlink r:id="rId10">
        <w:r w:rsidDel="00000000" w:rsidR="00000000" w:rsidRPr="00000000">
          <w:rPr>
            <w:rFonts w:ascii="Source Sans 3" w:cs="Source Sans 3" w:eastAsia="Source Sans 3" w:hAnsi="Source Sans 3"/>
            <w:color w:val="1155cc"/>
            <w:sz w:val="20"/>
            <w:szCs w:val="20"/>
            <w:u w:val="single"/>
            <w:rtl w:val="0"/>
          </w:rPr>
          <w:t xml:space="preserve">https://www.poderjudicial.gub.uy/novedades/institucionales/poder-judicial-presenta-su-presupuesto-2025-2029</w:t>
        </w:r>
      </w:hyperlink>
      <w:r w:rsidDel="00000000" w:rsidR="00000000" w:rsidRPr="00000000">
        <w:rPr>
          <w:rFonts w:ascii="Source Sans 3" w:cs="Source Sans 3" w:eastAsia="Source Sans 3" w:hAnsi="Source Sans 3"/>
          <w:sz w:val="20"/>
          <w:szCs w:val="20"/>
          <w:rtl w:val="0"/>
        </w:rPr>
        <w:t xml:space="preserve"> </w:t>
      </w:r>
    </w:p>
  </w:footnote>
  <w:footnote w:id="8">
    <w:p w:rsidR="00000000" w:rsidDel="00000000" w:rsidP="00000000" w:rsidRDefault="00000000" w:rsidRPr="00000000" w14:paraId="0000007B">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Source Sans 3" w:cs="Source Sans 3" w:eastAsia="Source Sans 3" w:hAnsi="Source Sans 3"/>
          <w:sz w:val="20"/>
          <w:szCs w:val="20"/>
          <w:rtl w:val="0"/>
        </w:rPr>
        <w:t xml:space="preserve">CLADEM Uruguay, </w:t>
      </w:r>
      <w:r w:rsidDel="00000000" w:rsidR="00000000" w:rsidRPr="00000000">
        <w:rPr>
          <w:rFonts w:ascii="Source Sans 3" w:cs="Source Sans 3" w:eastAsia="Source Sans 3" w:hAnsi="Source Sans 3"/>
          <w:sz w:val="20"/>
          <w:szCs w:val="20"/>
          <w:rtl w:val="0"/>
        </w:rPr>
        <w:t xml:space="preserve">Informe Alternativo ante el Comité CEDAW, 20 de marzo de 2024. Disponible en: </w:t>
      </w:r>
      <w:hyperlink r:id="rId11">
        <w:r w:rsidDel="00000000" w:rsidR="00000000" w:rsidRPr="00000000">
          <w:rPr>
            <w:rFonts w:ascii="Source Sans 3" w:cs="Source Sans 3" w:eastAsia="Source Sans 3" w:hAnsi="Source Sans 3"/>
            <w:color w:val="1155cc"/>
            <w:sz w:val="20"/>
            <w:szCs w:val="20"/>
            <w:u w:val="single"/>
            <w:rtl w:val="0"/>
          </w:rPr>
          <w:t xml:space="preserve">https://cladem.org/biblioteca/informe-alternativo-cedaw--uruguay</w:t>
        </w:r>
      </w:hyperlink>
      <w:r w:rsidDel="00000000" w:rsidR="00000000" w:rsidRPr="00000000">
        <w:rPr>
          <w:rFonts w:ascii="Source Sans 3" w:cs="Source Sans 3" w:eastAsia="Source Sans 3" w:hAnsi="Source Sans 3"/>
          <w:sz w:val="20"/>
          <w:szCs w:val="20"/>
          <w:rtl w:val="0"/>
        </w:rPr>
        <w:t xml:space="preserve"> </w:t>
      </w:r>
      <w:r w:rsidDel="00000000" w:rsidR="00000000" w:rsidRPr="00000000">
        <w:rPr>
          <w:rtl w:val="0"/>
        </w:rPr>
      </w:r>
    </w:p>
  </w:footnote>
  <w:footnote w:id="14">
    <w:p w:rsidR="00000000" w:rsidDel="00000000" w:rsidP="00000000" w:rsidRDefault="00000000" w:rsidRPr="00000000" w14:paraId="0000007C">
      <w:pPr>
        <w:spacing w:line="240" w:lineRule="auto"/>
        <w:jc w:val="both"/>
        <w:rPr>
          <w:rFonts w:ascii="Source Sans 3" w:cs="Source Sans 3" w:eastAsia="Source Sans 3" w:hAnsi="Source Sans 3"/>
          <w:sz w:val="20"/>
          <w:szCs w:val="20"/>
          <w:highlight w:val="white"/>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Source Sans 3" w:cs="Source Sans 3" w:eastAsia="Source Sans 3" w:hAnsi="Source Sans 3"/>
          <w:sz w:val="20"/>
          <w:szCs w:val="20"/>
          <w:highlight w:val="white"/>
          <w:rtl w:val="0"/>
        </w:rPr>
        <w:t xml:space="preserve">En su Informe Anual 2025</w:t>
      </w:r>
      <w:r w:rsidDel="00000000" w:rsidR="00000000" w:rsidRPr="00000000">
        <w:rPr>
          <w:rFonts w:ascii="Source Sans 3" w:cs="Source Sans 3" w:eastAsia="Source Sans 3" w:hAnsi="Source Sans 3"/>
          <w:sz w:val="20"/>
          <w:szCs w:val="20"/>
          <w:highlight w:val="white"/>
          <w:rtl w:val="0"/>
        </w:rPr>
        <w:t xml:space="preserve">, el Sistema Integral de Protección a la Infancia y a la Adolescencia contra la Violencia (SIPIAV) informó haber intervenido en </w:t>
      </w:r>
      <w:r w:rsidDel="00000000" w:rsidR="00000000" w:rsidRPr="00000000">
        <w:rPr>
          <w:rFonts w:ascii="Source Sans 3" w:cs="Source Sans 3" w:eastAsia="Source Sans 3" w:hAnsi="Source Sans 3"/>
          <w:sz w:val="20"/>
          <w:szCs w:val="20"/>
          <w:highlight w:val="white"/>
          <w:rtl w:val="0"/>
        </w:rPr>
        <w:t xml:space="preserve">9.178 situaciones de violencia</w:t>
      </w:r>
      <w:r w:rsidDel="00000000" w:rsidR="00000000" w:rsidRPr="00000000">
        <w:rPr>
          <w:rFonts w:ascii="Source Sans 3" w:cs="Source Sans 3" w:eastAsia="Source Sans 3" w:hAnsi="Source Sans 3"/>
          <w:sz w:val="20"/>
          <w:szCs w:val="20"/>
          <w:highlight w:val="white"/>
          <w:rtl w:val="0"/>
        </w:rPr>
        <w:t xml:space="preserve">, de las cuales </w:t>
      </w:r>
      <w:r w:rsidDel="00000000" w:rsidR="00000000" w:rsidRPr="00000000">
        <w:rPr>
          <w:rFonts w:ascii="Source Sans 3" w:cs="Source Sans 3" w:eastAsia="Source Sans 3" w:hAnsi="Source Sans 3"/>
          <w:sz w:val="20"/>
          <w:szCs w:val="20"/>
          <w:highlight w:val="white"/>
          <w:rtl w:val="0"/>
        </w:rPr>
        <w:t xml:space="preserve">2.536 corresponden a nuevos casos</w:t>
      </w:r>
      <w:r w:rsidDel="00000000" w:rsidR="00000000" w:rsidRPr="00000000">
        <w:rPr>
          <w:rFonts w:ascii="Source Sans 3" w:cs="Source Sans 3" w:eastAsia="Source Sans 3" w:hAnsi="Source Sans 3"/>
          <w:sz w:val="20"/>
          <w:szCs w:val="20"/>
          <w:highlight w:val="white"/>
          <w:rtl w:val="0"/>
        </w:rPr>
        <w:t xml:space="preserve">. La violencia sexual representó aproximadamente entre el </w:t>
      </w:r>
      <w:r w:rsidDel="00000000" w:rsidR="00000000" w:rsidRPr="00000000">
        <w:rPr>
          <w:rFonts w:ascii="Source Sans 3" w:cs="Source Sans 3" w:eastAsia="Source Sans 3" w:hAnsi="Source Sans 3"/>
          <w:sz w:val="20"/>
          <w:szCs w:val="20"/>
          <w:highlight w:val="white"/>
          <w:rtl w:val="0"/>
        </w:rPr>
        <w:t xml:space="preserve">20 % y el 22 %</w:t>
      </w:r>
      <w:r w:rsidDel="00000000" w:rsidR="00000000" w:rsidRPr="00000000">
        <w:rPr>
          <w:rFonts w:ascii="Source Sans 3" w:cs="Source Sans 3" w:eastAsia="Source Sans 3" w:hAnsi="Source Sans 3"/>
          <w:sz w:val="20"/>
          <w:szCs w:val="20"/>
          <w:highlight w:val="white"/>
          <w:rtl w:val="0"/>
        </w:rPr>
        <w:t xml:space="preserve"> de las situaciones atendidas, la mayoría de ellas ocurridas en el ámbito intrafamiliar, lo que plantea especiales desafíos probatorios. No obstante, esta información no se encuentra integrada con los registros del Poder Judicial y de la Fiscalía General de la Nación, por lo que no es posible determinar cuántos de estos casos avanzan hasta una condena o culminan con medidas de reparación, limitando la evaluación integral de la respuesta estatal.  Ver, </w:t>
      </w:r>
      <w:hyperlink r:id="rId12">
        <w:r w:rsidDel="00000000" w:rsidR="00000000" w:rsidRPr="00000000">
          <w:rPr>
            <w:rFonts w:ascii="Source Sans 3" w:cs="Source Sans 3" w:eastAsia="Source Sans 3" w:hAnsi="Source Sans 3"/>
            <w:sz w:val="20"/>
            <w:szCs w:val="20"/>
            <w:highlight w:val="white"/>
            <w:rtl w:val="0"/>
          </w:rPr>
          <w:t xml:space="preserve">Sistema Integral de Protección a la Infancia y la Adolescencia contra la Violencia (Sipiav)</w:t>
        </w:r>
      </w:hyperlink>
      <w:r w:rsidDel="00000000" w:rsidR="00000000" w:rsidRPr="00000000">
        <w:rPr>
          <w:rFonts w:ascii="Source Sans 3" w:cs="Source Sans 3" w:eastAsia="Source Sans 3" w:hAnsi="Source Sans 3"/>
          <w:sz w:val="20"/>
          <w:szCs w:val="20"/>
          <w:highlight w:val="white"/>
          <w:rtl w:val="0"/>
        </w:rPr>
        <w:t xml:space="preserve">, Informe Anual 2025, abril de 2026.</w:t>
      </w:r>
    </w:p>
    <w:p w:rsidR="00000000" w:rsidDel="00000000" w:rsidP="00000000" w:rsidRDefault="00000000" w:rsidRPr="00000000" w14:paraId="0000007D">
      <w:pPr>
        <w:spacing w:line="240" w:lineRule="auto"/>
        <w:jc w:val="both"/>
        <w:rPr/>
      </w:pPr>
      <w:r w:rsidDel="00000000" w:rsidR="00000000" w:rsidRPr="00000000">
        <w:rPr>
          <w:rFonts w:ascii="Source Sans 3" w:cs="Source Sans 3" w:eastAsia="Source Sans 3" w:hAnsi="Source Sans 3"/>
          <w:sz w:val="20"/>
          <w:szCs w:val="20"/>
          <w:highlight w:val="white"/>
          <w:rtl w:val="0"/>
        </w:rPr>
        <w:t xml:space="preserve">Disponible en: </w:t>
      </w:r>
      <w:hyperlink r:id="rId13">
        <w:r w:rsidDel="00000000" w:rsidR="00000000" w:rsidRPr="00000000">
          <w:rPr>
            <w:rFonts w:ascii="Source Sans 3" w:cs="Source Sans 3" w:eastAsia="Source Sans 3" w:hAnsi="Source Sans 3"/>
            <w:color w:val="1155cc"/>
            <w:sz w:val="20"/>
            <w:szCs w:val="20"/>
            <w:highlight w:val="white"/>
            <w:u w:val="single"/>
            <w:rtl w:val="0"/>
          </w:rPr>
          <w:t xml:space="preserve">https://www.inau.gub.uy/sites/default/files/2026-07/informe_de_gestion_sipiav_2025_3.pdf</w:t>
        </w:r>
      </w:hyperlink>
      <w:r w:rsidDel="00000000" w:rsidR="00000000" w:rsidRPr="00000000">
        <w:rPr>
          <w:rFonts w:ascii="Source Sans 3" w:cs="Source Sans 3" w:eastAsia="Source Sans 3" w:hAnsi="Source Sans 3"/>
          <w:sz w:val="20"/>
          <w:szCs w:val="20"/>
          <w:highlight w:val="white"/>
          <w:rtl w:val="0"/>
        </w:rPr>
        <w:t xml:space="preserve"> </w:t>
      </w:r>
      <w:r w:rsidDel="00000000" w:rsidR="00000000" w:rsidRPr="00000000">
        <w:rPr>
          <w:rtl w:val="0"/>
        </w:rPr>
      </w:r>
    </w:p>
  </w:footnote>
  <w:footnote w:id="0">
    <w:p w:rsidR="00000000" w:rsidDel="00000000" w:rsidP="00000000" w:rsidRDefault="00000000" w:rsidRPr="00000000" w14:paraId="0000007E">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Source Sans 3" w:cs="Source Sans 3" w:eastAsia="Source Sans 3" w:hAnsi="Source Sans 3"/>
          <w:sz w:val="20"/>
          <w:szCs w:val="20"/>
          <w:rtl w:val="0"/>
        </w:rPr>
        <w:t xml:space="preserve">Comité de Derechos Humanos, Observaciones finales sobre el sexto informe periódico del Uruguay</w:t>
      </w:r>
      <w:r w:rsidDel="00000000" w:rsidR="00000000" w:rsidRPr="00000000">
        <w:rPr>
          <w:rFonts w:ascii="Source Sans 3" w:cs="Source Sans 3" w:eastAsia="Source Sans 3" w:hAnsi="Source Sans 3"/>
          <w:rtl w:val="0"/>
        </w:rPr>
        <w:t xml:space="preserve">,</w:t>
      </w:r>
      <w:r w:rsidDel="00000000" w:rsidR="00000000" w:rsidRPr="00000000">
        <w:rPr>
          <w:rFonts w:ascii="Source Sans 3" w:cs="Source Sans 3" w:eastAsia="Source Sans 3" w:hAnsi="Source Sans 3"/>
          <w:sz w:val="20"/>
          <w:szCs w:val="20"/>
          <w:rtl w:val="0"/>
        </w:rPr>
        <w:t xml:space="preserve"> CCPR/C/URY/CO/6,  3 de octubre de 2022.</w:t>
      </w:r>
      <w:r w:rsidDel="00000000" w:rsidR="00000000" w:rsidRPr="00000000">
        <w:rPr>
          <w:sz w:val="20"/>
          <w:szCs w:val="20"/>
          <w:rtl w:val="0"/>
        </w:rPr>
        <w:t xml:space="preserve"> </w:t>
      </w:r>
    </w:p>
  </w:footnote>
  <w:footnote w:id="2">
    <w:p w:rsidR="00000000" w:rsidDel="00000000" w:rsidP="00000000" w:rsidRDefault="00000000" w:rsidRPr="00000000" w14:paraId="0000007F">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Source Sans 3" w:cs="Source Sans 3" w:eastAsia="Source Sans 3" w:hAnsi="Source Sans 3"/>
          <w:sz w:val="20"/>
          <w:szCs w:val="20"/>
          <w:rtl w:val="0"/>
        </w:rPr>
        <w:t xml:space="preserve">Comité de Derechos Humanos, </w:t>
      </w:r>
      <w:r w:rsidDel="00000000" w:rsidR="00000000" w:rsidRPr="00000000">
        <w:rPr>
          <w:rFonts w:ascii="Source Sans 3" w:cs="Source Sans 3" w:eastAsia="Source Sans 3" w:hAnsi="Source Sans 3"/>
          <w:sz w:val="20"/>
          <w:szCs w:val="20"/>
          <w:rtl w:val="0"/>
        </w:rPr>
        <w:t xml:space="preserve">Información</w:t>
      </w:r>
      <w:r w:rsidDel="00000000" w:rsidR="00000000" w:rsidRPr="00000000">
        <w:rPr>
          <w:rFonts w:ascii="Source Sans 3" w:cs="Source Sans 3" w:eastAsia="Source Sans 3" w:hAnsi="Source Sans 3"/>
          <w:sz w:val="20"/>
          <w:szCs w:val="20"/>
          <w:rtl w:val="0"/>
        </w:rPr>
        <w:t xml:space="preserve"> recibida del Uruguay relativa al seguimiento de las observaciones finales sobre su sexto informe periódico, CCPR/C/URY/FCO/6, 4 de agosto de 2025.</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yperlink" Target="https://equalitynow.org/" TargetMode="Externa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cladem.org/nosotras-donde-estamos/uruguay"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2.pn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SourceSans3-regular.ttf"/><Relationship Id="rId2" Type="http://schemas.openxmlformats.org/officeDocument/2006/relationships/font" Target="fonts/SourceSans3-bold.ttf"/><Relationship Id="rId3" Type="http://schemas.openxmlformats.org/officeDocument/2006/relationships/font" Target="fonts/SourceSans3-italic.ttf"/><Relationship Id="rId4" Type="http://schemas.openxmlformats.org/officeDocument/2006/relationships/font" Target="fonts/SourceSans3-boldItalic.ttf"/></Relationships>
</file>

<file path=word/_rels/footnotes.xml.rels><?xml version="1.0" encoding="UTF-8" standalone="yes"?><Relationships xmlns="http://schemas.openxmlformats.org/package/2006/relationships"><Relationship Id="rId11" Type="http://schemas.openxmlformats.org/officeDocument/2006/relationships/hyperlink" Target="https://cladem.org/biblioteca/informe-alternativo-cedaw--uruguay" TargetMode="External"/><Relationship Id="rId10" Type="http://schemas.openxmlformats.org/officeDocument/2006/relationships/hyperlink" Target="https://www.poderjudicial.gub.uy/novedades/institucionales/poder-judicial-presenta-su-presupuesto-2025-2029" TargetMode="External"/><Relationship Id="rId13" Type="http://schemas.openxmlformats.org/officeDocument/2006/relationships/hyperlink" Target="https://www.inau.gub.uy/sites/default/files/2026-07/informe_de_gestion_sipiav_2025_3.pdf" TargetMode="External"/><Relationship Id="rId12" Type="http://schemas.openxmlformats.org/officeDocument/2006/relationships/hyperlink" Target="https://www.inau.gub.uy/sipiav" TargetMode="External"/><Relationship Id="rId1" Type="http://schemas.openxmlformats.org/officeDocument/2006/relationships/hyperlink" Target="https://equalitynow.org/wp-content/uploads/2021/09/Failure_to_Protect_-_Equality_Now_2021_-_ESP-min.pdf" TargetMode="External"/><Relationship Id="rId2" Type="http://schemas.openxmlformats.org/officeDocument/2006/relationships/hyperlink" Target="https://lac.unwomen.org/sites/default/files/Field%20Office%20Americas/Documentos/Publicaciones/2020/12/Segunda%20encuesta%20nacional_web%20-%20Uruguay.pdf" TargetMode="External"/><Relationship Id="rId3" Type="http://schemas.openxmlformats.org/officeDocument/2006/relationships/hyperlink" Target="https://lac.unwomen.org/sites/default/files/2025-03/es-perfilgenero-uy_21mar25.pdf" TargetMode="External"/><Relationship Id="rId4" Type="http://schemas.openxmlformats.org/officeDocument/2006/relationships/hyperlink" Target="https://belemdopara.org/wp-content/uploads/2024/05/Comunicado-Uruguay-Ley-Integral.pdf" TargetMode="External"/><Relationship Id="rId9" Type="http://schemas.openxmlformats.org/officeDocument/2006/relationships/hyperlink" Target="https://universidad.claeh.edu.uy/wp-content/uploads/2025/07/INFORME-FINAL-DENUNCIAS-FALSAS.docx.pdf" TargetMode="External"/><Relationship Id="rId5" Type="http://schemas.openxmlformats.org/officeDocument/2006/relationships/hyperlink" Target="https://www.gub.uy/ministerio-desarrollo-social/comunicacion/noticias/informe-sobre-denuncias-falsas-violencia-basada-genero-uruguay" TargetMode="External"/><Relationship Id="rId6" Type="http://schemas.openxmlformats.org/officeDocument/2006/relationships/hyperlink" Target="https://universidad.claeh.edu.uy/wp-content/uploads/2025/07/INFORME-FINAL-DENUNCIAS-FALSAS.docx.pdf" TargetMode="External"/><Relationship Id="rId7" Type="http://schemas.openxmlformats.org/officeDocument/2006/relationships/hyperlink" Target="https://www.impo.com.uy/bases/codigo-penal/9155-1933" TargetMode="External"/><Relationship Id="rId8" Type="http://schemas.openxmlformats.org/officeDocument/2006/relationships/hyperlink" Target="https://www.gub.uy/ministerio-desarrollo-social/sites/ministerio-desarrollo-social/files/2024-04/informe_final_de_evaluacion_plan_de_accion-2016-2019_dinamia_14enero_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