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E73619" w14:textId="77777777" w:rsidR="004E7651" w:rsidRDefault="004E7651">
      <w:pPr>
        <w:shd w:val="clear" w:color="auto" w:fill="FFFFFF"/>
        <w:spacing w:after="0" w:line="240" w:lineRule="auto"/>
        <w:jc w:val="center"/>
        <w:rPr>
          <w:rFonts w:ascii="Times New Roman" w:eastAsia="Times New Roman" w:hAnsi="Times New Roman" w:cs="Times New Roman"/>
          <w:b/>
          <w:sz w:val="24"/>
          <w:szCs w:val="24"/>
        </w:rPr>
      </w:pPr>
    </w:p>
    <w:p w14:paraId="28132A69" w14:textId="77777777" w:rsidR="004E7651" w:rsidRDefault="00000000">
      <w:pPr>
        <w:shd w:val="clear" w:color="auto" w:fill="FFFFFF"/>
        <w:spacing w:after="0" w:line="240" w:lineRule="auto"/>
        <w:jc w:val="center"/>
        <w:rPr>
          <w:rFonts w:ascii="Times New Roman" w:eastAsia="Times New Roman" w:hAnsi="Times New Roman" w:cs="Times New Roman"/>
          <w:b/>
          <w:sz w:val="24"/>
          <w:szCs w:val="24"/>
        </w:rPr>
      </w:pPr>
      <w:r>
        <w:rPr>
          <w:noProof/>
        </w:rPr>
        <w:drawing>
          <wp:anchor distT="0" distB="0" distL="114300" distR="114300" simplePos="0" relativeHeight="251658240" behindDoc="0" locked="0" layoutInCell="1" hidden="0" allowOverlap="1" wp14:anchorId="23BA8968" wp14:editId="46360DA8">
            <wp:simplePos x="0" y="0"/>
            <wp:positionH relativeFrom="column">
              <wp:posOffset>3581400</wp:posOffset>
            </wp:positionH>
            <wp:positionV relativeFrom="paragraph">
              <wp:posOffset>114300</wp:posOffset>
            </wp:positionV>
            <wp:extent cx="1327150" cy="1231900"/>
            <wp:effectExtent l="0" t="0" r="0" b="0"/>
            <wp:wrapSquare wrapText="bothSides" distT="0" distB="0" distL="114300" distR="1143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327150" cy="1231900"/>
                    </a:xfrm>
                    <a:prstGeom prst="rect">
                      <a:avLst/>
                    </a:prstGeom>
                    <a:ln/>
                  </pic:spPr>
                </pic:pic>
              </a:graphicData>
            </a:graphic>
          </wp:anchor>
        </w:drawing>
      </w:r>
    </w:p>
    <w:p w14:paraId="024EC302" w14:textId="77777777" w:rsidR="004E7651" w:rsidRDefault="00000000">
      <w:pPr>
        <w:shd w:val="clear" w:color="auto" w:fill="FFFFFF"/>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22B6CCAF" wp14:editId="59D72991">
            <wp:extent cx="1447800" cy="995363"/>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447800" cy="995363"/>
                    </a:xfrm>
                    <a:prstGeom prst="rect">
                      <a:avLst/>
                    </a:prstGeom>
                    <a:ln/>
                  </pic:spPr>
                </pic:pic>
              </a:graphicData>
            </a:graphic>
          </wp:inline>
        </w:drawing>
      </w:r>
    </w:p>
    <w:p w14:paraId="229BD46F" w14:textId="77777777" w:rsidR="004E7651" w:rsidRDefault="004E7651">
      <w:pPr>
        <w:shd w:val="clear" w:color="auto" w:fill="FFFFFF"/>
        <w:spacing w:after="0" w:line="240" w:lineRule="auto"/>
        <w:rPr>
          <w:rFonts w:ascii="Times New Roman" w:eastAsia="Times New Roman" w:hAnsi="Times New Roman" w:cs="Times New Roman"/>
          <w:b/>
          <w:sz w:val="24"/>
          <w:szCs w:val="24"/>
        </w:rPr>
      </w:pPr>
    </w:p>
    <w:p w14:paraId="4F315C59" w14:textId="77777777" w:rsidR="004E7651" w:rsidRDefault="004E7651">
      <w:pPr>
        <w:shd w:val="clear" w:color="auto" w:fill="FFFFFF"/>
        <w:spacing w:after="0" w:line="240" w:lineRule="auto"/>
        <w:rPr>
          <w:rFonts w:ascii="Times New Roman" w:eastAsia="Times New Roman" w:hAnsi="Times New Roman" w:cs="Times New Roman"/>
          <w:b/>
          <w:sz w:val="24"/>
          <w:szCs w:val="24"/>
        </w:rPr>
      </w:pPr>
    </w:p>
    <w:p w14:paraId="33B0B1C0" w14:textId="77777777" w:rsidR="004E7651" w:rsidRDefault="00000000">
      <w:pPr>
        <w:shd w:val="clear" w:color="auto" w:fill="FFFFFF"/>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Rights of Intersex Persons in Nepal</w:t>
      </w:r>
    </w:p>
    <w:p w14:paraId="1C9FF06A" w14:textId="77777777" w:rsidR="004E7651" w:rsidRDefault="004E7651">
      <w:pPr>
        <w:shd w:val="clear" w:color="auto" w:fill="FFFFFF"/>
        <w:spacing w:after="0" w:line="240" w:lineRule="auto"/>
        <w:jc w:val="center"/>
        <w:rPr>
          <w:rFonts w:ascii="Times New Roman" w:eastAsia="Times New Roman" w:hAnsi="Times New Roman" w:cs="Times New Roman"/>
          <w:b/>
          <w:sz w:val="24"/>
          <w:szCs w:val="24"/>
        </w:rPr>
      </w:pPr>
    </w:p>
    <w:p w14:paraId="3ED6C7EF" w14:textId="77777777" w:rsidR="004E7651" w:rsidRDefault="00000000">
      <w:pPr>
        <w:shd w:val="clear" w:color="auto" w:fill="FFFFFF"/>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Joint NGO submission by:</w:t>
      </w:r>
    </w:p>
    <w:p w14:paraId="50C0E2DB" w14:textId="77777777" w:rsidR="004E7651" w:rsidRDefault="00000000">
      <w:pPr>
        <w:shd w:val="clear" w:color="auto" w:fill="FFFFFF"/>
        <w:spacing w:after="0" w:line="240" w:lineRule="auto"/>
        <w:jc w:val="center"/>
        <w:rPr>
          <w:rFonts w:ascii="Times New Roman" w:eastAsia="Times New Roman" w:hAnsi="Times New Roman" w:cs="Times New Roman"/>
          <w:sz w:val="24"/>
          <w:szCs w:val="24"/>
        </w:rPr>
      </w:pPr>
      <w:bookmarkStart w:id="0" w:name="_heading=h.gjdgxs" w:colFirst="0" w:colLast="0"/>
      <w:bookmarkEnd w:id="0"/>
      <w:r>
        <w:rPr>
          <w:rFonts w:ascii="Times New Roman" w:eastAsia="Times New Roman" w:hAnsi="Times New Roman" w:cs="Times New Roman"/>
          <w:sz w:val="24"/>
          <w:szCs w:val="24"/>
        </w:rPr>
        <w:t>Campaign for Change Nepal and</w:t>
      </w:r>
    </w:p>
    <w:p w14:paraId="12CBCCE5" w14:textId="77777777" w:rsidR="004E7651" w:rsidRDefault="00000000">
      <w:pPr>
        <w:shd w:val="clear" w:color="auto" w:fill="FFFFFF"/>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Intersex Asia</w:t>
      </w:r>
    </w:p>
    <w:p w14:paraId="2F801ECC" w14:textId="77777777" w:rsidR="004E7651" w:rsidRDefault="004E7651">
      <w:pPr>
        <w:shd w:val="clear" w:color="auto" w:fill="FFFFFF"/>
        <w:spacing w:after="0" w:line="240" w:lineRule="auto"/>
        <w:jc w:val="center"/>
        <w:rPr>
          <w:rFonts w:ascii="Times New Roman" w:eastAsia="Times New Roman" w:hAnsi="Times New Roman" w:cs="Times New Roman"/>
          <w:sz w:val="24"/>
          <w:szCs w:val="24"/>
        </w:rPr>
      </w:pPr>
    </w:p>
    <w:p w14:paraId="612A3506" w14:textId="77777777" w:rsidR="004E7651" w:rsidRDefault="00000000">
      <w:pPr>
        <w:shd w:val="clear" w:color="auto" w:fill="FFFFFF"/>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Submitted to the Committee on the Elimination of Discrimination against Women (CEDAW) for consideration at the 90th Session, 2025</w:t>
      </w:r>
    </w:p>
    <w:p w14:paraId="2B411ADF" w14:textId="77777777" w:rsidR="004E7651" w:rsidRDefault="004E7651">
      <w:pPr>
        <w:spacing w:line="360" w:lineRule="auto"/>
        <w:rPr>
          <w:rFonts w:ascii="Times New Roman" w:eastAsia="Times New Roman" w:hAnsi="Times New Roman" w:cs="Times New Roman"/>
          <w:b/>
          <w:sz w:val="24"/>
          <w:szCs w:val="24"/>
        </w:rPr>
      </w:pPr>
    </w:p>
    <w:p w14:paraId="7C353EA6" w14:textId="77777777" w:rsidR="004E7651" w:rsidRDefault="00000000">
      <w:pPr>
        <w:numPr>
          <w:ilvl w:val="0"/>
          <w:numId w:val="1"/>
        </w:num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w:t>
      </w:r>
    </w:p>
    <w:p w14:paraId="21B16516" w14:textId="4D3C5533" w:rsidR="004E765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Campaign for Change (</w:t>
      </w:r>
      <w:proofErr w:type="spellStart"/>
      <w:r>
        <w:rPr>
          <w:rFonts w:ascii="Times New Roman" w:eastAsia="Times New Roman" w:hAnsi="Times New Roman" w:cs="Times New Roman"/>
          <w:sz w:val="24"/>
          <w:szCs w:val="24"/>
        </w:rPr>
        <w:t>CfC</w:t>
      </w:r>
      <w:proofErr w:type="spellEnd"/>
      <w:r>
        <w:rPr>
          <w:rFonts w:ascii="Times New Roman" w:eastAsia="Times New Roman" w:hAnsi="Times New Roman" w:cs="Times New Roman"/>
          <w:sz w:val="24"/>
          <w:szCs w:val="24"/>
        </w:rPr>
        <w:t xml:space="preserve">) is the first and only organization led by intersex persons. It brings the needs of intersex persons to national, regional, and international attention and strives to create a safe and enabling environment for them. </w:t>
      </w:r>
    </w:p>
    <w:p w14:paraId="18902706" w14:textId="25C9E3FE" w:rsidR="004E765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Intersex Asia (IA) is a Taiwan-based autonomous regional network of intersex-led organizations and individuals from Asian countries that work on promoting human rights of intersex people.</w:t>
      </w:r>
    </w:p>
    <w:p w14:paraId="6D35D849" w14:textId="77777777" w:rsidR="004E7651" w:rsidRDefault="00000000">
      <w:pPr>
        <w:numPr>
          <w:ilvl w:val="0"/>
          <w:numId w:val="1"/>
        </w:num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Context</w:t>
      </w:r>
    </w:p>
    <w:p w14:paraId="45B750D2" w14:textId="58634B1E" w:rsidR="004E765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it is considered that Nepal has made significant efforts towards the protection of intersex rights, the NGO Report to the 6</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Report of Nepal on the CEDAW</w:t>
      </w:r>
      <w:r w:rsidR="0001034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published in 2018 outlines several human rights violations committed against intersex individuals.</w:t>
      </w:r>
      <w:r>
        <w:rPr>
          <w:rFonts w:ascii="Times New Roman" w:eastAsia="Times New Roman" w:hAnsi="Times New Roman" w:cs="Times New Roman"/>
          <w:sz w:val="24"/>
          <w:szCs w:val="24"/>
          <w:vertAlign w:val="superscript"/>
        </w:rPr>
        <w:footnoteReference w:id="1"/>
      </w:r>
    </w:p>
    <w:p w14:paraId="24A45C23" w14:textId="77777777" w:rsidR="004E765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To this day, in Nepal there are no legal or other protections in place to ensure the rights of intersex children including non-consensual, medically unnecessary, irreversible surgery and other harmful treatments, as well as infanticide and abandonment of intersex children, forced marriage of intersex adolescents, and massive bullying and abuse of intersex children and adults; there are no measures in place to ensure data collection and monitoring of IGM practices; no legal or other measures in place to ensure the accountability of perpetrators; no legal or other measures in place to ensure access to redress and justice for adult IGM survivors.</w:t>
      </w:r>
      <w:r>
        <w:rPr>
          <w:rFonts w:ascii="Times New Roman" w:eastAsia="Times New Roman" w:hAnsi="Times New Roman" w:cs="Times New Roman"/>
          <w:sz w:val="24"/>
          <w:szCs w:val="24"/>
          <w:vertAlign w:val="superscript"/>
        </w:rPr>
        <w:footnoteReference w:id="2"/>
      </w:r>
    </w:p>
    <w:p w14:paraId="506F6801" w14:textId="77777777" w:rsidR="004E7651" w:rsidRDefault="00000000">
      <w:pPr>
        <w:numPr>
          <w:ilvl w:val="0"/>
          <w:numId w:val="1"/>
        </w:num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Intersex issues in Nepal and CEDAW</w:t>
      </w:r>
    </w:p>
    <w:p w14:paraId="5CF5DE88" w14:textId="77777777" w:rsidR="004E7651" w:rsidRDefault="00000000">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Right against Discrimination</w:t>
      </w:r>
    </w:p>
    <w:p w14:paraId="7514210A" w14:textId="77777777" w:rsidR="004E765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Article 18 of the Constitution of Nepal has guaranteed the right to equality to all Nepali Citizens. Article 18 (2) and Article 18 (3) of the Constitution of Nepal prohibit discrimination in the application of general laws and discrimination of citizens </w:t>
      </w:r>
      <w:r>
        <w:rPr>
          <w:rFonts w:ascii="Times New Roman" w:eastAsia="Times New Roman" w:hAnsi="Times New Roman" w:cs="Times New Roman"/>
          <w:i/>
          <w:sz w:val="24"/>
          <w:szCs w:val="24"/>
        </w:rPr>
        <w:t xml:space="preserve">per se </w:t>
      </w:r>
      <w:r>
        <w:rPr>
          <w:rFonts w:ascii="Times New Roman" w:eastAsia="Times New Roman" w:hAnsi="Times New Roman" w:cs="Times New Roman"/>
          <w:sz w:val="24"/>
          <w:szCs w:val="24"/>
        </w:rPr>
        <w:t>on the grounds of origin, religion, race, caste, tribe, sex, physical condition, condition of health, marital status, pregnancy, economic condition, language or region, ideology or on similar other grounds. Article 18, Clause 3 has a restrictive phrase that states that special arrangements may be created to protect, empower, or develop socially and culturally backward women, including sexual and gender minorities. It has created a broader opportunity/scope for creating the necessary substantive equality arrangements for the progression and empowerment of intersex persons in Nepal. On such a pretext, the Government of Nepal has the mandate to introduce laws, policies, and programs for gender and sexual minorities, including intersex persons.</w:t>
      </w:r>
    </w:p>
    <w:p w14:paraId="2044611D" w14:textId="77777777" w:rsidR="004E765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per the Constitution of Nepal, no one should discriminate against anyone on the basis of sex. It does not have any concrete substantiation regarding what the term “sex” entails. The connotation of the term “sex” is traditionally understood as male and female. </w:t>
      </w:r>
    </w:p>
    <w:p w14:paraId="7A4E5F56" w14:textId="77777777" w:rsidR="004E765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Section 160 of the </w:t>
      </w:r>
      <w:proofErr w:type="spellStart"/>
      <w:r>
        <w:rPr>
          <w:rFonts w:ascii="Times New Roman" w:eastAsia="Times New Roman" w:hAnsi="Times New Roman" w:cs="Times New Roman"/>
          <w:sz w:val="24"/>
          <w:szCs w:val="24"/>
        </w:rPr>
        <w:t>Muluki</w:t>
      </w:r>
      <w:proofErr w:type="spellEnd"/>
      <w:r>
        <w:rPr>
          <w:rFonts w:ascii="Times New Roman" w:eastAsia="Times New Roman" w:hAnsi="Times New Roman" w:cs="Times New Roman"/>
          <w:sz w:val="24"/>
          <w:szCs w:val="24"/>
        </w:rPr>
        <w:t xml:space="preserve"> Criminal Code criminalises criminalized discriminatory treatment against any citizen on the grounds of origin, religion, colour, caste, race, sex, physical condition, language or region, or ideology.</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The Supreme Court in the case of </w:t>
      </w:r>
      <w:r>
        <w:rPr>
          <w:rFonts w:ascii="Times New Roman" w:eastAsia="Times New Roman" w:hAnsi="Times New Roman" w:cs="Times New Roman"/>
          <w:i/>
          <w:sz w:val="24"/>
          <w:szCs w:val="24"/>
        </w:rPr>
        <w:t>Sunil Babu Pant v. the Government of Nepal</w:t>
      </w:r>
      <w:r>
        <w:rPr>
          <w:rFonts w:ascii="Times New Roman" w:eastAsia="Times New Roman" w:hAnsi="Times New Roman" w:cs="Times New Roman"/>
          <w:sz w:val="24"/>
          <w:szCs w:val="24"/>
        </w:rPr>
        <w:t xml:space="preserve"> and others directed the Government of Nepal to take necessary </w:t>
      </w:r>
      <w:r>
        <w:rPr>
          <w:rFonts w:ascii="Times New Roman" w:eastAsia="Times New Roman" w:hAnsi="Times New Roman" w:cs="Times New Roman"/>
          <w:sz w:val="24"/>
          <w:szCs w:val="24"/>
        </w:rPr>
        <w:lastRenderedPageBreak/>
        <w:t>measures to ensure that persons of diverse gender identities and sexual orientations could fully enjoy their rights without discrimination.</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w:t>
      </w:r>
    </w:p>
    <w:p w14:paraId="2BAC6339" w14:textId="77777777" w:rsidR="004E7651"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Prejudices  in terms of sex and violence against intersex women</w:t>
      </w:r>
    </w:p>
    <w:p w14:paraId="0F675AA6" w14:textId="77777777" w:rsidR="004E765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Article 5 of the CEDAW obligates all the State Parties to take measures to eliminate the stereotype associated with the sex of a person. Intersex girls and women mostly encounter different forms of violence in Nepal due to not falling into a particular role of men or women. Most of the time this violence is in the form of medical intervention with the intersex infants. </w:t>
      </w:r>
    </w:p>
    <w:p w14:paraId="0B0D5D16" w14:textId="77777777" w:rsidR="004E765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Article 18 Clause 3 of the Constitution of Nepal mandates that special arrangements may be created to protect, empower, or develop socially and culturally backward women, including sexual and gender minorities. </w:t>
      </w:r>
    </w:p>
    <w:p w14:paraId="1AB8D31C" w14:textId="77777777" w:rsidR="004E765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per the UN Women report, "Evidence to action: Addressing violence against LGBTIQ+ People in Nepal" and the consultation conducted by them with the stakeholders, it was reported that 91% of intersex women reported violence in different forms during their lifetime. Amongst them, 27% of intersex women reported being the victims of physical violence, 11% of intersex women experienced sexual violence, 91% of intersex women experienced emotional violence and 36% of intersex women experienced economic violence.</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w:t>
      </w:r>
    </w:p>
    <w:p w14:paraId="3F87A2E7" w14:textId="77777777" w:rsidR="004E765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main reasons for such forms of violence against intersex women is the lack of legal recognition of intersex persons in Nepal. Due to the lack of social acceptance, intersex women often become the victims of domestic violence. The prejudice against women to fit into their traditional role and extent of control over intersex women ranged from silence to punishment, with emotional violence being the result of the family’s non-acceptance of the woman’s sexuality and the attempt to control her.</w:t>
      </w:r>
      <w:r>
        <w:rPr>
          <w:rFonts w:ascii="Times New Roman" w:eastAsia="Times New Roman" w:hAnsi="Times New Roman" w:cs="Times New Roman"/>
          <w:sz w:val="24"/>
          <w:szCs w:val="24"/>
          <w:vertAlign w:val="superscript"/>
        </w:rPr>
        <w:footnoteReference w:id="6"/>
      </w:r>
    </w:p>
    <w:p w14:paraId="51814791" w14:textId="1B8397F8" w:rsidR="004E765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Due to the stereotype and traditional notion of limiting the sexual identity to male and female, intersex persons including intersex girls and women are often compelled to undergo unnecessary surgeries to assign them the traditional identity of male or female. These surgeries have irreversible damage to intersex persons for their whole life.  The same was mentioned in </w:t>
      </w:r>
      <w:r>
        <w:rPr>
          <w:rFonts w:ascii="Times New Roman" w:eastAsia="Times New Roman" w:hAnsi="Times New Roman" w:cs="Times New Roman"/>
          <w:sz w:val="24"/>
          <w:szCs w:val="24"/>
        </w:rPr>
        <w:lastRenderedPageBreak/>
        <w:t>the List of issues and questions in relation to the seventh periodic report of Nepal adopted by the pre-sessional working group on 22 February 2024. Para 7 (d) specifically sought a reply from the Government of Nepal on “steps taken to adopt legislative provisions that explicitly prohibit the performance of unnecessary surgical or other medical procedures on intersex girls before they reach the legal age of consent and train medical and psychological professionals on the rights of intersex women and girls.”</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In the reply submitted by the Government of Nepal on the List of Issues, the Government of Nepal accepted the lack of legislation but still has not taken any step towards the same.</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w:t>
      </w:r>
    </w:p>
    <w:p w14:paraId="67A362BC" w14:textId="77777777" w:rsidR="004E7651"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Rights relating to Nationality</w:t>
      </w:r>
    </w:p>
    <w:p w14:paraId="020FB711" w14:textId="77777777" w:rsidR="004E765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Article 9 of the CEDAW grants equal rights to women to change or retain their nationality. The Constitution of Nepal vide its Article 9 provides citizenship rights to the citizens of Nepal. However, Article 12 of the Constitution does not give everyone the right to gain citizenship based on their "gender identity." In accordance with the constitutional provision, only a person who obtains citizenship via descent can get a certificate of Nepalese citizenship with their "gender identity" from the mother or father's name. This implies that a person who Obtains naturalized citizenship, birth, citizenship, non-resident citizenship, or honorary citizenship does not appear to be able to get citizenship with "gender identity."</w:t>
      </w:r>
    </w:p>
    <w:p w14:paraId="2FEEC8D0" w14:textId="77777777" w:rsidR="004E765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the enabling act on the issues of citizenship, The Citizenship Act of 2006 A.D. (2063 B.S.) has no provision for obtaining the citizenship certificate recognizing gender identity. The wordings in the Act are gender binary such as ‘son-daughter’ and ‘mother-father’. The acquisition of Nepalese citizenship by descent is conditional on the existence of both the father and mother of the child which “excludes children of LGBTQIA++ persons.  Regarding the same, the Supreme Court of Nepal in the case of </w:t>
      </w:r>
      <w:r>
        <w:rPr>
          <w:rFonts w:ascii="Times New Roman" w:eastAsia="Times New Roman" w:hAnsi="Times New Roman" w:cs="Times New Roman"/>
          <w:i/>
          <w:sz w:val="24"/>
          <w:szCs w:val="24"/>
        </w:rPr>
        <w:t>Sunil Babu Pant v. Government of Nepal</w:t>
      </w:r>
      <w:r>
        <w:rPr>
          <w:rFonts w:ascii="Times New Roman" w:eastAsia="Times New Roman" w:hAnsi="Times New Roman" w:cs="Times New Roman"/>
          <w:sz w:val="24"/>
          <w:szCs w:val="24"/>
        </w:rPr>
        <w:t>, the Court directed the state to recognize every individual with their own gender identity and sexual orientation.</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As a result of this decision, a circular was issued to confer citizenship to sexual and gender minorities- mentioning their gender as “other” instead of male or female.</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However, after the direction to include “other” on the legal documents in 2013, no further progressive documents have been formulated for intersex persons. The Amendment Bill to the Citizenship Act, of 2063 contains a provision to change gender identity by producing a doctor's report.</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xml:space="preserve"> </w:t>
      </w:r>
    </w:p>
    <w:p w14:paraId="769AB1E6" w14:textId="77777777" w:rsidR="004E765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Similarly, in the</w:t>
      </w:r>
      <w:r>
        <w:rPr>
          <w:rFonts w:ascii="Times New Roman" w:eastAsia="Times New Roman" w:hAnsi="Times New Roman" w:cs="Times New Roman"/>
          <w:color w:val="000000"/>
          <w:sz w:val="24"/>
          <w:szCs w:val="24"/>
        </w:rPr>
        <w:t xml:space="preserve"> Act Related to Children 2075, Article 4(1) </w:t>
      </w:r>
      <w:r>
        <w:rPr>
          <w:rFonts w:ascii="Times New Roman" w:eastAsia="Times New Roman" w:hAnsi="Times New Roman" w:cs="Times New Roman"/>
          <w:sz w:val="24"/>
          <w:szCs w:val="24"/>
        </w:rPr>
        <w:t>says-</w:t>
      </w:r>
      <w:r>
        <w:rPr>
          <w:rFonts w:ascii="Times New Roman" w:eastAsia="Times New Roman" w:hAnsi="Times New Roman" w:cs="Times New Roman"/>
          <w:color w:val="000000"/>
          <w:sz w:val="24"/>
          <w:szCs w:val="24"/>
        </w:rPr>
        <w:t xml:space="preserve"> ''Every child shall have the right to have </w:t>
      </w:r>
      <w:r>
        <w:rPr>
          <w:rFonts w:ascii="Times New Roman" w:eastAsia="Times New Roman" w:hAnsi="Times New Roman" w:cs="Times New Roman"/>
          <w:sz w:val="24"/>
          <w:szCs w:val="24"/>
        </w:rPr>
        <w:t xml:space="preserve">the </w:t>
      </w:r>
      <w:r>
        <w:rPr>
          <w:rFonts w:ascii="Times New Roman" w:eastAsia="Times New Roman" w:hAnsi="Times New Roman" w:cs="Times New Roman"/>
          <w:color w:val="000000"/>
          <w:sz w:val="24"/>
          <w:szCs w:val="24"/>
        </w:rPr>
        <w:t xml:space="preserve">name with own identification and birth registration.'' To enable the same, the Department of National </w:t>
      </w:r>
      <w:r>
        <w:rPr>
          <w:rFonts w:ascii="Times New Roman" w:eastAsia="Times New Roman" w:hAnsi="Times New Roman" w:cs="Times New Roman"/>
          <w:sz w:val="24"/>
          <w:szCs w:val="24"/>
        </w:rPr>
        <w:t>ID</w:t>
      </w:r>
      <w:r>
        <w:rPr>
          <w:rFonts w:ascii="Times New Roman" w:eastAsia="Times New Roman" w:hAnsi="Times New Roman" w:cs="Times New Roman"/>
          <w:color w:val="000000"/>
          <w:sz w:val="24"/>
          <w:szCs w:val="24"/>
        </w:rPr>
        <w:t xml:space="preserve"> and Civil Registration has adopted </w:t>
      </w:r>
      <w:r>
        <w:rPr>
          <w:rFonts w:ascii="Times New Roman" w:eastAsia="Times New Roman" w:hAnsi="Times New Roman" w:cs="Times New Roman"/>
          <w:sz w:val="24"/>
          <w:szCs w:val="24"/>
        </w:rPr>
        <w:t>a birth registration form, which includes a checklist</w:t>
      </w:r>
      <w:r>
        <w:rPr>
          <w:rFonts w:ascii="Times New Roman" w:eastAsia="Times New Roman" w:hAnsi="Times New Roman" w:cs="Times New Roman"/>
          <w:color w:val="000000"/>
          <w:sz w:val="24"/>
          <w:szCs w:val="24"/>
        </w:rPr>
        <w:t xml:space="preserve"> to mark the sex identity of a child/person by mentioning “third gender” in the online form and “others” in the print version. The </w:t>
      </w:r>
      <w:r>
        <w:rPr>
          <w:rFonts w:ascii="Times New Roman" w:eastAsia="Times New Roman" w:hAnsi="Times New Roman" w:cs="Times New Roman"/>
          <w:sz w:val="24"/>
          <w:szCs w:val="24"/>
        </w:rPr>
        <w:t>terms-</w:t>
      </w:r>
      <w:r>
        <w:rPr>
          <w:rFonts w:ascii="Times New Roman" w:eastAsia="Times New Roman" w:hAnsi="Times New Roman" w:cs="Times New Roman"/>
          <w:color w:val="000000"/>
          <w:sz w:val="24"/>
          <w:szCs w:val="24"/>
        </w:rPr>
        <w:t xml:space="preserve"> “others” or “third gender” are </w:t>
      </w:r>
      <w:r>
        <w:rPr>
          <w:rFonts w:ascii="Times New Roman" w:eastAsia="Times New Roman" w:hAnsi="Times New Roman" w:cs="Times New Roman"/>
          <w:sz w:val="24"/>
          <w:szCs w:val="24"/>
        </w:rPr>
        <w:t>used</w:t>
      </w:r>
      <w:r>
        <w:rPr>
          <w:rFonts w:ascii="Times New Roman" w:eastAsia="Times New Roman" w:hAnsi="Times New Roman" w:cs="Times New Roman"/>
          <w:color w:val="000000"/>
          <w:sz w:val="24"/>
          <w:szCs w:val="24"/>
        </w:rPr>
        <w:t xml:space="preserve"> for defining sexual and gender minorities.</w:t>
      </w:r>
      <w:r>
        <w:rPr>
          <w:rFonts w:ascii="Times New Roman" w:eastAsia="Times New Roman" w:hAnsi="Times New Roman" w:cs="Times New Roman"/>
          <w:color w:val="000000"/>
          <w:sz w:val="24"/>
          <w:szCs w:val="24"/>
          <w:vertAlign w:val="superscript"/>
        </w:rPr>
        <w:footnoteReference w:id="12"/>
      </w:r>
      <w:r>
        <w:rPr>
          <w:rFonts w:ascii="Times New Roman" w:eastAsia="Times New Roman" w:hAnsi="Times New Roman" w:cs="Times New Roman"/>
          <w:color w:val="000000"/>
          <w:sz w:val="24"/>
          <w:szCs w:val="24"/>
        </w:rPr>
        <w:t xml:space="preserve"> </w:t>
      </w:r>
    </w:p>
    <w:p w14:paraId="27A7A956" w14:textId="77777777" w:rsidR="004E765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pertinent to note here that the term 'intersex' is a sex characteristic and not a gender identity. Therefore, the absence of legal recognition will compel intersex woman also to mark their gender identity as 'other'.  Also, the requirement of doctors to report for changing the legal document in itself coerces the medical intervention on intersex persons. </w:t>
      </w:r>
    </w:p>
    <w:p w14:paraId="6618078E" w14:textId="4CDA4AB1" w:rsidR="004E765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Furthermore, as per Birth, Death and Personal Incident Registration Act 2033, Article 4(1) states that for registration of births, the responsibility lies with the head of the family or a major family member who is required to report the birth within 35 days for the preparation of the birth certificate.</w:t>
      </w:r>
      <w:r>
        <w:rPr>
          <w:rFonts w:ascii="Times New Roman" w:eastAsia="Times New Roman" w:hAnsi="Times New Roman" w:cs="Times New Roman"/>
          <w:color w:val="000000"/>
          <w:sz w:val="24"/>
          <w:szCs w:val="24"/>
          <w:vertAlign w:val="superscript"/>
        </w:rPr>
        <w:footnoteReference w:id="13"/>
      </w:r>
      <w:r>
        <w:rPr>
          <w:rFonts w:ascii="Times New Roman" w:eastAsia="Times New Roman" w:hAnsi="Times New Roman" w:cs="Times New Roman"/>
          <w:color w:val="000000"/>
          <w:sz w:val="24"/>
          <w:szCs w:val="24"/>
        </w:rPr>
        <w:t xml:space="preserve"> However, it is irrelevant to identify someone as Lesbian, Gay, Bisexual</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and Transgender within 35 days, keeping intersex children in </w:t>
      </w:r>
      <w:r>
        <w:rPr>
          <w:rFonts w:ascii="Times New Roman" w:eastAsia="Times New Roman" w:hAnsi="Times New Roman" w:cs="Times New Roman"/>
          <w:sz w:val="24"/>
          <w:szCs w:val="24"/>
        </w:rPr>
        <w:t xml:space="preserve">the </w:t>
      </w:r>
      <w:r>
        <w:rPr>
          <w:rFonts w:ascii="Times New Roman" w:eastAsia="Times New Roman" w:hAnsi="Times New Roman" w:cs="Times New Roman"/>
          <w:color w:val="000000"/>
          <w:sz w:val="24"/>
          <w:szCs w:val="24"/>
        </w:rPr>
        <w:t xml:space="preserve">same basket. These </w:t>
      </w:r>
      <w:r>
        <w:rPr>
          <w:rFonts w:ascii="Times New Roman" w:eastAsia="Times New Roman" w:hAnsi="Times New Roman" w:cs="Times New Roman"/>
          <w:sz w:val="24"/>
          <w:szCs w:val="24"/>
        </w:rPr>
        <w:t>provisions</w:t>
      </w:r>
      <w:r>
        <w:rPr>
          <w:rFonts w:ascii="Times New Roman" w:eastAsia="Times New Roman" w:hAnsi="Times New Roman" w:cs="Times New Roman"/>
          <w:color w:val="000000"/>
          <w:sz w:val="24"/>
          <w:szCs w:val="24"/>
        </w:rPr>
        <w:t xml:space="preserve"> overshadow the registration data of intersex children with their identity as mentioned in Child Act 2070. </w:t>
      </w:r>
    </w:p>
    <w:p w14:paraId="42E6BF15" w14:textId="0A0769D4" w:rsidR="004E765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Due to their unique identity, </w:t>
      </w:r>
      <w:r w:rsidR="00010349">
        <w:rPr>
          <w:rFonts w:ascii="Times New Roman" w:eastAsia="Times New Roman" w:hAnsi="Times New Roman" w:cs="Times New Roman"/>
          <w:sz w:val="24"/>
          <w:szCs w:val="24"/>
        </w:rPr>
        <w:t>i</w:t>
      </w:r>
      <w:r>
        <w:rPr>
          <w:rFonts w:ascii="Times New Roman" w:eastAsia="Times New Roman" w:hAnsi="Times New Roman" w:cs="Times New Roman"/>
          <w:sz w:val="24"/>
          <w:szCs w:val="24"/>
        </w:rPr>
        <w:t>ntersex individuals encounter significant obstacles in birth registration and obtaining citizenship. The process of amending birth registrations and citizenship documents is often cumbersome and inaccessible. Due to the lack of accurate data on intersex individuals, they are sometimes assigned non-specific gender categories in official documents by officials, leading to complicating their legal status and further marginalizing them.</w:t>
      </w:r>
    </w:p>
    <w:p w14:paraId="293D6312" w14:textId="77777777" w:rsidR="004E7651"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Right to Education</w:t>
      </w:r>
    </w:p>
    <w:p w14:paraId="330E663B" w14:textId="5ADC9B5F" w:rsidR="004E765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Article 31 of the Constitution of Nepal guarantees the right to free and compulsory education up to the basic level to every citizen as a fundamental right. The same has been enabled via the adoption of the 2018 Act Relating to Compulsory and Free Education which provides that all citizens must have equal access to quality education and there shall be no discrimination that can prevent gaining education. </w:t>
      </w:r>
    </w:p>
    <w:p w14:paraId="4A74C438" w14:textId="77777777" w:rsidR="004E765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intersex children including intersex females do not have any specific mention in terms of education. The previous National Plan of Action for Children (2005-2015) and the 2012 National Policy do not contain explicit provisions on SOGIESC or intersex children as a group requiring special attention or protection, nor were they listed in Article 48 of the 2018 Act Relating to Children as children with special needs.</w:t>
      </w:r>
      <w:r>
        <w:rPr>
          <w:rFonts w:ascii="Times New Roman" w:eastAsia="Times New Roman" w:hAnsi="Times New Roman" w:cs="Times New Roman"/>
          <w:sz w:val="24"/>
          <w:szCs w:val="24"/>
          <w:vertAlign w:val="superscript"/>
        </w:rPr>
        <w:footnoteReference w:id="14"/>
      </w:r>
    </w:p>
    <w:p w14:paraId="7C986990" w14:textId="5973904E" w:rsidR="004E765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Intersex individuals often encounter barriers to accessing education including discrimination and mistreatment in schools. They are often excluded from school competitions due to their physical attributes. The social studies book of Class 12 developed by the Nepal Government, includes a chapter on "Gender Questions" that contains misleading information about intersex individuals.</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xml:space="preserve"> The chapter refers to intersex persons as a “biologically third gender” and stresses that they are distinct from both males and females.</w:t>
      </w:r>
      <w:r>
        <w:rPr>
          <w:rFonts w:ascii="Times New Roman" w:eastAsia="Times New Roman" w:hAnsi="Times New Roman" w:cs="Times New Roman"/>
          <w:sz w:val="24"/>
          <w:szCs w:val="24"/>
          <w:vertAlign w:val="superscript"/>
        </w:rPr>
        <w:footnoteReference w:id="16"/>
      </w:r>
    </w:p>
    <w:p w14:paraId="7E16B59D" w14:textId="77777777" w:rsidR="004E765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Consequently, intersex children are more likely to drop out of school. Fair and equal educational opportunities for all children can be adversely impacted through prejudices contained in curriculum, textbooks, teaching techniques, and teachers’ attitudes. </w:t>
      </w:r>
    </w:p>
    <w:p w14:paraId="4842556D" w14:textId="77777777" w:rsidR="004E7651"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Right to Employment</w:t>
      </w:r>
    </w:p>
    <w:p w14:paraId="33D40726" w14:textId="77777777" w:rsidR="004E765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Article 10 of the CEDAW obligates states parties to take all appropriate measures to eliminate discrimination against women in the field of employment. The Constitution of Nepal under Article 18 Clause 4 prohibits gender discrimination in wages and social security for work. It provides the right to employment to every citizen. However, the question pertains to the same </w:t>
      </w:r>
      <w:r>
        <w:rPr>
          <w:rFonts w:ascii="Times New Roman" w:eastAsia="Times New Roman" w:hAnsi="Times New Roman" w:cs="Times New Roman"/>
          <w:sz w:val="24"/>
          <w:szCs w:val="24"/>
        </w:rPr>
        <w:lastRenderedPageBreak/>
        <w:t>that protection against discrimination in terms of gender cannot be equated to intersex persons, which is based on sex characteristics. Even the Labor Act 2017</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 xml:space="preserve"> Does not include specific provisions aimed at safeguarding people with diverse SOGIESC identities, including intersex individuals, in the workplace. The Act is also devoid of any specific measure for the protection of intersex women. </w:t>
      </w:r>
    </w:p>
    <w:p w14:paraId="20ECDA5F" w14:textId="77777777" w:rsidR="004E7651"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Rights Relating to Health</w:t>
      </w:r>
    </w:p>
    <w:p w14:paraId="398234A5" w14:textId="77777777" w:rsidR="004E765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Article 12 of the CEDAW obligates States to have policies and legislations to eliminate any form of discrimination against women in access to healthcare, including family planning. </w:t>
      </w:r>
    </w:p>
    <w:p w14:paraId="532A7861" w14:textId="77777777" w:rsidR="004E765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Article 39 of the Constitution of Nepal guarantees the right to health to all citizens of Nepal, which includes the entitlement to free basic healthcare services from the Government and the right to access emergency medical services without any barriers. Intersex individuals often face challenges in accessing healthcare services. One of the major reasons is the lack of training and education for medical professionals on intersex conditions. They often misjudge the intersex condition and try to mix them with the traditional notions of male or female.</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 xml:space="preserve"> </w:t>
      </w:r>
    </w:p>
    <w:p w14:paraId="1F59044C" w14:textId="77777777" w:rsidR="004E765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Furthermore, intersex infants regardless of their specific gender often become the victim of unnecessary medical intervention to assign and fit them into a traditional role of man or woman. These medical interventions are performed by advising the parents and cause irreversible physical and psychological harm to the intersex infants which run throughout their lives. Section 233 of the </w:t>
      </w:r>
      <w:proofErr w:type="spellStart"/>
      <w:r>
        <w:rPr>
          <w:rFonts w:ascii="Times New Roman" w:eastAsia="Times New Roman" w:hAnsi="Times New Roman" w:cs="Times New Roman"/>
          <w:sz w:val="24"/>
          <w:szCs w:val="24"/>
        </w:rPr>
        <w:t>Muluki</w:t>
      </w:r>
      <w:proofErr w:type="spellEnd"/>
      <w:r>
        <w:rPr>
          <w:rFonts w:ascii="Times New Roman" w:eastAsia="Times New Roman" w:hAnsi="Times New Roman" w:cs="Times New Roman"/>
          <w:sz w:val="24"/>
          <w:szCs w:val="24"/>
        </w:rPr>
        <w:t xml:space="preserve"> (National) Criminal Code, 2074 prohibits medical experimentation through surgery and drugs on the human body without consent. Furthermore, in the case of children, the law seeks consent from the parents or guardians of the child. Act Relating to Children 2075 prohibits medical experiments on children under Section 66 (2) (q). Despite this, no legal provisions in the Act protect children from coercive medical interventions such as genital mutilation surgery.</w:t>
      </w:r>
    </w:p>
    <w:p w14:paraId="35069008" w14:textId="77777777" w:rsidR="004E765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Still, the problem of medical violence or unnecessary medical intervention with intersex infants is a major concern. These include intersex girls and intersex women. There are many cases of medical interventions on intersex persons, which include procedures like removing the partial clitoris and administering hormones. Even the CEDAW committee recommended that Nepal </w:t>
      </w:r>
      <w:r>
        <w:rPr>
          <w:rFonts w:ascii="Times New Roman" w:eastAsia="Times New Roman" w:hAnsi="Times New Roman" w:cs="Times New Roman"/>
          <w:sz w:val="24"/>
          <w:szCs w:val="24"/>
        </w:rPr>
        <w:lastRenderedPageBreak/>
        <w:t>implement laws that unequivocally forbid unnecessary medical intervention on intersex children before they reach the age of consent.</w:t>
      </w:r>
      <w:r>
        <w:rPr>
          <w:rFonts w:ascii="Times New Roman" w:eastAsia="Times New Roman" w:hAnsi="Times New Roman" w:cs="Times New Roman"/>
          <w:sz w:val="24"/>
          <w:szCs w:val="24"/>
          <w:vertAlign w:val="superscript"/>
        </w:rPr>
        <w:footnoteReference w:id="19"/>
      </w:r>
    </w:p>
    <w:p w14:paraId="57D05421" w14:textId="77777777" w:rsidR="004E765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terms of family planning, the Constitution of Nepal guarantees safe motherhood and reproductive health under Article 38. Safe Motherhood and Reproductive Health Act 2075 was also adopted to provide healthcare services. However, this act only covers the women and not the intersex girls or intersex women. The law is silent on the maternity rights of people with diverse gender and sexual identities. </w:t>
      </w:r>
    </w:p>
    <w:p w14:paraId="6E384BEE" w14:textId="137A6E0D" w:rsidR="004E765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healthcare system, intersex individuals are vulnerable to inhumane treatment, such as non-consensual photography of their genitals, and inappropriate touching, which makes their visiting hospital distressing. The same was mentioned in the List of issues and questions in relation to the seventh periodic report of Nepal adopted by the pre-sessional working group on 22 February 2024. Para 18 (c) sought information on the “measures taken to end discrimination by health-care providers against lesbian, bisexual, transgender and intersex women”.</w:t>
      </w:r>
      <w:r>
        <w:rPr>
          <w:rFonts w:ascii="Times New Roman" w:eastAsia="Times New Roman" w:hAnsi="Times New Roman" w:cs="Times New Roman"/>
          <w:sz w:val="24"/>
          <w:szCs w:val="24"/>
          <w:vertAlign w:val="superscript"/>
        </w:rPr>
        <w:footnoteReference w:id="20"/>
      </w:r>
      <w:r>
        <w:rPr>
          <w:rFonts w:ascii="Times New Roman" w:eastAsia="Times New Roman" w:hAnsi="Times New Roman" w:cs="Times New Roman"/>
          <w:sz w:val="24"/>
          <w:szCs w:val="24"/>
        </w:rPr>
        <w:t xml:space="preserve"> In the reply, the Government of Nepal completely ignored the existence of health issues with intersex girls and women.</w:t>
      </w:r>
      <w:r>
        <w:rPr>
          <w:rFonts w:ascii="Times New Roman" w:eastAsia="Times New Roman" w:hAnsi="Times New Roman" w:cs="Times New Roman"/>
          <w:sz w:val="24"/>
          <w:szCs w:val="24"/>
          <w:vertAlign w:val="superscript"/>
        </w:rPr>
        <w:footnoteReference w:id="21"/>
      </w:r>
      <w:r>
        <w:rPr>
          <w:rFonts w:ascii="Times New Roman" w:eastAsia="Times New Roman" w:hAnsi="Times New Roman" w:cs="Times New Roman"/>
          <w:sz w:val="24"/>
          <w:szCs w:val="24"/>
        </w:rPr>
        <w:t xml:space="preserve"> The long-term effects of various hormone treatments on intersex persons remain poorly understood by the healthcare providers themselves, and discrimination is prevalent by the healthcare providers. There is also a lack of trained doctors knowledgeable about intersex health issues, compounded by a general lack of public awareness.</w:t>
      </w:r>
    </w:p>
    <w:p w14:paraId="00C5D06B" w14:textId="77777777" w:rsidR="004E7651"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Rights relating to economic and social life</w:t>
      </w:r>
    </w:p>
    <w:p w14:paraId="3FD93C03" w14:textId="77777777" w:rsidR="004E765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Article 13 of the CEDAW provides the States shall take appropriate measures to eliminate discrimination against women in other areas of economic and social life. </w:t>
      </w:r>
    </w:p>
    <w:p w14:paraId="0BE02034" w14:textId="77777777" w:rsidR="004E765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legislation that provides and regulates social security issues in Nepal, the Social Security Act of 2075, lists Nepali citizens who are entitled to social security, such as senior citizens, indigent, incapacitated and helpless people, citizens with disabilities, single women, children and citizens unable to take care of themselves- but excludes sexual and gender minorities including intersex persons.</w:t>
      </w:r>
    </w:p>
    <w:p w14:paraId="2527C15A" w14:textId="77777777" w:rsidR="004E7651" w:rsidRDefault="00000000">
      <w:pP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Rights relating to Marriage and Family relations</w:t>
      </w:r>
    </w:p>
    <w:p w14:paraId="01315531" w14:textId="77777777" w:rsidR="004E7651" w:rsidRDefault="00000000">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Article 16 of the CEDAW obligates States to take measures to eliminate discrimination against women in all matters relating to marriage and family relations.</w:t>
      </w:r>
    </w:p>
    <w:p w14:paraId="5C9DF4D1" w14:textId="77777777" w:rsidR="004E765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Civil Code of Nepal i.e. </w:t>
      </w:r>
      <w:proofErr w:type="spellStart"/>
      <w:r>
        <w:rPr>
          <w:rFonts w:ascii="Times New Roman" w:eastAsia="Times New Roman" w:hAnsi="Times New Roman" w:cs="Times New Roman"/>
          <w:sz w:val="24"/>
          <w:szCs w:val="24"/>
        </w:rPr>
        <w:t>Muluki</w:t>
      </w:r>
      <w:proofErr w:type="spellEnd"/>
      <w:r>
        <w:rPr>
          <w:rFonts w:ascii="Times New Roman" w:eastAsia="Times New Roman" w:hAnsi="Times New Roman" w:cs="Times New Roman"/>
          <w:sz w:val="24"/>
          <w:szCs w:val="24"/>
        </w:rPr>
        <w:t xml:space="preserve"> Civil Code, 2074  provides individual civil rights and family rights. Section 67 of the code has narrowly defined marriage and only recognizes marriage between a man and a woman who completed the age of twenty years. The definition does not provide the scope to conclude marriage between any other sex or gender identity. However, the Code has not criminalized same-sex marriage or marriage solemnized between people of different sex or gender identities. It does not legally recognize marital relationships between persons of gender or sex other than cisgender heterosexual men and women. </w:t>
      </w:r>
    </w:p>
    <w:p w14:paraId="32C5E2B9" w14:textId="77777777" w:rsidR="004E765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Nepali legislations on marriage and other family rights have binary gender wording such as 'man and woman,'. Intersex persons are unable to access these rights because of the heteronormativity of the legislation.</w:t>
      </w:r>
    </w:p>
    <w:p w14:paraId="1212D452" w14:textId="77777777" w:rsidR="004E7651"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Recommendations</w:t>
      </w:r>
    </w:p>
    <w:p w14:paraId="7767F712" w14:textId="77777777" w:rsidR="004E7651" w:rsidRDefault="00000000">
      <w:pPr>
        <w:numPr>
          <w:ilvl w:val="0"/>
          <w:numId w:val="2"/>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state shall adopt specific legislation to ban non-consensual and unnecessary medical intervention with children with intersex traits. </w:t>
      </w:r>
    </w:p>
    <w:p w14:paraId="6A7E70F6" w14:textId="77777777" w:rsidR="004E7651" w:rsidRDefault="00000000">
      <w:pPr>
        <w:numPr>
          <w:ilvl w:val="0"/>
          <w:numId w:val="2"/>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state shall adopt legislation for the recognition and registration of intersex </w:t>
      </w:r>
      <w:r>
        <w:rPr>
          <w:rFonts w:ascii="Times New Roman" w:eastAsia="Times New Roman" w:hAnsi="Times New Roman" w:cs="Times New Roman"/>
          <w:sz w:val="24"/>
          <w:szCs w:val="24"/>
        </w:rPr>
        <w:t>persons</w:t>
      </w:r>
      <w:r>
        <w:rPr>
          <w:rFonts w:ascii="Times New Roman" w:eastAsia="Times New Roman" w:hAnsi="Times New Roman" w:cs="Times New Roman"/>
          <w:color w:val="000000"/>
          <w:sz w:val="24"/>
          <w:szCs w:val="24"/>
        </w:rPr>
        <w:t xml:space="preserve"> including the option of intersex women. </w:t>
      </w:r>
    </w:p>
    <w:p w14:paraId="0FC07E23" w14:textId="77777777" w:rsidR="004E7651" w:rsidRDefault="00000000">
      <w:pPr>
        <w:numPr>
          <w:ilvl w:val="0"/>
          <w:numId w:val="2"/>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Citizenship documents shall be made amenable to the need and recognition of diverse sex characteristics. </w:t>
      </w:r>
    </w:p>
    <w:p w14:paraId="66B3C65A" w14:textId="77777777" w:rsidR="004E7651" w:rsidRDefault="00000000">
      <w:pPr>
        <w:numPr>
          <w:ilvl w:val="0"/>
          <w:numId w:val="2"/>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Specific employment opportunities shall be created for persons with diverse sex characteristics and specific policies shall be made to protect intersex women at workplaces. </w:t>
      </w:r>
    </w:p>
    <w:p w14:paraId="19CD4908" w14:textId="77777777" w:rsidR="004E7651" w:rsidRDefault="00000000">
      <w:pPr>
        <w:numPr>
          <w:ilvl w:val="0"/>
          <w:numId w:val="2"/>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state shall revise </w:t>
      </w:r>
      <w:r>
        <w:rPr>
          <w:rFonts w:ascii="Times New Roman" w:eastAsia="Times New Roman" w:hAnsi="Times New Roman" w:cs="Times New Roman"/>
          <w:sz w:val="24"/>
          <w:szCs w:val="24"/>
        </w:rPr>
        <w:t>its</w:t>
      </w:r>
      <w:r>
        <w:rPr>
          <w:rFonts w:ascii="Times New Roman" w:eastAsia="Times New Roman" w:hAnsi="Times New Roman" w:cs="Times New Roman"/>
          <w:color w:val="000000"/>
          <w:sz w:val="24"/>
          <w:szCs w:val="24"/>
        </w:rPr>
        <w:t xml:space="preserve"> curriculum to educate and </w:t>
      </w:r>
      <w:r>
        <w:rPr>
          <w:rFonts w:ascii="Times New Roman" w:eastAsia="Times New Roman" w:hAnsi="Times New Roman" w:cs="Times New Roman"/>
          <w:sz w:val="24"/>
          <w:szCs w:val="24"/>
        </w:rPr>
        <w:t>make</w:t>
      </w:r>
      <w:r>
        <w:rPr>
          <w:rFonts w:ascii="Times New Roman" w:eastAsia="Times New Roman" w:hAnsi="Times New Roman" w:cs="Times New Roman"/>
          <w:color w:val="000000"/>
          <w:sz w:val="24"/>
          <w:szCs w:val="24"/>
        </w:rPr>
        <w:t xml:space="preserve"> the students aware </w:t>
      </w:r>
      <w:r>
        <w:rPr>
          <w:rFonts w:ascii="Times New Roman" w:eastAsia="Times New Roman" w:hAnsi="Times New Roman" w:cs="Times New Roman"/>
          <w:sz w:val="24"/>
          <w:szCs w:val="24"/>
        </w:rPr>
        <w:t>of</w:t>
      </w:r>
      <w:r>
        <w:rPr>
          <w:rFonts w:ascii="Times New Roman" w:eastAsia="Times New Roman" w:hAnsi="Times New Roman" w:cs="Times New Roman"/>
          <w:color w:val="000000"/>
          <w:sz w:val="24"/>
          <w:szCs w:val="24"/>
        </w:rPr>
        <w:t xml:space="preserve"> intersex and sexual minorities to change the stereotype against sexual minorities. </w:t>
      </w:r>
    </w:p>
    <w:p w14:paraId="737785AE" w14:textId="77777777" w:rsidR="004E7651" w:rsidRDefault="00000000">
      <w:pPr>
        <w:numPr>
          <w:ilvl w:val="0"/>
          <w:numId w:val="2"/>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Medical professionals shall be given proper training about intersex variations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so that they shall not term and treat the same as a disorder. </w:t>
      </w:r>
    </w:p>
    <w:p w14:paraId="4B5052E1" w14:textId="77777777" w:rsidR="004E7651" w:rsidRDefault="00000000">
      <w:pPr>
        <w:numPr>
          <w:ilvl w:val="0"/>
          <w:numId w:val="2"/>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Marriage rights shall be recognized for intersex women’s marriage</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and the adoption and other family rights shall be revised taking into consideration the legal recognition of women with intersex variations. </w:t>
      </w:r>
    </w:p>
    <w:p w14:paraId="63886684" w14:textId="77777777" w:rsidR="004E7651" w:rsidRDefault="00000000">
      <w:pPr>
        <w:numPr>
          <w:ilvl w:val="0"/>
          <w:numId w:val="2"/>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Social rights, such as social security, property rights, and inheritance rights, shall be made specific for intersex </w:t>
      </w:r>
      <w:r>
        <w:rPr>
          <w:rFonts w:ascii="Times New Roman" w:eastAsia="Times New Roman" w:hAnsi="Times New Roman" w:cs="Times New Roman"/>
          <w:sz w:val="24"/>
          <w:szCs w:val="24"/>
        </w:rPr>
        <w:t>persons</w:t>
      </w:r>
      <w:r>
        <w:rPr>
          <w:rFonts w:ascii="Times New Roman" w:eastAsia="Times New Roman" w:hAnsi="Times New Roman" w:cs="Times New Roman"/>
          <w:color w:val="000000"/>
          <w:sz w:val="24"/>
          <w:szCs w:val="24"/>
        </w:rPr>
        <w:t xml:space="preserve">. </w:t>
      </w:r>
    </w:p>
    <w:p w14:paraId="02D1BB8F" w14:textId="77777777" w:rsidR="004E7651" w:rsidRDefault="00000000">
      <w:pPr>
        <w:numPr>
          <w:ilvl w:val="0"/>
          <w:numId w:val="2"/>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The state shall adopt specific legislation to protect intersex girls and women including </w:t>
      </w:r>
      <w:r>
        <w:rPr>
          <w:rFonts w:ascii="Times New Roman" w:eastAsia="Times New Roman" w:hAnsi="Times New Roman" w:cs="Times New Roman"/>
          <w:sz w:val="24"/>
          <w:szCs w:val="24"/>
        </w:rPr>
        <w:t>persons</w:t>
      </w:r>
      <w:r>
        <w:rPr>
          <w:rFonts w:ascii="Times New Roman" w:eastAsia="Times New Roman" w:hAnsi="Times New Roman" w:cs="Times New Roman"/>
          <w:color w:val="000000"/>
          <w:sz w:val="24"/>
          <w:szCs w:val="24"/>
        </w:rPr>
        <w:t xml:space="preserve"> with intersex traits from any form of discrimination in terms of employment, health, wages, social security, and school education.</w:t>
      </w:r>
    </w:p>
    <w:p w14:paraId="43151C1D" w14:textId="77777777" w:rsidR="004E7651" w:rsidRDefault="00000000">
      <w:pPr>
        <w:numPr>
          <w:ilvl w:val="0"/>
          <w:numId w:val="2"/>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Nepal government shall develop a system to register birth certificates of intersex children with their identity based on intersex variation of sex characteristics.</w:t>
      </w:r>
    </w:p>
    <w:p w14:paraId="1BE46319" w14:textId="5C182C3F" w:rsidR="004E7651" w:rsidRDefault="004E7651" w:rsidP="008410E3">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sectPr w:rsidR="004E7651">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E4F0FB" w14:textId="77777777" w:rsidR="00084031" w:rsidRDefault="00084031">
      <w:pPr>
        <w:spacing w:after="0" w:line="240" w:lineRule="auto"/>
      </w:pPr>
      <w:r>
        <w:separator/>
      </w:r>
    </w:p>
  </w:endnote>
  <w:endnote w:type="continuationSeparator" w:id="0">
    <w:p w14:paraId="023046FA" w14:textId="77777777" w:rsidR="00084031" w:rsidRDefault="000840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39E9A7" w14:textId="77777777" w:rsidR="00084031" w:rsidRDefault="00084031">
      <w:pPr>
        <w:spacing w:after="0" w:line="240" w:lineRule="auto"/>
      </w:pPr>
      <w:r>
        <w:separator/>
      </w:r>
    </w:p>
  </w:footnote>
  <w:footnote w:type="continuationSeparator" w:id="0">
    <w:p w14:paraId="75EFC341" w14:textId="77777777" w:rsidR="00084031" w:rsidRDefault="00084031">
      <w:pPr>
        <w:spacing w:after="0" w:line="240" w:lineRule="auto"/>
      </w:pPr>
      <w:r>
        <w:continuationSeparator/>
      </w:r>
    </w:p>
  </w:footnote>
  <w:footnote w:id="1">
    <w:p w14:paraId="579B0ED0" w14:textId="77777777" w:rsidR="004E7651" w:rsidRDefault="00000000">
      <w:pPr>
        <w:spacing w:after="0"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See NGO Report to the 6</w:t>
      </w:r>
      <w:r>
        <w:rPr>
          <w:rFonts w:ascii="Times New Roman" w:eastAsia="Times New Roman" w:hAnsi="Times New Roman" w:cs="Times New Roman"/>
          <w:sz w:val="20"/>
          <w:szCs w:val="20"/>
          <w:vertAlign w:val="superscript"/>
        </w:rPr>
        <w:t>th</w:t>
      </w:r>
      <w:r>
        <w:rPr>
          <w:rFonts w:ascii="Times New Roman" w:eastAsia="Times New Roman" w:hAnsi="Times New Roman" w:cs="Times New Roman"/>
          <w:sz w:val="20"/>
          <w:szCs w:val="20"/>
        </w:rPr>
        <w:t xml:space="preserve"> Report of Nepal on the Convention on the Elimination of All Forms of Discrimination against Women (CEDAW)</w:t>
      </w:r>
      <w:hyperlink r:id="rId1">
        <w:r>
          <w:rPr>
            <w:rFonts w:ascii="Times New Roman" w:eastAsia="Times New Roman" w:hAnsi="Times New Roman" w:cs="Times New Roman"/>
            <w:sz w:val="20"/>
            <w:szCs w:val="20"/>
          </w:rPr>
          <w:t xml:space="preserve"> </w:t>
        </w:r>
      </w:hyperlink>
      <w:hyperlink r:id="rId2">
        <w:r>
          <w:rPr>
            <w:rFonts w:ascii="Times New Roman" w:eastAsia="Times New Roman" w:hAnsi="Times New Roman" w:cs="Times New Roman"/>
            <w:color w:val="0563C1"/>
            <w:sz w:val="20"/>
            <w:szCs w:val="20"/>
            <w:u w:val="single"/>
          </w:rPr>
          <w:t>https://intersex.shadowreport.org/public/2018-CEDAW-Nepal-NGO-Intersex-IGM.pdf</w:t>
        </w:r>
      </w:hyperlink>
      <w:r>
        <w:rPr>
          <w:rFonts w:ascii="Times New Roman" w:eastAsia="Times New Roman" w:hAnsi="Times New Roman" w:cs="Times New Roman"/>
          <w:sz w:val="20"/>
          <w:szCs w:val="20"/>
        </w:rPr>
        <w:t xml:space="preserve"> ; Heartland Alliance, The Violations of the Rights of Lesbian, Gay, Bisexual, Transgender, and Intersex Persons in Nepal</w:t>
      </w:r>
      <w:hyperlink r:id="rId3">
        <w:r>
          <w:rPr>
            <w:rFonts w:ascii="Times New Roman" w:eastAsia="Times New Roman" w:hAnsi="Times New Roman" w:cs="Times New Roman"/>
            <w:sz w:val="20"/>
            <w:szCs w:val="20"/>
          </w:rPr>
          <w:t xml:space="preserve"> </w:t>
        </w:r>
      </w:hyperlink>
      <w:hyperlink r:id="rId4">
        <w:r>
          <w:rPr>
            <w:rFonts w:ascii="Times New Roman" w:eastAsia="Times New Roman" w:hAnsi="Times New Roman" w:cs="Times New Roman"/>
            <w:color w:val="0563C1"/>
            <w:sz w:val="20"/>
            <w:szCs w:val="20"/>
            <w:u w:val="single"/>
          </w:rPr>
          <w:t>https://tbinternet.ohchr.org/Treaties/CCPR/Shared%20Documents/NPL/INT_CCPR_NGO_NPL_14738_E.pdf</w:t>
        </w:r>
      </w:hyperlink>
      <w:r>
        <w:rPr>
          <w:rFonts w:ascii="Times New Roman" w:eastAsia="Times New Roman" w:hAnsi="Times New Roman" w:cs="Times New Roman"/>
          <w:sz w:val="20"/>
          <w:szCs w:val="20"/>
        </w:rPr>
        <w:t xml:space="preserve">   and Blue Diamond Society, Shadow report submitted to the Committee on the Elimination of Discrimination against Women (CEDAW) for consideration at the 71</w:t>
      </w:r>
      <w:r>
        <w:rPr>
          <w:rFonts w:ascii="Times New Roman" w:eastAsia="Times New Roman" w:hAnsi="Times New Roman" w:cs="Times New Roman"/>
          <w:sz w:val="20"/>
          <w:szCs w:val="20"/>
          <w:vertAlign w:val="superscript"/>
        </w:rPr>
        <w:t>st</w:t>
      </w:r>
      <w:r>
        <w:rPr>
          <w:rFonts w:ascii="Times New Roman" w:eastAsia="Times New Roman" w:hAnsi="Times New Roman" w:cs="Times New Roman"/>
          <w:sz w:val="20"/>
          <w:szCs w:val="20"/>
        </w:rPr>
        <w:t xml:space="preserve"> Pre-sessional Working Group, 2018</w:t>
      </w:r>
      <w:hyperlink r:id="rId5">
        <w:r>
          <w:rPr>
            <w:rFonts w:ascii="Times New Roman" w:eastAsia="Times New Roman" w:hAnsi="Times New Roman" w:cs="Times New Roman"/>
            <w:sz w:val="20"/>
            <w:szCs w:val="20"/>
          </w:rPr>
          <w:t xml:space="preserve"> </w:t>
        </w:r>
      </w:hyperlink>
      <w:hyperlink r:id="rId6">
        <w:r>
          <w:rPr>
            <w:rFonts w:ascii="Times New Roman" w:eastAsia="Times New Roman" w:hAnsi="Times New Roman" w:cs="Times New Roman"/>
            <w:color w:val="0563C1"/>
            <w:sz w:val="20"/>
            <w:szCs w:val="20"/>
            <w:u w:val="single"/>
          </w:rPr>
          <w:t>https://tbinternet.ohchr.org/Treaties/CEDAW/Shared%20Documents/NPL/INT_CEDAW_NGO_NPL_30136_E.pdf</w:t>
        </w:r>
      </w:hyperlink>
    </w:p>
  </w:footnote>
  <w:footnote w:id="2">
    <w:p w14:paraId="72943147" w14:textId="77777777" w:rsidR="004E7651" w:rsidRDefault="00000000">
      <w:pPr>
        <w:spacing w:after="0"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Blue Diamond Society, Shadow report submitted to the Committee on the Elimination of Discrimination against Women (CEDAW) for consideration at the 71</w:t>
      </w:r>
      <w:r>
        <w:rPr>
          <w:rFonts w:ascii="Times New Roman" w:eastAsia="Times New Roman" w:hAnsi="Times New Roman" w:cs="Times New Roman"/>
          <w:sz w:val="20"/>
          <w:szCs w:val="20"/>
          <w:vertAlign w:val="superscript"/>
        </w:rPr>
        <w:t>st</w:t>
      </w:r>
      <w:r>
        <w:rPr>
          <w:rFonts w:ascii="Times New Roman" w:eastAsia="Times New Roman" w:hAnsi="Times New Roman" w:cs="Times New Roman"/>
          <w:sz w:val="20"/>
          <w:szCs w:val="20"/>
        </w:rPr>
        <w:t xml:space="preserve"> Pre-sessional Working Group, 2018</w:t>
      </w:r>
      <w:hyperlink r:id="rId7">
        <w:r>
          <w:rPr>
            <w:rFonts w:ascii="Times New Roman" w:eastAsia="Times New Roman" w:hAnsi="Times New Roman" w:cs="Times New Roman"/>
            <w:sz w:val="20"/>
            <w:szCs w:val="20"/>
          </w:rPr>
          <w:t xml:space="preserve"> </w:t>
        </w:r>
      </w:hyperlink>
      <w:hyperlink r:id="rId8">
        <w:r>
          <w:rPr>
            <w:rFonts w:ascii="Times New Roman" w:eastAsia="Times New Roman" w:hAnsi="Times New Roman" w:cs="Times New Roman"/>
            <w:color w:val="0563C1"/>
            <w:sz w:val="20"/>
            <w:szCs w:val="20"/>
            <w:u w:val="single"/>
          </w:rPr>
          <w:t>https://tbinternet.ohchr.org/Treaties/CEDAW/Shared%20Documents/NPL/INT_CEDAW_NGO_NPL_30136_E.pdf</w:t>
        </w:r>
      </w:hyperlink>
    </w:p>
  </w:footnote>
  <w:footnote w:id="3">
    <w:p w14:paraId="756AB7D1" w14:textId="77777777" w:rsidR="004E7651"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The </w:t>
      </w:r>
      <w:proofErr w:type="spellStart"/>
      <w:r>
        <w:rPr>
          <w:rFonts w:ascii="Times New Roman" w:eastAsia="Times New Roman" w:hAnsi="Times New Roman" w:cs="Times New Roman"/>
          <w:color w:val="000000"/>
          <w:sz w:val="20"/>
          <w:szCs w:val="20"/>
        </w:rPr>
        <w:t>Muluki</w:t>
      </w:r>
      <w:proofErr w:type="spellEnd"/>
      <w:r>
        <w:rPr>
          <w:rFonts w:ascii="Times New Roman" w:eastAsia="Times New Roman" w:hAnsi="Times New Roman" w:cs="Times New Roman"/>
          <w:color w:val="000000"/>
          <w:sz w:val="20"/>
          <w:szCs w:val="20"/>
        </w:rPr>
        <w:t xml:space="preserve"> (National) Criminal Code, 2018, §160 (2) (Nepal).</w:t>
      </w:r>
    </w:p>
  </w:footnote>
  <w:footnote w:id="4">
    <w:p w14:paraId="1A1AC689" w14:textId="77777777" w:rsidR="004E7651"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ICJ, Nepal: Implement Supreme Court Ruling on Protecting the Rights of LGBTI Persons, </w:t>
      </w:r>
      <w:hyperlink r:id="rId9">
        <w:r>
          <w:rPr>
            <w:rFonts w:ascii="Times New Roman" w:eastAsia="Times New Roman" w:hAnsi="Times New Roman" w:cs="Times New Roman"/>
            <w:color w:val="0563C1"/>
            <w:sz w:val="20"/>
            <w:szCs w:val="20"/>
            <w:u w:val="single"/>
          </w:rPr>
          <w:t>https://www.icj.org/nepal-implement-supreme-court-ruling-on-protecting-the-rights-of-lgbti-persons/</w:t>
        </w:r>
      </w:hyperlink>
      <w:r>
        <w:rPr>
          <w:rFonts w:ascii="Times New Roman" w:eastAsia="Times New Roman" w:hAnsi="Times New Roman" w:cs="Times New Roman"/>
          <w:color w:val="000000"/>
          <w:sz w:val="20"/>
          <w:szCs w:val="20"/>
        </w:rPr>
        <w:t xml:space="preserve"> </w:t>
      </w:r>
    </w:p>
  </w:footnote>
  <w:footnote w:id="5">
    <w:p w14:paraId="103F481E" w14:textId="77777777" w:rsidR="004E7651"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UN Women, Evidence to action: Addressing violence against LGBTIQ+ People in Nepal, https://un.org.np/sites/default/files/doc_publication/2023-06/LGBTIQ%20Study%20Report-Final-web%20version-11%20June%202023%20evening.pdf</w:t>
      </w:r>
    </w:p>
  </w:footnote>
  <w:footnote w:id="6">
    <w:p w14:paraId="66BE7246" w14:textId="77777777" w:rsidR="004E7651"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Discrimination and violence against Intersex Women in Nepal, Committee on the Elimination of Discrimination against Women (CEDAW) for consideration at the 71st Pre-sessional Working Group, 2018.</w:t>
      </w:r>
    </w:p>
  </w:footnote>
  <w:footnote w:id="7">
    <w:p w14:paraId="3332DD4B" w14:textId="77777777" w:rsidR="004E7651"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CEDAW, List of issues and questions in relation to the seventh periodic report of Nepal adopted by the pre-sessional working group on 22 February 2024, </w:t>
      </w:r>
      <w:hyperlink r:id="rId10">
        <w:r>
          <w:rPr>
            <w:rFonts w:ascii="Times New Roman" w:eastAsia="Times New Roman" w:hAnsi="Times New Roman" w:cs="Times New Roman"/>
            <w:color w:val="0563C1"/>
            <w:sz w:val="20"/>
            <w:szCs w:val="20"/>
            <w:u w:val="single"/>
          </w:rPr>
          <w:t>https://tbinternet.ohchr.org/_layouts/15/treatybodyexternal/Download.aspx?symbolno=CEDAW%2FC%2FNPL%2FQ%2F7&amp;Lang=en</w:t>
        </w:r>
      </w:hyperlink>
      <w:r>
        <w:rPr>
          <w:rFonts w:ascii="Times New Roman" w:eastAsia="Times New Roman" w:hAnsi="Times New Roman" w:cs="Times New Roman"/>
          <w:color w:val="000000"/>
          <w:sz w:val="20"/>
          <w:szCs w:val="20"/>
        </w:rPr>
        <w:t xml:space="preserve"> </w:t>
      </w:r>
    </w:p>
  </w:footnote>
  <w:footnote w:id="8">
    <w:p w14:paraId="4160555F" w14:textId="77777777" w:rsidR="004E7651"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CEDAW, Replies of Nepal to the list of issues and questions in relation to its seventh periodic report</w:t>
      </w:r>
      <w:r>
        <w:rPr>
          <w:rFonts w:ascii="Times New Roman" w:eastAsia="Times New Roman" w:hAnsi="Times New Roman" w:cs="Times New Roman"/>
          <w:b/>
          <w:color w:val="000000"/>
          <w:sz w:val="20"/>
          <w:szCs w:val="20"/>
        </w:rPr>
        <w:t xml:space="preserve">, </w:t>
      </w:r>
      <w:r>
        <w:rPr>
          <w:rFonts w:ascii="Times New Roman" w:eastAsia="Times New Roman" w:hAnsi="Times New Roman" w:cs="Times New Roman"/>
          <w:color w:val="000000"/>
          <w:sz w:val="20"/>
          <w:szCs w:val="20"/>
        </w:rPr>
        <w:t xml:space="preserve">2 October 2024, </w:t>
      </w:r>
      <w:hyperlink r:id="rId11">
        <w:r>
          <w:rPr>
            <w:rFonts w:ascii="Times New Roman" w:eastAsia="Times New Roman" w:hAnsi="Times New Roman" w:cs="Times New Roman"/>
            <w:color w:val="0563C1"/>
            <w:sz w:val="20"/>
            <w:szCs w:val="20"/>
            <w:u w:val="single"/>
          </w:rPr>
          <w:t>https://tbinternet.ohchr.org/_layouts/15/TreatyBodyExternal/TBSearch.aspx?Lang=En&amp;CountryID=122</w:t>
        </w:r>
      </w:hyperlink>
    </w:p>
  </w:footnote>
  <w:footnote w:id="9">
    <w:p w14:paraId="27B7F029" w14:textId="77777777" w:rsidR="004E7651"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Sunil Babu Pant v. Government of Nepal, NKP 2065, D.N. 7958</w:t>
      </w:r>
    </w:p>
  </w:footnote>
  <w:footnote w:id="10">
    <w:p w14:paraId="568515C8" w14:textId="77777777" w:rsidR="004E7651"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Circular by the Ministry of Home Affairs, Registration no. 180/2069/70, (Jan. 20, 2013).</w:t>
      </w:r>
    </w:p>
  </w:footnote>
  <w:footnote w:id="11">
    <w:p w14:paraId="4AA17F09" w14:textId="77777777" w:rsidR="004E7651"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The Citizenship Amendment Bill, 2075, § 8(b)(3) (Nepal).</w:t>
      </w:r>
    </w:p>
  </w:footnote>
  <w:footnote w:id="12">
    <w:p w14:paraId="30934CE5" w14:textId="77777777" w:rsidR="004E7651"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Government of Nepal, Ministry of Home Affairs, Department Oo National ID and Civil Registration, </w:t>
      </w:r>
      <w:hyperlink r:id="rId12">
        <w:r>
          <w:rPr>
            <w:rFonts w:ascii="Times New Roman" w:eastAsia="Times New Roman" w:hAnsi="Times New Roman" w:cs="Times New Roman"/>
            <w:color w:val="0563C1"/>
            <w:sz w:val="20"/>
            <w:szCs w:val="20"/>
            <w:u w:val="single"/>
          </w:rPr>
          <w:t>https://enrollment.donidcr.gov.np/PreEnrollment/</w:t>
        </w:r>
      </w:hyperlink>
      <w:r>
        <w:rPr>
          <w:rFonts w:ascii="Times New Roman" w:eastAsia="Times New Roman" w:hAnsi="Times New Roman" w:cs="Times New Roman"/>
          <w:color w:val="000000"/>
          <w:sz w:val="20"/>
          <w:szCs w:val="20"/>
        </w:rPr>
        <w:t xml:space="preserve"> </w:t>
      </w:r>
    </w:p>
  </w:footnote>
  <w:footnote w:id="13">
    <w:p w14:paraId="1DF9B1C1" w14:textId="77777777" w:rsidR="004E7651"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Birth, Death and Personal Incident Registration Act 2033, </w:t>
      </w:r>
      <w:hyperlink r:id="rId13">
        <w:r>
          <w:rPr>
            <w:rFonts w:ascii="Times New Roman" w:eastAsia="Times New Roman" w:hAnsi="Times New Roman" w:cs="Times New Roman"/>
            <w:color w:val="0563C1"/>
            <w:sz w:val="20"/>
            <w:szCs w:val="20"/>
            <w:u w:val="single"/>
          </w:rPr>
          <w:t>https://www.global-regulation.com/law/nepal/9333405/birth%252c-death-and-other-personal-events-%2528registration%2529-act%252c-2033-%25281976%2529.html</w:t>
        </w:r>
      </w:hyperlink>
      <w:r>
        <w:rPr>
          <w:rFonts w:ascii="Times New Roman" w:eastAsia="Times New Roman" w:hAnsi="Times New Roman" w:cs="Times New Roman"/>
          <w:color w:val="000000"/>
          <w:sz w:val="20"/>
          <w:szCs w:val="20"/>
        </w:rPr>
        <w:t xml:space="preserve"> </w:t>
      </w:r>
    </w:p>
  </w:footnote>
  <w:footnote w:id="14">
    <w:p w14:paraId="0F24F44F" w14:textId="77777777" w:rsidR="004E7651"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w:t>
      </w:r>
      <w:proofErr w:type="spellStart"/>
      <w:r>
        <w:rPr>
          <w:rFonts w:ascii="Times New Roman" w:eastAsia="Times New Roman" w:hAnsi="Times New Roman" w:cs="Times New Roman"/>
          <w:color w:val="000000"/>
          <w:sz w:val="20"/>
          <w:szCs w:val="20"/>
        </w:rPr>
        <w:t>Prapoosa</w:t>
      </w:r>
      <w:proofErr w:type="spellEnd"/>
      <w:r>
        <w:rPr>
          <w:rFonts w:ascii="Times New Roman" w:eastAsia="Times New Roman" w:hAnsi="Times New Roman" w:cs="Times New Roman"/>
          <w:color w:val="000000"/>
          <w:sz w:val="20"/>
          <w:szCs w:val="20"/>
        </w:rPr>
        <w:t xml:space="preserve"> K.C., Analysis of Nepali Legislation from Human Rights Perspective of Intersex People, Campaign for Change. https://nepalcfc.org/analysis-of-nepali-legislations-from-human-rightsperspective-of-intersex-people/.</w:t>
      </w:r>
    </w:p>
  </w:footnote>
  <w:footnote w:id="15">
    <w:p w14:paraId="17BD4136" w14:textId="77777777" w:rsidR="004E7651"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Curriculum Development Centre, Book on Social Studies, Class 12, Ministry of Education, Government of Nepal, 200. </w:t>
      </w:r>
      <w:hyperlink r:id="rId14">
        <w:r>
          <w:rPr>
            <w:rFonts w:ascii="Times New Roman" w:eastAsia="Times New Roman" w:hAnsi="Times New Roman" w:cs="Times New Roman"/>
            <w:color w:val="0563C1"/>
            <w:sz w:val="20"/>
            <w:szCs w:val="20"/>
            <w:u w:val="single"/>
          </w:rPr>
          <w:t>http://103.140.1.64/cdc/elibrary/pages/download.php?direct=1&amp;noattach=true&amp;ref=9690&amp;ext=pdf&amp;k=</w:t>
        </w:r>
      </w:hyperlink>
      <w:r>
        <w:rPr>
          <w:rFonts w:ascii="Times New Roman" w:eastAsia="Times New Roman" w:hAnsi="Times New Roman" w:cs="Times New Roman"/>
          <w:color w:val="000000"/>
          <w:sz w:val="20"/>
          <w:szCs w:val="20"/>
        </w:rPr>
        <w:t xml:space="preserve"> </w:t>
      </w:r>
    </w:p>
  </w:footnote>
  <w:footnote w:id="16">
    <w:p w14:paraId="527B652C" w14:textId="77777777" w:rsidR="004E7651"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Curriculum Development Centre, Book on Social Studies, Class 12, Ministry of Education, Government of Nepal, 2000, </w:t>
      </w:r>
      <w:hyperlink r:id="rId15">
        <w:r>
          <w:rPr>
            <w:rFonts w:ascii="Times New Roman" w:eastAsia="Times New Roman" w:hAnsi="Times New Roman" w:cs="Times New Roman"/>
            <w:color w:val="0563C1"/>
            <w:sz w:val="20"/>
            <w:szCs w:val="20"/>
            <w:u w:val="single"/>
          </w:rPr>
          <w:t>http://103.140.1.64/cdc/elibrary/pages/download.php?direct=1&amp;noattach=true&amp;ref=9690&amp;ext=pdf&amp;k=</w:t>
        </w:r>
      </w:hyperlink>
      <w:r>
        <w:rPr>
          <w:rFonts w:ascii="Times New Roman" w:eastAsia="Times New Roman" w:hAnsi="Times New Roman" w:cs="Times New Roman"/>
          <w:color w:val="000000"/>
          <w:sz w:val="20"/>
          <w:szCs w:val="20"/>
        </w:rPr>
        <w:t xml:space="preserve"> </w:t>
      </w:r>
    </w:p>
  </w:footnote>
  <w:footnote w:id="17">
    <w:p w14:paraId="62E5176F" w14:textId="77777777" w:rsidR="004E7651"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The Labor Act, 2018, § 69 (Nepal).</w:t>
      </w:r>
    </w:p>
  </w:footnote>
  <w:footnote w:id="18">
    <w:p w14:paraId="09C0DDFC" w14:textId="77777777" w:rsidR="004E7651"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Sonal Singh, Sunil Babu Pant, </w:t>
      </w:r>
      <w:proofErr w:type="spellStart"/>
      <w:r>
        <w:rPr>
          <w:rFonts w:ascii="Times New Roman" w:eastAsia="Times New Roman" w:hAnsi="Times New Roman" w:cs="Times New Roman"/>
          <w:color w:val="000000"/>
          <w:sz w:val="20"/>
          <w:szCs w:val="20"/>
        </w:rPr>
        <w:t>Suben</w:t>
      </w:r>
      <w:proofErr w:type="spellEnd"/>
      <w:r>
        <w:rPr>
          <w:rFonts w:ascii="Times New Roman" w:eastAsia="Times New Roman" w:hAnsi="Times New Roman" w:cs="Times New Roman"/>
          <w:color w:val="000000"/>
          <w:sz w:val="20"/>
          <w:szCs w:val="20"/>
        </w:rPr>
        <w:t xml:space="preserve"> Dhakal, Subash Pokhrel &amp; Luke C Mullany, Human rights violations among sexual and gender minorities in Kathmandu, Nepal: a qualitative investigation, 12 </w:t>
      </w:r>
      <w:proofErr w:type="spellStart"/>
      <w:r>
        <w:rPr>
          <w:rFonts w:ascii="Times New Roman" w:eastAsia="Times New Roman" w:hAnsi="Times New Roman" w:cs="Times New Roman"/>
          <w:color w:val="000000"/>
          <w:sz w:val="20"/>
          <w:szCs w:val="20"/>
        </w:rPr>
        <w:t>Bmc</w:t>
      </w:r>
      <w:proofErr w:type="spellEnd"/>
      <w:r>
        <w:rPr>
          <w:rFonts w:ascii="Times New Roman" w:eastAsia="Times New Roman" w:hAnsi="Times New Roman" w:cs="Times New Roman"/>
          <w:color w:val="000000"/>
          <w:sz w:val="20"/>
          <w:szCs w:val="20"/>
        </w:rPr>
        <w:t xml:space="preserve"> Int’l Health &amp; Hum </w:t>
      </w:r>
      <w:proofErr w:type="spellStart"/>
      <w:r>
        <w:rPr>
          <w:rFonts w:ascii="Times New Roman" w:eastAsia="Times New Roman" w:hAnsi="Times New Roman" w:cs="Times New Roman"/>
          <w:color w:val="000000"/>
          <w:sz w:val="20"/>
          <w:szCs w:val="20"/>
        </w:rPr>
        <w:t>Rts</w:t>
      </w:r>
      <w:proofErr w:type="spellEnd"/>
      <w:r>
        <w:rPr>
          <w:rFonts w:ascii="Times New Roman" w:eastAsia="Times New Roman" w:hAnsi="Times New Roman" w:cs="Times New Roman"/>
          <w:color w:val="000000"/>
          <w:sz w:val="20"/>
          <w:szCs w:val="20"/>
        </w:rPr>
        <w:t>., 7 (2012).</w:t>
      </w:r>
    </w:p>
  </w:footnote>
  <w:footnote w:id="19">
    <w:p w14:paraId="4710CC29" w14:textId="566BF294" w:rsidR="004E7651"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w:t>
      </w:r>
      <w:r w:rsidR="008410E3">
        <w:rPr>
          <w:rFonts w:ascii="Times New Roman" w:eastAsia="Times New Roman" w:hAnsi="Times New Roman" w:cs="Times New Roman"/>
          <w:color w:val="000000"/>
          <w:sz w:val="20"/>
          <w:szCs w:val="20"/>
        </w:rPr>
        <w:t>Supra note 1</w:t>
      </w:r>
      <w:r>
        <w:rPr>
          <w:rFonts w:ascii="Times New Roman" w:eastAsia="Times New Roman" w:hAnsi="Times New Roman" w:cs="Times New Roman"/>
          <w:color w:val="000000"/>
          <w:sz w:val="20"/>
          <w:szCs w:val="20"/>
        </w:rPr>
        <w:t xml:space="preserve"> </w:t>
      </w:r>
    </w:p>
  </w:footnote>
  <w:footnote w:id="20">
    <w:p w14:paraId="6A7522E6" w14:textId="18B7D3A4" w:rsidR="004E7651"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w:t>
      </w:r>
      <w:r w:rsidR="008410E3">
        <w:rPr>
          <w:rFonts w:ascii="Times New Roman" w:eastAsia="Times New Roman" w:hAnsi="Times New Roman" w:cs="Times New Roman"/>
          <w:color w:val="000000"/>
          <w:sz w:val="20"/>
          <w:szCs w:val="20"/>
        </w:rPr>
        <w:t xml:space="preserve">Supra note </w:t>
      </w:r>
      <w:r w:rsidR="008410E3">
        <w:rPr>
          <w:rFonts w:ascii="Times New Roman" w:eastAsia="Times New Roman" w:hAnsi="Times New Roman" w:cs="Times New Roman"/>
          <w:color w:val="000000"/>
          <w:sz w:val="20"/>
          <w:szCs w:val="20"/>
        </w:rPr>
        <w:t xml:space="preserve">7 </w:t>
      </w:r>
    </w:p>
  </w:footnote>
  <w:footnote w:id="21">
    <w:p w14:paraId="2AC8C1E0" w14:textId="18F07729" w:rsidR="004E7651"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w:t>
      </w:r>
      <w:r w:rsidR="008410E3">
        <w:rPr>
          <w:rFonts w:ascii="Times New Roman" w:eastAsia="Times New Roman" w:hAnsi="Times New Roman" w:cs="Times New Roman"/>
          <w:color w:val="000000"/>
          <w:sz w:val="20"/>
          <w:szCs w:val="20"/>
        </w:rPr>
        <w:t xml:space="preserve">Supra note </w:t>
      </w:r>
      <w:r w:rsidR="008410E3">
        <w:rPr>
          <w:rFonts w:ascii="Times New Roman" w:eastAsia="Times New Roman" w:hAnsi="Times New Roman" w:cs="Times New Roman"/>
          <w:color w:val="000000"/>
          <w:sz w:val="20"/>
          <w:szCs w:val="20"/>
        </w:rPr>
        <w:t>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8B055E"/>
    <w:multiLevelType w:val="multilevel"/>
    <w:tmpl w:val="44E2EBEE"/>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5A1698A"/>
    <w:multiLevelType w:val="multilevel"/>
    <w:tmpl w:val="49D002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69303057">
    <w:abstractNumId w:val="0"/>
  </w:num>
  <w:num w:numId="2" w16cid:durableId="1258985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651"/>
    <w:rsid w:val="00010349"/>
    <w:rsid w:val="00084031"/>
    <w:rsid w:val="004E7651"/>
    <w:rsid w:val="008410E3"/>
    <w:rsid w:val="00B41EF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4FAC797A"/>
  <w15:docId w15:val="{602625A4-D409-6949-B20C-0EFC18C36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IN"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FootnoteText">
    <w:name w:val="footnote text"/>
    <w:basedOn w:val="Normal"/>
    <w:link w:val="FootnoteTextChar"/>
    <w:uiPriority w:val="99"/>
    <w:semiHidden/>
    <w:unhideWhenUsed/>
    <w:rsid w:val="00D317E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317E5"/>
    <w:rPr>
      <w:sz w:val="20"/>
      <w:szCs w:val="20"/>
    </w:rPr>
  </w:style>
  <w:style w:type="character" w:styleId="FootnoteReference">
    <w:name w:val="footnote reference"/>
    <w:basedOn w:val="DefaultParagraphFont"/>
    <w:uiPriority w:val="99"/>
    <w:semiHidden/>
    <w:unhideWhenUsed/>
    <w:rsid w:val="00D317E5"/>
    <w:rPr>
      <w:vertAlign w:val="superscript"/>
    </w:rPr>
  </w:style>
  <w:style w:type="paragraph" w:styleId="ListParagraph">
    <w:name w:val="List Paragraph"/>
    <w:basedOn w:val="Normal"/>
    <w:uiPriority w:val="34"/>
    <w:qFormat/>
    <w:rsid w:val="00716AB1"/>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Hyperlink">
    <w:name w:val="Hyperlink"/>
    <w:basedOn w:val="DefaultParagraphFont"/>
    <w:uiPriority w:val="99"/>
    <w:unhideWhenUsed/>
    <w:rsid w:val="00826C44"/>
    <w:rPr>
      <w:color w:val="0563C1" w:themeColor="hyperlink"/>
      <w:u w:val="single"/>
    </w:rPr>
  </w:style>
  <w:style w:type="character" w:styleId="UnresolvedMention">
    <w:name w:val="Unresolved Mention"/>
    <w:basedOn w:val="DefaultParagraphFont"/>
    <w:uiPriority w:val="99"/>
    <w:semiHidden/>
    <w:unhideWhenUsed/>
    <w:rsid w:val="00826C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Treaties/CEDAW/Shared%20Documents/NPL/INT_CEDAW_NGO_NPL_30136_E.pdf" TargetMode="External"/><Relationship Id="rId13" Type="http://schemas.openxmlformats.org/officeDocument/2006/relationships/hyperlink" Target="https://www.global-regulation.com/law/nepal/9333405/birth%252c-death-and-other-personal-events-%2528registration%2529-act%252c-2033-%25281976%2529.html" TargetMode="External"/><Relationship Id="rId3" Type="http://schemas.openxmlformats.org/officeDocument/2006/relationships/hyperlink" Target="https://tbinternet.ohchr.org/Treaties/CCPR/Shared%20Documents/NPL/INT_CCPR_NGO_NPL_14738_E.pdf" TargetMode="External"/><Relationship Id="rId7" Type="http://schemas.openxmlformats.org/officeDocument/2006/relationships/hyperlink" Target="https://tbinternet.ohchr.org/Treaties/CEDAW/Shared%20Documents/NPL/INT_CEDAW_NGO_NPL_30136_E.pdf" TargetMode="External"/><Relationship Id="rId12" Type="http://schemas.openxmlformats.org/officeDocument/2006/relationships/hyperlink" Target="https://enrollment.donidcr.gov.np/PreEnrollment/" TargetMode="External"/><Relationship Id="rId2" Type="http://schemas.openxmlformats.org/officeDocument/2006/relationships/hyperlink" Target="https://intersex.shadowreport.org/public/2018-CEDAW-Nepal-NGO-Intersex-IGM.pdf" TargetMode="External"/><Relationship Id="rId1" Type="http://schemas.openxmlformats.org/officeDocument/2006/relationships/hyperlink" Target="https://intersex.shadowreport.org/public/2018-CEDAW-Nepal-NGO-Intersex-IGM.pdf" TargetMode="External"/><Relationship Id="rId6" Type="http://schemas.openxmlformats.org/officeDocument/2006/relationships/hyperlink" Target="https://tbinternet.ohchr.org/Treaties/CEDAW/Shared%20Documents/NPL/INT_CEDAW_NGO_NPL_30136_E.pdf" TargetMode="External"/><Relationship Id="rId11" Type="http://schemas.openxmlformats.org/officeDocument/2006/relationships/hyperlink" Target="https://tbinternet.ohchr.org/_layouts/15/TreatyBodyExternal/TBSearch.aspx?Lang=En&amp;CountryID=122" TargetMode="External"/><Relationship Id="rId5" Type="http://schemas.openxmlformats.org/officeDocument/2006/relationships/hyperlink" Target="https://tbinternet.ohchr.org/Treaties/CEDAW/Shared%20Documents/NPL/INT_CEDAW_NGO_NPL_30136_E.pdf" TargetMode="External"/><Relationship Id="rId15" Type="http://schemas.openxmlformats.org/officeDocument/2006/relationships/hyperlink" Target="http://103.140.1.64/cdc/elibrary/pages/download.php?direct=1&amp;noattach=true&amp;ref=9690&amp;ext=pdf&amp;k=" TargetMode="External"/><Relationship Id="rId10" Type="http://schemas.openxmlformats.org/officeDocument/2006/relationships/hyperlink" Target="https://tbinternet.ohchr.org/_layouts/15/treatybodyexternal/Download.aspx?symbolno=CEDAW%2FC%2FNPL%2FQ%2F7&amp;Lang=en" TargetMode="External"/><Relationship Id="rId4" Type="http://schemas.openxmlformats.org/officeDocument/2006/relationships/hyperlink" Target="https://tbinternet.ohchr.org/Treaties/CCPR/Shared%20Documents/NPL/INT_CCPR_NGO_NPL_14738_E.pdf" TargetMode="External"/><Relationship Id="rId9" Type="http://schemas.openxmlformats.org/officeDocument/2006/relationships/hyperlink" Target="https://www.icj.org/nepal-implement-supreme-court-ruling-on-protecting-the-rights-of-lgbti-persons/" TargetMode="External"/><Relationship Id="rId14" Type="http://schemas.openxmlformats.org/officeDocument/2006/relationships/hyperlink" Target="http://103.140.1.64/cdc/elibrary/pages/download.php?direct=1&amp;noattach=true&amp;ref=9690&amp;ext=pdf&amp;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0KdxQ1oXfHfTe2tHE8bkmbeozQ==">CgMxLjAyCGguZ2pkZ3hzOAByITF0QUQ2RVZNSWxvWWlCRTlVUlp3eTdPd25kb0EyWkZ5Sw==</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2025-01-09T08:14:42+00:00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8192954-8A50-4A5D-A565-CA5E2C0E3EA8}"/>
</file>

<file path=customXml/itemProps3.xml><?xml version="1.0" encoding="utf-8"?>
<ds:datastoreItem xmlns:ds="http://schemas.openxmlformats.org/officeDocument/2006/customXml" ds:itemID="{BA01A054-84FE-4F0D-8699-EBE8DE3B81DE}"/>
</file>

<file path=customXml/itemProps4.xml><?xml version="1.0" encoding="utf-8"?>
<ds:datastoreItem xmlns:ds="http://schemas.openxmlformats.org/officeDocument/2006/customXml" ds:itemID="{3803A995-3BBB-41D3-8AB5-34C340B73883}"/>
</file>

<file path=docProps/app.xml><?xml version="1.0" encoding="utf-8"?>
<Properties xmlns="http://schemas.openxmlformats.org/officeDocument/2006/extended-properties" xmlns:vt="http://schemas.openxmlformats.org/officeDocument/2006/docPropsVTypes">
  <Template>Normal.dotm</Template>
  <TotalTime>10</TotalTime>
  <Pages>10</Pages>
  <Words>2870</Words>
  <Characters>16365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Vijay Mishra</dc:creator>
  <cp:lastModifiedBy>Prashant Singh (17 JGLS)</cp:lastModifiedBy>
  <cp:revision>2</cp:revision>
  <dcterms:created xsi:type="dcterms:W3CDTF">2025-01-03T05:00:00Z</dcterms:created>
  <dcterms:modified xsi:type="dcterms:W3CDTF">2025-01-06T11:44:00Z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