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FD4" w14:paraId="304A8E76" w14:textId="77777777">
        <w:trPr>
          <w:cantSplit/>
          <w:trHeight w:hRule="exact" w:val="851"/>
        </w:trPr>
        <w:tc>
          <w:tcPr>
            <w:tcW w:w="1276" w:type="dxa"/>
            <w:tcBorders>
              <w:bottom w:val="single" w:sz="4" w:space="0" w:color="auto"/>
            </w:tcBorders>
            <w:vAlign w:val="bottom"/>
          </w:tcPr>
          <w:p w14:paraId="3B6D8B05" w14:textId="77777777" w:rsidR="005446F2" w:rsidRDefault="005446F2">
            <w:pPr>
              <w:spacing w:after="80"/>
            </w:pPr>
          </w:p>
        </w:tc>
        <w:tc>
          <w:tcPr>
            <w:tcW w:w="2268" w:type="dxa"/>
            <w:tcBorders>
              <w:bottom w:val="single" w:sz="4" w:space="0" w:color="auto"/>
            </w:tcBorders>
            <w:vAlign w:val="bottom"/>
          </w:tcPr>
          <w:p w14:paraId="747AFFAA" w14:textId="11461E90" w:rsidR="005446F2" w:rsidRDefault="005446F2">
            <w:pPr>
              <w:spacing w:after="80" w:line="300" w:lineRule="exact"/>
              <w:rPr>
                <w:b/>
                <w:sz w:val="24"/>
                <w:szCs w:val="24"/>
              </w:rPr>
            </w:pPr>
          </w:p>
        </w:tc>
        <w:tc>
          <w:tcPr>
            <w:tcW w:w="6095" w:type="dxa"/>
            <w:gridSpan w:val="2"/>
            <w:tcBorders>
              <w:bottom w:val="single" w:sz="4" w:space="0" w:color="auto"/>
            </w:tcBorders>
            <w:vAlign w:val="bottom"/>
          </w:tcPr>
          <w:p w14:paraId="2DAF11CC" w14:textId="5A8F3537" w:rsidR="005446F2" w:rsidRDefault="003125DC">
            <w:pPr>
              <w:suppressAutoHyphens w:val="0"/>
              <w:spacing w:after="20"/>
              <w:jc w:val="right"/>
            </w:pPr>
            <w:r>
              <w:rPr>
                <w:sz w:val="40"/>
              </w:rPr>
              <w:t>CERD</w:t>
            </w:r>
            <w:r>
              <w:t>/C/</w:t>
            </w:r>
            <w:r w:rsidR="00760C05">
              <w:t>CHE</w:t>
            </w:r>
            <w:r w:rsidR="00D0234E">
              <w:t>/</w:t>
            </w:r>
            <w:r w:rsidR="00760C05">
              <w:t>13-16</w:t>
            </w:r>
          </w:p>
        </w:tc>
      </w:tr>
      <w:tr w:rsidR="00E64FD4" w14:paraId="04B2316D" w14:textId="77777777">
        <w:trPr>
          <w:cantSplit/>
          <w:trHeight w:hRule="exact" w:val="2835"/>
        </w:trPr>
        <w:tc>
          <w:tcPr>
            <w:tcW w:w="1276" w:type="dxa"/>
            <w:tcBorders>
              <w:top w:val="single" w:sz="4" w:space="0" w:color="auto"/>
              <w:bottom w:val="single" w:sz="12" w:space="0" w:color="auto"/>
            </w:tcBorders>
          </w:tcPr>
          <w:p w14:paraId="3748060E" w14:textId="4E3CE5BB" w:rsidR="005446F2" w:rsidRDefault="005446F2">
            <w:pPr>
              <w:spacing w:before="120"/>
              <w:jc w:val="center"/>
            </w:pPr>
          </w:p>
        </w:tc>
        <w:tc>
          <w:tcPr>
            <w:tcW w:w="5528" w:type="dxa"/>
            <w:gridSpan w:val="2"/>
            <w:tcBorders>
              <w:top w:val="single" w:sz="4" w:space="0" w:color="auto"/>
              <w:bottom w:val="single" w:sz="12" w:space="0" w:color="auto"/>
            </w:tcBorders>
          </w:tcPr>
          <w:p w14:paraId="611D21F9" w14:textId="2CB2FA3C" w:rsidR="005446F2" w:rsidRPr="00CA1729" w:rsidRDefault="00CA1729">
            <w:pPr>
              <w:spacing w:before="120" w:line="380" w:lineRule="exact"/>
              <w:rPr>
                <w:b/>
                <w:bCs/>
                <w:sz w:val="28"/>
                <w:szCs w:val="28"/>
              </w:rPr>
            </w:pPr>
            <w:r w:rsidRPr="00CA1729">
              <w:rPr>
                <w:b/>
                <w:bCs/>
                <w:sz w:val="28"/>
                <w:szCs w:val="28"/>
              </w:rPr>
              <w:t xml:space="preserve">VERSION PRÉLIMINAIRE </w:t>
            </w:r>
            <w:r>
              <w:rPr>
                <w:b/>
                <w:bCs/>
                <w:sz w:val="28"/>
                <w:szCs w:val="28"/>
              </w:rPr>
              <w:br/>
            </w:r>
            <w:r w:rsidRPr="00CA1729">
              <w:rPr>
                <w:b/>
                <w:bCs/>
                <w:sz w:val="28"/>
                <w:szCs w:val="28"/>
              </w:rPr>
              <w:t>NON RÉVISÉE</w:t>
            </w:r>
          </w:p>
        </w:tc>
        <w:tc>
          <w:tcPr>
            <w:tcW w:w="2835" w:type="dxa"/>
            <w:tcBorders>
              <w:top w:val="single" w:sz="4" w:space="0" w:color="auto"/>
              <w:bottom w:val="single" w:sz="12" w:space="0" w:color="auto"/>
            </w:tcBorders>
          </w:tcPr>
          <w:p w14:paraId="35AD33F6" w14:textId="77777777" w:rsidR="005446F2" w:rsidRDefault="003125DC">
            <w:pPr>
              <w:suppressAutoHyphens w:val="0"/>
              <w:spacing w:before="240" w:line="240" w:lineRule="exact"/>
            </w:pPr>
            <w:proofErr w:type="spellStart"/>
            <w:r>
              <w:t>Distr</w:t>
            </w:r>
            <w:proofErr w:type="spellEnd"/>
            <w:r>
              <w:t xml:space="preserve">. </w:t>
            </w:r>
            <w:proofErr w:type="gramStart"/>
            <w:r>
              <w:t>générale</w:t>
            </w:r>
            <w:proofErr w:type="gramEnd"/>
          </w:p>
          <w:p w14:paraId="50AF2A6D" w14:textId="2AF53090" w:rsidR="005446F2" w:rsidRDefault="00760C05">
            <w:pPr>
              <w:suppressAutoHyphens w:val="0"/>
            </w:pPr>
            <w:r>
              <w:t>1</w:t>
            </w:r>
            <w:r w:rsidR="00AC214C">
              <w:t>6</w:t>
            </w:r>
            <w:r>
              <w:t xml:space="preserve"> décembre 2025</w:t>
            </w:r>
          </w:p>
          <w:p w14:paraId="6AFB6B11" w14:textId="77777777" w:rsidR="005446F2" w:rsidRDefault="005446F2">
            <w:pPr>
              <w:suppressAutoHyphens w:val="0"/>
            </w:pPr>
          </w:p>
          <w:p w14:paraId="4A47525A" w14:textId="77777777" w:rsidR="005446F2" w:rsidRDefault="003125DC" w:rsidP="000D0237">
            <w:pPr>
              <w:suppressAutoHyphens w:val="0"/>
            </w:pPr>
            <w:proofErr w:type="gramStart"/>
            <w:r>
              <w:t>Original</w:t>
            </w:r>
            <w:r w:rsidR="0046692C">
              <w:t>:</w:t>
            </w:r>
            <w:proofErr w:type="gramEnd"/>
            <w:r w:rsidR="0044331C">
              <w:t xml:space="preserve"> français</w:t>
            </w:r>
          </w:p>
          <w:p w14:paraId="2D2F252E" w14:textId="77777777" w:rsidR="00115195" w:rsidRDefault="00115195" w:rsidP="000D0237">
            <w:pPr>
              <w:suppressAutoHyphens w:val="0"/>
            </w:pPr>
            <w:r>
              <w:t>Anglais, français, espagnol</w:t>
            </w:r>
          </w:p>
        </w:tc>
      </w:tr>
    </w:tbl>
    <w:p w14:paraId="431EE2A9" w14:textId="77777777" w:rsidR="005446F2" w:rsidRDefault="003125D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4A8F3F68" w14:textId="2DA28DBC" w:rsidR="00CE418E" w:rsidRPr="00C54F2D" w:rsidRDefault="003125DC" w:rsidP="00CE418E">
      <w:pPr>
        <w:pStyle w:val="HMG"/>
      </w:pPr>
      <w:r>
        <w:tab/>
      </w:r>
      <w:r>
        <w:tab/>
      </w:r>
      <w:r w:rsidR="00CE418E">
        <w:t>R</w:t>
      </w:r>
      <w:r w:rsidR="00CE418E" w:rsidRPr="00115195">
        <w:t xml:space="preserve">apport </w:t>
      </w:r>
      <w:r w:rsidR="00CE418E">
        <w:t>valant t</w:t>
      </w:r>
      <w:r w:rsidR="00AB1CC0">
        <w:t>reiz</w:t>
      </w:r>
      <w:r w:rsidR="00CE418E">
        <w:t>ième</w:t>
      </w:r>
      <w:r w:rsidR="00677BB4">
        <w:t xml:space="preserve"> </w:t>
      </w:r>
      <w:proofErr w:type="gramStart"/>
      <w:r w:rsidR="00677BB4">
        <w:t>au</w:t>
      </w:r>
      <w:r w:rsidR="00CE418E">
        <w:t xml:space="preserve"> </w:t>
      </w:r>
      <w:r w:rsidR="00340002">
        <w:t xml:space="preserve">seizième </w:t>
      </w:r>
      <w:r w:rsidR="00CE418E" w:rsidRPr="00115195">
        <w:t>rapport</w:t>
      </w:r>
      <w:r w:rsidR="00CE418E">
        <w:t>s</w:t>
      </w:r>
      <w:r w:rsidR="00CE418E" w:rsidRPr="00115195">
        <w:t xml:space="preserve"> périodique</w:t>
      </w:r>
      <w:proofErr w:type="gramEnd"/>
      <w:r w:rsidR="00CE418E">
        <w:t xml:space="preserve"> soumis par </w:t>
      </w:r>
      <w:r w:rsidR="00F10FFC">
        <w:t>la Suisse</w:t>
      </w:r>
      <w:r w:rsidR="00CE418E">
        <w:t xml:space="preserve"> en application de l’article 9 de la Convention, attendu en 20</w:t>
      </w:r>
      <w:r w:rsidR="00383C1A">
        <w:t>25</w:t>
      </w:r>
      <w:r w:rsidR="00CE418E">
        <w:rPr>
          <w:rStyle w:val="FootnoteReference"/>
          <w:b w:val="0"/>
          <w:sz w:val="20"/>
          <w:vertAlign w:val="baseline"/>
        </w:rPr>
        <w:footnoteReference w:customMarkFollows="1" w:id="2"/>
        <w:t>*</w:t>
      </w:r>
      <w:r w:rsidR="005E76E3">
        <w:rPr>
          <w:b w:val="0"/>
          <w:sz w:val="20"/>
        </w:rPr>
        <w:t xml:space="preserve"> </w:t>
      </w:r>
      <w:r w:rsidR="005E76E3" w:rsidRPr="005E76E3">
        <w:rPr>
          <w:rStyle w:val="FootnoteReference"/>
          <w:b w:val="0"/>
          <w:sz w:val="20"/>
          <w:vertAlign w:val="baseline"/>
        </w:rPr>
        <w:footnoteReference w:customMarkFollows="1" w:id="3"/>
        <w:t>**</w:t>
      </w:r>
    </w:p>
    <w:p w14:paraId="748047E7" w14:textId="647633A0" w:rsidR="00CE418E" w:rsidRDefault="00CE418E" w:rsidP="00CE418E">
      <w:pPr>
        <w:pStyle w:val="SingleTxtG"/>
        <w:jc w:val="right"/>
      </w:pPr>
      <w:r>
        <w:t xml:space="preserve">[Date de </w:t>
      </w:r>
      <w:proofErr w:type="gramStart"/>
      <w:r>
        <w:t>réception:</w:t>
      </w:r>
      <w:proofErr w:type="gramEnd"/>
      <w:r>
        <w:rPr>
          <w:color w:val="FF0000"/>
        </w:rPr>
        <w:t xml:space="preserve"> </w:t>
      </w:r>
      <w:r w:rsidR="00760C05" w:rsidRPr="00533F43">
        <w:t>15 d</w:t>
      </w:r>
      <w:r w:rsidR="00533F43" w:rsidRPr="00533F43">
        <w:t>écembre 2025</w:t>
      </w:r>
      <w:r w:rsidRPr="00533F43">
        <w:t>]</w:t>
      </w:r>
    </w:p>
    <w:p w14:paraId="785361ED" w14:textId="77777777" w:rsidR="00CE418E" w:rsidRDefault="00CE418E" w:rsidP="00CE418E">
      <w:pPr>
        <w:suppressAutoHyphens w:val="0"/>
        <w:kinsoku/>
        <w:overflowPunct/>
        <w:autoSpaceDE/>
        <w:autoSpaceDN/>
        <w:adjustRightInd/>
        <w:snapToGrid/>
        <w:spacing w:after="200" w:line="276" w:lineRule="auto"/>
      </w:pPr>
      <w:r>
        <w:br w:type="page"/>
      </w:r>
    </w:p>
    <w:p w14:paraId="6384ADCE" w14:textId="77777777" w:rsidR="00A454AE" w:rsidRPr="00E20A1E" w:rsidRDefault="00CE418E" w:rsidP="00753414">
      <w:pPr>
        <w:pStyle w:val="HChG"/>
      </w:pPr>
      <w:r>
        <w:lastRenderedPageBreak/>
        <w:tab/>
      </w:r>
      <w:r>
        <w:tab/>
      </w:r>
      <w:bookmarkStart w:id="0" w:name="_Toc216340604"/>
      <w:r w:rsidR="00A454AE" w:rsidRPr="00E20A1E">
        <w:t>Introduction</w:t>
      </w:r>
      <w:bookmarkEnd w:id="0"/>
    </w:p>
    <w:p w14:paraId="740C9C9D"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Dans ses observations finales</w:t>
      </w:r>
      <w:r>
        <w:t xml:space="preserve"> </w:t>
      </w:r>
      <w:r w:rsidRPr="00280036">
        <w:t>concernant le rapport de la Suisse valant dixième à douzième rapports périodiques</w:t>
      </w:r>
      <w:r w:rsidRPr="00E20A1E">
        <w:t>, le Comité de l</w:t>
      </w:r>
      <w:r>
        <w:t>’</w:t>
      </w:r>
      <w:r w:rsidRPr="00E20A1E">
        <w:t>ONU pour l</w:t>
      </w:r>
      <w:r>
        <w:t>’</w:t>
      </w:r>
      <w:r w:rsidRPr="00E20A1E">
        <w:t>élimination de la discrimination raciale a recommandé à la Suisse de présenter</w:t>
      </w:r>
      <w:r>
        <w:t>,</w:t>
      </w:r>
      <w:r w:rsidRPr="00E20A1E">
        <w:t xml:space="preserve"> </w:t>
      </w:r>
      <w:r>
        <w:t>d’ici au</w:t>
      </w:r>
      <w:r w:rsidRPr="00E20A1E">
        <w:t xml:space="preserve"> 29 décembre 2025</w:t>
      </w:r>
      <w:r>
        <w:t xml:space="preserve">, </w:t>
      </w:r>
      <w:proofErr w:type="gramStart"/>
      <w:r w:rsidRPr="00E20A1E">
        <w:t>ses treizième</w:t>
      </w:r>
      <w:proofErr w:type="gramEnd"/>
      <w:r w:rsidRPr="00E20A1E">
        <w:t xml:space="preserve"> à seizième rapports sous la forme d</w:t>
      </w:r>
      <w:r>
        <w:t>’</w:t>
      </w:r>
      <w:r w:rsidRPr="00E20A1E">
        <w:t>un seul et même document</w:t>
      </w:r>
      <w:r w:rsidRPr="00E20A1E">
        <w:rPr>
          <w:rStyle w:val="FootnoteReference"/>
        </w:rPr>
        <w:footnoteReference w:id="4"/>
      </w:r>
      <w:r w:rsidRPr="00E20A1E">
        <w:t>.</w:t>
      </w:r>
      <w:r w:rsidRPr="00E20A1E">
        <w:rPr>
          <w:vertAlign w:val="superscript"/>
        </w:rPr>
        <w:t xml:space="preserve"> </w:t>
      </w:r>
    </w:p>
    <w:p w14:paraId="22E118A4"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Le présent document couvre la période comprise entre </w:t>
      </w:r>
      <w:r w:rsidRPr="00E20A1E">
        <w:rPr>
          <w:b/>
          <w:bCs/>
        </w:rPr>
        <w:t>novembre 2021 et septembre 2025</w:t>
      </w:r>
      <w:r w:rsidRPr="00E20A1E">
        <w:t>. Les données statistiques s</w:t>
      </w:r>
      <w:r>
        <w:t>’</w:t>
      </w:r>
      <w:r w:rsidRPr="00E20A1E">
        <w:t>arrêtent à la fin décembre 2024. Les données ne présentant pas de changement par rapport à une période antérieure font l</w:t>
      </w:r>
      <w:r>
        <w:t>’</w:t>
      </w:r>
      <w:r w:rsidRPr="00E20A1E">
        <w:t>objet d</w:t>
      </w:r>
      <w:r>
        <w:t>’</w:t>
      </w:r>
      <w:r w:rsidRPr="00E20A1E">
        <w:t>un renvoi au rapport correspondant.</w:t>
      </w:r>
    </w:p>
    <w:p w14:paraId="307B0ABE"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Le présent rapport a été établi par le Service de lutte contre le racisme (SLR) du Département fédéral de l</w:t>
      </w:r>
      <w:r>
        <w:t>’</w:t>
      </w:r>
      <w:r w:rsidRPr="00E20A1E">
        <w:t>intérieur (DFI). Les autres services concernés de l</w:t>
      </w:r>
      <w:r>
        <w:t>’</w:t>
      </w:r>
      <w:r w:rsidRPr="00E20A1E">
        <w:t>administration fédérale ont été invités à donner leur avis dans le cadre de la procédure de consultation des offices. La Commission fédérale contre le racisme (CFR) et la Commission fédérale des migrations (CFM) ainsi que les organisations engagées dans la lutte contre la discrimination raciale ont eu la possibilité de prendre position sur les recommandations.</w:t>
      </w:r>
    </w:p>
    <w:p w14:paraId="7B57F994"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Le rapport est publié en français et en allemand. Il peut être consulté sur le site Internet du SLR </w:t>
      </w:r>
      <w:r>
        <w:t xml:space="preserve">et sur celui du </w:t>
      </w:r>
      <w:r w:rsidRPr="00E20A1E">
        <w:t xml:space="preserve">Département fédéral des affaires étrangères </w:t>
      </w:r>
      <w:r>
        <w:t>(DFAE)</w:t>
      </w:r>
      <w:r w:rsidRPr="00E20A1E">
        <w:t>.</w:t>
      </w:r>
    </w:p>
    <w:p w14:paraId="790EABCE" w14:textId="778AFDB2" w:rsidR="00A454AE" w:rsidRPr="00E20A1E" w:rsidRDefault="00753414" w:rsidP="00753414">
      <w:pPr>
        <w:pStyle w:val="HChG"/>
      </w:pPr>
      <w:bookmarkStart w:id="1" w:name="_Toc340158099"/>
      <w:bookmarkStart w:id="2" w:name="_Toc340158294"/>
      <w:bookmarkStart w:id="3" w:name="_Toc530069727"/>
      <w:bookmarkStart w:id="4" w:name="_Toc216340605"/>
      <w:r>
        <w:tab/>
      </w:r>
      <w:r>
        <w:tab/>
      </w:r>
      <w:r w:rsidR="00A454AE" w:rsidRPr="00E20A1E">
        <w:t>Première partie :</w:t>
      </w:r>
      <w:bookmarkStart w:id="5" w:name="_Toc477524874"/>
      <w:bookmarkStart w:id="6" w:name="_Toc477525146"/>
      <w:r w:rsidR="00A454AE" w:rsidRPr="00E20A1E">
        <w:t xml:space="preserve"> </w:t>
      </w:r>
      <w:r w:rsidR="00A454AE">
        <w:t>i</w:t>
      </w:r>
      <w:r w:rsidR="00A454AE" w:rsidRPr="00E20A1E">
        <w:t>nformations générales</w:t>
      </w:r>
      <w:bookmarkEnd w:id="1"/>
      <w:bookmarkEnd w:id="2"/>
      <w:bookmarkEnd w:id="3"/>
      <w:bookmarkEnd w:id="4"/>
      <w:bookmarkEnd w:id="5"/>
      <w:bookmarkEnd w:id="6"/>
    </w:p>
    <w:p w14:paraId="42E20695"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La première partie fournit des indications générales sur le développement du droit interne et donne un aperçu de la politique actuellement menée par les autorités suisses pour lutter contre toutes les formes de discrimination raciale. </w:t>
      </w:r>
    </w:p>
    <w:p w14:paraId="742348A2" w14:textId="365490A0" w:rsidR="00A454AE" w:rsidRPr="00E20A1E" w:rsidRDefault="00A454AE" w:rsidP="00416AA4">
      <w:pPr>
        <w:pStyle w:val="H1G"/>
      </w:pPr>
      <w:bookmarkStart w:id="7" w:name="_Toc530069728"/>
      <w:bookmarkStart w:id="8" w:name="_Toc340158108"/>
      <w:bookmarkStart w:id="9" w:name="_Toc340158296"/>
      <w:r w:rsidRPr="00E20A1E">
        <w:t xml:space="preserve"> </w:t>
      </w:r>
      <w:bookmarkStart w:id="10" w:name="_Toc216340606"/>
      <w:r w:rsidR="00416AA4">
        <w:tab/>
        <w:t>1.</w:t>
      </w:r>
      <w:r w:rsidR="00416AA4">
        <w:tab/>
      </w:r>
      <w:r w:rsidRPr="00E20A1E">
        <w:t>Évolution de la population en Suisse</w:t>
      </w:r>
      <w:bookmarkEnd w:id="7"/>
      <w:bookmarkEnd w:id="10"/>
    </w:p>
    <w:p w14:paraId="08A66C23" w14:textId="77777777" w:rsidR="00A454AE" w:rsidRPr="00E20A1E" w:rsidRDefault="00A454AE" w:rsidP="00753414">
      <w:pPr>
        <w:pStyle w:val="SingleTxtG"/>
        <w:numPr>
          <w:ilvl w:val="0"/>
          <w:numId w:val="43"/>
        </w:numPr>
        <w:kinsoku/>
        <w:overflowPunct/>
        <w:autoSpaceDE/>
        <w:autoSpaceDN/>
        <w:adjustRightInd/>
        <w:snapToGrid/>
        <w:ind w:left="1134" w:firstLine="0"/>
        <w:rPr>
          <w:spacing w:val="-2"/>
        </w:rPr>
      </w:pPr>
      <w:r w:rsidRPr="00E20A1E">
        <w:rPr>
          <w:spacing w:val="-2"/>
        </w:rPr>
        <w:t xml:space="preserve">Les informations relatives à ce chapitre se trouvent dans le </w:t>
      </w:r>
      <w:r>
        <w:rPr>
          <w:spacing w:val="-2"/>
        </w:rPr>
        <w:t>d</w:t>
      </w:r>
      <w:r w:rsidRPr="00E20A1E">
        <w:rPr>
          <w:spacing w:val="-2"/>
        </w:rPr>
        <w:t>ocument de base commun faisant partie intégrante des rapports de la Suisse (</w:t>
      </w:r>
      <w:r w:rsidRPr="00BC1412">
        <w:rPr>
          <w:i/>
          <w:iCs/>
          <w:spacing w:val="-2"/>
        </w:rPr>
        <w:t xml:space="preserve">Common </w:t>
      </w:r>
      <w:proofErr w:type="spellStart"/>
      <w:r w:rsidRPr="00BC1412">
        <w:rPr>
          <w:i/>
          <w:iCs/>
          <w:spacing w:val="-2"/>
        </w:rPr>
        <w:t>Core</w:t>
      </w:r>
      <w:proofErr w:type="spellEnd"/>
      <w:r w:rsidRPr="00BC1412">
        <w:rPr>
          <w:i/>
          <w:iCs/>
          <w:spacing w:val="-2"/>
        </w:rPr>
        <w:t xml:space="preserve"> Document</w:t>
      </w:r>
      <w:r w:rsidRPr="00E20A1E">
        <w:rPr>
          <w:spacing w:val="-2"/>
        </w:rPr>
        <w:t>, ch.</w:t>
      </w:r>
      <w:r>
        <w:rPr>
          <w:spacing w:val="-2"/>
        </w:rPr>
        <w:t> </w:t>
      </w:r>
      <w:r w:rsidRPr="00E20A1E">
        <w:rPr>
          <w:spacing w:val="-2"/>
        </w:rPr>
        <w:t>II,</w:t>
      </w:r>
      <w:r>
        <w:rPr>
          <w:spacing w:val="-2"/>
        </w:rPr>
        <w:t> </w:t>
      </w:r>
      <w:r w:rsidRPr="00E20A1E">
        <w:rPr>
          <w:spacing w:val="-2"/>
        </w:rPr>
        <w:t>A,</w:t>
      </w:r>
      <w:r>
        <w:rPr>
          <w:spacing w:val="-2"/>
        </w:rPr>
        <w:t> </w:t>
      </w:r>
      <w:r w:rsidRPr="00E20A1E">
        <w:rPr>
          <w:spacing w:val="-2"/>
        </w:rPr>
        <w:t>3).</w:t>
      </w:r>
    </w:p>
    <w:p w14:paraId="738F22CC" w14:textId="3C92823D" w:rsidR="00A454AE" w:rsidRPr="00E20A1E" w:rsidRDefault="00416AA4" w:rsidP="00416AA4">
      <w:pPr>
        <w:pStyle w:val="H1G"/>
      </w:pPr>
      <w:bookmarkStart w:id="11" w:name="_Toc530069729"/>
      <w:bookmarkStart w:id="12" w:name="_Toc216340607"/>
      <w:r>
        <w:tab/>
        <w:t>2.</w:t>
      </w:r>
      <w:r>
        <w:tab/>
      </w:r>
      <w:r w:rsidR="00A454AE" w:rsidRPr="00E20A1E">
        <w:t xml:space="preserve">Bases constitutionnelles et </w:t>
      </w:r>
      <w:bookmarkEnd w:id="8"/>
      <w:bookmarkEnd w:id="9"/>
      <w:r w:rsidR="00A454AE" w:rsidRPr="00E20A1E">
        <w:t>légales</w:t>
      </w:r>
      <w:bookmarkEnd w:id="11"/>
      <w:bookmarkEnd w:id="12"/>
    </w:p>
    <w:p w14:paraId="5536F321"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Les principales bases constitutionnelles et légales de la lutte contre le racisme ayant déjà été abordées dans les rapports précédents, le présent chapitre ne mentionnera que succinctement les révisions et les nouveautés intervenues dans l</w:t>
      </w:r>
      <w:r>
        <w:t>’</w:t>
      </w:r>
      <w:r w:rsidRPr="00E20A1E">
        <w:t xml:space="preserve">intervalle. Les développements importants sont détaillés dans la deuxième partie. </w:t>
      </w:r>
    </w:p>
    <w:p w14:paraId="381A1F1E" w14:textId="5FD15B2B" w:rsidR="00A454AE" w:rsidRPr="00416AA4" w:rsidRDefault="00E96389" w:rsidP="00E96389">
      <w:pPr>
        <w:pStyle w:val="H1G"/>
      </w:pPr>
      <w:bookmarkStart w:id="13" w:name="_Toc530069730"/>
      <w:r>
        <w:rPr>
          <w:rStyle w:val="Heading2Char"/>
        </w:rPr>
        <w:tab/>
        <w:t>A.</w:t>
      </w:r>
      <w:r>
        <w:rPr>
          <w:rStyle w:val="Heading2Char"/>
        </w:rPr>
        <w:tab/>
      </w:r>
      <w:r w:rsidR="00A454AE" w:rsidRPr="00416AA4">
        <w:rPr>
          <w:rStyle w:val="Heading2Char"/>
          <w:sz w:val="24"/>
        </w:rPr>
        <w:t>Nouveautés importantes au niveau constitutionnel</w:t>
      </w:r>
      <w:bookmarkEnd w:id="13"/>
      <w:r w:rsidR="00A454AE" w:rsidRPr="00416AA4">
        <w:rPr>
          <w:rStyle w:val="Heading2Char"/>
          <w:sz w:val="24"/>
        </w:rPr>
        <w:t xml:space="preserve"> </w:t>
      </w:r>
    </w:p>
    <w:p w14:paraId="5D288B7A" w14:textId="77777777" w:rsidR="00A454AE" w:rsidRPr="00362514" w:rsidRDefault="00A454AE" w:rsidP="00753414">
      <w:pPr>
        <w:pStyle w:val="SingleTxtG"/>
        <w:numPr>
          <w:ilvl w:val="0"/>
          <w:numId w:val="43"/>
        </w:numPr>
        <w:kinsoku/>
        <w:overflowPunct/>
        <w:autoSpaceDE/>
        <w:autoSpaceDN/>
        <w:adjustRightInd/>
        <w:snapToGrid/>
        <w:ind w:left="1134" w:firstLine="0"/>
      </w:pPr>
      <w:r w:rsidRPr="006A1616">
        <w:t>En octobre 2017, le Comité d</w:t>
      </w:r>
      <w:r>
        <w:t>’</w:t>
      </w:r>
      <w:proofErr w:type="spellStart"/>
      <w:r w:rsidRPr="006A1616">
        <w:t>Egerkingen</w:t>
      </w:r>
      <w:proofErr w:type="spellEnd"/>
      <w:r w:rsidRPr="006A1616">
        <w:t xml:space="preserve"> a déposé l</w:t>
      </w:r>
      <w:r>
        <w:t>’</w:t>
      </w:r>
      <w:r w:rsidRPr="006A1616">
        <w:t>initiative populaire «</w:t>
      </w:r>
      <w:r>
        <w:t> </w:t>
      </w:r>
      <w:r w:rsidRPr="006A1616">
        <w:t>Oui à l</w:t>
      </w:r>
      <w:r>
        <w:t>’</w:t>
      </w:r>
      <w:r w:rsidRPr="006A1616">
        <w:t>interdiction de se dissimuler le visage</w:t>
      </w:r>
      <w:r>
        <w:t> </w:t>
      </w:r>
      <w:r w:rsidRPr="006A1616">
        <w:t>». Acceptée par le peuple et les cantons le 7 mars 2021, cette initiative a conduit à l</w:t>
      </w:r>
      <w:r>
        <w:t>’</w:t>
      </w:r>
      <w:r w:rsidRPr="006A1616">
        <w:t>introduction, dans la Constitution fédérale, d</w:t>
      </w:r>
      <w:r>
        <w:t>’</w:t>
      </w:r>
      <w:r w:rsidRPr="006A1616">
        <w:t>une interdiction de se dissimuler le visage dans l</w:t>
      </w:r>
      <w:r>
        <w:t>’</w:t>
      </w:r>
      <w:r w:rsidRPr="006A1616">
        <w:t>espace public et dans les lieux accessibles au public, à l</w:t>
      </w:r>
      <w:r>
        <w:t>’</w:t>
      </w:r>
      <w:r w:rsidRPr="006A1616">
        <w:t>exception des lieux de culte (art.</w:t>
      </w:r>
      <w:r>
        <w:t> </w:t>
      </w:r>
      <w:r w:rsidRPr="006A1616">
        <w:t>10</w:t>
      </w:r>
      <w:r w:rsidRPr="006A1616">
        <w:rPr>
          <w:i/>
        </w:rPr>
        <w:t>a</w:t>
      </w:r>
      <w:r w:rsidRPr="006A1616">
        <w:t>, al. 1, Cst.</w:t>
      </w:r>
      <w:r>
        <w:t xml:space="preserve">, </w:t>
      </w:r>
      <w:r w:rsidRPr="006A1616">
        <w:t>RS </w:t>
      </w:r>
      <w:r>
        <w:rPr>
          <w:i/>
        </w:rPr>
        <w:t>101</w:t>
      </w:r>
      <w:r w:rsidRPr="006A1616">
        <w:t>). L</w:t>
      </w:r>
      <w:r>
        <w:t>’</w:t>
      </w:r>
      <w:r w:rsidRPr="006A1616">
        <w:t>alinéa 2 de cet article interdit en outre de contraindre une personne à se dissimuler le visage en raison de son sexe. Quant à l</w:t>
      </w:r>
      <w:r>
        <w:t>’</w:t>
      </w:r>
      <w:r w:rsidRPr="006A1616">
        <w:t>alinéa 3, il prévoit des exceptions</w:t>
      </w:r>
      <w:r>
        <w:t xml:space="preserve">, justifiables uniquement </w:t>
      </w:r>
      <w:r w:rsidRPr="006A1616">
        <w:t>par des raisons de santé ou de sécurité, par des raisons climatiques ou par des coutumes locales. Cette nouvelle disposition constitutionnelle a été mise en œuvre dans la loi fédérale du 29 septembre 2023 sur l</w:t>
      </w:r>
      <w:r>
        <w:t>’</w:t>
      </w:r>
      <w:r w:rsidRPr="006A1616">
        <w:t>interdiction de se dissimuler le visage (LIDV ; RS </w:t>
      </w:r>
      <w:r w:rsidRPr="006A1616">
        <w:rPr>
          <w:i/>
        </w:rPr>
        <w:t>311.6</w:t>
      </w:r>
      <w:r w:rsidRPr="006A1616">
        <w:t>), entrée en vigueur le 1</w:t>
      </w:r>
      <w:r w:rsidRPr="006A1616">
        <w:rPr>
          <w:vertAlign w:val="superscript"/>
        </w:rPr>
        <w:t>er</w:t>
      </w:r>
      <w:r w:rsidRPr="006A1616">
        <w:t> janvier 2025. Celle-ci prévoit une amende pouvant aller jusqu</w:t>
      </w:r>
      <w:r>
        <w:t>’</w:t>
      </w:r>
      <w:r w:rsidRPr="006A1616">
        <w:t xml:space="preserve">à 1000 francs en cas de contravention. </w:t>
      </w:r>
      <w:r w:rsidRPr="00362514">
        <w:t xml:space="preserve">La procédure d'amende d'ordre a également été introduite. Conformément au chiffre </w:t>
      </w:r>
      <w:proofErr w:type="spellStart"/>
      <w:r w:rsidRPr="00362514">
        <w:t>III</w:t>
      </w:r>
      <w:r w:rsidRPr="00362514">
        <w:rPr>
          <w:vertAlign w:val="superscript"/>
        </w:rPr>
        <w:t>bis</w:t>
      </w:r>
      <w:proofErr w:type="spellEnd"/>
      <w:r w:rsidRPr="00362514">
        <w:t xml:space="preserve"> de la liste des amendes 2 figurant à l'annexe 1 de l'ordonnance sur les amendes </w:t>
      </w:r>
      <w:r w:rsidRPr="00362514">
        <w:lastRenderedPageBreak/>
        <w:t>d'ordre (RS 314.11), l'amende infligée en cas d'infraction traitée dans le cadre de cette procédure s'élève à 100 francs.</w:t>
      </w:r>
    </w:p>
    <w:p w14:paraId="777BAF65" w14:textId="3253D2D4" w:rsidR="00A454AE" w:rsidRPr="00E20A1E" w:rsidRDefault="00A454AE" w:rsidP="00E96389">
      <w:pPr>
        <w:pStyle w:val="H23G"/>
        <w:rPr>
          <w:rStyle w:val="Heading2Char"/>
        </w:rPr>
      </w:pPr>
      <w:bookmarkStart w:id="14" w:name="_Toc530069731"/>
      <w:r w:rsidRPr="001C1BB9">
        <w:rPr>
          <w:rStyle w:val="Heading2Char"/>
        </w:rPr>
        <w:tab/>
      </w:r>
      <w:r w:rsidR="00663174">
        <w:rPr>
          <w:rStyle w:val="Heading2Char"/>
        </w:rPr>
        <w:t>B.</w:t>
      </w:r>
      <w:r w:rsidR="00663174">
        <w:rPr>
          <w:rStyle w:val="Heading2Char"/>
        </w:rPr>
        <w:tab/>
      </w:r>
      <w:r w:rsidRPr="00E20A1E">
        <w:rPr>
          <w:rStyle w:val="Heading2Char"/>
        </w:rPr>
        <w:tab/>
      </w:r>
      <w:r w:rsidRPr="00E96389">
        <w:t>Nouveautés importantes au niveau légal</w:t>
      </w:r>
      <w:bookmarkEnd w:id="14"/>
      <w:r w:rsidRPr="00E20A1E">
        <w:rPr>
          <w:rStyle w:val="Heading2Char"/>
        </w:rPr>
        <w:t xml:space="preserve"> </w:t>
      </w:r>
    </w:p>
    <w:p w14:paraId="5F049AFE" w14:textId="77777777" w:rsidR="00A454AE" w:rsidRPr="00C41491" w:rsidRDefault="00A454AE" w:rsidP="00753414">
      <w:pPr>
        <w:pStyle w:val="SingleTxtG"/>
        <w:numPr>
          <w:ilvl w:val="0"/>
          <w:numId w:val="43"/>
        </w:numPr>
        <w:kinsoku/>
        <w:overflowPunct/>
        <w:autoSpaceDE/>
        <w:autoSpaceDN/>
        <w:adjustRightInd/>
        <w:snapToGrid/>
        <w:ind w:left="1134" w:firstLine="0"/>
      </w:pPr>
      <w:r w:rsidRPr="00C41491">
        <w:t>Le 9 février 2020, le peuple suisse a approuvé l</w:t>
      </w:r>
      <w:r>
        <w:t>’</w:t>
      </w:r>
      <w:r w:rsidRPr="00C41491">
        <w:t>extension de la norme pénale contre la discrimination (art. 261</w:t>
      </w:r>
      <w:r w:rsidRPr="00C41491">
        <w:rPr>
          <w:vertAlign w:val="superscript"/>
        </w:rPr>
        <w:t>bis</w:t>
      </w:r>
      <w:r w:rsidRPr="00C41491">
        <w:t> CP</w:t>
      </w:r>
      <w:r>
        <w:t xml:space="preserve"> et </w:t>
      </w:r>
      <w:r w:rsidRPr="00C41491">
        <w:t>art. </w:t>
      </w:r>
      <w:r>
        <w:t>171c</w:t>
      </w:r>
      <w:r w:rsidRPr="00C41491">
        <w:t> CP</w:t>
      </w:r>
      <w:r>
        <w:t>M</w:t>
      </w:r>
      <w:r w:rsidRPr="00C41491">
        <w:t>) par 63,1 % des voix. Celle-ci inclut désormais les incitations publiques à la haine ou à la discrimination fondées sur l</w:t>
      </w:r>
      <w:r>
        <w:t>’</w:t>
      </w:r>
      <w:r w:rsidRPr="00C41491">
        <w:t>orientation sexuelle. Cette modification, annoncée dans le dernier rapport de la Suisse en 2018, est entrée en vigueur le 1</w:t>
      </w:r>
      <w:r w:rsidRPr="00C41491">
        <w:rPr>
          <w:vertAlign w:val="superscript"/>
        </w:rPr>
        <w:t>er</w:t>
      </w:r>
      <w:r w:rsidRPr="00C41491">
        <w:t> juillet 2020. Selon la Statistique policière de la criminalité, en 2024, les autorités ont enregistré 67 infractions liées</w:t>
      </w:r>
      <w:r>
        <w:t xml:space="preserve"> à</w:t>
      </w:r>
      <w:r w:rsidRPr="00C41491">
        <w:t xml:space="preserve"> </w:t>
      </w:r>
      <w:r>
        <w:t>des actes de discrimination fondée sur</w:t>
      </w:r>
      <w:r w:rsidRPr="00C41491">
        <w:t xml:space="preserve"> l</w:t>
      </w:r>
      <w:r>
        <w:t>’</w:t>
      </w:r>
      <w:r w:rsidRPr="00C41491">
        <w:t>orientation sexuelle sur les 595 infractions relevant de l</w:t>
      </w:r>
      <w:r>
        <w:t>’</w:t>
      </w:r>
      <w:r w:rsidRPr="00C41491">
        <w:t>art</w:t>
      </w:r>
      <w:r>
        <w:t>. </w:t>
      </w:r>
      <w:r w:rsidRPr="00C41491">
        <w:t>261</w:t>
      </w:r>
      <w:r w:rsidRPr="00C41491">
        <w:rPr>
          <w:vertAlign w:val="superscript"/>
        </w:rPr>
        <w:t>bis</w:t>
      </w:r>
      <w:r w:rsidRPr="00C41491">
        <w:t> CP.</w:t>
      </w:r>
      <w:r>
        <w:rPr>
          <w:rStyle w:val="FootnoteReference"/>
        </w:rPr>
        <w:footnoteReference w:id="5"/>
      </w:r>
      <w:r w:rsidRPr="00C41491">
        <w:t xml:space="preserve"> À titre de comparaison, celles-ci se chiffraient à 45 sur un total de 401 infractions en 2023, à 29 sur 346</w:t>
      </w:r>
      <w:r>
        <w:t> </w:t>
      </w:r>
      <w:r w:rsidRPr="00C41491">
        <w:t>infractions en</w:t>
      </w:r>
      <w:r>
        <w:t> </w:t>
      </w:r>
      <w:r w:rsidRPr="00C41491">
        <w:t>2022 et à 27 sur 312 infractions en 2021.</w:t>
      </w:r>
    </w:p>
    <w:p w14:paraId="4EBAF24A" w14:textId="77777777" w:rsidR="00A454AE" w:rsidRPr="00D112DA" w:rsidRDefault="00A454AE" w:rsidP="00753414">
      <w:pPr>
        <w:pStyle w:val="SingleTxtG"/>
        <w:numPr>
          <w:ilvl w:val="0"/>
          <w:numId w:val="43"/>
        </w:numPr>
        <w:kinsoku/>
        <w:overflowPunct/>
        <w:autoSpaceDE/>
        <w:autoSpaceDN/>
        <w:adjustRightInd/>
        <w:snapToGrid/>
        <w:ind w:left="1134" w:firstLine="0"/>
      </w:pPr>
      <w:r>
        <w:t>Si la</w:t>
      </w:r>
      <w:r w:rsidRPr="00C41491">
        <w:t xml:space="preserve"> </w:t>
      </w:r>
      <w:r>
        <w:t>st</w:t>
      </w:r>
      <w:r w:rsidRPr="00C41491">
        <w:t>atistique suisse des condamnations pénales</w:t>
      </w:r>
      <w:r>
        <w:t xml:space="preserve"> </w:t>
      </w:r>
      <w:r w:rsidRPr="00C41491">
        <w:t>ne fournit</w:t>
      </w:r>
      <w:r>
        <w:t xml:space="preserve"> </w:t>
      </w:r>
      <w:r w:rsidRPr="00C41491">
        <w:t>pas de données spécifiques à ce sujet</w:t>
      </w:r>
      <w:r>
        <w:t>, f</w:t>
      </w:r>
      <w:r w:rsidRPr="00C41491">
        <w:t>aute de classification par catégorie de discrimination, les jugements relati</w:t>
      </w:r>
      <w:r>
        <w:t>fs</w:t>
      </w:r>
      <w:r w:rsidRPr="00C41491">
        <w:t xml:space="preserve"> à l</w:t>
      </w:r>
      <w:r>
        <w:t>’</w:t>
      </w:r>
      <w:r w:rsidRPr="00C41491">
        <w:t>art</w:t>
      </w:r>
      <w:r>
        <w:t>. </w:t>
      </w:r>
      <w:r w:rsidRPr="00C41491">
        <w:t>261</w:t>
      </w:r>
      <w:r w:rsidRPr="00C41491">
        <w:rPr>
          <w:vertAlign w:val="superscript"/>
        </w:rPr>
        <w:t>bis</w:t>
      </w:r>
      <w:r w:rsidRPr="00C41491">
        <w:t xml:space="preserve"> </w:t>
      </w:r>
      <w:r>
        <w:t>CP soit art. 171c CPM</w:t>
      </w:r>
      <w:r w:rsidRPr="00C41491">
        <w:t xml:space="preserve"> sont recensés dans le Recueil de cas juridiques tenu par la CF</w:t>
      </w:r>
      <w:r>
        <w:t>R</w:t>
      </w:r>
      <w:r w:rsidRPr="00C41491">
        <w:t>. Toutefois, ces cas ne font pas systématiquement l</w:t>
      </w:r>
      <w:r>
        <w:t>’</w:t>
      </w:r>
      <w:r w:rsidRPr="00C41491">
        <w:t>objet d</w:t>
      </w:r>
      <w:r>
        <w:t>’</w:t>
      </w:r>
      <w:r w:rsidRPr="00C41491">
        <w:t xml:space="preserve">une analyse statistique. Dans son </w:t>
      </w:r>
      <w:hyperlink r:id="rId11" w:history="1">
        <w:r w:rsidRPr="00CC3FA1">
          <w:rPr>
            <w:rStyle w:val="Hyperlink"/>
          </w:rPr>
          <w:t xml:space="preserve">arrêt </w:t>
        </w:r>
        <w:r w:rsidRPr="00CC3FA1">
          <w:rPr>
            <w:rStyle w:val="Hyperlink"/>
            <w:b/>
            <w:bCs/>
          </w:rPr>
          <w:t>6B_1323/</w:t>
        </w:r>
        <w:proofErr w:type="gramStart"/>
        <w:r w:rsidRPr="00CC3FA1">
          <w:rPr>
            <w:rStyle w:val="Hyperlink"/>
            <w:b/>
            <w:bCs/>
          </w:rPr>
          <w:t>2023</w:t>
        </w:r>
        <w:r w:rsidRPr="00CC3FA1">
          <w:rPr>
            <w:rStyle w:val="Hyperlink"/>
          </w:rPr>
          <w:t>  du</w:t>
        </w:r>
        <w:proofErr w:type="gramEnd"/>
        <w:r w:rsidRPr="00CC3FA1">
          <w:rPr>
            <w:rStyle w:val="Hyperlink"/>
          </w:rPr>
          <w:t xml:space="preserve"> 11 mars 2024</w:t>
        </w:r>
      </w:hyperlink>
      <w:r w:rsidRPr="00C41491">
        <w:t>, le Tribunal fédéral a confirmé pour la première fois une condamnation fondée sur la version élargie de l</w:t>
      </w:r>
      <w:r>
        <w:t>’</w:t>
      </w:r>
      <w:r w:rsidRPr="00C41491">
        <w:t>ar</w:t>
      </w:r>
      <w:r>
        <w:t>t</w:t>
      </w:r>
      <w:r w:rsidRPr="00D112DA">
        <w:t>. 261</w:t>
      </w:r>
      <w:r w:rsidRPr="00D112DA">
        <w:rPr>
          <w:vertAlign w:val="superscript"/>
        </w:rPr>
        <w:t>bis</w:t>
      </w:r>
      <w:r w:rsidRPr="00D112DA">
        <w:t> CP.</w:t>
      </w:r>
    </w:p>
    <w:p w14:paraId="74EDEFEC" w14:textId="77777777" w:rsidR="00A454AE" w:rsidRPr="00D112DA" w:rsidRDefault="00A454AE" w:rsidP="00753414">
      <w:pPr>
        <w:pStyle w:val="SingleTxtG"/>
        <w:numPr>
          <w:ilvl w:val="0"/>
          <w:numId w:val="43"/>
        </w:numPr>
        <w:kinsoku/>
        <w:overflowPunct/>
        <w:autoSpaceDE/>
        <w:autoSpaceDN/>
        <w:adjustRightInd/>
        <w:snapToGrid/>
        <w:ind w:left="1134" w:firstLine="0"/>
      </w:pPr>
      <w:bookmarkStart w:id="15" w:name="_Hlk199862277"/>
      <w:r w:rsidRPr="00D112DA">
        <w:t>En avril 2024, le Parlement a chargé le Conseil fédéral d</w:t>
      </w:r>
      <w:r>
        <w:t>’</w:t>
      </w:r>
      <w:r w:rsidRPr="00D112DA">
        <w:t>élaborer un projet de loi interdisant l</w:t>
      </w:r>
      <w:r>
        <w:t>’</w:t>
      </w:r>
      <w:r w:rsidRPr="00D112DA">
        <w:t>utilisation publique de symboles racistes, extrémistes ou faisant l</w:t>
      </w:r>
      <w:r>
        <w:t>’</w:t>
      </w:r>
      <w:r w:rsidRPr="00D112DA">
        <w:t>apologie de la violence, tels que les symboles nazis. Selon le droit en vigueur, ces symboles ne sont punissables que s</w:t>
      </w:r>
      <w:r>
        <w:t>’</w:t>
      </w:r>
      <w:r w:rsidRPr="00D112DA">
        <w:t>ils sont associés à une idéologie et propagés activement. Face à la recrudescence des incidents antisémites, le Conseil fédéral a proposé dans un premier temps une loi spéciale interdi</w:t>
      </w:r>
      <w:r>
        <w:t>sant</w:t>
      </w:r>
      <w:r w:rsidRPr="00D112DA">
        <w:t xml:space="preserve"> l</w:t>
      </w:r>
      <w:r>
        <w:t>’</w:t>
      </w:r>
      <w:r w:rsidRPr="00D112DA">
        <w:t>utilisation de symboles nazis. La procédure de consultation s</w:t>
      </w:r>
      <w:r>
        <w:t>’</w:t>
      </w:r>
      <w:r w:rsidRPr="00D112DA">
        <w:t>est achevée au printemps</w:t>
      </w:r>
      <w:r>
        <w:t> </w:t>
      </w:r>
      <w:r w:rsidRPr="00D112DA">
        <w:t>2025, et l</w:t>
      </w:r>
      <w:r>
        <w:t>e</w:t>
      </w:r>
      <w:r w:rsidRPr="00D112DA">
        <w:t xml:space="preserve"> </w:t>
      </w:r>
      <w:r w:rsidRPr="00800F4A">
        <w:t xml:space="preserve">message et le projet sont </w:t>
      </w:r>
      <w:proofErr w:type="gramStart"/>
      <w:r w:rsidRPr="00800F4A">
        <w:t xml:space="preserve">actuellement </w:t>
      </w:r>
      <w:r w:rsidRPr="00D112DA">
        <w:t>en cours</w:t>
      </w:r>
      <w:proofErr w:type="gramEnd"/>
      <w:r w:rsidRPr="00D112DA">
        <w:t xml:space="preserve"> de finalisation. </w:t>
      </w:r>
      <w:r w:rsidRPr="00D5066C">
        <w:t>Une éventuelle extension à d'autres symboles extrémistes interviendra dans un deuxième temps, conformément au mandat parlementaire.</w:t>
      </w:r>
      <w:r w:rsidRPr="00D112DA">
        <w:t xml:space="preserve"> </w:t>
      </w:r>
    </w:p>
    <w:p w14:paraId="671A3847" w14:textId="77777777" w:rsidR="00A454AE" w:rsidRPr="00E20A1E" w:rsidRDefault="00A454AE" w:rsidP="00753414">
      <w:pPr>
        <w:pStyle w:val="SingleTxtG"/>
        <w:numPr>
          <w:ilvl w:val="0"/>
          <w:numId w:val="43"/>
        </w:numPr>
        <w:kinsoku/>
        <w:overflowPunct/>
        <w:autoSpaceDE/>
        <w:autoSpaceDN/>
        <w:adjustRightInd/>
        <w:snapToGrid/>
        <w:ind w:left="1134" w:firstLine="0"/>
      </w:pPr>
      <w:r w:rsidRPr="000C16E6">
        <w:t xml:space="preserve">Le 29 octobre 2025, le Conseil fédéral a soumis à la consultation publique un projet de loi visant à réglementer les grandes </w:t>
      </w:r>
      <w:proofErr w:type="spellStart"/>
      <w:r w:rsidRPr="000C16E6">
        <w:t>plateformes</w:t>
      </w:r>
      <w:proofErr w:type="spellEnd"/>
      <w:r w:rsidRPr="000C16E6">
        <w:t xml:space="preserve"> de communication et les grands moteurs de recherche. La procédure de consultation sur ce projet de loi est ouverte jusqu’au 16 février 2026.</w:t>
      </w:r>
      <w:r w:rsidRPr="00E20A1E">
        <w:t xml:space="preserve"> </w:t>
      </w:r>
      <w:r w:rsidRPr="00FE2930">
        <w:t>(</w:t>
      </w:r>
      <w:proofErr w:type="gramStart"/>
      <w:r w:rsidRPr="00FE2930">
        <w:t>cf.</w:t>
      </w:r>
      <w:proofErr w:type="gramEnd"/>
      <w:r w:rsidRPr="00FE2930">
        <w:t xml:space="preserve"> ch</w:t>
      </w:r>
      <w:r>
        <w:t>. 73</w:t>
      </w:r>
      <w:r w:rsidRPr="00FE2930">
        <w:t>).</w:t>
      </w:r>
      <w:bookmarkEnd w:id="15"/>
    </w:p>
    <w:p w14:paraId="73EDEC42"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La modification du </w:t>
      </w:r>
      <w:r w:rsidRPr="00161A85">
        <w:t>code de procédure civile</w:t>
      </w:r>
      <w:r>
        <w:t xml:space="preserve"> (RS </w:t>
      </w:r>
      <w:r w:rsidRPr="00F40CA9">
        <w:rPr>
          <w:i/>
          <w:iCs/>
        </w:rPr>
        <w:t>272</w:t>
      </w:r>
      <w:r>
        <w:t>)</w:t>
      </w:r>
      <w:r w:rsidRPr="00E20A1E">
        <w:t xml:space="preserve">, adoptée le </w:t>
      </w:r>
      <w:r>
        <w:t>17 </w:t>
      </w:r>
      <w:r w:rsidRPr="00E20A1E">
        <w:t>mars 2023 et entrée en vigueur le 1</w:t>
      </w:r>
      <w:r w:rsidRPr="00BC1412">
        <w:rPr>
          <w:vertAlign w:val="superscript"/>
        </w:rPr>
        <w:t>er</w:t>
      </w:r>
      <w:r>
        <w:t> </w:t>
      </w:r>
      <w:r w:rsidRPr="00E20A1E">
        <w:t>janvier 2025, allège les frais de procédure</w:t>
      </w:r>
      <w:r>
        <w:t> </w:t>
      </w:r>
      <w:r w:rsidRPr="00E20A1E">
        <w:t>: l</w:t>
      </w:r>
      <w:r>
        <w:t>’</w:t>
      </w:r>
      <w:r w:rsidRPr="00E20A1E">
        <w:t>avance de frais est réduite de moitié l</w:t>
      </w:r>
      <w:r>
        <w:t>’</w:t>
      </w:r>
      <w:r w:rsidRPr="00E20A1E">
        <w:t>État</w:t>
      </w:r>
      <w:r>
        <w:t xml:space="preserve"> </w:t>
      </w:r>
      <w:r w:rsidRPr="00800F4A">
        <w:t xml:space="preserve">supporte le risque de recouvrement si la partie perdante ne paie </w:t>
      </w:r>
      <w:proofErr w:type="gramStart"/>
      <w:r w:rsidRPr="00800F4A">
        <w:t>pas</w:t>
      </w:r>
      <w:r w:rsidRPr="00E20A1E">
        <w:t>(</w:t>
      </w:r>
      <w:proofErr w:type="gramEnd"/>
      <w:r w:rsidRPr="00E20A1E">
        <w:t xml:space="preserve">cf. </w:t>
      </w:r>
      <w:r>
        <w:t>ch. 44</w:t>
      </w:r>
      <w:r w:rsidRPr="00E20A1E">
        <w:t>).</w:t>
      </w:r>
      <w:r>
        <w:rPr>
          <w:rStyle w:val="FootnoteReference"/>
        </w:rPr>
        <w:footnoteReference w:id="6"/>
      </w:r>
    </w:p>
    <w:p w14:paraId="098D9278" w14:textId="77777777" w:rsidR="00A454AE" w:rsidRPr="00BC1412" w:rsidRDefault="00A454AE" w:rsidP="00753414">
      <w:pPr>
        <w:pStyle w:val="SingleTxtG"/>
        <w:numPr>
          <w:ilvl w:val="0"/>
          <w:numId w:val="43"/>
        </w:numPr>
        <w:kinsoku/>
        <w:overflowPunct/>
        <w:autoSpaceDE/>
        <w:autoSpaceDN/>
        <w:adjustRightInd/>
        <w:snapToGrid/>
        <w:ind w:left="1134" w:firstLine="0"/>
      </w:pPr>
      <w:r w:rsidRPr="00E20A1E">
        <w:t xml:space="preserve">Les propositions concernant les </w:t>
      </w:r>
      <w:r w:rsidRPr="00BD56BF">
        <w:t>actions</w:t>
      </w:r>
      <w:r>
        <w:t xml:space="preserve"> en justice collectives</w:t>
      </w:r>
      <w:r w:rsidRPr="00E20A1E">
        <w:t xml:space="preserve"> ont été sorti</w:t>
      </w:r>
      <w:r>
        <w:t>e</w:t>
      </w:r>
      <w:r w:rsidRPr="00E20A1E">
        <w:t>s du projet et traitées séparément</w:t>
      </w:r>
      <w:r>
        <w:t xml:space="preserve"> (</w:t>
      </w:r>
      <w:hyperlink r:id="rId12" w:history="1">
        <w:r w:rsidRPr="00B45C5A">
          <w:rPr>
            <w:rStyle w:val="Hyperlink"/>
          </w:rPr>
          <w:t>objet du Conseil fédéral 21.082 « Code de procédure civile. Modification »</w:t>
        </w:r>
      </w:hyperlink>
      <w:r>
        <w:t>)</w:t>
      </w:r>
      <w:r w:rsidRPr="00E20A1E">
        <w:t>. Elles ont rencontré une forte résistance au Parlement, et le 17</w:t>
      </w:r>
      <w:r>
        <w:t> </w:t>
      </w:r>
      <w:r w:rsidRPr="00E20A1E">
        <w:t>mars 2025, le Conseil national a refusé d</w:t>
      </w:r>
      <w:r>
        <w:t>’</w:t>
      </w:r>
      <w:r w:rsidRPr="00E20A1E">
        <w:t>entrer en matière</w:t>
      </w:r>
      <w:r>
        <w:t>, suivi du Conseil des États le 15 septembre 2025</w:t>
      </w:r>
      <w:r w:rsidRPr="00E20A1E">
        <w:t xml:space="preserve">. La procédure parlementaire </w:t>
      </w:r>
      <w:r>
        <w:t>est donc terminée</w:t>
      </w:r>
      <w:r w:rsidRPr="00E20A1E">
        <w:t xml:space="preserve"> (cf</w:t>
      </w:r>
      <w:r w:rsidRPr="00FE1548">
        <w:t xml:space="preserve">. </w:t>
      </w:r>
      <w:r>
        <w:t>ch. 44</w:t>
      </w:r>
      <w:r w:rsidRPr="00E20A1E">
        <w:t xml:space="preserve">). </w:t>
      </w:r>
    </w:p>
    <w:p w14:paraId="1738CE0D" w14:textId="48F5A320" w:rsidR="00A454AE" w:rsidRPr="00E20A1E" w:rsidRDefault="00A454AE" w:rsidP="00F95041">
      <w:pPr>
        <w:pStyle w:val="H23G"/>
      </w:pPr>
      <w:bookmarkStart w:id="16" w:name="_Toc530069732"/>
      <w:r w:rsidRPr="00E20A1E">
        <w:rPr>
          <w:rStyle w:val="Heading2Char"/>
        </w:rPr>
        <w:tab/>
      </w:r>
      <w:r w:rsidR="00F95041">
        <w:rPr>
          <w:rStyle w:val="Heading2Char"/>
        </w:rPr>
        <w:t>C.</w:t>
      </w:r>
      <w:r w:rsidRPr="00E20A1E">
        <w:rPr>
          <w:rStyle w:val="Heading2Char"/>
        </w:rPr>
        <w:tab/>
      </w:r>
      <w:r w:rsidRPr="00F95041">
        <w:t>Nouveautés importantes au niveau cantonal</w:t>
      </w:r>
      <w:bookmarkEnd w:id="16"/>
      <w:r w:rsidRPr="00E20A1E">
        <w:t xml:space="preserve"> </w:t>
      </w:r>
    </w:p>
    <w:p w14:paraId="794594FF" w14:textId="77777777" w:rsidR="00A454AE" w:rsidRPr="00287752" w:rsidRDefault="00A454AE" w:rsidP="00753414">
      <w:pPr>
        <w:pStyle w:val="SingleTxtG"/>
        <w:numPr>
          <w:ilvl w:val="0"/>
          <w:numId w:val="43"/>
        </w:numPr>
        <w:kinsoku/>
        <w:overflowPunct/>
        <w:autoSpaceDE/>
        <w:autoSpaceDN/>
        <w:adjustRightInd/>
        <w:snapToGrid/>
        <w:ind w:left="1134" w:firstLine="0"/>
      </w:pPr>
      <w:r w:rsidRPr="00287752">
        <w:t>Ces dernières années, plusieurs cantons ont adopté des mesures juridiques ainsi que politiques pour lutter contre le racisme, l</w:t>
      </w:r>
      <w:r>
        <w:t>’</w:t>
      </w:r>
      <w:r w:rsidRPr="00287752">
        <w:t xml:space="preserve">antisémitisme et la discrimination. </w:t>
      </w:r>
      <w:r>
        <w:t xml:space="preserve">En 2021, </w:t>
      </w:r>
      <w:r w:rsidRPr="00287752">
        <w:t>le canton d</w:t>
      </w:r>
      <w:r>
        <w:t>’</w:t>
      </w:r>
      <w:r w:rsidRPr="00287752">
        <w:t>Argovie</w:t>
      </w:r>
      <w:r>
        <w:t xml:space="preserve"> a révisé s</w:t>
      </w:r>
      <w:r w:rsidRPr="00287752">
        <w:t xml:space="preserve">a loi sur la police afin de renforcer la protection juridique contre </w:t>
      </w:r>
      <w:r w:rsidRPr="00BC1412">
        <w:t>les abus de la part de services de police</w:t>
      </w:r>
      <w:r w:rsidRPr="00287752">
        <w:t xml:space="preserve">. </w:t>
      </w:r>
      <w:r>
        <w:t>Il est désormais possible de demander à un tribunal de statuer sur l</w:t>
      </w:r>
      <w:r w:rsidRPr="00287752">
        <w:t xml:space="preserve">a légalité de certaines </w:t>
      </w:r>
      <w:r>
        <w:t>interventions</w:t>
      </w:r>
      <w:r w:rsidRPr="00287752">
        <w:t xml:space="preserve">. Dans le canton de Saint-Gall, les crimes </w:t>
      </w:r>
      <w:r w:rsidRPr="00287752">
        <w:lastRenderedPageBreak/>
        <w:t>de haine</w:t>
      </w:r>
      <w:r>
        <w:t xml:space="preserve"> </w:t>
      </w:r>
      <w:r w:rsidRPr="001A1E57">
        <w:t>qui n’entrent pas dans le champ d’application de la norme pénale contre la discrimination (art. 261</w:t>
      </w:r>
      <w:r w:rsidRPr="00B45C5A">
        <w:rPr>
          <w:vertAlign w:val="superscript"/>
        </w:rPr>
        <w:t>bis</w:t>
      </w:r>
      <w:r w:rsidRPr="001A1E57">
        <w:t xml:space="preserve"> CP)</w:t>
      </w:r>
      <w:r w:rsidRPr="00287752">
        <w:t xml:space="preserve"> sont </w:t>
      </w:r>
      <w:r>
        <w:t>recensés</w:t>
      </w:r>
      <w:r w:rsidRPr="00287752">
        <w:t xml:space="preserve"> dans les statistiques policières depuis juillet 2023. Selon le rapport </w:t>
      </w:r>
      <w:r>
        <w:t xml:space="preserve">national </w:t>
      </w:r>
      <w:r w:rsidRPr="00287752">
        <w:t xml:space="preserve">sur le monitorage de la discrimination raciale et de </w:t>
      </w:r>
      <w:r w:rsidRPr="00A325D0">
        <w:t>l</w:t>
      </w:r>
      <w:r>
        <w:t>’</w:t>
      </w:r>
      <w:r w:rsidRPr="00A325D0">
        <w:t>antisémitisme, dix services de police recensent actuellement les crimes de haine</w:t>
      </w:r>
      <w:r>
        <w:t xml:space="preserve"> en Suisse</w:t>
      </w:r>
      <w:r w:rsidRPr="00A325D0">
        <w:t xml:space="preserve">, et quatre autres le font partiellement. </w:t>
      </w:r>
      <w:r>
        <w:t>L</w:t>
      </w:r>
      <w:r w:rsidRPr="00287752">
        <w:t>e canton de Genève</w:t>
      </w:r>
      <w:r>
        <w:t xml:space="preserve"> s’est doté d’une</w:t>
      </w:r>
      <w:r w:rsidRPr="00287752">
        <w:t xml:space="preserve"> loi générale sur l</w:t>
      </w:r>
      <w:r>
        <w:t>’</w:t>
      </w:r>
      <w:r w:rsidRPr="00287752">
        <w:t>égalité et la lutte contre les discriminations</w:t>
      </w:r>
      <w:r>
        <w:t xml:space="preserve"> qui</w:t>
      </w:r>
      <w:r w:rsidRPr="00287752">
        <w:t xml:space="preserve"> est entrée en vigueur en 2023</w:t>
      </w:r>
      <w:r>
        <w:t>, et prévoit d’</w:t>
      </w:r>
      <w:r w:rsidRPr="00287752">
        <w:t>autres lois sectorielles, notamment pour lutter contre toutes les formes de racisme</w:t>
      </w:r>
      <w:r>
        <w:t xml:space="preserve"> et contre l</w:t>
      </w:r>
      <w:r w:rsidRPr="00287752">
        <w:t>a discrimination fondée sur l</w:t>
      </w:r>
      <w:r>
        <w:t>’</w:t>
      </w:r>
      <w:r w:rsidRPr="00287752">
        <w:t>âge ou le handicap.</w:t>
      </w:r>
    </w:p>
    <w:p w14:paraId="7D71F764" w14:textId="77777777" w:rsidR="00A454AE" w:rsidRPr="00287752" w:rsidRDefault="00A454AE" w:rsidP="00753414">
      <w:pPr>
        <w:pStyle w:val="SingleTxtG"/>
        <w:numPr>
          <w:ilvl w:val="0"/>
          <w:numId w:val="43"/>
        </w:numPr>
        <w:kinsoku/>
        <w:overflowPunct/>
        <w:autoSpaceDE/>
        <w:autoSpaceDN/>
        <w:adjustRightInd/>
        <w:snapToGrid/>
        <w:ind w:left="1134" w:firstLine="0"/>
      </w:pPr>
      <w:bookmarkStart w:id="17" w:name="_Hlk202935711"/>
      <w:r w:rsidRPr="00B5202D">
        <w:t>Dans plusieurs cantons, des mesures législatives et politiques ont été prises ces dernières années pour lutter contre le racisme, l'antisémitisme et la discrimination</w:t>
      </w:r>
      <w:r>
        <w:t xml:space="preserve">. A titre d’exemple, </w:t>
      </w:r>
      <w:r w:rsidRPr="00287752">
        <w:t>plusieurs interpellations ont été déposées en 2024 dans le canton d</w:t>
      </w:r>
      <w:r>
        <w:t>’</w:t>
      </w:r>
      <w:r w:rsidRPr="00287752">
        <w:t>Argovie</w:t>
      </w:r>
      <w:r>
        <w:t xml:space="preserve"> afin que d</w:t>
      </w:r>
      <w:r w:rsidRPr="00287752">
        <w:t>es mesures</w:t>
      </w:r>
      <w:r>
        <w:t xml:space="preserve"> soient prises</w:t>
      </w:r>
      <w:r w:rsidRPr="00287752">
        <w:t xml:space="preserve"> contre la discrimination antisémite dans les écoles et</w:t>
      </w:r>
      <w:r>
        <w:t xml:space="preserve"> les</w:t>
      </w:r>
      <w:r w:rsidRPr="00287752">
        <w:t xml:space="preserve"> hautes écoles. </w:t>
      </w:r>
      <w:r>
        <w:t xml:space="preserve">Le canton de </w:t>
      </w:r>
      <w:r w:rsidRPr="00287752">
        <w:t>Bâle-Ville</w:t>
      </w:r>
      <w:r>
        <w:t xml:space="preserve"> a approuvé quant à lui</w:t>
      </w:r>
      <w:r w:rsidRPr="00287752">
        <w:t xml:space="preserve"> des propositions </w:t>
      </w:r>
      <w:r>
        <w:t>visant à élaborer u</w:t>
      </w:r>
      <w:r w:rsidRPr="00287752">
        <w:t xml:space="preserve">ne stratégie cantonale de lutte contre le racisme et </w:t>
      </w:r>
      <w:r>
        <w:t>à prévenir</w:t>
      </w:r>
      <w:r w:rsidRPr="00287752">
        <w:t xml:space="preserve"> l</w:t>
      </w:r>
      <w:r>
        <w:t>’</w:t>
      </w:r>
      <w:r w:rsidRPr="00287752">
        <w:t xml:space="preserve">antisémitisme en milieu scolaire. Dans le canton de Zurich, plusieurs interventions </w:t>
      </w:r>
      <w:r>
        <w:t xml:space="preserve">parlementaires </w:t>
      </w:r>
      <w:r w:rsidRPr="00287752">
        <w:t>ont été déposées pour lutter contre la discrimination et le racisme. Parmi celles-ci figurent le postulat KR n°</w:t>
      </w:r>
      <w:r>
        <w:t> </w:t>
      </w:r>
      <w:r w:rsidRPr="00287752">
        <w:t>377/2020, qui demande des mesures contre les discours haineux et en faveur de l</w:t>
      </w:r>
      <w:r>
        <w:t>’</w:t>
      </w:r>
      <w:r w:rsidRPr="00287752">
        <w:t xml:space="preserve">égalité des personnes </w:t>
      </w:r>
      <w:r w:rsidRPr="00E9083C">
        <w:t>LGBTQIA+, ainsi que le postulat KR n° 92/2023, visant à élaborer un plan d</w:t>
      </w:r>
      <w:r>
        <w:t>’</w:t>
      </w:r>
      <w:r w:rsidRPr="00E9083C">
        <w:t>action cantonal contre le racisme, dont</w:t>
      </w:r>
      <w:r w:rsidRPr="00287752">
        <w:t xml:space="preserve"> l</w:t>
      </w:r>
      <w:r>
        <w:t>’</w:t>
      </w:r>
      <w:r w:rsidRPr="00287752">
        <w:t>élaboration relève du service cantonal de l</w:t>
      </w:r>
      <w:r>
        <w:t>’</w:t>
      </w:r>
      <w:r w:rsidRPr="00287752">
        <w:t>intégration. En outre, dans le cadre de ses objectifs de législature (2023-2027), le Conseil d</w:t>
      </w:r>
      <w:r>
        <w:t>’</w:t>
      </w:r>
      <w:r w:rsidRPr="00287752">
        <w:t>État poursuit l</w:t>
      </w:r>
      <w:r>
        <w:t>’</w:t>
      </w:r>
      <w:r w:rsidRPr="00287752">
        <w:t>élaboration d</w:t>
      </w:r>
      <w:r>
        <w:t>’</w:t>
      </w:r>
      <w:r w:rsidRPr="00287752">
        <w:t>un plan d</w:t>
      </w:r>
      <w:r>
        <w:t>’</w:t>
      </w:r>
      <w:r w:rsidRPr="00287752">
        <w:t xml:space="preserve">action contre la discrimination dans le domaine </w:t>
      </w:r>
      <w:r>
        <w:t>« </w:t>
      </w:r>
      <w:r w:rsidRPr="00287752">
        <w:t>Société et sécurité sociale</w:t>
      </w:r>
      <w:r>
        <w:t> »</w:t>
      </w:r>
      <w:r w:rsidRPr="00287752">
        <w:t>. En réponse à la demande KR n</w:t>
      </w:r>
      <w:r w:rsidRPr="002C5D58">
        <w:rPr>
          <w:vertAlign w:val="superscript"/>
        </w:rPr>
        <w:t>o</w:t>
      </w:r>
      <w:r>
        <w:t> </w:t>
      </w:r>
      <w:r w:rsidRPr="00287752">
        <w:t>20/2022, il a également fait établir en 2022 une liste de biens culturels potentiellement problématiques</w:t>
      </w:r>
      <w:r>
        <w:t>, entre autres</w:t>
      </w:r>
      <w:r w:rsidRPr="00287752">
        <w:t xml:space="preserve"> en raison de leur caractère raciste. La Ville de Zurich se distingue par son engagement actif dans la lutte contre le racisme, notamment à travers la publication régulière de rapports</w:t>
      </w:r>
      <w:r>
        <w:t xml:space="preserve"> sur le racisme en ville de Zurich</w:t>
      </w:r>
      <w:r w:rsidRPr="00287752">
        <w:t xml:space="preserve">. </w:t>
      </w:r>
      <w:r>
        <w:t>Son</w:t>
      </w:r>
      <w:r w:rsidRPr="00287752">
        <w:t xml:space="preserve"> Conseil municipal élabore actuellement un plan de mesures pour </w:t>
      </w:r>
      <w:r>
        <w:t>mettre</w:t>
      </w:r>
      <w:r w:rsidRPr="00287752">
        <w:t xml:space="preserve"> en œuvre </w:t>
      </w:r>
      <w:r>
        <w:t>les</w:t>
      </w:r>
      <w:r w:rsidRPr="00287752">
        <w:t xml:space="preserve"> recommandations </w:t>
      </w:r>
      <w:r>
        <w:t xml:space="preserve">faites dans un </w:t>
      </w:r>
      <w:r w:rsidRPr="00287752">
        <w:t>rapport</w:t>
      </w:r>
      <w:r>
        <w:t xml:space="preserve"> sur le racisme</w:t>
      </w:r>
      <w:r w:rsidRPr="00287752">
        <w:t xml:space="preserve"> </w:t>
      </w:r>
      <w:r>
        <w:t>qu’elle a consacré en </w:t>
      </w:r>
      <w:r w:rsidRPr="00287752">
        <w:t>2022 aux pratiques des autorités administratives (décision n°</w:t>
      </w:r>
      <w:r>
        <w:t> </w:t>
      </w:r>
      <w:r w:rsidRPr="00287752">
        <w:t>2409/2024 du 28</w:t>
      </w:r>
      <w:r>
        <w:t> </w:t>
      </w:r>
      <w:r w:rsidRPr="00287752">
        <w:t>août 2024).</w:t>
      </w:r>
      <w:bookmarkEnd w:id="17"/>
      <w:r>
        <w:t xml:space="preserve"> </w:t>
      </w:r>
      <w:r w:rsidRPr="0081412E">
        <w:t xml:space="preserve">En septembre 2025, la </w:t>
      </w:r>
      <w:hyperlink r:id="rId13" w:history="1">
        <w:r w:rsidRPr="00B45C5A">
          <w:rPr>
            <w:rStyle w:val="Hyperlink"/>
          </w:rPr>
          <w:t>motion (2025.SR.0271) intitulée "Protection contre la discrimination et promotion de la participation"</w:t>
        </w:r>
      </w:hyperlink>
      <w:r w:rsidRPr="0081412E">
        <w:t xml:space="preserve"> a été déposée au Conseil de ville de Berne. Elle vise à renforcer la protection contre la discrimination en proposant une modification du règlement communal ainsi que l’adoption d’un règlement spécifique pour lutter contre la discrimination et promouvoir la participation.</w:t>
      </w:r>
    </w:p>
    <w:p w14:paraId="182CA1CE" w14:textId="6D9E2F5D" w:rsidR="00A454AE" w:rsidRPr="0006285A" w:rsidRDefault="00A454AE" w:rsidP="00A454AE">
      <w:pPr>
        <w:pStyle w:val="H23G"/>
      </w:pPr>
      <w:bookmarkStart w:id="18" w:name="_Toc530069733"/>
      <w:bookmarkStart w:id="19" w:name="_Ref426124414"/>
      <w:r w:rsidRPr="00287752">
        <w:tab/>
      </w:r>
      <w:r w:rsidR="007239EC">
        <w:t>D.</w:t>
      </w:r>
      <w:r w:rsidRPr="0006285A">
        <w:tab/>
      </w:r>
      <w:r w:rsidRPr="007239EC">
        <w:t>Nouveautés au niveau du droit international</w:t>
      </w:r>
      <w:bookmarkEnd w:id="18"/>
    </w:p>
    <w:p w14:paraId="034813A9" w14:textId="77777777" w:rsidR="00A454AE" w:rsidRPr="00FE1548" w:rsidRDefault="00A454AE" w:rsidP="00753414">
      <w:pPr>
        <w:pStyle w:val="SingleTxtG"/>
        <w:numPr>
          <w:ilvl w:val="0"/>
          <w:numId w:val="43"/>
        </w:numPr>
        <w:kinsoku/>
        <w:overflowPunct/>
        <w:autoSpaceDE/>
        <w:autoSpaceDN/>
        <w:adjustRightInd/>
        <w:snapToGrid/>
        <w:ind w:left="1134" w:firstLine="0"/>
        <w:rPr>
          <w:b/>
          <w:bCs/>
          <w:i/>
          <w:iCs/>
        </w:rPr>
      </w:pPr>
      <w:r w:rsidRPr="00E20A1E">
        <w:t>Dans la période sous revue, la Suisse a ratifié ou envisag</w:t>
      </w:r>
      <w:r>
        <w:t>é</w:t>
      </w:r>
      <w:r w:rsidRPr="00E20A1E">
        <w:t xml:space="preserve"> de ratifier les instruments de droit </w:t>
      </w:r>
      <w:r w:rsidRPr="00FE1548">
        <w:t xml:space="preserve">international suivants : </w:t>
      </w:r>
      <w:bookmarkEnd w:id="19"/>
    </w:p>
    <w:p w14:paraId="7F26FA3B" w14:textId="77777777" w:rsidR="00A454AE" w:rsidRPr="00320EE3" w:rsidRDefault="00A454AE" w:rsidP="007239EC">
      <w:pPr>
        <w:pStyle w:val="Bullet1G"/>
      </w:pPr>
      <w:r w:rsidRPr="00320EE3">
        <w:t>Protocole n</w:t>
      </w:r>
      <w:r w:rsidRPr="00320EE3">
        <w:rPr>
          <w:vertAlign w:val="superscript"/>
        </w:rPr>
        <w:t>o</w:t>
      </w:r>
      <w:r w:rsidRPr="00320EE3">
        <w:t> 15 portant amendement à la Convention de sauvegarde</w:t>
      </w:r>
      <w:r w:rsidRPr="00320EE3">
        <w:br/>
        <w:t>des droits de l</w:t>
      </w:r>
      <w:r>
        <w:t>’</w:t>
      </w:r>
      <w:r w:rsidRPr="00320EE3">
        <w:t>homme et des libertés fondamentales – conclu le 24</w:t>
      </w:r>
      <w:r>
        <w:t> </w:t>
      </w:r>
      <w:r w:rsidRPr="00320EE3">
        <w:t>juin 2013 ; approuvé par l</w:t>
      </w:r>
      <w:r>
        <w:t>’</w:t>
      </w:r>
      <w:r w:rsidRPr="00320EE3">
        <w:t>Assemblée fédérale le 18</w:t>
      </w:r>
      <w:r>
        <w:t> </w:t>
      </w:r>
      <w:r w:rsidRPr="00320EE3">
        <w:t>mars 2016</w:t>
      </w:r>
      <w:r>
        <w:t> </w:t>
      </w:r>
      <w:r w:rsidRPr="00320EE3">
        <w:t>; instrument de ratification déposé par la Suisse le 8 juillet 2016</w:t>
      </w:r>
      <w:r>
        <w:t> </w:t>
      </w:r>
      <w:r w:rsidRPr="00320EE3">
        <w:t>; entré en vigueur pour la Suisse le 1</w:t>
      </w:r>
      <w:r w:rsidRPr="00320EE3">
        <w:rPr>
          <w:vertAlign w:val="superscript"/>
        </w:rPr>
        <w:t>er</w:t>
      </w:r>
      <w:r w:rsidRPr="00320EE3">
        <w:t xml:space="preserve"> août 2021. </w:t>
      </w:r>
    </w:p>
    <w:p w14:paraId="155AA05A" w14:textId="77777777" w:rsidR="00A454AE" w:rsidRPr="00320EE3" w:rsidRDefault="00A454AE" w:rsidP="007239EC">
      <w:pPr>
        <w:pStyle w:val="Bullet1G"/>
      </w:pPr>
      <w:r w:rsidRPr="00320EE3">
        <w:t>Convention du Conseil de l</w:t>
      </w:r>
      <w:r>
        <w:t>’</w:t>
      </w:r>
      <w:r w:rsidRPr="00320EE3">
        <w:t>Europe pour la prévention du terrorisme – conclue le 16</w:t>
      </w:r>
      <w:r>
        <w:t> </w:t>
      </w:r>
      <w:r w:rsidRPr="00320EE3">
        <w:t>mai 2005 ; approuvée par l</w:t>
      </w:r>
      <w:r>
        <w:t>’</w:t>
      </w:r>
      <w:r w:rsidRPr="00320EE3">
        <w:t>Assemblée fédérale le 25</w:t>
      </w:r>
      <w:r>
        <w:t> </w:t>
      </w:r>
      <w:r w:rsidRPr="00320EE3">
        <w:t xml:space="preserve">septembre 2020 ; </w:t>
      </w:r>
      <w:r>
        <w:t>i</w:t>
      </w:r>
      <w:r w:rsidRPr="00320EE3">
        <w:t>nstrument de ratification déposé par la Suisse le 25</w:t>
      </w:r>
      <w:r>
        <w:t> </w:t>
      </w:r>
      <w:r w:rsidRPr="00320EE3">
        <w:t>mars 2021</w:t>
      </w:r>
      <w:r>
        <w:t> </w:t>
      </w:r>
      <w:r w:rsidRPr="00320EE3">
        <w:t>; entrée en vigueur pour la Suisse le 1</w:t>
      </w:r>
      <w:r w:rsidRPr="00320EE3">
        <w:rPr>
          <w:vertAlign w:val="superscript"/>
        </w:rPr>
        <w:t>er</w:t>
      </w:r>
      <w:r w:rsidRPr="00320EE3">
        <w:t> juillet 202</w:t>
      </w:r>
      <w:r>
        <w:t>1</w:t>
      </w:r>
      <w:r w:rsidRPr="00320EE3">
        <w:t>.</w:t>
      </w:r>
    </w:p>
    <w:p w14:paraId="50C64AED" w14:textId="29BA186E" w:rsidR="00A454AE" w:rsidRPr="00E20A1E" w:rsidRDefault="001C2F65" w:rsidP="001C2F65">
      <w:pPr>
        <w:pStyle w:val="H1G"/>
      </w:pPr>
      <w:bookmarkStart w:id="20" w:name="_Toc340158120"/>
      <w:bookmarkStart w:id="21" w:name="_Toc340158297"/>
      <w:bookmarkStart w:id="22" w:name="_Toc530069734"/>
      <w:r>
        <w:tab/>
        <w:t>3.</w:t>
      </w:r>
      <w:r>
        <w:tab/>
      </w:r>
      <w:r w:rsidR="00A454AE" w:rsidRPr="00E20A1E">
        <w:tab/>
      </w:r>
      <w:bookmarkStart w:id="23" w:name="_Toc216340608"/>
      <w:r w:rsidR="00A454AE" w:rsidRPr="00E20A1E">
        <w:t xml:space="preserve">Politique générale de lutte </w:t>
      </w:r>
      <w:r w:rsidR="00A454AE" w:rsidRPr="001C2F65">
        <w:t>contre</w:t>
      </w:r>
      <w:r w:rsidR="00A454AE" w:rsidRPr="00E20A1E">
        <w:t xml:space="preserve"> la discrimination racial</w:t>
      </w:r>
      <w:bookmarkEnd w:id="20"/>
      <w:bookmarkEnd w:id="21"/>
      <w:r w:rsidR="00A454AE" w:rsidRPr="00E20A1E">
        <w:t>e</w:t>
      </w:r>
      <w:bookmarkEnd w:id="22"/>
      <w:bookmarkEnd w:id="23"/>
    </w:p>
    <w:p w14:paraId="623542B5" w14:textId="6347EC3C"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La Suisse considère comme une obligation permanente </w:t>
      </w:r>
      <w:r>
        <w:t>l’</w:t>
      </w:r>
      <w:r w:rsidRPr="00E20A1E">
        <w:t>engagement constant et systématique contre toutes les formes de racisme, y compris les incidents en ligne. Les nombreuses activités des différents offices fédéraux, ainsi que des cantons et des communes, contribuent à la mise en œuvre d</w:t>
      </w:r>
      <w:r>
        <w:t>’</w:t>
      </w:r>
      <w:r w:rsidRPr="00E20A1E">
        <w:t>une politique systématique de sensibilisation et de prévention. Le SLR planifie et coordonne les activités de prévention du racisme au niveau fédéral. Cependant, l</w:t>
      </w:r>
      <w:r>
        <w:t>’</w:t>
      </w:r>
      <w:r w:rsidRPr="00E20A1E">
        <w:t>accent est mis sur la protection contre la discrimination plutôt que sur la promotion de l</w:t>
      </w:r>
      <w:r>
        <w:t>’</w:t>
      </w:r>
      <w:r w:rsidRPr="00E20A1E">
        <w:t xml:space="preserve">égalité. La </w:t>
      </w:r>
      <w:hyperlink r:id="rId14" w:history="1">
        <w:r w:rsidRPr="00E20A1E">
          <w:rPr>
            <w:rStyle w:val="Hyperlink"/>
          </w:rPr>
          <w:t xml:space="preserve">planification des </w:t>
        </w:r>
        <w:r>
          <w:rPr>
            <w:rStyle w:val="Hyperlink"/>
          </w:rPr>
          <w:t>champs</w:t>
        </w:r>
        <w:r w:rsidRPr="00E20A1E">
          <w:rPr>
            <w:rStyle w:val="Hyperlink"/>
          </w:rPr>
          <w:t xml:space="preserve"> d</w:t>
        </w:r>
        <w:r>
          <w:rPr>
            <w:rStyle w:val="Hyperlink"/>
          </w:rPr>
          <w:t>’</w:t>
        </w:r>
        <w:r w:rsidRPr="00E20A1E">
          <w:rPr>
            <w:rStyle w:val="Hyperlink"/>
          </w:rPr>
          <w:t>action prioritaires du SLR</w:t>
        </w:r>
      </w:hyperlink>
      <w:r w:rsidRPr="00E20A1E">
        <w:t xml:space="preserve"> pour la </w:t>
      </w:r>
      <w:r w:rsidRPr="00E20A1E">
        <w:lastRenderedPageBreak/>
        <w:t>période</w:t>
      </w:r>
      <w:r>
        <w:t> </w:t>
      </w:r>
      <w:r w:rsidRPr="00E20A1E">
        <w:t>2024-2027 est disponible en ligne</w:t>
      </w:r>
      <w:r>
        <w:t>.</w:t>
      </w:r>
      <w:r w:rsidRPr="00E20A1E">
        <w:t xml:space="preserve"> </w:t>
      </w:r>
      <w:r>
        <w:t xml:space="preserve">Pour les périodes à venir, elle sera remplacée par </w:t>
      </w:r>
      <w:hyperlink r:id="rId15" w:history="1">
        <w:r w:rsidRPr="00013A04">
          <w:rPr>
            <w:rStyle w:val="Hyperlink"/>
          </w:rPr>
          <w:t>la stratégie et le plan d’action contre le racisme et l’antisémitisme</w:t>
        </w:r>
      </w:hyperlink>
      <w:r>
        <w:t>,</w:t>
      </w:r>
      <w:r w:rsidRPr="00E20A1E">
        <w:t xml:space="preserve"> en cours d</w:t>
      </w:r>
      <w:r>
        <w:t>’</w:t>
      </w:r>
      <w:r w:rsidRPr="00E20A1E">
        <w:t>élaboration.</w:t>
      </w:r>
      <w:r>
        <w:t xml:space="preserve"> </w:t>
      </w:r>
    </w:p>
    <w:p w14:paraId="304D0713" w14:textId="77777777" w:rsidR="00A454AE" w:rsidRPr="008053D0" w:rsidRDefault="00A454AE" w:rsidP="00753414">
      <w:pPr>
        <w:pStyle w:val="SingleTxtG"/>
        <w:numPr>
          <w:ilvl w:val="0"/>
          <w:numId w:val="43"/>
        </w:numPr>
        <w:kinsoku/>
        <w:overflowPunct/>
        <w:autoSpaceDE/>
        <w:autoSpaceDN/>
        <w:adjustRightInd/>
        <w:snapToGrid/>
        <w:ind w:left="1134" w:firstLine="0"/>
      </w:pPr>
      <w:r w:rsidRPr="008053D0">
        <w:t>Le travail du SLR repose sur la reconnaissance du fait que le racisme est profondément ancré dans les structures sociales</w:t>
      </w:r>
      <w:r>
        <w:t>, et qu’i</w:t>
      </w:r>
      <w:r w:rsidRPr="008053D0">
        <w:t>l s</w:t>
      </w:r>
      <w:r>
        <w:t>’</w:t>
      </w:r>
      <w:r w:rsidRPr="008053D0">
        <w:t>agit donc d</w:t>
      </w:r>
      <w:r>
        <w:t>’</w:t>
      </w:r>
      <w:r w:rsidRPr="008053D0">
        <w:t>agir de manière proactive pour éliminer les obstacles structurels et les causes des inégalités à caractère raciste</w:t>
      </w:r>
      <w:r>
        <w:t xml:space="preserve"> au sein des institutions</w:t>
      </w:r>
      <w:r w:rsidRPr="008053D0">
        <w:t xml:space="preserve">. Le SLR prend en compte les formes spécifiques de racisme et reconnaît les dimensions </w:t>
      </w:r>
      <w:proofErr w:type="spellStart"/>
      <w:r w:rsidRPr="008053D0">
        <w:t>intersectionnelles</w:t>
      </w:r>
      <w:proofErr w:type="spellEnd"/>
      <w:r w:rsidRPr="008053D0">
        <w:t xml:space="preserve"> de la discrimination. Ses objectifs généraux consistent à promouvoir la prévention, à renforcer les acteurs engagés dans la lutte contre le racisme, à développer la protection contre la discrimination raciale et à améliorer les connaissances sur le racisme et la discrimination, condition essentielle à la mise en œuvre de mesures ciblées.</w:t>
      </w:r>
    </w:p>
    <w:p w14:paraId="16153E45" w14:textId="124F3F04" w:rsidR="00A454AE" w:rsidRPr="00E20A1E" w:rsidRDefault="00A454AE" w:rsidP="00A454AE">
      <w:pPr>
        <w:pStyle w:val="H23G"/>
        <w:rPr>
          <w:rStyle w:val="Heading2Char"/>
        </w:rPr>
      </w:pPr>
      <w:r w:rsidRPr="008053D0">
        <w:rPr>
          <w:rStyle w:val="Heading2Char"/>
        </w:rPr>
        <w:tab/>
      </w:r>
      <w:r w:rsidR="001C2F65">
        <w:rPr>
          <w:rStyle w:val="Heading2Char"/>
        </w:rPr>
        <w:t>A.</w:t>
      </w:r>
      <w:r w:rsidRPr="00E20A1E">
        <w:rPr>
          <w:rStyle w:val="Heading2Char"/>
        </w:rPr>
        <w:tab/>
      </w:r>
      <w:r w:rsidRPr="001C2F65">
        <w:t>Stratégie et plan d’action</w:t>
      </w:r>
    </w:p>
    <w:p w14:paraId="480292CA" w14:textId="3AE25BEA"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En juin 2024, le Parlement a adopté une motion enjoignant au gouvernement </w:t>
      </w:r>
      <w:r>
        <w:t xml:space="preserve">d’élaborer </w:t>
      </w:r>
      <w:r w:rsidRPr="00E20A1E">
        <w:t>une stratégie et un plan d</w:t>
      </w:r>
      <w:r>
        <w:t>’</w:t>
      </w:r>
      <w:r w:rsidRPr="00E20A1E">
        <w:t>action contre le racisme et l</w:t>
      </w:r>
      <w:r>
        <w:t>’</w:t>
      </w:r>
      <w:r w:rsidRPr="00E20A1E">
        <w:t>antisémitisme (</w:t>
      </w:r>
      <w:r w:rsidRPr="00EB4D15">
        <w:t>motion CIP-N </w:t>
      </w:r>
      <w:hyperlink r:id="rId16" w:history="1">
        <w:r w:rsidRPr="00EB4D15">
          <w:rPr>
            <w:rStyle w:val="Hyperlink"/>
          </w:rPr>
          <w:t>23.4335</w:t>
        </w:r>
      </w:hyperlink>
      <w:r w:rsidRPr="00E20A1E">
        <w:t xml:space="preserve">) </w:t>
      </w:r>
      <w:r>
        <w:t xml:space="preserve">qui engagent </w:t>
      </w:r>
      <w:r w:rsidRPr="00E20A1E">
        <w:t>la Confédération, les cantons et les communes</w:t>
      </w:r>
      <w:r>
        <w:t xml:space="preserve"> selon</w:t>
      </w:r>
      <w:r w:rsidRPr="00E20A1E">
        <w:t xml:space="preserve"> leurs tâches et</w:t>
      </w:r>
      <w:r>
        <w:t xml:space="preserve"> </w:t>
      </w:r>
      <w:r w:rsidRPr="00E20A1E">
        <w:t xml:space="preserve">responsabilités respectives. </w:t>
      </w:r>
      <w:r>
        <w:t>Rattaché au</w:t>
      </w:r>
      <w:r w:rsidRPr="00E20A1E">
        <w:t xml:space="preserve"> </w:t>
      </w:r>
      <w:r>
        <w:t>DFI, le SLR</w:t>
      </w:r>
      <w:r w:rsidRPr="00E20A1E">
        <w:t xml:space="preserve"> a </w:t>
      </w:r>
      <w:r>
        <w:t>reçu pour mandat de concevoir et de mettre en œuvre ces instruments</w:t>
      </w:r>
      <w:r w:rsidRPr="00E20A1E">
        <w:t>. Les travaux ont débuté par une audition des parties prenantes</w:t>
      </w:r>
      <w:r>
        <w:t>,</w:t>
      </w:r>
      <w:r w:rsidRPr="00E20A1E">
        <w:t xml:space="preserve"> </w:t>
      </w:r>
      <w:r>
        <w:t>visant à identifier</w:t>
      </w:r>
      <w:r w:rsidRPr="00E20A1E">
        <w:t xml:space="preserve"> </w:t>
      </w:r>
      <w:r>
        <w:t>l</w:t>
      </w:r>
      <w:r w:rsidRPr="00E20A1E">
        <w:t>es besoins</w:t>
      </w:r>
      <w:r>
        <w:t xml:space="preserve"> concrets</w:t>
      </w:r>
      <w:r w:rsidRPr="00E20A1E">
        <w:t xml:space="preserve"> et </w:t>
      </w:r>
      <w:r>
        <w:t>l</w:t>
      </w:r>
      <w:r w:rsidRPr="00E20A1E">
        <w:t xml:space="preserve">es mesures </w:t>
      </w:r>
      <w:r>
        <w:t>envisageables</w:t>
      </w:r>
      <w:r w:rsidRPr="00E20A1E">
        <w:t xml:space="preserve">. </w:t>
      </w:r>
      <w:r w:rsidRPr="00A66993">
        <w:t>La stratégie doit être examinée par le Conseil fédéral à la fin de l’année 2025.</w:t>
      </w:r>
      <w:r w:rsidRPr="00E20A1E">
        <w:t xml:space="preserve"> Il s</w:t>
      </w:r>
      <w:r>
        <w:t>’</w:t>
      </w:r>
      <w:r w:rsidRPr="00E20A1E">
        <w:t>agit d</w:t>
      </w:r>
      <w:r>
        <w:t>’</w:t>
      </w:r>
      <w:r w:rsidRPr="00E20A1E">
        <w:t xml:space="preserve">une opportunité </w:t>
      </w:r>
      <w:r>
        <w:t xml:space="preserve">majeure </w:t>
      </w:r>
      <w:r w:rsidRPr="00E20A1E">
        <w:t xml:space="preserve">pour </w:t>
      </w:r>
      <w:r>
        <w:t>renforcer</w:t>
      </w:r>
      <w:r w:rsidRPr="00E20A1E">
        <w:t xml:space="preserve"> la coordination des </w:t>
      </w:r>
      <w:r>
        <w:t>actions et promouvoir une approche cohérente</w:t>
      </w:r>
      <w:r w:rsidRPr="00E20A1E">
        <w:t xml:space="preserve"> à tous les niveaux de l</w:t>
      </w:r>
      <w:r>
        <w:t>’</w:t>
      </w:r>
      <w:r w:rsidRPr="00E20A1E">
        <w:t xml:space="preserve">État. </w:t>
      </w:r>
      <w:r w:rsidRPr="006F5F18">
        <w:t>L</w:t>
      </w:r>
      <w:r>
        <w:t>’</w:t>
      </w:r>
      <w:r w:rsidRPr="006F5F18">
        <w:t xml:space="preserve">un des principes directeurs </w:t>
      </w:r>
      <w:r>
        <w:t>devant guider</w:t>
      </w:r>
      <w:r w:rsidRPr="006F5F18">
        <w:t xml:space="preserve"> l</w:t>
      </w:r>
      <w:r>
        <w:t>’</w:t>
      </w:r>
      <w:r w:rsidRPr="006F5F18">
        <w:t>élaboration tant de la stratégie que du plan d</w:t>
      </w:r>
      <w:r>
        <w:t>’</w:t>
      </w:r>
      <w:r w:rsidRPr="006F5F18">
        <w:t xml:space="preserve">action </w:t>
      </w:r>
      <w:r>
        <w:t>est</w:t>
      </w:r>
      <w:r w:rsidRPr="006F5F18">
        <w:t xml:space="preserve"> </w:t>
      </w:r>
      <w:r>
        <w:t>l</w:t>
      </w:r>
      <w:r w:rsidRPr="006F5F18">
        <w:t>a reconnaissance du caractère structurel du racisme</w:t>
      </w:r>
      <w:r w:rsidRPr="00E20A1E">
        <w:t>.</w:t>
      </w:r>
    </w:p>
    <w:p w14:paraId="25C6324A" w14:textId="3497B408" w:rsidR="00A454AE" w:rsidRPr="00E20A1E" w:rsidRDefault="00A454AE" w:rsidP="00A454AE">
      <w:pPr>
        <w:pStyle w:val="H23G"/>
      </w:pPr>
      <w:bookmarkStart w:id="24" w:name="_Toc530069735"/>
      <w:r w:rsidRPr="00E20A1E">
        <w:rPr>
          <w:rStyle w:val="Heading2Char"/>
        </w:rPr>
        <w:tab/>
      </w:r>
      <w:r w:rsidR="001C2F65">
        <w:rPr>
          <w:rStyle w:val="Heading2Char"/>
        </w:rPr>
        <w:t>B.</w:t>
      </w:r>
      <w:r w:rsidRPr="00E20A1E">
        <w:rPr>
          <w:rStyle w:val="Heading2Char"/>
        </w:rPr>
        <w:tab/>
      </w:r>
      <w:r w:rsidRPr="001C2F65">
        <w:t>Protection légale</w:t>
      </w:r>
      <w:bookmarkEnd w:id="24"/>
      <w:r w:rsidRPr="00E20A1E">
        <w:t xml:space="preserve"> </w:t>
      </w:r>
    </w:p>
    <w:p w14:paraId="3F8411BB" w14:textId="77777777" w:rsidR="00A454AE" w:rsidRPr="00520812" w:rsidRDefault="00A454AE" w:rsidP="00753414">
      <w:pPr>
        <w:pStyle w:val="SingleTxtG"/>
        <w:numPr>
          <w:ilvl w:val="0"/>
          <w:numId w:val="43"/>
        </w:numPr>
        <w:kinsoku/>
        <w:overflowPunct/>
        <w:autoSpaceDE/>
        <w:autoSpaceDN/>
        <w:adjustRightInd/>
        <w:snapToGrid/>
        <w:ind w:left="1134" w:firstLine="0"/>
      </w:pPr>
      <w:r w:rsidRPr="00E20A1E">
        <w:t>L</w:t>
      </w:r>
      <w:r>
        <w:t>’</w:t>
      </w:r>
      <w:r w:rsidRPr="00E20A1E">
        <w:t xml:space="preserve">interdiction de la discrimination « raciale » est garantie par </w:t>
      </w:r>
      <w:r>
        <w:t>certaines</w:t>
      </w:r>
      <w:r w:rsidRPr="00E20A1E">
        <w:t xml:space="preserve"> sources dans l</w:t>
      </w:r>
      <w:r>
        <w:t>’</w:t>
      </w:r>
      <w:r w:rsidRPr="00E20A1E">
        <w:t>ordre juridique suisse. Il n</w:t>
      </w:r>
      <w:r>
        <w:t>’</w:t>
      </w:r>
      <w:r w:rsidRPr="00E20A1E">
        <w:t>existe pas de loi générale contre la discrimination, la protection étant garantie de manière sectorielle</w:t>
      </w:r>
      <w:r>
        <w:t xml:space="preserve"> (p</w:t>
      </w:r>
      <w:r w:rsidRPr="003138D6">
        <w:t>ar exemple, l'égalité entre femmes et hommes, l'égalité des personnes handicapées, certaines dispositions du droit du travail, etc.</w:t>
      </w:r>
      <w:r>
        <w:t>)</w:t>
      </w:r>
      <w:r w:rsidRPr="00E20A1E">
        <w:t xml:space="preserve"> (</w:t>
      </w:r>
      <w:r w:rsidRPr="00520812">
        <w:t>cf</w:t>
      </w:r>
      <w:r w:rsidRPr="005F4E6C">
        <w:t xml:space="preserve">. </w:t>
      </w:r>
      <w:r>
        <w:t>ch. 44</w:t>
      </w:r>
      <w:r w:rsidRPr="00520812">
        <w:t>).</w:t>
      </w:r>
    </w:p>
    <w:p w14:paraId="48A90C66" w14:textId="77777777" w:rsidR="00A454AE" w:rsidRPr="00520812" w:rsidRDefault="00A454AE" w:rsidP="00753414">
      <w:pPr>
        <w:pStyle w:val="SingleTxtG"/>
        <w:numPr>
          <w:ilvl w:val="0"/>
          <w:numId w:val="43"/>
        </w:numPr>
        <w:kinsoku/>
        <w:overflowPunct/>
        <w:autoSpaceDE/>
        <w:autoSpaceDN/>
        <w:adjustRightInd/>
        <w:snapToGrid/>
        <w:ind w:left="1134" w:firstLine="0"/>
      </w:pPr>
      <w:r w:rsidRPr="00C006D6">
        <w:t>Parmi</w:t>
      </w:r>
      <w:r w:rsidRPr="00520812">
        <w:t xml:space="preserve"> d</w:t>
      </w:r>
      <w:r>
        <w:t>’</w:t>
      </w:r>
      <w:r w:rsidRPr="00520812">
        <w:t>autres acteurs, les centres de conseil pour les victimes du racisme jouent un rôle essentiel dans l</w:t>
      </w:r>
      <w:r>
        <w:t>’</w:t>
      </w:r>
      <w:r w:rsidRPr="00520812">
        <w:t>amélioration de l</w:t>
      </w:r>
      <w:r>
        <w:t>’</w:t>
      </w:r>
      <w:r w:rsidRPr="00520812">
        <w:t>accès à la justice.</w:t>
      </w:r>
      <w:r>
        <w:t xml:space="preserve"> </w:t>
      </w:r>
      <w:r w:rsidRPr="00520812">
        <w:t xml:space="preserve">Ils sont principalement financés par les </w:t>
      </w:r>
      <w:hyperlink r:id="rId17" w:history="1">
        <w:r w:rsidRPr="00F769A3">
          <w:rPr>
            <w:rStyle w:val="Hyperlink"/>
          </w:rPr>
          <w:t>programmes d’intégration cantonaux</w:t>
        </w:r>
      </w:hyperlink>
      <w:r w:rsidRPr="00520812">
        <w:t xml:space="preserve">. Afin </w:t>
      </w:r>
      <w:r>
        <w:t>de renforcer et développer leurs</w:t>
      </w:r>
      <w:r w:rsidRPr="00520812">
        <w:t xml:space="preserve"> prestations, le SLR soutient, dans le cadre d</w:t>
      </w:r>
      <w:r>
        <w:t>’</w:t>
      </w:r>
      <w:r w:rsidRPr="00520812">
        <w:t>un projet pilote, le Réseau de centres de conseil pour les victimes du racisme en Suisse, qui coordonne l</w:t>
      </w:r>
      <w:r>
        <w:t>’</w:t>
      </w:r>
      <w:r w:rsidRPr="00520812">
        <w:t>action de 24</w:t>
      </w:r>
      <w:r>
        <w:t> </w:t>
      </w:r>
      <w:r w:rsidRPr="00520812">
        <w:t>centres</w:t>
      </w:r>
      <w:r>
        <w:t xml:space="preserve"> et les soutient en matière de monitorage, conseil et sensibilisation (cf. ch. 60 et 70)</w:t>
      </w:r>
      <w:r w:rsidRPr="00520812">
        <w:t xml:space="preserve">. Ce réseau a été </w:t>
      </w:r>
      <w:r>
        <w:t>créé</w:t>
      </w:r>
      <w:r w:rsidRPr="00520812">
        <w:t xml:space="preserve"> </w:t>
      </w:r>
      <w:r>
        <w:t xml:space="preserve">conjointement </w:t>
      </w:r>
      <w:r w:rsidRPr="00520812">
        <w:t xml:space="preserve">par la CFR </w:t>
      </w:r>
      <w:r>
        <w:t xml:space="preserve">et </w:t>
      </w:r>
      <w:r w:rsidRPr="00520812">
        <w:t>l</w:t>
      </w:r>
      <w:r>
        <w:t>’</w:t>
      </w:r>
      <w:r w:rsidRPr="00520812">
        <w:t xml:space="preserve">organisation de défense des droits humains humanrights.ch </w:t>
      </w:r>
      <w:r>
        <w:t>en 2005</w:t>
      </w:r>
      <w:r w:rsidRPr="00520812">
        <w:t>.</w:t>
      </w:r>
    </w:p>
    <w:p w14:paraId="184D7A40" w14:textId="77777777" w:rsidR="00A454AE" w:rsidRPr="00E64119" w:rsidRDefault="00A454AE" w:rsidP="00753414">
      <w:pPr>
        <w:pStyle w:val="SingleTxtG"/>
        <w:numPr>
          <w:ilvl w:val="0"/>
          <w:numId w:val="43"/>
        </w:numPr>
        <w:kinsoku/>
        <w:overflowPunct/>
        <w:autoSpaceDE/>
        <w:autoSpaceDN/>
        <w:adjustRightInd/>
        <w:snapToGrid/>
        <w:ind w:left="1134" w:firstLine="0"/>
      </w:pPr>
      <w:r w:rsidRPr="00B7757F">
        <w:t>Comme l</w:t>
      </w:r>
      <w:r>
        <w:t>’</w:t>
      </w:r>
      <w:r w:rsidRPr="00B7757F">
        <w:t xml:space="preserve">a </w:t>
      </w:r>
      <w:r>
        <w:t>constaté</w:t>
      </w:r>
      <w:r w:rsidRPr="00B7757F">
        <w:t xml:space="preserve"> la CFR dans son étude </w:t>
      </w:r>
      <w:hyperlink r:id="rId18" w:history="1">
        <w:r w:rsidRPr="00FC10E6">
          <w:rPr>
            <w:rStyle w:val="Hyperlink"/>
            <w:i/>
            <w:iCs/>
          </w:rPr>
          <w:t>La protection contre la discrimination raciale en droit privé</w:t>
        </w:r>
      </w:hyperlink>
      <w:r>
        <w:t xml:space="preserve">, parue en </w:t>
      </w:r>
      <w:r w:rsidRPr="00B7757F">
        <w:t>juin 2025, le droit civil suisse n</w:t>
      </w:r>
      <w:r>
        <w:t>’</w:t>
      </w:r>
      <w:r w:rsidRPr="00B7757F">
        <w:t>offre qu</w:t>
      </w:r>
      <w:r>
        <w:t>’</w:t>
      </w:r>
      <w:r w:rsidRPr="00B7757F">
        <w:t>une protection partielle contre la discrimination raciale. L</w:t>
      </w:r>
      <w:r>
        <w:t>’</w:t>
      </w:r>
      <w:r w:rsidRPr="00B7757F">
        <w:t xml:space="preserve">analyse se concentre sur les rapports de travail privé et les contrats de bail, deux domaines particulièrement exposés au racisme, tout en abordant également les dimensions de la discrimination multiple et </w:t>
      </w:r>
      <w:proofErr w:type="spellStart"/>
      <w:r w:rsidRPr="00B7757F">
        <w:t>intersectionnelle</w:t>
      </w:r>
      <w:proofErr w:type="spellEnd"/>
      <w:r w:rsidRPr="00B7757F">
        <w:t>. Selon cette étude, le droit civil prévoit en principe une protection en cas d</w:t>
      </w:r>
      <w:r>
        <w:t>’</w:t>
      </w:r>
      <w:r w:rsidRPr="00B7757F">
        <w:t>atteinte à la personnalité, ce qui inclut la discrimination raciale. Toutefois, les obstacles à l</w:t>
      </w:r>
      <w:r>
        <w:t>’</w:t>
      </w:r>
      <w:r w:rsidRPr="00B7757F">
        <w:t>ouverture d</w:t>
      </w:r>
      <w:r>
        <w:t>’</w:t>
      </w:r>
      <w:r w:rsidRPr="00B7757F">
        <w:t>une procédure judiciaire restent importants, et les indemnités à verser sont souvent peu dissuasives pour les auteurs. À cela s</w:t>
      </w:r>
      <w:r>
        <w:t>’</w:t>
      </w:r>
      <w:r w:rsidRPr="00B7757F">
        <w:t>ajoutent des barrières structurelles, économiques et psychologiques, qui rendent difficile l</w:t>
      </w:r>
      <w:r>
        <w:t>’</w:t>
      </w:r>
      <w:r w:rsidRPr="00B7757F">
        <w:t xml:space="preserve">accès à une protection juridique adéquate pour les personnes concernées. </w:t>
      </w:r>
      <w:r>
        <w:t>Les auteurs jugent nécessaire de prendre plusieurs mesures pour</w:t>
      </w:r>
      <w:r w:rsidRPr="00B7757F">
        <w:t xml:space="preserve"> lutter efficacement contre les discrimination</w:t>
      </w:r>
      <w:r>
        <w:t>s </w:t>
      </w:r>
      <w:r w:rsidRPr="00B7757F">
        <w:t>: il s</w:t>
      </w:r>
      <w:r>
        <w:t>’</w:t>
      </w:r>
      <w:r w:rsidRPr="00B7757F">
        <w:t>agit notamment d</w:t>
      </w:r>
      <w:r>
        <w:t>’</w:t>
      </w:r>
      <w:r w:rsidRPr="00B7757F">
        <w:t>alléger le fardeau de la preuve, de mettre en place des procédures de conciliation gratuites et d</w:t>
      </w:r>
      <w:r>
        <w:t>’</w:t>
      </w:r>
      <w:r w:rsidRPr="00B7757F">
        <w:t>interdire explicitement toute forme de discrimination dans les processus de recrutement. L</w:t>
      </w:r>
      <w:r>
        <w:t>’</w:t>
      </w:r>
      <w:r w:rsidRPr="00B7757F">
        <w:t>adoption d</w:t>
      </w:r>
      <w:r>
        <w:t>’</w:t>
      </w:r>
      <w:r w:rsidRPr="00B7757F">
        <w:t xml:space="preserve">une loi </w:t>
      </w:r>
      <w:r>
        <w:t>générale sur l’égalité de traitement</w:t>
      </w:r>
      <w:r w:rsidRPr="00B7757F">
        <w:t xml:space="preserve"> ou </w:t>
      </w:r>
      <w:r>
        <w:t>une modification</w:t>
      </w:r>
      <w:r w:rsidRPr="00B7757F">
        <w:t xml:space="preserve"> du code des obligations renforcerait la transparence et la sécurité juridique.</w:t>
      </w:r>
      <w:r>
        <w:t xml:space="preserve"> Toujours selon la même </w:t>
      </w:r>
      <w:r w:rsidRPr="00B7757F">
        <w:t>étude, une législation globale couvrant également d</w:t>
      </w:r>
      <w:r>
        <w:t>’</w:t>
      </w:r>
      <w:r w:rsidRPr="00B7757F">
        <w:t>autres formes de discrimination permettrait de promouvoir l</w:t>
      </w:r>
      <w:r>
        <w:t>’</w:t>
      </w:r>
      <w:r w:rsidRPr="00B7757F">
        <w:t xml:space="preserve">égalité des chances et de répondre aux engagements internationaux. </w:t>
      </w:r>
      <w:hyperlink r:id="rId19" w:history="1">
        <w:r w:rsidRPr="00F7417C">
          <w:rPr>
            <w:rStyle w:val="Hyperlink"/>
          </w:rPr>
          <w:t>L</w:t>
        </w:r>
        <w:r>
          <w:rPr>
            <w:rStyle w:val="Hyperlink"/>
          </w:rPr>
          <w:t>’</w:t>
        </w:r>
        <w:r w:rsidRPr="00F7417C">
          <w:rPr>
            <w:rStyle w:val="Hyperlink"/>
          </w:rPr>
          <w:t>analyse comparative de la protection contre les discriminations en droit civil en Europe</w:t>
        </w:r>
      </w:hyperlink>
      <w:r w:rsidRPr="00B7757F">
        <w:t>, également publiée par la CFR en juin 2025, révèle par ailleurs qu</w:t>
      </w:r>
      <w:r>
        <w:t xml:space="preserve">e le droit civil suisse offre toujours une protection moindre contre la discrimination raciale que celui </w:t>
      </w:r>
      <w:r w:rsidRPr="00B7757F">
        <w:t>d</w:t>
      </w:r>
      <w:r>
        <w:t>’</w:t>
      </w:r>
      <w:r w:rsidRPr="00B7757F">
        <w:t>autres pays européens</w:t>
      </w:r>
      <w:r>
        <w:rPr>
          <w:rStyle w:val="CommentReference"/>
          <w:lang w:eastAsia="fr-CH" w:bidi="fr-CH"/>
        </w:rPr>
        <w:t xml:space="preserve">. </w:t>
      </w:r>
      <w:r w:rsidRPr="00362514">
        <w:t>Le Conseil fédéral ne s'est pas prononcé sur les résultats de ces études.</w:t>
      </w:r>
    </w:p>
    <w:p w14:paraId="6F57B0E1" w14:textId="35C27ED5" w:rsidR="00A454AE" w:rsidRPr="00E20A1E" w:rsidRDefault="00A454AE" w:rsidP="00A454AE">
      <w:pPr>
        <w:pStyle w:val="H23G"/>
        <w:rPr>
          <w:rStyle w:val="Heading2Char"/>
          <w:b w:val="0"/>
        </w:rPr>
      </w:pPr>
      <w:bookmarkStart w:id="25" w:name="_Toc530069736"/>
      <w:r w:rsidRPr="00E20A1E">
        <w:rPr>
          <w:rStyle w:val="Heading2Char"/>
        </w:rPr>
        <w:lastRenderedPageBreak/>
        <w:tab/>
      </w:r>
      <w:r w:rsidR="001C2F65">
        <w:rPr>
          <w:rStyle w:val="Heading2Char"/>
        </w:rPr>
        <w:t>C.</w:t>
      </w:r>
      <w:r w:rsidRPr="00E20A1E">
        <w:rPr>
          <w:rStyle w:val="Heading2Char"/>
        </w:rPr>
        <w:tab/>
      </w:r>
      <w:r w:rsidRPr="001C2F65">
        <w:t>Protection des minorités</w:t>
      </w:r>
      <w:r w:rsidRPr="00E20A1E">
        <w:rPr>
          <w:rStyle w:val="Heading2Char"/>
        </w:rPr>
        <w:t xml:space="preserve"> </w:t>
      </w:r>
      <w:bookmarkEnd w:id="25"/>
    </w:p>
    <w:p w14:paraId="12299A75" w14:textId="77777777" w:rsidR="00A454AE" w:rsidRPr="00E20A1E" w:rsidRDefault="00A454AE" w:rsidP="00753414">
      <w:pPr>
        <w:pStyle w:val="SingleTxtG"/>
        <w:numPr>
          <w:ilvl w:val="0"/>
          <w:numId w:val="43"/>
        </w:numPr>
        <w:kinsoku/>
        <w:overflowPunct/>
        <w:autoSpaceDE/>
        <w:autoSpaceDN/>
        <w:adjustRightInd/>
        <w:snapToGrid/>
        <w:ind w:left="1134" w:firstLine="0"/>
      </w:pPr>
      <w:proofErr w:type="gramStart"/>
      <w:r w:rsidRPr="00E20A1E">
        <w:t>Suite à</w:t>
      </w:r>
      <w:proofErr w:type="gramEnd"/>
      <w:r w:rsidRPr="00E20A1E">
        <w:t xml:space="preserve"> l</w:t>
      </w:r>
      <w:r>
        <w:t>’</w:t>
      </w:r>
      <w:r w:rsidRPr="00E20A1E">
        <w:t>entrée en vigueur</w:t>
      </w:r>
      <w:r>
        <w:t>,</w:t>
      </w:r>
      <w:r w:rsidRPr="00E20A1E">
        <w:t xml:space="preserve"> le 1</w:t>
      </w:r>
      <w:r w:rsidRPr="00B64FDE">
        <w:rPr>
          <w:vertAlign w:val="superscript"/>
        </w:rPr>
        <w:t>er</w:t>
      </w:r>
      <w:r>
        <w:t> </w:t>
      </w:r>
      <w:r w:rsidRPr="00E20A1E">
        <w:t>novembre 2019</w:t>
      </w:r>
      <w:r>
        <w:t>,</w:t>
      </w:r>
      <w:r w:rsidRPr="00E20A1E">
        <w:t xml:space="preserve"> de l</w:t>
      </w:r>
      <w:r>
        <w:t>’o</w:t>
      </w:r>
      <w:r w:rsidRPr="00E20A1E">
        <w:t>rdonnance</w:t>
      </w:r>
      <w:r>
        <w:t xml:space="preserve"> du 9°octobre 2019</w:t>
      </w:r>
      <w:r w:rsidRPr="00E20A1E">
        <w:t xml:space="preserve"> sur les mesures visant à promouvoir la sécurité des minorités ayant un besoin de protection particulier (OSMP</w:t>
      </w:r>
      <w:r>
        <w:t> </w:t>
      </w:r>
      <w:r w:rsidRPr="00E20A1E">
        <w:t>; RS</w:t>
      </w:r>
      <w:r>
        <w:t> </w:t>
      </w:r>
      <w:r w:rsidRPr="00B64FDE">
        <w:rPr>
          <w:i/>
          <w:iCs/>
        </w:rPr>
        <w:t>311.039.6</w:t>
      </w:r>
      <w:r w:rsidRPr="00E20A1E">
        <w:t xml:space="preserve">), </w:t>
      </w:r>
      <w:r>
        <w:t>l’Office fédéral de la police (</w:t>
      </w:r>
      <w:proofErr w:type="spellStart"/>
      <w:r w:rsidRPr="00E20A1E">
        <w:t>fedpol</w:t>
      </w:r>
      <w:proofErr w:type="spellEnd"/>
      <w:r>
        <w:t>)</w:t>
      </w:r>
      <w:r w:rsidRPr="00E20A1E">
        <w:t xml:space="preserve"> soutient financièrement depuis 2020 des organisations qui requièrent une protection particulière. On entend par minorités les groupes de personnes numériquement inférieurs au restant de la population qui se sentent liés par leur mode de vie, leur culture, leur religion, leurs traditions, leur langue ou leur orientation sexuelle. </w:t>
      </w:r>
      <w:r>
        <w:t>Selon OSMP, u</w:t>
      </w:r>
      <w:r w:rsidRPr="00E20A1E">
        <w:t>n besoin de protection particulier est admis si la menace de terrorisme ou d</w:t>
      </w:r>
      <w:r>
        <w:t>’</w:t>
      </w:r>
      <w:r w:rsidRPr="00E20A1E">
        <w:t>extrémisme violent est accrue. Le Service de renseignement de la Confédération évalue le besoin spécifique de protection sur la base d</w:t>
      </w:r>
      <w:r>
        <w:t>’</w:t>
      </w:r>
      <w:r w:rsidRPr="00E20A1E">
        <w:t xml:space="preserve">une analyse de la menace. Actuellement, ce besoin concerne les organisations juives et musulmanes ainsi que la communauté LGBTQ+. En 2025, </w:t>
      </w:r>
      <w:proofErr w:type="spellStart"/>
      <w:r w:rsidRPr="00E20A1E">
        <w:t>fedpol</w:t>
      </w:r>
      <w:proofErr w:type="spellEnd"/>
      <w:r w:rsidRPr="00E20A1E">
        <w:t xml:space="preserve"> </w:t>
      </w:r>
      <w:r>
        <w:t>a soutenu</w:t>
      </w:r>
      <w:r w:rsidRPr="00E20A1E">
        <w:t xml:space="preserve"> 44</w:t>
      </w:r>
      <w:r>
        <w:t> </w:t>
      </w:r>
      <w:r w:rsidRPr="00E20A1E">
        <w:t xml:space="preserve">organisations </w:t>
      </w:r>
      <w:r>
        <w:t>à hauteur</w:t>
      </w:r>
      <w:r w:rsidRPr="00E20A1E">
        <w:t xml:space="preserve"> d</w:t>
      </w:r>
      <w:r>
        <w:t>’</w:t>
      </w:r>
      <w:r w:rsidRPr="00E20A1E">
        <w:t>environ 5</w:t>
      </w:r>
      <w:r>
        <w:t> </w:t>
      </w:r>
      <w:r w:rsidRPr="00E20A1E">
        <w:t>millions de francs</w:t>
      </w:r>
      <w:r>
        <w:t xml:space="preserve"> dans les domaines </w:t>
      </w:r>
      <w:r w:rsidRPr="00526135">
        <w:t>suivants : mesures organisationnelles </w:t>
      </w:r>
      <w:r>
        <w:t>(</w:t>
      </w:r>
      <w:r w:rsidRPr="00B64FDE">
        <w:t>frais de sécurité courants</w:t>
      </w:r>
      <w:r>
        <w:t xml:space="preserve">) ; renforcement des </w:t>
      </w:r>
      <w:r w:rsidRPr="00B64FDE">
        <w:t>dispositifs architecturaux et techniques visant à renforcer la protection en cas d</w:t>
      </w:r>
      <w:r>
        <w:t>’</w:t>
      </w:r>
      <w:r w:rsidRPr="00B64FDE">
        <w:t>attaque terroriste ou d</w:t>
      </w:r>
      <w:r>
        <w:t>’</w:t>
      </w:r>
      <w:r w:rsidRPr="00B64FDE">
        <w:t>acte extrémiste violent</w:t>
      </w:r>
      <w:r>
        <w:t> ; f</w:t>
      </w:r>
      <w:r w:rsidRPr="0005253D">
        <w:t>ormations visant à identifier les risques et à renforcer les capacités de défense face aux menaces</w:t>
      </w:r>
      <w:r>
        <w:t> ; mesures</w:t>
      </w:r>
      <w:r w:rsidRPr="0005253D">
        <w:t xml:space="preserve"> de sensibilisation et d</w:t>
      </w:r>
      <w:r>
        <w:t>’</w:t>
      </w:r>
      <w:r w:rsidRPr="0005253D">
        <w:t>information.</w:t>
      </w:r>
      <w:r w:rsidRPr="00E20A1E">
        <w:t xml:space="preserve"> </w:t>
      </w:r>
      <w:r>
        <w:t>D</w:t>
      </w:r>
      <w:r w:rsidRPr="00E20A1E">
        <w:t>epuis l</w:t>
      </w:r>
      <w:r>
        <w:t>’</w:t>
      </w:r>
      <w:r w:rsidRPr="00E20A1E">
        <w:t>entrée en vigueur de l</w:t>
      </w:r>
      <w:r>
        <w:t>’</w:t>
      </w:r>
      <w:r w:rsidRPr="00E20A1E">
        <w:t>ordonnance</w:t>
      </w:r>
      <w:r>
        <w:t xml:space="preserve">, </w:t>
      </w:r>
      <w:r w:rsidRPr="00E20A1E">
        <w:t xml:space="preserve">le budget global à disposition </w:t>
      </w:r>
      <w:r>
        <w:t>a</w:t>
      </w:r>
      <w:r w:rsidRPr="00E20A1E">
        <w:t xml:space="preserve"> fortement augmenté</w:t>
      </w:r>
      <w:r>
        <w:t> : à</w:t>
      </w:r>
      <w:r w:rsidRPr="00BC5DA4">
        <w:t xml:space="preserve"> partir de 2020, le montant annuel s’élevait à 500'000 francs, à partir de 2023 à 2,5 millions de francs et à partir de 2024 à 5,0 millions de francs. Pour les années 2026 et 2027, un montant de 6,0 millions de francs est prévu chaque </w:t>
      </w:r>
      <w:proofErr w:type="gramStart"/>
      <w:r w:rsidRPr="00BC5DA4">
        <w:t>année.</w:t>
      </w:r>
      <w:r w:rsidRPr="00E20A1E">
        <w:t>.</w:t>
      </w:r>
      <w:proofErr w:type="gramEnd"/>
    </w:p>
    <w:p w14:paraId="61173193" w14:textId="77777777" w:rsidR="00A454AE" w:rsidRPr="00E83B15" w:rsidRDefault="00A454AE" w:rsidP="00753414">
      <w:pPr>
        <w:pStyle w:val="SingleTxtG"/>
        <w:numPr>
          <w:ilvl w:val="0"/>
          <w:numId w:val="43"/>
        </w:numPr>
        <w:kinsoku/>
        <w:overflowPunct/>
        <w:autoSpaceDE/>
        <w:autoSpaceDN/>
        <w:adjustRightInd/>
        <w:snapToGrid/>
        <w:ind w:left="1134" w:firstLine="0"/>
      </w:pPr>
      <w:r w:rsidRPr="00E20A1E">
        <w:t xml:space="preserve">Cette mesure vise à répondre à la forte augmentation des demandes de soutien aux mesures de protection, qui ont récemment dépassé les moyens disponibles, et à tenir compte </w:t>
      </w:r>
      <w:r w:rsidRPr="00E83B15">
        <w:t>des besoins accrus de protection des minorités particulièrement exposées.</w:t>
      </w:r>
    </w:p>
    <w:p w14:paraId="51D5C1A6" w14:textId="77777777" w:rsidR="00A454AE" w:rsidRPr="00E83B15" w:rsidRDefault="00A454AE" w:rsidP="00753414">
      <w:pPr>
        <w:pStyle w:val="SingleTxtG"/>
        <w:numPr>
          <w:ilvl w:val="0"/>
          <w:numId w:val="43"/>
        </w:numPr>
        <w:kinsoku/>
        <w:overflowPunct/>
        <w:autoSpaceDE/>
        <w:autoSpaceDN/>
        <w:adjustRightInd/>
        <w:snapToGrid/>
        <w:ind w:left="1134" w:firstLine="0"/>
      </w:pPr>
      <w:r w:rsidRPr="00E83B15">
        <w:t>En février 2023, le Comité consultatif du Conseil de l</w:t>
      </w:r>
      <w:r>
        <w:t>’</w:t>
      </w:r>
      <w:r w:rsidRPr="00E83B15">
        <w:t xml:space="preserve">Europe de la Convention-cadre pour la protection des minorités nationales a adopté son cinquième avis sur la Suisse. À ce jour, sont reconnus comme minorités nationales suisses : les minorités linguistiques nationales, les membres des communautés juives, ainsi que les </w:t>
      </w:r>
      <w:proofErr w:type="spellStart"/>
      <w:r w:rsidRPr="00E83B15">
        <w:t>Yéniches</w:t>
      </w:r>
      <w:proofErr w:type="spellEnd"/>
      <w:r w:rsidRPr="00E83B15">
        <w:t xml:space="preserve"> et les Manouches/</w:t>
      </w:r>
      <w:proofErr w:type="spellStart"/>
      <w:r w:rsidRPr="00E83B15">
        <w:t>Sintés</w:t>
      </w:r>
      <w:proofErr w:type="spellEnd"/>
      <w:r w:rsidRPr="00E83B15">
        <w:t>, qu</w:t>
      </w:r>
      <w:r>
        <w:t>’</w:t>
      </w:r>
      <w:r w:rsidRPr="00E83B15">
        <w:t xml:space="preserve">ils mènent un mode de vie itinérant ou </w:t>
      </w:r>
      <w:r>
        <w:t>non</w:t>
      </w:r>
      <w:r w:rsidRPr="00E83B15">
        <w:t xml:space="preserve">. Le </w:t>
      </w:r>
      <w:r>
        <w:t>c</w:t>
      </w:r>
      <w:r w:rsidRPr="00E83B15">
        <w:t xml:space="preserve">omité recommande la mise en œuvre immédiate de </w:t>
      </w:r>
      <w:r>
        <w:t xml:space="preserve">plusieurs </w:t>
      </w:r>
      <w:r w:rsidRPr="00E83B15">
        <w:t xml:space="preserve">mesures visant à renforcer les droits </w:t>
      </w:r>
      <w:r>
        <w:t xml:space="preserve">et la protection </w:t>
      </w:r>
      <w:r w:rsidRPr="00E83B15">
        <w:t xml:space="preserve">des minorités nationales. Il </w:t>
      </w:r>
      <w:r>
        <w:t>exhorte</w:t>
      </w:r>
      <w:r w:rsidRPr="00E83B15">
        <w:t xml:space="preserve"> tout d</w:t>
      </w:r>
      <w:r>
        <w:t>’</w:t>
      </w:r>
      <w:r w:rsidRPr="00E83B15">
        <w:t xml:space="preserve">abord </w:t>
      </w:r>
      <w:r>
        <w:t>les autorités à</w:t>
      </w:r>
      <w:r w:rsidRPr="00E83B15">
        <w:t xml:space="preserve"> garantir le principe de non-discrimination et </w:t>
      </w:r>
      <w:r>
        <w:t>d’accès égal aux</w:t>
      </w:r>
      <w:r w:rsidRPr="00E83B15">
        <w:t xml:space="preserve"> droits pour ces </w:t>
      </w:r>
      <w:r>
        <w:t>personnes</w:t>
      </w:r>
      <w:r w:rsidRPr="00E83B15">
        <w:t xml:space="preserve">. </w:t>
      </w:r>
      <w:r>
        <w:t>Il</w:t>
      </w:r>
      <w:r w:rsidRPr="00E83B15">
        <w:t xml:space="preserve"> </w:t>
      </w:r>
      <w:r>
        <w:t xml:space="preserve">leur </w:t>
      </w:r>
      <w:r w:rsidRPr="00E83B15">
        <w:t>demande également d</w:t>
      </w:r>
      <w:r>
        <w:t>’</w:t>
      </w:r>
      <w:r w:rsidRPr="00E83B15">
        <w:t>augmenter le nombre d</w:t>
      </w:r>
      <w:r>
        <w:t>’</w:t>
      </w:r>
      <w:r w:rsidRPr="00E83B15">
        <w:t xml:space="preserve">aires de séjour, de passage et de transit, en concertation avec les communautés concernées. Par ailleurs, il </w:t>
      </w:r>
      <w:r>
        <w:t>enjoint aux pouvoirs publics</w:t>
      </w:r>
      <w:r w:rsidRPr="00E83B15">
        <w:t xml:space="preserve"> </w:t>
      </w:r>
      <w:r>
        <w:t>d’</w:t>
      </w:r>
      <w:r w:rsidRPr="00E83B15">
        <w:t>intensifier leurs efforts pour lutter contre toutes les formes de racisme et d</w:t>
      </w:r>
      <w:r>
        <w:t>’</w:t>
      </w:r>
      <w:r w:rsidRPr="00E83B15">
        <w:t xml:space="preserve">intolérance, </w:t>
      </w:r>
      <w:r>
        <w:t>y compris</w:t>
      </w:r>
      <w:r w:rsidRPr="00E83B15">
        <w:t xml:space="preserve"> l</w:t>
      </w:r>
      <w:r>
        <w:t>’</w:t>
      </w:r>
      <w:proofErr w:type="spellStart"/>
      <w:r w:rsidRPr="00E83B15">
        <w:t>antitsiganisme</w:t>
      </w:r>
      <w:proofErr w:type="spellEnd"/>
      <w:r w:rsidRPr="00E83B15">
        <w:t>, l</w:t>
      </w:r>
      <w:r>
        <w:t>’</w:t>
      </w:r>
      <w:r w:rsidRPr="00E83B15">
        <w:t>antisémitisme, le racisme antimusulman et le racisme ant</w:t>
      </w:r>
      <w:r>
        <w:t>i</w:t>
      </w:r>
      <w:r w:rsidRPr="00E83B15">
        <w:t>-Noirs. Il les appelle à agir plus fermement contre la prolifération des discours de haine sur les réseaux sociaux, en étroite collaboration avec les fournisseurs de services Internet et les populations touchées. Enfin, il souligne l</w:t>
      </w:r>
      <w:r>
        <w:t>’</w:t>
      </w:r>
      <w:r w:rsidRPr="00E83B15">
        <w:t>importance d</w:t>
      </w:r>
      <w:r>
        <w:t>’</w:t>
      </w:r>
      <w:r w:rsidRPr="00E83B15">
        <w:t>intégrer l</w:t>
      </w:r>
      <w:r>
        <w:t>’</w:t>
      </w:r>
      <w:r w:rsidRPr="00E83B15">
        <w:t xml:space="preserve">histoire des Roms, des </w:t>
      </w:r>
      <w:proofErr w:type="spellStart"/>
      <w:r w:rsidRPr="00E83B15">
        <w:t>Yéniche</w:t>
      </w:r>
      <w:r>
        <w:t>s</w:t>
      </w:r>
      <w:proofErr w:type="spellEnd"/>
      <w:r w:rsidRPr="00E83B15">
        <w:t xml:space="preserve"> et des Manouches/</w:t>
      </w:r>
      <w:proofErr w:type="spellStart"/>
      <w:r w:rsidRPr="00E83B15">
        <w:t>Sintés</w:t>
      </w:r>
      <w:proofErr w:type="spellEnd"/>
      <w:r w:rsidRPr="00E83B15">
        <w:t> </w:t>
      </w:r>
      <w:r>
        <w:t>–</w:t>
      </w:r>
      <w:r w:rsidRPr="00E83B15">
        <w:t xml:space="preserve"> en particulier leur persécution durant l</w:t>
      </w:r>
      <w:r>
        <w:t>’</w:t>
      </w:r>
      <w:r w:rsidRPr="00E83B15">
        <w:t xml:space="preserve">Holocauste et </w:t>
      </w:r>
      <w:r>
        <w:t>les actes perpétrés par</w:t>
      </w:r>
      <w:r w:rsidRPr="00E83B15">
        <w:t xml:space="preserve"> la Fondation Pro </w:t>
      </w:r>
      <w:proofErr w:type="spellStart"/>
      <w:r w:rsidRPr="00E83B15">
        <w:t>Juventute</w:t>
      </w:r>
      <w:proofErr w:type="spellEnd"/>
      <w:r>
        <w:t> –</w:t>
      </w:r>
      <w:r w:rsidRPr="00E83B15">
        <w:t xml:space="preserve"> dans les programmes scolaires et le matériel d</w:t>
      </w:r>
      <w:r>
        <w:t>’</w:t>
      </w:r>
      <w:r w:rsidRPr="00E83B15">
        <w:t xml:space="preserve">enseignement </w:t>
      </w:r>
      <w:r w:rsidRPr="00E9083C">
        <w:t>(cf. ch. 2</w:t>
      </w:r>
      <w:r>
        <w:t>6</w:t>
      </w:r>
      <w:r w:rsidRPr="00E9083C">
        <w:t>).</w:t>
      </w:r>
    </w:p>
    <w:p w14:paraId="1072D0B4" w14:textId="77777777" w:rsidR="00A454AE" w:rsidRPr="00E63D81" w:rsidRDefault="00A454AE" w:rsidP="00753414">
      <w:pPr>
        <w:pStyle w:val="SingleTxtG"/>
        <w:numPr>
          <w:ilvl w:val="0"/>
          <w:numId w:val="43"/>
        </w:numPr>
        <w:kinsoku/>
        <w:overflowPunct/>
        <w:autoSpaceDE/>
        <w:autoSpaceDN/>
        <w:adjustRightInd/>
        <w:snapToGrid/>
        <w:ind w:left="1134" w:firstLine="0"/>
      </w:pPr>
      <w:r w:rsidRPr="00E63D81">
        <w:t>Le 17</w:t>
      </w:r>
      <w:r>
        <w:t> </w:t>
      </w:r>
      <w:r w:rsidRPr="00E63D81">
        <w:t>mars 2025, les autorités suisses, le Conseil de l</w:t>
      </w:r>
      <w:r>
        <w:t>’</w:t>
      </w:r>
      <w:r w:rsidRPr="00E63D81">
        <w:t>Europe, les organisations de minorités, plusieurs organisations non gouvernementales ainsi que des acteurs de la communauté scientifique ont échangé leurs points de vue sur la mise en œuvre de ces recommandations dans le cadre du cinquième colloque sur la protection et la promotion des minorités nationales. Organisé sous l</w:t>
      </w:r>
      <w:r>
        <w:t>’</w:t>
      </w:r>
      <w:r w:rsidRPr="00E63D81">
        <w:t>égide du DFAE, en collaboration avec l</w:t>
      </w:r>
      <w:r>
        <w:t>’</w:t>
      </w:r>
      <w:r w:rsidRPr="00E63D81">
        <w:t>O</w:t>
      </w:r>
      <w:r>
        <w:t>ffice fédéral de la culture (O</w:t>
      </w:r>
      <w:r w:rsidRPr="00E63D81">
        <w:t>FC</w:t>
      </w:r>
      <w:proofErr w:type="gramStart"/>
      <w:r>
        <w:t xml:space="preserve">), </w:t>
      </w:r>
      <w:r w:rsidRPr="00E63D81">
        <w:t xml:space="preserve"> le</w:t>
      </w:r>
      <w:proofErr w:type="gramEnd"/>
      <w:r w:rsidRPr="00E63D81">
        <w:t xml:space="preserve"> SLR</w:t>
      </w:r>
      <w:r>
        <w:t xml:space="preserve"> et l</w:t>
      </w:r>
      <w:r w:rsidRPr="00D200E9">
        <w:t xml:space="preserve">a fondation Assurer l'avenir des gens du voyage </w:t>
      </w:r>
      <w:proofErr w:type="gramStart"/>
      <w:r w:rsidRPr="00D200E9">
        <w:t>suisses </w:t>
      </w:r>
      <w:r w:rsidRPr="00E63D81">
        <w:t>,</w:t>
      </w:r>
      <w:proofErr w:type="gramEnd"/>
      <w:r w:rsidRPr="00E63D81">
        <w:t xml:space="preserve"> le colloque s</w:t>
      </w:r>
      <w:r>
        <w:t>’</w:t>
      </w:r>
      <w:r w:rsidRPr="00E63D81">
        <w:t xml:space="preserve">est tenu en présence de la conseillère fédérale Elisabeth Baume-Schneider, qui </w:t>
      </w:r>
      <w:r>
        <w:t xml:space="preserve">en </w:t>
      </w:r>
      <w:r w:rsidRPr="00E63D81">
        <w:t xml:space="preserve">a prononcé </w:t>
      </w:r>
      <w:r>
        <w:t>l’allocution de bienvenue</w:t>
      </w:r>
      <w:r w:rsidRPr="00E63D81">
        <w:t xml:space="preserve">. </w:t>
      </w:r>
    </w:p>
    <w:p w14:paraId="1FBD433D"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Le 19</w:t>
      </w:r>
      <w:r>
        <w:t> </w:t>
      </w:r>
      <w:r w:rsidRPr="00E20A1E">
        <w:t>février 2025, le Conseil fédéral suisse a pris connaissance d</w:t>
      </w:r>
      <w:r>
        <w:t>’</w:t>
      </w:r>
      <w:r w:rsidRPr="00E20A1E">
        <w:t xml:space="preserve">un avis de droit commandé par le DFI concernant la persécution historique des </w:t>
      </w:r>
      <w:proofErr w:type="spellStart"/>
      <w:r w:rsidRPr="00E20A1E">
        <w:t>Yéniches</w:t>
      </w:r>
      <w:proofErr w:type="spellEnd"/>
      <w:r w:rsidRPr="00E20A1E">
        <w:t xml:space="preserve"> et des </w:t>
      </w:r>
      <w:r>
        <w:t>Manouches/</w:t>
      </w:r>
      <w:proofErr w:type="spellStart"/>
      <w:r>
        <w:t>Sintés</w:t>
      </w:r>
      <w:proofErr w:type="spellEnd"/>
      <w:r w:rsidRPr="00E20A1E">
        <w:t xml:space="preserve">. </w:t>
      </w:r>
      <w:proofErr w:type="gramStart"/>
      <w:r w:rsidRPr="00E20A1E">
        <w:t>Ce</w:t>
      </w:r>
      <w:proofErr w:type="gramEnd"/>
      <w:r w:rsidRPr="00E20A1E">
        <w:t xml:space="preserve"> </w:t>
      </w:r>
      <w:r>
        <w:t>avis de droit</w:t>
      </w:r>
      <w:r w:rsidRPr="00E20A1E">
        <w:t xml:space="preserve">, rédigé par le professeur de droit international Oliver </w:t>
      </w:r>
      <w:proofErr w:type="spellStart"/>
      <w:r w:rsidRPr="00E20A1E">
        <w:t>Diggelmann</w:t>
      </w:r>
      <w:proofErr w:type="spellEnd"/>
      <w:r w:rsidRPr="00E20A1E">
        <w:t xml:space="preserve"> (Université de Zurich), conclut que l</w:t>
      </w:r>
      <w:r>
        <w:t>’enlèvement et l</w:t>
      </w:r>
      <w:r w:rsidRPr="00E20A1E">
        <w:t>es placements forcés d</w:t>
      </w:r>
      <w:r>
        <w:t>’</w:t>
      </w:r>
      <w:r w:rsidRPr="00E20A1E">
        <w:t>enfants dans le cadre d</w:t>
      </w:r>
      <w:r>
        <w:t>u projet « </w:t>
      </w:r>
      <w:r w:rsidRPr="00F767AC">
        <w:rPr>
          <w:i/>
          <w:iCs/>
        </w:rPr>
        <w:t>Œuvre d</w:t>
      </w:r>
      <w:r>
        <w:rPr>
          <w:i/>
          <w:iCs/>
        </w:rPr>
        <w:t>’</w:t>
      </w:r>
      <w:r w:rsidRPr="00F767AC">
        <w:rPr>
          <w:i/>
          <w:iCs/>
        </w:rPr>
        <w:t>entraide pour les enfants de la grand-route</w:t>
      </w:r>
      <w:r>
        <w:rPr>
          <w:i/>
          <w:iCs/>
        </w:rPr>
        <w:t> »</w:t>
      </w:r>
      <w:r w:rsidRPr="00E20A1E">
        <w:t xml:space="preserve"> de Pro </w:t>
      </w:r>
      <w:proofErr w:type="spellStart"/>
      <w:r w:rsidRPr="00E20A1E">
        <w:t>Juventute</w:t>
      </w:r>
      <w:proofErr w:type="spellEnd"/>
      <w:r w:rsidRPr="00E20A1E">
        <w:t xml:space="preserve"> ainsi que la destruction intentionnelle des structures familiales visant </w:t>
      </w:r>
      <w:r w:rsidRPr="00E20A1E">
        <w:lastRenderedPageBreak/>
        <w:t>l</w:t>
      </w:r>
      <w:r>
        <w:t>’</w:t>
      </w:r>
      <w:r w:rsidRPr="00E20A1E">
        <w:t>élimination du mode de vie itinérant doivent aujourd</w:t>
      </w:r>
      <w:r>
        <w:t>’</w:t>
      </w:r>
      <w:r w:rsidRPr="00E20A1E">
        <w:t>hui être qualifiés de «</w:t>
      </w:r>
      <w:r>
        <w:t> </w:t>
      </w:r>
      <w:r w:rsidRPr="00E20A1E">
        <w:t>crimes contre l</w:t>
      </w:r>
      <w:r>
        <w:t>’</w:t>
      </w:r>
      <w:r w:rsidRPr="00E20A1E">
        <w:t>humanité</w:t>
      </w:r>
      <w:r>
        <w:t> </w:t>
      </w:r>
      <w:r w:rsidRPr="00E20A1E">
        <w:t xml:space="preserve">» au sens du droit international actuel. </w:t>
      </w:r>
    </w:p>
    <w:p w14:paraId="3AC93754"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Dans ce contexte, le Conseil fédéral a réitéré ses excuses adressées en 2013 à toutes les victimes de</w:t>
      </w:r>
      <w:r>
        <w:t>s</w:t>
      </w:r>
      <w:r w:rsidRPr="00E20A1E">
        <w:t xml:space="preserve"> mesures de coercition à des fins d</w:t>
      </w:r>
      <w:r>
        <w:t>’</w:t>
      </w:r>
      <w:r w:rsidRPr="00E20A1E">
        <w:t xml:space="preserve">assistance, en soulignant explicitement que les </w:t>
      </w:r>
      <w:proofErr w:type="spellStart"/>
      <w:r w:rsidRPr="00E20A1E">
        <w:t>Yéniches</w:t>
      </w:r>
      <w:proofErr w:type="spellEnd"/>
      <w:r w:rsidRPr="00E20A1E">
        <w:t xml:space="preserve"> et les </w:t>
      </w:r>
      <w:r>
        <w:t>Manouches/</w:t>
      </w:r>
      <w:proofErr w:type="spellStart"/>
      <w:r>
        <w:t>Sintés</w:t>
      </w:r>
      <w:proofErr w:type="spellEnd"/>
      <w:r w:rsidRPr="00E20A1E">
        <w:t xml:space="preserve"> en faisaient partie. La cheffe du DFI, Elisabeth Baume-Schneider, a exprimé personnellement aux représentants des communautés la solidarité du Conseil fédéral</w:t>
      </w:r>
      <w:r>
        <w:t>.</w:t>
      </w:r>
      <w:r w:rsidRPr="00901538">
        <w:t xml:space="preserve"> Sur mandat du Conseil fédéral, le DFI clarifiera d'ici fin </w:t>
      </w:r>
      <w:proofErr w:type="gramStart"/>
      <w:r w:rsidRPr="00901538">
        <w:t>2025,</w:t>
      </w:r>
      <w:r w:rsidRPr="00E20A1E">
        <w:t>,</w:t>
      </w:r>
      <w:proofErr w:type="gramEnd"/>
      <w:r w:rsidRPr="00E20A1E">
        <w:t xml:space="preserve"> en dialogue avec les personnes concernées, </w:t>
      </w:r>
      <w:r w:rsidRPr="00575B72">
        <w:t>s</w:t>
      </w:r>
      <w:r>
        <w:t>’</w:t>
      </w:r>
      <w:r w:rsidRPr="00575B72">
        <w:t>il y a lieu d</w:t>
      </w:r>
      <w:r>
        <w:t>’</w:t>
      </w:r>
      <w:r w:rsidRPr="00575B72">
        <w:t>élargir le travail de mémoire déjà effectué</w:t>
      </w:r>
      <w:r>
        <w:t xml:space="preserve"> par d’autres mesures</w:t>
      </w:r>
      <w:r w:rsidRPr="00E20A1E">
        <w:t>.</w:t>
      </w:r>
    </w:p>
    <w:p w14:paraId="545C65E2" w14:textId="33DEB0B4" w:rsidR="00A454AE" w:rsidRPr="00E20A1E" w:rsidRDefault="00A454AE" w:rsidP="00A454AE">
      <w:pPr>
        <w:pStyle w:val="H23G"/>
        <w:rPr>
          <w:rStyle w:val="Heading2Char"/>
          <w:b w:val="0"/>
        </w:rPr>
      </w:pPr>
      <w:bookmarkStart w:id="26" w:name="_Toc530069737"/>
      <w:r w:rsidRPr="00E20A1E">
        <w:rPr>
          <w:rStyle w:val="Heading2Char"/>
        </w:rPr>
        <w:tab/>
      </w:r>
      <w:r w:rsidR="00E746C8">
        <w:rPr>
          <w:rStyle w:val="Heading2Char"/>
        </w:rPr>
        <w:t>D.</w:t>
      </w:r>
      <w:r w:rsidRPr="00E20A1E">
        <w:rPr>
          <w:rStyle w:val="Heading2Char"/>
        </w:rPr>
        <w:tab/>
      </w:r>
      <w:r w:rsidRPr="00E746C8">
        <w:t>Observation</w:t>
      </w:r>
      <w:bookmarkEnd w:id="26"/>
      <w:r w:rsidRPr="00E746C8">
        <w:t>/Monitorage</w:t>
      </w:r>
    </w:p>
    <w:p w14:paraId="77BD7D2B" w14:textId="3A302905" w:rsidR="00A454AE" w:rsidRPr="005473CC" w:rsidRDefault="00A454AE" w:rsidP="00753414">
      <w:pPr>
        <w:pStyle w:val="SingleTxtG"/>
        <w:numPr>
          <w:ilvl w:val="0"/>
          <w:numId w:val="43"/>
        </w:numPr>
        <w:kinsoku/>
        <w:overflowPunct/>
        <w:autoSpaceDE/>
        <w:autoSpaceDN/>
        <w:adjustRightInd/>
        <w:snapToGrid/>
        <w:ind w:left="1134" w:firstLine="0"/>
      </w:pPr>
      <w:r w:rsidRPr="005473CC">
        <w:t xml:space="preserve">Le monitorage du racisme et de la discrimination raciale en Suisse fait partie intégrante du mandat du </w:t>
      </w:r>
      <w:r>
        <w:t>SLR</w:t>
      </w:r>
      <w:r w:rsidRPr="005473CC">
        <w:t>. Il a pour objectif de mettre en lumière les manifestations individuelles, institutionnelles et structurelles du racisme, et de fournir les bases nécessaires à la mise en œuvre de mesures ciblées et efficaces. Le SLR collecte et analyse les données sur le racisme et la discrimination raciale en Suisse depuis 2010</w:t>
      </w:r>
      <w:r>
        <w:t xml:space="preserve"> déjà</w:t>
      </w:r>
      <w:r w:rsidRPr="005473CC">
        <w:t xml:space="preserve">. Depuis 2012, il </w:t>
      </w:r>
      <w:r>
        <w:t xml:space="preserve">a </w:t>
      </w:r>
      <w:r w:rsidRPr="005473CC">
        <w:t>publi</w:t>
      </w:r>
      <w:r>
        <w:t>é</w:t>
      </w:r>
      <w:r w:rsidRPr="005473CC">
        <w:t xml:space="preserve"> tous les deux ans un rapport de monitorage </w:t>
      </w:r>
      <w:r>
        <w:t>comprenant</w:t>
      </w:r>
      <w:r w:rsidRPr="005473CC">
        <w:t xml:space="preserve"> une synthèse et un aperçu structuré des informations disponibles dans le pays. Depuis 2024, les résultats du monitorage sont accessibles en libre consultation sur le site </w:t>
      </w:r>
      <w:hyperlink r:id="rId20" w:history="1">
        <w:r w:rsidRPr="00F769A3">
          <w:rPr>
            <w:rStyle w:val="Hyperlink"/>
          </w:rPr>
          <w:t>www.racisme-en-chiffres.ch</w:t>
        </w:r>
      </w:hyperlink>
      <w:r w:rsidRPr="005473CC">
        <w:t>, accompagnés de graphiques animés qui facilitent la lecture et permettent une comparaison directe des données d</w:t>
      </w:r>
      <w:r>
        <w:t>’</w:t>
      </w:r>
      <w:r w:rsidRPr="005473CC">
        <w:t>une année à l</w:t>
      </w:r>
      <w:r>
        <w:t>’</w:t>
      </w:r>
      <w:r w:rsidRPr="005473CC">
        <w:t xml:space="preserve">autre. Le </w:t>
      </w:r>
      <w:hyperlink r:id="rId21" w:history="1">
        <w:r w:rsidRPr="00BB416B">
          <w:rPr>
            <w:rStyle w:val="Hyperlink"/>
          </w:rPr>
          <w:t>site Internet</w:t>
        </w:r>
      </w:hyperlink>
      <w:r w:rsidRPr="005473CC">
        <w:t xml:space="preserve"> du SLR propose également un glossaire, des informations sur les différents types de racisme, ainsi que des contenus thématiques approfondis.</w:t>
      </w:r>
    </w:p>
    <w:p w14:paraId="3B77D44E" w14:textId="77777777" w:rsidR="00A454AE" w:rsidRPr="00A665CC" w:rsidRDefault="00A454AE" w:rsidP="00753414">
      <w:pPr>
        <w:pStyle w:val="SingleTxtG"/>
        <w:numPr>
          <w:ilvl w:val="0"/>
          <w:numId w:val="43"/>
        </w:numPr>
        <w:kinsoku/>
        <w:overflowPunct/>
        <w:autoSpaceDE/>
        <w:autoSpaceDN/>
        <w:adjustRightInd/>
        <w:snapToGrid/>
        <w:ind w:left="1134" w:firstLine="0"/>
      </w:pPr>
      <w:r w:rsidRPr="005473CC">
        <w:t xml:space="preserve">Le monitorage réalisé par le SLR repose en grande partie sur les résultats de </w:t>
      </w:r>
      <w:bookmarkStart w:id="27" w:name="_Hlk210830576"/>
      <w:r w:rsidRPr="005473CC">
        <w:t>l</w:t>
      </w:r>
      <w:r>
        <w:t>’</w:t>
      </w:r>
      <w:r w:rsidRPr="005473CC">
        <w:t xml:space="preserve">enquête </w:t>
      </w:r>
      <w:hyperlink r:id="rId22" w:history="1">
        <w:r w:rsidRPr="00F769A3">
          <w:rPr>
            <w:rStyle w:val="Hyperlink"/>
            <w:i/>
            <w:iCs/>
          </w:rPr>
          <w:t>Vivre ensemble en Suisse</w:t>
        </w:r>
        <w:bookmarkEnd w:id="27"/>
      </w:hyperlink>
      <w:r>
        <w:t xml:space="preserve">, </w:t>
      </w:r>
      <w:r w:rsidRPr="005473CC">
        <w:t>menée par l</w:t>
      </w:r>
      <w:r>
        <w:t>’</w:t>
      </w:r>
      <w:r w:rsidRPr="005473CC">
        <w:t>Office fédéral de la statistique (OFS). Cette enquête interroge la population sur des aspects de la société en lien avec la diversité, la discrimination, le racisme et l</w:t>
      </w:r>
      <w:r>
        <w:t>’</w:t>
      </w:r>
      <w:r w:rsidRPr="005473CC">
        <w:t xml:space="preserve">intégration. Le questionnaire, en plein remaniement, </w:t>
      </w:r>
      <w:r>
        <w:t>accordera à l’avenir plus de poids aux</w:t>
      </w:r>
      <w:r w:rsidRPr="005473CC">
        <w:t xml:space="preserve"> expériences personnelles liées à la discrimination.</w:t>
      </w:r>
      <w:r>
        <w:t xml:space="preserve"> </w:t>
      </w:r>
      <w:r w:rsidRPr="005473CC">
        <w:t>Par ailleurs, à partir de l</w:t>
      </w:r>
      <w:r>
        <w:t>’</w:t>
      </w:r>
      <w:r w:rsidRPr="005473CC">
        <w:t>édition</w:t>
      </w:r>
      <w:r>
        <w:t> </w:t>
      </w:r>
      <w:r w:rsidRPr="005473CC">
        <w:t>2026, l</w:t>
      </w:r>
      <w:r>
        <w:t>’</w:t>
      </w:r>
      <w:r w:rsidRPr="005473CC">
        <w:t>OFS prévoit d</w:t>
      </w:r>
      <w:r>
        <w:t>’</w:t>
      </w:r>
      <w:r w:rsidRPr="005473CC">
        <w:t>élargir l</w:t>
      </w:r>
      <w:r>
        <w:t>’</w:t>
      </w:r>
      <w:r w:rsidRPr="005473CC">
        <w:t xml:space="preserve">échantillon de personnes interrogées. Des réflexions sont également en cours pour remédier au manque de données ventilées, lié au fait que </w:t>
      </w:r>
      <w:r w:rsidRPr="00A665CC">
        <w:t>l</w:t>
      </w:r>
      <w:r>
        <w:t>’</w:t>
      </w:r>
      <w:r w:rsidRPr="00A665CC">
        <w:t>origine ethnique n</w:t>
      </w:r>
      <w:r>
        <w:t>’</w:t>
      </w:r>
      <w:r w:rsidRPr="00A665CC">
        <w:t>est pas systématiquement relevée en Suisse.</w:t>
      </w:r>
    </w:p>
    <w:p w14:paraId="7F188D92" w14:textId="77777777" w:rsidR="00A454AE" w:rsidRPr="00A7028D" w:rsidRDefault="00A454AE" w:rsidP="00753414">
      <w:pPr>
        <w:pStyle w:val="SingleTxtG"/>
        <w:numPr>
          <w:ilvl w:val="0"/>
          <w:numId w:val="43"/>
        </w:numPr>
        <w:kinsoku/>
        <w:overflowPunct/>
        <w:autoSpaceDE/>
        <w:autoSpaceDN/>
        <w:adjustRightInd/>
        <w:snapToGrid/>
        <w:ind w:left="1134" w:firstLine="0"/>
      </w:pPr>
      <w:r w:rsidRPr="00A665CC">
        <w:t>Le SLR est également chargé de mener des recherches sur les causes, les mécanismes et les conséquences des différentes formes de racisme. Au cours de la période sous revue, il a mandaté deux études de référence</w:t>
      </w:r>
      <w:r>
        <w:t> </w:t>
      </w:r>
      <w:r w:rsidRPr="00A665CC">
        <w:t xml:space="preserve">: </w:t>
      </w:r>
      <w:hyperlink r:id="rId23" w:history="1">
        <w:r w:rsidRPr="00BB416B">
          <w:rPr>
            <w:rStyle w:val="Hyperlink"/>
            <w:i/>
            <w:iCs/>
          </w:rPr>
          <w:t>Racisme structurel en Suisse</w:t>
        </w:r>
      </w:hyperlink>
      <w:r w:rsidRPr="00802AF2">
        <w:rPr>
          <w:i/>
          <w:iCs/>
        </w:rPr>
        <w:t xml:space="preserve"> </w:t>
      </w:r>
      <w:r w:rsidRPr="007C1CC3">
        <w:t>et</w:t>
      </w:r>
      <w:r>
        <w:rPr>
          <w:i/>
          <w:iCs/>
        </w:rPr>
        <w:t xml:space="preserve"> </w:t>
      </w:r>
      <w:hyperlink r:id="rId24" w:history="1">
        <w:r w:rsidRPr="00BB416B">
          <w:rPr>
            <w:rStyle w:val="Hyperlink"/>
            <w:i/>
            <w:iCs/>
          </w:rPr>
          <w:t>Racisme antimusulman en Suisse</w:t>
        </w:r>
      </w:hyperlink>
      <w:r w:rsidRPr="00A665CC">
        <w:t>.</w:t>
      </w:r>
      <w:r>
        <w:t xml:space="preserve"> </w:t>
      </w:r>
      <w:r w:rsidRPr="00A665CC">
        <w:t xml:space="preserve">Dans le cadre de ses activités de relations publiques et de sensibilisation, il a publié une synthèse </w:t>
      </w:r>
      <w:r>
        <w:t>de</w:t>
      </w:r>
      <w:r w:rsidRPr="00A665CC">
        <w:t xml:space="preserve"> chacune </w:t>
      </w:r>
      <w:r>
        <w:t>de ces</w:t>
      </w:r>
      <w:r w:rsidRPr="00A665CC">
        <w:t xml:space="preserve"> études et organisé un événement public </w:t>
      </w:r>
      <w:r>
        <w:t>autour de la seconde</w:t>
      </w:r>
      <w:r w:rsidRPr="00A665CC">
        <w:t>. Celui-ci a réuni plus d</w:t>
      </w:r>
      <w:r>
        <w:t>’</w:t>
      </w:r>
      <w:r w:rsidRPr="00A665CC">
        <w:t xml:space="preserve">une centaine de spécialistes, de </w:t>
      </w:r>
      <w:r w:rsidRPr="00A7028D">
        <w:t>représentants des autorités et de personnes concernées.</w:t>
      </w:r>
    </w:p>
    <w:p w14:paraId="6BFC270D" w14:textId="77777777" w:rsidR="00A454AE" w:rsidRPr="00A7028D" w:rsidRDefault="00A454AE" w:rsidP="00753414">
      <w:pPr>
        <w:pStyle w:val="SingleTxtG"/>
        <w:numPr>
          <w:ilvl w:val="0"/>
          <w:numId w:val="43"/>
        </w:numPr>
        <w:kinsoku/>
        <w:overflowPunct/>
        <w:autoSpaceDE/>
        <w:autoSpaceDN/>
        <w:adjustRightInd/>
        <w:snapToGrid/>
        <w:ind w:left="1134" w:firstLine="0"/>
      </w:pPr>
      <w:r w:rsidRPr="00A7028D">
        <w:t>En exécution du postulat Binder</w:t>
      </w:r>
      <w:r>
        <w:t>-Keller </w:t>
      </w:r>
      <w:hyperlink r:id="rId25" w:history="1">
        <w:r w:rsidRPr="006A628D">
          <w:rPr>
            <w:rStyle w:val="Hyperlink"/>
          </w:rPr>
          <w:t>21.4137</w:t>
        </w:r>
      </w:hyperlink>
      <w:r w:rsidRPr="00A7028D">
        <w:t xml:space="preserve">, le Conseil fédéral a publié </w:t>
      </w:r>
      <w:r>
        <w:t>durant l’été 2025</w:t>
      </w:r>
      <w:r w:rsidRPr="00A7028D">
        <w:t xml:space="preserve"> le rapport </w:t>
      </w:r>
      <w:hyperlink r:id="rId26" w:history="1">
        <w:r w:rsidRPr="006A628D">
          <w:rPr>
            <w:rStyle w:val="Hyperlink"/>
            <w:i/>
            <w:iCs/>
          </w:rPr>
          <w:t>Actes de nature raciste et antisémite en lien avec la pandémie de COVID-19</w:t>
        </w:r>
      </w:hyperlink>
      <w:r>
        <w:t xml:space="preserve">, </w:t>
      </w:r>
      <w:r w:rsidRPr="00A7028D">
        <w:t xml:space="preserve">(cf. </w:t>
      </w:r>
      <w:r>
        <w:t>ch. 69 s.</w:t>
      </w:r>
      <w:r w:rsidRPr="00A7028D">
        <w:t xml:space="preserve">, </w:t>
      </w:r>
      <w:r>
        <w:t>82, 91</w:t>
      </w:r>
      <w:r w:rsidRPr="00A7028D">
        <w:t xml:space="preserve"> et </w:t>
      </w:r>
      <w:r>
        <w:t>108</w:t>
      </w:r>
      <w:r w:rsidRPr="00A7028D">
        <w:t>). Celui-ci réaffirme l</w:t>
      </w:r>
      <w:r>
        <w:t>’</w:t>
      </w:r>
      <w:r w:rsidRPr="00A7028D">
        <w:t>importance de disposer d</w:t>
      </w:r>
      <w:r>
        <w:t>’</w:t>
      </w:r>
      <w:r w:rsidRPr="00A7028D">
        <w:t xml:space="preserve">un monitorage complet pour lutter efficacement contre le racisme et la discrimination raciale. Sur la base du </w:t>
      </w:r>
      <w:hyperlink r:id="rId27" w:history="1">
        <w:r w:rsidRPr="006A628D">
          <w:rPr>
            <w:rStyle w:val="Hyperlink"/>
            <w:i/>
            <w:iCs/>
          </w:rPr>
          <w:t>Rapport sur le monitorage de la discrimination raciale et de l’antisémitisme en Suisse</w:t>
        </w:r>
      </w:hyperlink>
      <w:r>
        <w:t>,</w:t>
      </w:r>
      <w:r w:rsidRPr="00A7028D">
        <w:t xml:space="preserve"> commandé à Interface </w:t>
      </w:r>
      <w:proofErr w:type="spellStart"/>
      <w:r w:rsidRPr="00A7028D">
        <w:t>Politikstudien</w:t>
      </w:r>
      <w:proofErr w:type="spellEnd"/>
      <w:r w:rsidRPr="00A7028D">
        <w:t xml:space="preserve"> </w:t>
      </w:r>
      <w:proofErr w:type="spellStart"/>
      <w:r w:rsidRPr="00A7028D">
        <w:t>Forschung</w:t>
      </w:r>
      <w:proofErr w:type="spellEnd"/>
      <w:r w:rsidRPr="00A7028D">
        <w:t xml:space="preserve"> </w:t>
      </w:r>
      <w:proofErr w:type="spellStart"/>
      <w:r w:rsidRPr="00A7028D">
        <w:t>Beratung</w:t>
      </w:r>
      <w:proofErr w:type="spellEnd"/>
      <w:r w:rsidRPr="00A7028D">
        <w:t xml:space="preserve"> AG et servant de fondement à son rapport, le Conseil fédéral conclut que le dispositif de monitorage du SLR offre certes la vue d</w:t>
      </w:r>
      <w:r>
        <w:t>’</w:t>
      </w:r>
      <w:r w:rsidRPr="00A7028D">
        <w:t>ensemble la plus complète à ce jour, mais qu</w:t>
      </w:r>
      <w:r>
        <w:t>’</w:t>
      </w:r>
      <w:r w:rsidRPr="00A7028D">
        <w:t>un certain nombre d</w:t>
      </w:r>
      <w:r>
        <w:t>’</w:t>
      </w:r>
      <w:r w:rsidRPr="00A7028D">
        <w:t>aspects restent à améliorer. Il souligne notamment la nécessité d</w:t>
      </w:r>
      <w:r>
        <w:t>’</w:t>
      </w:r>
      <w:r w:rsidRPr="00A7028D">
        <w:t>augmenter la taille de l</w:t>
      </w:r>
      <w:r>
        <w:t>’</w:t>
      </w:r>
      <w:r w:rsidRPr="00A7028D">
        <w:t>échantillon de l</w:t>
      </w:r>
      <w:r>
        <w:t>’</w:t>
      </w:r>
      <w:r w:rsidRPr="00A7028D">
        <w:t xml:space="preserve">enquête </w:t>
      </w:r>
      <w:r w:rsidRPr="00437E56">
        <w:rPr>
          <w:i/>
          <w:iCs/>
        </w:rPr>
        <w:t>Vivre ensemble en Suisse</w:t>
      </w:r>
      <w:r w:rsidRPr="00A7028D">
        <w:t xml:space="preserve"> menée par l</w:t>
      </w:r>
      <w:r>
        <w:t>’</w:t>
      </w:r>
      <w:r w:rsidRPr="00A7028D">
        <w:t>OFS, ainsi que de renforcer la recherche qualitative. Il recommande aussi de confier durablement le monitorage à une entité indépendante, positionnée à l</w:t>
      </w:r>
      <w:r>
        <w:t>’</w:t>
      </w:r>
      <w:r w:rsidRPr="00A7028D">
        <w:t>interface entre la recherche et la société civile. Par ailleurs, la nette sous-documentation des cas de discrimination raciale met en évidence l</w:t>
      </w:r>
      <w:r>
        <w:t>’</w:t>
      </w:r>
      <w:r w:rsidRPr="00A7028D">
        <w:t>importance de mieux faire connaître les possibilités de signalement en les rendant plus accessibles, ainsi que de renforcer le recensement des discours de haine en ligne</w:t>
      </w:r>
      <w:r w:rsidRPr="00B5202D">
        <w:t>. Il en ressort également que les actes racistes et le profilage racial ne sont pas suffisamment recensés par les services de police, et cela malgré le fait que la Suisse ait été condamnée par la Cour européenne des droits de l’homme dans l’affaire Mohamed Wa Baile (</w:t>
      </w:r>
      <w:hyperlink r:id="rId28" w:history="1">
        <w:r w:rsidRPr="00B5202D">
          <w:rPr>
            <w:rStyle w:val="Hyperlink"/>
          </w:rPr>
          <w:t>CourEDH, Wa Baile c. Suisse, requêtes n</w:t>
        </w:r>
        <w:r w:rsidRPr="00B5202D">
          <w:rPr>
            <w:rStyle w:val="Hyperlink"/>
            <w:vertAlign w:val="superscript"/>
          </w:rPr>
          <w:t>o</w:t>
        </w:r>
        <w:r w:rsidRPr="00B5202D">
          <w:rPr>
            <w:rStyle w:val="Hyperlink"/>
          </w:rPr>
          <w:t> 43868/1 et 25883/21, 20 </w:t>
        </w:r>
        <w:r>
          <w:rPr>
            <w:rStyle w:val="Hyperlink"/>
          </w:rPr>
          <w:t>février</w:t>
        </w:r>
        <w:r w:rsidRPr="00B5202D">
          <w:rPr>
            <w:rStyle w:val="Hyperlink"/>
          </w:rPr>
          <w:t> 2024</w:t>
        </w:r>
      </w:hyperlink>
      <w:r w:rsidRPr="00B5202D">
        <w:t>). Cette situation souligne</w:t>
      </w:r>
      <w:r w:rsidRPr="00A7028D">
        <w:t xml:space="preserve"> l</w:t>
      </w:r>
      <w:r>
        <w:t>’</w:t>
      </w:r>
      <w:r w:rsidRPr="00A7028D">
        <w:t>urgence d</w:t>
      </w:r>
      <w:r>
        <w:t>’</w:t>
      </w:r>
      <w:r w:rsidRPr="00A7028D">
        <w:t>améliorer l</w:t>
      </w:r>
      <w:r>
        <w:t xml:space="preserve">e </w:t>
      </w:r>
      <w:r>
        <w:lastRenderedPageBreak/>
        <w:t>recensement</w:t>
      </w:r>
      <w:r w:rsidRPr="00A7028D">
        <w:t xml:space="preserve"> et la prévention des crimes de haine. En conclusion de son rapport, </w:t>
      </w:r>
      <w:r>
        <w:t>l</w:t>
      </w:r>
      <w:r w:rsidRPr="00A7028D">
        <w:t>e Conseil fédéral formule plusieurs mesures à mettre en œuvre dans le cadre du plan d</w:t>
      </w:r>
      <w:r>
        <w:t>’</w:t>
      </w:r>
      <w:r w:rsidRPr="00A7028D">
        <w:t>action contre le racisme et l</w:t>
      </w:r>
      <w:r>
        <w:t>’</w:t>
      </w:r>
      <w:r w:rsidRPr="00A7028D">
        <w:t>antisémitisme</w:t>
      </w:r>
      <w:r>
        <w:t> </w:t>
      </w:r>
      <w:r w:rsidRPr="00A7028D">
        <w:t>: optimisation du système de monitorage</w:t>
      </w:r>
      <w:r>
        <w:t> </w:t>
      </w:r>
      <w:r w:rsidRPr="00A7028D">
        <w:t>; meilleure coordination des entités collectrices de données et meilleure association des acteurs de la recherche et des groupes concernés</w:t>
      </w:r>
      <w:r>
        <w:t> </w:t>
      </w:r>
      <w:r w:rsidRPr="00A7028D">
        <w:t>; lutte contre la sous-documentation des cas</w:t>
      </w:r>
      <w:r>
        <w:t> </w:t>
      </w:r>
      <w:r w:rsidRPr="00A7028D">
        <w:t xml:space="preserve">; et recensement </w:t>
      </w:r>
      <w:r>
        <w:t xml:space="preserve">plus systématique </w:t>
      </w:r>
      <w:r w:rsidRPr="00A7028D">
        <w:t>du racisme et de l</w:t>
      </w:r>
      <w:r>
        <w:t>’</w:t>
      </w:r>
      <w:r w:rsidRPr="00A7028D">
        <w:t>antisémitisme par les services de police.</w:t>
      </w:r>
    </w:p>
    <w:p w14:paraId="4373183B" w14:textId="1570EF0F" w:rsidR="00A454AE" w:rsidRPr="00E20A1E" w:rsidRDefault="00A454AE" w:rsidP="00A454AE">
      <w:pPr>
        <w:pStyle w:val="H23G"/>
        <w:rPr>
          <w:rStyle w:val="Heading2Char"/>
          <w:b w:val="0"/>
        </w:rPr>
      </w:pPr>
      <w:bookmarkStart w:id="28" w:name="_Toc530069738"/>
      <w:r w:rsidRPr="00A7028D">
        <w:rPr>
          <w:rStyle w:val="Heading2Char"/>
        </w:rPr>
        <w:tab/>
      </w:r>
      <w:r w:rsidR="00E746C8">
        <w:rPr>
          <w:rStyle w:val="Heading2Char"/>
        </w:rPr>
        <w:t>E.</w:t>
      </w:r>
      <w:r w:rsidRPr="00E20A1E">
        <w:rPr>
          <w:rStyle w:val="Heading2Char"/>
        </w:rPr>
        <w:tab/>
      </w:r>
      <w:r w:rsidRPr="00E746C8">
        <w:t>Promotion des initiatives issues de la société</w:t>
      </w:r>
      <w:bookmarkEnd w:id="28"/>
    </w:p>
    <w:p w14:paraId="317568AD"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Compte tenu de son impact non seulement sur les victimes directes, mais aussi sur le vivre-ensemble de manière générale, le racisme représente un problème de société. Sur la base de l</w:t>
      </w:r>
      <w:r>
        <w:t>’</w:t>
      </w:r>
      <w:r w:rsidRPr="00E20A1E">
        <w:t>ordonnance</w:t>
      </w:r>
      <w:r>
        <w:t xml:space="preserve"> du 14°octobre 2009</w:t>
      </w:r>
      <w:r w:rsidRPr="00E20A1E">
        <w:t xml:space="preserve"> sur les projets en faveur des droits de l</w:t>
      </w:r>
      <w:r>
        <w:t>’</w:t>
      </w:r>
      <w:r w:rsidRPr="00E20A1E">
        <w:t>homme et de la lutte contre le racisme (RS</w:t>
      </w:r>
      <w:r>
        <w:t> </w:t>
      </w:r>
      <w:r w:rsidRPr="00B34D3F">
        <w:rPr>
          <w:i/>
          <w:iCs/>
        </w:rPr>
        <w:t>151.21</w:t>
      </w:r>
      <w:r w:rsidRPr="00E20A1E">
        <w:t xml:space="preserve">), le SLR soutient des projets </w:t>
      </w:r>
      <w:r>
        <w:t>éducatifs</w:t>
      </w:r>
      <w:r w:rsidRPr="00E20A1E">
        <w:t>, de sensibilisation et de prévention en matière de lutte contre le racisme, de l</w:t>
      </w:r>
      <w:r>
        <w:t>’</w:t>
      </w:r>
      <w:r w:rsidRPr="00E20A1E">
        <w:t>antisémitisme et de la xénophobie</w:t>
      </w:r>
      <w:r>
        <w:t xml:space="preserve">. </w:t>
      </w:r>
      <w:r w:rsidRPr="002C482D">
        <w:t>Sur un budget annuel d</w:t>
      </w:r>
      <w:r>
        <w:t>’</w:t>
      </w:r>
      <w:r w:rsidRPr="002C482D">
        <w:t>environ 900</w:t>
      </w:r>
      <w:r>
        <w:t> </w:t>
      </w:r>
      <w:r w:rsidRPr="002C482D">
        <w:t>000</w:t>
      </w:r>
      <w:r>
        <w:t> </w:t>
      </w:r>
      <w:r w:rsidRPr="002C482D">
        <w:t>francs, un tiers des subventions est consacré à des projets menés en milieu scolaire</w:t>
      </w:r>
      <w:r w:rsidRPr="004E4EDE">
        <w:t xml:space="preserve">. </w:t>
      </w:r>
      <w:r w:rsidRPr="00E20A1E">
        <w:t>En outre, des campagnes de sensibilisation</w:t>
      </w:r>
      <w:r>
        <w:t> –</w:t>
      </w:r>
      <w:r w:rsidRPr="00E20A1E">
        <w:t xml:space="preserve"> par exemple dans le cadre des </w:t>
      </w:r>
      <w:r>
        <w:t>S</w:t>
      </w:r>
      <w:r w:rsidRPr="00E20A1E">
        <w:t>emaines d</w:t>
      </w:r>
      <w:r>
        <w:t>’</w:t>
      </w:r>
      <w:r w:rsidRPr="00E20A1E">
        <w:t>action contre le racisme</w:t>
      </w:r>
      <w:r>
        <w:t xml:space="preserve"> organisées annuellement –</w:t>
      </w:r>
      <w:r w:rsidRPr="00E20A1E">
        <w:t xml:space="preserve"> ont également lieu au niveau communal et cantonal, avec l</w:t>
      </w:r>
      <w:r>
        <w:t>’appui</w:t>
      </w:r>
      <w:r w:rsidRPr="00E20A1E">
        <w:t xml:space="preserve"> </w:t>
      </w:r>
      <w:r>
        <w:t xml:space="preserve">du </w:t>
      </w:r>
      <w:r w:rsidRPr="00E20A1E">
        <w:t>SLR. Depuis sa création et jusqu</w:t>
      </w:r>
      <w:r>
        <w:t>’</w:t>
      </w:r>
      <w:r w:rsidRPr="00E20A1E">
        <w:t>en décembre 2024, le SLR a soutenu, dans toute la Suisse, un tot</w:t>
      </w:r>
      <w:r w:rsidRPr="00E9083C">
        <w:t xml:space="preserve">al de </w:t>
      </w:r>
      <w:r>
        <w:t>1755 </w:t>
      </w:r>
      <w:r w:rsidRPr="00E9083C">
        <w:t>projets</w:t>
      </w:r>
      <w:r w:rsidRPr="00E20A1E">
        <w:t xml:space="preserve"> pour un montant d</w:t>
      </w:r>
      <w:r>
        <w:t>’</w:t>
      </w:r>
      <w:r w:rsidRPr="00E20A1E">
        <w:t xml:space="preserve">environ </w:t>
      </w:r>
      <w:r>
        <w:t>26,5 </w:t>
      </w:r>
      <w:r w:rsidRPr="00E20A1E">
        <w:t>millions de francs</w:t>
      </w:r>
      <w:r>
        <w:t>,</w:t>
      </w:r>
      <w:r w:rsidRPr="00E20A1E">
        <w:t xml:space="preserve"> </w:t>
      </w:r>
      <w:r>
        <w:t>dont</w:t>
      </w:r>
      <w:r w:rsidRPr="00E20A1E">
        <w:t xml:space="preserve"> </w:t>
      </w:r>
      <w:r>
        <w:t>536 </w:t>
      </w:r>
      <w:r w:rsidRPr="00E20A1E">
        <w:t>projets scolaires pour un montant d</w:t>
      </w:r>
      <w:r>
        <w:t>’</w:t>
      </w:r>
      <w:r w:rsidRPr="00E20A1E">
        <w:t>environ 6</w:t>
      </w:r>
      <w:r>
        <w:t>,6 </w:t>
      </w:r>
      <w:r w:rsidRPr="00E20A1E">
        <w:t>millions de francs.</w:t>
      </w:r>
    </w:p>
    <w:p w14:paraId="003D7524" w14:textId="720E8447" w:rsidR="00A454AE" w:rsidRPr="00E746C8" w:rsidRDefault="00A454AE" w:rsidP="00E746C8">
      <w:pPr>
        <w:pStyle w:val="H23G"/>
      </w:pPr>
      <w:bookmarkStart w:id="29" w:name="_Toc530069740"/>
      <w:bookmarkStart w:id="30" w:name="_Hlk200015640"/>
      <w:r w:rsidRPr="00E20A1E">
        <w:rPr>
          <w:rStyle w:val="Heading2Char"/>
        </w:rPr>
        <w:tab/>
      </w:r>
      <w:bookmarkEnd w:id="29"/>
      <w:bookmarkEnd w:id="30"/>
      <w:r w:rsidR="00E746C8">
        <w:rPr>
          <w:rStyle w:val="Heading2Char"/>
        </w:rPr>
        <w:t>F.</w:t>
      </w:r>
      <w:r w:rsidRPr="00E20A1E">
        <w:rPr>
          <w:rStyle w:val="Heading2Char"/>
        </w:rPr>
        <w:tab/>
      </w:r>
      <w:r w:rsidRPr="00E746C8">
        <w:t>Ancrage de la protection contre la discrimination aux échelons cantonal et communal</w:t>
      </w:r>
    </w:p>
    <w:p w14:paraId="50C393B5" w14:textId="77777777" w:rsidR="00A454AE" w:rsidRPr="007B6DA2" w:rsidRDefault="00A454AE" w:rsidP="00753414">
      <w:pPr>
        <w:pStyle w:val="SingleTxtG"/>
        <w:numPr>
          <w:ilvl w:val="0"/>
          <w:numId w:val="43"/>
        </w:numPr>
        <w:kinsoku/>
        <w:overflowPunct/>
        <w:autoSpaceDE/>
        <w:autoSpaceDN/>
        <w:adjustRightInd/>
        <w:snapToGrid/>
        <w:ind w:left="1134" w:firstLine="0"/>
      </w:pPr>
      <w:r w:rsidRPr="00B5202D">
        <w:t>La stratégie contre le racisme et l’antisémitisme, mandatés par le Parlement en juin 2024 et examinés par le Conseil fédéral en décembre 2025,</w:t>
      </w:r>
      <w:r w:rsidRPr="007B6DA2">
        <w:t xml:space="preserve"> engagent la Confédération ainsi que les cantons, les communes et les villes à prendre des mesures concrètes </w:t>
      </w:r>
      <w:r>
        <w:t>contre le racisme et l’antisémitisme</w:t>
      </w:r>
      <w:r w:rsidRPr="007B6DA2">
        <w:t xml:space="preserve">. </w:t>
      </w:r>
      <w:r>
        <w:t xml:space="preserve">Un plan d’action sera lancé dès 2026. </w:t>
      </w:r>
      <w:r w:rsidRPr="007B6DA2">
        <w:t xml:space="preserve">Les cantons sont appelés à intervenir dans les </w:t>
      </w:r>
      <w:r>
        <w:t>champs d’action</w:t>
      </w:r>
      <w:r w:rsidRPr="007B6DA2">
        <w:t xml:space="preserve"> relevant de leurs compétences, tels que l</w:t>
      </w:r>
      <w:r>
        <w:t>’instruction publique</w:t>
      </w:r>
      <w:r w:rsidRPr="007B6DA2">
        <w:t>, la santé, la sécurité, la prévoyance sociale, la justice ou encore l</w:t>
      </w:r>
      <w:r>
        <w:t>’</w:t>
      </w:r>
      <w:r w:rsidRPr="007B6DA2">
        <w:t>aménagement du territoire.</w:t>
      </w:r>
    </w:p>
    <w:p w14:paraId="7A067858" w14:textId="77777777" w:rsidR="00A454AE" w:rsidRPr="00E34671" w:rsidRDefault="00A454AE" w:rsidP="00753414">
      <w:pPr>
        <w:pStyle w:val="SingleTxtG"/>
        <w:numPr>
          <w:ilvl w:val="0"/>
          <w:numId w:val="43"/>
        </w:numPr>
        <w:kinsoku/>
        <w:overflowPunct/>
        <w:autoSpaceDE/>
        <w:autoSpaceDN/>
        <w:adjustRightInd/>
        <w:snapToGrid/>
        <w:ind w:left="1134" w:firstLine="0"/>
      </w:pPr>
      <w:r>
        <w:t xml:space="preserve">Mis en œuvre depuis 2014, les </w:t>
      </w:r>
      <w:r w:rsidRPr="00E20A1E">
        <w:t>programmes d</w:t>
      </w:r>
      <w:r>
        <w:t>’</w:t>
      </w:r>
      <w:r w:rsidRPr="00E20A1E">
        <w:t xml:space="preserve">intégration cantonaux </w:t>
      </w:r>
      <w:r>
        <w:t>(</w:t>
      </w:r>
      <w:r w:rsidRPr="00E20A1E">
        <w:t>PIC</w:t>
      </w:r>
      <w:r>
        <w:t xml:space="preserve">) comportent des objectifs </w:t>
      </w:r>
      <w:r w:rsidRPr="00E20A1E">
        <w:t>en matière de protection contre la discrimination</w:t>
      </w:r>
      <w:r>
        <w:t xml:space="preserve">. Ces derniers sont définis conjointement par la Confédération et les cantons et </w:t>
      </w:r>
      <w:r w:rsidRPr="00E20A1E">
        <w:t xml:space="preserve">visent à garantir </w:t>
      </w:r>
      <w:r>
        <w:t>l’accès des</w:t>
      </w:r>
      <w:r w:rsidRPr="00E20A1E">
        <w:t xml:space="preserve"> personnes victimes de discrimination</w:t>
      </w:r>
      <w:r>
        <w:t xml:space="preserve"> raciale à des prestations de conseil</w:t>
      </w:r>
      <w:r w:rsidRPr="00E20A1E">
        <w:t>, à sensibiliser à la gestion de la diversité et à lutter contre les discriminations au sein des institutions</w:t>
      </w:r>
      <w:r w:rsidRPr="00E34671">
        <w:t>.</w:t>
      </w:r>
    </w:p>
    <w:p w14:paraId="6543BE47" w14:textId="77777777" w:rsidR="00A454AE" w:rsidRPr="00E34671" w:rsidRDefault="00A454AE" w:rsidP="00753414">
      <w:pPr>
        <w:pStyle w:val="SingleTxtG"/>
        <w:numPr>
          <w:ilvl w:val="0"/>
          <w:numId w:val="43"/>
        </w:numPr>
        <w:kinsoku/>
        <w:overflowPunct/>
        <w:autoSpaceDE/>
        <w:autoSpaceDN/>
        <w:adjustRightInd/>
        <w:snapToGrid/>
        <w:ind w:left="1134" w:firstLine="0"/>
      </w:pPr>
      <w:r w:rsidRPr="00E34671">
        <w:t>Dans le cadre du domaine d</w:t>
      </w:r>
      <w:r>
        <w:t>’</w:t>
      </w:r>
      <w:r w:rsidRPr="00E34671">
        <w:t xml:space="preserve">encouragement </w:t>
      </w:r>
      <w:r w:rsidRPr="00E34671">
        <w:rPr>
          <w:i/>
          <w:iCs/>
        </w:rPr>
        <w:t>Protection contre la discrimination</w:t>
      </w:r>
      <w:r w:rsidRPr="00E34671">
        <w:t xml:space="preserve"> des </w:t>
      </w:r>
      <w:r w:rsidRPr="003A73F5">
        <w:rPr>
          <w:bCs/>
        </w:rPr>
        <w:t>PIC</w:t>
      </w:r>
      <w:r w:rsidRPr="00F9038A">
        <w:t>, les</w:t>
      </w:r>
      <w:r w:rsidRPr="00E34671">
        <w:t xml:space="preserve"> cantons sont invités par le Secrétariat d</w:t>
      </w:r>
      <w:r>
        <w:t>’</w:t>
      </w:r>
      <w:r w:rsidRPr="00E34671">
        <w:t>État aux migrations (SEM) et par le SLR à élaborer leurs propres stratégies de lutte contre le racisme et la discrimination raciale. Dans certains cantons, comme Bâle-Ville et Zurich, des stratégies sont en cours d</w:t>
      </w:r>
      <w:r>
        <w:t>’</w:t>
      </w:r>
      <w:r w:rsidRPr="00E34671">
        <w:t>élaboration à la suite d</w:t>
      </w:r>
      <w:r>
        <w:t>’</w:t>
      </w:r>
      <w:r w:rsidRPr="00E34671">
        <w:t>interventions politiques. Dans le canton de Genève, la loi générale contre les discriminations est entrée en vigueur en 2023, et des lois sectorielles </w:t>
      </w:r>
      <w:r>
        <w:t>–</w:t>
      </w:r>
      <w:r w:rsidRPr="00E34671">
        <w:t xml:space="preserve"> dont une portant spécifiquement sur la discrimination raciale</w:t>
      </w:r>
      <w:r>
        <w:t> –</w:t>
      </w:r>
      <w:r w:rsidRPr="00E34671">
        <w:t xml:space="preserve"> sont prévues.</w:t>
      </w:r>
    </w:p>
    <w:p w14:paraId="72E7A2CD" w14:textId="144A4C06" w:rsidR="00A454AE" w:rsidRPr="00E34671" w:rsidRDefault="00A454AE" w:rsidP="00E746C8">
      <w:pPr>
        <w:pStyle w:val="H23G"/>
        <w:rPr>
          <w:rStyle w:val="Heading2Char"/>
          <w:b w:val="0"/>
        </w:rPr>
      </w:pPr>
      <w:bookmarkStart w:id="31" w:name="_Toc530069741"/>
      <w:r w:rsidRPr="002E3AEB">
        <w:rPr>
          <w:rStyle w:val="Heading2Char"/>
        </w:rPr>
        <w:tab/>
      </w:r>
      <w:r w:rsidR="00E746C8">
        <w:rPr>
          <w:rStyle w:val="Heading2Char"/>
        </w:rPr>
        <w:t>G.</w:t>
      </w:r>
      <w:r w:rsidRPr="00E20A1E">
        <w:rPr>
          <w:rStyle w:val="Heading2Char"/>
        </w:rPr>
        <w:tab/>
      </w:r>
      <w:r w:rsidRPr="00E34671">
        <w:rPr>
          <w:rStyle w:val="Heading2Char"/>
        </w:rPr>
        <w:t xml:space="preserve">Apports des commissions </w:t>
      </w:r>
      <w:proofErr w:type="spellStart"/>
      <w:r w:rsidRPr="00E34671">
        <w:rPr>
          <w:rStyle w:val="Heading2Char"/>
        </w:rPr>
        <w:t>extraparlementaires</w:t>
      </w:r>
      <w:bookmarkEnd w:id="31"/>
      <w:proofErr w:type="spellEnd"/>
    </w:p>
    <w:p w14:paraId="3B5D79B9" w14:textId="77777777" w:rsidR="00A454AE" w:rsidRPr="002E3D9B" w:rsidRDefault="00A454AE" w:rsidP="00753414">
      <w:pPr>
        <w:pStyle w:val="SingleTxtG"/>
        <w:numPr>
          <w:ilvl w:val="0"/>
          <w:numId w:val="43"/>
        </w:numPr>
        <w:kinsoku/>
        <w:overflowPunct/>
        <w:autoSpaceDE/>
        <w:autoSpaceDN/>
        <w:adjustRightInd/>
        <w:snapToGrid/>
        <w:ind w:left="1134" w:firstLine="0"/>
      </w:pPr>
      <w:r w:rsidRPr="00E34671">
        <w:rPr>
          <w:lang w:eastAsia="de-CH"/>
        </w:rPr>
        <w:t xml:space="preserve">La </w:t>
      </w:r>
      <w:hyperlink r:id="rId29" w:history="1">
        <w:r w:rsidRPr="003A73F5">
          <w:rPr>
            <w:rStyle w:val="Hyperlink"/>
            <w:lang w:eastAsia="de-CH"/>
          </w:rPr>
          <w:t>Commission fédérale contre le racisme</w:t>
        </w:r>
      </w:hyperlink>
      <w:r w:rsidRPr="00E34671">
        <w:rPr>
          <w:lang w:eastAsia="de-CH"/>
        </w:rPr>
        <w:t xml:space="preserve"> (CFR) et la </w:t>
      </w:r>
      <w:hyperlink r:id="rId30" w:history="1">
        <w:r w:rsidRPr="003A73F5">
          <w:rPr>
            <w:rStyle w:val="Hyperlink"/>
            <w:lang w:eastAsia="de-CH"/>
          </w:rPr>
          <w:t>Commission fédérale des migrations</w:t>
        </w:r>
      </w:hyperlink>
      <w:r w:rsidRPr="00E34671">
        <w:rPr>
          <w:lang w:eastAsia="de-CH"/>
        </w:rPr>
        <w:t xml:space="preserve"> (CFM) conseillent le Conseil fédéral et l</w:t>
      </w:r>
      <w:r>
        <w:rPr>
          <w:lang w:eastAsia="de-CH"/>
        </w:rPr>
        <w:t>’</w:t>
      </w:r>
      <w:r w:rsidRPr="00E34671">
        <w:rPr>
          <w:lang w:eastAsia="de-CH"/>
        </w:rPr>
        <w:t xml:space="preserve">administration fédérale et publient des rapports, des </w:t>
      </w:r>
      <w:r>
        <w:rPr>
          <w:lang w:eastAsia="de-CH"/>
        </w:rPr>
        <w:t>prises de position</w:t>
      </w:r>
      <w:r w:rsidRPr="00E34671">
        <w:rPr>
          <w:lang w:eastAsia="de-CH"/>
        </w:rPr>
        <w:t xml:space="preserve"> et des recommandations. Ces deux commissions </w:t>
      </w:r>
      <w:proofErr w:type="spellStart"/>
      <w:r>
        <w:rPr>
          <w:lang w:eastAsia="de-CH"/>
        </w:rPr>
        <w:t>extraparlementaires</w:t>
      </w:r>
      <w:proofErr w:type="spellEnd"/>
      <w:r>
        <w:rPr>
          <w:lang w:eastAsia="de-CH"/>
        </w:rPr>
        <w:t xml:space="preserve"> </w:t>
      </w:r>
      <w:r w:rsidRPr="00E34671">
        <w:rPr>
          <w:lang w:eastAsia="de-CH"/>
        </w:rPr>
        <w:t xml:space="preserve">jouent ainsi un rôle important dans le </w:t>
      </w:r>
      <w:r w:rsidRPr="002E3D9B">
        <w:rPr>
          <w:lang w:eastAsia="de-CH"/>
        </w:rPr>
        <w:t>développement de mesures contre la discrimination raciale.</w:t>
      </w:r>
    </w:p>
    <w:p w14:paraId="0C1393BD" w14:textId="77777777" w:rsidR="00A454AE" w:rsidRPr="002E3D9B" w:rsidRDefault="00A454AE" w:rsidP="00753414">
      <w:pPr>
        <w:pStyle w:val="SingleTxtG"/>
        <w:numPr>
          <w:ilvl w:val="0"/>
          <w:numId w:val="43"/>
        </w:numPr>
        <w:kinsoku/>
        <w:overflowPunct/>
        <w:autoSpaceDE/>
        <w:autoSpaceDN/>
        <w:adjustRightInd/>
        <w:snapToGrid/>
        <w:ind w:left="1134" w:firstLine="0"/>
      </w:pPr>
      <w:r w:rsidRPr="002E3D9B">
        <w:t xml:space="preserve">La CFR est une commission </w:t>
      </w:r>
      <w:proofErr w:type="spellStart"/>
      <w:r w:rsidRPr="002E3D9B">
        <w:t>extraparlementaire</w:t>
      </w:r>
      <w:proofErr w:type="spellEnd"/>
      <w:r w:rsidRPr="002E3D9B">
        <w:t xml:space="preserve"> permanente </w:t>
      </w:r>
      <w:r>
        <w:t>que</w:t>
      </w:r>
      <w:r w:rsidRPr="002E3D9B">
        <w:t xml:space="preserve"> le Conseil fédéral </w:t>
      </w:r>
      <w:r>
        <w:t xml:space="preserve">a instituée </w:t>
      </w:r>
      <w:r w:rsidRPr="002E3D9B">
        <w:t>en 1995</w:t>
      </w:r>
      <w:r>
        <w:t xml:space="preserve"> pour lutter contre</w:t>
      </w:r>
      <w:r w:rsidRPr="002E3D9B">
        <w:t xml:space="preserve"> la discrimination fondée sur des critères raciaux, ethniques </w:t>
      </w:r>
      <w:r>
        <w:t>ou</w:t>
      </w:r>
      <w:r w:rsidRPr="002E3D9B">
        <w:t xml:space="preserve"> culturels</w:t>
      </w:r>
      <w:r>
        <w:t>. Elle</w:t>
      </w:r>
      <w:r w:rsidRPr="002E3D9B">
        <w:t xml:space="preserve"> </w:t>
      </w:r>
      <w:r>
        <w:t xml:space="preserve">effectue un travail </w:t>
      </w:r>
      <w:r w:rsidRPr="002E3D9B">
        <w:t>de sensibilisation et promeut un dialogue objectif et non violent, ainsi qu</w:t>
      </w:r>
      <w:r>
        <w:t>’</w:t>
      </w:r>
      <w:r w:rsidRPr="002E3D9B">
        <w:t xml:space="preserve">une cohabitation pacifique. </w:t>
      </w:r>
      <w:r>
        <w:t>La CFR</w:t>
      </w:r>
      <w:r w:rsidRPr="002E3D9B">
        <w:t xml:space="preserve"> combat toutes les formes de discrimination raciale, qu</w:t>
      </w:r>
      <w:r>
        <w:t>’</w:t>
      </w:r>
      <w:r w:rsidRPr="002E3D9B">
        <w:t xml:space="preserve">elles soient directes ou indirectes, et accorde une attention particulière à </w:t>
      </w:r>
      <w:r>
        <w:t>une</w:t>
      </w:r>
      <w:r w:rsidRPr="002E3D9B">
        <w:t xml:space="preserve"> prévention efficace. Ses activités couvrent plusieurs domaines</w:t>
      </w:r>
      <w:r>
        <w:t> </w:t>
      </w:r>
      <w:r w:rsidRPr="002E3D9B">
        <w:t>: prévention et sensibilisation</w:t>
      </w:r>
      <w:r>
        <w:t> </w:t>
      </w:r>
      <w:r w:rsidRPr="002E3D9B">
        <w:t>; analyse et recherche</w:t>
      </w:r>
      <w:r>
        <w:t> </w:t>
      </w:r>
      <w:r w:rsidRPr="002E3D9B">
        <w:t>; information, communication et conseil</w:t>
      </w:r>
      <w:r>
        <w:t> </w:t>
      </w:r>
      <w:r w:rsidRPr="002E3D9B">
        <w:t>; recommandations et prises de position</w:t>
      </w:r>
      <w:r>
        <w:t> </w:t>
      </w:r>
      <w:r w:rsidRPr="002E3D9B">
        <w:t>; ainsi que le monitorage.</w:t>
      </w:r>
    </w:p>
    <w:p w14:paraId="661771DB" w14:textId="77777777" w:rsidR="00A454AE" w:rsidRPr="00DB2422" w:rsidRDefault="00A454AE" w:rsidP="00753414">
      <w:pPr>
        <w:pStyle w:val="SingleTxtG"/>
        <w:numPr>
          <w:ilvl w:val="0"/>
          <w:numId w:val="43"/>
        </w:numPr>
        <w:kinsoku/>
        <w:overflowPunct/>
        <w:autoSpaceDE/>
        <w:autoSpaceDN/>
        <w:adjustRightInd/>
        <w:snapToGrid/>
        <w:ind w:left="1134" w:firstLine="0"/>
      </w:pPr>
      <w:r>
        <w:lastRenderedPageBreak/>
        <w:t xml:space="preserve">Durant la période sous revue, la CFR a mis </w:t>
      </w:r>
      <w:r w:rsidRPr="00DB2422">
        <w:t xml:space="preserve">en place une </w:t>
      </w:r>
      <w:proofErr w:type="spellStart"/>
      <w:r w:rsidRPr="00DB2422">
        <w:t>plateforme</w:t>
      </w:r>
      <w:proofErr w:type="spellEnd"/>
      <w:r w:rsidRPr="00DB2422">
        <w:t xml:space="preserve"> de signalement des discours de haine racistes en ligne (</w:t>
      </w:r>
      <w:hyperlink r:id="rId31" w:history="1">
        <w:r w:rsidRPr="00D04AE9">
          <w:rPr>
            <w:rStyle w:val="Hyperlink"/>
          </w:rPr>
          <w:t>www.reportonlineracism.ch</w:t>
        </w:r>
      </w:hyperlink>
      <w:r w:rsidRPr="00DB2422">
        <w:t>)</w:t>
      </w:r>
      <w:r>
        <w:t xml:space="preserve">. Elle a aussi publié </w:t>
      </w:r>
      <w:r w:rsidRPr="00DB2422">
        <w:t xml:space="preserve">un </w:t>
      </w:r>
      <w:hyperlink r:id="rId32" w:history="1">
        <w:r w:rsidRPr="003A73F5">
          <w:rPr>
            <w:rStyle w:val="Hyperlink"/>
          </w:rPr>
          <w:t>manifeste</w:t>
        </w:r>
      </w:hyperlink>
      <w:r w:rsidRPr="00DB2422">
        <w:t xml:space="preserve"> appelant à l</w:t>
      </w:r>
      <w:r>
        <w:t>’</w:t>
      </w:r>
      <w:r w:rsidRPr="00DB2422">
        <w:t>adoption d</w:t>
      </w:r>
      <w:r>
        <w:t>’</w:t>
      </w:r>
      <w:r w:rsidRPr="00DB2422">
        <w:t>une loi générale sur l</w:t>
      </w:r>
      <w:r>
        <w:t>’</w:t>
      </w:r>
      <w:r w:rsidRPr="00DB2422">
        <w:t xml:space="preserve">égalité de traitement (2025) </w:t>
      </w:r>
      <w:r>
        <w:t>et</w:t>
      </w:r>
      <w:r w:rsidRPr="00DB2422">
        <w:t xml:space="preserve"> plusieurs </w:t>
      </w:r>
      <w:hyperlink r:id="rId33" w:history="1">
        <w:r w:rsidRPr="003A73F5">
          <w:rPr>
            <w:rStyle w:val="Hyperlink"/>
          </w:rPr>
          <w:t>études</w:t>
        </w:r>
      </w:hyperlink>
      <w:r w:rsidRPr="00DB2422">
        <w:t>, dont l</w:t>
      </w:r>
      <w:r>
        <w:t>’</w:t>
      </w:r>
      <w:r w:rsidRPr="00DB2422">
        <w:t>une sur la protection contre les discriminations en droit civil (2025) et une autre portant sur le racisme et la représentation de la diversité sociale dans les manuels scolaires (2023). Dans le cadre de cette dernière étude, la CFR a formulé plusieurs recommandations et rencontré des acteurs cantonaux clés. Elle a également organisé un colloque national intitulé «</w:t>
      </w:r>
      <w:r>
        <w:t> </w:t>
      </w:r>
      <w:r w:rsidRPr="00DB2422">
        <w:t>Les jeunes face au racisme</w:t>
      </w:r>
      <w:r>
        <w:t> </w:t>
      </w:r>
      <w:r w:rsidRPr="00DB2422">
        <w:t xml:space="preserve">». Par ailleurs, la commission a </w:t>
      </w:r>
      <w:r>
        <w:t xml:space="preserve">publié plusieurs numéros de sa revue </w:t>
      </w:r>
      <w:hyperlink r:id="rId34" w:history="1">
        <w:r w:rsidRPr="003A73F5">
          <w:rPr>
            <w:rStyle w:val="Hyperlink"/>
          </w:rPr>
          <w:t>TANGRAM</w:t>
        </w:r>
      </w:hyperlink>
      <w:r>
        <w:t>, qui paraît chaque année. Les dernières éditions étaient consacrées aux thèmes suivants : t</w:t>
      </w:r>
      <w:r w:rsidRPr="006F4E61">
        <w:t xml:space="preserve">héories du complot, fake news et racisme ; </w:t>
      </w:r>
      <w:r>
        <w:t>l</w:t>
      </w:r>
      <w:r w:rsidRPr="006F4E61">
        <w:t>e racisme structurel</w:t>
      </w:r>
      <w:r>
        <w:t> </w:t>
      </w:r>
      <w:r w:rsidRPr="006F4E61">
        <w:t xml:space="preserve">; </w:t>
      </w:r>
      <w:r>
        <w:t>l</w:t>
      </w:r>
      <w:r w:rsidRPr="006F4E61">
        <w:t>a Suisse et ses héritages coloniaux</w:t>
      </w:r>
      <w:r>
        <w:t> ;</w:t>
      </w:r>
      <w:r w:rsidRPr="006F4E61">
        <w:t xml:space="preserve"> </w:t>
      </w:r>
      <w:r>
        <w:t>p</w:t>
      </w:r>
      <w:r w:rsidRPr="006F4E61">
        <w:t>olarisation et lutte contre le racisme.</w:t>
      </w:r>
      <w:r w:rsidRPr="00DB2422">
        <w:t xml:space="preserve"> </w:t>
      </w:r>
      <w:r>
        <w:t>Parmi ses autres publications, on peut citer</w:t>
      </w:r>
      <w:r w:rsidRPr="00DB2422">
        <w:t xml:space="preserve"> </w:t>
      </w:r>
      <w:r>
        <w:t>des</w:t>
      </w:r>
      <w:r w:rsidRPr="00DB2422">
        <w:t xml:space="preserve"> </w:t>
      </w:r>
      <w:hyperlink r:id="rId35" w:history="1">
        <w:r w:rsidRPr="003A73F5">
          <w:rPr>
            <w:rStyle w:val="Hyperlink"/>
          </w:rPr>
          <w:t>dossiers thématiques</w:t>
        </w:r>
      </w:hyperlink>
      <w:r w:rsidRPr="00DB2422">
        <w:t xml:space="preserve"> portant sur </w:t>
      </w:r>
      <w:r>
        <w:t>des formes</w:t>
      </w:r>
      <w:r w:rsidRPr="00DB2422">
        <w:t xml:space="preserve"> </w:t>
      </w:r>
      <w:r>
        <w:t xml:space="preserve">spécifiques </w:t>
      </w:r>
      <w:r w:rsidRPr="00DB2422">
        <w:t xml:space="preserve">de racisme </w:t>
      </w:r>
      <w:r>
        <w:t xml:space="preserve">et </w:t>
      </w:r>
      <w:r w:rsidRPr="00DB2422">
        <w:t xml:space="preserve">une </w:t>
      </w:r>
      <w:hyperlink r:id="rId36" w:history="1">
        <w:r w:rsidRPr="003A73F5">
          <w:rPr>
            <w:rStyle w:val="Hyperlink"/>
          </w:rPr>
          <w:t>fiche d’information</w:t>
        </w:r>
      </w:hyperlink>
      <w:r w:rsidRPr="00DB2422">
        <w:t xml:space="preserve"> destinée à sensibiliser les </w:t>
      </w:r>
      <w:proofErr w:type="spellStart"/>
      <w:r w:rsidRPr="00DB2422">
        <w:t>médias</w:t>
      </w:r>
      <w:proofErr w:type="spellEnd"/>
      <w:r w:rsidRPr="00DB2422">
        <w:t xml:space="preserve"> (2025). Enfin, </w:t>
      </w:r>
      <w:r>
        <w:t>la CFR</w:t>
      </w:r>
      <w:r w:rsidRPr="00DB2422">
        <w:t xml:space="preserve"> a </w:t>
      </w:r>
      <w:hyperlink r:id="rId37" w:history="1">
        <w:r w:rsidRPr="003A73F5">
          <w:rPr>
            <w:rStyle w:val="Hyperlink"/>
          </w:rPr>
          <w:t>pris position</w:t>
        </w:r>
      </w:hyperlink>
      <w:r w:rsidRPr="00DB2422">
        <w:t xml:space="preserve"> publiquement, </w:t>
      </w:r>
      <w:r>
        <w:t xml:space="preserve">entre autres </w:t>
      </w:r>
      <w:r w:rsidRPr="00DB2422">
        <w:t>sur la montée de l</w:t>
      </w:r>
      <w:r>
        <w:t>’</w:t>
      </w:r>
      <w:r w:rsidRPr="00DB2422">
        <w:t xml:space="preserve">antisémitisme en Suisse, </w:t>
      </w:r>
      <w:r>
        <w:t>sur</w:t>
      </w:r>
      <w:r w:rsidRPr="00DB2422">
        <w:t xml:space="preserve"> la nécessité de reconnaître les persécutions racistes subies par les </w:t>
      </w:r>
      <w:proofErr w:type="spellStart"/>
      <w:r w:rsidRPr="00DB2422">
        <w:t>Yéniches</w:t>
      </w:r>
      <w:proofErr w:type="spellEnd"/>
      <w:r w:rsidRPr="00DB2422">
        <w:t xml:space="preserve"> et les Manouches/</w:t>
      </w:r>
      <w:proofErr w:type="spellStart"/>
      <w:r w:rsidRPr="00DB2422">
        <w:t>Sintés</w:t>
      </w:r>
      <w:proofErr w:type="spellEnd"/>
      <w:r w:rsidRPr="00DB2422">
        <w:t xml:space="preserve"> </w:t>
      </w:r>
      <w:r>
        <w:t xml:space="preserve">en Suisse </w:t>
      </w:r>
      <w:r w:rsidRPr="00DB2422">
        <w:t>et d</w:t>
      </w:r>
      <w:r>
        <w:t>’</w:t>
      </w:r>
      <w:r w:rsidRPr="00DB2422">
        <w:t>engager un processus réflexif sur ce passé</w:t>
      </w:r>
      <w:r>
        <w:t xml:space="preserve">, </w:t>
      </w:r>
      <w:r w:rsidRPr="00DB2422">
        <w:t>ou encore</w:t>
      </w:r>
      <w:r>
        <w:t xml:space="preserve"> sur le racisme systémique au sein de la police</w:t>
      </w:r>
      <w:r w:rsidRPr="00DB2422">
        <w:t>.</w:t>
      </w:r>
    </w:p>
    <w:p w14:paraId="2C77C13E" w14:textId="77777777" w:rsidR="00A454AE" w:rsidRPr="009B17D1" w:rsidRDefault="00A454AE" w:rsidP="00753414">
      <w:pPr>
        <w:pStyle w:val="SingleTxtG"/>
        <w:numPr>
          <w:ilvl w:val="0"/>
          <w:numId w:val="43"/>
        </w:numPr>
        <w:kinsoku/>
        <w:overflowPunct/>
        <w:autoSpaceDE/>
        <w:autoSpaceDN/>
        <w:adjustRightInd/>
        <w:snapToGrid/>
        <w:ind w:left="1134" w:firstLine="0"/>
      </w:pPr>
      <w:r w:rsidRPr="009B17D1">
        <w:rPr>
          <w:lang w:eastAsia="de-CH"/>
        </w:rPr>
        <w:t xml:space="preserve">La CFM a pour mission de </w:t>
      </w:r>
      <w:r w:rsidRPr="000B4B86">
        <w:rPr>
          <w:lang w:eastAsia="de-CH"/>
        </w:rPr>
        <w:t>traite</w:t>
      </w:r>
      <w:r>
        <w:rPr>
          <w:lang w:eastAsia="de-CH"/>
        </w:rPr>
        <w:t>r</w:t>
      </w:r>
      <w:r w:rsidRPr="000B4B86">
        <w:rPr>
          <w:lang w:eastAsia="de-CH"/>
        </w:rPr>
        <w:t xml:space="preserve"> des questions d</w:t>
      </w:r>
      <w:r>
        <w:rPr>
          <w:lang w:eastAsia="de-CH"/>
        </w:rPr>
        <w:t>’</w:t>
      </w:r>
      <w:r w:rsidRPr="000B4B86">
        <w:rPr>
          <w:lang w:eastAsia="de-CH"/>
        </w:rPr>
        <w:t xml:space="preserve">ordre social, économique, culturel, politique, démographique et juridique soulevées </w:t>
      </w:r>
      <w:r>
        <w:rPr>
          <w:lang w:eastAsia="de-CH"/>
        </w:rPr>
        <w:t xml:space="preserve">notamment </w:t>
      </w:r>
      <w:r w:rsidRPr="000B4B86">
        <w:rPr>
          <w:lang w:eastAsia="de-CH"/>
        </w:rPr>
        <w:t>par le séjour</w:t>
      </w:r>
      <w:r>
        <w:rPr>
          <w:lang w:eastAsia="de-CH"/>
        </w:rPr>
        <w:t xml:space="preserve"> </w:t>
      </w:r>
      <w:r w:rsidRPr="000B4B86">
        <w:rPr>
          <w:lang w:eastAsia="de-CH"/>
        </w:rPr>
        <w:t>des étrangers</w:t>
      </w:r>
      <w:r>
        <w:rPr>
          <w:lang w:eastAsia="de-CH"/>
        </w:rPr>
        <w:t xml:space="preserve"> en Suisse</w:t>
      </w:r>
      <w:r w:rsidRPr="009B17D1">
        <w:rPr>
          <w:lang w:eastAsia="de-CH"/>
        </w:rPr>
        <w:t xml:space="preserve"> (art.</w:t>
      </w:r>
      <w:r>
        <w:rPr>
          <w:lang w:eastAsia="de-CH"/>
        </w:rPr>
        <w:t> </w:t>
      </w:r>
      <w:r w:rsidRPr="009B17D1">
        <w:rPr>
          <w:lang w:eastAsia="de-CH"/>
        </w:rPr>
        <w:t>100</w:t>
      </w:r>
      <w:r w:rsidRPr="00585A84">
        <w:rPr>
          <w:i/>
          <w:iCs/>
          <w:lang w:eastAsia="de-CH"/>
        </w:rPr>
        <w:t>b</w:t>
      </w:r>
      <w:r w:rsidRPr="009B17D1">
        <w:rPr>
          <w:lang w:eastAsia="de-CH"/>
        </w:rPr>
        <w:t>, al.</w:t>
      </w:r>
      <w:r>
        <w:rPr>
          <w:lang w:eastAsia="de-CH"/>
        </w:rPr>
        <w:t> </w:t>
      </w:r>
      <w:r w:rsidRPr="009B17D1">
        <w:rPr>
          <w:lang w:eastAsia="de-CH"/>
        </w:rPr>
        <w:t xml:space="preserve">2, loi fédérale </w:t>
      </w:r>
      <w:r w:rsidRPr="000E2E3B">
        <w:rPr>
          <w:lang w:eastAsia="de-CH"/>
        </w:rPr>
        <w:t>du 16</w:t>
      </w:r>
      <w:r>
        <w:rPr>
          <w:lang w:eastAsia="de-CH"/>
        </w:rPr>
        <w:t> </w:t>
      </w:r>
      <w:r w:rsidRPr="000E2E3B">
        <w:rPr>
          <w:lang w:eastAsia="de-CH"/>
        </w:rPr>
        <w:t>décembre</w:t>
      </w:r>
      <w:r>
        <w:rPr>
          <w:lang w:eastAsia="de-CH"/>
        </w:rPr>
        <w:t> </w:t>
      </w:r>
      <w:r w:rsidRPr="000E2E3B">
        <w:rPr>
          <w:lang w:eastAsia="de-CH"/>
        </w:rPr>
        <w:t>2005</w:t>
      </w:r>
      <w:r>
        <w:rPr>
          <w:lang w:eastAsia="de-CH"/>
        </w:rPr>
        <w:t xml:space="preserve"> </w:t>
      </w:r>
      <w:r w:rsidRPr="009B17D1">
        <w:rPr>
          <w:lang w:eastAsia="de-CH"/>
        </w:rPr>
        <w:t>sur les étrangers et l</w:t>
      </w:r>
      <w:r>
        <w:rPr>
          <w:lang w:eastAsia="de-CH"/>
        </w:rPr>
        <w:t>’</w:t>
      </w:r>
      <w:r w:rsidRPr="009B17D1">
        <w:rPr>
          <w:lang w:eastAsia="de-CH"/>
        </w:rPr>
        <w:t xml:space="preserve">intégration, </w:t>
      </w:r>
      <w:r w:rsidRPr="00383BC5">
        <w:rPr>
          <w:lang w:eastAsia="de-CH"/>
        </w:rPr>
        <w:t>LEI</w:t>
      </w:r>
      <w:r>
        <w:rPr>
          <w:lang w:eastAsia="de-CH"/>
        </w:rPr>
        <w:t>, RS </w:t>
      </w:r>
      <w:r w:rsidRPr="000B4B86">
        <w:rPr>
          <w:i/>
          <w:iCs/>
          <w:lang w:eastAsia="de-CH"/>
        </w:rPr>
        <w:t>142.20</w:t>
      </w:r>
      <w:r w:rsidRPr="009B17D1">
        <w:rPr>
          <w:lang w:eastAsia="de-CH"/>
        </w:rPr>
        <w:t>). Elle collabore</w:t>
      </w:r>
      <w:r>
        <w:rPr>
          <w:lang w:eastAsia="de-CH"/>
        </w:rPr>
        <w:t xml:space="preserve"> pour ce faire</w:t>
      </w:r>
      <w:r w:rsidRPr="009B17D1">
        <w:rPr>
          <w:lang w:eastAsia="de-CH"/>
        </w:rPr>
        <w:t xml:space="preserve"> avec les services fédéraux, cantonaux et communaux compétents et avec les organisations non gouvernementales actives dans le domaine de la migration. Elle participe </w:t>
      </w:r>
      <w:r>
        <w:rPr>
          <w:lang w:eastAsia="de-CH"/>
        </w:rPr>
        <w:t>aussi à des</w:t>
      </w:r>
      <w:r w:rsidRPr="009B17D1">
        <w:rPr>
          <w:lang w:eastAsia="de-CH"/>
        </w:rPr>
        <w:t xml:space="preserve"> échanges de vues et d</w:t>
      </w:r>
      <w:r>
        <w:rPr>
          <w:lang w:eastAsia="de-CH"/>
        </w:rPr>
        <w:t>’</w:t>
      </w:r>
      <w:r w:rsidRPr="009B17D1">
        <w:rPr>
          <w:lang w:eastAsia="de-CH"/>
        </w:rPr>
        <w:t>expériences au niveau international (art. 100</w:t>
      </w:r>
      <w:r w:rsidRPr="00585A84">
        <w:rPr>
          <w:i/>
          <w:iCs/>
          <w:lang w:eastAsia="de-CH"/>
        </w:rPr>
        <w:t>b</w:t>
      </w:r>
      <w:r w:rsidRPr="009B17D1">
        <w:rPr>
          <w:lang w:eastAsia="de-CH"/>
        </w:rPr>
        <w:t>, al. 3, LEI). Elle peut être entendue sur les questions de fond ayant trait à l</w:t>
      </w:r>
      <w:r>
        <w:rPr>
          <w:lang w:eastAsia="de-CH"/>
        </w:rPr>
        <w:t>’</w:t>
      </w:r>
      <w:r w:rsidRPr="009B17D1">
        <w:rPr>
          <w:lang w:eastAsia="de-CH"/>
        </w:rPr>
        <w:t>encouragement de l</w:t>
      </w:r>
      <w:r>
        <w:rPr>
          <w:lang w:eastAsia="de-CH"/>
        </w:rPr>
        <w:t>’</w:t>
      </w:r>
      <w:r w:rsidRPr="009B17D1">
        <w:rPr>
          <w:lang w:eastAsia="de-CH"/>
        </w:rPr>
        <w:t>intégration. Elle est habilitée à demander des contributions financières au SEM en vue de la réalisation de projets d</w:t>
      </w:r>
      <w:r>
        <w:rPr>
          <w:lang w:eastAsia="de-CH"/>
        </w:rPr>
        <w:t>’</w:t>
      </w:r>
      <w:r w:rsidRPr="009B17D1">
        <w:rPr>
          <w:lang w:eastAsia="de-CH"/>
        </w:rPr>
        <w:t>intégration d</w:t>
      </w:r>
      <w:r>
        <w:rPr>
          <w:lang w:eastAsia="de-CH"/>
        </w:rPr>
        <w:t>’</w:t>
      </w:r>
      <w:r w:rsidRPr="009B17D1">
        <w:rPr>
          <w:lang w:eastAsia="de-CH"/>
        </w:rPr>
        <w:t>importance nationale (art. 100</w:t>
      </w:r>
      <w:r w:rsidRPr="00585A84">
        <w:rPr>
          <w:i/>
          <w:iCs/>
          <w:lang w:eastAsia="de-CH"/>
        </w:rPr>
        <w:t>b</w:t>
      </w:r>
      <w:r w:rsidRPr="009B17D1">
        <w:rPr>
          <w:lang w:eastAsia="de-CH"/>
        </w:rPr>
        <w:t xml:space="preserve">, al. 4, LEI). </w:t>
      </w:r>
    </w:p>
    <w:p w14:paraId="093D2378" w14:textId="77777777" w:rsidR="00A454AE" w:rsidRPr="00585A84" w:rsidRDefault="00A454AE" w:rsidP="00753414">
      <w:pPr>
        <w:pStyle w:val="SingleTxtG"/>
        <w:numPr>
          <w:ilvl w:val="0"/>
          <w:numId w:val="43"/>
        </w:numPr>
        <w:kinsoku/>
        <w:overflowPunct/>
        <w:autoSpaceDE/>
        <w:autoSpaceDN/>
        <w:adjustRightInd/>
        <w:snapToGrid/>
        <w:ind w:left="1134" w:firstLine="0"/>
      </w:pPr>
      <w:r w:rsidRPr="00585A84">
        <w:rPr>
          <w:lang w:eastAsia="de-CH"/>
        </w:rPr>
        <w:t>La CFM accorde une attention prioritaire à plusieurs thématiques</w:t>
      </w:r>
      <w:r>
        <w:rPr>
          <w:lang w:eastAsia="de-CH"/>
        </w:rPr>
        <w:t> </w:t>
      </w:r>
      <w:r w:rsidRPr="00585A84">
        <w:rPr>
          <w:lang w:eastAsia="de-CH"/>
        </w:rPr>
        <w:t xml:space="preserve">: la protection des réfugiés, la sécurité sociale dans </w:t>
      </w:r>
      <w:r>
        <w:rPr>
          <w:lang w:eastAsia="de-CH"/>
        </w:rPr>
        <w:t>une société suisse plurielle</w:t>
      </w:r>
      <w:r w:rsidRPr="00585A84">
        <w:rPr>
          <w:lang w:eastAsia="de-CH"/>
        </w:rPr>
        <w:t>, les droits civi</w:t>
      </w:r>
      <w:r>
        <w:rPr>
          <w:lang w:eastAsia="de-CH"/>
        </w:rPr>
        <w:t>ques</w:t>
      </w:r>
      <w:r w:rsidRPr="00585A84">
        <w:rPr>
          <w:lang w:eastAsia="de-CH"/>
        </w:rPr>
        <w:t xml:space="preserve"> et la naturalisation, la diversité culturelle, la migration et la formation, les enfants et la migration, ainsi que les enjeux migratoires à l</w:t>
      </w:r>
      <w:r>
        <w:rPr>
          <w:lang w:eastAsia="de-CH"/>
        </w:rPr>
        <w:t>’</w:t>
      </w:r>
      <w:r w:rsidRPr="00585A84">
        <w:rPr>
          <w:lang w:eastAsia="de-CH"/>
        </w:rPr>
        <w:t>interface entre politique intérieure et politique extérieure. La CFM publie régulièrement des études, des recommandations et des prises de position et organise des manifestations sur des thèmes liés à la politique migratoire à l</w:t>
      </w:r>
      <w:r>
        <w:rPr>
          <w:lang w:eastAsia="de-CH"/>
        </w:rPr>
        <w:t>’</w:t>
      </w:r>
      <w:r w:rsidRPr="00585A84">
        <w:rPr>
          <w:lang w:eastAsia="de-CH"/>
        </w:rPr>
        <w:t>intention des spécialistes, des autorités, des acteurs politiques et de la société civile.</w:t>
      </w:r>
    </w:p>
    <w:p w14:paraId="09867210" w14:textId="3B2B2543" w:rsidR="00A454AE" w:rsidRPr="000E7245" w:rsidRDefault="00A454AE" w:rsidP="00753414">
      <w:pPr>
        <w:pStyle w:val="SingleTxtG"/>
        <w:numPr>
          <w:ilvl w:val="0"/>
          <w:numId w:val="43"/>
        </w:numPr>
        <w:kinsoku/>
        <w:overflowPunct/>
        <w:autoSpaceDE/>
        <w:autoSpaceDN/>
        <w:adjustRightInd/>
        <w:snapToGrid/>
        <w:ind w:left="1134" w:firstLine="0"/>
      </w:pPr>
      <w:r w:rsidRPr="000E7245">
        <w:t>Les recommandations</w:t>
      </w:r>
      <w:r>
        <w:t xml:space="preserve">, </w:t>
      </w:r>
      <w:r w:rsidRPr="000E7245">
        <w:t xml:space="preserve">prises de position, études ainsi que </w:t>
      </w:r>
      <w:r>
        <w:t>les numéros de la revue</w:t>
      </w:r>
      <w:r w:rsidRPr="000E7245">
        <w:t xml:space="preserve"> </w:t>
      </w:r>
      <w:r w:rsidRPr="000E7245">
        <w:rPr>
          <w:i/>
          <w:iCs/>
        </w:rPr>
        <w:t xml:space="preserve">terra </w:t>
      </w:r>
      <w:proofErr w:type="spellStart"/>
      <w:r w:rsidRPr="000E7245">
        <w:rPr>
          <w:i/>
          <w:iCs/>
        </w:rPr>
        <w:t>cognita</w:t>
      </w:r>
      <w:proofErr w:type="spellEnd"/>
      <w:r w:rsidRPr="000E7245">
        <w:t xml:space="preserve"> </w:t>
      </w:r>
      <w:r>
        <w:t xml:space="preserve">que la CFM a </w:t>
      </w:r>
      <w:r w:rsidRPr="000E7245">
        <w:t>publiés pendant la période sous revue</w:t>
      </w:r>
      <w:r>
        <w:t xml:space="preserve"> </w:t>
      </w:r>
      <w:r w:rsidRPr="000E7245">
        <w:t>sont disponibles sur</w:t>
      </w:r>
      <w:r>
        <w:t xml:space="preserve"> son site Internet (</w:t>
      </w:r>
      <w:hyperlink r:id="rId38" w:history="1">
        <w:r w:rsidRPr="000E7245">
          <w:rPr>
            <w:rStyle w:val="Hyperlink"/>
          </w:rPr>
          <w:t>www.ekm.admin.ch</w:t>
        </w:r>
      </w:hyperlink>
      <w:r>
        <w:t>)</w:t>
      </w:r>
      <w:r w:rsidRPr="000E7245">
        <w:t xml:space="preserve">. </w:t>
      </w:r>
    </w:p>
    <w:p w14:paraId="05D27D86" w14:textId="3A67F0DD" w:rsidR="00A454AE" w:rsidRPr="00E20A1E" w:rsidRDefault="00E746C8" w:rsidP="00E746C8">
      <w:pPr>
        <w:pStyle w:val="HChG"/>
      </w:pPr>
      <w:bookmarkStart w:id="32" w:name="_Toc216340609"/>
      <w:bookmarkStart w:id="33" w:name="_Toc474943681"/>
      <w:bookmarkStart w:id="34" w:name="_Toc530069742"/>
      <w:r>
        <w:tab/>
      </w:r>
      <w:r>
        <w:tab/>
      </w:r>
      <w:r w:rsidR="00A454AE" w:rsidRPr="00E20A1E">
        <w:t xml:space="preserve">Deuxième partie : </w:t>
      </w:r>
      <w:r w:rsidR="00A454AE">
        <w:t>e</w:t>
      </w:r>
      <w:r w:rsidR="00A454AE" w:rsidRPr="00E20A1E">
        <w:t>xamen de l</w:t>
      </w:r>
      <w:r w:rsidR="00A454AE">
        <w:t>’</w:t>
      </w:r>
      <w:r w:rsidR="00A454AE" w:rsidRPr="00E20A1E">
        <w:t>application des articles 1 à 7 de la Convention</w:t>
      </w:r>
      <w:bookmarkEnd w:id="32"/>
      <w:r w:rsidR="00A454AE" w:rsidRPr="00E20A1E">
        <w:t xml:space="preserve"> </w:t>
      </w:r>
      <w:bookmarkEnd w:id="33"/>
      <w:bookmarkEnd w:id="34"/>
    </w:p>
    <w:p w14:paraId="77262982" w14:textId="77777777" w:rsidR="00A454AE" w:rsidRPr="00E20A1E" w:rsidRDefault="00A454AE" w:rsidP="00753414">
      <w:pPr>
        <w:pStyle w:val="SingleTxtG"/>
        <w:numPr>
          <w:ilvl w:val="0"/>
          <w:numId w:val="43"/>
        </w:numPr>
        <w:kinsoku/>
        <w:overflowPunct/>
        <w:autoSpaceDE/>
        <w:autoSpaceDN/>
        <w:adjustRightInd/>
        <w:snapToGrid/>
        <w:ind w:left="1134" w:firstLine="0"/>
        <w:rPr>
          <w:lang w:eastAsia="de-CH"/>
        </w:rPr>
      </w:pPr>
      <w:r w:rsidRPr="00E20A1E">
        <w:rPr>
          <w:lang w:eastAsia="de-CH"/>
        </w:rPr>
        <w:t>Les commentaires des articles se réfèrent aux recommandations relatives aux dixième,</w:t>
      </w:r>
      <w:r w:rsidRPr="00E20A1E">
        <w:t xml:space="preserve"> </w:t>
      </w:r>
      <w:proofErr w:type="gramStart"/>
      <w:r w:rsidRPr="00E20A1E">
        <w:t>onzième et douzième rapports périodiques</w:t>
      </w:r>
      <w:proofErr w:type="gramEnd"/>
      <w:r w:rsidRPr="00E20A1E">
        <w:t xml:space="preserve"> de la Suisse formulées dans les observations finales adoptées par le comité le 27</w:t>
      </w:r>
      <w:r>
        <w:t> </w:t>
      </w:r>
      <w:r w:rsidRPr="00E20A1E">
        <w:t>décembre 2021 lors de sa 2856</w:t>
      </w:r>
      <w:r w:rsidRPr="00E20A1E">
        <w:rPr>
          <w:vertAlign w:val="superscript"/>
        </w:rPr>
        <w:t>e</w:t>
      </w:r>
      <w:r>
        <w:t> </w:t>
      </w:r>
      <w:r w:rsidRPr="00E20A1E">
        <w:t>séance.</w:t>
      </w:r>
    </w:p>
    <w:p w14:paraId="0E136A66" w14:textId="264F204A" w:rsidR="00A454AE" w:rsidRPr="00E20A1E" w:rsidRDefault="00794C52" w:rsidP="00E746C8">
      <w:pPr>
        <w:pStyle w:val="H1G"/>
      </w:pPr>
      <w:bookmarkStart w:id="35" w:name="_Toc313546958"/>
      <w:bookmarkStart w:id="36" w:name="_Toc322879449"/>
      <w:bookmarkStart w:id="37" w:name="_Toc474943682"/>
      <w:bookmarkStart w:id="38" w:name="_Toc530069743"/>
      <w:bookmarkStart w:id="39" w:name="_Toc216340610"/>
      <w:r>
        <w:tab/>
        <w:t>1.</w:t>
      </w:r>
      <w:r>
        <w:tab/>
      </w:r>
      <w:r w:rsidR="00A454AE" w:rsidRPr="00E20A1E">
        <w:t>Article</w:t>
      </w:r>
      <w:r w:rsidR="00A454AE">
        <w:t> </w:t>
      </w:r>
      <w:r w:rsidR="00A454AE" w:rsidRPr="00E20A1E">
        <w:t>1</w:t>
      </w:r>
      <w:r w:rsidR="00A454AE">
        <w:t> </w:t>
      </w:r>
      <w:r w:rsidR="00A454AE" w:rsidRPr="00E20A1E">
        <w:t xml:space="preserve">: </w:t>
      </w:r>
      <w:r w:rsidR="00A454AE">
        <w:t>d</w:t>
      </w:r>
      <w:r w:rsidR="00A454AE" w:rsidRPr="00E20A1E">
        <w:t>éfinition de</w:t>
      </w:r>
      <w:bookmarkEnd w:id="35"/>
      <w:bookmarkEnd w:id="36"/>
      <w:r w:rsidR="00A454AE" w:rsidRPr="00E20A1E">
        <w:t xml:space="preserve"> la discrimination raciale</w:t>
      </w:r>
      <w:bookmarkEnd w:id="37"/>
      <w:bookmarkEnd w:id="38"/>
      <w:bookmarkEnd w:id="39"/>
    </w:p>
    <w:p w14:paraId="19E57C6F" w14:textId="4687F417" w:rsidR="00A454AE" w:rsidRPr="00E20A1E" w:rsidRDefault="00A454AE" w:rsidP="00794C52">
      <w:pPr>
        <w:pStyle w:val="H23G"/>
      </w:pPr>
      <w:bookmarkStart w:id="40" w:name="_Toc530069744"/>
      <w:r w:rsidRPr="00E20A1E">
        <w:tab/>
      </w:r>
      <w:r w:rsidR="00794C52">
        <w:tab/>
      </w:r>
      <w:r w:rsidR="00794C52">
        <w:tab/>
      </w:r>
      <w:r w:rsidRPr="00794C52">
        <w:t>Application</w:t>
      </w:r>
      <w:r w:rsidRPr="00E20A1E">
        <w:t xml:space="preserve"> de la Convention en droit interne</w:t>
      </w:r>
      <w:bookmarkEnd w:id="40"/>
    </w:p>
    <w:p w14:paraId="13E37CB4" w14:textId="12D850BC" w:rsidR="00A454AE" w:rsidRPr="00E20A1E" w:rsidRDefault="00794C52" w:rsidP="00794C52">
      <w:pPr>
        <w:pStyle w:val="H4G"/>
      </w:pPr>
      <w:r>
        <w:tab/>
      </w:r>
      <w:r>
        <w:tab/>
      </w:r>
      <w:r w:rsidR="00A454AE" w:rsidRPr="00E20A1E">
        <w:t>Mise en œuvre de la recommandation formulée au ch.</w:t>
      </w:r>
      <w:r w:rsidR="00A454AE">
        <w:t> </w:t>
      </w:r>
      <w:r w:rsidR="00A454AE" w:rsidRPr="00E20A1E">
        <w:t>6a des observations finales</w:t>
      </w:r>
      <w:r w:rsidR="00A454AE">
        <w:t> :</w:t>
      </w:r>
    </w:p>
    <w:p w14:paraId="1933B8B8" w14:textId="77777777" w:rsidR="00A454AE" w:rsidRDefault="00A454AE" w:rsidP="00753414">
      <w:pPr>
        <w:pStyle w:val="SingleTxtG"/>
        <w:numPr>
          <w:ilvl w:val="0"/>
          <w:numId w:val="43"/>
        </w:numPr>
        <w:kinsoku/>
        <w:overflowPunct/>
        <w:autoSpaceDE/>
        <w:autoSpaceDN/>
        <w:adjustRightInd/>
        <w:snapToGrid/>
        <w:ind w:left="1134" w:firstLine="0"/>
      </w:pPr>
      <w:r w:rsidRPr="00E20A1E">
        <w:t>L</w:t>
      </w:r>
      <w:r>
        <w:t>’</w:t>
      </w:r>
      <w:r w:rsidRPr="00E20A1E">
        <w:t>absence d</w:t>
      </w:r>
      <w:r>
        <w:t>’</w:t>
      </w:r>
      <w:r w:rsidRPr="00E20A1E">
        <w:t>une législation spécifique à la lutte contre la discrimination raciale est due à la spécificité de l</w:t>
      </w:r>
      <w:r>
        <w:t>’</w:t>
      </w:r>
      <w:r w:rsidRPr="00E20A1E">
        <w:t xml:space="preserve">ordre juridique suisse, caractérisé par son fédéralisme et la tradition </w:t>
      </w:r>
      <w:proofErr w:type="spellStart"/>
      <w:proofErr w:type="gramStart"/>
      <w:r w:rsidRPr="00E20A1E">
        <w:t>moniste.</w:t>
      </w:r>
      <w:r>
        <w:t>L</w:t>
      </w:r>
      <w:r w:rsidRPr="00E20A1E">
        <w:t>a</w:t>
      </w:r>
      <w:proofErr w:type="spellEnd"/>
      <w:proofErr w:type="gramEnd"/>
      <w:r w:rsidRPr="00E20A1E">
        <w:t xml:space="preserve"> discrimination raciale est appréhendée par le droit suisse</w:t>
      </w:r>
      <w:r>
        <w:t>,</w:t>
      </w:r>
      <w:r w:rsidRPr="00E20A1E">
        <w:t xml:space="preserve"> notamment à l</w:t>
      </w:r>
      <w:r>
        <w:t>’</w:t>
      </w:r>
      <w:r w:rsidRPr="00E20A1E">
        <w:t>art.</w:t>
      </w:r>
      <w:r>
        <w:t> </w:t>
      </w:r>
      <w:r w:rsidRPr="00E20A1E">
        <w:t>261</w:t>
      </w:r>
      <w:r w:rsidRPr="00E20A1E">
        <w:rPr>
          <w:vertAlign w:val="superscript"/>
        </w:rPr>
        <w:t>bis</w:t>
      </w:r>
      <w:r>
        <w:t> CP</w:t>
      </w:r>
      <w:r w:rsidRPr="00E20A1E">
        <w:t xml:space="preserve">. Cette disposition incrimine toute discrimination </w:t>
      </w:r>
      <w:r>
        <w:t>fondée sur</w:t>
      </w:r>
      <w:r w:rsidRPr="00E20A1E">
        <w:t xml:space="preserve"> l</w:t>
      </w:r>
      <w:r>
        <w:t>’</w:t>
      </w:r>
      <w:r w:rsidRPr="00E20A1E">
        <w:t xml:space="preserve">appartenance </w:t>
      </w:r>
      <w:r w:rsidRPr="00E20A1E">
        <w:lastRenderedPageBreak/>
        <w:t xml:space="preserve">raciale, ethnique ou religieuse ou </w:t>
      </w:r>
      <w:r>
        <w:t>sur</w:t>
      </w:r>
      <w:r w:rsidRPr="00E20A1E">
        <w:t xml:space="preserve"> l</w:t>
      </w:r>
      <w:r>
        <w:t>’</w:t>
      </w:r>
      <w:r w:rsidRPr="00E20A1E">
        <w:t>orientation sexuelle. L</w:t>
      </w:r>
      <w:r>
        <w:t>’</w:t>
      </w:r>
      <w:r w:rsidRPr="00E20A1E">
        <w:t>ajout de l</w:t>
      </w:r>
      <w:r>
        <w:t>’</w:t>
      </w:r>
      <w:r w:rsidRPr="00E20A1E">
        <w:t>orientation sexuelle à l</w:t>
      </w:r>
      <w:r>
        <w:t>’</w:t>
      </w:r>
      <w:r w:rsidRPr="00E20A1E">
        <w:t>art.</w:t>
      </w:r>
      <w:r>
        <w:t> </w:t>
      </w:r>
      <w:r w:rsidRPr="00E20A1E">
        <w:t>2</w:t>
      </w:r>
      <w:r>
        <w:t>,</w:t>
      </w:r>
      <w:r w:rsidRPr="00E20A1E">
        <w:t xml:space="preserve"> en 2020</w:t>
      </w:r>
      <w:r>
        <w:t>,</w:t>
      </w:r>
      <w:r w:rsidRPr="00E20A1E">
        <w:t xml:space="preserve"> complète les éléments constitutifs de l</w:t>
      </w:r>
      <w:r>
        <w:t>’</w:t>
      </w:r>
      <w:r w:rsidRPr="00E20A1E">
        <w:t xml:space="preserve">infraction. </w:t>
      </w:r>
    </w:p>
    <w:p w14:paraId="70422E94" w14:textId="79A97168" w:rsidR="00A454AE" w:rsidRPr="00E20A1E" w:rsidRDefault="00794C52" w:rsidP="00794C52">
      <w:pPr>
        <w:pStyle w:val="H1G"/>
      </w:pPr>
      <w:bookmarkStart w:id="41" w:name="_Toc313546959"/>
      <w:bookmarkStart w:id="42" w:name="_Toc322879450"/>
      <w:bookmarkStart w:id="43" w:name="_Toc474943683"/>
      <w:bookmarkStart w:id="44" w:name="_Toc530069746"/>
      <w:bookmarkStart w:id="45" w:name="_Toc216340611"/>
      <w:r>
        <w:tab/>
        <w:t>2.</w:t>
      </w:r>
      <w:r>
        <w:tab/>
      </w:r>
      <w:r w:rsidR="00A454AE" w:rsidRPr="00E20A1E">
        <w:t>Article</w:t>
      </w:r>
      <w:r w:rsidR="00A454AE">
        <w:t> </w:t>
      </w:r>
      <w:r w:rsidR="00A454AE" w:rsidRPr="00E20A1E">
        <w:t xml:space="preserve">2 : </w:t>
      </w:r>
      <w:bookmarkEnd w:id="41"/>
      <w:bookmarkEnd w:id="42"/>
      <w:r w:rsidR="00A454AE">
        <w:t>c</w:t>
      </w:r>
      <w:r w:rsidR="00A454AE" w:rsidRPr="00E20A1E">
        <w:t>ondamnation de la discrimination raciale</w:t>
      </w:r>
      <w:bookmarkEnd w:id="43"/>
      <w:bookmarkEnd w:id="44"/>
      <w:bookmarkEnd w:id="45"/>
    </w:p>
    <w:p w14:paraId="3601C566" w14:textId="3ACF6DE1" w:rsidR="00A454AE" w:rsidRPr="00E20A1E" w:rsidRDefault="009C0351" w:rsidP="009C0351">
      <w:pPr>
        <w:pStyle w:val="H4G"/>
        <w:rPr>
          <w:highlight w:val="cyan"/>
        </w:rPr>
      </w:pPr>
      <w:r>
        <w:tab/>
      </w:r>
      <w:r>
        <w:tab/>
      </w:r>
      <w:r w:rsidR="00A454AE" w:rsidRPr="00E20A1E">
        <w:t>Mise en œuvre de la recommandation formulée au ch. 6b des observations finales</w:t>
      </w:r>
      <w:r w:rsidR="00A454AE">
        <w:t> :</w:t>
      </w:r>
    </w:p>
    <w:p w14:paraId="7CFEA79A"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 xml:space="preserve">Comme déjà indiqué, la protection contre la discrimination raciale peut être dégagée des règles générales (protection </w:t>
      </w:r>
      <w:r>
        <w:t>de</w:t>
      </w:r>
      <w:r w:rsidRPr="00E20A1E">
        <w:t xml:space="preserve"> la personnalité, protection contre le licenciement abusif ou contre la résiliation abusive du contrat de bail). </w:t>
      </w:r>
    </w:p>
    <w:p w14:paraId="5070BF12"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La Suisse privilégie une approche spécifique à chaque domaine, considérant que cette approche est plus ciblée et donc plus efficace qu</w:t>
      </w:r>
      <w:r>
        <w:t>’</w:t>
      </w:r>
      <w:r w:rsidRPr="00E20A1E">
        <w:t>une règle générale qui devra de toute manière être concrétisée par les tribunaux. Il est ainsi notable que la discrimination raciale dans le cadre d</w:t>
      </w:r>
      <w:r>
        <w:t>’</w:t>
      </w:r>
      <w:r w:rsidRPr="00E20A1E">
        <w:t>offres de prestations au public est très sévèrement punie en droit suisse. En effet, l</w:t>
      </w:r>
      <w:r>
        <w:t>’</w:t>
      </w:r>
      <w:r w:rsidRPr="00E20A1E">
        <w:t>art.</w:t>
      </w:r>
      <w:r>
        <w:t> </w:t>
      </w:r>
      <w:r w:rsidRPr="00E20A1E">
        <w:t>261</w:t>
      </w:r>
      <w:r w:rsidRPr="00E20A1E">
        <w:rPr>
          <w:vertAlign w:val="superscript"/>
        </w:rPr>
        <w:t>bis</w:t>
      </w:r>
      <w:r w:rsidRPr="00E20A1E">
        <w:t xml:space="preserve"> CP prévoit que quiconque refuse à une personne ou à un groupe de personnes, en raison de leur appartenance raciale, ethnique ou religieuse ou de leur orientation sexuelle, une prestation destinée à l</w:t>
      </w:r>
      <w:r>
        <w:t>’</w:t>
      </w:r>
      <w:r w:rsidRPr="00E20A1E">
        <w:t>usage public, est puni d</w:t>
      </w:r>
      <w:r>
        <w:t>’</w:t>
      </w:r>
      <w:r w:rsidRPr="00E20A1E">
        <w:t>une peine privative de liberté de trois ans au plus ou d</w:t>
      </w:r>
      <w:r>
        <w:t>’</w:t>
      </w:r>
      <w:r w:rsidRPr="00E20A1E">
        <w:t>une peine pécuniaire.</w:t>
      </w:r>
    </w:p>
    <w:p w14:paraId="105F06C2" w14:textId="77777777" w:rsidR="00A454AE" w:rsidRDefault="00A454AE" w:rsidP="00753414">
      <w:pPr>
        <w:pStyle w:val="SingleTxtG"/>
        <w:numPr>
          <w:ilvl w:val="0"/>
          <w:numId w:val="43"/>
        </w:numPr>
        <w:kinsoku/>
        <w:overflowPunct/>
        <w:autoSpaceDE/>
        <w:autoSpaceDN/>
        <w:adjustRightInd/>
        <w:snapToGrid/>
        <w:ind w:left="1134" w:firstLine="0"/>
      </w:pPr>
      <w:r w:rsidRPr="00E20A1E">
        <w:t>S</w:t>
      </w:r>
      <w:r>
        <w:t>’</w:t>
      </w:r>
      <w:r w:rsidRPr="00E20A1E">
        <w:t>agissant de la procédure judiciaire</w:t>
      </w:r>
      <w:r>
        <w:t> </w:t>
      </w:r>
      <w:r w:rsidRPr="00E20A1E">
        <w:t>: la modification mentionnée du code de procédure civile</w:t>
      </w:r>
      <w:r>
        <w:t xml:space="preserve"> (cf. ch. 13)</w:t>
      </w:r>
      <w:r w:rsidRPr="00E20A1E">
        <w:t xml:space="preserve"> a été adoptée le 27</w:t>
      </w:r>
      <w:r>
        <w:t> </w:t>
      </w:r>
      <w:r w:rsidRPr="00E20A1E">
        <w:t>mars 2023 et est entrée en vigueur le 1</w:t>
      </w:r>
      <w:r w:rsidRPr="00FB72CB">
        <w:rPr>
          <w:vertAlign w:val="superscript"/>
        </w:rPr>
        <w:t>er</w:t>
      </w:r>
      <w:r>
        <w:t> </w:t>
      </w:r>
      <w:r w:rsidRPr="00E20A1E">
        <w:t xml:space="preserve">janvier 2025. </w:t>
      </w:r>
      <w:r>
        <w:t xml:space="preserve">Les interventions ont notamment porté sur les </w:t>
      </w:r>
      <w:proofErr w:type="spellStart"/>
      <w:r w:rsidRPr="00E20A1E">
        <w:t>allègement</w:t>
      </w:r>
      <w:r>
        <w:t>s</w:t>
      </w:r>
      <w:proofErr w:type="spellEnd"/>
      <w:r w:rsidRPr="00E20A1E">
        <w:t xml:space="preserve"> concernant les frais de procédure</w:t>
      </w:r>
      <w:r>
        <w:t> </w:t>
      </w:r>
      <w:r w:rsidRPr="00E20A1E">
        <w:t>: l</w:t>
      </w:r>
      <w:r>
        <w:t>’</w:t>
      </w:r>
      <w:r w:rsidRPr="00E20A1E">
        <w:t xml:space="preserve">avance de frais a été réduite de moitié et </w:t>
      </w:r>
      <w:r w:rsidRPr="0071424C">
        <w:t>le risque lié au recouvrement des frais de justice sera</w:t>
      </w:r>
      <w:r w:rsidRPr="00E20A1E">
        <w:t xml:space="preserve"> porté dorénavant par l</w:t>
      </w:r>
      <w:r>
        <w:t>’É</w:t>
      </w:r>
      <w:r w:rsidRPr="00E20A1E">
        <w:t xml:space="preserve">tat. Le projet du Conseil fédéral concernant </w:t>
      </w:r>
      <w:r>
        <w:t>la protection juridique</w:t>
      </w:r>
      <w:r w:rsidRPr="00E20A1E">
        <w:t xml:space="preserve"> collective fait l</w:t>
      </w:r>
      <w:r>
        <w:t>’</w:t>
      </w:r>
      <w:r w:rsidRPr="00E20A1E">
        <w:t>objet d</w:t>
      </w:r>
      <w:r>
        <w:t>’</w:t>
      </w:r>
      <w:r w:rsidRPr="00E20A1E">
        <w:t>une forte résistance au Parlement. Le Conseil national a ainsi refusé d</w:t>
      </w:r>
      <w:r>
        <w:t>’</w:t>
      </w:r>
      <w:r w:rsidRPr="00E20A1E">
        <w:t>entrer en matière sur cet objet le 17</w:t>
      </w:r>
      <w:r>
        <w:t> </w:t>
      </w:r>
      <w:r w:rsidRPr="00E20A1E">
        <w:t>mars 2025</w:t>
      </w:r>
      <w:r>
        <w:t>, suivi du Conseil des États le 15 septembre 2025</w:t>
      </w:r>
      <w:r w:rsidRPr="00E20A1E">
        <w:t xml:space="preserve">. La procédure parlementaire </w:t>
      </w:r>
      <w:r>
        <w:t>est ainsi terminée</w:t>
      </w:r>
      <w:r w:rsidRPr="00E20A1E">
        <w:t>.</w:t>
      </w:r>
    </w:p>
    <w:p w14:paraId="28930590" w14:textId="77777777" w:rsidR="00A454AE" w:rsidRPr="007A7F7C" w:rsidRDefault="00A454AE" w:rsidP="00753414">
      <w:pPr>
        <w:pStyle w:val="SingleTxtG"/>
        <w:numPr>
          <w:ilvl w:val="0"/>
          <w:numId w:val="43"/>
        </w:numPr>
        <w:kinsoku/>
        <w:overflowPunct/>
        <w:autoSpaceDE/>
        <w:autoSpaceDN/>
        <w:adjustRightInd/>
        <w:snapToGrid/>
        <w:ind w:left="1134" w:firstLine="0"/>
      </w:pPr>
      <w:r>
        <w:t>Divers</w:t>
      </w:r>
      <w:r w:rsidRPr="00527C8F">
        <w:t xml:space="preserve"> expert</w:t>
      </w:r>
      <w:r>
        <w:t>s et expert</w:t>
      </w:r>
      <w:r w:rsidRPr="00527C8F">
        <w:t xml:space="preserve">es s’accordent en revanche à dire que le cadre juridique présente des lacunes. C’est ce que montrent également les résultats de l’audition des parties prenantes sur les défis actuels et les besoins dans la lutte contre le racisme et l’antisémitisme en Suisse, menée dans le cadre de l’élaboration de la stratégie et du plan d’action y afférents, avec la participation des autorités, de la société civile et du monde scientifique. Une étude publiée en juin 2025 par la Commission fédérale contre le racisme (CFR) conclut également qu’il existe </w:t>
      </w:r>
      <w:r>
        <w:t>des</w:t>
      </w:r>
      <w:r w:rsidRPr="00527C8F">
        <w:t xml:space="preserve"> lacunes dans la protection civile contre la discrimination raciale, notamment dans les domaines de l’emploi et du logement. Même si le droit civil offre en principe une protection en cas d’atteinte à la personnalité, les obstacles à l’introduction d’une action en justice restent élevés, et des barrières structurelles compliquent l’accès au droit. </w:t>
      </w:r>
      <w:r w:rsidRPr="00B45C5A">
        <w:t xml:space="preserve">L’étude recommande notamment un </w:t>
      </w:r>
      <w:proofErr w:type="spellStart"/>
      <w:r w:rsidRPr="00B45C5A">
        <w:t>allègement</w:t>
      </w:r>
      <w:proofErr w:type="spellEnd"/>
      <w:r w:rsidRPr="00B45C5A">
        <w:t xml:space="preserve"> de la charge de la preuve, la gratuité des procédures de conciliation et l’interdiction de la discrimination dans le processus de recrutement. Une autre étude de la CFR, également publiée en juin 2025, évalue par ailleurs la protection civile actuelle contre la discrimination en Suisse comme insuffisante en comparaison européenne</w:t>
      </w:r>
      <w:r>
        <w:t xml:space="preserve">. </w:t>
      </w:r>
      <w:r w:rsidRPr="00352D8A">
        <w:t>Le Conseil fédéral ne s'est pas prononcé jusqu'à présent sur les résultats de ces études</w:t>
      </w:r>
      <w:r>
        <w:t xml:space="preserve"> </w:t>
      </w:r>
      <w:r w:rsidRPr="007A7F7C">
        <w:t>(cf. ch. 22)</w:t>
      </w:r>
      <w:r w:rsidRPr="00362514">
        <w:t>.</w:t>
      </w:r>
    </w:p>
    <w:p w14:paraId="2B492AEC" w14:textId="77777777" w:rsidR="00A454AE" w:rsidRPr="00E20A1E" w:rsidRDefault="00A454AE" w:rsidP="00753414">
      <w:pPr>
        <w:pStyle w:val="SingleTxtG"/>
        <w:numPr>
          <w:ilvl w:val="0"/>
          <w:numId w:val="43"/>
        </w:numPr>
        <w:kinsoku/>
        <w:overflowPunct/>
        <w:autoSpaceDE/>
        <w:autoSpaceDN/>
        <w:adjustRightInd/>
        <w:snapToGrid/>
        <w:ind w:left="1134" w:firstLine="0"/>
      </w:pPr>
      <w:r w:rsidRPr="00256DCD">
        <w:t xml:space="preserve">Au niveau communal et cantonal, les développements suivants méritent d’être mentionnés dans ce contexte : en septembre 2025, la Ville de Berne a déposé la </w:t>
      </w:r>
      <w:hyperlink r:id="rId39" w:history="1">
        <w:r w:rsidRPr="00B45C5A">
          <w:rPr>
            <w:rStyle w:val="Hyperlink"/>
          </w:rPr>
          <w:t xml:space="preserve">motion 2025.SR.0271 intitulée « Protection contre la discrimination et promotion de la </w:t>
        </w:r>
        <w:proofErr w:type="gramStart"/>
        <w:r w:rsidRPr="00B45C5A">
          <w:rPr>
            <w:rStyle w:val="Hyperlink"/>
          </w:rPr>
          <w:t>participation»</w:t>
        </w:r>
        <w:proofErr w:type="gramEnd"/>
      </w:hyperlink>
      <w:r w:rsidRPr="00256DCD">
        <w:t>, qui prévoit une modification du règlement communal ainsi que l’adoption d’un règlement spécifique pour lutter contre la discrimination. Dans le canton de Genève, la Loi générale contre les discriminations est entrée en vigueur en 2023 ; d’autres lois de lutte contre les discriminations, notamment contre la discrimination raciale, sont en cours de préparation.</w:t>
      </w:r>
    </w:p>
    <w:p w14:paraId="31006FC2" w14:textId="4ECF07E2" w:rsidR="00A454AE" w:rsidRPr="00E20A1E" w:rsidRDefault="00A454AE" w:rsidP="009C0351">
      <w:pPr>
        <w:pStyle w:val="H4G"/>
      </w:pPr>
      <w:r w:rsidRPr="00E20A1E">
        <w:tab/>
      </w:r>
      <w:r w:rsidR="009C0351">
        <w:tab/>
      </w:r>
      <w:r w:rsidR="009C0351">
        <w:tab/>
      </w:r>
      <w:r w:rsidRPr="00E20A1E">
        <w:t>Mise en œuvre de la recommandation formulée au ch.</w:t>
      </w:r>
      <w:r>
        <w:t> </w:t>
      </w:r>
      <w:r w:rsidRPr="00E20A1E">
        <w:t xml:space="preserve">6c des observations </w:t>
      </w:r>
      <w:proofErr w:type="gramStart"/>
      <w:r w:rsidRPr="00E20A1E">
        <w:t>finales</w:t>
      </w:r>
      <w:r>
        <w:t>:</w:t>
      </w:r>
      <w:proofErr w:type="gramEnd"/>
    </w:p>
    <w:p w14:paraId="78CC3F03" w14:textId="77777777" w:rsidR="00A454AE" w:rsidRPr="005F4E6C" w:rsidRDefault="00A454AE" w:rsidP="00753414">
      <w:pPr>
        <w:pStyle w:val="SingleTxtG"/>
        <w:numPr>
          <w:ilvl w:val="0"/>
          <w:numId w:val="43"/>
        </w:numPr>
        <w:kinsoku/>
        <w:overflowPunct/>
        <w:autoSpaceDE/>
        <w:autoSpaceDN/>
        <w:adjustRightInd/>
        <w:snapToGrid/>
        <w:ind w:left="1134" w:firstLine="0"/>
      </w:pPr>
      <w:r w:rsidRPr="00E20A1E">
        <w:t xml:space="preserve">Le Tribunal </w:t>
      </w:r>
      <w:r>
        <w:t>f</w:t>
      </w:r>
      <w:r w:rsidRPr="00E20A1E">
        <w:t xml:space="preserve">édéral </w:t>
      </w:r>
      <w:r>
        <w:t xml:space="preserve">(TF) </w:t>
      </w:r>
      <w:r w:rsidRPr="00E20A1E">
        <w:t>a confirmé dans plusieurs cas qu</w:t>
      </w:r>
      <w:r>
        <w:t>’</w:t>
      </w:r>
      <w:r w:rsidRPr="00E20A1E">
        <w:t>une motivation raciste ou discriminatoire constitue un motif particulièrement répréhensible qui doit être pris en compte au niveau de la fixation de la peine (art.</w:t>
      </w:r>
      <w:r>
        <w:t> </w:t>
      </w:r>
      <w:r w:rsidRPr="005F4E6C">
        <w:t xml:space="preserve">47 CP) (ATF 133 IV 308, </w:t>
      </w:r>
      <w:proofErr w:type="spellStart"/>
      <w:r w:rsidRPr="005F4E6C">
        <w:t>c</w:t>
      </w:r>
      <w:r w:rsidRPr="00EE1388">
        <w:t>onsid</w:t>
      </w:r>
      <w:proofErr w:type="spellEnd"/>
      <w:r w:rsidRPr="005F4E6C">
        <w:t>. 8.7 et 9.4</w:t>
      </w:r>
      <w:r>
        <w:t> </w:t>
      </w:r>
      <w:r w:rsidRPr="005F4E6C">
        <w:t xml:space="preserve">; ATF 140 IV 67, </w:t>
      </w:r>
      <w:proofErr w:type="spellStart"/>
      <w:r w:rsidRPr="005F4E6C">
        <w:t>consid</w:t>
      </w:r>
      <w:proofErr w:type="spellEnd"/>
      <w:r w:rsidRPr="005F4E6C">
        <w:t xml:space="preserve">. 2.5.2). Ces exemples concernaient p. ex. des lésions corporelles </w:t>
      </w:r>
      <w:r w:rsidRPr="005F4E6C">
        <w:lastRenderedPageBreak/>
        <w:t>graves (art.</w:t>
      </w:r>
      <w:r>
        <w:t> </w:t>
      </w:r>
      <w:r w:rsidRPr="005F4E6C">
        <w:t>122 CP) ou une injure (art.</w:t>
      </w:r>
      <w:r>
        <w:t> </w:t>
      </w:r>
      <w:r w:rsidRPr="005F4E6C">
        <w:t>177 CP). Mais le TF a aussi constaté que le juge du fond dispose d</w:t>
      </w:r>
      <w:r>
        <w:t>’</w:t>
      </w:r>
      <w:r w:rsidRPr="005F4E6C">
        <w:t>une marge d</w:t>
      </w:r>
      <w:r>
        <w:t>’</w:t>
      </w:r>
      <w:r w:rsidRPr="005F4E6C">
        <w:t>appréciation dans la fixation de la peine et qu</w:t>
      </w:r>
      <w:r>
        <w:t>’</w:t>
      </w:r>
      <w:r w:rsidRPr="005F4E6C">
        <w:t>il n</w:t>
      </w:r>
      <w:r>
        <w:t>’</w:t>
      </w:r>
      <w:r w:rsidRPr="005F4E6C">
        <w:t>est nullement tenu d</w:t>
      </w:r>
      <w:r>
        <w:t>’</w:t>
      </w:r>
      <w:r w:rsidRPr="005F4E6C">
        <w:t>exprimer en chiffres ou en pourcentages l</w:t>
      </w:r>
      <w:r>
        <w:t>’</w:t>
      </w:r>
      <w:r w:rsidRPr="005F4E6C">
        <w:t>importance qu</w:t>
      </w:r>
      <w:r>
        <w:t>’</w:t>
      </w:r>
      <w:r w:rsidRPr="005F4E6C">
        <w:t>il accorde à chacun des éléments qu</w:t>
      </w:r>
      <w:r>
        <w:t>’</w:t>
      </w:r>
      <w:r w:rsidRPr="005F4E6C">
        <w:t xml:space="preserve">il cite dans ce contexte (ATF 136 IV 55, </w:t>
      </w:r>
      <w:proofErr w:type="spellStart"/>
      <w:r w:rsidRPr="005F4E6C">
        <w:t>consid</w:t>
      </w:r>
      <w:proofErr w:type="spellEnd"/>
      <w:r w:rsidRPr="005F4E6C">
        <w:t>. 5.6). Le TF ne peut intervenir que si le juge du fond n</w:t>
      </w:r>
      <w:r>
        <w:t>’</w:t>
      </w:r>
      <w:r w:rsidRPr="005F4E6C">
        <w:t>a pas respecté le cadre légal de la peine, a fondé sa décision sur des critères non déterminants ou s</w:t>
      </w:r>
      <w:r>
        <w:t>’</w:t>
      </w:r>
      <w:r w:rsidRPr="005F4E6C">
        <w:t>il a dépassé ou abusé de son pouvoir d</w:t>
      </w:r>
      <w:r>
        <w:t>’</w:t>
      </w:r>
      <w:r w:rsidRPr="005F4E6C">
        <w:t>appréciation (ATF 1</w:t>
      </w:r>
      <w:r>
        <w:t>3</w:t>
      </w:r>
      <w:r w:rsidRPr="005F4E6C">
        <w:t xml:space="preserve">6 IV 55, </w:t>
      </w:r>
      <w:proofErr w:type="spellStart"/>
      <w:r w:rsidRPr="005F4E6C">
        <w:t>consid</w:t>
      </w:r>
      <w:proofErr w:type="spellEnd"/>
      <w:r w:rsidRPr="005F4E6C">
        <w:t xml:space="preserve">. 5.6). </w:t>
      </w:r>
    </w:p>
    <w:p w14:paraId="4E9A589D" w14:textId="284C8F40" w:rsidR="00A454AE" w:rsidRPr="00E20A1E" w:rsidRDefault="009C0351" w:rsidP="009C0351">
      <w:pPr>
        <w:pStyle w:val="H4G"/>
      </w:pPr>
      <w:bookmarkStart w:id="46" w:name="_Hlk200100106"/>
      <w:r>
        <w:tab/>
      </w:r>
      <w:r>
        <w:tab/>
      </w:r>
      <w:r w:rsidR="00A454AE" w:rsidRPr="00E20A1E">
        <w:t>Mise en œuvre de la recommandation formulée au ch.</w:t>
      </w:r>
      <w:r w:rsidR="00A454AE">
        <w:t> </w:t>
      </w:r>
      <w:r w:rsidR="00A454AE" w:rsidRPr="00E20A1E">
        <w:t>20a des observations finales</w:t>
      </w:r>
      <w:r w:rsidR="00A454AE">
        <w:t> :</w:t>
      </w:r>
    </w:p>
    <w:p w14:paraId="12466910"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Plusieurs textes légaux, en particulier la Convention européenne des droits de l</w:t>
      </w:r>
      <w:r>
        <w:t>’</w:t>
      </w:r>
      <w:r w:rsidRPr="00E20A1E">
        <w:t xml:space="preserve">homme (CEDH), la Constitution fédérale et le </w:t>
      </w:r>
      <w:r>
        <w:t>c</w:t>
      </w:r>
      <w:r w:rsidRPr="00E20A1E">
        <w:t>ode pénal, contiennent déjà de nombreuses dispositions régissant l</w:t>
      </w:r>
      <w:r>
        <w:t>’</w:t>
      </w:r>
      <w:r w:rsidRPr="00E20A1E">
        <w:t>action de la police, traitant de la lutte contre les discriminations et couvrant l</w:t>
      </w:r>
      <w:r>
        <w:t>’</w:t>
      </w:r>
      <w:r w:rsidRPr="00E20A1E">
        <w:t xml:space="preserve">interdiction du profilage ethnique ou racial dans les activités </w:t>
      </w:r>
      <w:r>
        <w:t>policières</w:t>
      </w:r>
      <w:r w:rsidRPr="00E20A1E">
        <w:t>. Pour cette raison, la Suisse ne voit pas la nécessité d</w:t>
      </w:r>
      <w:r>
        <w:t>’</w:t>
      </w:r>
      <w:r w:rsidRPr="00E20A1E">
        <w:t>une interdiction spéciale des discriminations dans la législation sur la police. La Conférence des commandantes et commandants des polices cantonales de Suisse estime que la création d</w:t>
      </w:r>
      <w:r>
        <w:t>’</w:t>
      </w:r>
      <w:r w:rsidRPr="00E20A1E">
        <w:t>une nouvelle définition légale et d</w:t>
      </w:r>
      <w:r>
        <w:t>’</w:t>
      </w:r>
      <w:r w:rsidRPr="00E20A1E">
        <w:t xml:space="preserve">une nouvelle disposition pénale contre le profilage racial ne se traduirait pas nécessairement par une amélioration de la situation. Selon </w:t>
      </w:r>
      <w:r>
        <w:t>elle</w:t>
      </w:r>
      <w:r w:rsidRPr="00E20A1E">
        <w:t>, une telle démarche pourrait même vider de son sens l</w:t>
      </w:r>
      <w:r>
        <w:t>’</w:t>
      </w:r>
      <w:r w:rsidRPr="00E20A1E">
        <w:t>interdiction générale de discrimination.</w:t>
      </w:r>
    </w:p>
    <w:bookmarkEnd w:id="46"/>
    <w:p w14:paraId="32393F1D" w14:textId="77777777" w:rsidR="00A454AE" w:rsidRPr="009F6073" w:rsidRDefault="00A454AE" w:rsidP="00753414">
      <w:pPr>
        <w:pStyle w:val="SingleTxtG"/>
        <w:numPr>
          <w:ilvl w:val="0"/>
          <w:numId w:val="43"/>
        </w:numPr>
        <w:kinsoku/>
        <w:overflowPunct/>
        <w:autoSpaceDE/>
        <w:autoSpaceDN/>
        <w:adjustRightInd/>
        <w:snapToGrid/>
        <w:ind w:left="1134" w:firstLine="0"/>
      </w:pPr>
      <w:r w:rsidRPr="00E20A1E">
        <w:rPr>
          <w:lang w:val="fr-FR"/>
        </w:rPr>
        <w:t>Les mesures prises pour garantir une action policière non discriminatoire suivent trois axes principaux</w:t>
      </w:r>
      <w:r>
        <w:rPr>
          <w:lang w:val="fr-FR"/>
        </w:rPr>
        <w:t> :</w:t>
      </w:r>
      <w:r w:rsidRPr="00E20A1E">
        <w:rPr>
          <w:lang w:val="fr-FR"/>
        </w:rPr>
        <w:t xml:space="preserve"> </w:t>
      </w:r>
      <w:r>
        <w:rPr>
          <w:lang w:val="fr-FR"/>
        </w:rPr>
        <w:t>i</w:t>
      </w:r>
      <w:r w:rsidRPr="00E20A1E">
        <w:rPr>
          <w:lang w:val="fr-FR"/>
        </w:rPr>
        <w:t>nclusion de modules sur les droits humains et la discrimination raciale dans la formation de base et dans les formations continues</w:t>
      </w:r>
      <w:r>
        <w:rPr>
          <w:lang w:val="fr-FR"/>
        </w:rPr>
        <w:t> </w:t>
      </w:r>
      <w:r w:rsidRPr="00E20A1E">
        <w:rPr>
          <w:lang w:val="fr-FR"/>
        </w:rPr>
        <w:t xml:space="preserve">; </w:t>
      </w:r>
      <w:r>
        <w:rPr>
          <w:lang w:val="fr-FR"/>
        </w:rPr>
        <w:t>s</w:t>
      </w:r>
      <w:r w:rsidRPr="00E20A1E">
        <w:rPr>
          <w:lang w:val="fr-FR"/>
        </w:rPr>
        <w:t>upervision régulière des pratiques</w:t>
      </w:r>
      <w:r>
        <w:rPr>
          <w:lang w:val="fr-FR"/>
        </w:rPr>
        <w:t>, particulièrement</w:t>
      </w:r>
      <w:r w:rsidRPr="00E20A1E">
        <w:rPr>
          <w:lang w:val="fr-FR"/>
        </w:rPr>
        <w:t xml:space="preserve"> matière de contrôles et d</w:t>
      </w:r>
      <w:r>
        <w:rPr>
          <w:lang w:val="fr-FR"/>
        </w:rPr>
        <w:t>’</w:t>
      </w:r>
      <w:r w:rsidRPr="00E20A1E">
        <w:rPr>
          <w:lang w:val="fr-FR"/>
        </w:rPr>
        <w:t>interpellations (lutte contre le profilage racial)</w:t>
      </w:r>
      <w:r>
        <w:rPr>
          <w:lang w:val="fr-FR"/>
        </w:rPr>
        <w:t> </w:t>
      </w:r>
      <w:r w:rsidRPr="00E20A1E">
        <w:rPr>
          <w:lang w:val="fr-FR"/>
        </w:rPr>
        <w:t xml:space="preserve">; </w:t>
      </w:r>
      <w:r>
        <w:rPr>
          <w:lang w:val="fr-FR"/>
        </w:rPr>
        <w:t>m</w:t>
      </w:r>
      <w:r w:rsidRPr="00E20A1E">
        <w:rPr>
          <w:lang w:val="fr-FR"/>
        </w:rPr>
        <w:t>ise en place de mécanismes de plainte en cas d</w:t>
      </w:r>
      <w:r>
        <w:rPr>
          <w:lang w:val="fr-FR"/>
        </w:rPr>
        <w:t>’</w:t>
      </w:r>
      <w:r w:rsidRPr="00E20A1E">
        <w:rPr>
          <w:lang w:val="fr-FR"/>
        </w:rPr>
        <w:t>agression raciste de la part d</w:t>
      </w:r>
      <w:r>
        <w:rPr>
          <w:lang w:val="fr-FR"/>
        </w:rPr>
        <w:t>’</w:t>
      </w:r>
      <w:r w:rsidRPr="00E20A1E">
        <w:rPr>
          <w:lang w:val="fr-FR"/>
        </w:rPr>
        <w:t xml:space="preserve">un fonctionnaire de police. </w:t>
      </w:r>
      <w:r>
        <w:rPr>
          <w:lang w:val="fr-FR"/>
        </w:rPr>
        <w:t>L</w:t>
      </w:r>
      <w:r w:rsidRPr="00E20A1E">
        <w:rPr>
          <w:lang w:val="fr-FR"/>
        </w:rPr>
        <w:t>es victimes de mauvais traitements commis par des organes de la police ont la possibilité de déposer une plainte pénale. De tels actes se poursuivent d</w:t>
      </w:r>
      <w:r>
        <w:rPr>
          <w:lang w:val="fr-FR"/>
        </w:rPr>
        <w:t>’</w:t>
      </w:r>
      <w:r w:rsidRPr="00E20A1E">
        <w:rPr>
          <w:lang w:val="fr-FR"/>
        </w:rPr>
        <w:t xml:space="preserve">office. La plainte peut être déposée par écrit ou verbalement devant une autorité de poursuite pénale (ou directement auprès du ministère public). Le jugement en première instance ou la décision de non-lieu peuvent être attaqués devant la justice cantonale, puis </w:t>
      </w:r>
      <w:r w:rsidRPr="009F6073">
        <w:rPr>
          <w:lang w:val="fr-FR"/>
        </w:rPr>
        <w:t>devant le Tribunal fédéral.</w:t>
      </w:r>
    </w:p>
    <w:p w14:paraId="59370D21" w14:textId="77777777" w:rsidR="00A454AE" w:rsidRPr="009F6073" w:rsidRDefault="00A454AE" w:rsidP="00753414">
      <w:pPr>
        <w:pStyle w:val="SingleTxtG"/>
        <w:numPr>
          <w:ilvl w:val="0"/>
          <w:numId w:val="43"/>
        </w:numPr>
        <w:kinsoku/>
        <w:overflowPunct/>
        <w:autoSpaceDE/>
        <w:autoSpaceDN/>
        <w:adjustRightInd/>
        <w:snapToGrid/>
        <w:ind w:left="1134" w:firstLine="0"/>
      </w:pPr>
      <w:r w:rsidRPr="009F6073">
        <w:t xml:space="preserve">Dans </w:t>
      </w:r>
      <w:r>
        <w:t>tous les</w:t>
      </w:r>
      <w:r w:rsidRPr="009F6073">
        <w:t xml:space="preserve"> cantons suisses, la formation de base des policiers comprend des modules consacrés au racisme, à la discrimination et aux droits humains. </w:t>
      </w:r>
      <w:r>
        <w:t>L</w:t>
      </w:r>
      <w:r w:rsidRPr="009F6073">
        <w:t>es écoles de police abordent ces thématiques. C</w:t>
      </w:r>
      <w:r>
        <w:t>’</w:t>
      </w:r>
      <w:r w:rsidRPr="009F6073">
        <w:t>est le cas de l</w:t>
      </w:r>
      <w:r>
        <w:t>’A</w:t>
      </w:r>
      <w:r w:rsidRPr="009F6073">
        <w:t xml:space="preserve">cadémie de police de </w:t>
      </w:r>
      <w:proofErr w:type="spellStart"/>
      <w:r w:rsidRPr="009F6073">
        <w:t>Savatan</w:t>
      </w:r>
      <w:proofErr w:type="spellEnd"/>
      <w:r>
        <w:t xml:space="preserve">, </w:t>
      </w:r>
      <w:r w:rsidRPr="009F6073">
        <w:t>de l</w:t>
      </w:r>
      <w:r>
        <w:t>’É</w:t>
      </w:r>
      <w:r w:rsidRPr="009F6073">
        <w:t xml:space="preserve">cole intercantonale de police de </w:t>
      </w:r>
      <w:proofErr w:type="spellStart"/>
      <w:r w:rsidRPr="009F6073">
        <w:t>Hitzkirch</w:t>
      </w:r>
      <w:proofErr w:type="spellEnd"/>
      <w:r w:rsidRPr="009F6073">
        <w:t xml:space="preserve"> ou encore de l</w:t>
      </w:r>
      <w:r>
        <w:t>’É</w:t>
      </w:r>
      <w:r w:rsidRPr="009F6073">
        <w:t>cole de police de Suisse orientale. Les aspirants policiers y développent des compétences interculturelles, apprennent à reconnaître et à gérer les préjugés, et sont sensibilisés à diverses questions éthiques. Dans certains cantons </w:t>
      </w:r>
      <w:r>
        <w:t>–</w:t>
      </w:r>
      <w:r w:rsidRPr="009F6073">
        <w:t xml:space="preserve"> comme Zurich, Bâle-Ville, Zoug, Genève ou Vaud</w:t>
      </w:r>
      <w:r>
        <w:t> –</w:t>
      </w:r>
      <w:r w:rsidRPr="009F6073">
        <w:t>, ils reçoivent aussi une formation plus ciblée sur le profilage racial et les mesures visant à garantir une action policière non discriminatoire.</w:t>
      </w:r>
      <w:r>
        <w:t xml:space="preserve"> </w:t>
      </w:r>
      <w:r w:rsidRPr="0053596B">
        <w:t>L’Institut suisse de police dispense deux journées de formation continue dans le cadre d’un cours spécifiquement orienté sur la migration et la discrimination raciale.</w:t>
      </w:r>
      <w:r>
        <w:t xml:space="preserve"> </w:t>
      </w:r>
      <w:r w:rsidRPr="0053596B">
        <w:t>Dans le canton de Vaud, chaque cadre supérieur doit en outre suivre un CAS (</w:t>
      </w:r>
      <w:proofErr w:type="spellStart"/>
      <w:r w:rsidRPr="0053596B">
        <w:t>Certificate</w:t>
      </w:r>
      <w:proofErr w:type="spellEnd"/>
      <w:r w:rsidRPr="0053596B">
        <w:t xml:space="preserve"> of Advanced </w:t>
      </w:r>
      <w:proofErr w:type="spellStart"/>
      <w:r w:rsidRPr="0053596B">
        <w:t>Studies</w:t>
      </w:r>
      <w:proofErr w:type="spellEnd"/>
      <w:r w:rsidRPr="0053596B">
        <w:t>) en management policier, comprenant une semaine complète consacrée aux questions éthiques et juridiques liées à ces thématiques.</w:t>
      </w:r>
    </w:p>
    <w:p w14:paraId="2FFFA3C6" w14:textId="77777777" w:rsidR="00A454AE" w:rsidRPr="009F6073" w:rsidRDefault="00A454AE" w:rsidP="00753414">
      <w:pPr>
        <w:pStyle w:val="SingleTxtG"/>
        <w:numPr>
          <w:ilvl w:val="0"/>
          <w:numId w:val="43"/>
        </w:numPr>
        <w:kinsoku/>
        <w:overflowPunct/>
        <w:autoSpaceDE/>
        <w:autoSpaceDN/>
        <w:adjustRightInd/>
        <w:snapToGrid/>
        <w:ind w:left="1134" w:firstLine="0"/>
      </w:pPr>
      <w:r>
        <w:t>V</w:t>
      </w:r>
      <w:r w:rsidRPr="009F6073">
        <w:t>oici</w:t>
      </w:r>
      <w:r>
        <w:t>, à titre d’</w:t>
      </w:r>
      <w:r w:rsidRPr="009F6073">
        <w:t>exemples</w:t>
      </w:r>
      <w:r>
        <w:t>, quelques-unes</w:t>
      </w:r>
      <w:r w:rsidRPr="009F6073">
        <w:t xml:space="preserve"> de</w:t>
      </w:r>
      <w:r>
        <w:t>s</w:t>
      </w:r>
      <w:r w:rsidRPr="009F6073">
        <w:t xml:space="preserve"> mesures concrètes mises en œuvre par </w:t>
      </w:r>
      <w:r>
        <w:t>les</w:t>
      </w:r>
      <w:r w:rsidRPr="009F6073">
        <w:t xml:space="preserve"> cantons pour prévenir la discrimination et le profilage racial au sein des forces de police</w:t>
      </w:r>
      <w:r>
        <w:t> </w:t>
      </w:r>
      <w:r w:rsidRPr="009F6073">
        <w:t xml:space="preserve">: le canton de Berne mise sur des </w:t>
      </w:r>
      <w:r>
        <w:t>directives</w:t>
      </w:r>
      <w:r w:rsidRPr="009F6073">
        <w:t xml:space="preserve"> internes claires</w:t>
      </w:r>
      <w:r>
        <w:t xml:space="preserve"> </w:t>
      </w:r>
      <w:r w:rsidRPr="006A30AF">
        <w:t xml:space="preserve">ainsi que sur des mesures d'information et de prévention </w:t>
      </w:r>
      <w:r w:rsidRPr="009F6073">
        <w:t xml:space="preserve">pour </w:t>
      </w:r>
      <w:r>
        <w:t>prévenir</w:t>
      </w:r>
      <w:r w:rsidRPr="009F6073">
        <w:t xml:space="preserve"> les comportements fautifs et collabore avec le service </w:t>
      </w:r>
      <w:r w:rsidRPr="008A73E3">
        <w:rPr>
          <w:i/>
          <w:iCs/>
        </w:rPr>
        <w:t>Créer le lien</w:t>
      </w:r>
      <w:r w:rsidRPr="009F6073">
        <w:t xml:space="preserve">. </w:t>
      </w:r>
      <w:r>
        <w:t xml:space="preserve">Dans le canton de </w:t>
      </w:r>
      <w:r w:rsidRPr="009F6073">
        <w:t>Zuric</w:t>
      </w:r>
      <w:r>
        <w:t xml:space="preserve">h, un projet similaire vise </w:t>
      </w:r>
      <w:r w:rsidRPr="009F6073">
        <w:t xml:space="preserve">à promouvoir les échanges interculturels. </w:t>
      </w:r>
      <w:r>
        <w:t xml:space="preserve">Le canton de </w:t>
      </w:r>
      <w:r w:rsidRPr="009F6073">
        <w:t>Genève</w:t>
      </w:r>
      <w:r>
        <w:t xml:space="preserve"> s’est doté d’un </w:t>
      </w:r>
      <w:r w:rsidRPr="008014F6">
        <w:t>organe</w:t>
      </w:r>
      <w:r>
        <w:t>, la</w:t>
      </w:r>
      <w:r w:rsidRPr="008014F6">
        <w:t xml:space="preserve"> Médiation indépendante entre la population et la police </w:t>
      </w:r>
      <w:r w:rsidRPr="009F6073">
        <w:t>(MIPP)</w:t>
      </w:r>
      <w:r>
        <w:t>, qui</w:t>
      </w:r>
      <w:r w:rsidRPr="009F6073">
        <w:t xml:space="preserve"> est chargé de recevoir et de transmettre les plaintes</w:t>
      </w:r>
      <w:r>
        <w:t xml:space="preserve"> concernant la police</w:t>
      </w:r>
      <w:r w:rsidRPr="009F6073">
        <w:t>. Neuchâtel fait appel à des forces de police hors canton pour mener l</w:t>
      </w:r>
      <w:r>
        <w:t>’</w:t>
      </w:r>
      <w:r w:rsidRPr="009F6073">
        <w:t>enquête</w:t>
      </w:r>
      <w:r>
        <w:t xml:space="preserve"> e</w:t>
      </w:r>
      <w:r w:rsidRPr="009F6073">
        <w:t>n cas de plainte. Les cantons de Vaud, du Tessin et de Thurgovie accordent une grande importance à la formation en matière de discrimination et de compétence</w:t>
      </w:r>
      <w:r>
        <w:t>s</w:t>
      </w:r>
      <w:r w:rsidRPr="009F6073">
        <w:t xml:space="preserve"> interculturelle</w:t>
      </w:r>
      <w:r>
        <w:t>s</w:t>
      </w:r>
      <w:r w:rsidRPr="009F6073">
        <w:t>. Au Tessin, des modules sur l</w:t>
      </w:r>
      <w:r>
        <w:t>’</w:t>
      </w:r>
      <w:r w:rsidRPr="009F6073">
        <w:t>interculturalité sont proposés à l</w:t>
      </w:r>
      <w:r>
        <w:t>’</w:t>
      </w:r>
      <w:r w:rsidRPr="009F6073">
        <w:t xml:space="preserve">école de police, en partenariat avec le centre pour la prévention de la discrimination. Le canton de Zoug promeut le </w:t>
      </w:r>
      <w:proofErr w:type="spellStart"/>
      <w:r w:rsidRPr="00FB7B0A">
        <w:rPr>
          <w:i/>
          <w:iCs/>
        </w:rPr>
        <w:t>fair</w:t>
      </w:r>
      <w:proofErr w:type="spellEnd"/>
      <w:r w:rsidRPr="00FB7B0A">
        <w:rPr>
          <w:i/>
          <w:iCs/>
        </w:rPr>
        <w:t xml:space="preserve"> </w:t>
      </w:r>
      <w:proofErr w:type="spellStart"/>
      <w:r w:rsidRPr="00FB7B0A">
        <w:rPr>
          <w:i/>
          <w:iCs/>
        </w:rPr>
        <w:t>policing</w:t>
      </w:r>
      <w:proofErr w:type="spellEnd"/>
      <w:r w:rsidRPr="009F6073">
        <w:t xml:space="preserve"> et organise régulièrement des formations sur </w:t>
      </w:r>
      <w:r>
        <w:t>la manière d’aborder les</w:t>
      </w:r>
      <w:r w:rsidRPr="009F6073">
        <w:t xml:space="preserve"> minorités et </w:t>
      </w:r>
      <w:r>
        <w:t>les</w:t>
      </w:r>
      <w:r w:rsidRPr="009F6073">
        <w:t xml:space="preserve"> personnes étrangères.</w:t>
      </w:r>
    </w:p>
    <w:p w14:paraId="7D3AB546" w14:textId="735FF2B0" w:rsidR="00A454AE" w:rsidRPr="00E20A1E" w:rsidRDefault="00A454AE" w:rsidP="009C0351">
      <w:pPr>
        <w:pStyle w:val="H23G"/>
      </w:pPr>
      <w:bookmarkStart w:id="47" w:name="_Toc530069749"/>
      <w:r w:rsidRPr="009F6073">
        <w:lastRenderedPageBreak/>
        <w:tab/>
      </w:r>
      <w:r w:rsidR="009C0351">
        <w:tab/>
      </w:r>
      <w:r w:rsidR="009C0351">
        <w:tab/>
      </w:r>
      <w:r w:rsidRPr="00E20A1E">
        <w:t>Réserve à l</w:t>
      </w:r>
      <w:r>
        <w:t>’</w:t>
      </w:r>
      <w:r w:rsidRPr="00E20A1E">
        <w:t>article</w:t>
      </w:r>
      <w:r>
        <w:t> </w:t>
      </w:r>
      <w:r w:rsidRPr="00E20A1E">
        <w:t>2</w:t>
      </w:r>
      <w:bookmarkEnd w:id="47"/>
    </w:p>
    <w:p w14:paraId="5049302C" w14:textId="473E0A79" w:rsidR="00A454AE" w:rsidRPr="00E20A1E" w:rsidRDefault="009C0351" w:rsidP="009C0351">
      <w:pPr>
        <w:pStyle w:val="H4G"/>
      </w:pPr>
      <w:bookmarkStart w:id="48" w:name="_Hlk196408505"/>
      <w:r>
        <w:tab/>
      </w:r>
      <w:r>
        <w:tab/>
      </w:r>
      <w:r w:rsidR="00A454AE" w:rsidRPr="00E20A1E">
        <w:t>Mise en œuvre de la recommandation formulée au ch.</w:t>
      </w:r>
      <w:r w:rsidR="00A454AE">
        <w:t> </w:t>
      </w:r>
      <w:r w:rsidR="00A454AE" w:rsidRPr="00E20A1E">
        <w:t>8 des observations finales</w:t>
      </w:r>
      <w:r w:rsidR="00A454AE">
        <w:t> :</w:t>
      </w:r>
    </w:p>
    <w:p w14:paraId="22C9D7A3" w14:textId="77777777" w:rsidR="00A454AE" w:rsidRPr="00E20A1E" w:rsidRDefault="00A454AE" w:rsidP="00753414">
      <w:pPr>
        <w:pStyle w:val="SingleTxtG"/>
        <w:numPr>
          <w:ilvl w:val="0"/>
          <w:numId w:val="43"/>
        </w:numPr>
        <w:kinsoku/>
        <w:overflowPunct/>
        <w:autoSpaceDE/>
        <w:autoSpaceDN/>
        <w:adjustRightInd/>
        <w:snapToGrid/>
        <w:ind w:left="1134" w:firstLine="0"/>
      </w:pPr>
      <w:bookmarkStart w:id="49" w:name="_Hlk196408652"/>
      <w:bookmarkEnd w:id="48"/>
      <w:r w:rsidRPr="00E20A1E">
        <w:t>La Suisse est partie à la plupart des grandes conventions relatives aux droits de l</w:t>
      </w:r>
      <w:r>
        <w:t>’</w:t>
      </w:r>
      <w:r w:rsidRPr="00E20A1E">
        <w:t>homme</w:t>
      </w:r>
      <w:r>
        <w:t>, qui</w:t>
      </w:r>
      <w:r w:rsidRPr="00E20A1E">
        <w:t xml:space="preserve"> prot</w:t>
      </w:r>
      <w:r>
        <w:t>è</w:t>
      </w:r>
      <w:r w:rsidRPr="00E20A1E">
        <w:t>gent l</w:t>
      </w:r>
      <w:r>
        <w:t>’</w:t>
      </w:r>
      <w:r w:rsidRPr="00E20A1E">
        <w:t>individu contre la discrimination. Le Conseil fédéral examine régulièrement, à la lumière de la situation juridique et politique du moment, s</w:t>
      </w:r>
      <w:r>
        <w:t>’</w:t>
      </w:r>
      <w:r w:rsidRPr="00E20A1E">
        <w:t>il serait possible de ratifier d</w:t>
      </w:r>
      <w:r>
        <w:t>’</w:t>
      </w:r>
      <w:r w:rsidRPr="00E20A1E">
        <w:t>autres instruments internationaux de protection des droits humains ou de retirer des réserves. La liste des conventions nouvellement ratifiées figure au ch.</w:t>
      </w:r>
      <w:r>
        <w:t> 16,</w:t>
      </w:r>
      <w:r w:rsidRPr="00BB0A68">
        <w:t xml:space="preserve"> </w:t>
      </w:r>
      <w:r>
        <w:t>l</w:t>
      </w:r>
      <w:r w:rsidRPr="00BB0A68">
        <w:t xml:space="preserve">a réserve à l’article 4 </w:t>
      </w:r>
      <w:r>
        <w:t>de l’ICERD</w:t>
      </w:r>
      <w:r w:rsidRPr="00BB0A68">
        <w:t xml:space="preserve"> est traitée </w:t>
      </w:r>
      <w:r>
        <w:t xml:space="preserve">au </w:t>
      </w:r>
      <w:r w:rsidRPr="00E20A1E">
        <w:t>ch.</w:t>
      </w:r>
      <w:r>
        <w:t> </w:t>
      </w:r>
      <w:r w:rsidRPr="00BB0A68">
        <w:t>64</w:t>
      </w:r>
      <w:r w:rsidRPr="00E20A1E">
        <w:t xml:space="preserve">. </w:t>
      </w:r>
    </w:p>
    <w:p w14:paraId="34623EEA"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Les raisons ayant amené la Suisse à formuler une réserve concernant l</w:t>
      </w:r>
      <w:r>
        <w:t>’</w:t>
      </w:r>
      <w:r w:rsidRPr="00E20A1E">
        <w:t>accès au marché du travail ont été explicitées en détail dans le rapport initial de la Suisse du 14</w:t>
      </w:r>
      <w:r>
        <w:t> </w:t>
      </w:r>
      <w:r w:rsidRPr="00E20A1E">
        <w:t>mars 1997 (ch.</w:t>
      </w:r>
      <w:r>
        <w:t> </w:t>
      </w:r>
      <w:r w:rsidRPr="00E20A1E">
        <w:t xml:space="preserve">50 </w:t>
      </w:r>
      <w:proofErr w:type="spellStart"/>
      <w:r w:rsidRPr="00E20A1E">
        <w:t>ss</w:t>
      </w:r>
      <w:proofErr w:type="spellEnd"/>
      <w:r w:rsidRPr="00E20A1E">
        <w:t>) et restent pertinentes à ce jour. La distinction entre ressortissants des pays membres de l</w:t>
      </w:r>
      <w:r>
        <w:t>’</w:t>
      </w:r>
      <w:r w:rsidRPr="00E20A1E">
        <w:t>UE/AELE et ressortissants de pays tiers découle du système binaire d</w:t>
      </w:r>
      <w:r>
        <w:t>’</w:t>
      </w:r>
      <w:r w:rsidRPr="00E20A1E">
        <w:t xml:space="preserve">admission des étrangers, qui permet un accès facilité au marché du travail suisse pour </w:t>
      </w:r>
      <w:r>
        <w:t>les</w:t>
      </w:r>
      <w:r w:rsidRPr="00E20A1E">
        <w:t xml:space="preserve"> premiers. Ce traitement plus favorable des ressortissants des pays membres de l</w:t>
      </w:r>
      <w:r>
        <w:t>’</w:t>
      </w:r>
      <w:r w:rsidRPr="00E20A1E">
        <w:t xml:space="preserve">UE/AELE par rapport aux ressortissants des pays </w:t>
      </w:r>
      <w:proofErr w:type="gramStart"/>
      <w:r w:rsidRPr="00E20A1E">
        <w:t>hors</w:t>
      </w:r>
      <w:proofErr w:type="gramEnd"/>
      <w:r w:rsidRPr="00E20A1E">
        <w:t xml:space="preserve"> UE/AELE (dits pays tiers) est basé sur l</w:t>
      </w:r>
      <w:r>
        <w:t>’</w:t>
      </w:r>
      <w:r w:rsidRPr="00E20A1E">
        <w:t>accord sur la libre circulation des personnes conclu avec l</w:t>
      </w:r>
      <w:r>
        <w:t>’</w:t>
      </w:r>
      <w:r w:rsidRPr="00E20A1E">
        <w:t xml:space="preserve">UE et sur la </w:t>
      </w:r>
      <w:r>
        <w:t>c</w:t>
      </w:r>
      <w:r w:rsidRPr="00E20A1E">
        <w:t>onvention AELE. Cette distinction entre ressortissants est considérée comme licite par la Cour européenne des droits de l</w:t>
      </w:r>
      <w:r>
        <w:t>’</w:t>
      </w:r>
      <w:r w:rsidRPr="00E20A1E">
        <w:t>homme. Soucieuse de conserver une certaine marge de manœuvre pour l</w:t>
      </w:r>
      <w:r>
        <w:t>’</w:t>
      </w:r>
      <w:r w:rsidRPr="00E20A1E">
        <w:t xml:space="preserve">avenir, la Suisse juge préférable de maintenir la réserve. </w:t>
      </w:r>
    </w:p>
    <w:p w14:paraId="3814616A" w14:textId="7C201B90" w:rsidR="00A454AE" w:rsidRPr="00E20A1E" w:rsidRDefault="00A454AE" w:rsidP="009C0351">
      <w:pPr>
        <w:pStyle w:val="H23G"/>
      </w:pPr>
      <w:bookmarkStart w:id="50" w:name="_Toc530069747"/>
      <w:bookmarkEnd w:id="49"/>
      <w:r w:rsidRPr="00E20A1E">
        <w:tab/>
      </w:r>
      <w:bookmarkStart w:id="51" w:name="_Hlk196905893"/>
      <w:bookmarkEnd w:id="50"/>
      <w:r w:rsidR="009C0351">
        <w:tab/>
      </w:r>
      <w:r w:rsidR="009C0351">
        <w:tab/>
      </w:r>
      <w:r w:rsidRPr="00E20A1E">
        <w:t>Institution nationale des droits humains</w:t>
      </w:r>
    </w:p>
    <w:p w14:paraId="00E9E126" w14:textId="4BB01254" w:rsidR="00A454AE" w:rsidRPr="00E20A1E" w:rsidRDefault="009C0351" w:rsidP="009C0351">
      <w:pPr>
        <w:pStyle w:val="H4G"/>
      </w:pPr>
      <w:r>
        <w:tab/>
      </w:r>
      <w:r>
        <w:tab/>
      </w:r>
      <w:r w:rsidR="00A454AE" w:rsidRPr="00E20A1E">
        <w:t>Mise en œuvre de la recommandation formulée au ch.</w:t>
      </w:r>
      <w:r w:rsidR="00A454AE">
        <w:t> </w:t>
      </w:r>
      <w:r w:rsidR="00A454AE" w:rsidRPr="00E20A1E">
        <w:t>10 des observations finales</w:t>
      </w:r>
      <w:r w:rsidR="00A454AE">
        <w:t> :</w:t>
      </w:r>
    </w:p>
    <w:bookmarkEnd w:id="51"/>
    <w:p w14:paraId="276F26C7" w14:textId="77777777" w:rsidR="00A454AE" w:rsidRPr="00E20A1E" w:rsidRDefault="00A454AE" w:rsidP="00753414">
      <w:pPr>
        <w:pStyle w:val="SingleTxtG"/>
        <w:numPr>
          <w:ilvl w:val="0"/>
          <w:numId w:val="43"/>
        </w:numPr>
        <w:kinsoku/>
        <w:overflowPunct/>
        <w:autoSpaceDE/>
        <w:autoSpaceDN/>
        <w:adjustRightInd/>
        <w:snapToGrid/>
        <w:ind w:left="1134" w:firstLine="0"/>
      </w:pPr>
      <w:r w:rsidRPr="000956CE">
        <w:t>En octobre 2021, le Parlement a adopté la base légale pour la création de l’Institution nationale des droits humains (INDH). Au printemps 2022, un groupe de travail composé de représentants et représentantes de la Confédération, des cantons, de la société civile et du secteur économique a été constitué afin de mener les travaux préparatoires nécessaires à la mise en place de l’institution, notamment l’élaboration d’un projet de statuts et la préparation de l’assemblée constitutive. L’assemblée constitutive de l’Institution suisse des droits humains (ISDH) s’est tenue le 23 mai 2023, à Berne.</w:t>
      </w:r>
      <w:r w:rsidRPr="00E20A1E">
        <w:t xml:space="preserve"> </w:t>
      </w:r>
      <w:r w:rsidRPr="00335F3C">
        <w:t>L</w:t>
      </w:r>
      <w:r>
        <w:t>’</w:t>
      </w:r>
      <w:r w:rsidRPr="00335F3C">
        <w:t xml:space="preserve">assemblée constitutive de </w:t>
      </w:r>
      <w:r>
        <w:t>I</w:t>
      </w:r>
      <w:r w:rsidRPr="00335F3C">
        <w:t>SDH s</w:t>
      </w:r>
      <w:r>
        <w:t>’</w:t>
      </w:r>
      <w:r w:rsidRPr="00335F3C">
        <w:t xml:space="preserve">est </w:t>
      </w:r>
      <w:r>
        <w:t xml:space="preserve">tenue </w:t>
      </w:r>
      <w:r w:rsidRPr="00335F3C">
        <w:t>le 23</w:t>
      </w:r>
      <w:r>
        <w:t> </w:t>
      </w:r>
      <w:r w:rsidRPr="00335F3C">
        <w:t>mai 2023</w:t>
      </w:r>
      <w:r>
        <w:t xml:space="preserve">, </w:t>
      </w:r>
      <w:r w:rsidRPr="00E20A1E">
        <w:t xml:space="preserve">à Berne. Depuis, </w:t>
      </w:r>
      <w:r>
        <w:t>celle-ci exerce son mandat en toute indépendance</w:t>
      </w:r>
      <w:r w:rsidRPr="00E20A1E">
        <w:t>. Elle est financée conjointement par la Confédération et les cantons. L</w:t>
      </w:r>
      <w:r>
        <w:t>’</w:t>
      </w:r>
      <w:r w:rsidRPr="00E20A1E">
        <w:t>ISDH est chargée de promouvoir et de protéger les droits humains en Suisse, notamment par des activités d</w:t>
      </w:r>
      <w:r>
        <w:t>’</w:t>
      </w:r>
      <w:r w:rsidRPr="00E20A1E">
        <w:t>information, de documentation, de recherche, de conseil, de formation et de sensibilisation. Elle détermine en toute autonomie ses méthodes de travail, ses priorités stratégiques ainsi que l</w:t>
      </w:r>
      <w:r>
        <w:t>’</w:t>
      </w:r>
      <w:r w:rsidRPr="00E20A1E">
        <w:t>utilisation de ses ressources.</w:t>
      </w:r>
    </w:p>
    <w:p w14:paraId="6E2F6E11" w14:textId="77777777" w:rsidR="00A454AE" w:rsidRPr="00E20A1E" w:rsidRDefault="00A454AE" w:rsidP="00753414">
      <w:pPr>
        <w:pStyle w:val="SingleTxtG"/>
        <w:numPr>
          <w:ilvl w:val="0"/>
          <w:numId w:val="43"/>
        </w:numPr>
        <w:kinsoku/>
        <w:overflowPunct/>
        <w:autoSpaceDE/>
        <w:autoSpaceDN/>
        <w:adjustRightInd/>
        <w:snapToGrid/>
        <w:ind w:left="1134" w:firstLine="0"/>
      </w:pPr>
      <w:r w:rsidRPr="00E20A1E">
        <w:t>L</w:t>
      </w:r>
      <w:r>
        <w:t>’</w:t>
      </w:r>
      <w:r w:rsidRPr="00E20A1E">
        <w:t>ISDH n</w:t>
      </w:r>
      <w:r>
        <w:t>’</w:t>
      </w:r>
      <w:r w:rsidRPr="00E20A1E">
        <w:t>assume pas de fonction de médiateur et n</w:t>
      </w:r>
      <w:r>
        <w:t xml:space="preserve">’est </w:t>
      </w:r>
      <w:r w:rsidRPr="00E20A1E">
        <w:t>pas non plus compétente pour traiter de</w:t>
      </w:r>
      <w:r>
        <w:t>s</w:t>
      </w:r>
      <w:r w:rsidRPr="00E20A1E">
        <w:t xml:space="preserve"> plaintes individuelles, comme le ferait un </w:t>
      </w:r>
      <w:r>
        <w:t>o</w:t>
      </w:r>
      <w:r w:rsidRPr="00E20A1E">
        <w:t xml:space="preserve">mbudsman, principalement en raison des délimitations entre compétences fédérales et cantonales. </w:t>
      </w:r>
      <w:r>
        <w:t>L</w:t>
      </w:r>
      <w:r w:rsidRPr="00E20A1E">
        <w:t xml:space="preserve">ors de </w:t>
      </w:r>
      <w:proofErr w:type="gramStart"/>
      <w:r w:rsidRPr="00E20A1E">
        <w:t>l</w:t>
      </w:r>
      <w:r>
        <w:t>’</w:t>
      </w:r>
      <w:r w:rsidRPr="00E20A1E">
        <w:t xml:space="preserve">adoption </w:t>
      </w:r>
      <w:r>
        <w:t xml:space="preserve"> des</w:t>
      </w:r>
      <w:proofErr w:type="gramEnd"/>
      <w:r>
        <w:t xml:space="preserve"> dispositions légales sur lesquelles est fondée</w:t>
      </w:r>
      <w:r w:rsidRPr="00E20A1E">
        <w:t xml:space="preserve"> l</w:t>
      </w:r>
      <w:r>
        <w:t>’</w:t>
      </w:r>
      <w:r w:rsidRPr="00E20A1E">
        <w:t>ISDH</w:t>
      </w:r>
      <w:r>
        <w:t>, l</w:t>
      </w:r>
      <w:r w:rsidRPr="00E20A1E">
        <w:t xml:space="preserve">e Conseil fédéral, le </w:t>
      </w:r>
      <w:r>
        <w:t>P</w:t>
      </w:r>
      <w:r w:rsidRPr="00E20A1E">
        <w:t>arlement et les cantons avaient expressément rejeté l</w:t>
      </w:r>
      <w:r>
        <w:t>’</w:t>
      </w:r>
      <w:r w:rsidRPr="00E20A1E">
        <w:t>idée d</w:t>
      </w:r>
      <w:r>
        <w:t>’</w:t>
      </w:r>
      <w:r w:rsidRPr="00E20A1E">
        <w:t xml:space="preserve">un mécanisme de surveillance, </w:t>
      </w:r>
      <w:r>
        <w:t xml:space="preserve">qu’il soit </w:t>
      </w:r>
      <w:r w:rsidRPr="00E20A1E">
        <w:t>intercantonal ou fédéral</w:t>
      </w:r>
      <w:r>
        <w:t>.</w:t>
      </w:r>
    </w:p>
    <w:p w14:paraId="2C9E7C59" w14:textId="6DC23542" w:rsidR="00A454AE" w:rsidRPr="00E20A1E" w:rsidRDefault="00A454AE" w:rsidP="009C0351">
      <w:pPr>
        <w:pStyle w:val="H23G"/>
      </w:pPr>
      <w:bookmarkStart w:id="52" w:name="_Toc340980531"/>
      <w:bookmarkStart w:id="53" w:name="_Toc341447189"/>
      <w:bookmarkStart w:id="54" w:name="_Toc341448972"/>
      <w:bookmarkStart w:id="55" w:name="_Toc341493526"/>
      <w:bookmarkStart w:id="56" w:name="_Toc349355843"/>
      <w:bookmarkStart w:id="57" w:name="_Toc477524883"/>
      <w:bookmarkStart w:id="58" w:name="_Toc477525192"/>
      <w:bookmarkStart w:id="59" w:name="_Toc313546963"/>
      <w:bookmarkStart w:id="60" w:name="_Toc322879451"/>
      <w:bookmarkStart w:id="61" w:name="_Toc474943684"/>
      <w:bookmarkStart w:id="62" w:name="_Toc530069750"/>
      <w:r w:rsidRPr="00E20A1E">
        <w:tab/>
      </w:r>
      <w:r w:rsidR="009C0351">
        <w:tab/>
      </w:r>
      <w:r w:rsidR="009C0351">
        <w:tab/>
      </w:r>
      <w:r w:rsidRPr="00E20A1E">
        <w:t>Cadre institutionnel</w:t>
      </w:r>
    </w:p>
    <w:p w14:paraId="57152F6F" w14:textId="3D00ADD6" w:rsidR="00A454AE" w:rsidRPr="00E20A1E" w:rsidRDefault="009C0351" w:rsidP="009C0351">
      <w:pPr>
        <w:pStyle w:val="H4G"/>
      </w:pPr>
      <w:bookmarkStart w:id="63" w:name="_Hlk202936348"/>
      <w:r>
        <w:tab/>
      </w:r>
      <w:r>
        <w:tab/>
      </w:r>
      <w:r w:rsidR="00A454AE" w:rsidRPr="00E20A1E">
        <w:t>Mise en œuvre de la recommandation formulée au ch.</w:t>
      </w:r>
      <w:r w:rsidR="00A454AE">
        <w:t> </w:t>
      </w:r>
      <w:r w:rsidR="00A454AE" w:rsidRPr="00E20A1E">
        <w:t>12 des observations finales</w:t>
      </w:r>
      <w:r w:rsidR="00A454AE">
        <w:t> :</w:t>
      </w:r>
    </w:p>
    <w:p w14:paraId="62C98BA4" w14:textId="77777777" w:rsidR="00A454AE" w:rsidRPr="0055444F" w:rsidRDefault="00A454AE" w:rsidP="00753414">
      <w:pPr>
        <w:pStyle w:val="SingleTxtG"/>
        <w:numPr>
          <w:ilvl w:val="0"/>
          <w:numId w:val="43"/>
        </w:numPr>
        <w:kinsoku/>
        <w:overflowPunct/>
        <w:autoSpaceDE/>
        <w:autoSpaceDN/>
        <w:adjustRightInd/>
        <w:snapToGrid/>
        <w:ind w:left="1134" w:firstLine="0"/>
      </w:pPr>
      <w:r w:rsidRPr="000D4255">
        <w:t xml:space="preserve">Comme indiqué </w:t>
      </w:r>
      <w:r>
        <w:t>aux ch. </w:t>
      </w:r>
      <w:r w:rsidRPr="000D4255">
        <w:t xml:space="preserve">52 et 53, </w:t>
      </w:r>
      <w:r>
        <w:t>l’</w:t>
      </w:r>
      <w:r w:rsidRPr="000D4255">
        <w:t>ISDH a été fondée en 2023 et a commencé ses activités opérationnelles début 2024. La procédure d’accréditation visant à vérifier sa conformité avec les Principes de Paris a été engagée. L’ISDH est membre</w:t>
      </w:r>
      <w:r>
        <w:t xml:space="preserve"> associé</w:t>
      </w:r>
      <w:r w:rsidRPr="000D4255">
        <w:t xml:space="preserve"> des réseaux européens et mondiaux des institutions nationales des droits humains (ENNHRI et GANHRI). Pour la période</w:t>
      </w:r>
      <w:r>
        <w:t> </w:t>
      </w:r>
      <w:r w:rsidRPr="000D4255">
        <w:t>2024</w:t>
      </w:r>
      <w:r>
        <w:t>-</w:t>
      </w:r>
      <w:r w:rsidRPr="000D4255">
        <w:t>2027, elle a défini quatre thèmes prioritaires, dont celui de la discrimination multiple, avec une attention particulière portée au racisme et à ses interactions avec d’autres formes de discrimination.</w:t>
      </w:r>
    </w:p>
    <w:p w14:paraId="68FEF601" w14:textId="0BD3E5C0" w:rsidR="00A454AE" w:rsidRDefault="00A454AE" w:rsidP="00753414">
      <w:pPr>
        <w:pStyle w:val="SingleTxtG"/>
        <w:numPr>
          <w:ilvl w:val="0"/>
          <w:numId w:val="43"/>
        </w:numPr>
        <w:kinsoku/>
        <w:overflowPunct/>
        <w:autoSpaceDE/>
        <w:autoSpaceDN/>
        <w:adjustRightInd/>
        <w:snapToGrid/>
        <w:ind w:left="1134" w:firstLine="0"/>
      </w:pPr>
      <w:r w:rsidRPr="0055444F">
        <w:t>Dans le domaine des droits humains et de la lutte contre le racisme, l</w:t>
      </w:r>
      <w:r>
        <w:t>’</w:t>
      </w:r>
      <w:r w:rsidRPr="0055444F">
        <w:t xml:space="preserve">ISDH collabore avec plusieurs commissions </w:t>
      </w:r>
      <w:r w:rsidR="009C0351" w:rsidRPr="0055444F">
        <w:t>extra-parlementaires</w:t>
      </w:r>
      <w:r w:rsidRPr="0055444F">
        <w:t xml:space="preserve">. Ensemble, elles </w:t>
      </w:r>
      <w:r>
        <w:t>cherchent</w:t>
      </w:r>
      <w:r w:rsidRPr="0055444F">
        <w:t xml:space="preserve"> </w:t>
      </w:r>
      <w:r>
        <w:t xml:space="preserve">à </w:t>
      </w:r>
      <w:r w:rsidRPr="0055444F">
        <w:t xml:space="preserve">exploiter les </w:t>
      </w:r>
      <w:r w:rsidRPr="0055444F">
        <w:lastRenderedPageBreak/>
        <w:t>synergies</w:t>
      </w:r>
      <w:r>
        <w:t xml:space="preserve"> et leurs ressources de manière complémentaire</w:t>
      </w:r>
      <w:r w:rsidRPr="0055444F">
        <w:t xml:space="preserve"> afin de contribuer durablement à la promotion et au respect des droits humains, en particulier dans la lutte contre le racisme. </w:t>
      </w:r>
      <w:r w:rsidRPr="00136801">
        <w:t>L</w:t>
      </w:r>
      <w:r>
        <w:t>’</w:t>
      </w:r>
      <w:r w:rsidRPr="00136801">
        <w:t>objectif est d</w:t>
      </w:r>
      <w:r>
        <w:t>’</w:t>
      </w:r>
      <w:r w:rsidRPr="00136801">
        <w:t>institutionnaliser cette coopération à long terme.</w:t>
      </w:r>
    </w:p>
    <w:p w14:paraId="183085FE" w14:textId="77777777" w:rsidR="00A454AE" w:rsidRPr="00136801" w:rsidRDefault="00A454AE" w:rsidP="00753414">
      <w:pPr>
        <w:pStyle w:val="SingleTxtG"/>
        <w:numPr>
          <w:ilvl w:val="0"/>
          <w:numId w:val="43"/>
        </w:numPr>
        <w:kinsoku/>
        <w:overflowPunct/>
        <w:autoSpaceDE/>
        <w:autoSpaceDN/>
        <w:adjustRightInd/>
        <w:snapToGrid/>
        <w:ind w:left="1134" w:firstLine="0"/>
      </w:pPr>
      <w:r w:rsidRPr="006A30AF">
        <w:t xml:space="preserve">Le Conseil fédéral reste d’avis que la forme d’organisation </w:t>
      </w:r>
      <w:r>
        <w:t>CFR</w:t>
      </w:r>
      <w:r w:rsidRPr="006A30AF">
        <w:t xml:space="preserve"> ainsi que la répartition de ses tâches avec le </w:t>
      </w:r>
      <w:r>
        <w:t>SLR</w:t>
      </w:r>
      <w:r w:rsidRPr="006A30AF">
        <w:t xml:space="preserve"> dans le domaine de la lutte contre le racisme ont fait leurs preuves. Il s’est également engagé, durant la période couverte par le présent rapport, contre des initiatives parlementaires visant à supprimer ou affaiblir la Commission. Le budget annuel de la </w:t>
      </w:r>
      <w:r>
        <w:t>CFR</w:t>
      </w:r>
      <w:r w:rsidRPr="006A30AF">
        <w:t xml:space="preserve"> s’est situé entre 2021 et 2025 entre environ 176 000 et 228 000 </w:t>
      </w:r>
      <w:r>
        <w:t>francs</w:t>
      </w:r>
      <w:r w:rsidRPr="006A30AF">
        <w:t xml:space="preserve">, ce dernier montant incluant une contribution exceptionnelle de 30 000 </w:t>
      </w:r>
      <w:r>
        <w:t>francs</w:t>
      </w:r>
      <w:r w:rsidRPr="006A30AF">
        <w:t xml:space="preserve"> pour le jubilé de la Commission.</w:t>
      </w:r>
    </w:p>
    <w:bookmarkEnd w:id="63"/>
    <w:p w14:paraId="18911DE5" w14:textId="39010DC3" w:rsidR="00A454AE" w:rsidRPr="00E20A1E" w:rsidRDefault="009C0351" w:rsidP="009C0351">
      <w:pPr>
        <w:pStyle w:val="H4G"/>
      </w:pPr>
      <w:r>
        <w:tab/>
      </w:r>
      <w:r>
        <w:tab/>
      </w:r>
      <w:r w:rsidR="00A454AE" w:rsidRPr="00E20A1E">
        <w:t>Mise en œuvre de la recommandation formulée au ch.</w:t>
      </w:r>
      <w:r w:rsidR="00A454AE">
        <w:t> </w:t>
      </w:r>
      <w:r w:rsidR="00A454AE" w:rsidRPr="00E20A1E">
        <w:t>14 des observations finales</w:t>
      </w:r>
      <w:r w:rsidR="00A454AE">
        <w:t> :</w:t>
      </w:r>
    </w:p>
    <w:p w14:paraId="12348BA6" w14:textId="77777777" w:rsidR="00A454AE" w:rsidRPr="00F9038A" w:rsidRDefault="00A454AE" w:rsidP="00753414">
      <w:pPr>
        <w:pStyle w:val="SingleTxtG"/>
        <w:numPr>
          <w:ilvl w:val="0"/>
          <w:numId w:val="43"/>
        </w:numPr>
        <w:kinsoku/>
        <w:overflowPunct/>
        <w:autoSpaceDE/>
        <w:autoSpaceDN/>
        <w:adjustRightInd/>
        <w:snapToGrid/>
        <w:ind w:left="1134" w:firstLine="0"/>
      </w:pPr>
      <w:r w:rsidRPr="00173357">
        <w:t>Dans le cadre</w:t>
      </w:r>
      <w:r>
        <w:t xml:space="preserve"> des</w:t>
      </w:r>
      <w:r w:rsidRPr="00173357">
        <w:t xml:space="preserve"> </w:t>
      </w:r>
      <w:r>
        <w:t>PIC</w:t>
      </w:r>
      <w:r w:rsidRPr="00173357">
        <w:t>, l</w:t>
      </w:r>
      <w:r>
        <w:t>’</w:t>
      </w:r>
      <w:r w:rsidRPr="00173357">
        <w:t xml:space="preserve">ensemble des cantons financent </w:t>
      </w:r>
      <w:r>
        <w:t>d</w:t>
      </w:r>
      <w:r w:rsidRPr="00173357">
        <w:t>es centres de conseil en matière de discrimination raciale. Ces centres sont des acteurs importants dans la lutte contre le racisme. Ils offrent aux personnes concernées, à leurs proches ainsi qu</w:t>
      </w:r>
      <w:r>
        <w:t>’</w:t>
      </w:r>
      <w:r w:rsidRPr="00173357">
        <w:t xml:space="preserve">aux professionnels des informations, des conseils </w:t>
      </w:r>
      <w:proofErr w:type="spellStart"/>
      <w:r w:rsidRPr="00173357">
        <w:t>psychosociaux</w:t>
      </w:r>
      <w:proofErr w:type="spellEnd"/>
      <w:r w:rsidRPr="00173357">
        <w:t xml:space="preserve"> et juridiques, et </w:t>
      </w:r>
      <w:r>
        <w:t>interviennent en tant qu’</w:t>
      </w:r>
      <w:r w:rsidRPr="00173357">
        <w:t xml:space="preserve">instances de médiation. Grâce </w:t>
      </w:r>
      <w:r>
        <w:t xml:space="preserve">à l’étendue de leurs </w:t>
      </w:r>
      <w:r w:rsidRPr="00173357">
        <w:t>prestations, les victimes bénéficient d</w:t>
      </w:r>
      <w:r>
        <w:t>’</w:t>
      </w:r>
      <w:r w:rsidRPr="00173357">
        <w:t xml:space="preserve">un accompagnement </w:t>
      </w:r>
      <w:r>
        <w:t>essentiel</w:t>
      </w:r>
      <w:r w:rsidRPr="00173357">
        <w:t xml:space="preserve"> qui renforce leurs compétences et leur autonomie. </w:t>
      </w:r>
      <w:r>
        <w:t>Parallèlement</w:t>
      </w:r>
      <w:r w:rsidRPr="00173357">
        <w:t>, les centres de conseil jouent un rôle</w:t>
      </w:r>
      <w:r>
        <w:t xml:space="preserve"> clé</w:t>
      </w:r>
      <w:r w:rsidRPr="00173357">
        <w:t xml:space="preserve"> dans le recensement des incidents racistes en Suisse et contribuent à améliorer l</w:t>
      </w:r>
      <w:r>
        <w:t>’</w:t>
      </w:r>
      <w:r w:rsidRPr="00173357">
        <w:t>accès à la justice</w:t>
      </w:r>
      <w:r w:rsidRPr="00F32DA1">
        <w:t xml:space="preserve"> </w:t>
      </w:r>
      <w:r>
        <w:t>pour les</w:t>
      </w:r>
      <w:r w:rsidRPr="00173357">
        <w:t xml:space="preserve"> personnes concernées. </w:t>
      </w:r>
      <w:r>
        <w:t>Avec leurs</w:t>
      </w:r>
      <w:r w:rsidRPr="00173357">
        <w:t xml:space="preserve"> permanence</w:t>
      </w:r>
      <w:r>
        <w:t>s</w:t>
      </w:r>
      <w:r w:rsidRPr="00173357">
        <w:t xml:space="preserve">, </w:t>
      </w:r>
      <w:r>
        <w:t>ils</w:t>
      </w:r>
      <w:r w:rsidRPr="00173357">
        <w:t xml:space="preserve"> répondent aussi à un besoin de cohésion sociale et de lutte contre l</w:t>
      </w:r>
      <w:r>
        <w:t>’</w:t>
      </w:r>
      <w:r w:rsidRPr="00173357">
        <w:t xml:space="preserve">exclusion. À ce jour, un financement pérenne reste à </w:t>
      </w:r>
      <w:r w:rsidRPr="00F9038A">
        <w:t>établir.</w:t>
      </w:r>
    </w:p>
    <w:p w14:paraId="04DE0E4A" w14:textId="77777777" w:rsidR="00A454AE" w:rsidRPr="00F9038A" w:rsidRDefault="00A454AE" w:rsidP="00753414">
      <w:pPr>
        <w:pStyle w:val="SingleTxtG"/>
        <w:numPr>
          <w:ilvl w:val="0"/>
          <w:numId w:val="43"/>
        </w:numPr>
        <w:kinsoku/>
        <w:overflowPunct/>
        <w:autoSpaceDE/>
        <w:autoSpaceDN/>
        <w:adjustRightInd/>
        <w:snapToGrid/>
        <w:ind w:left="1134" w:firstLine="0"/>
      </w:pPr>
      <w:r w:rsidRPr="00F9038A">
        <w:t>Entre 2023 et 2026, le SLR mène un projet pilote visant à soutenir le Réseau de centres de conseil pour les victimes du racisme (cf. ch. </w:t>
      </w:r>
      <w:r>
        <w:t>21</w:t>
      </w:r>
      <w:r w:rsidRPr="00F9038A">
        <w:t>). Ce projet a pour objectif de renforcer et de développer les prestations du réseau – conseil, sensibilisation et monitorage. Il a fait l</w:t>
      </w:r>
      <w:r>
        <w:t>’</w:t>
      </w:r>
      <w:r w:rsidRPr="00F9038A">
        <w:t>objet d</w:t>
      </w:r>
      <w:r>
        <w:t>’</w:t>
      </w:r>
      <w:r w:rsidRPr="00F9038A">
        <w:t>une évaluation en 2025.</w:t>
      </w:r>
    </w:p>
    <w:p w14:paraId="55D6DC16" w14:textId="29757BF8" w:rsidR="00A454AE" w:rsidRPr="00E20A1E" w:rsidRDefault="002644AA" w:rsidP="002644AA">
      <w:pPr>
        <w:pStyle w:val="H1G"/>
      </w:pPr>
      <w:bookmarkStart w:id="64" w:name="_Toc216340612"/>
      <w:r>
        <w:tab/>
        <w:t>3.</w:t>
      </w:r>
      <w:r>
        <w:tab/>
      </w:r>
      <w:r w:rsidR="00A454AE" w:rsidRPr="00E20A1E">
        <w:t>Article</w:t>
      </w:r>
      <w:r w:rsidR="00A454AE">
        <w:t> </w:t>
      </w:r>
      <w:r w:rsidR="00A454AE" w:rsidRPr="00E20A1E">
        <w:t xml:space="preserve">3 : </w:t>
      </w:r>
      <w:r w:rsidR="00A454AE">
        <w:t>c</w:t>
      </w:r>
      <w:r w:rsidR="00A454AE" w:rsidRPr="00E20A1E">
        <w:t>ondamnation de l</w:t>
      </w:r>
      <w:r w:rsidR="00A454AE">
        <w:t>’</w:t>
      </w:r>
      <w:r w:rsidR="00A454AE" w:rsidRPr="00E20A1E">
        <w:t>apartheid</w:t>
      </w:r>
      <w:bookmarkEnd w:id="52"/>
      <w:bookmarkEnd w:id="53"/>
      <w:bookmarkEnd w:id="54"/>
      <w:bookmarkEnd w:id="55"/>
      <w:bookmarkEnd w:id="56"/>
      <w:bookmarkEnd w:id="57"/>
      <w:bookmarkEnd w:id="58"/>
      <w:bookmarkEnd w:id="59"/>
      <w:bookmarkEnd w:id="60"/>
      <w:bookmarkEnd w:id="61"/>
      <w:bookmarkEnd w:id="62"/>
      <w:bookmarkEnd w:id="64"/>
    </w:p>
    <w:p w14:paraId="2EC62277" w14:textId="77777777" w:rsidR="00A454AE" w:rsidRPr="003F3798" w:rsidRDefault="00A454AE" w:rsidP="00753414">
      <w:pPr>
        <w:pStyle w:val="SingleTxtG"/>
        <w:numPr>
          <w:ilvl w:val="0"/>
          <w:numId w:val="43"/>
        </w:numPr>
        <w:kinsoku/>
        <w:overflowPunct/>
        <w:autoSpaceDE/>
        <w:autoSpaceDN/>
        <w:adjustRightInd/>
        <w:snapToGrid/>
        <w:ind w:left="1134" w:firstLine="0"/>
      </w:pPr>
      <w:bookmarkStart w:id="65" w:name="_Hlk196909704"/>
      <w:r w:rsidRPr="003F3798">
        <w:t>Au niveau national, la Suisse poursuit sa politique de promotion de l</w:t>
      </w:r>
      <w:r>
        <w:t>’</w:t>
      </w:r>
      <w:r w:rsidRPr="003F3798">
        <w:t xml:space="preserve">intégration et de lutte contre la ségrégation par le biais de plusieurs programmes et mesures. </w:t>
      </w:r>
      <w:r>
        <w:t>Avec le</w:t>
      </w:r>
      <w:r w:rsidRPr="003F3798">
        <w:t xml:space="preserve"> programme </w:t>
      </w:r>
      <w:r w:rsidRPr="004A6239">
        <w:rPr>
          <w:i/>
          <w:iCs/>
        </w:rPr>
        <w:t>Citoyenneté</w:t>
      </w:r>
      <w:r>
        <w:rPr>
          <w:i/>
          <w:iCs/>
        </w:rPr>
        <w:t> </w:t>
      </w:r>
      <w:r w:rsidRPr="004A6239">
        <w:rPr>
          <w:i/>
          <w:iCs/>
        </w:rPr>
        <w:t>– échanger, créer, décider</w:t>
      </w:r>
      <w:r w:rsidRPr="00FB3AF6">
        <w:t xml:space="preserve">, </w:t>
      </w:r>
      <w:r>
        <w:t>lancé</w:t>
      </w:r>
      <w:r w:rsidRPr="00FB3AF6">
        <w:t xml:space="preserve"> en</w:t>
      </w:r>
      <w:r>
        <w:t> </w:t>
      </w:r>
      <w:r w:rsidRPr="003F3798">
        <w:t>2009</w:t>
      </w:r>
      <w:r>
        <w:t xml:space="preserve">, </w:t>
      </w:r>
      <w:r w:rsidRPr="003F3798">
        <w:t>la CFM s</w:t>
      </w:r>
      <w:r>
        <w:t>’</w:t>
      </w:r>
      <w:r w:rsidRPr="003F3798">
        <w:t>engage pour une société inclusive</w:t>
      </w:r>
      <w:r>
        <w:t xml:space="preserve"> en soutenant </w:t>
      </w:r>
      <w:r w:rsidRPr="003F3798">
        <w:t xml:space="preserve">des projets qui améliorent la participation politique et renforcent la cohésion sociale. Le programme </w:t>
      </w:r>
      <w:r w:rsidRPr="004A6239">
        <w:rPr>
          <w:i/>
          <w:iCs/>
        </w:rPr>
        <w:t>Nouveau Nous</w:t>
      </w:r>
      <w:r>
        <w:rPr>
          <w:i/>
          <w:iCs/>
        </w:rPr>
        <w:t> </w:t>
      </w:r>
      <w:r w:rsidRPr="004A6239">
        <w:rPr>
          <w:i/>
          <w:iCs/>
        </w:rPr>
        <w:t>– culture, migration, participation</w:t>
      </w:r>
      <w:r w:rsidRPr="003F3798">
        <w:t xml:space="preserve"> </w:t>
      </w:r>
      <w:r>
        <w:t>permet</w:t>
      </w:r>
      <w:r w:rsidRPr="003F3798">
        <w:t xml:space="preserve"> quant à lui </w:t>
      </w:r>
      <w:r>
        <w:t xml:space="preserve">de financer </w:t>
      </w:r>
      <w:r w:rsidRPr="003F3798">
        <w:t>des projet</w:t>
      </w:r>
      <w:r>
        <w:t>s</w:t>
      </w:r>
      <w:r w:rsidRPr="003F3798">
        <w:t xml:space="preserve"> qui encouragent le dialogue et la cohabitation entre différents groupes </w:t>
      </w:r>
      <w:r>
        <w:t>de la société</w:t>
      </w:r>
      <w:r w:rsidRPr="003F3798">
        <w:t xml:space="preserve"> par le biais de l</w:t>
      </w:r>
      <w:r>
        <w:t>’</w:t>
      </w:r>
      <w:r w:rsidRPr="003F3798">
        <w:t>art et de la culture.</w:t>
      </w:r>
    </w:p>
    <w:p w14:paraId="02250D58" w14:textId="77777777" w:rsidR="00A454AE" w:rsidRPr="003F3798" w:rsidRDefault="00A454AE" w:rsidP="00753414">
      <w:pPr>
        <w:pStyle w:val="SingleTxtG"/>
        <w:numPr>
          <w:ilvl w:val="0"/>
          <w:numId w:val="43"/>
        </w:numPr>
        <w:kinsoku/>
        <w:overflowPunct/>
        <w:autoSpaceDE/>
        <w:autoSpaceDN/>
        <w:adjustRightInd/>
        <w:snapToGrid/>
        <w:ind w:left="1134" w:firstLine="0"/>
      </w:pPr>
      <w:r w:rsidRPr="003F3798">
        <w:t xml:space="preserve">Financés à parts égales par le SEM et les cantons, les </w:t>
      </w:r>
      <w:r>
        <w:t>PIC</w:t>
      </w:r>
      <w:r w:rsidRPr="003F3798">
        <w:t xml:space="preserve"> contribuent de manière essentielle à l</w:t>
      </w:r>
      <w:r>
        <w:t>’</w:t>
      </w:r>
      <w:r w:rsidRPr="003F3798">
        <w:t>égalité des chances </w:t>
      </w:r>
      <w:r>
        <w:t>–</w:t>
      </w:r>
      <w:r w:rsidRPr="003F3798">
        <w:t xml:space="preserve"> et donc à l</w:t>
      </w:r>
      <w:r>
        <w:t>’</w:t>
      </w:r>
      <w:r w:rsidRPr="003F3798">
        <w:t>inclusion et à la participation de tous</w:t>
      </w:r>
      <w:r>
        <w:t xml:space="preserve"> et toutes –</w:t>
      </w:r>
      <w:r w:rsidRPr="003F3798">
        <w:t xml:space="preserve"> dans les domaines de la formation, du travail et </w:t>
      </w:r>
      <w:r>
        <w:t xml:space="preserve">du lieu </w:t>
      </w:r>
      <w:r w:rsidRPr="003F3798">
        <w:t>de vie, notamment à travers le</w:t>
      </w:r>
      <w:r>
        <w:t>ur</w:t>
      </w:r>
      <w:r w:rsidRPr="003F3798">
        <w:t xml:space="preserve"> domaine d</w:t>
      </w:r>
      <w:r>
        <w:t>’</w:t>
      </w:r>
      <w:r w:rsidRPr="003F3798">
        <w:t>encouragement « Vivre ensemble ». Dans le cadre de l</w:t>
      </w:r>
      <w:r>
        <w:t>’a</w:t>
      </w:r>
      <w:r w:rsidRPr="003F3798">
        <w:t>genda national pour l</w:t>
      </w:r>
      <w:r>
        <w:t>’</w:t>
      </w:r>
      <w:r w:rsidRPr="003F3798">
        <w:t>intégration, la Confédération, les cantons et les communes œuvrent conjointement à l</w:t>
      </w:r>
      <w:r>
        <w:t>’</w:t>
      </w:r>
      <w:r w:rsidRPr="003F3798">
        <w:t>élaboration d</w:t>
      </w:r>
      <w:r>
        <w:t>’</w:t>
      </w:r>
      <w:r w:rsidRPr="003F3798">
        <w:t>une politique d</w:t>
      </w:r>
      <w:r>
        <w:t>’</w:t>
      </w:r>
      <w:r w:rsidRPr="003F3798">
        <w:t>intégration cohérente dans le domaine de l</w:t>
      </w:r>
      <w:r>
        <w:t>’</w:t>
      </w:r>
      <w:r w:rsidRPr="003F3798">
        <w:t>asile et des réfugiés, couvrant tous les aspects de la vie et visant à prévenir la ségrégation par des mesures structurelles.</w:t>
      </w:r>
    </w:p>
    <w:p w14:paraId="627DA1D6" w14:textId="77777777" w:rsidR="00A454AE" w:rsidRPr="003F3798" w:rsidRDefault="00A454AE" w:rsidP="00753414">
      <w:pPr>
        <w:pStyle w:val="SingleTxtG"/>
        <w:numPr>
          <w:ilvl w:val="0"/>
          <w:numId w:val="43"/>
        </w:numPr>
        <w:kinsoku/>
        <w:overflowPunct/>
        <w:autoSpaceDE/>
        <w:autoSpaceDN/>
        <w:adjustRightInd/>
        <w:snapToGrid/>
        <w:ind w:left="1134" w:firstLine="0"/>
      </w:pPr>
      <w:r w:rsidRPr="003F3798">
        <w:t>La cohésion sociale passe aussi par la sensibilisation du public aux mécanismes d</w:t>
      </w:r>
      <w:r>
        <w:t>’</w:t>
      </w:r>
      <w:r w:rsidRPr="003F3798">
        <w:t>exclusion tels que le racisme. C</w:t>
      </w:r>
      <w:r>
        <w:t>’</w:t>
      </w:r>
      <w:r w:rsidRPr="003F3798">
        <w:t>est précisément l</w:t>
      </w:r>
      <w:r>
        <w:t>’</w:t>
      </w:r>
      <w:r w:rsidRPr="003F3798">
        <w:t xml:space="preserve">objectif des </w:t>
      </w:r>
      <w:r>
        <w:t>S</w:t>
      </w:r>
      <w:r w:rsidRPr="003F3798">
        <w:t>emaines d</w:t>
      </w:r>
      <w:r>
        <w:t>’</w:t>
      </w:r>
      <w:r w:rsidRPr="003F3798">
        <w:t xml:space="preserve">action contre le racisme, organisées chaque année dans plusieurs cantons, villes et communes en collaboration avec la société civile. </w:t>
      </w:r>
      <w:r>
        <w:t>Le</w:t>
      </w:r>
      <w:r w:rsidRPr="003F3798">
        <w:t xml:space="preserve"> SLR a </w:t>
      </w:r>
      <w:r>
        <w:t>co-financé</w:t>
      </w:r>
      <w:r w:rsidRPr="003F3798">
        <w:t xml:space="preserve"> </w:t>
      </w:r>
      <w:r>
        <w:t xml:space="preserve">différents projets dans ce contexte </w:t>
      </w:r>
      <w:r w:rsidRPr="003F3798">
        <w:t>à hauteur de 168</w:t>
      </w:r>
      <w:r>
        <w:t> </w:t>
      </w:r>
      <w:proofErr w:type="gramStart"/>
      <w:r w:rsidRPr="003F3798">
        <w:t>600 </w:t>
      </w:r>
      <w:r>
        <w:t xml:space="preserve"> francs</w:t>
      </w:r>
      <w:proofErr w:type="gramEnd"/>
      <w:r>
        <w:t xml:space="preserve"> en 2024</w:t>
      </w:r>
      <w:r w:rsidRPr="003F3798">
        <w:t xml:space="preserve"> et de 147</w:t>
      </w:r>
      <w:r>
        <w:t> </w:t>
      </w:r>
      <w:proofErr w:type="gramStart"/>
      <w:r>
        <w:t>400  francs</w:t>
      </w:r>
      <w:proofErr w:type="gramEnd"/>
      <w:r>
        <w:t xml:space="preserve"> en 2025</w:t>
      </w:r>
      <w:r w:rsidRPr="003F3798">
        <w:t>.</w:t>
      </w:r>
    </w:p>
    <w:p w14:paraId="08B689C8" w14:textId="0CFA1E9E" w:rsidR="00A454AE" w:rsidRPr="00A45AD8" w:rsidRDefault="002644AA" w:rsidP="002644AA">
      <w:pPr>
        <w:pStyle w:val="H1G"/>
      </w:pPr>
      <w:bookmarkStart w:id="66" w:name="_Toc216340613"/>
      <w:bookmarkEnd w:id="65"/>
      <w:r>
        <w:lastRenderedPageBreak/>
        <w:tab/>
        <w:t>4.</w:t>
      </w:r>
      <w:r>
        <w:tab/>
      </w:r>
      <w:r w:rsidR="00A454AE" w:rsidRPr="00485303">
        <w:t>Article</w:t>
      </w:r>
      <w:r w:rsidR="00A454AE" w:rsidRPr="00A45AD8">
        <w:t xml:space="preserve"> 4 : </w:t>
      </w:r>
      <w:r w:rsidR="00A454AE">
        <w:t>m</w:t>
      </w:r>
      <w:r w:rsidR="00A454AE" w:rsidRPr="00A45AD8">
        <w:t>esures visant à punir certains actes de discrimination raciale</w:t>
      </w:r>
      <w:bookmarkEnd w:id="66"/>
    </w:p>
    <w:p w14:paraId="5DD06B83" w14:textId="05401620" w:rsidR="00A454AE" w:rsidRPr="00956E39" w:rsidRDefault="00A454AE" w:rsidP="002644AA">
      <w:pPr>
        <w:pStyle w:val="H23G"/>
      </w:pPr>
      <w:bookmarkStart w:id="67" w:name="_Toc530069752"/>
      <w:r w:rsidRPr="00A45AD8">
        <w:tab/>
      </w:r>
      <w:r w:rsidR="002644AA">
        <w:tab/>
      </w:r>
      <w:r w:rsidR="002644AA">
        <w:tab/>
      </w:r>
      <w:r w:rsidRPr="00956E39">
        <w:t>Réserve à l</w:t>
      </w:r>
      <w:r>
        <w:t>’</w:t>
      </w:r>
      <w:r w:rsidRPr="00956E39">
        <w:t>article 4</w:t>
      </w:r>
      <w:bookmarkEnd w:id="67"/>
    </w:p>
    <w:p w14:paraId="1FB960BA" w14:textId="7C929B7C" w:rsidR="00A454AE" w:rsidRPr="00A45AD8" w:rsidRDefault="002644AA" w:rsidP="002644AA">
      <w:pPr>
        <w:pStyle w:val="H4G"/>
        <w:rPr>
          <w:lang w:bidi="fr-CH"/>
        </w:rPr>
      </w:pPr>
      <w:r>
        <w:tab/>
      </w:r>
      <w:r>
        <w:tab/>
      </w:r>
      <w:r w:rsidR="00A454AE" w:rsidRPr="00A45AD8">
        <w:t>Mise en œuvre de la recommandation formulée au ch. 8 des observations finales :</w:t>
      </w:r>
    </w:p>
    <w:p w14:paraId="25C074C5"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Comme mentionné dans le dernier </w:t>
      </w:r>
      <w:hyperlink r:id="rId40" w:history="1">
        <w:r w:rsidRPr="003E7C0B">
          <w:rPr>
            <w:rStyle w:val="Hyperlink"/>
          </w:rPr>
          <w:t>rapport valant dixième à douzième rapports périodiques soumis par la Suisse</w:t>
        </w:r>
      </w:hyperlink>
      <w:r w:rsidRPr="00A45AD8">
        <w:t xml:space="preserve"> (2018) à l</w:t>
      </w:r>
      <w:r>
        <w:t>’</w:t>
      </w:r>
      <w:r w:rsidRPr="00A45AD8">
        <w:t>intention du CERD, en réponse à la recommandation incluse dans ses précédentes observations finales, l</w:t>
      </w:r>
      <w:r>
        <w:t>’</w:t>
      </w:r>
      <w:r w:rsidRPr="00A45AD8">
        <w:t>État réitère sa position selon laquelle il n</w:t>
      </w:r>
      <w:r>
        <w:t>’</w:t>
      </w:r>
      <w:r w:rsidRPr="00A45AD8">
        <w:t>envisage pas de retirer ses réserves au paragraphe 1 a) de l</w:t>
      </w:r>
      <w:r>
        <w:t>’</w:t>
      </w:r>
      <w:r w:rsidRPr="00A45AD8">
        <w:t>article 2 et à l</w:t>
      </w:r>
      <w:r>
        <w:t>’</w:t>
      </w:r>
      <w:r w:rsidRPr="00A45AD8">
        <w:t xml:space="preserve">article 4 de la </w:t>
      </w:r>
      <w:r>
        <w:t>c</w:t>
      </w:r>
      <w:r w:rsidRPr="00A45AD8">
        <w:t>onvention. Aucune évolution n</w:t>
      </w:r>
      <w:r>
        <w:t>’</w:t>
      </w:r>
      <w:r w:rsidRPr="00A45AD8">
        <w:t xml:space="preserve">a eu lieu depuis le dernier rapport, et cette position reste inchangée (voir ch. 58 et 59 du rapport de 2018). </w:t>
      </w:r>
    </w:p>
    <w:p w14:paraId="634C820E" w14:textId="38E0C0FE" w:rsidR="00A454AE" w:rsidRPr="00A45AD8" w:rsidRDefault="00A454AE" w:rsidP="002644AA">
      <w:pPr>
        <w:pStyle w:val="H23G"/>
      </w:pPr>
      <w:r w:rsidRPr="00A45AD8">
        <w:tab/>
      </w:r>
      <w:bookmarkStart w:id="68" w:name="_Hlk200463136"/>
      <w:r w:rsidR="002644AA">
        <w:tab/>
      </w:r>
      <w:r w:rsidR="002644AA">
        <w:tab/>
      </w:r>
      <w:r w:rsidRPr="00480BBD">
        <w:t>Crimes</w:t>
      </w:r>
      <w:r w:rsidRPr="00A45AD8">
        <w:t xml:space="preserve"> et discours de haine à caractère raciste</w:t>
      </w:r>
    </w:p>
    <w:p w14:paraId="092640C9" w14:textId="724F65C7" w:rsidR="00A454AE" w:rsidRPr="00A45AD8" w:rsidRDefault="002644AA" w:rsidP="002644AA">
      <w:pPr>
        <w:pStyle w:val="H4G"/>
      </w:pPr>
      <w:r>
        <w:tab/>
      </w:r>
      <w:r>
        <w:tab/>
      </w:r>
      <w:r w:rsidR="00A454AE" w:rsidRPr="00A45AD8">
        <w:t>Mise en œuvre de la recommandation formulée au ch.</w:t>
      </w:r>
      <w:r w:rsidR="00A454AE">
        <w:t> </w:t>
      </w:r>
      <w:r w:rsidR="00A454AE" w:rsidRPr="00A45AD8">
        <w:t>16a des observations finales :</w:t>
      </w:r>
    </w:p>
    <w:p w14:paraId="1B900F80" w14:textId="77777777" w:rsidR="00A454AE" w:rsidRPr="00111D58" w:rsidRDefault="00A454AE" w:rsidP="00753414">
      <w:pPr>
        <w:pStyle w:val="SingleTxtG"/>
        <w:numPr>
          <w:ilvl w:val="0"/>
          <w:numId w:val="43"/>
        </w:numPr>
        <w:kinsoku/>
        <w:overflowPunct/>
        <w:autoSpaceDE/>
        <w:autoSpaceDN/>
        <w:adjustRightInd/>
        <w:snapToGrid/>
        <w:ind w:left="1134" w:firstLine="0"/>
      </w:pPr>
      <w:r w:rsidRPr="00A45AD8">
        <w:t>Les discours de haine, et en particulier ceux proférés sur Internet et sur les réseaux sociaux, posent de plus en plus de problèmes. Non seulement ils accentuent les divisions au sein de la société, mais ils favorisent aussi les tendances à la radicalisation et à la discrimination. La protection de la population contre les discours haineux et la propagande extrémiste constitue par conséquent une préoccupation majeure de la Suisse</w:t>
      </w:r>
      <w:r w:rsidRPr="00111D58">
        <w:t>.</w:t>
      </w:r>
    </w:p>
    <w:p w14:paraId="00AF68FC"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Afin </w:t>
      </w:r>
      <w:r>
        <w:t>de mettre en évidence l’ampleur</w:t>
      </w:r>
      <w:r w:rsidRPr="00A45AD8">
        <w:t xml:space="preserve"> du phénomène, de soutenir les victimes, de renforcer les droits de ces dernières et de prendre des mesures de lutte ciblées, le SLR collecte et analyse depuis 2010 des données sur le racisme et la discrimination raciale. Depuis 2024, ces données peuvent être consultées en ligne, </w:t>
      </w:r>
      <w:r>
        <w:t>sur le site</w:t>
      </w:r>
      <w:r w:rsidRPr="00A45AD8">
        <w:t xml:space="preserve"> </w:t>
      </w:r>
      <w:hyperlink r:id="rId41">
        <w:r w:rsidRPr="00362514">
          <w:rPr>
            <w:rStyle w:val="Hyperlink"/>
          </w:rPr>
          <w:t>www.racisme-en-chiffres.ch</w:t>
        </w:r>
      </w:hyperlink>
      <w:r w:rsidRPr="00A45AD8">
        <w:t>. Ce monitorage montre, comme d</w:t>
      </w:r>
      <w:r>
        <w:t>’</w:t>
      </w:r>
      <w:r w:rsidRPr="00A45AD8">
        <w:t>autres études sur le sujet, que les discours de haine continuent à proliférer dans l</w:t>
      </w:r>
      <w:r>
        <w:t>’</w:t>
      </w:r>
      <w:r w:rsidRPr="00A45AD8">
        <w:t>espace numérique et visent en particulier les jeunes, les femmes et les personnes appartenant à des minorités (</w:t>
      </w:r>
      <w:hyperlink r:id="rId42">
        <w:r w:rsidRPr="00362514">
          <w:rPr>
            <w:rStyle w:val="Hyperlink"/>
          </w:rPr>
          <w:t>Racisme sur Internet</w:t>
        </w:r>
      </w:hyperlink>
      <w:r w:rsidRPr="00A45AD8">
        <w:t xml:space="preserve">). En outre, le </w:t>
      </w:r>
      <w:hyperlink r:id="rId43">
        <w:r w:rsidRPr="00362514">
          <w:rPr>
            <w:rStyle w:val="Hyperlink"/>
          </w:rPr>
          <w:t>Recueil de cas juridiques</w:t>
        </w:r>
      </w:hyperlink>
      <w:r w:rsidRPr="00A45AD8">
        <w:t xml:space="preserve"> que la CFR tient depuis 1995 fournit une vue d</w:t>
      </w:r>
      <w:r>
        <w:t>’</w:t>
      </w:r>
      <w:r w:rsidRPr="00A45AD8">
        <w:t xml:space="preserve">ensemble des décisions judiciaires </w:t>
      </w:r>
      <w:r>
        <w:t xml:space="preserve">cantonales </w:t>
      </w:r>
      <w:r w:rsidRPr="00A45AD8">
        <w:t xml:space="preserve">prises sur la </w:t>
      </w:r>
      <w:r w:rsidRPr="00485303">
        <w:t>base de l</w:t>
      </w:r>
      <w:r>
        <w:t>’</w:t>
      </w:r>
      <w:r w:rsidRPr="00485303">
        <w:t>art. 261</w:t>
      </w:r>
      <w:r w:rsidRPr="00485303">
        <w:rPr>
          <w:vertAlign w:val="superscript"/>
        </w:rPr>
        <w:t>bis</w:t>
      </w:r>
      <w:r w:rsidRPr="00485303">
        <w:t xml:space="preserve"> CP</w:t>
      </w:r>
      <w:r>
        <w:t xml:space="preserve"> soit </w:t>
      </w:r>
      <w:r w:rsidRPr="00485303">
        <w:t>art. </w:t>
      </w:r>
      <w:r>
        <w:t>171c CPM</w:t>
      </w:r>
      <w:r w:rsidRPr="00A45AD8">
        <w:t xml:space="preserve">. De 2022 à 2023, </w:t>
      </w:r>
      <w:r>
        <w:t>10 </w:t>
      </w:r>
      <w:r w:rsidRPr="00D4450E">
        <w:t xml:space="preserve">décisions ont été rendues dans le domaine des </w:t>
      </w:r>
      <w:proofErr w:type="spellStart"/>
      <w:r w:rsidRPr="00D4450E">
        <w:t>médias</w:t>
      </w:r>
      <w:proofErr w:type="spellEnd"/>
      <w:r w:rsidRPr="00D4450E">
        <w:t xml:space="preserve"> (y c</w:t>
      </w:r>
      <w:r>
        <w:t>ompris</w:t>
      </w:r>
      <w:r w:rsidRPr="00D4450E">
        <w:t xml:space="preserve"> des </w:t>
      </w:r>
      <w:proofErr w:type="spellStart"/>
      <w:r w:rsidRPr="00D4450E">
        <w:t>médias</w:t>
      </w:r>
      <w:proofErr w:type="spellEnd"/>
      <w:r w:rsidRPr="00D4450E">
        <w:t xml:space="preserve"> en ligne), 44 dans le domaine des réseaux sociaux et 9 concernant </w:t>
      </w:r>
      <w:r>
        <w:t>d</w:t>
      </w:r>
      <w:r w:rsidRPr="00D4450E">
        <w:t>es</w:t>
      </w:r>
      <w:r>
        <w:t xml:space="preserve"> contenus figurant ailleurs sur</w:t>
      </w:r>
      <w:r w:rsidRPr="00D4450E">
        <w:t xml:space="preserve"> Internet</w:t>
      </w:r>
      <w:r w:rsidRPr="005C0466">
        <w:t xml:space="preserve">. </w:t>
      </w:r>
      <w:r w:rsidRPr="00A45AD8">
        <w:t xml:space="preserve">Par ailleurs, </w:t>
      </w:r>
      <w:r>
        <w:t>13 </w:t>
      </w:r>
      <w:r w:rsidRPr="00A45AD8">
        <w:t>décisions judiciaires concernant des acteurs politiques</w:t>
      </w:r>
      <w:r>
        <w:t xml:space="preserve"> ou</w:t>
      </w:r>
      <w:r w:rsidRPr="00A45AD8">
        <w:t xml:space="preserve"> des journalistes</w:t>
      </w:r>
      <w:r>
        <w:t>/éditeurs</w:t>
      </w:r>
      <w:r w:rsidRPr="00A45AD8">
        <w:t xml:space="preserve"> ont été recensées pour la période 2022 à 2024.</w:t>
      </w:r>
    </w:p>
    <w:p w14:paraId="645B49F6" w14:textId="77777777" w:rsidR="00A454AE" w:rsidRPr="00646327" w:rsidRDefault="00A454AE" w:rsidP="00753414">
      <w:pPr>
        <w:pStyle w:val="SingleTxtG"/>
        <w:numPr>
          <w:ilvl w:val="0"/>
          <w:numId w:val="43"/>
        </w:numPr>
        <w:kinsoku/>
        <w:overflowPunct/>
        <w:autoSpaceDE/>
        <w:autoSpaceDN/>
        <w:adjustRightInd/>
        <w:snapToGrid/>
        <w:ind w:left="1134" w:firstLine="0"/>
      </w:pPr>
      <w:r w:rsidRPr="00A45AD8">
        <w:t xml:space="preserve">Il convient toutefois de mentionner que </w:t>
      </w:r>
      <w:bookmarkStart w:id="69" w:name="_Hlk200976765"/>
      <w:r w:rsidRPr="00A45AD8">
        <w:t>l</w:t>
      </w:r>
      <w:r>
        <w:t>’</w:t>
      </w:r>
      <w:r w:rsidRPr="00A45AD8">
        <w:t xml:space="preserve">OFS a réalisé en 2023, dans le cadre de </w:t>
      </w:r>
      <w:hyperlink r:id="rId44" w:history="1">
        <w:r w:rsidRPr="00A45AD8">
          <w:rPr>
            <w:rStyle w:val="Hyperlink"/>
          </w:rPr>
          <w:t>l</w:t>
        </w:r>
        <w:r>
          <w:rPr>
            <w:rStyle w:val="Hyperlink"/>
          </w:rPr>
          <w:t>’</w:t>
        </w:r>
        <w:r w:rsidRPr="00A45AD8">
          <w:rPr>
            <w:rStyle w:val="Hyperlink"/>
          </w:rPr>
          <w:t xml:space="preserve">enquête </w:t>
        </w:r>
        <w:r w:rsidRPr="005C0466">
          <w:rPr>
            <w:rStyle w:val="Hyperlink"/>
            <w:i/>
            <w:iCs/>
          </w:rPr>
          <w:t>Vivre ensemble en Suisse</w:t>
        </w:r>
      </w:hyperlink>
      <w:r w:rsidRPr="00A45AD8">
        <w:t>, un module portant sur la discrimination. Ce module comprenait une nouvelle question sur les formes de discrimination vécues, avec l</w:t>
      </w:r>
      <w:r>
        <w:t>’</w:t>
      </w:r>
      <w:r w:rsidRPr="00A45AD8">
        <w:t xml:space="preserve">item « messages de haine » dans la liste des réponses possibles. </w:t>
      </w:r>
      <w:r w:rsidRPr="00646327">
        <w:t>Parmi le 12 % de la population de la Suisse qui déclar</w:t>
      </w:r>
      <w:r>
        <w:t>ait</w:t>
      </w:r>
      <w:r w:rsidRPr="00646327">
        <w:t xml:space="preserve"> en 2023 avoir été victime</w:t>
      </w:r>
      <w:r>
        <w:t xml:space="preserve"> </w:t>
      </w:r>
      <w:r w:rsidRPr="00646327">
        <w:t xml:space="preserve">de discrimination raciale, 9 % </w:t>
      </w:r>
      <w:r>
        <w:t>ont indiqué</w:t>
      </w:r>
      <w:r w:rsidRPr="00646327">
        <w:t xml:space="preserve"> qu</w:t>
      </w:r>
      <w:r>
        <w:t>’</w:t>
      </w:r>
      <w:r w:rsidRPr="00646327">
        <w:t xml:space="preserve">il </w:t>
      </w:r>
      <w:r>
        <w:t>s’agissait</w:t>
      </w:r>
      <w:r w:rsidRPr="00646327">
        <w:t xml:space="preserve"> de messages haineux (cf. </w:t>
      </w:r>
      <w:hyperlink r:id="rId45" w:history="1">
        <w:r w:rsidRPr="00362514">
          <w:rPr>
            <w:rStyle w:val="Hyperlink"/>
          </w:rPr>
          <w:t>Quelles sont les formes de discrimination raciale ?</w:t>
        </w:r>
      </w:hyperlink>
      <w:r w:rsidRPr="00646327">
        <w:t>)</w:t>
      </w:r>
    </w:p>
    <w:bookmarkEnd w:id="69"/>
    <w:p w14:paraId="1D3147F9" w14:textId="2C76F2C5"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En outre, depuis 2021, la CFR gère la </w:t>
      </w:r>
      <w:proofErr w:type="spellStart"/>
      <w:r w:rsidRPr="00A45AD8">
        <w:t>plateforme</w:t>
      </w:r>
      <w:proofErr w:type="spellEnd"/>
      <w:r w:rsidRPr="00A45AD8">
        <w:t xml:space="preserve"> de signalement des discours de haine racistes sur Internet </w:t>
      </w:r>
      <w:hyperlink r:id="rId46" w:history="1">
        <w:r w:rsidRPr="00362514">
          <w:rPr>
            <w:rStyle w:val="Hyperlink"/>
          </w:rPr>
          <w:t>www.reportonlineracism.ch</w:t>
        </w:r>
      </w:hyperlink>
      <w:r w:rsidRPr="00A45AD8">
        <w:rPr>
          <w:color w:val="0070C0"/>
          <w:u w:val="single"/>
        </w:rPr>
        <w:t>.</w:t>
      </w:r>
      <w:r w:rsidRPr="00A45AD8">
        <w:rPr>
          <w:color w:val="0070C0"/>
        </w:rPr>
        <w:t xml:space="preserve"> </w:t>
      </w:r>
      <w:r w:rsidRPr="00A45AD8">
        <w:t>Les signalements qui y sont faits sont enregistrés et traités dans une base de données. La CFR procède à une première analyse pour évaluer s</w:t>
      </w:r>
      <w:r>
        <w:t>’</w:t>
      </w:r>
      <w:r w:rsidRPr="00A45AD8">
        <w:t>ils relèvent du droit pénal. Lorsque l</w:t>
      </w:r>
      <w:r>
        <w:t>’</w:t>
      </w:r>
      <w:r w:rsidRPr="00A45AD8">
        <w:t>infraction pénale est évidente et qu</w:t>
      </w:r>
      <w:r>
        <w:t>’</w:t>
      </w:r>
      <w:r w:rsidRPr="00A45AD8">
        <w:t>il existe un lien avec la Suisse, elle porte plainte en vertu de l</w:t>
      </w:r>
      <w:r>
        <w:t>’</w:t>
      </w:r>
      <w:r w:rsidRPr="00A45AD8">
        <w:t>art. 261</w:t>
      </w:r>
      <w:r w:rsidRPr="00A45AD8">
        <w:rPr>
          <w:vertAlign w:val="superscript"/>
        </w:rPr>
        <w:t>bis</w:t>
      </w:r>
      <w:r w:rsidRPr="00A45AD8">
        <w:t xml:space="preserve"> CP. Elle aide également au besoin les personnes lésées à porter plainte. Les autorités de poursuite pénale sont tenues de poursuivre les faits constitutifs d</w:t>
      </w:r>
      <w:r>
        <w:t>’</w:t>
      </w:r>
      <w:r w:rsidRPr="00A45AD8">
        <w:t>une infraction à l</w:t>
      </w:r>
      <w:r>
        <w:t>’</w:t>
      </w:r>
      <w:r w:rsidRPr="00A45AD8">
        <w:t>art. 261</w:t>
      </w:r>
      <w:r w:rsidRPr="00A45AD8">
        <w:rPr>
          <w:vertAlign w:val="superscript"/>
        </w:rPr>
        <w:t>bis</w:t>
      </w:r>
      <w:r w:rsidRPr="00A45AD8">
        <w:t xml:space="preserve"> CP qui parviennent à leur connaissance. En 2024, 302</w:t>
      </w:r>
      <w:r>
        <w:t> </w:t>
      </w:r>
      <w:r w:rsidRPr="00A45AD8">
        <w:t>contenus racistes au total ont été signalés (</w:t>
      </w:r>
      <w:r>
        <w:t xml:space="preserve">et </w:t>
      </w:r>
      <w:r w:rsidRPr="00A45AD8">
        <w:t>191 en 2023), dont un peu plus d</w:t>
      </w:r>
      <w:r>
        <w:t>’</w:t>
      </w:r>
      <w:r w:rsidRPr="00A45AD8">
        <w:t>un tiers étaient pénalement répréhensibles ; 41 d</w:t>
      </w:r>
      <w:r>
        <w:t>’</w:t>
      </w:r>
      <w:r w:rsidRPr="00A45AD8">
        <w:t>entre eux ont fait l</w:t>
      </w:r>
      <w:r>
        <w:t>’</w:t>
      </w:r>
      <w:r w:rsidRPr="00A45AD8">
        <w:t>objet d</w:t>
      </w:r>
      <w:r>
        <w:t>’</w:t>
      </w:r>
      <w:r w:rsidRPr="00A45AD8">
        <w:t>une plainte auprès des autorités de poursuite pénale.</w:t>
      </w:r>
    </w:p>
    <w:p w14:paraId="06A2E617" w14:textId="77777777" w:rsidR="00A454AE" w:rsidRPr="005C0466" w:rsidRDefault="00A454AE" w:rsidP="00753414">
      <w:pPr>
        <w:pStyle w:val="SingleTxtG"/>
        <w:numPr>
          <w:ilvl w:val="0"/>
          <w:numId w:val="43"/>
        </w:numPr>
        <w:kinsoku/>
        <w:overflowPunct/>
        <w:autoSpaceDE/>
        <w:autoSpaceDN/>
        <w:adjustRightInd/>
        <w:snapToGrid/>
        <w:ind w:left="1134" w:firstLine="0"/>
      </w:pPr>
      <w:r w:rsidRPr="00A45AD8">
        <w:t>Afin de fournir une base à la réponse donnée au postulat</w:t>
      </w:r>
      <w:r>
        <w:t xml:space="preserve"> Binder-Keller</w:t>
      </w:r>
      <w:r w:rsidRPr="00A45AD8">
        <w:t> </w:t>
      </w:r>
      <w:hyperlink r:id="rId47" w:history="1">
        <w:r w:rsidRPr="0082311D">
          <w:rPr>
            <w:rStyle w:val="Hyperlink"/>
          </w:rPr>
          <w:t>21.4137</w:t>
        </w:r>
      </w:hyperlink>
      <w:r>
        <w:t xml:space="preserve"> </w:t>
      </w:r>
      <w:r w:rsidRPr="00A45AD8">
        <w:t>« Actes de nature raciste et antisémite en lien avec la pandémie de COVID-19 »</w:t>
      </w:r>
      <w:r>
        <w:t xml:space="preserve"> (cf. ch. 30, 82, 98, 108)</w:t>
      </w:r>
      <w:r w:rsidRPr="00A45AD8">
        <w:t>, l</w:t>
      </w:r>
      <w:r>
        <w:t>’</w:t>
      </w:r>
      <w:r w:rsidRPr="00A45AD8">
        <w:t xml:space="preserve">institut Interface </w:t>
      </w:r>
      <w:proofErr w:type="spellStart"/>
      <w:r w:rsidRPr="00A45AD8">
        <w:t>Politikstudien</w:t>
      </w:r>
      <w:proofErr w:type="spellEnd"/>
      <w:r w:rsidRPr="00A45AD8">
        <w:t xml:space="preserve"> </w:t>
      </w:r>
      <w:proofErr w:type="spellStart"/>
      <w:r w:rsidRPr="00A45AD8">
        <w:t>Forschung</w:t>
      </w:r>
      <w:proofErr w:type="spellEnd"/>
      <w:r w:rsidRPr="00A45AD8">
        <w:t xml:space="preserve"> </w:t>
      </w:r>
      <w:proofErr w:type="spellStart"/>
      <w:r w:rsidRPr="00A45AD8">
        <w:t>Beratung</w:t>
      </w:r>
      <w:proofErr w:type="spellEnd"/>
      <w:r w:rsidRPr="00A45AD8">
        <w:t xml:space="preserve"> AG a élaboré, sur mandat du SLR, un rapport sur le monitorage de la discrimination raciale et de l</w:t>
      </w:r>
      <w:r>
        <w:t>’</w:t>
      </w:r>
      <w:r w:rsidRPr="00A45AD8">
        <w:t xml:space="preserve">antisémitisme en Suisse. Ce rapport, qui </w:t>
      </w:r>
      <w:r>
        <w:t>présente</w:t>
      </w:r>
      <w:r w:rsidRPr="00A45AD8">
        <w:t xml:space="preserve"> les systèmes existants, pointe des lacunes et propose des mesures pour améliorer le monitorage national en la matière. Il en ressort que les méthodes </w:t>
      </w:r>
      <w:r w:rsidRPr="00A45AD8">
        <w:lastRenderedPageBreak/>
        <w:t>appliquées ne permettent pas de mesurer de manière satisfaisante les discours de haine</w:t>
      </w:r>
      <w:r>
        <w:t xml:space="preserve"> </w:t>
      </w:r>
      <w:r w:rsidRPr="00A45AD8">
        <w:t>en ligne</w:t>
      </w:r>
      <w:r>
        <w:t>,</w:t>
      </w:r>
      <w:r w:rsidRPr="00A45AD8">
        <w:t xml:space="preserve"> </w:t>
      </w:r>
      <w:r>
        <w:t>entre autres,</w:t>
      </w:r>
      <w:r w:rsidRPr="00A45AD8">
        <w:t xml:space="preserve"> et qu</w:t>
      </w:r>
      <w:r>
        <w:t>’</w:t>
      </w:r>
      <w:r w:rsidRPr="00A45AD8">
        <w:t>il est indispensable de rechercher et recenser activement les cas en ligne si l</w:t>
      </w:r>
      <w:r>
        <w:t>’</w:t>
      </w:r>
      <w:r w:rsidRPr="00A45AD8">
        <w:t>on veut monitorer de manière systématique ce phénomène</w:t>
      </w:r>
      <w:r w:rsidRPr="005C0466">
        <w:t>.</w:t>
      </w:r>
    </w:p>
    <w:p w14:paraId="3261B089" w14:textId="77777777" w:rsidR="00A454AE" w:rsidRPr="005C0466" w:rsidRDefault="00A454AE" w:rsidP="00753414">
      <w:pPr>
        <w:pStyle w:val="SingleTxtG"/>
        <w:numPr>
          <w:ilvl w:val="0"/>
          <w:numId w:val="43"/>
        </w:numPr>
        <w:kinsoku/>
        <w:overflowPunct/>
        <w:autoSpaceDE/>
        <w:autoSpaceDN/>
        <w:adjustRightInd/>
        <w:snapToGrid/>
        <w:ind w:left="1134" w:firstLine="0"/>
      </w:pPr>
      <w:r w:rsidRPr="00A45AD8">
        <w:t xml:space="preserve">Dans son </w:t>
      </w:r>
      <w:hyperlink r:id="rId48" w:history="1">
        <w:r w:rsidRPr="00BF4D01">
          <w:rPr>
            <w:rStyle w:val="Hyperlink"/>
          </w:rPr>
          <w:t>rapport</w:t>
        </w:r>
      </w:hyperlink>
      <w:r w:rsidRPr="00A45AD8">
        <w:t xml:space="preserve"> en réponse au postulat</w:t>
      </w:r>
      <w:r>
        <w:t xml:space="preserve"> Binder-Keller</w:t>
      </w:r>
      <w:r w:rsidRPr="00A45AD8">
        <w:t> </w:t>
      </w:r>
      <w:hyperlink r:id="rId49" w:history="1">
        <w:r w:rsidRPr="00BF4D01">
          <w:rPr>
            <w:rStyle w:val="Hyperlink"/>
          </w:rPr>
          <w:t>21.4137</w:t>
        </w:r>
      </w:hyperlink>
      <w:r w:rsidRPr="00A45AD8">
        <w:t xml:space="preserve">, le Conseil fédéral reconnaît le risque de sous-documentation des cas et souligne la nécessité de rendre plus accessibles les offres de conseil destinées aux victimes. </w:t>
      </w:r>
      <w:r w:rsidRPr="00C216E4">
        <w:t>À cette fin, depuis 2023, le SLR soutient le Réseau de centres de conseil pour les victimes du racisme dans le cadre d</w:t>
      </w:r>
      <w:r>
        <w:t>’</w:t>
      </w:r>
      <w:r w:rsidRPr="00C216E4">
        <w:t>un projet pilote</w:t>
      </w:r>
      <w:r>
        <w:t xml:space="preserve"> qui vise à renforcer et développer leurs prestations (cf. ch. 21 et 60). Le SLR </w:t>
      </w:r>
      <w:r w:rsidRPr="00442921">
        <w:t>propos</w:t>
      </w:r>
      <w:r>
        <w:t>e en outre aux spécialistes de l’intégration cantonaux et communaux des ateliers pratiques et un dispositif de conseil collégial ouverts également au personnel des centres de conseil</w:t>
      </w:r>
      <w:r w:rsidRPr="00C216E4">
        <w:t>.</w:t>
      </w:r>
      <w:r w:rsidRPr="00A45AD8">
        <w:t xml:space="preserve"> Il a par ailleurs établi des critères de qualité pour le travail de conseil et formulé, en collaboration avec le SEM, des recommandations aux cantons pour la mise sur pied et la gestion d</w:t>
      </w:r>
      <w:r>
        <w:t>’</w:t>
      </w:r>
      <w:r w:rsidRPr="00A45AD8">
        <w:t>offres de conseil dans le domaine de la protection contre la discrimination</w:t>
      </w:r>
      <w:r w:rsidRPr="005C0466">
        <w:t>.</w:t>
      </w:r>
    </w:p>
    <w:p w14:paraId="68BE49B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Les discours de haine sur Internet sont aussi susceptibles de tomber sous le coup des dispositions pénales applicables aux propos tenus dans le monde analogique (art. 135, 173</w:t>
      </w:r>
      <w:r>
        <w:t> </w:t>
      </w:r>
      <w:proofErr w:type="spellStart"/>
      <w:r w:rsidRPr="00A45AD8">
        <w:t>ss</w:t>
      </w:r>
      <w:proofErr w:type="spellEnd"/>
      <w:r w:rsidRPr="00A45AD8">
        <w:t>, 180, 181 et 258</w:t>
      </w:r>
      <w:r>
        <w:t> </w:t>
      </w:r>
      <w:proofErr w:type="spellStart"/>
      <w:r w:rsidRPr="00A45AD8">
        <w:t>ss</w:t>
      </w:r>
      <w:proofErr w:type="spellEnd"/>
      <w:r w:rsidRPr="00A45AD8">
        <w:t xml:space="preserve"> CP). Chacun a le droit de dénoncer des infractions à une autorité de poursuite pénale, par écrit ou oralement (art. 301 du code de procédure pénale). De l</w:t>
      </w:r>
      <w:r>
        <w:t>’</w:t>
      </w:r>
      <w:r w:rsidRPr="00A45AD8">
        <w:t>avis du Conseil fédéral, ce dispositif assure une protection suffisante. Les difficultés d</w:t>
      </w:r>
      <w:r>
        <w:t>’</w:t>
      </w:r>
      <w:r w:rsidRPr="00A45AD8">
        <w:t>application des normes existantes résident en effet avant tout dans la nature transfrontière des services Internet, en raison du principe de territorialité qui fait obstacle à l</w:t>
      </w:r>
      <w:r>
        <w:t>’</w:t>
      </w:r>
      <w:r w:rsidRPr="00A45AD8">
        <w:t>application du droit suisse en l</w:t>
      </w:r>
      <w:r>
        <w:t>’</w:t>
      </w:r>
      <w:r w:rsidRPr="00A45AD8">
        <w:t>absence de rattachement en Suisse. Le Conseil fédéral ne voit dès lors aucune nécessité de prévoir de nouvelles infractions pénales.</w:t>
      </w:r>
    </w:p>
    <w:p w14:paraId="671FCCEC"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Compte tenu notamment des problèmes d</w:t>
      </w:r>
      <w:r>
        <w:t>’</w:t>
      </w:r>
      <w:r w:rsidRPr="00A45AD8">
        <w:t>application du droit suisse liés au principe de territorialité des lois, le Conseil fédéral privilégie les solutions qui reposent sur l</w:t>
      </w:r>
      <w:r>
        <w:t>’</w:t>
      </w:r>
      <w:r w:rsidRPr="00A45AD8">
        <w:t xml:space="preserve">engagement volontaire des </w:t>
      </w:r>
      <w:proofErr w:type="spellStart"/>
      <w:r w:rsidRPr="00A45AD8">
        <w:t>médias</w:t>
      </w:r>
      <w:proofErr w:type="spellEnd"/>
      <w:r w:rsidRPr="00A45AD8">
        <w:t xml:space="preserve"> sur Internet. Ainsi, </w:t>
      </w:r>
      <w:proofErr w:type="spellStart"/>
      <w:r w:rsidRPr="00A45AD8">
        <w:t>fedpol</w:t>
      </w:r>
      <w:proofErr w:type="spellEnd"/>
      <w:r w:rsidRPr="00A45AD8">
        <w:t xml:space="preserve"> signale à ces derniers les contenus qui appellent à la haine ou à la violence.</w:t>
      </w:r>
    </w:p>
    <w:p w14:paraId="4A055DD7" w14:textId="7791DBEA" w:rsidR="00A454AE" w:rsidRPr="00A45AD8" w:rsidRDefault="00A454AE" w:rsidP="002644AA">
      <w:pPr>
        <w:pStyle w:val="H4G"/>
      </w:pPr>
      <w:r w:rsidRPr="00A45AD8">
        <w:tab/>
      </w:r>
      <w:r w:rsidR="002644AA">
        <w:tab/>
      </w:r>
      <w:r w:rsidR="002644AA">
        <w:tab/>
      </w:r>
      <w:r w:rsidRPr="00A45AD8">
        <w:t>Mise en œuvre de la recommandation formulée au ch. 16b des observations finales :</w:t>
      </w:r>
    </w:p>
    <w:p w14:paraId="4AEDCE5B" w14:textId="77777777" w:rsidR="00A454AE" w:rsidRPr="00A45AD8" w:rsidRDefault="00A454AE" w:rsidP="00753414">
      <w:pPr>
        <w:pStyle w:val="SingleTxtG"/>
        <w:numPr>
          <w:ilvl w:val="0"/>
          <w:numId w:val="43"/>
        </w:numPr>
        <w:kinsoku/>
        <w:overflowPunct/>
        <w:autoSpaceDE/>
        <w:autoSpaceDN/>
        <w:adjustRightInd/>
        <w:snapToGrid/>
        <w:ind w:left="1134" w:firstLine="0"/>
      </w:pPr>
      <w:hyperlink r:id="rId50" w:tgtFrame="_blank" w:history="1">
        <w:r w:rsidRPr="00B22C15">
          <w:rPr>
            <w:rStyle w:val="Hyperlink"/>
          </w:rPr>
          <w:t xml:space="preserve">L’étude de l’Office fédéral de la communication (OFCOM) sur la régulation des </w:t>
        </w:r>
        <w:proofErr w:type="spellStart"/>
        <w:r w:rsidRPr="00B22C15">
          <w:rPr>
            <w:rStyle w:val="Hyperlink"/>
          </w:rPr>
          <w:t>plateformes</w:t>
        </w:r>
        <w:proofErr w:type="spellEnd"/>
        <w:r w:rsidRPr="00B22C15">
          <w:rPr>
            <w:rStyle w:val="Hyperlink"/>
          </w:rPr>
          <w:t xml:space="preserve"> de communication en ligne de 2021</w:t>
        </w:r>
      </w:hyperlink>
      <w:r>
        <w:rPr>
          <w:u w:val="single"/>
        </w:rPr>
        <w:t xml:space="preserve"> </w:t>
      </w:r>
      <w:r w:rsidRPr="00B22C15">
        <w:t>identifie le discours de haine, les fausses informations, la quasi-censure et le manque de transparence comme des domaines problématiques.</w:t>
      </w:r>
      <w:r>
        <w:t xml:space="preserve"> </w:t>
      </w:r>
      <w:hyperlink r:id="rId51" w:tgtFrame="_blank" w:history="1">
        <w:r w:rsidRPr="00B22C15">
          <w:rPr>
            <w:rStyle w:val="Hyperlink"/>
          </w:rPr>
          <w:t>D’autres études</w:t>
        </w:r>
        <w:r>
          <w:rPr>
            <w:rStyle w:val="Hyperlink"/>
          </w:rPr>
          <w:t xml:space="preserve"> </w:t>
        </w:r>
      </w:hyperlink>
      <w:r w:rsidRPr="00B22C15">
        <w:t xml:space="preserve">commandées par l’OFCOM sont arrivées à la conclusion que la population a droit à une protection efficace contre le discours de haine et la désinformation, et que les droits des utilisateurs et utilisatrices devraient être mieux protégés face aux intermédiaires. Le Conseil fédéral entend donc renforcer les droits des utilisateurs et utilisatrices en Suisse et exiger plus de transparence de la part des </w:t>
      </w:r>
      <w:proofErr w:type="spellStart"/>
      <w:r w:rsidRPr="00B22C15">
        <w:t>plateformes</w:t>
      </w:r>
      <w:proofErr w:type="spellEnd"/>
      <w:r w:rsidRPr="00B22C15">
        <w:t>, sans pour autant restreindre les effets positifs de celles-ci sur la liberté d’expression. Pour ce faire, de nouvelles dispositions légales sont nécessaires.</w:t>
      </w:r>
      <w:r>
        <w:t xml:space="preserve"> </w:t>
      </w:r>
      <w:r w:rsidRPr="003C5B68">
        <w:t xml:space="preserve">Le 29 octobre 2025, le Conseil fédéral a soumis à la consultation publique un nouveau projet de loi fédérale sur les </w:t>
      </w:r>
      <w:proofErr w:type="spellStart"/>
      <w:r w:rsidRPr="003C5B68">
        <w:t>plateformes</w:t>
      </w:r>
      <w:proofErr w:type="spellEnd"/>
      <w:r w:rsidRPr="003C5B68">
        <w:t xml:space="preserve"> de communication et les moteurs de recherche (</w:t>
      </w:r>
      <w:proofErr w:type="spellStart"/>
      <w:r w:rsidRPr="003C5B68">
        <w:t>LPCom</w:t>
      </w:r>
      <w:proofErr w:type="spellEnd"/>
      <w:proofErr w:type="gramStart"/>
      <w:r w:rsidRPr="003C5B68">
        <w:t>).</w:t>
      </w:r>
      <w:r w:rsidRPr="002F211C">
        <w:t>.</w:t>
      </w:r>
      <w:proofErr w:type="gramEnd"/>
      <w:r w:rsidRPr="002F211C">
        <w:t xml:space="preserve"> La nouvelle loi a pour objectif de renforcer les droits des utilisateurs</w:t>
      </w:r>
      <w:r>
        <w:t xml:space="preserve"> et utilisatrices</w:t>
      </w:r>
      <w:r w:rsidRPr="002F211C">
        <w:t xml:space="preserve"> en Suisse, en exigeant de la part des fournisseurs de grandes </w:t>
      </w:r>
      <w:proofErr w:type="spellStart"/>
      <w:r w:rsidRPr="002F211C">
        <w:t>plateformes</w:t>
      </w:r>
      <w:proofErr w:type="spellEnd"/>
      <w:r w:rsidRPr="002F211C">
        <w:t xml:space="preserve"> de communication ou de grands moteurs de recherche davantage de diligence et de transparence</w:t>
      </w:r>
      <w:r w:rsidRPr="00A45AD8">
        <w:t>.</w:t>
      </w:r>
      <w:r>
        <w:t xml:space="preserve"> </w:t>
      </w:r>
      <w:r w:rsidRPr="00A45AD8">
        <w:t>En ce qui concerne les discours de haine, elle prévoit une obligation légale de mettre à disposition des utilisateurs</w:t>
      </w:r>
      <w:r>
        <w:t xml:space="preserve"> et utilisatrices</w:t>
      </w:r>
      <w:r w:rsidRPr="00A45AD8">
        <w:t xml:space="preserve"> une procédure de notification et une procédure de traitement des notifications permettant de réagir aux discours de haine présumé</w:t>
      </w:r>
      <w:r>
        <w:t>s</w:t>
      </w:r>
      <w:r w:rsidRPr="00A45AD8">
        <w:t xml:space="preserve"> pénalement répréhensibles. Ceci contribuera aussi à limiter la diffusion des discours de haine sur Internet et les </w:t>
      </w:r>
      <w:r w:rsidRPr="00426D5A">
        <w:t>réseaux</w:t>
      </w:r>
      <w:r w:rsidRPr="00A45AD8">
        <w:t xml:space="preserve"> sociaux. L</w:t>
      </w:r>
      <w:r>
        <w:t>’</w:t>
      </w:r>
      <w:r w:rsidRPr="00A45AD8">
        <w:t>objectif global est de contribuer à un environnement en ligne sûr, fiable et digne de confiance. Il est important de souligner que la loi vise à renforcer la liberté d</w:t>
      </w:r>
      <w:r>
        <w:t>’</w:t>
      </w:r>
      <w:r w:rsidRPr="00A45AD8">
        <w:t>expression et d</w:t>
      </w:r>
      <w:r>
        <w:t>’</w:t>
      </w:r>
      <w:r w:rsidRPr="00A45AD8">
        <w:t>information des utilisateurs</w:t>
      </w:r>
      <w:r>
        <w:t xml:space="preserve"> et utilisatrices</w:t>
      </w:r>
      <w:r w:rsidRPr="00A45AD8">
        <w:t>, tout en protégeant des répercussions négatives – notamment en lien avec le discours de haine entendu comme discrimination publique ou appel à la violence. En ce qui concerne la liberté d</w:t>
      </w:r>
      <w:r>
        <w:t>’</w:t>
      </w:r>
      <w:r w:rsidRPr="00A45AD8">
        <w:t>expression, la loi vise à apporter une réponse à deux effets dissuasifs possibles (</w:t>
      </w:r>
      <w:proofErr w:type="spellStart"/>
      <w:r w:rsidRPr="00426D5A">
        <w:rPr>
          <w:i/>
          <w:iCs/>
        </w:rPr>
        <w:t>chilling</w:t>
      </w:r>
      <w:proofErr w:type="spellEnd"/>
      <w:r w:rsidRPr="00426D5A">
        <w:rPr>
          <w:i/>
          <w:iCs/>
        </w:rPr>
        <w:t xml:space="preserve"> </w:t>
      </w:r>
      <w:proofErr w:type="spellStart"/>
      <w:r w:rsidRPr="00426D5A">
        <w:rPr>
          <w:i/>
          <w:iCs/>
        </w:rPr>
        <w:t>effects</w:t>
      </w:r>
      <w:proofErr w:type="spellEnd"/>
      <w:r w:rsidRPr="00A45AD8">
        <w:t>). D</w:t>
      </w:r>
      <w:r>
        <w:t>’</w:t>
      </w:r>
      <w:r w:rsidRPr="00A45AD8">
        <w:t>une part, l</w:t>
      </w:r>
      <w:r>
        <w:t>’</w:t>
      </w:r>
      <w:r w:rsidRPr="00A45AD8">
        <w:t>endiguement des discours de haine présumés pénalement répréhensibles favorise</w:t>
      </w:r>
      <w:r>
        <w:t>rait</w:t>
      </w:r>
      <w:r w:rsidRPr="00A45AD8">
        <w:t xml:space="preserve"> le débat : les utilisateurs</w:t>
      </w:r>
      <w:r>
        <w:t xml:space="preserve"> et utilisatrices</w:t>
      </w:r>
      <w:r w:rsidRPr="00A45AD8">
        <w:t xml:space="preserve"> </w:t>
      </w:r>
      <w:r>
        <w:t>seraient</w:t>
      </w:r>
      <w:r w:rsidRPr="00A45AD8">
        <w:t xml:space="preserve"> plus enclins à exprimer aussi des avis désagréables, critiques ou politiquement controversés, car ils risque</w:t>
      </w:r>
      <w:r>
        <w:t>raie</w:t>
      </w:r>
      <w:r w:rsidRPr="00A45AD8">
        <w:t>nt moins de s</w:t>
      </w:r>
      <w:r>
        <w:t>’</w:t>
      </w:r>
      <w:r w:rsidRPr="00A45AD8">
        <w:t>exposer à un discours de haine en réaction à leurs propos. D</w:t>
      </w:r>
      <w:r>
        <w:t>’</w:t>
      </w:r>
      <w:r w:rsidRPr="00A45AD8">
        <w:t xml:space="preserve">autre part, les obligations de transparence en matière de conditions générales des fournisseurs de </w:t>
      </w:r>
      <w:proofErr w:type="spellStart"/>
      <w:r w:rsidRPr="00A45AD8">
        <w:lastRenderedPageBreak/>
        <w:t>plateformes</w:t>
      </w:r>
      <w:proofErr w:type="spellEnd"/>
      <w:r w:rsidRPr="00A45AD8">
        <w:t xml:space="preserve"> de communication ou de moteurs de recherche, qui sont prévues dans la loi, permett</w:t>
      </w:r>
      <w:r>
        <w:t>rai</w:t>
      </w:r>
      <w:r w:rsidRPr="00A45AD8">
        <w:t xml:space="preserve">ent aux utilisateurs </w:t>
      </w:r>
      <w:r>
        <w:t>et utilisatrices</w:t>
      </w:r>
      <w:r w:rsidRPr="00A45AD8">
        <w:t xml:space="preserve"> de mieux évaluer ce qu</w:t>
      </w:r>
      <w:r>
        <w:t>’</w:t>
      </w:r>
      <w:r w:rsidRPr="00A45AD8">
        <w:t>ils peuvent ou ne peuvent pas dire. Actuellement, un certain nombre d</w:t>
      </w:r>
      <w:r>
        <w:t>’</w:t>
      </w:r>
      <w:r w:rsidRPr="00A45AD8">
        <w:t xml:space="preserve">utilisateurs </w:t>
      </w:r>
      <w:r>
        <w:t>et utilisatrices</w:t>
      </w:r>
      <w:r w:rsidRPr="00A45AD8">
        <w:t xml:space="preserve"> renoncent en effet à s</w:t>
      </w:r>
      <w:r>
        <w:t>’</w:t>
      </w:r>
      <w:r w:rsidRPr="00A45AD8">
        <w:t>exprimer, ne sachant pas clairement quelles déclarations sont autorisées ou non en ligne. Le projet ne réduit pas la liberté d</w:t>
      </w:r>
      <w:r>
        <w:t>’</w:t>
      </w:r>
      <w:r w:rsidRPr="00A45AD8">
        <w:t>expression, dans la mesure où il ne se réfère qu</w:t>
      </w:r>
      <w:r>
        <w:t>’</w:t>
      </w:r>
      <w:r w:rsidRPr="00A45AD8">
        <w:t>à la diffusion de contenus déjà illicites au regard du droit en vigueur.</w:t>
      </w:r>
    </w:p>
    <w:p w14:paraId="20125D51"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De 2020 à 2024, le SLR a principalement soutenu des projets visant à lutter contre le racisme en </w:t>
      </w:r>
      <w:r w:rsidRPr="00480BBD">
        <w:t>ligne. I</w:t>
      </w:r>
      <w:r w:rsidRPr="0032354C">
        <w:t>l en a soutenu 6 dans ce domaine</w:t>
      </w:r>
      <w:r w:rsidRPr="00480BBD">
        <w:t>, pour</w:t>
      </w:r>
      <w:r w:rsidRPr="00A45AD8">
        <w:t xml:space="preserve"> un montant total de 133</w:t>
      </w:r>
      <w:r>
        <w:t> </w:t>
      </w:r>
      <w:r w:rsidRPr="00A45AD8">
        <w:t>000 francs. Exemples de projet</w:t>
      </w:r>
      <w:r w:rsidRPr="0032354C">
        <w:t>s :</w:t>
      </w:r>
      <w:r>
        <w:t xml:space="preserve"> </w:t>
      </w:r>
      <w:r w:rsidRPr="004651A3">
        <w:rPr>
          <w:i/>
          <w:iCs/>
        </w:rPr>
        <w:t xml:space="preserve">Stop </w:t>
      </w:r>
      <w:proofErr w:type="spellStart"/>
      <w:r w:rsidRPr="004651A3">
        <w:rPr>
          <w:i/>
          <w:iCs/>
        </w:rPr>
        <w:t>Hate</w:t>
      </w:r>
      <w:proofErr w:type="spellEnd"/>
      <w:r w:rsidRPr="004651A3">
        <w:rPr>
          <w:i/>
          <w:iCs/>
        </w:rPr>
        <w:t xml:space="preserve"> Speech</w:t>
      </w:r>
      <w:r w:rsidRPr="004651A3">
        <w:t xml:space="preserve"> d’Alliance F, l’offre de formation continue de humanrights.ch sur le racisme en ligne pour les centres de conseil, ou encore le </w:t>
      </w:r>
      <w:r w:rsidRPr="004651A3">
        <w:rPr>
          <w:i/>
          <w:iCs/>
        </w:rPr>
        <w:t xml:space="preserve">projet </w:t>
      </w:r>
      <w:r>
        <w:rPr>
          <w:i/>
          <w:iCs/>
        </w:rPr>
        <w:br/>
      </w:r>
      <w:r w:rsidRPr="004651A3">
        <w:rPr>
          <w:i/>
          <w:iCs/>
        </w:rPr>
        <w:t>(Un-)</w:t>
      </w:r>
      <w:proofErr w:type="spellStart"/>
      <w:proofErr w:type="gramStart"/>
      <w:r w:rsidRPr="004651A3">
        <w:rPr>
          <w:i/>
          <w:iCs/>
        </w:rPr>
        <w:t>Glaubwürdig</w:t>
      </w:r>
      <w:proofErr w:type="spellEnd"/>
      <w:r w:rsidRPr="004651A3">
        <w:rPr>
          <w:i/>
          <w:iCs/>
        </w:rPr>
        <w:t>?</w:t>
      </w:r>
      <w:proofErr w:type="gramEnd"/>
      <w:r w:rsidRPr="004651A3">
        <w:rPr>
          <w:i/>
          <w:iCs/>
        </w:rPr>
        <w:t xml:space="preserve"> </w:t>
      </w:r>
      <w:proofErr w:type="spellStart"/>
      <w:r w:rsidRPr="004651A3">
        <w:rPr>
          <w:i/>
          <w:iCs/>
        </w:rPr>
        <w:t>Umgang</w:t>
      </w:r>
      <w:proofErr w:type="spellEnd"/>
      <w:r w:rsidRPr="004651A3">
        <w:rPr>
          <w:i/>
          <w:iCs/>
        </w:rPr>
        <w:t xml:space="preserve"> mit </w:t>
      </w:r>
      <w:proofErr w:type="spellStart"/>
      <w:r w:rsidRPr="004651A3">
        <w:rPr>
          <w:i/>
          <w:iCs/>
        </w:rPr>
        <w:t>Verschwörungserzählungen</w:t>
      </w:r>
      <w:proofErr w:type="spellEnd"/>
      <w:r w:rsidRPr="004651A3">
        <w:rPr>
          <w:i/>
          <w:iCs/>
        </w:rPr>
        <w:t xml:space="preserve"> </w:t>
      </w:r>
      <w:proofErr w:type="spellStart"/>
      <w:r w:rsidRPr="004651A3">
        <w:rPr>
          <w:i/>
          <w:iCs/>
        </w:rPr>
        <w:t>lernen</w:t>
      </w:r>
      <w:proofErr w:type="spellEnd"/>
      <w:r w:rsidRPr="004651A3">
        <w:rPr>
          <w:i/>
          <w:iCs/>
        </w:rPr>
        <w:t xml:space="preserve"> </w:t>
      </w:r>
      <w:r w:rsidRPr="004651A3">
        <w:t xml:space="preserve">de </w:t>
      </w:r>
      <w:r>
        <w:t>l’organisation National Coalition Building Institut (</w:t>
      </w:r>
      <w:r w:rsidRPr="004651A3">
        <w:t>NCBI</w:t>
      </w:r>
      <w:r>
        <w:t>)</w:t>
      </w:r>
      <w:r w:rsidRPr="004651A3">
        <w:t xml:space="preserve">, portant sur les discours complotistes. Les expériences faites durant la période 2020 à 2024 montrent que le racisme en ligne ne constitue </w:t>
      </w:r>
      <w:r w:rsidRPr="00A45AD8">
        <w:t xml:space="preserve">pas un phénomène isolé, mais un aspect transversal du racisme, qui se manifeste dans divers contextes tels que </w:t>
      </w:r>
      <w:r>
        <w:t>l’éducation</w:t>
      </w:r>
      <w:r w:rsidRPr="00A45AD8">
        <w:t>, le marché du travail, la recherche de logement, les réseaux sociaux ou la presse en ligne. Il en découle la nécessité d</w:t>
      </w:r>
      <w:r>
        <w:t>’</w:t>
      </w:r>
      <w:r w:rsidRPr="00A45AD8">
        <w:t>une approche intégrative qui fait de cette thématique une partie intégrante de l</w:t>
      </w:r>
      <w:r>
        <w:t>’</w:t>
      </w:r>
      <w:r w:rsidRPr="00A45AD8">
        <w:t>ensemble des programmes de promotion du SLR. Cette orientation vise à inscrire durablement la lutte contre le racisme en ligne dans le travail antiraciste institutionnel et à permettre une prise en compte plus globale du phénomène.</w:t>
      </w:r>
    </w:p>
    <w:p w14:paraId="7B92A13F"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Le 16</w:t>
      </w:r>
      <w:r>
        <w:t> </w:t>
      </w:r>
      <w:r w:rsidRPr="00A45AD8">
        <w:t>décembre 2022, la Suisse a adopté son deuxième plan d</w:t>
      </w:r>
      <w:r>
        <w:t>’</w:t>
      </w:r>
      <w:r w:rsidRPr="00A45AD8">
        <w:t>action national contre la radicalisation et l</w:t>
      </w:r>
      <w:r>
        <w:t>’</w:t>
      </w:r>
      <w:r w:rsidRPr="00A45AD8">
        <w:t>extrémisme violent, qui couvre les années 2023 à 2027. Dans le cadre de ce PAN, plus de 200</w:t>
      </w:r>
      <w:r>
        <w:t> </w:t>
      </w:r>
      <w:r w:rsidRPr="00A45AD8">
        <w:t>spécialistes de la Confédération, des autorités cantonales et municipales ainsi que de la société civile ont participé le 23</w:t>
      </w:r>
      <w:r>
        <w:t> </w:t>
      </w:r>
      <w:r w:rsidRPr="00A45AD8">
        <w:t>novembre 2022 au troisième colloque sur la prévention de la radicalisation et de l</w:t>
      </w:r>
      <w:r>
        <w:t>’</w:t>
      </w:r>
      <w:r w:rsidRPr="00A45AD8">
        <w:t>extrémisme violent, qui s</w:t>
      </w:r>
      <w:r>
        <w:t>’</w:t>
      </w:r>
      <w:r w:rsidRPr="00A45AD8">
        <w:t>est tenu à Berne. Le colloque s</w:t>
      </w:r>
      <w:r>
        <w:t>’</w:t>
      </w:r>
      <w:r w:rsidRPr="00A45AD8">
        <w:t>est concentré sur les processus de radicalisation chez les jeunes, notamment en ligne, ainsi que sur le rôle de l</w:t>
      </w:r>
      <w:r>
        <w:t>’</w:t>
      </w:r>
      <w:r w:rsidRPr="00A45AD8">
        <w:t>école dans la prévention de l</w:t>
      </w:r>
      <w:r>
        <w:t>’</w:t>
      </w:r>
      <w:r w:rsidRPr="00A45AD8">
        <w:t>extrémisme violent. Des exposés et des ateliers ont montré comment les compétences numériques des jeunes, y compris celles liées à l</w:t>
      </w:r>
      <w:r>
        <w:t>’</w:t>
      </w:r>
      <w:r w:rsidRPr="00A45AD8">
        <w:t>utilisation d</w:t>
      </w:r>
      <w:r>
        <w:t>’</w:t>
      </w:r>
      <w:r w:rsidRPr="00A45AD8">
        <w:t>Internet, peuvent être renforcées.</w:t>
      </w:r>
      <w:r w:rsidRPr="00A45AD8">
        <w:br/>
        <w:t>Dans le cadre de l</w:t>
      </w:r>
      <w:r>
        <w:t>’</w:t>
      </w:r>
      <w:r w:rsidRPr="00A45AD8">
        <w:t>ordonnance du 16 mai 2018 sur les mesures visant à prévenir et à combattre la radicalisation et l</w:t>
      </w:r>
      <w:r>
        <w:t>’</w:t>
      </w:r>
      <w:r w:rsidRPr="00A45AD8">
        <w:t>extrémisme violent (RS </w:t>
      </w:r>
      <w:r w:rsidRPr="00665346">
        <w:rPr>
          <w:i/>
          <w:iCs/>
        </w:rPr>
        <w:t>311.039.5</w:t>
      </w:r>
      <w:r w:rsidRPr="00A45AD8">
        <w:t xml:space="preserve">), </w:t>
      </w:r>
      <w:proofErr w:type="spellStart"/>
      <w:r w:rsidRPr="00A45AD8">
        <w:t>fedpol</w:t>
      </w:r>
      <w:proofErr w:type="spellEnd"/>
      <w:r w:rsidRPr="00A45AD8">
        <w:t xml:space="preserve"> soutient financièrement depuis 2019 plusieurs projets visant à combattre les discours de haine sur Internet et à promouvoir la pensée critique. En voici quelques exemples : </w:t>
      </w:r>
    </w:p>
    <w:p w14:paraId="4340F043"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2025 : le projet </w:t>
      </w:r>
      <w:proofErr w:type="spellStart"/>
      <w:r w:rsidRPr="00665346">
        <w:rPr>
          <w:i/>
          <w:iCs/>
        </w:rPr>
        <w:t>InfoWarriors</w:t>
      </w:r>
      <w:proofErr w:type="spellEnd"/>
      <w:r w:rsidRPr="00A45AD8">
        <w:rPr>
          <w:i/>
          <w:iCs/>
        </w:rPr>
        <w:t> </w:t>
      </w:r>
      <w:r w:rsidRPr="00665346">
        <w:rPr>
          <w:i/>
          <w:iCs/>
        </w:rPr>
        <w:t xml:space="preserve">: Digital </w:t>
      </w:r>
      <w:proofErr w:type="spellStart"/>
      <w:r w:rsidRPr="00665346">
        <w:rPr>
          <w:i/>
          <w:iCs/>
        </w:rPr>
        <w:t>Literacy</w:t>
      </w:r>
      <w:proofErr w:type="spellEnd"/>
      <w:r w:rsidRPr="00665346">
        <w:rPr>
          <w:i/>
          <w:iCs/>
        </w:rPr>
        <w:t xml:space="preserve"> </w:t>
      </w:r>
      <w:proofErr w:type="spellStart"/>
      <w:r w:rsidRPr="00665346">
        <w:rPr>
          <w:i/>
          <w:iCs/>
        </w:rPr>
        <w:t>Quest</w:t>
      </w:r>
      <w:proofErr w:type="spellEnd"/>
      <w:r w:rsidRPr="00A45AD8">
        <w:t xml:space="preserve"> a pour objectif de rendre les jeunes plus conscients des différents mécanismes de la radicalisation et de leur permettre de résister face à l</w:t>
      </w:r>
      <w:r>
        <w:t>’</w:t>
      </w:r>
      <w:r w:rsidRPr="00A45AD8">
        <w:t>extrémisme dans l</w:t>
      </w:r>
      <w:r>
        <w:t>’</w:t>
      </w:r>
      <w:r w:rsidRPr="00A45AD8">
        <w:t>espace numérique. La compétence de base à acquérir consiste à s</w:t>
      </w:r>
      <w:r>
        <w:t>’</w:t>
      </w:r>
      <w:r w:rsidRPr="00A45AD8">
        <w:t>informer et à communiquer de manière critique et réfléchie dans cet espace.</w:t>
      </w:r>
    </w:p>
    <w:p w14:paraId="2D4E1647"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2024 : le projet </w:t>
      </w:r>
      <w:r w:rsidRPr="00665346">
        <w:rPr>
          <w:i/>
          <w:iCs/>
        </w:rPr>
        <w:t>Social Influencer</w:t>
      </w:r>
      <w:r w:rsidRPr="00A45AD8">
        <w:rPr>
          <w:i/>
          <w:iCs/>
        </w:rPr>
        <w:t xml:space="preserve"> : </w:t>
      </w:r>
      <w:r w:rsidRPr="00665346">
        <w:rPr>
          <w:i/>
          <w:iCs/>
        </w:rPr>
        <w:t xml:space="preserve">in – mit </w:t>
      </w:r>
      <w:proofErr w:type="spellStart"/>
      <w:r w:rsidRPr="00665346">
        <w:rPr>
          <w:i/>
          <w:iCs/>
        </w:rPr>
        <w:t>wirksamer</w:t>
      </w:r>
      <w:proofErr w:type="spellEnd"/>
      <w:r w:rsidRPr="00665346">
        <w:rPr>
          <w:i/>
          <w:iCs/>
        </w:rPr>
        <w:t xml:space="preserve"> </w:t>
      </w:r>
      <w:proofErr w:type="spellStart"/>
      <w:r w:rsidRPr="00665346">
        <w:rPr>
          <w:i/>
          <w:iCs/>
        </w:rPr>
        <w:t>Gesprächsführung</w:t>
      </w:r>
      <w:proofErr w:type="spellEnd"/>
      <w:r w:rsidRPr="00665346">
        <w:rPr>
          <w:i/>
          <w:iCs/>
        </w:rPr>
        <w:t xml:space="preserve"> </w:t>
      </w:r>
      <w:proofErr w:type="spellStart"/>
      <w:r w:rsidRPr="00665346">
        <w:rPr>
          <w:i/>
          <w:iCs/>
        </w:rPr>
        <w:t>gegen</w:t>
      </w:r>
      <w:proofErr w:type="spellEnd"/>
      <w:r w:rsidRPr="00665346">
        <w:rPr>
          <w:i/>
          <w:iCs/>
        </w:rPr>
        <w:t xml:space="preserve"> </w:t>
      </w:r>
      <w:proofErr w:type="spellStart"/>
      <w:r w:rsidRPr="00665346">
        <w:rPr>
          <w:i/>
          <w:iCs/>
        </w:rPr>
        <w:t>Hass</w:t>
      </w:r>
      <w:proofErr w:type="spellEnd"/>
      <w:r w:rsidRPr="00665346">
        <w:rPr>
          <w:i/>
          <w:iCs/>
        </w:rPr>
        <w:t xml:space="preserve"> </w:t>
      </w:r>
      <w:proofErr w:type="spellStart"/>
      <w:r w:rsidRPr="00665346">
        <w:rPr>
          <w:i/>
          <w:iCs/>
        </w:rPr>
        <w:t>im</w:t>
      </w:r>
      <w:proofErr w:type="spellEnd"/>
      <w:r w:rsidRPr="00665346">
        <w:rPr>
          <w:i/>
          <w:iCs/>
        </w:rPr>
        <w:t xml:space="preserve"> </w:t>
      </w:r>
      <w:proofErr w:type="spellStart"/>
      <w:r w:rsidRPr="00665346">
        <w:rPr>
          <w:i/>
          <w:iCs/>
        </w:rPr>
        <w:t>Netz</w:t>
      </w:r>
      <w:proofErr w:type="spellEnd"/>
      <w:r w:rsidRPr="00A45AD8">
        <w:t xml:space="preserve"> vise à former les personnes qui gèrent la rubrique des commentaires d</w:t>
      </w:r>
      <w:r>
        <w:t>’</w:t>
      </w:r>
      <w:r w:rsidRPr="00A45AD8">
        <w:t>un journal en ligne, sur Instagram ou sur Facebook, à leur donner des méthodes, à leur fournir un soutien technique dans le but de désamorcer les situations délicates et à développer une extension de navigateur internet permettant de repérer les discours haineux et de les contrer.</w:t>
      </w:r>
    </w:p>
    <w:p w14:paraId="27B976C3"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2021 : le projet </w:t>
      </w:r>
      <w:proofErr w:type="spellStart"/>
      <w:r w:rsidRPr="00665346">
        <w:rPr>
          <w:i/>
          <w:iCs/>
        </w:rPr>
        <w:t>Verschiedene</w:t>
      </w:r>
      <w:proofErr w:type="spellEnd"/>
      <w:r w:rsidRPr="00665346">
        <w:rPr>
          <w:i/>
          <w:iCs/>
        </w:rPr>
        <w:t xml:space="preserve"> </w:t>
      </w:r>
      <w:proofErr w:type="spellStart"/>
      <w:r w:rsidRPr="00665346">
        <w:rPr>
          <w:i/>
          <w:iCs/>
        </w:rPr>
        <w:t>Veranstaltungsformate</w:t>
      </w:r>
      <w:proofErr w:type="spellEnd"/>
      <w:r w:rsidRPr="00665346">
        <w:rPr>
          <w:i/>
          <w:iCs/>
        </w:rPr>
        <w:t xml:space="preserve"> </w:t>
      </w:r>
      <w:proofErr w:type="spellStart"/>
      <w:r w:rsidRPr="00665346">
        <w:rPr>
          <w:i/>
          <w:iCs/>
        </w:rPr>
        <w:t>zum</w:t>
      </w:r>
      <w:proofErr w:type="spellEnd"/>
      <w:r w:rsidRPr="00665346">
        <w:rPr>
          <w:i/>
          <w:iCs/>
        </w:rPr>
        <w:t xml:space="preserve"> </w:t>
      </w:r>
      <w:proofErr w:type="spellStart"/>
      <w:r w:rsidRPr="00665346">
        <w:rPr>
          <w:i/>
          <w:iCs/>
        </w:rPr>
        <w:t>Zweck</w:t>
      </w:r>
      <w:proofErr w:type="spellEnd"/>
      <w:r w:rsidRPr="00665346">
        <w:rPr>
          <w:i/>
          <w:iCs/>
        </w:rPr>
        <w:t xml:space="preserve"> der </w:t>
      </w:r>
      <w:proofErr w:type="spellStart"/>
      <w:r w:rsidRPr="00665346">
        <w:rPr>
          <w:i/>
          <w:iCs/>
        </w:rPr>
        <w:t>Förderung</w:t>
      </w:r>
      <w:proofErr w:type="spellEnd"/>
      <w:r w:rsidRPr="00665346">
        <w:rPr>
          <w:i/>
          <w:iCs/>
        </w:rPr>
        <w:t xml:space="preserve"> von </w:t>
      </w:r>
      <w:proofErr w:type="spellStart"/>
      <w:r w:rsidRPr="00665346">
        <w:rPr>
          <w:i/>
          <w:iCs/>
        </w:rPr>
        <w:t>Anerkennung</w:t>
      </w:r>
      <w:proofErr w:type="spellEnd"/>
      <w:r w:rsidRPr="00665346">
        <w:rPr>
          <w:i/>
          <w:iCs/>
        </w:rPr>
        <w:t xml:space="preserve">, </w:t>
      </w:r>
      <w:proofErr w:type="spellStart"/>
      <w:r w:rsidRPr="00665346">
        <w:rPr>
          <w:i/>
          <w:iCs/>
        </w:rPr>
        <w:t>Respekt</w:t>
      </w:r>
      <w:proofErr w:type="spellEnd"/>
      <w:r w:rsidRPr="00665346">
        <w:rPr>
          <w:i/>
          <w:iCs/>
        </w:rPr>
        <w:t xml:space="preserve"> </w:t>
      </w:r>
      <w:proofErr w:type="spellStart"/>
      <w:r w:rsidRPr="00665346">
        <w:rPr>
          <w:i/>
          <w:iCs/>
        </w:rPr>
        <w:t>und</w:t>
      </w:r>
      <w:proofErr w:type="spellEnd"/>
      <w:r w:rsidRPr="00665346">
        <w:rPr>
          <w:i/>
          <w:iCs/>
        </w:rPr>
        <w:t xml:space="preserve"> </w:t>
      </w:r>
      <w:proofErr w:type="spellStart"/>
      <w:r w:rsidRPr="00665346">
        <w:rPr>
          <w:i/>
          <w:iCs/>
        </w:rPr>
        <w:t>Toleranz</w:t>
      </w:r>
      <w:proofErr w:type="spellEnd"/>
      <w:r w:rsidRPr="00665346">
        <w:rPr>
          <w:i/>
          <w:iCs/>
        </w:rPr>
        <w:t xml:space="preserve"> </w:t>
      </w:r>
      <w:proofErr w:type="spellStart"/>
      <w:r w:rsidRPr="00665346">
        <w:rPr>
          <w:i/>
          <w:iCs/>
        </w:rPr>
        <w:t>für</w:t>
      </w:r>
      <w:proofErr w:type="spellEnd"/>
      <w:r w:rsidRPr="00665346">
        <w:rPr>
          <w:i/>
          <w:iCs/>
        </w:rPr>
        <w:t xml:space="preserve"> </w:t>
      </w:r>
      <w:proofErr w:type="spellStart"/>
      <w:r w:rsidRPr="00665346">
        <w:rPr>
          <w:i/>
          <w:iCs/>
        </w:rPr>
        <w:t>das</w:t>
      </w:r>
      <w:proofErr w:type="spellEnd"/>
      <w:r w:rsidRPr="00665346">
        <w:rPr>
          <w:i/>
          <w:iCs/>
        </w:rPr>
        <w:t xml:space="preserve"> </w:t>
      </w:r>
      <w:proofErr w:type="spellStart"/>
      <w:r w:rsidRPr="00665346">
        <w:rPr>
          <w:i/>
          <w:iCs/>
        </w:rPr>
        <w:t>gelingende</w:t>
      </w:r>
      <w:proofErr w:type="spellEnd"/>
      <w:r w:rsidRPr="00665346">
        <w:rPr>
          <w:i/>
          <w:iCs/>
        </w:rPr>
        <w:t xml:space="preserve"> </w:t>
      </w:r>
      <w:proofErr w:type="spellStart"/>
      <w:r w:rsidRPr="00665346">
        <w:rPr>
          <w:i/>
          <w:iCs/>
        </w:rPr>
        <w:t>Miteinander</w:t>
      </w:r>
      <w:proofErr w:type="spellEnd"/>
      <w:r w:rsidRPr="00665346">
        <w:rPr>
          <w:i/>
          <w:iCs/>
        </w:rPr>
        <w:t xml:space="preserve"> in </w:t>
      </w:r>
      <w:proofErr w:type="spellStart"/>
      <w:r w:rsidRPr="00665346">
        <w:rPr>
          <w:i/>
          <w:iCs/>
        </w:rPr>
        <w:t>einer</w:t>
      </w:r>
      <w:proofErr w:type="spellEnd"/>
      <w:r w:rsidRPr="00665346">
        <w:rPr>
          <w:i/>
          <w:iCs/>
        </w:rPr>
        <w:t xml:space="preserve"> </w:t>
      </w:r>
      <w:proofErr w:type="spellStart"/>
      <w:r w:rsidRPr="00665346">
        <w:rPr>
          <w:i/>
          <w:iCs/>
        </w:rPr>
        <w:t>demokratischen</w:t>
      </w:r>
      <w:proofErr w:type="spellEnd"/>
      <w:r w:rsidRPr="00665346">
        <w:rPr>
          <w:i/>
          <w:iCs/>
        </w:rPr>
        <w:t xml:space="preserve"> Gesellschaft</w:t>
      </w:r>
      <w:r w:rsidRPr="00A45AD8">
        <w:t xml:space="preserve"> soutient la création de trois formats d</w:t>
      </w:r>
      <w:r>
        <w:t>’</w:t>
      </w:r>
      <w:r w:rsidRPr="00A45AD8">
        <w:t>événements destinés à favoriser la reconnaissance, le respect et la tolérance pour vivre ensemble en harmonie dans une société démocratique. Ces événements visent à fournir une information nuancée sur diverses thématiques en rapport avec la manière d</w:t>
      </w:r>
      <w:r>
        <w:t>’</w:t>
      </w:r>
      <w:r w:rsidRPr="00A45AD8">
        <w:t>aborder les minorités sociales et de nouer le contact.</w:t>
      </w:r>
    </w:p>
    <w:p w14:paraId="110DEFEF" w14:textId="77777777" w:rsidR="00A454AE" w:rsidRPr="00A45AD8" w:rsidRDefault="00A454AE" w:rsidP="00753414">
      <w:pPr>
        <w:pStyle w:val="SingleTxtG"/>
        <w:numPr>
          <w:ilvl w:val="0"/>
          <w:numId w:val="43"/>
        </w:numPr>
        <w:kinsoku/>
        <w:overflowPunct/>
        <w:autoSpaceDE/>
        <w:autoSpaceDN/>
        <w:adjustRightInd/>
        <w:snapToGrid/>
        <w:ind w:left="1134" w:firstLine="0"/>
      </w:pPr>
      <w:hyperlink r:id="rId52" w:history="1">
        <w:r w:rsidRPr="003F6399">
          <w:rPr>
            <w:rStyle w:val="Hyperlink"/>
            <w:i/>
            <w:iCs/>
          </w:rPr>
          <w:t xml:space="preserve">Jeunes et </w:t>
        </w:r>
        <w:proofErr w:type="spellStart"/>
        <w:r w:rsidRPr="003F6399">
          <w:rPr>
            <w:rStyle w:val="Hyperlink"/>
            <w:i/>
            <w:iCs/>
          </w:rPr>
          <w:t>médias</w:t>
        </w:r>
        <w:proofErr w:type="spellEnd"/>
      </w:hyperlink>
      <w:r w:rsidRPr="00A45AD8">
        <w:t xml:space="preserve">, la </w:t>
      </w:r>
      <w:proofErr w:type="spellStart"/>
      <w:r w:rsidRPr="00A45AD8">
        <w:t>plateforme</w:t>
      </w:r>
      <w:proofErr w:type="spellEnd"/>
      <w:r w:rsidRPr="00A45AD8">
        <w:t xml:space="preserve"> nationale de promotion des compétences médiatiques, s</w:t>
      </w:r>
      <w:r>
        <w:t>’</w:t>
      </w:r>
      <w:r w:rsidRPr="00A45AD8">
        <w:t xml:space="preserve">adresse non seulement aux enfants et aux parents, mais également </w:t>
      </w:r>
      <w:r>
        <w:t>au personnel enseignant</w:t>
      </w:r>
      <w:r w:rsidRPr="00A45AD8">
        <w:t xml:space="preserve"> et aux autres professionnels concernés. Mise en place par l</w:t>
      </w:r>
      <w:r>
        <w:t>’Office fédéral des assurances sociales (</w:t>
      </w:r>
      <w:r w:rsidRPr="00A45AD8">
        <w:t>OFAS</w:t>
      </w:r>
      <w:r>
        <w:t>)</w:t>
      </w:r>
      <w:r w:rsidRPr="00A45AD8">
        <w:t xml:space="preserve"> sur mandat du gouvernement suisse, elle vise à encourager une utilisation sûre et responsable des </w:t>
      </w:r>
      <w:proofErr w:type="spellStart"/>
      <w:r w:rsidRPr="00A45AD8">
        <w:t>médias</w:t>
      </w:r>
      <w:proofErr w:type="spellEnd"/>
      <w:r w:rsidRPr="00A45AD8">
        <w:t xml:space="preserve"> numériques par les enfants et les jeunes. Parmi ses thèmes principaux figurent la discrimination et la haine en ligne, ou encore l</w:t>
      </w:r>
      <w:r>
        <w:t>’</w:t>
      </w:r>
      <w:r w:rsidRPr="00A45AD8">
        <w:t xml:space="preserve">extrémisme et la radicalisation. Elle aborde également les actes punissables, parmi lesquels figure le discours de haine, ainsi que le racisme sous toutes ses formes. </w:t>
      </w:r>
    </w:p>
    <w:p w14:paraId="5EBA562D" w14:textId="43AC9124" w:rsidR="00A454AE" w:rsidRPr="00A45AD8" w:rsidRDefault="002644AA" w:rsidP="002644AA">
      <w:pPr>
        <w:pStyle w:val="H4G"/>
      </w:pPr>
      <w:r>
        <w:lastRenderedPageBreak/>
        <w:tab/>
      </w:r>
      <w:r>
        <w:tab/>
      </w:r>
      <w:r w:rsidR="00A454AE" w:rsidRPr="00A45AD8">
        <w:t>Mise en œuvre de la recommandation formulée au ch.</w:t>
      </w:r>
      <w:r w:rsidR="00A454AE">
        <w:t> </w:t>
      </w:r>
      <w:r w:rsidR="00A454AE" w:rsidRPr="00A45AD8">
        <w:t>16c des observations finales :</w:t>
      </w:r>
    </w:p>
    <w:p w14:paraId="2D88D896" w14:textId="77777777" w:rsidR="00A454AE" w:rsidRPr="001C3475" w:rsidRDefault="00A454AE" w:rsidP="00753414">
      <w:pPr>
        <w:pStyle w:val="SingleTxtG"/>
        <w:numPr>
          <w:ilvl w:val="0"/>
          <w:numId w:val="43"/>
        </w:numPr>
        <w:kinsoku/>
        <w:overflowPunct/>
        <w:autoSpaceDE/>
        <w:autoSpaceDN/>
        <w:adjustRightInd/>
        <w:snapToGrid/>
        <w:ind w:left="1134" w:firstLine="0"/>
      </w:pPr>
      <w:r w:rsidRPr="00A45AD8">
        <w:t>Le SLR a soutenu 16 Semaines d</w:t>
      </w:r>
      <w:r>
        <w:t>’</w:t>
      </w:r>
      <w:r w:rsidRPr="00A45AD8">
        <w:t>action contre le racisme en 2024, pour un montant total de 168 </w:t>
      </w:r>
      <w:proofErr w:type="gramStart"/>
      <w:r w:rsidRPr="00A45AD8">
        <w:t>600 </w:t>
      </w:r>
      <w:r>
        <w:t xml:space="preserve"> francs</w:t>
      </w:r>
      <w:proofErr w:type="gramEnd"/>
      <w:r w:rsidRPr="00A45AD8">
        <w:t>. Les projets réalisés dans le cadre de ces semaines doivent être coordonnés avec les délégués cantonaux ou communaux à l</w:t>
      </w:r>
      <w:r>
        <w:t>’</w:t>
      </w:r>
      <w:r w:rsidRPr="00A45AD8">
        <w:t>intégration. Ils s</w:t>
      </w:r>
      <w:r>
        <w:t>’</w:t>
      </w:r>
      <w:r w:rsidRPr="00A45AD8">
        <w:t>adressent toujours à un large public et abordent des thèmes variés, comme le racisme dans le cadre de la scolarité et de la formation, le racisme dans le sport, sur le marché de l</w:t>
      </w:r>
      <w:r>
        <w:t>’</w:t>
      </w:r>
      <w:r w:rsidRPr="00A45AD8">
        <w:t>emploi ou encore le racisme au sein des institutions</w:t>
      </w:r>
      <w:r w:rsidRPr="001C3475">
        <w:t>.</w:t>
      </w:r>
    </w:p>
    <w:p w14:paraId="75E9BCF8" w14:textId="77777777" w:rsidR="00A454AE" w:rsidRPr="001C3475" w:rsidRDefault="00A454AE" w:rsidP="00753414">
      <w:pPr>
        <w:pStyle w:val="SingleTxtG"/>
        <w:numPr>
          <w:ilvl w:val="0"/>
          <w:numId w:val="43"/>
        </w:numPr>
        <w:kinsoku/>
        <w:overflowPunct/>
        <w:autoSpaceDE/>
        <w:autoSpaceDN/>
        <w:adjustRightInd/>
        <w:snapToGrid/>
        <w:ind w:left="1134" w:firstLine="0"/>
      </w:pPr>
      <w:r w:rsidRPr="00A45AD8">
        <w:t>Le mandat de monitorage confié au SLR comprend l</w:t>
      </w:r>
      <w:r>
        <w:t>’</w:t>
      </w:r>
      <w:r w:rsidRPr="00A45AD8">
        <w:t xml:space="preserve">étude de formes spécifiques de racisme. En 2025, ce dernier a publié une </w:t>
      </w:r>
      <w:hyperlink r:id="rId53" w:history="1">
        <w:r w:rsidRPr="008E62FC">
          <w:rPr>
            <w:rStyle w:val="Hyperlink"/>
          </w:rPr>
          <w:t>synthèse</w:t>
        </w:r>
      </w:hyperlink>
      <w:r w:rsidRPr="00A45AD8">
        <w:t xml:space="preserve"> de l</w:t>
      </w:r>
      <w:r>
        <w:t>’</w:t>
      </w:r>
      <w:r w:rsidRPr="00A45AD8">
        <w:t xml:space="preserve">étude de référence </w:t>
      </w:r>
      <w:hyperlink r:id="rId54" w:history="1">
        <w:r w:rsidRPr="003F6399">
          <w:rPr>
            <w:rStyle w:val="Hyperlink"/>
            <w:i/>
          </w:rPr>
          <w:t>Racisme antimusulman en Suisse</w:t>
        </w:r>
      </w:hyperlink>
      <w:r w:rsidRPr="00A45AD8">
        <w:rPr>
          <w:i/>
        </w:rPr>
        <w:t xml:space="preserve"> </w:t>
      </w:r>
      <w:r w:rsidRPr="00A45AD8">
        <w:t>qu</w:t>
      </w:r>
      <w:r>
        <w:t>’</w:t>
      </w:r>
      <w:r w:rsidRPr="00A45AD8">
        <w:t xml:space="preserve">il avait commandée au Centre Suisse Islam et Société. Cette étude fournit une définition du racisme antimusulman, présente les dernières données chiffrées ainsi que le point de vue des personnes subissant ce racisme et pointe les aspects nécessitant des mesures. En publiant cette synthèse, qui présente les principaux résultats et recommandations de manière compacte, le </w:t>
      </w:r>
      <w:r w:rsidRPr="00A62010">
        <w:t xml:space="preserve">SLR </w:t>
      </w:r>
      <w:r w:rsidRPr="00A45AD8">
        <w:t>rend plus visibles et plus accessibles les conclusions du rapport. Cette publication complète d</w:t>
      </w:r>
      <w:r>
        <w:t>’</w:t>
      </w:r>
      <w:r w:rsidRPr="00A45AD8">
        <w:t xml:space="preserve">autres éléments du monitorage, dont </w:t>
      </w:r>
      <w:hyperlink r:id="rId55" w:history="1">
        <w:r w:rsidRPr="008E62FC">
          <w:rPr>
            <w:rStyle w:val="Hyperlink"/>
          </w:rPr>
          <w:t>le rapport sur les mesures de lutte contre le racisme et l’antisémitisme</w:t>
        </w:r>
      </w:hyperlink>
      <w:r>
        <w:t xml:space="preserve"> (2025), </w:t>
      </w:r>
      <w:hyperlink r:id="rId56" w:history="1">
        <w:r w:rsidRPr="008E62FC">
          <w:rPr>
            <w:rStyle w:val="Hyperlink"/>
          </w:rPr>
          <w:t>l’état des lieux sur le racisme structurel en Suisse</w:t>
        </w:r>
      </w:hyperlink>
      <w:r w:rsidRPr="00A45AD8">
        <w:t xml:space="preserve"> (2023), </w:t>
      </w:r>
      <w:hyperlink r:id="rId57" w:history="1">
        <w:r w:rsidRPr="008E62FC">
          <w:rPr>
            <w:rStyle w:val="Hyperlink"/>
          </w:rPr>
          <w:t>l’évaluation des mesures contre l’antisémitisme</w:t>
        </w:r>
      </w:hyperlink>
      <w:r w:rsidRPr="00A45AD8">
        <w:t xml:space="preserve"> (</w:t>
      </w:r>
      <w:r w:rsidRPr="00172340">
        <w:t>2021</w:t>
      </w:r>
      <w:r w:rsidRPr="00A45AD8">
        <w:t xml:space="preserve">), </w:t>
      </w:r>
      <w:hyperlink r:id="rId58" w:history="1">
        <w:r w:rsidRPr="008E62FC">
          <w:rPr>
            <w:rStyle w:val="Hyperlink"/>
          </w:rPr>
          <w:t xml:space="preserve">le rapport sur le mode de vie des </w:t>
        </w:r>
        <w:proofErr w:type="spellStart"/>
        <w:r w:rsidRPr="008E62FC">
          <w:rPr>
            <w:rStyle w:val="Hyperlink"/>
          </w:rPr>
          <w:t>Yéniches</w:t>
        </w:r>
        <w:proofErr w:type="spellEnd"/>
        <w:r w:rsidRPr="008E62FC">
          <w:rPr>
            <w:rStyle w:val="Hyperlink"/>
          </w:rPr>
          <w:t xml:space="preserve"> et des Manouches/</w:t>
        </w:r>
        <w:proofErr w:type="spellStart"/>
        <w:r w:rsidRPr="008E62FC">
          <w:rPr>
            <w:rStyle w:val="Hyperlink"/>
          </w:rPr>
          <w:t>Sintés</w:t>
        </w:r>
        <w:proofErr w:type="spellEnd"/>
      </w:hyperlink>
      <w:r w:rsidRPr="00172340">
        <w:t xml:space="preserve"> (2020) ainsi que</w:t>
      </w:r>
      <w:r w:rsidRPr="00A45AD8">
        <w:t xml:space="preserve"> </w:t>
      </w:r>
      <w:hyperlink r:id="rId59" w:history="1">
        <w:r w:rsidRPr="008E62FC">
          <w:rPr>
            <w:rStyle w:val="Hyperlink"/>
          </w:rPr>
          <w:t>l’état des lieux sur le racisme anti-Noirs en Suisse</w:t>
        </w:r>
      </w:hyperlink>
      <w:r w:rsidRPr="00A45AD8">
        <w:t xml:space="preserve"> (2017</w:t>
      </w:r>
      <w:r w:rsidRPr="001C3475">
        <w:t>).</w:t>
      </w:r>
    </w:p>
    <w:p w14:paraId="23036511" w14:textId="77777777" w:rsidR="00A454AE" w:rsidRPr="001C3475" w:rsidRDefault="00A454AE" w:rsidP="00753414">
      <w:pPr>
        <w:pStyle w:val="SingleTxtG"/>
        <w:numPr>
          <w:ilvl w:val="0"/>
          <w:numId w:val="43"/>
        </w:numPr>
        <w:kinsoku/>
        <w:overflowPunct/>
        <w:autoSpaceDE/>
        <w:autoSpaceDN/>
        <w:adjustRightInd/>
        <w:snapToGrid/>
        <w:ind w:left="1134" w:firstLine="0"/>
      </w:pPr>
      <w:r w:rsidRPr="00A45AD8">
        <w:t>L</w:t>
      </w:r>
      <w:r>
        <w:t>’</w:t>
      </w:r>
      <w:r w:rsidRPr="00A45AD8">
        <w:t>évaluation des mesures que Confédération, cantons et communes ont prises contre l</w:t>
      </w:r>
      <w:r>
        <w:t>’</w:t>
      </w:r>
      <w:r w:rsidRPr="00A45AD8">
        <w:t>antisémitisme, mentionnée ci-dessus, a été étendue à toutes les formes de racisme et mise à jour en 2025, dans le cadre de la mise en œuvre de la motion </w:t>
      </w:r>
      <w:hyperlink r:id="rId60" w:history="1">
        <w:r w:rsidRPr="008E62FC">
          <w:rPr>
            <w:rStyle w:val="Hyperlink"/>
          </w:rPr>
          <w:t>23.4335</w:t>
        </w:r>
      </w:hyperlink>
      <w:r w:rsidRPr="00A45AD8">
        <w:t xml:space="preserve"> « Pour une stratégie et un plan d</w:t>
      </w:r>
      <w:r>
        <w:t>’</w:t>
      </w:r>
      <w:r w:rsidRPr="00A45AD8">
        <w:t>action contre le racisme et l</w:t>
      </w:r>
      <w:r>
        <w:t>’</w:t>
      </w:r>
      <w:r w:rsidRPr="00A45AD8">
        <w:t>antisémitisme » de la Commission des institutions politiques du Conseil national</w:t>
      </w:r>
      <w:r w:rsidRPr="001C3475">
        <w:t>.</w:t>
      </w:r>
    </w:p>
    <w:p w14:paraId="5448F11A" w14:textId="25C5B2ED" w:rsidR="00A454AE" w:rsidRPr="00A45AD8" w:rsidRDefault="002644AA" w:rsidP="002644AA">
      <w:pPr>
        <w:pStyle w:val="H4G"/>
      </w:pPr>
      <w:r>
        <w:tab/>
      </w:r>
      <w:r>
        <w:tab/>
      </w:r>
      <w:r w:rsidR="00A454AE" w:rsidRPr="00A45AD8">
        <w:t>Mise en œuvre de la recommandation formulée au ch.</w:t>
      </w:r>
      <w:r w:rsidR="00A454AE">
        <w:t> </w:t>
      </w:r>
      <w:r w:rsidR="00A454AE" w:rsidRPr="00A45AD8">
        <w:t>16d des observations finales :</w:t>
      </w:r>
    </w:p>
    <w:p w14:paraId="0D564791" w14:textId="77777777" w:rsidR="00A454AE" w:rsidRDefault="00A454AE" w:rsidP="00753414">
      <w:pPr>
        <w:pStyle w:val="SingleTxtG"/>
        <w:numPr>
          <w:ilvl w:val="0"/>
          <w:numId w:val="43"/>
        </w:numPr>
        <w:kinsoku/>
        <w:overflowPunct/>
        <w:autoSpaceDE/>
        <w:autoSpaceDN/>
        <w:adjustRightInd/>
        <w:snapToGrid/>
        <w:ind w:left="1134" w:firstLine="0"/>
      </w:pPr>
      <w:r w:rsidRPr="00A45AD8">
        <w:t xml:space="preserve">La </w:t>
      </w:r>
      <w:hyperlink r:id="rId61" w:history="1">
        <w:r w:rsidRPr="00A45AD8">
          <w:t>Statistique policière de la criminalité</w:t>
        </w:r>
      </w:hyperlink>
      <w:r w:rsidRPr="00A45AD8">
        <w:t xml:space="preserve"> relève </w:t>
      </w:r>
      <w:r>
        <w:t xml:space="preserve">chaque année </w:t>
      </w:r>
      <w:r w:rsidRPr="00A45AD8">
        <w:t>les délits enregistrés par la police dans le domaine de la discrimination et de l</w:t>
      </w:r>
      <w:r>
        <w:t>’</w:t>
      </w:r>
      <w:r w:rsidRPr="00A45AD8">
        <w:t>appel à la haine tels que sanctionnés à l</w:t>
      </w:r>
      <w:r>
        <w:t>’</w:t>
      </w:r>
      <w:r w:rsidRPr="00A45AD8">
        <w:t>art</w:t>
      </w:r>
      <w:r>
        <w:t>. </w:t>
      </w:r>
      <w:r w:rsidRPr="00A45AD8">
        <w:t>261</w:t>
      </w:r>
      <w:r w:rsidRPr="00A45AD8">
        <w:rPr>
          <w:vertAlign w:val="superscript"/>
        </w:rPr>
        <w:t>bis</w:t>
      </w:r>
      <w:r w:rsidRPr="00A45AD8">
        <w:t xml:space="preserve"> CP. Depuis que le délit de discrimination a été étendu à l</w:t>
      </w:r>
      <w:r>
        <w:t>’</w:t>
      </w:r>
      <w:r w:rsidRPr="00A45AD8">
        <w:t>orientation sexuelle (di</w:t>
      </w:r>
      <w:r>
        <w:t>s</w:t>
      </w:r>
      <w:r w:rsidRPr="00A45AD8">
        <w:t>position en vigueur depuis le 1</w:t>
      </w:r>
      <w:r w:rsidRPr="00A45AD8">
        <w:rPr>
          <w:vertAlign w:val="superscript"/>
        </w:rPr>
        <w:t>er</w:t>
      </w:r>
      <w:r w:rsidRPr="00A45AD8">
        <w:t> juillet 2020), elle comprend deux catégories distinctes</w:t>
      </w:r>
      <w:r>
        <w:t xml:space="preserve"> : </w:t>
      </w:r>
      <w:r w:rsidRPr="0053042B">
        <w:t>« discrimination ou incitation à la haine en raison de l</w:t>
      </w:r>
      <w:r>
        <w:t>’</w:t>
      </w:r>
      <w:r w:rsidRPr="0053042B">
        <w:t>appartenance raciale, ethnique ou religieuse »</w:t>
      </w:r>
      <w:r>
        <w:t xml:space="preserve"> </w:t>
      </w:r>
      <w:r w:rsidRPr="0053042B">
        <w:t>et « discrimination ou incitation à la haine en raison de l</w:t>
      </w:r>
      <w:r>
        <w:t>’</w:t>
      </w:r>
      <w:r w:rsidRPr="0053042B">
        <w:t>orientation sexuelle ». Cette</w:t>
      </w:r>
      <w:r w:rsidRPr="00A45AD8">
        <w:t xml:space="preserve"> statistique fournit aussi des données sur les personnes prévenues et les personnes lésées, en fonction du sexe, de la classe d</w:t>
      </w:r>
      <w:r>
        <w:t>’</w:t>
      </w:r>
      <w:r w:rsidRPr="00A45AD8">
        <w:t>âge et du statut de séjour</w:t>
      </w:r>
      <w:r w:rsidRPr="0053042B">
        <w:t xml:space="preserve">. </w:t>
      </w:r>
      <w:r w:rsidRPr="00397BF1">
        <w:t xml:space="preserve">Il est précisé que la statistique policière de la criminalité recense les dénonciations et les enquêtes, mais n’inclut pas les jugements définitifs. Ces derniers sont documentés dans la statistique suisse des jugements ainsi que dans le </w:t>
      </w:r>
      <w:r w:rsidRPr="00397BF1">
        <w:rPr>
          <w:i/>
          <w:iCs/>
        </w:rPr>
        <w:t>Recueil de cas juridiques</w:t>
      </w:r>
      <w:r w:rsidRPr="00397BF1">
        <w:t xml:space="preserve"> de la CFR.</w:t>
      </w:r>
    </w:p>
    <w:p w14:paraId="42044657" w14:textId="77777777" w:rsidR="00A454AE" w:rsidRPr="00646327" w:rsidRDefault="00A454AE" w:rsidP="00753414">
      <w:pPr>
        <w:pStyle w:val="SingleTxtG"/>
        <w:numPr>
          <w:ilvl w:val="0"/>
          <w:numId w:val="43"/>
        </w:numPr>
        <w:kinsoku/>
        <w:overflowPunct/>
        <w:autoSpaceDE/>
        <w:autoSpaceDN/>
        <w:adjustRightInd/>
        <w:snapToGrid/>
        <w:ind w:left="1134" w:firstLine="0"/>
      </w:pPr>
      <w:r w:rsidRPr="00A45AD8">
        <w:t>Dans le cadre de la mise en œuvre du postulat Binder</w:t>
      </w:r>
      <w:r>
        <w:t>-Keller</w:t>
      </w:r>
      <w:r w:rsidRPr="00A45AD8">
        <w:t> </w:t>
      </w:r>
      <w:hyperlink r:id="rId62" w:history="1">
        <w:r w:rsidRPr="005E4BD5">
          <w:rPr>
            <w:rStyle w:val="Hyperlink"/>
          </w:rPr>
          <w:t>21.4137</w:t>
        </w:r>
      </w:hyperlink>
      <w:r w:rsidRPr="00A45AD8">
        <w:t xml:space="preserve"> « Actes de nature raciste et antisémite en lien avec la pandémie de COVID-19 » (cf. ch. </w:t>
      </w:r>
      <w:r>
        <w:t>30, 69 s., 98 et 108</w:t>
      </w:r>
      <w:r w:rsidRPr="00A45AD8">
        <w:t xml:space="preserve">), le SLR a chargé Interface </w:t>
      </w:r>
      <w:proofErr w:type="spellStart"/>
      <w:r w:rsidRPr="00A45AD8">
        <w:t>Politikstudien</w:t>
      </w:r>
      <w:proofErr w:type="spellEnd"/>
      <w:r w:rsidRPr="00A45AD8">
        <w:t xml:space="preserve"> </w:t>
      </w:r>
      <w:proofErr w:type="spellStart"/>
      <w:r w:rsidRPr="00A45AD8">
        <w:t>Forschung</w:t>
      </w:r>
      <w:proofErr w:type="spellEnd"/>
      <w:r w:rsidRPr="00A45AD8">
        <w:t xml:space="preserve"> </w:t>
      </w:r>
      <w:proofErr w:type="spellStart"/>
      <w:r w:rsidRPr="00A45AD8">
        <w:t>Beratung</w:t>
      </w:r>
      <w:proofErr w:type="spellEnd"/>
      <w:r w:rsidRPr="00A45AD8">
        <w:t xml:space="preserve"> AG d</w:t>
      </w:r>
      <w:r>
        <w:t>’</w:t>
      </w:r>
      <w:r w:rsidRPr="00A45AD8">
        <w:t xml:space="preserve">élaborer un </w:t>
      </w:r>
      <w:hyperlink r:id="rId63" w:history="1">
        <w:r w:rsidRPr="003E7C0B">
          <w:rPr>
            <w:rStyle w:val="Hyperlink"/>
          </w:rPr>
          <w:t>rapport de référence</w:t>
        </w:r>
      </w:hyperlink>
      <w:r w:rsidRPr="00A45AD8">
        <w:t xml:space="preserve">. Interface a mené une enquête auprès des polices cantonales et analysé la manière dont les services de police recensent les cas de crimes de haine et de profilage racial. Il en ressort que le profilage racial et les crimes de haine échappent souvent à toute statistique en Suisse : </w:t>
      </w:r>
      <w:r>
        <w:t>près de</w:t>
      </w:r>
      <w:r w:rsidRPr="00A45AD8">
        <w:t xml:space="preserve"> la moitié des services de police ne recense pas les crimes de haine ne relevant pas de la norme pénale contre la discrimination. Il en va de même des plaintes pour profilage racial, elles aussi enregistrées par la moitié des </w:t>
      </w:r>
      <w:r>
        <w:t>services</w:t>
      </w:r>
      <w:r w:rsidRPr="00A45AD8">
        <w:t xml:space="preserve"> de police seulement. Dans </w:t>
      </w:r>
      <w:hyperlink r:id="rId64" w:history="1">
        <w:r w:rsidRPr="00BF4D01">
          <w:rPr>
            <w:rStyle w:val="Hyperlink"/>
          </w:rPr>
          <w:t>son rapport du 27 août 2025 en réponse au postulat</w:t>
        </w:r>
      </w:hyperlink>
      <w:r w:rsidRPr="00A45AD8">
        <w:t xml:space="preserve">, le Conseil fédéral recommande à la Conférence des commandantes et commandants des polices cantonales de </w:t>
      </w:r>
      <w:r w:rsidRPr="00523B65">
        <w:t>Suisse (CCPCS)</w:t>
      </w:r>
      <w:r w:rsidRPr="00A45AD8">
        <w:t xml:space="preserve"> d</w:t>
      </w:r>
      <w:r>
        <w:t>’</w:t>
      </w:r>
      <w:r w:rsidRPr="00A45AD8">
        <w:t>appliquer des mesures concrètes dans le cadre de la stratégie contre le racisme et l</w:t>
      </w:r>
      <w:r>
        <w:t>’</w:t>
      </w:r>
      <w:r w:rsidRPr="00A45AD8">
        <w:t>antisémitisme, afin de combler ces lacunes dans le recensement des cas</w:t>
      </w:r>
      <w:r w:rsidRPr="00646327">
        <w:rPr>
          <w:lang w:eastAsia="de-CH"/>
        </w:rPr>
        <w:t>.</w:t>
      </w:r>
    </w:p>
    <w:bookmarkEnd w:id="68"/>
    <w:p w14:paraId="390B4814" w14:textId="15E60A3E" w:rsidR="00A454AE" w:rsidRPr="0032354C" w:rsidRDefault="00A454AE" w:rsidP="002644AA">
      <w:pPr>
        <w:pStyle w:val="H23G"/>
      </w:pPr>
      <w:r w:rsidRPr="00646327">
        <w:tab/>
      </w:r>
      <w:bookmarkStart w:id="70" w:name="_Hlk200629363"/>
      <w:r w:rsidR="002644AA">
        <w:tab/>
      </w:r>
      <w:r w:rsidR="002644AA">
        <w:tab/>
      </w:r>
      <w:r w:rsidRPr="0032354C">
        <w:t>Violence policière à caractère raciste</w:t>
      </w:r>
    </w:p>
    <w:p w14:paraId="00D90441" w14:textId="1ACF2144" w:rsidR="00A454AE" w:rsidRPr="00A45AD8" w:rsidRDefault="002644AA" w:rsidP="002644AA">
      <w:pPr>
        <w:pStyle w:val="H4G"/>
      </w:pPr>
      <w:r>
        <w:tab/>
      </w:r>
      <w:r>
        <w:tab/>
      </w:r>
      <w:r w:rsidR="00A454AE" w:rsidRPr="00A45AD8">
        <w:t>Mise en œuvre de la recommandation formulée au ch. 18 des observations finales :</w:t>
      </w:r>
    </w:p>
    <w:p w14:paraId="2084F50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Il n</w:t>
      </w:r>
      <w:r>
        <w:t>’</w:t>
      </w:r>
      <w:r w:rsidRPr="00A45AD8">
        <w:t xml:space="preserve">existe pas, en Suisse, de </w:t>
      </w:r>
      <w:r>
        <w:t>réglementation</w:t>
      </w:r>
      <w:r w:rsidRPr="00A45AD8">
        <w:t xml:space="preserve"> uniforme en matière de mécanismes indépendants chargés de recevoir les plaintes pour discrimination raciale présumée de la part </w:t>
      </w:r>
      <w:r w:rsidRPr="00A45AD8">
        <w:lastRenderedPageBreak/>
        <w:t>de la police. Les structures existantes varient d</w:t>
      </w:r>
      <w:r>
        <w:t>’</w:t>
      </w:r>
      <w:r w:rsidRPr="00A45AD8">
        <w:t>un canton à l</w:t>
      </w:r>
      <w:r>
        <w:t>’</w:t>
      </w:r>
      <w:r w:rsidRPr="00A45AD8">
        <w:t xml:space="preserve">autre </w:t>
      </w:r>
      <w:r>
        <w:t>en termes de</w:t>
      </w:r>
      <w:r w:rsidRPr="00A45AD8">
        <w:t xml:space="preserve"> compétences, de ressources et de spécialisation. </w:t>
      </w:r>
      <w:r>
        <w:t>Dans de nombreux cas, l</w:t>
      </w:r>
      <w:r w:rsidRPr="00A45AD8">
        <w:t>es plaintes sont traitées dans le cadre de procédures générales au sein de la police ou de procédures pénales ordinaires, sans forcément qu</w:t>
      </w:r>
      <w:r>
        <w:t>’</w:t>
      </w:r>
      <w:r w:rsidRPr="00A45AD8">
        <w:t>une attention particulière soit accordée à la composante de discrimination raciale. Plusieurs cantons et villes ont toutefois mis en place un bureau de médiation indépendant chargé de recevoir les plaintes de tout type</w:t>
      </w:r>
      <w:r w:rsidRPr="00A45AD8">
        <w:rPr>
          <w:lang w:eastAsia="de-CH"/>
        </w:rPr>
        <w:t>.</w:t>
      </w:r>
    </w:p>
    <w:p w14:paraId="27B9B97C" w14:textId="77777777" w:rsidR="00A454AE" w:rsidRPr="00956E39" w:rsidRDefault="00A454AE" w:rsidP="00753414">
      <w:pPr>
        <w:pStyle w:val="SingleTxtG"/>
        <w:numPr>
          <w:ilvl w:val="0"/>
          <w:numId w:val="43"/>
        </w:numPr>
        <w:kinsoku/>
        <w:overflowPunct/>
        <w:autoSpaceDE/>
        <w:autoSpaceDN/>
        <w:adjustRightInd/>
        <w:snapToGrid/>
        <w:ind w:left="1134" w:firstLine="0"/>
      </w:pPr>
      <w:r w:rsidRPr="00A45AD8">
        <w:t xml:space="preserve">Tous les cantons disposent de centres indépendants, qui conseillent les victimes et témoins de discrimination raciale </w:t>
      </w:r>
      <w:r>
        <w:t>–</w:t>
      </w:r>
      <w:r w:rsidRPr="00A45AD8">
        <w:t xml:space="preserve"> </w:t>
      </w:r>
      <w:r>
        <w:t>y compris de celle exercée par</w:t>
      </w:r>
      <w:r w:rsidRPr="00A45AD8">
        <w:t xml:space="preserve"> la police </w:t>
      </w:r>
      <w:r>
        <w:t>–</w:t>
      </w:r>
      <w:r w:rsidRPr="00A45AD8">
        <w:t xml:space="preserve"> et font partie du </w:t>
      </w:r>
      <w:r>
        <w:t>R</w:t>
      </w:r>
      <w:r w:rsidRPr="00A45AD8">
        <w:t>éseau national de centres de conseil pour les victimes du racisme. Quelques cantons ont de plus pris des mesures ad hoc ces dernières années pour consolider des structures indépendantes</w:t>
      </w:r>
      <w:r w:rsidRPr="00956E39">
        <w:t>.</w:t>
      </w:r>
    </w:p>
    <w:p w14:paraId="1B0D8D26" w14:textId="77777777" w:rsidR="00A454AE" w:rsidRPr="002644AA" w:rsidRDefault="00A454AE" w:rsidP="002644AA">
      <w:pPr>
        <w:pStyle w:val="Bullet1G"/>
      </w:pPr>
      <w:r w:rsidRPr="002644AA">
        <w:t xml:space="preserve">Dans le canton de Zurich, le bureau cantonal de l’ombudsman traite ponctuellement des cas de « profilage racial ». De plus, le Ministère public du canton de Zurich, qui s’efforce de rendre le plus accessible possible le dépôt de plaintes pour violence policière ou profilage racial, garantit un traitement indépendant des plaintes grâce à une séparation organisationnelle. En Ville de Zurich, un service de médiation intervient de manière proactive en cas de violence policière ou de profilage racial. La Ville de </w:t>
      </w:r>
      <w:proofErr w:type="spellStart"/>
      <w:r w:rsidRPr="002644AA">
        <w:t>Winterthour</w:t>
      </w:r>
      <w:proofErr w:type="spellEnd"/>
      <w:r w:rsidRPr="002644AA">
        <w:t xml:space="preserve"> s’est pour sa part dotée d’un guichet d’information facilement accessible qui s’adresse notamment aux personnes touchées par le racisme. </w:t>
      </w:r>
    </w:p>
    <w:p w14:paraId="71ECA462" w14:textId="77777777" w:rsidR="00A454AE" w:rsidRPr="002644AA" w:rsidRDefault="00A454AE" w:rsidP="002644AA">
      <w:pPr>
        <w:pStyle w:val="Bullet1G"/>
      </w:pPr>
      <w:r w:rsidRPr="002644AA">
        <w:t>Dans le canton de Berne, la surveillance de la police est confiée au Ministère public, à la Direction de la sécurité et au Grand Conseil. Le canton s’est aussi doté du service Créer le lien en 2021, en collaboration avec des centres fédéraux pour requérants d’asile, et en a augmenté le personnel en 2023 déjà. Dans la ville de Berne, il est possible de déposer des plaintes auprès de son bureau de médiation depuis plus d’un an.</w:t>
      </w:r>
    </w:p>
    <w:p w14:paraId="1E6B474A" w14:textId="77777777" w:rsidR="00A454AE" w:rsidRPr="002644AA" w:rsidRDefault="00A454AE" w:rsidP="002644AA">
      <w:pPr>
        <w:pStyle w:val="Bullet1G"/>
      </w:pPr>
      <w:r w:rsidRPr="002644AA">
        <w:t xml:space="preserve">Le canton de Bâle-Campagne dispose d’un service de médiation qui intervient en cas de conflits ou de discrimination impliquant des particuliers et les autorités. </w:t>
      </w:r>
    </w:p>
    <w:p w14:paraId="149AB189" w14:textId="77777777" w:rsidR="00A454AE" w:rsidRPr="00A45AD8" w:rsidRDefault="00A454AE" w:rsidP="002644AA">
      <w:pPr>
        <w:pStyle w:val="Bullet1G"/>
      </w:pPr>
      <w:r w:rsidRPr="002644AA">
        <w:t>Dans le canton de Genève l’Inspection générale des services (IGS) examine les plaintes de manière indépendante et rend compte directement au Ministère public. De plus, le canton dispose de l’organe de Médiation indépendante entre la population et la police (MIPP), qui peut être saisi par toute personne estimant avoir été lésée du fait du travail de la police cantonale ou des polices municipales, ainsi que par des membres de la police elle-même. Selon le MIPP, en 2023, 25 personnes ont exprimé le sentiment d’avoir été discriminées par un membre de la police, dont 9 à cause de leur origine, soit environ 11% de la totalité des prises de contact. La méthodologie particulière du MIPP, qui effectue notamment une distinction entre la perception de la victime et l’intention de l’auteur, met en évidence l’importance du concept de subjectivité dans l’analyse des discriminations. Selon les autorités cantonales concernées par les violences policières à caractère raciste, aucun mauvais traitement, aucune insulte ou injure à caractère raciste de la part des agents de la force publique ne sont tolérés et les éventuels abus sont systématiquement dénoncés. De tels cas font l’objet d’une enquête et, si les faits sont avérés, d’une sanction disciplinaire, voire d’une procédure pénale.</w:t>
      </w:r>
      <w:r w:rsidRPr="00A45AD8">
        <w:rPr>
          <w:lang w:eastAsia="de-CH"/>
        </w:rPr>
        <w:t xml:space="preserve"> </w:t>
      </w:r>
    </w:p>
    <w:p w14:paraId="0D998B78" w14:textId="77777777" w:rsidR="00A454AE" w:rsidRPr="007D6C4F" w:rsidRDefault="00A454AE" w:rsidP="00753414">
      <w:pPr>
        <w:pStyle w:val="SingleTxtG"/>
        <w:numPr>
          <w:ilvl w:val="0"/>
          <w:numId w:val="43"/>
        </w:numPr>
        <w:kinsoku/>
        <w:overflowPunct/>
        <w:autoSpaceDE/>
        <w:autoSpaceDN/>
        <w:adjustRightInd/>
        <w:snapToGrid/>
        <w:ind w:left="1134" w:firstLine="0"/>
      </w:pPr>
      <w:r w:rsidRPr="007D6C4F">
        <w:t xml:space="preserve">Entre 2016 et 2025, plusieurs personnes noires ou racisées sont décédées en Suisse à la suite d’interventions policières. Parmi elles figurent Hervé </w:t>
      </w:r>
      <w:proofErr w:type="spellStart"/>
      <w:r w:rsidRPr="007D6C4F">
        <w:t>Mandundu</w:t>
      </w:r>
      <w:proofErr w:type="spellEnd"/>
      <w:r w:rsidRPr="007D6C4F">
        <w:t xml:space="preserve"> (Bex, 2016), Lamine </w:t>
      </w:r>
      <w:proofErr w:type="spellStart"/>
      <w:r w:rsidRPr="007D6C4F">
        <w:t>Fatty</w:t>
      </w:r>
      <w:proofErr w:type="spellEnd"/>
      <w:r w:rsidRPr="007D6C4F">
        <w:t xml:space="preserve"> (Lausanne, 2017), Mike Ben Peter (Lausanne, 2018), Roger </w:t>
      </w:r>
      <w:proofErr w:type="spellStart"/>
      <w:r w:rsidRPr="007D6C4F">
        <w:t>Nzoy</w:t>
      </w:r>
      <w:proofErr w:type="spellEnd"/>
      <w:r w:rsidRPr="007D6C4F">
        <w:t xml:space="preserve"> Wilhelm (Morges, 2021) et Michael </w:t>
      </w:r>
      <w:proofErr w:type="spellStart"/>
      <w:r w:rsidRPr="007D6C4F">
        <w:t>Kenechukwu</w:t>
      </w:r>
      <w:proofErr w:type="spellEnd"/>
      <w:r w:rsidRPr="007D6C4F">
        <w:t xml:space="preserve"> </w:t>
      </w:r>
      <w:proofErr w:type="spellStart"/>
      <w:r w:rsidRPr="007D6C4F">
        <w:t>Ekemezie</w:t>
      </w:r>
      <w:proofErr w:type="spellEnd"/>
      <w:r w:rsidRPr="007D6C4F">
        <w:t xml:space="preserve"> (Lausanne, 2025). Conformément au fédéralisme suisse, les poursuites pénales relèvent de la compétence des cantons ; les autorités fédérales n’interviennent pas dans les procédures en cours et respectent le principe de la présomption d’innocence.</w:t>
      </w:r>
    </w:p>
    <w:p w14:paraId="568844FF" w14:textId="77777777" w:rsidR="00A454AE" w:rsidRDefault="00A454AE" w:rsidP="00753414">
      <w:pPr>
        <w:pStyle w:val="SingleTxtG"/>
        <w:numPr>
          <w:ilvl w:val="0"/>
          <w:numId w:val="43"/>
        </w:numPr>
        <w:kinsoku/>
        <w:overflowPunct/>
        <w:autoSpaceDE/>
        <w:autoSpaceDN/>
        <w:adjustRightInd/>
        <w:snapToGrid/>
        <w:ind w:left="1134" w:firstLine="0"/>
      </w:pPr>
      <w:r w:rsidRPr="007D6C4F">
        <w:t>En 202</w:t>
      </w:r>
      <w:r>
        <w:t>3</w:t>
      </w:r>
      <w:r w:rsidRPr="007D6C4F">
        <w:t>, des contenus racistes publiés par des agents de police dans des groupes de discussion privés ont été révélés à Lausanne. La Ville, accompagnée par un cabinet d’avocats indépendant, a réagi en suspendant des agents, en mettant en place une cellule interne spécialisée et en annonçant des réformes structurelles. D’autres corps de police, notamment la police cantonale bernoise, ont souligné l’importance de transmettre des compétences interculturelles dans la formation des policiers et ont annoncé des contrôles internes.</w:t>
      </w:r>
    </w:p>
    <w:p w14:paraId="44CBD2A3" w14:textId="77777777" w:rsidR="00A454AE" w:rsidRPr="007D7416" w:rsidRDefault="00A454AE" w:rsidP="00753414">
      <w:pPr>
        <w:pStyle w:val="SingleTxtG"/>
        <w:numPr>
          <w:ilvl w:val="0"/>
          <w:numId w:val="43"/>
        </w:numPr>
        <w:kinsoku/>
        <w:overflowPunct/>
        <w:autoSpaceDE/>
        <w:autoSpaceDN/>
        <w:adjustRightInd/>
        <w:snapToGrid/>
        <w:ind w:left="1134" w:firstLine="0"/>
      </w:pPr>
      <w:r w:rsidRPr="007D7416">
        <w:lastRenderedPageBreak/>
        <w:t xml:space="preserve">Dans son </w:t>
      </w:r>
      <w:hyperlink r:id="rId65" w:history="1">
        <w:r w:rsidRPr="003E7C0B">
          <w:rPr>
            <w:rStyle w:val="Hyperlink"/>
          </w:rPr>
          <w:t>communiqué du 18/19 septembre 2025</w:t>
        </w:r>
      </w:hyperlink>
      <w:r w:rsidRPr="007D7416">
        <w:t xml:space="preserve">, le comité de la Conférence des directrices et directeurs cantonaux des départements de justice et police (CCDJP) a réaffirmé que les comportements discriminatoires et le racisme n’ont pas leur place dans le travail </w:t>
      </w:r>
      <w:r>
        <w:t>de la police</w:t>
      </w:r>
      <w:r w:rsidRPr="007D7416">
        <w:t xml:space="preserve"> et doivent être sanctionnés de manière conséquente. Dès le début de l’année 2025, la CCDJP a examiné diverses mesures visant à lutter contre les comportements racistes et autres formes de discrimination au sein des corps de police. En étroite concertation avec la Conférence des commandantes et commandants de police cantonaux (CCPCS), des mesures ciblées ont été arrêtées. Celles-ci visent à renforcer la sensibilisation à cette thématique et à encourager la réflexion au sein des corps de police. En outre, les modèles cantonaux éprouvés et les bonnes pratiques doivent être recensés de manière systématique afin de soutenir une gestion professionnelle des accusations de discrimination et de renforcer le travail quotidien de la police. </w:t>
      </w:r>
    </w:p>
    <w:p w14:paraId="5A5C958C" w14:textId="77777777" w:rsidR="00A454AE" w:rsidRPr="007D6C4F" w:rsidRDefault="00A454AE" w:rsidP="00753414">
      <w:pPr>
        <w:pStyle w:val="SingleTxtG"/>
        <w:numPr>
          <w:ilvl w:val="0"/>
          <w:numId w:val="43"/>
        </w:numPr>
        <w:kinsoku/>
        <w:overflowPunct/>
        <w:autoSpaceDE/>
        <w:autoSpaceDN/>
        <w:adjustRightInd/>
        <w:snapToGrid/>
        <w:ind w:left="1134" w:firstLine="0"/>
      </w:pPr>
      <w:r w:rsidRPr="007D6C4F">
        <w:t xml:space="preserve">Dans sa </w:t>
      </w:r>
      <w:hyperlink r:id="rId66" w:history="1">
        <w:r w:rsidRPr="00B45C5A">
          <w:rPr>
            <w:rStyle w:val="Hyperlink"/>
          </w:rPr>
          <w:t>prise de position</w:t>
        </w:r>
      </w:hyperlink>
      <w:r>
        <w:t xml:space="preserve"> du 5 septembre 2025</w:t>
      </w:r>
      <w:r w:rsidRPr="007D6C4F">
        <w:t>, la CFR appelle à l’instauration de bases légales contre le profilage racial, à une définition claire du racisme dans le droit national, ainsi qu’à la mise en place de mécanismes d’enquête indépendants en cas de soupçon de violence policière.</w:t>
      </w:r>
    </w:p>
    <w:p w14:paraId="2CE21000" w14:textId="77777777" w:rsidR="00A454AE" w:rsidRPr="00956E39" w:rsidRDefault="00A454AE" w:rsidP="00753414">
      <w:pPr>
        <w:pStyle w:val="SingleTxtG"/>
        <w:numPr>
          <w:ilvl w:val="0"/>
          <w:numId w:val="43"/>
        </w:numPr>
        <w:kinsoku/>
        <w:overflowPunct/>
        <w:autoSpaceDE/>
        <w:autoSpaceDN/>
        <w:adjustRightInd/>
        <w:snapToGrid/>
        <w:ind w:left="1134" w:firstLine="0"/>
      </w:pPr>
      <w:r w:rsidRPr="00956E39">
        <w:t>Comme mentionné ci-dessus (cf. ch. </w:t>
      </w:r>
      <w:r>
        <w:t>82</w:t>
      </w:r>
      <w:r w:rsidRPr="00956E39">
        <w:t>), le Conseil fédéral recommande à la CCPCS d</w:t>
      </w:r>
      <w:r>
        <w:t>’</w:t>
      </w:r>
      <w:r w:rsidRPr="00956E39">
        <w:t>appliquer des mesures concrètes dans le cadre de la stratégie nationale contre le racisme et l</w:t>
      </w:r>
      <w:r>
        <w:t>’</w:t>
      </w:r>
      <w:r w:rsidRPr="00956E39">
        <w:t>antisémitisme, afin que les données sur ces phénomènes reflètent davantage la réalité. Pour ce faire, il est nécessaire de renforcer les mécanismes de plainte dans les cantons et de les rendre plus accessibles aux personnes concernées.</w:t>
      </w:r>
    </w:p>
    <w:p w14:paraId="778C984E" w14:textId="77777777" w:rsidR="00A454AE" w:rsidRPr="00CE2BF4" w:rsidRDefault="00A454AE" w:rsidP="00753414">
      <w:pPr>
        <w:pStyle w:val="SingleTxtG"/>
        <w:numPr>
          <w:ilvl w:val="0"/>
          <w:numId w:val="43"/>
        </w:numPr>
        <w:kinsoku/>
        <w:overflowPunct/>
        <w:autoSpaceDE/>
        <w:autoSpaceDN/>
        <w:adjustRightInd/>
        <w:snapToGrid/>
        <w:ind w:left="1134" w:firstLine="0"/>
      </w:pPr>
      <w:r w:rsidRPr="0098603F">
        <w:t xml:space="preserve">Ces dernières années, plusieurs cantons ont pris des mesures visant à améliorer l’accès à la justice pour les victimes de discrimination raciale. Font partie de ces mesures, outre les offres de conseil et les services de médiation déjà mentionnés, les adaptations légales réalisées à Genève pour réduire les coûts de procédure et renforcer le soutien juridique, ainsi que les réflexions en cours à Zurich sur la simplification des procédures de signalement. Des cantons comme Berne ou Zurich misent également sur des stratégies ciblées d’information et de sensibilisation. Le canton de Neuchâtel a, pour sa part, transmis en 2022 au Grand Conseil un </w:t>
      </w:r>
      <w:hyperlink r:id="rId67" w:history="1">
        <w:r w:rsidRPr="00B45C5A">
          <w:rPr>
            <w:rStyle w:val="Hyperlink"/>
          </w:rPr>
          <w:t>rapport</w:t>
        </w:r>
      </w:hyperlink>
      <w:r w:rsidRPr="0098603F">
        <w:t xml:space="preserve"> contenant un état des lieux détaillé sur les violences policières et les pratiques discriminatoires. Ce rapport recommande notamment la création d’un centre de soutien pour les personnes souhaitant déposer une plainte contre les autorités.</w:t>
      </w:r>
    </w:p>
    <w:p w14:paraId="67BBCD0A" w14:textId="77777777" w:rsidR="00A454AE" w:rsidRPr="00CE2BF4" w:rsidRDefault="00A454AE" w:rsidP="00753414">
      <w:pPr>
        <w:pStyle w:val="SingleTxtG"/>
        <w:numPr>
          <w:ilvl w:val="0"/>
          <w:numId w:val="43"/>
        </w:numPr>
        <w:kinsoku/>
        <w:overflowPunct/>
        <w:autoSpaceDE/>
        <w:autoSpaceDN/>
        <w:adjustRightInd/>
        <w:snapToGrid/>
        <w:ind w:left="1134" w:firstLine="0"/>
      </w:pPr>
      <w:r w:rsidRPr="00A45AD8">
        <w:t xml:space="preserve">Quiconque </w:t>
      </w:r>
      <w:r>
        <w:t>–</w:t>
      </w:r>
      <w:r w:rsidRPr="00A45AD8">
        <w:t xml:space="preserve"> que ce soit la personne lésée, un tiers (qui représente les intérêts de la personne lésée) ou une organisation </w:t>
      </w:r>
      <w:r>
        <w:t>–</w:t>
      </w:r>
      <w:r w:rsidRPr="00A45AD8">
        <w:t xml:space="preserve"> estime que le personnel de l</w:t>
      </w:r>
      <w:r>
        <w:t>’</w:t>
      </w:r>
      <w:r w:rsidRPr="00A45AD8">
        <w:t>Office fédéral de la douane et de la sécurité des frontières (OFDF) a violé l</w:t>
      </w:r>
      <w:r>
        <w:t>’</w:t>
      </w:r>
      <w:r w:rsidRPr="00A45AD8">
        <w:t xml:space="preserve">interdiction de discriminer peut </w:t>
      </w:r>
      <w:r>
        <w:t>déposer une réclamation</w:t>
      </w:r>
      <w:r w:rsidRPr="00A45AD8">
        <w:t xml:space="preserve"> directement à cet office. Ces </w:t>
      </w:r>
      <w:r>
        <w:t xml:space="preserve">réclamations </w:t>
      </w:r>
      <w:r w:rsidRPr="00A45AD8">
        <w:t>peuvent être faits de manière anonyme, dans l</w:t>
      </w:r>
      <w:r>
        <w:t>’</w:t>
      </w:r>
      <w:r w:rsidRPr="00A45AD8">
        <w:t>une des quatre langues nationales ou en anglais. L</w:t>
      </w:r>
      <w:r>
        <w:t>’</w:t>
      </w:r>
      <w:r w:rsidRPr="00A45AD8">
        <w:t xml:space="preserve">OFDF les examine systématiquement, y répond et les enregistre dans une liste nationale. En cas de </w:t>
      </w:r>
      <w:r>
        <w:t xml:space="preserve">réclamation </w:t>
      </w:r>
      <w:r w:rsidRPr="00A45AD8">
        <w:t>comprenant des accusations de racisme, un rapport est demandé au supérieur hiérarchique</w:t>
      </w:r>
      <w:r w:rsidRPr="00CE2BF4">
        <w:t>.</w:t>
      </w:r>
    </w:p>
    <w:p w14:paraId="2AB5D745" w14:textId="77777777" w:rsidR="00A454AE" w:rsidRPr="0032354C" w:rsidRDefault="00A454AE" w:rsidP="00753414">
      <w:pPr>
        <w:pStyle w:val="SingleTxtG"/>
        <w:numPr>
          <w:ilvl w:val="0"/>
          <w:numId w:val="43"/>
        </w:numPr>
        <w:kinsoku/>
        <w:overflowPunct/>
        <w:autoSpaceDE/>
        <w:autoSpaceDN/>
        <w:adjustRightInd/>
        <w:snapToGrid/>
        <w:ind w:left="1134" w:firstLine="0"/>
      </w:pPr>
      <w:r w:rsidRPr="00A45AD8">
        <w:t>En cas d</w:t>
      </w:r>
      <w:r>
        <w:t>’</w:t>
      </w:r>
      <w:r w:rsidRPr="00A45AD8">
        <w:t>indices de violation des devoirs de service, l</w:t>
      </w:r>
      <w:r>
        <w:t>’</w:t>
      </w:r>
      <w:r w:rsidRPr="00A45AD8">
        <w:t>OFDF examine s</w:t>
      </w:r>
      <w:r>
        <w:t>’</w:t>
      </w:r>
      <w:r w:rsidRPr="00A45AD8">
        <w:t>il y a lieu d</w:t>
      </w:r>
      <w:r>
        <w:t>’</w:t>
      </w:r>
      <w:r w:rsidRPr="00A45AD8">
        <w:t>engager une procédure disciplinaire. Après examen du cas, il décide des éventuelles mesures disciplinaires. En cas de soupçon d</w:t>
      </w:r>
      <w:r>
        <w:t>’</w:t>
      </w:r>
      <w:r w:rsidRPr="00A45AD8">
        <w:t>acte pénalement condamnable de la part du personnel de l</w:t>
      </w:r>
      <w:r>
        <w:t>’</w:t>
      </w:r>
      <w:r w:rsidRPr="00A45AD8">
        <w:t xml:space="preserve">OFDF, le dossier est transmis à la justice militaire ou à la juridiction civile (selon la fonction de </w:t>
      </w:r>
      <w:proofErr w:type="spellStart"/>
      <w:r w:rsidRPr="00A45AD8">
        <w:t>l</w:t>
      </w:r>
      <w:r>
        <w:t>la</w:t>
      </w:r>
      <w:proofErr w:type="spellEnd"/>
      <w:r>
        <w:t xml:space="preserve"> personne employée</w:t>
      </w:r>
      <w:r w:rsidRPr="00A45AD8">
        <w:t>). De son côté, la justice est chargée d</w:t>
      </w:r>
      <w:r>
        <w:t>’</w:t>
      </w:r>
      <w:r w:rsidRPr="00A45AD8">
        <w:t xml:space="preserve">instruire le cas et </w:t>
      </w:r>
      <w:r w:rsidRPr="0032354C">
        <w:t>d</w:t>
      </w:r>
      <w:r>
        <w:t>’</w:t>
      </w:r>
      <w:r w:rsidRPr="0032354C">
        <w:t>exercer le droit de poursuite pénale de l</w:t>
      </w:r>
      <w:r>
        <w:t>’</w:t>
      </w:r>
      <w:r w:rsidRPr="0032354C">
        <w:t>État.</w:t>
      </w:r>
    </w:p>
    <w:p w14:paraId="1D10355B" w14:textId="64884101" w:rsidR="00A454AE" w:rsidRPr="00A45AD8" w:rsidRDefault="00A454AE" w:rsidP="002644AA">
      <w:pPr>
        <w:pStyle w:val="H1G"/>
      </w:pPr>
      <w:bookmarkStart w:id="71" w:name="_Toc474943686"/>
      <w:bookmarkStart w:id="72" w:name="_Toc530069753"/>
      <w:bookmarkEnd w:id="70"/>
      <w:r w:rsidRPr="0032354C">
        <w:t xml:space="preserve"> </w:t>
      </w:r>
      <w:bookmarkStart w:id="73" w:name="_Toc216340614"/>
      <w:r w:rsidR="002644AA">
        <w:tab/>
        <w:t>5.</w:t>
      </w:r>
      <w:r w:rsidR="002644AA">
        <w:tab/>
      </w:r>
      <w:r w:rsidRPr="00A45AD8">
        <w:t xml:space="preserve">Article 5 : </w:t>
      </w:r>
      <w:r>
        <w:t>é</w:t>
      </w:r>
      <w:r w:rsidRPr="00A45AD8">
        <w:t>limination de la discrimination raciale touchant à certains droits de l</w:t>
      </w:r>
      <w:r>
        <w:t>’</w:t>
      </w:r>
      <w:r w:rsidRPr="00A45AD8">
        <w:t>homme</w:t>
      </w:r>
      <w:bookmarkEnd w:id="71"/>
      <w:bookmarkEnd w:id="72"/>
      <w:bookmarkEnd w:id="73"/>
    </w:p>
    <w:p w14:paraId="11DB9BE2" w14:textId="4933B9AD" w:rsidR="00A454AE" w:rsidRPr="00A45AD8" w:rsidRDefault="00A454AE" w:rsidP="002644AA">
      <w:pPr>
        <w:pStyle w:val="H23G"/>
      </w:pPr>
      <w:r w:rsidRPr="00A45AD8">
        <w:tab/>
      </w:r>
      <w:r w:rsidR="00FE33C4">
        <w:tab/>
      </w:r>
      <w:r w:rsidRPr="00A45AD8">
        <w:t>Monitorage</w:t>
      </w:r>
    </w:p>
    <w:p w14:paraId="30F7ECF1" w14:textId="77777777" w:rsidR="00A454AE" w:rsidRPr="002C30D9" w:rsidRDefault="00A454AE" w:rsidP="00753414">
      <w:pPr>
        <w:pStyle w:val="SingleTxtG"/>
        <w:numPr>
          <w:ilvl w:val="0"/>
          <w:numId w:val="43"/>
        </w:numPr>
        <w:kinsoku/>
        <w:overflowPunct/>
        <w:autoSpaceDE/>
        <w:autoSpaceDN/>
        <w:adjustRightInd/>
        <w:snapToGrid/>
        <w:ind w:left="1134" w:firstLine="0"/>
      </w:pPr>
      <w:r w:rsidRPr="00D92757">
        <w:t>Ces dernières années, le SLR a modernisé son monitorage et lancé en</w:t>
      </w:r>
      <w:r w:rsidRPr="00A45AD8">
        <w:t xml:space="preserve"> 2024 </w:t>
      </w:r>
      <w:r>
        <w:t xml:space="preserve">le site </w:t>
      </w:r>
      <w:hyperlink r:id="rId68" w:tgtFrame="_new" w:history="1">
        <w:r w:rsidRPr="00362514">
          <w:rPr>
            <w:rStyle w:val="Hyperlink"/>
          </w:rPr>
          <w:t>www.racisme-en-chiffres.ch</w:t>
        </w:r>
      </w:hyperlink>
      <w:r w:rsidRPr="00A45AD8">
        <w:t>, qui compile les données de plusieurs sources pour fournir un tableau complet de la discrimination raciale en Suisse</w:t>
      </w:r>
      <w:r>
        <w:t> – son ampleur,</w:t>
      </w:r>
      <w:r w:rsidRPr="00A45AD8">
        <w:t xml:space="preserve"> ses diverses formes et </w:t>
      </w:r>
      <w:r>
        <w:t>l</w:t>
      </w:r>
      <w:r w:rsidRPr="00A45AD8">
        <w:t xml:space="preserve">es groupes qui en sont victimes. </w:t>
      </w:r>
      <w:r>
        <w:t>L’analyse du SLR</w:t>
      </w:r>
      <w:r w:rsidRPr="00A45AD8">
        <w:t xml:space="preserve"> montre que ce phénomène touche en particulier les jeunes personnes (15 à 39 ans) ainsi que celles issues de la migration. De plus, </w:t>
      </w:r>
      <w:r w:rsidRPr="0013059E">
        <w:t>pour la première fois, le SLR a analysé les résultats de l</w:t>
      </w:r>
      <w:r>
        <w:t>’</w:t>
      </w:r>
      <w:r w:rsidRPr="0013059E">
        <w:t>enquête de l</w:t>
      </w:r>
      <w:r>
        <w:t>’</w:t>
      </w:r>
      <w:r w:rsidRPr="0013059E">
        <w:t xml:space="preserve">OFS </w:t>
      </w:r>
      <w:r w:rsidRPr="0013059E">
        <w:rPr>
          <w:i/>
          <w:iCs/>
        </w:rPr>
        <w:t xml:space="preserve">Vivre ensemble en </w:t>
      </w:r>
      <w:r w:rsidRPr="0013059E">
        <w:rPr>
          <w:i/>
          <w:iCs/>
        </w:rPr>
        <w:lastRenderedPageBreak/>
        <w:t>Suisse</w:t>
      </w:r>
      <w:r w:rsidRPr="0013059E">
        <w:t xml:space="preserve"> de manière approfondie sous l</w:t>
      </w:r>
      <w:r>
        <w:t>’</w:t>
      </w:r>
      <w:r w:rsidRPr="0013059E">
        <w:t>angle de la discrimination raciale. Publié</w:t>
      </w:r>
      <w:r w:rsidRPr="002C30D9">
        <w:t xml:space="preserve"> tous les deux ans depuis 2010, le monitorage du SLR constitue une base objective pour la politique de lutte contre le racisme, en mettant en lumière </w:t>
      </w:r>
      <w:r>
        <w:t>l</w:t>
      </w:r>
      <w:r w:rsidRPr="002C30D9">
        <w:t>es dimensions individuelles, institutionnelles et structurelles</w:t>
      </w:r>
      <w:r>
        <w:t xml:space="preserve"> de ce problème de société</w:t>
      </w:r>
      <w:r w:rsidRPr="002C30D9">
        <w:t>.</w:t>
      </w:r>
    </w:p>
    <w:p w14:paraId="3249AA1A" w14:textId="77777777" w:rsidR="00A454AE" w:rsidRPr="00FB21E5" w:rsidRDefault="00A454AE" w:rsidP="00753414">
      <w:pPr>
        <w:pStyle w:val="SingleTxtG"/>
        <w:numPr>
          <w:ilvl w:val="0"/>
          <w:numId w:val="43"/>
        </w:numPr>
        <w:kinsoku/>
        <w:overflowPunct/>
        <w:autoSpaceDE/>
        <w:autoSpaceDN/>
        <w:adjustRightInd/>
        <w:snapToGrid/>
        <w:ind w:left="1134" w:firstLine="0"/>
      </w:pPr>
      <w:r w:rsidRPr="00A45AD8">
        <w:t>En 2024, l</w:t>
      </w:r>
      <w:r>
        <w:t>’</w:t>
      </w:r>
      <w:r w:rsidRPr="00A45AD8">
        <w:t>OFS a observé pour la première fois depuis le début de ses mesures une augmentation de tous les indices d</w:t>
      </w:r>
      <w:r>
        <w:t>’</w:t>
      </w:r>
      <w:r w:rsidRPr="00A45AD8">
        <w:t>hostilité qu</w:t>
      </w:r>
      <w:r>
        <w:t>’</w:t>
      </w:r>
      <w:r w:rsidRPr="00A45AD8">
        <w:t>il établit sur la base de l</w:t>
      </w:r>
      <w:r>
        <w:t>’</w:t>
      </w:r>
      <w:r w:rsidRPr="00A45AD8">
        <w:t xml:space="preserve">enquête </w:t>
      </w:r>
      <w:r w:rsidRPr="00A45AD8">
        <w:rPr>
          <w:i/>
        </w:rPr>
        <w:t>Vivre ensemble en Suisse</w:t>
      </w:r>
      <w:r w:rsidRPr="00A45AD8">
        <w:t>. Ces indices d</w:t>
      </w:r>
      <w:r>
        <w:t>’</w:t>
      </w:r>
      <w:r w:rsidRPr="00A45AD8">
        <w:t>hostilité envers des groupes de population précis, qui s</w:t>
      </w:r>
      <w:r>
        <w:t>’</w:t>
      </w:r>
      <w:r w:rsidRPr="00A45AD8">
        <w:t>expriment sur une échelle allant de 1 (condamnation des attitudes) à 4 (approbation des attitudes), s</w:t>
      </w:r>
      <w:r>
        <w:t>’</w:t>
      </w:r>
      <w:r w:rsidRPr="00A45AD8">
        <w:t xml:space="preserve">élèvent à 1,86 pour les personnes </w:t>
      </w:r>
      <w:r>
        <w:t>n</w:t>
      </w:r>
      <w:r w:rsidRPr="00A45AD8">
        <w:t>oires, 1,94 pour les personnes juives, 1,99 pour les personnes musulmanes et 2,3 pour les personnes étrangères (</w:t>
      </w:r>
      <w:r>
        <w:t>ce dernier augmentant depuis 2020 déjà</w:t>
      </w:r>
      <w:r w:rsidRPr="00A45AD8">
        <w:t>). L</w:t>
      </w:r>
      <w:r>
        <w:t>’</w:t>
      </w:r>
      <w:r w:rsidRPr="00A45AD8">
        <w:t xml:space="preserve">indice </w:t>
      </w:r>
      <w:r>
        <w:t>mesurant</w:t>
      </w:r>
      <w:r w:rsidRPr="00A45AD8">
        <w:t xml:space="preserve"> l</w:t>
      </w:r>
      <w:r>
        <w:t>’</w:t>
      </w:r>
      <w:r w:rsidRPr="00A45AD8">
        <w:t>hostilité envers les personnes juives enregistre la plus forte hausse</w:t>
      </w:r>
      <w:r>
        <w:t>. I</w:t>
      </w:r>
      <w:r w:rsidRPr="00A45AD8">
        <w:t>l faudra</w:t>
      </w:r>
      <w:r>
        <w:t xml:space="preserve"> toutefois</w:t>
      </w:r>
      <w:r w:rsidRPr="00A45AD8">
        <w:t xml:space="preserve"> attendre de nouvelles enquêtes pour </w:t>
      </w:r>
      <w:r w:rsidRPr="00234194">
        <w:t>déterminer s</w:t>
      </w:r>
      <w:r>
        <w:t>’</w:t>
      </w:r>
      <w:r w:rsidRPr="00234194">
        <w:t>il s</w:t>
      </w:r>
      <w:r>
        <w:t>’</w:t>
      </w:r>
      <w:r w:rsidRPr="00234194">
        <w:t>agit d</w:t>
      </w:r>
      <w:r>
        <w:t>’</w:t>
      </w:r>
      <w:r w:rsidRPr="00234194">
        <w:t>un changement durable par rapport aux tendances observées jusqu</w:t>
      </w:r>
      <w:r>
        <w:t>’</w:t>
      </w:r>
      <w:r w:rsidRPr="00234194">
        <w:t>ici.</w:t>
      </w:r>
    </w:p>
    <w:p w14:paraId="4F0F6509" w14:textId="77777777" w:rsidR="00A454AE" w:rsidRPr="007A1943" w:rsidRDefault="00A454AE" w:rsidP="00753414">
      <w:pPr>
        <w:pStyle w:val="SingleTxtG"/>
        <w:numPr>
          <w:ilvl w:val="0"/>
          <w:numId w:val="43"/>
        </w:numPr>
        <w:kinsoku/>
        <w:overflowPunct/>
        <w:autoSpaceDE/>
        <w:autoSpaceDN/>
        <w:adjustRightInd/>
        <w:snapToGrid/>
        <w:ind w:left="1134" w:firstLine="0"/>
      </w:pPr>
      <w:r w:rsidRPr="00A45AD8">
        <w:t>L</w:t>
      </w:r>
      <w:r>
        <w:t>’</w:t>
      </w:r>
      <w:r w:rsidRPr="00A45AD8">
        <w:t>analyse des données concernant la période sous revue (fin 2021 à 2024) montre une augmentation continue et significative des incidents de racisme et de discrimination signalés aux centres de conseil en Suisse</w:t>
      </w:r>
      <w:r>
        <w:t>.</w:t>
      </w:r>
      <w:r w:rsidRPr="00A45AD8">
        <w:t xml:space="preserve"> </w:t>
      </w:r>
      <w:r>
        <w:t xml:space="preserve"> Ceux-ci sont passés</w:t>
      </w:r>
      <w:r w:rsidRPr="00A45AD8">
        <w:t xml:space="preserve"> de 630 cas environ en 2021 à 708 en 2022 (+12 %), puis à 876 en 2023 (+24 %), pour atteindre un chiffre record de 1211 cas en 2024 (+38 %). La xénophobie (426 signalements) et le racisme anti-Noirs (368 signalements) restent les motifs de discrimination les plus fréquents. Les augmentations les plus fortes sont observées pour le racisme antimusulman (209 signalements), suivi par le racisme </w:t>
      </w:r>
      <w:r>
        <w:t>anti-A</w:t>
      </w:r>
      <w:r w:rsidRPr="00A45AD8">
        <w:t>rabe</w:t>
      </w:r>
      <w:r>
        <w:t>s</w:t>
      </w:r>
      <w:r w:rsidRPr="00A45AD8">
        <w:t xml:space="preserve"> (142 signalements) et </w:t>
      </w:r>
      <w:r>
        <w:t>le racisme anti-Asiatiques</w:t>
      </w:r>
      <w:r w:rsidRPr="00A45AD8">
        <w:t xml:space="preserve"> (79 signalements) ainsi que l</w:t>
      </w:r>
      <w:r>
        <w:t>’</w:t>
      </w:r>
      <w:r w:rsidRPr="00A45AD8">
        <w:t xml:space="preserve">antisémitisme (66 signalements). On observe en outre une complexification des cas, </w:t>
      </w:r>
      <w:r>
        <w:t>notamment</w:t>
      </w:r>
      <w:r w:rsidRPr="00A45AD8">
        <w:t xml:space="preserve"> dans le domaine de l</w:t>
      </w:r>
      <w:r>
        <w:t>’</w:t>
      </w:r>
      <w:r w:rsidRPr="00A45AD8">
        <w:t>éducation (19 %)</w:t>
      </w:r>
      <w:r>
        <w:t xml:space="preserve"> et</w:t>
      </w:r>
      <w:r w:rsidRPr="00A45AD8">
        <w:t xml:space="preserve"> en particulier dans le cadre de la scolarité obligatoire (14 %)</w:t>
      </w:r>
      <w:r w:rsidRPr="007A1943">
        <w:t>.</w:t>
      </w:r>
    </w:p>
    <w:p w14:paraId="1CA3EFF3" w14:textId="77777777" w:rsidR="00A454AE" w:rsidRPr="00FB21E5" w:rsidRDefault="00A454AE" w:rsidP="00753414">
      <w:pPr>
        <w:pStyle w:val="SingleTxtG"/>
        <w:numPr>
          <w:ilvl w:val="0"/>
          <w:numId w:val="43"/>
        </w:numPr>
        <w:kinsoku/>
        <w:overflowPunct/>
        <w:autoSpaceDE/>
        <w:autoSpaceDN/>
        <w:adjustRightInd/>
        <w:snapToGrid/>
        <w:ind w:left="1134" w:firstLine="0"/>
      </w:pPr>
      <w:r w:rsidRPr="00A45AD8">
        <w:t>L</w:t>
      </w:r>
      <w:r>
        <w:t>’</w:t>
      </w:r>
      <w:r w:rsidRPr="00A45AD8">
        <w:t>OFS est en train de remanier l</w:t>
      </w:r>
      <w:r>
        <w:t>’</w:t>
      </w:r>
      <w:r w:rsidRPr="00A45AD8">
        <w:t xml:space="preserve">enquête </w:t>
      </w:r>
      <w:r w:rsidRPr="00A45AD8">
        <w:rPr>
          <w:i/>
        </w:rPr>
        <w:t>Vivre ensemble en Suisse</w:t>
      </w:r>
      <w:r w:rsidRPr="00A45AD8">
        <w:t xml:space="preserve">, notamment dans le but de mieux refléter les expériences de discrimination. Il revoit son contenu afin de disposer de statistiques détaillées sur les attitudes </w:t>
      </w:r>
      <w:r>
        <w:t>négatives vis-à-vis de</w:t>
      </w:r>
      <w:r w:rsidRPr="00A45AD8">
        <w:t xml:space="preserve"> la diversité et prévoit de la fonder sur un échantillon deux fois plus important qu</w:t>
      </w:r>
      <w:r>
        <w:t>’</w:t>
      </w:r>
      <w:r w:rsidRPr="00A45AD8">
        <w:t xml:space="preserve">actuellement. Il envisage en outre de tester la possibilité, pour les personnes sondées, </w:t>
      </w:r>
      <w:r>
        <w:t>d’indiquer une</w:t>
      </w:r>
      <w:r w:rsidRPr="00A45AD8">
        <w:t xml:space="preserve"> éventuelle appartenance à un groupe de population </w:t>
      </w:r>
      <w:r>
        <w:t>pertinent dans le cadre de l’analyse du racisme</w:t>
      </w:r>
      <w:r w:rsidRPr="00A45AD8">
        <w:t>. L</w:t>
      </w:r>
      <w:r>
        <w:t>’</w:t>
      </w:r>
      <w:r w:rsidRPr="00A45AD8">
        <w:t>OFS associe à l</w:t>
      </w:r>
      <w:r>
        <w:t>’</w:t>
      </w:r>
      <w:r w:rsidRPr="00A45AD8">
        <w:t>élaboration du nouveau questionnair</w:t>
      </w:r>
      <w:r>
        <w:t xml:space="preserve">e </w:t>
      </w:r>
      <w:r w:rsidRPr="00A45AD8">
        <w:t xml:space="preserve">des groupes de personnes concernées ainsi que des </w:t>
      </w:r>
      <w:r w:rsidRPr="00D92757">
        <w:t xml:space="preserve">spécialistes </w:t>
      </w:r>
      <w:r>
        <w:t>de l’antiracisme</w:t>
      </w:r>
      <w:r w:rsidRPr="00FB21E5">
        <w:t>.</w:t>
      </w:r>
    </w:p>
    <w:p w14:paraId="58390369" w14:textId="77777777" w:rsidR="00A454AE" w:rsidRPr="00FB21E5" w:rsidRDefault="00A454AE" w:rsidP="00753414">
      <w:pPr>
        <w:pStyle w:val="SingleTxtG"/>
        <w:numPr>
          <w:ilvl w:val="0"/>
          <w:numId w:val="43"/>
        </w:numPr>
        <w:kinsoku/>
        <w:overflowPunct/>
        <w:autoSpaceDE/>
        <w:autoSpaceDN/>
        <w:adjustRightInd/>
        <w:snapToGrid/>
        <w:ind w:left="1134" w:firstLine="0"/>
      </w:pPr>
      <w:r w:rsidRPr="00A45AD8">
        <w:t xml:space="preserve">Dans le cadre du rapport mentionné </w:t>
      </w:r>
      <w:r>
        <w:t>précédemment</w:t>
      </w:r>
      <w:r w:rsidRPr="00A45AD8">
        <w:t xml:space="preserve"> (cf. ch. 3</w:t>
      </w:r>
      <w:r>
        <w:t>0</w:t>
      </w:r>
      <w:r w:rsidRPr="00A45AD8">
        <w:t>, </w:t>
      </w:r>
      <w:r>
        <w:t>69 s., 82</w:t>
      </w:r>
      <w:r w:rsidRPr="00A45AD8">
        <w:t xml:space="preserve"> et 10</w:t>
      </w:r>
      <w:r>
        <w:t>8</w:t>
      </w:r>
      <w:r w:rsidRPr="00A45AD8">
        <w:t>), que le Conseil fédéral a présenté en réponse au postulat Binder</w:t>
      </w:r>
      <w:r>
        <w:t>-Keller</w:t>
      </w:r>
      <w:r w:rsidRPr="00A45AD8">
        <w:t> </w:t>
      </w:r>
      <w:hyperlink r:id="rId69" w:history="1">
        <w:r w:rsidRPr="00B339DE">
          <w:rPr>
            <w:rStyle w:val="Hyperlink"/>
          </w:rPr>
          <w:t>21.4137</w:t>
        </w:r>
      </w:hyperlink>
      <w:r w:rsidRPr="00A45AD8">
        <w:t xml:space="preserve"> « Actes de nature raciste et antisémite en lien avec la pandémie de COVID-19 », le SLR a commandé un </w:t>
      </w:r>
      <w:hyperlink r:id="rId70" w:history="1">
        <w:r w:rsidRPr="00B339DE">
          <w:rPr>
            <w:rStyle w:val="Hyperlink"/>
          </w:rPr>
          <w:t>rapport sur le monitorage de la discrimination raciale et de l’antisémitisme en Suisse</w:t>
        </w:r>
      </w:hyperlink>
      <w:r w:rsidRPr="00A45AD8">
        <w:t xml:space="preserve"> ainsi que sur le recensement des cas, et en particulier des cas survenus lors d</w:t>
      </w:r>
      <w:r>
        <w:t>’</w:t>
      </w:r>
      <w:r w:rsidRPr="00A45AD8">
        <w:t>interventions de la police durant la pandémie. Ce rapport, publié en août 2025, contient des recommandations sur la manière d</w:t>
      </w:r>
      <w:r>
        <w:t>’</w:t>
      </w:r>
      <w:r w:rsidRPr="00A45AD8">
        <w:t xml:space="preserve">améliorer le monitorage national. Un groupe de travail comptant des représentants du DFI, du DFAE, du DFJP, du DDPS et de la CFR a accompagné le processus. Il en ressort que le monitorage est </w:t>
      </w:r>
      <w:r>
        <w:t>une entreprise complexe et coûteuse</w:t>
      </w:r>
      <w:r w:rsidRPr="00A45AD8">
        <w:t xml:space="preserve"> et qu</w:t>
      </w:r>
      <w:r>
        <w:t>’</w:t>
      </w:r>
      <w:r w:rsidRPr="00A45AD8">
        <w:t xml:space="preserve">il serait avisé de </w:t>
      </w:r>
      <w:r>
        <w:t>le confier à</w:t>
      </w:r>
      <w:r w:rsidRPr="00A45AD8">
        <w:t xml:space="preserve"> une entité </w:t>
      </w:r>
      <w:r w:rsidRPr="00D92757">
        <w:t>indépendante</w:t>
      </w:r>
      <w:r w:rsidRPr="00CE2BF4">
        <w:t>, à l</w:t>
      </w:r>
      <w:r>
        <w:t>’</w:t>
      </w:r>
      <w:r w:rsidRPr="00CE2BF4">
        <w:t>interface entre la recherche et la société civile</w:t>
      </w:r>
      <w:r w:rsidRPr="00D92757">
        <w:t>. Se</w:t>
      </w:r>
      <w:r w:rsidRPr="00A45AD8">
        <w:t xml:space="preserve"> fondant sur ce rapport, le </w:t>
      </w:r>
      <w:hyperlink r:id="rId71" w:history="1">
        <w:r w:rsidRPr="00BF4D01">
          <w:rPr>
            <w:rStyle w:val="Hyperlink"/>
          </w:rPr>
          <w:t>Conseil fédéral formule plusieurs mesures</w:t>
        </w:r>
      </w:hyperlink>
      <w:r w:rsidRPr="00A45AD8">
        <w:t xml:space="preserve"> pour améliorer le monitorage ; il s</w:t>
      </w:r>
      <w:r>
        <w:t>’</w:t>
      </w:r>
      <w:r w:rsidRPr="00A45AD8">
        <w:t>agit de renforcer la coordination et d</w:t>
      </w:r>
      <w:r>
        <w:t>’</w:t>
      </w:r>
      <w:r w:rsidRPr="00A45AD8">
        <w:t>associer les milieux de la recherche et les groupes de personnes victimes, afin de remédier à la sous-documentation des cas et d</w:t>
      </w:r>
      <w:r>
        <w:t>’</w:t>
      </w:r>
      <w:r w:rsidRPr="00A45AD8">
        <w:t>améliorer le</w:t>
      </w:r>
      <w:r>
        <w:t>ur</w:t>
      </w:r>
      <w:r w:rsidRPr="00A45AD8">
        <w:t xml:space="preserve"> recensement par les services de police</w:t>
      </w:r>
      <w:r w:rsidRPr="00FB21E5">
        <w:t>.</w:t>
      </w:r>
    </w:p>
    <w:p w14:paraId="1E44AD96" w14:textId="687F2FDE" w:rsidR="00A454AE" w:rsidRPr="00A45AD8" w:rsidRDefault="00FE33C4" w:rsidP="00FE33C4">
      <w:pPr>
        <w:pStyle w:val="H23G"/>
        <w:rPr>
          <w:lang w:val="de-CH"/>
        </w:rPr>
      </w:pPr>
      <w:r>
        <w:rPr>
          <w:lang w:val="de-CH"/>
        </w:rPr>
        <w:tab/>
      </w:r>
      <w:r>
        <w:rPr>
          <w:lang w:val="de-CH"/>
        </w:rPr>
        <w:tab/>
      </w:r>
      <w:r w:rsidR="00A454AE" w:rsidRPr="00A45AD8">
        <w:t>Racismes spécifiques</w:t>
      </w:r>
    </w:p>
    <w:p w14:paraId="4BC4102F" w14:textId="77777777" w:rsidR="00A454AE" w:rsidRPr="00862F08" w:rsidRDefault="00A454AE" w:rsidP="00753414">
      <w:pPr>
        <w:pStyle w:val="SingleTxtG"/>
        <w:numPr>
          <w:ilvl w:val="0"/>
          <w:numId w:val="43"/>
        </w:numPr>
        <w:kinsoku/>
        <w:overflowPunct/>
        <w:autoSpaceDE/>
        <w:autoSpaceDN/>
        <w:adjustRightInd/>
        <w:snapToGrid/>
        <w:ind w:left="1134" w:firstLine="0"/>
      </w:pPr>
      <w:r>
        <w:t>En Suisse, c</w:t>
      </w:r>
      <w:r w:rsidRPr="00316793">
        <w:t xml:space="preserve">ertains </w:t>
      </w:r>
      <w:r w:rsidRPr="00A45AD8">
        <w:t xml:space="preserve">groupes de population et minorités sont particulièrement </w:t>
      </w:r>
      <w:r>
        <w:t>exposés à</w:t>
      </w:r>
      <w:r w:rsidRPr="00A45AD8">
        <w:t xml:space="preserve"> la discrimination raciale et </w:t>
      </w:r>
      <w:r>
        <w:t>aux</w:t>
      </w:r>
      <w:r w:rsidRPr="00A45AD8">
        <w:t xml:space="preserve"> attitudes racistes. Le monitorage </w:t>
      </w:r>
      <w:hyperlink r:id="rId72" w:history="1">
        <w:r w:rsidRPr="00362514">
          <w:rPr>
            <w:rStyle w:val="Hyperlink"/>
          </w:rPr>
          <w:t>Le racisme en chiffres</w:t>
        </w:r>
      </w:hyperlink>
      <w:r w:rsidRPr="00A45AD8">
        <w:t xml:space="preserve"> réalisé par le SLR </w:t>
      </w:r>
      <w:r>
        <w:t xml:space="preserve">montre que les actes et comportements racistes reposent </w:t>
      </w:r>
      <w:r w:rsidRPr="00A45AD8">
        <w:t>sur la couleur de la peau, l</w:t>
      </w:r>
      <w:r>
        <w:t>’</w:t>
      </w:r>
      <w:r w:rsidRPr="00A45AD8">
        <w:t>appartenance supposée ou réelle à la religion juive ou musulmane, l</w:t>
      </w:r>
      <w:r>
        <w:t>’</w:t>
      </w:r>
      <w:r w:rsidRPr="00A45AD8">
        <w:t xml:space="preserve">origine ou la nationalité </w:t>
      </w:r>
      <w:r>
        <w:t xml:space="preserve">(qu’elles soient également </w:t>
      </w:r>
      <w:r w:rsidRPr="00A45AD8">
        <w:t>supposée</w:t>
      </w:r>
      <w:r>
        <w:t>s</w:t>
      </w:r>
      <w:r w:rsidRPr="00A45AD8">
        <w:t xml:space="preserve"> ou réelle</w:t>
      </w:r>
      <w:r>
        <w:t>s)</w:t>
      </w:r>
      <w:r w:rsidRPr="00A45AD8">
        <w:t xml:space="preserve"> ainsi que</w:t>
      </w:r>
      <w:r>
        <w:t xml:space="preserve"> sur</w:t>
      </w:r>
      <w:r w:rsidRPr="00A45AD8">
        <w:t xml:space="preserve"> le mode de vie itinérant. Les incidents racistes touchent toutefois aussi d</w:t>
      </w:r>
      <w:r>
        <w:t>’</w:t>
      </w:r>
      <w:r w:rsidRPr="00A45AD8">
        <w:t>autres groupes de personnes</w:t>
      </w:r>
      <w:r>
        <w:t xml:space="preserve"> qui,</w:t>
      </w:r>
      <w:r w:rsidRPr="00A45AD8">
        <w:t xml:space="preserve"> jusqu</w:t>
      </w:r>
      <w:r>
        <w:t>’à présent, n’étaient</w:t>
      </w:r>
      <w:r w:rsidRPr="00A45AD8">
        <w:t xml:space="preserve"> pas systématiquement recensés, </w:t>
      </w:r>
      <w:r>
        <w:t>tels que</w:t>
      </w:r>
      <w:r w:rsidRPr="00A45AD8">
        <w:t xml:space="preserve"> les personnes originaires des Balkans ou celles </w:t>
      </w:r>
      <w:r>
        <w:t>perçues comme</w:t>
      </w:r>
      <w:r w:rsidRPr="00A45AD8">
        <w:t xml:space="preserve"> asiatiques ou arabes. Il est nécessaire de mener des recherches et de récolter des données dans ces domaines également</w:t>
      </w:r>
      <w:r w:rsidRPr="00862F08">
        <w:t>.</w:t>
      </w:r>
    </w:p>
    <w:p w14:paraId="3BADB9DC" w14:textId="77777777" w:rsidR="00A454AE" w:rsidRPr="0033795D" w:rsidRDefault="00A454AE" w:rsidP="00753414">
      <w:pPr>
        <w:pStyle w:val="SingleTxtG"/>
        <w:numPr>
          <w:ilvl w:val="0"/>
          <w:numId w:val="43"/>
        </w:numPr>
        <w:kinsoku/>
        <w:overflowPunct/>
        <w:autoSpaceDE/>
        <w:autoSpaceDN/>
        <w:adjustRightInd/>
        <w:snapToGrid/>
        <w:ind w:left="1134" w:firstLine="0"/>
      </w:pPr>
      <w:r w:rsidRPr="00A45AD8">
        <w:lastRenderedPageBreak/>
        <w:t>Jusqu</w:t>
      </w:r>
      <w:r>
        <w:t>’</w:t>
      </w:r>
      <w:r w:rsidRPr="00A45AD8">
        <w:t xml:space="preserve">ici, les mesures de lutte contre le racisme en Suisse ont généralement été formulées de manière </w:t>
      </w:r>
      <w:r>
        <w:t>globale</w:t>
      </w:r>
      <w:r w:rsidRPr="00A45AD8">
        <w:t xml:space="preserve">, </w:t>
      </w:r>
      <w:r>
        <w:t xml:space="preserve">tandis que </w:t>
      </w:r>
      <w:r w:rsidRPr="00A45AD8">
        <w:t xml:space="preserve">celles </w:t>
      </w:r>
      <w:r>
        <w:t>ciblant</w:t>
      </w:r>
      <w:r w:rsidRPr="00A45AD8">
        <w:t xml:space="preserve"> explicitement des groupes </w:t>
      </w:r>
      <w:r>
        <w:t>spécifiques</w:t>
      </w:r>
      <w:r w:rsidRPr="00A45AD8">
        <w:t xml:space="preserve"> </w:t>
      </w:r>
      <w:r>
        <w:t>demeurent</w:t>
      </w:r>
      <w:r w:rsidRPr="00A45AD8">
        <w:t xml:space="preserve"> rares. Les formes </w:t>
      </w:r>
      <w:r>
        <w:t xml:space="preserve">particulières </w:t>
      </w:r>
      <w:r w:rsidRPr="00A45AD8">
        <w:t xml:space="preserve">de racisme ont été abordées de manière approfondie </w:t>
      </w:r>
      <w:r>
        <w:t>principalement dans le cadre de</w:t>
      </w:r>
      <w:r w:rsidRPr="00A45AD8">
        <w:t xml:space="preserve"> projets de tiers soutenus par le SLR</w:t>
      </w:r>
      <w:r>
        <w:t>,</w:t>
      </w:r>
      <w:r w:rsidRPr="00A45AD8">
        <w:t xml:space="preserve"> ainsi que dans plusieurs études </w:t>
      </w:r>
      <w:r>
        <w:t>mandatées par</w:t>
      </w:r>
      <w:r w:rsidRPr="00A45AD8">
        <w:t xml:space="preserve"> ce dernier – </w:t>
      </w:r>
      <w:r>
        <w:t>portant notamment</w:t>
      </w:r>
      <w:r w:rsidRPr="00A45AD8">
        <w:t xml:space="preserve"> sur le racisme anti-Noirs, le mode de vie itinérant, le racisme structurel et tout récemment sur le racisme antimusulman. Les ancrages historiques et sociétaux des diverses formes de racisme</w:t>
      </w:r>
      <w:r>
        <w:t>, tout comme</w:t>
      </w:r>
      <w:r w:rsidRPr="00A45AD8">
        <w:t xml:space="preserve"> l</w:t>
      </w:r>
      <w:r>
        <w:t>’</w:t>
      </w:r>
      <w:r w:rsidRPr="00A45AD8">
        <w:t xml:space="preserve">évolution des mesures </w:t>
      </w:r>
      <w:r>
        <w:t>visant à les combattre,</w:t>
      </w:r>
      <w:r w:rsidRPr="00A45AD8">
        <w:t xml:space="preserve"> constitueront un pan important de la stratégie nationale et du plan d</w:t>
      </w:r>
      <w:r>
        <w:t>’</w:t>
      </w:r>
      <w:r w:rsidRPr="00A45AD8">
        <w:t>action contre le racisme et l</w:t>
      </w:r>
      <w:r>
        <w:t>’</w:t>
      </w:r>
      <w:r w:rsidRPr="00A45AD8">
        <w:t>antisémitisme</w:t>
      </w:r>
      <w:r w:rsidRPr="0033795D">
        <w:t>.</w:t>
      </w:r>
    </w:p>
    <w:p w14:paraId="12BFFE26"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Depuis le 7 octobre 2023, la situation en matière de racisme et de discrimination et les discours sur le sujet se sont envenimés et polarisés en Suisse. Les incidents tant antisémites qu</w:t>
      </w:r>
      <w:r>
        <w:t>’</w:t>
      </w:r>
      <w:r w:rsidRPr="00A45AD8">
        <w:t>antimusulmans ont nettement augmentés.</w:t>
      </w:r>
      <w:r>
        <w:t xml:space="preserve"> </w:t>
      </w:r>
      <w:r w:rsidRPr="00E6314B">
        <w:t xml:space="preserve">L'agression au couteau contre un homme juif à Zurich en mars 2024 en témoigne. </w:t>
      </w:r>
      <w:r w:rsidRPr="00A45AD8">
        <w:t xml:space="preserve">Des mesures sont prises pour améliorer la protection des groupes et </w:t>
      </w:r>
      <w:r>
        <w:t xml:space="preserve">minorités </w:t>
      </w:r>
      <w:r w:rsidRPr="00A45AD8">
        <w:t>racisé</w:t>
      </w:r>
      <w:r>
        <w:t>e</w:t>
      </w:r>
      <w:r w:rsidRPr="00A45AD8">
        <w:t xml:space="preserve">s, dont voici quelques exemples : </w:t>
      </w:r>
    </w:p>
    <w:p w14:paraId="6A85A762" w14:textId="77777777" w:rsidR="00A454AE" w:rsidRPr="00FE33C4" w:rsidRDefault="00A454AE" w:rsidP="00FE33C4">
      <w:pPr>
        <w:pStyle w:val="Bullet1G"/>
        <w:rPr>
          <w:rStyle w:val="2phjq"/>
        </w:rPr>
      </w:pPr>
      <w:r w:rsidRPr="00FE33C4">
        <w:rPr>
          <w:rStyle w:val="2phjq"/>
        </w:rPr>
        <w:t>En 2024, le Parlement a chargé le gouvernement d’élaborer et de mettre en œuvre une stratégie et un plan d’action contre le racisme et l’antisémitisme (motion CIP-N </w:t>
      </w:r>
      <w:hyperlink r:id="rId73" w:history="1">
        <w:r w:rsidRPr="00FE33C4">
          <w:rPr>
            <w:rStyle w:val="2phjq"/>
          </w:rPr>
          <w:t>23.4335</w:t>
        </w:r>
      </w:hyperlink>
      <w:r w:rsidRPr="00FE33C4">
        <w:rPr>
          <w:rStyle w:val="2phjq"/>
        </w:rPr>
        <w:t xml:space="preserve">). Cette stratégie doit être traitée par le Conseil fédéral, en décembre 2025, et les travaux sur le plan d’action devront commencer l’année prochaine, avec les cantons, les communes, des représentants des groupes racisés et la société civile (cf. ch. 19). </w:t>
      </w:r>
    </w:p>
    <w:p w14:paraId="2473418E" w14:textId="77777777" w:rsidR="00A454AE" w:rsidRPr="00FE33C4" w:rsidRDefault="00A454AE" w:rsidP="00FE33C4">
      <w:pPr>
        <w:pStyle w:val="Bullet1G"/>
        <w:rPr>
          <w:rStyle w:val="2phjq"/>
        </w:rPr>
      </w:pPr>
      <w:r w:rsidRPr="00FE33C4">
        <w:rPr>
          <w:rStyle w:val="2phjq"/>
        </w:rPr>
        <w:t xml:space="preserve">La promotion et le financement des mesures de protection constituent des instruments clés pour garantir la sécurité des minorités à risque, en particulier celle de la communauté juive. Les enveloppes budgétaires allouées à ces mesures ont donc été augmentées, passant de 2,5 millions de francs à 5 millions en 2024 et 2025. Compte tenu de la situation actuelle, une augmentation supplémentaire d’un million de francs est prévue pour les années 2026 et 2027. </w:t>
      </w:r>
    </w:p>
    <w:p w14:paraId="74A6AE16" w14:textId="77777777" w:rsidR="00A454AE" w:rsidRPr="00FE33C4" w:rsidRDefault="00A454AE" w:rsidP="00FE33C4">
      <w:pPr>
        <w:pStyle w:val="Bullet1G"/>
        <w:rPr>
          <w:rStyle w:val="2phjq"/>
        </w:rPr>
      </w:pPr>
      <w:r w:rsidRPr="00FE33C4">
        <w:rPr>
          <w:rStyle w:val="2phjq"/>
        </w:rPr>
        <w:t>La procédure de consultation portant sur une loi spéciale interdisant l’utilisation en public de symboles nazis s’est terminée au printemps 2025. Ce projet de loi donnait suite à un mandat parlementaire d’avril 2024. Dans un second temps, l’interdiction sera étendue aux autres symboles extrémistes (cf. ch. 11).</w:t>
      </w:r>
    </w:p>
    <w:p w14:paraId="39718977" w14:textId="77777777" w:rsidR="00A454AE" w:rsidRPr="00FE33C4" w:rsidRDefault="00A454AE" w:rsidP="00FE33C4">
      <w:pPr>
        <w:pStyle w:val="Bullet1G"/>
        <w:rPr>
          <w:rStyle w:val="2phjq"/>
        </w:rPr>
      </w:pPr>
      <w:r w:rsidRPr="00FE33C4">
        <w:rPr>
          <w:rStyle w:val="2phjq"/>
        </w:rPr>
        <w:t xml:space="preserve">En avril 2023, le Conseil fédéral a validé la réalisation d’un </w:t>
      </w:r>
      <w:hyperlink r:id="rId74" w:tgtFrame="_blank" w:history="1">
        <w:r w:rsidRPr="00FE33C4">
          <w:rPr>
            <w:rStyle w:val="2phjq"/>
          </w:rPr>
          <w:t>mémorial des victimes du nazisme</w:t>
        </w:r>
      </w:hyperlink>
      <w:r w:rsidRPr="00FE33C4">
        <w:rPr>
          <w:rStyle w:val="2phjq"/>
        </w:rPr>
        <w:t xml:space="preserve">. La ville de Berne a été choisie pour accueillir ce lieu de mémoire, qui sera accessible à toutes et à tous. Un lieu transfrontalier de médiation et de mise en réseau verra par ailleurs le jour à Saint-Gall. </w:t>
      </w:r>
    </w:p>
    <w:p w14:paraId="53B35D4A" w14:textId="77777777" w:rsidR="00A454AE" w:rsidRPr="00FE33C4" w:rsidRDefault="00A454AE" w:rsidP="00FE33C4">
      <w:pPr>
        <w:pStyle w:val="Bullet1G"/>
        <w:rPr>
          <w:rStyle w:val="2phjq"/>
        </w:rPr>
      </w:pPr>
      <w:r w:rsidRPr="00FE33C4">
        <w:rPr>
          <w:rStyle w:val="2phjq"/>
        </w:rPr>
        <w:t xml:space="preserve">En 2025, le SLR a publié une </w:t>
      </w:r>
      <w:hyperlink r:id="rId75" w:history="1">
        <w:r w:rsidRPr="00FE33C4">
          <w:rPr>
            <w:rStyle w:val="2phjq"/>
          </w:rPr>
          <w:t>synthèse</w:t>
        </w:r>
      </w:hyperlink>
      <w:r w:rsidRPr="00FE33C4">
        <w:rPr>
          <w:rStyle w:val="2phjq"/>
        </w:rPr>
        <w:t xml:space="preserve"> de l’étude </w:t>
      </w:r>
      <w:hyperlink r:id="rId76" w:history="1">
        <w:r w:rsidRPr="00FE33C4">
          <w:rPr>
            <w:rStyle w:val="2phjq"/>
          </w:rPr>
          <w:t>Racisme antimusulman en Suisse</w:t>
        </w:r>
      </w:hyperlink>
      <w:r w:rsidRPr="00FE33C4">
        <w:rPr>
          <w:rStyle w:val="2phjq"/>
        </w:rPr>
        <w:t>, qui en présente de manière accessible les principaux résultats et recommandations. Cette étude de référence réalisée par le Centre Suisse Islam et Société apporte une contribution essentielle à l’éducation et à la sensibilisation face à cette forme de racisme.</w:t>
      </w:r>
    </w:p>
    <w:p w14:paraId="230ECF87" w14:textId="77777777" w:rsidR="00A454AE" w:rsidRPr="003467B0" w:rsidRDefault="00A454AE" w:rsidP="00FE33C4">
      <w:pPr>
        <w:pStyle w:val="Bullet1G"/>
      </w:pPr>
      <w:r w:rsidRPr="00FE33C4">
        <w:rPr>
          <w:rStyle w:val="2phjq"/>
        </w:rPr>
        <w:t xml:space="preserve">Dans son </w:t>
      </w:r>
      <w:hyperlink r:id="rId77" w:history="1">
        <w:r w:rsidRPr="00FE33C4">
          <w:rPr>
            <w:rStyle w:val="2phjq"/>
          </w:rPr>
          <w:t>rapport du 22 octobre 2025</w:t>
        </w:r>
      </w:hyperlink>
      <w:r w:rsidRPr="00FE33C4">
        <w:rPr>
          <w:rStyle w:val="2phjq"/>
        </w:rPr>
        <w:t>, établi en exécution du postulat Binder-Keller°</w:t>
      </w:r>
      <w:hyperlink r:id="rId78" w:history="1">
        <w:r w:rsidRPr="00FE33C4">
          <w:rPr>
            <w:rStyle w:val="2phjq"/>
          </w:rPr>
          <w:t>22.4559</w:t>
        </w:r>
      </w:hyperlink>
      <w:proofErr w:type="gramStart"/>
      <w:r w:rsidRPr="00FE33C4">
        <w:rPr>
          <w:rStyle w:val="2phjq"/>
        </w:rPr>
        <w:t xml:space="preserve"> «°</w:t>
      </w:r>
      <w:proofErr w:type="gramEnd"/>
      <w:r w:rsidRPr="00FE33C4">
        <w:rPr>
          <w:rStyle w:val="2phjq"/>
        </w:rPr>
        <w:t>Interdire le port du voile aux enfants dans les jardins d’enfants et les écoles. Une question d’égalité et de protection de l’enfant, non de religion</w:t>
      </w:r>
      <w:proofErr w:type="gramStart"/>
      <w:r w:rsidRPr="00FE33C4">
        <w:rPr>
          <w:rStyle w:val="2phjq"/>
        </w:rPr>
        <w:t>°»</w:t>
      </w:r>
      <w:proofErr w:type="gramEnd"/>
      <w:r w:rsidRPr="00FE33C4">
        <w:rPr>
          <w:rStyle w:val="2phjq"/>
        </w:rPr>
        <w:t>, le Conseil fédéral souligne que l’organisation scolaire et les relations entre l’État et les Églises relèvent de la compétence des cantons. Un interdit général des foulards pour enfants dans les écoles publiques ne peut, selon le Tribunal fédéral (ATF 142 I 49), être conçu de manière conforme à la Constitution. Le Conseil fédéral insiste sur l’importance de l’accès à l’enseignement pour l’égalité des chances et l’intégration et renvoie à des solutions pragmatiques cantonales. Les prescriptions vestimentaires doivent être appliquées avec retenue dans une société fondée sur la liberté.</w:t>
      </w:r>
    </w:p>
    <w:p w14:paraId="0A3C3A40" w14:textId="59B4AE1C" w:rsidR="00A454AE" w:rsidRPr="00A45AD8" w:rsidRDefault="00A454AE" w:rsidP="00FE33C4">
      <w:pPr>
        <w:pStyle w:val="H23G"/>
        <w:rPr>
          <w:lang w:val="de-CH"/>
        </w:rPr>
      </w:pPr>
      <w:r w:rsidRPr="003467B0">
        <w:tab/>
      </w:r>
      <w:r w:rsidR="00FE33C4">
        <w:rPr>
          <w:lang w:val="de-CH"/>
        </w:rPr>
        <w:tab/>
      </w:r>
      <w:r w:rsidRPr="00A45AD8">
        <w:t>Logement</w:t>
      </w:r>
    </w:p>
    <w:p w14:paraId="43935250"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Des efforts politiques sont en cours pour rendre l</w:t>
      </w:r>
      <w:r>
        <w:t>’</w:t>
      </w:r>
      <w:r w:rsidRPr="00A45AD8">
        <w:t>attribution des logements plus équitable, notamment pour les groupes vulnérables tels que les familles, les personnes âgées et celles en formation, sans qu</w:t>
      </w:r>
      <w:r>
        <w:t>’</w:t>
      </w:r>
      <w:r w:rsidRPr="00A45AD8">
        <w:t>il n</w:t>
      </w:r>
      <w:r>
        <w:t>’</w:t>
      </w:r>
      <w:r w:rsidRPr="00A45AD8">
        <w:t xml:space="preserve">y ait toutefois eu de modifications juridiques substantielles. Le Conseil fédéral a adopté en février 2025 des mesures pour répondre à la </w:t>
      </w:r>
      <w:r w:rsidRPr="00A45AD8">
        <w:lastRenderedPageBreak/>
        <w:t>pénurie de logements, notamment en réponse à deux postulats, l</w:t>
      </w:r>
      <w:r>
        <w:t>’</w:t>
      </w:r>
      <w:r w:rsidRPr="00A45AD8">
        <w:t>un sur l</w:t>
      </w:r>
      <w:r>
        <w:t>’</w:t>
      </w:r>
      <w:r w:rsidRPr="00A45AD8">
        <w:t>évolution des loyers (</w:t>
      </w:r>
      <w:hyperlink r:id="rId79" w:history="1">
        <w:r w:rsidRPr="00A842F0">
          <w:rPr>
            <w:rStyle w:val="Hyperlink"/>
          </w:rPr>
          <w:t>22.4289</w:t>
        </w:r>
      </w:hyperlink>
      <w:r w:rsidRPr="00A45AD8">
        <w:t>) et l</w:t>
      </w:r>
      <w:r>
        <w:t>’</w:t>
      </w:r>
      <w:r w:rsidRPr="00A45AD8">
        <w:t>autre sur la pénurie de logements (</w:t>
      </w:r>
      <w:hyperlink r:id="rId80" w:history="1">
        <w:r w:rsidRPr="00A842F0">
          <w:rPr>
            <w:rStyle w:val="Hyperlink"/>
          </w:rPr>
          <w:t>22.4290</w:t>
        </w:r>
      </w:hyperlink>
      <w:r w:rsidRPr="00A45AD8">
        <w:t>). En parallèle, le postulat </w:t>
      </w:r>
      <w:proofErr w:type="spellStart"/>
      <w:r>
        <w:t>Friedl</w:t>
      </w:r>
      <w:proofErr w:type="spellEnd"/>
      <w:r>
        <w:t xml:space="preserve"> Claudia </w:t>
      </w:r>
      <w:hyperlink r:id="rId81" w:history="1">
        <w:r w:rsidRPr="00A842F0">
          <w:rPr>
            <w:rStyle w:val="Hyperlink"/>
          </w:rPr>
          <w:t>24.4092</w:t>
        </w:r>
      </w:hyperlink>
      <w:r w:rsidRPr="00A45AD8">
        <w:t xml:space="preserve"> </w:t>
      </w:r>
      <w:r>
        <w:t>traite de la question des discriminations</w:t>
      </w:r>
      <w:r w:rsidRPr="00A45AD8">
        <w:t xml:space="preserve"> dans l</w:t>
      </w:r>
      <w:r>
        <w:t>’</w:t>
      </w:r>
      <w:r w:rsidRPr="00A45AD8">
        <w:t>accès au logement. Une étude scientifique sur les discriminations</w:t>
      </w:r>
      <w:r>
        <w:t xml:space="preserve"> raciales</w:t>
      </w:r>
      <w:r w:rsidRPr="00A45AD8">
        <w:t xml:space="preserve"> </w:t>
      </w:r>
      <w:r w:rsidRPr="008A659F">
        <w:t xml:space="preserve">et les possibilités d’intervention en cas de discrimination sur le marché du logement était déjà en préparation à ce moment-là. Elle sera menée à partir de novembre 2025 dans le cadre du programme de recherche 2024–2027, en collaboration avec </w:t>
      </w:r>
      <w:r>
        <w:t>le SLR</w:t>
      </w:r>
      <w:r w:rsidRPr="008A659F">
        <w:t>.</w:t>
      </w:r>
      <w:r w:rsidRPr="00A45AD8">
        <w:t xml:space="preserve"> Le Conseil fédéral a souligné l</w:t>
      </w:r>
      <w:r>
        <w:t>’</w:t>
      </w:r>
      <w:r w:rsidRPr="00A45AD8">
        <w:t>importance de lutter contre la discrimination raciale et xénophobe sur le marché du logement dans son avis sur l</w:t>
      </w:r>
      <w:r>
        <w:t>’</w:t>
      </w:r>
      <w:r w:rsidRPr="00A45AD8">
        <w:t>interpellation </w:t>
      </w:r>
      <w:hyperlink r:id="rId82" w:history="1">
        <w:r w:rsidRPr="00A150EC">
          <w:rPr>
            <w:rStyle w:val="Hyperlink"/>
          </w:rPr>
          <w:t>23.3258</w:t>
        </w:r>
      </w:hyperlink>
      <w:r w:rsidRPr="00A45AD8">
        <w:t>, portant sur ce sujet, tout en mettant en avant des initiatives comme la diffusion d</w:t>
      </w:r>
      <w:r>
        <w:t>’</w:t>
      </w:r>
      <w:r w:rsidRPr="00A45AD8">
        <w:t>informations en plusieurs langues sur le marché du logement. Il a par ailleurs pris acte de l</w:t>
      </w:r>
      <w:r>
        <w:t>’</w:t>
      </w:r>
      <w:r w:rsidRPr="00A45AD8">
        <w:t>initiative parlementaire </w:t>
      </w:r>
      <w:hyperlink r:id="rId83" w:history="1">
        <w:r w:rsidRPr="0013724E">
          <w:rPr>
            <w:rStyle w:val="Hyperlink"/>
          </w:rPr>
          <w:t>22.466</w:t>
        </w:r>
      </w:hyperlink>
      <w:r w:rsidRPr="00A45AD8">
        <w:t xml:space="preserve"> visant à lutter contre la discrimination raciale</w:t>
      </w:r>
      <w:r>
        <w:t xml:space="preserve"> sur le marché du logement</w:t>
      </w:r>
      <w:r w:rsidRPr="00A45AD8">
        <w:t>, mais celle-ci a été rejetée par le Conseil national en juin 2023.</w:t>
      </w:r>
    </w:p>
    <w:p w14:paraId="05C98F39" w14:textId="77777777" w:rsidR="00A454AE" w:rsidRPr="00A45AD8" w:rsidRDefault="00A454AE" w:rsidP="00753414">
      <w:pPr>
        <w:pStyle w:val="SingleTxtG"/>
        <w:numPr>
          <w:ilvl w:val="0"/>
          <w:numId w:val="43"/>
        </w:numPr>
        <w:kinsoku/>
        <w:overflowPunct/>
        <w:autoSpaceDE/>
        <w:autoSpaceDN/>
        <w:adjustRightInd/>
        <w:snapToGrid/>
        <w:ind w:left="1134" w:firstLine="0"/>
      </w:pPr>
      <w:r>
        <w:t>L’OFL a également</w:t>
      </w:r>
      <w:r w:rsidRPr="00A45AD8">
        <w:t xml:space="preserve"> publié </w:t>
      </w:r>
      <w:r>
        <w:t>deux autres</w:t>
      </w:r>
      <w:r w:rsidRPr="00A45AD8">
        <w:t xml:space="preserve"> </w:t>
      </w:r>
      <w:r>
        <w:t>études en lien avec cette thématique</w:t>
      </w:r>
      <w:r w:rsidRPr="00A45AD8">
        <w:t> : en 202</w:t>
      </w:r>
      <w:r>
        <w:t>4</w:t>
      </w:r>
      <w:r w:rsidRPr="00A45AD8">
        <w:t>, l</w:t>
      </w:r>
      <w:r>
        <w:t>’</w:t>
      </w:r>
      <w:r w:rsidRPr="00A45AD8">
        <w:t xml:space="preserve">Institut suisse de droit comparé réalisait sur son mandat une </w:t>
      </w:r>
      <w:hyperlink r:id="rId84" w:history="1">
        <w:r w:rsidRPr="008A659F">
          <w:rPr>
            <w:rStyle w:val="Hyperlink"/>
          </w:rPr>
          <w:t>étude sur le droit au logement des personnes vulnérables</w:t>
        </w:r>
      </w:hyperlink>
      <w:r w:rsidRPr="00A45AD8">
        <w:t xml:space="preserve"> abordant notamment la discrimination liée aux noms non locaux sur le marché du logement. Et en janvier 2025, l</w:t>
      </w:r>
      <w:r>
        <w:t>’</w:t>
      </w:r>
      <w:r w:rsidRPr="00A45AD8">
        <w:t xml:space="preserve">OFL a publié une </w:t>
      </w:r>
      <w:hyperlink r:id="rId85" w:history="1">
        <w:r w:rsidRPr="0013724E">
          <w:rPr>
            <w:rStyle w:val="Hyperlink"/>
          </w:rPr>
          <w:t>étude sur l’</w:t>
        </w:r>
        <w:proofErr w:type="spellStart"/>
        <w:r w:rsidRPr="0013724E">
          <w:rPr>
            <w:rStyle w:val="Hyperlink"/>
          </w:rPr>
          <w:t>autoconstruction</w:t>
        </w:r>
        <w:proofErr w:type="spellEnd"/>
        <w:r w:rsidRPr="0013724E">
          <w:rPr>
            <w:rStyle w:val="Hyperlink"/>
          </w:rPr>
          <w:t xml:space="preserve"> et l’habitat en communauté</w:t>
        </w:r>
      </w:hyperlink>
      <w:r w:rsidRPr="00A45AD8">
        <w:t>, soulignant l</w:t>
      </w:r>
      <w:r>
        <w:t>’</w:t>
      </w:r>
      <w:r w:rsidRPr="00A45AD8">
        <w:t>importance de la non-violence, de l</w:t>
      </w:r>
      <w:r>
        <w:t>’</w:t>
      </w:r>
      <w:r w:rsidRPr="00A45AD8">
        <w:t>absence de discrimination et de la solidarité dans les principes de cohabitation des groupes étudiés.</w:t>
      </w:r>
    </w:p>
    <w:p w14:paraId="20882E1D" w14:textId="200B1FBA" w:rsidR="00A454AE" w:rsidRPr="001945CC" w:rsidRDefault="00FE33C4" w:rsidP="00FE33C4">
      <w:pPr>
        <w:pStyle w:val="H23G"/>
      </w:pPr>
      <w:bookmarkStart w:id="74" w:name="_Hlk200976390"/>
      <w:r>
        <w:tab/>
      </w:r>
      <w:r>
        <w:tab/>
      </w:r>
      <w:r w:rsidR="00A454AE" w:rsidRPr="00FE33C4">
        <w:t>Profilage racial</w:t>
      </w:r>
    </w:p>
    <w:p w14:paraId="235DCF0D" w14:textId="07FDD2C2" w:rsidR="00A454AE" w:rsidRPr="00A45AD8" w:rsidRDefault="00FE33C4" w:rsidP="00FE33C4">
      <w:pPr>
        <w:pStyle w:val="H4G"/>
      </w:pPr>
      <w:r>
        <w:tab/>
      </w:r>
      <w:r>
        <w:tab/>
      </w:r>
      <w:r w:rsidR="00A454AE" w:rsidRPr="00A45AD8">
        <w:t>Mise en œuvre de la recommandation formulée au ch. 20b des observations finales :</w:t>
      </w:r>
    </w:p>
    <w:p w14:paraId="60DCE842" w14:textId="77777777" w:rsidR="00A454AE" w:rsidRDefault="00A454AE" w:rsidP="00753414">
      <w:pPr>
        <w:pStyle w:val="SingleTxtG"/>
        <w:numPr>
          <w:ilvl w:val="0"/>
          <w:numId w:val="43"/>
        </w:numPr>
        <w:kinsoku/>
        <w:overflowPunct/>
        <w:autoSpaceDE/>
        <w:autoSpaceDN/>
        <w:adjustRightInd/>
        <w:snapToGrid/>
        <w:ind w:left="1134" w:firstLine="0"/>
      </w:pPr>
      <w:r w:rsidRPr="00CE2BF4">
        <w:t xml:space="preserve">Les </w:t>
      </w:r>
      <w:r w:rsidRPr="00D62590">
        <w:t>compétences en matière de police reviennent en premier lieu aux cantons (art. 3 et 57 Cst.), et aucune démarche coordonnée n</w:t>
      </w:r>
      <w:r>
        <w:t>’</w:t>
      </w:r>
      <w:r w:rsidRPr="00D62590">
        <w:t>a été communiquée à cet échelon. La problématique du profilage racial devrait toutefois être abordée lors de l</w:t>
      </w:r>
      <w:r>
        <w:t>’</w:t>
      </w:r>
      <w:r w:rsidRPr="00D62590">
        <w:t>élaboration du plan d</w:t>
      </w:r>
      <w:r>
        <w:t>’</w:t>
      </w:r>
      <w:r w:rsidRPr="00D62590">
        <w:t>action national contre le racisme et l</w:t>
      </w:r>
      <w:r>
        <w:t>’</w:t>
      </w:r>
      <w:r w:rsidRPr="00D62590">
        <w:t xml:space="preserve">antisémitisme, dont les travaux sont lancés. </w:t>
      </w:r>
    </w:p>
    <w:p w14:paraId="15C71135" w14:textId="77777777" w:rsidR="00A454AE" w:rsidRPr="00CB5519" w:rsidRDefault="00A454AE" w:rsidP="00753414">
      <w:pPr>
        <w:pStyle w:val="SingleTxtG"/>
        <w:numPr>
          <w:ilvl w:val="0"/>
          <w:numId w:val="43"/>
        </w:numPr>
        <w:kinsoku/>
        <w:overflowPunct/>
        <w:autoSpaceDE/>
        <w:autoSpaceDN/>
        <w:adjustRightInd/>
        <w:snapToGrid/>
        <w:ind w:left="1134" w:firstLine="0"/>
      </w:pPr>
      <w:r w:rsidRPr="00AA4B83">
        <w:t>En février 2024, la Cour européenne des droits de l’homme (C</w:t>
      </w:r>
      <w:r>
        <w:t>our</w:t>
      </w:r>
      <w:r w:rsidRPr="00AA4B83">
        <w:t>EDH) a également condamné la Suisse dans l’affaire Wa Baile contre Suisse</w:t>
      </w:r>
      <w:r>
        <w:rPr>
          <w:rStyle w:val="FootnoteReference"/>
        </w:rPr>
        <w:footnoteReference w:id="7"/>
      </w:r>
      <w:r w:rsidRPr="00AA4B83">
        <w:t xml:space="preserve">. </w:t>
      </w:r>
      <w:r w:rsidRPr="00F002F8">
        <w:t xml:space="preserve">La Cour a constaté une violation tant matérielle que procédurale de l’art. 14 combiné avec l’art. 8 CEDH, en raison de l’absence d’un contrôle </w:t>
      </w:r>
      <w:r>
        <w:t>efficace</w:t>
      </w:r>
      <w:r w:rsidRPr="00F002F8">
        <w:t xml:space="preserve"> des allégations de profilage racial. </w:t>
      </w:r>
      <w:r w:rsidRPr="00AA4B83">
        <w:t>Selon la C</w:t>
      </w:r>
      <w:r>
        <w:t>our</w:t>
      </w:r>
      <w:r w:rsidRPr="00AA4B83">
        <w:t xml:space="preserve">EDH, le seuil de </w:t>
      </w:r>
      <w:r>
        <w:t xml:space="preserve">gravité requis pour la mise en jeu </w:t>
      </w:r>
      <w:r w:rsidRPr="00AA4B83">
        <w:t xml:space="preserve">du droit au respect de la vie privée avait été franchi, et le requérant pouvait faire valoir qu’il avait été victime de discrimination en raison de sa couleur de peau. Les instances nationales </w:t>
      </w:r>
      <w:r>
        <w:t xml:space="preserve">ayant constaté que le contrôle d’identité n’était pas objectivement justifié, la CourEDH a considéré qu'il existait une forte présomption selon laquelle le contrôle avait été discriminatoire, que le Gouvernement n’était pas parvenu à réfuter. La CourEDH a ainsi conclu que le contrôle avait constitué une violation matérielle de l’article 14 combiné avec l’article 8 CEDH. De plus, estimant que les autorités internes </w:t>
      </w:r>
      <w:r w:rsidRPr="00AA4B83">
        <w:t xml:space="preserve">n’avaient pas examiné de manière effective les allégations de </w:t>
      </w:r>
      <w:r>
        <w:t>« </w:t>
      </w:r>
      <w:r w:rsidRPr="00AA4B83">
        <w:t>racial profiling</w:t>
      </w:r>
      <w:r>
        <w:t> »</w:t>
      </w:r>
      <w:r w:rsidRPr="00AA4B83">
        <w:t xml:space="preserve"> formulées par le requérant, </w:t>
      </w:r>
      <w:r>
        <w:t>elle a également constaté</w:t>
      </w:r>
      <w:r w:rsidRPr="00AA4B83">
        <w:t xml:space="preserve"> une violation procédurale de l’article 14 en lien avec l’article 8 de la CEDH</w:t>
      </w:r>
      <w:r>
        <w:t xml:space="preserve"> ainsi qu’une violation de l’article 13 CEDH</w:t>
      </w:r>
      <w:r w:rsidRPr="00AA4B83">
        <w:t xml:space="preserve">. Dans sa réponse à la question </w:t>
      </w:r>
      <w:proofErr w:type="spellStart"/>
      <w:r w:rsidRPr="00AA4B83">
        <w:t>Schläfli</w:t>
      </w:r>
      <w:proofErr w:type="spellEnd"/>
      <w:r w:rsidRPr="00AA4B83">
        <w:t xml:space="preserve"> (</w:t>
      </w:r>
      <w:hyperlink r:id="rId86" w:history="1">
        <w:r w:rsidRPr="00AA4B83">
          <w:rPr>
            <w:rStyle w:val="Hyperlink"/>
          </w:rPr>
          <w:t>24.7281</w:t>
        </w:r>
      </w:hyperlink>
      <w:r w:rsidRPr="00AA4B83">
        <w:t xml:space="preserve">), le Conseil fédéral souligne que la question du « racial profiling » lors des contrôles d’identité relève principalement des tâches de la police et que la compétence en la matière appartient donc aux cantons. Il estime que l’arrêt peut être mis en œuvre dans le cadre des bases légales existantes </w:t>
      </w:r>
      <w:r>
        <w:t xml:space="preserve">(cf. ch. 85 </w:t>
      </w:r>
      <w:proofErr w:type="spellStart"/>
      <w:r>
        <w:t>ss</w:t>
      </w:r>
      <w:proofErr w:type="spellEnd"/>
      <w:r>
        <w:t>).</w:t>
      </w:r>
    </w:p>
    <w:p w14:paraId="10EBE0F1" w14:textId="77777777" w:rsidR="00A454AE" w:rsidRPr="00A45AD8" w:rsidRDefault="00A454AE" w:rsidP="00753414">
      <w:pPr>
        <w:pStyle w:val="SingleTxtG"/>
        <w:numPr>
          <w:ilvl w:val="0"/>
          <w:numId w:val="43"/>
        </w:numPr>
        <w:kinsoku/>
        <w:overflowPunct/>
        <w:autoSpaceDE/>
        <w:autoSpaceDN/>
        <w:adjustRightInd/>
        <w:snapToGrid/>
        <w:ind w:left="1134" w:firstLine="0"/>
      </w:pPr>
      <w:r w:rsidRPr="00CB5519">
        <w:t xml:space="preserve">Les </w:t>
      </w:r>
      <w:r w:rsidRPr="00B45C5A">
        <w:t>services de police</w:t>
      </w:r>
      <w:r w:rsidRPr="00CB5519">
        <w:t xml:space="preserve"> des cantons</w:t>
      </w:r>
      <w:r w:rsidRPr="00A45AD8">
        <w:t xml:space="preserve"> suisses misent avant tout, pour prévenir le profilage racial, sur la formation (initiale et continue), les règlements </w:t>
      </w:r>
      <w:r>
        <w:t>de service</w:t>
      </w:r>
      <w:r w:rsidRPr="00A45AD8">
        <w:t xml:space="preserve"> et les mécanismes de plainte. L</w:t>
      </w:r>
      <w:r>
        <w:t>a thématique du</w:t>
      </w:r>
      <w:r w:rsidRPr="00A45AD8">
        <w:t xml:space="preserve"> profilage racial est abordé</w:t>
      </w:r>
      <w:r>
        <w:t>e</w:t>
      </w:r>
      <w:r w:rsidRPr="00A45AD8">
        <w:t xml:space="preserve"> notamment à l</w:t>
      </w:r>
      <w:r>
        <w:t>’</w:t>
      </w:r>
      <w:r w:rsidRPr="00A45AD8">
        <w:t xml:space="preserve">École intercantonale de police de </w:t>
      </w:r>
      <w:proofErr w:type="spellStart"/>
      <w:r w:rsidRPr="00A45AD8">
        <w:t>Hitzkirch</w:t>
      </w:r>
      <w:proofErr w:type="spellEnd"/>
      <w:r w:rsidRPr="00A45AD8">
        <w:t>, à l</w:t>
      </w:r>
      <w:r>
        <w:t>’</w:t>
      </w:r>
      <w:r w:rsidRPr="00A45AD8">
        <w:t xml:space="preserve">École de police de Suisse orientale ainsi que dans les centres de formation du canton de Vaud, dans des cours </w:t>
      </w:r>
      <w:r>
        <w:t>portant par exemple sur l’é</w:t>
      </w:r>
      <w:r w:rsidRPr="00A45AD8">
        <w:t xml:space="preserve">thique policière et </w:t>
      </w:r>
      <w:r>
        <w:t xml:space="preserve">les </w:t>
      </w:r>
      <w:r w:rsidRPr="00A45AD8">
        <w:t>droits de l</w:t>
      </w:r>
      <w:r>
        <w:t>’</w:t>
      </w:r>
      <w:r w:rsidRPr="00A45AD8">
        <w:t>homme</w:t>
      </w:r>
      <w:r>
        <w:t>, ou encore</w:t>
      </w:r>
      <w:r w:rsidRPr="00A45AD8">
        <w:t xml:space="preserve"> </w:t>
      </w:r>
      <w:r>
        <w:t>sur la p</w:t>
      </w:r>
      <w:r w:rsidRPr="00A45AD8">
        <w:t>olice de proximité. Plusieurs cantons, dont Berne, Argovie</w:t>
      </w:r>
      <w:r>
        <w:t xml:space="preserve"> et</w:t>
      </w:r>
      <w:r w:rsidRPr="00A45AD8">
        <w:t xml:space="preserve"> Zoug, réalisent régulièrement des formations continues </w:t>
      </w:r>
      <w:r>
        <w:t xml:space="preserve">portant </w:t>
      </w:r>
      <w:r w:rsidRPr="00A45AD8">
        <w:t>sur les compétences interculturelles ainsi que sur les préjugés et la discrimination dans l</w:t>
      </w:r>
      <w:r>
        <w:t>’</w:t>
      </w:r>
      <w:r w:rsidRPr="00A45AD8">
        <w:t xml:space="preserve">action </w:t>
      </w:r>
      <w:r w:rsidRPr="00A45AD8">
        <w:lastRenderedPageBreak/>
        <w:t>policière. Dans le canton de Berne par exemple, l</w:t>
      </w:r>
      <w:r>
        <w:t>’</w:t>
      </w:r>
      <w:r w:rsidRPr="00A45AD8">
        <w:t xml:space="preserve">ensemble des services de police a suivi en 2024 une formation </w:t>
      </w:r>
      <w:r w:rsidRPr="00E7418B">
        <w:t xml:space="preserve">destinée à faire évoluer les regards </w:t>
      </w:r>
      <w:r>
        <w:t>sur le</w:t>
      </w:r>
      <w:r w:rsidRPr="00E7418B">
        <w:t xml:space="preserve"> profilage racial.</w:t>
      </w:r>
    </w:p>
    <w:p w14:paraId="44214A5A" w14:textId="77777777" w:rsidR="00A454AE" w:rsidRPr="004568C7" w:rsidRDefault="00A454AE" w:rsidP="00753414">
      <w:pPr>
        <w:pStyle w:val="SingleTxtG"/>
        <w:numPr>
          <w:ilvl w:val="0"/>
          <w:numId w:val="43"/>
        </w:numPr>
        <w:kinsoku/>
        <w:overflowPunct/>
        <w:autoSpaceDE/>
        <w:autoSpaceDN/>
        <w:adjustRightInd/>
        <w:snapToGrid/>
        <w:ind w:left="1134" w:firstLine="0"/>
      </w:pPr>
      <w:r w:rsidRPr="00A45AD8">
        <w:t>Certains cantons, comme Argovie et Berne ont en outre modifié leurs règlements de service afin d</w:t>
      </w:r>
      <w:r>
        <w:t>’</w:t>
      </w:r>
      <w:r w:rsidRPr="00A45AD8">
        <w:t>interdire explicitement la discrimination lors de contrôles d</w:t>
      </w:r>
      <w:r>
        <w:t>’</w:t>
      </w:r>
      <w:r w:rsidRPr="00A45AD8">
        <w:t xml:space="preserve">identité. Genève a revu son code de comportement et chargé un comité de veiller à son respect. Certains services de police, notamment ceux des cantons de Vaud, de Bâle-Campagne et de Zoug, adoptent des approches telles que le </w:t>
      </w:r>
      <w:proofErr w:type="spellStart"/>
      <w:r w:rsidRPr="00A45AD8">
        <w:rPr>
          <w:i/>
        </w:rPr>
        <w:t>fair</w:t>
      </w:r>
      <w:proofErr w:type="spellEnd"/>
      <w:r w:rsidRPr="00A45AD8">
        <w:rPr>
          <w:i/>
        </w:rPr>
        <w:t xml:space="preserve"> </w:t>
      </w:r>
      <w:proofErr w:type="spellStart"/>
      <w:r w:rsidRPr="00A45AD8">
        <w:rPr>
          <w:i/>
        </w:rPr>
        <w:t>policing</w:t>
      </w:r>
      <w:proofErr w:type="spellEnd"/>
      <w:r>
        <w:t>.</w:t>
      </w:r>
      <w:r w:rsidRPr="00A45AD8">
        <w:t xml:space="preserve"> </w:t>
      </w:r>
      <w:r>
        <w:t>Dans</w:t>
      </w:r>
      <w:r w:rsidRPr="00A45AD8">
        <w:t xml:space="preserve"> </w:t>
      </w:r>
      <w:r>
        <w:t>d’autres cantons comme ceux</w:t>
      </w:r>
      <w:r w:rsidRPr="00A45AD8">
        <w:t xml:space="preserve"> de Berne et de Zurich, les </w:t>
      </w:r>
      <w:r>
        <w:t xml:space="preserve">compétences interculturelles des policiers sont renforcées par des projets </w:t>
      </w:r>
      <w:r w:rsidRPr="00A45AD8">
        <w:t xml:space="preserve">comme </w:t>
      </w:r>
      <w:r w:rsidRPr="00A45AD8">
        <w:rPr>
          <w:i/>
        </w:rPr>
        <w:t>Créer le lien</w:t>
      </w:r>
      <w:r w:rsidRPr="004568C7">
        <w:rPr>
          <w:iCs/>
        </w:rPr>
        <w:t xml:space="preserve">, mené </w:t>
      </w:r>
      <w:r w:rsidRPr="00A45AD8">
        <w:t xml:space="preserve">à Berne. Dans le canton de Vaud, la question de </w:t>
      </w:r>
      <w:hyperlink r:id="rId87">
        <w:r w:rsidRPr="00362514">
          <w:rPr>
            <w:rStyle w:val="Hyperlink"/>
          </w:rPr>
          <w:t>l’introduction d’une quittance ou d’un récépissé</w:t>
        </w:r>
      </w:hyperlink>
      <w:r w:rsidRPr="0070321F">
        <w:t xml:space="preserve"> </w:t>
      </w:r>
      <w:r w:rsidRPr="00A45AD8">
        <w:t>après le contrôle d</w:t>
      </w:r>
      <w:r>
        <w:t>’</w:t>
      </w:r>
      <w:r w:rsidRPr="00A45AD8">
        <w:t>identité d</w:t>
      </w:r>
      <w:r>
        <w:t>’</w:t>
      </w:r>
      <w:r w:rsidRPr="00A45AD8">
        <w:t>une personne est également en cours d</w:t>
      </w:r>
      <w:r>
        <w:t>’</w:t>
      </w:r>
      <w:r w:rsidRPr="00A45AD8">
        <w:t>analyse tant au niveau cantonal que communal (Lausanne), des interpellations politiques ayant été déposées dans ce sens. En outre, la police vaudoise s</w:t>
      </w:r>
      <w:r>
        <w:t>’</w:t>
      </w:r>
      <w:r w:rsidRPr="00A45AD8">
        <w:t>engage aux côtés du Bureau cantonal pour l</w:t>
      </w:r>
      <w:r>
        <w:t>’</w:t>
      </w:r>
      <w:r w:rsidRPr="00A45AD8">
        <w:t>intégration des étrangers et la prévention du racisme</w:t>
      </w:r>
      <w:r>
        <w:t xml:space="preserve"> (BLI)</w:t>
      </w:r>
      <w:r w:rsidRPr="00A45AD8">
        <w:t xml:space="preserve"> dans le cadre de la </w:t>
      </w:r>
      <w:proofErr w:type="spellStart"/>
      <w:r w:rsidRPr="00A45AD8">
        <w:t>plateforme</w:t>
      </w:r>
      <w:proofErr w:type="spellEnd"/>
      <w:r w:rsidRPr="00A45AD8">
        <w:t xml:space="preserve"> de dialogue avec les communautés étrangères, dispositif inscrit par le Conseil d</w:t>
      </w:r>
      <w:r>
        <w:t>’</w:t>
      </w:r>
      <w:r w:rsidRPr="00A45AD8">
        <w:t xml:space="preserve">État </w:t>
      </w:r>
      <w:r>
        <w:t>dans</w:t>
      </w:r>
      <w:r w:rsidRPr="00A45AD8">
        <w:t xml:space="preserve"> son plan de législature 2022/2027. Quant à la police du canton de Neuchâtel, elle est l</w:t>
      </w:r>
      <w:r>
        <w:t>’</w:t>
      </w:r>
      <w:r w:rsidRPr="00A45AD8">
        <w:t>une des premières de Suisse à compter dans ses rangs des policiers</w:t>
      </w:r>
      <w:r>
        <w:t xml:space="preserve"> et policières</w:t>
      </w:r>
      <w:r w:rsidRPr="00A45AD8">
        <w:t xml:space="preserve"> de nationalité étrangère</w:t>
      </w:r>
      <w:r w:rsidRPr="004568C7">
        <w:t>.</w:t>
      </w:r>
    </w:p>
    <w:p w14:paraId="4C2E3F81" w14:textId="77777777" w:rsidR="00A454AE" w:rsidRPr="00A45AD8" w:rsidRDefault="00A454AE" w:rsidP="00753414">
      <w:pPr>
        <w:pStyle w:val="SingleTxtG"/>
        <w:numPr>
          <w:ilvl w:val="0"/>
          <w:numId w:val="43"/>
        </w:numPr>
        <w:kinsoku/>
        <w:overflowPunct/>
        <w:autoSpaceDE/>
        <w:autoSpaceDN/>
        <w:adjustRightInd/>
        <w:snapToGrid/>
        <w:ind w:left="1134" w:firstLine="0"/>
      </w:pPr>
      <w:r>
        <w:t>D</w:t>
      </w:r>
      <w:r w:rsidRPr="00A45AD8">
        <w:t>ans tous les canton</w:t>
      </w:r>
      <w:r>
        <w:t>s,</w:t>
      </w:r>
      <w:r w:rsidRPr="00A45AD8">
        <w:t xml:space="preserve"> </w:t>
      </w:r>
      <w:r>
        <w:t>i</w:t>
      </w:r>
      <w:r w:rsidRPr="00A45AD8">
        <w:t>l est possible, en cas d</w:t>
      </w:r>
      <w:r>
        <w:t>’</w:t>
      </w:r>
      <w:r w:rsidRPr="00A45AD8">
        <w:t>abus de la part de la police, de s</w:t>
      </w:r>
      <w:r>
        <w:t>’</w:t>
      </w:r>
      <w:r w:rsidRPr="00A45AD8">
        <w:t>adresser à une autorité de surveillance ou de déposer une plainte pénale. Certains cantons, comme ceux de Bâle-Campagne, de Zurich et de Zoug ainsi que, depuis mai 2025</w:t>
      </w:r>
      <w:r>
        <w:t>, de Schaffhouse</w:t>
      </w:r>
      <w:r w:rsidRPr="00A45AD8">
        <w:t>, ont de plus créé des services de médiation indépendants (voir ch. 81 </w:t>
      </w:r>
      <w:proofErr w:type="spellStart"/>
      <w:r w:rsidRPr="00A45AD8">
        <w:t>ss</w:t>
      </w:r>
      <w:proofErr w:type="spellEnd"/>
      <w:r w:rsidRPr="00A45AD8">
        <w:t>). Le projet pilote de médiation</w:t>
      </w:r>
      <w:r>
        <w:t xml:space="preserve"> cantonale </w:t>
      </w:r>
      <w:r w:rsidRPr="00A45AD8">
        <w:t>de Bâle-Ville a été doté de ressources supplémentaires</w:t>
      </w:r>
      <w:r>
        <w:t xml:space="preserve"> au 1</w:t>
      </w:r>
      <w:r w:rsidRPr="005348B7">
        <w:rPr>
          <w:vertAlign w:val="superscript"/>
        </w:rPr>
        <w:t>er</w:t>
      </w:r>
      <w:r>
        <w:t> janvier 2025</w:t>
      </w:r>
      <w:r w:rsidRPr="00A45AD8">
        <w:t xml:space="preserve"> afin de pouvoir traiter les plaintes contre la police cantonale de manière indépendante de l</w:t>
      </w:r>
      <w:r>
        <w:t>’</w:t>
      </w:r>
      <w:r w:rsidRPr="00A45AD8">
        <w:t>administration cantonale. Quant au canton de Genève, il dispose, avec l</w:t>
      </w:r>
      <w:r>
        <w:t>’</w:t>
      </w:r>
      <w:r w:rsidRPr="00A45AD8">
        <w:t>organe de Médiation indépendante entre la population et la police (MIPP), d</w:t>
      </w:r>
      <w:r>
        <w:t>’</w:t>
      </w:r>
      <w:r w:rsidRPr="00A45AD8">
        <w:t>une entité indépendante qui reçoit les plaintes, intervient comme médiatrice et en réfère au commandement de la police et au gouvernement.</w:t>
      </w:r>
    </w:p>
    <w:p w14:paraId="2547056B" w14:textId="77777777" w:rsidR="00A454AE" w:rsidRPr="005348B7" w:rsidRDefault="00A454AE" w:rsidP="00753414">
      <w:pPr>
        <w:pStyle w:val="SingleTxtG"/>
        <w:numPr>
          <w:ilvl w:val="0"/>
          <w:numId w:val="43"/>
        </w:numPr>
        <w:kinsoku/>
        <w:overflowPunct/>
        <w:autoSpaceDE/>
        <w:autoSpaceDN/>
        <w:adjustRightInd/>
        <w:snapToGrid/>
        <w:ind w:left="1134" w:firstLine="0"/>
      </w:pPr>
      <w:r w:rsidRPr="00A45AD8">
        <w:t>Seuls quelques cantons, tels que Neuchâtel</w:t>
      </w:r>
      <w:r>
        <w:t xml:space="preserve"> ou</w:t>
      </w:r>
      <w:r w:rsidRPr="00A45AD8">
        <w:t xml:space="preserve"> Genève, recensent et évaluent systématiquement les plaintes pour profilage racial. De nombreux cantons ne disposent de pratiquement aucune donnée statistique sur le </w:t>
      </w:r>
      <w:r w:rsidRPr="00305691">
        <w:t>sujet, ce que certains expliquent par le</w:t>
      </w:r>
      <w:r w:rsidRPr="00A45AD8">
        <w:t xml:space="preserve"> faible nombre de cas débouchant sur une plainte formelle. Ce constat est corroboré par l</w:t>
      </w:r>
      <w:r>
        <w:t>’</w:t>
      </w:r>
      <w:r w:rsidRPr="00A45AD8">
        <w:t xml:space="preserve">enquête menée auprès des services de police dans le cadre de </w:t>
      </w:r>
      <w:hyperlink r:id="rId88" w:history="1">
        <w:r w:rsidRPr="00A132C4">
          <w:rPr>
            <w:rStyle w:val="Hyperlink"/>
          </w:rPr>
          <w:t>l’étude de référence</w:t>
        </w:r>
      </w:hyperlink>
      <w:r w:rsidRPr="00A45AD8">
        <w:t xml:space="preserve"> mandatée par le SLR en réponse au postulat Bin</w:t>
      </w:r>
      <w:r>
        <w:t>d</w:t>
      </w:r>
      <w:r w:rsidRPr="00A45AD8">
        <w:t>er</w:t>
      </w:r>
      <w:r>
        <w:t>-Keller°</w:t>
      </w:r>
      <w:hyperlink r:id="rId89" w:history="1">
        <w:r w:rsidRPr="00A132C4">
          <w:rPr>
            <w:rStyle w:val="Hyperlink"/>
          </w:rPr>
          <w:t>21.4137</w:t>
        </w:r>
      </w:hyperlink>
      <w:r w:rsidRPr="00A45AD8">
        <w:t xml:space="preserve"> mentionné ci-dessus (ch. 3</w:t>
      </w:r>
      <w:r>
        <w:t>0</w:t>
      </w:r>
      <w:r w:rsidRPr="00A45AD8">
        <w:t xml:space="preserve">, </w:t>
      </w:r>
      <w:r>
        <w:t>79</w:t>
      </w:r>
      <w:r w:rsidRPr="00A45AD8">
        <w:t xml:space="preserve"> et 91). Il en ressort en effet que seule la moitié des corps de police enregistrent systématiquement les signalements de profilage racial ou de violence policière</w:t>
      </w:r>
      <w:r>
        <w:t xml:space="preserve"> à caractère</w:t>
      </w:r>
      <w:r w:rsidRPr="00A45AD8">
        <w:t xml:space="preserve"> raciste</w:t>
      </w:r>
      <w:r w:rsidRPr="005348B7">
        <w:t xml:space="preserve">. </w:t>
      </w:r>
    </w:p>
    <w:p w14:paraId="30A78D46" w14:textId="77777777" w:rsidR="00A454AE" w:rsidRPr="00CE2BF4" w:rsidRDefault="00A454AE" w:rsidP="00753414">
      <w:pPr>
        <w:pStyle w:val="SingleTxtG"/>
        <w:numPr>
          <w:ilvl w:val="0"/>
          <w:numId w:val="43"/>
        </w:numPr>
        <w:kinsoku/>
        <w:overflowPunct/>
        <w:autoSpaceDE/>
        <w:autoSpaceDN/>
        <w:adjustRightInd/>
        <w:snapToGrid/>
        <w:ind w:left="1134" w:firstLine="0"/>
      </w:pPr>
      <w:r w:rsidRPr="00A45AD8">
        <w:t>En 2023, l</w:t>
      </w:r>
      <w:r>
        <w:t>’</w:t>
      </w:r>
      <w:r w:rsidRPr="00A45AD8">
        <w:t>OFS a réalisé, dans le cadre de l</w:t>
      </w:r>
      <w:r>
        <w:t>’</w:t>
      </w:r>
      <w:r w:rsidRPr="00A45AD8">
        <w:t xml:space="preserve">enquête </w:t>
      </w:r>
      <w:r w:rsidRPr="005348B7">
        <w:rPr>
          <w:i/>
          <w:iCs/>
        </w:rPr>
        <w:t>Vivre ensemble en Suisse</w:t>
      </w:r>
      <w:r w:rsidRPr="00A45AD8">
        <w:t>, un module portant sur la discrimination. Ce module comprenait une nouvelle question à propos des formes de discrimination vécues ; dans la liste des réponses possibles figurait entre autres l</w:t>
      </w:r>
      <w:r>
        <w:t>’</w:t>
      </w:r>
      <w:r w:rsidRPr="00A45AD8">
        <w:t>item « profilage racial ». Parmi le 12 % de la population de Suisse qui déclarait en 2023 avoir été victime de discrimination raciale, 16 % indiquait qu</w:t>
      </w:r>
      <w:r>
        <w:t>’</w:t>
      </w:r>
      <w:r w:rsidRPr="00A45AD8">
        <w:t>il s</w:t>
      </w:r>
      <w:r>
        <w:t>’</w:t>
      </w:r>
      <w:r w:rsidRPr="00A45AD8">
        <w:t xml:space="preserve">était agi de profilage racial (cf. </w:t>
      </w:r>
      <w:hyperlink r:id="rId90">
        <w:r w:rsidRPr="00362514">
          <w:rPr>
            <w:rStyle w:val="Hyperlink"/>
          </w:rPr>
          <w:t>Quelles sont les formes de discrimination raciale ?</w:t>
        </w:r>
      </w:hyperlink>
      <w:r w:rsidRPr="00A45AD8">
        <w:t xml:space="preserve">). Le Réseau de centres de conseil pour les victimes du racisme </w:t>
      </w:r>
      <w:r>
        <w:t>a recensé</w:t>
      </w:r>
      <w:r w:rsidRPr="00A45AD8">
        <w:t xml:space="preserve"> 61 cas de profilage racial en 2024, contre 39 en 2023 – c</w:t>
      </w:r>
      <w:r>
        <w:t>’</w:t>
      </w:r>
      <w:r w:rsidRPr="00A45AD8">
        <w:t>est-à-dire une hausse de plus d</w:t>
      </w:r>
      <w:r>
        <w:t>’</w:t>
      </w:r>
      <w:r w:rsidRPr="00A45AD8">
        <w:t>un tiers</w:t>
      </w:r>
      <w:r w:rsidRPr="00CE2BF4">
        <w:t>.</w:t>
      </w:r>
    </w:p>
    <w:p w14:paraId="26E38123" w14:textId="77777777" w:rsidR="00A454AE" w:rsidRPr="00A45AD8" w:rsidRDefault="00A454AE" w:rsidP="00753414">
      <w:pPr>
        <w:pStyle w:val="SingleTxtG"/>
        <w:numPr>
          <w:ilvl w:val="0"/>
          <w:numId w:val="43"/>
        </w:numPr>
        <w:kinsoku/>
        <w:overflowPunct/>
        <w:autoSpaceDE/>
        <w:autoSpaceDN/>
        <w:adjustRightInd/>
        <w:snapToGrid/>
        <w:ind w:left="1134" w:firstLine="0"/>
      </w:pPr>
      <w:r w:rsidRPr="00CE101D">
        <w:t xml:space="preserve">L’OFDF </w:t>
      </w:r>
      <w:r w:rsidRPr="00A45AD8">
        <w:t>(cf. ch. </w:t>
      </w:r>
      <w:r>
        <w:t xml:space="preserve">91 </w:t>
      </w:r>
      <w:proofErr w:type="spellStart"/>
      <w:r>
        <w:t>ss</w:t>
      </w:r>
      <w:proofErr w:type="spellEnd"/>
      <w:r>
        <w:t>.</w:t>
      </w:r>
      <w:r w:rsidRPr="00A45AD8">
        <w:t>) mise sur des formations de qualité et des mesures de sensibilisation suivies pour lutter contre les contrôles au faciès. Le personnel affecté aux contrôles suit une solide introduction aux thématiques du racisme et de la discrimination durant sa formation initiale. Pour approfondir les compétences de son personnel, l</w:t>
      </w:r>
      <w:r>
        <w:t>’</w:t>
      </w:r>
      <w:r w:rsidRPr="00A45AD8">
        <w:t>OFDF a de plus mené une campagne de sensibilisation interne en 2025, dont l</w:t>
      </w:r>
      <w:r>
        <w:t>’</w:t>
      </w:r>
      <w:r w:rsidRPr="00A45AD8">
        <w:t xml:space="preserve">une des priorités était la prévention du profilage racial. Cette campagne </w:t>
      </w:r>
      <w:r>
        <w:t>était composée de</w:t>
      </w:r>
      <w:r w:rsidRPr="00A45AD8">
        <w:t xml:space="preserve"> plusieurs activités et mesures : </w:t>
      </w:r>
    </w:p>
    <w:p w14:paraId="00DDD2DE" w14:textId="4B9BDB28" w:rsidR="00A454AE" w:rsidRPr="00A45AD8" w:rsidRDefault="00FE33C4" w:rsidP="00FE33C4">
      <w:pPr>
        <w:pStyle w:val="Bullet1G"/>
      </w:pPr>
      <w:r w:rsidRPr="00A45AD8">
        <w:t>Conférences</w:t>
      </w:r>
      <w:r w:rsidR="00A454AE" w:rsidRPr="00A45AD8">
        <w:t xml:space="preserve"> </w:t>
      </w:r>
      <w:r w:rsidR="00A454AE">
        <w:t>de spécialistes</w:t>
      </w:r>
      <w:r w:rsidR="00A454AE" w:rsidRPr="00A45AD8">
        <w:t xml:space="preserve"> provenant d</w:t>
      </w:r>
      <w:r w:rsidR="00A454AE">
        <w:t>’</w:t>
      </w:r>
      <w:r w:rsidR="00A454AE" w:rsidRPr="00A45AD8">
        <w:t>autorités partenaires, qui ont présenté leurs méthodes pour prévenir le profilage racial et leurs bonnes pratiques en la matière ;</w:t>
      </w:r>
    </w:p>
    <w:p w14:paraId="58EF3622" w14:textId="0F314346" w:rsidR="00A454AE" w:rsidRPr="00A45AD8" w:rsidRDefault="00FE33C4" w:rsidP="00FE33C4">
      <w:pPr>
        <w:pStyle w:val="Bullet1G"/>
      </w:pPr>
      <w:r w:rsidRPr="00A45AD8">
        <w:t>Cours</w:t>
      </w:r>
      <w:r w:rsidR="00A454AE" w:rsidRPr="00A45AD8">
        <w:t xml:space="preserve"> de l</w:t>
      </w:r>
      <w:r w:rsidR="00A454AE">
        <w:t>’</w:t>
      </w:r>
      <w:r w:rsidR="00A454AE" w:rsidRPr="00A45AD8">
        <w:t>Organisation suisse d</w:t>
      </w:r>
      <w:r w:rsidR="00A454AE">
        <w:t>’</w:t>
      </w:r>
      <w:r w:rsidR="00A454AE" w:rsidRPr="00A45AD8">
        <w:t>aide aux réfugiés</w:t>
      </w:r>
      <w:r w:rsidR="00A454AE">
        <w:t xml:space="preserve"> </w:t>
      </w:r>
      <w:r w:rsidR="00A454AE" w:rsidRPr="00A45AD8">
        <w:t>visant à renforcer les compétences transculturelles (cours donné plusieurs fois) ;</w:t>
      </w:r>
    </w:p>
    <w:p w14:paraId="6BFCABFD" w14:textId="2EFD08A4" w:rsidR="00A454AE" w:rsidRPr="00A45AD8" w:rsidRDefault="00FE33C4" w:rsidP="00FE33C4">
      <w:pPr>
        <w:pStyle w:val="Bullet1G"/>
      </w:pPr>
      <w:r w:rsidRPr="00A45AD8">
        <w:t>Publication</w:t>
      </w:r>
      <w:r w:rsidR="00A454AE" w:rsidRPr="00A45AD8">
        <w:t xml:space="preserve"> de </w:t>
      </w:r>
      <w:r w:rsidR="00A454AE">
        <w:t>contenus</w:t>
      </w:r>
      <w:r w:rsidR="00A454AE" w:rsidRPr="00A45AD8">
        <w:t xml:space="preserve"> </w:t>
      </w:r>
      <w:r w:rsidR="00A454AE">
        <w:t>à l’interne</w:t>
      </w:r>
      <w:r w:rsidR="00A454AE" w:rsidRPr="00A45AD8">
        <w:t xml:space="preserve"> </w:t>
      </w:r>
      <w:r w:rsidR="00A454AE">
        <w:t>à des fins de sensibilisation </w:t>
      </w:r>
      <w:r w:rsidR="00A454AE" w:rsidRPr="00A45AD8">
        <w:t>;</w:t>
      </w:r>
    </w:p>
    <w:p w14:paraId="575EF4F5" w14:textId="304BC8FE" w:rsidR="00A454AE" w:rsidRPr="00A45AD8" w:rsidRDefault="00FE33C4" w:rsidP="00FE33C4">
      <w:pPr>
        <w:pStyle w:val="Bullet1G"/>
      </w:pPr>
      <w:r w:rsidRPr="00A45AD8">
        <w:lastRenderedPageBreak/>
        <w:t>Création</w:t>
      </w:r>
      <w:r w:rsidR="00A454AE" w:rsidRPr="00A45AD8">
        <w:t xml:space="preserve"> d</w:t>
      </w:r>
      <w:r w:rsidR="00A454AE">
        <w:t>’</w:t>
      </w:r>
      <w:r w:rsidR="00A454AE" w:rsidRPr="00A45AD8">
        <w:t>un réseau interne d</w:t>
      </w:r>
      <w:r w:rsidR="00A454AE">
        <w:t>’</w:t>
      </w:r>
      <w:r w:rsidR="00A454AE" w:rsidRPr="00A45AD8">
        <w:t>interloc</w:t>
      </w:r>
      <w:r w:rsidR="00A454AE">
        <w:t>u</w:t>
      </w:r>
      <w:r w:rsidR="00A454AE" w:rsidRPr="00A45AD8">
        <w:t>teurs</w:t>
      </w:r>
      <w:r w:rsidR="00A454AE">
        <w:t xml:space="preserve"> et interlocutrices</w:t>
      </w:r>
      <w:r w:rsidR="00A454AE" w:rsidRPr="00A45AD8">
        <w:t xml:space="preserve"> assumant des tâches en lien avec les droits fondamentaux au sein de leur unité organisationnelle locale et contribuant à sensibiliser leurs pairs. </w:t>
      </w:r>
    </w:p>
    <w:p w14:paraId="16D898C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En 2024, l</w:t>
      </w:r>
      <w:r>
        <w:t>’</w:t>
      </w:r>
      <w:r w:rsidRPr="00A45AD8">
        <w:t>OFDF</w:t>
      </w:r>
      <w:r>
        <w:t xml:space="preserve"> a reçu </w:t>
      </w:r>
      <w:r w:rsidRPr="00A45AD8">
        <w:t>113 </w:t>
      </w:r>
      <w:r>
        <w:t>réclamations</w:t>
      </w:r>
      <w:r w:rsidRPr="00A45AD8">
        <w:t xml:space="preserve">, dont 10 comprenaient des </w:t>
      </w:r>
      <w:r>
        <w:t>signes</w:t>
      </w:r>
      <w:r w:rsidRPr="00A45AD8">
        <w:t xml:space="preserve"> ou des accusations de profilage racial ou de discrimination raciale, ce qui correspond à 9 % des </w:t>
      </w:r>
      <w:r>
        <w:t>réclamations</w:t>
      </w:r>
      <w:r w:rsidRPr="00A45AD8">
        <w:t xml:space="preserve"> reçu</w:t>
      </w:r>
      <w:r>
        <w:t>e</w:t>
      </w:r>
      <w:r w:rsidRPr="00A45AD8">
        <w:t xml:space="preserve">s. </w:t>
      </w:r>
    </w:p>
    <w:tbl>
      <w:tblPr>
        <w:tblStyle w:val="GridTable1Light-Accent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2086"/>
        <w:gridCol w:w="2086"/>
        <w:gridCol w:w="1807"/>
        <w:gridCol w:w="1391"/>
      </w:tblGrid>
      <w:tr w:rsidR="00A454AE" w:rsidRPr="00FE33C4" w14:paraId="2FFE5A85" w14:textId="77777777" w:rsidTr="00FE33C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86" w:type="dxa"/>
            <w:tcBorders>
              <w:top w:val="single" w:sz="4" w:space="0" w:color="auto"/>
              <w:bottom w:val="single" w:sz="12" w:space="0" w:color="auto"/>
            </w:tcBorders>
            <w:vAlign w:val="bottom"/>
          </w:tcPr>
          <w:p w14:paraId="0E6A9E8F" w14:textId="77777777" w:rsidR="00A454AE" w:rsidRPr="00FE33C4" w:rsidRDefault="00A454AE" w:rsidP="00FE33C4">
            <w:pPr>
              <w:spacing w:before="80" w:after="80" w:line="200" w:lineRule="exact"/>
              <w:ind w:right="113"/>
              <w:rPr>
                <w:b w:val="0"/>
                <w:i/>
                <w:sz w:val="16"/>
              </w:rPr>
            </w:pPr>
            <w:r w:rsidRPr="00FE33C4">
              <w:rPr>
                <w:b w:val="0"/>
                <w:i/>
                <w:sz w:val="16"/>
              </w:rPr>
              <w:t>Année</w:t>
            </w:r>
          </w:p>
        </w:tc>
        <w:tc>
          <w:tcPr>
            <w:tcW w:w="2086" w:type="dxa"/>
            <w:tcBorders>
              <w:top w:val="single" w:sz="4" w:space="0" w:color="auto"/>
              <w:bottom w:val="single" w:sz="12" w:space="0" w:color="auto"/>
            </w:tcBorders>
            <w:vAlign w:val="bottom"/>
          </w:tcPr>
          <w:p w14:paraId="2B517C43" w14:textId="77777777" w:rsidR="00A454AE" w:rsidRPr="00FE33C4" w:rsidRDefault="00A454AE" w:rsidP="00FE33C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6"/>
              </w:rPr>
            </w:pPr>
            <w:r w:rsidRPr="00FE33C4">
              <w:rPr>
                <w:b w:val="0"/>
                <w:i/>
                <w:sz w:val="16"/>
              </w:rPr>
              <w:t xml:space="preserve">Nombre total de réclamations </w:t>
            </w:r>
          </w:p>
        </w:tc>
        <w:tc>
          <w:tcPr>
            <w:tcW w:w="1807" w:type="dxa"/>
            <w:tcBorders>
              <w:top w:val="single" w:sz="4" w:space="0" w:color="auto"/>
              <w:bottom w:val="single" w:sz="12" w:space="0" w:color="auto"/>
            </w:tcBorders>
            <w:vAlign w:val="bottom"/>
          </w:tcPr>
          <w:p w14:paraId="7018E589" w14:textId="77777777" w:rsidR="00A454AE" w:rsidRPr="00FE33C4" w:rsidRDefault="00A454AE" w:rsidP="00FE33C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6"/>
              </w:rPr>
            </w:pPr>
            <w:r w:rsidRPr="00FE33C4">
              <w:rPr>
                <w:b w:val="0"/>
                <w:i/>
                <w:sz w:val="16"/>
              </w:rPr>
              <w:t xml:space="preserve">Accusations de profilage racial ou racisme </w:t>
            </w:r>
          </w:p>
        </w:tc>
        <w:tc>
          <w:tcPr>
            <w:tcW w:w="1391" w:type="dxa"/>
            <w:tcBorders>
              <w:top w:val="single" w:sz="4" w:space="0" w:color="auto"/>
              <w:bottom w:val="single" w:sz="12" w:space="0" w:color="auto"/>
            </w:tcBorders>
            <w:vAlign w:val="bottom"/>
          </w:tcPr>
          <w:p w14:paraId="062AB8C0" w14:textId="77777777" w:rsidR="00A454AE" w:rsidRPr="00FE33C4" w:rsidRDefault="00A454AE" w:rsidP="00FE33C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sz w:val="16"/>
              </w:rPr>
            </w:pPr>
            <w:r w:rsidRPr="00FE33C4">
              <w:rPr>
                <w:b w:val="0"/>
                <w:i/>
                <w:sz w:val="16"/>
              </w:rPr>
              <w:t xml:space="preserve">Proportion </w:t>
            </w:r>
          </w:p>
        </w:tc>
      </w:tr>
      <w:tr w:rsidR="00FE33C4" w:rsidRPr="00FE33C4" w14:paraId="5A1B8524" w14:textId="77777777" w:rsidTr="00FE33C4">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2086" w:type="dxa"/>
            <w:tcBorders>
              <w:top w:val="single" w:sz="12" w:space="0" w:color="auto"/>
            </w:tcBorders>
          </w:tcPr>
          <w:p w14:paraId="34AC499D" w14:textId="77777777" w:rsidR="00FE33C4" w:rsidRPr="00FE33C4" w:rsidRDefault="00FE33C4" w:rsidP="00FE33C4">
            <w:pPr>
              <w:spacing w:before="40" w:after="120"/>
              <w:ind w:right="113"/>
            </w:pPr>
          </w:p>
        </w:tc>
        <w:tc>
          <w:tcPr>
            <w:tcW w:w="2086" w:type="dxa"/>
            <w:tcBorders>
              <w:top w:val="single" w:sz="12" w:space="0" w:color="auto"/>
            </w:tcBorders>
          </w:tcPr>
          <w:p w14:paraId="5090EA5F" w14:textId="77777777" w:rsidR="00FE33C4" w:rsidRPr="00FE33C4" w:rsidRDefault="00FE33C4" w:rsidP="00FE33C4">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1807" w:type="dxa"/>
            <w:tcBorders>
              <w:top w:val="single" w:sz="12" w:space="0" w:color="auto"/>
            </w:tcBorders>
          </w:tcPr>
          <w:p w14:paraId="627C0C49" w14:textId="77777777" w:rsidR="00FE33C4" w:rsidRPr="00FE33C4" w:rsidRDefault="00FE33C4" w:rsidP="00FE33C4">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1391" w:type="dxa"/>
            <w:tcBorders>
              <w:top w:val="single" w:sz="12" w:space="0" w:color="auto"/>
            </w:tcBorders>
          </w:tcPr>
          <w:p w14:paraId="4BF03B30" w14:textId="77777777" w:rsidR="00FE33C4" w:rsidRPr="00FE33C4" w:rsidRDefault="00FE33C4" w:rsidP="00FE33C4">
            <w:pPr>
              <w:spacing w:before="40" w:after="120"/>
              <w:ind w:right="113"/>
              <w:cnfStyle w:val="100000000000" w:firstRow="1" w:lastRow="0" w:firstColumn="0" w:lastColumn="0" w:oddVBand="0" w:evenVBand="0" w:oddHBand="0" w:evenHBand="0" w:firstRowFirstColumn="0" w:firstRowLastColumn="0" w:lastRowFirstColumn="0" w:lastRowLastColumn="0"/>
            </w:pPr>
          </w:p>
        </w:tc>
      </w:tr>
      <w:tr w:rsidR="00A454AE" w:rsidRPr="00FE33C4" w14:paraId="1068281A" w14:textId="77777777" w:rsidTr="00FE33C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86" w:type="dxa"/>
            <w:tcBorders>
              <w:bottom w:val="none" w:sz="0" w:space="0" w:color="auto"/>
            </w:tcBorders>
          </w:tcPr>
          <w:p w14:paraId="4BE35FB5" w14:textId="77777777" w:rsidR="00A454AE" w:rsidRPr="00FE33C4" w:rsidRDefault="00A454AE" w:rsidP="00FE33C4">
            <w:pPr>
              <w:spacing w:before="40" w:after="120"/>
              <w:ind w:right="113"/>
              <w:rPr>
                <w:b w:val="0"/>
                <w:bCs w:val="0"/>
              </w:rPr>
            </w:pPr>
            <w:r w:rsidRPr="00FE33C4">
              <w:rPr>
                <w:b w:val="0"/>
              </w:rPr>
              <w:t>2024</w:t>
            </w:r>
          </w:p>
        </w:tc>
        <w:tc>
          <w:tcPr>
            <w:tcW w:w="2086" w:type="dxa"/>
            <w:tcBorders>
              <w:bottom w:val="none" w:sz="0" w:space="0" w:color="auto"/>
            </w:tcBorders>
          </w:tcPr>
          <w:p w14:paraId="6CDB6FDA" w14:textId="77777777" w:rsidR="00A454AE" w:rsidRPr="00FE33C4" w:rsidRDefault="00A454AE" w:rsidP="00FE33C4">
            <w:pPr>
              <w:spacing w:before="40" w:after="120"/>
              <w:ind w:right="113"/>
              <w:cnfStyle w:val="100000000000" w:firstRow="1" w:lastRow="0" w:firstColumn="0" w:lastColumn="0" w:oddVBand="0" w:evenVBand="0" w:oddHBand="0" w:evenHBand="0" w:firstRowFirstColumn="0" w:firstRowLastColumn="0" w:lastRowFirstColumn="0" w:lastRowLastColumn="0"/>
            </w:pPr>
            <w:r w:rsidRPr="00FE33C4">
              <w:t>113</w:t>
            </w:r>
          </w:p>
        </w:tc>
        <w:tc>
          <w:tcPr>
            <w:tcW w:w="1807" w:type="dxa"/>
            <w:tcBorders>
              <w:bottom w:val="none" w:sz="0" w:space="0" w:color="auto"/>
            </w:tcBorders>
          </w:tcPr>
          <w:p w14:paraId="395EFAE0" w14:textId="77777777" w:rsidR="00A454AE" w:rsidRPr="00FE33C4" w:rsidRDefault="00A454AE" w:rsidP="00FE33C4">
            <w:pPr>
              <w:spacing w:before="40" w:after="120"/>
              <w:ind w:right="113"/>
              <w:cnfStyle w:val="100000000000" w:firstRow="1" w:lastRow="0" w:firstColumn="0" w:lastColumn="0" w:oddVBand="0" w:evenVBand="0" w:oddHBand="0" w:evenHBand="0" w:firstRowFirstColumn="0" w:firstRowLastColumn="0" w:lastRowFirstColumn="0" w:lastRowLastColumn="0"/>
            </w:pPr>
            <w:r w:rsidRPr="00FE33C4">
              <w:t>10</w:t>
            </w:r>
          </w:p>
        </w:tc>
        <w:tc>
          <w:tcPr>
            <w:tcW w:w="1391" w:type="dxa"/>
            <w:tcBorders>
              <w:bottom w:val="none" w:sz="0" w:space="0" w:color="auto"/>
            </w:tcBorders>
          </w:tcPr>
          <w:p w14:paraId="0BCB46CF" w14:textId="77777777" w:rsidR="00A454AE" w:rsidRPr="00FE33C4" w:rsidRDefault="00A454AE" w:rsidP="00FE33C4">
            <w:pPr>
              <w:spacing w:before="40" w:after="120"/>
              <w:ind w:right="113"/>
              <w:cnfStyle w:val="100000000000" w:firstRow="1" w:lastRow="0" w:firstColumn="0" w:lastColumn="0" w:oddVBand="0" w:evenVBand="0" w:oddHBand="0" w:evenHBand="0" w:firstRowFirstColumn="0" w:firstRowLastColumn="0" w:lastRowFirstColumn="0" w:lastRowLastColumn="0"/>
            </w:pPr>
            <w:r w:rsidRPr="00FE33C4">
              <w:t>9 %</w:t>
            </w:r>
          </w:p>
        </w:tc>
      </w:tr>
      <w:tr w:rsidR="00A454AE" w:rsidRPr="00FE33C4" w14:paraId="205BC664" w14:textId="77777777" w:rsidTr="00FE33C4">
        <w:tc>
          <w:tcPr>
            <w:cnfStyle w:val="001000000000" w:firstRow="0" w:lastRow="0" w:firstColumn="1" w:lastColumn="0" w:oddVBand="0" w:evenVBand="0" w:oddHBand="0" w:evenHBand="0" w:firstRowFirstColumn="0" w:firstRowLastColumn="0" w:lastRowFirstColumn="0" w:lastRowLastColumn="0"/>
            <w:tcW w:w="2086" w:type="dxa"/>
          </w:tcPr>
          <w:p w14:paraId="06D72A11" w14:textId="77777777" w:rsidR="00A454AE" w:rsidRPr="00FE33C4" w:rsidRDefault="00A454AE" w:rsidP="00FE33C4">
            <w:pPr>
              <w:spacing w:before="40" w:after="120"/>
              <w:ind w:right="113"/>
              <w:rPr>
                <w:b w:val="0"/>
                <w:bCs w:val="0"/>
              </w:rPr>
            </w:pPr>
            <w:r w:rsidRPr="00FE33C4">
              <w:rPr>
                <w:b w:val="0"/>
              </w:rPr>
              <w:t>2023</w:t>
            </w:r>
          </w:p>
        </w:tc>
        <w:tc>
          <w:tcPr>
            <w:tcW w:w="2086" w:type="dxa"/>
          </w:tcPr>
          <w:p w14:paraId="07757FA2" w14:textId="77777777" w:rsidR="00A454AE" w:rsidRPr="00FE33C4" w:rsidRDefault="00A454AE" w:rsidP="00FE33C4">
            <w:pPr>
              <w:spacing w:before="40" w:after="120"/>
              <w:ind w:right="113"/>
              <w:cnfStyle w:val="000000000000" w:firstRow="0" w:lastRow="0" w:firstColumn="0" w:lastColumn="0" w:oddVBand="0" w:evenVBand="0" w:oddHBand="0" w:evenHBand="0" w:firstRowFirstColumn="0" w:firstRowLastColumn="0" w:lastRowFirstColumn="0" w:lastRowLastColumn="0"/>
            </w:pPr>
            <w:r w:rsidRPr="00FE33C4">
              <w:t>131</w:t>
            </w:r>
          </w:p>
        </w:tc>
        <w:tc>
          <w:tcPr>
            <w:tcW w:w="1807" w:type="dxa"/>
          </w:tcPr>
          <w:p w14:paraId="41AE18D5" w14:textId="77777777" w:rsidR="00A454AE" w:rsidRPr="00FE33C4" w:rsidRDefault="00A454AE" w:rsidP="00FE33C4">
            <w:pPr>
              <w:spacing w:before="40" w:after="120"/>
              <w:ind w:right="113"/>
              <w:cnfStyle w:val="000000000000" w:firstRow="0" w:lastRow="0" w:firstColumn="0" w:lastColumn="0" w:oddVBand="0" w:evenVBand="0" w:oddHBand="0" w:evenHBand="0" w:firstRowFirstColumn="0" w:firstRowLastColumn="0" w:lastRowFirstColumn="0" w:lastRowLastColumn="0"/>
            </w:pPr>
            <w:r w:rsidRPr="00FE33C4">
              <w:t>15</w:t>
            </w:r>
          </w:p>
        </w:tc>
        <w:tc>
          <w:tcPr>
            <w:tcW w:w="1391" w:type="dxa"/>
          </w:tcPr>
          <w:p w14:paraId="4EFB78F2" w14:textId="77777777" w:rsidR="00A454AE" w:rsidRPr="00FE33C4" w:rsidRDefault="00A454AE" w:rsidP="00FE33C4">
            <w:pPr>
              <w:spacing w:before="40" w:after="120"/>
              <w:ind w:right="113"/>
              <w:cnfStyle w:val="000000000000" w:firstRow="0" w:lastRow="0" w:firstColumn="0" w:lastColumn="0" w:oddVBand="0" w:evenVBand="0" w:oddHBand="0" w:evenHBand="0" w:firstRowFirstColumn="0" w:firstRowLastColumn="0" w:lastRowFirstColumn="0" w:lastRowLastColumn="0"/>
            </w:pPr>
            <w:r w:rsidRPr="00FE33C4">
              <w:t>11 %</w:t>
            </w:r>
          </w:p>
        </w:tc>
      </w:tr>
      <w:tr w:rsidR="00A454AE" w:rsidRPr="00FE33C4" w14:paraId="6CE243AB" w14:textId="77777777" w:rsidTr="00FE33C4">
        <w:tc>
          <w:tcPr>
            <w:cnfStyle w:val="001000000000" w:firstRow="0" w:lastRow="0" w:firstColumn="1" w:lastColumn="0" w:oddVBand="0" w:evenVBand="0" w:oddHBand="0" w:evenHBand="0" w:firstRowFirstColumn="0" w:firstRowLastColumn="0" w:lastRowFirstColumn="0" w:lastRowLastColumn="0"/>
            <w:tcW w:w="2086" w:type="dxa"/>
            <w:tcBorders>
              <w:bottom w:val="single" w:sz="12" w:space="0" w:color="auto"/>
            </w:tcBorders>
          </w:tcPr>
          <w:p w14:paraId="7BD6A212" w14:textId="77777777" w:rsidR="00A454AE" w:rsidRPr="00FE33C4" w:rsidRDefault="00A454AE" w:rsidP="00FE33C4">
            <w:pPr>
              <w:spacing w:before="40" w:after="120"/>
              <w:ind w:right="113"/>
              <w:rPr>
                <w:b w:val="0"/>
                <w:bCs w:val="0"/>
              </w:rPr>
            </w:pPr>
            <w:r w:rsidRPr="00FE33C4">
              <w:rPr>
                <w:b w:val="0"/>
              </w:rPr>
              <w:t>2022</w:t>
            </w:r>
          </w:p>
        </w:tc>
        <w:tc>
          <w:tcPr>
            <w:tcW w:w="2086" w:type="dxa"/>
            <w:tcBorders>
              <w:bottom w:val="single" w:sz="12" w:space="0" w:color="auto"/>
            </w:tcBorders>
          </w:tcPr>
          <w:p w14:paraId="74149222" w14:textId="77777777" w:rsidR="00A454AE" w:rsidRPr="00FE33C4" w:rsidRDefault="00A454AE" w:rsidP="00FE33C4">
            <w:pPr>
              <w:spacing w:before="40" w:after="120"/>
              <w:ind w:right="113"/>
              <w:cnfStyle w:val="000000000000" w:firstRow="0" w:lastRow="0" w:firstColumn="0" w:lastColumn="0" w:oddVBand="0" w:evenVBand="0" w:oddHBand="0" w:evenHBand="0" w:firstRowFirstColumn="0" w:firstRowLastColumn="0" w:lastRowFirstColumn="0" w:lastRowLastColumn="0"/>
            </w:pPr>
            <w:r w:rsidRPr="00FE33C4">
              <w:t>190</w:t>
            </w:r>
          </w:p>
        </w:tc>
        <w:tc>
          <w:tcPr>
            <w:tcW w:w="1807" w:type="dxa"/>
            <w:tcBorders>
              <w:bottom w:val="single" w:sz="12" w:space="0" w:color="auto"/>
            </w:tcBorders>
          </w:tcPr>
          <w:p w14:paraId="54371D75" w14:textId="77777777" w:rsidR="00A454AE" w:rsidRPr="00FE33C4" w:rsidRDefault="00A454AE" w:rsidP="00FE33C4">
            <w:pPr>
              <w:spacing w:before="40" w:after="120"/>
              <w:ind w:right="113"/>
              <w:cnfStyle w:val="000000000000" w:firstRow="0" w:lastRow="0" w:firstColumn="0" w:lastColumn="0" w:oddVBand="0" w:evenVBand="0" w:oddHBand="0" w:evenHBand="0" w:firstRowFirstColumn="0" w:firstRowLastColumn="0" w:lastRowFirstColumn="0" w:lastRowLastColumn="0"/>
            </w:pPr>
            <w:r w:rsidRPr="00FE33C4">
              <w:t>10</w:t>
            </w:r>
          </w:p>
        </w:tc>
        <w:tc>
          <w:tcPr>
            <w:tcW w:w="1391" w:type="dxa"/>
            <w:tcBorders>
              <w:bottom w:val="single" w:sz="12" w:space="0" w:color="auto"/>
            </w:tcBorders>
          </w:tcPr>
          <w:p w14:paraId="6171FC20" w14:textId="77777777" w:rsidR="00A454AE" w:rsidRPr="00FE33C4" w:rsidRDefault="00A454AE" w:rsidP="00FE33C4">
            <w:pPr>
              <w:spacing w:before="40" w:after="120"/>
              <w:ind w:right="113"/>
              <w:cnfStyle w:val="000000000000" w:firstRow="0" w:lastRow="0" w:firstColumn="0" w:lastColumn="0" w:oddVBand="0" w:evenVBand="0" w:oddHBand="0" w:evenHBand="0" w:firstRowFirstColumn="0" w:firstRowLastColumn="0" w:lastRowFirstColumn="0" w:lastRowLastColumn="0"/>
            </w:pPr>
            <w:r w:rsidRPr="00FE33C4">
              <w:t>5 %</w:t>
            </w:r>
          </w:p>
        </w:tc>
      </w:tr>
    </w:tbl>
    <w:p w14:paraId="3991C1D0" w14:textId="0B1B8E7B" w:rsidR="00A454AE" w:rsidRPr="00A45AD8" w:rsidRDefault="00502488" w:rsidP="00502488">
      <w:pPr>
        <w:pStyle w:val="H4G"/>
      </w:pPr>
      <w:r>
        <w:tab/>
      </w:r>
      <w:r>
        <w:tab/>
      </w:r>
      <w:r w:rsidR="00A454AE" w:rsidRPr="00A45AD8">
        <w:t>Mise en œuvre de la recommandation formulée au ch. 22 des observations finales :</w:t>
      </w:r>
    </w:p>
    <w:p w14:paraId="27C52C12"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w:t>
      </w:r>
      <w:r>
        <w:t>’</w:t>
      </w:r>
      <w:r w:rsidRPr="00A45AD8">
        <w:t xml:space="preserve">État partie prend note avec attention de la recommandation du </w:t>
      </w:r>
      <w:r>
        <w:t>c</w:t>
      </w:r>
      <w:r w:rsidRPr="00A45AD8">
        <w:t xml:space="preserve">omité concernant les </w:t>
      </w:r>
      <w:proofErr w:type="gramStart"/>
      <w:r w:rsidRPr="00A45AD8">
        <w:t>risques potentiels</w:t>
      </w:r>
      <w:proofErr w:type="gramEnd"/>
      <w:r w:rsidRPr="00A45AD8">
        <w:t xml:space="preserve"> de profilage, de discrimination ou de stigmatisation liés à l</w:t>
      </w:r>
      <w:r>
        <w:t>’</w:t>
      </w:r>
      <w:r w:rsidRPr="00A45AD8">
        <w:t>utilisation des analyses de l</w:t>
      </w:r>
      <w:r>
        <w:t>’</w:t>
      </w:r>
      <w:r w:rsidRPr="00A45AD8">
        <w:t>ADN, notamment dans un contexte pénal.</w:t>
      </w:r>
    </w:p>
    <w:p w14:paraId="52386A68"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Des modifications de la législation suisse sur les profils ADN sont entrées en vigueur le 1</w:t>
      </w:r>
      <w:r w:rsidRPr="006539DE">
        <w:rPr>
          <w:vertAlign w:val="superscript"/>
        </w:rPr>
        <w:t>er</w:t>
      </w:r>
      <w:r>
        <w:t> </w:t>
      </w:r>
      <w:r w:rsidRPr="00A45AD8">
        <w:t>août 2023. Ces modifications permettent, sous conditions strictes, la recherche de caractéristiques phénotypiques et de liens familiaux en cas d</w:t>
      </w:r>
      <w:r>
        <w:t>’</w:t>
      </w:r>
      <w:r w:rsidRPr="00A45AD8">
        <w:t>infraction grave. À ce jour, aucune évaluation indépendante ou étude approfondie sur la mise en œuvre de ces nouvelles dispositions n</w:t>
      </w:r>
      <w:r>
        <w:t>’</w:t>
      </w:r>
      <w:r w:rsidRPr="00A45AD8">
        <w:t>a encore été réalisée.</w:t>
      </w:r>
    </w:p>
    <w:p w14:paraId="5956F6A4" w14:textId="7F6D0E52" w:rsidR="00A454AE" w:rsidRPr="00A45AD8" w:rsidRDefault="00502488" w:rsidP="00502488">
      <w:pPr>
        <w:pStyle w:val="H23G"/>
      </w:pPr>
      <w:bookmarkStart w:id="75" w:name="_Hlk201068620"/>
      <w:bookmarkEnd w:id="74"/>
      <w:r>
        <w:tab/>
      </w:r>
      <w:r>
        <w:tab/>
      </w:r>
      <w:r w:rsidR="00A454AE" w:rsidRPr="00A45AD8">
        <w:t>Yéniche, Manouches/</w:t>
      </w:r>
      <w:proofErr w:type="spellStart"/>
      <w:r w:rsidR="00A454AE" w:rsidRPr="00A45AD8">
        <w:t>Sintés</w:t>
      </w:r>
      <w:proofErr w:type="spellEnd"/>
      <w:r w:rsidR="00A454AE" w:rsidRPr="00A45AD8" w:rsidDel="00CA545A">
        <w:t xml:space="preserve"> </w:t>
      </w:r>
      <w:r w:rsidR="00A454AE" w:rsidRPr="00A45AD8">
        <w:t>et Roms</w:t>
      </w:r>
    </w:p>
    <w:p w14:paraId="7840C9C4"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Comme mentionné </w:t>
      </w:r>
      <w:r>
        <w:t>au chiffre </w:t>
      </w:r>
      <w:r w:rsidRPr="0057772C">
        <w:t>2</w:t>
      </w:r>
      <w:r>
        <w:t>6</w:t>
      </w:r>
      <w:r w:rsidRPr="00A45AD8">
        <w:t>, le Conseil fédéral a pris connaissance en février 2025 d</w:t>
      </w:r>
      <w:r>
        <w:t>’</w:t>
      </w:r>
      <w:r w:rsidRPr="00A45AD8">
        <w:t xml:space="preserve">un avis de droit qualifiant les persécutions historiques des </w:t>
      </w:r>
      <w:proofErr w:type="spellStart"/>
      <w:r w:rsidRPr="00A45AD8">
        <w:t>Yéniches</w:t>
      </w:r>
      <w:proofErr w:type="spellEnd"/>
      <w:r w:rsidRPr="00A45AD8">
        <w:t xml:space="preserve"> et des Manouches/</w:t>
      </w:r>
      <w:proofErr w:type="spellStart"/>
      <w:r w:rsidRPr="00A45AD8">
        <w:t>Sintés</w:t>
      </w:r>
      <w:proofErr w:type="spellEnd"/>
      <w:r w:rsidRPr="00A45AD8" w:rsidDel="00CA545A">
        <w:t xml:space="preserve"> </w:t>
      </w:r>
      <w:r w:rsidRPr="00A45AD8">
        <w:t xml:space="preserve">de </w:t>
      </w:r>
      <w:r>
        <w:t>« </w:t>
      </w:r>
      <w:r w:rsidRPr="00A45AD8">
        <w:t>crimes contre l</w:t>
      </w:r>
      <w:r>
        <w:t>’</w:t>
      </w:r>
      <w:r w:rsidRPr="00A45AD8">
        <w:t>humanité</w:t>
      </w:r>
      <w:r>
        <w:t> »</w:t>
      </w:r>
      <w:r w:rsidRPr="00A45AD8">
        <w:t xml:space="preserve"> au regard du droit international</w:t>
      </w:r>
      <w:r>
        <w:t xml:space="preserve"> actuel</w:t>
      </w:r>
      <w:r w:rsidRPr="00A45AD8">
        <w:t>. Il a réitéré</w:t>
      </w:r>
      <w:r>
        <w:t xml:space="preserve">, </w:t>
      </w:r>
      <w:r w:rsidRPr="003A0D80">
        <w:t>dans ce contexte, ses excuses adressées en 2013 à toutes les victimes des mesures de coercition à des fins d’assistance.</w:t>
      </w:r>
      <w:r w:rsidRPr="00A45AD8">
        <w:t xml:space="preserve"> </w:t>
      </w:r>
      <w:r w:rsidRPr="006B5C74">
        <w:t xml:space="preserve">Dans le contexte actuel, </w:t>
      </w:r>
      <w:r>
        <w:t>l’OFC</w:t>
      </w:r>
      <w:r w:rsidRPr="006B5C74">
        <w:t xml:space="preserve"> a été chargé par le Conseil fédéral d’engager, dès 2025, un dialogue structuré avec les communautés concernées. Ce processus de dialogue se déroule sous l’accompagnement d’une médiatrice et d’un médiateur expérimentés. De nombreuses organisations de la communauté </w:t>
      </w:r>
      <w:proofErr w:type="spellStart"/>
      <w:r w:rsidRPr="006B5C74">
        <w:t>yéniche</w:t>
      </w:r>
      <w:proofErr w:type="spellEnd"/>
      <w:r w:rsidRPr="006B5C74">
        <w:t xml:space="preserve"> ainsi que le </w:t>
      </w:r>
      <w:r>
        <w:t>SLR</w:t>
      </w:r>
      <w:r w:rsidRPr="006B5C74">
        <w:t xml:space="preserve"> participent </w:t>
      </w:r>
      <w:r>
        <w:t>au groupe</w:t>
      </w:r>
      <w:r w:rsidRPr="006B5C74">
        <w:t xml:space="preserve"> de travail concerné. L’objectif de ce processus est de clarifier quelles nouvelles mesures pourraient s’avérer nécessaires.</w:t>
      </w:r>
    </w:p>
    <w:p w14:paraId="68895C63" w14:textId="7363A4B0" w:rsidR="00A454AE" w:rsidRPr="00A45AD8" w:rsidRDefault="00502488" w:rsidP="00502488">
      <w:pPr>
        <w:pStyle w:val="H4G"/>
      </w:pPr>
      <w:r>
        <w:tab/>
      </w:r>
      <w:r>
        <w:tab/>
      </w:r>
      <w:r w:rsidR="00A454AE" w:rsidRPr="00A45AD8">
        <w:t>Mise en œuvre de la recommandation formulée au ch.</w:t>
      </w:r>
      <w:r w:rsidR="00A454AE">
        <w:t> </w:t>
      </w:r>
      <w:r w:rsidR="00A454AE" w:rsidRPr="00A45AD8">
        <w:t>24a des observations finales :</w:t>
      </w:r>
    </w:p>
    <w:p w14:paraId="78AA294A"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Conformément à la répartition des compétences en matière d</w:t>
      </w:r>
      <w:r>
        <w:t>’</w:t>
      </w:r>
      <w:r w:rsidRPr="00A45AD8">
        <w:t>aménagement du territoire, la responsabilité de la création et de l</w:t>
      </w:r>
      <w:r>
        <w:t>’</w:t>
      </w:r>
      <w:r w:rsidRPr="00A45AD8">
        <w:t>entretien des aires de séjour et de transit incombe aux cantons. La Confédération soutient ces efforts à titre subsidiaire, notamment par l</w:t>
      </w:r>
      <w:r>
        <w:t>’</w:t>
      </w:r>
      <w:r w:rsidRPr="00A45AD8">
        <w:t>octroi d</w:t>
      </w:r>
      <w:r>
        <w:t>’</w:t>
      </w:r>
      <w:r w:rsidRPr="00A45AD8">
        <w:t>aides financières pour la réalisation de projets.</w:t>
      </w:r>
    </w:p>
    <w:p w14:paraId="32FEE83B" w14:textId="77777777" w:rsidR="00A454AE" w:rsidRPr="006B5C74" w:rsidRDefault="00A454AE" w:rsidP="00753414">
      <w:pPr>
        <w:pStyle w:val="SingleTxtG"/>
        <w:numPr>
          <w:ilvl w:val="0"/>
          <w:numId w:val="43"/>
        </w:numPr>
        <w:kinsoku/>
        <w:overflowPunct/>
        <w:autoSpaceDE/>
        <w:autoSpaceDN/>
        <w:adjustRightInd/>
        <w:snapToGrid/>
        <w:ind w:left="1134" w:firstLine="0"/>
      </w:pPr>
      <w:r w:rsidRPr="00A45AD8">
        <w:t xml:space="preserve">Afin de répondre aux besoins spécifiques des </w:t>
      </w:r>
      <w:proofErr w:type="spellStart"/>
      <w:r w:rsidRPr="00A45AD8">
        <w:t>Yéniches</w:t>
      </w:r>
      <w:proofErr w:type="spellEnd"/>
      <w:r w:rsidRPr="00A45AD8">
        <w:t>, Manouches/</w:t>
      </w:r>
      <w:proofErr w:type="spellStart"/>
      <w:r w:rsidRPr="00A45AD8">
        <w:t>Sintés</w:t>
      </w:r>
      <w:proofErr w:type="spellEnd"/>
      <w:r w:rsidRPr="00A45AD8" w:rsidDel="00CA545A">
        <w:t xml:space="preserve"> </w:t>
      </w:r>
      <w:r w:rsidRPr="00A45AD8">
        <w:t xml:space="preserve">et Roms nomades, la Confédération collabore avec la fondation </w:t>
      </w:r>
      <w:r w:rsidRPr="006539DE">
        <w:rPr>
          <w:i/>
          <w:iCs/>
        </w:rPr>
        <w:t>Assurer l</w:t>
      </w:r>
      <w:r>
        <w:rPr>
          <w:i/>
          <w:iCs/>
        </w:rPr>
        <w:t>’</w:t>
      </w:r>
      <w:r w:rsidRPr="006539DE">
        <w:rPr>
          <w:i/>
          <w:iCs/>
        </w:rPr>
        <w:t>avenir des gens du voyage suisses</w:t>
      </w:r>
      <w:r w:rsidRPr="00A45AD8">
        <w:t>, qui effectue un recensement quinquennal des aires disponibles. Selon le dernier inventaire, établi en 2021, seule une petite moitié des surfaces nécessaires est actuellement disponible, bien que la situation se soit stabilisée après une période de diminution.</w:t>
      </w:r>
      <w:r>
        <w:t xml:space="preserve"> </w:t>
      </w:r>
      <w:r w:rsidRPr="006B5C74">
        <w:t>Au cours des trois dernières années, de nouvelles places ont pu être ouvertes, notamment dans les cantons de Schaffhouse, Berne et Vaud. Le prochain état des lieux est prévu pour l’année 2026, mais une légère tendance positive peut déjà être observée.</w:t>
      </w:r>
    </w:p>
    <w:p w14:paraId="781FEC15"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La fondation </w:t>
      </w:r>
      <w:r w:rsidRPr="00A45AD8">
        <w:rPr>
          <w:i/>
          <w:iCs/>
        </w:rPr>
        <w:t>Assurer l</w:t>
      </w:r>
      <w:r>
        <w:rPr>
          <w:i/>
          <w:iCs/>
        </w:rPr>
        <w:t>’</w:t>
      </w:r>
      <w:r w:rsidRPr="00A45AD8">
        <w:rPr>
          <w:i/>
          <w:iCs/>
        </w:rPr>
        <w:t>avenir des gens du voyage suisses</w:t>
      </w:r>
      <w:r w:rsidRPr="00A45AD8">
        <w:t xml:space="preserve"> joue un rôle central dans la mise en œuvre de nouvelles aires, en proposant un accompagnement technique aux cantons et aux communes, ainsi qu</w:t>
      </w:r>
      <w:r>
        <w:t>’</w:t>
      </w:r>
      <w:r w:rsidRPr="00A45AD8">
        <w:t>un soutien financier direct. Un projet pilote visant à permettre l</w:t>
      </w:r>
      <w:r>
        <w:t>’</w:t>
      </w:r>
      <w:r w:rsidRPr="00A45AD8">
        <w:t>utilisation de terrains appartenant à la Confédération est également en cours, dans le but de diversifier les options d</w:t>
      </w:r>
      <w:r>
        <w:t>’</w:t>
      </w:r>
      <w:r w:rsidRPr="00A45AD8">
        <w:t>aménagement et de renforcer l</w:t>
      </w:r>
      <w:r>
        <w:t>’</w:t>
      </w:r>
      <w:r w:rsidRPr="00A45AD8">
        <w:t>offre existante.</w:t>
      </w:r>
    </w:p>
    <w:p w14:paraId="7BB0DADC"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lastRenderedPageBreak/>
        <w:t>Ces mesures s</w:t>
      </w:r>
      <w:r>
        <w:t>’</w:t>
      </w:r>
      <w:r w:rsidRPr="00A45AD8">
        <w:t>inscrivent dans une politique cohérente de promotion de la culture nomade et de respect des droits des minorités, suisses comme étrangères, vivant selon un mode de vie itinérant.</w:t>
      </w:r>
    </w:p>
    <w:p w14:paraId="4AC9263A" w14:textId="77777777" w:rsidR="00A454AE" w:rsidRPr="006539DE" w:rsidRDefault="00A454AE" w:rsidP="00753414">
      <w:pPr>
        <w:pStyle w:val="SingleTxtG"/>
        <w:numPr>
          <w:ilvl w:val="0"/>
          <w:numId w:val="43"/>
        </w:numPr>
        <w:kinsoku/>
        <w:overflowPunct/>
        <w:autoSpaceDE/>
        <w:autoSpaceDN/>
        <w:adjustRightInd/>
        <w:snapToGrid/>
        <w:ind w:left="1134" w:firstLine="0"/>
      </w:pPr>
      <w:r w:rsidRPr="00A45AD8">
        <w:t>Si les cantons reconnaissent l</w:t>
      </w:r>
      <w:r>
        <w:t>’</w:t>
      </w:r>
      <w:r w:rsidRPr="00A45AD8">
        <w:t xml:space="preserve">importance des aires de séjour </w:t>
      </w:r>
      <w:r w:rsidRPr="00305691">
        <w:t>et de transit</w:t>
      </w:r>
      <w:r w:rsidRPr="00A45AD8">
        <w:t xml:space="preserve">, la mise en place de </w:t>
      </w:r>
      <w:proofErr w:type="gramStart"/>
      <w:r w:rsidRPr="00A45AD8">
        <w:t>ces dernières avance</w:t>
      </w:r>
      <w:proofErr w:type="gramEnd"/>
      <w:r w:rsidRPr="00A45AD8">
        <w:t xml:space="preserve"> de manière très variable, selon les cantons : certains d</w:t>
      </w:r>
      <w:r>
        <w:t>’</w:t>
      </w:r>
      <w:r w:rsidRPr="00A45AD8">
        <w:t>entre eux disposent déjà d</w:t>
      </w:r>
      <w:r>
        <w:t>’</w:t>
      </w:r>
      <w:r w:rsidRPr="00A45AD8">
        <w:t xml:space="preserve">aires </w:t>
      </w:r>
      <w:r>
        <w:t>en utilisation</w:t>
      </w:r>
      <w:r w:rsidRPr="00A45AD8">
        <w:t xml:space="preserve"> ou les ont déjà modernisées, tandis que d</w:t>
      </w:r>
      <w:r>
        <w:t>’</w:t>
      </w:r>
      <w:r w:rsidRPr="00A45AD8">
        <w:t>autres en sont encore à la conception et aux projets. Nombre de mesures prises consistent à moderniser des aires déjà existantes (</w:t>
      </w:r>
      <w:r>
        <w:t xml:space="preserve">Argovie, </w:t>
      </w:r>
      <w:r w:rsidRPr="00A45AD8">
        <w:t>Bâle-Campagne</w:t>
      </w:r>
      <w:r>
        <w:t>, Grisons, Valais, Vaud</w:t>
      </w:r>
      <w:r w:rsidRPr="00A45AD8">
        <w:t xml:space="preserve"> et </w:t>
      </w:r>
      <w:r>
        <w:t>Zurich</w:t>
      </w:r>
      <w:r w:rsidRPr="00A45AD8">
        <w:t>) ou à créer de nouveaux emplacements ou des emplacements provisoires (</w:t>
      </w:r>
      <w:r w:rsidRPr="006B5C74">
        <w:t>Berne, Schaffhouse, Vaud,</w:t>
      </w:r>
      <w:r w:rsidRPr="00A45AD8">
        <w:t xml:space="preserve"> Bâle-Ville</w:t>
      </w:r>
      <w:r>
        <w:t>, Genève, Soleure, Saint-Gall et Tessin</w:t>
      </w:r>
      <w:r w:rsidRPr="00A45AD8">
        <w:t xml:space="preserve"> p. ex.), souvent dans le cadre de plans directeurs cantonaux</w:t>
      </w:r>
      <w:r w:rsidRPr="006539DE">
        <w:t>.</w:t>
      </w:r>
    </w:p>
    <w:p w14:paraId="21CC6619" w14:textId="5632D9E2" w:rsidR="00A454AE" w:rsidRPr="00A45AD8" w:rsidRDefault="00502488" w:rsidP="00502488">
      <w:pPr>
        <w:pStyle w:val="H4G"/>
      </w:pPr>
      <w:r>
        <w:tab/>
      </w:r>
      <w:r>
        <w:tab/>
      </w:r>
      <w:r w:rsidR="00A454AE" w:rsidRPr="00A45AD8">
        <w:t>Mise en œuvre de la recommandation formulée au ch. 24b des observations finales :</w:t>
      </w:r>
    </w:p>
    <w:p w14:paraId="39759D8E"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La Confédération veille à ce que la situation des </w:t>
      </w:r>
      <w:proofErr w:type="spellStart"/>
      <w:r w:rsidRPr="00A45AD8">
        <w:t>Yéniches</w:t>
      </w:r>
      <w:proofErr w:type="spellEnd"/>
      <w:r w:rsidRPr="00A45AD8">
        <w:t>, Manouches/</w:t>
      </w:r>
      <w:proofErr w:type="spellStart"/>
      <w:r w:rsidRPr="00A45AD8">
        <w:t>Sintés</w:t>
      </w:r>
      <w:proofErr w:type="spellEnd"/>
      <w:r w:rsidRPr="00A45AD8" w:rsidDel="00CA545A">
        <w:t xml:space="preserve"> </w:t>
      </w:r>
      <w:r w:rsidRPr="00A45AD8">
        <w:t>et Roms soit prise en compte dans le cadre des lois et politiques en vigueur. Dans un système fédéral comme celui de la Suisse, les compétences en matière d</w:t>
      </w:r>
      <w:r>
        <w:t>’</w:t>
      </w:r>
      <w:r w:rsidRPr="00A45AD8">
        <w:t>application des politiques publiques, notamment dans les domaines sociaux, éducatifs ou de l</w:t>
      </w:r>
      <w:r>
        <w:t>’</w:t>
      </w:r>
      <w:r w:rsidRPr="00A45AD8">
        <w:t>aménagement du territoire, relèvent en grande partie des cantons et des communes.</w:t>
      </w:r>
    </w:p>
    <w:p w14:paraId="702A2D92"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Bien que cette répartition fédérale des compétences limite ses possibilités d</w:t>
      </w:r>
      <w:r>
        <w:t>’</w:t>
      </w:r>
      <w:r w:rsidRPr="00A45AD8">
        <w:t>action directe, la Confédération s</w:t>
      </w:r>
      <w:r>
        <w:t>’</w:t>
      </w:r>
      <w:r w:rsidRPr="00A45AD8">
        <w:t>efforce d</w:t>
      </w:r>
      <w:r>
        <w:t>’</w:t>
      </w:r>
      <w:r w:rsidRPr="00A45AD8">
        <w:t>assurer un suivi attentif de la situation, notamment par le dialogue avec les différents échelons de gouvernement et avec les représentants</w:t>
      </w:r>
      <w:r>
        <w:t xml:space="preserve"> et représentantes</w:t>
      </w:r>
      <w:r w:rsidRPr="00A45AD8">
        <w:t xml:space="preserve"> des groupes concernés. Elle encourage également les bonnes pratiques et soutient des mesures visant à prévenir toute forme de discrimination indirecte.</w:t>
      </w:r>
    </w:p>
    <w:p w14:paraId="1D2323D7"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Dans ce contexte, une attention particulière est portée à l</w:t>
      </w:r>
      <w:r>
        <w:t>’</w:t>
      </w:r>
      <w:r w:rsidRPr="00A45AD8">
        <w:t>impact que peuvent avoir des règles d</w:t>
      </w:r>
      <w:r>
        <w:t>’</w:t>
      </w:r>
      <w:r w:rsidRPr="00A45AD8">
        <w:t>apparence neutre sur les minorités ayant un mode de vie itinérant. La sensibilisation, la coopération interinstitutionnelle et la prise en compte des spécificités culturelles jouent un rôle essentiel dans la mise en œuvre de politiques inclusives et respectueuses de la diversité.</w:t>
      </w:r>
    </w:p>
    <w:p w14:paraId="6822B4DD" w14:textId="77777777" w:rsidR="00A454AE" w:rsidRPr="00A45AD8" w:rsidRDefault="00A454AE" w:rsidP="00753414">
      <w:pPr>
        <w:pStyle w:val="SingleTxtG"/>
        <w:numPr>
          <w:ilvl w:val="0"/>
          <w:numId w:val="43"/>
        </w:numPr>
        <w:kinsoku/>
        <w:overflowPunct/>
        <w:autoSpaceDE/>
        <w:autoSpaceDN/>
        <w:adjustRightInd/>
        <w:snapToGrid/>
        <w:ind w:left="1134" w:firstLine="0"/>
        <w:rPr>
          <w:lang w:eastAsia="de-CH"/>
        </w:rPr>
      </w:pPr>
      <w:r w:rsidRPr="00CC782C">
        <w:rPr>
          <w:lang w:eastAsia="de-CH"/>
        </w:rPr>
        <w:t>Dans plusieurs cantons, les efforts se concentrent sur la sensibilisation, la promotion du vivre-ensemble et la médiation interculturelle. À titre d’exemple, des projets éducatifs sont menés au Tessin</w:t>
      </w:r>
      <w:r>
        <w:rPr>
          <w:lang w:eastAsia="de-CH"/>
        </w:rPr>
        <w:t>, Fribourg ou Zurich</w:t>
      </w:r>
      <w:r w:rsidRPr="00CC782C">
        <w:rPr>
          <w:lang w:eastAsia="de-CH"/>
        </w:rPr>
        <w:t>, tandis que des initiatives participatives sont développées à Saint-Gall. Par ailleurs, certains cantons, tels que Berne, Soleure et Zurich, ont mis en place des structures de coordination ou de conseil, ainsi que des services de médiation interculturelle, comme c’est le cas à Zurich.</w:t>
      </w:r>
    </w:p>
    <w:p w14:paraId="16816040" w14:textId="2AB2B240" w:rsidR="00A454AE" w:rsidRPr="00A45AD8" w:rsidRDefault="00A454AE" w:rsidP="00753414">
      <w:pPr>
        <w:pStyle w:val="SingleTxtG"/>
        <w:numPr>
          <w:ilvl w:val="0"/>
          <w:numId w:val="43"/>
        </w:numPr>
        <w:kinsoku/>
        <w:overflowPunct/>
        <w:autoSpaceDE/>
        <w:autoSpaceDN/>
        <w:adjustRightInd/>
        <w:snapToGrid/>
        <w:ind w:left="1134" w:firstLine="0"/>
      </w:pPr>
      <w:r w:rsidRPr="0011363F">
        <w:rPr>
          <w:lang w:eastAsia="de-CH"/>
        </w:rPr>
        <w:t>Le canton de Zurich procède à un examen ciblé de diverses lois et politiques en matière de lutte contre la discrimination.</w:t>
      </w:r>
    </w:p>
    <w:p w14:paraId="7C56222E" w14:textId="0DAFC203" w:rsidR="00A454AE" w:rsidRPr="00A45AD8" w:rsidRDefault="00502488" w:rsidP="00502488">
      <w:pPr>
        <w:pStyle w:val="H4G"/>
      </w:pPr>
      <w:r>
        <w:tab/>
      </w:r>
      <w:r>
        <w:tab/>
      </w:r>
      <w:r w:rsidR="00A454AE" w:rsidRPr="00A45AD8">
        <w:t>Mise en œuvre de la recommandation formulée au ch.</w:t>
      </w:r>
      <w:r w:rsidR="00A454AE">
        <w:t> </w:t>
      </w:r>
      <w:r w:rsidR="00A454AE" w:rsidRPr="00A45AD8">
        <w:t>24c des observations finales :</w:t>
      </w:r>
    </w:p>
    <w:p w14:paraId="0F6A41F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Pendant la pandémie de COVID-19, la Confédération a soutenu, en collaboration avec la fondation </w:t>
      </w:r>
      <w:r w:rsidRPr="00211D86">
        <w:rPr>
          <w:i/>
          <w:iCs/>
        </w:rPr>
        <w:t>Assurer l</w:t>
      </w:r>
      <w:r>
        <w:rPr>
          <w:i/>
          <w:iCs/>
        </w:rPr>
        <w:t>’</w:t>
      </w:r>
      <w:r w:rsidRPr="00211D86">
        <w:rPr>
          <w:i/>
          <w:iCs/>
        </w:rPr>
        <w:t>avenir des gens du voyage suisses</w:t>
      </w:r>
      <w:r w:rsidRPr="00A45AD8">
        <w:t xml:space="preserve"> ainsi qu</w:t>
      </w:r>
      <w:r>
        <w:t>’</w:t>
      </w:r>
      <w:r w:rsidRPr="00A45AD8">
        <w:t>avec d</w:t>
      </w:r>
      <w:r>
        <w:t>’</w:t>
      </w:r>
      <w:r w:rsidRPr="00A45AD8">
        <w:t>autres organisations actives sur le terrain, la mise en place d</w:t>
      </w:r>
      <w:r>
        <w:t>’</w:t>
      </w:r>
      <w:r w:rsidRPr="00A45AD8">
        <w:t>un dispositif d</w:t>
      </w:r>
      <w:r>
        <w:t>’</w:t>
      </w:r>
      <w:r w:rsidRPr="00A45AD8">
        <w:t>urgence destiné à répondre aux difficultés spécifiques rencontrées par les communautés nomades, tant sur le plan social que financier.</w:t>
      </w:r>
    </w:p>
    <w:p w14:paraId="7A724360"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Ce service d</w:t>
      </w:r>
      <w:r>
        <w:t>’</w:t>
      </w:r>
      <w:r w:rsidRPr="00A45AD8">
        <w:t>urgence a permis d</w:t>
      </w:r>
      <w:r>
        <w:t>’</w:t>
      </w:r>
      <w:r w:rsidRPr="00A45AD8">
        <w:t>offrir un soutien rapide et ciblé pendant la crise sanitaire, en fonction des besoins concrets exprimés par les personnes concernées. Ce dispositif s</w:t>
      </w:r>
      <w:r>
        <w:t>’</w:t>
      </w:r>
      <w:r w:rsidRPr="00A45AD8">
        <w:t>étant avéré efficace, un service permanent d</w:t>
      </w:r>
      <w:r>
        <w:t>’</w:t>
      </w:r>
      <w:r w:rsidRPr="00A45AD8">
        <w:t>assistance sociale, intégré au sein de la fondation</w:t>
      </w:r>
      <w:r>
        <w:t xml:space="preserve"> a été établi</w:t>
      </w:r>
      <w:r w:rsidRPr="00A45AD8">
        <w:t>. Il fonctionne aujourd</w:t>
      </w:r>
      <w:r>
        <w:t>’</w:t>
      </w:r>
      <w:r w:rsidRPr="00A45AD8">
        <w:t>hui de manière stable et continue, assurant un accompagnement régulier des groupes, au-delà du contexte pandémique.</w:t>
      </w:r>
    </w:p>
    <w:p w14:paraId="0C8FAA1F"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Ce développement s</w:t>
      </w:r>
      <w:r>
        <w:t>’</w:t>
      </w:r>
      <w:r w:rsidRPr="00A45AD8">
        <w:t>inscrit dans une volonté plus large de promouvoir l</w:t>
      </w:r>
      <w:r>
        <w:t>’</w:t>
      </w:r>
      <w:r w:rsidRPr="00A45AD8">
        <w:t xml:space="preserve">inclusion sociale et de renforcer la résilience des communautés itinérantes (et sédentaires) face aux défis </w:t>
      </w:r>
      <w:proofErr w:type="spellStart"/>
      <w:r w:rsidRPr="00A45AD8">
        <w:t>socioéconomiques</w:t>
      </w:r>
      <w:proofErr w:type="spellEnd"/>
      <w:r w:rsidRPr="00A45AD8">
        <w:t>, dans un esprit de dialogue et de coopération.</w:t>
      </w:r>
    </w:p>
    <w:p w14:paraId="7E7E1EA1" w14:textId="5B436819" w:rsidR="00A454AE" w:rsidRPr="00A45AD8" w:rsidRDefault="00502488" w:rsidP="00502488">
      <w:pPr>
        <w:pStyle w:val="H4G"/>
      </w:pPr>
      <w:r>
        <w:lastRenderedPageBreak/>
        <w:tab/>
      </w:r>
      <w:r>
        <w:tab/>
      </w:r>
      <w:r w:rsidR="00A454AE" w:rsidRPr="00A45AD8">
        <w:t>Mise en œuvre de la recommandation formulée au ch.</w:t>
      </w:r>
      <w:r w:rsidR="00A454AE">
        <w:t> </w:t>
      </w:r>
      <w:r w:rsidR="00A454AE" w:rsidRPr="00A45AD8">
        <w:t>24d des observations finales :</w:t>
      </w:r>
    </w:p>
    <w:p w14:paraId="476A0F9B"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Le </w:t>
      </w:r>
      <w:hyperlink r:id="rId91" w:history="1">
        <w:r w:rsidRPr="0057772C">
          <w:rPr>
            <w:rStyle w:val="Hyperlink"/>
          </w:rPr>
          <w:t>plan d’action</w:t>
        </w:r>
      </w:hyperlink>
      <w:r w:rsidRPr="00A45AD8">
        <w:t xml:space="preserve"> </w:t>
      </w:r>
      <w:r w:rsidRPr="0057772C">
        <w:t xml:space="preserve">visant à améliorer les conditions générales du mode de vie itinérant et à promouvoir la culture des </w:t>
      </w:r>
      <w:proofErr w:type="spellStart"/>
      <w:r w:rsidRPr="0057772C">
        <w:t>Yéniches</w:t>
      </w:r>
      <w:proofErr w:type="spellEnd"/>
      <w:r w:rsidRPr="0057772C">
        <w:t>, des Manouches</w:t>
      </w:r>
      <w:r>
        <w:t>/</w:t>
      </w:r>
      <w:proofErr w:type="spellStart"/>
      <w:r>
        <w:t>Sintés</w:t>
      </w:r>
      <w:proofErr w:type="spellEnd"/>
      <w:r w:rsidRPr="0057772C">
        <w:t xml:space="preserve"> et des Roms,</w:t>
      </w:r>
      <w:r w:rsidRPr="00A45AD8">
        <w:t xml:space="preserve"> adopté en 2016, prévoit un programme de travail élaboré en collaboration avec des organisations partenaires issues des communautés concernées. Ce programme a fait l</w:t>
      </w:r>
      <w:r>
        <w:t>’</w:t>
      </w:r>
      <w:r w:rsidRPr="00A45AD8">
        <w:t>objet d</w:t>
      </w:r>
      <w:r>
        <w:t>’</w:t>
      </w:r>
      <w:r w:rsidRPr="00A45AD8">
        <w:t>un premier exercice de suivi en 2018, qui a permis d</w:t>
      </w:r>
      <w:r>
        <w:t>’</w:t>
      </w:r>
      <w:r w:rsidRPr="00A45AD8">
        <w:t>évaluer l</w:t>
      </w:r>
      <w:r>
        <w:t>’</w:t>
      </w:r>
      <w:r w:rsidRPr="00A45AD8">
        <w:t>avancement des mesures mises en œuvre et d</w:t>
      </w:r>
      <w:r>
        <w:t>’</w:t>
      </w:r>
      <w:r w:rsidRPr="00A45AD8">
        <w:t>identifier les ajustements nécessaires.</w:t>
      </w:r>
    </w:p>
    <w:p w14:paraId="4AE596BB"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Le dispositif de monitoring mis en place constitue un outil important pour assurer le pilotage et l</w:t>
      </w:r>
      <w:r>
        <w:t>’</w:t>
      </w:r>
      <w:r w:rsidRPr="00A45AD8">
        <w:t>adaptation continue du plan d</w:t>
      </w:r>
      <w:r>
        <w:t>’</w:t>
      </w:r>
      <w:r w:rsidRPr="00A45AD8">
        <w:t>action. Dans cette optique, une réévaluation est prévue en 2026 afin d</w:t>
      </w:r>
      <w:r>
        <w:t>’</w:t>
      </w:r>
      <w:r w:rsidRPr="00A45AD8">
        <w:t>actualiser les priorités et de garantir une mise en œuvre efficace et en phase avec les besoins identifiés sur le terrain.</w:t>
      </w:r>
    </w:p>
    <w:p w14:paraId="64D47393"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Il est probable que cette évaluation conduise à une révision de la stratégie à adopter et que certains éléments soient intégrés dans le plan d</w:t>
      </w:r>
      <w:r>
        <w:t>’</w:t>
      </w:r>
      <w:r w:rsidRPr="00A45AD8">
        <w:t>action contre le racisme et l</w:t>
      </w:r>
      <w:r>
        <w:t>’</w:t>
      </w:r>
      <w:r w:rsidRPr="00A45AD8">
        <w:t xml:space="preserve">antisémitisme mis en œuvre par le </w:t>
      </w:r>
      <w:r>
        <w:t>SLR</w:t>
      </w:r>
      <w:r w:rsidRPr="00A45AD8">
        <w:t>.</w:t>
      </w:r>
    </w:p>
    <w:p w14:paraId="4562C0F8" w14:textId="4CD38983" w:rsidR="00A454AE" w:rsidRPr="00A45AD8" w:rsidRDefault="00502488" w:rsidP="00502488">
      <w:pPr>
        <w:pStyle w:val="H4G"/>
      </w:pPr>
      <w:r>
        <w:tab/>
      </w:r>
      <w:r>
        <w:tab/>
      </w:r>
      <w:r w:rsidR="00A454AE" w:rsidRPr="00A45AD8">
        <w:t>Mise en œuvre de la recommandation formulée au ch. 24e des observations finales :</w:t>
      </w:r>
    </w:p>
    <w:p w14:paraId="7891B984"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rPr>
          <w:lang w:eastAsia="de-CH"/>
        </w:rPr>
        <w:t>La majorité des cantons ont déjà adapté leur législation ou leur pratique pour se conformer à la jurisprudence de la Cour européenne des droits de l</w:t>
      </w:r>
      <w:r>
        <w:rPr>
          <w:lang w:eastAsia="de-CH"/>
        </w:rPr>
        <w:t>’</w:t>
      </w:r>
      <w:r w:rsidRPr="00A45AD8">
        <w:rPr>
          <w:lang w:eastAsia="de-CH"/>
        </w:rPr>
        <w:t>homme (CourEDH) relative au droit fondamental de mendier et à la lutte contre la discrimination.</w:t>
      </w:r>
    </w:p>
    <w:p w14:paraId="0986EB7A" w14:textId="77777777" w:rsidR="00A454AE" w:rsidRPr="00A45AD8" w:rsidRDefault="00A454AE" w:rsidP="00753414">
      <w:pPr>
        <w:pStyle w:val="SingleTxtG"/>
        <w:numPr>
          <w:ilvl w:val="0"/>
          <w:numId w:val="43"/>
        </w:numPr>
        <w:kinsoku/>
        <w:overflowPunct/>
        <w:autoSpaceDE/>
        <w:autoSpaceDN/>
        <w:adjustRightInd/>
        <w:snapToGrid/>
        <w:ind w:left="1134" w:firstLine="0"/>
      </w:pPr>
      <w:r w:rsidRPr="00CC782C">
        <w:rPr>
          <w:lang w:eastAsia="de-CH"/>
        </w:rPr>
        <w:t xml:space="preserve">Dans plusieurs cantons, tels que Genève, Nidwald et Bâle-Ville, il n’existe pas </w:t>
      </w:r>
      <w:r>
        <w:rPr>
          <w:lang w:eastAsia="de-CH"/>
        </w:rPr>
        <w:t xml:space="preserve">ou plus </w:t>
      </w:r>
      <w:r w:rsidRPr="00CC782C">
        <w:rPr>
          <w:lang w:eastAsia="de-CH"/>
        </w:rPr>
        <w:t>d’interdiction générale de la mendicité.</w:t>
      </w:r>
      <w:r w:rsidRPr="00A45AD8">
        <w:rPr>
          <w:lang w:eastAsia="de-CH"/>
        </w:rPr>
        <w:t xml:space="preserve"> Dans la plupart des cas, seules les formes de mendicité agressive, insistante ou perturbant l</w:t>
      </w:r>
      <w:r>
        <w:rPr>
          <w:lang w:eastAsia="de-CH"/>
        </w:rPr>
        <w:t>’</w:t>
      </w:r>
      <w:r w:rsidRPr="00A45AD8">
        <w:rPr>
          <w:lang w:eastAsia="de-CH"/>
        </w:rPr>
        <w:t>ordre public sont aujourd</w:t>
      </w:r>
      <w:r>
        <w:rPr>
          <w:lang w:eastAsia="de-CH"/>
        </w:rPr>
        <w:t>’</w:t>
      </w:r>
      <w:r w:rsidRPr="00A45AD8">
        <w:rPr>
          <w:lang w:eastAsia="de-CH"/>
        </w:rPr>
        <w:t xml:space="preserve">hui sanctionnées, notamment à </w:t>
      </w:r>
      <w:r>
        <w:rPr>
          <w:lang w:eastAsia="de-CH"/>
        </w:rPr>
        <w:t xml:space="preserve">Neuchâtel, </w:t>
      </w:r>
      <w:r w:rsidRPr="00A45AD8">
        <w:rPr>
          <w:lang w:eastAsia="de-CH"/>
        </w:rPr>
        <w:t>Saint-Gall</w:t>
      </w:r>
      <w:r>
        <w:rPr>
          <w:lang w:eastAsia="de-CH"/>
        </w:rPr>
        <w:t xml:space="preserve"> et aux Grisons</w:t>
      </w:r>
      <w:r w:rsidRPr="00A45AD8">
        <w:rPr>
          <w:lang w:eastAsia="de-CH"/>
        </w:rPr>
        <w:t>.</w:t>
      </w:r>
    </w:p>
    <w:p w14:paraId="180457C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rPr>
          <w:lang w:eastAsia="de-CH"/>
        </w:rPr>
        <w:t>Toutefois, étant donné que la réglementation dépend souvent de l</w:t>
      </w:r>
      <w:r>
        <w:rPr>
          <w:lang w:eastAsia="de-CH"/>
        </w:rPr>
        <w:t>’</w:t>
      </w:r>
      <w:r w:rsidRPr="00A45AD8">
        <w:rPr>
          <w:lang w:eastAsia="de-CH"/>
        </w:rPr>
        <w:t>échelon communal, la coordination cantonale s</w:t>
      </w:r>
      <w:r>
        <w:rPr>
          <w:lang w:eastAsia="de-CH"/>
        </w:rPr>
        <w:t>’</w:t>
      </w:r>
      <w:r w:rsidRPr="00A45AD8">
        <w:rPr>
          <w:lang w:eastAsia="de-CH"/>
        </w:rPr>
        <w:t>en trouve limitée. Quelques cantons n</w:t>
      </w:r>
      <w:r>
        <w:rPr>
          <w:lang w:eastAsia="de-CH"/>
        </w:rPr>
        <w:t>’</w:t>
      </w:r>
      <w:r w:rsidRPr="00A45AD8">
        <w:rPr>
          <w:lang w:eastAsia="de-CH"/>
        </w:rPr>
        <w:t xml:space="preserve">ont pas encore procédé à des adaptations spécifiques ou sont en phase de révision, par exemple </w:t>
      </w:r>
      <w:r w:rsidRPr="009F18A3">
        <w:rPr>
          <w:lang w:eastAsia="de-CH"/>
        </w:rPr>
        <w:t>Obwald, de Soleure, de Thurgovie et de Zurich</w:t>
      </w:r>
      <w:r>
        <w:rPr>
          <w:lang w:eastAsia="de-CH"/>
        </w:rPr>
        <w:t>.</w:t>
      </w:r>
    </w:p>
    <w:p w14:paraId="79A91AF3" w14:textId="33E3FF67" w:rsidR="00A454AE" w:rsidRPr="00A45AD8" w:rsidRDefault="00A454AE" w:rsidP="00502488">
      <w:pPr>
        <w:pStyle w:val="H23G"/>
      </w:pPr>
      <w:bookmarkStart w:id="76" w:name="_Toc530069757"/>
      <w:bookmarkEnd w:id="75"/>
      <w:r w:rsidRPr="00A45AD8">
        <w:tab/>
      </w:r>
      <w:r w:rsidRPr="00A45AD8">
        <w:tab/>
      </w:r>
      <w:bookmarkStart w:id="77" w:name="_Hlk201070968"/>
      <w:bookmarkEnd w:id="76"/>
      <w:r w:rsidRPr="00A45AD8">
        <w:t>Situation des non-ressortissants, notamment des</w:t>
      </w:r>
      <w:r>
        <w:t xml:space="preserve"> personnes</w:t>
      </w:r>
      <w:r w:rsidRPr="00A45AD8">
        <w:t xml:space="preserve"> migrant</w:t>
      </w:r>
      <w:r>
        <w:t>e</w:t>
      </w:r>
      <w:r w:rsidRPr="00A45AD8">
        <w:t xml:space="preserve">s, des </w:t>
      </w:r>
      <w:r>
        <w:t xml:space="preserve">personnes </w:t>
      </w:r>
      <w:r w:rsidRPr="00A45AD8">
        <w:t>réfugié</w:t>
      </w:r>
      <w:r>
        <w:t>e</w:t>
      </w:r>
      <w:r w:rsidRPr="00A45AD8">
        <w:t>s, des demandeurs</w:t>
      </w:r>
      <w:r>
        <w:t xml:space="preserve"> et demandeuses</w:t>
      </w:r>
      <w:r w:rsidRPr="00A45AD8">
        <w:t xml:space="preserve"> d</w:t>
      </w:r>
      <w:r>
        <w:t>’</w:t>
      </w:r>
      <w:r w:rsidRPr="00A45AD8">
        <w:t>asile et des apatrides</w:t>
      </w:r>
    </w:p>
    <w:p w14:paraId="677BE76B" w14:textId="773EC998" w:rsidR="00A454AE" w:rsidRPr="00A45AD8" w:rsidRDefault="007B547D" w:rsidP="007B547D">
      <w:pPr>
        <w:pStyle w:val="H4G"/>
      </w:pPr>
      <w:r>
        <w:tab/>
      </w:r>
      <w:r>
        <w:tab/>
      </w:r>
      <w:r w:rsidR="00A454AE" w:rsidRPr="00A45AD8">
        <w:t>Mise en œuvre de la recommandation formulée au ch.</w:t>
      </w:r>
      <w:r w:rsidR="00A454AE">
        <w:t> </w:t>
      </w:r>
      <w:r w:rsidR="00A454AE" w:rsidRPr="00A45AD8">
        <w:t>26a des observations finales :</w:t>
      </w:r>
    </w:p>
    <w:p w14:paraId="1769D98D" w14:textId="77777777" w:rsidR="00A454AE" w:rsidRPr="005324F1" w:rsidRDefault="00A454AE" w:rsidP="00753414">
      <w:pPr>
        <w:pStyle w:val="SingleTxtG"/>
        <w:numPr>
          <w:ilvl w:val="0"/>
          <w:numId w:val="43"/>
        </w:numPr>
        <w:kinsoku/>
        <w:overflowPunct/>
        <w:autoSpaceDE/>
        <w:autoSpaceDN/>
        <w:adjustRightInd/>
        <w:snapToGrid/>
        <w:ind w:left="1134" w:firstLine="0"/>
      </w:pPr>
      <w:r w:rsidRPr="00A45AD8">
        <w:t>Depuis 2024, le SEM nomme dans chaque région des responsables de la sécurité et de la prévention de la violence chargés de sensibiliser au sujet, d</w:t>
      </w:r>
      <w:r>
        <w:t>’</w:t>
      </w:r>
      <w:r w:rsidRPr="00A45AD8">
        <w:t>appliquer une stratégie de prévention de la violence ainsi que de soumettre régulièrement le personnel de sécurité à des contrôles de qualité. Il a de plus chargé la Commission nationale de prévention de la torture ainsi que des organisations non gouvernementales de faire régulièrement des visites des centres fédéraux pour requérants d</w:t>
      </w:r>
      <w:r>
        <w:t>’</w:t>
      </w:r>
      <w:r w:rsidRPr="00A45AD8">
        <w:t>asile et de formuler des recommandations. Ce mandat de monitorage vient d</w:t>
      </w:r>
      <w:r>
        <w:t>’</w:t>
      </w:r>
      <w:r w:rsidRPr="00A45AD8">
        <w:t>être prolongé pour les années 2025 et 2026. Si des actes de violence sont malgré tout perpétrés contre une personne résidant dans un centre fédéral pour requérants d</w:t>
      </w:r>
      <w:r>
        <w:t>’</w:t>
      </w:r>
      <w:r w:rsidRPr="00A45AD8">
        <w:t>asile, la victime est systématiquement informée de la possibilité de déposer une plainte pénale, et donc de s</w:t>
      </w:r>
      <w:r>
        <w:t>’</w:t>
      </w:r>
      <w:r w:rsidRPr="00A45AD8">
        <w:t>adresser à la police, puisqu</w:t>
      </w:r>
      <w:r>
        <w:t>’</w:t>
      </w:r>
      <w:r w:rsidRPr="00A45AD8">
        <w:t>une telle démarche n</w:t>
      </w:r>
      <w:r>
        <w:t>’</w:t>
      </w:r>
      <w:r w:rsidRPr="00A45AD8">
        <w:t>est plus de la compétence du SEM</w:t>
      </w:r>
      <w:r w:rsidRPr="005324F1">
        <w:t>.</w:t>
      </w:r>
    </w:p>
    <w:p w14:paraId="52CBBC5B" w14:textId="028AE28C" w:rsidR="00A454AE" w:rsidRPr="00A45AD8" w:rsidRDefault="007B547D" w:rsidP="007B547D">
      <w:pPr>
        <w:pStyle w:val="H4G"/>
      </w:pPr>
      <w:r>
        <w:tab/>
      </w:r>
      <w:r>
        <w:tab/>
      </w:r>
      <w:r w:rsidR="00A454AE" w:rsidRPr="00A45AD8">
        <w:t>Mise en œuvre de la recommandation formulée au ch. 26b des observations finales :</w:t>
      </w:r>
    </w:p>
    <w:p w14:paraId="6D05C97F" w14:textId="77777777" w:rsidR="00A454AE" w:rsidRPr="00A45AD8" w:rsidRDefault="00A454AE" w:rsidP="00753414">
      <w:pPr>
        <w:pStyle w:val="SingleTxtG"/>
        <w:numPr>
          <w:ilvl w:val="0"/>
          <w:numId w:val="43"/>
        </w:numPr>
        <w:kinsoku/>
        <w:overflowPunct/>
        <w:autoSpaceDE/>
        <w:autoSpaceDN/>
        <w:adjustRightInd/>
        <w:snapToGrid/>
        <w:ind w:left="1134" w:firstLine="0"/>
      </w:pPr>
      <w:r w:rsidRPr="002D24A1">
        <w:t>Comme</w:t>
      </w:r>
      <w:r w:rsidRPr="00A45AD8">
        <w:t xml:space="preserve"> mentionné dans la recommandation précédente, le SEM nomme dans chaque région, depuis 2024, des responsables de la sécurité et de la prévention de la violence chargés de sensibiliser au sujet, d</w:t>
      </w:r>
      <w:r>
        <w:t>’</w:t>
      </w:r>
      <w:r w:rsidRPr="00A45AD8">
        <w:t xml:space="preserve">appliquer une stratégie de prévention de la violence ainsi que de soumettre régulièrement le personnel de sécurité à des contrôles de qualité. Des </w:t>
      </w:r>
      <w:r>
        <w:t>agents de</w:t>
      </w:r>
      <w:r w:rsidRPr="00A45AD8">
        <w:t xml:space="preserve"> prévention des conflits sont chargés d</w:t>
      </w:r>
      <w:r>
        <w:t>’</w:t>
      </w:r>
      <w:r w:rsidRPr="00A45AD8">
        <w:t>intervenir en cas d</w:t>
      </w:r>
      <w:r>
        <w:t>’</w:t>
      </w:r>
      <w:r w:rsidRPr="00A45AD8">
        <w:t>acte de violence, afin de désamorcer la crise et d</w:t>
      </w:r>
      <w:r>
        <w:t>’</w:t>
      </w:r>
      <w:r w:rsidRPr="00A45AD8">
        <w:t xml:space="preserve">établir un rapport indépendamment </w:t>
      </w:r>
      <w:r>
        <w:t>du personnel en charge</w:t>
      </w:r>
      <w:r w:rsidRPr="00A45AD8">
        <w:t xml:space="preserve"> de la sécurité. En cas de versions des faits divergentes, des mesures sont prises en fonction de la situation (exiger une prise de position, mener une enquête, etc.), qui peuvent aller jusqu</w:t>
      </w:r>
      <w:r>
        <w:t>’</w:t>
      </w:r>
      <w:r w:rsidRPr="00A45AD8">
        <w:t>à l</w:t>
      </w:r>
      <w:r>
        <w:t>’</w:t>
      </w:r>
      <w:r w:rsidRPr="00A45AD8">
        <w:t xml:space="preserve">exclusion. </w:t>
      </w:r>
    </w:p>
    <w:p w14:paraId="120FF032" w14:textId="0AAFD7C7" w:rsidR="00A454AE" w:rsidRPr="00A45AD8" w:rsidRDefault="007B547D" w:rsidP="007B547D">
      <w:pPr>
        <w:pStyle w:val="H4G"/>
      </w:pPr>
      <w:r>
        <w:lastRenderedPageBreak/>
        <w:tab/>
      </w:r>
      <w:r>
        <w:tab/>
      </w:r>
      <w:r w:rsidR="00A454AE" w:rsidRPr="00A45AD8">
        <w:t>Mise en œuvre de la recommandation formulée au ch.</w:t>
      </w:r>
      <w:r w:rsidR="00A454AE">
        <w:t> </w:t>
      </w:r>
      <w:r w:rsidR="00A454AE" w:rsidRPr="00A45AD8">
        <w:t>26c des observations finales :</w:t>
      </w:r>
    </w:p>
    <w:p w14:paraId="087E66B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Le 14 juin 2024, le Parlement a voté une modification de la </w:t>
      </w:r>
      <w:r>
        <w:t>LEI</w:t>
      </w:r>
      <w:r w:rsidRPr="00A45AD8">
        <w:t xml:space="preserve"> (à la suite de l</w:t>
      </w:r>
      <w:r>
        <w:t>’</w:t>
      </w:r>
      <w:r w:rsidRPr="00A45AD8">
        <w:t>initiative parlementaire 21.504 ; FF </w:t>
      </w:r>
      <w:r w:rsidRPr="00D94C7D">
        <w:rPr>
          <w:i/>
          <w:iCs/>
        </w:rPr>
        <w:t>2024</w:t>
      </w:r>
      <w:r w:rsidRPr="00A45AD8">
        <w:t xml:space="preserve"> 1449). Cette révision, entrée en vigueur le 1</w:t>
      </w:r>
      <w:r w:rsidRPr="00A45AD8">
        <w:rPr>
          <w:vertAlign w:val="superscript"/>
        </w:rPr>
        <w:t>er</w:t>
      </w:r>
      <w:r w:rsidRPr="00A45AD8">
        <w:t> janvier 2025, améliore la situation des victimes de violence domestique</w:t>
      </w:r>
      <w:r w:rsidRPr="00D92E99">
        <w:t xml:space="preserve"> </w:t>
      </w:r>
      <w:r w:rsidRPr="00A45AD8">
        <w:t xml:space="preserve">au regard du droit des étrangers, en </w:t>
      </w:r>
      <w:r>
        <w:t>étendant les règles applicables aux cas de rigueur</w:t>
      </w:r>
      <w:r w:rsidRPr="00A45AD8">
        <w:t xml:space="preserve"> en cas de dissolution de la communauté familiale (art. 50 LEI). </w:t>
      </w:r>
      <w:r w:rsidRPr="00D94C7D">
        <w:t>À</w:t>
      </w:r>
      <w:r w:rsidRPr="00A45AD8">
        <w:t xml:space="preserve"> cette occasion, on a étendu la liste des indices de violence domestique à prendre en compte et transféré cette disposition, qui figurait dans une ordonnance (</w:t>
      </w:r>
      <w:r>
        <w:t>OASA</w:t>
      </w:r>
      <w:r w:rsidRPr="00A45AD8">
        <w:t>), au niveau de la loi (art. 50, al. 2, let. </w:t>
      </w:r>
      <w:proofErr w:type="gramStart"/>
      <w:r w:rsidRPr="00A45AD8">
        <w:t>a</w:t>
      </w:r>
      <w:proofErr w:type="gramEnd"/>
      <w:r>
        <w:t>,</w:t>
      </w:r>
      <w:r w:rsidRPr="00A45AD8">
        <w:t xml:space="preserve"> LEI). L</w:t>
      </w:r>
      <w:r>
        <w:t>’</w:t>
      </w:r>
      <w:r w:rsidRPr="00A45AD8">
        <w:t>ordonnance stipule maintenant explicitement que lors du prolongement d</w:t>
      </w:r>
      <w:r>
        <w:t>’</w:t>
      </w:r>
      <w:r w:rsidRPr="00A45AD8">
        <w:t>une autorisation de séjour, l</w:t>
      </w:r>
      <w:r>
        <w:t>’</w:t>
      </w:r>
      <w:r w:rsidRPr="00A45AD8">
        <w:t>autorité compétente doit tenir compte de manière appropriée des conséquences négatives de la violence domestique ou du mariage forcé. Ce changement dans la législation a permis à la Suisse de retirer la réserve qu</w:t>
      </w:r>
      <w:r>
        <w:t>’</w:t>
      </w:r>
      <w:r w:rsidRPr="00A45AD8">
        <w:t>elle avait faite à l</w:t>
      </w:r>
      <w:r>
        <w:t>’</w:t>
      </w:r>
      <w:r w:rsidRPr="00A45AD8">
        <w:t>article 59 de la Convention d</w:t>
      </w:r>
      <w:r>
        <w:t>’</w:t>
      </w:r>
      <w:r w:rsidRPr="00A45AD8">
        <w:t xml:space="preserve">Istanbul. </w:t>
      </w:r>
    </w:p>
    <w:p w14:paraId="74381974"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La majorité des cantons appliquent ces dispositions révisées en examinant les cas individuellement et en s</w:t>
      </w:r>
      <w:r>
        <w:t>’</w:t>
      </w:r>
      <w:r w:rsidRPr="00A45AD8">
        <w:t>appuyant, le cas échéant, sur les directives du SEM. De nombreuses pratiques cantonales prévoient des collaborations interinstitutionnelles entre les autorités migratoires, les services de prévention de la violence, la police et les centres spécialisés. Certains cantons disposent également de supports d</w:t>
      </w:r>
      <w:r>
        <w:t>’</w:t>
      </w:r>
      <w:r w:rsidRPr="00A45AD8">
        <w:t>information multilingues, de formations spécifiques et d</w:t>
      </w:r>
      <w:r>
        <w:t>’</w:t>
      </w:r>
      <w:r w:rsidRPr="00A45AD8">
        <w:t>outils pratiques (fiches, formulaires types, guides) destinés à soutenir les victimes dans leurs démarches. Des exemples à ce sujet existent notamment dans les cantons d</w:t>
      </w:r>
      <w:r>
        <w:t>’</w:t>
      </w:r>
      <w:r w:rsidRPr="008F68A1">
        <w:t>Argovie, de Bâle-Campagne, de Genève, de Soleure, de Saint-Gall et de Vaud</w:t>
      </w:r>
      <w:r w:rsidRPr="00A45AD8">
        <w:t>. Toutefois, les données statistiques sur les bénéficiaires de cette disposition sont limitées, et un suivi systématique fait encore défaut au niveau national.</w:t>
      </w:r>
    </w:p>
    <w:p w14:paraId="27356B35" w14:textId="000F6AFD" w:rsidR="00A454AE" w:rsidRPr="00A45AD8" w:rsidRDefault="007B547D" w:rsidP="007B547D">
      <w:pPr>
        <w:pStyle w:val="H4G"/>
      </w:pPr>
      <w:r>
        <w:tab/>
      </w:r>
      <w:r>
        <w:tab/>
      </w:r>
      <w:r w:rsidR="00A454AE" w:rsidRPr="00A45AD8">
        <w:t>Mise en œuvre de la recommandation formulée au ch.</w:t>
      </w:r>
      <w:r w:rsidR="00A454AE">
        <w:t> </w:t>
      </w:r>
      <w:r w:rsidR="00A454AE" w:rsidRPr="00A45AD8">
        <w:t>26d des observations finales :</w:t>
      </w:r>
    </w:p>
    <w:p w14:paraId="475E91AB"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Depuis le 1</w:t>
      </w:r>
      <w:r w:rsidRPr="00A45AD8">
        <w:rPr>
          <w:vertAlign w:val="superscript"/>
        </w:rPr>
        <w:t>er</w:t>
      </w:r>
      <w:r w:rsidRPr="00A45AD8">
        <w:t> juin 2024, les personnes admises à titre provisoire peuvent changer de canton plus facilement (art. 85</w:t>
      </w:r>
      <w:r w:rsidRPr="00A45AD8">
        <w:rPr>
          <w:i/>
        </w:rPr>
        <w:t>b</w:t>
      </w:r>
      <w:r w:rsidRPr="00A45AD8">
        <w:t xml:space="preserve"> LEI) : elles peuvent dorénavant transférer</w:t>
      </w:r>
      <w:r>
        <w:t xml:space="preserve"> leur résidence</w:t>
      </w:r>
      <w:r w:rsidRPr="00A45AD8">
        <w:t xml:space="preserve"> dans un autre canton, pour autant qu</w:t>
      </w:r>
      <w:r>
        <w:t>’</w:t>
      </w:r>
      <w:r w:rsidRPr="00A45AD8">
        <w:t>elles exercent une activité rémunérée et remplissent certaines conditions précises (RO </w:t>
      </w:r>
      <w:r w:rsidRPr="00CB2555">
        <w:rPr>
          <w:i/>
          <w:iCs/>
        </w:rPr>
        <w:t>2024</w:t>
      </w:r>
      <w:r w:rsidRPr="00A45AD8">
        <w:t xml:space="preserve"> 188). </w:t>
      </w:r>
    </w:p>
    <w:p w14:paraId="1207168E"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Les </w:t>
      </w:r>
      <w:r>
        <w:t xml:space="preserve">personnes </w:t>
      </w:r>
      <w:r w:rsidRPr="00A45AD8">
        <w:t>résid</w:t>
      </w:r>
      <w:r>
        <w:t>ant dans</w:t>
      </w:r>
      <w:r w:rsidRPr="00A45AD8">
        <w:t xml:space="preserve"> des centres fédéraux pour requérants d</w:t>
      </w:r>
      <w:r>
        <w:t>’</w:t>
      </w:r>
      <w:r w:rsidRPr="00A45AD8">
        <w:t xml:space="preserve">asile se voient octroyer un </w:t>
      </w:r>
      <w:r>
        <w:t>droit de résidence en Suisse (permis N)</w:t>
      </w:r>
      <w:r w:rsidRPr="00A45AD8">
        <w:t xml:space="preserve"> pendant leur procédure d</w:t>
      </w:r>
      <w:r>
        <w:t>’</w:t>
      </w:r>
      <w:r w:rsidRPr="00A45AD8">
        <w:t>asile et peuvent en principe se déplacer librement en Suisse.</w:t>
      </w:r>
    </w:p>
    <w:p w14:paraId="34F8F95D" w14:textId="0F2A32AD" w:rsidR="00A454AE" w:rsidRPr="00A45AD8" w:rsidRDefault="007B547D" w:rsidP="007B547D">
      <w:pPr>
        <w:pStyle w:val="H4G"/>
      </w:pPr>
      <w:r>
        <w:tab/>
      </w:r>
      <w:r>
        <w:tab/>
      </w:r>
      <w:r w:rsidR="00A454AE" w:rsidRPr="00A45AD8">
        <w:t>Mise en œuvre de la recommandation formulée au ch. 26e des observations finales :</w:t>
      </w:r>
    </w:p>
    <w:p w14:paraId="4E832BF7" w14:textId="77777777" w:rsidR="00A454AE" w:rsidRPr="00646327" w:rsidRDefault="00A454AE" w:rsidP="00753414">
      <w:pPr>
        <w:pStyle w:val="SingleTxtG"/>
        <w:numPr>
          <w:ilvl w:val="0"/>
          <w:numId w:val="43"/>
        </w:numPr>
        <w:kinsoku/>
        <w:overflowPunct/>
        <w:autoSpaceDE/>
        <w:autoSpaceDN/>
        <w:adjustRightInd/>
        <w:snapToGrid/>
        <w:ind w:left="1134" w:firstLine="0"/>
      </w:pPr>
      <w:r>
        <w:t>La scolarité obligatoire</w:t>
      </w:r>
      <w:r w:rsidRPr="00A45AD8">
        <w:t xml:space="preserve"> relève de la compétence des cantons, et celle des personnes hébergées dans un centre pour requérants d</w:t>
      </w:r>
      <w:r>
        <w:t>’</w:t>
      </w:r>
      <w:r w:rsidRPr="00A45AD8">
        <w:t>asile ne fait pas exception. Certains cantons scolarisent tous les mineurs de plus de quatre ans hébergés dans ces centres</w:t>
      </w:r>
      <w:r>
        <w:t xml:space="preserve"> (</w:t>
      </w:r>
      <w:r w:rsidRPr="004070B7">
        <w:t>enfants et adolescents âgés de 4 à 17,9 ans, au lieu de seulement jusqu’à 15,9 ans</w:t>
      </w:r>
      <w:r>
        <w:t>)</w:t>
      </w:r>
      <w:r w:rsidRPr="00A45AD8">
        <w:t xml:space="preserve">. </w:t>
      </w:r>
    </w:p>
    <w:p w14:paraId="193A9200" w14:textId="77777777" w:rsidR="00A454AE" w:rsidRDefault="00A454AE" w:rsidP="00753414">
      <w:pPr>
        <w:pStyle w:val="SingleTxtG"/>
        <w:numPr>
          <w:ilvl w:val="0"/>
          <w:numId w:val="43"/>
        </w:numPr>
        <w:kinsoku/>
        <w:overflowPunct/>
        <w:autoSpaceDE/>
        <w:autoSpaceDN/>
        <w:adjustRightInd/>
        <w:snapToGrid/>
        <w:ind w:left="1134" w:firstLine="0"/>
      </w:pPr>
      <w:r w:rsidRPr="00A45AD8">
        <w:t>Les cantons scolarisent les mineurs non accompagnés soit directement dans les structures scolaires ordinaires, soit dans des classes d</w:t>
      </w:r>
      <w:r>
        <w:t>’</w:t>
      </w:r>
      <w:r w:rsidRPr="00A45AD8">
        <w:t>intégration ayant comme objectif l</w:t>
      </w:r>
      <w:r>
        <w:t>’</w:t>
      </w:r>
      <w:r w:rsidRPr="00A45AD8">
        <w:t>acquisition de compétences de base et de connaissances linguistiques. Les mineurs de 16 ans et plus bénéficient d</w:t>
      </w:r>
      <w:r>
        <w:t>’</w:t>
      </w:r>
      <w:r w:rsidRPr="00A45AD8">
        <w:t>offres temporaires et de passerelles ainsi que de bilans de potentiel et de préapprentissages d</w:t>
      </w:r>
      <w:r>
        <w:t>’</w:t>
      </w:r>
      <w:r w:rsidRPr="00A45AD8">
        <w:t xml:space="preserve">intégration, parfois combinés à des stages (comme à </w:t>
      </w:r>
      <w:r w:rsidRPr="0052545F">
        <w:t>Argovie, Bâle-Campagne, Bâle-Ville, Berne, Glaris, Saint-Gall, Soleure, Thurgovie, Valais, Zoug, Zurich</w:t>
      </w:r>
      <w:r w:rsidRPr="00A45AD8">
        <w:t>). Ces prestations sont offertes dans le cadre</w:t>
      </w:r>
      <w:r>
        <w:t xml:space="preserve"> des</w:t>
      </w:r>
      <w:r w:rsidRPr="00A45AD8">
        <w:t xml:space="preserve"> </w:t>
      </w:r>
      <w:r>
        <w:t>PIC</w:t>
      </w:r>
      <w:r w:rsidRPr="00A45AD8">
        <w:t xml:space="preserve"> et de recherches de </w:t>
      </w:r>
      <w:r w:rsidRPr="00A45AD8">
        <w:br/>
        <w:t xml:space="preserve">solutions individuelles. </w:t>
      </w:r>
      <w:r>
        <w:t>Certains</w:t>
      </w:r>
      <w:r w:rsidRPr="00A45AD8">
        <w:t xml:space="preserve"> cantons (tels qu</w:t>
      </w:r>
      <w:r>
        <w:t>’</w:t>
      </w:r>
      <w:r w:rsidRPr="00A45AD8">
        <w:t>Appenzell Rhodes-Extérieures</w:t>
      </w:r>
      <w:r>
        <w:t xml:space="preserve"> ou</w:t>
      </w:r>
      <w:r w:rsidRPr="00A45AD8">
        <w:t xml:space="preserve"> Berne) instaurent des partenariats avec des organisations spécialisées et des structures d</w:t>
      </w:r>
      <w:r>
        <w:t>’</w:t>
      </w:r>
      <w:r w:rsidRPr="00A45AD8">
        <w:t xml:space="preserve">hébergement protégé. Un suivi </w:t>
      </w:r>
      <w:proofErr w:type="spellStart"/>
      <w:r w:rsidRPr="00A45AD8">
        <w:t>sociopédagogique</w:t>
      </w:r>
      <w:proofErr w:type="spellEnd"/>
      <w:r w:rsidRPr="00A45AD8">
        <w:t xml:space="preserve"> complète souvent l</w:t>
      </w:r>
      <w:r>
        <w:t>’</w:t>
      </w:r>
      <w:r w:rsidRPr="00A45AD8">
        <w:t xml:space="preserve">insertion scolaire ou professionnelle. De plus, </w:t>
      </w:r>
      <w:r>
        <w:t>de nombreux</w:t>
      </w:r>
      <w:r w:rsidRPr="00A45AD8">
        <w:t xml:space="preserve"> cantons nomment </w:t>
      </w:r>
      <w:r>
        <w:t xml:space="preserve">une personne responsable (curatelle) </w:t>
      </w:r>
      <w:r w:rsidRPr="00A45AD8">
        <w:t>par mineur</w:t>
      </w:r>
      <w:r>
        <w:t xml:space="preserve"> non accompagné</w:t>
      </w:r>
      <w:r w:rsidRPr="00A45AD8">
        <w:t>, et cette personne aide aussi le jeune à s</w:t>
      </w:r>
      <w:r>
        <w:t>’</w:t>
      </w:r>
      <w:r w:rsidRPr="00A45AD8">
        <w:t>insérer dans un parcours scolaire ou une formation (c</w:t>
      </w:r>
      <w:r>
        <w:t>’</w:t>
      </w:r>
      <w:r w:rsidRPr="00A45AD8">
        <w:t>est le cas notamment à Glaris et Zoug). Plusieurs cantons (comme Neuchâtel</w:t>
      </w:r>
      <w:r>
        <w:t>, Genève</w:t>
      </w:r>
      <w:r w:rsidRPr="00A45AD8">
        <w:t xml:space="preserve"> et Schaffhouse) ont en outre créé des classes spéciales pour les jeunes ayant peu de connaissances de la langue locale</w:t>
      </w:r>
      <w:r w:rsidRPr="006E61A8">
        <w:t>.</w:t>
      </w:r>
    </w:p>
    <w:p w14:paraId="76FFD9B8" w14:textId="77777777" w:rsidR="00A454AE" w:rsidRPr="006E61A8" w:rsidRDefault="00A454AE" w:rsidP="00753414">
      <w:pPr>
        <w:pStyle w:val="SingleTxtG"/>
        <w:numPr>
          <w:ilvl w:val="0"/>
          <w:numId w:val="43"/>
        </w:numPr>
        <w:kinsoku/>
        <w:overflowPunct/>
        <w:autoSpaceDE/>
        <w:autoSpaceDN/>
        <w:adjustRightInd/>
        <w:snapToGrid/>
        <w:ind w:left="1134" w:firstLine="0"/>
      </w:pPr>
      <w:r w:rsidRPr="00E26FD3">
        <w:t>En novembre 2024, le comité directeur de la</w:t>
      </w:r>
      <w:r>
        <w:t xml:space="preserve"> Conférence des directrices et directeurs cantonaux des affaires sociales</w:t>
      </w:r>
      <w:r w:rsidRPr="00E26FD3">
        <w:t xml:space="preserve"> </w:t>
      </w:r>
      <w:r>
        <w:t>(</w:t>
      </w:r>
      <w:r w:rsidRPr="00E26FD3">
        <w:t>CDAS</w:t>
      </w:r>
      <w:r>
        <w:t>)</w:t>
      </w:r>
      <w:r w:rsidRPr="00E26FD3">
        <w:t xml:space="preserve"> a adopté, en complément des </w:t>
      </w:r>
      <w:hyperlink r:id="rId92" w:history="1">
        <w:r w:rsidRPr="00362514">
          <w:rPr>
            <w:rStyle w:val="Hyperlink"/>
          </w:rPr>
          <w:t>Recommandations de la CDAS relatives aux enfants et aux jeunes mineurs non accompagnés dans le domaine de l'asile</w:t>
        </w:r>
      </w:hyperlink>
      <w:r w:rsidRPr="00E26FD3">
        <w:t xml:space="preserve"> (2016), les </w:t>
      </w:r>
      <w:hyperlink r:id="rId93" w:history="1">
        <w:r w:rsidRPr="00E26FD3">
          <w:rPr>
            <w:rStyle w:val="Hyperlink"/>
          </w:rPr>
          <w:t>« Aides pratiques MNA 2024 »</w:t>
        </w:r>
      </w:hyperlink>
      <w:r w:rsidRPr="00E26FD3">
        <w:t xml:space="preserve">. Ces aides s’appuient sur des solutions </w:t>
      </w:r>
      <w:r w:rsidRPr="00E26FD3">
        <w:lastRenderedPageBreak/>
        <w:t>cantonales en matière d’hébergement et d’encadrement des MNA, et rassemblent des exemples concrets pouvant servir de référence aux cantons pour la mise en œuvre de leurs propres mesures. Mises à jour régulièrement et largement utilisées, ces aides pratiques visent à favoriser l’apprentissage mutuel entre les cantons.</w:t>
      </w:r>
    </w:p>
    <w:p w14:paraId="5050723C" w14:textId="44C7CED4" w:rsidR="00A454AE" w:rsidRPr="00A45AD8" w:rsidRDefault="007B547D" w:rsidP="007B547D">
      <w:pPr>
        <w:pStyle w:val="H4G"/>
      </w:pPr>
      <w:r>
        <w:tab/>
      </w:r>
      <w:r>
        <w:tab/>
      </w:r>
      <w:r w:rsidR="00A454AE" w:rsidRPr="00A45AD8">
        <w:t>Mise en œuvre de la recommandation formulée au ch.</w:t>
      </w:r>
      <w:r w:rsidR="00A454AE">
        <w:t> </w:t>
      </w:r>
      <w:r w:rsidR="00A454AE" w:rsidRPr="00A45AD8">
        <w:t>26f des observations finales :</w:t>
      </w:r>
    </w:p>
    <w:p w14:paraId="393B5485"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En Suisse, l</w:t>
      </w:r>
      <w:r>
        <w:t>’</w:t>
      </w:r>
      <w:r w:rsidRPr="00A45AD8">
        <w:t>accès à l</w:t>
      </w:r>
      <w:r>
        <w:t>’</w:t>
      </w:r>
      <w:r w:rsidRPr="00A45AD8">
        <w:t xml:space="preserve">aide sociale est en principe ouvert à toute personne qui réside </w:t>
      </w:r>
      <w:r>
        <w:t xml:space="preserve">dans le pays </w:t>
      </w:r>
      <w:r w:rsidRPr="00A45AD8">
        <w:t>de manière légale, indépendamment de sa nationalité. Toutefois, l</w:t>
      </w:r>
      <w:r>
        <w:t>’</w:t>
      </w:r>
      <w:r w:rsidRPr="00A45AD8">
        <w:t>art. 62 LEI autorise le retrait ou le non-renouvellement d</w:t>
      </w:r>
      <w:r>
        <w:t>’</w:t>
      </w:r>
      <w:r w:rsidRPr="00A45AD8">
        <w:t>un permis de séjour en cas de dépendance durable à l</w:t>
      </w:r>
      <w:r>
        <w:t>’</w:t>
      </w:r>
      <w:r w:rsidRPr="00A45AD8">
        <w:t xml:space="preserve">aide sociale, ce qui peut avoir un effet dissuasif, notamment pour les </w:t>
      </w:r>
      <w:r>
        <w:t xml:space="preserve">personnes </w:t>
      </w:r>
      <w:r w:rsidRPr="00A45AD8">
        <w:t>ressortissant</w:t>
      </w:r>
      <w:r>
        <w:t>e</w:t>
      </w:r>
      <w:r w:rsidRPr="00A45AD8">
        <w:t>s de pays hors UE/AELE. La révision de la LEI en 2019 a renforcé ce lien entre aide sociale et statut de séjour, y compris en cas de précarité non fautive. Pour y remédier, le Parlement a adopté l</w:t>
      </w:r>
      <w:r>
        <w:t>’</w:t>
      </w:r>
      <w:r w:rsidRPr="00A45AD8">
        <w:t>initiative « La pauvreté n</w:t>
      </w:r>
      <w:r>
        <w:t>’</w:t>
      </w:r>
      <w:r w:rsidRPr="00A45AD8">
        <w:t>est pas un crime</w:t>
      </w:r>
      <w:r>
        <w:t> </w:t>
      </w:r>
      <w:r w:rsidRPr="00A45AD8">
        <w:t>», qui vise à garantir que les personnes étrangères ne perdent pas leur statut de séjour uniquement parce qu</w:t>
      </w:r>
      <w:r>
        <w:t>’</w:t>
      </w:r>
      <w:r w:rsidRPr="00A45AD8">
        <w:t>elles sont temporairement dépendantes de l</w:t>
      </w:r>
      <w:r>
        <w:t>’</w:t>
      </w:r>
      <w:r w:rsidRPr="00A45AD8">
        <w:t>aide sociale sans faute propre. La mise en œuvre législative de cette initiative est en cours : le projet a été mis en consultation jusqu</w:t>
      </w:r>
      <w:r>
        <w:t>’</w:t>
      </w:r>
      <w:r w:rsidRPr="00A45AD8">
        <w:t>en mars 2025.</w:t>
      </w:r>
    </w:p>
    <w:p w14:paraId="34263B4C"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Certains cantons prennent des mesures pour garantir un accès effectif et non discriminatoire à l</w:t>
      </w:r>
      <w:r>
        <w:t>’</w:t>
      </w:r>
      <w:r w:rsidRPr="00A45AD8">
        <w:t>aide sociale. En Argovie, un point de contact pour le domaine de l</w:t>
      </w:r>
      <w:r>
        <w:t>’</w:t>
      </w:r>
      <w:r w:rsidRPr="00A45AD8">
        <w:t xml:space="preserve">asile et des </w:t>
      </w:r>
      <w:r>
        <w:t xml:space="preserve">personnes </w:t>
      </w:r>
      <w:r w:rsidRPr="00A45AD8">
        <w:t>réfugié</w:t>
      </w:r>
      <w:r>
        <w:t>e</w:t>
      </w:r>
      <w:r w:rsidRPr="00A45AD8">
        <w:t xml:space="preserve">s offre soutien et voies de recours. À Saint-Gall, </w:t>
      </w:r>
      <w:r>
        <w:t>toutes les personnes</w:t>
      </w:r>
      <w:r w:rsidRPr="00A45AD8">
        <w:t xml:space="preserve"> ont accès aux prestations sociales </w:t>
      </w:r>
      <w:r>
        <w:t xml:space="preserve">et </w:t>
      </w:r>
      <w:r w:rsidRPr="00705F91">
        <w:t>ont la possibilité d’introduire un recours</w:t>
      </w:r>
      <w:r w:rsidRPr="00A45AD8">
        <w:t>. Glaris propose des formations en compétences interculturelles au personnel social. Obwald et Vaud favorisent l</w:t>
      </w:r>
      <w:r>
        <w:t>’</w:t>
      </w:r>
      <w:r w:rsidRPr="00A45AD8">
        <w:t>accès par la traduction et des services d</w:t>
      </w:r>
      <w:r>
        <w:t>’</w:t>
      </w:r>
      <w:r w:rsidRPr="00A45AD8">
        <w:t>interprétariat. Quant au canton de Schaffhouse, il prévoit d</w:t>
      </w:r>
      <w:r>
        <w:t>’</w:t>
      </w:r>
      <w:r w:rsidRPr="00A45AD8">
        <w:t>intégrer le non-recours aux prestations dans son futur monitoring de la pauvreté.</w:t>
      </w:r>
    </w:p>
    <w:p w14:paraId="39BDA94D" w14:textId="6611FD3E" w:rsidR="00A454AE" w:rsidRPr="00A45AD8" w:rsidRDefault="007B547D" w:rsidP="007B547D">
      <w:pPr>
        <w:pStyle w:val="H4G"/>
      </w:pPr>
      <w:r>
        <w:tab/>
      </w:r>
      <w:r>
        <w:tab/>
      </w:r>
      <w:r w:rsidR="00A454AE" w:rsidRPr="00A45AD8">
        <w:t>Mise en œuvre de la recommandation formulée au ch. 26g des observations finales :</w:t>
      </w:r>
    </w:p>
    <w:p w14:paraId="3C14CEE2"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Selon l</w:t>
      </w:r>
      <w:r>
        <w:t>’</w:t>
      </w:r>
      <w:r w:rsidRPr="00A45AD8">
        <w:t>art</w:t>
      </w:r>
      <w:r>
        <w:t>.</w:t>
      </w:r>
      <w:r w:rsidRPr="00A45AD8">
        <w:t> 23 de la loi fédérale du 20 juin 2014 sur la nationalité (LN, RS </w:t>
      </w:r>
      <w:r w:rsidRPr="0074417F">
        <w:rPr>
          <w:i/>
          <w:iCs/>
        </w:rPr>
        <w:t>141.0</w:t>
      </w:r>
      <w:r w:rsidRPr="00A45AD8">
        <w:t>) un enfant apatride peut, indépendamment de son lieu de naissance, former une demande de naturalisation facilitée s</w:t>
      </w:r>
      <w:r>
        <w:t>’</w:t>
      </w:r>
      <w:r w:rsidRPr="00A45AD8">
        <w:t>il a séjourné pendant cinq ans en tout en Suisse, dont l</w:t>
      </w:r>
      <w:r>
        <w:t>’</w:t>
      </w:r>
      <w:r w:rsidRPr="00A45AD8">
        <w:t xml:space="preserve">année ayant précédé le dépôt de la demande (cf. alinéa 1). À cet égard, tout séjour en Suisse conforme aux dispositions légales sur les étrangers est pris en compte (cf. alinéa 2).  </w:t>
      </w:r>
    </w:p>
    <w:p w14:paraId="05517AC3"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La reconnaissance du statut d</w:t>
      </w:r>
      <w:r>
        <w:t>’</w:t>
      </w:r>
      <w:r w:rsidRPr="00A45AD8">
        <w:t>apatride est un prérequis pour l</w:t>
      </w:r>
      <w:r>
        <w:t>’</w:t>
      </w:r>
      <w:r w:rsidRPr="00A45AD8">
        <w:t>octroi de la nationalité suisse en application de l</w:t>
      </w:r>
      <w:r>
        <w:t>’</w:t>
      </w:r>
      <w:r w:rsidRPr="00A45AD8">
        <w:t>art</w:t>
      </w:r>
      <w:r>
        <w:t>. </w:t>
      </w:r>
      <w:r w:rsidRPr="00A45AD8">
        <w:t>23 LN. À ce titre, le requérant</w:t>
      </w:r>
      <w:r>
        <w:t xml:space="preserve"> ou la requérante</w:t>
      </w:r>
      <w:r w:rsidRPr="00A45AD8">
        <w:t xml:space="preserve"> doit être un enfant mineur de moins de dix-huit ans dont le statut d</w:t>
      </w:r>
      <w:r>
        <w:t>’</w:t>
      </w:r>
      <w:r w:rsidRPr="00A45AD8">
        <w:t xml:space="preserve">apatridie est reconnu par la Suisse ou par un État signataire de la Convention relative au statut des apatrides. </w:t>
      </w:r>
    </w:p>
    <w:p w14:paraId="21DF4955"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w:t>
      </w:r>
      <w:r>
        <w:t>’</w:t>
      </w:r>
      <w:r w:rsidRPr="00A45AD8">
        <w:t>art. 23</w:t>
      </w:r>
      <w:r>
        <w:t> </w:t>
      </w:r>
      <w:r w:rsidRPr="00A45AD8">
        <w:t>LN se fonde sur l</w:t>
      </w:r>
      <w:r>
        <w:t>’</w:t>
      </w:r>
      <w:r w:rsidRPr="00A45AD8">
        <w:t>art. 38, al. 3 de la Constitution fédérale de la Confédération suisse (Cst</w:t>
      </w:r>
      <w:r>
        <w:t>.</w:t>
      </w:r>
      <w:r w:rsidRPr="00A45AD8">
        <w:t>, RS </w:t>
      </w:r>
      <w:r w:rsidRPr="0074417F">
        <w:rPr>
          <w:i/>
          <w:iCs/>
        </w:rPr>
        <w:t>101</w:t>
      </w:r>
      <w:r w:rsidRPr="00A45AD8">
        <w:t>) qui précise que la Confédération se doit de faciliter la naturalisation des enfants apatrides. De plus, l</w:t>
      </w:r>
      <w:r>
        <w:t>’</w:t>
      </w:r>
      <w:r w:rsidRPr="00A45AD8">
        <w:t>art. 23</w:t>
      </w:r>
      <w:r>
        <w:t> </w:t>
      </w:r>
      <w:r w:rsidRPr="00A45AD8">
        <w:t>LN s</w:t>
      </w:r>
      <w:r>
        <w:t>’</w:t>
      </w:r>
      <w:r w:rsidRPr="00A45AD8">
        <w:t>inspire également de l</w:t>
      </w:r>
      <w:r>
        <w:t>’</w:t>
      </w:r>
      <w:r w:rsidRPr="00A45AD8">
        <w:t>art. 15 de la Déclaration universelle des droits de l</w:t>
      </w:r>
      <w:r>
        <w:t>’</w:t>
      </w:r>
      <w:r w:rsidRPr="00A45AD8">
        <w:t>homme, qui précise que tout individu a droit à une nationalité. Il correspond également à l</w:t>
      </w:r>
      <w:r>
        <w:t>’</w:t>
      </w:r>
      <w:r w:rsidRPr="00A45AD8">
        <w:t>art. 24 al. 3 du Pacte international relatif aux droits civils et politiques, ainsi qu</w:t>
      </w:r>
      <w:r>
        <w:t>’</w:t>
      </w:r>
      <w:r w:rsidRPr="00A45AD8">
        <w:t>à l</w:t>
      </w:r>
      <w:r>
        <w:t>’</w:t>
      </w:r>
      <w:r w:rsidRPr="00A45AD8">
        <w:t>art. 7 de la Convention relative aux droits de l</w:t>
      </w:r>
      <w:r>
        <w:t>’</w:t>
      </w:r>
      <w:r w:rsidRPr="00A45AD8">
        <w:t>enfant, selon lequel l</w:t>
      </w:r>
      <w:r>
        <w:t>’</w:t>
      </w:r>
      <w:r w:rsidRPr="00A45AD8">
        <w:t>enfant a le droit d</w:t>
      </w:r>
      <w:r>
        <w:t>’</w:t>
      </w:r>
      <w:r w:rsidRPr="00A45AD8">
        <w:t>acquérir une nationalité.</w:t>
      </w:r>
      <w:bookmarkEnd w:id="77"/>
    </w:p>
    <w:p w14:paraId="0E0D0817" w14:textId="04FC64BE" w:rsidR="00A454AE" w:rsidRPr="00A45AD8" w:rsidRDefault="00A454AE" w:rsidP="007B547D">
      <w:pPr>
        <w:pStyle w:val="H1G"/>
      </w:pPr>
      <w:bookmarkStart w:id="78" w:name="_Toc313547002"/>
      <w:bookmarkStart w:id="79" w:name="_Toc322879454"/>
      <w:bookmarkStart w:id="80" w:name="_Toc323731209"/>
      <w:bookmarkStart w:id="81" w:name="_Toc474943687"/>
      <w:bookmarkStart w:id="82" w:name="_Toc530069759"/>
      <w:r w:rsidRPr="00A45AD8">
        <w:t xml:space="preserve"> </w:t>
      </w:r>
      <w:bookmarkStart w:id="83" w:name="_Toc216340615"/>
      <w:r w:rsidR="0064090A">
        <w:tab/>
        <w:t>6.</w:t>
      </w:r>
      <w:r w:rsidR="0064090A">
        <w:tab/>
      </w:r>
      <w:r w:rsidRPr="00A45AD8">
        <w:t xml:space="preserve">Article 6 : </w:t>
      </w:r>
      <w:r>
        <w:t>g</w:t>
      </w:r>
      <w:r w:rsidRPr="00A45AD8">
        <w:t>arantie de voies de recours</w:t>
      </w:r>
      <w:bookmarkEnd w:id="78"/>
      <w:bookmarkEnd w:id="79"/>
      <w:bookmarkEnd w:id="80"/>
      <w:r w:rsidRPr="00A45AD8">
        <w:t xml:space="preserve"> effectives</w:t>
      </w:r>
      <w:bookmarkEnd w:id="81"/>
      <w:bookmarkEnd w:id="82"/>
      <w:bookmarkEnd w:id="83"/>
    </w:p>
    <w:p w14:paraId="24FC1567" w14:textId="77777777" w:rsidR="00A454AE" w:rsidRPr="003C53E6" w:rsidRDefault="00A454AE" w:rsidP="00753414">
      <w:pPr>
        <w:pStyle w:val="SingleTxtG"/>
        <w:numPr>
          <w:ilvl w:val="0"/>
          <w:numId w:val="43"/>
        </w:numPr>
        <w:kinsoku/>
        <w:overflowPunct/>
        <w:autoSpaceDE/>
        <w:autoSpaceDN/>
        <w:adjustRightInd/>
        <w:snapToGrid/>
        <w:ind w:left="1134" w:firstLine="0"/>
      </w:pPr>
      <w:r w:rsidRPr="00A45AD8">
        <w:t xml:space="preserve">Les évolutions présentées aux chap. 2.2 et 2.3 </w:t>
      </w:r>
      <w:r>
        <w:t>–</w:t>
      </w:r>
      <w:r w:rsidRPr="00A45AD8">
        <w:t xml:space="preserve"> et notamment l</w:t>
      </w:r>
      <w:r>
        <w:t>’</w:t>
      </w:r>
      <w:r w:rsidRPr="00A45AD8">
        <w:t>introduction d</w:t>
      </w:r>
      <w:r>
        <w:t>’</w:t>
      </w:r>
      <w:r w:rsidRPr="00A45AD8">
        <w:t>une loi interdisant les symboles nazis, l</w:t>
      </w:r>
      <w:r>
        <w:t>es démarches de</w:t>
      </w:r>
      <w:r w:rsidRPr="00A45AD8">
        <w:t xml:space="preserve"> </w:t>
      </w:r>
      <w:r>
        <w:t>réglementation</w:t>
      </w:r>
      <w:r w:rsidRPr="00A45AD8">
        <w:t xml:space="preserve"> des sites Internet, la modification du droit de procédure civile ainsi que plusieurs initiatives cantonales </w:t>
      </w:r>
      <w:r>
        <w:t>–</w:t>
      </w:r>
      <w:r w:rsidRPr="00A45AD8">
        <w:t xml:space="preserve"> contribuent à améliorer l</w:t>
      </w:r>
      <w:r>
        <w:t>’</w:t>
      </w:r>
      <w:r w:rsidRPr="00A45AD8">
        <w:t xml:space="preserve">accès à la justice des victimes de racisme et </w:t>
      </w:r>
      <w:r>
        <w:t xml:space="preserve">de </w:t>
      </w:r>
      <w:r w:rsidRPr="00A45AD8">
        <w:t xml:space="preserve">discrimination raciale. Ces mesures </w:t>
      </w:r>
      <w:r>
        <w:t>renforcent concrètement</w:t>
      </w:r>
      <w:r w:rsidRPr="00A45AD8">
        <w:t xml:space="preserve"> les possibilités de porter plainte et </w:t>
      </w:r>
      <w:r>
        <w:t>rendent plus accessibles les procédures juridiques dans les</w:t>
      </w:r>
      <w:r w:rsidRPr="00A45AD8">
        <w:t xml:space="preserve"> affaire</w:t>
      </w:r>
      <w:r>
        <w:t>s</w:t>
      </w:r>
      <w:r w:rsidRPr="00A45AD8">
        <w:t xml:space="preserve"> de discrimination. De plus, la CFR fournit d</w:t>
      </w:r>
      <w:r>
        <w:t>’</w:t>
      </w:r>
      <w:r w:rsidRPr="00A45AD8">
        <w:t>importantes pistes d</w:t>
      </w:r>
      <w:r>
        <w:t>’</w:t>
      </w:r>
      <w:r w:rsidRPr="00A45AD8">
        <w:t>amélioration avec ses dernières études sur les lacunes de la protection contre la discrimination octroyée par le droit civil</w:t>
      </w:r>
      <w:r w:rsidRPr="003C53E6">
        <w:t>.</w:t>
      </w:r>
    </w:p>
    <w:p w14:paraId="75CDC8FC"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Consolider les centres de conseil spécialisés dans les incidents racistes constitue aussi un moyen de renforcer encore les droits des victimes</w:t>
      </w:r>
      <w:r w:rsidRPr="003C53E6">
        <w:t xml:space="preserve">. </w:t>
      </w:r>
      <w:r w:rsidRPr="00A45AD8">
        <w:t>Le</w:t>
      </w:r>
      <w:r>
        <w:t>s</w:t>
      </w:r>
      <w:r w:rsidRPr="00A45AD8">
        <w:t xml:space="preserve"> centres de conseil pour les victimes </w:t>
      </w:r>
      <w:r w:rsidRPr="00A45AD8">
        <w:lastRenderedPageBreak/>
        <w:t xml:space="preserve">de racisme soutenus dans le cadre des </w:t>
      </w:r>
      <w:r>
        <w:t>PIC</w:t>
      </w:r>
      <w:r w:rsidRPr="00A45AD8">
        <w:t xml:space="preserve"> jouent un rôle essentiel dans la mise en œuvre effective de l</w:t>
      </w:r>
      <w:r>
        <w:t>’</w:t>
      </w:r>
      <w:r w:rsidRPr="00A45AD8">
        <w:t xml:space="preserve">article 6 de la </w:t>
      </w:r>
      <w:r>
        <w:t>c</w:t>
      </w:r>
      <w:r w:rsidRPr="00A45AD8">
        <w:t>onvention. En offrant un accès bas-seuil, gratuit et confidentiel, ils permettent aux personnes concernées de comprendre leurs droits, d</w:t>
      </w:r>
      <w:r>
        <w:t>’</w:t>
      </w:r>
      <w:r w:rsidRPr="00A45AD8">
        <w:t>évaluer les possibilités de recours et d</w:t>
      </w:r>
      <w:r>
        <w:t>’</w:t>
      </w:r>
      <w:r w:rsidRPr="00A45AD8">
        <w:t>être accompagnées dans les démarches juridiques ou administratives. Ces centres renforcent la capacité des victimes à faire valoir leurs droits, documentent les cas de discrimination de manière systématique et contribuent ainsi à la visibilité du racisme structurel. Ils représentent également une interface de confiance entre les personnes concernées et les institutions, favorisant l</w:t>
      </w:r>
      <w:r>
        <w:t>’</w:t>
      </w:r>
      <w:r w:rsidRPr="00A45AD8">
        <w:t>accès effectif à la justice. Comme mentionné (cf. ch. </w:t>
      </w:r>
      <w:r>
        <w:t>21</w:t>
      </w:r>
      <w:r w:rsidRPr="00A45AD8">
        <w:t xml:space="preserve">), le SLR soutient les centres de consultation ainsi que le Réseau de </w:t>
      </w:r>
      <w:r>
        <w:t xml:space="preserve">centres de </w:t>
      </w:r>
      <w:r w:rsidRPr="00A45AD8">
        <w:t>conseil pour les victimes du racisme.</w:t>
      </w:r>
    </w:p>
    <w:p w14:paraId="72A47111"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w:t>
      </w:r>
      <w:r>
        <w:t>’</w:t>
      </w:r>
      <w:r w:rsidRPr="00A45AD8">
        <w:t>accès effectif à la justice pour les personnes victimes de discrimination raciale varie selon les cantons. Plusieurs cantons ont mis en place ou renforcé des dispositifs de plainte ou de conseil indépendants. Les cantons de Bâle-Campagne, de Zoug et de Bâle-Ville disposent par exemple d</w:t>
      </w:r>
      <w:r>
        <w:t>’</w:t>
      </w:r>
      <w:r w:rsidRPr="00A45AD8">
        <w:t>organes de médiation (</w:t>
      </w:r>
      <w:proofErr w:type="spellStart"/>
      <w:r w:rsidRPr="0036652C">
        <w:rPr>
          <w:i/>
          <w:iCs/>
        </w:rPr>
        <w:t>Ombudsstellen</w:t>
      </w:r>
      <w:proofErr w:type="spellEnd"/>
      <w:r w:rsidRPr="00A45AD8">
        <w:t xml:space="preserve">) accessibles. Le canton de Zurich étudie la possibilité de simplifier les procédures de </w:t>
      </w:r>
      <w:r w:rsidRPr="007D6C4F">
        <w:t>plainte. Genève a adapté, au 1</w:t>
      </w:r>
      <w:r w:rsidRPr="007D6C4F">
        <w:rPr>
          <w:vertAlign w:val="superscript"/>
        </w:rPr>
        <w:t>er</w:t>
      </w:r>
      <w:r w:rsidRPr="007D6C4F">
        <w:t> janvier 2025, sa législation sur les frais de procédure conformément au code de procédure civile afin de limiter les avances de frais pour les personnes à faibles ressources, et propose déjà un</w:t>
      </w:r>
      <w:r w:rsidRPr="00A45AD8">
        <w:t xml:space="preserve"> accompagnement via le centre </w:t>
      </w:r>
      <w:r w:rsidRPr="00520A9A">
        <w:t xml:space="preserve">d’aide aux victimes </w:t>
      </w:r>
      <w:proofErr w:type="gramStart"/>
      <w:r w:rsidRPr="00520A9A">
        <w:t xml:space="preserve">d’infractions </w:t>
      </w:r>
      <w:r w:rsidRPr="00A45AD8">
        <w:t>.</w:t>
      </w:r>
      <w:proofErr w:type="gramEnd"/>
      <w:r w:rsidRPr="00A45AD8">
        <w:t xml:space="preserve"> Le canton de Vaud a institué l</w:t>
      </w:r>
      <w:r>
        <w:t>’</w:t>
      </w:r>
      <w:r w:rsidRPr="00A45AD8">
        <w:t>unité DISPO, spécialisée dans l</w:t>
      </w:r>
      <w:r>
        <w:t>’</w:t>
      </w:r>
      <w:r w:rsidRPr="00A45AD8">
        <w:t>enquête sur les actes de contrainte des autorités, y compris les violences policières. Ces mesures contribuent à garantir le droit à un recours effectif tel que prévu à l</w:t>
      </w:r>
      <w:r>
        <w:t>’</w:t>
      </w:r>
      <w:r w:rsidRPr="00A45AD8">
        <w:t xml:space="preserve">article 6 de la </w:t>
      </w:r>
      <w:r>
        <w:t>c</w:t>
      </w:r>
      <w:r w:rsidRPr="00A45AD8">
        <w:t>onvention. Toutefois, l</w:t>
      </w:r>
      <w:r>
        <w:t>’</w:t>
      </w:r>
      <w:r w:rsidRPr="00A45AD8">
        <w:t>absence d</w:t>
      </w:r>
      <w:r>
        <w:t>’</w:t>
      </w:r>
      <w:r w:rsidRPr="00A45AD8">
        <w:t>harmonisation et les différences cantonales dans les voies de recours restent problématiques et peuvent limiter l</w:t>
      </w:r>
      <w:r>
        <w:t>’</w:t>
      </w:r>
      <w:r w:rsidRPr="00A45AD8">
        <w:t>accès équitable à la justice à l</w:t>
      </w:r>
      <w:r>
        <w:t>’</w:t>
      </w:r>
      <w:r w:rsidRPr="00A45AD8">
        <w:t>échelle nationale.</w:t>
      </w:r>
    </w:p>
    <w:p w14:paraId="29928D64" w14:textId="6B21A7B6" w:rsidR="00A454AE" w:rsidRPr="00A45AD8" w:rsidRDefault="00A454AE" w:rsidP="0064090A">
      <w:pPr>
        <w:pStyle w:val="H1G"/>
      </w:pPr>
      <w:bookmarkStart w:id="84" w:name="_Toc474943688"/>
      <w:bookmarkStart w:id="85" w:name="_Toc530069760"/>
      <w:bookmarkStart w:id="86" w:name="_Hlk201221400"/>
      <w:r w:rsidRPr="00A45AD8">
        <w:t xml:space="preserve"> </w:t>
      </w:r>
      <w:bookmarkStart w:id="87" w:name="_Toc216340616"/>
      <w:r w:rsidR="0064090A">
        <w:tab/>
        <w:t>7.</w:t>
      </w:r>
      <w:r w:rsidR="0064090A">
        <w:tab/>
      </w:r>
      <w:r w:rsidRPr="00A45AD8">
        <w:t xml:space="preserve">Article 7 : </w:t>
      </w:r>
      <w:r>
        <w:t>m</w:t>
      </w:r>
      <w:r w:rsidRPr="00A45AD8">
        <w:t>esures dans les domaines de l</w:t>
      </w:r>
      <w:r>
        <w:t>’</w:t>
      </w:r>
      <w:r w:rsidRPr="00A45AD8">
        <w:t>enseignement, de l</w:t>
      </w:r>
      <w:r>
        <w:t>’</w:t>
      </w:r>
      <w:r w:rsidRPr="00A45AD8">
        <w:t>éducation, de la culture et de l</w:t>
      </w:r>
      <w:r>
        <w:t>’</w:t>
      </w:r>
      <w:r w:rsidRPr="00A45AD8">
        <w:t>information</w:t>
      </w:r>
      <w:bookmarkStart w:id="88" w:name="_Toc302284546"/>
      <w:bookmarkEnd w:id="84"/>
      <w:bookmarkEnd w:id="85"/>
      <w:bookmarkEnd w:id="87"/>
    </w:p>
    <w:p w14:paraId="764704AD" w14:textId="79F50C16" w:rsidR="00A454AE" w:rsidRPr="00A45AD8" w:rsidRDefault="00A454AE" w:rsidP="0064090A">
      <w:pPr>
        <w:pStyle w:val="H23G"/>
      </w:pPr>
      <w:bookmarkStart w:id="89" w:name="_Toc530069762"/>
      <w:r w:rsidRPr="00A45AD8">
        <w:tab/>
      </w:r>
      <w:r w:rsidR="0064090A">
        <w:tab/>
      </w:r>
      <w:r w:rsidRPr="00A45AD8">
        <w:t>Éducation et formation à la lutte contre la discrimination raciale</w:t>
      </w:r>
      <w:bookmarkEnd w:id="89"/>
    </w:p>
    <w:p w14:paraId="1D8B4867" w14:textId="77777777" w:rsidR="00A454AE" w:rsidRPr="00C1136D" w:rsidRDefault="00A454AE" w:rsidP="00753414">
      <w:pPr>
        <w:pStyle w:val="SingleTxtG"/>
        <w:numPr>
          <w:ilvl w:val="0"/>
          <w:numId w:val="43"/>
        </w:numPr>
        <w:kinsoku/>
        <w:overflowPunct/>
        <w:autoSpaceDE/>
        <w:autoSpaceDN/>
        <w:adjustRightInd/>
        <w:snapToGrid/>
        <w:ind w:left="1134" w:firstLine="0"/>
      </w:pPr>
      <w:r w:rsidRPr="00A45AD8">
        <w:t>La promotion de l</w:t>
      </w:r>
      <w:r>
        <w:t>’</w:t>
      </w:r>
      <w:r w:rsidRPr="00A45AD8">
        <w:t>égalité des chances constitue une préoccupation majeure de la politique en matière d</w:t>
      </w:r>
      <w:r>
        <w:t>’</w:t>
      </w:r>
      <w:r w:rsidRPr="00A45AD8">
        <w:t>instruction et de formation. L</w:t>
      </w:r>
      <w:r>
        <w:t>’</w:t>
      </w:r>
      <w:r w:rsidRPr="00A45AD8">
        <w:t xml:space="preserve">éducation aux droits humains et la prévention de la discrimination </w:t>
      </w:r>
      <w:r>
        <w:t>font</w:t>
      </w:r>
      <w:r w:rsidRPr="00A45AD8">
        <w:t xml:space="preserve"> partie intégrante des programmes scolaires ainsi que de la formation initiale et continue </w:t>
      </w:r>
      <w:r>
        <w:t>du personnel enseignant</w:t>
      </w:r>
      <w:r w:rsidRPr="00A45AD8">
        <w:t>. De plus, les acteurs de l</w:t>
      </w:r>
      <w:r>
        <w:t>’</w:t>
      </w:r>
      <w:r w:rsidRPr="00A45AD8">
        <w:t xml:space="preserve">enseignement sont tenus de réagir de manière adéquate aux incidents racistes et de lutter contre le racisme institutionnel. Le SLR consacre un tiers de son budget à des projets en milieu scolaire : il y a ainsi soutenu 10 projets pour un montant total de 160 000 francs en 2014 et 13 projets pour un total de 163 000 francs en 2023. Il octroie aussi des fonds à hauteur de 100 000 francs par an à la Fondation éducation 21. Cette fondation mandatée par les cantons et la Confédération aide les écoles et </w:t>
      </w:r>
      <w:r>
        <w:t>le personnel enseignant</w:t>
      </w:r>
      <w:r w:rsidRPr="00A45AD8">
        <w:t xml:space="preserve"> à réaliser les objectifs </w:t>
      </w:r>
      <w:r>
        <w:t>en matière de</w:t>
      </w:r>
      <w:r w:rsidRPr="00A45AD8">
        <w:t xml:space="preserve"> formation au développement durable, une </w:t>
      </w:r>
      <w:r>
        <w:t>thématique</w:t>
      </w:r>
      <w:r w:rsidRPr="00A45AD8">
        <w:t xml:space="preserve"> qui </w:t>
      </w:r>
      <w:r>
        <w:t>englobe</w:t>
      </w:r>
      <w:r w:rsidRPr="00A45AD8">
        <w:t xml:space="preserve"> notamment la prévention du racisme</w:t>
      </w:r>
      <w:r w:rsidRPr="00C1136D">
        <w:t>.</w:t>
      </w:r>
    </w:p>
    <w:p w14:paraId="03654C19" w14:textId="77777777" w:rsidR="00A454AE" w:rsidRPr="00305691" w:rsidRDefault="00A454AE" w:rsidP="00753414">
      <w:pPr>
        <w:pStyle w:val="SingleTxtG"/>
        <w:numPr>
          <w:ilvl w:val="0"/>
          <w:numId w:val="43"/>
        </w:numPr>
        <w:kinsoku/>
        <w:overflowPunct/>
        <w:autoSpaceDE/>
        <w:autoSpaceDN/>
        <w:adjustRightInd/>
        <w:snapToGrid/>
        <w:ind w:left="1134" w:firstLine="0"/>
      </w:pPr>
      <w:r w:rsidRPr="00A45AD8">
        <w:t>En 2023, la CFR a chargé le Centre d</w:t>
      </w:r>
      <w:r>
        <w:t>’</w:t>
      </w:r>
      <w:r w:rsidRPr="00A45AD8">
        <w:t>éducation politique et de didactique historique de l</w:t>
      </w:r>
      <w:r>
        <w:t>’</w:t>
      </w:r>
      <w:r w:rsidRPr="00A45AD8">
        <w:t>Institut Recherche et développement de la HES du nord-ouest de la Suisse d</w:t>
      </w:r>
      <w:r>
        <w:t>’</w:t>
      </w:r>
      <w:r w:rsidRPr="00A45AD8">
        <w:t xml:space="preserve">élaborer le rapport </w:t>
      </w:r>
      <w:hyperlink r:id="rId94" w:history="1">
        <w:r w:rsidRPr="00362514">
          <w:rPr>
            <w:rStyle w:val="Hyperlink"/>
            <w:i/>
            <w:iCs/>
          </w:rPr>
          <w:t>Racisme et représentation de la diversité sociale dans les manuels scolaires</w:t>
        </w:r>
      </w:hyperlink>
      <w:r w:rsidRPr="00305691">
        <w:rPr>
          <w:i/>
          <w:iCs/>
        </w:rPr>
        <w:t>.</w:t>
      </w:r>
      <w:r w:rsidRPr="00A45AD8">
        <w:t xml:space="preserve"> Cette analyse du matériel pédagogique révèle une sensibilité croissante aux notions relatives au racisme et à la thématique de la « Suisse coloniale », ainsi qu</w:t>
      </w:r>
      <w:r>
        <w:t>’</w:t>
      </w:r>
      <w:r w:rsidRPr="00A45AD8">
        <w:t xml:space="preserve">une représentation ponctuelle </w:t>
      </w:r>
      <w:r>
        <w:t>de la</w:t>
      </w:r>
      <w:r w:rsidRPr="00A45AD8">
        <w:t xml:space="preserve"> société plurielle</w:t>
      </w:r>
      <w:r>
        <w:t> –</w:t>
      </w:r>
      <w:r w:rsidRPr="00A45AD8">
        <w:t xml:space="preserve"> issue de la migration</w:t>
      </w:r>
      <w:r>
        <w:t> – que constitue la Suisse</w:t>
      </w:r>
      <w:r w:rsidRPr="00A45AD8">
        <w:t>. Globalement, force est toutefois de constater que les manuels scolaires ne proposent que peu de pistes pour une réflexion critique sur le racisme, une situation qui s</w:t>
      </w:r>
      <w:r>
        <w:t>’</w:t>
      </w:r>
      <w:r w:rsidRPr="00A45AD8">
        <w:t xml:space="preserve">explique notamment par le fait que cette thématique ne figure pas </w:t>
      </w:r>
      <w:r>
        <w:t xml:space="preserve">explicitement </w:t>
      </w:r>
      <w:r w:rsidRPr="00A45AD8">
        <w:t>dans les plans d</w:t>
      </w:r>
      <w:r>
        <w:t>’</w:t>
      </w:r>
      <w:r w:rsidRPr="00A45AD8">
        <w:t>études</w:t>
      </w:r>
      <w:r w:rsidRPr="00305691">
        <w:t>.</w:t>
      </w:r>
    </w:p>
    <w:p w14:paraId="602502CB" w14:textId="77777777" w:rsidR="00A454AE" w:rsidRPr="00305691" w:rsidRDefault="00A454AE" w:rsidP="00753414">
      <w:pPr>
        <w:pStyle w:val="SingleTxtG"/>
        <w:numPr>
          <w:ilvl w:val="0"/>
          <w:numId w:val="43"/>
        </w:numPr>
        <w:kinsoku/>
        <w:overflowPunct/>
        <w:autoSpaceDE/>
        <w:autoSpaceDN/>
        <w:adjustRightInd/>
        <w:snapToGrid/>
        <w:ind w:left="1134" w:firstLine="0"/>
      </w:pPr>
      <w:r w:rsidRPr="00A45AD8">
        <w:t>En 2025, la Conférence des directrices et directeurs cantonaux de l</w:t>
      </w:r>
      <w:r>
        <w:t>’</w:t>
      </w:r>
      <w:r w:rsidRPr="00A45AD8">
        <w:t xml:space="preserve">instruction publique (CDIP) a revu sa </w:t>
      </w:r>
      <w:hyperlink r:id="rId95" w:history="1">
        <w:r w:rsidRPr="00362514">
          <w:rPr>
            <w:rStyle w:val="Hyperlink"/>
          </w:rPr>
          <w:t>Déclaration de 1991 sur la prévention et la lutte contre le racisme et l’antisémitisme à l’école</w:t>
        </w:r>
      </w:hyperlink>
      <w:r w:rsidRPr="00A45AD8">
        <w:t>. En renouvelant cette déclaration, la CDIP a tenu compte des connaissances actuelles, qui appréhendent le racisme comme un phénomène structurel, et envoyé un signal fort contre toute forme de racisme ou d</w:t>
      </w:r>
      <w:r>
        <w:t>’</w:t>
      </w:r>
      <w:r w:rsidRPr="00A45AD8">
        <w:t>antisémitisme. Elle a de plus accompagné sa déclaration d</w:t>
      </w:r>
      <w:r>
        <w:t>’</w:t>
      </w:r>
      <w:r w:rsidRPr="00A45AD8">
        <w:t>un rapport sur les bonnes pratiques éprouvées dans les écoles, promouvant ainsi un environnement scolaire respectueux et tolérant</w:t>
      </w:r>
      <w:r w:rsidRPr="00305691">
        <w:t>.</w:t>
      </w:r>
    </w:p>
    <w:p w14:paraId="06E909EE"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lastRenderedPageBreak/>
        <w:t>Les bases légales régissant la formation professionnelle ne mentionnent pas explicitement de projets de lutte contre le racisme et la discrimination, mais le Secrétariat d</w:t>
      </w:r>
      <w:r>
        <w:t>’</w:t>
      </w:r>
      <w:r w:rsidRPr="00A45AD8">
        <w:t>État à la formation, à la recherche et à l</w:t>
      </w:r>
      <w:r>
        <w:t>’</w:t>
      </w:r>
      <w:r w:rsidRPr="00A45AD8">
        <w:t>innovation (SEFRI) peut y contribuer en promouvant des projets de développement de la formation professionnelle ou de la qualité, comme prévu aux art</w:t>
      </w:r>
      <w:r>
        <w:t>.</w:t>
      </w:r>
      <w:r w:rsidRPr="00A45AD8">
        <w:t> 54 et 55 de la loi du 13 décembre 2002 sur la formation professionnelle (</w:t>
      </w:r>
      <w:proofErr w:type="spellStart"/>
      <w:r w:rsidRPr="00A45AD8">
        <w:t>LFPr</w:t>
      </w:r>
      <w:proofErr w:type="spellEnd"/>
      <w:r w:rsidRPr="00A45AD8">
        <w:t> ; RS </w:t>
      </w:r>
      <w:r w:rsidRPr="00A45AD8">
        <w:rPr>
          <w:i/>
          <w:iCs/>
        </w:rPr>
        <w:t>412.10</w:t>
      </w:r>
      <w:r w:rsidRPr="00A45AD8">
        <w:t xml:space="preserve">). Les projets </w:t>
      </w:r>
      <w:r w:rsidRPr="00A45AD8">
        <w:rPr>
          <w:i/>
        </w:rPr>
        <w:t xml:space="preserve">I Girl </w:t>
      </w:r>
      <w:r>
        <w:rPr>
          <w:i/>
        </w:rPr>
        <w:t>–</w:t>
      </w:r>
      <w:r w:rsidRPr="00A45AD8">
        <w:rPr>
          <w:i/>
        </w:rPr>
        <w:t xml:space="preserve"> I Boy </w:t>
      </w:r>
      <w:r>
        <w:rPr>
          <w:i/>
        </w:rPr>
        <w:t>–</w:t>
      </w:r>
      <w:r w:rsidRPr="00A45AD8">
        <w:rPr>
          <w:i/>
        </w:rPr>
        <w:t xml:space="preserve"> I Phone </w:t>
      </w:r>
      <w:r w:rsidRPr="00A45AD8">
        <w:t xml:space="preserve">et </w:t>
      </w:r>
      <w:r w:rsidRPr="00A45AD8">
        <w:rPr>
          <w:i/>
        </w:rPr>
        <w:t>like2be</w:t>
      </w:r>
      <w:r w:rsidRPr="00A45AD8">
        <w:t>, notamment, qui questionnent les stéréotypes racistes, ont été lancés grâce au soutien du SEFRI. Ils sont maintenant financés par d</w:t>
      </w:r>
      <w:r>
        <w:t>’</w:t>
      </w:r>
      <w:r w:rsidRPr="00A45AD8">
        <w:t xml:space="preserve">autres institutions. </w:t>
      </w:r>
    </w:p>
    <w:p w14:paraId="352E9D51" w14:textId="1CA9F7B5" w:rsidR="00A454AE" w:rsidRPr="00A45AD8" w:rsidRDefault="0064090A" w:rsidP="0064090A">
      <w:pPr>
        <w:pStyle w:val="H4G"/>
      </w:pPr>
      <w:r>
        <w:tab/>
      </w:r>
      <w:r>
        <w:tab/>
      </w:r>
      <w:r w:rsidR="00A454AE" w:rsidRPr="00A45AD8">
        <w:t>Mise en œuvre de la recommandation formulée au ch. 28 des observations finales :</w:t>
      </w:r>
    </w:p>
    <w:p w14:paraId="58560C8F" w14:textId="77777777" w:rsidR="00A454AE" w:rsidRPr="00305691" w:rsidRDefault="00A454AE" w:rsidP="00753414">
      <w:pPr>
        <w:pStyle w:val="SingleTxtG"/>
        <w:numPr>
          <w:ilvl w:val="0"/>
          <w:numId w:val="43"/>
        </w:numPr>
        <w:kinsoku/>
        <w:overflowPunct/>
        <w:autoSpaceDE/>
        <w:autoSpaceDN/>
        <w:adjustRightInd/>
        <w:snapToGrid/>
        <w:ind w:left="1134" w:firstLine="0"/>
      </w:pPr>
      <w:r w:rsidRPr="00A45AD8">
        <w:t xml:space="preserve">Comme le prévoit son mandat légal, le SLR fournit une contribution essentielle en matière de sensibilisation du public au racisme et à la discrimination raciale. Il </w:t>
      </w:r>
      <w:r>
        <w:t>diffuse</w:t>
      </w:r>
      <w:r w:rsidRPr="00A45AD8">
        <w:t xml:space="preserve"> régulièrement des informations dans divers formats, tels qu</w:t>
      </w:r>
      <w:r>
        <w:t>’</w:t>
      </w:r>
      <w:r w:rsidRPr="00A45AD8">
        <w:t xml:space="preserve">études scientifiques, résumés facilement compréhensibles, une </w:t>
      </w:r>
      <w:r>
        <w:t>newsletter</w:t>
      </w:r>
      <w:r w:rsidRPr="00A45AD8">
        <w:t xml:space="preserve">, des podcasts, des colloques publics, des rencontres de réseautage et des coachings. Depuis 2024, il met de plus en ligne </w:t>
      </w:r>
      <w:r>
        <w:t>les résultats de son</w:t>
      </w:r>
      <w:r w:rsidRPr="00A45AD8">
        <w:t xml:space="preserve"> </w:t>
      </w:r>
      <w:hyperlink r:id="rId96" w:history="1">
        <w:r w:rsidRPr="00555958">
          <w:rPr>
            <w:rStyle w:val="Hyperlink"/>
          </w:rPr>
          <w:t>monitorage</w:t>
        </w:r>
      </w:hyperlink>
      <w:r>
        <w:t>,</w:t>
      </w:r>
      <w:r w:rsidRPr="00A45AD8">
        <w:t xml:space="preserve"> présentant une vue d</w:t>
      </w:r>
      <w:r>
        <w:t>’</w:t>
      </w:r>
      <w:r w:rsidRPr="00A45AD8">
        <w:t xml:space="preserve">ensemble systématique des données et évolutions dans le domaine du racisme. </w:t>
      </w:r>
      <w:r>
        <w:t xml:space="preserve">Enfin, il soutient financièrement des projets de sensibilisation réalisés par des tiers, comme la semaine contre le racisme, qui contribuent à informer le public et à encourager le débat dans l’espace public. </w:t>
      </w:r>
      <w:r w:rsidRPr="00A45AD8">
        <w:t>D</w:t>
      </w:r>
      <w:r>
        <w:t>’</w:t>
      </w:r>
      <w:r w:rsidRPr="00A45AD8">
        <w:t xml:space="preserve">autres entités fédérales, comme la CFR, </w:t>
      </w:r>
      <w:r>
        <w:t>effectuent</w:t>
      </w:r>
      <w:r w:rsidRPr="00A45AD8">
        <w:t xml:space="preserve"> </w:t>
      </w:r>
      <w:r>
        <w:t xml:space="preserve">aussi </w:t>
      </w:r>
      <w:r w:rsidRPr="00A45AD8">
        <w:t>un travail de sensibilisation, en particulier grâce à des publications thématiques, des prises de position et l</w:t>
      </w:r>
      <w:r>
        <w:t>’</w:t>
      </w:r>
      <w:r w:rsidRPr="00A45AD8">
        <w:t>organisation d</w:t>
      </w:r>
      <w:r>
        <w:t>’</w:t>
      </w:r>
      <w:r w:rsidRPr="00A45AD8">
        <w:t>événements. Ces mesures contribuent à promouvoir une société ouverte et sensible à la discrimination ; elles aident les institutions à s</w:t>
      </w:r>
      <w:r>
        <w:t>’</w:t>
      </w:r>
      <w:r w:rsidRPr="00A45AD8">
        <w:t>ouvrir à une population plurielle</w:t>
      </w:r>
      <w:r w:rsidRPr="00305691">
        <w:t>.</w:t>
      </w:r>
    </w:p>
    <w:p w14:paraId="782CA582" w14:textId="77777777" w:rsidR="00A454AE" w:rsidRPr="00305691" w:rsidRDefault="00A454AE" w:rsidP="00753414">
      <w:pPr>
        <w:pStyle w:val="SingleTxtG"/>
        <w:numPr>
          <w:ilvl w:val="0"/>
          <w:numId w:val="43"/>
        </w:numPr>
        <w:kinsoku/>
        <w:overflowPunct/>
        <w:autoSpaceDE/>
        <w:autoSpaceDN/>
        <w:adjustRightInd/>
        <w:snapToGrid/>
        <w:ind w:left="1134" w:firstLine="0"/>
      </w:pPr>
      <w:r w:rsidRPr="00A45AD8">
        <w:t>En 2023, le Conseil fédéral a décidé de créer un mémorial à Berne pour les victimes du nazisme</w:t>
      </w:r>
      <w:r>
        <w:t xml:space="preserve"> (cf. ch. 100)</w:t>
      </w:r>
      <w:r w:rsidRPr="00A45AD8">
        <w:t>. Il a de plus soutenu l</w:t>
      </w:r>
      <w:r>
        <w:t>’</w:t>
      </w:r>
      <w:r w:rsidRPr="00A45AD8">
        <w:t>initiative du canton de Saint-Gall de créer un lieu transfrontalier de médiation et de mise en réseau. En mars 2025, le Parlement a débloqué pour ce faire des fonds provenant de la promotion de la culture et l</w:t>
      </w:r>
      <w:r>
        <w:t xml:space="preserve">’OFC </w:t>
      </w:r>
      <w:r w:rsidRPr="00A45AD8">
        <w:t>a conclu une convention de prestations afin de promouvoir le développement de ce réseau. La Suisse est par ailleurs membre de l</w:t>
      </w:r>
      <w:r>
        <w:t>’</w:t>
      </w:r>
      <w:r w:rsidRPr="00A45AD8">
        <w:rPr>
          <w:i/>
        </w:rPr>
        <w:t xml:space="preserve">International </w:t>
      </w:r>
      <w:proofErr w:type="spellStart"/>
      <w:r w:rsidRPr="00A45AD8">
        <w:rPr>
          <w:i/>
        </w:rPr>
        <w:t>Holocaust</w:t>
      </w:r>
      <w:proofErr w:type="spellEnd"/>
      <w:r w:rsidRPr="00A45AD8">
        <w:rPr>
          <w:i/>
        </w:rPr>
        <w:t xml:space="preserve"> Remembrance Alliance </w:t>
      </w:r>
      <w:r w:rsidRPr="00A45AD8">
        <w:t>depuis 2004</w:t>
      </w:r>
      <w:r w:rsidRPr="00305691">
        <w:t>.</w:t>
      </w:r>
    </w:p>
    <w:p w14:paraId="63D66B14"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L</w:t>
      </w:r>
      <w:r>
        <w:t>’</w:t>
      </w:r>
      <w:r w:rsidRPr="00A45AD8">
        <w:t>administration fédérale, en tant qu</w:t>
      </w:r>
      <w:r>
        <w:t>’</w:t>
      </w:r>
      <w:r w:rsidRPr="00A45AD8">
        <w:t>employeur, s</w:t>
      </w:r>
      <w:r>
        <w:t>’</w:t>
      </w:r>
      <w:r w:rsidRPr="00A45AD8">
        <w:t>engage à servir d</w:t>
      </w:r>
      <w:r>
        <w:t>’</w:t>
      </w:r>
      <w:r w:rsidRPr="00A45AD8">
        <w:t>exemple en valorisant pleinement le potentiel des employés</w:t>
      </w:r>
      <w:r>
        <w:t xml:space="preserve"> et employées</w:t>
      </w:r>
      <w:r w:rsidRPr="00A45AD8">
        <w:t xml:space="preserve"> sur le marché suisse et en promouvant des conditions de travail équitables et exemptes de discrimination. Pour la législature 2024-2027, elle a élaboré un plan d</w:t>
      </w:r>
      <w:r>
        <w:t>’</w:t>
      </w:r>
      <w:r w:rsidRPr="00A45AD8">
        <w:t>action axé sur la diversité, qui détermine des initiatives et des objectifs pour encourager un environnement professionnel inclusif et diversifié. Les initiatives de sensibilisation favorisant la non-discrimination au sein de l</w:t>
      </w:r>
      <w:r>
        <w:t>’</w:t>
      </w:r>
      <w:r w:rsidRPr="00A45AD8">
        <w:t>administration fédérale comprennent notamment une formation en ligne sur la thématique de la diversité et l</w:t>
      </w:r>
      <w:r>
        <w:t>’</w:t>
      </w:r>
      <w:r w:rsidRPr="00A45AD8">
        <w:t xml:space="preserve">inclusion, un kit sur la </w:t>
      </w:r>
      <w:proofErr w:type="spellStart"/>
      <w:r w:rsidRPr="00A45AD8">
        <w:t>multiculturalité</w:t>
      </w:r>
      <w:proofErr w:type="spellEnd"/>
      <w:r w:rsidRPr="00A45AD8">
        <w:t xml:space="preserve"> comprenant une collection de fiches, des listes de contrôle et d</w:t>
      </w:r>
      <w:r>
        <w:t>’</w:t>
      </w:r>
      <w:r w:rsidRPr="00A45AD8">
        <w:t>autres outils (en cours d</w:t>
      </w:r>
      <w:r>
        <w:t>’</w:t>
      </w:r>
      <w:r w:rsidRPr="00A45AD8">
        <w:t>élaboration), divers formats de sensibilisation axés sur le multiculturalisme, l</w:t>
      </w:r>
      <w:r>
        <w:t>’</w:t>
      </w:r>
      <w:r w:rsidRPr="00A45AD8">
        <w:t>identité de genre et l</w:t>
      </w:r>
      <w:r>
        <w:t>’</w:t>
      </w:r>
      <w:r w:rsidRPr="00A45AD8">
        <w:t>orientation sexuelle.</w:t>
      </w:r>
    </w:p>
    <w:p w14:paraId="33D6CC09" w14:textId="77777777" w:rsidR="00A454AE" w:rsidRPr="00071A3D" w:rsidRDefault="00A454AE" w:rsidP="00753414">
      <w:pPr>
        <w:pStyle w:val="SingleTxtG"/>
        <w:numPr>
          <w:ilvl w:val="0"/>
          <w:numId w:val="43"/>
        </w:numPr>
        <w:kinsoku/>
        <w:overflowPunct/>
        <w:autoSpaceDE/>
        <w:autoSpaceDN/>
        <w:adjustRightInd/>
        <w:snapToGrid/>
        <w:ind w:left="1134" w:firstLine="0"/>
      </w:pPr>
      <w:r w:rsidRPr="00A45AD8">
        <w:t xml:space="preserve">Tous les cantons contribuent, dans le cadre des </w:t>
      </w:r>
      <w:r>
        <w:t>PIC</w:t>
      </w:r>
      <w:r w:rsidRPr="00A45AD8">
        <w:t>, au travail d</w:t>
      </w:r>
      <w:r>
        <w:t>’</w:t>
      </w:r>
      <w:r w:rsidRPr="00A45AD8">
        <w:t>information et de sensibilisation à la discrimination et au racisme – et ils le font dans le domaine de l</w:t>
      </w:r>
      <w:r>
        <w:t>’</w:t>
      </w:r>
      <w:r w:rsidRPr="00A45AD8">
        <w:t>enseignement également. Certains cantons promeuvent de plus de manière ciblée la sensibilisation au racisme et à la discriminat</w:t>
      </w:r>
      <w:r>
        <w:t>i</w:t>
      </w:r>
      <w:r w:rsidRPr="00A45AD8">
        <w:t xml:space="preserve">on dans les écoles et les établissements de formation. Bâle-Campagne soutient ainsi des actions de prévention telles que </w:t>
      </w:r>
      <w:proofErr w:type="spellStart"/>
      <w:r w:rsidRPr="00A45AD8">
        <w:rPr>
          <w:i/>
        </w:rPr>
        <w:t>Speak</w:t>
      </w:r>
      <w:proofErr w:type="spellEnd"/>
      <w:r w:rsidRPr="00A45AD8">
        <w:rPr>
          <w:i/>
        </w:rPr>
        <w:t xml:space="preserve"> up !</w:t>
      </w:r>
      <w:r w:rsidRPr="00A45AD8">
        <w:t xml:space="preserve"> dans le cadre de sa politique de promotion de projets. Le canton du Tessin organise depuis 2022 des événements participatifs lors de la Semaine d</w:t>
      </w:r>
      <w:r>
        <w:t>’</w:t>
      </w:r>
      <w:r w:rsidRPr="00A45AD8">
        <w:t xml:space="preserve">action contre le racisme ; il propose de plus des formations </w:t>
      </w:r>
      <w:r>
        <w:t>au corps de police</w:t>
      </w:r>
      <w:r w:rsidRPr="00A45AD8">
        <w:t>. À Zurich, les thématiques du racisme et de l</w:t>
      </w:r>
      <w:r>
        <w:t>’</w:t>
      </w:r>
      <w:r w:rsidRPr="00A45AD8">
        <w:t>antisémitisme figurent dans le plan d</w:t>
      </w:r>
      <w:r>
        <w:t>’</w:t>
      </w:r>
      <w:r w:rsidRPr="00A45AD8">
        <w:t>études de la Haute école pédagogique et sont abordées dans les formations continues du personnel enseignant. Quant aux Grisons, ils enregistrent une augmentation de la demande en formations contre le racisme </w:t>
      </w:r>
      <w:r>
        <w:t>et</w:t>
      </w:r>
      <w:r w:rsidRPr="00A45AD8">
        <w:t xml:space="preserve"> organisent par ailleurs des manifestations publiques telles que l</w:t>
      </w:r>
      <w:r>
        <w:t>’</w:t>
      </w:r>
      <w:r w:rsidRPr="00A45AD8">
        <w:t xml:space="preserve">exposition itinérante </w:t>
      </w:r>
      <w:proofErr w:type="spellStart"/>
      <w:r w:rsidRPr="00A45AD8">
        <w:rPr>
          <w:i/>
        </w:rPr>
        <w:t>Wir</w:t>
      </w:r>
      <w:proofErr w:type="spellEnd"/>
      <w:r w:rsidRPr="00A45AD8">
        <w:rPr>
          <w:i/>
        </w:rPr>
        <w:t xml:space="preserve"> </w:t>
      </w:r>
      <w:proofErr w:type="spellStart"/>
      <w:r w:rsidRPr="00A45AD8">
        <w:rPr>
          <w:i/>
        </w:rPr>
        <w:t>und</w:t>
      </w:r>
      <w:proofErr w:type="spellEnd"/>
      <w:r w:rsidRPr="00A45AD8">
        <w:rPr>
          <w:i/>
        </w:rPr>
        <w:t xml:space="preserve"> die </w:t>
      </w:r>
      <w:proofErr w:type="spellStart"/>
      <w:r w:rsidRPr="00A45AD8">
        <w:rPr>
          <w:i/>
        </w:rPr>
        <w:t>Andern</w:t>
      </w:r>
      <w:proofErr w:type="spellEnd"/>
      <w:r w:rsidRPr="00A45AD8">
        <w:t>. Dans les cantons de Nidwald et d</w:t>
      </w:r>
      <w:r>
        <w:t>’</w:t>
      </w:r>
      <w:r w:rsidRPr="00A45AD8">
        <w:t xml:space="preserve">Argovie aussi, les </w:t>
      </w:r>
      <w:r>
        <w:t>services spécialisés</w:t>
      </w:r>
      <w:r w:rsidRPr="00A45AD8">
        <w:t xml:space="preserve"> et les établissements scolaires travaillent de plus en plus en réseau</w:t>
      </w:r>
      <w:r>
        <w:t xml:space="preserve"> et les offres se multiplient</w:t>
      </w:r>
      <w:r w:rsidRPr="00071A3D">
        <w:t>.</w:t>
      </w:r>
    </w:p>
    <w:p w14:paraId="525E5314" w14:textId="19AB7EB4" w:rsidR="00A454AE" w:rsidRPr="00A45AD8" w:rsidRDefault="003D726E" w:rsidP="003D726E">
      <w:pPr>
        <w:pStyle w:val="H1G"/>
      </w:pPr>
      <w:bookmarkStart w:id="90" w:name="_Toc216340617"/>
      <w:bookmarkEnd w:id="86"/>
      <w:r>
        <w:lastRenderedPageBreak/>
        <w:tab/>
        <w:t>8.</w:t>
      </w:r>
      <w:r>
        <w:tab/>
      </w:r>
      <w:r w:rsidR="00A454AE" w:rsidRPr="00A45AD8">
        <w:t>Autres recommandations</w:t>
      </w:r>
      <w:bookmarkEnd w:id="90"/>
    </w:p>
    <w:p w14:paraId="07A60FFE" w14:textId="15A8FD06" w:rsidR="00A454AE" w:rsidRPr="00A45AD8" w:rsidRDefault="00A454AE" w:rsidP="00FE59E5">
      <w:pPr>
        <w:pStyle w:val="H23G"/>
        <w:rPr>
          <w:lang w:val="de-CH"/>
        </w:rPr>
      </w:pPr>
      <w:r w:rsidRPr="00A45AD8">
        <w:tab/>
      </w:r>
      <w:r w:rsidR="00FE59E5">
        <w:rPr>
          <w:lang w:val="de-CH"/>
        </w:rPr>
        <w:t>A.</w:t>
      </w:r>
      <w:r w:rsidR="00FE59E5">
        <w:rPr>
          <w:lang w:val="de-CH"/>
        </w:rPr>
        <w:tab/>
      </w:r>
      <w:r w:rsidRPr="00A45AD8">
        <w:t>Ratification d</w:t>
      </w:r>
      <w:r>
        <w:t>’</w:t>
      </w:r>
      <w:r w:rsidRPr="00A45AD8">
        <w:t>autres instruments</w:t>
      </w:r>
    </w:p>
    <w:p w14:paraId="08C04211" w14:textId="0005E196" w:rsidR="00A454AE" w:rsidRPr="00A45AD8" w:rsidRDefault="00FE59E5" w:rsidP="00FE59E5">
      <w:pPr>
        <w:pStyle w:val="H4G"/>
      </w:pPr>
      <w:r>
        <w:tab/>
      </w:r>
      <w:r>
        <w:tab/>
      </w:r>
      <w:r w:rsidR="00A454AE" w:rsidRPr="00A45AD8">
        <w:t>Mise en œuvre de la recommandation formulée au ch. 29 des observations finales :</w:t>
      </w:r>
    </w:p>
    <w:p w14:paraId="52B341E5"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Convention internationale sur la protection des droits de tous les travailleurs migrants : la Suisse n</w:t>
      </w:r>
      <w:r>
        <w:t>’</w:t>
      </w:r>
      <w:r w:rsidRPr="00A45AD8">
        <w:t>entend pas ratifier la Convention internationale sur la protection des travailleurs migrants. Cependant, elle œuvre activement en faveur de la promotion de l</w:t>
      </w:r>
      <w:r>
        <w:t>’</w:t>
      </w:r>
      <w:r w:rsidRPr="00A45AD8">
        <w:t xml:space="preserve">égalité et de la protection des </w:t>
      </w:r>
      <w:r>
        <w:t xml:space="preserve">travailleuses et </w:t>
      </w:r>
      <w:r w:rsidRPr="00A45AD8">
        <w:t>travailleurs migrants, notamment à travers la LEI</w:t>
      </w:r>
      <w:r>
        <w:t xml:space="preserve">, </w:t>
      </w:r>
      <w:r w:rsidRPr="00A45AD8">
        <w:t>qui prévoit diverses mesures de protection de la main-d</w:t>
      </w:r>
      <w:r>
        <w:t>’</w:t>
      </w:r>
      <w:r w:rsidRPr="00A45AD8">
        <w:t>œuvre étrangère.</w:t>
      </w:r>
    </w:p>
    <w:p w14:paraId="41F3BF1D"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Convention sur la réduction des cas d</w:t>
      </w:r>
      <w:r>
        <w:t>’</w:t>
      </w:r>
      <w:r w:rsidRPr="00A45AD8">
        <w:t xml:space="preserve">apatridie : la Suisse a ratifié la </w:t>
      </w:r>
      <w:r w:rsidRPr="00B45C5A">
        <w:t>convention de 1954</w:t>
      </w:r>
      <w:r w:rsidRPr="00520A9A">
        <w:t>,</w:t>
      </w:r>
      <w:r w:rsidRPr="00A45AD8">
        <w:t xml:space="preserve"> qui assure un minimum de droits fondamentaux pour les personnes apatrides ; elle n</w:t>
      </w:r>
      <w:r>
        <w:t>’</w:t>
      </w:r>
      <w:r w:rsidRPr="00A45AD8">
        <w:t xml:space="preserve">a cependant pas ratifié la </w:t>
      </w:r>
      <w:r>
        <w:t>c</w:t>
      </w:r>
      <w:r w:rsidRPr="00A45AD8">
        <w:t>onvention de 1961, qui vise à prévenir l</w:t>
      </w:r>
      <w:r>
        <w:t>’</w:t>
      </w:r>
      <w:r w:rsidRPr="00A45AD8">
        <w:t xml:space="preserve">apatridie et la réduire au fil du temps. La </w:t>
      </w:r>
      <w:r>
        <w:t>c</w:t>
      </w:r>
      <w:r w:rsidRPr="00A45AD8">
        <w:t xml:space="preserve">onvention de 1961 exige que les États prévoient des garanties dans leurs </w:t>
      </w:r>
      <w:r w:rsidRPr="00520A9A">
        <w:t xml:space="preserve">lois sur la nationalité, cependant, la Constitution fédérale ne prévoit pas de telle compétence fédérale. </w:t>
      </w:r>
      <w:r w:rsidRPr="00B45C5A">
        <w:t>Il reviendrait à tous les cantons d’adapter leur législation cantonale aux exigences de la convention de 1961.</w:t>
      </w:r>
      <w:r w:rsidRPr="00520A9A">
        <w:t xml:space="preserve"> Rejoindre</w:t>
      </w:r>
      <w:r w:rsidRPr="00A45AD8">
        <w:t xml:space="preserve"> la </w:t>
      </w:r>
      <w:r>
        <w:t>c</w:t>
      </w:r>
      <w:r w:rsidRPr="00A45AD8">
        <w:t>onvention de 1961 n</w:t>
      </w:r>
      <w:r>
        <w:t>’</w:t>
      </w:r>
      <w:r w:rsidRPr="00A45AD8">
        <w:t xml:space="preserve">est en outre pas prévu, car le Conseil Fédéral estime que la Suisse offre déjà une protection aux personnes apatrides. </w:t>
      </w:r>
    </w:p>
    <w:p w14:paraId="3EF79BF8"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Nous renvoyons au chapitre 2.4 de la première partie de ce rapport.</w:t>
      </w:r>
    </w:p>
    <w:p w14:paraId="3C274A2B" w14:textId="6A55BC5F" w:rsidR="00A454AE" w:rsidRPr="00A45AD8" w:rsidRDefault="00FE59E5" w:rsidP="00FE59E5">
      <w:pPr>
        <w:pStyle w:val="H23G"/>
      </w:pPr>
      <w:r>
        <w:tab/>
        <w:t>B.</w:t>
      </w:r>
      <w:r>
        <w:tab/>
      </w:r>
      <w:r w:rsidR="00A454AE" w:rsidRPr="00A45AD8">
        <w:t>Suite donnée à la Déclaration et au Programme d</w:t>
      </w:r>
      <w:r w:rsidR="00A454AE">
        <w:t>’</w:t>
      </w:r>
      <w:r w:rsidR="00A454AE" w:rsidRPr="00A45AD8">
        <w:t>action de Durban</w:t>
      </w:r>
    </w:p>
    <w:p w14:paraId="4A551BA0" w14:textId="28E1FC63" w:rsidR="00A454AE" w:rsidRPr="00A45AD8" w:rsidRDefault="00FE59E5" w:rsidP="00FE59E5">
      <w:pPr>
        <w:pStyle w:val="H4G"/>
      </w:pPr>
      <w:r>
        <w:tab/>
      </w:r>
      <w:r>
        <w:tab/>
      </w:r>
      <w:r w:rsidR="00A454AE" w:rsidRPr="00A45AD8">
        <w:t>Mise en œuvre de la recommandation formulée au ch. 30 des observations finales :</w:t>
      </w:r>
    </w:p>
    <w:p w14:paraId="3E11B852" w14:textId="77777777" w:rsidR="00A454AE" w:rsidRPr="00A45AD8" w:rsidRDefault="00A454AE" w:rsidP="00753414">
      <w:pPr>
        <w:pStyle w:val="SingleTxtG"/>
        <w:numPr>
          <w:ilvl w:val="0"/>
          <w:numId w:val="43"/>
        </w:numPr>
        <w:kinsoku/>
        <w:overflowPunct/>
        <w:autoSpaceDE/>
        <w:autoSpaceDN/>
        <w:adjustRightInd/>
        <w:snapToGrid/>
        <w:ind w:left="1134" w:firstLine="0"/>
      </w:pPr>
      <w:r w:rsidRPr="00A45AD8">
        <w:t xml:space="preserve">En </w:t>
      </w:r>
      <w:r w:rsidRPr="00A777EB">
        <w:t>application de la Déclaration et du Programme d’action de Durban, la Suisse a mis en place des instruments nationaux pour lutter contre le racisme et les discriminations raciales</w:t>
      </w:r>
      <w:r>
        <w:t xml:space="preserve"> Une</w:t>
      </w:r>
      <w:r w:rsidRPr="00A777EB">
        <w:t xml:space="preserve"> Stratégie nationale contre le racisme et l’antisémitisme accompagnée d’un plan d’action fédéral</w:t>
      </w:r>
      <w:r>
        <w:t xml:space="preserve"> est en cours d’élaboration </w:t>
      </w:r>
      <w:r w:rsidRPr="007C7D83">
        <w:t>qui s'accompagne d'un plan d'action au niveau fédéral</w:t>
      </w:r>
      <w:r w:rsidRPr="00A777EB">
        <w:t xml:space="preserve">. Le SLR </w:t>
      </w:r>
      <w:r w:rsidRPr="003E0E6C">
        <w:t xml:space="preserve">est responsable de l’élaboration </w:t>
      </w:r>
      <w:r>
        <w:t xml:space="preserve">et </w:t>
      </w:r>
      <w:r w:rsidRPr="00A777EB">
        <w:t xml:space="preserve">assure la coordination </w:t>
      </w:r>
      <w:r w:rsidRPr="003E0E6C">
        <w:t>de la mise en œuvre</w:t>
      </w:r>
      <w:r w:rsidRPr="00A777EB">
        <w:t xml:space="preserve">. En 2023, le SLR a mandaté une </w:t>
      </w:r>
      <w:hyperlink r:id="rId97" w:history="1">
        <w:r w:rsidRPr="00A777EB">
          <w:rPr>
            <w:rStyle w:val="Hyperlink"/>
          </w:rPr>
          <w:t>étude sur le racisme structurel</w:t>
        </w:r>
      </w:hyperlink>
      <w:r w:rsidRPr="00A777EB">
        <w:t xml:space="preserve"> en Suisse, réalisée par l’Université de Neuchâtel, afin d’identifier les mécanismes institutionnels discriminatoires, notamment dans les domaines de l’emploi, du logement et des services publics. Ces efforts s’inscrivent dans le cadre de l’application de la convention et des engagements</w:t>
      </w:r>
      <w:r w:rsidRPr="00A45AD8">
        <w:t xml:space="preserve"> pris dans le sillage de la Conférence d</w:t>
      </w:r>
      <w:r>
        <w:t>’</w:t>
      </w:r>
      <w:r w:rsidRPr="00A45AD8">
        <w:t>examen de Durban de 2009.</w:t>
      </w:r>
    </w:p>
    <w:p w14:paraId="48D8EA8B" w14:textId="17FE4E96" w:rsidR="00A454AE" w:rsidRPr="00A45AD8" w:rsidRDefault="00A454AE" w:rsidP="00FE59E5">
      <w:pPr>
        <w:pStyle w:val="H23G"/>
      </w:pPr>
      <w:bookmarkStart w:id="91" w:name="_Toc530069766"/>
      <w:r w:rsidRPr="00A45AD8">
        <w:tab/>
      </w:r>
      <w:bookmarkEnd w:id="91"/>
      <w:r w:rsidR="00FE59E5">
        <w:t>C.</w:t>
      </w:r>
      <w:r w:rsidR="00FE59E5">
        <w:tab/>
      </w:r>
      <w:r w:rsidRPr="00A45AD8">
        <w:t>Décennie internationale des personnes d</w:t>
      </w:r>
      <w:r>
        <w:t>’</w:t>
      </w:r>
      <w:r w:rsidRPr="00A45AD8">
        <w:t>ascendance africaine</w:t>
      </w:r>
    </w:p>
    <w:p w14:paraId="44AABEA5" w14:textId="0E390C61" w:rsidR="00A454AE" w:rsidRPr="00A45AD8" w:rsidRDefault="00FE59E5" w:rsidP="00FE59E5">
      <w:pPr>
        <w:pStyle w:val="H4G"/>
      </w:pPr>
      <w:r>
        <w:tab/>
      </w:r>
      <w:r>
        <w:tab/>
      </w:r>
      <w:r w:rsidR="00A454AE" w:rsidRPr="00A45AD8">
        <w:t>Mise en œuvre de la recommandation formulée au ch. 31 des observations finales :</w:t>
      </w:r>
    </w:p>
    <w:p w14:paraId="6560AC36" w14:textId="77777777" w:rsidR="00A454AE" w:rsidRPr="00D91A06" w:rsidRDefault="00A454AE" w:rsidP="00753414">
      <w:pPr>
        <w:pStyle w:val="SingleTxtG"/>
        <w:numPr>
          <w:ilvl w:val="0"/>
          <w:numId w:val="43"/>
        </w:numPr>
        <w:kinsoku/>
        <w:overflowPunct/>
        <w:autoSpaceDE/>
        <w:autoSpaceDN/>
        <w:adjustRightInd/>
        <w:snapToGrid/>
        <w:ind w:left="1134" w:firstLine="0"/>
      </w:pPr>
      <w:r w:rsidRPr="00A45AD8">
        <w:t>En décembre 2024, la Suisse a officiellement soutenu la deuxième Décennie internationale des personnes d</w:t>
      </w:r>
      <w:r>
        <w:t>’</w:t>
      </w:r>
      <w:r w:rsidRPr="00A45AD8">
        <w:t>ascendance africaine (2015</w:t>
      </w:r>
      <w:r>
        <w:t>-</w:t>
      </w:r>
      <w:r w:rsidRPr="00A45AD8">
        <w:t>2024) en participant à son financement.</w:t>
      </w:r>
      <w:r>
        <w:t xml:space="preserve"> L</w:t>
      </w:r>
      <w:r w:rsidRPr="00A45AD8">
        <w:t>e SLR aura l</w:t>
      </w:r>
      <w:r>
        <w:t>’</w:t>
      </w:r>
      <w:r w:rsidRPr="00A45AD8">
        <w:t>occasion d</w:t>
      </w:r>
      <w:r>
        <w:t>’</w:t>
      </w:r>
      <w:r w:rsidRPr="00A45AD8">
        <w:t>approfondir la thématique du racisme anti-Noir</w:t>
      </w:r>
      <w:r>
        <w:t>s</w:t>
      </w:r>
      <w:r w:rsidRPr="00A45AD8">
        <w:t xml:space="preserve"> dans le cadre de l</w:t>
      </w:r>
      <w:r>
        <w:t>’</w:t>
      </w:r>
      <w:r w:rsidRPr="00A45AD8">
        <w:t>élaboration du plan d</w:t>
      </w:r>
      <w:r>
        <w:t>’</w:t>
      </w:r>
      <w:r w:rsidRPr="00A45AD8">
        <w:t>action contre le racisme et l</w:t>
      </w:r>
      <w:r>
        <w:t>’</w:t>
      </w:r>
      <w:r w:rsidRPr="00A45AD8">
        <w:t>antisémitisme</w:t>
      </w:r>
      <w:r>
        <w:t>,</w:t>
      </w:r>
      <w:r w:rsidRPr="00A45AD8">
        <w:t xml:space="preserve"> et </w:t>
      </w:r>
      <w:r>
        <w:t>de se pencher sur le</w:t>
      </w:r>
      <w:r w:rsidRPr="00A45AD8">
        <w:t>s mesures</w:t>
      </w:r>
      <w:r>
        <w:t xml:space="preserve"> qui s’y rapportent</w:t>
      </w:r>
      <w:r w:rsidRPr="00A45AD8">
        <w:t>. La Décennie internationale a de plus contribué à promouvoir les projets de la société civile contre le racisme et à sensibiliser l</w:t>
      </w:r>
      <w:r>
        <w:t>’opinion</w:t>
      </w:r>
      <w:r w:rsidRPr="00A45AD8">
        <w:t xml:space="preserve"> publi</w:t>
      </w:r>
      <w:r>
        <w:t>que</w:t>
      </w:r>
      <w:r w:rsidRPr="00A45AD8">
        <w:t xml:space="preserve">. La Suisse </w:t>
      </w:r>
      <w:r>
        <w:t>considère</w:t>
      </w:r>
      <w:r w:rsidRPr="00A45AD8">
        <w:t xml:space="preserve"> la poursuite de la Décennie </w:t>
      </w:r>
      <w:r>
        <w:t xml:space="preserve">comme </w:t>
      </w:r>
      <w:r w:rsidRPr="00A45AD8">
        <w:t>une contribution importante à la lutte contre la discrimination des personnes d</w:t>
      </w:r>
      <w:r>
        <w:t>’</w:t>
      </w:r>
      <w:r w:rsidRPr="00A45AD8">
        <w:t>ascendance africaine</w:t>
      </w:r>
      <w:r w:rsidRPr="00D91A06">
        <w:t>.</w:t>
      </w:r>
    </w:p>
    <w:p w14:paraId="48BB7F84" w14:textId="77777777" w:rsidR="00A454AE" w:rsidRPr="00D91A06" w:rsidRDefault="00A454AE" w:rsidP="00753414">
      <w:pPr>
        <w:pStyle w:val="SingleTxtG"/>
        <w:numPr>
          <w:ilvl w:val="0"/>
          <w:numId w:val="43"/>
        </w:numPr>
        <w:kinsoku/>
        <w:overflowPunct/>
        <w:autoSpaceDE/>
        <w:autoSpaceDN/>
        <w:adjustRightInd/>
        <w:snapToGrid/>
        <w:ind w:left="1134" w:firstLine="0"/>
      </w:pPr>
      <w:r w:rsidRPr="00A45AD8">
        <w:t>À la suite de l</w:t>
      </w:r>
      <w:r>
        <w:t>’</w:t>
      </w:r>
      <w:r w:rsidRPr="00A45AD8">
        <w:t xml:space="preserve">adoption de la </w:t>
      </w:r>
      <w:hyperlink r:id="rId98" w:history="1">
        <w:r w:rsidRPr="00362514">
          <w:rPr>
            <w:rStyle w:val="Hyperlink"/>
          </w:rPr>
          <w:t>motion 23.4335 « Pour une stratégie et un plan d’action contre le racisme et l’antisémitisme »</w:t>
        </w:r>
      </w:hyperlink>
      <w:r w:rsidRPr="00A45AD8">
        <w:t xml:space="preserve">, le SLR a chargé un institut de mettre à jour </w:t>
      </w:r>
      <w:hyperlink r:id="rId99" w:history="1">
        <w:r w:rsidRPr="00F14D0D">
          <w:rPr>
            <w:rStyle w:val="Hyperlink"/>
          </w:rPr>
          <w:t>l’évaluation des mesures fédérales, cantonales et communales de lutte contre l’antisémitisme</w:t>
        </w:r>
      </w:hyperlink>
      <w:r>
        <w:t xml:space="preserve"> (août 2025)</w:t>
      </w:r>
      <w:r w:rsidRPr="00A45AD8">
        <w:t xml:space="preserve">. </w:t>
      </w:r>
      <w:r>
        <w:t xml:space="preserve">La portée de cette évaluation a été étendue à cette occasion ; elle </w:t>
      </w:r>
      <w:r w:rsidRPr="00A45AD8">
        <w:t>aborde dorénavant d</w:t>
      </w:r>
      <w:r>
        <w:t>’</w:t>
      </w:r>
      <w:r w:rsidRPr="00A45AD8">
        <w:t>autres formes de racisme également, et en particulier le racisme anti-Noirs</w:t>
      </w:r>
      <w:r w:rsidRPr="00D91A06">
        <w:t>.</w:t>
      </w:r>
    </w:p>
    <w:p w14:paraId="5C17B402" w14:textId="2856FFB8" w:rsidR="00A454AE" w:rsidRPr="00D91A06" w:rsidRDefault="00A454AE" w:rsidP="00FE59E5">
      <w:pPr>
        <w:pStyle w:val="H23G"/>
      </w:pPr>
      <w:bookmarkStart w:id="92" w:name="_Toc530069767"/>
      <w:r w:rsidRPr="00D91A06">
        <w:lastRenderedPageBreak/>
        <w:tab/>
      </w:r>
      <w:r w:rsidR="00FE59E5">
        <w:t>D.</w:t>
      </w:r>
      <w:r w:rsidRPr="00D91A06">
        <w:tab/>
      </w:r>
      <w:bookmarkEnd w:id="92"/>
      <w:r w:rsidRPr="00A45AD8">
        <w:t>Consultations avec la société civile</w:t>
      </w:r>
    </w:p>
    <w:p w14:paraId="14618E64" w14:textId="4B6FDDC7" w:rsidR="00A454AE" w:rsidRPr="00A45AD8" w:rsidRDefault="00FE59E5" w:rsidP="00FE59E5">
      <w:pPr>
        <w:pStyle w:val="H4G"/>
      </w:pPr>
      <w:r>
        <w:tab/>
      </w:r>
      <w:r>
        <w:tab/>
      </w:r>
      <w:r w:rsidR="00A454AE" w:rsidRPr="00A45AD8">
        <w:t>Mise en œuvre de la recommandation formulée au ch. 32 des observations finales :</w:t>
      </w:r>
    </w:p>
    <w:bookmarkEnd w:id="88"/>
    <w:p w14:paraId="7DA047C0" w14:textId="77777777" w:rsidR="00A454AE" w:rsidRPr="00D91A06" w:rsidRDefault="00A454AE" w:rsidP="00753414">
      <w:pPr>
        <w:pStyle w:val="SingleTxtG"/>
        <w:numPr>
          <w:ilvl w:val="0"/>
          <w:numId w:val="43"/>
        </w:numPr>
        <w:kinsoku/>
        <w:overflowPunct/>
        <w:autoSpaceDE/>
        <w:autoSpaceDN/>
        <w:adjustRightInd/>
        <w:snapToGrid/>
        <w:ind w:left="1134" w:firstLine="0"/>
      </w:pPr>
      <w:r w:rsidRPr="00A45AD8">
        <w:t>En amont de la rédaction de ce rapport, le SLR a invité les organisations actives dans la lutte contre la discrimination raciale à participer à une audition écrite afin de connaître leur avis sur les recommandations du CERD et sur la mise en œuvre de ces dernières. Ces avis figurent dans le rapport lui-même, qu</w:t>
      </w:r>
      <w:r>
        <w:t>’</w:t>
      </w:r>
      <w:r w:rsidRPr="00A45AD8">
        <w:t>ils ont enrichi</w:t>
      </w:r>
      <w:r>
        <w:t>,</w:t>
      </w:r>
      <w:r w:rsidRPr="00A45AD8">
        <w:t xml:space="preserve"> ainsi qu</w:t>
      </w:r>
      <w:r>
        <w:t>’</w:t>
      </w:r>
      <w:r w:rsidRPr="00A45AD8">
        <w:t>en annexe, sous forme de prises de position critiques. Les réponses apportées par les organisations non gouvernementales sur des sujets spécifiques ont été insérées directement dans les chapitres correspondants</w:t>
      </w:r>
      <w:r>
        <w:t xml:space="preserve"> (cf. annexe I)</w:t>
      </w:r>
      <w:r w:rsidRPr="00D91A06">
        <w:t>.</w:t>
      </w:r>
    </w:p>
    <w:p w14:paraId="08ED7E26" w14:textId="77777777" w:rsidR="00A454AE" w:rsidRPr="00D91A06" w:rsidRDefault="00A454AE" w:rsidP="00753414">
      <w:pPr>
        <w:pStyle w:val="SingleTxtG"/>
        <w:numPr>
          <w:ilvl w:val="0"/>
          <w:numId w:val="43"/>
        </w:numPr>
        <w:kinsoku/>
        <w:overflowPunct/>
        <w:autoSpaceDE/>
        <w:autoSpaceDN/>
        <w:adjustRightInd/>
        <w:snapToGrid/>
        <w:ind w:left="1134" w:firstLine="0"/>
      </w:pPr>
      <w:r w:rsidRPr="00A45AD8">
        <w:t>Le SLR a aussi mené une audition des parties prenantes sous forme d</w:t>
      </w:r>
      <w:r>
        <w:t>’</w:t>
      </w:r>
      <w:r w:rsidRPr="00A45AD8">
        <w:t xml:space="preserve">enquête écrite </w:t>
      </w:r>
      <w:r>
        <w:t xml:space="preserve">auprès </w:t>
      </w:r>
      <w:r w:rsidRPr="00A45AD8">
        <w:t>des autorités, de la société civile et du monde académique. Cette audition, qui s</w:t>
      </w:r>
      <w:r>
        <w:t>’</w:t>
      </w:r>
      <w:r w:rsidRPr="00A45AD8">
        <w:t>est terminée fin janvier 2025, constitue un premier pas pour associer les acteurs du domaine à l</w:t>
      </w:r>
      <w:r>
        <w:t>’</w:t>
      </w:r>
      <w:r w:rsidRPr="00A45AD8">
        <w:t>élaboration de la stratégie et du plan d</w:t>
      </w:r>
      <w:r>
        <w:t>’</w:t>
      </w:r>
      <w:r w:rsidRPr="00A45AD8">
        <w:t>action contre le racisme et l</w:t>
      </w:r>
      <w:r>
        <w:t>’</w:t>
      </w:r>
      <w:r w:rsidRPr="00A45AD8">
        <w:t>antisémitisme décidée par le Parlement en juin 2024. Cette consultation avait pour objectif d</w:t>
      </w:r>
      <w:r>
        <w:t>’</w:t>
      </w:r>
      <w:r w:rsidRPr="00A45AD8">
        <w:t>identifier les défis actuels et les lacunes dans la lutte contre le racisme et l</w:t>
      </w:r>
      <w:r>
        <w:t>’</w:t>
      </w:r>
      <w:r w:rsidRPr="00A45AD8">
        <w:t>antisémitisme en Suisse. Les entités consultées pouvaient aussi prendre position sur les champs d</w:t>
      </w:r>
      <w:r>
        <w:t>’</w:t>
      </w:r>
      <w:r w:rsidRPr="00A45AD8">
        <w:t xml:space="preserve">action proposés par le SLR. </w:t>
      </w:r>
      <w:r>
        <w:t>Ce dernier</w:t>
      </w:r>
      <w:r w:rsidRPr="00A45AD8">
        <w:t xml:space="preserve"> a compilé leurs réponses, les a analysées, puis présentées lors de la conférence organisée le 26 août</w:t>
      </w:r>
      <w:r>
        <w:t xml:space="preserve"> 2025</w:t>
      </w:r>
      <w:r w:rsidRPr="00A45AD8">
        <w:t xml:space="preserve"> à Berne ; il en a aussi publié les résultats</w:t>
      </w:r>
      <w:r>
        <w:t xml:space="preserve"> à cette occasion</w:t>
      </w:r>
      <w:r w:rsidRPr="00D91A06">
        <w:t>.</w:t>
      </w:r>
    </w:p>
    <w:p w14:paraId="1A0D32C7" w14:textId="13527E05" w:rsidR="00A454AE" w:rsidRPr="00D91A06" w:rsidRDefault="00A454AE" w:rsidP="00FE59E5">
      <w:pPr>
        <w:pStyle w:val="H23G"/>
      </w:pPr>
      <w:r w:rsidRPr="00A45AD8">
        <w:tab/>
      </w:r>
      <w:r w:rsidR="00FE59E5">
        <w:t>E.</w:t>
      </w:r>
      <w:r w:rsidRPr="00D91A06">
        <w:tab/>
      </w:r>
      <w:r w:rsidRPr="00A45AD8">
        <w:t>Diffusion d</w:t>
      </w:r>
      <w:r>
        <w:t>’</w:t>
      </w:r>
      <w:r w:rsidRPr="00A45AD8">
        <w:t>information</w:t>
      </w:r>
    </w:p>
    <w:p w14:paraId="0761ADE6" w14:textId="4738F0E9" w:rsidR="00A454AE" w:rsidRPr="00A45AD8" w:rsidRDefault="00FE59E5" w:rsidP="00FE59E5">
      <w:pPr>
        <w:pStyle w:val="H4G"/>
      </w:pPr>
      <w:r>
        <w:tab/>
      </w:r>
      <w:r>
        <w:tab/>
      </w:r>
      <w:r w:rsidR="00A454AE" w:rsidRPr="00A45AD8">
        <w:t>Mise en œuvre de la recommandation formulée au ch. 33 des observations finales :</w:t>
      </w:r>
    </w:p>
    <w:p w14:paraId="49590D79" w14:textId="77777777" w:rsidR="00A454AE" w:rsidRPr="00F64AA9" w:rsidRDefault="00A454AE" w:rsidP="00753414">
      <w:pPr>
        <w:pStyle w:val="SingleTxtG"/>
        <w:numPr>
          <w:ilvl w:val="0"/>
          <w:numId w:val="43"/>
        </w:numPr>
        <w:kinsoku/>
        <w:overflowPunct/>
        <w:autoSpaceDE/>
        <w:autoSpaceDN/>
        <w:adjustRightInd/>
        <w:snapToGrid/>
        <w:ind w:left="1134" w:firstLine="0"/>
      </w:pPr>
      <w:r w:rsidRPr="00A45AD8">
        <w:t>Une fois adoptés, les rapports de la Suisse ainsi que les observations finales du CERD sont publiés, notamment sur le site Internet du SLR et sur celui du DFAE. Les cantons ont été informés des recommandations du CERD dans un courrier qui leur a été adressé le 22 avril 2022. D</w:t>
      </w:r>
      <w:r>
        <w:t>’</w:t>
      </w:r>
      <w:r w:rsidRPr="00A45AD8">
        <w:t xml:space="preserve">autres </w:t>
      </w:r>
      <w:r>
        <w:t>services</w:t>
      </w:r>
      <w:r w:rsidRPr="00A45AD8">
        <w:t xml:space="preserve"> fédéraux ont </w:t>
      </w:r>
      <w:r>
        <w:t xml:space="preserve">été informés de la mise en œuvre de la convention </w:t>
      </w:r>
      <w:r w:rsidRPr="00F64AA9">
        <w:t>par le biais des organes interdépartementaux compétents ou par des communications directes</w:t>
      </w:r>
      <w:r w:rsidRPr="00A45AD8">
        <w:t>. Les services fédéraux, cantonaux et communaux compétents sont de plus consultés dans le cadre de l</w:t>
      </w:r>
      <w:r>
        <w:t>’</w:t>
      </w:r>
      <w:r w:rsidRPr="00A45AD8">
        <w:t>élaboration du rapport de la Suisse et invités à présenter les mesures qu</w:t>
      </w:r>
      <w:r>
        <w:t>’</w:t>
      </w:r>
      <w:r w:rsidRPr="00A45AD8">
        <w:t xml:space="preserve">ils prennent pour appliquer les recommandations du </w:t>
      </w:r>
      <w:r>
        <w:t>c</w:t>
      </w:r>
      <w:r w:rsidRPr="00A45AD8">
        <w:t>omité. Cette démarche garantit que les acteurs de tous les échelons des pouvoirs publics soient informés de la procédure de rapport et associés à sa mise en œuvre</w:t>
      </w:r>
      <w:r w:rsidRPr="00F64AA9">
        <w:t>.</w:t>
      </w:r>
    </w:p>
    <w:p w14:paraId="7866A848" w14:textId="3EF79EB0" w:rsidR="00A454AE" w:rsidRPr="00F64AA9" w:rsidRDefault="00CD510A" w:rsidP="00CD510A">
      <w:pPr>
        <w:pStyle w:val="H23G"/>
      </w:pPr>
      <w:r>
        <w:tab/>
        <w:t>F.</w:t>
      </w:r>
      <w:r>
        <w:tab/>
      </w:r>
      <w:r w:rsidR="00A454AE" w:rsidRPr="004D4B00">
        <w:t xml:space="preserve">Document de </w:t>
      </w:r>
      <w:proofErr w:type="gramStart"/>
      <w:r w:rsidR="00A454AE" w:rsidRPr="004D4B00">
        <w:t>base commun</w:t>
      </w:r>
      <w:proofErr w:type="gramEnd"/>
    </w:p>
    <w:p w14:paraId="1552BD62" w14:textId="6BCBD36A" w:rsidR="00A454AE" w:rsidRPr="000102ED" w:rsidRDefault="00CD510A" w:rsidP="00CD510A">
      <w:pPr>
        <w:pStyle w:val="H4G"/>
      </w:pPr>
      <w:r>
        <w:tab/>
      </w:r>
      <w:r>
        <w:tab/>
      </w:r>
      <w:r w:rsidR="00A454AE" w:rsidRPr="00E72D68">
        <w:t>Mise en œuvre de la recommandation formulée au ch.</w:t>
      </w:r>
      <w:r w:rsidR="00A454AE">
        <w:t> 34</w:t>
      </w:r>
      <w:r w:rsidR="00A454AE" w:rsidRPr="00E72D68">
        <w:t xml:space="preserve"> des observations finales</w:t>
      </w:r>
      <w:r w:rsidR="00A454AE">
        <w:t> :</w:t>
      </w:r>
    </w:p>
    <w:p w14:paraId="22380962" w14:textId="77777777" w:rsidR="00A454AE" w:rsidRDefault="00A454AE" w:rsidP="00753414">
      <w:pPr>
        <w:pStyle w:val="SingleTxtG"/>
        <w:numPr>
          <w:ilvl w:val="0"/>
          <w:numId w:val="43"/>
        </w:numPr>
        <w:kinsoku/>
        <w:overflowPunct/>
        <w:autoSpaceDE/>
        <w:autoSpaceDN/>
        <w:adjustRightInd/>
        <w:snapToGrid/>
        <w:ind w:left="1134" w:firstLine="0"/>
      </w:pPr>
      <w:r w:rsidRPr="00791AEF">
        <w:t xml:space="preserve">Le document de base commun </w:t>
      </w:r>
      <w:r>
        <w:t>a été</w:t>
      </w:r>
      <w:r w:rsidRPr="00791AEF">
        <w:t xml:space="preserve"> mis à jour le 13</w:t>
      </w:r>
      <w:r>
        <w:t> </w:t>
      </w:r>
      <w:r w:rsidRPr="00791AEF">
        <w:t xml:space="preserve">décembre </w:t>
      </w:r>
      <w:r w:rsidRPr="00B45C5A">
        <w:t>2022</w:t>
      </w:r>
      <w:r w:rsidRPr="00791AEF">
        <w:t>.</w:t>
      </w:r>
    </w:p>
    <w:p w14:paraId="4DC815C9" w14:textId="0FF8A6E6" w:rsidR="00753414" w:rsidRPr="00753414" w:rsidRDefault="00753414" w:rsidP="00753414">
      <w:pPr>
        <w:pStyle w:val="SingleTxtG"/>
        <w:kinsoku/>
        <w:overflowPunct/>
        <w:autoSpaceDE/>
        <w:autoSpaceDN/>
        <w:adjustRightInd/>
        <w:snapToGrid/>
        <w:spacing w:before="240" w:after="0"/>
        <w:ind w:left="0" w:right="0"/>
        <w:jc w:val="center"/>
        <w:rPr>
          <w:u w:val="single"/>
        </w:rPr>
      </w:pPr>
      <w:r>
        <w:rPr>
          <w:u w:val="single"/>
        </w:rPr>
        <w:tab/>
      </w:r>
      <w:r>
        <w:rPr>
          <w:u w:val="single"/>
        </w:rPr>
        <w:tab/>
      </w:r>
      <w:r>
        <w:rPr>
          <w:u w:val="single"/>
        </w:rPr>
        <w:tab/>
      </w:r>
    </w:p>
    <w:sectPr w:rsidR="00753414" w:rsidRPr="00753414" w:rsidSect="00D12E56">
      <w:headerReference w:type="even" r:id="rId100"/>
      <w:headerReference w:type="default" r:id="rId101"/>
      <w:footerReference w:type="even" r:id="rId102"/>
      <w:footerReference w:type="default" r:id="rId103"/>
      <w:headerReference w:type="first" r:id="rId104"/>
      <w:footerReference w:type="first" r:id="rId10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A4762" w14:textId="77777777" w:rsidR="00FB0B41" w:rsidRDefault="00FB0B41">
      <w:pPr>
        <w:spacing w:line="240" w:lineRule="auto"/>
      </w:pPr>
      <w:r>
        <w:separator/>
      </w:r>
    </w:p>
  </w:endnote>
  <w:endnote w:type="continuationSeparator" w:id="0">
    <w:p w14:paraId="1F81D1A8" w14:textId="77777777" w:rsidR="00FB0B41" w:rsidRDefault="00FB0B41">
      <w:pPr>
        <w:spacing w:line="240" w:lineRule="auto"/>
      </w:pPr>
      <w:r>
        <w:continuationSeparator/>
      </w:r>
    </w:p>
  </w:endnote>
  <w:endnote w:type="continuationNotice" w:id="1">
    <w:p w14:paraId="1E8FD588" w14:textId="77777777" w:rsidR="00FB0B41" w:rsidRDefault="00FB0B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B335C" w14:textId="77777777" w:rsidR="008D3C12" w:rsidRDefault="008D3C1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0661F0">
      <w:rPr>
        <w:b/>
        <w:noProof/>
        <w:sz w:val="18"/>
      </w:rPr>
      <w:t>8</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7C63" w14:textId="77777777" w:rsidR="008D3C12" w:rsidRDefault="008D3C12" w:rsidP="00D13AF1">
    <w:pPr>
      <w:pStyle w:val="Footer"/>
      <w:tabs>
        <w:tab w:val="right" w:pos="14287"/>
      </w:tabs>
      <w:rPr>
        <w:sz w:val="20"/>
      </w:rPr>
    </w:pPr>
    <w:r>
      <w:tab/>
    </w:r>
    <w:r>
      <w:rPr>
        <w:b/>
        <w:sz w:val="18"/>
      </w:rPr>
      <w:fldChar w:fldCharType="begin"/>
    </w:r>
    <w:r>
      <w:rPr>
        <w:b/>
        <w:sz w:val="18"/>
      </w:rPr>
      <w:instrText xml:space="preserve"> PAGE  \* MERGEFORMAT </w:instrText>
    </w:r>
    <w:r>
      <w:rPr>
        <w:b/>
        <w:sz w:val="18"/>
      </w:rPr>
      <w:fldChar w:fldCharType="separate"/>
    </w:r>
    <w:r w:rsidR="000661F0">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83CB4" w14:textId="77777777" w:rsidR="008D3C12" w:rsidRDefault="008D3C12">
    <w:pPr>
      <w:pStyle w:val="Footer"/>
      <w:spacing w:before="120"/>
      <w:rPr>
        <w:noProof/>
        <w:sz w:val="20"/>
        <w:lang w:eastAsia="fr-FR"/>
      </w:rPr>
    </w:pPr>
    <w:r>
      <w:rPr>
        <w:noProof/>
        <w:lang w:val="en-GB" w:eastAsia="en-GB"/>
      </w:rPr>
      <w:drawing>
        <wp:anchor distT="0" distB="0" distL="114300" distR="114300" simplePos="0" relativeHeight="251658240" behindDoc="0" locked="1" layoutInCell="1" allowOverlap="1" wp14:anchorId="2EDC4205" wp14:editId="52DD98AD">
          <wp:simplePos x="0" y="0"/>
          <wp:positionH relativeFrom="column">
            <wp:posOffset>5868670</wp:posOffset>
          </wp:positionH>
          <wp:positionV relativeFrom="paragraph">
            <wp:posOffset>9387840</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22566"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p w14:paraId="62CDC0F2" w14:textId="77777777" w:rsidR="008D3C12" w:rsidRDefault="008D3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50EAA" w14:textId="77777777" w:rsidR="00FB0B41" w:rsidRDefault="00FB0B41">
      <w:pPr>
        <w:pStyle w:val="Footer"/>
        <w:tabs>
          <w:tab w:val="right" w:pos="2155"/>
        </w:tabs>
        <w:spacing w:after="80" w:line="240" w:lineRule="atLeast"/>
        <w:ind w:left="680"/>
        <w:rPr>
          <w:u w:val="single"/>
        </w:rPr>
      </w:pPr>
      <w:r>
        <w:rPr>
          <w:u w:val="single"/>
        </w:rPr>
        <w:tab/>
      </w:r>
    </w:p>
  </w:footnote>
  <w:footnote w:type="continuationSeparator" w:id="0">
    <w:p w14:paraId="0F6C057A" w14:textId="77777777" w:rsidR="00FB0B41" w:rsidRDefault="00FB0B41">
      <w:pPr>
        <w:pStyle w:val="Footer"/>
        <w:tabs>
          <w:tab w:val="right" w:pos="2155"/>
        </w:tabs>
        <w:spacing w:after="80" w:line="240" w:lineRule="atLeast"/>
        <w:ind w:left="680"/>
        <w:rPr>
          <w:u w:val="single"/>
        </w:rPr>
      </w:pPr>
      <w:r>
        <w:rPr>
          <w:u w:val="single"/>
        </w:rPr>
        <w:tab/>
      </w:r>
    </w:p>
  </w:footnote>
  <w:footnote w:type="continuationNotice" w:id="1">
    <w:p w14:paraId="279C63D9" w14:textId="77777777" w:rsidR="00FB0B41" w:rsidRDefault="00FB0B41">
      <w:pPr>
        <w:spacing w:line="240" w:lineRule="auto"/>
        <w:rPr>
          <w:sz w:val="2"/>
          <w:szCs w:val="2"/>
        </w:rPr>
      </w:pPr>
    </w:p>
  </w:footnote>
  <w:footnote w:id="2">
    <w:p w14:paraId="334829E5" w14:textId="77777777" w:rsidR="00CE418E" w:rsidRDefault="00CE418E" w:rsidP="00CE418E">
      <w:pPr>
        <w:pStyle w:val="FootnoteText"/>
      </w:pPr>
      <w:r>
        <w:tab/>
      </w:r>
      <w:r>
        <w:rPr>
          <w:rStyle w:val="FootnoteReference"/>
          <w:sz w:val="20"/>
          <w:vertAlign w:val="baseline"/>
        </w:rPr>
        <w:t>*</w:t>
      </w:r>
      <w:r>
        <w:rPr>
          <w:sz w:val="20"/>
        </w:rPr>
        <w:tab/>
      </w:r>
      <w:r>
        <w:t>La version originale du présent document n’a pas été revue par les services d’édition.</w:t>
      </w:r>
    </w:p>
  </w:footnote>
  <w:footnote w:id="3">
    <w:p w14:paraId="50243DC9" w14:textId="3A2B4A4B" w:rsidR="005E76E3" w:rsidRPr="005E76E3" w:rsidRDefault="005E76E3" w:rsidP="005E76E3">
      <w:pPr>
        <w:pStyle w:val="FootnoteText"/>
        <w:rPr>
          <w:lang w:val="en-CH"/>
        </w:rPr>
      </w:pPr>
      <w:r>
        <w:rPr>
          <w:rStyle w:val="FootnoteReference"/>
        </w:rPr>
        <w:tab/>
      </w:r>
      <w:r w:rsidRPr="005E76E3">
        <w:rPr>
          <w:rStyle w:val="FootnoteReference"/>
          <w:sz w:val="20"/>
          <w:vertAlign w:val="baseline"/>
        </w:rPr>
        <w:t>**</w:t>
      </w:r>
      <w:r>
        <w:rPr>
          <w:rStyle w:val="FootnoteReference"/>
          <w:sz w:val="20"/>
          <w:vertAlign w:val="baseline"/>
        </w:rPr>
        <w:tab/>
      </w:r>
      <w:r w:rsidRPr="00AC4174">
        <w:rPr>
          <w:szCs w:val="18"/>
        </w:rPr>
        <w:t>Les annexes peuvent être consultées dans les archives du secrétariat du Comité pour l’élimination de la discrimination raciale.</w:t>
      </w:r>
    </w:p>
  </w:footnote>
  <w:footnote w:id="4">
    <w:p w14:paraId="79C5E883" w14:textId="77777777" w:rsidR="00A454AE" w:rsidRPr="00D20783" w:rsidRDefault="00A454AE" w:rsidP="00A454AE">
      <w:pPr>
        <w:pStyle w:val="FootnoteText"/>
      </w:pPr>
      <w:r w:rsidRPr="00163BCD">
        <w:rPr>
          <w:rStyle w:val="FootnoteReference"/>
        </w:rPr>
        <w:footnoteRef/>
      </w:r>
      <w:r>
        <w:tab/>
      </w:r>
      <w:r w:rsidRPr="00280036">
        <w:tab/>
        <w:t>Observations finales du 27</w:t>
      </w:r>
      <w:r>
        <w:t> </w:t>
      </w:r>
      <w:r w:rsidRPr="00280036">
        <w:t>décembre 2021 (UN Doc. CERD/C/CHE/CO/10-12), paragraphe 37</w:t>
      </w:r>
    </w:p>
  </w:footnote>
  <w:footnote w:id="5">
    <w:p w14:paraId="3875D0B1" w14:textId="1815BF09" w:rsidR="00A454AE" w:rsidRPr="00D24416" w:rsidRDefault="00F95041" w:rsidP="00A454AE">
      <w:pPr>
        <w:pStyle w:val="FootnoteText"/>
      </w:pPr>
      <w:r>
        <w:tab/>
      </w:r>
      <w:r w:rsidR="00A454AE">
        <w:rPr>
          <w:rStyle w:val="FootnoteReference"/>
        </w:rPr>
        <w:footnoteRef/>
      </w:r>
      <w:r>
        <w:tab/>
      </w:r>
      <w:r w:rsidR="00A454AE" w:rsidRPr="00362514">
        <w:t xml:space="preserve">Statistique policière de la criminalité </w:t>
      </w:r>
      <w:r w:rsidR="00A454AE" w:rsidRPr="00D24416">
        <w:t xml:space="preserve">- </w:t>
      </w:r>
      <w:r w:rsidR="00A454AE" w:rsidRPr="00D24416">
        <w:rPr>
          <w:i/>
          <w:iCs/>
        </w:rPr>
        <w:t>Discrimination et incitation à la haine art. 261bis CP : Infractions, personnes prévenues et lésées</w:t>
      </w:r>
      <w:r w:rsidR="00A454AE" w:rsidRPr="00D24416">
        <w:t xml:space="preserve"> (tableau je</w:t>
      </w:r>
      <w:r w:rsidR="00A454AE" w:rsidRPr="00D24416">
        <w:noBreakHyphen/>
        <w:t>f</w:t>
      </w:r>
      <w:r w:rsidR="00A454AE" w:rsidRPr="00D24416">
        <w:noBreakHyphen/>
        <w:t>19.02.01.01.10), publication du 25 mars 2024</w:t>
      </w:r>
      <w:r w:rsidR="00A454AE">
        <w:t xml:space="preserve"> (</w:t>
      </w:r>
      <w:r w:rsidR="00A454AE" w:rsidRPr="00D5066C">
        <w:t>uniquement en allemand</w:t>
      </w:r>
      <w:r w:rsidR="00A454AE">
        <w:t>).</w:t>
      </w:r>
    </w:p>
  </w:footnote>
  <w:footnote w:id="6">
    <w:p w14:paraId="1AD3EDBF" w14:textId="14D5BC7A" w:rsidR="00A454AE" w:rsidRPr="00002D88" w:rsidRDefault="00F95041" w:rsidP="00A454AE">
      <w:pPr>
        <w:pStyle w:val="FootnoteText"/>
      </w:pPr>
      <w:r>
        <w:tab/>
      </w:r>
      <w:r w:rsidR="00A454AE">
        <w:rPr>
          <w:rStyle w:val="FootnoteReference"/>
        </w:rPr>
        <w:footnoteRef/>
      </w:r>
      <w:r>
        <w:tab/>
      </w:r>
      <w:r w:rsidR="00A454AE" w:rsidRPr="00002D88">
        <w:t> Voir également le message relatif à la modification du Code de procédure civile suisse (</w:t>
      </w:r>
      <w:r w:rsidR="00A454AE">
        <w:t>A</w:t>
      </w:r>
      <w:r w:rsidR="00A454AE" w:rsidRPr="00002D88">
        <w:t xml:space="preserve">mélioration de la praticabilité et de l’application du droit) du 26 février 2020, </w:t>
      </w:r>
      <w:hyperlink r:id="rId1" w:history="1">
        <w:r w:rsidR="00A454AE" w:rsidRPr="005E3347">
          <w:rPr>
            <w:rStyle w:val="Hyperlink"/>
          </w:rPr>
          <w:t>FF 2020 2607</w:t>
        </w:r>
      </w:hyperlink>
      <w:r w:rsidR="00A454AE" w:rsidRPr="00002D88">
        <w:t xml:space="preserve"> ; motion </w:t>
      </w:r>
      <w:r w:rsidR="00A454AE">
        <w:t>de la commission des affaires juridiques du Conseil des États</w:t>
      </w:r>
      <w:r w:rsidR="00A454AE" w:rsidRPr="00002D88">
        <w:t xml:space="preserve"> </w:t>
      </w:r>
      <w:hyperlink r:id="rId2" w:history="1">
        <w:r w:rsidR="00A454AE" w:rsidRPr="00002D88">
          <w:rPr>
            <w:rStyle w:val="Hyperlink"/>
          </w:rPr>
          <w:t>14.4008</w:t>
        </w:r>
      </w:hyperlink>
      <w:r w:rsidR="00A454AE" w:rsidRPr="00002D88">
        <w:t xml:space="preserve"> « Adaptation du Code de procédure civile</w:t>
      </w:r>
      <w:r w:rsidR="00A454AE">
        <w:t> ».</w:t>
      </w:r>
    </w:p>
  </w:footnote>
  <w:footnote w:id="7">
    <w:p w14:paraId="4F546AE3" w14:textId="1BAED36B" w:rsidR="00A454AE" w:rsidRPr="00F002F8" w:rsidRDefault="00FE33C4" w:rsidP="00A454AE">
      <w:pPr>
        <w:pStyle w:val="FootnoteText"/>
      </w:pPr>
      <w:r>
        <w:tab/>
      </w:r>
      <w:r w:rsidR="00A454AE">
        <w:rPr>
          <w:rStyle w:val="FootnoteReference"/>
        </w:rPr>
        <w:footnoteRef/>
      </w:r>
      <w:r>
        <w:tab/>
      </w:r>
      <w:hyperlink r:id="rId3" w:history="1">
        <w:hyperlink r:id="rId4" w:history="1">
          <w:r w:rsidR="00A454AE" w:rsidRPr="00B5202D">
            <w:rPr>
              <w:rStyle w:val="Hyperlink"/>
            </w:rPr>
            <w:t>CourEDH, Wa Baile c. Suisse, requêtes n</w:t>
          </w:r>
          <w:r w:rsidR="00A454AE" w:rsidRPr="00B5202D">
            <w:rPr>
              <w:rStyle w:val="Hyperlink"/>
              <w:vertAlign w:val="superscript"/>
            </w:rPr>
            <w:t>o</w:t>
          </w:r>
          <w:r w:rsidR="00A454AE" w:rsidRPr="00B5202D">
            <w:rPr>
              <w:rStyle w:val="Hyperlink"/>
            </w:rPr>
            <w:t> 43868/1 et 25883/21, 20 </w:t>
          </w:r>
          <w:r w:rsidR="00A454AE">
            <w:rPr>
              <w:rStyle w:val="Hyperlink"/>
            </w:rPr>
            <w:t>février</w:t>
          </w:r>
          <w:r w:rsidR="00A454AE" w:rsidRPr="00B5202D">
            <w:rPr>
              <w:rStyle w:val="Hyperlink"/>
            </w:rPr>
            <w:t> 2024</w:t>
          </w:r>
        </w:hyperlink>
        <w:r w:rsidR="00A454AE" w:rsidRPr="00F002F8">
          <w:rPr>
            <w:rStyle w:val="Hyperlink"/>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411F3" w14:textId="57713626" w:rsidR="008D3C12" w:rsidRDefault="008D3C12">
    <w:pPr>
      <w:pStyle w:val="Header"/>
    </w:pPr>
    <w:r>
      <w:t>CERD/C/</w:t>
    </w:r>
    <w:r w:rsidR="00AC4174">
      <w:t>CHE/13-16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5349" w14:textId="65BF033F" w:rsidR="008D3C12" w:rsidRDefault="008D3C12">
    <w:pPr>
      <w:pStyle w:val="Header"/>
      <w:jc w:val="right"/>
    </w:pPr>
    <w:r>
      <w:t>CERD/C/</w:t>
    </w:r>
    <w:r w:rsidR="00753414">
      <w:t>CHE</w:t>
    </w:r>
    <w:r w:rsidR="00D0234E">
      <w:t>/</w:t>
    </w:r>
    <w:r w:rsidR="00753414">
      <w:t>13-16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DBA1" w14:textId="77777777" w:rsidR="00B01A7E" w:rsidRPr="00D13AF1" w:rsidRDefault="00924499" w:rsidP="00924499">
    <w:pPr>
      <w:pStyle w:val="Header"/>
      <w:jc w:val="right"/>
      <w:rPr>
        <w:color w:val="FFFFFF" w:themeColor="background1"/>
        <w:lang w:val="en-GB"/>
      </w:rPr>
    </w:pPr>
    <w:r w:rsidRPr="00D13AF1">
      <w:rPr>
        <w:color w:val="FFFFFF" w:themeColor="background1"/>
        <w:lang w:val="en-GB"/>
      </w:rPr>
      <w:t>CERD/C/BEN/1-9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2A8CF6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92C2DE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432FE0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9AAE0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232401E"/>
    <w:lvl w:ilvl="0">
      <w:start w:val="1"/>
      <w:numFmt w:val="bullet"/>
      <w:lvlRestart w:val="0"/>
      <w:pStyle w:val="ListBullet5"/>
      <w:lvlText w:val="-"/>
      <w:lvlJc w:val="left"/>
      <w:pPr>
        <w:tabs>
          <w:tab w:val="num" w:pos="2126"/>
        </w:tabs>
        <w:ind w:left="2126" w:hanging="425"/>
      </w:pPr>
      <w:rPr>
        <w:rFonts w:ascii="Symbol" w:hAnsi="Symbol" w:hint="default"/>
      </w:rPr>
    </w:lvl>
  </w:abstractNum>
  <w:abstractNum w:abstractNumId="5" w15:restartNumberingAfterBreak="0">
    <w:nsid w:val="FFFFFF81"/>
    <w:multiLevelType w:val="singleLevel"/>
    <w:tmpl w:val="384C1364"/>
    <w:lvl w:ilvl="0">
      <w:start w:val="1"/>
      <w:numFmt w:val="bullet"/>
      <w:lvlRestart w:val="0"/>
      <w:pStyle w:val="ListBullet4"/>
      <w:lvlText w:val="-"/>
      <w:lvlJc w:val="left"/>
      <w:pPr>
        <w:tabs>
          <w:tab w:val="num" w:pos="1701"/>
        </w:tabs>
        <w:ind w:left="1701" w:hanging="425"/>
      </w:pPr>
      <w:rPr>
        <w:rFonts w:ascii="Symbol" w:hAnsi="Symbol" w:hint="default"/>
      </w:rPr>
    </w:lvl>
  </w:abstractNum>
  <w:abstractNum w:abstractNumId="6" w15:restartNumberingAfterBreak="0">
    <w:nsid w:val="FFFFFF82"/>
    <w:multiLevelType w:val="singleLevel"/>
    <w:tmpl w:val="34EA70E4"/>
    <w:lvl w:ilvl="0">
      <w:start w:val="1"/>
      <w:numFmt w:val="bullet"/>
      <w:lvlRestart w:val="0"/>
      <w:pStyle w:val="ListBullet3"/>
      <w:lvlText w:val="-"/>
      <w:lvlJc w:val="left"/>
      <w:pPr>
        <w:tabs>
          <w:tab w:val="num" w:pos="1276"/>
        </w:tabs>
        <w:ind w:left="1276" w:hanging="425"/>
      </w:pPr>
      <w:rPr>
        <w:rFonts w:ascii="Symbol" w:hAnsi="Symbol" w:hint="default"/>
      </w:rPr>
    </w:lvl>
  </w:abstractNum>
  <w:abstractNum w:abstractNumId="7" w15:restartNumberingAfterBreak="0">
    <w:nsid w:val="FFFFFF83"/>
    <w:multiLevelType w:val="singleLevel"/>
    <w:tmpl w:val="0FD481D8"/>
    <w:lvl w:ilvl="0">
      <w:start w:val="1"/>
      <w:numFmt w:val="bullet"/>
      <w:lvlRestart w:val="0"/>
      <w:pStyle w:val="ListBullet2"/>
      <w:lvlText w:val="-"/>
      <w:lvlJc w:val="left"/>
      <w:pPr>
        <w:tabs>
          <w:tab w:val="num" w:pos="850"/>
        </w:tabs>
        <w:ind w:left="850" w:hanging="425"/>
      </w:pPr>
      <w:rPr>
        <w:rFonts w:ascii="Symbol" w:hAnsi="Symbol" w:hint="default"/>
      </w:rPr>
    </w:lvl>
  </w:abstractNum>
  <w:abstractNum w:abstractNumId="8" w15:restartNumberingAfterBreak="0">
    <w:nsid w:val="FFFFFF88"/>
    <w:multiLevelType w:val="singleLevel"/>
    <w:tmpl w:val="73200578"/>
    <w:lvl w:ilvl="0">
      <w:start w:val="1"/>
      <w:numFmt w:val="decimal"/>
      <w:pStyle w:val="ListNumber"/>
      <w:lvlText w:val="%1."/>
      <w:lvlJc w:val="left"/>
      <w:pPr>
        <w:tabs>
          <w:tab w:val="num" w:pos="360"/>
        </w:tabs>
        <w:ind w:left="360" w:hanging="360"/>
      </w:pPr>
    </w:lvl>
  </w:abstractNum>
  <w:abstractNum w:abstractNumId="9" w15:restartNumberingAfterBreak="0">
    <w:nsid w:val="04015799"/>
    <w:multiLevelType w:val="hybridMultilevel"/>
    <w:tmpl w:val="82C64688"/>
    <w:lvl w:ilvl="0" w:tplc="08070001">
      <w:start w:val="1"/>
      <w:numFmt w:val="bullet"/>
      <w:lvlText w:val=""/>
      <w:lvlJc w:val="left"/>
      <w:pPr>
        <w:ind w:left="2251" w:hanging="360"/>
      </w:pPr>
      <w:rPr>
        <w:rFonts w:ascii="Symbol" w:hAnsi="Symbol" w:hint="default"/>
      </w:rPr>
    </w:lvl>
    <w:lvl w:ilvl="1" w:tplc="08070003" w:tentative="1">
      <w:start w:val="1"/>
      <w:numFmt w:val="bullet"/>
      <w:lvlText w:val="o"/>
      <w:lvlJc w:val="left"/>
      <w:pPr>
        <w:ind w:left="2971" w:hanging="360"/>
      </w:pPr>
      <w:rPr>
        <w:rFonts w:ascii="Courier New" w:hAnsi="Courier New" w:cs="Courier New" w:hint="default"/>
      </w:rPr>
    </w:lvl>
    <w:lvl w:ilvl="2" w:tplc="08070005" w:tentative="1">
      <w:start w:val="1"/>
      <w:numFmt w:val="bullet"/>
      <w:lvlText w:val=""/>
      <w:lvlJc w:val="left"/>
      <w:pPr>
        <w:ind w:left="3691" w:hanging="360"/>
      </w:pPr>
      <w:rPr>
        <w:rFonts w:ascii="Wingdings" w:hAnsi="Wingdings" w:hint="default"/>
      </w:rPr>
    </w:lvl>
    <w:lvl w:ilvl="3" w:tplc="08070001" w:tentative="1">
      <w:start w:val="1"/>
      <w:numFmt w:val="bullet"/>
      <w:lvlText w:val=""/>
      <w:lvlJc w:val="left"/>
      <w:pPr>
        <w:ind w:left="4411" w:hanging="360"/>
      </w:pPr>
      <w:rPr>
        <w:rFonts w:ascii="Symbol" w:hAnsi="Symbol" w:hint="default"/>
      </w:rPr>
    </w:lvl>
    <w:lvl w:ilvl="4" w:tplc="08070003" w:tentative="1">
      <w:start w:val="1"/>
      <w:numFmt w:val="bullet"/>
      <w:lvlText w:val="o"/>
      <w:lvlJc w:val="left"/>
      <w:pPr>
        <w:ind w:left="5131" w:hanging="360"/>
      </w:pPr>
      <w:rPr>
        <w:rFonts w:ascii="Courier New" w:hAnsi="Courier New" w:cs="Courier New" w:hint="default"/>
      </w:rPr>
    </w:lvl>
    <w:lvl w:ilvl="5" w:tplc="08070005" w:tentative="1">
      <w:start w:val="1"/>
      <w:numFmt w:val="bullet"/>
      <w:lvlText w:val=""/>
      <w:lvlJc w:val="left"/>
      <w:pPr>
        <w:ind w:left="5851" w:hanging="360"/>
      </w:pPr>
      <w:rPr>
        <w:rFonts w:ascii="Wingdings" w:hAnsi="Wingdings" w:hint="default"/>
      </w:rPr>
    </w:lvl>
    <w:lvl w:ilvl="6" w:tplc="08070001" w:tentative="1">
      <w:start w:val="1"/>
      <w:numFmt w:val="bullet"/>
      <w:lvlText w:val=""/>
      <w:lvlJc w:val="left"/>
      <w:pPr>
        <w:ind w:left="6571" w:hanging="360"/>
      </w:pPr>
      <w:rPr>
        <w:rFonts w:ascii="Symbol" w:hAnsi="Symbol" w:hint="default"/>
      </w:rPr>
    </w:lvl>
    <w:lvl w:ilvl="7" w:tplc="08070003" w:tentative="1">
      <w:start w:val="1"/>
      <w:numFmt w:val="bullet"/>
      <w:lvlText w:val="o"/>
      <w:lvlJc w:val="left"/>
      <w:pPr>
        <w:ind w:left="7291" w:hanging="360"/>
      </w:pPr>
      <w:rPr>
        <w:rFonts w:ascii="Courier New" w:hAnsi="Courier New" w:cs="Courier New" w:hint="default"/>
      </w:rPr>
    </w:lvl>
    <w:lvl w:ilvl="8" w:tplc="08070005" w:tentative="1">
      <w:start w:val="1"/>
      <w:numFmt w:val="bullet"/>
      <w:lvlText w:val=""/>
      <w:lvlJc w:val="left"/>
      <w:pPr>
        <w:ind w:left="8011" w:hanging="360"/>
      </w:pPr>
      <w:rPr>
        <w:rFonts w:ascii="Wingdings" w:hAnsi="Wingdings" w:hint="default"/>
      </w:rPr>
    </w:lvl>
  </w:abstractNum>
  <w:abstractNum w:abstractNumId="10" w15:restartNumberingAfterBreak="0">
    <w:nsid w:val="0449129E"/>
    <w:multiLevelType w:val="hybridMultilevel"/>
    <w:tmpl w:val="EF4017A4"/>
    <w:lvl w:ilvl="0" w:tplc="1F2A04AA">
      <w:start w:val="1"/>
      <w:numFmt w:val="bullet"/>
      <w:lvlRestart w:val="0"/>
      <w:pStyle w:val="ListBullet"/>
      <w:lvlText w:val="-"/>
      <w:lvlJc w:val="left"/>
      <w:pPr>
        <w:tabs>
          <w:tab w:val="num" w:pos="425"/>
        </w:tabs>
        <w:ind w:left="425"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611ECB"/>
    <w:multiLevelType w:val="hybridMultilevel"/>
    <w:tmpl w:val="DF32363A"/>
    <w:lvl w:ilvl="0" w:tplc="2000000F">
      <w:start w:val="1"/>
      <w:numFmt w:val="decimal"/>
      <w:lvlText w:val="%1."/>
      <w:lvlJc w:val="left"/>
      <w:pPr>
        <w:ind w:left="6530" w:hanging="576"/>
      </w:pPr>
      <w:rPr>
        <w:b w:val="0"/>
        <w:bCs/>
        <w:i w:val="0"/>
        <w:iCs/>
        <w:lang w:val="fr-CH"/>
      </w:rPr>
    </w:lvl>
    <w:lvl w:ilvl="1" w:tplc="FFFFFFFF">
      <w:start w:val="1"/>
      <w:numFmt w:val="bullet"/>
      <w:lvlText w:val=""/>
      <w:lvlJc w:val="left"/>
      <w:pPr>
        <w:ind w:left="1646" w:hanging="360"/>
      </w:pPr>
      <w:rPr>
        <w:rFonts w:ascii="Symbol" w:hAnsi="Symbol" w:hint="default"/>
      </w:rPr>
    </w:lvl>
    <w:lvl w:ilvl="2" w:tplc="FFFFFFFF">
      <w:start w:val="1"/>
      <w:numFmt w:val="lowerRoman"/>
      <w:lvlText w:val="%3."/>
      <w:lvlJc w:val="right"/>
      <w:pPr>
        <w:ind w:left="2366" w:hanging="180"/>
      </w:pPr>
    </w:lvl>
    <w:lvl w:ilvl="3" w:tplc="FFFFFFFF" w:tentative="1">
      <w:start w:val="1"/>
      <w:numFmt w:val="decimal"/>
      <w:lvlText w:val="%4."/>
      <w:lvlJc w:val="left"/>
      <w:pPr>
        <w:ind w:left="3086" w:hanging="360"/>
      </w:pPr>
    </w:lvl>
    <w:lvl w:ilvl="4" w:tplc="FFFFFFFF" w:tentative="1">
      <w:start w:val="1"/>
      <w:numFmt w:val="lowerLetter"/>
      <w:lvlText w:val="%5."/>
      <w:lvlJc w:val="left"/>
      <w:pPr>
        <w:ind w:left="3806" w:hanging="360"/>
      </w:pPr>
    </w:lvl>
    <w:lvl w:ilvl="5" w:tplc="FFFFFFFF" w:tentative="1">
      <w:start w:val="1"/>
      <w:numFmt w:val="lowerRoman"/>
      <w:lvlText w:val="%6."/>
      <w:lvlJc w:val="right"/>
      <w:pPr>
        <w:ind w:left="4526" w:hanging="180"/>
      </w:pPr>
    </w:lvl>
    <w:lvl w:ilvl="6" w:tplc="FFFFFFFF" w:tentative="1">
      <w:start w:val="1"/>
      <w:numFmt w:val="decimal"/>
      <w:lvlText w:val="%7."/>
      <w:lvlJc w:val="left"/>
      <w:pPr>
        <w:ind w:left="5246" w:hanging="360"/>
      </w:pPr>
    </w:lvl>
    <w:lvl w:ilvl="7" w:tplc="FFFFFFFF" w:tentative="1">
      <w:start w:val="1"/>
      <w:numFmt w:val="lowerLetter"/>
      <w:lvlText w:val="%8."/>
      <w:lvlJc w:val="left"/>
      <w:pPr>
        <w:ind w:left="5966" w:hanging="360"/>
      </w:pPr>
    </w:lvl>
    <w:lvl w:ilvl="8" w:tplc="FFFFFFFF" w:tentative="1">
      <w:start w:val="1"/>
      <w:numFmt w:val="lowerRoman"/>
      <w:lvlText w:val="%9."/>
      <w:lvlJc w:val="right"/>
      <w:pPr>
        <w:ind w:left="6686" w:hanging="180"/>
      </w:pPr>
    </w:lvl>
  </w:abstractNum>
  <w:abstractNum w:abstractNumId="12" w15:restartNumberingAfterBreak="0">
    <w:nsid w:val="0C303A4A"/>
    <w:multiLevelType w:val="hybridMultilevel"/>
    <w:tmpl w:val="EC646FA0"/>
    <w:lvl w:ilvl="0" w:tplc="67BAD9B8">
      <w:start w:val="1"/>
      <w:numFmt w:val="bullet"/>
      <w:pStyle w:val="ListContinue4"/>
      <w:lvlText w:val=""/>
      <w:lvlJc w:val="left"/>
      <w:pPr>
        <w:tabs>
          <w:tab w:val="num" w:pos="1701"/>
        </w:tabs>
        <w:ind w:left="1701" w:hanging="42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8D2D9C"/>
    <w:multiLevelType w:val="hybridMultilevel"/>
    <w:tmpl w:val="CE08AB3A"/>
    <w:lvl w:ilvl="0" w:tplc="73FE6600">
      <w:start w:val="1"/>
      <w:numFmt w:val="decimal"/>
      <w:pStyle w:val="CATnumrotation"/>
      <w:lvlText w:val="%1."/>
      <w:lvlJc w:val="left"/>
      <w:pPr>
        <w:tabs>
          <w:tab w:val="num" w:pos="0"/>
        </w:tabs>
        <w:ind w:left="0" w:firstLine="0"/>
      </w:pPr>
      <w:rPr>
        <w:rFonts w:ascii="Arial" w:hAnsi="Arial" w:cs="Times New Roman" w:hint="default"/>
        <w:b w:val="0"/>
        <w:i w:val="0"/>
        <w:caps w:val="0"/>
        <w:strike w:val="0"/>
        <w:dstrike w:val="0"/>
        <w:vanish w:val="0"/>
        <w:webHidden w:val="0"/>
        <w:color w:val="auto"/>
        <w:sz w:val="22"/>
        <w:szCs w:val="24"/>
        <w:u w:val="none"/>
        <w:effect w:val="none"/>
        <w:vertAlign w:val="baseline"/>
        <w:lang w:val="fr-FR"/>
        <w:specVanish w:val="0"/>
      </w:rPr>
    </w:lvl>
    <w:lvl w:ilvl="1" w:tplc="A37AE9F8">
      <w:start w:val="1"/>
      <w:numFmt w:val="bullet"/>
      <w:lvlText w:val=""/>
      <w:lvlJc w:val="left"/>
      <w:pPr>
        <w:tabs>
          <w:tab w:val="num" w:pos="1440"/>
        </w:tabs>
        <w:ind w:left="1440" w:hanging="360"/>
      </w:pPr>
      <w:rPr>
        <w:rFonts w:ascii="Symbol" w:hAnsi="Symbol" w:hint="default"/>
        <w:b w:val="0"/>
        <w:i w:val="0"/>
        <w:caps w:val="0"/>
        <w:strike w:val="0"/>
        <w:dstrike w:val="0"/>
        <w:vanish w:val="0"/>
        <w:webHidden w:val="0"/>
        <w:color w:val="auto"/>
        <w:sz w:val="22"/>
        <w:szCs w:val="24"/>
        <w:u w:val="none"/>
        <w:effect w:val="none"/>
        <w:vertAlign w:val="baseline"/>
        <w:specVanish w:val="0"/>
      </w:rPr>
    </w:lvl>
    <w:lvl w:ilvl="2" w:tplc="184441EE">
      <w:numFmt w:val="bullet"/>
      <w:lvlText w:val="-"/>
      <w:lvlJc w:val="left"/>
      <w:pPr>
        <w:tabs>
          <w:tab w:val="num" w:pos="2340"/>
        </w:tabs>
        <w:ind w:left="2340" w:hanging="360"/>
      </w:pPr>
      <w:rPr>
        <w:rFonts w:ascii="Arial" w:eastAsia="Times New Roman" w:hAnsi="Arial" w:cs="Arial" w:hint="default"/>
      </w:rPr>
    </w:lvl>
    <w:lvl w:ilvl="3" w:tplc="0807000F">
      <w:start w:val="1"/>
      <w:numFmt w:val="decimal"/>
      <w:lvlText w:val="%4."/>
      <w:lvlJc w:val="left"/>
      <w:pPr>
        <w:tabs>
          <w:tab w:val="num" w:pos="2880"/>
        </w:tabs>
        <w:ind w:left="2880" w:hanging="360"/>
      </w:pPr>
    </w:lvl>
    <w:lvl w:ilvl="4" w:tplc="08070019">
      <w:start w:val="1"/>
      <w:numFmt w:val="lowerLetter"/>
      <w:lvlText w:val="%5."/>
      <w:lvlJc w:val="left"/>
      <w:pPr>
        <w:tabs>
          <w:tab w:val="num" w:pos="3600"/>
        </w:tabs>
        <w:ind w:left="3600" w:hanging="360"/>
      </w:pPr>
      <w:rPr>
        <w:b w:val="0"/>
        <w:i w:val="0"/>
        <w:caps w:val="0"/>
        <w:strike w:val="0"/>
        <w:dstrike w:val="0"/>
        <w:vanish w:val="0"/>
        <w:webHidden w:val="0"/>
        <w:color w:val="auto"/>
        <w:sz w:val="22"/>
        <w:szCs w:val="24"/>
        <w:u w:val="none"/>
        <w:effect w:val="none"/>
        <w:vertAlign w:val="baseline"/>
        <w:specVanish w:val="0"/>
      </w:rPr>
    </w:lvl>
    <w:lvl w:ilvl="5" w:tplc="0807001B">
      <w:start w:val="1"/>
      <w:numFmt w:val="decimal"/>
      <w:lvlText w:val="%6."/>
      <w:lvlJc w:val="left"/>
      <w:pPr>
        <w:tabs>
          <w:tab w:val="num" w:pos="4320"/>
        </w:tabs>
        <w:ind w:left="4320" w:hanging="360"/>
      </w:pPr>
    </w:lvl>
    <w:lvl w:ilvl="6" w:tplc="0807000F">
      <w:start w:val="1"/>
      <w:numFmt w:val="decimal"/>
      <w:lvlText w:val="%7."/>
      <w:lvlJc w:val="left"/>
      <w:pPr>
        <w:tabs>
          <w:tab w:val="num" w:pos="5040"/>
        </w:tabs>
        <w:ind w:left="5040" w:hanging="360"/>
      </w:pPr>
    </w:lvl>
    <w:lvl w:ilvl="7" w:tplc="08070019">
      <w:start w:val="1"/>
      <w:numFmt w:val="decimal"/>
      <w:lvlText w:val="%8."/>
      <w:lvlJc w:val="left"/>
      <w:pPr>
        <w:tabs>
          <w:tab w:val="num" w:pos="5760"/>
        </w:tabs>
        <w:ind w:left="5760" w:hanging="360"/>
      </w:pPr>
    </w:lvl>
    <w:lvl w:ilvl="8" w:tplc="0807001B">
      <w:start w:val="1"/>
      <w:numFmt w:val="decimal"/>
      <w:lvlText w:val="%9."/>
      <w:lvlJc w:val="left"/>
      <w:pPr>
        <w:tabs>
          <w:tab w:val="num" w:pos="6480"/>
        </w:tabs>
        <w:ind w:left="6480" w:hanging="360"/>
      </w:pPr>
    </w:lvl>
  </w:abstractNum>
  <w:abstractNum w:abstractNumId="14" w15:restartNumberingAfterBreak="0">
    <w:nsid w:val="0D954887"/>
    <w:multiLevelType w:val="hybridMultilevel"/>
    <w:tmpl w:val="6E24C118"/>
    <w:lvl w:ilvl="0" w:tplc="9BDCBA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15" w15:restartNumberingAfterBreak="0">
    <w:nsid w:val="16DE6601"/>
    <w:multiLevelType w:val="hybridMultilevel"/>
    <w:tmpl w:val="9CFAA400"/>
    <w:lvl w:ilvl="0" w:tplc="D3285FE6">
      <w:start w:val="1"/>
      <w:numFmt w:val="lowerLetter"/>
      <w:pStyle w:val="List5"/>
      <w:lvlText w:val="%1."/>
      <w:lvlJc w:val="left"/>
      <w:pPr>
        <w:tabs>
          <w:tab w:val="num" w:pos="2126"/>
        </w:tabs>
        <w:ind w:left="2126" w:hanging="425"/>
      </w:pPr>
      <w:rPr>
        <w:rFonts w:hint="default"/>
      </w:rPr>
    </w:lvl>
    <w:lvl w:ilvl="1" w:tplc="92BCC6FA" w:tentative="1">
      <w:start w:val="1"/>
      <w:numFmt w:val="lowerLetter"/>
      <w:lvlText w:val="%2."/>
      <w:lvlJc w:val="left"/>
      <w:pPr>
        <w:tabs>
          <w:tab w:val="num" w:pos="1440"/>
        </w:tabs>
        <w:ind w:left="1440" w:hanging="360"/>
      </w:pPr>
    </w:lvl>
    <w:lvl w:ilvl="2" w:tplc="08A044BE" w:tentative="1">
      <w:start w:val="1"/>
      <w:numFmt w:val="lowerRoman"/>
      <w:lvlText w:val="%3."/>
      <w:lvlJc w:val="right"/>
      <w:pPr>
        <w:tabs>
          <w:tab w:val="num" w:pos="2160"/>
        </w:tabs>
        <w:ind w:left="2160" w:hanging="180"/>
      </w:pPr>
    </w:lvl>
    <w:lvl w:ilvl="3" w:tplc="AADC6ED0" w:tentative="1">
      <w:start w:val="1"/>
      <w:numFmt w:val="decimal"/>
      <w:lvlText w:val="%4."/>
      <w:lvlJc w:val="left"/>
      <w:pPr>
        <w:tabs>
          <w:tab w:val="num" w:pos="2880"/>
        </w:tabs>
        <w:ind w:left="2880" w:hanging="360"/>
      </w:pPr>
    </w:lvl>
    <w:lvl w:ilvl="4" w:tplc="B18AA738" w:tentative="1">
      <w:start w:val="1"/>
      <w:numFmt w:val="lowerLetter"/>
      <w:lvlText w:val="%5."/>
      <w:lvlJc w:val="left"/>
      <w:pPr>
        <w:tabs>
          <w:tab w:val="num" w:pos="3600"/>
        </w:tabs>
        <w:ind w:left="3600" w:hanging="360"/>
      </w:pPr>
    </w:lvl>
    <w:lvl w:ilvl="5" w:tplc="ADAAE200" w:tentative="1">
      <w:start w:val="1"/>
      <w:numFmt w:val="lowerRoman"/>
      <w:lvlText w:val="%6."/>
      <w:lvlJc w:val="right"/>
      <w:pPr>
        <w:tabs>
          <w:tab w:val="num" w:pos="4320"/>
        </w:tabs>
        <w:ind w:left="4320" w:hanging="180"/>
      </w:pPr>
    </w:lvl>
    <w:lvl w:ilvl="6" w:tplc="DC7C282C" w:tentative="1">
      <w:start w:val="1"/>
      <w:numFmt w:val="decimal"/>
      <w:lvlText w:val="%7."/>
      <w:lvlJc w:val="left"/>
      <w:pPr>
        <w:tabs>
          <w:tab w:val="num" w:pos="5040"/>
        </w:tabs>
        <w:ind w:left="5040" w:hanging="360"/>
      </w:pPr>
    </w:lvl>
    <w:lvl w:ilvl="7" w:tplc="7598D8D8" w:tentative="1">
      <w:start w:val="1"/>
      <w:numFmt w:val="lowerLetter"/>
      <w:lvlText w:val="%8."/>
      <w:lvlJc w:val="left"/>
      <w:pPr>
        <w:tabs>
          <w:tab w:val="num" w:pos="5760"/>
        </w:tabs>
        <w:ind w:left="5760" w:hanging="360"/>
      </w:pPr>
    </w:lvl>
    <w:lvl w:ilvl="8" w:tplc="77009660" w:tentative="1">
      <w:start w:val="1"/>
      <w:numFmt w:val="lowerRoman"/>
      <w:lvlText w:val="%9."/>
      <w:lvlJc w:val="right"/>
      <w:pPr>
        <w:tabs>
          <w:tab w:val="num" w:pos="6480"/>
        </w:tabs>
        <w:ind w:left="6480" w:hanging="180"/>
      </w:pPr>
    </w:lvl>
  </w:abstractNum>
  <w:abstractNum w:abstractNumId="16" w15:restartNumberingAfterBreak="0">
    <w:nsid w:val="17F11F49"/>
    <w:multiLevelType w:val="hybridMultilevel"/>
    <w:tmpl w:val="43AC7306"/>
    <w:lvl w:ilvl="0" w:tplc="FFFFFFFF">
      <w:start w:val="1"/>
      <w:numFmt w:val="decimal"/>
      <w:pStyle w:val="Standard1CharChar"/>
      <w:lvlText w:val="%1."/>
      <w:lvlJc w:val="left"/>
      <w:pPr>
        <w:tabs>
          <w:tab w:val="num" w:pos="567"/>
        </w:tabs>
        <w:ind w:left="0" w:firstLine="0"/>
      </w:pPr>
      <w:rPr>
        <w:rFonts w:cs="Times New Roman"/>
        <w:b w:val="0"/>
        <w:bCs w:val="0"/>
        <w:i w:val="0"/>
        <w:iCs w:val="0"/>
        <w:caps w:val="0"/>
        <w:smallCaps w:val="0"/>
        <w:strike w:val="0"/>
        <w:dstrike w:val="0"/>
        <w:noProof w:val="0"/>
        <w:vanish w:val="0"/>
        <w:color w:val="000000"/>
        <w:spacing w:val="0"/>
        <w:kern w:val="0"/>
        <w:position w:val="0"/>
        <w:u w:val="none"/>
        <w:vertAlign w:val="baseline"/>
        <w:em w:val="none"/>
        <w:lang w:val="fr-FR"/>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2C32C722">
      <w:start w:val="2"/>
      <w:numFmt w:val="bullet"/>
      <w:lvlText w:val="–"/>
      <w:lvlJc w:val="left"/>
      <w:pPr>
        <w:tabs>
          <w:tab w:val="num" w:pos="3075"/>
        </w:tabs>
        <w:ind w:left="3075" w:hanging="555"/>
      </w:pPr>
      <w:rPr>
        <w:rFonts w:ascii="Arial" w:eastAsia="Times New Roman" w:hAnsi="Arial" w:cs="Aria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8005A88"/>
    <w:multiLevelType w:val="hybridMultilevel"/>
    <w:tmpl w:val="A71C82F8"/>
    <w:lvl w:ilvl="0" w:tplc="34E0FD98">
      <w:start w:val="1"/>
      <w:numFmt w:val="lowerLetter"/>
      <w:pStyle w:val="List2"/>
      <w:lvlText w:val="%1."/>
      <w:lvlJc w:val="left"/>
      <w:pPr>
        <w:tabs>
          <w:tab w:val="num" w:pos="851"/>
        </w:tabs>
        <w:ind w:left="851" w:hanging="426"/>
      </w:pPr>
      <w:rPr>
        <w:rFonts w:hint="default"/>
      </w:rPr>
    </w:lvl>
    <w:lvl w:ilvl="1" w:tplc="3FD670D6" w:tentative="1">
      <w:start w:val="1"/>
      <w:numFmt w:val="lowerLetter"/>
      <w:lvlText w:val="%2."/>
      <w:lvlJc w:val="left"/>
      <w:pPr>
        <w:tabs>
          <w:tab w:val="num" w:pos="1440"/>
        </w:tabs>
        <w:ind w:left="1440" w:hanging="360"/>
      </w:pPr>
    </w:lvl>
    <w:lvl w:ilvl="2" w:tplc="1B0E4E6A" w:tentative="1">
      <w:start w:val="1"/>
      <w:numFmt w:val="lowerRoman"/>
      <w:lvlText w:val="%3."/>
      <w:lvlJc w:val="right"/>
      <w:pPr>
        <w:tabs>
          <w:tab w:val="num" w:pos="2160"/>
        </w:tabs>
        <w:ind w:left="2160" w:hanging="180"/>
      </w:pPr>
    </w:lvl>
    <w:lvl w:ilvl="3" w:tplc="C262A572" w:tentative="1">
      <w:start w:val="1"/>
      <w:numFmt w:val="decimal"/>
      <w:lvlText w:val="%4."/>
      <w:lvlJc w:val="left"/>
      <w:pPr>
        <w:tabs>
          <w:tab w:val="num" w:pos="2880"/>
        </w:tabs>
        <w:ind w:left="2880" w:hanging="360"/>
      </w:pPr>
    </w:lvl>
    <w:lvl w:ilvl="4" w:tplc="B50AE54E" w:tentative="1">
      <w:start w:val="1"/>
      <w:numFmt w:val="lowerLetter"/>
      <w:lvlText w:val="%5."/>
      <w:lvlJc w:val="left"/>
      <w:pPr>
        <w:tabs>
          <w:tab w:val="num" w:pos="3600"/>
        </w:tabs>
        <w:ind w:left="3600" w:hanging="360"/>
      </w:pPr>
    </w:lvl>
    <w:lvl w:ilvl="5" w:tplc="7CC28072" w:tentative="1">
      <w:start w:val="1"/>
      <w:numFmt w:val="lowerRoman"/>
      <w:lvlText w:val="%6."/>
      <w:lvlJc w:val="right"/>
      <w:pPr>
        <w:tabs>
          <w:tab w:val="num" w:pos="4320"/>
        </w:tabs>
        <w:ind w:left="4320" w:hanging="180"/>
      </w:pPr>
    </w:lvl>
    <w:lvl w:ilvl="6" w:tplc="1D6E5292" w:tentative="1">
      <w:start w:val="1"/>
      <w:numFmt w:val="decimal"/>
      <w:lvlText w:val="%7."/>
      <w:lvlJc w:val="left"/>
      <w:pPr>
        <w:tabs>
          <w:tab w:val="num" w:pos="5040"/>
        </w:tabs>
        <w:ind w:left="5040" w:hanging="360"/>
      </w:pPr>
    </w:lvl>
    <w:lvl w:ilvl="7" w:tplc="12DCEF98" w:tentative="1">
      <w:start w:val="1"/>
      <w:numFmt w:val="lowerLetter"/>
      <w:lvlText w:val="%8."/>
      <w:lvlJc w:val="left"/>
      <w:pPr>
        <w:tabs>
          <w:tab w:val="num" w:pos="5760"/>
        </w:tabs>
        <w:ind w:left="5760" w:hanging="360"/>
      </w:pPr>
    </w:lvl>
    <w:lvl w:ilvl="8" w:tplc="43AA2E40" w:tentative="1">
      <w:start w:val="1"/>
      <w:numFmt w:val="lowerRoman"/>
      <w:lvlText w:val="%9."/>
      <w:lvlJc w:val="right"/>
      <w:pPr>
        <w:tabs>
          <w:tab w:val="num" w:pos="6480"/>
        </w:tabs>
        <w:ind w:left="6480" w:hanging="180"/>
      </w:pPr>
    </w:lvl>
  </w:abstractNum>
  <w:abstractNum w:abstractNumId="18" w15:restartNumberingAfterBreak="0">
    <w:nsid w:val="28992D19"/>
    <w:multiLevelType w:val="multilevel"/>
    <w:tmpl w:val="75188F9E"/>
    <w:lvl w:ilvl="0">
      <w:start w:val="1"/>
      <w:numFmt w:val="none"/>
      <w:lvlText w:val="%1"/>
      <w:lvlJc w:val="right"/>
      <w:pPr>
        <w:ind w:left="1134" w:hanging="846"/>
      </w:pPr>
      <w:rPr>
        <w:rFonts w:hint="default"/>
      </w:rPr>
    </w:lvl>
    <w:lvl w:ilvl="1">
      <w:start w:val="1"/>
      <w:numFmt w:val="decimal"/>
      <w:lvlText w:val="%2."/>
      <w:lvlJc w:val="right"/>
      <w:pPr>
        <w:tabs>
          <w:tab w:val="num" w:pos="1134"/>
        </w:tabs>
        <w:ind w:left="1134" w:hanging="283"/>
      </w:pPr>
      <w:rPr>
        <w:rFonts w:hint="default"/>
      </w:rPr>
    </w:lvl>
    <w:lvl w:ilvl="2">
      <w:start w:val="1"/>
      <w:numFmt w:val="decimal"/>
      <w:lvlText w:val="%3.1"/>
      <w:lvlJc w:val="right"/>
      <w:pPr>
        <w:tabs>
          <w:tab w:val="num" w:pos="1134"/>
        </w:tabs>
        <w:ind w:left="1134" w:hanging="28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1" w15:restartNumberingAfterBreak="0">
    <w:nsid w:val="2F131B73"/>
    <w:multiLevelType w:val="hybridMultilevel"/>
    <w:tmpl w:val="234C8E4A"/>
    <w:lvl w:ilvl="0" w:tplc="FFFFFFFF">
      <w:start w:val="1"/>
      <w:numFmt w:val="decimal"/>
      <w:lvlText w:val="%1."/>
      <w:lvlJc w:val="left"/>
      <w:pPr>
        <w:ind w:left="2987" w:hanging="576"/>
      </w:pPr>
      <w:rPr>
        <w:b w:val="0"/>
        <w:bCs/>
        <w:i w:val="0"/>
        <w:iCs/>
      </w:rPr>
    </w:lvl>
    <w:lvl w:ilvl="1" w:tplc="08070001">
      <w:start w:val="1"/>
      <w:numFmt w:val="bullet"/>
      <w:lvlText w:val=""/>
      <w:lvlJc w:val="left"/>
      <w:pPr>
        <w:ind w:left="1646" w:hanging="360"/>
      </w:pPr>
      <w:rPr>
        <w:rFonts w:ascii="Symbol" w:hAnsi="Symbol" w:hint="default"/>
      </w:rPr>
    </w:lvl>
    <w:lvl w:ilvl="2" w:tplc="FFFFFFFF">
      <w:start w:val="1"/>
      <w:numFmt w:val="lowerRoman"/>
      <w:lvlText w:val="%3."/>
      <w:lvlJc w:val="right"/>
      <w:pPr>
        <w:ind w:left="2366" w:hanging="180"/>
      </w:pPr>
    </w:lvl>
    <w:lvl w:ilvl="3" w:tplc="FFFFFFFF" w:tentative="1">
      <w:start w:val="1"/>
      <w:numFmt w:val="decimal"/>
      <w:lvlText w:val="%4."/>
      <w:lvlJc w:val="left"/>
      <w:pPr>
        <w:ind w:left="3086" w:hanging="360"/>
      </w:pPr>
    </w:lvl>
    <w:lvl w:ilvl="4" w:tplc="FFFFFFFF" w:tentative="1">
      <w:start w:val="1"/>
      <w:numFmt w:val="lowerLetter"/>
      <w:lvlText w:val="%5."/>
      <w:lvlJc w:val="left"/>
      <w:pPr>
        <w:ind w:left="3806" w:hanging="360"/>
      </w:pPr>
    </w:lvl>
    <w:lvl w:ilvl="5" w:tplc="FFFFFFFF" w:tentative="1">
      <w:start w:val="1"/>
      <w:numFmt w:val="lowerRoman"/>
      <w:lvlText w:val="%6."/>
      <w:lvlJc w:val="right"/>
      <w:pPr>
        <w:ind w:left="4526" w:hanging="180"/>
      </w:pPr>
    </w:lvl>
    <w:lvl w:ilvl="6" w:tplc="FFFFFFFF" w:tentative="1">
      <w:start w:val="1"/>
      <w:numFmt w:val="decimal"/>
      <w:lvlText w:val="%7."/>
      <w:lvlJc w:val="left"/>
      <w:pPr>
        <w:ind w:left="5246" w:hanging="360"/>
      </w:pPr>
    </w:lvl>
    <w:lvl w:ilvl="7" w:tplc="FFFFFFFF" w:tentative="1">
      <w:start w:val="1"/>
      <w:numFmt w:val="lowerLetter"/>
      <w:lvlText w:val="%8."/>
      <w:lvlJc w:val="left"/>
      <w:pPr>
        <w:ind w:left="5966" w:hanging="360"/>
      </w:pPr>
    </w:lvl>
    <w:lvl w:ilvl="8" w:tplc="FFFFFFFF" w:tentative="1">
      <w:start w:val="1"/>
      <w:numFmt w:val="lowerRoman"/>
      <w:lvlText w:val="%9."/>
      <w:lvlJc w:val="right"/>
      <w:pPr>
        <w:ind w:left="6686" w:hanging="180"/>
      </w:pPr>
    </w:lvl>
  </w:abstractNum>
  <w:abstractNum w:abstractNumId="22" w15:restartNumberingAfterBreak="0">
    <w:nsid w:val="327F00DD"/>
    <w:multiLevelType w:val="hybridMultilevel"/>
    <w:tmpl w:val="8C58B2B4"/>
    <w:lvl w:ilvl="0" w:tplc="7DE678B2">
      <w:start w:val="1"/>
      <w:numFmt w:val="lowerLetter"/>
      <w:pStyle w:val="ListAlpha"/>
      <w:lvlText w:val="%1."/>
      <w:lvlJc w:val="left"/>
      <w:pPr>
        <w:tabs>
          <w:tab w:val="num" w:pos="425"/>
        </w:tabs>
        <w:ind w:left="425" w:hanging="425"/>
      </w:pPr>
    </w:lvl>
    <w:lvl w:ilvl="1" w:tplc="08070003" w:tentative="1">
      <w:start w:val="1"/>
      <w:numFmt w:val="lowerLetter"/>
      <w:lvlText w:val="%2."/>
      <w:lvlJc w:val="left"/>
      <w:pPr>
        <w:tabs>
          <w:tab w:val="num" w:pos="1440"/>
        </w:tabs>
        <w:ind w:left="1440" w:hanging="360"/>
      </w:pPr>
    </w:lvl>
    <w:lvl w:ilvl="2" w:tplc="08070005" w:tentative="1">
      <w:start w:val="1"/>
      <w:numFmt w:val="lowerRoman"/>
      <w:lvlText w:val="%3."/>
      <w:lvlJc w:val="right"/>
      <w:pPr>
        <w:tabs>
          <w:tab w:val="num" w:pos="2160"/>
        </w:tabs>
        <w:ind w:left="2160" w:hanging="180"/>
      </w:pPr>
    </w:lvl>
    <w:lvl w:ilvl="3" w:tplc="08070001" w:tentative="1">
      <w:start w:val="1"/>
      <w:numFmt w:val="decimal"/>
      <w:lvlText w:val="%4."/>
      <w:lvlJc w:val="left"/>
      <w:pPr>
        <w:tabs>
          <w:tab w:val="num" w:pos="2880"/>
        </w:tabs>
        <w:ind w:left="2880" w:hanging="360"/>
      </w:pPr>
    </w:lvl>
    <w:lvl w:ilvl="4" w:tplc="08070003" w:tentative="1">
      <w:start w:val="1"/>
      <w:numFmt w:val="lowerLetter"/>
      <w:lvlText w:val="%5."/>
      <w:lvlJc w:val="left"/>
      <w:pPr>
        <w:tabs>
          <w:tab w:val="num" w:pos="3600"/>
        </w:tabs>
        <w:ind w:left="3600" w:hanging="360"/>
      </w:pPr>
    </w:lvl>
    <w:lvl w:ilvl="5" w:tplc="08070005" w:tentative="1">
      <w:start w:val="1"/>
      <w:numFmt w:val="lowerRoman"/>
      <w:lvlText w:val="%6."/>
      <w:lvlJc w:val="right"/>
      <w:pPr>
        <w:tabs>
          <w:tab w:val="num" w:pos="4320"/>
        </w:tabs>
        <w:ind w:left="4320" w:hanging="180"/>
      </w:pPr>
    </w:lvl>
    <w:lvl w:ilvl="6" w:tplc="08070001" w:tentative="1">
      <w:start w:val="1"/>
      <w:numFmt w:val="decimal"/>
      <w:lvlText w:val="%7."/>
      <w:lvlJc w:val="left"/>
      <w:pPr>
        <w:tabs>
          <w:tab w:val="num" w:pos="5040"/>
        </w:tabs>
        <w:ind w:left="5040" w:hanging="360"/>
      </w:pPr>
    </w:lvl>
    <w:lvl w:ilvl="7" w:tplc="08070003" w:tentative="1">
      <w:start w:val="1"/>
      <w:numFmt w:val="lowerLetter"/>
      <w:lvlText w:val="%8."/>
      <w:lvlJc w:val="left"/>
      <w:pPr>
        <w:tabs>
          <w:tab w:val="num" w:pos="5760"/>
        </w:tabs>
        <w:ind w:left="5760" w:hanging="360"/>
      </w:pPr>
    </w:lvl>
    <w:lvl w:ilvl="8" w:tplc="08070005" w:tentative="1">
      <w:start w:val="1"/>
      <w:numFmt w:val="lowerRoman"/>
      <w:lvlText w:val="%9."/>
      <w:lvlJc w:val="right"/>
      <w:pPr>
        <w:tabs>
          <w:tab w:val="num" w:pos="6480"/>
        </w:tabs>
        <w:ind w:left="6480" w:hanging="180"/>
      </w:pPr>
    </w:lvl>
  </w:abstractNum>
  <w:abstractNum w:abstractNumId="23" w15:restartNumberingAfterBreak="0">
    <w:nsid w:val="353A3885"/>
    <w:multiLevelType w:val="hybridMultilevel"/>
    <w:tmpl w:val="0358CA8E"/>
    <w:lvl w:ilvl="0" w:tplc="E27A255C">
      <w:start w:val="1"/>
      <w:numFmt w:val="bullet"/>
      <w:pStyle w:val="ListContinue"/>
      <w:lvlText w:val=""/>
      <w:lvlJc w:val="left"/>
      <w:pPr>
        <w:tabs>
          <w:tab w:val="num" w:pos="425"/>
        </w:tabs>
        <w:ind w:left="425" w:hanging="425"/>
      </w:pPr>
      <w:rPr>
        <w:rFonts w:ascii="Symbol" w:hAnsi="Symbol" w:hint="default"/>
      </w:rPr>
    </w:lvl>
    <w:lvl w:ilvl="1" w:tplc="7DE8CB72" w:tentative="1">
      <w:start w:val="1"/>
      <w:numFmt w:val="bullet"/>
      <w:lvlText w:val="o"/>
      <w:lvlJc w:val="left"/>
      <w:pPr>
        <w:tabs>
          <w:tab w:val="num" w:pos="1440"/>
        </w:tabs>
        <w:ind w:left="1440" w:hanging="360"/>
      </w:pPr>
      <w:rPr>
        <w:rFonts w:ascii="Courier New" w:hAnsi="Courier New" w:hint="default"/>
      </w:rPr>
    </w:lvl>
    <w:lvl w:ilvl="2" w:tplc="621E7616" w:tentative="1">
      <w:start w:val="1"/>
      <w:numFmt w:val="bullet"/>
      <w:lvlText w:val=""/>
      <w:lvlJc w:val="left"/>
      <w:pPr>
        <w:tabs>
          <w:tab w:val="num" w:pos="2160"/>
        </w:tabs>
        <w:ind w:left="2160" w:hanging="360"/>
      </w:pPr>
      <w:rPr>
        <w:rFonts w:ascii="Wingdings" w:hAnsi="Wingdings" w:hint="default"/>
      </w:rPr>
    </w:lvl>
    <w:lvl w:ilvl="3" w:tplc="CB586BB2" w:tentative="1">
      <w:start w:val="1"/>
      <w:numFmt w:val="bullet"/>
      <w:lvlText w:val=""/>
      <w:lvlJc w:val="left"/>
      <w:pPr>
        <w:tabs>
          <w:tab w:val="num" w:pos="2880"/>
        </w:tabs>
        <w:ind w:left="2880" w:hanging="360"/>
      </w:pPr>
      <w:rPr>
        <w:rFonts w:ascii="Symbol" w:hAnsi="Symbol" w:hint="default"/>
      </w:rPr>
    </w:lvl>
    <w:lvl w:ilvl="4" w:tplc="ECC01986" w:tentative="1">
      <w:start w:val="1"/>
      <w:numFmt w:val="bullet"/>
      <w:lvlText w:val="o"/>
      <w:lvlJc w:val="left"/>
      <w:pPr>
        <w:tabs>
          <w:tab w:val="num" w:pos="3600"/>
        </w:tabs>
        <w:ind w:left="3600" w:hanging="360"/>
      </w:pPr>
      <w:rPr>
        <w:rFonts w:ascii="Courier New" w:hAnsi="Courier New" w:hint="default"/>
      </w:rPr>
    </w:lvl>
    <w:lvl w:ilvl="5" w:tplc="988001C0" w:tentative="1">
      <w:start w:val="1"/>
      <w:numFmt w:val="bullet"/>
      <w:lvlText w:val=""/>
      <w:lvlJc w:val="left"/>
      <w:pPr>
        <w:tabs>
          <w:tab w:val="num" w:pos="4320"/>
        </w:tabs>
        <w:ind w:left="4320" w:hanging="360"/>
      </w:pPr>
      <w:rPr>
        <w:rFonts w:ascii="Wingdings" w:hAnsi="Wingdings" w:hint="default"/>
      </w:rPr>
    </w:lvl>
    <w:lvl w:ilvl="6" w:tplc="61660F54" w:tentative="1">
      <w:start w:val="1"/>
      <w:numFmt w:val="bullet"/>
      <w:lvlText w:val=""/>
      <w:lvlJc w:val="left"/>
      <w:pPr>
        <w:tabs>
          <w:tab w:val="num" w:pos="5040"/>
        </w:tabs>
        <w:ind w:left="5040" w:hanging="360"/>
      </w:pPr>
      <w:rPr>
        <w:rFonts w:ascii="Symbol" w:hAnsi="Symbol" w:hint="default"/>
      </w:rPr>
    </w:lvl>
    <w:lvl w:ilvl="7" w:tplc="7960F0BA" w:tentative="1">
      <w:start w:val="1"/>
      <w:numFmt w:val="bullet"/>
      <w:lvlText w:val="o"/>
      <w:lvlJc w:val="left"/>
      <w:pPr>
        <w:tabs>
          <w:tab w:val="num" w:pos="5760"/>
        </w:tabs>
        <w:ind w:left="5760" w:hanging="360"/>
      </w:pPr>
      <w:rPr>
        <w:rFonts w:ascii="Courier New" w:hAnsi="Courier New" w:hint="default"/>
      </w:rPr>
    </w:lvl>
    <w:lvl w:ilvl="8" w:tplc="B2A4D4F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E8546A"/>
    <w:multiLevelType w:val="hybridMultilevel"/>
    <w:tmpl w:val="4BF6B594"/>
    <w:lvl w:ilvl="0" w:tplc="9294AAB8">
      <w:start w:val="1"/>
      <w:numFmt w:val="decimal"/>
      <w:lvlText w:val="%1."/>
      <w:lvlJc w:val="left"/>
      <w:pPr>
        <w:ind w:left="6530" w:hanging="576"/>
      </w:pPr>
      <w:rPr>
        <w:b w:val="0"/>
        <w:bCs/>
        <w:i w:val="0"/>
        <w:iCs/>
        <w:lang w:val="fr-CH"/>
      </w:rPr>
    </w:lvl>
    <w:lvl w:ilvl="1" w:tplc="08070001">
      <w:start w:val="1"/>
      <w:numFmt w:val="bullet"/>
      <w:lvlText w:val=""/>
      <w:lvlJc w:val="left"/>
      <w:pPr>
        <w:ind w:left="1646" w:hanging="360"/>
      </w:pPr>
      <w:rPr>
        <w:rFonts w:ascii="Symbol" w:hAnsi="Symbol" w:hint="default"/>
      </w:rPr>
    </w:lvl>
    <w:lvl w:ilvl="2" w:tplc="0807001B">
      <w:start w:val="1"/>
      <w:numFmt w:val="lowerRoman"/>
      <w:lvlText w:val="%3."/>
      <w:lvlJc w:val="right"/>
      <w:pPr>
        <w:ind w:left="2366" w:hanging="180"/>
      </w:pPr>
    </w:lvl>
    <w:lvl w:ilvl="3" w:tplc="0807000F" w:tentative="1">
      <w:start w:val="1"/>
      <w:numFmt w:val="decimal"/>
      <w:lvlText w:val="%4."/>
      <w:lvlJc w:val="left"/>
      <w:pPr>
        <w:ind w:left="3086" w:hanging="360"/>
      </w:pPr>
    </w:lvl>
    <w:lvl w:ilvl="4" w:tplc="08070019" w:tentative="1">
      <w:start w:val="1"/>
      <w:numFmt w:val="lowerLetter"/>
      <w:lvlText w:val="%5."/>
      <w:lvlJc w:val="left"/>
      <w:pPr>
        <w:ind w:left="3806" w:hanging="360"/>
      </w:pPr>
    </w:lvl>
    <w:lvl w:ilvl="5" w:tplc="0807001B" w:tentative="1">
      <w:start w:val="1"/>
      <w:numFmt w:val="lowerRoman"/>
      <w:lvlText w:val="%6."/>
      <w:lvlJc w:val="right"/>
      <w:pPr>
        <w:ind w:left="4526" w:hanging="180"/>
      </w:pPr>
    </w:lvl>
    <w:lvl w:ilvl="6" w:tplc="0807000F" w:tentative="1">
      <w:start w:val="1"/>
      <w:numFmt w:val="decimal"/>
      <w:lvlText w:val="%7."/>
      <w:lvlJc w:val="left"/>
      <w:pPr>
        <w:ind w:left="5246" w:hanging="360"/>
      </w:pPr>
    </w:lvl>
    <w:lvl w:ilvl="7" w:tplc="08070019" w:tentative="1">
      <w:start w:val="1"/>
      <w:numFmt w:val="lowerLetter"/>
      <w:lvlText w:val="%8."/>
      <w:lvlJc w:val="left"/>
      <w:pPr>
        <w:ind w:left="5966" w:hanging="360"/>
      </w:pPr>
    </w:lvl>
    <w:lvl w:ilvl="8" w:tplc="0807001B" w:tentative="1">
      <w:start w:val="1"/>
      <w:numFmt w:val="lowerRoman"/>
      <w:lvlText w:val="%9."/>
      <w:lvlJc w:val="right"/>
      <w:pPr>
        <w:ind w:left="6686" w:hanging="180"/>
      </w:pPr>
    </w:lvl>
  </w:abstractNum>
  <w:abstractNum w:abstractNumId="25" w15:restartNumberingAfterBreak="0">
    <w:nsid w:val="3ACF4EB2"/>
    <w:multiLevelType w:val="hybridMultilevel"/>
    <w:tmpl w:val="AE82671E"/>
    <w:lvl w:ilvl="0" w:tplc="C4F8CFCC">
      <w:start w:val="1"/>
      <w:numFmt w:val="bullet"/>
      <w:pStyle w:val="Bullet2G"/>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1883A24"/>
    <w:multiLevelType w:val="hybridMultilevel"/>
    <w:tmpl w:val="031A41BA"/>
    <w:lvl w:ilvl="0" w:tplc="F5821754">
      <w:start w:val="1"/>
      <w:numFmt w:val="lowerLetter"/>
      <w:pStyle w:val="List3"/>
      <w:lvlText w:val="%1."/>
      <w:lvlJc w:val="left"/>
      <w:pPr>
        <w:tabs>
          <w:tab w:val="num" w:pos="1276"/>
        </w:tabs>
        <w:ind w:left="1276"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2C82686"/>
    <w:multiLevelType w:val="hybridMultilevel"/>
    <w:tmpl w:val="4AA85EAE"/>
    <w:lvl w:ilvl="0" w:tplc="04090001">
      <w:start w:val="1"/>
      <w:numFmt w:val="decimal"/>
      <w:pStyle w:val="ListNum"/>
      <w:lvlText w:val="%1."/>
      <w:lvlJc w:val="left"/>
      <w:pPr>
        <w:tabs>
          <w:tab w:val="num" w:pos="425"/>
        </w:tabs>
        <w:ind w:left="425" w:hanging="425"/>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15:restartNumberingAfterBreak="0">
    <w:nsid w:val="45EB06FC"/>
    <w:multiLevelType w:val="multilevel"/>
    <w:tmpl w:val="1E9214C2"/>
    <w:styleLink w:val="FormatvorlageNummerierteListe10pt"/>
    <w:lvl w:ilvl="0">
      <w:start w:val="1"/>
      <w:numFmt w:val="decimal"/>
      <w:lvlText w:val="%1."/>
      <w:lvlJc w:val="left"/>
      <w:pPr>
        <w:tabs>
          <w:tab w:val="num" w:pos="567"/>
        </w:tabs>
        <w:ind w:left="567" w:hanging="567"/>
      </w:pPr>
      <w:rPr>
        <w:rFonts w:ascii="Arial" w:hAnsi="Arial"/>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7BC3629"/>
    <w:multiLevelType w:val="hybridMultilevel"/>
    <w:tmpl w:val="5822779A"/>
    <w:lvl w:ilvl="0" w:tplc="2000000F">
      <w:start w:val="1"/>
      <w:numFmt w:val="decimal"/>
      <w:lvlText w:val="%1."/>
      <w:lvlJc w:val="left"/>
      <w:pPr>
        <w:ind w:left="6530" w:hanging="576"/>
      </w:pPr>
      <w:rPr>
        <w:b w:val="0"/>
        <w:bCs/>
        <w:i w:val="0"/>
        <w:iCs/>
        <w:lang w:val="fr-CH"/>
      </w:rPr>
    </w:lvl>
    <w:lvl w:ilvl="1" w:tplc="FFFFFFFF">
      <w:start w:val="1"/>
      <w:numFmt w:val="bullet"/>
      <w:lvlText w:val=""/>
      <w:lvlJc w:val="left"/>
      <w:pPr>
        <w:ind w:left="1646" w:hanging="360"/>
      </w:pPr>
      <w:rPr>
        <w:rFonts w:ascii="Symbol" w:hAnsi="Symbol" w:hint="default"/>
      </w:rPr>
    </w:lvl>
    <w:lvl w:ilvl="2" w:tplc="FFFFFFFF">
      <w:start w:val="1"/>
      <w:numFmt w:val="lowerRoman"/>
      <w:lvlText w:val="%3."/>
      <w:lvlJc w:val="right"/>
      <w:pPr>
        <w:ind w:left="2366" w:hanging="180"/>
      </w:pPr>
    </w:lvl>
    <w:lvl w:ilvl="3" w:tplc="FFFFFFFF" w:tentative="1">
      <w:start w:val="1"/>
      <w:numFmt w:val="decimal"/>
      <w:lvlText w:val="%4."/>
      <w:lvlJc w:val="left"/>
      <w:pPr>
        <w:ind w:left="3086" w:hanging="360"/>
      </w:pPr>
    </w:lvl>
    <w:lvl w:ilvl="4" w:tplc="FFFFFFFF" w:tentative="1">
      <w:start w:val="1"/>
      <w:numFmt w:val="lowerLetter"/>
      <w:lvlText w:val="%5."/>
      <w:lvlJc w:val="left"/>
      <w:pPr>
        <w:ind w:left="3806" w:hanging="360"/>
      </w:pPr>
    </w:lvl>
    <w:lvl w:ilvl="5" w:tplc="FFFFFFFF" w:tentative="1">
      <w:start w:val="1"/>
      <w:numFmt w:val="lowerRoman"/>
      <w:lvlText w:val="%6."/>
      <w:lvlJc w:val="right"/>
      <w:pPr>
        <w:ind w:left="4526" w:hanging="180"/>
      </w:pPr>
    </w:lvl>
    <w:lvl w:ilvl="6" w:tplc="FFFFFFFF" w:tentative="1">
      <w:start w:val="1"/>
      <w:numFmt w:val="decimal"/>
      <w:lvlText w:val="%7."/>
      <w:lvlJc w:val="left"/>
      <w:pPr>
        <w:ind w:left="5246" w:hanging="360"/>
      </w:pPr>
    </w:lvl>
    <w:lvl w:ilvl="7" w:tplc="FFFFFFFF" w:tentative="1">
      <w:start w:val="1"/>
      <w:numFmt w:val="lowerLetter"/>
      <w:lvlText w:val="%8."/>
      <w:lvlJc w:val="left"/>
      <w:pPr>
        <w:ind w:left="5966" w:hanging="360"/>
      </w:pPr>
    </w:lvl>
    <w:lvl w:ilvl="8" w:tplc="FFFFFFFF" w:tentative="1">
      <w:start w:val="1"/>
      <w:numFmt w:val="lowerRoman"/>
      <w:lvlText w:val="%9."/>
      <w:lvlJc w:val="right"/>
      <w:pPr>
        <w:ind w:left="6686" w:hanging="180"/>
      </w:pPr>
    </w:lvl>
  </w:abstractNum>
  <w:abstractNum w:abstractNumId="30" w15:restartNumberingAfterBreak="0">
    <w:nsid w:val="483B30E6"/>
    <w:multiLevelType w:val="hybridMultilevel"/>
    <w:tmpl w:val="5C824DEA"/>
    <w:lvl w:ilvl="0" w:tplc="62220E74">
      <w:start w:val="1"/>
      <w:numFmt w:val="bullet"/>
      <w:pStyle w:val="ListContinue2"/>
      <w:lvlText w:val=""/>
      <w:lvlJc w:val="left"/>
      <w:pPr>
        <w:tabs>
          <w:tab w:val="num" w:pos="851"/>
        </w:tabs>
        <w:ind w:left="851" w:hanging="426"/>
      </w:pPr>
      <w:rPr>
        <w:rFonts w:ascii="Symbol" w:hAnsi="Symbol" w:hint="default"/>
      </w:rPr>
    </w:lvl>
    <w:lvl w:ilvl="1" w:tplc="F078D548" w:tentative="1">
      <w:start w:val="1"/>
      <w:numFmt w:val="bullet"/>
      <w:lvlText w:val="o"/>
      <w:lvlJc w:val="left"/>
      <w:pPr>
        <w:tabs>
          <w:tab w:val="num" w:pos="1440"/>
        </w:tabs>
        <w:ind w:left="1440" w:hanging="360"/>
      </w:pPr>
      <w:rPr>
        <w:rFonts w:ascii="Courier New" w:hAnsi="Courier New" w:hint="default"/>
      </w:rPr>
    </w:lvl>
    <w:lvl w:ilvl="2" w:tplc="D45A1A60" w:tentative="1">
      <w:start w:val="1"/>
      <w:numFmt w:val="bullet"/>
      <w:lvlText w:val=""/>
      <w:lvlJc w:val="left"/>
      <w:pPr>
        <w:tabs>
          <w:tab w:val="num" w:pos="2160"/>
        </w:tabs>
        <w:ind w:left="2160" w:hanging="360"/>
      </w:pPr>
      <w:rPr>
        <w:rFonts w:ascii="Wingdings" w:hAnsi="Wingdings" w:hint="default"/>
      </w:rPr>
    </w:lvl>
    <w:lvl w:ilvl="3" w:tplc="3216C4C6" w:tentative="1">
      <w:start w:val="1"/>
      <w:numFmt w:val="bullet"/>
      <w:lvlText w:val=""/>
      <w:lvlJc w:val="left"/>
      <w:pPr>
        <w:tabs>
          <w:tab w:val="num" w:pos="2880"/>
        </w:tabs>
        <w:ind w:left="2880" w:hanging="360"/>
      </w:pPr>
      <w:rPr>
        <w:rFonts w:ascii="Symbol" w:hAnsi="Symbol" w:hint="default"/>
      </w:rPr>
    </w:lvl>
    <w:lvl w:ilvl="4" w:tplc="60D64572" w:tentative="1">
      <w:start w:val="1"/>
      <w:numFmt w:val="bullet"/>
      <w:lvlText w:val="o"/>
      <w:lvlJc w:val="left"/>
      <w:pPr>
        <w:tabs>
          <w:tab w:val="num" w:pos="3600"/>
        </w:tabs>
        <w:ind w:left="3600" w:hanging="360"/>
      </w:pPr>
      <w:rPr>
        <w:rFonts w:ascii="Courier New" w:hAnsi="Courier New" w:hint="default"/>
      </w:rPr>
    </w:lvl>
    <w:lvl w:ilvl="5" w:tplc="86120A3C" w:tentative="1">
      <w:start w:val="1"/>
      <w:numFmt w:val="bullet"/>
      <w:lvlText w:val=""/>
      <w:lvlJc w:val="left"/>
      <w:pPr>
        <w:tabs>
          <w:tab w:val="num" w:pos="4320"/>
        </w:tabs>
        <w:ind w:left="4320" w:hanging="360"/>
      </w:pPr>
      <w:rPr>
        <w:rFonts w:ascii="Wingdings" w:hAnsi="Wingdings" w:hint="default"/>
      </w:rPr>
    </w:lvl>
    <w:lvl w:ilvl="6" w:tplc="E4BA75DE" w:tentative="1">
      <w:start w:val="1"/>
      <w:numFmt w:val="bullet"/>
      <w:lvlText w:val=""/>
      <w:lvlJc w:val="left"/>
      <w:pPr>
        <w:tabs>
          <w:tab w:val="num" w:pos="5040"/>
        </w:tabs>
        <w:ind w:left="5040" w:hanging="360"/>
      </w:pPr>
      <w:rPr>
        <w:rFonts w:ascii="Symbol" w:hAnsi="Symbol" w:hint="default"/>
      </w:rPr>
    </w:lvl>
    <w:lvl w:ilvl="7" w:tplc="49FE1780" w:tentative="1">
      <w:start w:val="1"/>
      <w:numFmt w:val="bullet"/>
      <w:lvlText w:val="o"/>
      <w:lvlJc w:val="left"/>
      <w:pPr>
        <w:tabs>
          <w:tab w:val="num" w:pos="5760"/>
        </w:tabs>
        <w:ind w:left="5760" w:hanging="360"/>
      </w:pPr>
      <w:rPr>
        <w:rFonts w:ascii="Courier New" w:hAnsi="Courier New" w:hint="default"/>
      </w:rPr>
    </w:lvl>
    <w:lvl w:ilvl="8" w:tplc="10B6646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9455B0"/>
    <w:multiLevelType w:val="hybridMultilevel"/>
    <w:tmpl w:val="0728C22A"/>
    <w:lvl w:ilvl="0" w:tplc="7DE678B2">
      <w:start w:val="1"/>
      <w:numFmt w:val="bullet"/>
      <w:pStyle w:val="ListStrich"/>
      <w:lvlText w:val="-"/>
      <w:lvlJc w:val="left"/>
      <w:pPr>
        <w:tabs>
          <w:tab w:val="num" w:pos="425"/>
        </w:tabs>
        <w:ind w:left="425" w:hanging="425"/>
      </w:pPr>
      <w:rPr>
        <w:rFonts w:ascii="Courier New" w:hAnsi="Courier New"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BBA516A"/>
    <w:multiLevelType w:val="multilevel"/>
    <w:tmpl w:val="8A9CEF6E"/>
    <w:lvl w:ilvl="0">
      <w:start w:val="1"/>
      <w:numFmt w:val="decimal"/>
      <w:pStyle w:val="Heading4Left127cm"/>
      <w:lvlText w:val="%1"/>
      <w:lvlJc w:val="left"/>
      <w:pPr>
        <w:tabs>
          <w:tab w:val="num" w:pos="720"/>
        </w:tabs>
        <w:ind w:left="720" w:hanging="720"/>
      </w:pPr>
      <w:rPr>
        <w:rFonts w:hint="default"/>
      </w:rPr>
    </w:lvl>
    <w:lvl w:ilvl="1">
      <w:start w:val="1"/>
      <w:numFmt w:val="decimal"/>
      <w:lvlText w:val="2.%2"/>
      <w:lvlJc w:val="left"/>
      <w:pPr>
        <w:tabs>
          <w:tab w:val="num" w:pos="720"/>
        </w:tabs>
        <w:ind w:left="720" w:hanging="720"/>
      </w:pPr>
      <w:rPr>
        <w:rFonts w:hint="default"/>
      </w:rPr>
    </w:lvl>
    <w:lvl w:ilvl="2">
      <w:start w:val="1"/>
      <w:numFmt w:val="decimal"/>
      <w:pStyle w:val="Heading4Left127cm"/>
      <w:lvlText w:val="3.%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A7C1C76"/>
    <w:multiLevelType w:val="hybridMultilevel"/>
    <w:tmpl w:val="A3C67F1C"/>
    <w:lvl w:ilvl="0" w:tplc="97BA66D6">
      <w:start w:val="1"/>
      <w:numFmt w:val="decimal"/>
      <w:pStyle w:val="Standardabsatznr"/>
      <w:lvlText w:val="%1."/>
      <w:lvlJc w:val="left"/>
      <w:pPr>
        <w:tabs>
          <w:tab w:val="num" w:pos="360"/>
        </w:tabs>
        <w:ind w:left="0" w:firstLine="0"/>
      </w:pPr>
      <w:rPr>
        <w:rFonts w:ascii="Garamond" w:hAnsi="Garamond" w:hint="default"/>
        <w:sz w:val="24"/>
      </w:rPr>
    </w:lvl>
    <w:lvl w:ilvl="1" w:tplc="A5E248F4" w:tentative="1">
      <w:start w:val="1"/>
      <w:numFmt w:val="lowerLetter"/>
      <w:lvlText w:val="%2."/>
      <w:lvlJc w:val="left"/>
      <w:pPr>
        <w:tabs>
          <w:tab w:val="num" w:pos="1440"/>
        </w:tabs>
        <w:ind w:left="1440" w:hanging="360"/>
      </w:pPr>
    </w:lvl>
    <w:lvl w:ilvl="2" w:tplc="1FFAFD42" w:tentative="1">
      <w:start w:val="1"/>
      <w:numFmt w:val="lowerRoman"/>
      <w:lvlText w:val="%3."/>
      <w:lvlJc w:val="right"/>
      <w:pPr>
        <w:tabs>
          <w:tab w:val="num" w:pos="2160"/>
        </w:tabs>
        <w:ind w:left="2160" w:hanging="180"/>
      </w:pPr>
    </w:lvl>
    <w:lvl w:ilvl="3" w:tplc="605038DE" w:tentative="1">
      <w:start w:val="1"/>
      <w:numFmt w:val="decimal"/>
      <w:lvlText w:val="%4."/>
      <w:lvlJc w:val="left"/>
      <w:pPr>
        <w:tabs>
          <w:tab w:val="num" w:pos="2880"/>
        </w:tabs>
        <w:ind w:left="2880" w:hanging="360"/>
      </w:pPr>
    </w:lvl>
    <w:lvl w:ilvl="4" w:tplc="01AA5236" w:tentative="1">
      <w:start w:val="1"/>
      <w:numFmt w:val="lowerLetter"/>
      <w:lvlText w:val="%5."/>
      <w:lvlJc w:val="left"/>
      <w:pPr>
        <w:tabs>
          <w:tab w:val="num" w:pos="3600"/>
        </w:tabs>
        <w:ind w:left="3600" w:hanging="360"/>
      </w:pPr>
    </w:lvl>
    <w:lvl w:ilvl="5" w:tplc="6A40903C" w:tentative="1">
      <w:start w:val="1"/>
      <w:numFmt w:val="lowerRoman"/>
      <w:lvlText w:val="%6."/>
      <w:lvlJc w:val="right"/>
      <w:pPr>
        <w:tabs>
          <w:tab w:val="num" w:pos="4320"/>
        </w:tabs>
        <w:ind w:left="4320" w:hanging="180"/>
      </w:pPr>
    </w:lvl>
    <w:lvl w:ilvl="6" w:tplc="DCC86A22" w:tentative="1">
      <w:start w:val="1"/>
      <w:numFmt w:val="decimal"/>
      <w:lvlText w:val="%7."/>
      <w:lvlJc w:val="left"/>
      <w:pPr>
        <w:tabs>
          <w:tab w:val="num" w:pos="5040"/>
        </w:tabs>
        <w:ind w:left="5040" w:hanging="360"/>
      </w:pPr>
    </w:lvl>
    <w:lvl w:ilvl="7" w:tplc="393C23E2" w:tentative="1">
      <w:start w:val="1"/>
      <w:numFmt w:val="lowerLetter"/>
      <w:lvlText w:val="%8."/>
      <w:lvlJc w:val="left"/>
      <w:pPr>
        <w:tabs>
          <w:tab w:val="num" w:pos="5760"/>
        </w:tabs>
        <w:ind w:left="5760" w:hanging="360"/>
      </w:pPr>
    </w:lvl>
    <w:lvl w:ilvl="8" w:tplc="03BA3C24" w:tentative="1">
      <w:start w:val="1"/>
      <w:numFmt w:val="lowerRoman"/>
      <w:lvlText w:val="%9."/>
      <w:lvlJc w:val="right"/>
      <w:pPr>
        <w:tabs>
          <w:tab w:val="num" w:pos="6480"/>
        </w:tabs>
        <w:ind w:left="6480" w:hanging="180"/>
      </w:pPr>
    </w:lvl>
  </w:abstractNum>
  <w:abstractNum w:abstractNumId="34" w15:restartNumberingAfterBreak="0">
    <w:nsid w:val="627E4A29"/>
    <w:multiLevelType w:val="multilevel"/>
    <w:tmpl w:val="75188F9E"/>
    <w:lvl w:ilvl="0">
      <w:start w:val="1"/>
      <w:numFmt w:val="none"/>
      <w:lvlText w:val="%1"/>
      <w:lvlJc w:val="right"/>
      <w:pPr>
        <w:ind w:left="1134" w:hanging="846"/>
      </w:pPr>
      <w:rPr>
        <w:rFonts w:hint="default"/>
      </w:rPr>
    </w:lvl>
    <w:lvl w:ilvl="1">
      <w:start w:val="1"/>
      <w:numFmt w:val="decimal"/>
      <w:lvlText w:val="%2."/>
      <w:lvlJc w:val="right"/>
      <w:pPr>
        <w:tabs>
          <w:tab w:val="num" w:pos="1134"/>
        </w:tabs>
        <w:ind w:left="1134" w:hanging="283"/>
      </w:pPr>
      <w:rPr>
        <w:rFonts w:hint="default"/>
      </w:rPr>
    </w:lvl>
    <w:lvl w:ilvl="2">
      <w:start w:val="1"/>
      <w:numFmt w:val="decimal"/>
      <w:lvlText w:val="%3.1"/>
      <w:lvlJc w:val="right"/>
      <w:pPr>
        <w:tabs>
          <w:tab w:val="num" w:pos="1134"/>
        </w:tabs>
        <w:ind w:left="1134" w:hanging="28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657161A4"/>
    <w:multiLevelType w:val="multilevel"/>
    <w:tmpl w:val="1BF4A9CA"/>
    <w:lvl w:ilvl="0">
      <w:numFmt w:val="none"/>
      <w:pStyle w:val="Paragraphnumbered"/>
      <w:lvlText w:val=""/>
      <w:lvlJc w:val="left"/>
      <w:pPr>
        <w:tabs>
          <w:tab w:val="num" w:pos="360"/>
        </w:tabs>
      </w:pPr>
    </w:lvl>
    <w:lvl w:ilvl="1">
      <w:start w:val="1"/>
      <w:numFmt w:val="decimal"/>
      <w:lvlText w:val="%1.%2."/>
      <w:lvlJc w:val="left"/>
      <w:pPr>
        <w:tabs>
          <w:tab w:val="num" w:pos="867"/>
        </w:tabs>
        <w:ind w:left="867" w:hanging="357"/>
      </w:pPr>
    </w:lvl>
    <w:lvl w:ilvl="2">
      <w:start w:val="1"/>
      <w:numFmt w:val="decimal"/>
      <w:lvlText w:val="%1.%2.%3."/>
      <w:lvlJc w:val="left"/>
      <w:pPr>
        <w:tabs>
          <w:tab w:val="num" w:pos="867"/>
        </w:tabs>
        <w:ind w:left="867" w:hanging="357"/>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8AD07B2"/>
    <w:multiLevelType w:val="hybridMultilevel"/>
    <w:tmpl w:val="ED846C14"/>
    <w:lvl w:ilvl="0" w:tplc="385EEA26">
      <w:start w:val="1"/>
      <w:numFmt w:val="bullet"/>
      <w:pStyle w:val="Bullet1G"/>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D4D7459"/>
    <w:multiLevelType w:val="hybridMultilevel"/>
    <w:tmpl w:val="B874BDA2"/>
    <w:lvl w:ilvl="0" w:tplc="7DE678B2">
      <w:start w:val="1"/>
      <w:numFmt w:val="bullet"/>
      <w:pStyle w:val="ListPunkt"/>
      <w:lvlText w:val="·"/>
      <w:lvlJc w:val="left"/>
      <w:pPr>
        <w:tabs>
          <w:tab w:val="num" w:pos="425"/>
        </w:tabs>
        <w:ind w:left="425" w:hanging="425"/>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550E94"/>
    <w:multiLevelType w:val="hybridMultilevel"/>
    <w:tmpl w:val="A094D878"/>
    <w:lvl w:ilvl="0" w:tplc="30908B22">
      <w:start w:val="1"/>
      <w:numFmt w:val="bullet"/>
      <w:pStyle w:val="ListContinue3"/>
      <w:lvlText w:val=""/>
      <w:lvlJc w:val="left"/>
      <w:pPr>
        <w:tabs>
          <w:tab w:val="num" w:pos="1276"/>
        </w:tabs>
        <w:ind w:left="1276" w:hanging="425"/>
      </w:pPr>
      <w:rPr>
        <w:rFonts w:ascii="Symbol" w:hAnsi="Symbol" w:hint="default"/>
      </w:rPr>
    </w:lvl>
    <w:lvl w:ilvl="1" w:tplc="415847E6" w:tentative="1">
      <w:start w:val="1"/>
      <w:numFmt w:val="bullet"/>
      <w:lvlText w:val="o"/>
      <w:lvlJc w:val="left"/>
      <w:pPr>
        <w:tabs>
          <w:tab w:val="num" w:pos="1440"/>
        </w:tabs>
        <w:ind w:left="1440" w:hanging="360"/>
      </w:pPr>
      <w:rPr>
        <w:rFonts w:ascii="Courier New" w:hAnsi="Courier New" w:hint="default"/>
      </w:rPr>
    </w:lvl>
    <w:lvl w:ilvl="2" w:tplc="AA841440" w:tentative="1">
      <w:start w:val="1"/>
      <w:numFmt w:val="bullet"/>
      <w:lvlText w:val=""/>
      <w:lvlJc w:val="left"/>
      <w:pPr>
        <w:tabs>
          <w:tab w:val="num" w:pos="2160"/>
        </w:tabs>
        <w:ind w:left="2160" w:hanging="360"/>
      </w:pPr>
      <w:rPr>
        <w:rFonts w:ascii="Wingdings" w:hAnsi="Wingdings" w:hint="default"/>
      </w:rPr>
    </w:lvl>
    <w:lvl w:ilvl="3" w:tplc="1E24B2EE" w:tentative="1">
      <w:start w:val="1"/>
      <w:numFmt w:val="bullet"/>
      <w:lvlText w:val=""/>
      <w:lvlJc w:val="left"/>
      <w:pPr>
        <w:tabs>
          <w:tab w:val="num" w:pos="2880"/>
        </w:tabs>
        <w:ind w:left="2880" w:hanging="360"/>
      </w:pPr>
      <w:rPr>
        <w:rFonts w:ascii="Symbol" w:hAnsi="Symbol" w:hint="default"/>
      </w:rPr>
    </w:lvl>
    <w:lvl w:ilvl="4" w:tplc="00A65EC4" w:tentative="1">
      <w:start w:val="1"/>
      <w:numFmt w:val="bullet"/>
      <w:lvlText w:val="o"/>
      <w:lvlJc w:val="left"/>
      <w:pPr>
        <w:tabs>
          <w:tab w:val="num" w:pos="3600"/>
        </w:tabs>
        <w:ind w:left="3600" w:hanging="360"/>
      </w:pPr>
      <w:rPr>
        <w:rFonts w:ascii="Courier New" w:hAnsi="Courier New" w:hint="default"/>
      </w:rPr>
    </w:lvl>
    <w:lvl w:ilvl="5" w:tplc="F9E21BD8" w:tentative="1">
      <w:start w:val="1"/>
      <w:numFmt w:val="bullet"/>
      <w:lvlText w:val=""/>
      <w:lvlJc w:val="left"/>
      <w:pPr>
        <w:tabs>
          <w:tab w:val="num" w:pos="4320"/>
        </w:tabs>
        <w:ind w:left="4320" w:hanging="360"/>
      </w:pPr>
      <w:rPr>
        <w:rFonts w:ascii="Wingdings" w:hAnsi="Wingdings" w:hint="default"/>
      </w:rPr>
    </w:lvl>
    <w:lvl w:ilvl="6" w:tplc="6EE84108" w:tentative="1">
      <w:start w:val="1"/>
      <w:numFmt w:val="bullet"/>
      <w:lvlText w:val=""/>
      <w:lvlJc w:val="left"/>
      <w:pPr>
        <w:tabs>
          <w:tab w:val="num" w:pos="5040"/>
        </w:tabs>
        <w:ind w:left="5040" w:hanging="360"/>
      </w:pPr>
      <w:rPr>
        <w:rFonts w:ascii="Symbol" w:hAnsi="Symbol" w:hint="default"/>
      </w:rPr>
    </w:lvl>
    <w:lvl w:ilvl="7" w:tplc="4978F1CE" w:tentative="1">
      <w:start w:val="1"/>
      <w:numFmt w:val="bullet"/>
      <w:lvlText w:val="o"/>
      <w:lvlJc w:val="left"/>
      <w:pPr>
        <w:tabs>
          <w:tab w:val="num" w:pos="5760"/>
        </w:tabs>
        <w:ind w:left="5760" w:hanging="360"/>
      </w:pPr>
      <w:rPr>
        <w:rFonts w:ascii="Courier New" w:hAnsi="Courier New" w:hint="default"/>
      </w:rPr>
    </w:lvl>
    <w:lvl w:ilvl="8" w:tplc="19E26EF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3607D94"/>
    <w:multiLevelType w:val="multilevel"/>
    <w:tmpl w:val="1A6C09A0"/>
    <w:lvl w:ilvl="0">
      <w:numFmt w:val="none"/>
      <w:pStyle w:val="Style1"/>
      <w:lvlText w:val=""/>
      <w:lvlJc w:val="left"/>
      <w:pPr>
        <w:tabs>
          <w:tab w:val="num" w:pos="360"/>
        </w:tabs>
      </w:p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40" w15:restartNumberingAfterBreak="0">
    <w:nsid w:val="7BDA31C9"/>
    <w:multiLevelType w:val="hybridMultilevel"/>
    <w:tmpl w:val="ED741FA2"/>
    <w:lvl w:ilvl="0" w:tplc="68F60384">
      <w:start w:val="1"/>
      <w:numFmt w:val="bullet"/>
      <w:pStyle w:val="ListContinue5"/>
      <w:lvlText w:val=""/>
      <w:lvlJc w:val="left"/>
      <w:pPr>
        <w:tabs>
          <w:tab w:val="num" w:pos="2126"/>
        </w:tabs>
        <w:ind w:left="2126" w:hanging="425"/>
      </w:pPr>
      <w:rPr>
        <w:rFonts w:ascii="Symbol" w:hAnsi="Symbol" w:hint="default"/>
      </w:rPr>
    </w:lvl>
    <w:lvl w:ilvl="1" w:tplc="37A4EBA2" w:tentative="1">
      <w:start w:val="1"/>
      <w:numFmt w:val="bullet"/>
      <w:lvlText w:val="o"/>
      <w:lvlJc w:val="left"/>
      <w:pPr>
        <w:tabs>
          <w:tab w:val="num" w:pos="1440"/>
        </w:tabs>
        <w:ind w:left="1440" w:hanging="360"/>
      </w:pPr>
      <w:rPr>
        <w:rFonts w:ascii="Courier New" w:hAnsi="Courier New" w:hint="default"/>
      </w:rPr>
    </w:lvl>
    <w:lvl w:ilvl="2" w:tplc="29121CAE" w:tentative="1">
      <w:start w:val="1"/>
      <w:numFmt w:val="bullet"/>
      <w:lvlText w:val=""/>
      <w:lvlJc w:val="left"/>
      <w:pPr>
        <w:tabs>
          <w:tab w:val="num" w:pos="2160"/>
        </w:tabs>
        <w:ind w:left="2160" w:hanging="360"/>
      </w:pPr>
      <w:rPr>
        <w:rFonts w:ascii="Wingdings" w:hAnsi="Wingdings" w:hint="default"/>
      </w:rPr>
    </w:lvl>
    <w:lvl w:ilvl="3" w:tplc="81A2A224" w:tentative="1">
      <w:start w:val="1"/>
      <w:numFmt w:val="bullet"/>
      <w:lvlText w:val=""/>
      <w:lvlJc w:val="left"/>
      <w:pPr>
        <w:tabs>
          <w:tab w:val="num" w:pos="2880"/>
        </w:tabs>
        <w:ind w:left="2880" w:hanging="360"/>
      </w:pPr>
      <w:rPr>
        <w:rFonts w:ascii="Symbol" w:hAnsi="Symbol" w:hint="default"/>
      </w:rPr>
    </w:lvl>
    <w:lvl w:ilvl="4" w:tplc="D2B63E0C" w:tentative="1">
      <w:start w:val="1"/>
      <w:numFmt w:val="bullet"/>
      <w:lvlText w:val="o"/>
      <w:lvlJc w:val="left"/>
      <w:pPr>
        <w:tabs>
          <w:tab w:val="num" w:pos="3600"/>
        </w:tabs>
        <w:ind w:left="3600" w:hanging="360"/>
      </w:pPr>
      <w:rPr>
        <w:rFonts w:ascii="Courier New" w:hAnsi="Courier New" w:hint="default"/>
      </w:rPr>
    </w:lvl>
    <w:lvl w:ilvl="5" w:tplc="E2B25DF2" w:tentative="1">
      <w:start w:val="1"/>
      <w:numFmt w:val="bullet"/>
      <w:lvlText w:val=""/>
      <w:lvlJc w:val="left"/>
      <w:pPr>
        <w:tabs>
          <w:tab w:val="num" w:pos="4320"/>
        </w:tabs>
        <w:ind w:left="4320" w:hanging="360"/>
      </w:pPr>
      <w:rPr>
        <w:rFonts w:ascii="Wingdings" w:hAnsi="Wingdings" w:hint="default"/>
      </w:rPr>
    </w:lvl>
    <w:lvl w:ilvl="6" w:tplc="80D4E022" w:tentative="1">
      <w:start w:val="1"/>
      <w:numFmt w:val="bullet"/>
      <w:lvlText w:val=""/>
      <w:lvlJc w:val="left"/>
      <w:pPr>
        <w:tabs>
          <w:tab w:val="num" w:pos="5040"/>
        </w:tabs>
        <w:ind w:left="5040" w:hanging="360"/>
      </w:pPr>
      <w:rPr>
        <w:rFonts w:ascii="Symbol" w:hAnsi="Symbol" w:hint="default"/>
      </w:rPr>
    </w:lvl>
    <w:lvl w:ilvl="7" w:tplc="22B60FFE" w:tentative="1">
      <w:start w:val="1"/>
      <w:numFmt w:val="bullet"/>
      <w:lvlText w:val="o"/>
      <w:lvlJc w:val="left"/>
      <w:pPr>
        <w:tabs>
          <w:tab w:val="num" w:pos="5760"/>
        </w:tabs>
        <w:ind w:left="5760" w:hanging="360"/>
      </w:pPr>
      <w:rPr>
        <w:rFonts w:ascii="Courier New" w:hAnsi="Courier New" w:hint="default"/>
      </w:rPr>
    </w:lvl>
    <w:lvl w:ilvl="8" w:tplc="F4FE39E0"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D63D21"/>
    <w:multiLevelType w:val="hybridMultilevel"/>
    <w:tmpl w:val="EAC4E368"/>
    <w:lvl w:ilvl="0" w:tplc="E1D8BC52">
      <w:start w:val="1"/>
      <w:numFmt w:val="lowerLetter"/>
      <w:pStyle w:val="List4"/>
      <w:lvlText w:val="%1."/>
      <w:lvlJc w:val="left"/>
      <w:pPr>
        <w:tabs>
          <w:tab w:val="num" w:pos="1701"/>
        </w:tabs>
        <w:ind w:left="1701" w:hanging="425"/>
      </w:pPr>
      <w:rPr>
        <w:rFonts w:hint="default"/>
      </w:rPr>
    </w:lvl>
    <w:lvl w:ilvl="1" w:tplc="446C5E82" w:tentative="1">
      <w:start w:val="1"/>
      <w:numFmt w:val="lowerLetter"/>
      <w:lvlText w:val="%2."/>
      <w:lvlJc w:val="left"/>
      <w:pPr>
        <w:tabs>
          <w:tab w:val="num" w:pos="1440"/>
        </w:tabs>
        <w:ind w:left="1440" w:hanging="360"/>
      </w:pPr>
    </w:lvl>
    <w:lvl w:ilvl="2" w:tplc="1C74D524" w:tentative="1">
      <w:start w:val="1"/>
      <w:numFmt w:val="lowerRoman"/>
      <w:lvlText w:val="%3."/>
      <w:lvlJc w:val="right"/>
      <w:pPr>
        <w:tabs>
          <w:tab w:val="num" w:pos="2160"/>
        </w:tabs>
        <w:ind w:left="2160" w:hanging="180"/>
      </w:pPr>
    </w:lvl>
    <w:lvl w:ilvl="3" w:tplc="3F644724" w:tentative="1">
      <w:start w:val="1"/>
      <w:numFmt w:val="decimal"/>
      <w:lvlText w:val="%4."/>
      <w:lvlJc w:val="left"/>
      <w:pPr>
        <w:tabs>
          <w:tab w:val="num" w:pos="2880"/>
        </w:tabs>
        <w:ind w:left="2880" w:hanging="360"/>
      </w:pPr>
    </w:lvl>
    <w:lvl w:ilvl="4" w:tplc="A03CC11C" w:tentative="1">
      <w:start w:val="1"/>
      <w:numFmt w:val="lowerLetter"/>
      <w:lvlText w:val="%5."/>
      <w:lvlJc w:val="left"/>
      <w:pPr>
        <w:tabs>
          <w:tab w:val="num" w:pos="3600"/>
        </w:tabs>
        <w:ind w:left="3600" w:hanging="360"/>
      </w:pPr>
    </w:lvl>
    <w:lvl w:ilvl="5" w:tplc="D4A8DB3C" w:tentative="1">
      <w:start w:val="1"/>
      <w:numFmt w:val="lowerRoman"/>
      <w:lvlText w:val="%6."/>
      <w:lvlJc w:val="right"/>
      <w:pPr>
        <w:tabs>
          <w:tab w:val="num" w:pos="4320"/>
        </w:tabs>
        <w:ind w:left="4320" w:hanging="180"/>
      </w:pPr>
    </w:lvl>
    <w:lvl w:ilvl="6" w:tplc="427286E4" w:tentative="1">
      <w:start w:val="1"/>
      <w:numFmt w:val="decimal"/>
      <w:lvlText w:val="%7."/>
      <w:lvlJc w:val="left"/>
      <w:pPr>
        <w:tabs>
          <w:tab w:val="num" w:pos="5040"/>
        </w:tabs>
        <w:ind w:left="5040" w:hanging="360"/>
      </w:pPr>
    </w:lvl>
    <w:lvl w:ilvl="7" w:tplc="4BC2C9FC" w:tentative="1">
      <w:start w:val="1"/>
      <w:numFmt w:val="lowerLetter"/>
      <w:lvlText w:val="%8."/>
      <w:lvlJc w:val="left"/>
      <w:pPr>
        <w:tabs>
          <w:tab w:val="num" w:pos="5760"/>
        </w:tabs>
        <w:ind w:left="5760" w:hanging="360"/>
      </w:pPr>
    </w:lvl>
    <w:lvl w:ilvl="8" w:tplc="4344EC86" w:tentative="1">
      <w:start w:val="1"/>
      <w:numFmt w:val="lowerRoman"/>
      <w:lvlText w:val="%9."/>
      <w:lvlJc w:val="right"/>
      <w:pPr>
        <w:tabs>
          <w:tab w:val="num" w:pos="6480"/>
        </w:tabs>
        <w:ind w:left="6480" w:hanging="180"/>
      </w:pPr>
    </w:lvl>
  </w:abstractNum>
  <w:abstractNum w:abstractNumId="42" w15:restartNumberingAfterBreak="0">
    <w:nsid w:val="7FC630DC"/>
    <w:multiLevelType w:val="hybridMultilevel"/>
    <w:tmpl w:val="18CE0B1C"/>
    <w:lvl w:ilvl="0" w:tplc="1A208D6C">
      <w:start w:val="1"/>
      <w:numFmt w:val="lowerLetter"/>
      <w:pStyle w:val="List"/>
      <w:lvlText w:val="%1."/>
      <w:lvlJc w:val="left"/>
      <w:pPr>
        <w:tabs>
          <w:tab w:val="num" w:pos="425"/>
        </w:tabs>
        <w:ind w:left="425" w:hanging="425"/>
      </w:pPr>
      <w:rPr>
        <w:rFonts w:hint="default"/>
      </w:rPr>
    </w:lvl>
    <w:lvl w:ilvl="1" w:tplc="DE260ADA" w:tentative="1">
      <w:start w:val="1"/>
      <w:numFmt w:val="lowerLetter"/>
      <w:lvlText w:val="%2."/>
      <w:lvlJc w:val="left"/>
      <w:pPr>
        <w:tabs>
          <w:tab w:val="num" w:pos="1440"/>
        </w:tabs>
        <w:ind w:left="1440" w:hanging="360"/>
      </w:pPr>
    </w:lvl>
    <w:lvl w:ilvl="2" w:tplc="BCA0EDCA" w:tentative="1">
      <w:start w:val="1"/>
      <w:numFmt w:val="lowerRoman"/>
      <w:lvlText w:val="%3."/>
      <w:lvlJc w:val="right"/>
      <w:pPr>
        <w:tabs>
          <w:tab w:val="num" w:pos="2160"/>
        </w:tabs>
        <w:ind w:left="2160" w:hanging="180"/>
      </w:pPr>
    </w:lvl>
    <w:lvl w:ilvl="3" w:tplc="F0E2BE48" w:tentative="1">
      <w:start w:val="1"/>
      <w:numFmt w:val="decimal"/>
      <w:lvlText w:val="%4."/>
      <w:lvlJc w:val="left"/>
      <w:pPr>
        <w:tabs>
          <w:tab w:val="num" w:pos="2880"/>
        </w:tabs>
        <w:ind w:left="2880" w:hanging="360"/>
      </w:pPr>
    </w:lvl>
    <w:lvl w:ilvl="4" w:tplc="415A8032" w:tentative="1">
      <w:start w:val="1"/>
      <w:numFmt w:val="lowerLetter"/>
      <w:lvlText w:val="%5."/>
      <w:lvlJc w:val="left"/>
      <w:pPr>
        <w:tabs>
          <w:tab w:val="num" w:pos="3600"/>
        </w:tabs>
        <w:ind w:left="3600" w:hanging="360"/>
      </w:pPr>
    </w:lvl>
    <w:lvl w:ilvl="5" w:tplc="9B7C4A16" w:tentative="1">
      <w:start w:val="1"/>
      <w:numFmt w:val="lowerRoman"/>
      <w:lvlText w:val="%6."/>
      <w:lvlJc w:val="right"/>
      <w:pPr>
        <w:tabs>
          <w:tab w:val="num" w:pos="4320"/>
        </w:tabs>
        <w:ind w:left="4320" w:hanging="180"/>
      </w:pPr>
    </w:lvl>
    <w:lvl w:ilvl="6" w:tplc="98965022" w:tentative="1">
      <w:start w:val="1"/>
      <w:numFmt w:val="decimal"/>
      <w:lvlText w:val="%7."/>
      <w:lvlJc w:val="left"/>
      <w:pPr>
        <w:tabs>
          <w:tab w:val="num" w:pos="5040"/>
        </w:tabs>
        <w:ind w:left="5040" w:hanging="360"/>
      </w:pPr>
    </w:lvl>
    <w:lvl w:ilvl="7" w:tplc="B09E4860" w:tentative="1">
      <w:start w:val="1"/>
      <w:numFmt w:val="lowerLetter"/>
      <w:lvlText w:val="%8."/>
      <w:lvlJc w:val="left"/>
      <w:pPr>
        <w:tabs>
          <w:tab w:val="num" w:pos="5760"/>
        </w:tabs>
        <w:ind w:left="5760" w:hanging="360"/>
      </w:pPr>
    </w:lvl>
    <w:lvl w:ilvl="8" w:tplc="1C568228" w:tentative="1">
      <w:start w:val="1"/>
      <w:numFmt w:val="lowerRoman"/>
      <w:lvlText w:val="%9."/>
      <w:lvlJc w:val="right"/>
      <w:pPr>
        <w:tabs>
          <w:tab w:val="num" w:pos="6480"/>
        </w:tabs>
        <w:ind w:left="6480" w:hanging="180"/>
      </w:pPr>
    </w:lvl>
  </w:abstractNum>
  <w:num w:numId="1" w16cid:durableId="1978871096">
    <w:abstractNumId w:val="36"/>
  </w:num>
  <w:num w:numId="2" w16cid:durableId="1728608587">
    <w:abstractNumId w:val="25"/>
  </w:num>
  <w:num w:numId="3" w16cid:durableId="1056704013">
    <w:abstractNumId w:val="14"/>
  </w:num>
  <w:num w:numId="4" w16cid:durableId="1586693327">
    <w:abstractNumId w:val="20"/>
  </w:num>
  <w:num w:numId="5" w16cid:durableId="454640055">
    <w:abstractNumId w:val="10"/>
  </w:num>
  <w:num w:numId="6" w16cid:durableId="1677682531">
    <w:abstractNumId w:val="7"/>
  </w:num>
  <w:num w:numId="7" w16cid:durableId="647982417">
    <w:abstractNumId w:val="6"/>
  </w:num>
  <w:num w:numId="8" w16cid:durableId="1802654253">
    <w:abstractNumId w:val="5"/>
  </w:num>
  <w:num w:numId="9" w16cid:durableId="674042411">
    <w:abstractNumId w:val="4"/>
  </w:num>
  <w:num w:numId="10" w16cid:durableId="94518603">
    <w:abstractNumId w:val="42"/>
  </w:num>
  <w:num w:numId="11" w16cid:durableId="262543084">
    <w:abstractNumId w:val="17"/>
  </w:num>
  <w:num w:numId="12" w16cid:durableId="1979648219">
    <w:abstractNumId w:val="26"/>
  </w:num>
  <w:num w:numId="13" w16cid:durableId="1765373983">
    <w:abstractNumId w:val="41"/>
  </w:num>
  <w:num w:numId="14" w16cid:durableId="1880891797">
    <w:abstractNumId w:val="15"/>
  </w:num>
  <w:num w:numId="15" w16cid:durableId="1752655765">
    <w:abstractNumId w:val="23"/>
  </w:num>
  <w:num w:numId="16" w16cid:durableId="143667825">
    <w:abstractNumId w:val="30"/>
  </w:num>
  <w:num w:numId="17" w16cid:durableId="1482573171">
    <w:abstractNumId w:val="38"/>
  </w:num>
  <w:num w:numId="18" w16cid:durableId="1666518358">
    <w:abstractNumId w:val="12"/>
  </w:num>
  <w:num w:numId="19" w16cid:durableId="931859692">
    <w:abstractNumId w:val="40"/>
  </w:num>
  <w:num w:numId="20" w16cid:durableId="1957326948">
    <w:abstractNumId w:val="8"/>
  </w:num>
  <w:num w:numId="21" w16cid:durableId="1636986289">
    <w:abstractNumId w:val="3"/>
  </w:num>
  <w:num w:numId="22" w16cid:durableId="1851989590">
    <w:abstractNumId w:val="2"/>
  </w:num>
  <w:num w:numId="23" w16cid:durableId="1560744173">
    <w:abstractNumId w:val="1"/>
  </w:num>
  <w:num w:numId="24" w16cid:durableId="146753584">
    <w:abstractNumId w:val="0"/>
  </w:num>
  <w:num w:numId="25" w16cid:durableId="1545748416">
    <w:abstractNumId w:val="37"/>
  </w:num>
  <w:num w:numId="26" w16cid:durableId="865292530">
    <w:abstractNumId w:val="31"/>
  </w:num>
  <w:num w:numId="27" w16cid:durableId="1535845980">
    <w:abstractNumId w:val="27"/>
  </w:num>
  <w:num w:numId="28" w16cid:durableId="174538538">
    <w:abstractNumId w:val="22"/>
  </w:num>
  <w:num w:numId="29" w16cid:durableId="449209586">
    <w:abstractNumId w:val="35"/>
  </w:num>
  <w:num w:numId="30" w16cid:durableId="920338505">
    <w:abstractNumId w:val="32"/>
  </w:num>
  <w:num w:numId="31" w16cid:durableId="2026900005">
    <w:abstractNumId w:val="39"/>
  </w:num>
  <w:num w:numId="32" w16cid:durableId="622542701">
    <w:abstractNumId w:val="28"/>
  </w:num>
  <w:num w:numId="33" w16cid:durableId="1184519764">
    <w:abstractNumId w:val="33"/>
  </w:num>
  <w:num w:numId="34" w16cid:durableId="208611395">
    <w:abstractNumId w:val="1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7760480">
    <w:abstractNumId w:val="16"/>
  </w:num>
  <w:num w:numId="36" w16cid:durableId="1243443665">
    <w:abstractNumId w:val="19"/>
  </w:num>
  <w:num w:numId="37" w16cid:durableId="440955556">
    <w:abstractNumId w:val="24"/>
  </w:num>
  <w:num w:numId="38" w16cid:durableId="794835552">
    <w:abstractNumId w:val="9"/>
  </w:num>
  <w:num w:numId="39" w16cid:durableId="1678773113">
    <w:abstractNumId w:val="34"/>
  </w:num>
  <w:num w:numId="40" w16cid:durableId="1310671559">
    <w:abstractNumId w:val="21"/>
  </w:num>
  <w:num w:numId="41" w16cid:durableId="1630428104">
    <w:abstractNumId w:val="18"/>
  </w:num>
  <w:num w:numId="42" w16cid:durableId="1859267213">
    <w:abstractNumId w:val="29"/>
  </w:num>
  <w:num w:numId="43" w16cid:durableId="2017951581">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3512B"/>
    <w:rsid w:val="00055EE0"/>
    <w:rsid w:val="000661F0"/>
    <w:rsid w:val="00072CC5"/>
    <w:rsid w:val="000D0237"/>
    <w:rsid w:val="000F7947"/>
    <w:rsid w:val="00115195"/>
    <w:rsid w:val="00143A55"/>
    <w:rsid w:val="001A3416"/>
    <w:rsid w:val="001C0D4B"/>
    <w:rsid w:val="001C2F65"/>
    <w:rsid w:val="001D6DD9"/>
    <w:rsid w:val="001E2630"/>
    <w:rsid w:val="002151DC"/>
    <w:rsid w:val="0021744C"/>
    <w:rsid w:val="00234C8A"/>
    <w:rsid w:val="00247AF1"/>
    <w:rsid w:val="002644AA"/>
    <w:rsid w:val="00265FF7"/>
    <w:rsid w:val="00286A01"/>
    <w:rsid w:val="00291481"/>
    <w:rsid w:val="00292586"/>
    <w:rsid w:val="002D4A82"/>
    <w:rsid w:val="002E774B"/>
    <w:rsid w:val="003125DC"/>
    <w:rsid w:val="0032210F"/>
    <w:rsid w:val="00340002"/>
    <w:rsid w:val="00364B0E"/>
    <w:rsid w:val="00383C1A"/>
    <w:rsid w:val="003A0A68"/>
    <w:rsid w:val="003A1AB0"/>
    <w:rsid w:val="003C0FFE"/>
    <w:rsid w:val="003D726E"/>
    <w:rsid w:val="00416AA4"/>
    <w:rsid w:val="00434641"/>
    <w:rsid w:val="00434731"/>
    <w:rsid w:val="0044331C"/>
    <w:rsid w:val="0046692C"/>
    <w:rsid w:val="00483A01"/>
    <w:rsid w:val="00487975"/>
    <w:rsid w:val="004A2F87"/>
    <w:rsid w:val="004B459C"/>
    <w:rsid w:val="004C6026"/>
    <w:rsid w:val="004C6B40"/>
    <w:rsid w:val="004D1FFE"/>
    <w:rsid w:val="004E7006"/>
    <w:rsid w:val="004F13F7"/>
    <w:rsid w:val="00502488"/>
    <w:rsid w:val="005142FF"/>
    <w:rsid w:val="00533F43"/>
    <w:rsid w:val="005446F2"/>
    <w:rsid w:val="0058684E"/>
    <w:rsid w:val="00596E2D"/>
    <w:rsid w:val="005E76E3"/>
    <w:rsid w:val="0064090A"/>
    <w:rsid w:val="00652B9D"/>
    <w:rsid w:val="00663174"/>
    <w:rsid w:val="006703C1"/>
    <w:rsid w:val="0067402A"/>
    <w:rsid w:val="00677BB4"/>
    <w:rsid w:val="00693438"/>
    <w:rsid w:val="006F261D"/>
    <w:rsid w:val="007239EC"/>
    <w:rsid w:val="00723CC2"/>
    <w:rsid w:val="00753414"/>
    <w:rsid w:val="00760C05"/>
    <w:rsid w:val="00794C52"/>
    <w:rsid w:val="007B547D"/>
    <w:rsid w:val="007B7978"/>
    <w:rsid w:val="007C12B8"/>
    <w:rsid w:val="007D18A0"/>
    <w:rsid w:val="0082715B"/>
    <w:rsid w:val="00866ECF"/>
    <w:rsid w:val="00876388"/>
    <w:rsid w:val="00893D64"/>
    <w:rsid w:val="00897A1B"/>
    <w:rsid w:val="008D3C12"/>
    <w:rsid w:val="00924499"/>
    <w:rsid w:val="009970F2"/>
    <w:rsid w:val="009C0351"/>
    <w:rsid w:val="00A00D49"/>
    <w:rsid w:val="00A13CDD"/>
    <w:rsid w:val="00A454AE"/>
    <w:rsid w:val="00AB1CC0"/>
    <w:rsid w:val="00AB6D3D"/>
    <w:rsid w:val="00AC214C"/>
    <w:rsid w:val="00AC4174"/>
    <w:rsid w:val="00AC4EA6"/>
    <w:rsid w:val="00B01A7E"/>
    <w:rsid w:val="00B10CD8"/>
    <w:rsid w:val="00B42DA3"/>
    <w:rsid w:val="00B43DF1"/>
    <w:rsid w:val="00B70DBF"/>
    <w:rsid w:val="00B9694C"/>
    <w:rsid w:val="00C00DA2"/>
    <w:rsid w:val="00C1654E"/>
    <w:rsid w:val="00C258BB"/>
    <w:rsid w:val="00C54F2D"/>
    <w:rsid w:val="00C93A22"/>
    <w:rsid w:val="00CA1729"/>
    <w:rsid w:val="00CD510A"/>
    <w:rsid w:val="00CE2153"/>
    <w:rsid w:val="00CE418E"/>
    <w:rsid w:val="00CF016E"/>
    <w:rsid w:val="00D0234E"/>
    <w:rsid w:val="00D12E56"/>
    <w:rsid w:val="00D13AF1"/>
    <w:rsid w:val="00D164A5"/>
    <w:rsid w:val="00D771E9"/>
    <w:rsid w:val="00DD7806"/>
    <w:rsid w:val="00E43EAF"/>
    <w:rsid w:val="00E471D8"/>
    <w:rsid w:val="00E64FD4"/>
    <w:rsid w:val="00E746C8"/>
    <w:rsid w:val="00E96389"/>
    <w:rsid w:val="00EB18DA"/>
    <w:rsid w:val="00F10FFC"/>
    <w:rsid w:val="00F41B03"/>
    <w:rsid w:val="00F70368"/>
    <w:rsid w:val="00F70EB4"/>
    <w:rsid w:val="00F92584"/>
    <w:rsid w:val="00F95041"/>
    <w:rsid w:val="00FB0B41"/>
    <w:rsid w:val="00FE33C4"/>
    <w:rsid w:val="00FE59E5"/>
    <w:rsid w:val="00FF72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F0B03"/>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aliases w:val="Heading"/>
    <w:basedOn w:val="Normal"/>
    <w:next w:val="Normal"/>
    <w:link w:val="Heading3Char"/>
    <w:uiPriority w:val="9"/>
    <w:qFormat/>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Car Char Char Char Char Char Char Char Char Car Char Car Char Car,Car Char Char Char Car Car Char Char Car Car Char Char Char Char Char Char Char Car Char Car Char Car Car Car Car Car,ftref,note bp,Footnotes refss,16 Point"/>
    <w:basedOn w:val="DefaultParagraphFont"/>
    <w:link w:val="ftrefCarCar1CarCarCarCarCarChar"/>
    <w:qFormat/>
    <w:rPr>
      <w:rFonts w:ascii="Times New Roman" w:hAnsi="Times New Roman"/>
      <w:sz w:val="18"/>
      <w:vertAlign w:val="superscript"/>
      <w:lang w:val="fr-CH"/>
    </w:rPr>
  </w:style>
  <w:style w:type="character" w:styleId="EndnoteReference">
    <w:name w:val="endnote reference"/>
    <w:aliases w:val="1_G"/>
    <w:basedOn w:val="FootnoteReference"/>
    <w:uiPriority w:val="99"/>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FOOTNOTES,fn,single space,ALTS FOOTNOTE,Footnote Text 1,ADB,ft,Footnote Text Char1,Footnote Text Char Char,Car,Footnote Text1,Fodnotetekst Tegn,footnote text Char,Fodnotetekst Tegn Char,single space Char,footnote text"/>
    <w:basedOn w:val="Normal"/>
    <w:link w:val="FootnoteTextChar"/>
    <w:qFormat/>
    <w:pPr>
      <w:tabs>
        <w:tab w:val="right" w:pos="1021"/>
      </w:tabs>
      <w:spacing w:line="220" w:lineRule="exact"/>
      <w:ind w:left="1134" w:right="1134" w:hanging="1134"/>
    </w:pPr>
    <w:rPr>
      <w:sz w:val="18"/>
    </w:rPr>
  </w:style>
  <w:style w:type="character" w:customStyle="1" w:styleId="FootnoteTextChar">
    <w:name w:val="Footnote Text Char"/>
    <w:aliases w:val="5_G Char,FOOTNOTES Char1,fn Char1,single space Char2,ALTS FOOTNOTE Char1,Footnote Text 1 Char1,ADB Char1,ft Char1,Footnote Text Char1 Char1,Footnote Text Char Char Char1,Car Char1,Footnote Text1 Char1,Fodnotetekst Tegn Char2"/>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aliases w:val="Heading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rPr>
      <w:rFonts w:ascii="Times New Roman" w:hAnsi="Times New Roman" w:cs="Times New Roman"/>
      <w:sz w:val="20"/>
      <w:szCs w:val="20"/>
    </w:rPr>
  </w:style>
  <w:style w:type="character" w:customStyle="1" w:styleId="Heading7Char">
    <w:name w:val="Heading 7 Char"/>
    <w:basedOn w:val="DefaultParagraphFont"/>
    <w:link w:val="Heading7"/>
    <w:uiPriority w:val="9"/>
    <w:rPr>
      <w:rFonts w:ascii="Times New Roman" w:hAnsi="Times New Roman" w:cs="Times New Roman"/>
      <w:sz w:val="20"/>
      <w:szCs w:val="20"/>
    </w:rPr>
  </w:style>
  <w:style w:type="character" w:customStyle="1" w:styleId="Heading8Char">
    <w:name w:val="Heading 8 Char"/>
    <w:basedOn w:val="DefaultParagraphFont"/>
    <w:link w:val="Heading8"/>
    <w:rPr>
      <w:rFonts w:ascii="Times New Roman" w:hAnsi="Times New Roman" w:cs="Times New Roman"/>
      <w:sz w:val="20"/>
      <w:szCs w:val="20"/>
    </w:rPr>
  </w:style>
  <w:style w:type="character" w:customStyle="1" w:styleId="Heading9Char">
    <w:name w:val="Heading 9 Char"/>
    <w:basedOn w:val="DefaultParagraphFont"/>
    <w:link w:val="Heading9"/>
    <w:rPr>
      <w:rFonts w:ascii="Times New Roman" w:hAnsi="Times New Roman" w:cs="Times New Roman"/>
      <w:sz w:val="20"/>
      <w:szCs w:val="20"/>
    </w:rPr>
  </w:style>
  <w:style w:type="paragraph" w:styleId="BalloonText">
    <w:name w:val="Balloon Text"/>
    <w:basedOn w:val="Normal"/>
    <w:link w:val="BalloonTextChar"/>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ListParagraph">
    <w:name w:val="List Paragraph"/>
    <w:aliases w:val="Bioforce zListePuce,Style 2,Paragraphe de liste PBLH,CV lower headings,List Paragraph1,References,MCHIP_list paragraph,Recommendation,U 5,L_4,Bullets,Numbered List Paragraph,ReferencesCxSpLast,Paragraphe de liste1,Glossaire"/>
    <w:basedOn w:val="Normal"/>
    <w:link w:val="ListParagraphChar"/>
    <w:qFormat/>
    <w:rsid w:val="00C00DA2"/>
    <w:pPr>
      <w:suppressAutoHyphens w:val="0"/>
      <w:kinsoku/>
      <w:overflowPunct/>
      <w:autoSpaceDE/>
      <w:autoSpaceDN/>
      <w:adjustRightInd/>
      <w:snapToGrid/>
      <w:spacing w:line="240" w:lineRule="auto"/>
      <w:ind w:left="720"/>
      <w:contextualSpacing/>
    </w:pPr>
    <w:rPr>
      <w:rFonts w:eastAsia="Times New Roman"/>
      <w:sz w:val="24"/>
      <w:lang w:val="fr-FR" w:eastAsia="fr-FR"/>
    </w:rPr>
  </w:style>
  <w:style w:type="character" w:customStyle="1" w:styleId="ListParagraphChar">
    <w:name w:val="List Paragraph Char"/>
    <w:aliases w:val="Bioforce zListePuce Char,Style 2 Char,Paragraphe de liste PBLH Char,CV lower headings Char,List Paragraph1 Char,References Char,MCHIP_list paragraph Char,Recommendation Char,U 5 Char,L_4 Char,Bullets Char,Numbered List Paragraph Char"/>
    <w:basedOn w:val="DefaultParagraphFont"/>
    <w:link w:val="ListParagraph"/>
    <w:uiPriority w:val="34"/>
    <w:qFormat/>
    <w:locked/>
    <w:rsid w:val="00C00DA2"/>
    <w:rPr>
      <w:rFonts w:ascii="Times New Roman" w:eastAsia="Times New Roman" w:hAnsi="Times New Roman" w:cs="Times New Roman"/>
      <w:sz w:val="24"/>
      <w:szCs w:val="20"/>
      <w:lang w:val="fr-FR" w:eastAsia="fr-FR"/>
    </w:rPr>
  </w:style>
  <w:style w:type="paragraph" w:customStyle="1" w:styleId="Default">
    <w:name w:val="Default"/>
    <w:rsid w:val="00C00DA2"/>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FootnoteTextChar2">
    <w:name w:val="Footnote Text Char2"/>
    <w:aliases w:val="FOOTNOTES Char,fn Char,single space Char1,ALTS FOOTNOTE Char,Footnote Text 1 Char,ADB Char,ft Char,Footnote Text Char1 Char,Footnote Text Char Char Char,Car Char,Footnote Text1 Char,Fodnotetekst Tegn Char1,footnote text Char Char"/>
    <w:basedOn w:val="DefaultParagraphFont"/>
    <w:uiPriority w:val="99"/>
    <w:rsid w:val="00C00DA2"/>
    <w:rPr>
      <w:rFonts w:ascii="Calibri" w:eastAsia="Calibri" w:hAnsi="Calibri" w:cs="Times New Roman"/>
      <w:sz w:val="20"/>
      <w:szCs w:val="20"/>
    </w:rPr>
  </w:style>
  <w:style w:type="paragraph" w:styleId="NormalWeb">
    <w:name w:val="Normal (Web)"/>
    <w:basedOn w:val="Normal"/>
    <w:uiPriority w:val="99"/>
    <w:unhideWhenUsed/>
    <w:rsid w:val="0003512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NoSpacing">
    <w:name w:val="No Spacing"/>
    <w:link w:val="NoSpacingChar"/>
    <w:uiPriority w:val="1"/>
    <w:qFormat/>
    <w:rsid w:val="0003512B"/>
    <w:pPr>
      <w:spacing w:after="0" w:line="240" w:lineRule="auto"/>
    </w:pPr>
    <w:rPr>
      <w:rFonts w:ascii="Calibri" w:eastAsia="Calibri" w:hAnsi="Calibri" w:cs="Times New Roman"/>
      <w:sz w:val="20"/>
      <w:szCs w:val="20"/>
      <w:lang w:val="fr-FR" w:eastAsia="fr-FR"/>
    </w:rPr>
  </w:style>
  <w:style w:type="character" w:customStyle="1" w:styleId="NoSpacingChar">
    <w:name w:val="No Spacing Char"/>
    <w:link w:val="NoSpacing"/>
    <w:uiPriority w:val="1"/>
    <w:locked/>
    <w:rsid w:val="0003512B"/>
    <w:rPr>
      <w:rFonts w:ascii="Calibri" w:eastAsia="Calibri" w:hAnsi="Calibri" w:cs="Times New Roman"/>
      <w:sz w:val="20"/>
      <w:szCs w:val="20"/>
      <w:lang w:val="fr-FR" w:eastAsia="fr-FR"/>
    </w:rPr>
  </w:style>
  <w:style w:type="paragraph" w:customStyle="1" w:styleId="Graph">
    <w:name w:val="Graph"/>
    <w:basedOn w:val="Normal"/>
    <w:link w:val="GraphCar"/>
    <w:qFormat/>
    <w:rsid w:val="0003512B"/>
    <w:pPr>
      <w:suppressAutoHyphens w:val="0"/>
      <w:kinsoku/>
      <w:overflowPunct/>
      <w:autoSpaceDE/>
      <w:autoSpaceDN/>
      <w:adjustRightInd/>
      <w:snapToGrid/>
      <w:spacing w:line="240" w:lineRule="auto"/>
    </w:pPr>
    <w:rPr>
      <w:rFonts w:ascii="Garamond" w:eastAsia="Times New Roman" w:hAnsi="Garamond"/>
      <w:sz w:val="24"/>
      <w:szCs w:val="24"/>
      <w:lang w:val="fr-FR" w:eastAsia="fr-FR"/>
    </w:rPr>
  </w:style>
  <w:style w:type="character" w:customStyle="1" w:styleId="GraphCar">
    <w:name w:val="Graph Car"/>
    <w:link w:val="Graph"/>
    <w:rsid w:val="0003512B"/>
    <w:rPr>
      <w:rFonts w:ascii="Garamond" w:eastAsia="Times New Roman" w:hAnsi="Garamond" w:cs="Times New Roman"/>
      <w:sz w:val="24"/>
      <w:szCs w:val="24"/>
      <w:lang w:val="fr-FR" w:eastAsia="fr-FR"/>
    </w:rPr>
  </w:style>
  <w:style w:type="paragraph" w:styleId="BodyText">
    <w:name w:val="Body Text"/>
    <w:basedOn w:val="Normal"/>
    <w:link w:val="BodyTextChar"/>
    <w:unhideWhenUsed/>
    <w:rsid w:val="0003512B"/>
    <w:pPr>
      <w:suppressAutoHyphens w:val="0"/>
      <w:kinsoku/>
      <w:overflowPunct/>
      <w:autoSpaceDE/>
      <w:autoSpaceDN/>
      <w:adjustRightInd/>
      <w:snapToGrid/>
      <w:spacing w:after="120" w:line="276" w:lineRule="auto"/>
    </w:pPr>
    <w:rPr>
      <w:rFonts w:ascii="Calibri" w:eastAsia="Calibri" w:hAnsi="Calibri"/>
      <w:lang w:val="fr-FR" w:eastAsia="fr-FR"/>
    </w:rPr>
  </w:style>
  <w:style w:type="character" w:customStyle="1" w:styleId="BodyTextChar">
    <w:name w:val="Body Text Char"/>
    <w:basedOn w:val="DefaultParagraphFont"/>
    <w:link w:val="BodyText"/>
    <w:rsid w:val="0003512B"/>
    <w:rPr>
      <w:rFonts w:ascii="Calibri" w:eastAsia="Calibri" w:hAnsi="Calibri" w:cs="Times New Roman"/>
      <w:sz w:val="20"/>
      <w:szCs w:val="20"/>
      <w:lang w:val="fr-FR" w:eastAsia="fr-FR"/>
    </w:rPr>
  </w:style>
  <w:style w:type="character" w:customStyle="1" w:styleId="58cl">
    <w:name w:val="_58cl"/>
    <w:basedOn w:val="DefaultParagraphFont"/>
    <w:rsid w:val="00CE418E"/>
  </w:style>
  <w:style w:type="character" w:customStyle="1" w:styleId="58cm">
    <w:name w:val="_58cm"/>
    <w:basedOn w:val="DefaultParagraphFont"/>
    <w:rsid w:val="00CE418E"/>
  </w:style>
  <w:style w:type="paragraph" w:customStyle="1" w:styleId="font8">
    <w:name w:val="font_8"/>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table" w:customStyle="1" w:styleId="TableGrid0">
    <w:name w:val="TableGrid"/>
    <w:rsid w:val="00CE418E"/>
    <w:pPr>
      <w:spacing w:after="0" w:line="240" w:lineRule="auto"/>
    </w:pPr>
    <w:rPr>
      <w:rFonts w:eastAsiaTheme="minorEastAsia"/>
      <w:lang w:val="fr-FR" w:eastAsia="fr-FR"/>
    </w:rPr>
    <w:tblPr>
      <w:tblCellMar>
        <w:top w:w="0" w:type="dxa"/>
        <w:left w:w="0" w:type="dxa"/>
        <w:bottom w:w="0" w:type="dxa"/>
        <w:right w:w="0" w:type="dxa"/>
      </w:tblCellMar>
    </w:tblPr>
  </w:style>
  <w:style w:type="table" w:styleId="GridTable5Dark-Accent5">
    <w:name w:val="Grid Table 5 Dark Accent 5"/>
    <w:basedOn w:val="TableNormal"/>
    <w:uiPriority w:val="50"/>
    <w:rsid w:val="00CE418E"/>
    <w:pPr>
      <w:spacing w:after="0" w:line="240" w:lineRule="auto"/>
    </w:pPr>
    <w:rPr>
      <w:rFonts w:eastAsiaTheme="minorEastAsia"/>
      <w:lang w:val="en-US"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NotedebasdepageCar1">
    <w:name w:val="Note de bas de page Car1"/>
    <w:basedOn w:val="DefaultParagraphFont"/>
    <w:uiPriority w:val="99"/>
    <w:semiHidden/>
    <w:rsid w:val="00CE418E"/>
    <w:rPr>
      <w:sz w:val="20"/>
      <w:szCs w:val="20"/>
      <w:lang w:val="fr-FR" w:eastAsia="fr-FR"/>
    </w:rPr>
  </w:style>
  <w:style w:type="paragraph" w:customStyle="1" w:styleId="textearticle">
    <w:name w:val="textearticl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texte">
    <w:name w:val="text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Strong">
    <w:name w:val="Strong"/>
    <w:basedOn w:val="DefaultParagraphFont"/>
    <w:uiPriority w:val="22"/>
    <w:qFormat/>
    <w:rsid w:val="00CE418E"/>
    <w:rPr>
      <w:b/>
      <w:bCs/>
    </w:rPr>
  </w:style>
  <w:style w:type="paragraph" w:customStyle="1" w:styleId="bbc-1y32vyc">
    <w:name w:val="bbc-1y32vyc"/>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mm8nw">
    <w:name w:val="mm8nw"/>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2phjq">
    <w:name w:val="_2phjq"/>
    <w:basedOn w:val="DefaultParagraphFont"/>
    <w:rsid w:val="00CE418E"/>
  </w:style>
  <w:style w:type="character" w:styleId="Emphasis">
    <w:name w:val="Emphasis"/>
    <w:basedOn w:val="DefaultParagraphFont"/>
    <w:uiPriority w:val="20"/>
    <w:qFormat/>
    <w:rsid w:val="00CE418E"/>
    <w:rPr>
      <w:i/>
      <w:iCs/>
    </w:rPr>
  </w:style>
  <w:style w:type="paragraph" w:customStyle="1" w:styleId="apresh3">
    <w:name w:val="apresh3"/>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Rom2">
    <w:name w:val="Rom2"/>
    <w:basedOn w:val="Normal"/>
    <w:rsid w:val="00CE418E"/>
    <w:pPr>
      <w:numPr>
        <w:numId w:val="4"/>
      </w:numPr>
      <w:tabs>
        <w:tab w:val="clear" w:pos="927"/>
      </w:tabs>
      <w:suppressAutoHyphens w:val="0"/>
      <w:kinsoku/>
      <w:overflowPunct/>
      <w:autoSpaceDE/>
      <w:autoSpaceDN/>
      <w:adjustRightInd/>
      <w:snapToGrid/>
      <w:spacing w:line="240" w:lineRule="auto"/>
    </w:pPr>
    <w:rPr>
      <w:rFonts w:eastAsia="Times New Roman"/>
      <w:sz w:val="24"/>
      <w:lang w:val="fr-FR" w:eastAsia="fr-FR"/>
    </w:rPr>
  </w:style>
  <w:style w:type="character" w:customStyle="1" w:styleId="markedcontent">
    <w:name w:val="markedcontent"/>
    <w:basedOn w:val="DefaultParagraphFont"/>
    <w:rsid w:val="00CE418E"/>
  </w:style>
  <w:style w:type="character" w:customStyle="1" w:styleId="nospace">
    <w:name w:val="nospace"/>
    <w:basedOn w:val="DefaultParagraphFont"/>
    <w:rsid w:val="00CE418E"/>
  </w:style>
  <w:style w:type="paragraph" w:customStyle="1" w:styleId="selectionshareable">
    <w:name w:val="selectionshareable"/>
    <w:basedOn w:val="Normal"/>
    <w:rsid w:val="00CE418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ftrefCarCar1CarCarCarCarCarChar">
    <w:name w:val="ftref Car Car1 Car Car Car Car Car Char"/>
    <w:aliases w:val="16 Point Car Car1 Car Car Car Car Car Char,Superscript 6 Point Car1 Car Car Car Car Car Car Char,BVI fnr Car1 Car Car Car Car Car Car Char,BVI fnr Car Car2 Car Car Car Car Car Char Char"/>
    <w:basedOn w:val="Normal"/>
    <w:link w:val="FootnoteReference"/>
    <w:uiPriority w:val="99"/>
    <w:rsid w:val="00CE418E"/>
    <w:pPr>
      <w:suppressAutoHyphens w:val="0"/>
      <w:kinsoku/>
      <w:overflowPunct/>
      <w:autoSpaceDE/>
      <w:autoSpaceDN/>
      <w:adjustRightInd/>
      <w:snapToGrid/>
      <w:spacing w:after="160" w:line="240" w:lineRule="exact"/>
    </w:pPr>
    <w:rPr>
      <w:rFonts w:cstheme="minorBidi"/>
      <w:sz w:val="18"/>
      <w:szCs w:val="22"/>
      <w:vertAlign w:val="superscript"/>
    </w:rPr>
  </w:style>
  <w:style w:type="table" w:customStyle="1" w:styleId="TableNormal1">
    <w:name w:val="Table Normal1"/>
    <w:rsid w:val="00CE418E"/>
    <w:pPr>
      <w:spacing w:after="120"/>
      <w:jc w:val="both"/>
    </w:pPr>
    <w:rPr>
      <w:rFonts w:ascii="Times New Roman" w:eastAsia="Times New Roman" w:hAnsi="Times New Roman" w:cs="Times New Roman"/>
      <w:sz w:val="24"/>
      <w:szCs w:val="24"/>
      <w:highlight w:val="white"/>
      <w:lang w:val="fr-FR" w:eastAsia="fr-FR"/>
    </w:rPr>
    <w:tblPr>
      <w:tblCellMar>
        <w:top w:w="0" w:type="dxa"/>
        <w:left w:w="0" w:type="dxa"/>
        <w:bottom w:w="0" w:type="dxa"/>
        <w:right w:w="0" w:type="dxa"/>
      </w:tblCellMar>
    </w:tblPr>
  </w:style>
  <w:style w:type="paragraph" w:styleId="Title">
    <w:name w:val="Title"/>
    <w:basedOn w:val="Normal"/>
    <w:next w:val="Normal"/>
    <w:link w:val="TitleChar"/>
    <w:qFormat/>
    <w:rsid w:val="00CE418E"/>
    <w:pPr>
      <w:keepNext/>
      <w:keepLines/>
      <w:suppressAutoHyphens w:val="0"/>
      <w:kinsoku/>
      <w:overflowPunct/>
      <w:autoSpaceDE/>
      <w:autoSpaceDN/>
      <w:adjustRightInd/>
      <w:snapToGrid/>
      <w:spacing w:before="480" w:after="120" w:line="276" w:lineRule="auto"/>
      <w:jc w:val="both"/>
    </w:pPr>
    <w:rPr>
      <w:rFonts w:eastAsia="Times New Roman"/>
      <w:b/>
      <w:sz w:val="72"/>
      <w:szCs w:val="72"/>
      <w:highlight w:val="white"/>
      <w:lang w:val="fr-FR" w:eastAsia="fr-FR"/>
    </w:rPr>
  </w:style>
  <w:style w:type="character" w:customStyle="1" w:styleId="TitleChar">
    <w:name w:val="Title Char"/>
    <w:basedOn w:val="DefaultParagraphFont"/>
    <w:link w:val="Title"/>
    <w:rsid w:val="00CE418E"/>
    <w:rPr>
      <w:rFonts w:ascii="Times New Roman" w:eastAsia="Times New Roman" w:hAnsi="Times New Roman" w:cs="Times New Roman"/>
      <w:b/>
      <w:sz w:val="72"/>
      <w:szCs w:val="72"/>
      <w:highlight w:val="white"/>
      <w:lang w:val="fr-FR" w:eastAsia="fr-FR"/>
    </w:rPr>
  </w:style>
  <w:style w:type="paragraph" w:styleId="Revision">
    <w:name w:val="Revision"/>
    <w:hidden/>
    <w:uiPriority w:val="99"/>
    <w:semiHidden/>
    <w:rsid w:val="00CE418E"/>
    <w:pPr>
      <w:spacing w:after="0" w:line="240" w:lineRule="auto"/>
      <w:jc w:val="both"/>
    </w:pPr>
    <w:rPr>
      <w:rFonts w:ascii="Times New Roman" w:eastAsia="Times New Roman" w:hAnsi="Times New Roman" w:cs="Times New Roman"/>
      <w:sz w:val="24"/>
      <w:szCs w:val="24"/>
      <w:highlight w:val="white"/>
      <w:lang w:val="fr-FR" w:eastAsia="fr-FR"/>
    </w:rPr>
  </w:style>
  <w:style w:type="character" w:styleId="CommentReference">
    <w:name w:val="annotation reference"/>
    <w:basedOn w:val="DefaultParagraphFont"/>
    <w:uiPriority w:val="99"/>
    <w:semiHidden/>
    <w:unhideWhenUsed/>
    <w:rsid w:val="00CE418E"/>
    <w:rPr>
      <w:sz w:val="16"/>
      <w:szCs w:val="16"/>
    </w:rPr>
  </w:style>
  <w:style w:type="paragraph" w:styleId="CommentText">
    <w:name w:val="annotation text"/>
    <w:basedOn w:val="Normal"/>
    <w:link w:val="CommentTextChar"/>
    <w:uiPriority w:val="99"/>
    <w:unhideWhenUsed/>
    <w:rsid w:val="00CE418E"/>
    <w:pPr>
      <w:suppressAutoHyphens w:val="0"/>
      <w:kinsoku/>
      <w:overflowPunct/>
      <w:autoSpaceDE/>
      <w:autoSpaceDN/>
      <w:adjustRightInd/>
      <w:snapToGrid/>
      <w:spacing w:after="120" w:line="240" w:lineRule="auto"/>
      <w:jc w:val="both"/>
    </w:pPr>
    <w:rPr>
      <w:rFonts w:eastAsia="Times New Roman"/>
      <w:highlight w:val="white"/>
      <w:lang w:val="fr-FR" w:eastAsia="fr-FR"/>
    </w:rPr>
  </w:style>
  <w:style w:type="character" w:customStyle="1" w:styleId="CommentTextChar">
    <w:name w:val="Comment Text Char"/>
    <w:basedOn w:val="DefaultParagraphFont"/>
    <w:link w:val="CommentText"/>
    <w:uiPriority w:val="99"/>
    <w:rsid w:val="00CE418E"/>
    <w:rPr>
      <w:rFonts w:ascii="Times New Roman" w:eastAsia="Times New Roman" w:hAnsi="Times New Roman" w:cs="Times New Roman"/>
      <w:sz w:val="20"/>
      <w:szCs w:val="20"/>
      <w:highlight w:val="white"/>
      <w:lang w:val="fr-FR" w:eastAsia="fr-FR"/>
    </w:rPr>
  </w:style>
  <w:style w:type="paragraph" w:styleId="CommentSubject">
    <w:name w:val="annotation subject"/>
    <w:basedOn w:val="CommentText"/>
    <w:next w:val="CommentText"/>
    <w:link w:val="CommentSubjectChar"/>
    <w:uiPriority w:val="99"/>
    <w:semiHidden/>
    <w:unhideWhenUsed/>
    <w:rsid w:val="00CE418E"/>
    <w:rPr>
      <w:b/>
      <w:bCs/>
    </w:rPr>
  </w:style>
  <w:style w:type="character" w:customStyle="1" w:styleId="CommentSubjectChar">
    <w:name w:val="Comment Subject Char"/>
    <w:basedOn w:val="CommentTextChar"/>
    <w:link w:val="CommentSubject"/>
    <w:uiPriority w:val="99"/>
    <w:semiHidden/>
    <w:rsid w:val="00CE418E"/>
    <w:rPr>
      <w:rFonts w:ascii="Times New Roman" w:eastAsia="Times New Roman" w:hAnsi="Times New Roman" w:cs="Times New Roman"/>
      <w:b/>
      <w:bCs/>
      <w:sz w:val="20"/>
      <w:szCs w:val="20"/>
      <w:highlight w:val="white"/>
      <w:lang w:val="fr-FR" w:eastAsia="fr-FR"/>
    </w:rPr>
  </w:style>
  <w:style w:type="paragraph" w:styleId="TOCHeading">
    <w:name w:val="TOC Heading"/>
    <w:basedOn w:val="Heading1"/>
    <w:next w:val="Normal"/>
    <w:uiPriority w:val="39"/>
    <w:unhideWhenUsed/>
    <w:qFormat/>
    <w:rsid w:val="00CE418E"/>
    <w:pPr>
      <w:suppressAutoHyphens w:val="0"/>
      <w:kinsoku/>
      <w:overflowPunct/>
      <w:autoSpaceDE/>
      <w:autoSpaceDN/>
      <w:adjustRightInd/>
      <w:snapToGrid/>
      <w:spacing w:before="600" w:after="120" w:line="276" w:lineRule="auto"/>
      <w:ind w:left="0"/>
      <w:jc w:val="center"/>
      <w:outlineLvl w:val="9"/>
    </w:pPr>
    <w:rPr>
      <w:rFonts w:eastAsiaTheme="majorEastAsia" w:cstheme="majorBidi"/>
      <w:b/>
      <w:bCs/>
      <w:sz w:val="24"/>
      <w:szCs w:val="28"/>
      <w:highlight w:val="white"/>
      <w:lang w:val="fr-FR" w:eastAsia="fr-FR"/>
    </w:rPr>
  </w:style>
  <w:style w:type="paragraph" w:styleId="TOC3">
    <w:name w:val="toc 3"/>
    <w:basedOn w:val="Normal"/>
    <w:next w:val="Normal"/>
    <w:autoRedefine/>
    <w:uiPriority w:val="39"/>
    <w:unhideWhenUsed/>
    <w:qFormat/>
    <w:rsid w:val="00CE418E"/>
    <w:pPr>
      <w:suppressAutoHyphens w:val="0"/>
      <w:kinsoku/>
      <w:overflowPunct/>
      <w:autoSpaceDE/>
      <w:autoSpaceDN/>
      <w:adjustRightInd/>
      <w:snapToGrid/>
      <w:spacing w:after="100" w:line="276" w:lineRule="auto"/>
      <w:ind w:left="440"/>
      <w:jc w:val="both"/>
    </w:pPr>
    <w:rPr>
      <w:rFonts w:eastAsia="Times New Roman"/>
      <w:sz w:val="24"/>
      <w:szCs w:val="24"/>
      <w:highlight w:val="white"/>
      <w:lang w:val="fr-FR" w:eastAsia="fr-FR"/>
    </w:rPr>
  </w:style>
  <w:style w:type="paragraph" w:styleId="TOC2">
    <w:name w:val="toc 2"/>
    <w:basedOn w:val="Normal"/>
    <w:next w:val="Normal"/>
    <w:autoRedefine/>
    <w:uiPriority w:val="39"/>
    <w:unhideWhenUsed/>
    <w:qFormat/>
    <w:rsid w:val="00CE418E"/>
    <w:pPr>
      <w:suppressAutoHyphens w:val="0"/>
      <w:kinsoku/>
      <w:overflowPunct/>
      <w:autoSpaceDE/>
      <w:autoSpaceDN/>
      <w:adjustRightInd/>
      <w:snapToGrid/>
      <w:spacing w:after="100" w:line="276" w:lineRule="auto"/>
      <w:ind w:left="220"/>
      <w:jc w:val="both"/>
    </w:pPr>
    <w:rPr>
      <w:rFonts w:eastAsia="Times New Roman"/>
      <w:sz w:val="24"/>
      <w:szCs w:val="24"/>
      <w:highlight w:val="white"/>
      <w:lang w:val="fr-FR" w:eastAsia="fr-FR"/>
    </w:rPr>
  </w:style>
  <w:style w:type="paragraph" w:styleId="TOC1">
    <w:name w:val="toc 1"/>
    <w:basedOn w:val="Normal"/>
    <w:next w:val="Normal"/>
    <w:autoRedefine/>
    <w:uiPriority w:val="39"/>
    <w:unhideWhenUsed/>
    <w:qFormat/>
    <w:rsid w:val="00CE418E"/>
    <w:pPr>
      <w:suppressAutoHyphens w:val="0"/>
      <w:kinsoku/>
      <w:overflowPunct/>
      <w:autoSpaceDE/>
      <w:autoSpaceDN/>
      <w:adjustRightInd/>
      <w:snapToGrid/>
      <w:spacing w:after="100" w:line="276" w:lineRule="auto"/>
      <w:jc w:val="both"/>
    </w:pPr>
    <w:rPr>
      <w:rFonts w:eastAsia="Times New Roman"/>
      <w:sz w:val="24"/>
      <w:szCs w:val="24"/>
      <w:highlight w:val="white"/>
      <w:lang w:val="fr-FR" w:eastAsia="fr-FR"/>
    </w:rPr>
  </w:style>
  <w:style w:type="paragraph" w:styleId="TOC4">
    <w:name w:val="toc 4"/>
    <w:basedOn w:val="Normal"/>
    <w:next w:val="Normal"/>
    <w:autoRedefine/>
    <w:uiPriority w:val="39"/>
    <w:unhideWhenUsed/>
    <w:rsid w:val="00CE418E"/>
    <w:pPr>
      <w:suppressAutoHyphens w:val="0"/>
      <w:kinsoku/>
      <w:overflowPunct/>
      <w:autoSpaceDE/>
      <w:autoSpaceDN/>
      <w:adjustRightInd/>
      <w:snapToGrid/>
      <w:spacing w:after="100" w:line="276" w:lineRule="auto"/>
      <w:ind w:left="660"/>
      <w:jc w:val="both"/>
    </w:pPr>
    <w:rPr>
      <w:rFonts w:eastAsia="Times New Roman"/>
      <w:sz w:val="24"/>
      <w:szCs w:val="24"/>
      <w:highlight w:val="white"/>
      <w:lang w:val="fr-FR" w:eastAsia="fr-FR"/>
    </w:rPr>
  </w:style>
  <w:style w:type="paragraph" w:styleId="TOC5">
    <w:name w:val="toc 5"/>
    <w:basedOn w:val="Normal"/>
    <w:next w:val="Normal"/>
    <w:autoRedefine/>
    <w:uiPriority w:val="39"/>
    <w:unhideWhenUsed/>
    <w:rsid w:val="00CE418E"/>
    <w:pPr>
      <w:suppressAutoHyphens w:val="0"/>
      <w:kinsoku/>
      <w:overflowPunct/>
      <w:autoSpaceDE/>
      <w:autoSpaceDN/>
      <w:adjustRightInd/>
      <w:snapToGrid/>
      <w:spacing w:after="100" w:line="276" w:lineRule="auto"/>
      <w:ind w:left="880"/>
      <w:jc w:val="both"/>
    </w:pPr>
    <w:rPr>
      <w:rFonts w:eastAsia="Times New Roman"/>
      <w:sz w:val="24"/>
      <w:szCs w:val="24"/>
      <w:highlight w:val="white"/>
      <w:lang w:val="fr-FR" w:eastAsia="fr-FR"/>
    </w:rPr>
  </w:style>
  <w:style w:type="table" w:customStyle="1" w:styleId="Grilledutableau1">
    <w:name w:val="Grille du tableau1"/>
    <w:basedOn w:val="TableNormal"/>
    <w:next w:val="TableGrid"/>
    <w:uiPriority w:val="39"/>
    <w:rsid w:val="00CE418E"/>
    <w:pPr>
      <w:spacing w:after="0" w:line="240" w:lineRule="auto"/>
      <w:jc w:val="both"/>
    </w:pPr>
    <w:rPr>
      <w:rFonts w:ascii="Times New Roman" w:eastAsia="Times New Roman" w:hAnsi="Times New Roman" w:cs="Times New Roman"/>
      <w:sz w:val="24"/>
      <w:szCs w:val="24"/>
      <w:highlight w:val="white"/>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CE418E"/>
    <w:pPr>
      <w:keepNext/>
      <w:keepLines/>
      <w:suppressAutoHyphens w:val="0"/>
      <w:kinsoku/>
      <w:overflowPunct/>
      <w:autoSpaceDE/>
      <w:autoSpaceDN/>
      <w:adjustRightInd/>
      <w:snapToGrid/>
      <w:spacing w:before="360" w:after="80" w:line="276" w:lineRule="auto"/>
      <w:jc w:val="both"/>
    </w:pPr>
    <w:rPr>
      <w:rFonts w:ascii="Georgia" w:eastAsia="Georgia" w:hAnsi="Georgia" w:cs="Georgia"/>
      <w:i/>
      <w:color w:val="666666"/>
      <w:sz w:val="48"/>
      <w:szCs w:val="48"/>
      <w:highlight w:val="white"/>
      <w:lang w:val="fr-FR" w:eastAsia="fr-FR"/>
    </w:rPr>
  </w:style>
  <w:style w:type="character" w:customStyle="1" w:styleId="SubtitleChar">
    <w:name w:val="Subtitle Char"/>
    <w:basedOn w:val="DefaultParagraphFont"/>
    <w:link w:val="Subtitle"/>
    <w:rsid w:val="00CE418E"/>
    <w:rPr>
      <w:rFonts w:ascii="Georgia" w:eastAsia="Georgia" w:hAnsi="Georgia" w:cs="Georgia"/>
      <w:i/>
      <w:color w:val="666666"/>
      <w:sz w:val="48"/>
      <w:szCs w:val="48"/>
      <w:highlight w:val="white"/>
      <w:lang w:val="fr-FR" w:eastAsia="fr-FR"/>
    </w:rPr>
  </w:style>
  <w:style w:type="paragraph" w:styleId="TableofFigures">
    <w:name w:val="table of figures"/>
    <w:basedOn w:val="Normal"/>
    <w:next w:val="Normal"/>
    <w:semiHidden/>
    <w:rsid w:val="00A454AE"/>
    <w:pPr>
      <w:suppressAutoHyphens w:val="0"/>
      <w:kinsoku/>
      <w:overflowPunct/>
      <w:autoSpaceDE/>
      <w:autoSpaceDN/>
      <w:adjustRightInd/>
      <w:snapToGrid/>
      <w:spacing w:after="120" w:line="360" w:lineRule="auto"/>
      <w:ind w:left="425" w:hanging="425"/>
      <w:jc w:val="both"/>
    </w:pPr>
    <w:rPr>
      <w:rFonts w:eastAsia="Times New Roman"/>
      <w:sz w:val="24"/>
      <w:lang w:eastAsia="fr-CH" w:bidi="fr-CH"/>
    </w:rPr>
  </w:style>
  <w:style w:type="paragraph" w:styleId="ListBullet">
    <w:name w:val="List Bullet"/>
    <w:basedOn w:val="Normal"/>
    <w:semiHidden/>
    <w:rsid w:val="00A454AE"/>
    <w:pPr>
      <w:numPr>
        <w:numId w:val="5"/>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Bullet2">
    <w:name w:val="List Bullet 2"/>
    <w:basedOn w:val="ListBullet"/>
    <w:semiHidden/>
    <w:rsid w:val="00A454AE"/>
    <w:pPr>
      <w:numPr>
        <w:numId w:val="6"/>
      </w:numPr>
      <w:tabs>
        <w:tab w:val="clear" w:pos="850"/>
        <w:tab w:val="num" w:pos="360"/>
      </w:tabs>
      <w:ind w:left="0" w:firstLine="0"/>
    </w:pPr>
  </w:style>
  <w:style w:type="paragraph" w:styleId="ListBullet3">
    <w:name w:val="List Bullet 3"/>
    <w:basedOn w:val="Normal"/>
    <w:semiHidden/>
    <w:rsid w:val="00A454AE"/>
    <w:pPr>
      <w:numPr>
        <w:numId w:val="7"/>
      </w:numPr>
      <w:tabs>
        <w:tab w:val="clear" w:pos="1276"/>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Bullet4">
    <w:name w:val="List Bullet 4"/>
    <w:basedOn w:val="Normal"/>
    <w:semiHidden/>
    <w:rsid w:val="00A454AE"/>
    <w:pPr>
      <w:numPr>
        <w:numId w:val="8"/>
      </w:numPr>
      <w:tabs>
        <w:tab w:val="clear" w:pos="1701"/>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Bullet5">
    <w:name w:val="List Bullet 5"/>
    <w:basedOn w:val="Normal"/>
    <w:semiHidden/>
    <w:rsid w:val="00A454AE"/>
    <w:pPr>
      <w:numPr>
        <w:numId w:val="9"/>
      </w:numPr>
      <w:tabs>
        <w:tab w:val="clear" w:pos="2126"/>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BlockText">
    <w:name w:val="Block Text"/>
    <w:basedOn w:val="Normal"/>
    <w:semiHidden/>
    <w:rsid w:val="00A454AE"/>
    <w:pPr>
      <w:suppressAutoHyphens w:val="0"/>
      <w:kinsoku/>
      <w:overflowPunct/>
      <w:autoSpaceDE/>
      <w:autoSpaceDN/>
      <w:adjustRightInd/>
      <w:snapToGrid/>
      <w:spacing w:after="120" w:line="360" w:lineRule="auto"/>
      <w:ind w:left="851" w:right="851"/>
      <w:jc w:val="both"/>
    </w:pPr>
    <w:rPr>
      <w:rFonts w:eastAsia="Times New Roman"/>
      <w:sz w:val="24"/>
      <w:lang w:eastAsia="fr-CH" w:bidi="fr-CH"/>
    </w:rPr>
  </w:style>
  <w:style w:type="paragraph" w:styleId="Closing">
    <w:name w:val="Closing"/>
    <w:basedOn w:val="Normal"/>
    <w:link w:val="ClosingChar"/>
    <w:semiHidden/>
    <w:rsid w:val="00A454AE"/>
    <w:pPr>
      <w:suppressAutoHyphens w:val="0"/>
      <w:kinsoku/>
      <w:overflowPunct/>
      <w:autoSpaceDE/>
      <w:autoSpaceDN/>
      <w:adjustRightInd/>
      <w:snapToGrid/>
      <w:spacing w:after="120" w:line="360" w:lineRule="auto"/>
      <w:ind w:left="4252"/>
      <w:jc w:val="both"/>
    </w:pPr>
    <w:rPr>
      <w:rFonts w:eastAsia="Times New Roman"/>
      <w:sz w:val="24"/>
      <w:lang w:eastAsia="fr-CH" w:bidi="fr-CH"/>
    </w:rPr>
  </w:style>
  <w:style w:type="character" w:customStyle="1" w:styleId="ClosingChar">
    <w:name w:val="Closing Char"/>
    <w:basedOn w:val="DefaultParagraphFont"/>
    <w:link w:val="Closing"/>
    <w:semiHidden/>
    <w:rsid w:val="00A454AE"/>
    <w:rPr>
      <w:rFonts w:ascii="Times New Roman" w:eastAsia="Times New Roman" w:hAnsi="Times New Roman" w:cs="Times New Roman"/>
      <w:sz w:val="24"/>
      <w:szCs w:val="20"/>
      <w:lang w:eastAsia="fr-CH" w:bidi="fr-CH"/>
    </w:rPr>
  </w:style>
  <w:style w:type="paragraph" w:styleId="Index1">
    <w:name w:val="index 1"/>
    <w:basedOn w:val="Normal"/>
    <w:next w:val="Normal"/>
    <w:semiHidden/>
    <w:rsid w:val="00A454AE"/>
    <w:pPr>
      <w:suppressAutoHyphens w:val="0"/>
      <w:kinsoku/>
      <w:overflowPunct/>
      <w:autoSpaceDE/>
      <w:autoSpaceDN/>
      <w:adjustRightInd/>
      <w:snapToGrid/>
      <w:spacing w:after="120" w:line="360" w:lineRule="auto"/>
      <w:ind w:left="425" w:hanging="425"/>
      <w:jc w:val="both"/>
    </w:pPr>
    <w:rPr>
      <w:rFonts w:eastAsia="Times New Roman"/>
      <w:sz w:val="24"/>
      <w:lang w:eastAsia="fr-CH" w:bidi="fr-CH"/>
    </w:rPr>
  </w:style>
  <w:style w:type="paragraph" w:styleId="Index2">
    <w:name w:val="index 2"/>
    <w:basedOn w:val="Normal"/>
    <w:next w:val="Normal"/>
    <w:semiHidden/>
    <w:rsid w:val="00A454AE"/>
    <w:pPr>
      <w:suppressAutoHyphens w:val="0"/>
      <w:kinsoku/>
      <w:overflowPunct/>
      <w:autoSpaceDE/>
      <w:autoSpaceDN/>
      <w:adjustRightInd/>
      <w:snapToGrid/>
      <w:spacing w:after="120" w:line="360" w:lineRule="auto"/>
      <w:ind w:left="851" w:hanging="851"/>
      <w:jc w:val="both"/>
    </w:pPr>
    <w:rPr>
      <w:rFonts w:eastAsia="Times New Roman"/>
      <w:sz w:val="24"/>
      <w:lang w:eastAsia="fr-CH" w:bidi="fr-CH"/>
    </w:rPr>
  </w:style>
  <w:style w:type="paragraph" w:styleId="Index3">
    <w:name w:val="index 3"/>
    <w:basedOn w:val="Normal"/>
    <w:next w:val="Normal"/>
    <w:semiHidden/>
    <w:rsid w:val="00A454AE"/>
    <w:pPr>
      <w:suppressAutoHyphens w:val="0"/>
      <w:kinsoku/>
      <w:overflowPunct/>
      <w:autoSpaceDE/>
      <w:autoSpaceDN/>
      <w:adjustRightInd/>
      <w:snapToGrid/>
      <w:spacing w:after="120" w:line="360" w:lineRule="auto"/>
      <w:ind w:left="1276" w:hanging="1276"/>
      <w:jc w:val="both"/>
    </w:pPr>
    <w:rPr>
      <w:rFonts w:eastAsia="Times New Roman"/>
      <w:sz w:val="24"/>
      <w:lang w:eastAsia="fr-CH" w:bidi="fr-CH"/>
    </w:rPr>
  </w:style>
  <w:style w:type="paragraph" w:styleId="Index4">
    <w:name w:val="index 4"/>
    <w:basedOn w:val="Normal"/>
    <w:next w:val="Normal"/>
    <w:semiHidden/>
    <w:rsid w:val="00A454AE"/>
    <w:pPr>
      <w:suppressAutoHyphens w:val="0"/>
      <w:kinsoku/>
      <w:overflowPunct/>
      <w:autoSpaceDE/>
      <w:autoSpaceDN/>
      <w:adjustRightInd/>
      <w:snapToGrid/>
      <w:spacing w:after="120" w:line="360" w:lineRule="auto"/>
      <w:ind w:left="1701" w:hanging="1701"/>
      <w:jc w:val="both"/>
    </w:pPr>
    <w:rPr>
      <w:rFonts w:eastAsia="Times New Roman"/>
      <w:sz w:val="24"/>
      <w:lang w:eastAsia="fr-CH" w:bidi="fr-CH"/>
    </w:rPr>
  </w:style>
  <w:style w:type="paragraph" w:styleId="Index5">
    <w:name w:val="index 5"/>
    <w:basedOn w:val="Normal"/>
    <w:next w:val="Normal"/>
    <w:semiHidden/>
    <w:rsid w:val="00A454AE"/>
    <w:pPr>
      <w:suppressAutoHyphens w:val="0"/>
      <w:kinsoku/>
      <w:overflowPunct/>
      <w:autoSpaceDE/>
      <w:autoSpaceDN/>
      <w:adjustRightInd/>
      <w:snapToGrid/>
      <w:spacing w:after="120" w:line="360" w:lineRule="auto"/>
      <w:ind w:left="2126" w:hanging="2126"/>
      <w:jc w:val="both"/>
    </w:pPr>
    <w:rPr>
      <w:rFonts w:eastAsia="Times New Roman"/>
      <w:sz w:val="24"/>
      <w:lang w:eastAsia="fr-CH" w:bidi="fr-CH"/>
    </w:rPr>
  </w:style>
  <w:style w:type="paragraph" w:styleId="Index6">
    <w:name w:val="index 6"/>
    <w:basedOn w:val="Normal"/>
    <w:next w:val="Normal"/>
    <w:semiHidden/>
    <w:rsid w:val="00A454AE"/>
    <w:pPr>
      <w:suppressAutoHyphens w:val="0"/>
      <w:kinsoku/>
      <w:overflowPunct/>
      <w:autoSpaceDE/>
      <w:autoSpaceDN/>
      <w:adjustRightInd/>
      <w:snapToGrid/>
      <w:spacing w:after="120" w:line="360" w:lineRule="auto"/>
      <w:ind w:left="2552" w:hanging="2552"/>
      <w:jc w:val="both"/>
    </w:pPr>
    <w:rPr>
      <w:rFonts w:eastAsia="Times New Roman"/>
      <w:sz w:val="24"/>
      <w:lang w:eastAsia="fr-CH" w:bidi="fr-CH"/>
    </w:rPr>
  </w:style>
  <w:style w:type="paragraph" w:styleId="Index7">
    <w:name w:val="index 7"/>
    <w:basedOn w:val="Normal"/>
    <w:next w:val="Normal"/>
    <w:semiHidden/>
    <w:rsid w:val="00A454AE"/>
    <w:pPr>
      <w:suppressAutoHyphens w:val="0"/>
      <w:kinsoku/>
      <w:overflowPunct/>
      <w:autoSpaceDE/>
      <w:autoSpaceDN/>
      <w:adjustRightInd/>
      <w:snapToGrid/>
      <w:spacing w:after="120" w:line="360" w:lineRule="auto"/>
      <w:ind w:left="2977" w:hanging="2977"/>
      <w:jc w:val="both"/>
    </w:pPr>
    <w:rPr>
      <w:rFonts w:eastAsia="Times New Roman"/>
      <w:sz w:val="24"/>
      <w:lang w:eastAsia="fr-CH" w:bidi="fr-CH"/>
    </w:rPr>
  </w:style>
  <w:style w:type="paragraph" w:styleId="Index8">
    <w:name w:val="index 8"/>
    <w:basedOn w:val="Normal"/>
    <w:next w:val="Normal"/>
    <w:semiHidden/>
    <w:rsid w:val="00A454AE"/>
    <w:pPr>
      <w:suppressAutoHyphens w:val="0"/>
      <w:kinsoku/>
      <w:overflowPunct/>
      <w:autoSpaceDE/>
      <w:autoSpaceDN/>
      <w:adjustRightInd/>
      <w:snapToGrid/>
      <w:spacing w:after="120" w:line="360" w:lineRule="auto"/>
      <w:ind w:left="3402" w:hanging="3402"/>
      <w:jc w:val="both"/>
    </w:pPr>
    <w:rPr>
      <w:rFonts w:eastAsia="Times New Roman"/>
      <w:sz w:val="24"/>
      <w:lang w:eastAsia="fr-CH" w:bidi="fr-CH"/>
    </w:rPr>
  </w:style>
  <w:style w:type="paragraph" w:styleId="Index9">
    <w:name w:val="index 9"/>
    <w:basedOn w:val="Normal"/>
    <w:next w:val="Normal"/>
    <w:semiHidden/>
    <w:rsid w:val="00A454AE"/>
    <w:pPr>
      <w:suppressAutoHyphens w:val="0"/>
      <w:kinsoku/>
      <w:overflowPunct/>
      <w:autoSpaceDE/>
      <w:autoSpaceDN/>
      <w:adjustRightInd/>
      <w:snapToGrid/>
      <w:spacing w:after="120" w:line="360" w:lineRule="auto"/>
      <w:ind w:left="3827" w:hanging="3827"/>
      <w:jc w:val="both"/>
    </w:pPr>
    <w:rPr>
      <w:rFonts w:eastAsia="Times New Roman"/>
      <w:sz w:val="24"/>
      <w:lang w:eastAsia="fr-CH" w:bidi="fr-CH"/>
    </w:rPr>
  </w:style>
  <w:style w:type="paragraph" w:customStyle="1" w:styleId="KopfzeileDepartement">
    <w:name w:val="KopfzeileDepartement"/>
    <w:basedOn w:val="Header"/>
    <w:next w:val="Header"/>
    <w:rsid w:val="00A454AE"/>
    <w:pPr>
      <w:pBdr>
        <w:bottom w:val="none" w:sz="0" w:space="0" w:color="auto"/>
      </w:pBdr>
      <w:kinsoku/>
      <w:overflowPunct/>
      <w:autoSpaceDE/>
      <w:autoSpaceDN/>
      <w:adjustRightInd/>
      <w:snapToGrid/>
      <w:spacing w:after="80" w:line="200" w:lineRule="atLeast"/>
      <w:jc w:val="both"/>
    </w:pPr>
    <w:rPr>
      <w:rFonts w:eastAsia="Times New Roman"/>
      <w:b w:val="0"/>
      <w:sz w:val="15"/>
      <w:lang w:eastAsia="fr-CH" w:bidi="fr-CH"/>
    </w:rPr>
  </w:style>
  <w:style w:type="paragraph" w:customStyle="1" w:styleId="KopfzeileFett">
    <w:name w:val="KopfzeileFett"/>
    <w:basedOn w:val="Header"/>
    <w:next w:val="Header"/>
    <w:rsid w:val="00A454AE"/>
    <w:pPr>
      <w:pBdr>
        <w:bottom w:val="none" w:sz="0" w:space="0" w:color="auto"/>
      </w:pBdr>
      <w:kinsoku/>
      <w:overflowPunct/>
      <w:autoSpaceDE/>
      <w:autoSpaceDN/>
      <w:adjustRightInd/>
      <w:snapToGrid/>
      <w:spacing w:after="120" w:line="200" w:lineRule="atLeast"/>
      <w:jc w:val="both"/>
    </w:pPr>
    <w:rPr>
      <w:rFonts w:eastAsia="Times New Roman"/>
      <w:sz w:val="15"/>
      <w:lang w:eastAsia="fr-CH" w:bidi="fr-CH"/>
    </w:rPr>
  </w:style>
  <w:style w:type="paragraph" w:styleId="List">
    <w:name w:val="List"/>
    <w:basedOn w:val="Normal"/>
    <w:semiHidden/>
    <w:rsid w:val="00A454AE"/>
    <w:pPr>
      <w:numPr>
        <w:numId w:val="10"/>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2">
    <w:name w:val="List 2"/>
    <w:basedOn w:val="Normal"/>
    <w:semiHidden/>
    <w:rsid w:val="00A454AE"/>
    <w:pPr>
      <w:numPr>
        <w:numId w:val="11"/>
      </w:numPr>
      <w:tabs>
        <w:tab w:val="clear" w:pos="85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3">
    <w:name w:val="List 3"/>
    <w:basedOn w:val="Normal"/>
    <w:semiHidden/>
    <w:rsid w:val="00A454AE"/>
    <w:pPr>
      <w:numPr>
        <w:numId w:val="12"/>
      </w:numPr>
      <w:tabs>
        <w:tab w:val="clear" w:pos="1276"/>
        <w:tab w:val="num" w:pos="360"/>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4">
    <w:name w:val="List 4"/>
    <w:basedOn w:val="Normal"/>
    <w:semiHidden/>
    <w:rsid w:val="00A454AE"/>
    <w:pPr>
      <w:numPr>
        <w:numId w:val="13"/>
      </w:numPr>
      <w:tabs>
        <w:tab w:val="clear" w:pos="170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5">
    <w:name w:val="List 5"/>
    <w:basedOn w:val="Normal"/>
    <w:semiHidden/>
    <w:rsid w:val="00A454AE"/>
    <w:pPr>
      <w:numPr>
        <w:numId w:val="14"/>
      </w:numPr>
      <w:tabs>
        <w:tab w:val="clear" w:pos="212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
    <w:name w:val="List Continue"/>
    <w:basedOn w:val="Normal"/>
    <w:semiHidden/>
    <w:rsid w:val="00A454AE"/>
    <w:pPr>
      <w:numPr>
        <w:numId w:val="15"/>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2">
    <w:name w:val="List Continue 2"/>
    <w:basedOn w:val="Normal"/>
    <w:semiHidden/>
    <w:rsid w:val="00A454AE"/>
    <w:pPr>
      <w:numPr>
        <w:numId w:val="16"/>
      </w:numPr>
      <w:tabs>
        <w:tab w:val="clear" w:pos="85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3">
    <w:name w:val="List Continue 3"/>
    <w:basedOn w:val="Normal"/>
    <w:semiHidden/>
    <w:rsid w:val="00A454AE"/>
    <w:pPr>
      <w:numPr>
        <w:numId w:val="17"/>
      </w:numPr>
      <w:tabs>
        <w:tab w:val="clear" w:pos="127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4">
    <w:name w:val="List Continue 4"/>
    <w:basedOn w:val="Normal"/>
    <w:semiHidden/>
    <w:rsid w:val="00A454AE"/>
    <w:pPr>
      <w:numPr>
        <w:numId w:val="18"/>
      </w:numPr>
      <w:tabs>
        <w:tab w:val="clear" w:pos="170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Continue5">
    <w:name w:val="List Continue 5"/>
    <w:basedOn w:val="Normal"/>
    <w:semiHidden/>
    <w:rsid w:val="00A454AE"/>
    <w:pPr>
      <w:numPr>
        <w:numId w:val="19"/>
      </w:numPr>
      <w:tabs>
        <w:tab w:val="clear" w:pos="212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
    <w:name w:val="List Number"/>
    <w:basedOn w:val="Normal"/>
    <w:semiHidden/>
    <w:rsid w:val="00A454AE"/>
    <w:pPr>
      <w:numPr>
        <w:numId w:val="20"/>
      </w:numPr>
      <w:tabs>
        <w:tab w:val="clear" w:pos="360"/>
        <w:tab w:val="num"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2">
    <w:name w:val="List Number 2"/>
    <w:basedOn w:val="Normal"/>
    <w:semiHidden/>
    <w:rsid w:val="00A454AE"/>
    <w:pPr>
      <w:numPr>
        <w:numId w:val="21"/>
      </w:numPr>
      <w:tabs>
        <w:tab w:val="clear" w:pos="643"/>
        <w:tab w:val="num" w:pos="85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3">
    <w:name w:val="List Number 3"/>
    <w:basedOn w:val="Normal"/>
    <w:semiHidden/>
    <w:rsid w:val="00A454AE"/>
    <w:pPr>
      <w:numPr>
        <w:numId w:val="22"/>
      </w:numPr>
      <w:tabs>
        <w:tab w:val="clear" w:pos="926"/>
        <w:tab w:val="num" w:pos="127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4">
    <w:name w:val="List Number 4"/>
    <w:basedOn w:val="Normal"/>
    <w:rsid w:val="00A454AE"/>
    <w:pPr>
      <w:numPr>
        <w:numId w:val="23"/>
      </w:numPr>
      <w:tabs>
        <w:tab w:val="clear" w:pos="1209"/>
        <w:tab w:val="num" w:pos="1701"/>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ListNumber5">
    <w:name w:val="List Number 5"/>
    <w:basedOn w:val="Normal"/>
    <w:semiHidden/>
    <w:rsid w:val="00A454AE"/>
    <w:pPr>
      <w:numPr>
        <w:numId w:val="24"/>
      </w:numPr>
      <w:tabs>
        <w:tab w:val="clear" w:pos="1492"/>
        <w:tab w:val="num" w:pos="2126"/>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styleId="MessageHeader">
    <w:name w:val="Message Header"/>
    <w:basedOn w:val="Normal"/>
    <w:link w:val="MessageHeaderChar"/>
    <w:semiHidden/>
    <w:rsid w:val="00A454A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spacing w:after="120" w:line="360" w:lineRule="auto"/>
      <w:ind w:left="851" w:hanging="851"/>
      <w:jc w:val="both"/>
    </w:pPr>
    <w:rPr>
      <w:rFonts w:eastAsia="Times New Roman" w:cs="Arial"/>
      <w:sz w:val="24"/>
      <w:szCs w:val="24"/>
      <w:lang w:eastAsia="fr-CH" w:bidi="fr-CH"/>
    </w:rPr>
  </w:style>
  <w:style w:type="character" w:customStyle="1" w:styleId="MessageHeaderChar">
    <w:name w:val="Message Header Char"/>
    <w:basedOn w:val="DefaultParagraphFont"/>
    <w:link w:val="MessageHeader"/>
    <w:semiHidden/>
    <w:rsid w:val="00A454AE"/>
    <w:rPr>
      <w:rFonts w:ascii="Times New Roman" w:eastAsia="Times New Roman" w:hAnsi="Times New Roman" w:cs="Arial"/>
      <w:sz w:val="24"/>
      <w:szCs w:val="24"/>
      <w:shd w:val="pct20" w:color="auto" w:fill="auto"/>
      <w:lang w:eastAsia="fr-CH" w:bidi="fr-CH"/>
    </w:rPr>
  </w:style>
  <w:style w:type="paragraph" w:styleId="TableofAuthorities">
    <w:name w:val="table of authorities"/>
    <w:basedOn w:val="Normal"/>
    <w:next w:val="Normal"/>
    <w:semiHidden/>
    <w:rsid w:val="00A454AE"/>
    <w:pPr>
      <w:suppressAutoHyphens w:val="0"/>
      <w:kinsoku/>
      <w:overflowPunct/>
      <w:autoSpaceDE/>
      <w:autoSpaceDN/>
      <w:adjustRightInd/>
      <w:snapToGrid/>
      <w:spacing w:after="120" w:line="360" w:lineRule="auto"/>
      <w:ind w:left="425" w:hanging="425"/>
      <w:jc w:val="both"/>
    </w:pPr>
    <w:rPr>
      <w:rFonts w:eastAsia="Times New Roman"/>
      <w:sz w:val="24"/>
      <w:lang w:eastAsia="fr-CH" w:bidi="fr-CH"/>
    </w:rPr>
  </w:style>
  <w:style w:type="paragraph" w:customStyle="1" w:styleId="Referenz">
    <w:name w:val="Referenz"/>
    <w:basedOn w:val="Normal"/>
    <w:rsid w:val="00A454AE"/>
    <w:pPr>
      <w:suppressAutoHyphens w:val="0"/>
      <w:kinsoku/>
      <w:overflowPunct/>
      <w:autoSpaceDE/>
      <w:autoSpaceDN/>
      <w:adjustRightInd/>
      <w:snapToGrid/>
      <w:spacing w:after="120" w:line="200" w:lineRule="atLeast"/>
      <w:jc w:val="both"/>
    </w:pPr>
    <w:rPr>
      <w:rFonts w:eastAsia="Times New Roman"/>
      <w:sz w:val="15"/>
      <w:lang w:eastAsia="fr-CH" w:bidi="fr-CH"/>
    </w:rPr>
  </w:style>
  <w:style w:type="paragraph" w:customStyle="1" w:styleId="ReferenzFett">
    <w:name w:val="ReferenzFett"/>
    <w:basedOn w:val="Referenz"/>
    <w:next w:val="Referenz"/>
    <w:rsid w:val="00A454AE"/>
    <w:rPr>
      <w:b/>
    </w:rPr>
  </w:style>
  <w:style w:type="paragraph" w:customStyle="1" w:styleId="ReferenzUnterstrichen">
    <w:name w:val="ReferenzUnterstrichen"/>
    <w:basedOn w:val="Referenz"/>
    <w:next w:val="Referenz"/>
    <w:rsid w:val="00A454AE"/>
    <w:rPr>
      <w:u w:val="single"/>
    </w:rPr>
  </w:style>
  <w:style w:type="paragraph" w:customStyle="1" w:styleId="StandardFett">
    <w:name w:val="StandardFett"/>
    <w:basedOn w:val="Normal"/>
    <w:next w:val="Normal"/>
    <w:rsid w:val="00A454AE"/>
    <w:pPr>
      <w:suppressAutoHyphens w:val="0"/>
      <w:kinsoku/>
      <w:overflowPunct/>
      <w:autoSpaceDE/>
      <w:autoSpaceDN/>
      <w:adjustRightInd/>
      <w:snapToGrid/>
      <w:spacing w:after="120" w:line="360" w:lineRule="auto"/>
      <w:jc w:val="both"/>
    </w:pPr>
    <w:rPr>
      <w:rFonts w:eastAsia="Times New Roman"/>
      <w:b/>
      <w:sz w:val="24"/>
      <w:lang w:eastAsia="fr-CH" w:bidi="fr-CH"/>
    </w:rPr>
  </w:style>
  <w:style w:type="paragraph" w:styleId="BodyTextIndent">
    <w:name w:val="Body Text Indent"/>
    <w:basedOn w:val="Normal"/>
    <w:link w:val="BodyTextIndentChar"/>
    <w:rsid w:val="00A454AE"/>
    <w:pPr>
      <w:suppressAutoHyphens w:val="0"/>
      <w:kinsoku/>
      <w:overflowPunct/>
      <w:autoSpaceDE/>
      <w:autoSpaceDN/>
      <w:adjustRightInd/>
      <w:snapToGrid/>
      <w:spacing w:after="120" w:line="360" w:lineRule="auto"/>
      <w:ind w:left="425"/>
      <w:jc w:val="both"/>
    </w:pPr>
    <w:rPr>
      <w:rFonts w:eastAsia="Times New Roman"/>
      <w:sz w:val="24"/>
      <w:lang w:eastAsia="fr-CH" w:bidi="fr-CH"/>
    </w:rPr>
  </w:style>
  <w:style w:type="character" w:customStyle="1" w:styleId="BodyTextIndentChar">
    <w:name w:val="Body Text Indent Char"/>
    <w:basedOn w:val="DefaultParagraphFont"/>
    <w:link w:val="BodyTextIndent"/>
    <w:rsid w:val="00A454AE"/>
    <w:rPr>
      <w:rFonts w:ascii="Times New Roman" w:eastAsia="Times New Roman" w:hAnsi="Times New Roman" w:cs="Times New Roman"/>
      <w:sz w:val="24"/>
      <w:szCs w:val="20"/>
      <w:lang w:eastAsia="fr-CH" w:bidi="fr-CH"/>
    </w:rPr>
  </w:style>
  <w:style w:type="paragraph" w:styleId="BodyTextIndent2">
    <w:name w:val="Body Text Indent 2"/>
    <w:basedOn w:val="Normal"/>
    <w:link w:val="BodyTextIndent2Char"/>
    <w:rsid w:val="00A454AE"/>
    <w:pPr>
      <w:suppressAutoHyphens w:val="0"/>
      <w:kinsoku/>
      <w:overflowPunct/>
      <w:autoSpaceDE/>
      <w:autoSpaceDN/>
      <w:adjustRightInd/>
      <w:snapToGrid/>
      <w:spacing w:after="120" w:line="480" w:lineRule="auto"/>
      <w:ind w:left="425"/>
      <w:jc w:val="both"/>
    </w:pPr>
    <w:rPr>
      <w:rFonts w:eastAsia="Times New Roman"/>
      <w:sz w:val="24"/>
      <w:lang w:eastAsia="fr-CH" w:bidi="fr-CH"/>
    </w:rPr>
  </w:style>
  <w:style w:type="character" w:customStyle="1" w:styleId="BodyTextIndent2Char">
    <w:name w:val="Body Text Indent 2 Char"/>
    <w:basedOn w:val="DefaultParagraphFont"/>
    <w:link w:val="BodyTextIndent2"/>
    <w:rsid w:val="00A454AE"/>
    <w:rPr>
      <w:rFonts w:ascii="Times New Roman" w:eastAsia="Times New Roman" w:hAnsi="Times New Roman" w:cs="Times New Roman"/>
      <w:sz w:val="24"/>
      <w:szCs w:val="20"/>
      <w:lang w:eastAsia="fr-CH" w:bidi="fr-CH"/>
    </w:rPr>
  </w:style>
  <w:style w:type="paragraph" w:styleId="BodyTextIndent3">
    <w:name w:val="Body Text Indent 3"/>
    <w:basedOn w:val="Normal"/>
    <w:link w:val="BodyTextIndent3Char"/>
    <w:rsid w:val="00A454AE"/>
    <w:pPr>
      <w:suppressAutoHyphens w:val="0"/>
      <w:kinsoku/>
      <w:overflowPunct/>
      <w:autoSpaceDE/>
      <w:autoSpaceDN/>
      <w:adjustRightInd/>
      <w:snapToGrid/>
      <w:spacing w:after="120" w:line="360" w:lineRule="auto"/>
      <w:ind w:left="425"/>
      <w:jc w:val="both"/>
    </w:pPr>
    <w:rPr>
      <w:rFonts w:eastAsia="Times New Roman"/>
      <w:sz w:val="16"/>
      <w:szCs w:val="16"/>
      <w:lang w:eastAsia="fr-CH" w:bidi="fr-CH"/>
    </w:rPr>
  </w:style>
  <w:style w:type="character" w:customStyle="1" w:styleId="BodyTextIndent3Char">
    <w:name w:val="Body Text Indent 3 Char"/>
    <w:basedOn w:val="DefaultParagraphFont"/>
    <w:link w:val="BodyTextIndent3"/>
    <w:rsid w:val="00A454AE"/>
    <w:rPr>
      <w:rFonts w:ascii="Times New Roman" w:eastAsia="Times New Roman" w:hAnsi="Times New Roman" w:cs="Times New Roman"/>
      <w:sz w:val="16"/>
      <w:szCs w:val="16"/>
      <w:lang w:eastAsia="fr-CH" w:bidi="fr-CH"/>
    </w:rPr>
  </w:style>
  <w:style w:type="paragraph" w:styleId="BodyTextFirstIndent">
    <w:name w:val="Body Text First Indent"/>
    <w:basedOn w:val="BodyText"/>
    <w:link w:val="BodyTextFirstIndentChar"/>
    <w:semiHidden/>
    <w:rsid w:val="00A454AE"/>
    <w:pPr>
      <w:spacing w:line="360" w:lineRule="auto"/>
      <w:ind w:firstLine="425"/>
      <w:jc w:val="both"/>
    </w:pPr>
    <w:rPr>
      <w:rFonts w:ascii="Times New Roman" w:eastAsia="Times New Roman" w:hAnsi="Times New Roman"/>
      <w:sz w:val="24"/>
      <w:lang w:val="fr-CH" w:eastAsia="fr-CH" w:bidi="fr-CH"/>
    </w:rPr>
  </w:style>
  <w:style w:type="character" w:customStyle="1" w:styleId="BodyTextFirstIndentChar">
    <w:name w:val="Body Text First Indent Char"/>
    <w:basedOn w:val="BodyTextChar"/>
    <w:link w:val="BodyTextFirstIndent"/>
    <w:semiHidden/>
    <w:rsid w:val="00A454AE"/>
    <w:rPr>
      <w:rFonts w:ascii="Times New Roman" w:eastAsia="Times New Roman" w:hAnsi="Times New Roman" w:cs="Times New Roman"/>
      <w:sz w:val="24"/>
      <w:szCs w:val="20"/>
      <w:lang w:val="fr-FR" w:eastAsia="fr-CH" w:bidi="fr-CH"/>
    </w:rPr>
  </w:style>
  <w:style w:type="paragraph" w:styleId="BodyTextFirstIndent2">
    <w:name w:val="Body Text First Indent 2"/>
    <w:basedOn w:val="BodyTextIndent"/>
    <w:link w:val="BodyTextFirstIndent2Char"/>
    <w:semiHidden/>
    <w:rsid w:val="00A454AE"/>
    <w:pPr>
      <w:ind w:firstLine="879"/>
    </w:pPr>
  </w:style>
  <w:style w:type="character" w:customStyle="1" w:styleId="BodyTextFirstIndent2Char">
    <w:name w:val="Body Text First Indent 2 Char"/>
    <w:basedOn w:val="BodyTextIndentChar"/>
    <w:link w:val="BodyTextFirstIndent2"/>
    <w:semiHidden/>
    <w:rsid w:val="00A454AE"/>
    <w:rPr>
      <w:rFonts w:ascii="Times New Roman" w:eastAsia="Times New Roman" w:hAnsi="Times New Roman" w:cs="Times New Roman"/>
      <w:sz w:val="24"/>
      <w:szCs w:val="20"/>
      <w:lang w:eastAsia="fr-CH" w:bidi="fr-CH"/>
    </w:rPr>
  </w:style>
  <w:style w:type="character" w:styleId="LineNumber">
    <w:name w:val="line number"/>
    <w:basedOn w:val="DefaultParagraphFont"/>
    <w:semiHidden/>
    <w:rsid w:val="00A454AE"/>
  </w:style>
  <w:style w:type="paragraph" w:styleId="Salutation">
    <w:name w:val="Salutation"/>
    <w:basedOn w:val="Normal"/>
    <w:next w:val="Normal"/>
    <w:link w:val="SalutationChar"/>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SalutationChar">
    <w:name w:val="Salutation Char"/>
    <w:basedOn w:val="DefaultParagraphFont"/>
    <w:link w:val="Salutation"/>
    <w:rsid w:val="00A454AE"/>
    <w:rPr>
      <w:rFonts w:ascii="Times New Roman" w:eastAsia="Times New Roman" w:hAnsi="Times New Roman" w:cs="Times New Roman"/>
      <w:sz w:val="24"/>
      <w:szCs w:val="20"/>
      <w:lang w:eastAsia="fr-CH" w:bidi="fr-CH"/>
    </w:rPr>
  </w:style>
  <w:style w:type="paragraph" w:styleId="Caption">
    <w:name w:val="caption"/>
    <w:basedOn w:val="Normal"/>
    <w:next w:val="Normal"/>
    <w:qFormat/>
    <w:rsid w:val="00A454AE"/>
    <w:pPr>
      <w:suppressAutoHyphens w:val="0"/>
      <w:kinsoku/>
      <w:overflowPunct/>
      <w:autoSpaceDE/>
      <w:autoSpaceDN/>
      <w:adjustRightInd/>
      <w:snapToGrid/>
      <w:spacing w:before="120" w:after="120" w:line="360" w:lineRule="auto"/>
      <w:jc w:val="both"/>
    </w:pPr>
    <w:rPr>
      <w:rFonts w:eastAsia="Times New Roman"/>
      <w:b/>
      <w:bCs/>
      <w:sz w:val="24"/>
      <w:lang w:eastAsia="fr-CH" w:bidi="fr-CH"/>
    </w:rPr>
  </w:style>
  <w:style w:type="paragraph" w:styleId="Date">
    <w:name w:val="Date"/>
    <w:basedOn w:val="Normal"/>
    <w:next w:val="Normal"/>
    <w:link w:val="DateChar"/>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DateChar">
    <w:name w:val="Date Char"/>
    <w:basedOn w:val="DefaultParagraphFont"/>
    <w:link w:val="Date"/>
    <w:rsid w:val="00A454AE"/>
    <w:rPr>
      <w:rFonts w:ascii="Times New Roman" w:eastAsia="Times New Roman" w:hAnsi="Times New Roman" w:cs="Times New Roman"/>
      <w:sz w:val="24"/>
      <w:szCs w:val="20"/>
      <w:lang w:eastAsia="fr-CH" w:bidi="fr-CH"/>
    </w:rPr>
  </w:style>
  <w:style w:type="paragraph" w:styleId="DocumentMap">
    <w:name w:val="Document Map"/>
    <w:basedOn w:val="Normal"/>
    <w:link w:val="DocumentMapChar"/>
    <w:semiHidden/>
    <w:rsid w:val="00A454AE"/>
    <w:pPr>
      <w:shd w:val="clear" w:color="auto" w:fill="000080"/>
      <w:suppressAutoHyphens w:val="0"/>
      <w:kinsoku/>
      <w:overflowPunct/>
      <w:autoSpaceDE/>
      <w:autoSpaceDN/>
      <w:adjustRightInd/>
      <w:snapToGrid/>
      <w:spacing w:after="120" w:line="360" w:lineRule="auto"/>
      <w:jc w:val="both"/>
    </w:pPr>
    <w:rPr>
      <w:rFonts w:ascii="Tahoma" w:eastAsia="Times New Roman" w:hAnsi="Tahoma" w:cs="Tahoma"/>
      <w:sz w:val="24"/>
      <w:lang w:eastAsia="fr-CH" w:bidi="fr-CH"/>
    </w:rPr>
  </w:style>
  <w:style w:type="character" w:customStyle="1" w:styleId="DocumentMapChar">
    <w:name w:val="Document Map Char"/>
    <w:basedOn w:val="DefaultParagraphFont"/>
    <w:link w:val="DocumentMap"/>
    <w:semiHidden/>
    <w:rsid w:val="00A454AE"/>
    <w:rPr>
      <w:rFonts w:ascii="Tahoma" w:eastAsia="Times New Roman" w:hAnsi="Tahoma" w:cs="Tahoma"/>
      <w:sz w:val="24"/>
      <w:szCs w:val="20"/>
      <w:shd w:val="clear" w:color="auto" w:fill="000080"/>
      <w:lang w:eastAsia="fr-CH" w:bidi="fr-CH"/>
    </w:rPr>
  </w:style>
  <w:style w:type="paragraph" w:styleId="E-mailSignature">
    <w:name w:val="E-mail Signature"/>
    <w:basedOn w:val="Normal"/>
    <w:link w:val="E-mailSignatureChar"/>
    <w:semiHidden/>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E-mailSignatureChar">
    <w:name w:val="E-mail Signature Char"/>
    <w:basedOn w:val="DefaultParagraphFont"/>
    <w:link w:val="E-mailSignature"/>
    <w:semiHidden/>
    <w:rsid w:val="00A454AE"/>
    <w:rPr>
      <w:rFonts w:ascii="Times New Roman" w:eastAsia="Times New Roman" w:hAnsi="Times New Roman" w:cs="Times New Roman"/>
      <w:sz w:val="24"/>
      <w:szCs w:val="20"/>
      <w:lang w:eastAsia="fr-CH" w:bidi="fr-CH"/>
    </w:rPr>
  </w:style>
  <w:style w:type="paragraph" w:styleId="NoteHeading">
    <w:name w:val="Note Heading"/>
    <w:basedOn w:val="Normal"/>
    <w:next w:val="Normal"/>
    <w:link w:val="NoteHeadingChar"/>
    <w:semiHidden/>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NoteHeadingChar">
    <w:name w:val="Note Heading Char"/>
    <w:basedOn w:val="DefaultParagraphFont"/>
    <w:link w:val="NoteHeading"/>
    <w:semiHidden/>
    <w:rsid w:val="00A454AE"/>
    <w:rPr>
      <w:rFonts w:ascii="Times New Roman" w:eastAsia="Times New Roman" w:hAnsi="Times New Roman" w:cs="Times New Roman"/>
      <w:sz w:val="24"/>
      <w:szCs w:val="20"/>
      <w:lang w:eastAsia="fr-CH" w:bidi="fr-CH"/>
    </w:rPr>
  </w:style>
  <w:style w:type="paragraph" w:styleId="HTMLAddress">
    <w:name w:val="HTML Address"/>
    <w:basedOn w:val="Normal"/>
    <w:link w:val="HTMLAddressChar"/>
    <w:semiHidden/>
    <w:rsid w:val="00A454AE"/>
    <w:pPr>
      <w:suppressAutoHyphens w:val="0"/>
      <w:kinsoku/>
      <w:overflowPunct/>
      <w:autoSpaceDE/>
      <w:autoSpaceDN/>
      <w:adjustRightInd/>
      <w:snapToGrid/>
      <w:spacing w:after="120" w:line="360" w:lineRule="auto"/>
      <w:jc w:val="both"/>
    </w:pPr>
    <w:rPr>
      <w:rFonts w:eastAsia="Times New Roman"/>
      <w:i/>
      <w:iCs/>
      <w:sz w:val="24"/>
      <w:lang w:eastAsia="fr-CH" w:bidi="fr-CH"/>
    </w:rPr>
  </w:style>
  <w:style w:type="character" w:customStyle="1" w:styleId="HTMLAddressChar">
    <w:name w:val="HTML Address Char"/>
    <w:basedOn w:val="DefaultParagraphFont"/>
    <w:link w:val="HTMLAddress"/>
    <w:semiHidden/>
    <w:rsid w:val="00A454AE"/>
    <w:rPr>
      <w:rFonts w:ascii="Times New Roman" w:eastAsia="Times New Roman" w:hAnsi="Times New Roman" w:cs="Times New Roman"/>
      <w:i/>
      <w:iCs/>
      <w:sz w:val="24"/>
      <w:szCs w:val="20"/>
      <w:lang w:eastAsia="fr-CH" w:bidi="fr-CH"/>
    </w:rPr>
  </w:style>
  <w:style w:type="paragraph" w:styleId="HTMLPreformatted">
    <w:name w:val="HTML Preformatted"/>
    <w:basedOn w:val="Normal"/>
    <w:link w:val="HTMLPreformattedChar"/>
    <w:uiPriority w:val="99"/>
    <w:rsid w:val="00A454AE"/>
    <w:pPr>
      <w:suppressAutoHyphens w:val="0"/>
      <w:kinsoku/>
      <w:overflowPunct/>
      <w:autoSpaceDE/>
      <w:autoSpaceDN/>
      <w:adjustRightInd/>
      <w:snapToGrid/>
      <w:spacing w:after="120" w:line="360" w:lineRule="auto"/>
      <w:jc w:val="both"/>
    </w:pPr>
    <w:rPr>
      <w:rFonts w:ascii="Courier New" w:eastAsia="Times New Roman" w:hAnsi="Courier New" w:cs="Courier New"/>
      <w:sz w:val="24"/>
      <w:lang w:eastAsia="fr-CH" w:bidi="fr-CH"/>
    </w:rPr>
  </w:style>
  <w:style w:type="character" w:customStyle="1" w:styleId="HTMLPreformattedChar">
    <w:name w:val="HTML Preformatted Char"/>
    <w:basedOn w:val="DefaultParagraphFont"/>
    <w:link w:val="HTMLPreformatted"/>
    <w:uiPriority w:val="99"/>
    <w:rsid w:val="00A454AE"/>
    <w:rPr>
      <w:rFonts w:ascii="Courier New" w:eastAsia="Times New Roman" w:hAnsi="Courier New" w:cs="Courier New"/>
      <w:sz w:val="24"/>
      <w:szCs w:val="20"/>
      <w:lang w:eastAsia="fr-CH" w:bidi="fr-CH"/>
    </w:rPr>
  </w:style>
  <w:style w:type="paragraph" w:styleId="IndexHeading">
    <w:name w:val="index heading"/>
    <w:basedOn w:val="Normal"/>
    <w:next w:val="Index1"/>
    <w:semiHidden/>
    <w:rsid w:val="00A454AE"/>
    <w:pPr>
      <w:suppressAutoHyphens w:val="0"/>
      <w:kinsoku/>
      <w:overflowPunct/>
      <w:autoSpaceDE/>
      <w:autoSpaceDN/>
      <w:adjustRightInd/>
      <w:snapToGrid/>
      <w:spacing w:after="120" w:line="360" w:lineRule="auto"/>
      <w:jc w:val="both"/>
    </w:pPr>
    <w:rPr>
      <w:rFonts w:eastAsia="Times New Roman" w:cs="Arial"/>
      <w:b/>
      <w:bCs/>
      <w:sz w:val="24"/>
      <w:lang w:eastAsia="fr-CH" w:bidi="fr-CH"/>
    </w:rPr>
  </w:style>
  <w:style w:type="paragraph" w:styleId="MacroText">
    <w:name w:val="macro"/>
    <w:link w:val="MacroTextChar"/>
    <w:semiHidden/>
    <w:rsid w:val="00A454AE"/>
    <w:pPr>
      <w:tabs>
        <w:tab w:val="left" w:pos="480"/>
        <w:tab w:val="left" w:pos="960"/>
        <w:tab w:val="left" w:pos="1440"/>
        <w:tab w:val="left" w:pos="1920"/>
        <w:tab w:val="left" w:pos="2400"/>
        <w:tab w:val="left" w:pos="2880"/>
        <w:tab w:val="left" w:pos="3360"/>
        <w:tab w:val="left" w:pos="3840"/>
        <w:tab w:val="left" w:pos="4320"/>
      </w:tabs>
      <w:spacing w:after="0" w:line="260" w:lineRule="atLeast"/>
    </w:pPr>
    <w:rPr>
      <w:rFonts w:ascii="Courier New" w:eastAsia="Times New Roman" w:hAnsi="Courier New" w:cs="Courier New"/>
      <w:sz w:val="20"/>
      <w:szCs w:val="20"/>
      <w:lang w:eastAsia="fr-CH" w:bidi="fr-CH"/>
    </w:rPr>
  </w:style>
  <w:style w:type="character" w:customStyle="1" w:styleId="MacroTextChar">
    <w:name w:val="Macro Text Char"/>
    <w:basedOn w:val="DefaultParagraphFont"/>
    <w:link w:val="MacroText"/>
    <w:semiHidden/>
    <w:rsid w:val="00A454AE"/>
    <w:rPr>
      <w:rFonts w:ascii="Courier New" w:eastAsia="Times New Roman" w:hAnsi="Courier New" w:cs="Courier New"/>
      <w:sz w:val="20"/>
      <w:szCs w:val="20"/>
      <w:lang w:eastAsia="fr-CH" w:bidi="fr-CH"/>
    </w:rPr>
  </w:style>
  <w:style w:type="paragraph" w:styleId="PlainText">
    <w:name w:val="Plain Text"/>
    <w:basedOn w:val="Normal"/>
    <w:link w:val="PlainTextChar"/>
    <w:semiHidden/>
    <w:rsid w:val="00A454AE"/>
    <w:pPr>
      <w:suppressAutoHyphens w:val="0"/>
      <w:kinsoku/>
      <w:overflowPunct/>
      <w:autoSpaceDE/>
      <w:autoSpaceDN/>
      <w:adjustRightInd/>
      <w:snapToGrid/>
      <w:spacing w:after="120" w:line="360" w:lineRule="auto"/>
      <w:jc w:val="both"/>
    </w:pPr>
    <w:rPr>
      <w:rFonts w:ascii="Courier New" w:eastAsia="Times New Roman" w:hAnsi="Courier New" w:cs="Courier New"/>
      <w:sz w:val="24"/>
      <w:lang w:eastAsia="fr-CH" w:bidi="fr-CH"/>
    </w:rPr>
  </w:style>
  <w:style w:type="character" w:customStyle="1" w:styleId="PlainTextChar">
    <w:name w:val="Plain Text Char"/>
    <w:basedOn w:val="DefaultParagraphFont"/>
    <w:link w:val="PlainText"/>
    <w:semiHidden/>
    <w:rsid w:val="00A454AE"/>
    <w:rPr>
      <w:rFonts w:ascii="Courier New" w:eastAsia="Times New Roman" w:hAnsi="Courier New" w:cs="Courier New"/>
      <w:sz w:val="24"/>
      <w:szCs w:val="20"/>
      <w:lang w:eastAsia="fr-CH" w:bidi="fr-CH"/>
    </w:rPr>
  </w:style>
  <w:style w:type="paragraph" w:styleId="TOAHeading">
    <w:name w:val="toa heading"/>
    <w:basedOn w:val="Normal"/>
    <w:next w:val="Normal"/>
    <w:semiHidden/>
    <w:rsid w:val="00A454AE"/>
    <w:pPr>
      <w:suppressAutoHyphens w:val="0"/>
      <w:kinsoku/>
      <w:overflowPunct/>
      <w:autoSpaceDE/>
      <w:autoSpaceDN/>
      <w:adjustRightInd/>
      <w:snapToGrid/>
      <w:spacing w:before="120" w:after="120" w:line="360" w:lineRule="auto"/>
      <w:jc w:val="both"/>
    </w:pPr>
    <w:rPr>
      <w:rFonts w:eastAsia="Times New Roman" w:cs="Arial"/>
      <w:b/>
      <w:bCs/>
      <w:sz w:val="24"/>
      <w:szCs w:val="24"/>
      <w:lang w:eastAsia="fr-CH" w:bidi="fr-CH"/>
    </w:rPr>
  </w:style>
  <w:style w:type="paragraph" w:styleId="NormalIndent">
    <w:name w:val="Normal Indent"/>
    <w:basedOn w:val="Normal"/>
    <w:rsid w:val="00A454AE"/>
    <w:pPr>
      <w:suppressAutoHyphens w:val="0"/>
      <w:kinsoku/>
      <w:overflowPunct/>
      <w:autoSpaceDE/>
      <w:autoSpaceDN/>
      <w:adjustRightInd/>
      <w:snapToGrid/>
      <w:spacing w:after="120" w:line="360" w:lineRule="auto"/>
      <w:ind w:left="425"/>
      <w:jc w:val="both"/>
    </w:pPr>
    <w:rPr>
      <w:rFonts w:eastAsia="Times New Roman"/>
      <w:sz w:val="24"/>
      <w:lang w:eastAsia="fr-CH" w:bidi="fr-CH"/>
    </w:rPr>
  </w:style>
  <w:style w:type="paragraph" w:styleId="BodyText2">
    <w:name w:val="Body Text 2"/>
    <w:basedOn w:val="Normal"/>
    <w:link w:val="BodyText2Char"/>
    <w:rsid w:val="00A454AE"/>
    <w:pPr>
      <w:suppressAutoHyphens w:val="0"/>
      <w:kinsoku/>
      <w:overflowPunct/>
      <w:autoSpaceDE/>
      <w:autoSpaceDN/>
      <w:adjustRightInd/>
      <w:snapToGrid/>
      <w:spacing w:after="120" w:line="480" w:lineRule="auto"/>
      <w:jc w:val="both"/>
    </w:pPr>
    <w:rPr>
      <w:rFonts w:eastAsia="Times New Roman"/>
      <w:sz w:val="24"/>
      <w:lang w:eastAsia="fr-CH" w:bidi="fr-CH"/>
    </w:rPr>
  </w:style>
  <w:style w:type="character" w:customStyle="1" w:styleId="BodyText2Char">
    <w:name w:val="Body Text 2 Char"/>
    <w:basedOn w:val="DefaultParagraphFont"/>
    <w:link w:val="BodyText2"/>
    <w:rsid w:val="00A454AE"/>
    <w:rPr>
      <w:rFonts w:ascii="Times New Roman" w:eastAsia="Times New Roman" w:hAnsi="Times New Roman" w:cs="Times New Roman"/>
      <w:sz w:val="24"/>
      <w:szCs w:val="20"/>
      <w:lang w:eastAsia="fr-CH" w:bidi="fr-CH"/>
    </w:rPr>
  </w:style>
  <w:style w:type="paragraph" w:styleId="BodyText3">
    <w:name w:val="Body Text 3"/>
    <w:basedOn w:val="Normal"/>
    <w:link w:val="BodyText3Char"/>
    <w:semiHidden/>
    <w:rsid w:val="00A454AE"/>
    <w:pPr>
      <w:suppressAutoHyphens w:val="0"/>
      <w:kinsoku/>
      <w:overflowPunct/>
      <w:autoSpaceDE/>
      <w:autoSpaceDN/>
      <w:adjustRightInd/>
      <w:snapToGrid/>
      <w:spacing w:after="120" w:line="360" w:lineRule="auto"/>
      <w:jc w:val="both"/>
    </w:pPr>
    <w:rPr>
      <w:rFonts w:eastAsia="Times New Roman"/>
      <w:sz w:val="16"/>
      <w:szCs w:val="16"/>
      <w:lang w:eastAsia="fr-CH" w:bidi="fr-CH"/>
    </w:rPr>
  </w:style>
  <w:style w:type="character" w:customStyle="1" w:styleId="BodyText3Char">
    <w:name w:val="Body Text 3 Char"/>
    <w:basedOn w:val="DefaultParagraphFont"/>
    <w:link w:val="BodyText3"/>
    <w:semiHidden/>
    <w:rsid w:val="00A454AE"/>
    <w:rPr>
      <w:rFonts w:ascii="Times New Roman" w:eastAsia="Times New Roman" w:hAnsi="Times New Roman" w:cs="Times New Roman"/>
      <w:sz w:val="16"/>
      <w:szCs w:val="16"/>
      <w:lang w:eastAsia="fr-CH" w:bidi="fr-CH"/>
    </w:rPr>
  </w:style>
  <w:style w:type="paragraph" w:styleId="EnvelopeReturn">
    <w:name w:val="envelope return"/>
    <w:basedOn w:val="Normal"/>
    <w:semiHidden/>
    <w:rsid w:val="00A454AE"/>
    <w:pPr>
      <w:suppressAutoHyphens w:val="0"/>
      <w:kinsoku/>
      <w:overflowPunct/>
      <w:autoSpaceDE/>
      <w:autoSpaceDN/>
      <w:adjustRightInd/>
      <w:snapToGrid/>
      <w:spacing w:after="120" w:line="360" w:lineRule="auto"/>
      <w:jc w:val="both"/>
    </w:pPr>
    <w:rPr>
      <w:rFonts w:eastAsia="Times New Roman" w:cs="Arial"/>
      <w:sz w:val="24"/>
      <w:lang w:eastAsia="fr-CH" w:bidi="fr-CH"/>
    </w:rPr>
  </w:style>
  <w:style w:type="paragraph" w:styleId="EnvelopeAddress">
    <w:name w:val="envelope address"/>
    <w:basedOn w:val="Normal"/>
    <w:semiHidden/>
    <w:rsid w:val="00A454AE"/>
    <w:pPr>
      <w:framePr w:w="7920" w:h="1980" w:hRule="exact" w:hSpace="180" w:wrap="auto" w:hAnchor="page" w:xAlign="center" w:yAlign="bottom"/>
      <w:suppressAutoHyphens w:val="0"/>
      <w:kinsoku/>
      <w:overflowPunct/>
      <w:autoSpaceDE/>
      <w:autoSpaceDN/>
      <w:adjustRightInd/>
      <w:snapToGrid/>
      <w:spacing w:after="120" w:line="360" w:lineRule="auto"/>
      <w:ind w:left="2880"/>
      <w:jc w:val="both"/>
    </w:pPr>
    <w:rPr>
      <w:rFonts w:eastAsia="Times New Roman" w:cs="Arial"/>
      <w:sz w:val="24"/>
      <w:szCs w:val="24"/>
      <w:lang w:eastAsia="fr-CH" w:bidi="fr-CH"/>
    </w:rPr>
  </w:style>
  <w:style w:type="paragraph" w:styleId="Signature">
    <w:name w:val="Signature"/>
    <w:basedOn w:val="Normal"/>
    <w:link w:val="SignatureChar"/>
    <w:semiHidden/>
    <w:rsid w:val="00A454AE"/>
    <w:pPr>
      <w:suppressAutoHyphens w:val="0"/>
      <w:kinsoku/>
      <w:overflowPunct/>
      <w:autoSpaceDE/>
      <w:autoSpaceDN/>
      <w:adjustRightInd/>
      <w:snapToGrid/>
      <w:spacing w:after="120" w:line="360" w:lineRule="auto"/>
      <w:ind w:left="4252"/>
      <w:jc w:val="both"/>
    </w:pPr>
    <w:rPr>
      <w:rFonts w:eastAsia="Times New Roman"/>
      <w:sz w:val="24"/>
      <w:lang w:eastAsia="fr-CH" w:bidi="fr-CH"/>
    </w:rPr>
  </w:style>
  <w:style w:type="character" w:customStyle="1" w:styleId="SignatureChar">
    <w:name w:val="Signature Char"/>
    <w:basedOn w:val="DefaultParagraphFont"/>
    <w:link w:val="Signature"/>
    <w:semiHidden/>
    <w:rsid w:val="00A454AE"/>
    <w:rPr>
      <w:rFonts w:ascii="Times New Roman" w:eastAsia="Times New Roman" w:hAnsi="Times New Roman" w:cs="Times New Roman"/>
      <w:sz w:val="24"/>
      <w:szCs w:val="20"/>
      <w:lang w:eastAsia="fr-CH" w:bidi="fr-CH"/>
    </w:rPr>
  </w:style>
  <w:style w:type="paragraph" w:styleId="TOC6">
    <w:name w:val="toc 6"/>
    <w:basedOn w:val="Normal"/>
    <w:next w:val="Normal"/>
    <w:uiPriority w:val="39"/>
    <w:rsid w:val="00A454AE"/>
    <w:pPr>
      <w:suppressAutoHyphens w:val="0"/>
      <w:kinsoku/>
      <w:overflowPunct/>
      <w:autoSpaceDE/>
      <w:autoSpaceDN/>
      <w:adjustRightInd/>
      <w:snapToGrid/>
      <w:spacing w:after="120" w:line="360" w:lineRule="auto"/>
      <w:ind w:left="1000"/>
      <w:jc w:val="both"/>
    </w:pPr>
    <w:rPr>
      <w:rFonts w:eastAsia="Times New Roman"/>
      <w:sz w:val="24"/>
      <w:lang w:eastAsia="fr-CH" w:bidi="fr-CH"/>
    </w:rPr>
  </w:style>
  <w:style w:type="paragraph" w:styleId="TOC7">
    <w:name w:val="toc 7"/>
    <w:basedOn w:val="Normal"/>
    <w:next w:val="Normal"/>
    <w:uiPriority w:val="39"/>
    <w:rsid w:val="00A454AE"/>
    <w:pPr>
      <w:suppressAutoHyphens w:val="0"/>
      <w:kinsoku/>
      <w:overflowPunct/>
      <w:autoSpaceDE/>
      <w:autoSpaceDN/>
      <w:adjustRightInd/>
      <w:snapToGrid/>
      <w:spacing w:after="120" w:line="360" w:lineRule="auto"/>
      <w:ind w:left="1200"/>
      <w:jc w:val="both"/>
    </w:pPr>
    <w:rPr>
      <w:rFonts w:eastAsia="Times New Roman"/>
      <w:sz w:val="24"/>
      <w:lang w:eastAsia="fr-CH" w:bidi="fr-CH"/>
    </w:rPr>
  </w:style>
  <w:style w:type="paragraph" w:styleId="TOC8">
    <w:name w:val="toc 8"/>
    <w:basedOn w:val="Normal"/>
    <w:next w:val="Normal"/>
    <w:uiPriority w:val="39"/>
    <w:rsid w:val="00A454AE"/>
    <w:pPr>
      <w:suppressAutoHyphens w:val="0"/>
      <w:kinsoku/>
      <w:overflowPunct/>
      <w:autoSpaceDE/>
      <w:autoSpaceDN/>
      <w:adjustRightInd/>
      <w:snapToGrid/>
      <w:spacing w:after="120" w:line="360" w:lineRule="auto"/>
      <w:ind w:left="1400"/>
      <w:jc w:val="both"/>
    </w:pPr>
    <w:rPr>
      <w:rFonts w:eastAsia="Times New Roman"/>
      <w:sz w:val="24"/>
      <w:lang w:eastAsia="fr-CH" w:bidi="fr-CH"/>
    </w:rPr>
  </w:style>
  <w:style w:type="paragraph" w:styleId="TOC9">
    <w:name w:val="toc 9"/>
    <w:basedOn w:val="Normal"/>
    <w:next w:val="Normal"/>
    <w:uiPriority w:val="39"/>
    <w:rsid w:val="00A454AE"/>
    <w:pPr>
      <w:suppressAutoHyphens w:val="0"/>
      <w:kinsoku/>
      <w:overflowPunct/>
      <w:autoSpaceDE/>
      <w:autoSpaceDN/>
      <w:adjustRightInd/>
      <w:snapToGrid/>
      <w:spacing w:after="120" w:line="360" w:lineRule="auto"/>
      <w:ind w:left="1600"/>
      <w:jc w:val="both"/>
    </w:pPr>
    <w:rPr>
      <w:rFonts w:eastAsia="Times New Roman"/>
      <w:sz w:val="24"/>
      <w:lang w:eastAsia="fr-CH" w:bidi="fr-CH"/>
    </w:rPr>
  </w:style>
  <w:style w:type="paragraph" w:customStyle="1" w:styleId="ListStrich">
    <w:name w:val="List_Strich"/>
    <w:basedOn w:val="Normal"/>
    <w:rsid w:val="00A454AE"/>
    <w:pPr>
      <w:numPr>
        <w:numId w:val="26"/>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ListPunkt">
    <w:name w:val="List_Punkt"/>
    <w:basedOn w:val="Normal"/>
    <w:rsid w:val="00A454AE"/>
    <w:pPr>
      <w:numPr>
        <w:numId w:val="25"/>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ListNum">
    <w:name w:val="List_Num"/>
    <w:basedOn w:val="Normal"/>
    <w:rsid w:val="00A454AE"/>
    <w:pPr>
      <w:numPr>
        <w:numId w:val="27"/>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ListAlpha">
    <w:name w:val="List_Alpha"/>
    <w:basedOn w:val="Normal"/>
    <w:rsid w:val="00A454AE"/>
    <w:pPr>
      <w:numPr>
        <w:numId w:val="28"/>
      </w:numPr>
      <w:tabs>
        <w:tab w:val="clear" w:pos="425"/>
      </w:tabs>
      <w:suppressAutoHyphens w:val="0"/>
      <w:kinsoku/>
      <w:overflowPunct/>
      <w:autoSpaceDE/>
      <w:autoSpaceDN/>
      <w:adjustRightInd/>
      <w:snapToGrid/>
      <w:spacing w:after="120" w:line="360" w:lineRule="auto"/>
      <w:ind w:left="0" w:firstLine="0"/>
      <w:jc w:val="both"/>
    </w:pPr>
    <w:rPr>
      <w:rFonts w:eastAsia="Times New Roman"/>
      <w:sz w:val="24"/>
      <w:lang w:eastAsia="fr-CH" w:bidi="fr-CH"/>
    </w:rPr>
  </w:style>
  <w:style w:type="paragraph" w:customStyle="1" w:styleId="Text">
    <w:name w:val="Text"/>
    <w:basedOn w:val="Normal"/>
    <w:rsid w:val="00A454AE"/>
    <w:pPr>
      <w:suppressAutoHyphens w:val="0"/>
      <w:kinsoku/>
      <w:overflowPunct/>
      <w:autoSpaceDE/>
      <w:autoSpaceDN/>
      <w:adjustRightInd/>
      <w:snapToGrid/>
      <w:spacing w:after="120" w:line="360" w:lineRule="atLeast"/>
      <w:jc w:val="both"/>
    </w:pPr>
    <w:rPr>
      <w:rFonts w:eastAsia="Times New Roman"/>
      <w:sz w:val="24"/>
      <w:lang w:eastAsia="fr-CH" w:bidi="fr-CH"/>
    </w:rPr>
  </w:style>
  <w:style w:type="paragraph" w:customStyle="1" w:styleId="Zeichen">
    <w:name w:val="Zeichen"/>
    <w:basedOn w:val="Normal"/>
    <w:rsid w:val="00A454AE"/>
    <w:pPr>
      <w:framePr w:hSpace="142" w:vSpace="142" w:wrap="auto" w:hAnchor="text" w:y="2382"/>
      <w:tabs>
        <w:tab w:val="left" w:pos="5103"/>
      </w:tabs>
      <w:suppressAutoHyphens w:val="0"/>
      <w:kinsoku/>
      <w:overflowPunct/>
      <w:autoSpaceDE/>
      <w:autoSpaceDN/>
      <w:adjustRightInd/>
      <w:snapToGrid/>
      <w:spacing w:after="120" w:line="440" w:lineRule="atLeast"/>
      <w:jc w:val="both"/>
    </w:pPr>
    <w:rPr>
      <w:rFonts w:eastAsia="Times New Roman"/>
      <w:sz w:val="24"/>
      <w:lang w:eastAsia="fr-CH" w:bidi="fr-CH"/>
    </w:rPr>
  </w:style>
  <w:style w:type="paragraph" w:customStyle="1" w:styleId="Adresse">
    <w:name w:val="Adresse"/>
    <w:basedOn w:val="Normal"/>
    <w:rsid w:val="00A454AE"/>
    <w:pPr>
      <w:framePr w:hSpace="1134" w:vSpace="1134" w:wrap="auto" w:hAnchor="text" w:y="3120"/>
      <w:suppressAutoHyphens w:val="0"/>
      <w:kinsoku/>
      <w:overflowPunct/>
      <w:autoSpaceDE/>
      <w:autoSpaceDN/>
      <w:adjustRightInd/>
      <w:snapToGrid/>
      <w:spacing w:after="120" w:line="360" w:lineRule="auto"/>
      <w:ind w:left="5103"/>
      <w:jc w:val="both"/>
    </w:pPr>
    <w:rPr>
      <w:rFonts w:eastAsia="Times New Roman"/>
      <w:sz w:val="24"/>
      <w:lang w:eastAsia="fr-CH" w:bidi="fr-CH"/>
    </w:rPr>
  </w:style>
  <w:style w:type="paragraph" w:customStyle="1" w:styleId="Beilagen">
    <w:name w:val="Beilagen"/>
    <w:basedOn w:val="Text"/>
    <w:rsid w:val="00A454AE"/>
    <w:pPr>
      <w:framePr w:hSpace="142" w:vSpace="142" w:wrap="auto" w:hAnchor="text" w:yAlign="bottom"/>
    </w:pPr>
  </w:style>
  <w:style w:type="paragraph" w:customStyle="1" w:styleId="EDATEXT">
    <w:name w:val="EDA_TEXT"/>
    <w:basedOn w:val="Normal"/>
    <w:rsid w:val="00A454AE"/>
    <w:pPr>
      <w:framePr w:hSpace="142" w:vSpace="142" w:wrap="auto" w:hAnchor="page" w:xAlign="center"/>
      <w:suppressAutoHyphens w:val="0"/>
      <w:kinsoku/>
      <w:overflowPunct/>
      <w:autoSpaceDE/>
      <w:autoSpaceDN/>
      <w:adjustRightInd/>
      <w:snapToGrid/>
      <w:spacing w:after="120" w:line="360" w:lineRule="auto"/>
      <w:jc w:val="center"/>
    </w:pPr>
    <w:rPr>
      <w:rFonts w:eastAsia="Times New Roman"/>
      <w:sz w:val="24"/>
      <w:lang w:eastAsia="fr-CH" w:bidi="fr-CH"/>
    </w:rPr>
  </w:style>
  <w:style w:type="paragraph" w:customStyle="1" w:styleId="Gruss">
    <w:name w:val="Gruss"/>
    <w:basedOn w:val="Beilagen"/>
    <w:rsid w:val="00A454AE"/>
    <w:pPr>
      <w:keepLines/>
      <w:framePr w:wrap="auto" w:yAlign="inline"/>
      <w:spacing w:before="480"/>
    </w:pPr>
  </w:style>
  <w:style w:type="paragraph" w:customStyle="1" w:styleId="EDALOGO">
    <w:name w:val="EDA_LOGO"/>
    <w:basedOn w:val="Normal"/>
    <w:rsid w:val="00A454AE"/>
    <w:pPr>
      <w:framePr w:hSpace="142" w:vSpace="142" w:wrap="auto" w:hAnchor="text" w:yAlign="top"/>
      <w:suppressAutoHyphens w:val="0"/>
      <w:kinsoku/>
      <w:overflowPunct/>
      <w:autoSpaceDE/>
      <w:autoSpaceDN/>
      <w:adjustRightInd/>
      <w:snapToGrid/>
      <w:spacing w:after="120" w:line="360" w:lineRule="auto"/>
      <w:jc w:val="center"/>
    </w:pPr>
    <w:rPr>
      <w:rFonts w:eastAsia="Times New Roman"/>
      <w:sz w:val="24"/>
      <w:lang w:eastAsia="fr-CH" w:bidi="fr-CH"/>
    </w:rPr>
  </w:style>
  <w:style w:type="paragraph" w:customStyle="1" w:styleId="Paragraphnumbered">
    <w:name w:val="Paragraph_numbered"/>
    <w:basedOn w:val="Normal"/>
    <w:rsid w:val="00A454AE"/>
    <w:pPr>
      <w:numPr>
        <w:numId w:val="29"/>
      </w:numPr>
      <w:tabs>
        <w:tab w:val="clear" w:pos="360"/>
        <w:tab w:val="left" w:pos="567"/>
      </w:tabs>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Gegenstvordruck">
    <w:name w:val="Gegenstvordruck"/>
    <w:basedOn w:val="Normal"/>
    <w:rsid w:val="00A454AE"/>
    <w:pPr>
      <w:framePr w:hSpace="142" w:vSpace="142" w:wrap="auto" w:hAnchor="margin" w:y="4594"/>
      <w:tabs>
        <w:tab w:val="left" w:pos="2381"/>
        <w:tab w:val="left" w:pos="5189"/>
        <w:tab w:val="left" w:pos="7711"/>
      </w:tabs>
      <w:suppressAutoHyphens w:val="0"/>
      <w:kinsoku/>
      <w:overflowPunct/>
      <w:autoSpaceDE/>
      <w:autoSpaceDN/>
      <w:adjustRightInd/>
      <w:snapToGrid/>
      <w:spacing w:after="120"/>
      <w:jc w:val="both"/>
    </w:pPr>
    <w:rPr>
      <w:rFonts w:ascii="Helvetica" w:eastAsia="Times New Roman" w:hAnsi="Helvetica"/>
      <w:sz w:val="18"/>
      <w:lang w:eastAsia="fr-CH" w:bidi="fr-CH"/>
    </w:rPr>
  </w:style>
  <w:style w:type="paragraph" w:customStyle="1" w:styleId="Basis-Funote">
    <w:name w:val="Basis-Fußnote"/>
    <w:basedOn w:val="Normal"/>
    <w:rsid w:val="00A454AE"/>
    <w:pPr>
      <w:tabs>
        <w:tab w:val="left" w:pos="187"/>
      </w:tabs>
      <w:suppressAutoHyphens w:val="0"/>
      <w:kinsoku/>
      <w:overflowPunct/>
      <w:autoSpaceDE/>
      <w:autoSpaceDN/>
      <w:adjustRightInd/>
      <w:snapToGrid/>
      <w:spacing w:after="120" w:line="220" w:lineRule="exact"/>
      <w:ind w:left="187" w:hanging="187"/>
    </w:pPr>
    <w:rPr>
      <w:rFonts w:eastAsia="Times New Roman"/>
      <w:sz w:val="18"/>
      <w:lang w:eastAsia="fr-CH" w:bidi="fr-CH"/>
    </w:rPr>
  </w:style>
  <w:style w:type="paragraph" w:customStyle="1" w:styleId="Numbered">
    <w:name w:val="Numbered"/>
    <w:basedOn w:val="BodyText"/>
    <w:rsid w:val="00A454AE"/>
    <w:pPr>
      <w:tabs>
        <w:tab w:val="num" w:pos="360"/>
        <w:tab w:val="left" w:pos="567"/>
      </w:tabs>
      <w:spacing w:after="0" w:line="360" w:lineRule="auto"/>
      <w:ind w:left="227" w:hanging="227"/>
      <w:jc w:val="both"/>
    </w:pPr>
    <w:rPr>
      <w:rFonts w:ascii="Times New Roman" w:eastAsia="Times New Roman" w:hAnsi="Times New Roman"/>
      <w:sz w:val="24"/>
      <w:lang w:val="fr-CH" w:eastAsia="fr-CH" w:bidi="fr-CH"/>
    </w:rPr>
  </w:style>
  <w:style w:type="paragraph" w:customStyle="1" w:styleId="Titelblatt">
    <w:name w:val="Titelblatt"/>
    <w:basedOn w:val="Normal"/>
    <w:rsid w:val="00A454AE"/>
    <w:pPr>
      <w:pBdr>
        <w:top w:val="single" w:sz="12" w:space="3" w:color="auto"/>
        <w:left w:val="single" w:sz="12" w:space="14" w:color="auto"/>
        <w:bottom w:val="single" w:sz="12" w:space="1" w:color="auto"/>
        <w:right w:val="single" w:sz="12" w:space="14" w:color="auto"/>
      </w:pBdr>
      <w:suppressAutoHyphens w:val="0"/>
      <w:kinsoku/>
      <w:overflowPunct/>
      <w:autoSpaceDE/>
      <w:autoSpaceDN/>
      <w:adjustRightInd/>
      <w:snapToGrid/>
      <w:spacing w:after="120" w:line="600" w:lineRule="atLeast"/>
      <w:ind w:left="851" w:right="680"/>
      <w:jc w:val="center"/>
    </w:pPr>
    <w:rPr>
      <w:rFonts w:eastAsia="Times New Roman"/>
      <w:b/>
      <w:sz w:val="36"/>
      <w:lang w:eastAsia="fr-CH" w:bidi="fr-CH"/>
    </w:rPr>
  </w:style>
  <w:style w:type="paragraph" w:customStyle="1" w:styleId="Paragraph">
    <w:name w:val="Paragraph"/>
    <w:basedOn w:val="Normal"/>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Formatvorlageberschrift1Links0cmErsteZeile0cm">
    <w:name w:val="Formatvorlage Überschrift 1 + Links:  0 cm Erste Zeile:  0 cm"/>
    <w:basedOn w:val="Heading1"/>
    <w:rsid w:val="00A454AE"/>
    <w:pPr>
      <w:keepNext w:val="0"/>
      <w:keepLines w:val="0"/>
      <w:tabs>
        <w:tab w:val="left" w:pos="1418"/>
      </w:tabs>
      <w:suppressAutoHyphens w:val="0"/>
      <w:kinsoku/>
      <w:overflowPunct/>
      <w:autoSpaceDE/>
      <w:autoSpaceDN/>
      <w:adjustRightInd/>
      <w:snapToGrid/>
      <w:spacing w:before="240" w:after="120" w:line="380" w:lineRule="exact"/>
      <w:ind w:left="0"/>
      <w:jc w:val="both"/>
    </w:pPr>
    <w:rPr>
      <w:rFonts w:eastAsia="Times New Roman"/>
      <w:b/>
      <w:bCs/>
      <w:sz w:val="32"/>
      <w:u w:val="single"/>
      <w:lang w:eastAsia="fr-CH" w:bidi="fr-CH"/>
    </w:rPr>
  </w:style>
  <w:style w:type="paragraph" w:customStyle="1" w:styleId="UnterstrichenLinks">
    <w:name w:val="Unterstrichen Links"/>
    <w:basedOn w:val="Normal"/>
    <w:rsid w:val="00A454AE"/>
    <w:pPr>
      <w:suppressAutoHyphens w:val="0"/>
      <w:kinsoku/>
      <w:overflowPunct/>
      <w:autoSpaceDE/>
      <w:autoSpaceDN/>
      <w:adjustRightInd/>
      <w:snapToGrid/>
      <w:spacing w:after="120" w:line="360" w:lineRule="auto"/>
      <w:jc w:val="both"/>
    </w:pPr>
    <w:rPr>
      <w:rFonts w:eastAsia="Times New Roman"/>
      <w:sz w:val="24"/>
      <w:u w:val="single"/>
      <w:lang w:eastAsia="fr-CH" w:bidi="fr-CH"/>
    </w:rPr>
  </w:style>
  <w:style w:type="paragraph" w:customStyle="1" w:styleId="ParagraphIndent">
    <w:name w:val="Paragraph_Indent"/>
    <w:basedOn w:val="Normal"/>
    <w:rsid w:val="00A454AE"/>
    <w:pPr>
      <w:suppressAutoHyphens w:val="0"/>
      <w:kinsoku/>
      <w:overflowPunct/>
      <w:autoSpaceDE/>
      <w:autoSpaceDN/>
      <w:adjustRightInd/>
      <w:snapToGrid/>
      <w:spacing w:after="120" w:line="360" w:lineRule="auto"/>
      <w:ind w:left="567"/>
      <w:jc w:val="both"/>
    </w:pPr>
    <w:rPr>
      <w:rFonts w:eastAsia="Times New Roman"/>
      <w:sz w:val="24"/>
      <w:lang w:eastAsia="fr-CH" w:bidi="fr-CH"/>
    </w:rPr>
  </w:style>
  <w:style w:type="paragraph" w:customStyle="1" w:styleId="TableHead">
    <w:name w:val="Table_Head"/>
    <w:basedOn w:val="Normal"/>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TableEntrie">
    <w:name w:val="Table_Entrie"/>
    <w:basedOn w:val="Normal"/>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paragraph" w:customStyle="1" w:styleId="Inhaltsuebersicht">
    <w:name w:val="Inhaltsuebersicht"/>
    <w:basedOn w:val="Normal"/>
    <w:next w:val="Normal"/>
    <w:rsid w:val="00A454AE"/>
    <w:pPr>
      <w:suppressAutoHyphens w:val="0"/>
      <w:kinsoku/>
      <w:overflowPunct/>
      <w:autoSpaceDE/>
      <w:autoSpaceDN/>
      <w:adjustRightInd/>
      <w:snapToGrid/>
      <w:spacing w:before="300" w:after="60" w:line="240" w:lineRule="auto"/>
      <w:jc w:val="center"/>
    </w:pPr>
    <w:rPr>
      <w:rFonts w:eastAsia="Times New Roman"/>
      <w:b/>
      <w:sz w:val="32"/>
      <w:szCs w:val="32"/>
      <w:lang w:eastAsia="fr-CH" w:bidi="fr-CH"/>
    </w:rPr>
  </w:style>
  <w:style w:type="paragraph" w:customStyle="1" w:styleId="Inhaltsverzeichnis">
    <w:name w:val="Inhaltsverzeichnis"/>
    <w:basedOn w:val="Normal"/>
    <w:rsid w:val="00A454AE"/>
    <w:pPr>
      <w:tabs>
        <w:tab w:val="left" w:pos="851"/>
        <w:tab w:val="right" w:leader="dot" w:pos="9072"/>
      </w:tabs>
      <w:suppressAutoHyphens w:val="0"/>
      <w:kinsoku/>
      <w:overflowPunct/>
      <w:autoSpaceDE/>
      <w:autoSpaceDN/>
      <w:adjustRightInd/>
      <w:snapToGrid/>
      <w:spacing w:before="300" w:after="60" w:line="240" w:lineRule="auto"/>
      <w:jc w:val="center"/>
    </w:pPr>
    <w:rPr>
      <w:rFonts w:eastAsia="Times New Roman"/>
      <w:b/>
      <w:sz w:val="32"/>
      <w:szCs w:val="32"/>
      <w:lang w:eastAsia="fr-CH" w:bidi="fr-CH"/>
    </w:rPr>
  </w:style>
  <w:style w:type="paragraph" w:customStyle="1" w:styleId="Paragraphlawarticles">
    <w:name w:val="Paragraph law articles"/>
    <w:basedOn w:val="Normal"/>
    <w:rsid w:val="00A454AE"/>
    <w:pPr>
      <w:suppressAutoHyphens w:val="0"/>
      <w:kinsoku/>
      <w:overflowPunct/>
      <w:autoSpaceDE/>
      <w:autoSpaceDN/>
      <w:adjustRightInd/>
      <w:snapToGrid/>
      <w:spacing w:after="120" w:line="360" w:lineRule="auto"/>
      <w:ind w:left="357"/>
      <w:jc w:val="both"/>
    </w:pPr>
    <w:rPr>
      <w:rFonts w:eastAsia="Times New Roman"/>
      <w:lang w:eastAsia="fr-CH" w:bidi="fr-CH"/>
    </w:rPr>
  </w:style>
  <w:style w:type="paragraph" w:customStyle="1" w:styleId="KopfzeileQuer">
    <w:name w:val="Kopfzeile_Quer"/>
    <w:basedOn w:val="Header"/>
    <w:rsid w:val="00A454AE"/>
    <w:pPr>
      <w:pBdr>
        <w:bottom w:val="single" w:sz="4" w:space="1" w:color="auto"/>
      </w:pBdr>
      <w:tabs>
        <w:tab w:val="center" w:pos="4819"/>
        <w:tab w:val="right" w:pos="14160"/>
      </w:tabs>
      <w:suppressAutoHyphens w:val="0"/>
      <w:kinsoku/>
      <w:overflowPunct/>
      <w:autoSpaceDE/>
      <w:autoSpaceDN/>
      <w:adjustRightInd/>
      <w:snapToGrid/>
      <w:spacing w:after="120" w:line="320" w:lineRule="atLeast"/>
      <w:jc w:val="both"/>
    </w:pPr>
    <w:rPr>
      <w:rFonts w:eastAsia="Times New Roman"/>
      <w:b w:val="0"/>
      <w:sz w:val="22"/>
      <w:lang w:eastAsia="fr-CH" w:bidi="fr-CH"/>
    </w:rPr>
  </w:style>
  <w:style w:type="paragraph" w:customStyle="1" w:styleId="KopfzeileHoch">
    <w:name w:val="Kopfzeile_Hoch"/>
    <w:basedOn w:val="Header"/>
    <w:rsid w:val="00A454AE"/>
    <w:pPr>
      <w:pBdr>
        <w:bottom w:val="single" w:sz="4" w:space="1" w:color="auto"/>
      </w:pBdr>
      <w:tabs>
        <w:tab w:val="center" w:pos="4819"/>
        <w:tab w:val="right" w:pos="9071"/>
      </w:tabs>
      <w:suppressAutoHyphens w:val="0"/>
      <w:kinsoku/>
      <w:overflowPunct/>
      <w:autoSpaceDE/>
      <w:autoSpaceDN/>
      <w:adjustRightInd/>
      <w:snapToGrid/>
      <w:spacing w:after="120" w:line="320" w:lineRule="atLeast"/>
      <w:jc w:val="both"/>
    </w:pPr>
    <w:rPr>
      <w:rFonts w:eastAsia="Times New Roman"/>
      <w:b w:val="0"/>
      <w:sz w:val="22"/>
      <w:lang w:eastAsia="fr-CH" w:bidi="fr-CH"/>
    </w:rPr>
  </w:style>
  <w:style w:type="paragraph" w:customStyle="1" w:styleId="Heading4Left127cm">
    <w:name w:val="Heading 4 + Left:  1.27 cm"/>
    <w:aliases w:val="First line:  0 cm"/>
    <w:basedOn w:val="Heading3"/>
    <w:rsid w:val="00A454AE"/>
    <w:pPr>
      <w:keepNext/>
      <w:numPr>
        <w:ilvl w:val="2"/>
        <w:numId w:val="30"/>
      </w:numPr>
      <w:tabs>
        <w:tab w:val="clear" w:pos="720"/>
      </w:tabs>
      <w:suppressAutoHyphens w:val="0"/>
      <w:kinsoku/>
      <w:overflowPunct/>
      <w:autoSpaceDE/>
      <w:autoSpaceDN/>
      <w:adjustRightInd/>
      <w:snapToGrid/>
      <w:spacing w:after="360" w:line="240" w:lineRule="auto"/>
      <w:ind w:left="0" w:firstLine="0"/>
      <w:jc w:val="both"/>
    </w:pPr>
    <w:rPr>
      <w:rFonts w:eastAsia="Times New Roman" w:cs="Arial"/>
      <w:b/>
      <w:bCs/>
      <w:sz w:val="32"/>
      <w:szCs w:val="22"/>
      <w:lang w:eastAsia="fr-CH" w:bidi="fr-CH"/>
    </w:rPr>
  </w:style>
  <w:style w:type="paragraph" w:customStyle="1" w:styleId="Style1">
    <w:name w:val="Style1"/>
    <w:basedOn w:val="Normal"/>
    <w:rsid w:val="00A454AE"/>
    <w:pPr>
      <w:numPr>
        <w:numId w:val="31"/>
      </w:numPr>
      <w:tabs>
        <w:tab w:val="clear" w:pos="360"/>
      </w:tabs>
      <w:suppressAutoHyphens w:val="0"/>
      <w:kinsoku/>
      <w:overflowPunct/>
      <w:autoSpaceDE/>
      <w:autoSpaceDN/>
      <w:adjustRightInd/>
      <w:snapToGrid/>
      <w:spacing w:after="120" w:line="360" w:lineRule="auto"/>
      <w:jc w:val="both"/>
    </w:pPr>
    <w:rPr>
      <w:rFonts w:eastAsia="Times New Roman"/>
      <w:sz w:val="24"/>
      <w:lang w:eastAsia="fr-CH" w:bidi="fr-CH"/>
    </w:rPr>
  </w:style>
  <w:style w:type="table" w:styleId="TableList3">
    <w:name w:val="Table List 3"/>
    <w:basedOn w:val="TableNormal"/>
    <w:rsid w:val="00A454AE"/>
    <w:pPr>
      <w:spacing w:after="0" w:line="320" w:lineRule="atLeast"/>
      <w:jc w:val="both"/>
    </w:pPr>
    <w:rPr>
      <w:rFonts w:ascii="Times New Roman" w:eastAsia="Times New Roman" w:hAnsi="Times New Roman" w:cs="Times New Roman"/>
      <w:sz w:val="20"/>
      <w:szCs w:val="20"/>
      <w:lang w:eastAsia="fr-CH" w:bidi="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txtmmtitel1">
    <w:name w:val="txtmmtitel1"/>
    <w:basedOn w:val="DefaultParagraphFont"/>
    <w:rsid w:val="00A454AE"/>
    <w:rPr>
      <w:rFonts w:ascii="Arial" w:hAnsi="Arial" w:cs="Arial" w:hint="default"/>
      <w:b/>
      <w:bCs/>
      <w:color w:val="000000"/>
      <w:sz w:val="21"/>
      <w:szCs w:val="21"/>
    </w:rPr>
  </w:style>
  <w:style w:type="character" w:customStyle="1" w:styleId="wmtext1">
    <w:name w:val="wmtext1"/>
    <w:basedOn w:val="DefaultParagraphFont"/>
    <w:rsid w:val="00A454AE"/>
    <w:rPr>
      <w:rFonts w:ascii="Verdana" w:hAnsi="Verdana" w:hint="default"/>
      <w:color w:val="000000"/>
      <w:sz w:val="18"/>
      <w:szCs w:val="18"/>
    </w:rPr>
  </w:style>
  <w:style w:type="character" w:customStyle="1" w:styleId="wmzwueberschrift1">
    <w:name w:val="wmzwueberschrift1"/>
    <w:basedOn w:val="DefaultParagraphFont"/>
    <w:rsid w:val="00A454AE"/>
    <w:rPr>
      <w:rFonts w:ascii="Verdana" w:hAnsi="Verdana" w:hint="default"/>
      <w:b/>
      <w:bCs/>
      <w:color w:val="000000"/>
      <w:sz w:val="18"/>
      <w:szCs w:val="18"/>
    </w:rPr>
  </w:style>
  <w:style w:type="paragraph" w:customStyle="1" w:styleId="ZchnZchn1">
    <w:name w:val="Zchn Zchn1"/>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character" w:customStyle="1" w:styleId="text1">
    <w:name w:val="text1"/>
    <w:basedOn w:val="DefaultParagraphFont"/>
    <w:rsid w:val="00A454AE"/>
    <w:rPr>
      <w:rFonts w:ascii="Arial" w:hAnsi="Arial" w:cs="Arial" w:hint="default"/>
      <w:color w:val="000000"/>
      <w:spacing w:val="240"/>
      <w:sz w:val="20"/>
      <w:szCs w:val="20"/>
    </w:rPr>
  </w:style>
  <w:style w:type="paragraph" w:customStyle="1" w:styleId="Textkrper31">
    <w:name w:val="Textkörper 31"/>
    <w:basedOn w:val="Default"/>
    <w:next w:val="Default"/>
    <w:rsid w:val="00A454AE"/>
    <w:rPr>
      <w:rFonts w:ascii="Verdana" w:eastAsia="Times New Roman" w:hAnsi="Verdana"/>
      <w:color w:val="auto"/>
      <w:lang w:val="fr-CH" w:eastAsia="fr-CH" w:bidi="fr-CH"/>
    </w:rPr>
  </w:style>
  <w:style w:type="paragraph" w:customStyle="1" w:styleId="Standard1">
    <w:name w:val="Standard1"/>
    <w:basedOn w:val="Default"/>
    <w:next w:val="Default"/>
    <w:rsid w:val="00A454AE"/>
    <w:rPr>
      <w:rFonts w:ascii="Verdana" w:eastAsia="Times New Roman" w:hAnsi="Verdana"/>
      <w:color w:val="auto"/>
      <w:lang w:val="fr-CH" w:eastAsia="fr-CH" w:bidi="fr-CH"/>
    </w:rPr>
  </w:style>
  <w:style w:type="paragraph" w:customStyle="1" w:styleId="TextEingabe">
    <w:name w:val="TextEingabe"/>
    <w:basedOn w:val="Normal"/>
    <w:rsid w:val="00A454AE"/>
    <w:pPr>
      <w:suppressAutoHyphens w:val="0"/>
      <w:kinsoku/>
      <w:overflowPunct/>
      <w:autoSpaceDE/>
      <w:autoSpaceDN/>
      <w:adjustRightInd/>
      <w:snapToGrid/>
      <w:spacing w:after="120" w:line="240" w:lineRule="auto"/>
      <w:jc w:val="both"/>
    </w:pPr>
    <w:rPr>
      <w:rFonts w:eastAsia="Times New Roman"/>
      <w:sz w:val="24"/>
      <w:lang w:eastAsia="fr-CH" w:bidi="fr-CH"/>
    </w:rPr>
  </w:style>
  <w:style w:type="paragraph" w:customStyle="1" w:styleId="ZchnZchn">
    <w:name w:val="Zchn Zchn"/>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numbering" w:customStyle="1" w:styleId="FormatvorlageNummerierteListe10pt">
    <w:name w:val="Formatvorlage Nummerierte Liste 10 pt"/>
    <w:basedOn w:val="NoList"/>
    <w:rsid w:val="00A454AE"/>
    <w:pPr>
      <w:numPr>
        <w:numId w:val="32"/>
      </w:numPr>
    </w:pPr>
  </w:style>
  <w:style w:type="paragraph" w:customStyle="1" w:styleId="TX">
    <w:name w:val="TX"/>
    <w:basedOn w:val="Normal"/>
    <w:rsid w:val="00A454AE"/>
    <w:pPr>
      <w:widowControl w:val="0"/>
      <w:suppressAutoHyphens w:val="0"/>
      <w:kinsoku/>
      <w:snapToGrid/>
      <w:spacing w:before="100" w:after="100" w:line="240" w:lineRule="auto"/>
      <w:textAlignment w:val="baseline"/>
    </w:pPr>
    <w:rPr>
      <w:rFonts w:eastAsia="Times New Roman"/>
      <w:sz w:val="24"/>
      <w:szCs w:val="24"/>
      <w:lang w:eastAsia="fr-CH" w:bidi="fr-CH"/>
    </w:rPr>
  </w:style>
  <w:style w:type="character" w:customStyle="1" w:styleId="txtcontentblack1">
    <w:name w:val="txtcontentblack1"/>
    <w:basedOn w:val="DefaultParagraphFont"/>
    <w:rsid w:val="00A454AE"/>
    <w:rPr>
      <w:rFonts w:ascii="Arial" w:hAnsi="Arial" w:cs="Arial" w:hint="default"/>
      <w:b w:val="0"/>
      <w:bCs w:val="0"/>
      <w:color w:val="000000"/>
      <w:sz w:val="12"/>
      <w:szCs w:val="12"/>
    </w:rPr>
  </w:style>
  <w:style w:type="paragraph" w:customStyle="1" w:styleId="CharZchnZchnCharCarCarChar">
    <w:name w:val="Char Zchn Zchn Char Car Car Char"/>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paragraph" w:customStyle="1" w:styleId="ColorfulList-Accent11">
    <w:name w:val="Colorful List - Accent 11"/>
    <w:basedOn w:val="Normal"/>
    <w:uiPriority w:val="34"/>
    <w:qFormat/>
    <w:rsid w:val="00A454AE"/>
    <w:pPr>
      <w:suppressAutoHyphens w:val="0"/>
      <w:kinsoku/>
      <w:overflowPunct/>
      <w:autoSpaceDE/>
      <w:autoSpaceDN/>
      <w:adjustRightInd/>
      <w:snapToGrid/>
      <w:spacing w:after="120" w:line="240" w:lineRule="auto"/>
      <w:ind w:left="708"/>
    </w:pPr>
    <w:rPr>
      <w:rFonts w:eastAsia="Calibri"/>
      <w:sz w:val="24"/>
      <w:szCs w:val="24"/>
      <w:lang w:eastAsia="fr-CH" w:bidi="fr-CH"/>
    </w:rPr>
  </w:style>
  <w:style w:type="character" w:customStyle="1" w:styleId="runnormal">
    <w:name w:val="runnormal"/>
    <w:rsid w:val="00A454AE"/>
    <w:rPr>
      <w:color w:val="000000"/>
    </w:rPr>
  </w:style>
  <w:style w:type="paragraph" w:customStyle="1" w:styleId="CM2">
    <w:name w:val="CM2"/>
    <w:basedOn w:val="Default"/>
    <w:next w:val="Default"/>
    <w:uiPriority w:val="99"/>
    <w:rsid w:val="00A454AE"/>
    <w:pPr>
      <w:spacing w:line="253" w:lineRule="atLeast"/>
    </w:pPr>
    <w:rPr>
      <w:rFonts w:ascii="Arial" w:eastAsia="Calibri" w:hAnsi="Arial" w:cs="Arial"/>
      <w:color w:val="auto"/>
      <w:lang w:val="fr-CH" w:eastAsia="fr-CH" w:bidi="fr-CH"/>
    </w:rPr>
  </w:style>
  <w:style w:type="paragraph" w:customStyle="1" w:styleId="FRBAufzhlungVerf1Seite">
    <w:name w:val="FRB Aufzählung Verf 1 Seite"/>
    <w:basedOn w:val="Normal"/>
    <w:autoRedefine/>
    <w:rsid w:val="00A454AE"/>
    <w:pPr>
      <w:suppressAutoHyphens w:val="0"/>
      <w:kinsoku/>
      <w:overflowPunct/>
      <w:autoSpaceDE/>
      <w:autoSpaceDN/>
      <w:adjustRightInd/>
      <w:snapToGrid/>
      <w:spacing w:after="240" w:line="260" w:lineRule="atLeast"/>
      <w:ind w:left="2400" w:hanging="2400"/>
    </w:pPr>
    <w:rPr>
      <w:rFonts w:eastAsia="Times New Roman"/>
      <w:bCs/>
      <w:lang w:eastAsia="fr-CH" w:bidi="fr-CH"/>
    </w:rPr>
  </w:style>
  <w:style w:type="character" w:customStyle="1" w:styleId="st1">
    <w:name w:val="st1"/>
    <w:basedOn w:val="DefaultParagraphFont"/>
    <w:rsid w:val="00A454AE"/>
  </w:style>
  <w:style w:type="paragraph" w:customStyle="1" w:styleId="Standardabsatznr">
    <w:name w:val="Standardabsatznr."/>
    <w:basedOn w:val="Normal"/>
    <w:rsid w:val="00A454AE"/>
    <w:pPr>
      <w:numPr>
        <w:numId w:val="33"/>
      </w:numPr>
      <w:tabs>
        <w:tab w:val="clear" w:pos="360"/>
        <w:tab w:val="left" w:pos="567"/>
      </w:tabs>
      <w:suppressAutoHyphens w:val="0"/>
      <w:kinsoku/>
      <w:overflowPunct/>
      <w:autoSpaceDE/>
      <w:autoSpaceDN/>
      <w:adjustRightInd/>
      <w:snapToGrid/>
      <w:spacing w:before="120" w:after="120" w:line="240" w:lineRule="auto"/>
      <w:ind w:right="-193"/>
      <w:jc w:val="both"/>
    </w:pPr>
    <w:rPr>
      <w:rFonts w:ascii="Garamond" w:eastAsia="Times New Roman" w:hAnsi="Garamond"/>
      <w:sz w:val="24"/>
      <w:szCs w:val="24"/>
      <w:lang w:eastAsia="fr-CH" w:bidi="fr-CH"/>
    </w:rPr>
  </w:style>
  <w:style w:type="paragraph" w:customStyle="1" w:styleId="datumseite">
    <w:name w:val="datumseite"/>
    <w:basedOn w:val="Normal"/>
    <w:rsid w:val="00A454AE"/>
    <w:pPr>
      <w:suppressAutoHyphens w:val="0"/>
      <w:kinsoku/>
      <w:overflowPunct/>
      <w:autoSpaceDE/>
      <w:autoSpaceDN/>
      <w:adjustRightInd/>
      <w:snapToGrid/>
      <w:spacing w:before="100" w:beforeAutospacing="1" w:after="100" w:afterAutospacing="1" w:line="240" w:lineRule="auto"/>
    </w:pPr>
    <w:rPr>
      <w:rFonts w:eastAsia="Times New Roman"/>
      <w:sz w:val="24"/>
      <w:szCs w:val="24"/>
      <w:lang w:eastAsia="fr-CH" w:bidi="fr-CH"/>
    </w:rPr>
  </w:style>
  <w:style w:type="character" w:customStyle="1" w:styleId="ms-rtecustom-fett1">
    <w:name w:val="ms-rtecustom-fett1"/>
    <w:basedOn w:val="DefaultParagraphFont"/>
    <w:rsid w:val="00A454AE"/>
    <w:rPr>
      <w:b/>
      <w:bCs/>
    </w:rPr>
  </w:style>
  <w:style w:type="character" w:customStyle="1" w:styleId="webtext">
    <w:name w:val="webtext"/>
    <w:basedOn w:val="DefaultParagraphFont"/>
    <w:rsid w:val="00A454AE"/>
  </w:style>
  <w:style w:type="character" w:customStyle="1" w:styleId="CATnumrotationCarCar">
    <w:name w:val="CAT numérotation Car Car"/>
    <w:basedOn w:val="DefaultParagraphFont"/>
    <w:link w:val="CATnumrotation"/>
    <w:locked/>
    <w:rsid w:val="00A454AE"/>
    <w:rPr>
      <w:rFonts w:cs="Arial"/>
    </w:rPr>
  </w:style>
  <w:style w:type="paragraph" w:customStyle="1" w:styleId="CATnumrotation">
    <w:name w:val="CAT numérotation"/>
    <w:basedOn w:val="Normal"/>
    <w:link w:val="CATnumrotationCarCar"/>
    <w:rsid w:val="00A454AE"/>
    <w:pPr>
      <w:numPr>
        <w:numId w:val="34"/>
      </w:numPr>
      <w:tabs>
        <w:tab w:val="clear" w:pos="0"/>
      </w:tabs>
      <w:suppressAutoHyphens w:val="0"/>
      <w:kinsoku/>
      <w:overflowPunct/>
      <w:autoSpaceDE/>
      <w:autoSpaceDN/>
      <w:adjustRightInd/>
      <w:snapToGrid/>
      <w:spacing w:before="240" w:after="240" w:line="280" w:lineRule="atLeast"/>
    </w:pPr>
    <w:rPr>
      <w:rFonts w:asciiTheme="minorHAnsi" w:hAnsiTheme="minorHAnsi" w:cs="Arial"/>
      <w:sz w:val="22"/>
      <w:szCs w:val="22"/>
    </w:rPr>
  </w:style>
  <w:style w:type="paragraph" w:customStyle="1" w:styleId="Standard1CharChar">
    <w:name w:val="Standard1 Char Char"/>
    <w:basedOn w:val="Normal"/>
    <w:rsid w:val="00A454AE"/>
    <w:pPr>
      <w:numPr>
        <w:numId w:val="35"/>
      </w:numPr>
      <w:tabs>
        <w:tab w:val="clear" w:pos="567"/>
      </w:tabs>
      <w:suppressAutoHyphens w:val="0"/>
      <w:kinsoku/>
      <w:overflowPunct/>
      <w:autoSpaceDE/>
      <w:autoSpaceDN/>
      <w:adjustRightInd/>
      <w:snapToGrid/>
      <w:spacing w:after="240" w:line="240" w:lineRule="auto"/>
    </w:pPr>
    <w:rPr>
      <w:rFonts w:eastAsia="Times New Roman"/>
      <w:sz w:val="24"/>
      <w:szCs w:val="24"/>
      <w:lang w:eastAsia="fr-CH" w:bidi="fr-CH"/>
    </w:rPr>
  </w:style>
  <w:style w:type="paragraph" w:customStyle="1" w:styleId="Char1CharZchnZchnCharCar">
    <w:name w:val="Char1 Char Zchn Zchn Char Car"/>
    <w:basedOn w:val="Normal"/>
    <w:rsid w:val="00A454AE"/>
    <w:pPr>
      <w:suppressAutoHyphens w:val="0"/>
      <w:kinsoku/>
      <w:overflowPunct/>
      <w:autoSpaceDE/>
      <w:autoSpaceDN/>
      <w:adjustRightInd/>
      <w:snapToGrid/>
      <w:spacing w:after="160" w:line="240" w:lineRule="exact"/>
    </w:pPr>
    <w:rPr>
      <w:rFonts w:eastAsia="Times New Roman" w:cs="Arial"/>
      <w:lang w:eastAsia="fr-CH" w:bidi="fr-CH"/>
    </w:rPr>
  </w:style>
  <w:style w:type="character" w:customStyle="1" w:styleId="hilighti1">
    <w:name w:val="hilighti1"/>
    <w:basedOn w:val="DefaultParagraphFont"/>
    <w:rsid w:val="00A454AE"/>
    <w:rPr>
      <w:color w:val="FF0000"/>
      <w:u w:val="single"/>
    </w:rPr>
  </w:style>
  <w:style w:type="character" w:customStyle="1" w:styleId="hilightu">
    <w:name w:val="hilightu"/>
    <w:basedOn w:val="DefaultParagraphFont"/>
    <w:rsid w:val="00A454AE"/>
  </w:style>
  <w:style w:type="paragraph" w:customStyle="1" w:styleId="NoteHeading1">
    <w:name w:val="Note Heading1"/>
    <w:basedOn w:val="Normal"/>
    <w:next w:val="Normal"/>
    <w:semiHidden/>
    <w:rsid w:val="00A454AE"/>
    <w:pPr>
      <w:suppressAutoHyphens w:val="0"/>
      <w:kinsoku/>
      <w:overflowPunct/>
      <w:autoSpaceDE/>
      <w:autoSpaceDN/>
      <w:adjustRightInd/>
      <w:snapToGrid/>
      <w:spacing w:after="120" w:line="360" w:lineRule="auto"/>
      <w:jc w:val="both"/>
    </w:pPr>
    <w:rPr>
      <w:rFonts w:eastAsia="Times New Roman"/>
      <w:sz w:val="24"/>
      <w:lang w:eastAsia="fr-CH" w:bidi="fr-CH"/>
    </w:rPr>
  </w:style>
  <w:style w:type="character" w:customStyle="1" w:styleId="st">
    <w:name w:val="st"/>
    <w:basedOn w:val="DefaultParagraphFont"/>
    <w:rsid w:val="00A454AE"/>
  </w:style>
  <w:style w:type="paragraph" w:customStyle="1" w:styleId="CCPRText">
    <w:name w:val="CCPR_Text"/>
    <w:basedOn w:val="Normal"/>
    <w:link w:val="CCPRTextZchn"/>
    <w:autoRedefine/>
    <w:rsid w:val="00A454AE"/>
    <w:pPr>
      <w:suppressAutoHyphens w:val="0"/>
      <w:kinsoku/>
      <w:overflowPunct/>
      <w:autoSpaceDE/>
      <w:autoSpaceDN/>
      <w:adjustRightInd/>
      <w:snapToGrid/>
      <w:spacing w:after="60" w:line="260" w:lineRule="atLeast"/>
      <w:ind w:left="284"/>
    </w:pPr>
    <w:rPr>
      <w:rFonts w:eastAsia="Times New Roman"/>
      <w:lang w:eastAsia="fr-CH" w:bidi="fr-CH"/>
    </w:rPr>
  </w:style>
  <w:style w:type="character" w:customStyle="1" w:styleId="CCPRTextZchn">
    <w:name w:val="CCPR_Text Zchn"/>
    <w:link w:val="CCPRText"/>
    <w:rsid w:val="00A454AE"/>
    <w:rPr>
      <w:rFonts w:ascii="Times New Roman" w:eastAsia="Times New Roman" w:hAnsi="Times New Roman" w:cs="Times New Roman"/>
      <w:sz w:val="20"/>
      <w:szCs w:val="20"/>
      <w:lang w:eastAsia="fr-CH" w:bidi="fr-CH"/>
    </w:rPr>
  </w:style>
  <w:style w:type="paragraph" w:customStyle="1" w:styleId="Div">
    <w:name w:val="Div"/>
    <w:basedOn w:val="Normal"/>
    <w:rsid w:val="00A454AE"/>
    <w:pPr>
      <w:suppressAutoHyphens w:val="0"/>
      <w:kinsoku/>
      <w:overflowPunct/>
      <w:autoSpaceDE/>
      <w:autoSpaceDN/>
      <w:adjustRightInd/>
      <w:snapToGrid/>
      <w:spacing w:line="240" w:lineRule="auto"/>
    </w:pPr>
    <w:rPr>
      <w:rFonts w:ascii="Arial" w:eastAsia="Arial" w:hAnsi="Arial" w:cs="Arial"/>
      <w:sz w:val="24"/>
      <w:szCs w:val="24"/>
      <w:lang w:eastAsia="fr-CH" w:bidi="fr-CH"/>
    </w:rPr>
  </w:style>
  <w:style w:type="paragraph" w:customStyle="1" w:styleId="CCPRAufzhlung">
    <w:name w:val="CCPR_Aufzählung"/>
    <w:basedOn w:val="Normal"/>
    <w:rsid w:val="00A454AE"/>
    <w:pPr>
      <w:numPr>
        <w:numId w:val="36"/>
      </w:numPr>
      <w:suppressAutoHyphens w:val="0"/>
      <w:kinsoku/>
      <w:overflowPunct/>
      <w:autoSpaceDE/>
      <w:autoSpaceDN/>
      <w:adjustRightInd/>
      <w:snapToGrid/>
      <w:spacing w:before="240" w:after="240" w:line="280" w:lineRule="atLeast"/>
      <w:ind w:left="0" w:firstLine="0"/>
    </w:pPr>
    <w:rPr>
      <w:rFonts w:ascii="Arial" w:eastAsia="Times New Roman" w:hAnsi="Arial"/>
      <w:sz w:val="22"/>
      <w:lang w:eastAsia="fr-CH" w:bidi="fr-CH"/>
    </w:rPr>
  </w:style>
  <w:style w:type="paragraph" w:customStyle="1" w:styleId="CCPRTitel03">
    <w:name w:val="CCPR_Titel_03"/>
    <w:basedOn w:val="Normal"/>
    <w:rsid w:val="00A454AE"/>
    <w:pPr>
      <w:suppressAutoHyphens w:val="0"/>
      <w:kinsoku/>
      <w:overflowPunct/>
      <w:autoSpaceDE/>
      <w:autoSpaceDN/>
      <w:adjustRightInd/>
      <w:snapToGrid/>
      <w:spacing w:before="120" w:after="120" w:line="280" w:lineRule="atLeast"/>
    </w:pPr>
    <w:rPr>
      <w:rFonts w:ascii="Arial" w:eastAsia="Times New Roman" w:hAnsi="Arial"/>
      <w:iCs/>
      <w:sz w:val="22"/>
      <w:u w:val="single"/>
      <w:lang w:eastAsia="fr-CH" w:bidi="fr-CH"/>
    </w:rPr>
  </w:style>
  <w:style w:type="table" w:customStyle="1" w:styleId="Tabellenraster2">
    <w:name w:val="Tabellenraster2"/>
    <w:basedOn w:val="TableNormal"/>
    <w:next w:val="TableGrid"/>
    <w:uiPriority w:val="59"/>
    <w:rsid w:val="00A454AE"/>
    <w:pPr>
      <w:spacing w:after="0" w:line="240" w:lineRule="auto"/>
    </w:pPr>
    <w:rPr>
      <w:rFonts w:ascii="Calibri" w:eastAsia="Calibri" w:hAnsi="Calibri" w:cs="Times New Roman"/>
      <w:lang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454AE"/>
    <w:pPr>
      <w:spacing w:after="0" w:line="240" w:lineRule="auto"/>
    </w:pPr>
    <w:rPr>
      <w:rFonts w:ascii="Calibri" w:eastAsia="Calibri" w:hAnsi="Calibri" w:cs="Times New Roman"/>
      <w:lang w:eastAsia="fr-CH" w:bidi="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54AE"/>
    <w:rPr>
      <w:color w:val="605E5C"/>
      <w:shd w:val="clear" w:color="auto" w:fill="E1DFDD"/>
    </w:rPr>
  </w:style>
  <w:style w:type="table" w:styleId="GridTable1Light-Accent1">
    <w:name w:val="Grid Table 1 Light Accent 1"/>
    <w:basedOn w:val="TableNormal"/>
    <w:uiPriority w:val="46"/>
    <w:rsid w:val="00A454AE"/>
    <w:pPr>
      <w:spacing w:after="0" w:line="240" w:lineRule="auto"/>
    </w:pPr>
    <w:rPr>
      <w:rFonts w:ascii="Times New Roman" w:eastAsia="Times New Roman" w:hAnsi="Times New Roman" w:cs="Times New Roman"/>
      <w:sz w:val="20"/>
      <w:szCs w:val="20"/>
      <w:lang w:val="fr-FR" w:eastAsia="fr-FR"/>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Mention">
    <w:name w:val="Mention"/>
    <w:basedOn w:val="DefaultParagraphFont"/>
    <w:uiPriority w:val="99"/>
    <w:unhideWhenUsed/>
    <w:rsid w:val="00A454AE"/>
    <w:rPr>
      <w:color w:val="2B579A"/>
      <w:shd w:val="clear" w:color="auto" w:fill="E1DFDD"/>
    </w:rPr>
  </w:style>
  <w:style w:type="table" w:customStyle="1" w:styleId="Tabellenraster1">
    <w:name w:val="Tabellenraster1"/>
    <w:basedOn w:val="TableNormal"/>
    <w:next w:val="TableGrid"/>
    <w:uiPriority w:val="39"/>
    <w:rsid w:val="00A454AE"/>
    <w:pPr>
      <w:spacing w:after="0" w:line="240" w:lineRule="auto"/>
    </w:pPr>
    <w:rPr>
      <w:rFonts w:ascii="Aptos" w:eastAsia="Aptos" w:hAnsi="Aptos" w:cs="Times New Roman"/>
      <w:kern w:val="2"/>
      <w:sz w:val="24"/>
      <w:szCs w:val="24"/>
      <w:lang w:val="de-CH"/>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ms.news.admin.ch/dam/de/der-schweizerische-bundesrat/qax92ofY-umC/250827+Rapport+SLR.pdf" TargetMode="External"/><Relationship Id="rId21" Type="http://schemas.openxmlformats.org/officeDocument/2006/relationships/hyperlink" Target="https://www.frb.admin.ch/fr/racismes-specifiques" TargetMode="External"/><Relationship Id="rId42" Type="http://schemas.openxmlformats.org/officeDocument/2006/relationships/hyperlink" Target="https://www.frb.admin.ch/fr/racisme-sur-internet" TargetMode="External"/><Relationship Id="rId47" Type="http://schemas.openxmlformats.org/officeDocument/2006/relationships/hyperlink" Target="https://www.parlament.ch/fr/ratsbetrieb/suche-curia-vista/geschaeft?AffairId=20214137" TargetMode="External"/><Relationship Id="rId63" Type="http://schemas.openxmlformats.org/officeDocument/2006/relationships/hyperlink" Target="https://www.frb.admin.ch/dam/fr/sd-web/riOdBvao31nw/Bericht_Monitoring_Rass_Antisemit_f.pdf" TargetMode="External"/><Relationship Id="rId68" Type="http://schemas.openxmlformats.org/officeDocument/2006/relationships/hyperlink" Target="http://www.racisme-en-chiffres.ch" TargetMode="External"/><Relationship Id="rId84" Type="http://schemas.openxmlformats.org/officeDocument/2006/relationships/hyperlink" Target="https://www.isdc.ch/media/2489/23-054-e_e-avis-20240618.pdf" TargetMode="External"/><Relationship Id="rId89" Type="http://schemas.openxmlformats.org/officeDocument/2006/relationships/hyperlink" Target="https://www.parlament.ch/fr/ratsbetrieb/suche-curia-vista/geschaeft?AffairId=20214137" TargetMode="External"/><Relationship Id="rId16" Type="http://schemas.openxmlformats.org/officeDocument/2006/relationships/hyperlink" Target="https://www.parlament.ch/fr/ratsbetrieb/amtliches-bulletin/amtliches-bulletin-die-verhandlungen?SubjectId=64698" TargetMode="External"/><Relationship Id="rId107" Type="http://schemas.openxmlformats.org/officeDocument/2006/relationships/theme" Target="theme/theme1.xml"/><Relationship Id="rId11" Type="http://schemas.openxmlformats.org/officeDocument/2006/relationships/hyperlink" Target="https://www.bger.ch/ext/eurospider/live/fr/php/aza/http/index.php?highlight_docid=aza%3A%2F%2Faza://11-03-2024-6B_1323-2023&amp;lang=de&amp;zoom=&amp;type=show_document" TargetMode="External"/><Relationship Id="rId32" Type="http://schemas.openxmlformats.org/officeDocument/2006/relationships/hyperlink" Target="https://www.ekr.admin.ch/publications/f119/1402.html" TargetMode="External"/><Relationship Id="rId37" Type="http://schemas.openxmlformats.org/officeDocument/2006/relationships/hyperlink" Target="https://www.ekr.admin.ch/actualite/f109.html" TargetMode="External"/><Relationship Id="rId53" Type="http://schemas.openxmlformats.org/officeDocument/2006/relationships/hyperlink" Target="https://www.frb.admin.ch/dam/fr/sd-web/dY89r4P5HVh5/250225_FRB_AMR_FR_Digital.pdf" TargetMode="External"/><Relationship Id="rId58" Type="http://schemas.openxmlformats.org/officeDocument/2006/relationships/hyperlink" Target="https://www.frb.admin.ch/dam/fr/sd-web/dpUMNTB9n8gz/Les%20personnes%20ayant%20un%20mode%20de%20vie%20itin%C3%A9rant%20doivent%20aussi%20pouvoir%20se%20loger.pdf" TargetMode="External"/><Relationship Id="rId74" Type="http://schemas.openxmlformats.org/officeDocument/2006/relationships/hyperlink" Target="https://www.admin.ch/gov/fr/start/dokumentation/medienmitteilungen.msg-id-94582.html" TargetMode="External"/><Relationship Id="rId79" Type="http://schemas.openxmlformats.org/officeDocument/2006/relationships/hyperlink" Target="https://www.parlament.ch/fr/ratsbetrieb/suche-curia-vista/geschaeft?AffairId=20224289" TargetMode="External"/><Relationship Id="rId102" Type="http://schemas.openxmlformats.org/officeDocument/2006/relationships/footer" Target="footer1.xml"/><Relationship Id="rId5" Type="http://schemas.openxmlformats.org/officeDocument/2006/relationships/numbering" Target="numbering.xml"/><Relationship Id="rId90" Type="http://schemas.openxmlformats.org/officeDocument/2006/relationships/hyperlink" Target="https://www.frb.admin.ch/fr/quelles-sont-les-formes-de-discrimination-raciale" TargetMode="External"/><Relationship Id="rId95" Type="http://schemas.openxmlformats.org/officeDocument/2006/relationships/hyperlink" Target="https://www.cdip.ch/fr/la-cdip/actualites/20250416" TargetMode="External"/><Relationship Id="rId22" Type="http://schemas.openxmlformats.org/officeDocument/2006/relationships/hyperlink" Target="https://www.bfs.admin.ch/bfs/fr/home/statistiques/population/migration-integration/vivre-ensemble-suisse.html" TargetMode="External"/><Relationship Id="rId27" Type="http://schemas.openxmlformats.org/officeDocument/2006/relationships/hyperlink" Target="https://www.frb.admin.ch/dam/fr/sd-web/riOdBvao31nw/Bericht_Monitoring_Rass_Antisemit_f.pdf" TargetMode="External"/><Relationship Id="rId43" Type="http://schemas.openxmlformats.org/officeDocument/2006/relationships/hyperlink" Target="http://www.ekr.admin.ch/prestations/f517.html" TargetMode="External"/><Relationship Id="rId48" Type="http://schemas.openxmlformats.org/officeDocument/2006/relationships/hyperlink" Target="https://cms.news.admin.ch/dam/de/der-schweizerische-bundesrat/qax92ofY-umC/250827+Rapport+SLR.pdf" TargetMode="External"/><Relationship Id="rId64" Type="http://schemas.openxmlformats.org/officeDocument/2006/relationships/hyperlink" Target="https://www.news.admin.ch/fr/newnsb/hFb7k4Gz21EdvgYkhj7A5" TargetMode="External"/><Relationship Id="rId69" Type="http://schemas.openxmlformats.org/officeDocument/2006/relationships/hyperlink" Target="https://www.parlament.ch/fr/ratsbetrieb/suche-curia-vista/geschaeft?AffairId=20214137" TargetMode="External"/><Relationship Id="rId80" Type="http://schemas.openxmlformats.org/officeDocument/2006/relationships/hyperlink" Target="https://www.parlament.ch/fr/ratsbetrieb/suche-curia-vista/geschaeft?AffairId=20224290" TargetMode="External"/><Relationship Id="rId85" Type="http://schemas.openxmlformats.org/officeDocument/2006/relationships/hyperlink" Target="https://www.bwo.admin.ch/dam/fr/sd-web/wZ0MsOmGt9Gp/NeueWohnkonzepte_Abschlusspublikation_ZusammenfassungD.pdf" TargetMode="External"/><Relationship Id="rId12" Type="http://schemas.openxmlformats.org/officeDocument/2006/relationships/hyperlink" Target="https://www.parlament.ch/fr/ratsbetrieb/suche-curia-vista/geschaeft?AffairId=20210082" TargetMode="External"/><Relationship Id="rId17" Type="http://schemas.openxmlformats.org/officeDocument/2006/relationships/hyperlink" Target="https://www.kip-pic.ch/fr/pic/" TargetMode="External"/><Relationship Id="rId33" Type="http://schemas.openxmlformats.org/officeDocument/2006/relationships/hyperlink" Target="https://www.ekr.admin.ch/publications/f107.html" TargetMode="External"/><Relationship Id="rId38" Type="http://schemas.openxmlformats.org/officeDocument/2006/relationships/hyperlink" Target="https://unitednations.sharepoint.com/Users/fabio/Desktop/ATraductions/DFI%20Secre&#769;tariat%20ge&#769;ne&#769;ral/2025_CERD%20CH/Premie&#768;re%20partie/www.ekm.admin.ch" TargetMode="External"/><Relationship Id="rId59" Type="http://schemas.openxmlformats.org/officeDocument/2006/relationships/hyperlink" Target="https://www.frb.admin.ch/dam/fr/sd-web/YfQgWtMXGx6f/Etat%20des%20lieux%20du%20racisme%20anti-Noir.e%20en%20Suisse.pdf" TargetMode="External"/><Relationship Id="rId103" Type="http://schemas.openxmlformats.org/officeDocument/2006/relationships/footer" Target="footer2.xml"/><Relationship Id="rId20" Type="http://schemas.openxmlformats.org/officeDocument/2006/relationships/hyperlink" Target="https://unitednations.sharepoint.com/sites/OHCHR-HRT-TIM-CPESCRS/CERD/==State%20Partys%20Report/Switzerland/SPR-13to16/www.racisme-en-chiffres.ch" TargetMode="External"/><Relationship Id="rId41" Type="http://schemas.openxmlformats.org/officeDocument/2006/relationships/hyperlink" Target="http://www.racisme-en-chiffres.ch" TargetMode="External"/><Relationship Id="rId54" Type="http://schemas.openxmlformats.org/officeDocument/2006/relationships/hyperlink" Target="https://www.frb.admin.ch/dam/fr/sd-web/MpkEKw9XyrNt/CSIS%2C%20Racisme%20anti-musulman%20en%20Suisse%202025.pdf" TargetMode="External"/><Relationship Id="rId62" Type="http://schemas.openxmlformats.org/officeDocument/2006/relationships/hyperlink" Target="https://www.parlament.ch/fr/ratsbetrieb/suche-curia-vista/geschaeft?AffairId=20214137" TargetMode="External"/><Relationship Id="rId70" Type="http://schemas.openxmlformats.org/officeDocument/2006/relationships/hyperlink" Target="https://www.frb.admin.ch/dam/fr/sd-web/riOdBvao31nw/Bericht_Monitoring_Rass_Antisemit_f.pdf" TargetMode="External"/><Relationship Id="rId75" Type="http://schemas.openxmlformats.org/officeDocument/2006/relationships/hyperlink" Target="https://www.frb.admin.ch/dam/fr/sd-web/dY89r4P5HVh5/250225_FRB_AMR_FR_Digital.pdf" TargetMode="External"/><Relationship Id="rId83" Type="http://schemas.openxmlformats.org/officeDocument/2006/relationships/hyperlink" Target="https://www.parlament.ch/fr/ratsbetrieb/suche-curia-vista/geschaeft?AffairId=20220466" TargetMode="External"/><Relationship Id="rId88" Type="http://schemas.openxmlformats.org/officeDocument/2006/relationships/hyperlink" Target="https://www.frb.admin.ch/dam/fr/sd-web/riOdBvao31nw/Bericht_Monitoring_Rass_Antisemit_f.pdf" TargetMode="External"/><Relationship Id="rId91" Type="http://schemas.openxmlformats.org/officeDocument/2006/relationships/hyperlink" Target="https://www.bak.admin.ch/bak/fr/home/sprachen-und-gesellschaft/les-yeniches-et-les-manouches-sont-une-minorite-nationale/plan-d-action.html" TargetMode="External"/><Relationship Id="rId96" Type="http://schemas.openxmlformats.org/officeDocument/2006/relationships/hyperlink" Target="https://www.frb.admin.ch/fr/le-racisme-en-chiffr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frb.admin.ch/fr/strategie-et-plan-d-action-contre-le-racisme-et-l-antisemitisme" TargetMode="External"/><Relationship Id="rId23" Type="http://schemas.openxmlformats.org/officeDocument/2006/relationships/hyperlink" Target="https://www.frb.admin.ch/dam/fr/sd-web/Ud7oKlD1AEmO/Racisme%20structurel%20en%20Suisse%20un%20%C3%A9tat%20des%20lieux%20de%20la%20recherche%20et%20de%20ses%20r%C3%A9sultats.pdf" TargetMode="External"/><Relationship Id="rId28" Type="http://schemas.openxmlformats.org/officeDocument/2006/relationships/hyperlink" Target="https://hudoc.echr.coe.int/fre?i=002-14291" TargetMode="External"/><Relationship Id="rId36" Type="http://schemas.openxmlformats.org/officeDocument/2006/relationships/hyperlink" Target="https://www.ekr.admin.ch/publications/f119/1392.html" TargetMode="External"/><Relationship Id="rId49" Type="http://schemas.openxmlformats.org/officeDocument/2006/relationships/hyperlink" Target="https://www.parlament.ch/fr/ratsbetrieb/suche-curia-vista/geschaeft?AffairId=20214137" TargetMode="External"/><Relationship Id="rId57" Type="http://schemas.openxmlformats.org/officeDocument/2006/relationships/hyperlink" Target="https://www.frb.admin.ch/dam/fr/sd-web/zGWVXDMa8hyg/Evaluation%20des%20mesures%20contre%20l'antis%C3%A9mitisme_Interface.pdf"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reportonlineracism.ch" TargetMode="External"/><Relationship Id="rId44" Type="http://schemas.openxmlformats.org/officeDocument/2006/relationships/hyperlink" Target="https://www.bfs.admin.ch/bfs/de/home/statistiken/bevoelkerung/migration-integration/zusammenleben-schweiz/diskriminierung.assetdetail.31849584.html" TargetMode="External"/><Relationship Id="rId52" Type="http://schemas.openxmlformats.org/officeDocument/2006/relationships/hyperlink" Target="https://www.jeunesetmedias.ch/" TargetMode="External"/><Relationship Id="rId60" Type="http://schemas.openxmlformats.org/officeDocument/2006/relationships/hyperlink" Target="https://www.parlament.ch/fr/ratsbetrieb/suche-curia-vista/geschaeft?AffairId=20234335" TargetMode="External"/><Relationship Id="rId65" Type="http://schemas.openxmlformats.org/officeDocument/2006/relationships/hyperlink" Target="https://www.kkjpd.ch/?action=get_file&amp;language=fr&amp;id=35&amp;resource_link_id=134" TargetMode="External"/><Relationship Id="rId73" Type="http://schemas.openxmlformats.org/officeDocument/2006/relationships/hyperlink" Target="https://www.parlament.ch/fr/ratsbetrieb/suche-curia-vista/geschaeft?AffairId=20234335" TargetMode="External"/><Relationship Id="rId78" Type="http://schemas.openxmlformats.org/officeDocument/2006/relationships/hyperlink" Target="https://www.parlament.ch/fr/ratsbetrieb/suche-curia-vista/geschaeft?AffairId=20224559" TargetMode="External"/><Relationship Id="rId81" Type="http://schemas.openxmlformats.org/officeDocument/2006/relationships/hyperlink" Target="https://www.parlament.ch/fr/ratsbetrieb/suche-curia-vista/geschaeft?AffairId=20244092" TargetMode="External"/><Relationship Id="rId86" Type="http://schemas.openxmlformats.org/officeDocument/2006/relationships/hyperlink" Target="https://www.parlament.ch/de/ratsbetrieb/amtliches-bulletin/amtliches-bulletin-die-verhandlungen?SubjectId=64665" TargetMode="External"/><Relationship Id="rId94" Type="http://schemas.openxmlformats.org/officeDocument/2006/relationships/hyperlink" Target="https://www.ekr.admin.ch/publications/f107/1380.html" TargetMode="External"/><Relationship Id="rId99" Type="http://schemas.openxmlformats.org/officeDocument/2006/relationships/hyperlink" Target="https://www.frb.admin.ch/dam/fr/sd-web/FBKzVoItTgdX/SLR_Mesures_Racisme%26Antis%C3%A9mitisme_2025_06_16_INTERFACE_f.pdf" TargetMode="External"/><Relationship Id="rId10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tadtrat.bern.ch/de/geschaefte/detail.php?gid=16eccd4725754d8b9122d6bfebf1f325" TargetMode="External"/><Relationship Id="rId18" Type="http://schemas.openxmlformats.org/officeDocument/2006/relationships/hyperlink" Target="https://www.ekr.admin.ch/publikationen/f107/1399.html" TargetMode="External"/><Relationship Id="rId39" Type="http://schemas.openxmlformats.org/officeDocument/2006/relationships/hyperlink" Target="https://stadtrat.bern.ch/de/geschaefte/detail.php?gid=16eccd4725754d8b9122d6bfebf1f325" TargetMode="External"/><Relationship Id="rId34" Type="http://schemas.openxmlformats.org/officeDocument/2006/relationships/hyperlink" Target="https://www.ekr.admin.ch/publications/f108.html" TargetMode="External"/><Relationship Id="rId50" Type="http://schemas.openxmlformats.org/officeDocument/2006/relationships/hyperlink" Target="https://www.bakom.admin.ch/bakom/fr/page-daccueil/suisse-numerique-et-internet/communication-numerique/plateformes-de-communication.html" TargetMode="External"/><Relationship Id="rId55" Type="http://schemas.openxmlformats.org/officeDocument/2006/relationships/hyperlink" Target="https://www.frb.admin.ch/dam/fr/sd-web/dpUMNTB9n8gz/Les%20personnes%20ayant%20un%20mode%20de%20vie%20itin%C3%A9rant%20doivent%20aussi%20pouvoir%20se%20loger.pdf" TargetMode="External"/><Relationship Id="rId76" Type="http://schemas.openxmlformats.org/officeDocument/2006/relationships/hyperlink" Target="https://www.frb.admin.ch/dam/fr/sd-web/MpkEKw9XyrNt/CSIS%2C%20Racisme%20anti-musulman%20en%20Suisse%202025.pdf" TargetMode="External"/><Relationship Id="rId97" Type="http://schemas.openxmlformats.org/officeDocument/2006/relationships/hyperlink" Target="https://www.frb.admin.ch/dam/fr/sd-web/Ud7oKlD1AEmO/Racisme%20structurel%20en%20Suisse%20un%20%C3%A9tat%20des%20lieux%20de%20la%20recherche%20et%20de%20ses%20r%C3%A9sultats.pdf" TargetMode="External"/><Relationship Id="rId104"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hyperlink" Target="https://cms.news.admin.ch/dam/de/der-schweizerische-bundesrat/qax92ofY-umC/250827+Rapport+SLR.pdf" TargetMode="External"/><Relationship Id="rId92" Type="http://schemas.openxmlformats.org/officeDocument/2006/relationships/hyperlink" Target="https://www.sodk.ch/fr/documentation/communique-de-presse/recommandations-de-la-cdas-relatives-aux-enfants-et-aux-jeunes-mineurs-non-accompagnes-dans-le-domaine-de-lasile/" TargetMode="External"/><Relationship Id="rId2" Type="http://schemas.openxmlformats.org/officeDocument/2006/relationships/customXml" Target="../customXml/item2.xml"/><Relationship Id="rId29" Type="http://schemas.openxmlformats.org/officeDocument/2006/relationships/hyperlink" Target="https://www.ekr.admin.ch/home/f112.html" TargetMode="External"/><Relationship Id="rId24" Type="http://schemas.openxmlformats.org/officeDocument/2006/relationships/hyperlink" Target="https://www.frb.admin.ch/dam/fr/sd-web/MpkEKw9XyrNt/CSIS%2C%20Racisme%20anti-musulman%20en%20Suisse%202025.pdf" TargetMode="External"/><Relationship Id="rId40" Type="http://schemas.openxmlformats.org/officeDocument/2006/relationships/hyperlink" Target="https://www.eda.admin.ch/content/dam/eda/fr/documents/aussenpolitik/voelkerrecht/CERD-Bericht-2018_fr.pdf" TargetMode="External"/><Relationship Id="rId45" Type="http://schemas.openxmlformats.org/officeDocument/2006/relationships/hyperlink" Target="https://www.frb.admin.ch/fr/quelles-sont-les-formes-de-discrimination-raciale" TargetMode="External"/><Relationship Id="rId66" Type="http://schemas.openxmlformats.org/officeDocument/2006/relationships/hyperlink" Target="https://www.ekr.admin.ch/actualite/f109/1404.html" TargetMode="External"/><Relationship Id="rId87" Type="http://schemas.openxmlformats.org/officeDocument/2006/relationships/hyperlink" Target="https://www.24heures.ch/lausanne-et-si-la-police-vous-donnait-un-recu-apres-vous-avoir-controle-753905781522" TargetMode="External"/><Relationship Id="rId61" Type="http://schemas.openxmlformats.org/officeDocument/2006/relationships/hyperlink" Target="https://www.bfs.admin.ch/bfs/fr/home/statistiques/criminalite-droit-penal/police.assetdetail.30887577.html" TargetMode="External"/><Relationship Id="rId82" Type="http://schemas.openxmlformats.org/officeDocument/2006/relationships/hyperlink" Target="https://www.parlament.ch/fr/ratsbetrieb/suche-curia-vista/geschaeft?AffairId=20233258" TargetMode="External"/><Relationship Id="rId19" Type="http://schemas.openxmlformats.org/officeDocument/2006/relationships/hyperlink" Target="https://www.ekr.admin.ch/publications/f107/1398.html" TargetMode="External"/><Relationship Id="rId14" Type="http://schemas.openxmlformats.org/officeDocument/2006/relationships/hyperlink" Target="https://www.edi.admin.ch/edi/fr/home/fachstellen/frb.html" TargetMode="External"/><Relationship Id="rId30" Type="http://schemas.openxmlformats.org/officeDocument/2006/relationships/hyperlink" Target="https://www.ekm.admin.ch/fr" TargetMode="External"/><Relationship Id="rId35" Type="http://schemas.openxmlformats.org/officeDocument/2006/relationships/hyperlink" Target="https://www.ekr.admin.ch/publications/f839.html" TargetMode="External"/><Relationship Id="rId56" Type="http://schemas.openxmlformats.org/officeDocument/2006/relationships/hyperlink" Target="https://www.frb.admin.ch/dam/fr/sd-web/Ud7oKlD1AEmO/Racisme%20structurel%20en%20Suisse%20un%20%C3%A9tat%20des%20lieux%20de%20la%20recherche%20et%20de%20ses%20r%C3%A9sultats.pdf" TargetMode="External"/><Relationship Id="rId77" Type="http://schemas.openxmlformats.org/officeDocument/2006/relationships/hyperlink" Target="https://www.news.admin.ch/fr/newnsb/HdhgZqJsb9aO" TargetMode="External"/><Relationship Id="rId100" Type="http://schemas.openxmlformats.org/officeDocument/2006/relationships/header" Target="header1.xml"/><Relationship Id="rId105"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bakom.admin.ch/bakom/fr/page-daccueil/medias-electroniques/etudes/etudes-diverses.html" TargetMode="External"/><Relationship Id="rId72" Type="http://schemas.openxmlformats.org/officeDocument/2006/relationships/hyperlink" Target="http://www.racisme-en-chiffres.ch" TargetMode="External"/><Relationship Id="rId93" Type="http://schemas.openxmlformats.org/officeDocument/2006/relationships/hyperlink" Target="https://www.sodk.ch/fr/documentation/communique-de-presse/aides-pratiques-mna-2024-en-complement-aux-recommandations-de-la-cdas-relatives-aux-enfants-et-aux-jeunes-mineurs-non-accompagnes-dans-le-domaine-de-lasile-2016/" TargetMode="External"/><Relationship Id="rId98" Type="http://schemas.openxmlformats.org/officeDocument/2006/relationships/hyperlink" Target="https://www.parlament.ch/fr/ratsbetrieb/suche-curia-vista/geschaeft?AffairId=20234335" TargetMode="External"/><Relationship Id="rId3" Type="http://schemas.openxmlformats.org/officeDocument/2006/relationships/customXml" Target="../customXml/item3.xml"/><Relationship Id="rId25" Type="http://schemas.openxmlformats.org/officeDocument/2006/relationships/hyperlink" Target="https://www.parlament.ch/fr/ratsbetrieb/suche-curia-vista/geschaeft?AffairId=20214137" TargetMode="External"/><Relationship Id="rId46" Type="http://schemas.openxmlformats.org/officeDocument/2006/relationships/hyperlink" Target="https://unitednations.sharepoint.com/Users/fabio/Desktop/ATraductions/DFI%20Secre&#769;tariat%20ge&#769;ne&#769;ral/2025_CERD%20CH/www.reportonlineracism.ch" TargetMode="External"/><Relationship Id="rId67" Type="http://schemas.openxmlformats.org/officeDocument/2006/relationships/hyperlink" Target="https://www.ne.ch/autorites/GC/objets/Documents/Rapports/2022/22024_com.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i=001-231080" TargetMode="External"/><Relationship Id="rId2" Type="http://schemas.openxmlformats.org/officeDocument/2006/relationships/hyperlink" Target="https://www.parlament.ch/fr/ratsbetrieb/suche-curia-vista/geschaeft?AffairId=20144008" TargetMode="External"/><Relationship Id="rId1" Type="http://schemas.openxmlformats.org/officeDocument/2006/relationships/hyperlink" Target="https://www.fedlex.admin.ch/eli/fga/2020/653/fr" TargetMode="External"/><Relationship Id="rId4" Type="http://schemas.openxmlformats.org/officeDocument/2006/relationships/hyperlink" Target="https://hudoc.echr.coe.int/fre?i=002-14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2024-05-06T19:29:15+00:00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F0E1D-4C89-40A9-9B51-2D64C8BC7F88}">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2.xml><?xml version="1.0" encoding="utf-8"?>
<ds:datastoreItem xmlns:ds="http://schemas.openxmlformats.org/officeDocument/2006/customXml" ds:itemID="{609E6225-1B21-4D61-89B8-F0A7A45D4498}">
  <ds:schemaRefs>
    <ds:schemaRef ds:uri="http://schemas.microsoft.com/sharepoint/v3/contenttype/forms"/>
  </ds:schemaRefs>
</ds:datastoreItem>
</file>

<file path=customXml/itemProps3.xml><?xml version="1.0" encoding="utf-8"?>
<ds:datastoreItem xmlns:ds="http://schemas.openxmlformats.org/officeDocument/2006/customXml" ds:itemID="{06651140-F988-451F-A66D-CFA2B3223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76BC0B-385A-43D7-AFB6-C9A11A673233}">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32</Pages>
  <Words>21355</Words>
  <Characters>121728</Characters>
  <Application>Microsoft Office Word</Application>
  <DocSecurity>0</DocSecurity>
  <Lines>1014</Lines>
  <Paragraphs>285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CERD/C/BEN/1-9</vt:lpstr>
      <vt:lpstr>a/hthhhh</vt:lpstr>
      <vt:lpstr>a/hthhhh</vt:lpstr>
    </vt:vector>
  </TitlesOfParts>
  <Company>DCM</Company>
  <LinksUpToDate>false</LinksUpToDate>
  <CharactersWithSpaces>142798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CERD/C/BEN/1-9</dc:title>
  <dc:creator>SINGH Kalpana</dc:creator>
  <cp:lastModifiedBy>Kalpana Singh</cp:lastModifiedBy>
  <cp:revision>5</cp:revision>
  <cp:lastPrinted>2017-02-27T14:31:00Z</cp:lastPrinted>
  <dcterms:created xsi:type="dcterms:W3CDTF">2025-12-16T11:36:00Z</dcterms:created>
  <dcterms:modified xsi:type="dcterms:W3CDTF">2025-12-16T12:51:00Z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du Bénin </vt:lpwstr>
  </property>
  <property fmtid="{D5CDD505-2E9C-101B-9397-08002B2CF9AE}" pid="8" name="countw">
    <vt:lpwstr>Bénin </vt:lpwstr>
  </property>
  <property fmtid="{D5CDD505-2E9C-101B-9397-08002B2CF9AE}" pid="9" name="countwd">
    <vt:lpwstr>le Bénin </vt:lpwstr>
  </property>
  <property fmtid="{D5CDD505-2E9C-101B-9397-08002B2CF9AE}" pid="10" name="date">
    <vt:lpwstr>8 octobre 2020</vt:lpwstr>
  </property>
  <property fmtid="{D5CDD505-2E9C-101B-9397-08002B2CF9AE}" pid="11" name="Date-Generated">
    <vt:filetime>2020-10-08T10:20:43Z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du Bénin  valant rapport initial à neuvième rapports périodiques</vt:lpwstr>
  </property>
  <property fmtid="{D5CDD505-2E9C-101B-9397-08002B2CF9AE}" pid="20" name="preps">
    <vt:lpwstr>rapport du Bénin  valant rapport initial à neuvième rapports périodiques</vt:lpwstr>
  </property>
  <property fmtid="{D5CDD505-2E9C-101B-9397-08002B2CF9AE}" pid="21" name="prepw">
    <vt:lpwstr>rapport valant rapport initial à neuvième rapports périodiques</vt:lpwstr>
  </property>
  <property fmtid="{D5CDD505-2E9C-101B-9397-08002B2CF9AE}" pid="22" name="prepwc">
    <vt:lpwstr>Rapport valant initial  à neuvième rapports périodiques</vt:lpwstr>
  </property>
  <property fmtid="{D5CDD505-2E9C-101B-9397-08002B2CF9AE}" pid="23" name="prepws">
    <vt:lpwstr>rapport valant rapport initial à neuvième rapports périodiques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C/BEN/1-9</vt:lpwstr>
  </property>
  <property fmtid="{D5CDD505-2E9C-101B-9397-08002B2CF9AE}" pid="28" name="symh">
    <vt:lpwstr>CERD/C/BEN/1-9</vt:lpwstr>
  </property>
  <property fmtid="{D5CDD505-2E9C-101B-9397-08002B2CF9AE}" pid="29" name="tlang">
    <vt:lpwstr/>
  </property>
  <property fmtid="{D5CDD505-2E9C-101B-9397-08002B2CF9AE}" pid="30" name="virs">
    <vt:lpwstr>Anglais, espagnol et français seulement</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