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0755D" w14:paraId="28600AD6" w14:textId="77777777">
        <w:trPr>
          <w:cantSplit/>
          <w:trHeight w:hRule="exact" w:val="851"/>
        </w:trPr>
        <w:tc>
          <w:tcPr>
            <w:tcW w:w="1276" w:type="dxa"/>
            <w:tcBorders>
              <w:bottom w:val="single" w:sz="4" w:space="0" w:color="auto"/>
            </w:tcBorders>
            <w:vAlign w:val="bottom"/>
          </w:tcPr>
          <w:p w14:paraId="2C9747BF" w14:textId="77777777" w:rsidR="00B56E9C" w:rsidRDefault="00B56E9C" w:rsidP="00B6553F">
            <w:pPr>
              <w:spacing w:after="80"/>
            </w:pPr>
          </w:p>
        </w:tc>
        <w:tc>
          <w:tcPr>
            <w:tcW w:w="2268" w:type="dxa"/>
            <w:tcBorders>
              <w:bottom w:val="single" w:sz="4" w:space="0" w:color="auto"/>
            </w:tcBorders>
            <w:vAlign w:val="bottom"/>
          </w:tcPr>
          <w:p w14:paraId="42A83C22" w14:textId="77D0AC49" w:rsidR="00B56E9C" w:rsidRPr="0053708C" w:rsidRDefault="00B56E9C" w:rsidP="00B6553F">
            <w:pPr>
              <w:spacing w:after="80" w:line="300" w:lineRule="exact"/>
              <w:rPr>
                <w:b/>
                <w:sz w:val="24"/>
                <w:szCs w:val="24"/>
              </w:rPr>
            </w:pPr>
          </w:p>
        </w:tc>
        <w:tc>
          <w:tcPr>
            <w:tcW w:w="6095" w:type="dxa"/>
            <w:gridSpan w:val="2"/>
            <w:tcBorders>
              <w:bottom w:val="single" w:sz="4" w:space="0" w:color="auto"/>
            </w:tcBorders>
            <w:vAlign w:val="bottom"/>
          </w:tcPr>
          <w:p w14:paraId="4B17C4B6" w14:textId="08E222C4" w:rsidR="00B56E9C" w:rsidRPr="0069581E" w:rsidRDefault="000B2AB3" w:rsidP="00E13020">
            <w:pPr>
              <w:jc w:val="right"/>
              <w:rPr>
                <w:lang w:val="fr-FR"/>
              </w:rPr>
            </w:pPr>
            <w:r w:rsidRPr="0069581E">
              <w:rPr>
                <w:sz w:val="36"/>
                <w:szCs w:val="36"/>
                <w:lang w:val="fr-FR"/>
              </w:rPr>
              <w:t>CCPR</w:t>
            </w:r>
            <w:r w:rsidRPr="0069581E">
              <w:rPr>
                <w:lang w:val="fr-FR"/>
              </w:rPr>
              <w:t>/C/</w:t>
            </w:r>
            <w:r w:rsidR="009D33B8" w:rsidRPr="0069581E">
              <w:rPr>
                <w:lang w:val="fr-FR"/>
              </w:rPr>
              <w:t>1</w:t>
            </w:r>
            <w:r w:rsidR="00F272EC" w:rsidRPr="0069581E">
              <w:rPr>
                <w:lang w:val="fr-FR"/>
              </w:rPr>
              <w:t>4</w:t>
            </w:r>
            <w:r w:rsidR="00BE3727" w:rsidRPr="0069581E">
              <w:rPr>
                <w:lang w:val="fr-FR"/>
              </w:rPr>
              <w:t>4</w:t>
            </w:r>
            <w:r w:rsidR="000D0D9A" w:rsidRPr="0069581E">
              <w:rPr>
                <w:lang w:val="fr-FR"/>
              </w:rPr>
              <w:t>/D/</w:t>
            </w:r>
            <w:r w:rsidR="00A703EB" w:rsidRPr="0069581E">
              <w:rPr>
                <w:lang w:val="fr-FR"/>
              </w:rPr>
              <w:t>3136/2018</w:t>
            </w:r>
          </w:p>
          <w:p w14:paraId="69E24438" w14:textId="665C5F0A" w:rsidR="00B33E34" w:rsidRPr="0069581E" w:rsidRDefault="002F7DCE" w:rsidP="00E13020">
            <w:pPr>
              <w:jc w:val="right"/>
              <w:rPr>
                <w:lang w:val="fr-FR"/>
              </w:rPr>
            </w:pPr>
            <w:r w:rsidRPr="0069581E">
              <w:rPr>
                <w:sz w:val="36"/>
                <w:szCs w:val="36"/>
                <w:lang w:val="fr-FR"/>
              </w:rPr>
              <w:t>C</w:t>
            </w:r>
            <w:r w:rsidR="00B33E34" w:rsidRPr="0069581E">
              <w:rPr>
                <w:sz w:val="36"/>
                <w:szCs w:val="36"/>
                <w:lang w:val="fr-FR"/>
              </w:rPr>
              <w:t>CPR</w:t>
            </w:r>
            <w:r w:rsidR="00B33E34" w:rsidRPr="0069581E">
              <w:rPr>
                <w:lang w:val="fr-FR"/>
              </w:rPr>
              <w:t>/C/144/D/3138/2018</w:t>
            </w:r>
          </w:p>
        </w:tc>
      </w:tr>
      <w:tr w:rsidR="00F272EC" w:rsidRPr="0053708C" w14:paraId="67BA795B" w14:textId="77777777">
        <w:trPr>
          <w:cantSplit/>
          <w:trHeight w:hRule="exact" w:val="2835"/>
        </w:trPr>
        <w:tc>
          <w:tcPr>
            <w:tcW w:w="1276" w:type="dxa"/>
            <w:tcBorders>
              <w:top w:val="single" w:sz="4" w:space="0" w:color="auto"/>
              <w:bottom w:val="single" w:sz="12" w:space="0" w:color="auto"/>
            </w:tcBorders>
          </w:tcPr>
          <w:p w14:paraId="078C7C34" w14:textId="476C26D0" w:rsidR="00F272EC" w:rsidRPr="0069581E" w:rsidRDefault="00F272EC" w:rsidP="00F272EC">
            <w:pPr>
              <w:spacing w:before="120"/>
              <w:rPr>
                <w:lang w:val="fr-FR"/>
              </w:rPr>
            </w:pPr>
          </w:p>
        </w:tc>
        <w:tc>
          <w:tcPr>
            <w:tcW w:w="5528" w:type="dxa"/>
            <w:gridSpan w:val="2"/>
            <w:tcBorders>
              <w:top w:val="single" w:sz="4" w:space="0" w:color="auto"/>
              <w:bottom w:val="single" w:sz="12" w:space="0" w:color="auto"/>
            </w:tcBorders>
          </w:tcPr>
          <w:p w14:paraId="4729ABBF" w14:textId="3E8226A1" w:rsidR="00F272EC" w:rsidRPr="0069581E" w:rsidRDefault="00F272EC" w:rsidP="00F272EC">
            <w:pPr>
              <w:spacing w:before="120" w:line="380" w:lineRule="exact"/>
              <w:rPr>
                <w:b/>
                <w:sz w:val="34"/>
                <w:szCs w:val="40"/>
                <w:lang w:val="fr-FR"/>
              </w:rPr>
            </w:pPr>
          </w:p>
          <w:p w14:paraId="7CD64522" w14:textId="77777777" w:rsidR="0069581E" w:rsidRDefault="0069581E" w:rsidP="00F272EC">
            <w:pPr>
              <w:spacing w:before="120" w:line="380" w:lineRule="exact"/>
              <w:rPr>
                <w:b/>
                <w:sz w:val="34"/>
                <w:szCs w:val="40"/>
              </w:rPr>
            </w:pPr>
            <w:bookmarkStart w:id="0" w:name="_Hlk203636077"/>
          </w:p>
          <w:p w14:paraId="5188D1B6" w14:textId="77777777" w:rsidR="0069581E" w:rsidRDefault="0069581E" w:rsidP="00F272EC">
            <w:pPr>
              <w:spacing w:before="120" w:line="380" w:lineRule="exact"/>
              <w:rPr>
                <w:b/>
                <w:sz w:val="34"/>
                <w:szCs w:val="40"/>
              </w:rPr>
            </w:pPr>
          </w:p>
          <w:p w14:paraId="33857CCE" w14:textId="432730D2" w:rsidR="008F04FD" w:rsidRPr="0053708C" w:rsidRDefault="008F04FD" w:rsidP="00F272EC">
            <w:pPr>
              <w:spacing w:before="120" w:line="380" w:lineRule="exact"/>
              <w:rPr>
                <w:sz w:val="34"/>
              </w:rPr>
            </w:pPr>
            <w:r>
              <w:rPr>
                <w:b/>
                <w:sz w:val="34"/>
                <w:szCs w:val="40"/>
              </w:rPr>
              <w:t>Advance unedited version</w:t>
            </w:r>
            <w:bookmarkEnd w:id="0"/>
          </w:p>
        </w:tc>
        <w:tc>
          <w:tcPr>
            <w:tcW w:w="2835" w:type="dxa"/>
            <w:tcBorders>
              <w:top w:val="single" w:sz="4" w:space="0" w:color="auto"/>
              <w:bottom w:val="single" w:sz="12" w:space="0" w:color="auto"/>
            </w:tcBorders>
          </w:tcPr>
          <w:p w14:paraId="2311C13B" w14:textId="5DCE6AF2" w:rsidR="00F272EC" w:rsidRPr="00375544" w:rsidRDefault="00F272EC" w:rsidP="00F272EC">
            <w:pPr>
              <w:spacing w:before="240" w:line="240" w:lineRule="auto"/>
              <w:rPr>
                <w:lang w:val="en-US"/>
              </w:rPr>
            </w:pPr>
            <w:r w:rsidRPr="00375544">
              <w:rPr>
                <w:lang w:val="en-US"/>
              </w:rPr>
              <w:t xml:space="preserve">Distr.: </w:t>
            </w:r>
            <w:r w:rsidR="001B370E">
              <w:rPr>
                <w:lang w:val="en-US"/>
              </w:rPr>
              <w:t>General</w:t>
            </w:r>
          </w:p>
          <w:p w14:paraId="7B2EB877" w14:textId="52E9A526" w:rsidR="00F272EC" w:rsidRPr="00375544" w:rsidRDefault="001B370E" w:rsidP="00F272EC">
            <w:pPr>
              <w:spacing w:line="240" w:lineRule="auto"/>
              <w:rPr>
                <w:lang w:val="en-US"/>
              </w:rPr>
            </w:pPr>
            <w:r>
              <w:rPr>
                <w:lang w:val="en-US"/>
              </w:rPr>
              <w:t>17 July</w:t>
            </w:r>
            <w:r w:rsidR="00F272EC">
              <w:rPr>
                <w:lang w:val="en-US"/>
              </w:rPr>
              <w:t xml:space="preserve"> 202</w:t>
            </w:r>
            <w:r w:rsidR="005B729F">
              <w:rPr>
                <w:lang w:val="en-US"/>
              </w:rPr>
              <w:t>5</w:t>
            </w:r>
            <w:r w:rsidR="00F272EC">
              <w:rPr>
                <w:lang w:val="en-US"/>
              </w:rPr>
              <w:t xml:space="preserve"> </w:t>
            </w:r>
          </w:p>
          <w:p w14:paraId="4A67AABC" w14:textId="77777777" w:rsidR="00F272EC" w:rsidRPr="00375544" w:rsidRDefault="00F272EC" w:rsidP="00F272EC">
            <w:pPr>
              <w:spacing w:line="240" w:lineRule="auto"/>
              <w:rPr>
                <w:lang w:val="en-US"/>
              </w:rPr>
            </w:pPr>
          </w:p>
          <w:p w14:paraId="5B33A7D5" w14:textId="64014089" w:rsidR="00F272EC" w:rsidRPr="0053708C" w:rsidRDefault="00290538" w:rsidP="0069581E">
            <w:pPr>
              <w:spacing w:line="240" w:lineRule="auto"/>
            </w:pPr>
            <w:r>
              <w:rPr>
                <w:lang w:val="en-US"/>
              </w:rPr>
              <w:t>English</w:t>
            </w:r>
            <w:r w:rsidR="00F272EC" w:rsidRPr="00375544">
              <w:rPr>
                <w:lang w:val="en-US"/>
              </w:rPr>
              <w:t xml:space="preserve"> </w:t>
            </w:r>
          </w:p>
        </w:tc>
      </w:tr>
    </w:tbl>
    <w:p w14:paraId="6A4E1039" w14:textId="3DA9D7EB" w:rsidR="00814327" w:rsidRPr="008A4697" w:rsidRDefault="00F272EC" w:rsidP="00742246">
      <w:pPr>
        <w:rPr>
          <w:rFonts w:eastAsiaTheme="minorEastAsia"/>
          <w:b/>
          <w:bCs/>
          <w:lang w:eastAsia="zh-CN"/>
        </w:rPr>
      </w:pPr>
      <w:r w:rsidRPr="007E2028">
        <w:rPr>
          <w:b/>
          <w:bCs/>
          <w:sz w:val="24"/>
        </w:rPr>
        <w:t>Human Rights Committee</w:t>
      </w:r>
      <w:r>
        <w:rPr>
          <w:b/>
          <w:bCs/>
          <w:sz w:val="24"/>
        </w:rPr>
        <w:br/>
      </w:r>
    </w:p>
    <w:p w14:paraId="5E59F74E" w14:textId="37CD3919" w:rsidR="00F272EC" w:rsidRPr="0069581E" w:rsidRDefault="002F7DCE" w:rsidP="002F7DCE">
      <w:pPr>
        <w:pStyle w:val="HChG"/>
        <w:rPr>
          <w:rFonts w:eastAsia="MS Mincho"/>
          <w:sz w:val="24"/>
        </w:rPr>
      </w:pPr>
      <w:r>
        <w:tab/>
      </w:r>
      <w:r>
        <w:tab/>
      </w:r>
      <w:r w:rsidR="0095091A" w:rsidRPr="0022577B">
        <w:t xml:space="preserve">Decision adopted by the Committee under the Optional Protocol, concerning </w:t>
      </w:r>
      <w:r w:rsidR="0095091A">
        <w:t>c</w:t>
      </w:r>
      <w:r w:rsidR="00F272EC" w:rsidRPr="00F272EC">
        <w:t xml:space="preserve">ommunication No. </w:t>
      </w:r>
      <w:r w:rsidR="00A703EB">
        <w:t>3136/2018</w:t>
      </w:r>
      <w:r w:rsidR="00B33E34">
        <w:t xml:space="preserve"> and No. 3138/2018</w:t>
      </w:r>
      <w:r w:rsidR="00F33665">
        <w:t xml:space="preserve"> </w:t>
      </w:r>
      <w:r w:rsidR="005426CE" w:rsidRPr="0069581E">
        <w:rPr>
          <w:rStyle w:val="FootnoteReference"/>
          <w:sz w:val="20"/>
          <w:vertAlign w:val="baseline"/>
        </w:rPr>
        <w:footnoteReference w:customMarkFollows="1" w:id="2"/>
        <w:t>*</w:t>
      </w:r>
      <w:r w:rsidR="005426CE" w:rsidRPr="0069581E">
        <w:rPr>
          <w:sz w:val="20"/>
          <w:vertAlign w:val="superscript"/>
        </w:rPr>
        <w:t>,</w:t>
      </w:r>
      <w:r w:rsidR="005426CE" w:rsidRPr="0069581E">
        <w:rPr>
          <w:rStyle w:val="FootnoteReference"/>
          <w:sz w:val="20"/>
          <w:vertAlign w:val="baseline"/>
        </w:rPr>
        <w:footnoteReference w:customMarkFollows="1" w:id="3"/>
        <w:t>**</w:t>
      </w:r>
      <w:r w:rsidR="001C2913" w:rsidRPr="0069581E">
        <w:rPr>
          <w:rFonts w:eastAsia="MS Mincho"/>
          <w:noProof/>
          <w:sz w:val="24"/>
        </w:rPr>
        <w:drawing>
          <wp:anchor distT="0" distB="0" distL="114300" distR="114300" simplePos="0" relativeHeight="251659264" behindDoc="0" locked="1" layoutInCell="1" allowOverlap="1" wp14:anchorId="6F9921FD" wp14:editId="250E82C6">
            <wp:simplePos x="0" y="0"/>
            <wp:positionH relativeFrom="column">
              <wp:posOffset>4558030</wp:posOffset>
            </wp:positionH>
            <wp:positionV relativeFrom="page">
              <wp:posOffset>10128250</wp:posOffset>
            </wp:positionV>
            <wp:extent cx="932180" cy="230505"/>
            <wp:effectExtent l="0" t="0" r="0" b="0"/>
            <wp:wrapNone/>
            <wp:docPr id="2"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 recycle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2180" cy="230505"/>
                    </a:xfrm>
                    <a:prstGeom prst="rect">
                      <a:avLst/>
                    </a:prstGeom>
                    <a:noFill/>
                  </pic:spPr>
                </pic:pic>
              </a:graphicData>
            </a:graphic>
            <wp14:sizeRelH relativeFrom="margin">
              <wp14:pctWidth>0</wp14:pctWidth>
            </wp14:sizeRelH>
            <wp14:sizeRelV relativeFrom="margin">
              <wp14:pctHeight>0</wp14:pctHeight>
            </wp14:sizeRelV>
          </wp:anchor>
        </w:drawing>
      </w:r>
    </w:p>
    <w:p w14:paraId="607D60C2" w14:textId="012129C8" w:rsidR="000B2AB3" w:rsidRPr="0053708C" w:rsidRDefault="000B2AB3" w:rsidP="00F272EC">
      <w:pPr>
        <w:pStyle w:val="SingleTxtG"/>
        <w:spacing w:line="240" w:lineRule="exact"/>
        <w:ind w:left="4536" w:hanging="3402"/>
      </w:pPr>
      <w:r w:rsidRPr="0053708C">
        <w:rPr>
          <w:i/>
        </w:rPr>
        <w:t>Submitted by:</w:t>
      </w:r>
      <w:r w:rsidRPr="0053708C">
        <w:tab/>
      </w:r>
      <w:r w:rsidR="00A703EB">
        <w:t>R</w:t>
      </w:r>
      <w:r w:rsidR="0000755D">
        <w:t>.</w:t>
      </w:r>
      <w:r w:rsidR="00A703EB">
        <w:t xml:space="preserve"> P</w:t>
      </w:r>
      <w:r w:rsidR="0000755D">
        <w:t>.</w:t>
      </w:r>
      <w:r w:rsidR="00BE3727">
        <w:rPr>
          <w:lang w:val="en-GB"/>
        </w:rPr>
        <w:t xml:space="preserve"> (represented by </w:t>
      </w:r>
      <w:r w:rsidR="00A703EB">
        <w:rPr>
          <w:lang w:val="en-GB"/>
        </w:rPr>
        <w:t xml:space="preserve">counsel Elena </w:t>
      </w:r>
      <w:proofErr w:type="spellStart"/>
      <w:r w:rsidR="00A703EB">
        <w:rPr>
          <w:lang w:val="en-GB"/>
        </w:rPr>
        <w:t>Kharionovskaya</w:t>
      </w:r>
      <w:proofErr w:type="spellEnd"/>
      <w:r w:rsidR="00BE3727">
        <w:rPr>
          <w:lang w:val="en-GB"/>
        </w:rPr>
        <w:t>)</w:t>
      </w:r>
      <w:r w:rsidRPr="0053708C">
        <w:t xml:space="preserve"> </w:t>
      </w:r>
      <w:r w:rsidR="00B33E34">
        <w:t>and S</w:t>
      </w:r>
      <w:r w:rsidR="0000755D">
        <w:t>.</w:t>
      </w:r>
      <w:r w:rsidR="00B33E34">
        <w:t xml:space="preserve"> </w:t>
      </w:r>
      <w:r w:rsidR="0000755D">
        <w:t>Y.</w:t>
      </w:r>
      <w:r w:rsidR="00B33E34">
        <w:t xml:space="preserve"> (not represented by cou</w:t>
      </w:r>
      <w:r w:rsidR="0000755D">
        <w:t>n</w:t>
      </w:r>
      <w:r w:rsidR="00B33E34">
        <w:t>sel).</w:t>
      </w:r>
    </w:p>
    <w:p w14:paraId="44F5E9FD" w14:textId="77777777" w:rsidR="000B2AB3" w:rsidRPr="0053708C" w:rsidRDefault="000B2AB3" w:rsidP="000B2AB3">
      <w:pPr>
        <w:pStyle w:val="SingleTxtG"/>
        <w:spacing w:line="240" w:lineRule="exact"/>
        <w:ind w:left="4536" w:hanging="3402"/>
      </w:pPr>
      <w:r w:rsidRPr="0053708C">
        <w:rPr>
          <w:i/>
        </w:rPr>
        <w:t>Alleged victim:</w:t>
      </w:r>
      <w:r w:rsidR="006C6DE9" w:rsidRPr="0053708C">
        <w:tab/>
      </w:r>
      <w:r w:rsidR="00BE3727">
        <w:t>The author</w:t>
      </w:r>
      <w:r w:rsidR="00FC54FE">
        <w:t>s</w:t>
      </w:r>
    </w:p>
    <w:p w14:paraId="291E5DE3" w14:textId="77777777" w:rsidR="000B2AB3" w:rsidRPr="0053708C" w:rsidRDefault="000B2AB3" w:rsidP="000B2AB3">
      <w:pPr>
        <w:pStyle w:val="SingleTxtG"/>
        <w:spacing w:line="240" w:lineRule="exact"/>
        <w:ind w:left="4536" w:hanging="3402"/>
      </w:pPr>
      <w:r w:rsidRPr="0053708C">
        <w:rPr>
          <w:i/>
        </w:rPr>
        <w:t>State party:</w:t>
      </w:r>
      <w:r w:rsidRPr="0053708C">
        <w:tab/>
      </w:r>
      <w:r w:rsidR="00F46E61">
        <w:rPr>
          <w:lang w:val="en-GB"/>
        </w:rPr>
        <w:t>Russian Federation</w:t>
      </w:r>
      <w:r w:rsidRPr="0053708C">
        <w:t xml:space="preserve"> </w:t>
      </w:r>
    </w:p>
    <w:p w14:paraId="0D04922D" w14:textId="77777777" w:rsidR="000B2AB3" w:rsidRPr="0053708C" w:rsidRDefault="000B2AB3" w:rsidP="000B2AB3">
      <w:pPr>
        <w:pStyle w:val="SingleTxtG"/>
        <w:spacing w:line="240" w:lineRule="exact"/>
        <w:ind w:left="4536" w:hanging="3402"/>
      </w:pPr>
      <w:r w:rsidRPr="0053708C">
        <w:rPr>
          <w:i/>
        </w:rPr>
        <w:t>Date of communication:</w:t>
      </w:r>
      <w:r w:rsidR="000636E5" w:rsidRPr="0053708C">
        <w:tab/>
      </w:r>
      <w:r w:rsidR="00F46E61">
        <w:t>1</w:t>
      </w:r>
      <w:r w:rsidR="00BE3727">
        <w:t>7</w:t>
      </w:r>
      <w:r w:rsidR="00F46E61">
        <w:t xml:space="preserve"> </w:t>
      </w:r>
      <w:r w:rsidR="007159C9">
        <w:t>September</w:t>
      </w:r>
      <w:r w:rsidR="000636E5" w:rsidRPr="0053708C">
        <w:rPr>
          <w:lang w:val="en-GB"/>
        </w:rPr>
        <w:t xml:space="preserve"> 201</w:t>
      </w:r>
      <w:r w:rsidR="007159C9">
        <w:rPr>
          <w:lang w:val="en-GB"/>
        </w:rPr>
        <w:t>7</w:t>
      </w:r>
      <w:r w:rsidRPr="0053708C">
        <w:t xml:space="preserve"> (</w:t>
      </w:r>
      <w:r w:rsidR="00B33E34">
        <w:t>communication No. 3136/2018) and 25 September 2017 (communication No. 3138/2018)</w:t>
      </w:r>
    </w:p>
    <w:p w14:paraId="0368917B" w14:textId="77777777" w:rsidR="000B2AB3" w:rsidRPr="0053708C" w:rsidRDefault="000B2AB3" w:rsidP="000B2AB3">
      <w:pPr>
        <w:pStyle w:val="SingleTxtG"/>
        <w:spacing w:line="240" w:lineRule="exact"/>
        <w:ind w:left="4536" w:hanging="3402"/>
      </w:pPr>
      <w:r w:rsidRPr="0053708C">
        <w:rPr>
          <w:i/>
        </w:rPr>
        <w:t>Document references:</w:t>
      </w:r>
      <w:r w:rsidRPr="0053708C">
        <w:tab/>
        <w:t xml:space="preserve">Special Rapporteur’s rule 97 decision, transmitted to the State </w:t>
      </w:r>
      <w:r w:rsidR="004B7C6B">
        <w:t>P</w:t>
      </w:r>
      <w:r w:rsidRPr="0053708C">
        <w:t xml:space="preserve">arty on </w:t>
      </w:r>
      <w:r w:rsidR="007159C9">
        <w:t>14</w:t>
      </w:r>
      <w:r w:rsidR="00BE3727">
        <w:rPr>
          <w:lang w:val="en-GB"/>
        </w:rPr>
        <w:t xml:space="preserve"> M</w:t>
      </w:r>
      <w:r w:rsidR="007159C9">
        <w:rPr>
          <w:lang w:val="en-GB"/>
        </w:rPr>
        <w:t>arch</w:t>
      </w:r>
      <w:r w:rsidR="005B729F">
        <w:rPr>
          <w:lang w:val="en-GB"/>
        </w:rPr>
        <w:t xml:space="preserve"> 201</w:t>
      </w:r>
      <w:r w:rsidR="007159C9">
        <w:rPr>
          <w:lang w:val="en-GB"/>
        </w:rPr>
        <w:t>8</w:t>
      </w:r>
      <w:r w:rsidR="000636E5" w:rsidRPr="0053708C">
        <w:rPr>
          <w:lang w:val="en-GB"/>
        </w:rPr>
        <w:t xml:space="preserve"> </w:t>
      </w:r>
      <w:r w:rsidRPr="0053708C">
        <w:t>(not issued in document form)</w:t>
      </w:r>
    </w:p>
    <w:p w14:paraId="5DA1D9F3" w14:textId="43156649" w:rsidR="000B2AB3" w:rsidRPr="0053708C" w:rsidRDefault="000B2AB3" w:rsidP="000B2AB3">
      <w:pPr>
        <w:pStyle w:val="SingleTxtG"/>
        <w:spacing w:line="240" w:lineRule="exact"/>
        <w:ind w:left="4536" w:hanging="3402"/>
        <w:rPr>
          <w:lang w:val="en-US"/>
        </w:rPr>
      </w:pPr>
      <w:r w:rsidRPr="0053708C">
        <w:rPr>
          <w:i/>
        </w:rPr>
        <w:t>Date of adoption of decision:</w:t>
      </w:r>
      <w:r w:rsidRPr="0053708C">
        <w:tab/>
      </w:r>
      <w:r w:rsidR="008F7D1E">
        <w:t>17</w:t>
      </w:r>
      <w:r w:rsidR="00724579">
        <w:t xml:space="preserve"> </w:t>
      </w:r>
      <w:r w:rsidR="00BE3727">
        <w:t>July</w:t>
      </w:r>
      <w:r w:rsidR="005545F6">
        <w:t xml:space="preserve"> 202</w:t>
      </w:r>
      <w:r w:rsidR="00F46E61">
        <w:t>5</w:t>
      </w:r>
    </w:p>
    <w:p w14:paraId="253316F2" w14:textId="77777777" w:rsidR="000B2AB3" w:rsidRPr="0053708C" w:rsidRDefault="000B2AB3" w:rsidP="000B2AB3">
      <w:pPr>
        <w:pStyle w:val="SingleTxtG"/>
        <w:ind w:left="4536" w:hanging="3402"/>
        <w:rPr>
          <w:lang w:val="en-GB"/>
        </w:rPr>
      </w:pPr>
      <w:r w:rsidRPr="0053708C">
        <w:rPr>
          <w:i/>
        </w:rPr>
        <w:t>Subject matter:</w:t>
      </w:r>
      <w:r w:rsidRPr="0053708C">
        <w:tab/>
      </w:r>
      <w:r w:rsidR="007159C9">
        <w:rPr>
          <w:iCs/>
        </w:rPr>
        <w:t>Fair trial</w:t>
      </w:r>
    </w:p>
    <w:p w14:paraId="34040952" w14:textId="77777777" w:rsidR="00304BFF" w:rsidRPr="0053708C" w:rsidRDefault="00304BFF" w:rsidP="00304BFF">
      <w:pPr>
        <w:pStyle w:val="SingleTxtG"/>
        <w:ind w:left="4536" w:hanging="3402"/>
        <w:rPr>
          <w:lang w:val="en-GB"/>
        </w:rPr>
      </w:pPr>
      <w:r w:rsidRPr="0053708C">
        <w:rPr>
          <w:i/>
        </w:rPr>
        <w:t xml:space="preserve">Procedural issues: </w:t>
      </w:r>
      <w:r w:rsidRPr="0053708C">
        <w:rPr>
          <w:i/>
        </w:rPr>
        <w:tab/>
      </w:r>
      <w:r w:rsidRPr="0053708C">
        <w:tab/>
      </w:r>
      <w:r w:rsidR="00F46E61">
        <w:rPr>
          <w:lang w:val="en-GB"/>
        </w:rPr>
        <w:t>Abuse of submission</w:t>
      </w:r>
      <w:r w:rsidR="00FC54FE">
        <w:rPr>
          <w:lang w:val="en-GB"/>
        </w:rPr>
        <w:t>; lack of substantiation</w:t>
      </w:r>
    </w:p>
    <w:p w14:paraId="19E66C9A" w14:textId="77777777" w:rsidR="00237A25" w:rsidRPr="007159C9" w:rsidRDefault="00304BFF" w:rsidP="00237A25">
      <w:pPr>
        <w:pStyle w:val="SingleTxtG"/>
        <w:ind w:left="4536" w:hanging="3402"/>
        <w:rPr>
          <w:iCs/>
        </w:rPr>
      </w:pPr>
      <w:r w:rsidRPr="0053708C">
        <w:rPr>
          <w:i/>
        </w:rPr>
        <w:t xml:space="preserve">Substantive issues: </w:t>
      </w:r>
      <w:r w:rsidRPr="0053708C">
        <w:rPr>
          <w:i/>
        </w:rPr>
        <w:tab/>
      </w:r>
      <w:r w:rsidR="007159C9">
        <w:rPr>
          <w:iCs/>
        </w:rPr>
        <w:t>Court not established by law on account of wrong appointment of lay judges</w:t>
      </w:r>
    </w:p>
    <w:p w14:paraId="37E1134F" w14:textId="77777777" w:rsidR="00304BFF" w:rsidRPr="0053708C" w:rsidRDefault="00304BFF" w:rsidP="00BE3727">
      <w:pPr>
        <w:pStyle w:val="SingleTxtG"/>
        <w:ind w:left="4536" w:hanging="3402"/>
      </w:pPr>
      <w:r w:rsidRPr="0053708C">
        <w:rPr>
          <w:i/>
        </w:rPr>
        <w:t>Articles of the Covenant:</w:t>
      </w:r>
      <w:r w:rsidRPr="0053708C">
        <w:t xml:space="preserve"> </w:t>
      </w:r>
      <w:r w:rsidRPr="0053708C">
        <w:tab/>
      </w:r>
      <w:r w:rsidR="00FC54FE">
        <w:t xml:space="preserve">9 and </w:t>
      </w:r>
      <w:r w:rsidR="007159C9">
        <w:rPr>
          <w:lang w:val="en-GB"/>
        </w:rPr>
        <w:t>14 (1)</w:t>
      </w:r>
    </w:p>
    <w:p w14:paraId="50AE7C7D" w14:textId="77777777" w:rsidR="00237A25" w:rsidRPr="0053708C" w:rsidRDefault="00304BFF" w:rsidP="00237A25">
      <w:pPr>
        <w:pStyle w:val="SingleTxtG"/>
        <w:ind w:left="4536" w:hanging="3402"/>
      </w:pPr>
      <w:r w:rsidRPr="0053708C">
        <w:rPr>
          <w:i/>
        </w:rPr>
        <w:t xml:space="preserve">Articles of the Optional Protocol: </w:t>
      </w:r>
      <w:r w:rsidRPr="0053708C">
        <w:rPr>
          <w:i/>
        </w:rPr>
        <w:tab/>
      </w:r>
      <w:r w:rsidR="00F46E61">
        <w:rPr>
          <w:iCs/>
        </w:rPr>
        <w:t>3</w:t>
      </w:r>
      <w:r w:rsidR="00C80BC9">
        <w:rPr>
          <w:iCs/>
        </w:rPr>
        <w:t xml:space="preserve"> </w:t>
      </w:r>
    </w:p>
    <w:p w14:paraId="50EAA97E" w14:textId="2D819E21" w:rsidR="001333BA" w:rsidRDefault="00E75BCF" w:rsidP="00882B25">
      <w:pPr>
        <w:pStyle w:val="SingleTxtG"/>
        <w:spacing w:before="240"/>
        <w:rPr>
          <w:lang w:val="en-GB"/>
        </w:rPr>
      </w:pPr>
      <w:r w:rsidRPr="0053708C">
        <w:t>1.</w:t>
      </w:r>
      <w:r w:rsidR="00505055">
        <w:t>1</w:t>
      </w:r>
      <w:r w:rsidR="00EF2438">
        <w:tab/>
      </w:r>
      <w:r w:rsidR="00BE3727" w:rsidRPr="00BE3727">
        <w:rPr>
          <w:lang w:val="en-GB"/>
        </w:rPr>
        <w:t>The author</w:t>
      </w:r>
      <w:r w:rsidR="00FC54FE">
        <w:rPr>
          <w:lang w:val="en-GB"/>
        </w:rPr>
        <w:t>s</w:t>
      </w:r>
      <w:r w:rsidR="00BE3727" w:rsidRPr="00BE3727">
        <w:rPr>
          <w:lang w:val="en-GB"/>
        </w:rPr>
        <w:t xml:space="preserve"> of the communication</w:t>
      </w:r>
      <w:r w:rsidR="00FC54FE">
        <w:rPr>
          <w:lang w:val="en-GB"/>
        </w:rPr>
        <w:t>s</w:t>
      </w:r>
      <w:r w:rsidR="00BE3727">
        <w:rPr>
          <w:lang w:val="en-GB"/>
        </w:rPr>
        <w:t xml:space="preserve"> </w:t>
      </w:r>
      <w:r w:rsidR="00FC54FE">
        <w:rPr>
          <w:lang w:val="en-GB"/>
        </w:rPr>
        <w:t>are R P (communication No. 3136/2018) and S Y (communication No. 3138/2018). The authors are nationals of the</w:t>
      </w:r>
      <w:r w:rsidR="00BE3727" w:rsidRPr="00BE3727">
        <w:rPr>
          <w:lang w:val="en-GB"/>
        </w:rPr>
        <w:t xml:space="preserve"> Russian </w:t>
      </w:r>
      <w:r w:rsidR="00FC54FE">
        <w:rPr>
          <w:lang w:val="en-GB"/>
        </w:rPr>
        <w:t xml:space="preserve">Federation </w:t>
      </w:r>
      <w:r w:rsidR="00BE3727" w:rsidRPr="00BE3727">
        <w:rPr>
          <w:lang w:val="en-GB"/>
        </w:rPr>
        <w:t xml:space="preserve">born in </w:t>
      </w:r>
      <w:r w:rsidR="00FC54FE">
        <w:rPr>
          <w:lang w:val="en-GB"/>
        </w:rPr>
        <w:t xml:space="preserve">1981 and </w:t>
      </w:r>
      <w:r w:rsidR="00BE3727" w:rsidRPr="00BE3727">
        <w:rPr>
          <w:lang w:val="en-GB"/>
        </w:rPr>
        <w:t>19</w:t>
      </w:r>
      <w:r w:rsidR="00FC54FE">
        <w:rPr>
          <w:lang w:val="en-GB"/>
        </w:rPr>
        <w:t>73, respectively</w:t>
      </w:r>
      <w:r w:rsidR="00BE3727" w:rsidRPr="00BE3727">
        <w:rPr>
          <w:lang w:val="en-GB"/>
        </w:rPr>
        <w:t xml:space="preserve">. </w:t>
      </w:r>
      <w:r w:rsidR="00B33E34">
        <w:rPr>
          <w:lang w:val="en-GB"/>
        </w:rPr>
        <w:t xml:space="preserve">Mr. </w:t>
      </w:r>
      <w:proofErr w:type="spellStart"/>
      <w:r w:rsidR="00B33E34">
        <w:rPr>
          <w:lang w:val="en-GB"/>
        </w:rPr>
        <w:t>Pclaims</w:t>
      </w:r>
      <w:proofErr w:type="spellEnd"/>
      <w:r w:rsidR="00B33E34">
        <w:rPr>
          <w:lang w:val="en-GB"/>
        </w:rPr>
        <w:t xml:space="preserve"> that the State Party has violated his rights under articles 9 and 14 of the Covenant.</w:t>
      </w:r>
      <w:r w:rsidR="00882B25">
        <w:rPr>
          <w:lang w:val="en-GB"/>
        </w:rPr>
        <w:t xml:space="preserve"> </w:t>
      </w:r>
      <w:r w:rsidR="00B33E34">
        <w:rPr>
          <w:lang w:val="en-GB"/>
        </w:rPr>
        <w:t xml:space="preserve">Mr. Y claims violation, by the State Party of his rights under article 14 (1) of the Covenant. </w:t>
      </w:r>
      <w:r w:rsidR="00BE3727" w:rsidRPr="00BE3727">
        <w:rPr>
          <w:lang w:val="en-GB"/>
        </w:rPr>
        <w:t xml:space="preserve">The Optional Protocol entered into force for the </w:t>
      </w:r>
      <w:r w:rsidR="00B33E34">
        <w:rPr>
          <w:lang w:val="en-GB"/>
        </w:rPr>
        <w:t xml:space="preserve">State Party </w:t>
      </w:r>
      <w:r w:rsidR="00BE3727" w:rsidRPr="00BE3727">
        <w:rPr>
          <w:lang w:val="en-GB"/>
        </w:rPr>
        <w:t xml:space="preserve">on 1 January 1992. </w:t>
      </w:r>
      <w:r w:rsidR="00B33E34">
        <w:rPr>
          <w:lang w:val="en-GB"/>
        </w:rPr>
        <w:t>Mr. P</w:t>
      </w:r>
      <w:r w:rsidR="00BE3727" w:rsidRPr="00BE3727">
        <w:rPr>
          <w:lang w:val="en-GB"/>
        </w:rPr>
        <w:t xml:space="preserve"> is represented by </w:t>
      </w:r>
      <w:r w:rsidR="00B33E34">
        <w:rPr>
          <w:lang w:val="en-GB"/>
        </w:rPr>
        <w:t>counsel</w:t>
      </w:r>
      <w:r w:rsidR="00BE3727" w:rsidRPr="00BE3727">
        <w:rPr>
          <w:lang w:val="en-GB"/>
        </w:rPr>
        <w:t>.</w:t>
      </w:r>
      <w:r w:rsidR="00B33E34">
        <w:rPr>
          <w:lang w:val="en-GB"/>
        </w:rPr>
        <w:t xml:space="preserve"> Mr. Y is not represented by counsel.</w:t>
      </w:r>
    </w:p>
    <w:p w14:paraId="557517B2" w14:textId="609C1068" w:rsidR="00505055" w:rsidRDefault="00505055" w:rsidP="00505055">
      <w:pPr>
        <w:pStyle w:val="SingleTxtG"/>
      </w:pPr>
      <w:r w:rsidRPr="00505055">
        <w:rPr>
          <w:lang w:val="en-GB"/>
        </w:rPr>
        <w:lastRenderedPageBreak/>
        <w:t>1.2</w:t>
      </w:r>
      <w:r w:rsidR="00290538">
        <w:rPr>
          <w:lang w:val="en-GB"/>
        </w:rPr>
        <w:tab/>
      </w:r>
      <w:r w:rsidRPr="00505055">
        <w:rPr>
          <w:lang w:val="en-GB"/>
        </w:rPr>
        <w:t xml:space="preserve">On </w:t>
      </w:r>
      <w:r w:rsidR="0000755D">
        <w:rPr>
          <w:lang w:val="en-GB"/>
        </w:rPr>
        <w:t>17</w:t>
      </w:r>
      <w:r>
        <w:rPr>
          <w:lang w:val="en-GB"/>
        </w:rPr>
        <w:t xml:space="preserve"> </w:t>
      </w:r>
      <w:r w:rsidRPr="00505055">
        <w:rPr>
          <w:lang w:val="en-GB"/>
        </w:rPr>
        <w:t>July 202</w:t>
      </w:r>
      <w:r>
        <w:rPr>
          <w:lang w:val="en-GB"/>
        </w:rPr>
        <w:t>5</w:t>
      </w:r>
      <w:r w:rsidRPr="00505055">
        <w:rPr>
          <w:lang w:val="en-GB"/>
        </w:rPr>
        <w:t>, pursuant to rule 97 (3) of the Committee’s rules of procedure, the Committee decided to join communications No.</w:t>
      </w:r>
      <w:r>
        <w:rPr>
          <w:lang w:val="en-GB"/>
        </w:rPr>
        <w:t xml:space="preserve"> 3136</w:t>
      </w:r>
      <w:r w:rsidRPr="00505055">
        <w:rPr>
          <w:lang w:val="en-GB"/>
        </w:rPr>
        <w:t>/201</w:t>
      </w:r>
      <w:r>
        <w:rPr>
          <w:lang w:val="en-GB"/>
        </w:rPr>
        <w:t>8</w:t>
      </w:r>
      <w:r w:rsidRPr="00505055">
        <w:rPr>
          <w:lang w:val="en-GB"/>
        </w:rPr>
        <w:t xml:space="preserve"> and No. </w:t>
      </w:r>
      <w:r>
        <w:rPr>
          <w:lang w:val="en-GB"/>
        </w:rPr>
        <w:t>3138</w:t>
      </w:r>
      <w:r w:rsidRPr="00505055">
        <w:rPr>
          <w:lang w:val="en-GB"/>
        </w:rPr>
        <w:t>/201</w:t>
      </w:r>
      <w:r>
        <w:rPr>
          <w:lang w:val="en-GB"/>
        </w:rPr>
        <w:t>8</w:t>
      </w:r>
      <w:r w:rsidRPr="00505055">
        <w:rPr>
          <w:lang w:val="en-GB"/>
        </w:rPr>
        <w:t>, which had been submitted by two different authors, for a joint decision, in view of the substantial factual and legal similarity.</w:t>
      </w:r>
    </w:p>
    <w:p w14:paraId="081AE81A" w14:textId="77777777" w:rsidR="001333BA" w:rsidRDefault="0088718D" w:rsidP="001333BA">
      <w:pPr>
        <w:pStyle w:val="SingleTxtG"/>
        <w:rPr>
          <w:b/>
          <w:bCs/>
        </w:rPr>
      </w:pPr>
      <w:r>
        <w:rPr>
          <w:b/>
          <w:bCs/>
        </w:rPr>
        <w:t>Facts as submitted by the authors</w:t>
      </w:r>
    </w:p>
    <w:p w14:paraId="0B46D828" w14:textId="77777777" w:rsidR="000E1FE1" w:rsidRDefault="00C51959" w:rsidP="0088718D">
      <w:pPr>
        <w:pStyle w:val="SingleTxtG"/>
        <w:rPr>
          <w:lang w:val="en-US"/>
        </w:rPr>
      </w:pPr>
      <w:r w:rsidRPr="00C51959">
        <w:t>2.</w:t>
      </w:r>
      <w:r w:rsidR="0088718D" w:rsidRPr="0088718D">
        <w:rPr>
          <w:lang w:val="en-GB"/>
        </w:rPr>
        <w:t>1</w:t>
      </w:r>
      <w:r w:rsidR="007E768F">
        <w:rPr>
          <w:lang w:val="en-GB"/>
        </w:rPr>
        <w:tab/>
      </w:r>
      <w:r w:rsidR="0088718D" w:rsidRPr="0088718D">
        <w:rPr>
          <w:lang w:val="en-GB"/>
        </w:rPr>
        <w:t xml:space="preserve">Both communications deal with the </w:t>
      </w:r>
      <w:r w:rsidR="0088718D">
        <w:rPr>
          <w:lang w:val="en-GB"/>
        </w:rPr>
        <w:t xml:space="preserve">legality of appointment of the lay </w:t>
      </w:r>
      <w:r w:rsidR="007E768F">
        <w:rPr>
          <w:lang w:val="en-GB"/>
        </w:rPr>
        <w:t>judges</w:t>
      </w:r>
      <w:r w:rsidR="0088718D">
        <w:rPr>
          <w:lang w:val="en-GB"/>
        </w:rPr>
        <w:t xml:space="preserve"> in the authors’ trial proceedings. </w:t>
      </w:r>
      <w:r w:rsidR="0088718D" w:rsidRPr="0088718D">
        <w:rPr>
          <w:lang w:val="en-GB"/>
        </w:rPr>
        <w:t xml:space="preserve">The facts relevant to each communication are summarized below. </w:t>
      </w:r>
      <w:r w:rsidR="000E1FE1" w:rsidRPr="000E1FE1">
        <w:t xml:space="preserve"> </w:t>
      </w:r>
    </w:p>
    <w:p w14:paraId="37DF3E8A" w14:textId="33C0B518" w:rsidR="0088718D" w:rsidRDefault="0088718D" w:rsidP="0088718D">
      <w:pPr>
        <w:pStyle w:val="SingleTxtG"/>
        <w:rPr>
          <w:i/>
          <w:iCs/>
          <w:lang w:val="en-US"/>
        </w:rPr>
      </w:pPr>
      <w:r w:rsidRPr="0088718D">
        <w:rPr>
          <w:i/>
          <w:iCs/>
          <w:lang w:val="en-US"/>
        </w:rPr>
        <w:t>Communication No. 3136/2018: R</w:t>
      </w:r>
      <w:r w:rsidR="0000755D">
        <w:rPr>
          <w:i/>
          <w:iCs/>
          <w:lang w:val="en-US"/>
        </w:rPr>
        <w:t>.</w:t>
      </w:r>
      <w:r w:rsidRPr="0088718D">
        <w:rPr>
          <w:i/>
          <w:iCs/>
          <w:lang w:val="en-US"/>
        </w:rPr>
        <w:t xml:space="preserve"> P</w:t>
      </w:r>
      <w:r w:rsidR="0000755D">
        <w:rPr>
          <w:i/>
          <w:iCs/>
          <w:lang w:val="en-US"/>
        </w:rPr>
        <w:t>.</w:t>
      </w:r>
      <w:r w:rsidRPr="0088718D">
        <w:rPr>
          <w:i/>
          <w:iCs/>
          <w:lang w:val="en-US"/>
        </w:rPr>
        <w:t xml:space="preserve"> v. Russian Federation</w:t>
      </w:r>
    </w:p>
    <w:p w14:paraId="0A6EFCF7" w14:textId="02F01A50" w:rsidR="00990720" w:rsidRDefault="009625D0" w:rsidP="00782520">
      <w:pPr>
        <w:pStyle w:val="SingleTxtG"/>
        <w:rPr>
          <w:lang w:val="en-GB"/>
        </w:rPr>
      </w:pPr>
      <w:r>
        <w:rPr>
          <w:lang w:val="en-GB"/>
        </w:rPr>
        <w:t>2.2</w:t>
      </w:r>
      <w:r>
        <w:rPr>
          <w:lang w:val="en-GB"/>
        </w:rPr>
        <w:tab/>
      </w:r>
      <w:r w:rsidRPr="009625D0">
        <w:rPr>
          <w:lang w:val="en-GB"/>
        </w:rPr>
        <w:t>By the judgment of the Vologda Regional Court</w:t>
      </w:r>
      <w:r>
        <w:rPr>
          <w:lang w:val="en-GB"/>
        </w:rPr>
        <w:t xml:space="preserve"> </w:t>
      </w:r>
      <w:r w:rsidRPr="009625D0">
        <w:rPr>
          <w:lang w:val="en-GB"/>
        </w:rPr>
        <w:t xml:space="preserve">dated 12 February 2001, the </w:t>
      </w:r>
      <w:r w:rsidR="0000755D">
        <w:rPr>
          <w:lang w:val="en-GB"/>
        </w:rPr>
        <w:t xml:space="preserve">author </w:t>
      </w:r>
      <w:r w:rsidRPr="009625D0">
        <w:rPr>
          <w:lang w:val="en-GB"/>
        </w:rPr>
        <w:t>was sentenced to life imprisonment</w:t>
      </w:r>
      <w:r w:rsidR="00782520">
        <w:rPr>
          <w:lang w:val="en-GB"/>
        </w:rPr>
        <w:t xml:space="preserve"> </w:t>
      </w:r>
      <w:r w:rsidR="009F7B82">
        <w:rPr>
          <w:lang w:val="en-GB"/>
        </w:rPr>
        <w:t>under articles 105 (2) of the Criminal Code</w:t>
      </w:r>
      <w:r w:rsidR="009F7B82" w:rsidRPr="00782520">
        <w:rPr>
          <w:lang w:val="en-GB"/>
        </w:rPr>
        <w:t xml:space="preserve"> </w:t>
      </w:r>
      <w:r w:rsidR="009F7B82">
        <w:rPr>
          <w:lang w:val="en-GB"/>
        </w:rPr>
        <w:t>(</w:t>
      </w:r>
      <w:r w:rsidR="00782520" w:rsidRPr="00782520">
        <w:rPr>
          <w:lang w:val="en-GB"/>
        </w:rPr>
        <w:t>murder</w:t>
      </w:r>
      <w:r w:rsidR="009F7B82">
        <w:rPr>
          <w:lang w:val="en-GB"/>
        </w:rPr>
        <w:t>)</w:t>
      </w:r>
      <w:r w:rsidR="00782520" w:rsidRPr="00782520">
        <w:rPr>
          <w:lang w:val="en-GB"/>
        </w:rPr>
        <w:t>,</w:t>
      </w:r>
      <w:r w:rsidR="005038D8" w:rsidRPr="00B37B28">
        <w:rPr>
          <w:lang w:val="en-US"/>
        </w:rPr>
        <w:t xml:space="preserve"> </w:t>
      </w:r>
      <w:r w:rsidR="009F7B82">
        <w:rPr>
          <w:lang w:val="en-US"/>
        </w:rPr>
        <w:t>1578 (2) (</w:t>
      </w:r>
      <w:r w:rsidR="005038D8">
        <w:rPr>
          <w:lang w:val="en-US"/>
        </w:rPr>
        <w:t>theft</w:t>
      </w:r>
      <w:r w:rsidR="009F7B82">
        <w:rPr>
          <w:lang w:val="en-US"/>
        </w:rPr>
        <w:t xml:space="preserve"> by a group of persons by prior agreement)</w:t>
      </w:r>
      <w:r w:rsidR="005038D8">
        <w:rPr>
          <w:lang w:val="en-US"/>
        </w:rPr>
        <w:t xml:space="preserve"> and</w:t>
      </w:r>
      <w:r w:rsidR="009F7B82">
        <w:rPr>
          <w:lang w:val="en-GB"/>
        </w:rPr>
        <w:t xml:space="preserve"> 167 (1) and (2) (</w:t>
      </w:r>
      <w:r w:rsidR="005038D8">
        <w:rPr>
          <w:lang w:val="en-GB"/>
        </w:rPr>
        <w:t>destruction of property</w:t>
      </w:r>
      <w:r w:rsidR="009F7B82">
        <w:rPr>
          <w:lang w:val="en-GB"/>
        </w:rPr>
        <w:t xml:space="preserve"> by fire)</w:t>
      </w:r>
      <w:r w:rsidRPr="009625D0">
        <w:rPr>
          <w:lang w:val="en-GB"/>
        </w:rPr>
        <w:t>.</w:t>
      </w:r>
      <w:r>
        <w:rPr>
          <w:lang w:val="en-GB"/>
        </w:rPr>
        <w:t xml:space="preserve"> The</w:t>
      </w:r>
      <w:r w:rsidR="00BF1B4C">
        <w:rPr>
          <w:lang w:val="en-GB"/>
        </w:rPr>
        <w:t xml:space="preserve"> trial court composed of one professional judge and two lay judges</w:t>
      </w:r>
      <w:r w:rsidR="007E768F">
        <w:rPr>
          <w:lang w:val="en-GB"/>
        </w:rPr>
        <w:t>,</w:t>
      </w:r>
      <w:r w:rsidR="00BF1B4C">
        <w:rPr>
          <w:lang w:val="en-GB"/>
        </w:rPr>
        <w:t xml:space="preserve"> N. and G.</w:t>
      </w:r>
      <w:r w:rsidR="00BF1B4C" w:rsidRPr="009625D0">
        <w:rPr>
          <w:lang w:val="en-GB"/>
        </w:rPr>
        <w:t xml:space="preserve"> </w:t>
      </w:r>
      <w:r w:rsidRPr="009625D0">
        <w:rPr>
          <w:lang w:val="en-GB"/>
        </w:rPr>
        <w:t>By a cassation ruling of the Supreme Court</w:t>
      </w:r>
      <w:r w:rsidR="00C93E47">
        <w:rPr>
          <w:lang w:val="en-GB"/>
        </w:rPr>
        <w:t xml:space="preserve"> of the Russian Federation</w:t>
      </w:r>
      <w:r w:rsidRPr="009625D0">
        <w:rPr>
          <w:lang w:val="en-GB"/>
        </w:rPr>
        <w:t xml:space="preserve"> dated 1 November 2001, </w:t>
      </w:r>
      <w:r>
        <w:rPr>
          <w:lang w:val="en-GB"/>
        </w:rPr>
        <w:t xml:space="preserve">part of </w:t>
      </w:r>
      <w:r w:rsidR="00BF1B4C">
        <w:rPr>
          <w:lang w:val="en-GB"/>
        </w:rPr>
        <w:t>the author’s</w:t>
      </w:r>
      <w:r>
        <w:rPr>
          <w:lang w:val="en-GB"/>
        </w:rPr>
        <w:t xml:space="preserve"> conviction</w:t>
      </w:r>
      <w:r w:rsidR="005038D8">
        <w:rPr>
          <w:lang w:val="en-GB"/>
        </w:rPr>
        <w:t xml:space="preserve"> </w:t>
      </w:r>
      <w:r w:rsidR="009F7B82">
        <w:rPr>
          <w:lang w:val="en-GB"/>
        </w:rPr>
        <w:t>under article 167 (2)</w:t>
      </w:r>
      <w:r>
        <w:rPr>
          <w:lang w:val="en-GB"/>
        </w:rPr>
        <w:t xml:space="preserve"> </w:t>
      </w:r>
      <w:r w:rsidRPr="009625D0">
        <w:rPr>
          <w:lang w:val="en-GB"/>
        </w:rPr>
        <w:t>was quashed, and remitted for a new trial before the same court with a different judicial panel</w:t>
      </w:r>
      <w:r>
        <w:rPr>
          <w:lang w:val="en-GB"/>
        </w:rPr>
        <w:t xml:space="preserve">. </w:t>
      </w:r>
      <w:r w:rsidR="00BF1B4C">
        <w:rPr>
          <w:lang w:val="en-GB"/>
        </w:rPr>
        <w:t xml:space="preserve">The rest of the ruling </w:t>
      </w:r>
      <w:r w:rsidR="00314FBB">
        <w:rPr>
          <w:lang w:val="en-GB"/>
        </w:rPr>
        <w:t>became</w:t>
      </w:r>
      <w:r w:rsidR="00BF1B4C">
        <w:rPr>
          <w:lang w:val="en-GB"/>
        </w:rPr>
        <w:t xml:space="preserve"> </w:t>
      </w:r>
      <w:r w:rsidR="00314FBB">
        <w:rPr>
          <w:lang w:val="en-GB"/>
        </w:rPr>
        <w:t>final and enforceable on the same date</w:t>
      </w:r>
      <w:r w:rsidR="00BF1B4C">
        <w:rPr>
          <w:lang w:val="en-GB"/>
        </w:rPr>
        <w:t xml:space="preserve">. </w:t>
      </w:r>
    </w:p>
    <w:p w14:paraId="5EEB587C" w14:textId="77777777" w:rsidR="009625D0" w:rsidRPr="009625D0" w:rsidRDefault="00990720" w:rsidP="00BF1B4C">
      <w:pPr>
        <w:pStyle w:val="SingleTxtG"/>
        <w:rPr>
          <w:lang w:val="en-GB"/>
        </w:rPr>
      </w:pPr>
      <w:r>
        <w:rPr>
          <w:lang w:val="en-GB"/>
        </w:rPr>
        <w:t>2.3</w:t>
      </w:r>
      <w:r>
        <w:rPr>
          <w:lang w:val="en-GB"/>
        </w:rPr>
        <w:tab/>
      </w:r>
      <w:r w:rsidR="000801C7">
        <w:rPr>
          <w:lang w:val="en-GB"/>
        </w:rPr>
        <w:t>On</w:t>
      </w:r>
      <w:r w:rsidR="000801C7" w:rsidRPr="009625D0">
        <w:rPr>
          <w:lang w:val="en-GB"/>
        </w:rPr>
        <w:t xml:space="preserve"> 22 January 2002 </w:t>
      </w:r>
      <w:r w:rsidR="000801C7">
        <w:rPr>
          <w:lang w:val="en-GB"/>
        </w:rPr>
        <w:t>t</w:t>
      </w:r>
      <w:r w:rsidR="009625D0" w:rsidRPr="009625D0">
        <w:rPr>
          <w:lang w:val="en-GB"/>
        </w:rPr>
        <w:t xml:space="preserve">he Vologda Regional Court </w:t>
      </w:r>
      <w:r w:rsidR="007E768F">
        <w:rPr>
          <w:lang w:val="en-GB"/>
        </w:rPr>
        <w:t xml:space="preserve">sentenced </w:t>
      </w:r>
      <w:r w:rsidR="00BF1B4C">
        <w:rPr>
          <w:lang w:val="en-GB"/>
        </w:rPr>
        <w:t>the author to four years in prison</w:t>
      </w:r>
      <w:r w:rsidR="009F7B82">
        <w:rPr>
          <w:lang w:val="en-GB"/>
        </w:rPr>
        <w:t xml:space="preserve"> under article 167 (2) of the Criminal Code</w:t>
      </w:r>
      <w:r w:rsidR="00BF1B4C">
        <w:rPr>
          <w:lang w:val="en-GB"/>
        </w:rPr>
        <w:t>. Having aggregated the</w:t>
      </w:r>
      <w:r w:rsidR="009625D0" w:rsidRPr="009625D0">
        <w:rPr>
          <w:lang w:val="en-GB"/>
        </w:rPr>
        <w:t xml:space="preserve"> sentence</w:t>
      </w:r>
      <w:r w:rsidR="00BF1B4C">
        <w:rPr>
          <w:lang w:val="en-GB"/>
        </w:rPr>
        <w:t xml:space="preserve">s, the court sentenced the author to </w:t>
      </w:r>
      <w:r w:rsidR="009625D0" w:rsidRPr="009625D0">
        <w:rPr>
          <w:lang w:val="en-GB"/>
        </w:rPr>
        <w:t>life imprisonment.</w:t>
      </w:r>
      <w:r w:rsidR="00BF1B4C">
        <w:rPr>
          <w:lang w:val="en-GB"/>
        </w:rPr>
        <w:t xml:space="preserve"> </w:t>
      </w:r>
      <w:r w:rsidR="007E768F">
        <w:rPr>
          <w:lang w:val="en-GB"/>
        </w:rPr>
        <w:t>T</w:t>
      </w:r>
      <w:r w:rsidR="007E768F" w:rsidRPr="009625D0">
        <w:rPr>
          <w:lang w:val="en-GB"/>
        </w:rPr>
        <w:t>he Supreme Court</w:t>
      </w:r>
      <w:r w:rsidR="00C93E47">
        <w:rPr>
          <w:lang w:val="en-GB"/>
        </w:rPr>
        <w:t>,</w:t>
      </w:r>
      <w:r w:rsidR="007E768F">
        <w:rPr>
          <w:lang w:val="en-GB"/>
        </w:rPr>
        <w:t xml:space="preserve"> acting as cassation instance,</w:t>
      </w:r>
      <w:r w:rsidR="007E768F" w:rsidRPr="009625D0">
        <w:rPr>
          <w:lang w:val="en-GB"/>
        </w:rPr>
        <w:t xml:space="preserve"> upheld </w:t>
      </w:r>
      <w:r w:rsidR="007E768F">
        <w:rPr>
          <w:lang w:val="en-GB"/>
        </w:rPr>
        <w:t xml:space="preserve">the ruling </w:t>
      </w:r>
      <w:r w:rsidR="007E768F" w:rsidRPr="009625D0">
        <w:rPr>
          <w:lang w:val="en-GB"/>
        </w:rPr>
        <w:t xml:space="preserve">of the Vologda Regional Court </w:t>
      </w:r>
      <w:r w:rsidR="007E768F">
        <w:rPr>
          <w:lang w:val="en-GB"/>
        </w:rPr>
        <w:t>on</w:t>
      </w:r>
      <w:r w:rsidR="009625D0" w:rsidRPr="009625D0">
        <w:rPr>
          <w:lang w:val="en-GB"/>
        </w:rPr>
        <w:t xml:space="preserve"> 1 July 2002.</w:t>
      </w:r>
      <w:r w:rsidR="00BF1B4C">
        <w:rPr>
          <w:lang w:val="en-GB"/>
        </w:rPr>
        <w:t xml:space="preserve"> </w:t>
      </w:r>
      <w:r w:rsidR="00314FBB">
        <w:rPr>
          <w:lang w:val="en-GB"/>
        </w:rPr>
        <w:t>On the same date the ruling became final and enforceable.</w:t>
      </w:r>
    </w:p>
    <w:p w14:paraId="05AE7533" w14:textId="77777777" w:rsidR="00934D8B" w:rsidRDefault="000801C7" w:rsidP="00934D8B">
      <w:pPr>
        <w:pStyle w:val="SingleTxtG"/>
        <w:rPr>
          <w:lang w:val="en-GB"/>
        </w:rPr>
      </w:pPr>
      <w:r>
        <w:rPr>
          <w:lang w:val="en-GB"/>
        </w:rPr>
        <w:t>2.4</w:t>
      </w:r>
      <w:r>
        <w:rPr>
          <w:lang w:val="en-GB"/>
        </w:rPr>
        <w:tab/>
      </w:r>
      <w:r w:rsidR="009625D0" w:rsidRPr="009625D0">
        <w:rPr>
          <w:lang w:val="en-GB"/>
        </w:rPr>
        <w:t xml:space="preserve">On 22 December 2014, the </w:t>
      </w:r>
      <w:r>
        <w:rPr>
          <w:lang w:val="en-GB"/>
        </w:rPr>
        <w:t>author</w:t>
      </w:r>
      <w:r w:rsidR="009625D0" w:rsidRPr="009625D0">
        <w:rPr>
          <w:lang w:val="en-GB"/>
        </w:rPr>
        <w:t xml:space="preserve"> submitted a complaint to the Prosecutor General’s Office, raising the issue of the unlawful composition of the court that rendered the judgment of 12 February 2001.</w:t>
      </w:r>
      <w:r>
        <w:rPr>
          <w:lang w:val="en-GB"/>
        </w:rPr>
        <w:t xml:space="preserve"> He claimed that </w:t>
      </w:r>
      <w:r w:rsidR="007E768F">
        <w:rPr>
          <w:lang w:val="en-GB"/>
        </w:rPr>
        <w:t xml:space="preserve">the lay judge </w:t>
      </w:r>
      <w:r>
        <w:rPr>
          <w:lang w:val="en-GB"/>
        </w:rPr>
        <w:t>G. had been appointed unlawfully</w:t>
      </w:r>
      <w:r w:rsidR="009F7B82">
        <w:rPr>
          <w:lang w:val="en-GB"/>
        </w:rPr>
        <w:t xml:space="preserve"> since her mandate had expired</w:t>
      </w:r>
      <w:r>
        <w:rPr>
          <w:lang w:val="en-GB"/>
        </w:rPr>
        <w:t>.</w:t>
      </w:r>
      <w:r w:rsidR="00804FAF">
        <w:rPr>
          <w:lang w:val="en-GB"/>
        </w:rPr>
        <w:t xml:space="preserve"> </w:t>
      </w:r>
      <w:r w:rsidR="00934D8B" w:rsidRPr="009625D0">
        <w:rPr>
          <w:lang w:val="en-GB"/>
        </w:rPr>
        <w:t>On 27 April 2015, the Vologda City Court dismissed the applicant’s complaint under Article 125 of the Criminal Procedure Code.</w:t>
      </w:r>
      <w:r w:rsidR="00934D8B">
        <w:rPr>
          <w:lang w:val="en-GB"/>
        </w:rPr>
        <w:t xml:space="preserve"> </w:t>
      </w:r>
      <w:r w:rsidR="00934D8B" w:rsidRPr="009625D0">
        <w:rPr>
          <w:lang w:val="en-GB"/>
        </w:rPr>
        <w:t xml:space="preserve">On 22 April 2015, the Vologda </w:t>
      </w:r>
      <w:r w:rsidR="007E768F">
        <w:rPr>
          <w:lang w:val="en-GB"/>
        </w:rPr>
        <w:t>r</w:t>
      </w:r>
      <w:r w:rsidR="00934D8B" w:rsidRPr="009625D0">
        <w:rPr>
          <w:lang w:val="en-GB"/>
        </w:rPr>
        <w:t xml:space="preserve">egional </w:t>
      </w:r>
      <w:r w:rsidR="007E768F">
        <w:rPr>
          <w:lang w:val="en-GB"/>
        </w:rPr>
        <w:t>p</w:t>
      </w:r>
      <w:r w:rsidR="00934D8B" w:rsidRPr="009625D0">
        <w:rPr>
          <w:lang w:val="en-GB"/>
        </w:rPr>
        <w:t xml:space="preserve">rosecutor’s </w:t>
      </w:r>
      <w:r w:rsidR="007E768F">
        <w:rPr>
          <w:lang w:val="en-GB"/>
        </w:rPr>
        <w:t>o</w:t>
      </w:r>
      <w:r w:rsidR="00934D8B" w:rsidRPr="009625D0">
        <w:rPr>
          <w:lang w:val="en-GB"/>
        </w:rPr>
        <w:t>ffice</w:t>
      </w:r>
      <w:r w:rsidR="00934D8B">
        <w:rPr>
          <w:lang w:val="en-GB"/>
        </w:rPr>
        <w:t>, to which the complaint was transmitted,</w:t>
      </w:r>
      <w:r w:rsidR="00934D8B" w:rsidRPr="009625D0">
        <w:rPr>
          <w:lang w:val="en-GB"/>
        </w:rPr>
        <w:t xml:space="preserve"> rejected the </w:t>
      </w:r>
      <w:r w:rsidR="00934D8B">
        <w:rPr>
          <w:lang w:val="en-GB"/>
        </w:rPr>
        <w:t>author’s</w:t>
      </w:r>
      <w:r w:rsidR="00934D8B" w:rsidRPr="009625D0">
        <w:rPr>
          <w:lang w:val="en-GB"/>
        </w:rPr>
        <w:t xml:space="preserve"> complaint.</w:t>
      </w:r>
      <w:r w:rsidR="00934D8B">
        <w:rPr>
          <w:lang w:val="en-GB"/>
        </w:rPr>
        <w:t xml:space="preserve"> </w:t>
      </w:r>
      <w:r w:rsidR="003957BF">
        <w:rPr>
          <w:lang w:val="en-GB"/>
        </w:rPr>
        <w:t>In 2015, the author also submitted complaints to the Constitutional Court and the Ombudsperson’s Office</w:t>
      </w:r>
      <w:r w:rsidR="007E768F">
        <w:rPr>
          <w:lang w:val="en-GB"/>
        </w:rPr>
        <w:t>. B</w:t>
      </w:r>
      <w:r w:rsidR="003957BF">
        <w:rPr>
          <w:lang w:val="en-GB"/>
        </w:rPr>
        <w:t>oth institutions inform</w:t>
      </w:r>
      <w:r w:rsidR="007E768F">
        <w:rPr>
          <w:lang w:val="en-GB"/>
        </w:rPr>
        <w:t>ed</w:t>
      </w:r>
      <w:r w:rsidR="003957BF">
        <w:rPr>
          <w:lang w:val="en-GB"/>
        </w:rPr>
        <w:t xml:space="preserve"> him that they were not competent to review his complaints. </w:t>
      </w:r>
    </w:p>
    <w:p w14:paraId="10D2EB70" w14:textId="77777777" w:rsidR="00934D8B" w:rsidRPr="009625D0" w:rsidRDefault="00934D8B" w:rsidP="00934D8B">
      <w:pPr>
        <w:pStyle w:val="SingleTxtG"/>
        <w:rPr>
          <w:lang w:val="en-GB"/>
        </w:rPr>
      </w:pPr>
      <w:r>
        <w:rPr>
          <w:lang w:val="en-GB"/>
        </w:rPr>
        <w:t>2.5</w:t>
      </w:r>
      <w:r>
        <w:rPr>
          <w:lang w:val="en-GB"/>
        </w:rPr>
        <w:tab/>
      </w:r>
      <w:r w:rsidR="009F7B82">
        <w:rPr>
          <w:lang w:val="en-GB"/>
        </w:rPr>
        <w:t>On an unknown date i</w:t>
      </w:r>
      <w:r w:rsidRPr="009625D0">
        <w:rPr>
          <w:lang w:val="en-GB"/>
        </w:rPr>
        <w:t xml:space="preserve">n 2016, the </w:t>
      </w:r>
      <w:r>
        <w:rPr>
          <w:lang w:val="en-GB"/>
        </w:rPr>
        <w:t>author</w:t>
      </w:r>
      <w:r w:rsidRPr="009625D0">
        <w:rPr>
          <w:lang w:val="en-GB"/>
        </w:rPr>
        <w:t xml:space="preserve"> appealed to the Supreme Court against the judgment of 12 February 2001.</w:t>
      </w:r>
      <w:r>
        <w:rPr>
          <w:lang w:val="en-GB"/>
        </w:rPr>
        <w:t xml:space="preserve"> </w:t>
      </w:r>
      <w:r w:rsidRPr="009625D0">
        <w:rPr>
          <w:lang w:val="en-GB"/>
        </w:rPr>
        <w:t>On 19 July 2016, the Supreme Court rejected the appeal.</w:t>
      </w:r>
      <w:r>
        <w:rPr>
          <w:lang w:val="en-GB"/>
        </w:rPr>
        <w:t xml:space="preserve"> </w:t>
      </w:r>
      <w:r w:rsidRPr="009625D0">
        <w:rPr>
          <w:lang w:val="en-GB"/>
        </w:rPr>
        <w:t xml:space="preserve">By a decision dated 10 November 2016, a Deputy </w:t>
      </w:r>
      <w:r>
        <w:rPr>
          <w:lang w:val="en-GB"/>
        </w:rPr>
        <w:t xml:space="preserve">Chairperson </w:t>
      </w:r>
      <w:r w:rsidRPr="009625D0">
        <w:rPr>
          <w:lang w:val="en-GB"/>
        </w:rPr>
        <w:t xml:space="preserve">of the Supreme Court also rejected the </w:t>
      </w:r>
      <w:r>
        <w:rPr>
          <w:lang w:val="en-GB"/>
        </w:rPr>
        <w:t xml:space="preserve">author’s appeal. </w:t>
      </w:r>
    </w:p>
    <w:p w14:paraId="069EED3A" w14:textId="77777777" w:rsidR="00804FAF" w:rsidRDefault="00934D8B" w:rsidP="00934D8B">
      <w:pPr>
        <w:pStyle w:val="SingleTxtG"/>
        <w:rPr>
          <w:lang w:val="en-GB"/>
        </w:rPr>
      </w:pPr>
      <w:r>
        <w:rPr>
          <w:lang w:val="en-GB"/>
        </w:rPr>
        <w:t>2.6</w:t>
      </w:r>
      <w:r>
        <w:rPr>
          <w:lang w:val="en-GB"/>
        </w:rPr>
        <w:tab/>
      </w:r>
      <w:r w:rsidRPr="009625D0">
        <w:rPr>
          <w:lang w:val="en-GB"/>
        </w:rPr>
        <w:t xml:space="preserve">On 7 February 2017, the </w:t>
      </w:r>
      <w:r>
        <w:rPr>
          <w:lang w:val="en-GB"/>
        </w:rPr>
        <w:t>author</w:t>
      </w:r>
      <w:r w:rsidRPr="009625D0">
        <w:rPr>
          <w:lang w:val="en-GB"/>
        </w:rPr>
        <w:t xml:space="preserve"> again submitted a complaint to the Prosecutor General’s Office challenging the judgment of the Vologda Regional Court dated 12 February 2001.</w:t>
      </w:r>
      <w:r>
        <w:rPr>
          <w:lang w:val="en-GB"/>
        </w:rPr>
        <w:t xml:space="preserve"> </w:t>
      </w:r>
      <w:r w:rsidR="00804FAF" w:rsidRPr="009625D0">
        <w:rPr>
          <w:lang w:val="en-GB"/>
        </w:rPr>
        <w:t>On 24 March 2017, the Prosecutor General’s Office</w:t>
      </w:r>
      <w:r w:rsidR="00804FAF">
        <w:rPr>
          <w:lang w:val="en-GB"/>
        </w:rPr>
        <w:t xml:space="preserve"> rejected the author’s complaint.</w:t>
      </w:r>
      <w:r w:rsidR="00804FAF">
        <w:rPr>
          <w:rStyle w:val="FootnoteReference"/>
          <w:lang w:val="en-GB"/>
        </w:rPr>
        <w:footnoteReference w:id="4"/>
      </w:r>
      <w:r w:rsidR="00804FAF">
        <w:rPr>
          <w:lang w:val="en-GB"/>
        </w:rPr>
        <w:t xml:space="preserve"> </w:t>
      </w:r>
    </w:p>
    <w:p w14:paraId="19FF6CC4" w14:textId="127D3601" w:rsidR="005465BD" w:rsidRDefault="005465BD" w:rsidP="005465BD">
      <w:pPr>
        <w:pStyle w:val="SingleTxtG"/>
        <w:rPr>
          <w:i/>
          <w:iCs/>
          <w:lang w:val="en-US"/>
        </w:rPr>
      </w:pPr>
      <w:r w:rsidRPr="0088718D">
        <w:rPr>
          <w:i/>
          <w:iCs/>
          <w:lang w:val="en-US"/>
        </w:rPr>
        <w:t>Communication No. 313</w:t>
      </w:r>
      <w:r>
        <w:rPr>
          <w:i/>
          <w:iCs/>
          <w:lang w:val="en-US"/>
        </w:rPr>
        <w:t>8</w:t>
      </w:r>
      <w:r w:rsidRPr="0088718D">
        <w:rPr>
          <w:i/>
          <w:iCs/>
          <w:lang w:val="en-US"/>
        </w:rPr>
        <w:t xml:space="preserve">/2018: </w:t>
      </w:r>
      <w:r>
        <w:rPr>
          <w:i/>
          <w:iCs/>
          <w:lang w:val="en-US"/>
        </w:rPr>
        <w:t>S</w:t>
      </w:r>
      <w:r w:rsidR="0000755D">
        <w:rPr>
          <w:i/>
          <w:iCs/>
          <w:lang w:val="en-US"/>
        </w:rPr>
        <w:t>.</w:t>
      </w:r>
      <w:r>
        <w:rPr>
          <w:i/>
          <w:iCs/>
          <w:lang w:val="en-US"/>
        </w:rPr>
        <w:t xml:space="preserve"> </w:t>
      </w:r>
      <w:r w:rsidRPr="005D5EA6">
        <w:rPr>
          <w:i/>
          <w:iCs/>
          <w:lang w:val="en-GB"/>
        </w:rPr>
        <w:t>Y</w:t>
      </w:r>
      <w:r w:rsidR="0000755D">
        <w:rPr>
          <w:i/>
          <w:iCs/>
          <w:lang w:val="en-GB"/>
        </w:rPr>
        <w:t>.</w:t>
      </w:r>
      <w:r w:rsidRPr="005D5EA6">
        <w:rPr>
          <w:i/>
          <w:iCs/>
          <w:lang w:val="en-GB"/>
        </w:rPr>
        <w:t xml:space="preserve"> </w:t>
      </w:r>
      <w:r w:rsidRPr="005D5EA6">
        <w:rPr>
          <w:i/>
          <w:iCs/>
          <w:lang w:val="en-US"/>
        </w:rPr>
        <w:t>v</w:t>
      </w:r>
      <w:r w:rsidRPr="0088718D">
        <w:rPr>
          <w:i/>
          <w:iCs/>
          <w:lang w:val="en-US"/>
        </w:rPr>
        <w:t>. Russian Federation</w:t>
      </w:r>
    </w:p>
    <w:p w14:paraId="76FC527F" w14:textId="77777777" w:rsidR="008F2D7D" w:rsidRDefault="005465BD" w:rsidP="009F7B82">
      <w:pPr>
        <w:pStyle w:val="SingleTxtG"/>
        <w:rPr>
          <w:lang w:val="en-US"/>
        </w:rPr>
      </w:pPr>
      <w:r>
        <w:rPr>
          <w:lang w:val="en-US"/>
        </w:rPr>
        <w:t>2.7</w:t>
      </w:r>
      <w:r>
        <w:rPr>
          <w:lang w:val="en-US"/>
        </w:rPr>
        <w:tab/>
      </w:r>
      <w:r w:rsidR="00C20C7F">
        <w:rPr>
          <w:lang w:val="en-US"/>
        </w:rPr>
        <w:t xml:space="preserve">On 4 November 2000 the author was sentenced to life in prison </w:t>
      </w:r>
      <w:r w:rsidR="009F7B82">
        <w:rPr>
          <w:lang w:val="en-US"/>
        </w:rPr>
        <w:t xml:space="preserve">for </w:t>
      </w:r>
      <w:r w:rsidR="009F7B82" w:rsidRPr="009F7B82">
        <w:rPr>
          <w:lang w:val="en-GB"/>
        </w:rPr>
        <w:t>murder</w:t>
      </w:r>
      <w:r w:rsidR="009F7B82">
        <w:rPr>
          <w:lang w:val="en-GB"/>
        </w:rPr>
        <w:t xml:space="preserve"> </w:t>
      </w:r>
      <w:r w:rsidR="003C309A">
        <w:rPr>
          <w:lang w:val="en-GB"/>
        </w:rPr>
        <w:t>(article 105 (2) and (3) of the Criminal Code)</w:t>
      </w:r>
      <w:r w:rsidR="003C309A">
        <w:rPr>
          <w:lang w:val="en-US"/>
        </w:rPr>
        <w:t xml:space="preserve"> and</w:t>
      </w:r>
      <w:r w:rsidR="003C309A" w:rsidRPr="00B37B28">
        <w:rPr>
          <w:lang w:val="en-US"/>
        </w:rPr>
        <w:t xml:space="preserve"> </w:t>
      </w:r>
      <w:r w:rsidR="003C309A">
        <w:rPr>
          <w:lang w:val="en-US"/>
        </w:rPr>
        <w:t>armed robbery (article 162)</w:t>
      </w:r>
      <w:r w:rsidR="009F7B82" w:rsidRPr="009F7B82">
        <w:rPr>
          <w:lang w:val="en-GB"/>
        </w:rPr>
        <w:t xml:space="preserve">, </w:t>
      </w:r>
      <w:r w:rsidR="009F7B82">
        <w:rPr>
          <w:lang w:val="en-GB"/>
        </w:rPr>
        <w:t>among</w:t>
      </w:r>
      <w:r w:rsidR="009F7B82" w:rsidRPr="009F7B82">
        <w:rPr>
          <w:lang w:val="en-GB"/>
        </w:rPr>
        <w:t xml:space="preserve"> other charges </w:t>
      </w:r>
      <w:r w:rsidR="00C20C7F">
        <w:rPr>
          <w:lang w:val="en-US"/>
        </w:rPr>
        <w:t>by the Perm Regional Court composed o</w:t>
      </w:r>
      <w:r w:rsidR="008F2D7D">
        <w:rPr>
          <w:lang w:val="en-US"/>
        </w:rPr>
        <w:t>f</w:t>
      </w:r>
      <w:r w:rsidR="00C20C7F">
        <w:rPr>
          <w:lang w:val="en-US"/>
        </w:rPr>
        <w:t xml:space="preserve"> one professional judge and two lay judges K. and P.</w:t>
      </w:r>
      <w:r w:rsidR="009C7106">
        <w:rPr>
          <w:lang w:val="en-US"/>
        </w:rPr>
        <w:t xml:space="preserve"> A</w:t>
      </w:r>
      <w:r w:rsidR="00C20C7F">
        <w:rPr>
          <w:lang w:val="en-US"/>
        </w:rPr>
        <w:t>ccording to the national law, lay judges can participate in one criminal trial per year.</w:t>
      </w:r>
      <w:r w:rsidR="009C7106">
        <w:rPr>
          <w:rStyle w:val="FootnoteReference"/>
          <w:lang w:val="en-US"/>
        </w:rPr>
        <w:footnoteReference w:id="5"/>
      </w:r>
      <w:r w:rsidR="00C20C7F">
        <w:rPr>
          <w:lang w:val="en-US"/>
        </w:rPr>
        <w:t xml:space="preserve"> Meanwhile, K. participated as a lay judge in 13 criminal cases and P. – in consideration of 8 criminal cases in 2000. </w:t>
      </w:r>
      <w:r w:rsidR="008F2D7D">
        <w:rPr>
          <w:lang w:val="en-US"/>
        </w:rPr>
        <w:t xml:space="preserve">The author’s sentence was reaffirmed by the Supreme Court, acting as </w:t>
      </w:r>
      <w:r w:rsidR="00C93E47">
        <w:rPr>
          <w:lang w:val="en-US"/>
        </w:rPr>
        <w:t xml:space="preserve">a </w:t>
      </w:r>
      <w:r w:rsidR="008F2D7D">
        <w:rPr>
          <w:lang w:val="en-US"/>
        </w:rPr>
        <w:t xml:space="preserve">cassation court, on 25 June 2001. </w:t>
      </w:r>
    </w:p>
    <w:p w14:paraId="48F5D449" w14:textId="77777777" w:rsidR="005465BD" w:rsidRDefault="008F2D7D" w:rsidP="00934D8B">
      <w:pPr>
        <w:pStyle w:val="SingleTxtG"/>
        <w:rPr>
          <w:lang w:val="en-US"/>
        </w:rPr>
      </w:pPr>
      <w:r>
        <w:rPr>
          <w:lang w:val="en-US"/>
        </w:rPr>
        <w:lastRenderedPageBreak/>
        <w:t>2.8</w:t>
      </w:r>
      <w:r>
        <w:rPr>
          <w:lang w:val="en-US"/>
        </w:rPr>
        <w:tab/>
      </w:r>
      <w:r w:rsidR="00C20C7F">
        <w:rPr>
          <w:lang w:val="en-US"/>
        </w:rPr>
        <w:t>The author, with the help of his lawyer, learned about th</w:t>
      </w:r>
      <w:r w:rsidR="00FB37E8">
        <w:rPr>
          <w:lang w:val="en-US"/>
        </w:rPr>
        <w:t>e</w:t>
      </w:r>
      <w:r w:rsidR="00C20C7F">
        <w:rPr>
          <w:lang w:val="en-US"/>
        </w:rPr>
        <w:t xml:space="preserve"> procedural violation </w:t>
      </w:r>
      <w:r w:rsidR="00FB37E8">
        <w:rPr>
          <w:lang w:val="en-US"/>
        </w:rPr>
        <w:t xml:space="preserve">in </w:t>
      </w:r>
      <w:r w:rsidR="005619E5">
        <w:rPr>
          <w:lang w:val="en-US"/>
        </w:rPr>
        <w:t xml:space="preserve">the </w:t>
      </w:r>
      <w:r w:rsidR="00FB37E8">
        <w:rPr>
          <w:lang w:val="en-US"/>
        </w:rPr>
        <w:t xml:space="preserve">appointment of lay judges during his trial </w:t>
      </w:r>
      <w:r w:rsidR="00C20C7F">
        <w:rPr>
          <w:lang w:val="en-US"/>
        </w:rPr>
        <w:t xml:space="preserve">only in 2012. On 13 May 2014, </w:t>
      </w:r>
      <w:r w:rsidR="00FB37E8">
        <w:rPr>
          <w:lang w:val="en-US"/>
        </w:rPr>
        <w:t>he</w:t>
      </w:r>
      <w:r w:rsidR="00C20C7F">
        <w:rPr>
          <w:lang w:val="en-US"/>
        </w:rPr>
        <w:t xml:space="preserve"> raised a claim about unlawful composition of his trial court before the Supreme Court in a supervisory review appeal. On 1 September 2015, the Supreme Court ruled that the mere fact that lay judges participated in more than one criminal trial </w:t>
      </w:r>
      <w:r w:rsidR="005619E5">
        <w:rPr>
          <w:lang w:val="en-US"/>
        </w:rPr>
        <w:t>in</w:t>
      </w:r>
      <w:r w:rsidR="00C20C7F">
        <w:rPr>
          <w:lang w:val="en-US"/>
        </w:rPr>
        <w:t xml:space="preserve"> one year does not render their appointment illegitimate. </w:t>
      </w:r>
    </w:p>
    <w:p w14:paraId="19DDE1FE" w14:textId="77777777" w:rsidR="00D67EC1" w:rsidRDefault="00C20C7F" w:rsidP="00D67EC1">
      <w:pPr>
        <w:pStyle w:val="SingleTxtG"/>
        <w:rPr>
          <w:lang w:val="en-US"/>
        </w:rPr>
      </w:pPr>
      <w:r>
        <w:rPr>
          <w:lang w:val="en-US"/>
        </w:rPr>
        <w:t>2.</w:t>
      </w:r>
      <w:r w:rsidR="00290538">
        <w:rPr>
          <w:lang w:val="en-US"/>
        </w:rPr>
        <w:t>9</w:t>
      </w:r>
      <w:r>
        <w:rPr>
          <w:lang w:val="en-US"/>
        </w:rPr>
        <w:tab/>
        <w:t>On 3 June 2015, the author filed a request to the Perm Kray prosecutor’s office for reopening of criminal proceedings on the basis of new or newly discovered circumstances.</w:t>
      </w:r>
      <w:r w:rsidR="00167557">
        <w:rPr>
          <w:lang w:val="en-US"/>
        </w:rPr>
        <w:t xml:space="preserve"> His request was rejected on 22 July 2015. The author contested the prosecutor’s office decision </w:t>
      </w:r>
      <w:r w:rsidR="00D67EC1">
        <w:rPr>
          <w:lang w:val="en-US"/>
        </w:rPr>
        <w:t>to a higher-ranking prosecutor on 1 October 2015. On</w:t>
      </w:r>
      <w:r w:rsidR="00D67EC1" w:rsidRPr="0069581E">
        <w:rPr>
          <w:lang w:val="en-GB"/>
        </w:rPr>
        <w:t xml:space="preserve"> 9 </w:t>
      </w:r>
      <w:r w:rsidR="00D67EC1">
        <w:rPr>
          <w:lang w:val="en-US"/>
        </w:rPr>
        <w:t>October</w:t>
      </w:r>
      <w:r w:rsidR="00D67EC1" w:rsidRPr="0069581E">
        <w:rPr>
          <w:lang w:val="en-GB"/>
        </w:rPr>
        <w:t xml:space="preserve"> 2015, </w:t>
      </w:r>
      <w:r w:rsidR="00D67EC1">
        <w:rPr>
          <w:lang w:val="en-US"/>
        </w:rPr>
        <w:t>his</w:t>
      </w:r>
      <w:r w:rsidR="00D67EC1" w:rsidRPr="0069581E">
        <w:rPr>
          <w:lang w:val="en-GB"/>
        </w:rPr>
        <w:t xml:space="preserve"> </w:t>
      </w:r>
      <w:r w:rsidR="00D67EC1">
        <w:rPr>
          <w:lang w:val="en-US"/>
        </w:rPr>
        <w:t>appeal</w:t>
      </w:r>
      <w:r w:rsidR="00D67EC1" w:rsidRPr="0069581E">
        <w:rPr>
          <w:lang w:val="en-GB"/>
        </w:rPr>
        <w:t xml:space="preserve"> </w:t>
      </w:r>
      <w:r w:rsidR="00D67EC1">
        <w:rPr>
          <w:lang w:val="en-US"/>
        </w:rPr>
        <w:t>was</w:t>
      </w:r>
      <w:r w:rsidR="00D67EC1" w:rsidRPr="0069581E">
        <w:rPr>
          <w:lang w:val="en-GB"/>
        </w:rPr>
        <w:t xml:space="preserve"> </w:t>
      </w:r>
      <w:r w:rsidR="00D67EC1">
        <w:rPr>
          <w:lang w:val="en-US"/>
        </w:rPr>
        <w:t>rejected</w:t>
      </w:r>
      <w:r w:rsidR="00D67EC1" w:rsidRPr="0069581E">
        <w:rPr>
          <w:lang w:val="en-GB"/>
        </w:rPr>
        <w:t xml:space="preserve">. </w:t>
      </w:r>
      <w:r w:rsidR="00D67EC1">
        <w:rPr>
          <w:lang w:val="en-US"/>
        </w:rPr>
        <w:t>On</w:t>
      </w:r>
      <w:r w:rsidR="00D67EC1" w:rsidRPr="00C50E1A">
        <w:rPr>
          <w:lang w:val="en-US"/>
        </w:rPr>
        <w:t xml:space="preserve"> 13 </w:t>
      </w:r>
      <w:r w:rsidR="00D67EC1">
        <w:rPr>
          <w:lang w:val="en-US"/>
        </w:rPr>
        <w:t>October</w:t>
      </w:r>
      <w:r w:rsidR="00D67EC1" w:rsidRPr="00C50E1A">
        <w:rPr>
          <w:lang w:val="en-US"/>
        </w:rPr>
        <w:t xml:space="preserve"> 2015, </w:t>
      </w:r>
      <w:r w:rsidR="00D67EC1">
        <w:rPr>
          <w:lang w:val="en-US"/>
        </w:rPr>
        <w:t>the</w:t>
      </w:r>
      <w:r w:rsidR="00D67EC1" w:rsidRPr="00C50E1A">
        <w:rPr>
          <w:lang w:val="en-US"/>
        </w:rPr>
        <w:t xml:space="preserve"> </w:t>
      </w:r>
      <w:r w:rsidR="00D67EC1">
        <w:rPr>
          <w:lang w:val="en-US"/>
        </w:rPr>
        <w:t>author</w:t>
      </w:r>
      <w:r w:rsidR="00D67EC1" w:rsidRPr="00C50E1A">
        <w:rPr>
          <w:lang w:val="en-US"/>
        </w:rPr>
        <w:t xml:space="preserve"> </w:t>
      </w:r>
      <w:r w:rsidR="00D67EC1">
        <w:rPr>
          <w:lang w:val="en-US"/>
        </w:rPr>
        <w:t>complained</w:t>
      </w:r>
      <w:r w:rsidR="00C50E1A">
        <w:rPr>
          <w:lang w:val="en-US"/>
        </w:rPr>
        <w:t xml:space="preserve"> to the Lenin District Court in Perm City</w:t>
      </w:r>
      <w:r w:rsidR="00D67EC1" w:rsidRPr="00C50E1A">
        <w:rPr>
          <w:lang w:val="en-US"/>
        </w:rPr>
        <w:t xml:space="preserve">, </w:t>
      </w:r>
      <w:r w:rsidR="00D67EC1">
        <w:rPr>
          <w:lang w:val="en-US"/>
        </w:rPr>
        <w:t>under</w:t>
      </w:r>
      <w:r w:rsidR="00D67EC1" w:rsidRPr="00C50E1A">
        <w:rPr>
          <w:lang w:val="en-US"/>
        </w:rPr>
        <w:t xml:space="preserve"> </w:t>
      </w:r>
      <w:r w:rsidR="00D67EC1">
        <w:rPr>
          <w:lang w:val="en-US"/>
        </w:rPr>
        <w:t>article</w:t>
      </w:r>
      <w:r w:rsidR="00D67EC1" w:rsidRPr="00C50E1A">
        <w:rPr>
          <w:lang w:val="en-US"/>
        </w:rPr>
        <w:t xml:space="preserve"> 125 </w:t>
      </w:r>
      <w:r w:rsidR="00D67EC1">
        <w:rPr>
          <w:lang w:val="en-US"/>
        </w:rPr>
        <w:t>of</w:t>
      </w:r>
      <w:r w:rsidR="00D67EC1" w:rsidRPr="00C50E1A">
        <w:rPr>
          <w:lang w:val="en-US"/>
        </w:rPr>
        <w:t xml:space="preserve"> </w:t>
      </w:r>
      <w:r w:rsidR="00D67EC1">
        <w:rPr>
          <w:lang w:val="en-US"/>
        </w:rPr>
        <w:t>the</w:t>
      </w:r>
      <w:r w:rsidR="00D67EC1" w:rsidRPr="00C50E1A">
        <w:rPr>
          <w:lang w:val="en-US"/>
        </w:rPr>
        <w:t xml:space="preserve"> </w:t>
      </w:r>
      <w:r w:rsidR="00D67EC1">
        <w:rPr>
          <w:lang w:val="en-US"/>
        </w:rPr>
        <w:t>Criminal</w:t>
      </w:r>
      <w:r w:rsidR="00D67EC1" w:rsidRPr="00C50E1A">
        <w:rPr>
          <w:lang w:val="en-US"/>
        </w:rPr>
        <w:t xml:space="preserve"> </w:t>
      </w:r>
      <w:r w:rsidR="00D67EC1">
        <w:rPr>
          <w:lang w:val="en-US"/>
        </w:rPr>
        <w:t>Procedure</w:t>
      </w:r>
      <w:r w:rsidR="00D67EC1" w:rsidRPr="00C50E1A">
        <w:rPr>
          <w:lang w:val="en-US"/>
        </w:rPr>
        <w:t xml:space="preserve"> </w:t>
      </w:r>
      <w:r w:rsidR="00D67EC1">
        <w:rPr>
          <w:lang w:val="en-US"/>
        </w:rPr>
        <w:t>Code</w:t>
      </w:r>
      <w:r w:rsidR="00D67EC1" w:rsidRPr="00C50E1A">
        <w:rPr>
          <w:lang w:val="en-US"/>
        </w:rPr>
        <w:t xml:space="preserve"> </w:t>
      </w:r>
      <w:r w:rsidR="00C50E1A">
        <w:rPr>
          <w:lang w:val="en-US"/>
        </w:rPr>
        <w:t>alleging</w:t>
      </w:r>
      <w:r w:rsidR="00C50E1A" w:rsidRPr="00C50E1A">
        <w:rPr>
          <w:lang w:val="en-US"/>
        </w:rPr>
        <w:t xml:space="preserve"> </w:t>
      </w:r>
      <w:r w:rsidR="00C50E1A">
        <w:rPr>
          <w:lang w:val="en-US"/>
        </w:rPr>
        <w:t>lack</w:t>
      </w:r>
      <w:r w:rsidR="00C50E1A" w:rsidRPr="00C50E1A">
        <w:rPr>
          <w:lang w:val="en-US"/>
        </w:rPr>
        <w:t xml:space="preserve"> </w:t>
      </w:r>
      <w:r w:rsidR="00C50E1A">
        <w:rPr>
          <w:lang w:val="en-US"/>
        </w:rPr>
        <w:t>of</w:t>
      </w:r>
      <w:r w:rsidR="00C50E1A" w:rsidRPr="00C50E1A">
        <w:rPr>
          <w:lang w:val="en-US"/>
        </w:rPr>
        <w:t xml:space="preserve"> </w:t>
      </w:r>
      <w:r w:rsidR="00C50E1A">
        <w:rPr>
          <w:lang w:val="en-US"/>
        </w:rPr>
        <w:t>action</w:t>
      </w:r>
      <w:r w:rsidR="00C50E1A" w:rsidRPr="00C50E1A">
        <w:rPr>
          <w:lang w:val="en-US"/>
        </w:rPr>
        <w:t xml:space="preserve"> </w:t>
      </w:r>
      <w:r w:rsidR="00C50E1A">
        <w:rPr>
          <w:lang w:val="en-US"/>
        </w:rPr>
        <w:t>by</w:t>
      </w:r>
      <w:r w:rsidR="00C50E1A" w:rsidRPr="00C50E1A">
        <w:rPr>
          <w:lang w:val="en-US"/>
        </w:rPr>
        <w:t xml:space="preserve"> </w:t>
      </w:r>
      <w:r w:rsidR="00C50E1A">
        <w:rPr>
          <w:lang w:val="en-US"/>
        </w:rPr>
        <w:t>the</w:t>
      </w:r>
      <w:r w:rsidR="00C50E1A" w:rsidRPr="00C50E1A">
        <w:rPr>
          <w:lang w:val="en-US"/>
        </w:rPr>
        <w:t xml:space="preserve"> </w:t>
      </w:r>
      <w:r w:rsidR="00C50E1A">
        <w:rPr>
          <w:lang w:val="en-US"/>
        </w:rPr>
        <w:t>prosecutor</w:t>
      </w:r>
      <w:r w:rsidR="00C50E1A" w:rsidRPr="00C50E1A">
        <w:rPr>
          <w:lang w:val="en-US"/>
        </w:rPr>
        <w:t>’</w:t>
      </w:r>
      <w:r w:rsidR="00C50E1A">
        <w:rPr>
          <w:lang w:val="en-US"/>
        </w:rPr>
        <w:t>s</w:t>
      </w:r>
      <w:r w:rsidR="00C50E1A" w:rsidRPr="00C50E1A">
        <w:rPr>
          <w:lang w:val="en-US"/>
        </w:rPr>
        <w:t xml:space="preserve"> </w:t>
      </w:r>
      <w:r w:rsidR="00C50E1A">
        <w:rPr>
          <w:lang w:val="en-US"/>
        </w:rPr>
        <w:t>office</w:t>
      </w:r>
      <w:r w:rsidR="00C50E1A" w:rsidRPr="00C50E1A">
        <w:rPr>
          <w:lang w:val="en-US"/>
        </w:rPr>
        <w:t>.</w:t>
      </w:r>
      <w:r w:rsidR="00C50E1A">
        <w:rPr>
          <w:lang w:val="en-US"/>
        </w:rPr>
        <w:t xml:space="preserve"> The</w:t>
      </w:r>
      <w:r w:rsidR="00C50E1A" w:rsidRPr="00C50E1A">
        <w:rPr>
          <w:lang w:val="en-US"/>
        </w:rPr>
        <w:t xml:space="preserve"> </w:t>
      </w:r>
      <w:r w:rsidR="00C50E1A">
        <w:rPr>
          <w:lang w:val="en-US"/>
        </w:rPr>
        <w:t>City</w:t>
      </w:r>
      <w:r w:rsidR="00C50E1A" w:rsidRPr="00C50E1A">
        <w:rPr>
          <w:lang w:val="en-US"/>
        </w:rPr>
        <w:t xml:space="preserve"> </w:t>
      </w:r>
      <w:r w:rsidR="00C50E1A">
        <w:rPr>
          <w:lang w:val="en-US"/>
        </w:rPr>
        <w:t>Court</w:t>
      </w:r>
      <w:r w:rsidR="00C50E1A" w:rsidRPr="00C50E1A">
        <w:rPr>
          <w:lang w:val="en-US"/>
        </w:rPr>
        <w:t xml:space="preserve"> </w:t>
      </w:r>
      <w:r w:rsidR="00C50E1A">
        <w:rPr>
          <w:lang w:val="en-US"/>
        </w:rPr>
        <w:t>rejected</w:t>
      </w:r>
      <w:r w:rsidR="00C50E1A" w:rsidRPr="00C50E1A">
        <w:rPr>
          <w:lang w:val="en-US"/>
        </w:rPr>
        <w:t xml:space="preserve"> </w:t>
      </w:r>
      <w:r w:rsidR="00C50E1A">
        <w:rPr>
          <w:lang w:val="en-US"/>
        </w:rPr>
        <w:t>the</w:t>
      </w:r>
      <w:r w:rsidR="00C50E1A" w:rsidRPr="00C50E1A">
        <w:rPr>
          <w:lang w:val="en-US"/>
        </w:rPr>
        <w:t xml:space="preserve"> </w:t>
      </w:r>
      <w:r w:rsidR="00C50E1A">
        <w:rPr>
          <w:lang w:val="en-US"/>
        </w:rPr>
        <w:t>author</w:t>
      </w:r>
      <w:r w:rsidR="00C50E1A" w:rsidRPr="00C50E1A">
        <w:rPr>
          <w:lang w:val="en-US"/>
        </w:rPr>
        <w:t>’</w:t>
      </w:r>
      <w:r w:rsidR="00C50E1A">
        <w:rPr>
          <w:lang w:val="en-US"/>
        </w:rPr>
        <w:t>s</w:t>
      </w:r>
      <w:r w:rsidR="00C50E1A" w:rsidRPr="00C50E1A">
        <w:rPr>
          <w:lang w:val="en-US"/>
        </w:rPr>
        <w:t xml:space="preserve"> </w:t>
      </w:r>
      <w:r w:rsidR="00C50E1A">
        <w:rPr>
          <w:lang w:val="en-US"/>
        </w:rPr>
        <w:t xml:space="preserve">complaint on 16 </w:t>
      </w:r>
      <w:proofErr w:type="spellStart"/>
      <w:r w:rsidR="00C50E1A">
        <w:rPr>
          <w:lang w:val="en-US"/>
        </w:rPr>
        <w:t>Novemebr</w:t>
      </w:r>
      <w:proofErr w:type="spellEnd"/>
      <w:r w:rsidR="00C50E1A">
        <w:rPr>
          <w:lang w:val="en-US"/>
        </w:rPr>
        <w:t xml:space="preserve"> 2015</w:t>
      </w:r>
      <w:r w:rsidR="00C50E1A" w:rsidRPr="00C50E1A">
        <w:rPr>
          <w:lang w:val="en-US"/>
        </w:rPr>
        <w:t xml:space="preserve">, </w:t>
      </w:r>
      <w:r w:rsidR="00C50E1A">
        <w:rPr>
          <w:lang w:val="en-US"/>
        </w:rPr>
        <w:t>among</w:t>
      </w:r>
      <w:r w:rsidR="00C50E1A" w:rsidRPr="00C50E1A">
        <w:rPr>
          <w:lang w:val="en-US"/>
        </w:rPr>
        <w:t xml:space="preserve"> </w:t>
      </w:r>
      <w:r w:rsidR="00C50E1A">
        <w:rPr>
          <w:lang w:val="en-US"/>
        </w:rPr>
        <w:t>other</w:t>
      </w:r>
      <w:r w:rsidR="00C50E1A" w:rsidRPr="00C50E1A">
        <w:rPr>
          <w:lang w:val="en-US"/>
        </w:rPr>
        <w:t xml:space="preserve"> </w:t>
      </w:r>
      <w:r w:rsidR="00C50E1A">
        <w:rPr>
          <w:lang w:val="en-US"/>
        </w:rPr>
        <w:t>explaining that his claims do not constitute new or newly discovered circumstances. On</w:t>
      </w:r>
      <w:r w:rsidR="00C50E1A" w:rsidRPr="00C50E1A">
        <w:rPr>
          <w:lang w:val="en-US"/>
        </w:rPr>
        <w:t xml:space="preserve"> </w:t>
      </w:r>
      <w:r w:rsidR="00D67EC1" w:rsidRPr="00C50E1A">
        <w:rPr>
          <w:lang w:val="en-US"/>
        </w:rPr>
        <w:t>2</w:t>
      </w:r>
      <w:r w:rsidR="00845720">
        <w:rPr>
          <w:lang w:val="en-US"/>
        </w:rPr>
        <w:t>8</w:t>
      </w:r>
      <w:r w:rsidR="00D67EC1" w:rsidRPr="00C50E1A">
        <w:rPr>
          <w:lang w:val="en-US"/>
        </w:rPr>
        <w:t xml:space="preserve"> </w:t>
      </w:r>
      <w:r w:rsidR="00C50E1A">
        <w:rPr>
          <w:lang w:val="en-US"/>
        </w:rPr>
        <w:t>January</w:t>
      </w:r>
      <w:r w:rsidR="00D67EC1" w:rsidRPr="00C50E1A">
        <w:rPr>
          <w:lang w:val="en-US"/>
        </w:rPr>
        <w:t xml:space="preserve"> 2016</w:t>
      </w:r>
      <w:r w:rsidR="00C50E1A" w:rsidRPr="00C50E1A">
        <w:rPr>
          <w:lang w:val="en-US"/>
        </w:rPr>
        <w:t xml:space="preserve">, </w:t>
      </w:r>
      <w:r w:rsidR="00C50E1A">
        <w:rPr>
          <w:lang w:val="en-US"/>
        </w:rPr>
        <w:t>the</w:t>
      </w:r>
      <w:r w:rsidR="00C50E1A" w:rsidRPr="00C50E1A">
        <w:rPr>
          <w:lang w:val="en-US"/>
        </w:rPr>
        <w:t xml:space="preserve"> </w:t>
      </w:r>
      <w:r w:rsidR="00C50E1A">
        <w:rPr>
          <w:lang w:val="en-US"/>
        </w:rPr>
        <w:t>author</w:t>
      </w:r>
      <w:r w:rsidR="00C50E1A" w:rsidRPr="00C50E1A">
        <w:rPr>
          <w:lang w:val="en-US"/>
        </w:rPr>
        <w:t>’</w:t>
      </w:r>
      <w:r w:rsidR="00C50E1A">
        <w:rPr>
          <w:lang w:val="en-US"/>
        </w:rPr>
        <w:t>s</w:t>
      </w:r>
      <w:r w:rsidR="00C50E1A" w:rsidRPr="00C50E1A">
        <w:rPr>
          <w:lang w:val="en-US"/>
        </w:rPr>
        <w:t xml:space="preserve"> </w:t>
      </w:r>
      <w:r w:rsidR="00C50E1A">
        <w:rPr>
          <w:lang w:val="en-US"/>
        </w:rPr>
        <w:t>appeal</w:t>
      </w:r>
      <w:r w:rsidR="00C50E1A" w:rsidRPr="00C50E1A">
        <w:rPr>
          <w:lang w:val="en-US"/>
        </w:rPr>
        <w:t xml:space="preserve"> </w:t>
      </w:r>
      <w:r w:rsidR="00C50E1A">
        <w:rPr>
          <w:lang w:val="en-US"/>
        </w:rPr>
        <w:t>was</w:t>
      </w:r>
      <w:r w:rsidR="00C50E1A" w:rsidRPr="00C50E1A">
        <w:rPr>
          <w:lang w:val="en-US"/>
        </w:rPr>
        <w:t xml:space="preserve"> </w:t>
      </w:r>
      <w:r w:rsidR="00C50E1A">
        <w:rPr>
          <w:lang w:val="en-US"/>
        </w:rPr>
        <w:t>rejected</w:t>
      </w:r>
      <w:r w:rsidR="00C50E1A" w:rsidRPr="00C50E1A">
        <w:rPr>
          <w:lang w:val="en-US"/>
        </w:rPr>
        <w:t xml:space="preserve"> </w:t>
      </w:r>
      <w:r w:rsidR="00C50E1A">
        <w:rPr>
          <w:lang w:val="en-US"/>
        </w:rPr>
        <w:t>by</w:t>
      </w:r>
      <w:r w:rsidR="00C50E1A" w:rsidRPr="00C50E1A">
        <w:rPr>
          <w:lang w:val="en-US"/>
        </w:rPr>
        <w:t xml:space="preserve"> </w:t>
      </w:r>
      <w:r w:rsidR="00C50E1A">
        <w:rPr>
          <w:lang w:val="en-US"/>
        </w:rPr>
        <w:t>the</w:t>
      </w:r>
      <w:r w:rsidR="00C50E1A" w:rsidRPr="00C50E1A">
        <w:rPr>
          <w:lang w:val="en-US"/>
        </w:rPr>
        <w:t xml:space="preserve"> </w:t>
      </w:r>
      <w:r w:rsidR="00C50E1A">
        <w:rPr>
          <w:lang w:val="en-US"/>
        </w:rPr>
        <w:t>Perm Kray Court. The</w:t>
      </w:r>
      <w:r w:rsidR="00C50E1A" w:rsidRPr="00C50E1A">
        <w:rPr>
          <w:lang w:val="en-US"/>
        </w:rPr>
        <w:t xml:space="preserve"> </w:t>
      </w:r>
      <w:r w:rsidR="00C50E1A">
        <w:rPr>
          <w:lang w:val="en-US"/>
        </w:rPr>
        <w:t>author</w:t>
      </w:r>
      <w:r w:rsidR="00C50E1A" w:rsidRPr="00C50E1A">
        <w:rPr>
          <w:lang w:val="en-US"/>
        </w:rPr>
        <w:t>’</w:t>
      </w:r>
      <w:r w:rsidR="00C50E1A">
        <w:rPr>
          <w:lang w:val="en-US"/>
        </w:rPr>
        <w:t>s</w:t>
      </w:r>
      <w:r w:rsidR="00C50E1A" w:rsidRPr="00C50E1A">
        <w:rPr>
          <w:lang w:val="en-US"/>
        </w:rPr>
        <w:t xml:space="preserve"> </w:t>
      </w:r>
      <w:r w:rsidR="00C50E1A">
        <w:rPr>
          <w:lang w:val="en-US"/>
        </w:rPr>
        <w:t>supervisory</w:t>
      </w:r>
      <w:r w:rsidR="00C50E1A" w:rsidRPr="00C50E1A">
        <w:rPr>
          <w:lang w:val="en-US"/>
        </w:rPr>
        <w:t xml:space="preserve"> </w:t>
      </w:r>
      <w:r w:rsidR="00C50E1A">
        <w:rPr>
          <w:lang w:val="en-US"/>
        </w:rPr>
        <w:t>review</w:t>
      </w:r>
      <w:r w:rsidR="00C50E1A" w:rsidRPr="00C50E1A">
        <w:rPr>
          <w:lang w:val="en-US"/>
        </w:rPr>
        <w:t xml:space="preserve"> </w:t>
      </w:r>
      <w:r w:rsidR="00C50E1A">
        <w:rPr>
          <w:lang w:val="en-US"/>
        </w:rPr>
        <w:t>appeals</w:t>
      </w:r>
      <w:r w:rsidR="00C50E1A" w:rsidRPr="00C50E1A">
        <w:rPr>
          <w:lang w:val="en-US"/>
        </w:rPr>
        <w:t xml:space="preserve"> </w:t>
      </w:r>
      <w:r w:rsidR="00C50E1A">
        <w:rPr>
          <w:lang w:val="en-US"/>
        </w:rPr>
        <w:t>were</w:t>
      </w:r>
      <w:r w:rsidR="00C50E1A" w:rsidRPr="00C50E1A">
        <w:rPr>
          <w:lang w:val="en-US"/>
        </w:rPr>
        <w:t xml:space="preserve"> </w:t>
      </w:r>
      <w:r w:rsidR="00C50E1A">
        <w:rPr>
          <w:lang w:val="en-US"/>
        </w:rPr>
        <w:t>rejected</w:t>
      </w:r>
      <w:r w:rsidR="00C50E1A" w:rsidRPr="00C50E1A">
        <w:rPr>
          <w:lang w:val="en-US"/>
        </w:rPr>
        <w:t xml:space="preserve"> </w:t>
      </w:r>
      <w:r w:rsidR="00C50E1A">
        <w:rPr>
          <w:lang w:val="en-US"/>
        </w:rPr>
        <w:t xml:space="preserve">by the Supreme Court on </w:t>
      </w:r>
      <w:r w:rsidR="00845720">
        <w:rPr>
          <w:lang w:val="en-US"/>
        </w:rPr>
        <w:t>29</w:t>
      </w:r>
      <w:r w:rsidR="00C50E1A">
        <w:rPr>
          <w:lang w:val="en-US"/>
        </w:rPr>
        <w:t xml:space="preserve"> July 2016 and by the Prosecutor General’s Office on </w:t>
      </w:r>
      <w:r w:rsidR="00D67EC1" w:rsidRPr="00C50E1A">
        <w:rPr>
          <w:lang w:val="en-US"/>
        </w:rPr>
        <w:t xml:space="preserve">12 </w:t>
      </w:r>
      <w:r w:rsidR="00C50E1A">
        <w:rPr>
          <w:lang w:val="en-US"/>
        </w:rPr>
        <w:t>March 20</w:t>
      </w:r>
      <w:r w:rsidR="00D67EC1" w:rsidRPr="00C50E1A">
        <w:rPr>
          <w:lang w:val="en-US"/>
        </w:rPr>
        <w:t>17.</w:t>
      </w:r>
    </w:p>
    <w:p w14:paraId="70338F35" w14:textId="77777777" w:rsidR="002023E3" w:rsidRPr="00C50E1A" w:rsidRDefault="002023E3" w:rsidP="00D67EC1">
      <w:pPr>
        <w:pStyle w:val="SingleTxtG"/>
        <w:rPr>
          <w:lang w:val="en-US"/>
        </w:rPr>
      </w:pPr>
      <w:r>
        <w:rPr>
          <w:lang w:val="en-US"/>
        </w:rPr>
        <w:t>2.</w:t>
      </w:r>
      <w:r w:rsidR="00290538">
        <w:rPr>
          <w:lang w:val="en-US"/>
        </w:rPr>
        <w:t>10</w:t>
      </w:r>
      <w:r>
        <w:rPr>
          <w:lang w:val="en-US"/>
        </w:rPr>
        <w:tab/>
        <w:t xml:space="preserve">The author complained to the European Court of Human Rights on 29 February 2016. </w:t>
      </w:r>
      <w:r w:rsidR="00223899">
        <w:rPr>
          <w:lang w:val="en-US"/>
        </w:rPr>
        <w:t>On 19 May 2016, b</w:t>
      </w:r>
      <w:r w:rsidR="00223899">
        <w:t>y the decision of a single judge, his complaint was found inadmissible as not fulfilling the criteria set out in articles 34 and 35 of the European Convention for the Protection of Human Rights and Fundamental Freedoms.</w:t>
      </w:r>
    </w:p>
    <w:p w14:paraId="0509DE77" w14:textId="77777777" w:rsidR="00545136" w:rsidRPr="002354AB" w:rsidRDefault="00545136" w:rsidP="00545136">
      <w:pPr>
        <w:pStyle w:val="SingleTxtG"/>
        <w:rPr>
          <w:b/>
          <w:bCs/>
        </w:rPr>
      </w:pPr>
      <w:r w:rsidRPr="002354AB">
        <w:rPr>
          <w:b/>
          <w:bCs/>
        </w:rPr>
        <w:t>The complaint</w:t>
      </w:r>
    </w:p>
    <w:p w14:paraId="66A83898" w14:textId="688D7810" w:rsidR="00934D8B" w:rsidRDefault="00C51959" w:rsidP="00934D8B">
      <w:pPr>
        <w:pStyle w:val="SingleTxtG"/>
        <w:rPr>
          <w:lang w:val="en-GB"/>
        </w:rPr>
      </w:pPr>
      <w:r w:rsidRPr="00C51959">
        <w:t>3.1</w:t>
      </w:r>
      <w:r w:rsidRPr="00C51959">
        <w:tab/>
        <w:t>The author</w:t>
      </w:r>
      <w:r w:rsidR="0063691C">
        <w:t xml:space="preserve"> of communication No. 3136/2018</w:t>
      </w:r>
      <w:r w:rsidRPr="00C51959">
        <w:t xml:space="preserve"> claims that </w:t>
      </w:r>
      <w:r w:rsidR="00934D8B">
        <w:t>t</w:t>
      </w:r>
      <w:r w:rsidR="00934D8B" w:rsidRPr="009625D0">
        <w:rPr>
          <w:lang w:val="en-GB"/>
        </w:rPr>
        <w:t>he judgment of 12 February 2001, rendered with participation</w:t>
      </w:r>
      <w:r w:rsidR="00934D8B">
        <w:rPr>
          <w:lang w:val="en-GB"/>
        </w:rPr>
        <w:t xml:space="preserve"> of the lay judge G.</w:t>
      </w:r>
      <w:r w:rsidR="00934D8B" w:rsidRPr="009625D0">
        <w:rPr>
          <w:lang w:val="en-GB"/>
        </w:rPr>
        <w:t xml:space="preserve"> was unlawful, as the court was not established </w:t>
      </w:r>
      <w:r w:rsidR="008F2D7D">
        <w:rPr>
          <w:lang w:val="en-GB"/>
        </w:rPr>
        <w:t>in accordance with law</w:t>
      </w:r>
      <w:r w:rsidR="00934D8B" w:rsidRPr="009625D0">
        <w:rPr>
          <w:lang w:val="en-GB"/>
        </w:rPr>
        <w:t>.</w:t>
      </w:r>
      <w:r w:rsidR="00934D8B">
        <w:rPr>
          <w:lang w:val="en-GB"/>
        </w:rPr>
        <w:t xml:space="preserve"> He claims violation of his rights under a</w:t>
      </w:r>
      <w:r w:rsidR="00934D8B" w:rsidRPr="009625D0">
        <w:rPr>
          <w:lang w:val="en-GB"/>
        </w:rPr>
        <w:t>rticle</w:t>
      </w:r>
      <w:r w:rsidR="00934D8B">
        <w:rPr>
          <w:lang w:val="en-GB"/>
        </w:rPr>
        <w:t>s 9 and</w:t>
      </w:r>
      <w:r w:rsidR="00934D8B" w:rsidRPr="009625D0">
        <w:rPr>
          <w:lang w:val="en-GB"/>
        </w:rPr>
        <w:t xml:space="preserve"> 14 </w:t>
      </w:r>
      <w:r w:rsidR="00934D8B">
        <w:rPr>
          <w:lang w:val="en-GB"/>
        </w:rPr>
        <w:t>of the Covenant</w:t>
      </w:r>
      <w:r w:rsidR="00934D8B" w:rsidRPr="009625D0">
        <w:rPr>
          <w:lang w:val="en-GB"/>
        </w:rPr>
        <w:t>.</w:t>
      </w:r>
      <w:r w:rsidR="00A1380F" w:rsidDel="00A1380F">
        <w:rPr>
          <w:rStyle w:val="FootnoteReference"/>
          <w:lang w:val="en-GB"/>
        </w:rPr>
        <w:t xml:space="preserve"> </w:t>
      </w:r>
    </w:p>
    <w:p w14:paraId="5E90165A" w14:textId="77777777" w:rsidR="008C0136" w:rsidRDefault="008C0136" w:rsidP="00A1380F">
      <w:pPr>
        <w:pStyle w:val="SingleTxtG"/>
        <w:rPr>
          <w:lang w:val="en-GB"/>
        </w:rPr>
      </w:pPr>
      <w:r>
        <w:rPr>
          <w:lang w:val="en-GB"/>
        </w:rPr>
        <w:t>3.2</w:t>
      </w:r>
      <w:r>
        <w:rPr>
          <w:lang w:val="en-GB"/>
        </w:rPr>
        <w:tab/>
      </w:r>
      <w:r w:rsidR="0036396D">
        <w:rPr>
          <w:lang w:val="en-GB"/>
        </w:rPr>
        <w:t>The author of the communication No. 3138/2018 alleges violation of his right to fair trial under article 14 (1) of the Covenant on account of unlawful appointment of two lay judges in his trial proceedings.</w:t>
      </w:r>
    </w:p>
    <w:p w14:paraId="58B6738E" w14:textId="77777777" w:rsidR="00E75BCF" w:rsidRDefault="009B0728" w:rsidP="00FF51EE">
      <w:pPr>
        <w:pStyle w:val="H23G"/>
      </w:pPr>
      <w:r w:rsidRPr="0053708C">
        <w:tab/>
      </w:r>
      <w:r w:rsidRPr="0053708C">
        <w:tab/>
      </w:r>
      <w:r w:rsidR="00BF24FB" w:rsidRPr="00415BA0">
        <w:t xml:space="preserve">State </w:t>
      </w:r>
      <w:r w:rsidR="004B7C6B">
        <w:t>P</w:t>
      </w:r>
      <w:r w:rsidR="00BF24FB" w:rsidRPr="00415BA0">
        <w:t xml:space="preserve">arty’s observations on </w:t>
      </w:r>
      <w:r w:rsidR="00BF24FB">
        <w:t xml:space="preserve">the </w:t>
      </w:r>
      <w:r w:rsidR="00002309">
        <w:t>admissibility</w:t>
      </w:r>
      <w:r w:rsidR="00545136">
        <w:t xml:space="preserve"> and merits</w:t>
      </w:r>
    </w:p>
    <w:p w14:paraId="6A7BE7E6" w14:textId="77777777" w:rsidR="00210E49" w:rsidRDefault="00174FF8" w:rsidP="008C0136">
      <w:pPr>
        <w:pStyle w:val="SingleTxtG"/>
        <w:rPr>
          <w:lang w:val="en-GB"/>
        </w:rPr>
      </w:pPr>
      <w:r>
        <w:t>4.1</w:t>
      </w:r>
      <w:r>
        <w:tab/>
      </w:r>
      <w:r w:rsidR="008C0136">
        <w:t>I</w:t>
      </w:r>
      <w:r w:rsidR="008C0136" w:rsidRPr="008C0136">
        <w:rPr>
          <w:lang w:val="en-GB"/>
        </w:rPr>
        <w:t xml:space="preserve">n notes </w:t>
      </w:r>
      <w:proofErr w:type="spellStart"/>
      <w:r w:rsidR="008C0136" w:rsidRPr="008C0136">
        <w:rPr>
          <w:lang w:val="en-GB"/>
        </w:rPr>
        <w:t>verbales</w:t>
      </w:r>
      <w:proofErr w:type="spellEnd"/>
      <w:r w:rsidR="008C0136" w:rsidRPr="008C0136">
        <w:rPr>
          <w:lang w:val="en-GB"/>
        </w:rPr>
        <w:t xml:space="preserve"> dated </w:t>
      </w:r>
      <w:r w:rsidR="008C0136">
        <w:rPr>
          <w:lang w:val="en-GB"/>
        </w:rPr>
        <w:t>2</w:t>
      </w:r>
      <w:r w:rsidR="008C0136" w:rsidRPr="008C0136">
        <w:rPr>
          <w:lang w:val="en-GB"/>
        </w:rPr>
        <w:t xml:space="preserve"> </w:t>
      </w:r>
      <w:r w:rsidR="008C0136">
        <w:rPr>
          <w:lang w:val="en-GB"/>
        </w:rPr>
        <w:t>October</w:t>
      </w:r>
      <w:r w:rsidR="008C0136" w:rsidRPr="008C0136">
        <w:rPr>
          <w:lang w:val="en-GB"/>
        </w:rPr>
        <w:t xml:space="preserve"> 201</w:t>
      </w:r>
      <w:r w:rsidR="008C0136">
        <w:rPr>
          <w:lang w:val="en-GB"/>
        </w:rPr>
        <w:t>8</w:t>
      </w:r>
      <w:r w:rsidR="008C0136" w:rsidRPr="008C0136">
        <w:rPr>
          <w:lang w:val="en-GB"/>
        </w:rPr>
        <w:t xml:space="preserve">, the State </w:t>
      </w:r>
      <w:r w:rsidR="004B7C6B">
        <w:rPr>
          <w:lang w:val="en-GB"/>
        </w:rPr>
        <w:t>P</w:t>
      </w:r>
      <w:r w:rsidR="008C0136" w:rsidRPr="008C0136">
        <w:rPr>
          <w:lang w:val="en-GB"/>
        </w:rPr>
        <w:t xml:space="preserve">arty submitted its observations on the admissibility and the merits of </w:t>
      </w:r>
      <w:r w:rsidR="008F2D7D">
        <w:rPr>
          <w:lang w:val="en-GB"/>
        </w:rPr>
        <w:t>both</w:t>
      </w:r>
      <w:r w:rsidR="008C0136" w:rsidRPr="008C0136">
        <w:rPr>
          <w:lang w:val="en-GB"/>
        </w:rPr>
        <w:t xml:space="preserve"> communications.</w:t>
      </w:r>
    </w:p>
    <w:p w14:paraId="2E7C502D" w14:textId="459D9D5B" w:rsidR="005D5EA6" w:rsidRDefault="005D5EA6" w:rsidP="005D5EA6">
      <w:pPr>
        <w:pStyle w:val="SingleTxtG"/>
        <w:rPr>
          <w:i/>
          <w:iCs/>
          <w:lang w:val="en-US"/>
        </w:rPr>
      </w:pPr>
      <w:r w:rsidRPr="0088718D">
        <w:rPr>
          <w:i/>
          <w:iCs/>
          <w:lang w:val="en-US"/>
        </w:rPr>
        <w:t>Communication No. 3136/2018: R</w:t>
      </w:r>
      <w:r w:rsidR="0000755D">
        <w:rPr>
          <w:i/>
          <w:iCs/>
          <w:lang w:val="en-US"/>
        </w:rPr>
        <w:t>.</w:t>
      </w:r>
      <w:r w:rsidRPr="0088718D">
        <w:rPr>
          <w:i/>
          <w:iCs/>
          <w:lang w:val="en-US"/>
        </w:rPr>
        <w:t xml:space="preserve"> P</w:t>
      </w:r>
      <w:r w:rsidR="0000755D">
        <w:rPr>
          <w:i/>
          <w:iCs/>
          <w:lang w:val="en-US"/>
        </w:rPr>
        <w:t>.</w:t>
      </w:r>
      <w:r w:rsidRPr="0088718D">
        <w:rPr>
          <w:i/>
          <w:iCs/>
          <w:lang w:val="en-US"/>
        </w:rPr>
        <w:t xml:space="preserve"> v. Russian Federation</w:t>
      </w:r>
    </w:p>
    <w:p w14:paraId="721C9E38" w14:textId="77777777" w:rsidR="00FB37E8" w:rsidRDefault="00E013F5" w:rsidP="00B261BA">
      <w:pPr>
        <w:pStyle w:val="SingleTxtG"/>
        <w:rPr>
          <w:lang w:val="en-GB"/>
        </w:rPr>
      </w:pPr>
      <w:r>
        <w:t>4.</w:t>
      </w:r>
      <w:r w:rsidR="008C0136">
        <w:t>2</w:t>
      </w:r>
      <w:r>
        <w:tab/>
      </w:r>
      <w:r w:rsidR="00FB37E8">
        <w:t>Regarding communication No. 3136/2018, t</w:t>
      </w:r>
      <w:r w:rsidR="00A9097A" w:rsidRPr="00A9097A">
        <w:rPr>
          <w:lang w:val="en-GB"/>
        </w:rPr>
        <w:t xml:space="preserve">he State </w:t>
      </w:r>
      <w:r w:rsidR="004B7C6B">
        <w:rPr>
          <w:lang w:val="en-GB"/>
        </w:rPr>
        <w:t>P</w:t>
      </w:r>
      <w:r w:rsidR="00A9097A" w:rsidRPr="00A9097A">
        <w:rPr>
          <w:lang w:val="en-GB"/>
        </w:rPr>
        <w:t xml:space="preserve">arty notes that the author submitted a supervisory review appeal </w:t>
      </w:r>
      <w:r w:rsidR="00A9097A">
        <w:rPr>
          <w:lang w:val="en-GB"/>
        </w:rPr>
        <w:t xml:space="preserve">to the Supreme Court alleging violation of his right to fair trial on 19 June 2016, </w:t>
      </w:r>
      <w:r w:rsidR="00A9097A" w:rsidRPr="00A9097A">
        <w:rPr>
          <w:lang w:val="en-GB"/>
        </w:rPr>
        <w:t xml:space="preserve">that is, </w:t>
      </w:r>
      <w:r w:rsidR="00A9097A">
        <w:rPr>
          <w:lang w:val="en-GB"/>
        </w:rPr>
        <w:t xml:space="preserve">more than 14 years </w:t>
      </w:r>
      <w:r w:rsidR="00A9097A" w:rsidRPr="00A9097A">
        <w:rPr>
          <w:lang w:val="en-GB"/>
        </w:rPr>
        <w:t xml:space="preserve">after the adoption of </w:t>
      </w:r>
      <w:r w:rsidR="00A9097A">
        <w:rPr>
          <w:lang w:val="en-GB"/>
        </w:rPr>
        <w:t xml:space="preserve">the judgement by the trial court (22 January 2002) and 13 years from the adoption of </w:t>
      </w:r>
      <w:r w:rsidR="00A9097A" w:rsidRPr="00A9097A">
        <w:rPr>
          <w:lang w:val="en-GB"/>
        </w:rPr>
        <w:t>the cassation judgment</w:t>
      </w:r>
      <w:r w:rsidR="00A9097A">
        <w:rPr>
          <w:lang w:val="en-GB"/>
        </w:rPr>
        <w:t xml:space="preserve"> (1 July 2002)</w:t>
      </w:r>
      <w:r w:rsidR="00A9097A" w:rsidRPr="00A9097A">
        <w:rPr>
          <w:lang w:val="en-GB"/>
        </w:rPr>
        <w:t xml:space="preserve">. </w:t>
      </w:r>
      <w:r w:rsidR="00FB37E8">
        <w:rPr>
          <w:lang w:val="en-GB"/>
        </w:rPr>
        <w:t>The</w:t>
      </w:r>
      <w:r w:rsidR="00FB37E8" w:rsidRPr="00A9097A">
        <w:rPr>
          <w:lang w:val="en-GB"/>
        </w:rPr>
        <w:t xml:space="preserve"> author complained to the Committee </w:t>
      </w:r>
      <w:r w:rsidR="00FB37E8">
        <w:rPr>
          <w:lang w:val="en-GB"/>
        </w:rPr>
        <w:t>more than 15</w:t>
      </w:r>
      <w:r w:rsidR="00FB37E8" w:rsidRPr="00A9097A">
        <w:rPr>
          <w:lang w:val="en-GB"/>
        </w:rPr>
        <w:t xml:space="preserve"> years </w:t>
      </w:r>
      <w:r w:rsidR="00FB37E8">
        <w:rPr>
          <w:lang w:val="en-GB"/>
        </w:rPr>
        <w:t>later</w:t>
      </w:r>
      <w:r w:rsidR="00FB37E8" w:rsidRPr="00A9097A">
        <w:rPr>
          <w:lang w:val="en-GB"/>
        </w:rPr>
        <w:t>.</w:t>
      </w:r>
    </w:p>
    <w:p w14:paraId="4EEEBC4F" w14:textId="77777777" w:rsidR="00FB37E8" w:rsidRDefault="00FB37E8" w:rsidP="00B261BA">
      <w:pPr>
        <w:pStyle w:val="SingleTxtG"/>
        <w:rPr>
          <w:lang w:val="en-GB"/>
        </w:rPr>
      </w:pPr>
      <w:r>
        <w:rPr>
          <w:lang w:val="en-GB"/>
        </w:rPr>
        <w:t>4.3</w:t>
      </w:r>
      <w:r>
        <w:rPr>
          <w:lang w:val="en-GB"/>
        </w:rPr>
        <w:tab/>
        <w:t>As to communication No. 3138/2018, t</w:t>
      </w:r>
      <w:r w:rsidR="00A9097A" w:rsidRPr="00A9097A">
        <w:rPr>
          <w:lang w:val="en-GB"/>
        </w:rPr>
        <w:t>he</w:t>
      </w:r>
      <w:r>
        <w:rPr>
          <w:lang w:val="en-GB"/>
        </w:rPr>
        <w:t xml:space="preserve"> State </w:t>
      </w:r>
      <w:r w:rsidR="004B7C6B">
        <w:rPr>
          <w:lang w:val="en-GB"/>
        </w:rPr>
        <w:t>P</w:t>
      </w:r>
      <w:r>
        <w:rPr>
          <w:lang w:val="en-GB"/>
        </w:rPr>
        <w:t xml:space="preserve">arty notes that the author </w:t>
      </w:r>
      <w:r w:rsidRPr="00A9097A">
        <w:rPr>
          <w:lang w:val="en-GB"/>
        </w:rPr>
        <w:t xml:space="preserve">submitted a supervisory review appeal </w:t>
      </w:r>
      <w:r>
        <w:rPr>
          <w:lang w:val="en-GB"/>
        </w:rPr>
        <w:t xml:space="preserve">to the Supreme Court alleging violation of his right to fair trial on 13 May 2014, </w:t>
      </w:r>
      <w:r w:rsidRPr="00A9097A">
        <w:rPr>
          <w:lang w:val="en-GB"/>
        </w:rPr>
        <w:t xml:space="preserve">that is, </w:t>
      </w:r>
      <w:r>
        <w:rPr>
          <w:lang w:val="en-GB"/>
        </w:rPr>
        <w:t xml:space="preserve">more than 13 years </w:t>
      </w:r>
      <w:r w:rsidRPr="00A9097A">
        <w:rPr>
          <w:lang w:val="en-GB"/>
        </w:rPr>
        <w:t xml:space="preserve">after the adoption of </w:t>
      </w:r>
      <w:r>
        <w:rPr>
          <w:lang w:val="en-GB"/>
        </w:rPr>
        <w:t xml:space="preserve">the judgement by the trial court (4 November 2000) and 12 years from the adoption of </w:t>
      </w:r>
      <w:r w:rsidRPr="00A9097A">
        <w:rPr>
          <w:lang w:val="en-GB"/>
        </w:rPr>
        <w:t>the cassation judgment</w:t>
      </w:r>
      <w:r>
        <w:rPr>
          <w:lang w:val="en-GB"/>
        </w:rPr>
        <w:t xml:space="preserve"> (25 June 2001)</w:t>
      </w:r>
      <w:r w:rsidRPr="00A9097A">
        <w:rPr>
          <w:lang w:val="en-GB"/>
        </w:rPr>
        <w:t xml:space="preserve">. The author complained to the Committee </w:t>
      </w:r>
      <w:r>
        <w:rPr>
          <w:lang w:val="en-GB"/>
        </w:rPr>
        <w:t>more than 16</w:t>
      </w:r>
      <w:r w:rsidRPr="00A9097A">
        <w:rPr>
          <w:lang w:val="en-GB"/>
        </w:rPr>
        <w:t xml:space="preserve"> years </w:t>
      </w:r>
      <w:r>
        <w:rPr>
          <w:lang w:val="en-GB"/>
        </w:rPr>
        <w:t>later</w:t>
      </w:r>
      <w:r w:rsidRPr="00A9097A">
        <w:rPr>
          <w:lang w:val="en-GB"/>
        </w:rPr>
        <w:t>.</w:t>
      </w:r>
      <w:r>
        <w:rPr>
          <w:lang w:val="en-GB"/>
        </w:rPr>
        <w:t xml:space="preserve"> </w:t>
      </w:r>
    </w:p>
    <w:p w14:paraId="37BB072E" w14:textId="77777777" w:rsidR="005D5EA6" w:rsidRDefault="00FB37E8" w:rsidP="00FB37E8">
      <w:pPr>
        <w:pStyle w:val="SingleTxtG"/>
        <w:rPr>
          <w:i/>
          <w:iCs/>
          <w:lang w:val="en-US"/>
        </w:rPr>
      </w:pPr>
      <w:r>
        <w:rPr>
          <w:lang w:val="en-GB"/>
        </w:rPr>
        <w:t>4.4</w:t>
      </w:r>
      <w:r>
        <w:rPr>
          <w:lang w:val="en-GB"/>
        </w:rPr>
        <w:tab/>
        <w:t xml:space="preserve">The State </w:t>
      </w:r>
      <w:r w:rsidR="004B7C6B">
        <w:rPr>
          <w:lang w:val="en-GB"/>
        </w:rPr>
        <w:t>P</w:t>
      </w:r>
      <w:r>
        <w:rPr>
          <w:lang w:val="en-GB"/>
        </w:rPr>
        <w:t xml:space="preserve">arty notes that the authors did not </w:t>
      </w:r>
      <w:r w:rsidR="00A9097A" w:rsidRPr="00A9097A">
        <w:rPr>
          <w:lang w:val="en-GB"/>
        </w:rPr>
        <w:t xml:space="preserve">raise </w:t>
      </w:r>
      <w:r w:rsidR="00A9097A">
        <w:rPr>
          <w:lang w:val="en-GB"/>
        </w:rPr>
        <w:t xml:space="preserve">allegations of unlawful composition of the trial court </w:t>
      </w:r>
      <w:r w:rsidR="00A9097A" w:rsidRPr="00A9097A">
        <w:rPr>
          <w:lang w:val="en-GB"/>
        </w:rPr>
        <w:t xml:space="preserve">in </w:t>
      </w:r>
      <w:r>
        <w:rPr>
          <w:lang w:val="en-GB"/>
        </w:rPr>
        <w:t>their</w:t>
      </w:r>
      <w:r w:rsidR="00A9097A" w:rsidRPr="00A9097A">
        <w:rPr>
          <w:lang w:val="en-GB"/>
        </w:rPr>
        <w:t xml:space="preserve"> </w:t>
      </w:r>
      <w:r w:rsidR="00A9097A">
        <w:rPr>
          <w:lang w:val="en-GB"/>
        </w:rPr>
        <w:t xml:space="preserve">cassation </w:t>
      </w:r>
      <w:r w:rsidR="00A9097A" w:rsidRPr="00A9097A">
        <w:rPr>
          <w:lang w:val="en-GB"/>
        </w:rPr>
        <w:t>appeal</w:t>
      </w:r>
      <w:r w:rsidR="00A9097A">
        <w:rPr>
          <w:lang w:val="en-GB"/>
        </w:rPr>
        <w:t xml:space="preserve">s. </w:t>
      </w:r>
      <w:r w:rsidR="00A9097A" w:rsidRPr="00A9097A">
        <w:rPr>
          <w:lang w:val="en-GB"/>
        </w:rPr>
        <w:t xml:space="preserve">The State </w:t>
      </w:r>
      <w:r w:rsidR="004B7C6B">
        <w:rPr>
          <w:lang w:val="en-GB"/>
        </w:rPr>
        <w:t>P</w:t>
      </w:r>
      <w:r w:rsidR="00A9097A" w:rsidRPr="00A9097A">
        <w:rPr>
          <w:lang w:val="en-GB"/>
        </w:rPr>
        <w:t xml:space="preserve">arty concludes that </w:t>
      </w:r>
      <w:r>
        <w:rPr>
          <w:lang w:val="en-GB"/>
        </w:rPr>
        <w:t>both</w:t>
      </w:r>
      <w:r w:rsidR="00A9097A" w:rsidRPr="00A9097A">
        <w:rPr>
          <w:lang w:val="en-GB"/>
        </w:rPr>
        <w:t xml:space="preserve"> communication</w:t>
      </w:r>
      <w:r>
        <w:rPr>
          <w:lang w:val="en-GB"/>
        </w:rPr>
        <w:t>s</w:t>
      </w:r>
      <w:r w:rsidR="00A9097A" w:rsidRPr="00A9097A">
        <w:rPr>
          <w:lang w:val="en-GB"/>
        </w:rPr>
        <w:t xml:space="preserve"> constitute an abuse of the right of submission and should be declared inadmissible under article 3 of the Optional Protocol.</w:t>
      </w:r>
      <w:r w:rsidR="00B261BA">
        <w:rPr>
          <w:lang w:val="en-GB"/>
        </w:rPr>
        <w:t xml:space="preserve"> </w:t>
      </w:r>
    </w:p>
    <w:p w14:paraId="1D0F3971" w14:textId="77777777" w:rsidR="00FB37E8" w:rsidRDefault="00FB37E8" w:rsidP="00312433">
      <w:pPr>
        <w:pStyle w:val="SingleTxtG"/>
      </w:pPr>
      <w:r>
        <w:rPr>
          <w:lang w:val="en-GB"/>
        </w:rPr>
        <w:t>4.5</w:t>
      </w:r>
      <w:r>
        <w:rPr>
          <w:lang w:val="en-GB"/>
        </w:rPr>
        <w:tab/>
        <w:t xml:space="preserve">In both cases the State </w:t>
      </w:r>
      <w:r w:rsidR="00D45E30">
        <w:rPr>
          <w:lang w:val="en-GB"/>
        </w:rPr>
        <w:t>P</w:t>
      </w:r>
      <w:r>
        <w:rPr>
          <w:lang w:val="en-GB"/>
        </w:rPr>
        <w:t>arty submits, that the lay judges were appointed in accordance with the procedure established by law and that there was no violation of the authors’ rights.</w:t>
      </w:r>
      <w:r w:rsidR="00D45E30">
        <w:rPr>
          <w:lang w:val="en-GB"/>
        </w:rPr>
        <w:t xml:space="preserve"> Regarding the communication No. 3136/2018, the State Party clarifies, that lay judge G. was included by the Vologd</w:t>
      </w:r>
      <w:r w:rsidR="005619E5">
        <w:rPr>
          <w:lang w:val="en-GB"/>
        </w:rPr>
        <w:t>a</w:t>
      </w:r>
      <w:r w:rsidR="00D45E30">
        <w:rPr>
          <w:lang w:val="en-GB"/>
        </w:rPr>
        <w:t xml:space="preserve"> Council of Peoples’ Deputies in the list of lay judges on 31 March 1990. Her </w:t>
      </w:r>
      <w:r w:rsidR="00D45E30">
        <w:t xml:space="preserve">statutory term of office had been extended by the presidential decrees of 25 December 1993, 23 January 1997 and 25 January 2000. According to the latest decree, the </w:t>
      </w:r>
      <w:r w:rsidR="00D45E30">
        <w:lastRenderedPageBreak/>
        <w:t>term of office of the lay judges was extended until approval of new lists of lay judges. Such new list was approved and submitted to the Vologd</w:t>
      </w:r>
      <w:r w:rsidR="005619E5">
        <w:t>a</w:t>
      </w:r>
      <w:r w:rsidR="00D45E30">
        <w:t xml:space="preserve"> Regional Court on 1 November 2002. Until that date, lay judge G. was competent to participate in trial proceedings. </w:t>
      </w:r>
      <w:r w:rsidR="007D6718">
        <w:t xml:space="preserve">In regards to the communication No. 3138/2018, the State Party submits that the mere fact that the lay judges participated in more than one trial in one year does not render the trial proceedings unlawful if the lay </w:t>
      </w:r>
      <w:proofErr w:type="spellStart"/>
      <w:r w:rsidR="007D6718">
        <w:t>juges</w:t>
      </w:r>
      <w:proofErr w:type="spellEnd"/>
      <w:r w:rsidR="007D6718">
        <w:t xml:space="preserve"> were appointed in accordance with the law, which was the case for both lay judges K. and P. in the author’s case. </w:t>
      </w:r>
    </w:p>
    <w:p w14:paraId="6C1B73B2" w14:textId="77777777" w:rsidR="001D0DC0" w:rsidRDefault="001D0DC0" w:rsidP="00FF51EE">
      <w:pPr>
        <w:pStyle w:val="SingleTxtG"/>
        <w:rPr>
          <w:b/>
          <w:bCs/>
        </w:rPr>
      </w:pPr>
      <w:r w:rsidRPr="001D0DC0">
        <w:rPr>
          <w:b/>
          <w:bCs/>
        </w:rPr>
        <w:t xml:space="preserve">Author’s comments to the State </w:t>
      </w:r>
      <w:r w:rsidR="004B7C6B">
        <w:rPr>
          <w:b/>
          <w:bCs/>
        </w:rPr>
        <w:t>P</w:t>
      </w:r>
      <w:r w:rsidRPr="001D0DC0">
        <w:rPr>
          <w:b/>
          <w:bCs/>
        </w:rPr>
        <w:t>arty’s observations on the admissibility</w:t>
      </w:r>
    </w:p>
    <w:p w14:paraId="74327716" w14:textId="77777777" w:rsidR="003378BA" w:rsidRDefault="004E4DCB" w:rsidP="005D5EA6">
      <w:pPr>
        <w:pStyle w:val="SingleTxtG"/>
        <w:rPr>
          <w:lang w:val="en-GB"/>
        </w:rPr>
      </w:pPr>
      <w:r w:rsidRPr="004E4DCB">
        <w:t>5.1</w:t>
      </w:r>
      <w:r w:rsidRPr="004E4DCB">
        <w:tab/>
      </w:r>
      <w:r w:rsidR="005D5EA6">
        <w:t>I</w:t>
      </w:r>
      <w:r w:rsidR="005D5EA6" w:rsidRPr="005D5EA6">
        <w:rPr>
          <w:lang w:val="en-GB"/>
        </w:rPr>
        <w:t xml:space="preserve">n submissions dated </w:t>
      </w:r>
      <w:r w:rsidR="005D5EA6">
        <w:rPr>
          <w:lang w:val="en-GB"/>
        </w:rPr>
        <w:t>1 January 2019</w:t>
      </w:r>
      <w:r w:rsidR="005D5EA6" w:rsidRPr="005D5EA6">
        <w:rPr>
          <w:lang w:val="en-GB"/>
        </w:rPr>
        <w:t xml:space="preserve"> (communication No. </w:t>
      </w:r>
      <w:r w:rsidR="005D5EA6">
        <w:rPr>
          <w:lang w:val="en-GB"/>
        </w:rPr>
        <w:t>3136/2018</w:t>
      </w:r>
      <w:r w:rsidR="005D5EA6" w:rsidRPr="005D5EA6">
        <w:rPr>
          <w:lang w:val="en-GB"/>
        </w:rPr>
        <w:t xml:space="preserve">) and </w:t>
      </w:r>
      <w:r w:rsidR="00700C54">
        <w:rPr>
          <w:lang w:val="en-GB"/>
        </w:rPr>
        <w:t>24 January 2019</w:t>
      </w:r>
      <w:r w:rsidR="005D5EA6" w:rsidRPr="005D5EA6">
        <w:rPr>
          <w:lang w:val="en-GB"/>
        </w:rPr>
        <w:t xml:space="preserve"> (communication No. </w:t>
      </w:r>
      <w:r w:rsidR="005D5EA6">
        <w:rPr>
          <w:lang w:val="en-GB"/>
        </w:rPr>
        <w:t>3138/2018</w:t>
      </w:r>
      <w:r w:rsidR="005D5EA6" w:rsidRPr="005D5EA6">
        <w:rPr>
          <w:lang w:val="en-GB"/>
        </w:rPr>
        <w:t xml:space="preserve">), the authors provided the following comments on the State </w:t>
      </w:r>
      <w:r w:rsidR="004B7C6B">
        <w:rPr>
          <w:lang w:val="en-GB"/>
        </w:rPr>
        <w:t>P</w:t>
      </w:r>
      <w:r w:rsidR="005D5EA6" w:rsidRPr="005D5EA6">
        <w:rPr>
          <w:lang w:val="en-GB"/>
        </w:rPr>
        <w:t>arty’s observations.</w:t>
      </w:r>
    </w:p>
    <w:p w14:paraId="4F0F77E9" w14:textId="094D2C56" w:rsidR="00400670" w:rsidRDefault="00400670" w:rsidP="00400670">
      <w:pPr>
        <w:pStyle w:val="SingleTxtG"/>
        <w:rPr>
          <w:i/>
          <w:iCs/>
          <w:lang w:val="en-US"/>
        </w:rPr>
      </w:pPr>
      <w:r w:rsidRPr="0088718D">
        <w:rPr>
          <w:i/>
          <w:iCs/>
          <w:lang w:val="en-US"/>
        </w:rPr>
        <w:t>Communication No. 3136/2018: R</w:t>
      </w:r>
      <w:r w:rsidR="0000755D">
        <w:rPr>
          <w:i/>
          <w:iCs/>
          <w:lang w:val="en-US"/>
        </w:rPr>
        <w:t>.</w:t>
      </w:r>
      <w:r w:rsidRPr="0088718D">
        <w:rPr>
          <w:i/>
          <w:iCs/>
          <w:lang w:val="en-US"/>
        </w:rPr>
        <w:t xml:space="preserve"> P</w:t>
      </w:r>
      <w:r w:rsidR="0000755D">
        <w:rPr>
          <w:i/>
          <w:iCs/>
          <w:lang w:val="en-US"/>
        </w:rPr>
        <w:t>.</w:t>
      </w:r>
      <w:r w:rsidRPr="0088718D">
        <w:rPr>
          <w:i/>
          <w:iCs/>
          <w:lang w:val="en-US"/>
        </w:rPr>
        <w:t xml:space="preserve"> v. Russian Federation</w:t>
      </w:r>
    </w:p>
    <w:p w14:paraId="1F77F54C" w14:textId="77777777" w:rsidR="00F810F3" w:rsidRDefault="003378BA" w:rsidP="00F810F3">
      <w:pPr>
        <w:pStyle w:val="SingleTxtG"/>
      </w:pPr>
      <w:r>
        <w:t>5.2</w:t>
      </w:r>
      <w:r>
        <w:tab/>
      </w:r>
      <w:r w:rsidR="00400670">
        <w:t xml:space="preserve">The author </w:t>
      </w:r>
      <w:r w:rsidR="00036A60" w:rsidRPr="00036A60">
        <w:rPr>
          <w:lang w:val="en-GB"/>
        </w:rPr>
        <w:t xml:space="preserve">refutes the State </w:t>
      </w:r>
      <w:r w:rsidR="00487DFB">
        <w:rPr>
          <w:lang w:val="en-GB"/>
        </w:rPr>
        <w:t>P</w:t>
      </w:r>
      <w:r w:rsidR="00036A60" w:rsidRPr="00036A60">
        <w:rPr>
          <w:lang w:val="en-GB"/>
        </w:rPr>
        <w:t xml:space="preserve">arty’s argument that his communication constitutes an abuse of the right of submission. </w:t>
      </w:r>
      <w:r w:rsidR="00036A60">
        <w:rPr>
          <w:lang w:val="en-GB"/>
        </w:rPr>
        <w:t xml:space="preserve">He </w:t>
      </w:r>
      <w:r w:rsidR="00400670">
        <w:t xml:space="preserve">states that he could not raise before the cassation courts the allegations of </w:t>
      </w:r>
      <w:r w:rsidR="003347F5">
        <w:t>unla</w:t>
      </w:r>
      <w:r w:rsidR="00036A60">
        <w:t>w</w:t>
      </w:r>
      <w:r w:rsidR="003347F5">
        <w:t>ful composition of his trial court</w:t>
      </w:r>
      <w:r w:rsidR="00400670">
        <w:t xml:space="preserve">, because he only learnt </w:t>
      </w:r>
      <w:r w:rsidR="003347F5">
        <w:t xml:space="preserve">in 2014 </w:t>
      </w:r>
      <w:r w:rsidR="00400670">
        <w:t xml:space="preserve">that </w:t>
      </w:r>
      <w:r w:rsidR="003347F5">
        <w:t xml:space="preserve">the participation of lay judge G. </w:t>
      </w:r>
      <w:r w:rsidR="00400670">
        <w:t xml:space="preserve">was unlawful. </w:t>
      </w:r>
      <w:r w:rsidR="00645A39">
        <w:t xml:space="preserve">Counting from that moment, he submitted his complaint to the Committee within a five-year period. The author notes that he did not have a </w:t>
      </w:r>
      <w:r w:rsidR="00036A60">
        <w:t xml:space="preserve">state-appointed </w:t>
      </w:r>
      <w:r w:rsidR="00645A39">
        <w:t xml:space="preserve">lawyer in cassation courts, despite the </w:t>
      </w:r>
      <w:r w:rsidR="00036A60">
        <w:t xml:space="preserve">legal obligation of the State </w:t>
      </w:r>
      <w:r w:rsidR="004B7C6B">
        <w:t>P</w:t>
      </w:r>
      <w:r w:rsidR="00036A60">
        <w:t>arty to provide him one.</w:t>
      </w:r>
      <w:r w:rsidR="00645A39">
        <w:t xml:space="preserve"> </w:t>
      </w:r>
      <w:r w:rsidR="00036A60">
        <w:t xml:space="preserve">Neither did he have financial means to contract a lawyer. The author also claims that lack of legal knowledge put him in unequal position </w:t>
      </w:r>
      <w:r w:rsidR="00E115D9">
        <w:t>with</w:t>
      </w:r>
      <w:r w:rsidR="00036A60">
        <w:t xml:space="preserve"> other parties in the court proceedings. </w:t>
      </w:r>
    </w:p>
    <w:p w14:paraId="580A1B4E" w14:textId="77777777" w:rsidR="00666AB5" w:rsidRDefault="00F810F3" w:rsidP="00F810F3">
      <w:pPr>
        <w:pStyle w:val="SingleTxtG"/>
        <w:rPr>
          <w:lang w:val="en-GB"/>
        </w:rPr>
      </w:pPr>
      <w:r>
        <w:t>5.3</w:t>
      </w:r>
      <w:r>
        <w:tab/>
        <w:t xml:space="preserve">The author reiterates his claims on the merits and </w:t>
      </w:r>
      <w:r w:rsidRPr="00F810F3">
        <w:rPr>
          <w:lang w:val="en-GB"/>
        </w:rPr>
        <w:t xml:space="preserve">requests the Committee to recommend that the State </w:t>
      </w:r>
      <w:r w:rsidR="004B7C6B">
        <w:rPr>
          <w:lang w:val="en-GB"/>
        </w:rPr>
        <w:t>P</w:t>
      </w:r>
      <w:r w:rsidRPr="00F810F3">
        <w:rPr>
          <w:lang w:val="en-GB"/>
        </w:rPr>
        <w:t>arty quash the judgment adopted on 1</w:t>
      </w:r>
      <w:r>
        <w:rPr>
          <w:lang w:val="en-GB"/>
        </w:rPr>
        <w:t>2</w:t>
      </w:r>
      <w:r w:rsidRPr="00F810F3">
        <w:rPr>
          <w:lang w:val="en-GB"/>
        </w:rPr>
        <w:t xml:space="preserve"> </w:t>
      </w:r>
      <w:r>
        <w:rPr>
          <w:lang w:val="en-GB"/>
        </w:rPr>
        <w:t>February</w:t>
      </w:r>
      <w:r w:rsidRPr="00F810F3">
        <w:rPr>
          <w:lang w:val="en-GB"/>
        </w:rPr>
        <w:t xml:space="preserve"> 200</w:t>
      </w:r>
      <w:r>
        <w:rPr>
          <w:lang w:val="en-GB"/>
        </w:rPr>
        <w:t>1</w:t>
      </w:r>
      <w:r w:rsidRPr="00F810F3">
        <w:rPr>
          <w:lang w:val="en-GB"/>
        </w:rPr>
        <w:t xml:space="preserve"> by the </w:t>
      </w:r>
      <w:r>
        <w:rPr>
          <w:lang w:val="en-GB"/>
        </w:rPr>
        <w:t>Volog</w:t>
      </w:r>
      <w:r w:rsidR="000D2F68">
        <w:rPr>
          <w:lang w:val="en-GB"/>
        </w:rPr>
        <w:t>da</w:t>
      </w:r>
      <w:r>
        <w:rPr>
          <w:lang w:val="en-GB"/>
        </w:rPr>
        <w:t xml:space="preserve"> Regional Court</w:t>
      </w:r>
      <w:r w:rsidRPr="00F810F3">
        <w:rPr>
          <w:lang w:val="en-GB"/>
        </w:rPr>
        <w:t xml:space="preserve">, hold a new hearing, and provide </w:t>
      </w:r>
      <w:r>
        <w:rPr>
          <w:lang w:val="en-GB"/>
        </w:rPr>
        <w:t>him</w:t>
      </w:r>
      <w:r w:rsidRPr="00F810F3">
        <w:rPr>
          <w:lang w:val="en-GB"/>
        </w:rPr>
        <w:t xml:space="preserve"> with just compensation</w:t>
      </w:r>
      <w:r>
        <w:rPr>
          <w:lang w:val="en-GB"/>
        </w:rPr>
        <w:t xml:space="preserve"> in the amount of 1000 </w:t>
      </w:r>
      <w:r w:rsidR="00E97E14">
        <w:rPr>
          <w:lang w:val="en-GB"/>
        </w:rPr>
        <w:t xml:space="preserve">(one thousand) </w:t>
      </w:r>
      <w:r w:rsidR="000D2F68">
        <w:rPr>
          <w:lang w:val="en-GB"/>
        </w:rPr>
        <w:t>e</w:t>
      </w:r>
      <w:r>
        <w:rPr>
          <w:lang w:val="en-GB"/>
        </w:rPr>
        <w:t>uro</w:t>
      </w:r>
      <w:r w:rsidR="000D2F68">
        <w:rPr>
          <w:lang w:val="en-GB"/>
        </w:rPr>
        <w:t>s</w:t>
      </w:r>
      <w:r w:rsidRPr="00F810F3">
        <w:rPr>
          <w:lang w:val="en-GB"/>
        </w:rPr>
        <w:t>.</w:t>
      </w:r>
    </w:p>
    <w:p w14:paraId="16C6701B" w14:textId="5AF3ACB4" w:rsidR="001D2696" w:rsidRDefault="001D2696" w:rsidP="001D2696">
      <w:pPr>
        <w:pStyle w:val="SingleTxtG"/>
        <w:rPr>
          <w:i/>
          <w:iCs/>
          <w:lang w:val="en-US"/>
        </w:rPr>
      </w:pPr>
      <w:r w:rsidRPr="0088718D">
        <w:rPr>
          <w:i/>
          <w:iCs/>
          <w:lang w:val="en-US"/>
        </w:rPr>
        <w:t>Communication No. 313</w:t>
      </w:r>
      <w:r>
        <w:rPr>
          <w:i/>
          <w:iCs/>
          <w:lang w:val="en-US"/>
        </w:rPr>
        <w:t>8</w:t>
      </w:r>
      <w:r w:rsidRPr="0088718D">
        <w:rPr>
          <w:i/>
          <w:iCs/>
          <w:lang w:val="en-US"/>
        </w:rPr>
        <w:t xml:space="preserve">/2018: </w:t>
      </w:r>
      <w:r>
        <w:rPr>
          <w:i/>
          <w:iCs/>
          <w:lang w:val="en-US"/>
        </w:rPr>
        <w:t>S</w:t>
      </w:r>
      <w:r w:rsidR="0000755D">
        <w:rPr>
          <w:i/>
          <w:iCs/>
          <w:lang w:val="en-US"/>
        </w:rPr>
        <w:t>.</w:t>
      </w:r>
      <w:r>
        <w:rPr>
          <w:i/>
          <w:iCs/>
          <w:lang w:val="en-US"/>
        </w:rPr>
        <w:t xml:space="preserve"> </w:t>
      </w:r>
      <w:r w:rsidRPr="005D5EA6">
        <w:rPr>
          <w:i/>
          <w:iCs/>
          <w:lang w:val="en-GB"/>
        </w:rPr>
        <w:t>Y</w:t>
      </w:r>
      <w:r w:rsidR="0000755D">
        <w:rPr>
          <w:i/>
          <w:iCs/>
          <w:lang w:val="en-GB"/>
        </w:rPr>
        <w:t>.</w:t>
      </w:r>
      <w:r w:rsidRPr="005D5EA6">
        <w:rPr>
          <w:i/>
          <w:iCs/>
          <w:lang w:val="en-GB"/>
        </w:rPr>
        <w:t xml:space="preserve"> </w:t>
      </w:r>
      <w:r w:rsidRPr="005D5EA6">
        <w:rPr>
          <w:i/>
          <w:iCs/>
          <w:lang w:val="en-US"/>
        </w:rPr>
        <w:t>v</w:t>
      </w:r>
      <w:r w:rsidRPr="0088718D">
        <w:rPr>
          <w:i/>
          <w:iCs/>
          <w:lang w:val="en-US"/>
        </w:rPr>
        <w:t>. Russian Federation</w:t>
      </w:r>
    </w:p>
    <w:p w14:paraId="55C77D72" w14:textId="513561D0" w:rsidR="001D2696" w:rsidRDefault="001D2696" w:rsidP="00F810F3">
      <w:pPr>
        <w:pStyle w:val="SingleTxtG"/>
      </w:pPr>
      <w:r>
        <w:t>5.4</w:t>
      </w:r>
      <w:r>
        <w:tab/>
      </w:r>
      <w:r w:rsidR="00700C54">
        <w:t xml:space="preserve">The author disagrees with the State </w:t>
      </w:r>
      <w:r w:rsidR="004B7C6B">
        <w:t>P</w:t>
      </w:r>
      <w:r w:rsidR="00700C54">
        <w:t xml:space="preserve">arty’s argument on inadmissibility of his communication under article 3 of the Optional Protocol and submits that </w:t>
      </w:r>
      <w:r w:rsidR="000D2F68">
        <w:t xml:space="preserve">he submitted supervisory appeals since </w:t>
      </w:r>
      <w:r w:rsidR="00700C54">
        <w:t xml:space="preserve">all available domestic </w:t>
      </w:r>
      <w:r w:rsidR="0000755D">
        <w:t>remedies</w:t>
      </w:r>
      <w:r w:rsidR="00700C54">
        <w:t xml:space="preserve"> should be exhausted under rule 96 (f) of the Committee’s rules of procedure. He adds, that he found out about unlawful appointment of lay judges in his trial only in 2012. He claims that his submission does not constitute an abuse and insists on its admissibility. The author reiterates his claims on the merits. </w:t>
      </w:r>
    </w:p>
    <w:p w14:paraId="61245CBF" w14:textId="77777777" w:rsidR="009067E7" w:rsidRDefault="009067E7" w:rsidP="00F810F3">
      <w:pPr>
        <w:pStyle w:val="SingleTxtG"/>
        <w:rPr>
          <w:b/>
          <w:bCs/>
        </w:rPr>
      </w:pPr>
      <w:r w:rsidRPr="009067E7">
        <w:rPr>
          <w:b/>
          <w:bCs/>
        </w:rPr>
        <w:t xml:space="preserve">State </w:t>
      </w:r>
      <w:r w:rsidR="00312433">
        <w:rPr>
          <w:b/>
          <w:bCs/>
        </w:rPr>
        <w:t>P</w:t>
      </w:r>
      <w:r w:rsidRPr="009067E7">
        <w:rPr>
          <w:b/>
          <w:bCs/>
        </w:rPr>
        <w:t xml:space="preserve">arty’s additional observations </w:t>
      </w:r>
    </w:p>
    <w:p w14:paraId="4B06FF86" w14:textId="0C69E616" w:rsidR="009067E7" w:rsidRDefault="009067E7" w:rsidP="0058574F">
      <w:pPr>
        <w:pStyle w:val="SingleTxtG"/>
      </w:pPr>
      <w:r w:rsidRPr="009067E7">
        <w:t>6.</w:t>
      </w:r>
      <w:r w:rsidRPr="009067E7">
        <w:tab/>
      </w:r>
      <w:r w:rsidR="00487DFB">
        <w:t xml:space="preserve">On 3 February 2020, the State Party submitted additional observations in response to the author’s </w:t>
      </w:r>
      <w:r w:rsidR="0000755D">
        <w:t>comments</w:t>
      </w:r>
      <w:r w:rsidR="00487DFB">
        <w:t xml:space="preserve"> in communication No. 3138/2018. The State Party submits that the author’s lack of knowledge of alleged </w:t>
      </w:r>
      <w:r w:rsidR="0000755D">
        <w:t>violation</w:t>
      </w:r>
      <w:r w:rsidR="00487DFB">
        <w:t xml:space="preserve"> cannot be considered a valid reason for the admissibility of his communication. The State Party adds that the Law </w:t>
      </w:r>
      <w:r w:rsidR="00487DFB" w:rsidRPr="009C7106">
        <w:rPr>
          <w:lang w:val="en-GB"/>
        </w:rPr>
        <w:t xml:space="preserve">on </w:t>
      </w:r>
      <w:r w:rsidR="00487DFB">
        <w:rPr>
          <w:lang w:val="en-GB"/>
        </w:rPr>
        <w:t>lay</w:t>
      </w:r>
      <w:r w:rsidR="00487DFB" w:rsidRPr="009C7106">
        <w:rPr>
          <w:lang w:val="en-GB"/>
        </w:rPr>
        <w:t xml:space="preserve"> </w:t>
      </w:r>
      <w:r w:rsidR="00487DFB">
        <w:rPr>
          <w:lang w:val="en-GB"/>
        </w:rPr>
        <w:t>judges</w:t>
      </w:r>
      <w:r w:rsidR="00487DFB" w:rsidRPr="009C7106">
        <w:rPr>
          <w:lang w:val="en-GB"/>
        </w:rPr>
        <w:t xml:space="preserve"> of </w:t>
      </w:r>
      <w:r w:rsidR="00487DFB">
        <w:rPr>
          <w:lang w:val="en-GB"/>
        </w:rPr>
        <w:t>f</w:t>
      </w:r>
      <w:r w:rsidR="00487DFB" w:rsidRPr="009C7106">
        <w:rPr>
          <w:lang w:val="en-GB"/>
        </w:rPr>
        <w:t xml:space="preserve">ederal </w:t>
      </w:r>
      <w:r w:rsidR="00487DFB">
        <w:rPr>
          <w:lang w:val="en-GB"/>
        </w:rPr>
        <w:t>c</w:t>
      </w:r>
      <w:r w:rsidR="00487DFB" w:rsidRPr="009C7106">
        <w:rPr>
          <w:lang w:val="en-GB"/>
        </w:rPr>
        <w:t xml:space="preserve">ourts of </w:t>
      </w:r>
      <w:r w:rsidR="00487DFB">
        <w:rPr>
          <w:lang w:val="en-GB"/>
        </w:rPr>
        <w:t>g</w:t>
      </w:r>
      <w:r w:rsidR="00487DFB" w:rsidRPr="009C7106">
        <w:rPr>
          <w:lang w:val="en-GB"/>
        </w:rPr>
        <w:t xml:space="preserve">eneral </w:t>
      </w:r>
      <w:r w:rsidR="00487DFB">
        <w:rPr>
          <w:lang w:val="en-GB"/>
        </w:rPr>
        <w:t>j</w:t>
      </w:r>
      <w:r w:rsidR="00487DFB" w:rsidRPr="009C7106">
        <w:rPr>
          <w:lang w:val="en-GB"/>
        </w:rPr>
        <w:t>urisdiction</w:t>
      </w:r>
      <w:r w:rsidR="00487DFB">
        <w:rPr>
          <w:lang w:val="en-GB"/>
        </w:rPr>
        <w:t xml:space="preserve"> establishe</w:t>
      </w:r>
      <w:r w:rsidR="000D2F68">
        <w:rPr>
          <w:lang w:val="en-GB"/>
        </w:rPr>
        <w:t>s</w:t>
      </w:r>
      <w:r w:rsidR="00487DFB">
        <w:rPr>
          <w:lang w:val="en-GB"/>
        </w:rPr>
        <w:t xml:space="preserve"> the right of people to participate in the administration of justice in the courts. It does not establish procedural rules. T</w:t>
      </w:r>
      <w:r w:rsidR="00487DFB" w:rsidRPr="00487DFB">
        <w:rPr>
          <w:lang w:val="en-GB"/>
        </w:rPr>
        <w:t>he criminal procedure legislation</w:t>
      </w:r>
      <w:r w:rsidR="0058574F">
        <w:rPr>
          <w:lang w:val="en-GB"/>
        </w:rPr>
        <w:t xml:space="preserve">, as confirmed by </w:t>
      </w:r>
      <w:r w:rsidR="0058574F" w:rsidRPr="0058574F">
        <w:rPr>
          <w:lang w:val="en-GB"/>
        </w:rPr>
        <w:t>the ruling of the Presidium of the Supreme Court dated May 31, 2006, No. 208-P06</w:t>
      </w:r>
      <w:r w:rsidR="0058574F">
        <w:rPr>
          <w:lang w:val="en-GB"/>
        </w:rPr>
        <w:t>,</w:t>
      </w:r>
      <w:r w:rsidR="00487DFB" w:rsidRPr="00487DFB">
        <w:rPr>
          <w:lang w:val="en-GB"/>
        </w:rPr>
        <w:t xml:space="preserve"> does not provide that a sentence rendered with the participation of </w:t>
      </w:r>
      <w:r w:rsidR="000D2F68">
        <w:rPr>
          <w:lang w:val="en-GB"/>
        </w:rPr>
        <w:t>lay judges</w:t>
      </w:r>
      <w:r w:rsidR="00487DFB" w:rsidRPr="00487DFB">
        <w:rPr>
          <w:lang w:val="en-GB"/>
        </w:rPr>
        <w:t>, who served more than once a year, is considered unlawful and subject to cancellation or amendment.</w:t>
      </w:r>
    </w:p>
    <w:p w14:paraId="6685A659" w14:textId="77777777" w:rsidR="00647104" w:rsidRPr="0053708C" w:rsidRDefault="009B0728" w:rsidP="00647104">
      <w:pPr>
        <w:pStyle w:val="H23G"/>
      </w:pPr>
      <w:r w:rsidRPr="0053708C">
        <w:tab/>
      </w:r>
      <w:r w:rsidRPr="0053708C">
        <w:tab/>
      </w:r>
      <w:r w:rsidR="00647104" w:rsidRPr="0053708C">
        <w:t>Issues and proceedings before the Committee</w:t>
      </w:r>
    </w:p>
    <w:p w14:paraId="304B8909" w14:textId="77777777" w:rsidR="00647104" w:rsidRDefault="00647104" w:rsidP="00647104">
      <w:pPr>
        <w:pStyle w:val="H4G"/>
      </w:pPr>
      <w:r w:rsidRPr="0053708C">
        <w:tab/>
      </w:r>
      <w:r w:rsidRPr="0053708C">
        <w:tab/>
      </w:r>
      <w:r w:rsidR="003566A1">
        <w:t xml:space="preserve">Consideration of </w:t>
      </w:r>
      <w:r w:rsidR="00E737F0">
        <w:t>admissibility</w:t>
      </w:r>
    </w:p>
    <w:p w14:paraId="5CD4FCE7" w14:textId="77777777" w:rsidR="00E737F0" w:rsidRPr="00234D1A" w:rsidRDefault="00FE3675" w:rsidP="00E737F0">
      <w:pPr>
        <w:pStyle w:val="SingleTxtG"/>
        <w:tabs>
          <w:tab w:val="left" w:pos="1701"/>
        </w:tabs>
      </w:pPr>
      <w:r>
        <w:t>7</w:t>
      </w:r>
      <w:r w:rsidR="00E737F0" w:rsidRPr="00234D1A">
        <w:t>.1</w:t>
      </w:r>
      <w:r w:rsidR="00E737F0" w:rsidRPr="00234D1A">
        <w:tab/>
        <w:t>Before considering any claim contained in a communication, the Committee must decide, in accordance with rule 97 of its rules of procedure, whether the communication is admissible under the Optional Protocol.</w:t>
      </w:r>
    </w:p>
    <w:p w14:paraId="71F71390" w14:textId="77777777" w:rsidR="00E737F0" w:rsidRDefault="00FE3675" w:rsidP="00E737F0">
      <w:pPr>
        <w:pStyle w:val="SingleTxtG"/>
        <w:tabs>
          <w:tab w:val="left" w:pos="1701"/>
        </w:tabs>
      </w:pPr>
      <w:r>
        <w:t>7</w:t>
      </w:r>
      <w:r w:rsidR="00E737F0" w:rsidRPr="00234D1A">
        <w:t>.2</w:t>
      </w:r>
      <w:r w:rsidR="00E737F0" w:rsidRPr="00234D1A">
        <w:tab/>
        <w:t>The Committee has ascertained, as required under article 5 (2) (a) of the Optional Protocol, that the same matter is not being examined under another procedure of international investigation or settlement.</w:t>
      </w:r>
    </w:p>
    <w:p w14:paraId="2EB67FDD" w14:textId="77777777" w:rsidR="00FE3675" w:rsidRDefault="00FE3675" w:rsidP="00FE3675">
      <w:pPr>
        <w:pStyle w:val="SingleTxtG"/>
        <w:tabs>
          <w:tab w:val="left" w:pos="1701"/>
        </w:tabs>
        <w:rPr>
          <w:lang w:val="en-GB"/>
        </w:rPr>
      </w:pPr>
      <w:r>
        <w:lastRenderedPageBreak/>
        <w:t>7.3</w:t>
      </w:r>
      <w:r>
        <w:tab/>
        <w:t>T</w:t>
      </w:r>
      <w:r w:rsidRPr="00FE3675">
        <w:rPr>
          <w:lang w:val="en-GB"/>
        </w:rPr>
        <w:t xml:space="preserve">he Committee takes note of the State party’s argument that </w:t>
      </w:r>
      <w:r>
        <w:rPr>
          <w:lang w:val="en-GB"/>
        </w:rPr>
        <w:t xml:space="preserve">both </w:t>
      </w:r>
      <w:r w:rsidRPr="00FE3675">
        <w:rPr>
          <w:lang w:val="en-GB"/>
        </w:rPr>
        <w:t>communication</w:t>
      </w:r>
      <w:r>
        <w:rPr>
          <w:lang w:val="en-GB"/>
        </w:rPr>
        <w:t>s</w:t>
      </w:r>
      <w:r w:rsidRPr="00FE3675">
        <w:rPr>
          <w:lang w:val="en-GB"/>
        </w:rPr>
        <w:t xml:space="preserve"> should be considered inadmissible for abuse of the right of submission under article 3 of the Optional Protocol due to the long delays between the alleged </w:t>
      </w:r>
      <w:r w:rsidR="00CC4E6B">
        <w:rPr>
          <w:lang w:val="en-GB"/>
        </w:rPr>
        <w:t>violations</w:t>
      </w:r>
      <w:r>
        <w:rPr>
          <w:lang w:val="en-GB"/>
        </w:rPr>
        <w:t xml:space="preserve"> </w:t>
      </w:r>
      <w:r w:rsidRPr="00FE3675">
        <w:rPr>
          <w:lang w:val="en-GB"/>
        </w:rPr>
        <w:t>and the submission of the communication</w:t>
      </w:r>
      <w:r w:rsidR="00CC4E6B">
        <w:rPr>
          <w:lang w:val="en-GB"/>
        </w:rPr>
        <w:t>s</w:t>
      </w:r>
      <w:r w:rsidRPr="00FE3675">
        <w:rPr>
          <w:lang w:val="en-GB"/>
        </w:rPr>
        <w:t xml:space="preserve"> to the Committee</w:t>
      </w:r>
      <w:r w:rsidR="00CC4E6B">
        <w:rPr>
          <w:lang w:val="en-GB"/>
        </w:rPr>
        <w:t>.</w:t>
      </w:r>
      <w:r w:rsidRPr="00FE3675">
        <w:rPr>
          <w:lang w:val="en-GB"/>
        </w:rPr>
        <w:t xml:space="preserve"> The Committee takes note of the arguments provided by the author</w:t>
      </w:r>
      <w:r w:rsidR="00CC4E6B">
        <w:rPr>
          <w:lang w:val="en-GB"/>
        </w:rPr>
        <w:t>s</w:t>
      </w:r>
      <w:r w:rsidRPr="00FE3675">
        <w:rPr>
          <w:lang w:val="en-GB"/>
        </w:rPr>
        <w:t xml:space="preserve"> to justify these delays, including </w:t>
      </w:r>
      <w:r w:rsidR="00CC4E6B">
        <w:rPr>
          <w:lang w:val="en-GB"/>
        </w:rPr>
        <w:t xml:space="preserve">unawareness of the violation at the time of their appeals (both authors), </w:t>
      </w:r>
      <w:r w:rsidR="00CC4E6B" w:rsidRPr="00FE3675">
        <w:rPr>
          <w:lang w:val="en-GB"/>
        </w:rPr>
        <w:t>legal illiteracy, his lack of means to hire a professional counsel</w:t>
      </w:r>
      <w:r w:rsidR="00CC4E6B">
        <w:rPr>
          <w:lang w:val="en-GB"/>
        </w:rPr>
        <w:t xml:space="preserve"> (author of communication No. 3136/2018) and the attempt to exhaust all available domestic remedies (author of communication No. 3138/2018)</w:t>
      </w:r>
      <w:r w:rsidRPr="00FE3675">
        <w:rPr>
          <w:lang w:val="en-GB"/>
        </w:rPr>
        <w:t>.</w:t>
      </w:r>
    </w:p>
    <w:p w14:paraId="2A540133" w14:textId="77777777" w:rsidR="00CC4E6B" w:rsidRDefault="00CC4E6B" w:rsidP="00CC4E6B">
      <w:pPr>
        <w:pStyle w:val="SingleTxtG"/>
        <w:tabs>
          <w:tab w:val="left" w:pos="1701"/>
        </w:tabs>
        <w:rPr>
          <w:lang w:val="en-GB"/>
        </w:rPr>
      </w:pPr>
      <w:r>
        <w:rPr>
          <w:lang w:val="en-GB"/>
        </w:rPr>
        <w:t>7.4</w:t>
      </w:r>
      <w:r>
        <w:rPr>
          <w:lang w:val="en-GB"/>
        </w:rPr>
        <w:tab/>
      </w:r>
      <w:r w:rsidRPr="00CC4E6B">
        <w:rPr>
          <w:lang w:val="en-GB"/>
        </w:rPr>
        <w:t>The Committee notes that there are no fixed time limits for the submission of communications under the Optional Protocol and that mere delay in submission does not of itself involve abuse of the right to submit a communication.</w:t>
      </w:r>
      <w:r>
        <w:rPr>
          <w:rStyle w:val="FootnoteReference"/>
          <w:lang w:val="en-GB"/>
        </w:rPr>
        <w:footnoteReference w:id="6"/>
      </w:r>
      <w:r w:rsidRPr="00CC4E6B">
        <w:rPr>
          <w:lang w:val="en-GB"/>
        </w:rPr>
        <w:t xml:space="preserve"> However, in certain circumstances, the Committee expects a reasonable explanation justifying a delay.</w:t>
      </w:r>
      <w:r>
        <w:rPr>
          <w:rStyle w:val="FootnoteReference"/>
          <w:lang w:val="en-GB"/>
        </w:rPr>
        <w:footnoteReference w:id="7"/>
      </w:r>
      <w:r w:rsidRPr="00CC4E6B">
        <w:rPr>
          <w:lang w:val="en-GB"/>
        </w:rPr>
        <w:t xml:space="preserve"> In addition, according to rule 99 (c) of its rules of procedure,</w:t>
      </w:r>
      <w:r>
        <w:rPr>
          <w:rStyle w:val="FootnoteReference"/>
          <w:lang w:val="en-GB"/>
        </w:rPr>
        <w:footnoteReference w:id="8"/>
      </w:r>
      <w:r w:rsidRPr="00CC4E6B">
        <w:rPr>
          <w:lang w:val="en-GB"/>
        </w:rPr>
        <w:t xml:space="preserve"> a communication may constitute an abuse of the right of submission when it is submitted five years after the exhaustion of domestic remedies by the author of the communication, or, where applicable, three years after the conclusion of another procedure of international investigation or settlement, unless there are reasons justifying the delay, taking into account all the circumstances of the communication.</w:t>
      </w:r>
      <w:r>
        <w:rPr>
          <w:rStyle w:val="FootnoteReference"/>
          <w:lang w:val="en-GB"/>
        </w:rPr>
        <w:footnoteReference w:id="9"/>
      </w:r>
    </w:p>
    <w:p w14:paraId="73BED90A" w14:textId="77777777" w:rsidR="002D3EE0" w:rsidRDefault="002D3EE0" w:rsidP="002D3EE0">
      <w:pPr>
        <w:pStyle w:val="SingleTxtG"/>
        <w:tabs>
          <w:tab w:val="left" w:pos="1701"/>
        </w:tabs>
        <w:rPr>
          <w:lang w:val="en-GB"/>
        </w:rPr>
      </w:pPr>
      <w:r>
        <w:rPr>
          <w:lang w:val="en-GB"/>
        </w:rPr>
        <w:t>7.5</w:t>
      </w:r>
      <w:r>
        <w:rPr>
          <w:lang w:val="en-GB"/>
        </w:rPr>
        <w:tab/>
        <w:t>A</w:t>
      </w:r>
      <w:r w:rsidRPr="002D3EE0">
        <w:rPr>
          <w:lang w:val="en-GB"/>
        </w:rPr>
        <w:t>t the same time, the Committee notes that, especially where time is of the essence in resolving a case, the author generally bears the burden in ensuring that his or her claims are raised with the necessary expedition to ensure that they may be properly and fairly resolved. The Committee also notes that it is best for author</w:t>
      </w:r>
      <w:r>
        <w:rPr>
          <w:lang w:val="en-GB"/>
        </w:rPr>
        <w:t>s</w:t>
      </w:r>
      <w:r w:rsidRPr="002D3EE0">
        <w:rPr>
          <w:lang w:val="en-GB"/>
        </w:rPr>
        <w:t xml:space="preserve"> if </w:t>
      </w:r>
      <w:r>
        <w:rPr>
          <w:lang w:val="en-GB"/>
        </w:rPr>
        <w:t>their</w:t>
      </w:r>
      <w:r w:rsidRPr="002D3EE0">
        <w:rPr>
          <w:lang w:val="en-GB"/>
        </w:rPr>
        <w:t xml:space="preserve"> claims are filed with the national authorities for consideration as soon as possible, so as to enable the authorities to respond in a timely manner to any alleged human rights violations. While it is essential for the efficacy of the protection system under the Covenant that a State </w:t>
      </w:r>
      <w:r>
        <w:rPr>
          <w:lang w:val="en-GB"/>
        </w:rPr>
        <w:t>P</w:t>
      </w:r>
      <w:r w:rsidRPr="002D3EE0">
        <w:rPr>
          <w:lang w:val="en-GB"/>
        </w:rPr>
        <w:t>arty meet its international legal obligations in good faith, demonstration by authors of due diligence and initiative in the protection of their rights generally contributes to avoiding excessive or unexplained delays in the administration of justice and the enforcement of the rights protected under the Covenant.</w:t>
      </w:r>
      <w:r>
        <w:rPr>
          <w:rStyle w:val="FootnoteReference"/>
          <w:lang w:val="en-GB"/>
        </w:rPr>
        <w:footnoteReference w:id="10"/>
      </w:r>
    </w:p>
    <w:p w14:paraId="7B995AD3" w14:textId="55AC920A" w:rsidR="00807A1B" w:rsidRDefault="00807A1B" w:rsidP="003957BF">
      <w:pPr>
        <w:pStyle w:val="SingleTxtG"/>
        <w:tabs>
          <w:tab w:val="left" w:pos="1701"/>
        </w:tabs>
        <w:rPr>
          <w:lang w:val="en-GB"/>
        </w:rPr>
      </w:pPr>
      <w:r>
        <w:rPr>
          <w:lang w:val="en-GB"/>
        </w:rPr>
        <w:t>7.6</w:t>
      </w:r>
      <w:r>
        <w:rPr>
          <w:lang w:val="en-GB"/>
        </w:rPr>
        <w:tab/>
      </w:r>
      <w:r w:rsidRPr="00807A1B">
        <w:rPr>
          <w:lang w:val="en-GB"/>
        </w:rPr>
        <w:t xml:space="preserve">In the present case, the Committee observes that the communications were submitted </w:t>
      </w:r>
      <w:r>
        <w:rPr>
          <w:lang w:val="en-GB"/>
        </w:rPr>
        <w:t xml:space="preserve">some 15 years (communication No. 3136/2018) and 16 years (communication No. 3138/2018) </w:t>
      </w:r>
      <w:r w:rsidRPr="00807A1B">
        <w:rPr>
          <w:lang w:val="en-GB"/>
        </w:rPr>
        <w:t xml:space="preserve">after the authors’ final convictions by the </w:t>
      </w:r>
      <w:r>
        <w:rPr>
          <w:lang w:val="en-GB"/>
        </w:rPr>
        <w:t xml:space="preserve">cassation courts. </w:t>
      </w:r>
      <w:r w:rsidRPr="00807A1B">
        <w:rPr>
          <w:lang w:val="en-GB"/>
        </w:rPr>
        <w:t>While noting that the authors justify these delays with references to the supervisory review appeals that they lodged with the Supreme Court</w:t>
      </w:r>
      <w:r w:rsidR="003957BF">
        <w:rPr>
          <w:lang w:val="en-GB"/>
        </w:rPr>
        <w:t xml:space="preserve">, </w:t>
      </w:r>
      <w:r w:rsidRPr="00807A1B">
        <w:rPr>
          <w:lang w:val="en-GB"/>
        </w:rPr>
        <w:t xml:space="preserve">prosecutorial authorities, </w:t>
      </w:r>
      <w:r w:rsidR="003957BF">
        <w:rPr>
          <w:lang w:val="en-GB"/>
        </w:rPr>
        <w:t xml:space="preserve">and, in communication No. 3136/2018 </w:t>
      </w:r>
      <w:r w:rsidR="00ED1725">
        <w:rPr>
          <w:lang w:val="en-GB"/>
        </w:rPr>
        <w:t>also with</w:t>
      </w:r>
      <w:r w:rsidR="003957BF">
        <w:rPr>
          <w:lang w:val="en-GB"/>
        </w:rPr>
        <w:t xml:space="preserve"> </w:t>
      </w:r>
      <w:r w:rsidR="003957BF" w:rsidRPr="003957BF">
        <w:rPr>
          <w:lang w:val="en-GB"/>
        </w:rPr>
        <w:t>the Constitutional Court and the Ombudsperson</w:t>
      </w:r>
      <w:r w:rsidR="003957BF">
        <w:rPr>
          <w:lang w:val="en-GB"/>
        </w:rPr>
        <w:t>,</w:t>
      </w:r>
      <w:r w:rsidR="003957BF" w:rsidRPr="003957BF">
        <w:rPr>
          <w:lang w:val="en-GB"/>
        </w:rPr>
        <w:t xml:space="preserve"> </w:t>
      </w:r>
      <w:r w:rsidRPr="00807A1B">
        <w:rPr>
          <w:lang w:val="en-GB"/>
        </w:rPr>
        <w:t xml:space="preserve">the Committee does not consider the pursuit of such extraordinary review proceedings to be in itself a convincing justification for the delay in submitting the communications, given that the authors’ sentences became final and executable </w:t>
      </w:r>
      <w:r>
        <w:rPr>
          <w:lang w:val="en-GB"/>
        </w:rPr>
        <w:t xml:space="preserve">on 1 November </w:t>
      </w:r>
      <w:r w:rsidR="00ED1725">
        <w:rPr>
          <w:lang w:val="en-GB"/>
        </w:rPr>
        <w:t xml:space="preserve">2001 (communication No. 3136/2018) </w:t>
      </w:r>
      <w:r>
        <w:rPr>
          <w:lang w:val="en-GB"/>
        </w:rPr>
        <w:t xml:space="preserve">and </w:t>
      </w:r>
      <w:r w:rsidR="00ED1725">
        <w:rPr>
          <w:lang w:val="en-GB"/>
        </w:rPr>
        <w:t xml:space="preserve">on </w:t>
      </w:r>
      <w:r>
        <w:rPr>
          <w:lang w:val="en-GB"/>
        </w:rPr>
        <w:t>25 June 200</w:t>
      </w:r>
      <w:r w:rsidR="00ED1725">
        <w:rPr>
          <w:lang w:val="en-GB"/>
        </w:rPr>
        <w:t>1 (communication No. 3138/2018)</w:t>
      </w:r>
      <w:r w:rsidRPr="00807A1B">
        <w:rPr>
          <w:lang w:val="en-GB"/>
        </w:rPr>
        <w:t>.</w:t>
      </w:r>
      <w:r w:rsidR="00B82B44">
        <w:rPr>
          <w:rStyle w:val="FootnoteReference"/>
          <w:lang w:val="en-GB"/>
        </w:rPr>
        <w:footnoteReference w:id="11"/>
      </w:r>
      <w:r w:rsidR="003957BF" w:rsidRPr="003957BF">
        <w:rPr>
          <w:lang w:val="en-GB"/>
        </w:rPr>
        <w:t xml:space="preserve"> The Committee also notes in this regard that the Constitutional Court and the Ombudsperson for Human Rights have no competence to review sentences or any other court decisions adopted in criminal cases</w:t>
      </w:r>
      <w:r w:rsidR="003957BF">
        <w:rPr>
          <w:lang w:val="en-GB"/>
        </w:rPr>
        <w:t>.</w:t>
      </w:r>
      <w:r w:rsidR="003957BF">
        <w:rPr>
          <w:rStyle w:val="FootnoteReference"/>
          <w:lang w:val="en-GB"/>
        </w:rPr>
        <w:footnoteReference w:id="12"/>
      </w:r>
    </w:p>
    <w:p w14:paraId="453E5D25" w14:textId="77777777" w:rsidR="00DE005D" w:rsidRDefault="00DE005D" w:rsidP="00DE005D">
      <w:pPr>
        <w:pStyle w:val="SingleTxtG"/>
        <w:tabs>
          <w:tab w:val="left" w:pos="1701"/>
        </w:tabs>
        <w:rPr>
          <w:lang w:val="en-GB"/>
        </w:rPr>
      </w:pPr>
      <w:r>
        <w:rPr>
          <w:lang w:val="en-GB"/>
        </w:rPr>
        <w:t>7.7</w:t>
      </w:r>
      <w:r>
        <w:rPr>
          <w:lang w:val="en-GB"/>
        </w:rPr>
        <w:tab/>
        <w:t>T</w:t>
      </w:r>
      <w:r w:rsidRPr="00DE005D">
        <w:rPr>
          <w:lang w:val="en-GB"/>
        </w:rPr>
        <w:t xml:space="preserve">here is nothing in the submissions to suggest that the authors – who waited for </w:t>
      </w:r>
      <w:r w:rsidR="00ED1725">
        <w:rPr>
          <w:lang w:val="en-GB"/>
        </w:rPr>
        <w:t xml:space="preserve">some </w:t>
      </w:r>
      <w:r w:rsidR="00B82B44">
        <w:rPr>
          <w:lang w:val="en-GB"/>
        </w:rPr>
        <w:t xml:space="preserve">13 (see para. 2.4) and </w:t>
      </w:r>
      <w:r w:rsidR="00ED1725">
        <w:rPr>
          <w:lang w:val="en-GB"/>
        </w:rPr>
        <w:t>12</w:t>
      </w:r>
      <w:r w:rsidRPr="00DE005D">
        <w:rPr>
          <w:lang w:val="en-GB"/>
        </w:rPr>
        <w:t xml:space="preserve"> years</w:t>
      </w:r>
      <w:r w:rsidR="00B82B44">
        <w:rPr>
          <w:lang w:val="en-GB"/>
        </w:rPr>
        <w:t xml:space="preserve"> (see para. 2.8</w:t>
      </w:r>
      <w:r w:rsidR="00B37B28">
        <w:rPr>
          <w:lang w:val="en-GB"/>
        </w:rPr>
        <w:t>)</w:t>
      </w:r>
      <w:r w:rsidR="00B82B44">
        <w:rPr>
          <w:lang w:val="en-GB"/>
        </w:rPr>
        <w:t>, respecti</w:t>
      </w:r>
      <w:r w:rsidR="00B37B28">
        <w:rPr>
          <w:lang w:val="en-GB"/>
        </w:rPr>
        <w:t>v</w:t>
      </w:r>
      <w:r w:rsidR="00B82B44">
        <w:rPr>
          <w:lang w:val="en-GB"/>
        </w:rPr>
        <w:t>ely,</w:t>
      </w:r>
      <w:r w:rsidRPr="00DE005D">
        <w:rPr>
          <w:lang w:val="en-GB"/>
        </w:rPr>
        <w:t xml:space="preserve"> to challenge the alleged violations at the national level – demonstrated due diligence and initiative in pursuing their claims </w:t>
      </w:r>
      <w:r w:rsidRPr="00DE005D">
        <w:rPr>
          <w:lang w:val="en-GB"/>
        </w:rPr>
        <w:lastRenderedPageBreak/>
        <w:t xml:space="preserve">regarding the protection of their human rights. The Committee observes that the authors provide no persuasive explanation as to why they were unable to bring their claims before the domestic authorities during these lengthy periods. The claims about legal illiteracy </w:t>
      </w:r>
      <w:r>
        <w:rPr>
          <w:lang w:val="en-GB"/>
        </w:rPr>
        <w:t>or</w:t>
      </w:r>
      <w:r w:rsidRPr="00DE005D">
        <w:rPr>
          <w:lang w:val="en-GB"/>
        </w:rPr>
        <w:t xml:space="preserve"> lack of awareness of </w:t>
      </w:r>
      <w:r>
        <w:rPr>
          <w:lang w:val="en-GB"/>
        </w:rPr>
        <w:t>their</w:t>
      </w:r>
      <w:r w:rsidRPr="00DE005D">
        <w:rPr>
          <w:lang w:val="en-GB"/>
        </w:rPr>
        <w:t xml:space="preserve"> rights remain vague and general in nature. In this connection, the Committee observes that the author </w:t>
      </w:r>
      <w:r>
        <w:rPr>
          <w:lang w:val="en-GB"/>
        </w:rPr>
        <w:t xml:space="preserve">of communication No. 3136/2018 </w:t>
      </w:r>
      <w:r w:rsidRPr="00DE005D">
        <w:rPr>
          <w:lang w:val="en-GB"/>
        </w:rPr>
        <w:t>was able to prepare</w:t>
      </w:r>
      <w:r>
        <w:rPr>
          <w:lang w:val="en-GB"/>
        </w:rPr>
        <w:t>, without a lawyer,</w:t>
      </w:r>
      <w:r w:rsidRPr="00DE005D">
        <w:rPr>
          <w:lang w:val="en-GB"/>
        </w:rPr>
        <w:t xml:space="preserve"> a cassation appeal, and a supervisory review appeal to the Supreme Court</w:t>
      </w:r>
      <w:r>
        <w:rPr>
          <w:lang w:val="en-GB"/>
        </w:rPr>
        <w:t xml:space="preserve"> and to submit numerous complaints to various institutions</w:t>
      </w:r>
      <w:r w:rsidRPr="00DE005D">
        <w:rPr>
          <w:lang w:val="en-GB"/>
        </w:rPr>
        <w:t>.</w:t>
      </w:r>
      <w:r>
        <w:rPr>
          <w:lang w:val="en-GB"/>
        </w:rPr>
        <w:t xml:space="preserve"> The author of communication No. 3138/2018 was represented by counsel at each stage of the proceedings. </w:t>
      </w:r>
    </w:p>
    <w:p w14:paraId="04881E1A" w14:textId="77777777" w:rsidR="008B50C3" w:rsidRDefault="008B50C3" w:rsidP="008B50C3">
      <w:pPr>
        <w:pStyle w:val="SingleTxtG"/>
        <w:tabs>
          <w:tab w:val="left" w:pos="1701"/>
        </w:tabs>
        <w:rPr>
          <w:lang w:val="en-GB"/>
        </w:rPr>
      </w:pPr>
      <w:r>
        <w:rPr>
          <w:lang w:val="en-GB"/>
        </w:rPr>
        <w:t>7.8</w:t>
      </w:r>
      <w:r>
        <w:rPr>
          <w:lang w:val="en-GB"/>
        </w:rPr>
        <w:tab/>
      </w:r>
      <w:r w:rsidRPr="008B50C3">
        <w:rPr>
          <w:lang w:val="en-GB"/>
        </w:rPr>
        <w:t xml:space="preserve">The Committee thus considers that the authors have failed to provide convincing reasons to justify the lengthy delays in raising the alleged violations before the national authorities, and in the submission of their communications to the Committee. In the absence of any other information or explanation of pertinence in both files, the Committee considers that the two communications constitute an abuse of the right of submission and declares them inadmissible under article 3 of the Optional Protocol. </w:t>
      </w:r>
    </w:p>
    <w:p w14:paraId="74F76DC2" w14:textId="77777777" w:rsidR="008B50C3" w:rsidRDefault="008B50C3" w:rsidP="008B50C3">
      <w:pPr>
        <w:pStyle w:val="SingleTxtG"/>
        <w:tabs>
          <w:tab w:val="left" w:pos="1701"/>
        </w:tabs>
        <w:rPr>
          <w:lang w:val="en-GB"/>
        </w:rPr>
      </w:pPr>
      <w:r>
        <w:rPr>
          <w:lang w:val="en-GB"/>
        </w:rPr>
        <w:t>8</w:t>
      </w:r>
      <w:r w:rsidRPr="008B50C3">
        <w:rPr>
          <w:lang w:val="en-GB"/>
        </w:rPr>
        <w:t xml:space="preserve">. </w:t>
      </w:r>
      <w:r w:rsidR="00290538">
        <w:rPr>
          <w:lang w:val="en-GB"/>
        </w:rPr>
        <w:tab/>
      </w:r>
      <w:r w:rsidRPr="008B50C3">
        <w:rPr>
          <w:lang w:val="en-GB"/>
        </w:rPr>
        <w:t xml:space="preserve">The Committee therefore decides: </w:t>
      </w:r>
    </w:p>
    <w:p w14:paraId="533AB305" w14:textId="35C2B629" w:rsidR="008B50C3" w:rsidRDefault="00882B25" w:rsidP="00882B25">
      <w:pPr>
        <w:pStyle w:val="SingleTxtG"/>
        <w:rPr>
          <w:lang w:val="en-GB"/>
        </w:rPr>
      </w:pPr>
      <w:r>
        <w:rPr>
          <w:lang w:val="en-GB"/>
        </w:rPr>
        <w:tab/>
      </w:r>
      <w:r w:rsidR="00705CCD">
        <w:rPr>
          <w:lang w:val="en-GB"/>
        </w:rPr>
        <w:tab/>
      </w:r>
      <w:r w:rsidR="008B50C3" w:rsidRPr="008B50C3">
        <w:rPr>
          <w:lang w:val="en-GB"/>
        </w:rPr>
        <w:t>(a)</w:t>
      </w:r>
      <w:r w:rsidR="00290538">
        <w:rPr>
          <w:lang w:val="en-GB"/>
        </w:rPr>
        <w:tab/>
      </w:r>
      <w:r w:rsidR="008B50C3" w:rsidRPr="008B50C3">
        <w:rPr>
          <w:lang w:val="en-GB"/>
        </w:rPr>
        <w:t xml:space="preserve">That the communications are inadmissible under article 3 of the Optional Protocol; </w:t>
      </w:r>
    </w:p>
    <w:p w14:paraId="0DF2B74A" w14:textId="09D30C07" w:rsidR="008B50C3" w:rsidRDefault="00882B25" w:rsidP="00882B25">
      <w:pPr>
        <w:pStyle w:val="SingleTxtG"/>
        <w:rPr>
          <w:lang w:val="en-GB"/>
        </w:rPr>
      </w:pPr>
      <w:r>
        <w:rPr>
          <w:lang w:val="en-GB"/>
        </w:rPr>
        <w:tab/>
      </w:r>
      <w:r w:rsidR="00705CCD">
        <w:rPr>
          <w:lang w:val="en-GB"/>
        </w:rPr>
        <w:tab/>
      </w:r>
      <w:r w:rsidR="008B50C3" w:rsidRPr="008B50C3">
        <w:rPr>
          <w:lang w:val="en-GB"/>
        </w:rPr>
        <w:t>(b)</w:t>
      </w:r>
      <w:r>
        <w:rPr>
          <w:lang w:val="en-GB"/>
        </w:rPr>
        <w:tab/>
      </w:r>
      <w:r w:rsidR="008B50C3" w:rsidRPr="008B50C3">
        <w:rPr>
          <w:lang w:val="en-GB"/>
        </w:rPr>
        <w:t xml:space="preserve">That the present decision shall be communicated to the State </w:t>
      </w:r>
      <w:r w:rsidR="004B7C6B">
        <w:rPr>
          <w:lang w:val="en-GB"/>
        </w:rPr>
        <w:t>P</w:t>
      </w:r>
      <w:r w:rsidR="008B50C3" w:rsidRPr="008B50C3">
        <w:rPr>
          <w:lang w:val="en-GB"/>
        </w:rPr>
        <w:t>arty and to the authors</w:t>
      </w:r>
      <w:r w:rsidR="008B50C3">
        <w:rPr>
          <w:lang w:val="en-GB"/>
        </w:rPr>
        <w:t>.</w:t>
      </w:r>
    </w:p>
    <w:p w14:paraId="336E37A6" w14:textId="77777777" w:rsidR="002F7DCE" w:rsidRPr="002F7DCE" w:rsidRDefault="002F7DCE" w:rsidP="002F7DCE">
      <w:pPr>
        <w:pStyle w:val="SingleTxtG"/>
        <w:tabs>
          <w:tab w:val="left" w:pos="1701"/>
        </w:tabs>
        <w:spacing w:before="240" w:after="0"/>
        <w:ind w:left="0" w:right="0"/>
        <w:jc w:val="center"/>
        <w:rPr>
          <w:u w:val="single"/>
        </w:rPr>
      </w:pPr>
      <w:r>
        <w:rPr>
          <w:u w:val="single"/>
        </w:rPr>
        <w:tab/>
      </w:r>
      <w:r>
        <w:rPr>
          <w:u w:val="single"/>
        </w:rPr>
        <w:tab/>
      </w:r>
      <w:r>
        <w:rPr>
          <w:u w:val="single"/>
        </w:rPr>
        <w:tab/>
      </w:r>
    </w:p>
    <w:sectPr w:rsidR="002F7DCE" w:rsidRPr="002F7DCE" w:rsidSect="00290538">
      <w:headerReference w:type="even" r:id="rId12"/>
      <w:headerReference w:type="default" r:id="rId13"/>
      <w:footerReference w:type="even" r:id="rId14"/>
      <w:footerReference w:type="default" r:id="rId15"/>
      <w:headerReference w:type="first" r:id="rId16"/>
      <w:endnotePr>
        <w:numFmt w:val="decimal"/>
      </w:endnotePr>
      <w:pgSz w:w="11907" w:h="16840" w:code="9"/>
      <w:pgMar w:top="1418" w:right="1134" w:bottom="1134" w:left="1134" w:header="851"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C6775" w14:textId="77777777" w:rsidR="00792A67" w:rsidRDefault="00792A67"/>
  </w:endnote>
  <w:endnote w:type="continuationSeparator" w:id="0">
    <w:p w14:paraId="74BE8401" w14:textId="77777777" w:rsidR="00792A67" w:rsidRDefault="00792A67"/>
  </w:endnote>
  <w:endnote w:type="continuationNotice" w:id="1">
    <w:p w14:paraId="30ADD1CE" w14:textId="77777777" w:rsidR="00792A67" w:rsidRDefault="00792A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53FD6" w14:textId="77777777" w:rsidR="0053708C" w:rsidRPr="000B2AB3" w:rsidRDefault="0053708C" w:rsidP="000B2AB3">
    <w:pPr>
      <w:pStyle w:val="Footer"/>
      <w:tabs>
        <w:tab w:val="right" w:pos="9638"/>
      </w:tabs>
    </w:pPr>
    <w:r w:rsidRPr="000B2AB3">
      <w:rPr>
        <w:b/>
        <w:sz w:val="18"/>
      </w:rPr>
      <w:fldChar w:fldCharType="begin"/>
    </w:r>
    <w:r w:rsidRPr="000B2AB3">
      <w:rPr>
        <w:b/>
        <w:sz w:val="18"/>
      </w:rPr>
      <w:instrText xml:space="preserve"> PAGE  \* MERGEFORMAT </w:instrText>
    </w:r>
    <w:r w:rsidRPr="000B2AB3">
      <w:rPr>
        <w:b/>
        <w:sz w:val="18"/>
      </w:rPr>
      <w:fldChar w:fldCharType="separate"/>
    </w:r>
    <w:r w:rsidR="001F51C1">
      <w:rPr>
        <w:b/>
        <w:noProof/>
        <w:sz w:val="18"/>
      </w:rPr>
      <w:t>2</w:t>
    </w:r>
    <w:r w:rsidRPr="000B2AB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E0203" w14:textId="77777777" w:rsidR="0053708C" w:rsidRPr="000B2AB3" w:rsidRDefault="0053708C" w:rsidP="000B2AB3">
    <w:pPr>
      <w:pStyle w:val="Footer"/>
      <w:tabs>
        <w:tab w:val="right" w:pos="9638"/>
      </w:tabs>
      <w:rPr>
        <w:b/>
        <w:sz w:val="18"/>
      </w:rPr>
    </w:pPr>
    <w:r>
      <w:tab/>
    </w:r>
    <w:r w:rsidRPr="000B2AB3">
      <w:rPr>
        <w:b/>
        <w:sz w:val="18"/>
      </w:rPr>
      <w:fldChar w:fldCharType="begin"/>
    </w:r>
    <w:r w:rsidRPr="000B2AB3">
      <w:rPr>
        <w:b/>
        <w:sz w:val="18"/>
      </w:rPr>
      <w:instrText xml:space="preserve"> PAGE  \* MERGEFORMAT </w:instrText>
    </w:r>
    <w:r w:rsidRPr="000B2AB3">
      <w:rPr>
        <w:b/>
        <w:sz w:val="18"/>
      </w:rPr>
      <w:fldChar w:fldCharType="separate"/>
    </w:r>
    <w:r w:rsidR="001F51C1">
      <w:rPr>
        <w:b/>
        <w:noProof/>
        <w:sz w:val="18"/>
      </w:rPr>
      <w:t>3</w:t>
    </w:r>
    <w:r w:rsidRPr="000B2AB3">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0D10D" w14:textId="77777777" w:rsidR="00792A67" w:rsidRPr="000B175B" w:rsidRDefault="00792A67" w:rsidP="000B175B">
      <w:pPr>
        <w:tabs>
          <w:tab w:val="right" w:pos="2155"/>
        </w:tabs>
        <w:spacing w:after="80"/>
        <w:ind w:left="680"/>
        <w:rPr>
          <w:u w:val="single"/>
        </w:rPr>
      </w:pPr>
      <w:r>
        <w:rPr>
          <w:u w:val="single"/>
        </w:rPr>
        <w:tab/>
      </w:r>
    </w:p>
  </w:footnote>
  <w:footnote w:type="continuationSeparator" w:id="0">
    <w:p w14:paraId="74023273" w14:textId="77777777" w:rsidR="00792A67" w:rsidRPr="00FC68B7" w:rsidRDefault="00792A67" w:rsidP="00FC68B7">
      <w:pPr>
        <w:tabs>
          <w:tab w:val="left" w:pos="2155"/>
        </w:tabs>
        <w:spacing w:after="80"/>
        <w:ind w:left="680"/>
        <w:rPr>
          <w:u w:val="single"/>
        </w:rPr>
      </w:pPr>
      <w:r>
        <w:rPr>
          <w:u w:val="single"/>
        </w:rPr>
        <w:tab/>
      </w:r>
    </w:p>
  </w:footnote>
  <w:footnote w:type="continuationNotice" w:id="1">
    <w:p w14:paraId="715A24F8" w14:textId="77777777" w:rsidR="00792A67" w:rsidRDefault="00792A67"/>
  </w:footnote>
  <w:footnote w:id="2">
    <w:p w14:paraId="7FCE2C62" w14:textId="77777777" w:rsidR="005426CE" w:rsidRPr="005426CE" w:rsidRDefault="005426CE" w:rsidP="005426CE">
      <w:pPr>
        <w:pStyle w:val="FootnoteText"/>
      </w:pPr>
      <w:r w:rsidRPr="0069581E">
        <w:rPr>
          <w:rStyle w:val="FootnoteReference"/>
          <w:vertAlign w:val="baseline"/>
        </w:rPr>
        <w:tab/>
      </w:r>
      <w:r w:rsidRPr="0069581E">
        <w:rPr>
          <w:rStyle w:val="FootnoteReference"/>
          <w:sz w:val="20"/>
          <w:vertAlign w:val="baseline"/>
        </w:rPr>
        <w:t>*</w:t>
      </w:r>
      <w:r w:rsidRPr="0069581E">
        <w:rPr>
          <w:rStyle w:val="FootnoteReference"/>
          <w:sz w:val="20"/>
          <w:vertAlign w:val="baseline"/>
        </w:rPr>
        <w:tab/>
      </w:r>
      <w:r w:rsidRPr="005426CE">
        <w:t>Adopted by the Committee at its 144</w:t>
      </w:r>
      <w:r w:rsidRPr="0069581E">
        <w:t>th</w:t>
      </w:r>
      <w:r w:rsidRPr="005426CE">
        <w:t xml:space="preserve"> session(23 June-17 July 2025).</w:t>
      </w:r>
    </w:p>
  </w:footnote>
  <w:footnote w:id="3">
    <w:p w14:paraId="2389B147" w14:textId="77777777" w:rsidR="005426CE" w:rsidRPr="00DE3CDA" w:rsidRDefault="005426CE" w:rsidP="005426CE">
      <w:pPr>
        <w:pStyle w:val="FootnoteText"/>
      </w:pPr>
      <w:r w:rsidRPr="0069581E">
        <w:rPr>
          <w:rStyle w:val="FootnoteReference"/>
          <w:vertAlign w:val="baseline"/>
        </w:rPr>
        <w:tab/>
      </w:r>
      <w:r w:rsidRPr="0069581E">
        <w:rPr>
          <w:rStyle w:val="FootnoteReference"/>
          <w:sz w:val="20"/>
          <w:vertAlign w:val="baseline"/>
        </w:rPr>
        <w:t>**</w:t>
      </w:r>
      <w:r w:rsidRPr="0069581E">
        <w:rPr>
          <w:rStyle w:val="FootnoteReference"/>
          <w:sz w:val="20"/>
          <w:vertAlign w:val="baseline"/>
        </w:rPr>
        <w:tab/>
      </w:r>
      <w:r w:rsidRPr="005426CE">
        <w:t>The following members of the Committee participated in the examination of the present communication:</w:t>
      </w:r>
      <w:r w:rsidRPr="005426CE">
        <w:rPr>
          <w:bCs/>
        </w:rPr>
        <w:t xml:space="preserve"> </w:t>
      </w:r>
      <w:r w:rsidRPr="005426CE">
        <w:t xml:space="preserve">Wafaa Ashraf Moharram Bassim, Rodrigo A. Carazo, Yvonne Donders, Carlos Ramón Fernández Liesa, Laurence R. Helfer, Konstantin </w:t>
      </w:r>
      <w:proofErr w:type="spellStart"/>
      <w:r w:rsidRPr="005426CE">
        <w:t>Korkelia</w:t>
      </w:r>
      <w:proofErr w:type="spellEnd"/>
      <w:r w:rsidRPr="005426CE">
        <w:t xml:space="preserve">, Dalia </w:t>
      </w:r>
      <w:proofErr w:type="spellStart"/>
      <w:r w:rsidRPr="005426CE">
        <w:t>Leinart</w:t>
      </w:r>
      <w:r w:rsidRPr="005426CE">
        <w:rPr>
          <w:rFonts w:ascii="Cambria" w:hAnsi="Cambria" w:cs="Cambria"/>
        </w:rPr>
        <w:t>ė</w:t>
      </w:r>
      <w:proofErr w:type="spellEnd"/>
      <w:r w:rsidRPr="005426CE">
        <w:t xml:space="preserve">, Bacre Waly Ndiaye, Hernán Quezada Cabrera, Akmal </w:t>
      </w:r>
      <w:proofErr w:type="spellStart"/>
      <w:r w:rsidRPr="005426CE">
        <w:t>Kholmatovich</w:t>
      </w:r>
      <w:proofErr w:type="spellEnd"/>
      <w:r w:rsidRPr="005426CE">
        <w:t xml:space="preserve"> Saidov, Ivan </w:t>
      </w:r>
      <w:proofErr w:type="spellStart"/>
      <w:r w:rsidRPr="005426CE">
        <w:t>Šimonović</w:t>
      </w:r>
      <w:proofErr w:type="spellEnd"/>
      <w:r w:rsidRPr="005426CE">
        <w:t>, Soh Changrok, Teraya Koji, Hélène Tigroudja and Imeru Tamerat Yigezu</w:t>
      </w:r>
      <w:r>
        <w:t>.</w:t>
      </w:r>
    </w:p>
  </w:footnote>
  <w:footnote w:id="4">
    <w:p w14:paraId="6DB67364" w14:textId="77777777" w:rsidR="00804FAF" w:rsidRPr="00804FAF" w:rsidRDefault="00804FAF" w:rsidP="002F7DCE">
      <w:pPr>
        <w:pStyle w:val="FootnoteText"/>
        <w:rPr>
          <w:lang w:val="en-GB"/>
        </w:rPr>
      </w:pPr>
      <w:r>
        <w:tab/>
      </w:r>
      <w:r>
        <w:rPr>
          <w:rStyle w:val="FootnoteReference"/>
        </w:rPr>
        <w:footnoteRef/>
      </w:r>
      <w:r>
        <w:t xml:space="preserve"> </w:t>
      </w:r>
      <w:r w:rsidR="002F7DCE">
        <w:tab/>
      </w:r>
      <w:r w:rsidRPr="00804FAF">
        <w:rPr>
          <w:lang w:val="en-GB"/>
        </w:rPr>
        <w:t>T</w:t>
      </w:r>
      <w:r w:rsidRPr="009625D0">
        <w:rPr>
          <w:lang w:val="en-GB"/>
        </w:rPr>
        <w:t xml:space="preserve">he </w:t>
      </w:r>
      <w:r>
        <w:rPr>
          <w:lang w:val="en-GB"/>
        </w:rPr>
        <w:t xml:space="preserve">Prosecutor’s </w:t>
      </w:r>
      <w:r w:rsidR="00934D8B">
        <w:rPr>
          <w:lang w:val="en-GB"/>
        </w:rPr>
        <w:t>o</w:t>
      </w:r>
      <w:r>
        <w:rPr>
          <w:lang w:val="en-GB"/>
        </w:rPr>
        <w:t>ffice</w:t>
      </w:r>
      <w:r w:rsidR="00934D8B">
        <w:rPr>
          <w:lang w:val="en-GB"/>
        </w:rPr>
        <w:t xml:space="preserve"> and the courts</w:t>
      </w:r>
      <w:r>
        <w:rPr>
          <w:lang w:val="en-GB"/>
        </w:rPr>
        <w:t xml:space="preserve"> concluded that t</w:t>
      </w:r>
      <w:r w:rsidRPr="009625D0">
        <w:rPr>
          <w:lang w:val="en-GB"/>
        </w:rPr>
        <w:t xml:space="preserve">he court panel that rendered the judgment of 12 February 2001 was composed in accordance with the legislation in force at the time of trial. </w:t>
      </w:r>
      <w:r w:rsidR="00C93E47">
        <w:rPr>
          <w:lang w:val="en-GB"/>
        </w:rPr>
        <w:t xml:space="preserve">According to </w:t>
      </w:r>
      <w:r w:rsidR="00A1380F">
        <w:rPr>
          <w:lang w:val="en-GB"/>
        </w:rPr>
        <w:t xml:space="preserve">the </w:t>
      </w:r>
      <w:r w:rsidR="002373E8">
        <w:rPr>
          <w:lang w:val="en-GB"/>
        </w:rPr>
        <w:t>Supreme Court decision of 10 November 2016</w:t>
      </w:r>
      <w:r w:rsidR="00C93E47">
        <w:rPr>
          <w:lang w:val="en-GB"/>
        </w:rPr>
        <w:t>, t</w:t>
      </w:r>
      <w:r w:rsidRPr="009625D0">
        <w:rPr>
          <w:lang w:val="en-GB"/>
        </w:rPr>
        <w:t xml:space="preserve">he lay judge G. was entitled to participate in the </w:t>
      </w:r>
      <w:r w:rsidR="007E768F">
        <w:rPr>
          <w:lang w:val="en-GB"/>
        </w:rPr>
        <w:t>trial.</w:t>
      </w:r>
      <w:r w:rsidRPr="009625D0">
        <w:rPr>
          <w:lang w:val="en-GB"/>
        </w:rPr>
        <w:t xml:space="preserve"> </w:t>
      </w:r>
      <w:r w:rsidR="007E768F">
        <w:rPr>
          <w:lang w:val="en-GB"/>
        </w:rPr>
        <w:t>H</w:t>
      </w:r>
      <w:r w:rsidRPr="009625D0">
        <w:rPr>
          <w:lang w:val="en-GB"/>
        </w:rPr>
        <w:t>er legal term of office</w:t>
      </w:r>
      <w:r w:rsidR="002373E8">
        <w:rPr>
          <w:lang w:val="en-GB"/>
        </w:rPr>
        <w:t>, which started on 31 March 1990,</w:t>
      </w:r>
      <w:r w:rsidRPr="009625D0">
        <w:rPr>
          <w:lang w:val="en-GB"/>
        </w:rPr>
        <w:t xml:space="preserve"> had been extended by Presidential Decrees No. 2289 of 25 December 1993, No. 41 of 23 January 1997, and No. 10</w:t>
      </w:r>
      <w:r w:rsidR="00A1380F">
        <w:rPr>
          <w:lang w:val="en-GB"/>
        </w:rPr>
        <w:t>3</w:t>
      </w:r>
      <w:r w:rsidRPr="009625D0">
        <w:rPr>
          <w:lang w:val="en-GB"/>
        </w:rPr>
        <w:t xml:space="preserve"> of 25 January 2000.</w:t>
      </w:r>
    </w:p>
  </w:footnote>
  <w:footnote w:id="5">
    <w:p w14:paraId="0B75B479" w14:textId="77777777" w:rsidR="009C7106" w:rsidRPr="009C7106" w:rsidRDefault="009C7106" w:rsidP="002F7DCE">
      <w:pPr>
        <w:pStyle w:val="FootnoteText"/>
        <w:rPr>
          <w:lang w:val="en-US"/>
        </w:rPr>
      </w:pPr>
      <w:r>
        <w:tab/>
      </w:r>
      <w:r>
        <w:rPr>
          <w:rStyle w:val="FootnoteReference"/>
        </w:rPr>
        <w:footnoteRef/>
      </w:r>
      <w:r>
        <w:tab/>
        <w:t xml:space="preserve">Federal Law </w:t>
      </w:r>
      <w:r w:rsidRPr="009C7106">
        <w:rPr>
          <w:lang w:val="en-GB"/>
        </w:rPr>
        <w:t xml:space="preserve">on </w:t>
      </w:r>
      <w:r w:rsidR="00487DFB">
        <w:rPr>
          <w:lang w:val="en-GB"/>
        </w:rPr>
        <w:t>l</w:t>
      </w:r>
      <w:r>
        <w:rPr>
          <w:lang w:val="en-GB"/>
        </w:rPr>
        <w:t>ay</w:t>
      </w:r>
      <w:r w:rsidRPr="009C7106">
        <w:rPr>
          <w:lang w:val="en-GB"/>
        </w:rPr>
        <w:t xml:space="preserve"> </w:t>
      </w:r>
      <w:r w:rsidR="00487DFB" w:rsidRPr="002F7DCE">
        <w:t>j</w:t>
      </w:r>
      <w:r w:rsidRPr="002F7DCE">
        <w:t>udges</w:t>
      </w:r>
      <w:r w:rsidRPr="009C7106">
        <w:rPr>
          <w:lang w:val="en-GB"/>
        </w:rPr>
        <w:t xml:space="preserve"> of </w:t>
      </w:r>
      <w:r w:rsidR="00487DFB">
        <w:rPr>
          <w:lang w:val="en-GB"/>
        </w:rPr>
        <w:t>f</w:t>
      </w:r>
      <w:r w:rsidRPr="009C7106">
        <w:rPr>
          <w:lang w:val="en-GB"/>
        </w:rPr>
        <w:t xml:space="preserve">ederal </w:t>
      </w:r>
      <w:r w:rsidR="00487DFB">
        <w:rPr>
          <w:lang w:val="en-GB"/>
        </w:rPr>
        <w:t>c</w:t>
      </w:r>
      <w:r w:rsidRPr="009C7106">
        <w:rPr>
          <w:lang w:val="en-GB"/>
        </w:rPr>
        <w:t xml:space="preserve">ourts of </w:t>
      </w:r>
      <w:r w:rsidR="00487DFB">
        <w:rPr>
          <w:lang w:val="en-GB"/>
        </w:rPr>
        <w:t>g</w:t>
      </w:r>
      <w:r w:rsidRPr="009C7106">
        <w:rPr>
          <w:lang w:val="en-GB"/>
        </w:rPr>
        <w:t xml:space="preserve">eneral </w:t>
      </w:r>
      <w:r w:rsidR="00487DFB">
        <w:rPr>
          <w:lang w:val="en-GB"/>
        </w:rPr>
        <w:t>j</w:t>
      </w:r>
      <w:r w:rsidRPr="009C7106">
        <w:rPr>
          <w:lang w:val="en-GB"/>
        </w:rPr>
        <w:t>urisdiction in the Russian Federation</w:t>
      </w:r>
      <w:r>
        <w:rPr>
          <w:lang w:val="en-GB"/>
        </w:rPr>
        <w:t xml:space="preserve"> of 2 January 2000, No. 37-FZ</w:t>
      </w:r>
      <w:r w:rsidRPr="009C7106">
        <w:rPr>
          <w:lang w:val="en-GB"/>
        </w:rPr>
        <w:t>.</w:t>
      </w:r>
      <w:r>
        <w:t xml:space="preserve"> </w:t>
      </w:r>
    </w:p>
  </w:footnote>
  <w:footnote w:id="6">
    <w:p w14:paraId="3BDB1660" w14:textId="77777777" w:rsidR="00CC4E6B" w:rsidRPr="00CC4E6B" w:rsidRDefault="00CC4E6B" w:rsidP="00CC4E6B">
      <w:pPr>
        <w:pStyle w:val="FootnoteText"/>
        <w:rPr>
          <w:lang w:val="en-US"/>
        </w:rPr>
      </w:pPr>
      <w:r>
        <w:tab/>
      </w:r>
      <w:r>
        <w:rPr>
          <w:rStyle w:val="FootnoteReference"/>
        </w:rPr>
        <w:footnoteRef/>
      </w:r>
      <w:r>
        <w:tab/>
      </w:r>
      <w:proofErr w:type="spellStart"/>
      <w:r w:rsidRPr="00CC4E6B">
        <w:rPr>
          <w:i/>
          <w:iCs/>
        </w:rPr>
        <w:t>P</w:t>
      </w:r>
      <w:r w:rsidRPr="00CC4E6B">
        <w:rPr>
          <w:i/>
          <w:iCs/>
          <w:lang w:val="en-GB"/>
        </w:rPr>
        <w:t>olacková</w:t>
      </w:r>
      <w:proofErr w:type="spellEnd"/>
      <w:r w:rsidRPr="00CC4E6B">
        <w:rPr>
          <w:i/>
          <w:iCs/>
          <w:lang w:val="en-GB"/>
        </w:rPr>
        <w:t xml:space="preserve"> and Polacek v. Czech Republic</w:t>
      </w:r>
      <w:r w:rsidRPr="00CC4E6B">
        <w:rPr>
          <w:lang w:val="en-GB"/>
        </w:rPr>
        <w:t xml:space="preserve"> (CCPR/C/90/D/1445/2006), para. 6.3; </w:t>
      </w:r>
      <w:r w:rsidRPr="00CC4E6B">
        <w:rPr>
          <w:i/>
          <w:iCs/>
          <w:lang w:val="en-GB"/>
        </w:rPr>
        <w:t>D.S. v. Russian Federation</w:t>
      </w:r>
      <w:r w:rsidRPr="00CC4E6B">
        <w:rPr>
          <w:lang w:val="en-GB"/>
        </w:rPr>
        <w:t xml:space="preserve"> (CCPR/C/120/D/2705/2015), para. 6.4</w:t>
      </w:r>
      <w:r>
        <w:rPr>
          <w:lang w:val="en-GB"/>
        </w:rPr>
        <w:t xml:space="preserve">, and </w:t>
      </w:r>
      <w:r>
        <w:rPr>
          <w:i/>
          <w:iCs/>
          <w:lang w:val="en-GB"/>
        </w:rPr>
        <w:t xml:space="preserve">A.K. and M.K. v. Russian Federation </w:t>
      </w:r>
      <w:r>
        <w:rPr>
          <w:lang w:val="en-GB"/>
        </w:rPr>
        <w:t>(CCPR/C/138/D/2895/2016 and CCPR/C/138/D/2896/2016), para. 6.6.</w:t>
      </w:r>
    </w:p>
  </w:footnote>
  <w:footnote w:id="7">
    <w:p w14:paraId="5EF62848" w14:textId="77777777" w:rsidR="00CC4E6B" w:rsidRPr="0069581E" w:rsidRDefault="00CC4E6B" w:rsidP="00CC4E6B">
      <w:pPr>
        <w:pStyle w:val="FootnoteText"/>
        <w:rPr>
          <w:lang w:val="en-GB"/>
        </w:rPr>
      </w:pPr>
      <w:r>
        <w:tab/>
      </w:r>
      <w:r>
        <w:rPr>
          <w:rStyle w:val="FootnoteReference"/>
        </w:rPr>
        <w:footnoteRef/>
      </w:r>
      <w:r>
        <w:tab/>
      </w:r>
      <w:r w:rsidRPr="00CC4E6B">
        <w:rPr>
          <w:i/>
          <w:iCs/>
        </w:rPr>
        <w:t>G</w:t>
      </w:r>
      <w:r w:rsidRPr="0069581E">
        <w:rPr>
          <w:i/>
          <w:iCs/>
          <w:lang w:val="en-GB"/>
        </w:rPr>
        <w:t>obin v. Mauritius</w:t>
      </w:r>
      <w:r w:rsidRPr="0069581E">
        <w:rPr>
          <w:lang w:val="en-GB"/>
        </w:rPr>
        <w:t xml:space="preserve"> (CCPR/C/72/D/787/1997), para. </w:t>
      </w:r>
      <w:r w:rsidRPr="00CC4E6B">
        <w:rPr>
          <w:lang w:val="en-US"/>
        </w:rPr>
        <w:t xml:space="preserve">6.3, </w:t>
      </w:r>
      <w:r>
        <w:rPr>
          <w:i/>
          <w:iCs/>
          <w:lang w:val="en-GB"/>
        </w:rPr>
        <w:t xml:space="preserve">A.K. and M.K. v. Russian Federation </w:t>
      </w:r>
      <w:r>
        <w:rPr>
          <w:lang w:val="en-GB"/>
        </w:rPr>
        <w:t>(CCPR/C/138/D/2895/2016 and CCPR/C/138/D/2896/2016), para. 6.6</w:t>
      </w:r>
      <w:r w:rsidRPr="0069581E">
        <w:rPr>
          <w:lang w:val="en-GB"/>
        </w:rPr>
        <w:t xml:space="preserve">. </w:t>
      </w:r>
      <w:r>
        <w:t xml:space="preserve"> </w:t>
      </w:r>
    </w:p>
  </w:footnote>
  <w:footnote w:id="8">
    <w:p w14:paraId="24742FF8" w14:textId="77777777" w:rsidR="00CC4E6B" w:rsidRPr="00CC4E6B" w:rsidRDefault="00CC4E6B" w:rsidP="00CC4E6B">
      <w:pPr>
        <w:pStyle w:val="FootnoteText"/>
        <w:rPr>
          <w:lang w:val="en-US"/>
        </w:rPr>
      </w:pPr>
      <w:r>
        <w:tab/>
      </w:r>
      <w:r>
        <w:rPr>
          <w:rStyle w:val="FootnoteReference"/>
        </w:rPr>
        <w:footnoteRef/>
      </w:r>
      <w:r>
        <w:tab/>
      </w:r>
      <w:r w:rsidRPr="00CC4E6B">
        <w:rPr>
          <w:lang w:val="en-GB"/>
        </w:rPr>
        <w:t>See CCPR/C/3/Rev.12 (of 4 January 2021). At the time of submission of the communications, the same rule was enshrined in rule 96 (c) of the rules of procedure.</w:t>
      </w:r>
      <w:r>
        <w:t xml:space="preserve"> </w:t>
      </w:r>
    </w:p>
  </w:footnote>
  <w:footnote w:id="9">
    <w:p w14:paraId="18610075" w14:textId="77777777" w:rsidR="00CC4E6B" w:rsidRPr="00CC4E6B" w:rsidRDefault="00CC4E6B" w:rsidP="00CC4E6B">
      <w:pPr>
        <w:pStyle w:val="FootnoteText"/>
        <w:rPr>
          <w:lang w:val="en-US"/>
        </w:rPr>
      </w:pPr>
      <w:r>
        <w:tab/>
      </w:r>
      <w:r>
        <w:rPr>
          <w:rStyle w:val="FootnoteReference"/>
        </w:rPr>
        <w:footnoteRef/>
      </w:r>
      <w:r>
        <w:tab/>
        <w:t>S</w:t>
      </w:r>
      <w:r w:rsidRPr="00CC4E6B">
        <w:rPr>
          <w:lang w:val="en-GB"/>
        </w:rPr>
        <w:t>ee CCPR/C/3/Rev.10 (of 1 January 2012).</w:t>
      </w:r>
      <w:r>
        <w:t xml:space="preserve"> </w:t>
      </w:r>
    </w:p>
  </w:footnote>
  <w:footnote w:id="10">
    <w:p w14:paraId="5C5B474B" w14:textId="77777777" w:rsidR="002D3EE0" w:rsidRPr="002D3EE0" w:rsidRDefault="002D3EE0" w:rsidP="002D3EE0">
      <w:pPr>
        <w:pStyle w:val="FootnoteText"/>
        <w:rPr>
          <w:lang w:val="en-US"/>
        </w:rPr>
      </w:pPr>
      <w:r>
        <w:tab/>
      </w:r>
      <w:r>
        <w:rPr>
          <w:rStyle w:val="FootnoteReference"/>
        </w:rPr>
        <w:footnoteRef/>
      </w:r>
      <w:r>
        <w:tab/>
      </w:r>
      <w:r w:rsidRPr="002D3EE0">
        <w:rPr>
          <w:i/>
          <w:iCs/>
        </w:rPr>
        <w:t>M</w:t>
      </w:r>
      <w:r w:rsidRPr="002D3EE0">
        <w:rPr>
          <w:i/>
          <w:iCs/>
          <w:lang w:val="en-GB"/>
        </w:rPr>
        <w:t>.R. v. Russian Federation</w:t>
      </w:r>
      <w:r w:rsidRPr="002D3EE0">
        <w:rPr>
          <w:lang w:val="en-GB"/>
        </w:rPr>
        <w:t xml:space="preserve"> (CCPR/C/129/D/2427/2014), para. 8.6</w:t>
      </w:r>
      <w:r>
        <w:rPr>
          <w:lang w:val="en-GB"/>
        </w:rPr>
        <w:t xml:space="preserve">, </w:t>
      </w:r>
      <w:r>
        <w:rPr>
          <w:i/>
          <w:iCs/>
          <w:lang w:val="en-GB"/>
        </w:rPr>
        <w:t xml:space="preserve">A.K. and M.K. v. Russian Federation </w:t>
      </w:r>
      <w:r>
        <w:rPr>
          <w:lang w:val="en-GB"/>
        </w:rPr>
        <w:t>(CCPR/C/138/D/2895/2016 and CCPR/C/138/D/2896/2016), para. 6.7</w:t>
      </w:r>
      <w:r w:rsidRPr="0069581E">
        <w:rPr>
          <w:lang w:val="en-GB"/>
        </w:rPr>
        <w:t xml:space="preserve">. </w:t>
      </w:r>
      <w:r>
        <w:t xml:space="preserve"> </w:t>
      </w:r>
    </w:p>
  </w:footnote>
  <w:footnote w:id="11">
    <w:p w14:paraId="678C6970" w14:textId="77777777" w:rsidR="00B82B44" w:rsidRPr="00B37B28" w:rsidRDefault="00B82B44">
      <w:pPr>
        <w:pStyle w:val="FootnoteText"/>
        <w:rPr>
          <w:lang w:val="en-US"/>
        </w:rPr>
      </w:pPr>
      <w:r>
        <w:tab/>
      </w:r>
      <w:r>
        <w:rPr>
          <w:rStyle w:val="FootnoteReference"/>
        </w:rPr>
        <w:footnoteRef/>
      </w:r>
      <w:r>
        <w:tab/>
        <w:t xml:space="preserve"> </w:t>
      </w:r>
      <w:r w:rsidRPr="003957BF">
        <w:rPr>
          <w:i/>
          <w:iCs/>
          <w:lang w:val="en-GB"/>
        </w:rPr>
        <w:t>O.D. v. Russian Federation</w:t>
      </w:r>
      <w:r w:rsidRPr="003957BF">
        <w:rPr>
          <w:lang w:val="en-GB"/>
        </w:rPr>
        <w:t xml:space="preserve"> (CCPR/C/131/D/2578/2015), para. 10.4.</w:t>
      </w:r>
      <w:r>
        <w:t xml:space="preserve">, </w:t>
      </w:r>
      <w:r>
        <w:rPr>
          <w:i/>
          <w:iCs/>
          <w:lang w:val="en-GB"/>
        </w:rPr>
        <w:t xml:space="preserve">A.K. and M.K. v. Russian Federation </w:t>
      </w:r>
      <w:r>
        <w:rPr>
          <w:lang w:val="en-GB"/>
        </w:rPr>
        <w:t>(CCPR/C/138/D/2895/2016 and CCPR/C/138/D/2896/2016), para. 6.8</w:t>
      </w:r>
      <w:r w:rsidRPr="00CC4E6B">
        <w:rPr>
          <w:lang w:val="es-ES"/>
        </w:rPr>
        <w:t xml:space="preserve">. </w:t>
      </w:r>
      <w:r>
        <w:t xml:space="preserve"> </w:t>
      </w:r>
    </w:p>
  </w:footnote>
  <w:footnote w:id="12">
    <w:p w14:paraId="10B5CE20" w14:textId="77777777" w:rsidR="003957BF" w:rsidRPr="003957BF" w:rsidRDefault="003957BF" w:rsidP="003957BF">
      <w:pPr>
        <w:pStyle w:val="FootnoteText"/>
        <w:rPr>
          <w:lang w:val="en-US"/>
        </w:rPr>
      </w:pPr>
      <w:r>
        <w:tab/>
      </w:r>
      <w:r>
        <w:rPr>
          <w:rStyle w:val="FootnoteReference"/>
        </w:rPr>
        <w:footnoteRef/>
      </w:r>
      <w:r>
        <w:tab/>
      </w:r>
      <w:r w:rsidR="00B82B44">
        <w:rPr>
          <w:i/>
          <w:iCs/>
          <w:lang w:val="en-GB"/>
        </w:rPr>
        <w:t>Ibid</w:t>
      </w:r>
      <w:r w:rsidRPr="00CC4E6B">
        <w:rPr>
          <w:lang w:val="es-ES"/>
        </w:rPr>
        <w:t xml:space="preserve">. </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6CD35" w14:textId="00B6F86D" w:rsidR="0053708C" w:rsidRDefault="0053708C">
    <w:pPr>
      <w:pStyle w:val="Header"/>
    </w:pPr>
    <w:r>
      <w:t>CCPR/C/1</w:t>
    </w:r>
    <w:r w:rsidR="00122C8A">
      <w:t>4</w:t>
    </w:r>
    <w:r w:rsidR="00BE3727">
      <w:t>4</w:t>
    </w:r>
    <w:r>
      <w:t>/D/</w:t>
    </w:r>
    <w:r w:rsidR="00B33E34">
      <w:t>3136</w:t>
    </w:r>
    <w:r>
      <w:t>/201</w:t>
    </w:r>
    <w:r w:rsidR="00B33E34">
      <w:t>8</w:t>
    </w:r>
  </w:p>
  <w:p w14:paraId="4F6B32C9" w14:textId="06650F65" w:rsidR="00B33E34" w:rsidRPr="000B2AB3" w:rsidRDefault="00B33E34">
    <w:pPr>
      <w:pStyle w:val="Header"/>
    </w:pPr>
    <w:r>
      <w:t>CCPR/C/144/D/3138/2018</w:t>
    </w:r>
    <w:r w:rsidR="008F04FD" w:rsidRPr="008F04FD">
      <w:t xml:space="preserve"> 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12EFA" w14:textId="6E0C4618" w:rsidR="0053708C" w:rsidRDefault="0053708C" w:rsidP="000B2AB3">
    <w:pPr>
      <w:pStyle w:val="Header"/>
      <w:jc w:val="right"/>
    </w:pPr>
    <w:r>
      <w:t>C</w:t>
    </w:r>
    <w:r w:rsidR="00B33E34">
      <w:t>CPR/C/144/D/3136/2018</w:t>
    </w:r>
  </w:p>
  <w:p w14:paraId="7663F13A" w14:textId="67E9F917" w:rsidR="00B33E34" w:rsidRPr="000B2AB3" w:rsidRDefault="008F04FD" w:rsidP="000B2AB3">
    <w:pPr>
      <w:pStyle w:val="Header"/>
      <w:jc w:val="right"/>
    </w:pPr>
    <w:r w:rsidRPr="008F04FD">
      <w:t xml:space="preserve">Advance unedited version </w:t>
    </w:r>
    <w:r w:rsidR="00B33E34">
      <w:t>CCPR/C/144/D/3138/2018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BA2C8" w14:textId="77777777" w:rsidR="001F51C1" w:rsidRDefault="001F51C1" w:rsidP="00290538">
    <w:pPr>
      <w:pStyle w:val="Header"/>
      <w:pBdr>
        <w:bottom w:val="none" w:sz="0" w:space="0" w:color="auto"/>
      </w:pBdr>
      <w:tabs>
        <w:tab w:val="left" w:pos="83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AA35D0"/>
    <w:multiLevelType w:val="hybridMultilevel"/>
    <w:tmpl w:val="75F4AA66"/>
    <w:lvl w:ilvl="0" w:tplc="61E061E2">
      <w:start w:val="1"/>
      <w:numFmt w:val="lowerLetter"/>
      <w:lvlText w:val="(%1)"/>
      <w:lvlJc w:val="left"/>
      <w:pPr>
        <w:ind w:left="570" w:hanging="57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281958013">
    <w:abstractNumId w:val="0"/>
  </w:num>
  <w:num w:numId="2" w16cid:durableId="385959657">
    <w:abstractNumId w:val="2"/>
  </w:num>
  <w:num w:numId="3" w16cid:durableId="716317450">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5" w:nlCheck="1" w:checkStyle="1"/>
  <w:activeWritingStyle w:appName="MSWord" w:lang="en-GB" w:vendorID="64" w:dllVersion="6" w:nlCheck="1" w:checkStyle="0"/>
  <w:activeWritingStyle w:appName="MSWord" w:lang="en-US" w:vendorID="64" w:dllVersion="6" w:nlCheck="1" w:checkStyle="0"/>
  <w:activeWritingStyle w:appName="MSWord" w:lang="fr-FR" w:vendorID="64" w:dllVersion="6" w:nlCheck="1" w:checkStyle="1"/>
  <w:activeWritingStyle w:appName="MSWord" w:lang="es-ES"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activeWritingStyle w:appName="MSWord" w:lang="ru-RU" w:vendorID="64" w:dllVersion="0" w:nlCheck="1" w:checkStyle="0"/>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78"/>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397"/>
    <w:rsid w:val="00002309"/>
    <w:rsid w:val="0000256F"/>
    <w:rsid w:val="00006B97"/>
    <w:rsid w:val="0000755D"/>
    <w:rsid w:val="00011171"/>
    <w:rsid w:val="00012BD6"/>
    <w:rsid w:val="00013F19"/>
    <w:rsid w:val="000141E4"/>
    <w:rsid w:val="000208B8"/>
    <w:rsid w:val="000212F9"/>
    <w:rsid w:val="0002162A"/>
    <w:rsid w:val="000238EA"/>
    <w:rsid w:val="00024673"/>
    <w:rsid w:val="0002553F"/>
    <w:rsid w:val="000272B3"/>
    <w:rsid w:val="0003163D"/>
    <w:rsid w:val="0003201C"/>
    <w:rsid w:val="000320B0"/>
    <w:rsid w:val="00033A32"/>
    <w:rsid w:val="00033C5B"/>
    <w:rsid w:val="000342D5"/>
    <w:rsid w:val="00034D68"/>
    <w:rsid w:val="00036A60"/>
    <w:rsid w:val="00042881"/>
    <w:rsid w:val="0004334A"/>
    <w:rsid w:val="00044977"/>
    <w:rsid w:val="000472A0"/>
    <w:rsid w:val="000504D1"/>
    <w:rsid w:val="00050F6B"/>
    <w:rsid w:val="00052A44"/>
    <w:rsid w:val="0005706D"/>
    <w:rsid w:val="00057E97"/>
    <w:rsid w:val="00060C3A"/>
    <w:rsid w:val="0006113E"/>
    <w:rsid w:val="000636E5"/>
    <w:rsid w:val="000656BC"/>
    <w:rsid w:val="000674DF"/>
    <w:rsid w:val="000679C1"/>
    <w:rsid w:val="000721B5"/>
    <w:rsid w:val="00072C8C"/>
    <w:rsid w:val="00073276"/>
    <w:rsid w:val="000733B5"/>
    <w:rsid w:val="00073C97"/>
    <w:rsid w:val="0007413F"/>
    <w:rsid w:val="000761BA"/>
    <w:rsid w:val="000768D2"/>
    <w:rsid w:val="00076EFA"/>
    <w:rsid w:val="00077E97"/>
    <w:rsid w:val="000801C7"/>
    <w:rsid w:val="00081815"/>
    <w:rsid w:val="000845A7"/>
    <w:rsid w:val="00084B63"/>
    <w:rsid w:val="00086313"/>
    <w:rsid w:val="000931C0"/>
    <w:rsid w:val="00093816"/>
    <w:rsid w:val="000947DF"/>
    <w:rsid w:val="000951F4"/>
    <w:rsid w:val="000A10E2"/>
    <w:rsid w:val="000A27A7"/>
    <w:rsid w:val="000A286E"/>
    <w:rsid w:val="000A3D4F"/>
    <w:rsid w:val="000A45F4"/>
    <w:rsid w:val="000A6190"/>
    <w:rsid w:val="000A639C"/>
    <w:rsid w:val="000A6DA7"/>
    <w:rsid w:val="000B175B"/>
    <w:rsid w:val="000B2AB3"/>
    <w:rsid w:val="000B37C0"/>
    <w:rsid w:val="000B38A7"/>
    <w:rsid w:val="000B3A0F"/>
    <w:rsid w:val="000B4589"/>
    <w:rsid w:val="000B4EF7"/>
    <w:rsid w:val="000B68CC"/>
    <w:rsid w:val="000C2C03"/>
    <w:rsid w:val="000C2D2E"/>
    <w:rsid w:val="000C3304"/>
    <w:rsid w:val="000C6D8B"/>
    <w:rsid w:val="000C7C4C"/>
    <w:rsid w:val="000D0D9A"/>
    <w:rsid w:val="000D2F68"/>
    <w:rsid w:val="000D38ED"/>
    <w:rsid w:val="000D69A0"/>
    <w:rsid w:val="000E0415"/>
    <w:rsid w:val="000E06DB"/>
    <w:rsid w:val="000E110E"/>
    <w:rsid w:val="000E1FE1"/>
    <w:rsid w:val="000E3112"/>
    <w:rsid w:val="000E471F"/>
    <w:rsid w:val="000E5F16"/>
    <w:rsid w:val="000E6FBB"/>
    <w:rsid w:val="000F0B61"/>
    <w:rsid w:val="000F1C17"/>
    <w:rsid w:val="000F38DA"/>
    <w:rsid w:val="000F7164"/>
    <w:rsid w:val="0010272C"/>
    <w:rsid w:val="00103EA0"/>
    <w:rsid w:val="00103F43"/>
    <w:rsid w:val="00106915"/>
    <w:rsid w:val="00107118"/>
    <w:rsid w:val="001103AA"/>
    <w:rsid w:val="001157E2"/>
    <w:rsid w:val="00117019"/>
    <w:rsid w:val="00120A8A"/>
    <w:rsid w:val="00120F3D"/>
    <w:rsid w:val="00122C8A"/>
    <w:rsid w:val="00125BF4"/>
    <w:rsid w:val="001302BC"/>
    <w:rsid w:val="001305F0"/>
    <w:rsid w:val="00131F5F"/>
    <w:rsid w:val="00133362"/>
    <w:rsid w:val="001333BA"/>
    <w:rsid w:val="00133465"/>
    <w:rsid w:val="00133A95"/>
    <w:rsid w:val="00134E7E"/>
    <w:rsid w:val="00136A7B"/>
    <w:rsid w:val="00136E8D"/>
    <w:rsid w:val="00137E6C"/>
    <w:rsid w:val="0014283B"/>
    <w:rsid w:val="00142BA2"/>
    <w:rsid w:val="00142C69"/>
    <w:rsid w:val="001431D7"/>
    <w:rsid w:val="00143672"/>
    <w:rsid w:val="00143A26"/>
    <w:rsid w:val="001440F3"/>
    <w:rsid w:val="00144EBE"/>
    <w:rsid w:val="0014528C"/>
    <w:rsid w:val="00147410"/>
    <w:rsid w:val="00147AAF"/>
    <w:rsid w:val="00153077"/>
    <w:rsid w:val="00155677"/>
    <w:rsid w:val="00156E0D"/>
    <w:rsid w:val="00157E30"/>
    <w:rsid w:val="00161920"/>
    <w:rsid w:val="00161DBF"/>
    <w:rsid w:val="00163037"/>
    <w:rsid w:val="00164F02"/>
    <w:rsid w:val="00165F3A"/>
    <w:rsid w:val="00166B88"/>
    <w:rsid w:val="00167557"/>
    <w:rsid w:val="0017327D"/>
    <w:rsid w:val="001745A3"/>
    <w:rsid w:val="00174B7A"/>
    <w:rsid w:val="00174FF8"/>
    <w:rsid w:val="001757DE"/>
    <w:rsid w:val="00175864"/>
    <w:rsid w:val="00177F6A"/>
    <w:rsid w:val="001830E4"/>
    <w:rsid w:val="001834FA"/>
    <w:rsid w:val="00183968"/>
    <w:rsid w:val="00184816"/>
    <w:rsid w:val="0018743D"/>
    <w:rsid w:val="00194564"/>
    <w:rsid w:val="00194951"/>
    <w:rsid w:val="00194D8C"/>
    <w:rsid w:val="00194E98"/>
    <w:rsid w:val="00194FF7"/>
    <w:rsid w:val="00195543"/>
    <w:rsid w:val="00196052"/>
    <w:rsid w:val="0019636F"/>
    <w:rsid w:val="00196E97"/>
    <w:rsid w:val="001A0207"/>
    <w:rsid w:val="001A04D4"/>
    <w:rsid w:val="001A2E8B"/>
    <w:rsid w:val="001A3D0D"/>
    <w:rsid w:val="001A4971"/>
    <w:rsid w:val="001A5DBC"/>
    <w:rsid w:val="001A5E19"/>
    <w:rsid w:val="001A6686"/>
    <w:rsid w:val="001B0501"/>
    <w:rsid w:val="001B0A17"/>
    <w:rsid w:val="001B1072"/>
    <w:rsid w:val="001B1759"/>
    <w:rsid w:val="001B197E"/>
    <w:rsid w:val="001B2280"/>
    <w:rsid w:val="001B370E"/>
    <w:rsid w:val="001B4B04"/>
    <w:rsid w:val="001B6E32"/>
    <w:rsid w:val="001C19C5"/>
    <w:rsid w:val="001C2913"/>
    <w:rsid w:val="001C372A"/>
    <w:rsid w:val="001C4251"/>
    <w:rsid w:val="001C4BC6"/>
    <w:rsid w:val="001C6663"/>
    <w:rsid w:val="001C7895"/>
    <w:rsid w:val="001C7CAD"/>
    <w:rsid w:val="001D0C8C"/>
    <w:rsid w:val="001D0DC0"/>
    <w:rsid w:val="001D0E56"/>
    <w:rsid w:val="001D2696"/>
    <w:rsid w:val="001D26DF"/>
    <w:rsid w:val="001D38A2"/>
    <w:rsid w:val="001D3A03"/>
    <w:rsid w:val="001D4635"/>
    <w:rsid w:val="001D538F"/>
    <w:rsid w:val="001D6A7E"/>
    <w:rsid w:val="001D7DCB"/>
    <w:rsid w:val="001E0607"/>
    <w:rsid w:val="001E1CAF"/>
    <w:rsid w:val="001E310C"/>
    <w:rsid w:val="001E3232"/>
    <w:rsid w:val="001E4045"/>
    <w:rsid w:val="001E7CC8"/>
    <w:rsid w:val="001F1D05"/>
    <w:rsid w:val="001F51C1"/>
    <w:rsid w:val="001F5756"/>
    <w:rsid w:val="001F6DBA"/>
    <w:rsid w:val="002002C9"/>
    <w:rsid w:val="002023E3"/>
    <w:rsid w:val="00202430"/>
    <w:rsid w:val="00202DA8"/>
    <w:rsid w:val="002035BE"/>
    <w:rsid w:val="002042FB"/>
    <w:rsid w:val="00205043"/>
    <w:rsid w:val="00205054"/>
    <w:rsid w:val="002061BC"/>
    <w:rsid w:val="00210989"/>
    <w:rsid w:val="00210E49"/>
    <w:rsid w:val="0021151E"/>
    <w:rsid w:val="00211E0B"/>
    <w:rsid w:val="00213E3F"/>
    <w:rsid w:val="00216948"/>
    <w:rsid w:val="00217124"/>
    <w:rsid w:val="00222277"/>
    <w:rsid w:val="00222F95"/>
    <w:rsid w:val="00223899"/>
    <w:rsid w:val="002239A4"/>
    <w:rsid w:val="002243A3"/>
    <w:rsid w:val="002246EF"/>
    <w:rsid w:val="00224FB9"/>
    <w:rsid w:val="00227823"/>
    <w:rsid w:val="00227DAB"/>
    <w:rsid w:val="002303DF"/>
    <w:rsid w:val="0023210C"/>
    <w:rsid w:val="002329C7"/>
    <w:rsid w:val="00234259"/>
    <w:rsid w:val="002354AB"/>
    <w:rsid w:val="00235909"/>
    <w:rsid w:val="002366A2"/>
    <w:rsid w:val="002368EF"/>
    <w:rsid w:val="002373E8"/>
    <w:rsid w:val="00237A25"/>
    <w:rsid w:val="0024185F"/>
    <w:rsid w:val="00243110"/>
    <w:rsid w:val="002432AA"/>
    <w:rsid w:val="0024350B"/>
    <w:rsid w:val="00243632"/>
    <w:rsid w:val="00244ED5"/>
    <w:rsid w:val="00246EBD"/>
    <w:rsid w:val="00251AB6"/>
    <w:rsid w:val="0025391B"/>
    <w:rsid w:val="00256C79"/>
    <w:rsid w:val="002647F5"/>
    <w:rsid w:val="0026587E"/>
    <w:rsid w:val="00265C4A"/>
    <w:rsid w:val="00267F5F"/>
    <w:rsid w:val="00271EB5"/>
    <w:rsid w:val="00273DF4"/>
    <w:rsid w:val="00274E7F"/>
    <w:rsid w:val="002757A5"/>
    <w:rsid w:val="00283725"/>
    <w:rsid w:val="00285068"/>
    <w:rsid w:val="002854DA"/>
    <w:rsid w:val="00286084"/>
    <w:rsid w:val="00286B4D"/>
    <w:rsid w:val="00286B53"/>
    <w:rsid w:val="0029048D"/>
    <w:rsid w:val="00290538"/>
    <w:rsid w:val="002958B5"/>
    <w:rsid w:val="00297A74"/>
    <w:rsid w:val="002A17DC"/>
    <w:rsid w:val="002A64A0"/>
    <w:rsid w:val="002A6837"/>
    <w:rsid w:val="002A797A"/>
    <w:rsid w:val="002B2D49"/>
    <w:rsid w:val="002B4CA1"/>
    <w:rsid w:val="002B5C74"/>
    <w:rsid w:val="002B5F82"/>
    <w:rsid w:val="002B62B5"/>
    <w:rsid w:val="002B6B32"/>
    <w:rsid w:val="002B74FD"/>
    <w:rsid w:val="002C1709"/>
    <w:rsid w:val="002C24B5"/>
    <w:rsid w:val="002C36EA"/>
    <w:rsid w:val="002C3794"/>
    <w:rsid w:val="002C6674"/>
    <w:rsid w:val="002D076B"/>
    <w:rsid w:val="002D202A"/>
    <w:rsid w:val="002D3978"/>
    <w:rsid w:val="002D3EE0"/>
    <w:rsid w:val="002D49AA"/>
    <w:rsid w:val="002E4600"/>
    <w:rsid w:val="002E6FB2"/>
    <w:rsid w:val="002E7273"/>
    <w:rsid w:val="002E7EE0"/>
    <w:rsid w:val="002F175C"/>
    <w:rsid w:val="002F255A"/>
    <w:rsid w:val="002F4677"/>
    <w:rsid w:val="002F6E8C"/>
    <w:rsid w:val="002F7DCE"/>
    <w:rsid w:val="003019F4"/>
    <w:rsid w:val="00302C82"/>
    <w:rsid w:val="00303887"/>
    <w:rsid w:val="00304BFF"/>
    <w:rsid w:val="00305887"/>
    <w:rsid w:val="00305EE1"/>
    <w:rsid w:val="00311438"/>
    <w:rsid w:val="00311DFC"/>
    <w:rsid w:val="00312433"/>
    <w:rsid w:val="00314FBB"/>
    <w:rsid w:val="00317057"/>
    <w:rsid w:val="003174A2"/>
    <w:rsid w:val="00317516"/>
    <w:rsid w:val="00320027"/>
    <w:rsid w:val="003225F2"/>
    <w:rsid w:val="003229D8"/>
    <w:rsid w:val="00323738"/>
    <w:rsid w:val="00325D26"/>
    <w:rsid w:val="0033103C"/>
    <w:rsid w:val="003316E5"/>
    <w:rsid w:val="003347F5"/>
    <w:rsid w:val="00335063"/>
    <w:rsid w:val="00336641"/>
    <w:rsid w:val="003378BA"/>
    <w:rsid w:val="003407D1"/>
    <w:rsid w:val="00340DEA"/>
    <w:rsid w:val="00343FFC"/>
    <w:rsid w:val="00345813"/>
    <w:rsid w:val="00345947"/>
    <w:rsid w:val="00345C1F"/>
    <w:rsid w:val="0034697C"/>
    <w:rsid w:val="00350395"/>
    <w:rsid w:val="00351623"/>
    <w:rsid w:val="00352709"/>
    <w:rsid w:val="00352BE3"/>
    <w:rsid w:val="00353AEC"/>
    <w:rsid w:val="003566A1"/>
    <w:rsid w:val="00356C14"/>
    <w:rsid w:val="00357621"/>
    <w:rsid w:val="00360CA6"/>
    <w:rsid w:val="00361E13"/>
    <w:rsid w:val="0036396D"/>
    <w:rsid w:val="00364FC3"/>
    <w:rsid w:val="00366352"/>
    <w:rsid w:val="00367567"/>
    <w:rsid w:val="003701C1"/>
    <w:rsid w:val="0037023A"/>
    <w:rsid w:val="00371178"/>
    <w:rsid w:val="003718E0"/>
    <w:rsid w:val="0037195C"/>
    <w:rsid w:val="00372899"/>
    <w:rsid w:val="00372B97"/>
    <w:rsid w:val="00373238"/>
    <w:rsid w:val="00373E07"/>
    <w:rsid w:val="003742F5"/>
    <w:rsid w:val="00375534"/>
    <w:rsid w:val="00376F4E"/>
    <w:rsid w:val="00377EEC"/>
    <w:rsid w:val="00380775"/>
    <w:rsid w:val="00382978"/>
    <w:rsid w:val="0038336C"/>
    <w:rsid w:val="00383F20"/>
    <w:rsid w:val="00385E40"/>
    <w:rsid w:val="003924C4"/>
    <w:rsid w:val="003935A6"/>
    <w:rsid w:val="00393DD8"/>
    <w:rsid w:val="00394C4E"/>
    <w:rsid w:val="003957BF"/>
    <w:rsid w:val="00396513"/>
    <w:rsid w:val="00397C54"/>
    <w:rsid w:val="003A2974"/>
    <w:rsid w:val="003A41C1"/>
    <w:rsid w:val="003A4B69"/>
    <w:rsid w:val="003A4C75"/>
    <w:rsid w:val="003A4EFC"/>
    <w:rsid w:val="003A536E"/>
    <w:rsid w:val="003A6810"/>
    <w:rsid w:val="003A757A"/>
    <w:rsid w:val="003B0CD8"/>
    <w:rsid w:val="003B204D"/>
    <w:rsid w:val="003B23BA"/>
    <w:rsid w:val="003B2451"/>
    <w:rsid w:val="003C010C"/>
    <w:rsid w:val="003C1B02"/>
    <w:rsid w:val="003C2CC4"/>
    <w:rsid w:val="003C309A"/>
    <w:rsid w:val="003C3717"/>
    <w:rsid w:val="003C65A0"/>
    <w:rsid w:val="003C7E91"/>
    <w:rsid w:val="003D0A0C"/>
    <w:rsid w:val="003D1330"/>
    <w:rsid w:val="003D3B74"/>
    <w:rsid w:val="003D4B23"/>
    <w:rsid w:val="003D7C6F"/>
    <w:rsid w:val="003E112B"/>
    <w:rsid w:val="003E249D"/>
    <w:rsid w:val="003E3AA4"/>
    <w:rsid w:val="003E65E6"/>
    <w:rsid w:val="003E6C7A"/>
    <w:rsid w:val="003E7530"/>
    <w:rsid w:val="003E7FBF"/>
    <w:rsid w:val="003F0C9E"/>
    <w:rsid w:val="003F22A5"/>
    <w:rsid w:val="003F35A6"/>
    <w:rsid w:val="003F5C6F"/>
    <w:rsid w:val="003F69FD"/>
    <w:rsid w:val="003F6E2F"/>
    <w:rsid w:val="00400670"/>
    <w:rsid w:val="00401DD2"/>
    <w:rsid w:val="00401E5B"/>
    <w:rsid w:val="004031C9"/>
    <w:rsid w:val="00405213"/>
    <w:rsid w:val="00405DA5"/>
    <w:rsid w:val="004067DE"/>
    <w:rsid w:val="0041027F"/>
    <w:rsid w:val="00410C89"/>
    <w:rsid w:val="004117D5"/>
    <w:rsid w:val="004147AA"/>
    <w:rsid w:val="0041741D"/>
    <w:rsid w:val="00420FB3"/>
    <w:rsid w:val="00421632"/>
    <w:rsid w:val="004235CB"/>
    <w:rsid w:val="00426036"/>
    <w:rsid w:val="00426B35"/>
    <w:rsid w:val="00426B9B"/>
    <w:rsid w:val="00431B67"/>
    <w:rsid w:val="004325CB"/>
    <w:rsid w:val="00433D46"/>
    <w:rsid w:val="00434046"/>
    <w:rsid w:val="00436B33"/>
    <w:rsid w:val="00437A7E"/>
    <w:rsid w:val="0044182E"/>
    <w:rsid w:val="00442A83"/>
    <w:rsid w:val="004451F0"/>
    <w:rsid w:val="00445C47"/>
    <w:rsid w:val="00446B5E"/>
    <w:rsid w:val="00447702"/>
    <w:rsid w:val="004479EC"/>
    <w:rsid w:val="004503A1"/>
    <w:rsid w:val="00450BBE"/>
    <w:rsid w:val="0045231A"/>
    <w:rsid w:val="00454343"/>
    <w:rsid w:val="0045495B"/>
    <w:rsid w:val="00455AAC"/>
    <w:rsid w:val="00457132"/>
    <w:rsid w:val="004578DA"/>
    <w:rsid w:val="00463BF0"/>
    <w:rsid w:val="00464B06"/>
    <w:rsid w:val="0046559A"/>
    <w:rsid w:val="00471BF0"/>
    <w:rsid w:val="00473A93"/>
    <w:rsid w:val="004743CA"/>
    <w:rsid w:val="00474615"/>
    <w:rsid w:val="004768B2"/>
    <w:rsid w:val="00477A14"/>
    <w:rsid w:val="00483736"/>
    <w:rsid w:val="00486161"/>
    <w:rsid w:val="00486726"/>
    <w:rsid w:val="00487488"/>
    <w:rsid w:val="00487DFB"/>
    <w:rsid w:val="004904B0"/>
    <w:rsid w:val="00491836"/>
    <w:rsid w:val="00491A84"/>
    <w:rsid w:val="00492501"/>
    <w:rsid w:val="004961C6"/>
    <w:rsid w:val="00496B96"/>
    <w:rsid w:val="00497CCD"/>
    <w:rsid w:val="004A09A0"/>
    <w:rsid w:val="004A2102"/>
    <w:rsid w:val="004A3DB6"/>
    <w:rsid w:val="004A3DF5"/>
    <w:rsid w:val="004A4101"/>
    <w:rsid w:val="004A7384"/>
    <w:rsid w:val="004B12ED"/>
    <w:rsid w:val="004B1C92"/>
    <w:rsid w:val="004B20C6"/>
    <w:rsid w:val="004B4103"/>
    <w:rsid w:val="004B4F3D"/>
    <w:rsid w:val="004B5518"/>
    <w:rsid w:val="004B67F1"/>
    <w:rsid w:val="004B7C6B"/>
    <w:rsid w:val="004C1BE1"/>
    <w:rsid w:val="004C1E06"/>
    <w:rsid w:val="004C5709"/>
    <w:rsid w:val="004C6FF7"/>
    <w:rsid w:val="004C73EF"/>
    <w:rsid w:val="004D1B52"/>
    <w:rsid w:val="004D1DA0"/>
    <w:rsid w:val="004D3D42"/>
    <w:rsid w:val="004D59D1"/>
    <w:rsid w:val="004D6B85"/>
    <w:rsid w:val="004E274C"/>
    <w:rsid w:val="004E4DCB"/>
    <w:rsid w:val="004F0F60"/>
    <w:rsid w:val="004F1FBC"/>
    <w:rsid w:val="004F22B7"/>
    <w:rsid w:val="004F22D1"/>
    <w:rsid w:val="004F4973"/>
    <w:rsid w:val="00501FEF"/>
    <w:rsid w:val="00502615"/>
    <w:rsid w:val="0050348B"/>
    <w:rsid w:val="005038C0"/>
    <w:rsid w:val="005038D8"/>
    <w:rsid w:val="00504187"/>
    <w:rsid w:val="00505055"/>
    <w:rsid w:val="0050511E"/>
    <w:rsid w:val="00505C83"/>
    <w:rsid w:val="00507A97"/>
    <w:rsid w:val="00512438"/>
    <w:rsid w:val="00513140"/>
    <w:rsid w:val="00520E4D"/>
    <w:rsid w:val="0052136D"/>
    <w:rsid w:val="00523FFE"/>
    <w:rsid w:val="005240DA"/>
    <w:rsid w:val="005257B9"/>
    <w:rsid w:val="005263F8"/>
    <w:rsid w:val="0052775E"/>
    <w:rsid w:val="00527A14"/>
    <w:rsid w:val="00530DA1"/>
    <w:rsid w:val="00531B6A"/>
    <w:rsid w:val="00532DCF"/>
    <w:rsid w:val="0053350E"/>
    <w:rsid w:val="00535073"/>
    <w:rsid w:val="00536784"/>
    <w:rsid w:val="0053708C"/>
    <w:rsid w:val="005377DB"/>
    <w:rsid w:val="00537F49"/>
    <w:rsid w:val="005420F2"/>
    <w:rsid w:val="005422E7"/>
    <w:rsid w:val="005426CE"/>
    <w:rsid w:val="0054448F"/>
    <w:rsid w:val="005447C4"/>
    <w:rsid w:val="00545136"/>
    <w:rsid w:val="00545DC5"/>
    <w:rsid w:val="005465BD"/>
    <w:rsid w:val="00547A34"/>
    <w:rsid w:val="00552E0F"/>
    <w:rsid w:val="005545F6"/>
    <w:rsid w:val="00555319"/>
    <w:rsid w:val="00556C01"/>
    <w:rsid w:val="00557084"/>
    <w:rsid w:val="00557A63"/>
    <w:rsid w:val="005619E5"/>
    <w:rsid w:val="0056234E"/>
    <w:rsid w:val="005628B6"/>
    <w:rsid w:val="005674A8"/>
    <w:rsid w:val="00567869"/>
    <w:rsid w:val="005747A5"/>
    <w:rsid w:val="0057539C"/>
    <w:rsid w:val="005774F1"/>
    <w:rsid w:val="00581373"/>
    <w:rsid w:val="0058274F"/>
    <w:rsid w:val="0058330F"/>
    <w:rsid w:val="00583656"/>
    <w:rsid w:val="00583B95"/>
    <w:rsid w:val="005848B3"/>
    <w:rsid w:val="0058563D"/>
    <w:rsid w:val="0058574F"/>
    <w:rsid w:val="005925EA"/>
    <w:rsid w:val="0059348C"/>
    <w:rsid w:val="0059751D"/>
    <w:rsid w:val="005B3DB3"/>
    <w:rsid w:val="005B3FC9"/>
    <w:rsid w:val="005B51B2"/>
    <w:rsid w:val="005B523A"/>
    <w:rsid w:val="005B5531"/>
    <w:rsid w:val="005B671D"/>
    <w:rsid w:val="005B6BD7"/>
    <w:rsid w:val="005B7199"/>
    <w:rsid w:val="005B729F"/>
    <w:rsid w:val="005B7B03"/>
    <w:rsid w:val="005C007B"/>
    <w:rsid w:val="005C0412"/>
    <w:rsid w:val="005C17AE"/>
    <w:rsid w:val="005C1BE7"/>
    <w:rsid w:val="005C3CEC"/>
    <w:rsid w:val="005C4BD0"/>
    <w:rsid w:val="005C66C6"/>
    <w:rsid w:val="005C68F3"/>
    <w:rsid w:val="005D2054"/>
    <w:rsid w:val="005D2DC6"/>
    <w:rsid w:val="005D309B"/>
    <w:rsid w:val="005D5EA6"/>
    <w:rsid w:val="005E1893"/>
    <w:rsid w:val="005E1A8E"/>
    <w:rsid w:val="005E6CCF"/>
    <w:rsid w:val="005E7CE0"/>
    <w:rsid w:val="005F3E6A"/>
    <w:rsid w:val="005F3F67"/>
    <w:rsid w:val="005F46A2"/>
    <w:rsid w:val="005F4B42"/>
    <w:rsid w:val="005F4F79"/>
    <w:rsid w:val="005F50BC"/>
    <w:rsid w:val="005F57D3"/>
    <w:rsid w:val="005F58BB"/>
    <w:rsid w:val="005F670D"/>
    <w:rsid w:val="005F7717"/>
    <w:rsid w:val="005F7B75"/>
    <w:rsid w:val="005F7BB1"/>
    <w:rsid w:val="006001EE"/>
    <w:rsid w:val="00600527"/>
    <w:rsid w:val="00605042"/>
    <w:rsid w:val="00605231"/>
    <w:rsid w:val="00605EB6"/>
    <w:rsid w:val="00607F8B"/>
    <w:rsid w:val="0061054C"/>
    <w:rsid w:val="00610A8C"/>
    <w:rsid w:val="00611FC4"/>
    <w:rsid w:val="006129B4"/>
    <w:rsid w:val="006176FB"/>
    <w:rsid w:val="00621D74"/>
    <w:rsid w:val="006233D4"/>
    <w:rsid w:val="0062421A"/>
    <w:rsid w:val="0062510A"/>
    <w:rsid w:val="0062565D"/>
    <w:rsid w:val="00632125"/>
    <w:rsid w:val="0063691C"/>
    <w:rsid w:val="00640B26"/>
    <w:rsid w:val="00640B69"/>
    <w:rsid w:val="00640CD2"/>
    <w:rsid w:val="00641163"/>
    <w:rsid w:val="006431B3"/>
    <w:rsid w:val="00643405"/>
    <w:rsid w:val="00643873"/>
    <w:rsid w:val="00645273"/>
    <w:rsid w:val="00645A39"/>
    <w:rsid w:val="0064641F"/>
    <w:rsid w:val="00647104"/>
    <w:rsid w:val="00647116"/>
    <w:rsid w:val="00647A42"/>
    <w:rsid w:val="00650484"/>
    <w:rsid w:val="00652134"/>
    <w:rsid w:val="006526E9"/>
    <w:rsid w:val="00652D0A"/>
    <w:rsid w:val="00652F82"/>
    <w:rsid w:val="00653929"/>
    <w:rsid w:val="00655535"/>
    <w:rsid w:val="0065593E"/>
    <w:rsid w:val="006565C6"/>
    <w:rsid w:val="0065779B"/>
    <w:rsid w:val="00662BB6"/>
    <w:rsid w:val="0066315B"/>
    <w:rsid w:val="00665CED"/>
    <w:rsid w:val="006664A8"/>
    <w:rsid w:val="00666AB5"/>
    <w:rsid w:val="00670E83"/>
    <w:rsid w:val="00671274"/>
    <w:rsid w:val="00671F71"/>
    <w:rsid w:val="006726D3"/>
    <w:rsid w:val="00672BCE"/>
    <w:rsid w:val="00675F8E"/>
    <w:rsid w:val="006762C8"/>
    <w:rsid w:val="006768D3"/>
    <w:rsid w:val="00676FE6"/>
    <w:rsid w:val="00677BE5"/>
    <w:rsid w:val="00677D2D"/>
    <w:rsid w:val="006839CD"/>
    <w:rsid w:val="00684BEE"/>
    <w:rsid w:val="00684C21"/>
    <w:rsid w:val="006863DB"/>
    <w:rsid w:val="0069216C"/>
    <w:rsid w:val="006923FF"/>
    <w:rsid w:val="0069264B"/>
    <w:rsid w:val="00693064"/>
    <w:rsid w:val="0069581E"/>
    <w:rsid w:val="0069687C"/>
    <w:rsid w:val="00696D14"/>
    <w:rsid w:val="006A0A6F"/>
    <w:rsid w:val="006A1162"/>
    <w:rsid w:val="006A5087"/>
    <w:rsid w:val="006A7BCF"/>
    <w:rsid w:val="006A7F24"/>
    <w:rsid w:val="006B3CE0"/>
    <w:rsid w:val="006B723C"/>
    <w:rsid w:val="006C1FAB"/>
    <w:rsid w:val="006C320D"/>
    <w:rsid w:val="006C37FB"/>
    <w:rsid w:val="006C4901"/>
    <w:rsid w:val="006C4F2F"/>
    <w:rsid w:val="006C547B"/>
    <w:rsid w:val="006C6240"/>
    <w:rsid w:val="006C6DE9"/>
    <w:rsid w:val="006D0814"/>
    <w:rsid w:val="006D0C34"/>
    <w:rsid w:val="006D11E0"/>
    <w:rsid w:val="006D37AF"/>
    <w:rsid w:val="006D4F0B"/>
    <w:rsid w:val="006D5177"/>
    <w:rsid w:val="006D51D0"/>
    <w:rsid w:val="006D5AC0"/>
    <w:rsid w:val="006D7742"/>
    <w:rsid w:val="006E0CE8"/>
    <w:rsid w:val="006E0F4F"/>
    <w:rsid w:val="006E1256"/>
    <w:rsid w:val="006E564B"/>
    <w:rsid w:val="006E5C2B"/>
    <w:rsid w:val="006E622F"/>
    <w:rsid w:val="006E7191"/>
    <w:rsid w:val="006F059B"/>
    <w:rsid w:val="006F2259"/>
    <w:rsid w:val="006F2756"/>
    <w:rsid w:val="006F541D"/>
    <w:rsid w:val="006F5CA2"/>
    <w:rsid w:val="006F68D5"/>
    <w:rsid w:val="006F7608"/>
    <w:rsid w:val="006F7DC3"/>
    <w:rsid w:val="007001D1"/>
    <w:rsid w:val="00700B07"/>
    <w:rsid w:val="00700BD5"/>
    <w:rsid w:val="00700C54"/>
    <w:rsid w:val="00701809"/>
    <w:rsid w:val="00701C11"/>
    <w:rsid w:val="00702595"/>
    <w:rsid w:val="00703577"/>
    <w:rsid w:val="00705CCD"/>
    <w:rsid w:val="007061F5"/>
    <w:rsid w:val="00706A3C"/>
    <w:rsid w:val="00707422"/>
    <w:rsid w:val="007101D4"/>
    <w:rsid w:val="00711B1B"/>
    <w:rsid w:val="00713327"/>
    <w:rsid w:val="007159C9"/>
    <w:rsid w:val="00715DBE"/>
    <w:rsid w:val="00722D27"/>
    <w:rsid w:val="00723935"/>
    <w:rsid w:val="00724579"/>
    <w:rsid w:val="0072632A"/>
    <w:rsid w:val="0072692A"/>
    <w:rsid w:val="007276E8"/>
    <w:rsid w:val="00727B23"/>
    <w:rsid w:val="007310DF"/>
    <w:rsid w:val="007327D5"/>
    <w:rsid w:val="00735896"/>
    <w:rsid w:val="00735BF7"/>
    <w:rsid w:val="007368AF"/>
    <w:rsid w:val="00736AA1"/>
    <w:rsid w:val="0074051D"/>
    <w:rsid w:val="00742246"/>
    <w:rsid w:val="00743515"/>
    <w:rsid w:val="00743DF5"/>
    <w:rsid w:val="00744089"/>
    <w:rsid w:val="00745655"/>
    <w:rsid w:val="007463C6"/>
    <w:rsid w:val="00750B98"/>
    <w:rsid w:val="00751720"/>
    <w:rsid w:val="007538A6"/>
    <w:rsid w:val="00754E91"/>
    <w:rsid w:val="00760E76"/>
    <w:rsid w:val="007616D2"/>
    <w:rsid w:val="007629C8"/>
    <w:rsid w:val="00763E6D"/>
    <w:rsid w:val="00764BF4"/>
    <w:rsid w:val="00767D74"/>
    <w:rsid w:val="00773331"/>
    <w:rsid w:val="00774D68"/>
    <w:rsid w:val="007751D1"/>
    <w:rsid w:val="00782520"/>
    <w:rsid w:val="0078281E"/>
    <w:rsid w:val="007834D2"/>
    <w:rsid w:val="007835EC"/>
    <w:rsid w:val="00784F80"/>
    <w:rsid w:val="0078589E"/>
    <w:rsid w:val="00785F8B"/>
    <w:rsid w:val="007870E3"/>
    <w:rsid w:val="007913FB"/>
    <w:rsid w:val="0079263F"/>
    <w:rsid w:val="00792A67"/>
    <w:rsid w:val="007952F0"/>
    <w:rsid w:val="007956AC"/>
    <w:rsid w:val="00795B16"/>
    <w:rsid w:val="00797CEC"/>
    <w:rsid w:val="00797F9A"/>
    <w:rsid w:val="007A0477"/>
    <w:rsid w:val="007A1BEF"/>
    <w:rsid w:val="007A1DD1"/>
    <w:rsid w:val="007A4DCE"/>
    <w:rsid w:val="007A5A43"/>
    <w:rsid w:val="007A5EC9"/>
    <w:rsid w:val="007B1DE9"/>
    <w:rsid w:val="007B3295"/>
    <w:rsid w:val="007B6B89"/>
    <w:rsid w:val="007B6BA5"/>
    <w:rsid w:val="007B6E0F"/>
    <w:rsid w:val="007B7A84"/>
    <w:rsid w:val="007C0130"/>
    <w:rsid w:val="007C0723"/>
    <w:rsid w:val="007C0B56"/>
    <w:rsid w:val="007C3390"/>
    <w:rsid w:val="007C3E9D"/>
    <w:rsid w:val="007C4F4B"/>
    <w:rsid w:val="007C66E2"/>
    <w:rsid w:val="007C784F"/>
    <w:rsid w:val="007D0081"/>
    <w:rsid w:val="007D1E3B"/>
    <w:rsid w:val="007D1E54"/>
    <w:rsid w:val="007D34EF"/>
    <w:rsid w:val="007D5E4E"/>
    <w:rsid w:val="007D6718"/>
    <w:rsid w:val="007D6A36"/>
    <w:rsid w:val="007E0975"/>
    <w:rsid w:val="007E0A6E"/>
    <w:rsid w:val="007E0B2D"/>
    <w:rsid w:val="007E6814"/>
    <w:rsid w:val="007E768F"/>
    <w:rsid w:val="007E7C16"/>
    <w:rsid w:val="007F14AE"/>
    <w:rsid w:val="007F1F68"/>
    <w:rsid w:val="007F30AD"/>
    <w:rsid w:val="007F3904"/>
    <w:rsid w:val="007F5997"/>
    <w:rsid w:val="007F6611"/>
    <w:rsid w:val="007F662D"/>
    <w:rsid w:val="007F6977"/>
    <w:rsid w:val="007F7B5A"/>
    <w:rsid w:val="00800B62"/>
    <w:rsid w:val="00800D82"/>
    <w:rsid w:val="00801FC3"/>
    <w:rsid w:val="00802178"/>
    <w:rsid w:val="0080304E"/>
    <w:rsid w:val="00804FAF"/>
    <w:rsid w:val="00804FDF"/>
    <w:rsid w:val="00807A1B"/>
    <w:rsid w:val="00807A5A"/>
    <w:rsid w:val="008105B8"/>
    <w:rsid w:val="00810F7C"/>
    <w:rsid w:val="00811557"/>
    <w:rsid w:val="00812E55"/>
    <w:rsid w:val="00814327"/>
    <w:rsid w:val="00814DD1"/>
    <w:rsid w:val="00815FD1"/>
    <w:rsid w:val="008200A3"/>
    <w:rsid w:val="00821C47"/>
    <w:rsid w:val="00821EE8"/>
    <w:rsid w:val="0082244C"/>
    <w:rsid w:val="008242D7"/>
    <w:rsid w:val="00824D6E"/>
    <w:rsid w:val="008257B1"/>
    <w:rsid w:val="00826F8C"/>
    <w:rsid w:val="00830E0C"/>
    <w:rsid w:val="0083342D"/>
    <w:rsid w:val="008352E2"/>
    <w:rsid w:val="00836528"/>
    <w:rsid w:val="00843767"/>
    <w:rsid w:val="00844C4E"/>
    <w:rsid w:val="00844DE7"/>
    <w:rsid w:val="00845720"/>
    <w:rsid w:val="00846A67"/>
    <w:rsid w:val="00846B26"/>
    <w:rsid w:val="00847743"/>
    <w:rsid w:val="00850658"/>
    <w:rsid w:val="00852CC8"/>
    <w:rsid w:val="00855E62"/>
    <w:rsid w:val="00857C3C"/>
    <w:rsid w:val="00862E96"/>
    <w:rsid w:val="00863C61"/>
    <w:rsid w:val="00864190"/>
    <w:rsid w:val="008665FB"/>
    <w:rsid w:val="008679D9"/>
    <w:rsid w:val="0087182E"/>
    <w:rsid w:val="00873986"/>
    <w:rsid w:val="00874395"/>
    <w:rsid w:val="00874C1E"/>
    <w:rsid w:val="008766E0"/>
    <w:rsid w:val="00876D34"/>
    <w:rsid w:val="00876DB2"/>
    <w:rsid w:val="00877F58"/>
    <w:rsid w:val="0088004D"/>
    <w:rsid w:val="00881835"/>
    <w:rsid w:val="00882B25"/>
    <w:rsid w:val="008848EF"/>
    <w:rsid w:val="0088718D"/>
    <w:rsid w:val="00890AA6"/>
    <w:rsid w:val="00891AC4"/>
    <w:rsid w:val="008929B5"/>
    <w:rsid w:val="00892D70"/>
    <w:rsid w:val="00894521"/>
    <w:rsid w:val="0089591F"/>
    <w:rsid w:val="008979B1"/>
    <w:rsid w:val="008A1D23"/>
    <w:rsid w:val="008A1DB2"/>
    <w:rsid w:val="008A42CC"/>
    <w:rsid w:val="008A570E"/>
    <w:rsid w:val="008A61CF"/>
    <w:rsid w:val="008A6B25"/>
    <w:rsid w:val="008A6C4F"/>
    <w:rsid w:val="008B1052"/>
    <w:rsid w:val="008B1D66"/>
    <w:rsid w:val="008B2335"/>
    <w:rsid w:val="008B50C3"/>
    <w:rsid w:val="008C0136"/>
    <w:rsid w:val="008C191F"/>
    <w:rsid w:val="008C1B6B"/>
    <w:rsid w:val="008D0CCB"/>
    <w:rsid w:val="008D0E59"/>
    <w:rsid w:val="008D77C6"/>
    <w:rsid w:val="008D7B77"/>
    <w:rsid w:val="008D7F09"/>
    <w:rsid w:val="008E0678"/>
    <w:rsid w:val="008E0778"/>
    <w:rsid w:val="008E4D15"/>
    <w:rsid w:val="008F04FD"/>
    <w:rsid w:val="008F1E73"/>
    <w:rsid w:val="008F2D7D"/>
    <w:rsid w:val="008F42DC"/>
    <w:rsid w:val="008F46F9"/>
    <w:rsid w:val="008F71E5"/>
    <w:rsid w:val="008F7BB7"/>
    <w:rsid w:val="008F7D1E"/>
    <w:rsid w:val="009015D7"/>
    <w:rsid w:val="00901F5E"/>
    <w:rsid w:val="009051CB"/>
    <w:rsid w:val="00905CE5"/>
    <w:rsid w:val="00906709"/>
    <w:rsid w:val="009067E7"/>
    <w:rsid w:val="00910F40"/>
    <w:rsid w:val="00912C08"/>
    <w:rsid w:val="00913DB1"/>
    <w:rsid w:val="00914A5C"/>
    <w:rsid w:val="00917B47"/>
    <w:rsid w:val="00917B56"/>
    <w:rsid w:val="009205AB"/>
    <w:rsid w:val="009223CA"/>
    <w:rsid w:val="00932DE0"/>
    <w:rsid w:val="00933566"/>
    <w:rsid w:val="00933C2A"/>
    <w:rsid w:val="00934D8B"/>
    <w:rsid w:val="0093694D"/>
    <w:rsid w:val="009374B9"/>
    <w:rsid w:val="00940BC8"/>
    <w:rsid w:val="00940F93"/>
    <w:rsid w:val="00941128"/>
    <w:rsid w:val="00943397"/>
    <w:rsid w:val="00943C96"/>
    <w:rsid w:val="00944A49"/>
    <w:rsid w:val="00945B16"/>
    <w:rsid w:val="009463B8"/>
    <w:rsid w:val="00946D71"/>
    <w:rsid w:val="0095091A"/>
    <w:rsid w:val="0095258C"/>
    <w:rsid w:val="00952CF0"/>
    <w:rsid w:val="00952D91"/>
    <w:rsid w:val="0095347F"/>
    <w:rsid w:val="00953ED3"/>
    <w:rsid w:val="009558AC"/>
    <w:rsid w:val="0096065C"/>
    <w:rsid w:val="009625D0"/>
    <w:rsid w:val="00962649"/>
    <w:rsid w:val="009631C9"/>
    <w:rsid w:val="00964D8A"/>
    <w:rsid w:val="00965604"/>
    <w:rsid w:val="009664B8"/>
    <w:rsid w:val="00967790"/>
    <w:rsid w:val="00970051"/>
    <w:rsid w:val="00970375"/>
    <w:rsid w:val="00971D28"/>
    <w:rsid w:val="00972784"/>
    <w:rsid w:val="009760F3"/>
    <w:rsid w:val="009761C1"/>
    <w:rsid w:val="00976206"/>
    <w:rsid w:val="00981CC4"/>
    <w:rsid w:val="009826FD"/>
    <w:rsid w:val="00983CBC"/>
    <w:rsid w:val="009849FF"/>
    <w:rsid w:val="0098610F"/>
    <w:rsid w:val="00987AAF"/>
    <w:rsid w:val="00990720"/>
    <w:rsid w:val="009909F5"/>
    <w:rsid w:val="00990DA2"/>
    <w:rsid w:val="00992C39"/>
    <w:rsid w:val="00995C11"/>
    <w:rsid w:val="00996BDF"/>
    <w:rsid w:val="00996F48"/>
    <w:rsid w:val="00997BD6"/>
    <w:rsid w:val="009A0E8D"/>
    <w:rsid w:val="009A3DEE"/>
    <w:rsid w:val="009A79D6"/>
    <w:rsid w:val="009B0728"/>
    <w:rsid w:val="009B079F"/>
    <w:rsid w:val="009B0EA2"/>
    <w:rsid w:val="009B168F"/>
    <w:rsid w:val="009B26E7"/>
    <w:rsid w:val="009B2BF1"/>
    <w:rsid w:val="009B337F"/>
    <w:rsid w:val="009C1711"/>
    <w:rsid w:val="009C4E7F"/>
    <w:rsid w:val="009C4ED6"/>
    <w:rsid w:val="009C63BF"/>
    <w:rsid w:val="009C6916"/>
    <w:rsid w:val="009C7106"/>
    <w:rsid w:val="009D0AB8"/>
    <w:rsid w:val="009D14C7"/>
    <w:rsid w:val="009D1D68"/>
    <w:rsid w:val="009D2D93"/>
    <w:rsid w:val="009D33B8"/>
    <w:rsid w:val="009D5057"/>
    <w:rsid w:val="009D627B"/>
    <w:rsid w:val="009E1847"/>
    <w:rsid w:val="009E37B9"/>
    <w:rsid w:val="009E4255"/>
    <w:rsid w:val="009E46A7"/>
    <w:rsid w:val="009E7AE7"/>
    <w:rsid w:val="009F2BD0"/>
    <w:rsid w:val="009F7B82"/>
    <w:rsid w:val="00A00A3F"/>
    <w:rsid w:val="00A01489"/>
    <w:rsid w:val="00A02F64"/>
    <w:rsid w:val="00A03A0A"/>
    <w:rsid w:val="00A04296"/>
    <w:rsid w:val="00A04557"/>
    <w:rsid w:val="00A07002"/>
    <w:rsid w:val="00A10220"/>
    <w:rsid w:val="00A10BAF"/>
    <w:rsid w:val="00A110C4"/>
    <w:rsid w:val="00A115C9"/>
    <w:rsid w:val="00A129C9"/>
    <w:rsid w:val="00A12B4C"/>
    <w:rsid w:val="00A1380F"/>
    <w:rsid w:val="00A15DD3"/>
    <w:rsid w:val="00A20AB6"/>
    <w:rsid w:val="00A222D1"/>
    <w:rsid w:val="00A22EB2"/>
    <w:rsid w:val="00A23456"/>
    <w:rsid w:val="00A23DC5"/>
    <w:rsid w:val="00A25AE2"/>
    <w:rsid w:val="00A25F43"/>
    <w:rsid w:val="00A2762F"/>
    <w:rsid w:val="00A27772"/>
    <w:rsid w:val="00A33315"/>
    <w:rsid w:val="00A338F1"/>
    <w:rsid w:val="00A34C60"/>
    <w:rsid w:val="00A378D0"/>
    <w:rsid w:val="00A40DF4"/>
    <w:rsid w:val="00A42AAD"/>
    <w:rsid w:val="00A44615"/>
    <w:rsid w:val="00A44EEF"/>
    <w:rsid w:val="00A457E3"/>
    <w:rsid w:val="00A45811"/>
    <w:rsid w:val="00A51615"/>
    <w:rsid w:val="00A5436B"/>
    <w:rsid w:val="00A54C09"/>
    <w:rsid w:val="00A56152"/>
    <w:rsid w:val="00A56C1E"/>
    <w:rsid w:val="00A56DFE"/>
    <w:rsid w:val="00A579B3"/>
    <w:rsid w:val="00A6073F"/>
    <w:rsid w:val="00A6115B"/>
    <w:rsid w:val="00A659A3"/>
    <w:rsid w:val="00A67D91"/>
    <w:rsid w:val="00A703EB"/>
    <w:rsid w:val="00A72A88"/>
    <w:rsid w:val="00A72F22"/>
    <w:rsid w:val="00A7360F"/>
    <w:rsid w:val="00A7382D"/>
    <w:rsid w:val="00A748A6"/>
    <w:rsid w:val="00A769F4"/>
    <w:rsid w:val="00A776B4"/>
    <w:rsid w:val="00A80C22"/>
    <w:rsid w:val="00A8151D"/>
    <w:rsid w:val="00A85855"/>
    <w:rsid w:val="00A8786C"/>
    <w:rsid w:val="00A9070F"/>
    <w:rsid w:val="00A9097A"/>
    <w:rsid w:val="00A94361"/>
    <w:rsid w:val="00A947F2"/>
    <w:rsid w:val="00A94DF6"/>
    <w:rsid w:val="00A95E6B"/>
    <w:rsid w:val="00A96791"/>
    <w:rsid w:val="00AA067D"/>
    <w:rsid w:val="00AA190F"/>
    <w:rsid w:val="00AA293C"/>
    <w:rsid w:val="00AA56BD"/>
    <w:rsid w:val="00AA7C10"/>
    <w:rsid w:val="00AB0B95"/>
    <w:rsid w:val="00AB4F5F"/>
    <w:rsid w:val="00AC172C"/>
    <w:rsid w:val="00AC1826"/>
    <w:rsid w:val="00AC543C"/>
    <w:rsid w:val="00AC56A4"/>
    <w:rsid w:val="00AC5AE5"/>
    <w:rsid w:val="00AC5B2B"/>
    <w:rsid w:val="00AD067E"/>
    <w:rsid w:val="00AD0C53"/>
    <w:rsid w:val="00AD238B"/>
    <w:rsid w:val="00AD3AE8"/>
    <w:rsid w:val="00AD3D9D"/>
    <w:rsid w:val="00AD410E"/>
    <w:rsid w:val="00AD54E0"/>
    <w:rsid w:val="00AD7608"/>
    <w:rsid w:val="00AD7D1C"/>
    <w:rsid w:val="00AE0625"/>
    <w:rsid w:val="00AE3523"/>
    <w:rsid w:val="00AE6D53"/>
    <w:rsid w:val="00AF112B"/>
    <w:rsid w:val="00AF24A0"/>
    <w:rsid w:val="00AF2982"/>
    <w:rsid w:val="00AF381B"/>
    <w:rsid w:val="00AF43A9"/>
    <w:rsid w:val="00AF69EF"/>
    <w:rsid w:val="00AF735E"/>
    <w:rsid w:val="00AF7CE2"/>
    <w:rsid w:val="00B01ECC"/>
    <w:rsid w:val="00B02BD4"/>
    <w:rsid w:val="00B06C8A"/>
    <w:rsid w:val="00B06D97"/>
    <w:rsid w:val="00B06DBC"/>
    <w:rsid w:val="00B11A54"/>
    <w:rsid w:val="00B1274E"/>
    <w:rsid w:val="00B13E9B"/>
    <w:rsid w:val="00B162A6"/>
    <w:rsid w:val="00B16F40"/>
    <w:rsid w:val="00B17532"/>
    <w:rsid w:val="00B178B8"/>
    <w:rsid w:val="00B17AB8"/>
    <w:rsid w:val="00B20A5B"/>
    <w:rsid w:val="00B2233D"/>
    <w:rsid w:val="00B2303F"/>
    <w:rsid w:val="00B25D76"/>
    <w:rsid w:val="00B261BA"/>
    <w:rsid w:val="00B26402"/>
    <w:rsid w:val="00B30179"/>
    <w:rsid w:val="00B32FF5"/>
    <w:rsid w:val="00B339A7"/>
    <w:rsid w:val="00B33A2B"/>
    <w:rsid w:val="00B33E34"/>
    <w:rsid w:val="00B37B28"/>
    <w:rsid w:val="00B44F56"/>
    <w:rsid w:val="00B52A42"/>
    <w:rsid w:val="00B52FF5"/>
    <w:rsid w:val="00B5308A"/>
    <w:rsid w:val="00B531F3"/>
    <w:rsid w:val="00B56073"/>
    <w:rsid w:val="00B56E4A"/>
    <w:rsid w:val="00B56E9C"/>
    <w:rsid w:val="00B57DBE"/>
    <w:rsid w:val="00B624C6"/>
    <w:rsid w:val="00B62ACC"/>
    <w:rsid w:val="00B640CD"/>
    <w:rsid w:val="00B64343"/>
    <w:rsid w:val="00B64B1F"/>
    <w:rsid w:val="00B6553F"/>
    <w:rsid w:val="00B66E5E"/>
    <w:rsid w:val="00B707FA"/>
    <w:rsid w:val="00B72082"/>
    <w:rsid w:val="00B775B5"/>
    <w:rsid w:val="00B77D05"/>
    <w:rsid w:val="00B81206"/>
    <w:rsid w:val="00B812B0"/>
    <w:rsid w:val="00B81E12"/>
    <w:rsid w:val="00B82B44"/>
    <w:rsid w:val="00B83052"/>
    <w:rsid w:val="00B83134"/>
    <w:rsid w:val="00B833B9"/>
    <w:rsid w:val="00B853F1"/>
    <w:rsid w:val="00B85B31"/>
    <w:rsid w:val="00B9067B"/>
    <w:rsid w:val="00B9080F"/>
    <w:rsid w:val="00B90C47"/>
    <w:rsid w:val="00B91199"/>
    <w:rsid w:val="00B91636"/>
    <w:rsid w:val="00B9504E"/>
    <w:rsid w:val="00B972BA"/>
    <w:rsid w:val="00B97F39"/>
    <w:rsid w:val="00BA1BDF"/>
    <w:rsid w:val="00BA3866"/>
    <w:rsid w:val="00BA3975"/>
    <w:rsid w:val="00BA48D1"/>
    <w:rsid w:val="00BA55D9"/>
    <w:rsid w:val="00BA5BB8"/>
    <w:rsid w:val="00BA7542"/>
    <w:rsid w:val="00BB083D"/>
    <w:rsid w:val="00BB1F09"/>
    <w:rsid w:val="00BB23A2"/>
    <w:rsid w:val="00BB77D1"/>
    <w:rsid w:val="00BC0D04"/>
    <w:rsid w:val="00BC1F63"/>
    <w:rsid w:val="00BC2C23"/>
    <w:rsid w:val="00BC3166"/>
    <w:rsid w:val="00BC5D73"/>
    <w:rsid w:val="00BC6123"/>
    <w:rsid w:val="00BC663C"/>
    <w:rsid w:val="00BC74E9"/>
    <w:rsid w:val="00BD1495"/>
    <w:rsid w:val="00BD2469"/>
    <w:rsid w:val="00BD26E2"/>
    <w:rsid w:val="00BD3A9D"/>
    <w:rsid w:val="00BD67FF"/>
    <w:rsid w:val="00BD707C"/>
    <w:rsid w:val="00BE354B"/>
    <w:rsid w:val="00BE3727"/>
    <w:rsid w:val="00BF1B4C"/>
    <w:rsid w:val="00BF24FB"/>
    <w:rsid w:val="00BF3D89"/>
    <w:rsid w:val="00BF5B58"/>
    <w:rsid w:val="00BF5D49"/>
    <w:rsid w:val="00BF6565"/>
    <w:rsid w:val="00BF66CD"/>
    <w:rsid w:val="00BF68A8"/>
    <w:rsid w:val="00BF6BF9"/>
    <w:rsid w:val="00BF7676"/>
    <w:rsid w:val="00C0021D"/>
    <w:rsid w:val="00C02957"/>
    <w:rsid w:val="00C04FE4"/>
    <w:rsid w:val="00C068D0"/>
    <w:rsid w:val="00C07BF8"/>
    <w:rsid w:val="00C07DA9"/>
    <w:rsid w:val="00C07F13"/>
    <w:rsid w:val="00C11635"/>
    <w:rsid w:val="00C11A03"/>
    <w:rsid w:val="00C14F6D"/>
    <w:rsid w:val="00C1542C"/>
    <w:rsid w:val="00C155E0"/>
    <w:rsid w:val="00C15655"/>
    <w:rsid w:val="00C16334"/>
    <w:rsid w:val="00C17B9B"/>
    <w:rsid w:val="00C208C3"/>
    <w:rsid w:val="00C20C7F"/>
    <w:rsid w:val="00C21192"/>
    <w:rsid w:val="00C26306"/>
    <w:rsid w:val="00C269A4"/>
    <w:rsid w:val="00C337E9"/>
    <w:rsid w:val="00C37720"/>
    <w:rsid w:val="00C40C5C"/>
    <w:rsid w:val="00C41130"/>
    <w:rsid w:val="00C422D2"/>
    <w:rsid w:val="00C42450"/>
    <w:rsid w:val="00C4391D"/>
    <w:rsid w:val="00C43B3C"/>
    <w:rsid w:val="00C463DD"/>
    <w:rsid w:val="00C4724C"/>
    <w:rsid w:val="00C509A3"/>
    <w:rsid w:val="00C50E1A"/>
    <w:rsid w:val="00C50FF8"/>
    <w:rsid w:val="00C51959"/>
    <w:rsid w:val="00C52E83"/>
    <w:rsid w:val="00C54305"/>
    <w:rsid w:val="00C56781"/>
    <w:rsid w:val="00C6036A"/>
    <w:rsid w:val="00C6083D"/>
    <w:rsid w:val="00C6180C"/>
    <w:rsid w:val="00C629A0"/>
    <w:rsid w:val="00C650DF"/>
    <w:rsid w:val="00C661DA"/>
    <w:rsid w:val="00C663F6"/>
    <w:rsid w:val="00C669AC"/>
    <w:rsid w:val="00C67A88"/>
    <w:rsid w:val="00C745C3"/>
    <w:rsid w:val="00C746FD"/>
    <w:rsid w:val="00C7640F"/>
    <w:rsid w:val="00C77CE8"/>
    <w:rsid w:val="00C80BC9"/>
    <w:rsid w:val="00C81CFF"/>
    <w:rsid w:val="00C83385"/>
    <w:rsid w:val="00C853E2"/>
    <w:rsid w:val="00C87536"/>
    <w:rsid w:val="00C87BD4"/>
    <w:rsid w:val="00C91D87"/>
    <w:rsid w:val="00C91F26"/>
    <w:rsid w:val="00C93E47"/>
    <w:rsid w:val="00C93F65"/>
    <w:rsid w:val="00C94A3A"/>
    <w:rsid w:val="00C95DC5"/>
    <w:rsid w:val="00C95DD2"/>
    <w:rsid w:val="00C95FAA"/>
    <w:rsid w:val="00C96297"/>
    <w:rsid w:val="00C9696E"/>
    <w:rsid w:val="00CA217F"/>
    <w:rsid w:val="00CA2A71"/>
    <w:rsid w:val="00CA3236"/>
    <w:rsid w:val="00CA4348"/>
    <w:rsid w:val="00CA5D0A"/>
    <w:rsid w:val="00CA7C6D"/>
    <w:rsid w:val="00CA7DDE"/>
    <w:rsid w:val="00CB078B"/>
    <w:rsid w:val="00CB15C9"/>
    <w:rsid w:val="00CB46AB"/>
    <w:rsid w:val="00CB6B8B"/>
    <w:rsid w:val="00CC0B30"/>
    <w:rsid w:val="00CC1956"/>
    <w:rsid w:val="00CC21AA"/>
    <w:rsid w:val="00CC391E"/>
    <w:rsid w:val="00CC3DA1"/>
    <w:rsid w:val="00CC43BA"/>
    <w:rsid w:val="00CC4E6B"/>
    <w:rsid w:val="00CD0A07"/>
    <w:rsid w:val="00CD26D3"/>
    <w:rsid w:val="00CD526B"/>
    <w:rsid w:val="00CD5597"/>
    <w:rsid w:val="00CD7A57"/>
    <w:rsid w:val="00CE0531"/>
    <w:rsid w:val="00CE064F"/>
    <w:rsid w:val="00CE0B2A"/>
    <w:rsid w:val="00CE2531"/>
    <w:rsid w:val="00CE4A8F"/>
    <w:rsid w:val="00CE6B18"/>
    <w:rsid w:val="00CE6C93"/>
    <w:rsid w:val="00CF3001"/>
    <w:rsid w:val="00CF5CDA"/>
    <w:rsid w:val="00CF6021"/>
    <w:rsid w:val="00CF7D46"/>
    <w:rsid w:val="00D02BE7"/>
    <w:rsid w:val="00D0374A"/>
    <w:rsid w:val="00D03824"/>
    <w:rsid w:val="00D03C90"/>
    <w:rsid w:val="00D0410A"/>
    <w:rsid w:val="00D05441"/>
    <w:rsid w:val="00D0640A"/>
    <w:rsid w:val="00D06A11"/>
    <w:rsid w:val="00D13473"/>
    <w:rsid w:val="00D13633"/>
    <w:rsid w:val="00D152A1"/>
    <w:rsid w:val="00D16431"/>
    <w:rsid w:val="00D2031B"/>
    <w:rsid w:val="00D229D3"/>
    <w:rsid w:val="00D23A79"/>
    <w:rsid w:val="00D25FE2"/>
    <w:rsid w:val="00D26AFF"/>
    <w:rsid w:val="00D3004F"/>
    <w:rsid w:val="00D30366"/>
    <w:rsid w:val="00D31622"/>
    <w:rsid w:val="00D31B9F"/>
    <w:rsid w:val="00D34A1F"/>
    <w:rsid w:val="00D37E8C"/>
    <w:rsid w:val="00D40E77"/>
    <w:rsid w:val="00D41938"/>
    <w:rsid w:val="00D42018"/>
    <w:rsid w:val="00D43252"/>
    <w:rsid w:val="00D436CA"/>
    <w:rsid w:val="00D443D4"/>
    <w:rsid w:val="00D44742"/>
    <w:rsid w:val="00D45E30"/>
    <w:rsid w:val="00D47EEA"/>
    <w:rsid w:val="00D50AB2"/>
    <w:rsid w:val="00D51027"/>
    <w:rsid w:val="00D52122"/>
    <w:rsid w:val="00D532C0"/>
    <w:rsid w:val="00D53447"/>
    <w:rsid w:val="00D55069"/>
    <w:rsid w:val="00D560EA"/>
    <w:rsid w:val="00D56A12"/>
    <w:rsid w:val="00D571C3"/>
    <w:rsid w:val="00D60761"/>
    <w:rsid w:val="00D608A8"/>
    <w:rsid w:val="00D60D49"/>
    <w:rsid w:val="00D62A03"/>
    <w:rsid w:val="00D65415"/>
    <w:rsid w:val="00D65930"/>
    <w:rsid w:val="00D67EC1"/>
    <w:rsid w:val="00D71541"/>
    <w:rsid w:val="00D716D9"/>
    <w:rsid w:val="00D743B0"/>
    <w:rsid w:val="00D74421"/>
    <w:rsid w:val="00D808A8"/>
    <w:rsid w:val="00D814BE"/>
    <w:rsid w:val="00D82D66"/>
    <w:rsid w:val="00D82F8A"/>
    <w:rsid w:val="00D83EA6"/>
    <w:rsid w:val="00D8408C"/>
    <w:rsid w:val="00D84163"/>
    <w:rsid w:val="00D84663"/>
    <w:rsid w:val="00D90405"/>
    <w:rsid w:val="00D918EF"/>
    <w:rsid w:val="00D91E81"/>
    <w:rsid w:val="00D937D5"/>
    <w:rsid w:val="00D94650"/>
    <w:rsid w:val="00D95303"/>
    <w:rsid w:val="00D95319"/>
    <w:rsid w:val="00D96A4D"/>
    <w:rsid w:val="00D97473"/>
    <w:rsid w:val="00D978C6"/>
    <w:rsid w:val="00DA2FF0"/>
    <w:rsid w:val="00DA3111"/>
    <w:rsid w:val="00DA333A"/>
    <w:rsid w:val="00DA3C1C"/>
    <w:rsid w:val="00DA750F"/>
    <w:rsid w:val="00DB01EC"/>
    <w:rsid w:val="00DB0C79"/>
    <w:rsid w:val="00DB1F6B"/>
    <w:rsid w:val="00DB7251"/>
    <w:rsid w:val="00DB7B13"/>
    <w:rsid w:val="00DC03EF"/>
    <w:rsid w:val="00DC5E29"/>
    <w:rsid w:val="00DD5454"/>
    <w:rsid w:val="00DD6053"/>
    <w:rsid w:val="00DE005D"/>
    <w:rsid w:val="00DE27C0"/>
    <w:rsid w:val="00DE7E66"/>
    <w:rsid w:val="00DF138A"/>
    <w:rsid w:val="00DF46C2"/>
    <w:rsid w:val="00DF68DB"/>
    <w:rsid w:val="00DF730A"/>
    <w:rsid w:val="00E00C47"/>
    <w:rsid w:val="00E013F5"/>
    <w:rsid w:val="00E0371F"/>
    <w:rsid w:val="00E04D37"/>
    <w:rsid w:val="00E115D9"/>
    <w:rsid w:val="00E13020"/>
    <w:rsid w:val="00E165A8"/>
    <w:rsid w:val="00E17A14"/>
    <w:rsid w:val="00E202B9"/>
    <w:rsid w:val="00E21742"/>
    <w:rsid w:val="00E21817"/>
    <w:rsid w:val="00E23E16"/>
    <w:rsid w:val="00E24056"/>
    <w:rsid w:val="00E24D03"/>
    <w:rsid w:val="00E27115"/>
    <w:rsid w:val="00E27346"/>
    <w:rsid w:val="00E30665"/>
    <w:rsid w:val="00E31D73"/>
    <w:rsid w:val="00E33DE5"/>
    <w:rsid w:val="00E33FE7"/>
    <w:rsid w:val="00E3498D"/>
    <w:rsid w:val="00E36164"/>
    <w:rsid w:val="00E36709"/>
    <w:rsid w:val="00E36FC1"/>
    <w:rsid w:val="00E37A16"/>
    <w:rsid w:val="00E4124D"/>
    <w:rsid w:val="00E44966"/>
    <w:rsid w:val="00E45918"/>
    <w:rsid w:val="00E46194"/>
    <w:rsid w:val="00E47F58"/>
    <w:rsid w:val="00E50596"/>
    <w:rsid w:val="00E51B21"/>
    <w:rsid w:val="00E52C4E"/>
    <w:rsid w:val="00E54390"/>
    <w:rsid w:val="00E545C5"/>
    <w:rsid w:val="00E54DE6"/>
    <w:rsid w:val="00E579C3"/>
    <w:rsid w:val="00E60BBF"/>
    <w:rsid w:val="00E6173E"/>
    <w:rsid w:val="00E63122"/>
    <w:rsid w:val="00E645EA"/>
    <w:rsid w:val="00E6478C"/>
    <w:rsid w:val="00E66FFB"/>
    <w:rsid w:val="00E67969"/>
    <w:rsid w:val="00E703A2"/>
    <w:rsid w:val="00E71BC8"/>
    <w:rsid w:val="00E7260F"/>
    <w:rsid w:val="00E737F0"/>
    <w:rsid w:val="00E74D41"/>
    <w:rsid w:val="00E74E7F"/>
    <w:rsid w:val="00E75BCF"/>
    <w:rsid w:val="00E75F10"/>
    <w:rsid w:val="00E76B99"/>
    <w:rsid w:val="00E770B6"/>
    <w:rsid w:val="00E77232"/>
    <w:rsid w:val="00E779FC"/>
    <w:rsid w:val="00E8022A"/>
    <w:rsid w:val="00E8064A"/>
    <w:rsid w:val="00E80745"/>
    <w:rsid w:val="00E81D19"/>
    <w:rsid w:val="00E83353"/>
    <w:rsid w:val="00E8479C"/>
    <w:rsid w:val="00E84D3D"/>
    <w:rsid w:val="00E8591F"/>
    <w:rsid w:val="00E868EC"/>
    <w:rsid w:val="00E86AC9"/>
    <w:rsid w:val="00E876DC"/>
    <w:rsid w:val="00E902AF"/>
    <w:rsid w:val="00E9335A"/>
    <w:rsid w:val="00E93A30"/>
    <w:rsid w:val="00E9612D"/>
    <w:rsid w:val="00E96630"/>
    <w:rsid w:val="00E97E14"/>
    <w:rsid w:val="00E97EF6"/>
    <w:rsid w:val="00EA067A"/>
    <w:rsid w:val="00EA0FCE"/>
    <w:rsid w:val="00EA15DD"/>
    <w:rsid w:val="00EA4C58"/>
    <w:rsid w:val="00EA65A3"/>
    <w:rsid w:val="00EA7AFE"/>
    <w:rsid w:val="00EB0B55"/>
    <w:rsid w:val="00EB2581"/>
    <w:rsid w:val="00EB2846"/>
    <w:rsid w:val="00EB329D"/>
    <w:rsid w:val="00EB4EAE"/>
    <w:rsid w:val="00EB635F"/>
    <w:rsid w:val="00EB69B1"/>
    <w:rsid w:val="00EB6F35"/>
    <w:rsid w:val="00EC2ABA"/>
    <w:rsid w:val="00EC2ACA"/>
    <w:rsid w:val="00EC4184"/>
    <w:rsid w:val="00EC4A9B"/>
    <w:rsid w:val="00EC57F5"/>
    <w:rsid w:val="00ED0694"/>
    <w:rsid w:val="00ED0D85"/>
    <w:rsid w:val="00ED1725"/>
    <w:rsid w:val="00ED1D6C"/>
    <w:rsid w:val="00ED257E"/>
    <w:rsid w:val="00ED3F88"/>
    <w:rsid w:val="00ED40D9"/>
    <w:rsid w:val="00ED5971"/>
    <w:rsid w:val="00ED62FF"/>
    <w:rsid w:val="00ED68A5"/>
    <w:rsid w:val="00ED7A2A"/>
    <w:rsid w:val="00EE0433"/>
    <w:rsid w:val="00EE07B1"/>
    <w:rsid w:val="00EE1020"/>
    <w:rsid w:val="00EE1377"/>
    <w:rsid w:val="00EE3175"/>
    <w:rsid w:val="00EE4712"/>
    <w:rsid w:val="00EE4893"/>
    <w:rsid w:val="00EE49F4"/>
    <w:rsid w:val="00EF00CB"/>
    <w:rsid w:val="00EF175B"/>
    <w:rsid w:val="00EF1D7F"/>
    <w:rsid w:val="00EF2438"/>
    <w:rsid w:val="00EF25A8"/>
    <w:rsid w:val="00EF58D8"/>
    <w:rsid w:val="00F001CA"/>
    <w:rsid w:val="00F040EF"/>
    <w:rsid w:val="00F06ABF"/>
    <w:rsid w:val="00F1042D"/>
    <w:rsid w:val="00F15418"/>
    <w:rsid w:val="00F1606D"/>
    <w:rsid w:val="00F17229"/>
    <w:rsid w:val="00F20C3D"/>
    <w:rsid w:val="00F22574"/>
    <w:rsid w:val="00F234FD"/>
    <w:rsid w:val="00F2377F"/>
    <w:rsid w:val="00F238DF"/>
    <w:rsid w:val="00F272EC"/>
    <w:rsid w:val="00F303DE"/>
    <w:rsid w:val="00F30489"/>
    <w:rsid w:val="00F307DF"/>
    <w:rsid w:val="00F30988"/>
    <w:rsid w:val="00F31AF0"/>
    <w:rsid w:val="00F3243C"/>
    <w:rsid w:val="00F32D6B"/>
    <w:rsid w:val="00F33638"/>
    <w:rsid w:val="00F33665"/>
    <w:rsid w:val="00F34D21"/>
    <w:rsid w:val="00F41101"/>
    <w:rsid w:val="00F414E9"/>
    <w:rsid w:val="00F4188D"/>
    <w:rsid w:val="00F42480"/>
    <w:rsid w:val="00F43E9E"/>
    <w:rsid w:val="00F4487B"/>
    <w:rsid w:val="00F46510"/>
    <w:rsid w:val="00F46E61"/>
    <w:rsid w:val="00F5095A"/>
    <w:rsid w:val="00F61C9F"/>
    <w:rsid w:val="00F620E9"/>
    <w:rsid w:val="00F62441"/>
    <w:rsid w:val="00F63B1D"/>
    <w:rsid w:val="00F641A5"/>
    <w:rsid w:val="00F65DF1"/>
    <w:rsid w:val="00F70C25"/>
    <w:rsid w:val="00F71CDC"/>
    <w:rsid w:val="00F7403A"/>
    <w:rsid w:val="00F745A4"/>
    <w:rsid w:val="00F74C45"/>
    <w:rsid w:val="00F7742F"/>
    <w:rsid w:val="00F7758D"/>
    <w:rsid w:val="00F80F96"/>
    <w:rsid w:val="00F8103D"/>
    <w:rsid w:val="00F810F3"/>
    <w:rsid w:val="00F85D36"/>
    <w:rsid w:val="00F873C0"/>
    <w:rsid w:val="00F9057C"/>
    <w:rsid w:val="00F906D7"/>
    <w:rsid w:val="00F928DB"/>
    <w:rsid w:val="00F932A4"/>
    <w:rsid w:val="00F93781"/>
    <w:rsid w:val="00F94ACE"/>
    <w:rsid w:val="00F94BE6"/>
    <w:rsid w:val="00F974C1"/>
    <w:rsid w:val="00FA03A2"/>
    <w:rsid w:val="00FA2312"/>
    <w:rsid w:val="00FA66DB"/>
    <w:rsid w:val="00FA7146"/>
    <w:rsid w:val="00FB1207"/>
    <w:rsid w:val="00FB1747"/>
    <w:rsid w:val="00FB1C33"/>
    <w:rsid w:val="00FB2981"/>
    <w:rsid w:val="00FB2D15"/>
    <w:rsid w:val="00FB37E8"/>
    <w:rsid w:val="00FB4D39"/>
    <w:rsid w:val="00FB613B"/>
    <w:rsid w:val="00FB740E"/>
    <w:rsid w:val="00FC24BE"/>
    <w:rsid w:val="00FC2F78"/>
    <w:rsid w:val="00FC4D2E"/>
    <w:rsid w:val="00FC54FE"/>
    <w:rsid w:val="00FC68B7"/>
    <w:rsid w:val="00FC74D2"/>
    <w:rsid w:val="00FD1A57"/>
    <w:rsid w:val="00FD2530"/>
    <w:rsid w:val="00FD579E"/>
    <w:rsid w:val="00FD5D5F"/>
    <w:rsid w:val="00FD5DF0"/>
    <w:rsid w:val="00FD5F63"/>
    <w:rsid w:val="00FD7F6E"/>
    <w:rsid w:val="00FE09D5"/>
    <w:rsid w:val="00FE106A"/>
    <w:rsid w:val="00FE2923"/>
    <w:rsid w:val="00FE3675"/>
    <w:rsid w:val="00FE700A"/>
    <w:rsid w:val="00FF298E"/>
    <w:rsid w:val="00FF51EE"/>
    <w:rsid w:val="00FF76BC"/>
    <w:rsid w:val="00FF7D0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AD8D63"/>
  <w15:chartTrackingRefBased/>
  <w15:docId w15:val="{79B668A3-EB2E-4318-8C7C-26E0F844E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CH" w:eastAsia="zh-CN"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caption" w:semiHidden="1" w:unhideWhenUsed="1" w:qFormat="1"/>
    <w:lsdException w:name="footnote reference" w:qFormat="1"/>
    <w:lsdException w:name="annotation reference" w:uiPriority="99"/>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link w:val="Heading1Char"/>
    <w:uiPriority w:val="99"/>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rPr>
      <w:lang w:val="x-none"/>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qFormat/>
    <w:rsid w:val="000272B3"/>
    <w:pPr>
      <w:tabs>
        <w:tab w:val="right" w:pos="1021"/>
      </w:tabs>
      <w:spacing w:line="220" w:lineRule="exact"/>
      <w:ind w:left="1134" w:right="1134" w:hanging="1134"/>
    </w:pPr>
    <w:rPr>
      <w:sz w:val="18"/>
      <w:lang w:val="x-none"/>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Footnote Refernece,4_,SUPERS,call"/>
    <w:link w:val="Appelnotedebasde"/>
    <w:qFormat/>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NormalWeb">
    <w:name w:val="Normal (Web)"/>
    <w:basedOn w:val="Normal"/>
    <w:uiPriority w:val="99"/>
    <w:rsid w:val="00E75BCF"/>
    <w:pPr>
      <w:suppressAutoHyphens w:val="0"/>
      <w:spacing w:before="100" w:beforeAutospacing="1" w:after="100" w:afterAutospacing="1" w:line="240" w:lineRule="auto"/>
    </w:pPr>
    <w:rPr>
      <w:rFonts w:eastAsia="SimSun"/>
      <w:color w:val="000000"/>
      <w:sz w:val="24"/>
      <w:szCs w:val="24"/>
      <w:lang w:val="ru-RU" w:eastAsia="zh-CN"/>
    </w:rPr>
  </w:style>
  <w:style w:type="character" w:styleId="Emphasis">
    <w:name w:val="Emphasis"/>
    <w:uiPriority w:val="20"/>
    <w:qFormat/>
    <w:rsid w:val="00E75BCF"/>
    <w:rPr>
      <w:b/>
      <w:bCs/>
      <w:i w:val="0"/>
      <w:iCs w:val="0"/>
    </w:rPr>
  </w:style>
  <w:style w:type="character" w:customStyle="1" w:styleId="st">
    <w:name w:val="st"/>
    <w:rsid w:val="00E75BCF"/>
  </w:style>
  <w:style w:type="paragraph" w:customStyle="1" w:styleId="Default">
    <w:name w:val="Default"/>
    <w:rsid w:val="007913FB"/>
    <w:pPr>
      <w:autoSpaceDE w:val="0"/>
      <w:autoSpaceDN w:val="0"/>
      <w:adjustRightInd w:val="0"/>
    </w:pPr>
    <w:rPr>
      <w:color w:val="000000"/>
      <w:sz w:val="24"/>
      <w:szCs w:val="24"/>
      <w:lang w:val="en-GB" w:eastAsia="en-GB"/>
    </w:rPr>
  </w:style>
  <w:style w:type="character" w:customStyle="1" w:styleId="SingleTxtGChar">
    <w:name w:val="_ Single Txt_G Char"/>
    <w:link w:val="SingleTxtG"/>
    <w:rsid w:val="00F932A4"/>
    <w:rPr>
      <w:lang w:eastAsia="en-US"/>
    </w:rPr>
  </w:style>
  <w:style w:type="character" w:customStyle="1" w:styleId="apple-converted-space">
    <w:name w:val="apple-converted-space"/>
    <w:rsid w:val="005B523A"/>
    <w:rPr>
      <w:rFonts w:ascii="Times New Roman" w:hAnsi="Times New Roman" w:cs="Times New Roman" w:hint="default"/>
    </w:rPr>
  </w:style>
  <w:style w:type="character" w:customStyle="1" w:styleId="apple-style-span">
    <w:name w:val="apple-style-span"/>
    <w:rsid w:val="005B523A"/>
  </w:style>
  <w:style w:type="character" w:customStyle="1" w:styleId="FootnoteTextChar">
    <w:name w:val="Footnote Text Char"/>
    <w:aliases w:val="5_G Char,Footnote Text Char Char Char Char Char Char,Footnote Text Char Char Char Char Char1,Footnote reference Char1,FA Fu Char,Footnote Text Char Char Char Char2,Footnote Reference1 Char1, Char Char1,Char Char1,ft Char1"/>
    <w:link w:val="FootnoteText"/>
    <w:qFormat/>
    <w:locked/>
    <w:rsid w:val="009374B9"/>
    <w:rPr>
      <w:sz w:val="18"/>
      <w:lang w:eastAsia="en-US"/>
    </w:rPr>
  </w:style>
  <w:style w:type="paragraph" w:styleId="BalloonText">
    <w:name w:val="Balloon Text"/>
    <w:basedOn w:val="Normal"/>
    <w:link w:val="BalloonTextChar"/>
    <w:rsid w:val="00933C2A"/>
    <w:pPr>
      <w:spacing w:line="240" w:lineRule="auto"/>
    </w:pPr>
    <w:rPr>
      <w:rFonts w:ascii="Tahoma" w:hAnsi="Tahoma" w:cs="Tahoma"/>
      <w:sz w:val="16"/>
      <w:szCs w:val="16"/>
    </w:rPr>
  </w:style>
  <w:style w:type="character" w:customStyle="1" w:styleId="BalloonTextChar">
    <w:name w:val="Balloon Text Char"/>
    <w:link w:val="BalloonText"/>
    <w:rsid w:val="00933C2A"/>
    <w:rPr>
      <w:rFonts w:ascii="Tahoma" w:hAnsi="Tahoma" w:cs="Tahoma"/>
      <w:sz w:val="16"/>
      <w:szCs w:val="16"/>
      <w:lang w:eastAsia="en-US"/>
    </w:rPr>
  </w:style>
  <w:style w:type="character" w:styleId="CommentReference">
    <w:name w:val="annotation reference"/>
    <w:uiPriority w:val="99"/>
    <w:rsid w:val="00BB083D"/>
    <w:rPr>
      <w:sz w:val="16"/>
      <w:szCs w:val="16"/>
    </w:rPr>
  </w:style>
  <w:style w:type="paragraph" w:styleId="CommentText">
    <w:name w:val="annotation text"/>
    <w:basedOn w:val="Normal"/>
    <w:link w:val="CommentTextChar"/>
    <w:uiPriority w:val="99"/>
    <w:rsid w:val="00BB083D"/>
  </w:style>
  <w:style w:type="paragraph" w:styleId="CommentSubject">
    <w:name w:val="annotation subject"/>
    <w:basedOn w:val="CommentText"/>
    <w:next w:val="CommentText"/>
    <w:semiHidden/>
    <w:rsid w:val="00BB083D"/>
    <w:rPr>
      <w:b/>
      <w:bCs/>
    </w:rPr>
  </w:style>
  <w:style w:type="character" w:customStyle="1" w:styleId="FootnoteTextChar1">
    <w:name w:val="Footnote Text Char1"/>
    <w:aliases w:val="5_G Char1,Footnote Text Char Char Char Char Char Char1,Footnote Text Char Char Char Char Char2,Footnote reference Char,FA Fu Char1,Footnote Text Char Char Char Char1,Footnote Reference1 Char, Char Char,Char Char,ft Char,Style 27 Char"/>
    <w:locked/>
    <w:rsid w:val="00F272EC"/>
    <w:rPr>
      <w:rFonts w:eastAsia="SimSun"/>
      <w:sz w:val="18"/>
      <w:szCs w:val="20"/>
      <w:lang w:val="en-US" w:eastAsia="zh-CN"/>
    </w:rPr>
  </w:style>
  <w:style w:type="character" w:customStyle="1" w:styleId="Heading1Char">
    <w:name w:val="Heading 1 Char"/>
    <w:aliases w:val="Table_G Char"/>
    <w:link w:val="Heading1"/>
    <w:uiPriority w:val="99"/>
    <w:rsid w:val="00F272EC"/>
    <w:rPr>
      <w:lang w:val="x-none"/>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rsid w:val="00F272EC"/>
    <w:pPr>
      <w:suppressAutoHyphens w:val="0"/>
      <w:spacing w:before="120" w:after="120" w:line="240" w:lineRule="auto"/>
    </w:pPr>
    <w:rPr>
      <w:sz w:val="18"/>
      <w:vertAlign w:val="superscript"/>
      <w:lang w:val="en-US"/>
    </w:rPr>
  </w:style>
  <w:style w:type="character" w:customStyle="1" w:styleId="CommentTextChar">
    <w:name w:val="Comment Text Char"/>
    <w:link w:val="CommentText"/>
    <w:uiPriority w:val="99"/>
    <w:rsid w:val="003566A1"/>
    <w:rPr>
      <w:lang w:val="en-GB"/>
    </w:rPr>
  </w:style>
  <w:style w:type="paragraph" w:styleId="Revision">
    <w:name w:val="Revision"/>
    <w:hidden/>
    <w:uiPriority w:val="99"/>
    <w:semiHidden/>
    <w:rsid w:val="00EC4184"/>
    <w:rPr>
      <w:lang w:val="en-GB" w:eastAsia="en-US"/>
    </w:rPr>
  </w:style>
  <w:style w:type="character" w:styleId="UnresolvedMention">
    <w:name w:val="Unresolved Mention"/>
    <w:uiPriority w:val="99"/>
    <w:semiHidden/>
    <w:unhideWhenUsed/>
    <w:rsid w:val="001E06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1221">
      <w:bodyDiv w:val="1"/>
      <w:marLeft w:val="0"/>
      <w:marRight w:val="0"/>
      <w:marTop w:val="0"/>
      <w:marBottom w:val="0"/>
      <w:divBdr>
        <w:top w:val="none" w:sz="0" w:space="0" w:color="auto"/>
        <w:left w:val="none" w:sz="0" w:space="0" w:color="auto"/>
        <w:bottom w:val="none" w:sz="0" w:space="0" w:color="auto"/>
        <w:right w:val="none" w:sz="0" w:space="0" w:color="auto"/>
      </w:divBdr>
    </w:div>
    <w:div w:id="60522027">
      <w:bodyDiv w:val="1"/>
      <w:marLeft w:val="0"/>
      <w:marRight w:val="0"/>
      <w:marTop w:val="0"/>
      <w:marBottom w:val="0"/>
      <w:divBdr>
        <w:top w:val="none" w:sz="0" w:space="0" w:color="auto"/>
        <w:left w:val="none" w:sz="0" w:space="0" w:color="auto"/>
        <w:bottom w:val="none" w:sz="0" w:space="0" w:color="auto"/>
        <w:right w:val="none" w:sz="0" w:space="0" w:color="auto"/>
      </w:divBdr>
    </w:div>
    <w:div w:id="145630120">
      <w:bodyDiv w:val="1"/>
      <w:marLeft w:val="0"/>
      <w:marRight w:val="0"/>
      <w:marTop w:val="0"/>
      <w:marBottom w:val="0"/>
      <w:divBdr>
        <w:top w:val="none" w:sz="0" w:space="0" w:color="auto"/>
        <w:left w:val="none" w:sz="0" w:space="0" w:color="auto"/>
        <w:bottom w:val="none" w:sz="0" w:space="0" w:color="auto"/>
        <w:right w:val="none" w:sz="0" w:space="0" w:color="auto"/>
      </w:divBdr>
    </w:div>
    <w:div w:id="275478978">
      <w:bodyDiv w:val="1"/>
      <w:marLeft w:val="0"/>
      <w:marRight w:val="0"/>
      <w:marTop w:val="0"/>
      <w:marBottom w:val="0"/>
      <w:divBdr>
        <w:top w:val="none" w:sz="0" w:space="0" w:color="auto"/>
        <w:left w:val="none" w:sz="0" w:space="0" w:color="auto"/>
        <w:bottom w:val="none" w:sz="0" w:space="0" w:color="auto"/>
        <w:right w:val="none" w:sz="0" w:space="0" w:color="auto"/>
      </w:divBdr>
    </w:div>
    <w:div w:id="347678297">
      <w:bodyDiv w:val="1"/>
      <w:marLeft w:val="0"/>
      <w:marRight w:val="0"/>
      <w:marTop w:val="0"/>
      <w:marBottom w:val="0"/>
      <w:divBdr>
        <w:top w:val="none" w:sz="0" w:space="0" w:color="auto"/>
        <w:left w:val="none" w:sz="0" w:space="0" w:color="auto"/>
        <w:bottom w:val="none" w:sz="0" w:space="0" w:color="auto"/>
        <w:right w:val="none" w:sz="0" w:space="0" w:color="auto"/>
      </w:divBdr>
    </w:div>
    <w:div w:id="551116523">
      <w:bodyDiv w:val="1"/>
      <w:marLeft w:val="0"/>
      <w:marRight w:val="0"/>
      <w:marTop w:val="0"/>
      <w:marBottom w:val="0"/>
      <w:divBdr>
        <w:top w:val="none" w:sz="0" w:space="0" w:color="auto"/>
        <w:left w:val="none" w:sz="0" w:space="0" w:color="auto"/>
        <w:bottom w:val="none" w:sz="0" w:space="0" w:color="auto"/>
        <w:right w:val="none" w:sz="0" w:space="0" w:color="auto"/>
      </w:divBdr>
    </w:div>
    <w:div w:id="575359992">
      <w:bodyDiv w:val="1"/>
      <w:marLeft w:val="0"/>
      <w:marRight w:val="0"/>
      <w:marTop w:val="0"/>
      <w:marBottom w:val="0"/>
      <w:divBdr>
        <w:top w:val="none" w:sz="0" w:space="0" w:color="auto"/>
        <w:left w:val="none" w:sz="0" w:space="0" w:color="auto"/>
        <w:bottom w:val="none" w:sz="0" w:space="0" w:color="auto"/>
        <w:right w:val="none" w:sz="0" w:space="0" w:color="auto"/>
      </w:divBdr>
    </w:div>
    <w:div w:id="778110058">
      <w:bodyDiv w:val="1"/>
      <w:marLeft w:val="0"/>
      <w:marRight w:val="0"/>
      <w:marTop w:val="0"/>
      <w:marBottom w:val="0"/>
      <w:divBdr>
        <w:top w:val="none" w:sz="0" w:space="0" w:color="auto"/>
        <w:left w:val="none" w:sz="0" w:space="0" w:color="auto"/>
        <w:bottom w:val="none" w:sz="0" w:space="0" w:color="auto"/>
        <w:right w:val="none" w:sz="0" w:space="0" w:color="auto"/>
      </w:divBdr>
    </w:div>
    <w:div w:id="787047481">
      <w:bodyDiv w:val="1"/>
      <w:marLeft w:val="0"/>
      <w:marRight w:val="0"/>
      <w:marTop w:val="0"/>
      <w:marBottom w:val="0"/>
      <w:divBdr>
        <w:top w:val="none" w:sz="0" w:space="0" w:color="auto"/>
        <w:left w:val="none" w:sz="0" w:space="0" w:color="auto"/>
        <w:bottom w:val="none" w:sz="0" w:space="0" w:color="auto"/>
        <w:right w:val="none" w:sz="0" w:space="0" w:color="auto"/>
      </w:divBdr>
    </w:div>
    <w:div w:id="793668875">
      <w:bodyDiv w:val="1"/>
      <w:marLeft w:val="0"/>
      <w:marRight w:val="0"/>
      <w:marTop w:val="0"/>
      <w:marBottom w:val="0"/>
      <w:divBdr>
        <w:top w:val="none" w:sz="0" w:space="0" w:color="auto"/>
        <w:left w:val="none" w:sz="0" w:space="0" w:color="auto"/>
        <w:bottom w:val="none" w:sz="0" w:space="0" w:color="auto"/>
        <w:right w:val="none" w:sz="0" w:space="0" w:color="auto"/>
      </w:divBdr>
    </w:div>
    <w:div w:id="953636862">
      <w:bodyDiv w:val="1"/>
      <w:marLeft w:val="0"/>
      <w:marRight w:val="0"/>
      <w:marTop w:val="0"/>
      <w:marBottom w:val="0"/>
      <w:divBdr>
        <w:top w:val="none" w:sz="0" w:space="0" w:color="auto"/>
        <w:left w:val="none" w:sz="0" w:space="0" w:color="auto"/>
        <w:bottom w:val="none" w:sz="0" w:space="0" w:color="auto"/>
        <w:right w:val="none" w:sz="0" w:space="0" w:color="auto"/>
      </w:divBdr>
    </w:div>
    <w:div w:id="966744918">
      <w:bodyDiv w:val="1"/>
      <w:marLeft w:val="0"/>
      <w:marRight w:val="0"/>
      <w:marTop w:val="0"/>
      <w:marBottom w:val="0"/>
      <w:divBdr>
        <w:top w:val="none" w:sz="0" w:space="0" w:color="auto"/>
        <w:left w:val="none" w:sz="0" w:space="0" w:color="auto"/>
        <w:bottom w:val="none" w:sz="0" w:space="0" w:color="auto"/>
        <w:right w:val="none" w:sz="0" w:space="0" w:color="auto"/>
      </w:divBdr>
    </w:div>
    <w:div w:id="991786578">
      <w:bodyDiv w:val="1"/>
      <w:marLeft w:val="0"/>
      <w:marRight w:val="0"/>
      <w:marTop w:val="0"/>
      <w:marBottom w:val="0"/>
      <w:divBdr>
        <w:top w:val="none" w:sz="0" w:space="0" w:color="auto"/>
        <w:left w:val="none" w:sz="0" w:space="0" w:color="auto"/>
        <w:bottom w:val="none" w:sz="0" w:space="0" w:color="auto"/>
        <w:right w:val="none" w:sz="0" w:space="0" w:color="auto"/>
      </w:divBdr>
    </w:div>
    <w:div w:id="1089428316">
      <w:bodyDiv w:val="1"/>
      <w:marLeft w:val="0"/>
      <w:marRight w:val="0"/>
      <w:marTop w:val="0"/>
      <w:marBottom w:val="0"/>
      <w:divBdr>
        <w:top w:val="none" w:sz="0" w:space="0" w:color="auto"/>
        <w:left w:val="none" w:sz="0" w:space="0" w:color="auto"/>
        <w:bottom w:val="none" w:sz="0" w:space="0" w:color="auto"/>
        <w:right w:val="none" w:sz="0" w:space="0" w:color="auto"/>
      </w:divBdr>
    </w:div>
    <w:div w:id="1142230894">
      <w:bodyDiv w:val="1"/>
      <w:marLeft w:val="0"/>
      <w:marRight w:val="0"/>
      <w:marTop w:val="0"/>
      <w:marBottom w:val="0"/>
      <w:divBdr>
        <w:top w:val="none" w:sz="0" w:space="0" w:color="auto"/>
        <w:left w:val="none" w:sz="0" w:space="0" w:color="auto"/>
        <w:bottom w:val="none" w:sz="0" w:space="0" w:color="auto"/>
        <w:right w:val="none" w:sz="0" w:space="0" w:color="auto"/>
      </w:divBdr>
    </w:div>
    <w:div w:id="1215578798">
      <w:bodyDiv w:val="1"/>
      <w:marLeft w:val="0"/>
      <w:marRight w:val="0"/>
      <w:marTop w:val="0"/>
      <w:marBottom w:val="0"/>
      <w:divBdr>
        <w:top w:val="none" w:sz="0" w:space="0" w:color="auto"/>
        <w:left w:val="none" w:sz="0" w:space="0" w:color="auto"/>
        <w:bottom w:val="none" w:sz="0" w:space="0" w:color="auto"/>
        <w:right w:val="none" w:sz="0" w:space="0" w:color="auto"/>
      </w:divBdr>
    </w:div>
    <w:div w:id="1267735000">
      <w:bodyDiv w:val="1"/>
      <w:marLeft w:val="0"/>
      <w:marRight w:val="0"/>
      <w:marTop w:val="0"/>
      <w:marBottom w:val="0"/>
      <w:divBdr>
        <w:top w:val="none" w:sz="0" w:space="0" w:color="auto"/>
        <w:left w:val="none" w:sz="0" w:space="0" w:color="auto"/>
        <w:bottom w:val="none" w:sz="0" w:space="0" w:color="auto"/>
        <w:right w:val="none" w:sz="0" w:space="0" w:color="auto"/>
      </w:divBdr>
    </w:div>
    <w:div w:id="1310742841">
      <w:bodyDiv w:val="1"/>
      <w:marLeft w:val="0"/>
      <w:marRight w:val="0"/>
      <w:marTop w:val="0"/>
      <w:marBottom w:val="0"/>
      <w:divBdr>
        <w:top w:val="none" w:sz="0" w:space="0" w:color="auto"/>
        <w:left w:val="none" w:sz="0" w:space="0" w:color="auto"/>
        <w:bottom w:val="none" w:sz="0" w:space="0" w:color="auto"/>
        <w:right w:val="none" w:sz="0" w:space="0" w:color="auto"/>
      </w:divBdr>
    </w:div>
    <w:div w:id="1483544567">
      <w:bodyDiv w:val="1"/>
      <w:marLeft w:val="0"/>
      <w:marRight w:val="0"/>
      <w:marTop w:val="0"/>
      <w:marBottom w:val="0"/>
      <w:divBdr>
        <w:top w:val="none" w:sz="0" w:space="0" w:color="auto"/>
        <w:left w:val="none" w:sz="0" w:space="0" w:color="auto"/>
        <w:bottom w:val="none" w:sz="0" w:space="0" w:color="auto"/>
        <w:right w:val="none" w:sz="0" w:space="0" w:color="auto"/>
      </w:divBdr>
    </w:div>
    <w:div w:id="1510944428">
      <w:bodyDiv w:val="1"/>
      <w:marLeft w:val="0"/>
      <w:marRight w:val="0"/>
      <w:marTop w:val="0"/>
      <w:marBottom w:val="0"/>
      <w:divBdr>
        <w:top w:val="none" w:sz="0" w:space="0" w:color="auto"/>
        <w:left w:val="none" w:sz="0" w:space="0" w:color="auto"/>
        <w:bottom w:val="none" w:sz="0" w:space="0" w:color="auto"/>
        <w:right w:val="none" w:sz="0" w:space="0" w:color="auto"/>
      </w:divBdr>
    </w:div>
    <w:div w:id="1532259699">
      <w:bodyDiv w:val="1"/>
      <w:marLeft w:val="0"/>
      <w:marRight w:val="0"/>
      <w:marTop w:val="0"/>
      <w:marBottom w:val="0"/>
      <w:divBdr>
        <w:top w:val="none" w:sz="0" w:space="0" w:color="auto"/>
        <w:left w:val="none" w:sz="0" w:space="0" w:color="auto"/>
        <w:bottom w:val="none" w:sz="0" w:space="0" w:color="auto"/>
        <w:right w:val="none" w:sz="0" w:space="0" w:color="auto"/>
      </w:divBdr>
    </w:div>
    <w:div w:id="1692220576">
      <w:bodyDiv w:val="1"/>
      <w:marLeft w:val="0"/>
      <w:marRight w:val="0"/>
      <w:marTop w:val="0"/>
      <w:marBottom w:val="0"/>
      <w:divBdr>
        <w:top w:val="none" w:sz="0" w:space="0" w:color="auto"/>
        <w:left w:val="none" w:sz="0" w:space="0" w:color="auto"/>
        <w:bottom w:val="none" w:sz="0" w:space="0" w:color="auto"/>
        <w:right w:val="none" w:sz="0" w:space="0" w:color="auto"/>
      </w:divBdr>
    </w:div>
    <w:div w:id="1746104028">
      <w:bodyDiv w:val="1"/>
      <w:marLeft w:val="0"/>
      <w:marRight w:val="0"/>
      <w:marTop w:val="0"/>
      <w:marBottom w:val="0"/>
      <w:divBdr>
        <w:top w:val="none" w:sz="0" w:space="0" w:color="auto"/>
        <w:left w:val="none" w:sz="0" w:space="0" w:color="auto"/>
        <w:bottom w:val="none" w:sz="0" w:space="0" w:color="auto"/>
        <w:right w:val="none" w:sz="0" w:space="0" w:color="auto"/>
      </w:divBdr>
    </w:div>
    <w:div w:id="1752462500">
      <w:bodyDiv w:val="1"/>
      <w:marLeft w:val="0"/>
      <w:marRight w:val="0"/>
      <w:marTop w:val="0"/>
      <w:marBottom w:val="0"/>
      <w:divBdr>
        <w:top w:val="none" w:sz="0" w:space="0" w:color="auto"/>
        <w:left w:val="none" w:sz="0" w:space="0" w:color="auto"/>
        <w:bottom w:val="none" w:sz="0" w:space="0" w:color="auto"/>
        <w:right w:val="none" w:sz="0" w:space="0" w:color="auto"/>
      </w:divBdr>
    </w:div>
    <w:div w:id="1791632047">
      <w:bodyDiv w:val="1"/>
      <w:marLeft w:val="0"/>
      <w:marRight w:val="0"/>
      <w:marTop w:val="0"/>
      <w:marBottom w:val="0"/>
      <w:divBdr>
        <w:top w:val="none" w:sz="0" w:space="0" w:color="auto"/>
        <w:left w:val="none" w:sz="0" w:space="0" w:color="auto"/>
        <w:bottom w:val="none" w:sz="0" w:space="0" w:color="auto"/>
        <w:right w:val="none" w:sz="0" w:space="0" w:color="auto"/>
      </w:divBdr>
    </w:div>
    <w:div w:id="1886141682">
      <w:bodyDiv w:val="1"/>
      <w:marLeft w:val="0"/>
      <w:marRight w:val="0"/>
      <w:marTop w:val="0"/>
      <w:marBottom w:val="0"/>
      <w:divBdr>
        <w:top w:val="none" w:sz="0" w:space="0" w:color="auto"/>
        <w:left w:val="none" w:sz="0" w:space="0" w:color="auto"/>
        <w:bottom w:val="none" w:sz="0" w:space="0" w:color="auto"/>
        <w:right w:val="none" w:sz="0" w:space="0" w:color="auto"/>
      </w:divBdr>
    </w:div>
    <w:div w:id="1921088817">
      <w:bodyDiv w:val="1"/>
      <w:marLeft w:val="0"/>
      <w:marRight w:val="0"/>
      <w:marTop w:val="0"/>
      <w:marBottom w:val="0"/>
      <w:divBdr>
        <w:top w:val="none" w:sz="0" w:space="0" w:color="auto"/>
        <w:left w:val="none" w:sz="0" w:space="0" w:color="auto"/>
        <w:bottom w:val="none" w:sz="0" w:space="0" w:color="auto"/>
        <w:right w:val="none" w:sz="0" w:space="0" w:color="auto"/>
      </w:divBdr>
    </w:div>
    <w:div w:id="2071493487">
      <w:bodyDiv w:val="1"/>
      <w:marLeft w:val="0"/>
      <w:marRight w:val="0"/>
      <w:marTop w:val="0"/>
      <w:marBottom w:val="0"/>
      <w:divBdr>
        <w:top w:val="none" w:sz="0" w:space="0" w:color="auto"/>
        <w:left w:val="none" w:sz="0" w:space="0" w:color="auto"/>
        <w:bottom w:val="none" w:sz="0" w:space="0" w:color="auto"/>
        <w:right w:val="none" w:sz="0" w:space="0" w:color="auto"/>
      </w:divBdr>
    </w:div>
    <w:div w:id="2083260637">
      <w:bodyDiv w:val="1"/>
      <w:marLeft w:val="0"/>
      <w:marRight w:val="0"/>
      <w:marTop w:val="0"/>
      <w:marBottom w:val="0"/>
      <w:divBdr>
        <w:top w:val="none" w:sz="0" w:space="0" w:color="auto"/>
        <w:left w:val="none" w:sz="0" w:space="0" w:color="auto"/>
        <w:bottom w:val="none" w:sz="0" w:space="0" w:color="auto"/>
        <w:right w:val="none" w:sz="0" w:space="0" w:color="auto"/>
      </w:divBdr>
    </w:div>
    <w:div w:id="2110850370">
      <w:bodyDiv w:val="1"/>
      <w:marLeft w:val="0"/>
      <w:marRight w:val="0"/>
      <w:marTop w:val="0"/>
      <w:marBottom w:val="0"/>
      <w:divBdr>
        <w:top w:val="none" w:sz="0" w:space="0" w:color="auto"/>
        <w:left w:val="none" w:sz="0" w:space="0" w:color="auto"/>
        <w:bottom w:val="none" w:sz="0" w:space="0" w:color="auto"/>
        <w:right w:val="none" w:sz="0" w:space="0" w:color="auto"/>
      </w:divBdr>
    </w:div>
    <w:div w:id="2143695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785221ADBDE248AF0BB097DEBF0CEB" ma:contentTypeVersion="15" ma:contentTypeDescription="Create a new document." ma:contentTypeScope="" ma:versionID="28b904ba5b4d94885f38e6e4b523b028">
  <xsd:schema xmlns:xsd="http://www.w3.org/2001/XMLSchema" xmlns:xs="http://www.w3.org/2001/XMLSchema" xmlns:p="http://schemas.microsoft.com/office/2006/metadata/properties" xmlns:ns2="26f64be0-bbb7-4b08-87cb-17d7462398e0" xmlns:ns3="11a6fe0c-d8de-4390-afb3-d9c7c54181f0" xmlns:ns4="985ec44e-1bab-4c0b-9df0-6ba128686fc9" targetNamespace="http://schemas.microsoft.com/office/2006/metadata/properties" ma:root="true" ma:fieldsID="705156ab9574522c5f0afeb0db9b9a5e" ns2:_="" ns3:_="" ns4:_="">
    <xsd:import namespace="26f64be0-bbb7-4b08-87cb-17d7462398e0"/>
    <xsd:import namespace="11a6fe0c-d8de-4390-afb3-d9c7c54181f0"/>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f64be0-bbb7-4b08-87cb-17d7462398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23ee95-c171-4790-839f-a7a22323ee5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6f64be0-bbb7-4b08-87cb-17d7462398e0">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1A99462B-987F-4533-9006-C0B669D2E2C0}">
  <ds:schemaRefs>
    <ds:schemaRef ds:uri="http://schemas.microsoft.com/sharepoint/v3/contenttype/forms"/>
  </ds:schemaRefs>
</ds:datastoreItem>
</file>

<file path=customXml/itemProps2.xml><?xml version="1.0" encoding="utf-8"?>
<ds:datastoreItem xmlns:ds="http://schemas.openxmlformats.org/officeDocument/2006/customXml" ds:itemID="{E6C10F81-9468-4281-A2CE-3BCB41CF9A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f64be0-bbb7-4b08-87cb-17d7462398e0"/>
    <ds:schemaRef ds:uri="11a6fe0c-d8de-4390-afb3-d9c7c54181f0"/>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25E78C-7C17-4C2F-A801-E21035FF4713}">
  <ds:schemaRefs>
    <ds:schemaRef ds:uri="http://schemas.openxmlformats.org/officeDocument/2006/bibliography"/>
  </ds:schemaRefs>
</ds:datastoreItem>
</file>

<file path=customXml/itemProps4.xml><?xml version="1.0" encoding="utf-8"?>
<ds:datastoreItem xmlns:ds="http://schemas.openxmlformats.org/officeDocument/2006/customXml" ds:itemID="{2EB34C9F-2577-43C6-A19D-F37037F6E400}">
  <ds:schemaRefs>
    <ds:schemaRef ds:uri="http://schemas.microsoft.com/office/2006/metadata/properties"/>
    <ds:schemaRef ds:uri="http://schemas.microsoft.com/office/infopath/2007/PartnerControls"/>
    <ds:schemaRef ds:uri="26f64be0-bbb7-4b08-87cb-17d7462398e0"/>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2769</Words>
  <Characters>15786</Characters>
  <Application>Microsoft Office Word</Application>
  <DocSecurity>4</DocSecurity>
  <Lines>131</Lines>
  <Paragraphs>37</Paragraphs>
  <ScaleCrop>false</ScaleCrop>
  <HeadingPairs>
    <vt:vector size="2" baseType="variant">
      <vt:variant>
        <vt:lpstr>Title</vt:lpstr>
      </vt:variant>
      <vt:variant>
        <vt:i4>1</vt:i4>
      </vt:variant>
    </vt:vector>
  </HeadingPairs>
  <TitlesOfParts>
    <vt:vector size="1" baseType="lpstr">
      <vt:lpstr>CCPR/C/WG/144/DR/3136/2018</vt:lpstr>
    </vt:vector>
  </TitlesOfParts>
  <Company>CSD</Company>
  <LinksUpToDate>false</LinksUpToDate>
  <CharactersWithSpaces>18518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CCPR/C/WG/144/DR/3136/2018</dc:title>
  <dc:subject>2509288</dc:subject>
  <dc:creator>default</dc:creator>
  <cp:keywords/>
  <dc:description/>
  <cp:lastModifiedBy>Mohamed Abdelazim</cp:lastModifiedBy>
  <cp:revision>2</cp:revision>
  <cp:lastPrinted>2012-07-24T14:12:00Z</cp:lastPrinted>
  <dcterms:created xsi:type="dcterms:W3CDTF">2025-08-11T08:07:00Z</dcterms:created>
  <dcterms:modified xsi:type="dcterms:W3CDTF">2025-08-11T08:07:00Z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0x010100F8785221ADBDE248AF0BB097DEBF0CEB</vt:lpwstr>
  </property>
  <property fmtid="{D5CDD505-2E9C-101B-9397-08002B2CF9AE}" pid="3" name="MediaServiceImageTags">
    <vt:lpwstr/>
  </property>
</Properties>
</file>