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99" w:rsidRPr="00EB0BCC" w:rsidRDefault="00746599" w:rsidP="00BA35C4">
      <w:pPr>
        <w:pStyle w:val="BodyText"/>
        <w:tabs>
          <w:tab w:val="right" w:pos="8910"/>
        </w:tabs>
        <w:ind w:right="18"/>
        <w:jc w:val="both"/>
        <w:rPr>
          <w:b/>
          <w:color w:val="000000" w:themeColor="text1"/>
          <w:sz w:val="32"/>
          <w:szCs w:val="32"/>
          <w:lang w:val="en-GB"/>
        </w:rPr>
      </w:pPr>
      <w:bookmarkStart w:id="0" w:name="_GoBack"/>
      <w:bookmarkEnd w:id="0"/>
    </w:p>
    <w:p w:rsidR="00746599" w:rsidRPr="00EB0BCC" w:rsidRDefault="00684734" w:rsidP="00DC790D">
      <w:pPr>
        <w:pStyle w:val="BodyText"/>
        <w:tabs>
          <w:tab w:val="right" w:pos="8910"/>
        </w:tabs>
        <w:ind w:right="18"/>
        <w:jc w:val="center"/>
        <w:rPr>
          <w:b/>
          <w:color w:val="000000" w:themeColor="text1"/>
          <w:sz w:val="32"/>
          <w:szCs w:val="32"/>
          <w:lang w:val="en-GB"/>
        </w:rPr>
      </w:pPr>
      <w:r w:rsidRPr="00EB0BCC">
        <w:rPr>
          <w:b/>
          <w:noProof/>
          <w:color w:val="000000" w:themeColor="text1"/>
          <w:sz w:val="32"/>
          <w:szCs w:val="32"/>
          <w:lang w:val="en-GB" w:eastAsia="en-GB"/>
        </w:rPr>
        <w:drawing>
          <wp:inline distT="0" distB="0" distL="0" distR="0" wp14:anchorId="11779818" wp14:editId="34129727">
            <wp:extent cx="2962275" cy="923925"/>
            <wp:effectExtent l="0" t="0" r="9525" b="9525"/>
            <wp:docPr id="1" name="Picture 1" descr="gc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923925"/>
                    </a:xfrm>
                    <a:prstGeom prst="rect">
                      <a:avLst/>
                    </a:prstGeom>
                    <a:noFill/>
                    <a:ln>
                      <a:noFill/>
                    </a:ln>
                  </pic:spPr>
                </pic:pic>
              </a:graphicData>
            </a:graphic>
          </wp:inline>
        </w:drawing>
      </w:r>
    </w:p>
    <w:p w:rsidR="00DC790D" w:rsidRPr="00EB0BCC" w:rsidRDefault="00DC790D" w:rsidP="00DC790D">
      <w:pPr>
        <w:pStyle w:val="BodyText"/>
        <w:tabs>
          <w:tab w:val="right" w:pos="8910"/>
        </w:tabs>
        <w:ind w:right="18"/>
        <w:jc w:val="center"/>
        <w:rPr>
          <w:b/>
          <w:color w:val="000000" w:themeColor="text1"/>
          <w:sz w:val="32"/>
          <w:szCs w:val="32"/>
          <w:lang w:val="en-GB"/>
        </w:rPr>
      </w:pPr>
    </w:p>
    <w:p w:rsidR="00DC790D" w:rsidRPr="00EB0BCC" w:rsidRDefault="00DC790D" w:rsidP="00DC790D">
      <w:pPr>
        <w:pStyle w:val="BodyText"/>
        <w:tabs>
          <w:tab w:val="right" w:pos="8910"/>
        </w:tabs>
        <w:ind w:right="18"/>
        <w:jc w:val="center"/>
        <w:rPr>
          <w:b/>
          <w:color w:val="000000" w:themeColor="text1"/>
          <w:sz w:val="32"/>
          <w:szCs w:val="32"/>
          <w:lang w:val="en-GB"/>
        </w:rPr>
      </w:pPr>
    </w:p>
    <w:p w:rsidR="00444E52" w:rsidRPr="00EB0BCC" w:rsidRDefault="00746599" w:rsidP="00DC790D">
      <w:pPr>
        <w:pStyle w:val="BodyText"/>
        <w:tabs>
          <w:tab w:val="right" w:pos="8910"/>
        </w:tabs>
        <w:ind w:right="18"/>
        <w:jc w:val="center"/>
        <w:rPr>
          <w:b/>
          <w:color w:val="000000" w:themeColor="text1"/>
          <w:sz w:val="32"/>
          <w:szCs w:val="32"/>
          <w:lang w:val="en-GB"/>
        </w:rPr>
      </w:pPr>
      <w:r w:rsidRPr="00EB0BCC">
        <w:rPr>
          <w:b/>
          <w:color w:val="000000" w:themeColor="text1"/>
          <w:sz w:val="32"/>
          <w:szCs w:val="32"/>
          <w:lang w:val="en-GB"/>
        </w:rPr>
        <w:t>Torture, Physical Coercion and Reprisals</w:t>
      </w:r>
      <w:r w:rsidR="00A23FF6" w:rsidRPr="00EB0BCC">
        <w:rPr>
          <w:b/>
          <w:color w:val="000000" w:themeColor="text1"/>
          <w:sz w:val="32"/>
          <w:szCs w:val="32"/>
          <w:lang w:val="en-GB"/>
        </w:rPr>
        <w:t xml:space="preserve"> in Bahrain</w:t>
      </w:r>
    </w:p>
    <w:p w:rsidR="00746599" w:rsidRPr="00EB0BCC" w:rsidRDefault="00051C75" w:rsidP="00DC790D">
      <w:pPr>
        <w:pStyle w:val="BodyText"/>
        <w:tabs>
          <w:tab w:val="right" w:pos="8910"/>
        </w:tabs>
        <w:ind w:right="18"/>
        <w:jc w:val="center"/>
        <w:rPr>
          <w:b/>
          <w:color w:val="000000" w:themeColor="text1"/>
          <w:sz w:val="32"/>
          <w:szCs w:val="32"/>
          <w:lang w:val="en-GB"/>
        </w:rPr>
      </w:pPr>
      <w:r w:rsidRPr="00EB0BCC">
        <w:rPr>
          <w:b/>
          <w:color w:val="000000" w:themeColor="text1"/>
          <w:sz w:val="32"/>
          <w:szCs w:val="32"/>
          <w:lang w:val="en-GB"/>
        </w:rPr>
        <w:t>Bel</w:t>
      </w:r>
      <w:r w:rsidR="00C44013" w:rsidRPr="00EB0BCC">
        <w:rPr>
          <w:b/>
          <w:color w:val="000000" w:themeColor="text1"/>
          <w:sz w:val="32"/>
          <w:szCs w:val="32"/>
          <w:lang w:val="en-GB"/>
        </w:rPr>
        <w:t>ie</w:t>
      </w:r>
      <w:r w:rsidRPr="00EB0BCC">
        <w:rPr>
          <w:b/>
          <w:color w:val="000000" w:themeColor="text1"/>
          <w:sz w:val="32"/>
          <w:szCs w:val="32"/>
          <w:lang w:val="en-GB"/>
        </w:rPr>
        <w:t xml:space="preserve"> </w:t>
      </w:r>
      <w:r w:rsidR="00C44013" w:rsidRPr="00EB0BCC">
        <w:rPr>
          <w:b/>
          <w:color w:val="000000" w:themeColor="text1"/>
          <w:sz w:val="32"/>
          <w:szCs w:val="32"/>
          <w:lang w:val="en-GB"/>
        </w:rPr>
        <w:t>Commitment to</w:t>
      </w:r>
      <w:r w:rsidRPr="00EB0BCC">
        <w:rPr>
          <w:b/>
          <w:color w:val="000000" w:themeColor="text1"/>
          <w:sz w:val="32"/>
          <w:szCs w:val="32"/>
          <w:lang w:val="en-GB"/>
        </w:rPr>
        <w:t xml:space="preserve"> Reform</w:t>
      </w:r>
    </w:p>
    <w:p w:rsidR="00746599" w:rsidRPr="00EB0BCC" w:rsidRDefault="00746599" w:rsidP="00DC790D">
      <w:pPr>
        <w:pStyle w:val="BodyText"/>
        <w:tabs>
          <w:tab w:val="right" w:pos="8910"/>
        </w:tabs>
        <w:ind w:right="18"/>
        <w:jc w:val="center"/>
        <w:rPr>
          <w:b/>
          <w:color w:val="000000" w:themeColor="text1"/>
          <w:sz w:val="32"/>
          <w:szCs w:val="32"/>
          <w:lang w:val="en-GB"/>
        </w:rPr>
      </w:pPr>
    </w:p>
    <w:p w:rsidR="003F459C" w:rsidRPr="00EB0BCC" w:rsidRDefault="003F459C" w:rsidP="00DC790D">
      <w:pPr>
        <w:pStyle w:val="BodyText"/>
        <w:tabs>
          <w:tab w:val="right" w:pos="8910"/>
        </w:tabs>
        <w:spacing w:after="0"/>
        <w:ind w:right="18"/>
        <w:jc w:val="center"/>
        <w:rPr>
          <w:b/>
          <w:color w:val="000000" w:themeColor="text1"/>
          <w:sz w:val="32"/>
          <w:szCs w:val="32"/>
          <w:u w:val="single"/>
          <w:lang w:val="en-GB"/>
        </w:rPr>
      </w:pPr>
    </w:p>
    <w:p w:rsidR="003F459C" w:rsidRPr="00EB0BCC" w:rsidRDefault="003F459C" w:rsidP="00DC790D">
      <w:pPr>
        <w:pStyle w:val="BodyText"/>
        <w:tabs>
          <w:tab w:val="right" w:pos="8910"/>
        </w:tabs>
        <w:spacing w:after="0"/>
        <w:ind w:right="18"/>
        <w:jc w:val="center"/>
        <w:rPr>
          <w:b/>
          <w:color w:val="000000" w:themeColor="text1"/>
          <w:sz w:val="32"/>
          <w:szCs w:val="32"/>
          <w:u w:val="single"/>
          <w:lang w:val="en-GB"/>
        </w:rPr>
      </w:pPr>
    </w:p>
    <w:p w:rsidR="003F459C" w:rsidRPr="00EB0BCC" w:rsidRDefault="003F459C" w:rsidP="00DC790D">
      <w:pPr>
        <w:pStyle w:val="BodyText"/>
        <w:tabs>
          <w:tab w:val="right" w:pos="8910"/>
        </w:tabs>
        <w:spacing w:after="0"/>
        <w:ind w:right="18"/>
        <w:jc w:val="center"/>
        <w:rPr>
          <w:b/>
          <w:color w:val="000000" w:themeColor="text1"/>
          <w:sz w:val="32"/>
          <w:szCs w:val="32"/>
          <w:u w:val="single"/>
          <w:lang w:val="en-GB"/>
        </w:rPr>
      </w:pPr>
    </w:p>
    <w:p w:rsidR="003F459C" w:rsidRPr="00EB0BCC" w:rsidRDefault="003F459C" w:rsidP="00DC790D">
      <w:pPr>
        <w:pStyle w:val="BodyText"/>
        <w:tabs>
          <w:tab w:val="right" w:pos="8910"/>
        </w:tabs>
        <w:spacing w:after="0"/>
        <w:ind w:right="18"/>
        <w:jc w:val="center"/>
        <w:rPr>
          <w:b/>
          <w:color w:val="000000" w:themeColor="text1"/>
          <w:sz w:val="32"/>
          <w:szCs w:val="32"/>
          <w:u w:val="single"/>
          <w:lang w:val="en-GB"/>
        </w:rPr>
      </w:pPr>
    </w:p>
    <w:p w:rsidR="00450E46" w:rsidRPr="00EB0BCC" w:rsidRDefault="006036EC" w:rsidP="00DC790D">
      <w:pPr>
        <w:pStyle w:val="BodyText"/>
        <w:tabs>
          <w:tab w:val="right" w:pos="8910"/>
        </w:tabs>
        <w:spacing w:after="0"/>
        <w:ind w:right="18"/>
        <w:jc w:val="center"/>
        <w:rPr>
          <w:b/>
          <w:color w:val="000000" w:themeColor="text1"/>
          <w:sz w:val="32"/>
          <w:szCs w:val="32"/>
          <w:lang w:val="en-GB"/>
        </w:rPr>
      </w:pPr>
      <w:r w:rsidRPr="00EB0BCC">
        <w:rPr>
          <w:b/>
          <w:color w:val="000000" w:themeColor="text1"/>
          <w:sz w:val="32"/>
          <w:szCs w:val="32"/>
          <w:lang w:val="en-GB"/>
        </w:rPr>
        <w:t>01</w:t>
      </w:r>
      <w:r w:rsidR="003F459C" w:rsidRPr="00EB0BCC">
        <w:rPr>
          <w:b/>
          <w:color w:val="000000" w:themeColor="text1"/>
          <w:sz w:val="32"/>
          <w:szCs w:val="32"/>
          <w:lang w:val="en-GB"/>
        </w:rPr>
        <w:t xml:space="preserve"> </w:t>
      </w:r>
      <w:r w:rsidR="00BA35C4" w:rsidRPr="00EB0BCC">
        <w:rPr>
          <w:b/>
          <w:color w:val="000000" w:themeColor="text1"/>
          <w:sz w:val="32"/>
          <w:szCs w:val="32"/>
          <w:lang w:val="en-GB"/>
        </w:rPr>
        <w:t xml:space="preserve">March </w:t>
      </w:r>
      <w:r w:rsidR="003F459C" w:rsidRPr="00EB0BCC">
        <w:rPr>
          <w:b/>
          <w:color w:val="000000" w:themeColor="text1"/>
          <w:sz w:val="32"/>
          <w:szCs w:val="32"/>
          <w:lang w:val="en-GB"/>
        </w:rPr>
        <w:t>201</w:t>
      </w:r>
      <w:r w:rsidR="0034022C" w:rsidRPr="00EB0BCC">
        <w:rPr>
          <w:b/>
          <w:color w:val="000000" w:themeColor="text1"/>
          <w:sz w:val="32"/>
          <w:szCs w:val="32"/>
          <w:lang w:val="en-GB"/>
        </w:rPr>
        <w:t>7</w:t>
      </w:r>
    </w:p>
    <w:p w:rsidR="00450E46" w:rsidRPr="00EB0BCC" w:rsidRDefault="00450E46" w:rsidP="00DC790D">
      <w:pPr>
        <w:pStyle w:val="BodyText"/>
        <w:tabs>
          <w:tab w:val="right" w:pos="8910"/>
        </w:tabs>
        <w:spacing w:after="0"/>
        <w:ind w:right="18"/>
        <w:jc w:val="center"/>
        <w:rPr>
          <w:b/>
          <w:color w:val="000000" w:themeColor="text1"/>
          <w:sz w:val="32"/>
          <w:szCs w:val="32"/>
          <w:lang w:val="en-GB"/>
        </w:rPr>
      </w:pPr>
    </w:p>
    <w:p w:rsidR="00450E46" w:rsidRPr="00EB0BCC" w:rsidRDefault="00051C75" w:rsidP="00DC790D">
      <w:pPr>
        <w:pStyle w:val="BodyText"/>
        <w:tabs>
          <w:tab w:val="right" w:pos="8910"/>
        </w:tabs>
        <w:spacing w:after="0"/>
        <w:ind w:right="18"/>
        <w:jc w:val="center"/>
        <w:rPr>
          <w:b/>
          <w:color w:val="000000" w:themeColor="text1"/>
          <w:sz w:val="28"/>
          <w:szCs w:val="28"/>
          <w:lang w:val="en-GB"/>
        </w:rPr>
      </w:pPr>
      <w:r w:rsidRPr="00EB0BCC">
        <w:rPr>
          <w:b/>
          <w:color w:val="000000" w:themeColor="text1"/>
          <w:sz w:val="28"/>
          <w:szCs w:val="28"/>
          <w:lang w:val="en-GB"/>
        </w:rPr>
        <w:t>A report by the</w:t>
      </w:r>
    </w:p>
    <w:p w:rsidR="005C7A0D" w:rsidRPr="00EB0BCC" w:rsidRDefault="00450E46" w:rsidP="00DC790D">
      <w:pPr>
        <w:pStyle w:val="BodyText"/>
        <w:tabs>
          <w:tab w:val="right" w:pos="8910"/>
        </w:tabs>
        <w:spacing w:after="0"/>
        <w:ind w:right="18"/>
        <w:jc w:val="center"/>
        <w:rPr>
          <w:b/>
          <w:color w:val="000000" w:themeColor="text1"/>
          <w:sz w:val="28"/>
          <w:szCs w:val="28"/>
          <w:lang w:val="en-GB"/>
        </w:rPr>
      </w:pPr>
      <w:r w:rsidRPr="00EB0BCC">
        <w:rPr>
          <w:b/>
          <w:color w:val="000000" w:themeColor="text1"/>
          <w:sz w:val="28"/>
          <w:szCs w:val="28"/>
          <w:lang w:val="en-GB"/>
        </w:rPr>
        <w:t xml:space="preserve">Gulf </w:t>
      </w:r>
      <w:r w:rsidR="00764C7A" w:rsidRPr="00EB0BCC">
        <w:rPr>
          <w:b/>
          <w:color w:val="000000" w:themeColor="text1"/>
          <w:sz w:val="28"/>
          <w:szCs w:val="28"/>
          <w:lang w:val="en-GB"/>
        </w:rPr>
        <w:t xml:space="preserve">Centre </w:t>
      </w:r>
      <w:r w:rsidRPr="00EB0BCC">
        <w:rPr>
          <w:b/>
          <w:color w:val="000000" w:themeColor="text1"/>
          <w:sz w:val="28"/>
          <w:szCs w:val="28"/>
          <w:lang w:val="en-GB"/>
        </w:rPr>
        <w:t>for Human Rights</w:t>
      </w:r>
      <w:r w:rsidR="00764C7A" w:rsidRPr="00EB0BCC">
        <w:rPr>
          <w:b/>
          <w:color w:val="000000" w:themeColor="text1"/>
          <w:sz w:val="28"/>
          <w:szCs w:val="28"/>
          <w:lang w:val="en-GB"/>
        </w:rPr>
        <w:t xml:space="preserve"> (GCHR)</w:t>
      </w:r>
    </w:p>
    <w:p w:rsidR="00CF3DB4" w:rsidRPr="00EB0BCC" w:rsidRDefault="00635F72" w:rsidP="00DC790D">
      <w:pPr>
        <w:pStyle w:val="BodyText"/>
        <w:tabs>
          <w:tab w:val="right" w:pos="8910"/>
        </w:tabs>
        <w:spacing w:after="0"/>
        <w:ind w:right="18"/>
        <w:jc w:val="center"/>
        <w:rPr>
          <w:b/>
          <w:color w:val="000000" w:themeColor="text1"/>
          <w:szCs w:val="24"/>
          <w:lang w:val="en-GB"/>
        </w:rPr>
      </w:pPr>
      <w:r w:rsidRPr="00EB0BCC">
        <w:rPr>
          <w:b/>
          <w:color w:val="000000" w:themeColor="text1"/>
          <w:sz w:val="28"/>
          <w:szCs w:val="28"/>
          <w:lang w:val="en-GB"/>
        </w:rPr>
        <w:t>P</w:t>
      </w:r>
      <w:r w:rsidR="005C7A0D" w:rsidRPr="00EB0BCC">
        <w:rPr>
          <w:b/>
          <w:color w:val="000000" w:themeColor="text1"/>
          <w:sz w:val="28"/>
          <w:szCs w:val="28"/>
          <w:lang w:val="en-GB"/>
        </w:rPr>
        <w:t>repared with the assistance of Dorsey &amp; Whitney LLP</w:t>
      </w:r>
      <w:r w:rsidR="005C7A0D" w:rsidRPr="00EB0BCC">
        <w:rPr>
          <w:b/>
          <w:color w:val="000000" w:themeColor="text1"/>
          <w:szCs w:val="24"/>
          <w:lang w:val="en-GB"/>
        </w:rPr>
        <w:t xml:space="preserve"> </w:t>
      </w:r>
      <w:r w:rsidR="00746599" w:rsidRPr="00EB0BCC">
        <w:rPr>
          <w:b/>
          <w:color w:val="000000" w:themeColor="text1"/>
          <w:szCs w:val="24"/>
          <w:lang w:val="en-GB"/>
        </w:rPr>
        <w:br w:type="page"/>
      </w:r>
    </w:p>
    <w:p w:rsidR="00CF3DB4" w:rsidRPr="00EB0BCC" w:rsidRDefault="00CF3DB4" w:rsidP="00BA35C4">
      <w:pPr>
        <w:pStyle w:val="GridTable5Dark-Accent11"/>
        <w:jc w:val="both"/>
        <w:rPr>
          <w:rFonts w:ascii="Times New Roman" w:hAnsi="Times New Roman"/>
          <w:color w:val="000000" w:themeColor="text1"/>
          <w:sz w:val="36"/>
          <w:szCs w:val="36"/>
          <w:lang w:val="en-GB"/>
        </w:rPr>
      </w:pPr>
      <w:r w:rsidRPr="00EB0BCC">
        <w:rPr>
          <w:rFonts w:ascii="Times New Roman" w:hAnsi="Times New Roman"/>
          <w:color w:val="000000" w:themeColor="text1"/>
          <w:sz w:val="36"/>
          <w:szCs w:val="36"/>
          <w:lang w:val="en-GB"/>
        </w:rPr>
        <w:lastRenderedPageBreak/>
        <w:t>Table of Contents</w:t>
      </w:r>
    </w:p>
    <w:p w:rsidR="00466471" w:rsidRPr="00EB0BCC" w:rsidRDefault="00CF3DB4">
      <w:pPr>
        <w:pStyle w:val="TOC3"/>
        <w:rPr>
          <w:rFonts w:ascii="Calibri" w:hAnsi="Calibri" w:cs="Arial"/>
          <w:noProof/>
          <w:color w:val="000000" w:themeColor="text1"/>
          <w:sz w:val="22"/>
          <w:szCs w:val="22"/>
          <w:lang w:val="en-CA" w:eastAsia="en-CA"/>
        </w:rPr>
      </w:pPr>
      <w:r w:rsidRPr="00EB0BCC">
        <w:rPr>
          <w:color w:val="000000" w:themeColor="text1"/>
          <w:szCs w:val="24"/>
          <w:lang w:val="en-GB"/>
        </w:rPr>
        <w:fldChar w:fldCharType="begin"/>
      </w:r>
      <w:r w:rsidRPr="00EB0BCC">
        <w:rPr>
          <w:color w:val="000000" w:themeColor="text1"/>
          <w:szCs w:val="24"/>
          <w:lang w:val="en-GB"/>
        </w:rPr>
        <w:instrText xml:space="preserve"> TOC \o "1-3" \h \z \u </w:instrText>
      </w:r>
      <w:r w:rsidRPr="00EB0BCC">
        <w:rPr>
          <w:color w:val="000000" w:themeColor="text1"/>
          <w:szCs w:val="24"/>
          <w:lang w:val="en-GB"/>
        </w:rPr>
        <w:fldChar w:fldCharType="separate"/>
      </w:r>
      <w:hyperlink w:anchor="_Toc475984103" w:history="1">
        <w:r w:rsidR="00466471" w:rsidRPr="00EB0BCC">
          <w:rPr>
            <w:rStyle w:val="Hyperlink"/>
            <w:noProof/>
            <w:color w:val="000000" w:themeColor="text1"/>
            <w:lang w:val="en-GB"/>
          </w:rPr>
          <w:t>I. Introduction</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_Toc475984103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3</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04" w:history="1">
        <w:r w:rsidR="00466471" w:rsidRPr="00EB0BCC">
          <w:rPr>
            <w:rStyle w:val="Hyperlink"/>
            <w:noProof/>
            <w:color w:val="000000" w:themeColor="text1"/>
            <w:lang w:val="en-GB"/>
          </w:rPr>
          <w:t>II. Summary</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_Toc475984104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3</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05" w:history="1">
        <w:r w:rsidR="00466471" w:rsidRPr="00EB0BCC">
          <w:rPr>
            <w:rStyle w:val="Hyperlink"/>
            <w:noProof/>
            <w:color w:val="000000" w:themeColor="text1"/>
            <w:lang w:val="en-GB"/>
          </w:rPr>
          <w:t>III. Methodology</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_Toc475984105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4</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06" w:history="1">
        <w:r w:rsidR="00466471" w:rsidRPr="00EB0BCC">
          <w:rPr>
            <w:rStyle w:val="Hyperlink"/>
            <w:noProof/>
            <w:color w:val="000000" w:themeColor="text1"/>
            <w:lang w:val="en-GB"/>
          </w:rPr>
          <w:t>IV. Background</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_Toc475984106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5</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07" w:history="1">
        <w:r w:rsidR="00466471" w:rsidRPr="00EB0BCC">
          <w:rPr>
            <w:rStyle w:val="Hyperlink"/>
            <w:noProof/>
            <w:color w:val="000000" w:themeColor="text1"/>
            <w:lang w:val="en-GB"/>
          </w:rPr>
          <w:t>V. Bahrain’s Internal Security and Detention Apparatus</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_Toc475984107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9</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08" w:history="1">
        <w:r w:rsidR="00466471" w:rsidRPr="00EB0BCC">
          <w:rPr>
            <w:rStyle w:val="Hyperlink"/>
            <w:noProof/>
            <w:color w:val="000000" w:themeColor="text1"/>
            <w:lang w:val="en-GB"/>
          </w:rPr>
          <w:t>VI. Legal Framework</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_Toc475984108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9</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09" w:history="1">
        <w:r w:rsidR="00466471" w:rsidRPr="00EB0BCC">
          <w:rPr>
            <w:rStyle w:val="Hyperlink"/>
            <w:noProof/>
            <w:color w:val="000000" w:themeColor="text1"/>
            <w:lang w:val="en-GB"/>
          </w:rPr>
          <w:t>a) Convention against Torture and Other Cruel, Inhuman or Degrading Treatment or Punishment</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_Toc475984109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10</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10" w:history="1">
        <w:r w:rsidR="00466471" w:rsidRPr="00EB0BCC">
          <w:rPr>
            <w:rStyle w:val="Hyperlink"/>
            <w:noProof/>
            <w:color w:val="000000" w:themeColor="text1"/>
            <w:lang w:val="en-GB"/>
          </w:rPr>
          <w:t>b) International Covenant on Civil and Political Rights (ICCPR)</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_Toc475984110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10</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11" w:history="1">
        <w:r w:rsidR="00466471" w:rsidRPr="00EB0BCC">
          <w:rPr>
            <w:rStyle w:val="Hyperlink"/>
            <w:noProof/>
            <w:color w:val="000000" w:themeColor="text1"/>
            <w:lang w:val="en-GB"/>
          </w:rPr>
          <w:t>c) Arab Charter on Human Rights</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_Toc475984111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13</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12" w:history="1">
        <w:r w:rsidR="00466471" w:rsidRPr="00EB0BCC">
          <w:rPr>
            <w:rStyle w:val="Hyperlink"/>
            <w:noProof/>
            <w:color w:val="000000" w:themeColor="text1"/>
            <w:lang w:val="en-GB"/>
          </w:rPr>
          <w:t>d) Bahraini Law</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_Toc475984112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13</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13" w:history="1">
        <w:r w:rsidR="00466471" w:rsidRPr="00EB0BCC">
          <w:rPr>
            <w:rStyle w:val="Hyperlink"/>
            <w:noProof/>
            <w:color w:val="000000" w:themeColor="text1"/>
            <w:lang w:val="en-GB"/>
          </w:rPr>
          <w:t>VII. Overview of Human Rights Cases</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_Toc475984113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15</w:t>
        </w:r>
        <w:r w:rsidR="00466471" w:rsidRPr="00EB0BCC">
          <w:rPr>
            <w:noProof/>
            <w:webHidden/>
            <w:color w:val="000000" w:themeColor="text1"/>
          </w:rPr>
          <w:fldChar w:fldCharType="end"/>
        </w:r>
      </w:hyperlink>
    </w:p>
    <w:p w:rsidR="00466471" w:rsidRPr="00EB0BCC" w:rsidRDefault="0067246A">
      <w:pPr>
        <w:pStyle w:val="TOC3"/>
        <w:rPr>
          <w:rFonts w:ascii="Calibri" w:hAnsi="Calibri" w:cs="Arial"/>
          <w:noProof/>
          <w:color w:val="000000" w:themeColor="text1"/>
          <w:sz w:val="22"/>
          <w:szCs w:val="22"/>
          <w:lang w:val="en-CA" w:eastAsia="en-CA"/>
        </w:rPr>
      </w:pPr>
      <w:hyperlink w:anchor="_Toc475984114" w:history="1">
        <w:r w:rsidR="00466471" w:rsidRPr="00EB0BCC">
          <w:rPr>
            <w:rStyle w:val="Hyperlink"/>
            <w:noProof/>
            <w:color w:val="000000" w:themeColor="text1"/>
            <w:lang w:val="en-GB"/>
          </w:rPr>
          <w:t>VIII. Torture or Cruel, Inhuman or Degrading Treatment</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_Toc475984114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28</w:t>
        </w:r>
        <w:r w:rsidR="00466471" w:rsidRPr="00EB0BCC">
          <w:rPr>
            <w:noProof/>
            <w:webHidden/>
            <w:color w:val="000000" w:themeColor="text1"/>
          </w:rPr>
          <w:fldChar w:fldCharType="end"/>
        </w:r>
      </w:hyperlink>
    </w:p>
    <w:p w:rsidR="00466471" w:rsidRPr="00EB0BCC" w:rsidRDefault="0067246A" w:rsidP="00163CB4">
      <w:pPr>
        <w:pStyle w:val="TOC3"/>
        <w:rPr>
          <w:rFonts w:ascii="Calibri" w:hAnsi="Calibri" w:cs="Arial"/>
          <w:noProof/>
          <w:color w:val="000000" w:themeColor="text1"/>
          <w:sz w:val="22"/>
          <w:szCs w:val="22"/>
          <w:lang w:val="en-CA" w:eastAsia="en-CA"/>
        </w:rPr>
      </w:pPr>
      <w:hyperlink w:anchor="_Toc475984115" w:history="1">
        <w:r w:rsidR="00466471" w:rsidRPr="00EB0BCC">
          <w:rPr>
            <w:rStyle w:val="Hyperlink"/>
            <w:noProof/>
            <w:color w:val="000000" w:themeColor="text1"/>
            <w:lang w:val="en-GB"/>
          </w:rPr>
          <w:t>IX. Infringements of Civil and Political Rights</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_Toc475984115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3</w:t>
        </w:r>
        <w:r w:rsidR="00466471" w:rsidRPr="00EB0BCC">
          <w:rPr>
            <w:noProof/>
            <w:webHidden/>
            <w:color w:val="000000" w:themeColor="text1"/>
          </w:rPr>
          <w:fldChar w:fldCharType="end"/>
        </w:r>
      </w:hyperlink>
      <w:r w:rsidR="00163CB4" w:rsidRPr="00EB0BCC">
        <w:rPr>
          <w:noProof/>
          <w:color w:val="000000" w:themeColor="text1"/>
        </w:rPr>
        <w:t>3</w:t>
      </w:r>
    </w:p>
    <w:p w:rsidR="00466471" w:rsidRPr="00EB0BCC" w:rsidRDefault="0067246A" w:rsidP="00163CB4">
      <w:pPr>
        <w:pStyle w:val="TOC3"/>
        <w:rPr>
          <w:rFonts w:ascii="Calibri" w:hAnsi="Calibri" w:cs="Arial"/>
          <w:noProof/>
          <w:color w:val="000000" w:themeColor="text1"/>
          <w:sz w:val="22"/>
          <w:szCs w:val="22"/>
          <w:lang w:val="en-CA" w:eastAsia="en-CA"/>
        </w:rPr>
      </w:pPr>
      <w:hyperlink w:anchor="_Toc475984116" w:history="1">
        <w:r w:rsidR="00466471" w:rsidRPr="00EB0BCC">
          <w:rPr>
            <w:rStyle w:val="Hyperlink"/>
            <w:noProof/>
            <w:color w:val="000000" w:themeColor="text1"/>
            <w:lang w:val="en-GB"/>
          </w:rPr>
          <w:t>a) Reprisals for Expressing Dissent</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_Toc475984116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3</w:t>
        </w:r>
        <w:r w:rsidR="00466471" w:rsidRPr="00EB0BCC">
          <w:rPr>
            <w:noProof/>
            <w:webHidden/>
            <w:color w:val="000000" w:themeColor="text1"/>
          </w:rPr>
          <w:fldChar w:fldCharType="end"/>
        </w:r>
      </w:hyperlink>
      <w:r w:rsidR="00163CB4" w:rsidRPr="00EB0BCC">
        <w:rPr>
          <w:noProof/>
          <w:color w:val="000000" w:themeColor="text1"/>
        </w:rPr>
        <w:t>3</w:t>
      </w:r>
    </w:p>
    <w:p w:rsidR="00466471" w:rsidRPr="00EB0BCC" w:rsidRDefault="0067246A">
      <w:pPr>
        <w:pStyle w:val="TOC3"/>
        <w:rPr>
          <w:rFonts w:ascii="Calibri" w:hAnsi="Calibri" w:cs="Arial"/>
          <w:noProof/>
          <w:color w:val="000000" w:themeColor="text1"/>
          <w:sz w:val="22"/>
          <w:szCs w:val="22"/>
          <w:lang w:val="en-CA" w:eastAsia="en-CA"/>
        </w:rPr>
      </w:pPr>
      <w:hyperlink w:anchor="_Toc475984117" w:history="1">
        <w:r w:rsidR="00466471" w:rsidRPr="00EB0BCC">
          <w:rPr>
            <w:rStyle w:val="Hyperlink"/>
            <w:noProof/>
            <w:color w:val="000000" w:themeColor="text1"/>
            <w:lang w:val="en-GB"/>
          </w:rPr>
          <w:t>b) Denial of Due Process and the Right to Fair Trial</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_Toc475984117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36</w:t>
        </w:r>
        <w:r w:rsidR="00466471" w:rsidRPr="00EB0BCC">
          <w:rPr>
            <w:noProof/>
            <w:webHidden/>
            <w:color w:val="000000" w:themeColor="text1"/>
          </w:rPr>
          <w:fldChar w:fldCharType="end"/>
        </w:r>
      </w:hyperlink>
    </w:p>
    <w:p w:rsidR="00466471" w:rsidRPr="00EB0BCC" w:rsidRDefault="0067246A" w:rsidP="00163CB4">
      <w:pPr>
        <w:pStyle w:val="TOC3"/>
        <w:rPr>
          <w:rFonts w:ascii="Calibri" w:hAnsi="Calibri" w:cs="Arial"/>
          <w:noProof/>
          <w:color w:val="000000" w:themeColor="text1"/>
          <w:sz w:val="22"/>
          <w:szCs w:val="22"/>
          <w:lang w:val="en-CA" w:eastAsia="en-CA"/>
        </w:rPr>
      </w:pPr>
      <w:hyperlink w:anchor="_Toc475984118" w:history="1">
        <w:r w:rsidR="00466471" w:rsidRPr="00EB0BCC">
          <w:rPr>
            <w:rStyle w:val="Hyperlink"/>
            <w:noProof/>
            <w:color w:val="000000" w:themeColor="text1"/>
            <w:lang w:val="en-GB"/>
          </w:rPr>
          <w:t>c) Unlawful Restrictions on Travel</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_Toc475984118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3</w:t>
        </w:r>
        <w:r w:rsidR="00466471" w:rsidRPr="00EB0BCC">
          <w:rPr>
            <w:noProof/>
            <w:webHidden/>
            <w:color w:val="000000" w:themeColor="text1"/>
          </w:rPr>
          <w:fldChar w:fldCharType="end"/>
        </w:r>
      </w:hyperlink>
      <w:r w:rsidR="00163CB4" w:rsidRPr="00EB0BCC">
        <w:rPr>
          <w:noProof/>
          <w:color w:val="000000" w:themeColor="text1"/>
        </w:rPr>
        <w:t>7</w:t>
      </w:r>
    </w:p>
    <w:p w:rsidR="00466471" w:rsidRPr="00EB0BCC" w:rsidRDefault="0067246A" w:rsidP="00163CB4">
      <w:pPr>
        <w:pStyle w:val="TOC3"/>
        <w:rPr>
          <w:rFonts w:ascii="Calibri" w:hAnsi="Calibri" w:cs="Arial"/>
          <w:noProof/>
          <w:color w:val="000000" w:themeColor="text1"/>
          <w:sz w:val="22"/>
          <w:szCs w:val="22"/>
          <w:lang w:val="en-CA" w:eastAsia="en-CA"/>
        </w:rPr>
      </w:pPr>
      <w:hyperlink w:anchor="_Toc475984119" w:history="1">
        <w:r w:rsidR="00466471" w:rsidRPr="00EB0BCC">
          <w:rPr>
            <w:rStyle w:val="Hyperlink"/>
            <w:noProof/>
            <w:color w:val="000000" w:themeColor="text1"/>
            <w:lang w:val="en-GB"/>
          </w:rPr>
          <w:t>X. Systematic Targeting of Human Rights Defenders</w:t>
        </w:r>
        <w:r w:rsidR="00466471" w:rsidRPr="00EB0BCC">
          <w:rPr>
            <w:noProof/>
            <w:webHidden/>
            <w:color w:val="000000" w:themeColor="text1"/>
          </w:rPr>
          <w:tab/>
        </w:r>
      </w:hyperlink>
      <w:r w:rsidR="00163CB4" w:rsidRPr="00EB0BCC">
        <w:rPr>
          <w:noProof/>
          <w:color w:val="000000" w:themeColor="text1"/>
        </w:rPr>
        <w:t>39</w:t>
      </w:r>
    </w:p>
    <w:p w:rsidR="00466471" w:rsidRPr="00EB0BCC" w:rsidRDefault="0067246A" w:rsidP="00163CB4">
      <w:pPr>
        <w:pStyle w:val="TOC3"/>
        <w:rPr>
          <w:rFonts w:ascii="Calibri" w:hAnsi="Calibri" w:cs="Arial"/>
          <w:noProof/>
          <w:color w:val="000000" w:themeColor="text1"/>
          <w:sz w:val="22"/>
          <w:szCs w:val="22"/>
          <w:lang w:val="en-CA" w:eastAsia="en-CA"/>
        </w:rPr>
      </w:pPr>
      <w:hyperlink w:anchor="_Toc475984120" w:history="1">
        <w:r w:rsidR="00466471" w:rsidRPr="00EB0BCC">
          <w:rPr>
            <w:rStyle w:val="Hyperlink"/>
            <w:noProof/>
            <w:color w:val="000000" w:themeColor="text1"/>
            <w:lang w:val="en-GB"/>
          </w:rPr>
          <w:t>XI. Pattern of Impunity for Accused Government Officials</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_Toc475984120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4</w:t>
        </w:r>
        <w:r w:rsidR="00466471" w:rsidRPr="00EB0BCC">
          <w:rPr>
            <w:noProof/>
            <w:webHidden/>
            <w:color w:val="000000" w:themeColor="text1"/>
          </w:rPr>
          <w:fldChar w:fldCharType="end"/>
        </w:r>
      </w:hyperlink>
      <w:r w:rsidR="00163CB4" w:rsidRPr="00EB0BCC">
        <w:rPr>
          <w:noProof/>
          <w:color w:val="000000" w:themeColor="text1"/>
        </w:rPr>
        <w:t>0</w:t>
      </w:r>
    </w:p>
    <w:p w:rsidR="00466471" w:rsidRPr="00EB0BCC" w:rsidRDefault="0067246A" w:rsidP="00163CB4">
      <w:pPr>
        <w:pStyle w:val="TOC3"/>
        <w:rPr>
          <w:rFonts w:ascii="Calibri" w:hAnsi="Calibri" w:cs="Arial"/>
          <w:noProof/>
          <w:color w:val="000000" w:themeColor="text1"/>
          <w:sz w:val="22"/>
          <w:szCs w:val="22"/>
          <w:lang w:val="en-CA" w:eastAsia="en-CA"/>
        </w:rPr>
      </w:pPr>
      <w:hyperlink w:anchor="_Toc475984121" w:history="1">
        <w:r w:rsidR="00466471" w:rsidRPr="00EB0BCC">
          <w:rPr>
            <w:rStyle w:val="Hyperlink"/>
            <w:noProof/>
            <w:color w:val="000000" w:themeColor="text1"/>
            <w:lang w:val="en-GB"/>
          </w:rPr>
          <w:t>XII. Conclusion</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_Toc475984121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4</w:t>
        </w:r>
        <w:r w:rsidR="00466471" w:rsidRPr="00EB0BCC">
          <w:rPr>
            <w:noProof/>
            <w:webHidden/>
            <w:color w:val="000000" w:themeColor="text1"/>
          </w:rPr>
          <w:fldChar w:fldCharType="end"/>
        </w:r>
      </w:hyperlink>
      <w:r w:rsidR="00163CB4" w:rsidRPr="00EB0BCC">
        <w:rPr>
          <w:noProof/>
          <w:color w:val="000000" w:themeColor="text1"/>
        </w:rPr>
        <w:t>3</w:t>
      </w:r>
    </w:p>
    <w:p w:rsidR="00466471" w:rsidRPr="00EB0BCC" w:rsidRDefault="0067246A" w:rsidP="00163CB4">
      <w:pPr>
        <w:pStyle w:val="TOC3"/>
        <w:rPr>
          <w:rFonts w:ascii="Calibri" w:hAnsi="Calibri" w:cs="Arial"/>
          <w:noProof/>
          <w:color w:val="000000" w:themeColor="text1"/>
          <w:sz w:val="22"/>
          <w:szCs w:val="22"/>
          <w:lang w:val="en-CA" w:eastAsia="en-CA"/>
        </w:rPr>
      </w:pPr>
      <w:hyperlink w:anchor="_Toc475984122" w:history="1">
        <w:r w:rsidR="00466471" w:rsidRPr="00EB0BCC">
          <w:rPr>
            <w:rStyle w:val="Hyperlink"/>
            <w:noProof/>
            <w:color w:val="000000" w:themeColor="text1"/>
            <w:lang w:val="en-GB"/>
          </w:rPr>
          <w:t>XIII. Recommendations</w:t>
        </w:r>
        <w:r w:rsidR="00466471" w:rsidRPr="00EB0BCC">
          <w:rPr>
            <w:noProof/>
            <w:webHidden/>
            <w:color w:val="000000" w:themeColor="text1"/>
          </w:rPr>
          <w:tab/>
        </w:r>
        <w:r w:rsidR="00466471" w:rsidRPr="00EB0BCC">
          <w:rPr>
            <w:noProof/>
            <w:webHidden/>
            <w:color w:val="000000" w:themeColor="text1"/>
          </w:rPr>
          <w:fldChar w:fldCharType="begin"/>
        </w:r>
        <w:r w:rsidR="00466471" w:rsidRPr="00EB0BCC">
          <w:rPr>
            <w:noProof/>
            <w:webHidden/>
            <w:color w:val="000000" w:themeColor="text1"/>
          </w:rPr>
          <w:instrText xml:space="preserve"> PAGEREF _Toc475984122 \h </w:instrText>
        </w:r>
        <w:r w:rsidR="00466471" w:rsidRPr="00EB0BCC">
          <w:rPr>
            <w:noProof/>
            <w:webHidden/>
            <w:color w:val="000000" w:themeColor="text1"/>
          </w:rPr>
        </w:r>
        <w:r w:rsidR="00466471" w:rsidRPr="00EB0BCC">
          <w:rPr>
            <w:noProof/>
            <w:webHidden/>
            <w:color w:val="000000" w:themeColor="text1"/>
          </w:rPr>
          <w:fldChar w:fldCharType="separate"/>
        </w:r>
        <w:r w:rsidR="00466471" w:rsidRPr="00EB0BCC">
          <w:rPr>
            <w:noProof/>
            <w:webHidden/>
            <w:color w:val="000000" w:themeColor="text1"/>
          </w:rPr>
          <w:t>4</w:t>
        </w:r>
        <w:r w:rsidR="00466471" w:rsidRPr="00EB0BCC">
          <w:rPr>
            <w:noProof/>
            <w:webHidden/>
            <w:color w:val="000000" w:themeColor="text1"/>
          </w:rPr>
          <w:fldChar w:fldCharType="end"/>
        </w:r>
      </w:hyperlink>
      <w:r w:rsidR="00163CB4" w:rsidRPr="00EB0BCC">
        <w:rPr>
          <w:noProof/>
          <w:color w:val="000000" w:themeColor="text1"/>
        </w:rPr>
        <w:t>4</w:t>
      </w:r>
    </w:p>
    <w:p w:rsidR="005C7A0D" w:rsidRPr="00EB0BCC" w:rsidRDefault="00CF3DB4" w:rsidP="00BA35C4">
      <w:pPr>
        <w:pStyle w:val="Heading3"/>
        <w:jc w:val="both"/>
        <w:rPr>
          <w:color w:val="000000" w:themeColor="text1"/>
          <w:lang w:val="en-GB"/>
        </w:rPr>
      </w:pPr>
      <w:r w:rsidRPr="00EB0BCC">
        <w:rPr>
          <w:bCs/>
          <w:noProof/>
          <w:color w:val="000000" w:themeColor="text1"/>
          <w:sz w:val="24"/>
          <w:szCs w:val="24"/>
          <w:lang w:val="en-GB"/>
        </w:rPr>
        <w:fldChar w:fldCharType="end"/>
      </w:r>
      <w:r w:rsidR="001C7116" w:rsidRPr="00EB0BCC">
        <w:rPr>
          <w:color w:val="000000" w:themeColor="text1"/>
          <w:lang w:val="en-GB"/>
        </w:rPr>
        <w:br w:type="page"/>
      </w:r>
      <w:bookmarkStart w:id="1" w:name="_Toc475984103"/>
      <w:r w:rsidR="00FD03E6" w:rsidRPr="00EB0BCC">
        <w:rPr>
          <w:color w:val="000000" w:themeColor="text1"/>
          <w:lang w:val="en-GB"/>
        </w:rPr>
        <w:lastRenderedPageBreak/>
        <w:t>I</w:t>
      </w:r>
      <w:r w:rsidR="005C7A0D" w:rsidRPr="00EB0BCC">
        <w:rPr>
          <w:color w:val="000000" w:themeColor="text1"/>
          <w:lang w:val="en-GB"/>
        </w:rPr>
        <w:t>. Introduction</w:t>
      </w:r>
      <w:bookmarkEnd w:id="1"/>
    </w:p>
    <w:p w:rsidR="002B1005" w:rsidRPr="00EB0BCC" w:rsidRDefault="005C7A0D" w:rsidP="004A0494">
      <w:pPr>
        <w:numPr>
          <w:ilvl w:val="0"/>
          <w:numId w:val="17"/>
        </w:numPr>
        <w:jc w:val="both"/>
        <w:rPr>
          <w:color w:val="000000" w:themeColor="text1"/>
          <w:lang w:val="en-GB"/>
        </w:rPr>
      </w:pPr>
      <w:r w:rsidRPr="00EB0BCC">
        <w:rPr>
          <w:color w:val="000000" w:themeColor="text1"/>
          <w:lang w:val="en-GB"/>
        </w:rPr>
        <w:t>This report intend</w:t>
      </w:r>
      <w:r w:rsidR="00FB2CCB" w:rsidRPr="00EB0BCC">
        <w:rPr>
          <w:color w:val="000000" w:themeColor="text1"/>
          <w:lang w:val="en-GB"/>
        </w:rPr>
        <w:t>s</w:t>
      </w:r>
      <w:r w:rsidRPr="00EB0BCC">
        <w:rPr>
          <w:color w:val="000000" w:themeColor="text1"/>
          <w:lang w:val="en-GB"/>
        </w:rPr>
        <w:t xml:space="preserve"> to provide an evaluation of progress since 2014 made by the government of Bahrain in response to previous allegations of human rights abuses, including the use of torture.</w:t>
      </w:r>
      <w:r w:rsidR="00BA35C4" w:rsidRPr="00EB0BCC">
        <w:rPr>
          <w:color w:val="000000" w:themeColor="text1"/>
          <w:lang w:val="en-GB"/>
        </w:rPr>
        <w:t xml:space="preserve"> </w:t>
      </w:r>
      <w:r w:rsidRPr="00EB0BCC">
        <w:rPr>
          <w:color w:val="000000" w:themeColor="text1"/>
          <w:lang w:val="en-GB"/>
        </w:rPr>
        <w:t>It is timely because it has been</w:t>
      </w:r>
      <w:r w:rsidR="00D5627E" w:rsidRPr="00EB0BCC">
        <w:rPr>
          <w:color w:val="000000" w:themeColor="text1"/>
          <w:lang w:val="en-GB"/>
        </w:rPr>
        <w:t xml:space="preserve"> </w:t>
      </w:r>
      <w:r w:rsidRPr="00EB0BCC">
        <w:rPr>
          <w:color w:val="000000" w:themeColor="text1"/>
          <w:lang w:val="en-GB"/>
        </w:rPr>
        <w:t>six years since the crackdown on the Arab Spring protests</w:t>
      </w:r>
      <w:r w:rsidR="00D5627E" w:rsidRPr="00EB0BCC">
        <w:rPr>
          <w:color w:val="000000" w:themeColor="text1"/>
          <w:lang w:val="en-GB"/>
        </w:rPr>
        <w:t xml:space="preserve"> began in 2011</w:t>
      </w:r>
      <w:r w:rsidRPr="00EB0BCC">
        <w:rPr>
          <w:color w:val="000000" w:themeColor="text1"/>
          <w:lang w:val="en-GB"/>
        </w:rPr>
        <w:t>, which led to an international investigation known as the Bahrain Independent Commission of Inquiry (BICI). The result</w:t>
      </w:r>
      <w:r w:rsidR="00D5627E" w:rsidRPr="00EB0BCC">
        <w:rPr>
          <w:color w:val="000000" w:themeColor="text1"/>
          <w:lang w:val="en-GB"/>
        </w:rPr>
        <w:t>ing</w:t>
      </w:r>
      <w:r w:rsidRPr="00EB0BCC">
        <w:rPr>
          <w:color w:val="000000" w:themeColor="text1"/>
          <w:lang w:val="en-GB"/>
        </w:rPr>
        <w:t xml:space="preserve"> recommendations provided a path to rectify past conduct and to establish rules and institutions that would ostensibly prevent recurrence of </w:t>
      </w:r>
      <w:r w:rsidR="00FB2CCB" w:rsidRPr="00EB0BCC">
        <w:rPr>
          <w:color w:val="000000" w:themeColor="text1"/>
          <w:lang w:val="en-GB"/>
        </w:rPr>
        <w:t>misbehaviour</w:t>
      </w:r>
      <w:r w:rsidRPr="00EB0BCC">
        <w:rPr>
          <w:color w:val="000000" w:themeColor="text1"/>
          <w:lang w:val="en-GB"/>
        </w:rPr>
        <w:t xml:space="preserve"> on the part of Bahraini police and internal security officials. The history of democratic reform and respect for human rights in Bahrain has been one of </w:t>
      </w:r>
      <w:r w:rsidR="00FB2CCB" w:rsidRPr="00EB0BCC">
        <w:rPr>
          <w:color w:val="000000" w:themeColor="text1"/>
          <w:lang w:val="en-GB"/>
        </w:rPr>
        <w:t xml:space="preserve">the </w:t>
      </w:r>
      <w:r w:rsidRPr="00EB0BCC">
        <w:rPr>
          <w:color w:val="000000" w:themeColor="text1"/>
          <w:lang w:val="en-GB"/>
        </w:rPr>
        <w:t>mixed signs of promise and disappointment. Unfortunately, consistent with the pattern, this report finds that the path that followed the BICI recommendations had initial promise but was diverted by a disappointing lack of serious and long-term commitment to reform</w:t>
      </w:r>
      <w:r w:rsidR="00382091" w:rsidRPr="00EB0BCC">
        <w:rPr>
          <w:color w:val="000000" w:themeColor="text1"/>
          <w:lang w:val="en-GB"/>
        </w:rPr>
        <w:t xml:space="preserve"> by the authorities</w:t>
      </w:r>
      <w:r w:rsidRPr="00EB0BCC">
        <w:rPr>
          <w:color w:val="000000" w:themeColor="text1"/>
          <w:lang w:val="en-GB"/>
        </w:rPr>
        <w:t xml:space="preserve">. </w:t>
      </w:r>
      <w:r w:rsidR="00FB2CCB" w:rsidRPr="00EB0BCC">
        <w:rPr>
          <w:color w:val="000000" w:themeColor="text1"/>
          <w:lang w:val="en-GB"/>
        </w:rPr>
        <w:t>The main</w:t>
      </w:r>
      <w:r w:rsidRPr="00EB0BCC">
        <w:rPr>
          <w:color w:val="000000" w:themeColor="text1"/>
          <w:lang w:val="en-GB"/>
        </w:rPr>
        <w:t xml:space="preserve"> objective of this report </w:t>
      </w:r>
      <w:r w:rsidR="00FB2CCB" w:rsidRPr="00EB0BCC">
        <w:rPr>
          <w:color w:val="000000" w:themeColor="text1"/>
          <w:lang w:val="en-GB"/>
        </w:rPr>
        <w:t xml:space="preserve">is </w:t>
      </w:r>
      <w:r w:rsidRPr="00EB0BCC">
        <w:rPr>
          <w:color w:val="000000" w:themeColor="text1"/>
          <w:lang w:val="en-GB"/>
        </w:rPr>
        <w:t>to inform international observers and motivate the Bahraini government to undertake substantive, constructive and permanent corrective action, rather than merely symbolic gestures of compliance with international human rights law.</w:t>
      </w:r>
      <w:r w:rsidR="00D5627E" w:rsidRPr="00EB0BCC">
        <w:rPr>
          <w:color w:val="000000" w:themeColor="text1"/>
          <w:lang w:val="en-GB"/>
        </w:rPr>
        <w:t xml:space="preserve"> The Gulf Centre for Human Rights (GCHR) will submit the report to the United Nations Committee Against Torture (CAT) among other UN bodies.</w:t>
      </w:r>
    </w:p>
    <w:p w:rsidR="002B1005" w:rsidRPr="00EB0BCC" w:rsidRDefault="002B1005" w:rsidP="00BA35C4">
      <w:pPr>
        <w:jc w:val="both"/>
        <w:rPr>
          <w:color w:val="000000" w:themeColor="text1"/>
          <w:lang w:val="en-GB"/>
        </w:rPr>
      </w:pPr>
    </w:p>
    <w:p w:rsidR="001C26CF" w:rsidRPr="00EB0BCC" w:rsidRDefault="00FD03E6" w:rsidP="00BA35C4">
      <w:pPr>
        <w:pStyle w:val="Heading3"/>
        <w:jc w:val="both"/>
        <w:rPr>
          <w:color w:val="000000" w:themeColor="text1"/>
          <w:lang w:val="en-GB"/>
        </w:rPr>
      </w:pPr>
      <w:bookmarkStart w:id="2" w:name="_Toc475984104"/>
      <w:r w:rsidRPr="00EB0BCC">
        <w:rPr>
          <w:color w:val="000000" w:themeColor="text1"/>
          <w:lang w:val="en-GB"/>
        </w:rPr>
        <w:t>II</w:t>
      </w:r>
      <w:r w:rsidR="00311863" w:rsidRPr="00EB0BCC">
        <w:rPr>
          <w:color w:val="000000" w:themeColor="text1"/>
          <w:lang w:val="en-GB"/>
        </w:rPr>
        <w:t xml:space="preserve">. </w:t>
      </w:r>
      <w:r w:rsidR="009D0B19" w:rsidRPr="00EB0BCC">
        <w:rPr>
          <w:color w:val="000000" w:themeColor="text1"/>
          <w:lang w:val="en-GB"/>
        </w:rPr>
        <w:t>Summary</w:t>
      </w:r>
      <w:bookmarkEnd w:id="2"/>
    </w:p>
    <w:p w:rsidR="00272A54" w:rsidRPr="00EB0BCC" w:rsidRDefault="00077454" w:rsidP="004A0494">
      <w:pPr>
        <w:numPr>
          <w:ilvl w:val="0"/>
          <w:numId w:val="17"/>
        </w:numPr>
        <w:jc w:val="both"/>
        <w:rPr>
          <w:color w:val="000000" w:themeColor="text1"/>
          <w:lang w:val="en-GB"/>
        </w:rPr>
      </w:pPr>
      <w:r w:rsidRPr="00EB0BCC">
        <w:rPr>
          <w:color w:val="000000" w:themeColor="text1"/>
          <w:lang w:val="en-GB"/>
        </w:rPr>
        <w:t xml:space="preserve">As </w:t>
      </w:r>
      <w:r w:rsidR="006B74A6" w:rsidRPr="00EB0BCC">
        <w:rPr>
          <w:color w:val="000000" w:themeColor="text1"/>
          <w:lang w:val="en-GB"/>
        </w:rPr>
        <w:t xml:space="preserve">this report </w:t>
      </w:r>
      <w:r w:rsidRPr="00EB0BCC">
        <w:rPr>
          <w:color w:val="000000" w:themeColor="text1"/>
          <w:lang w:val="en-GB"/>
        </w:rPr>
        <w:t>detail</w:t>
      </w:r>
      <w:r w:rsidR="006B74A6" w:rsidRPr="00EB0BCC">
        <w:rPr>
          <w:color w:val="000000" w:themeColor="text1"/>
          <w:lang w:val="en-GB"/>
        </w:rPr>
        <w:t>s</w:t>
      </w:r>
      <w:r w:rsidRPr="00EB0BCC">
        <w:rPr>
          <w:color w:val="000000" w:themeColor="text1"/>
          <w:lang w:val="en-GB"/>
        </w:rPr>
        <w:t>,</w:t>
      </w:r>
      <w:r w:rsidR="00272A54" w:rsidRPr="00EB0BCC">
        <w:rPr>
          <w:color w:val="000000" w:themeColor="text1"/>
          <w:lang w:val="en-GB"/>
        </w:rPr>
        <w:t xml:space="preserve"> there is substantial evidence to indicate that</w:t>
      </w:r>
      <w:r w:rsidRPr="00EB0BCC">
        <w:rPr>
          <w:color w:val="000000" w:themeColor="text1"/>
          <w:lang w:val="en-GB"/>
        </w:rPr>
        <w:t>, since 2014,</w:t>
      </w:r>
      <w:r w:rsidR="00272A54" w:rsidRPr="00EB0BCC">
        <w:rPr>
          <w:color w:val="000000" w:themeColor="text1"/>
          <w:lang w:val="en-GB"/>
        </w:rPr>
        <w:t xml:space="preserve"> the practices of </w:t>
      </w:r>
      <w:r w:rsidR="006B74A6" w:rsidRPr="00EB0BCC">
        <w:rPr>
          <w:color w:val="000000" w:themeColor="text1"/>
          <w:lang w:val="en-GB"/>
        </w:rPr>
        <w:t xml:space="preserve">torture such as </w:t>
      </w:r>
      <w:r w:rsidR="00272A54" w:rsidRPr="00EB0BCC">
        <w:rPr>
          <w:color w:val="000000" w:themeColor="text1"/>
          <w:lang w:val="en-GB"/>
        </w:rPr>
        <w:t xml:space="preserve">severe beating, electric shock, </w:t>
      </w:r>
      <w:r w:rsidR="00D82143" w:rsidRPr="00EB0BCC">
        <w:rPr>
          <w:color w:val="000000" w:themeColor="text1"/>
          <w:lang w:val="en-GB"/>
        </w:rPr>
        <w:t xml:space="preserve">painful suspension, and </w:t>
      </w:r>
      <w:r w:rsidR="00272A54" w:rsidRPr="00EB0BCC">
        <w:rPr>
          <w:color w:val="000000" w:themeColor="text1"/>
          <w:lang w:val="en-GB"/>
        </w:rPr>
        <w:t xml:space="preserve">forced standing, have </w:t>
      </w:r>
      <w:r w:rsidR="008A50E0" w:rsidRPr="00EB0BCC">
        <w:rPr>
          <w:color w:val="000000" w:themeColor="text1"/>
          <w:lang w:val="en-GB"/>
        </w:rPr>
        <w:t xml:space="preserve">been </w:t>
      </w:r>
      <w:r w:rsidR="00272A54" w:rsidRPr="00EB0BCC">
        <w:rPr>
          <w:color w:val="000000" w:themeColor="text1"/>
          <w:lang w:val="en-GB"/>
        </w:rPr>
        <w:t>continued by law enforcement and internal security personnel</w:t>
      </w:r>
      <w:r w:rsidRPr="00EB0BCC">
        <w:rPr>
          <w:color w:val="000000" w:themeColor="text1"/>
          <w:lang w:val="en-GB"/>
        </w:rPr>
        <w:t xml:space="preserve"> in Bahrain</w:t>
      </w:r>
      <w:r w:rsidR="00272A54" w:rsidRPr="00EB0BCC">
        <w:rPr>
          <w:color w:val="000000" w:themeColor="text1"/>
          <w:lang w:val="en-GB"/>
        </w:rPr>
        <w:t>.</w:t>
      </w:r>
      <w:r w:rsidR="000E2F57" w:rsidRPr="00EB0BCC">
        <w:rPr>
          <w:color w:val="000000" w:themeColor="text1"/>
          <w:lang w:val="en-GB"/>
        </w:rPr>
        <w:t xml:space="preserve"> </w:t>
      </w:r>
      <w:r w:rsidR="00272A54" w:rsidRPr="00EB0BCC">
        <w:rPr>
          <w:color w:val="000000" w:themeColor="text1"/>
          <w:lang w:val="en-GB"/>
        </w:rPr>
        <w:t xml:space="preserve">Additionally, </w:t>
      </w:r>
      <w:r w:rsidRPr="00EB0BCC">
        <w:rPr>
          <w:color w:val="000000" w:themeColor="text1"/>
          <w:lang w:val="en-GB"/>
        </w:rPr>
        <w:t>fundamental</w:t>
      </w:r>
      <w:r w:rsidR="00272A54" w:rsidRPr="00EB0BCC">
        <w:rPr>
          <w:color w:val="000000" w:themeColor="text1"/>
          <w:lang w:val="en-GB"/>
        </w:rPr>
        <w:t xml:space="preserve"> rights to free expression, peaceable assembly</w:t>
      </w:r>
      <w:r w:rsidRPr="00EB0BCC">
        <w:rPr>
          <w:color w:val="000000" w:themeColor="text1"/>
          <w:lang w:val="en-GB"/>
        </w:rPr>
        <w:t xml:space="preserve"> and association</w:t>
      </w:r>
      <w:r w:rsidR="00272A54" w:rsidRPr="00EB0BCC">
        <w:rPr>
          <w:color w:val="000000" w:themeColor="text1"/>
          <w:lang w:val="en-GB"/>
        </w:rPr>
        <w:t xml:space="preserve">, </w:t>
      </w:r>
      <w:r w:rsidR="00D82143" w:rsidRPr="00EB0BCC">
        <w:rPr>
          <w:color w:val="000000" w:themeColor="text1"/>
          <w:lang w:val="en-GB"/>
        </w:rPr>
        <w:t>travel</w:t>
      </w:r>
      <w:r w:rsidR="00301203" w:rsidRPr="00EB0BCC">
        <w:rPr>
          <w:color w:val="000000" w:themeColor="text1"/>
          <w:lang w:val="en-GB"/>
        </w:rPr>
        <w:t xml:space="preserve"> without restriction</w:t>
      </w:r>
      <w:r w:rsidR="00D82143" w:rsidRPr="00EB0BCC">
        <w:rPr>
          <w:color w:val="000000" w:themeColor="text1"/>
          <w:lang w:val="en-GB"/>
        </w:rPr>
        <w:t>,</w:t>
      </w:r>
      <w:r w:rsidR="00272A54" w:rsidRPr="00EB0BCC">
        <w:rPr>
          <w:color w:val="000000" w:themeColor="text1"/>
          <w:lang w:val="en-GB"/>
        </w:rPr>
        <w:t xml:space="preserve"> </w:t>
      </w:r>
      <w:r w:rsidR="00D82143" w:rsidRPr="00EB0BCC">
        <w:rPr>
          <w:color w:val="000000" w:themeColor="text1"/>
          <w:lang w:val="en-GB"/>
        </w:rPr>
        <w:t xml:space="preserve">due process, </w:t>
      </w:r>
      <w:r w:rsidR="00272A54" w:rsidRPr="00EB0BCC">
        <w:rPr>
          <w:color w:val="000000" w:themeColor="text1"/>
          <w:lang w:val="en-GB"/>
        </w:rPr>
        <w:t xml:space="preserve">fair trial, </w:t>
      </w:r>
      <w:r w:rsidR="00D82143" w:rsidRPr="00EB0BCC">
        <w:rPr>
          <w:color w:val="000000" w:themeColor="text1"/>
          <w:lang w:val="en-GB"/>
        </w:rPr>
        <w:t xml:space="preserve">and </w:t>
      </w:r>
      <w:r w:rsidR="00272A54" w:rsidRPr="00EB0BCC">
        <w:rPr>
          <w:color w:val="000000" w:themeColor="text1"/>
          <w:lang w:val="en-GB"/>
        </w:rPr>
        <w:t>effec</w:t>
      </w:r>
      <w:r w:rsidR="00D82143" w:rsidRPr="00EB0BCC">
        <w:rPr>
          <w:color w:val="000000" w:themeColor="text1"/>
          <w:lang w:val="en-GB"/>
        </w:rPr>
        <w:t xml:space="preserve">tive representation of counsel have been </w:t>
      </w:r>
      <w:r w:rsidR="00301203" w:rsidRPr="00EB0BCC">
        <w:rPr>
          <w:color w:val="000000" w:themeColor="text1"/>
          <w:lang w:val="en-GB"/>
        </w:rPr>
        <w:t>denied routinely</w:t>
      </w:r>
      <w:r w:rsidR="00A54C2F" w:rsidRPr="00EB0BCC">
        <w:rPr>
          <w:color w:val="000000" w:themeColor="text1"/>
          <w:lang w:val="en-GB"/>
        </w:rPr>
        <w:t xml:space="preserve"> and systematically</w:t>
      </w:r>
      <w:r w:rsidR="00301203" w:rsidRPr="00EB0BCC">
        <w:rPr>
          <w:color w:val="000000" w:themeColor="text1"/>
          <w:lang w:val="en-GB"/>
        </w:rPr>
        <w:t xml:space="preserve"> by </w:t>
      </w:r>
      <w:r w:rsidR="00D82143" w:rsidRPr="00EB0BCC">
        <w:rPr>
          <w:color w:val="000000" w:themeColor="text1"/>
          <w:lang w:val="en-GB"/>
        </w:rPr>
        <w:t>security forces</w:t>
      </w:r>
      <w:r w:rsidRPr="00EB0BCC">
        <w:rPr>
          <w:color w:val="000000" w:themeColor="text1"/>
          <w:lang w:val="en-GB"/>
        </w:rPr>
        <w:t xml:space="preserve"> and the courts</w:t>
      </w:r>
      <w:r w:rsidR="00D82143" w:rsidRPr="00EB0BCC">
        <w:rPr>
          <w:color w:val="000000" w:themeColor="text1"/>
          <w:lang w:val="en-GB"/>
        </w:rPr>
        <w:t>.</w:t>
      </w:r>
    </w:p>
    <w:p w:rsidR="00614768" w:rsidRPr="00EB0BCC" w:rsidRDefault="00614768" w:rsidP="00614768">
      <w:pPr>
        <w:ind w:left="720"/>
        <w:jc w:val="both"/>
        <w:rPr>
          <w:color w:val="000000" w:themeColor="text1"/>
          <w:lang w:val="en-GB"/>
        </w:rPr>
      </w:pPr>
    </w:p>
    <w:p w:rsidR="00B1707E" w:rsidRPr="00EB0BCC" w:rsidRDefault="00735E57" w:rsidP="004A0494">
      <w:pPr>
        <w:numPr>
          <w:ilvl w:val="0"/>
          <w:numId w:val="17"/>
        </w:numPr>
        <w:jc w:val="both"/>
        <w:rPr>
          <w:color w:val="000000" w:themeColor="text1"/>
          <w:szCs w:val="24"/>
          <w:lang w:val="en-GB"/>
        </w:rPr>
      </w:pPr>
      <w:r w:rsidRPr="00EB0BCC">
        <w:rPr>
          <w:color w:val="000000" w:themeColor="text1"/>
          <w:lang w:val="en-GB"/>
        </w:rPr>
        <w:t>This report also concludes that there is continued systematic</w:t>
      </w:r>
      <w:r w:rsidR="003A7D06" w:rsidRPr="00EB0BCC">
        <w:rPr>
          <w:color w:val="000000" w:themeColor="text1"/>
          <w:lang w:val="en-GB"/>
        </w:rPr>
        <w:t xml:space="preserve"> targeting </w:t>
      </w:r>
      <w:r w:rsidR="00077454" w:rsidRPr="00EB0BCC">
        <w:rPr>
          <w:color w:val="000000" w:themeColor="text1"/>
          <w:lang w:val="en-GB"/>
        </w:rPr>
        <w:t xml:space="preserve">in Bahrain </w:t>
      </w:r>
      <w:r w:rsidR="003A7D06" w:rsidRPr="00EB0BCC">
        <w:rPr>
          <w:color w:val="000000" w:themeColor="text1"/>
          <w:lang w:val="en-GB"/>
        </w:rPr>
        <w:t>of human rights defenders and journalists</w:t>
      </w:r>
      <w:r w:rsidR="00DB27F9" w:rsidRPr="00EB0BCC">
        <w:rPr>
          <w:color w:val="000000" w:themeColor="text1"/>
          <w:lang w:val="en-GB"/>
        </w:rPr>
        <w:t xml:space="preserve"> for reprisals, intimidation, and punishment</w:t>
      </w:r>
      <w:r w:rsidR="00BE0C92" w:rsidRPr="00EB0BCC">
        <w:rPr>
          <w:color w:val="000000" w:themeColor="text1"/>
          <w:lang w:val="en-GB"/>
        </w:rPr>
        <w:t xml:space="preserve">, with the apparent intent to deter or silence the investigation and reporting of human rights </w:t>
      </w:r>
      <w:r w:rsidR="00077454" w:rsidRPr="00EB0BCC">
        <w:rPr>
          <w:color w:val="000000" w:themeColor="text1"/>
          <w:lang w:val="en-GB"/>
        </w:rPr>
        <w:t>abuses</w:t>
      </w:r>
      <w:r w:rsidR="003A7D06" w:rsidRPr="00EB0BCC">
        <w:rPr>
          <w:color w:val="000000" w:themeColor="text1"/>
          <w:lang w:val="en-GB"/>
        </w:rPr>
        <w:t>.</w:t>
      </w:r>
      <w:r w:rsidR="000E2F57" w:rsidRPr="00EB0BCC">
        <w:rPr>
          <w:color w:val="000000" w:themeColor="text1"/>
          <w:lang w:val="en-GB"/>
        </w:rPr>
        <w:t xml:space="preserve"> </w:t>
      </w:r>
      <w:r w:rsidR="00432211" w:rsidRPr="00EB0BCC">
        <w:rPr>
          <w:color w:val="000000" w:themeColor="text1"/>
          <w:lang w:val="en-GB"/>
        </w:rPr>
        <w:t>R</w:t>
      </w:r>
      <w:r w:rsidR="003A7D06" w:rsidRPr="00EB0BCC">
        <w:rPr>
          <w:color w:val="000000" w:themeColor="text1"/>
          <w:lang w:val="en-GB"/>
        </w:rPr>
        <w:t>eprisals “take many forms, ranging from smear campaigns, threats, travel bans, harassment, fines, the closing of organi</w:t>
      </w:r>
      <w:r w:rsidR="00FB2CCB" w:rsidRPr="00EB0BCC">
        <w:rPr>
          <w:color w:val="000000" w:themeColor="text1"/>
          <w:lang w:val="en-GB"/>
        </w:rPr>
        <w:t>s</w:t>
      </w:r>
      <w:r w:rsidR="003A7D06" w:rsidRPr="00EB0BCC">
        <w:rPr>
          <w:color w:val="000000" w:themeColor="text1"/>
          <w:lang w:val="en-GB"/>
        </w:rPr>
        <w:t>ations, sexual violence, arbitrary arrests, prosecutions and lengthy prison sentences through to torture, ill-treatment and even death</w:t>
      </w:r>
      <w:r w:rsidR="00432211" w:rsidRPr="00EB0BCC">
        <w:rPr>
          <w:color w:val="000000" w:themeColor="text1"/>
          <w:lang w:val="en-GB"/>
        </w:rPr>
        <w:t xml:space="preserve">” according to a July 2013 report to the </w:t>
      </w:r>
      <w:r w:rsidR="00301B33" w:rsidRPr="00EB0BCC">
        <w:rPr>
          <w:color w:val="000000" w:themeColor="text1"/>
          <w:lang w:val="en-GB"/>
        </w:rPr>
        <w:t>United Nations Human Rights Council (</w:t>
      </w:r>
      <w:r w:rsidR="00324434" w:rsidRPr="00EB0BCC">
        <w:rPr>
          <w:color w:val="000000" w:themeColor="text1"/>
          <w:lang w:val="en-GB"/>
        </w:rPr>
        <w:t>UN</w:t>
      </w:r>
      <w:r w:rsidR="00432211" w:rsidRPr="00EB0BCC">
        <w:rPr>
          <w:color w:val="000000" w:themeColor="text1"/>
          <w:lang w:val="en-GB"/>
        </w:rPr>
        <w:t>HRC</w:t>
      </w:r>
      <w:r w:rsidR="00301B33" w:rsidRPr="00EB0BCC">
        <w:rPr>
          <w:color w:val="000000" w:themeColor="text1"/>
          <w:lang w:val="en-GB"/>
        </w:rPr>
        <w:t>)</w:t>
      </w:r>
      <w:r w:rsidR="00432211" w:rsidRPr="00EB0BCC">
        <w:rPr>
          <w:color w:val="000000" w:themeColor="text1"/>
          <w:lang w:val="en-GB"/>
        </w:rPr>
        <w:t xml:space="preserve"> by the Office of the UN High Commissioner of Human Rights (OHCHR)</w:t>
      </w:r>
      <w:r w:rsidR="00432211" w:rsidRPr="00EB0BCC">
        <w:rPr>
          <w:color w:val="000000" w:themeColor="text1"/>
          <w:szCs w:val="24"/>
          <w:lang w:val="en-GB"/>
        </w:rPr>
        <w:t>.</w:t>
      </w:r>
      <w:r w:rsidR="003A7D06" w:rsidRPr="00EB0BCC">
        <w:rPr>
          <w:rStyle w:val="FootnoteReference"/>
          <w:color w:val="000000" w:themeColor="text1"/>
          <w:szCs w:val="24"/>
          <w:lang w:val="en-GB"/>
        </w:rPr>
        <w:footnoteReference w:id="1"/>
      </w:r>
      <w:r w:rsidR="00432211" w:rsidRPr="00EB0BCC">
        <w:rPr>
          <w:color w:val="000000" w:themeColor="text1"/>
          <w:szCs w:val="24"/>
          <w:lang w:val="en-GB"/>
        </w:rPr>
        <w:t xml:space="preserve"> </w:t>
      </w:r>
    </w:p>
    <w:p w:rsidR="00614768" w:rsidRPr="00EB0BCC" w:rsidRDefault="00614768" w:rsidP="00614768">
      <w:pPr>
        <w:ind w:left="720"/>
        <w:jc w:val="both"/>
        <w:rPr>
          <w:color w:val="000000" w:themeColor="text1"/>
          <w:szCs w:val="24"/>
          <w:lang w:val="en-GB"/>
        </w:rPr>
      </w:pPr>
    </w:p>
    <w:p w:rsidR="00DA4842" w:rsidRPr="00EB0BCC" w:rsidRDefault="006339F7" w:rsidP="004A0494">
      <w:pPr>
        <w:numPr>
          <w:ilvl w:val="0"/>
          <w:numId w:val="17"/>
        </w:numPr>
        <w:jc w:val="both"/>
        <w:rPr>
          <w:color w:val="000000" w:themeColor="text1"/>
          <w:lang w:val="en-GB"/>
        </w:rPr>
      </w:pPr>
      <w:r w:rsidRPr="00EB0BCC">
        <w:rPr>
          <w:color w:val="000000" w:themeColor="text1"/>
          <w:lang w:val="en-GB"/>
        </w:rPr>
        <w:t xml:space="preserve">The Department of Cyber Crime </w:t>
      </w:r>
      <w:r w:rsidR="00301B33" w:rsidRPr="00EB0BCC">
        <w:rPr>
          <w:color w:val="000000" w:themeColor="text1"/>
          <w:lang w:val="en-GB"/>
        </w:rPr>
        <w:t xml:space="preserve">within the Criminal Investigations Directorate (CID) of the Interior Ministry </w:t>
      </w:r>
      <w:r w:rsidRPr="00EB0BCC">
        <w:rPr>
          <w:color w:val="000000" w:themeColor="text1"/>
          <w:lang w:val="en-GB"/>
        </w:rPr>
        <w:t xml:space="preserve">has become especially adept at social media surveillance and </w:t>
      </w:r>
      <w:r w:rsidR="00070706" w:rsidRPr="00EB0BCC">
        <w:rPr>
          <w:color w:val="000000" w:themeColor="text1"/>
          <w:lang w:val="en-GB"/>
        </w:rPr>
        <w:t>bringing charges against human rights defenders and others based upon any expression of disse</w:t>
      </w:r>
      <w:r w:rsidR="00171B37" w:rsidRPr="00EB0BCC">
        <w:rPr>
          <w:color w:val="000000" w:themeColor="text1"/>
          <w:lang w:val="en-GB"/>
        </w:rPr>
        <w:t>nt, using overly broad, vaguely-</w:t>
      </w:r>
      <w:r w:rsidR="00070706" w:rsidRPr="00EB0BCC">
        <w:rPr>
          <w:color w:val="000000" w:themeColor="text1"/>
          <w:lang w:val="en-GB"/>
        </w:rPr>
        <w:t>defined laws like spreading “false news</w:t>
      </w:r>
      <w:r w:rsidR="00171B37" w:rsidRPr="00EB0BCC">
        <w:rPr>
          <w:color w:val="000000" w:themeColor="text1"/>
          <w:lang w:val="en-GB"/>
        </w:rPr>
        <w:t>,</w:t>
      </w:r>
      <w:r w:rsidR="00070706" w:rsidRPr="00EB0BCC">
        <w:rPr>
          <w:color w:val="000000" w:themeColor="text1"/>
          <w:lang w:val="en-GB"/>
        </w:rPr>
        <w:t>” “insulting a statutory body</w:t>
      </w:r>
      <w:r w:rsidR="00171B37" w:rsidRPr="00EB0BCC">
        <w:rPr>
          <w:color w:val="000000" w:themeColor="text1"/>
          <w:lang w:val="en-GB"/>
        </w:rPr>
        <w:t>,</w:t>
      </w:r>
      <w:r w:rsidR="00070706" w:rsidRPr="00EB0BCC">
        <w:rPr>
          <w:color w:val="000000" w:themeColor="text1"/>
          <w:lang w:val="en-GB"/>
        </w:rPr>
        <w:t>”</w:t>
      </w:r>
      <w:r w:rsidR="00171B37" w:rsidRPr="00EB0BCC">
        <w:rPr>
          <w:color w:val="000000" w:themeColor="text1"/>
          <w:lang w:val="en-GB"/>
        </w:rPr>
        <w:t xml:space="preserve"> or “undermining the prestige” of Bahrain.</w:t>
      </w:r>
      <w:r w:rsidR="000E2F57" w:rsidRPr="00EB0BCC">
        <w:rPr>
          <w:color w:val="000000" w:themeColor="text1"/>
          <w:lang w:val="en-GB"/>
        </w:rPr>
        <w:t xml:space="preserve"> </w:t>
      </w:r>
      <w:r w:rsidR="00171B37" w:rsidRPr="00EB0BCC">
        <w:rPr>
          <w:color w:val="000000" w:themeColor="text1"/>
          <w:lang w:val="en-GB"/>
        </w:rPr>
        <w:t xml:space="preserve">Such laws have become a pretext for suppression of </w:t>
      </w:r>
      <w:r w:rsidR="00981F8B" w:rsidRPr="00EB0BCC">
        <w:rPr>
          <w:color w:val="000000" w:themeColor="text1"/>
          <w:lang w:val="en-GB"/>
        </w:rPr>
        <w:t>any form of dissent.</w:t>
      </w:r>
    </w:p>
    <w:p w:rsidR="00926C07" w:rsidRPr="00EB0BCC" w:rsidRDefault="00592BCD" w:rsidP="004A0494">
      <w:pPr>
        <w:numPr>
          <w:ilvl w:val="0"/>
          <w:numId w:val="17"/>
        </w:numPr>
        <w:jc w:val="both"/>
        <w:rPr>
          <w:color w:val="000000" w:themeColor="text1"/>
          <w:lang w:val="en-GB"/>
        </w:rPr>
      </w:pPr>
      <w:r w:rsidRPr="00EB0BCC">
        <w:rPr>
          <w:color w:val="000000" w:themeColor="text1"/>
          <w:lang w:val="en-GB"/>
        </w:rPr>
        <w:lastRenderedPageBreak/>
        <w:t xml:space="preserve">It is important to acknowledge efforts to redress previous allegations of human rights </w:t>
      </w:r>
      <w:r w:rsidR="001C7FC7" w:rsidRPr="00EB0BCC">
        <w:rPr>
          <w:color w:val="000000" w:themeColor="text1"/>
          <w:lang w:val="en-GB"/>
        </w:rPr>
        <w:t>viola</w:t>
      </w:r>
      <w:r w:rsidRPr="00EB0BCC">
        <w:rPr>
          <w:color w:val="000000" w:themeColor="text1"/>
          <w:lang w:val="en-GB"/>
        </w:rPr>
        <w:t>tions</w:t>
      </w:r>
      <w:r w:rsidR="003654D1" w:rsidRPr="00EB0BCC">
        <w:rPr>
          <w:color w:val="000000" w:themeColor="text1"/>
          <w:lang w:val="en-GB"/>
        </w:rPr>
        <w:t xml:space="preserve"> and</w:t>
      </w:r>
      <w:r w:rsidR="00926C07" w:rsidRPr="00EB0BCC">
        <w:rPr>
          <w:color w:val="000000" w:themeColor="text1"/>
          <w:lang w:val="en-GB"/>
        </w:rPr>
        <w:t xml:space="preserve"> provide</w:t>
      </w:r>
      <w:r w:rsidR="001C7FC7" w:rsidRPr="00EB0BCC">
        <w:rPr>
          <w:color w:val="000000" w:themeColor="text1"/>
          <w:lang w:val="en-GB"/>
        </w:rPr>
        <w:t xml:space="preserve"> </w:t>
      </w:r>
      <w:r w:rsidR="00926C07" w:rsidRPr="00EB0BCC">
        <w:rPr>
          <w:color w:val="000000" w:themeColor="text1"/>
          <w:lang w:val="en-GB"/>
        </w:rPr>
        <w:t xml:space="preserve">accountability for government misconduct, </w:t>
      </w:r>
      <w:r w:rsidR="001C7FC7" w:rsidRPr="00EB0BCC">
        <w:rPr>
          <w:color w:val="000000" w:themeColor="text1"/>
          <w:lang w:val="en-GB"/>
        </w:rPr>
        <w:t xml:space="preserve">through the creation of </w:t>
      </w:r>
      <w:r w:rsidR="00926C07" w:rsidRPr="00EB0BCC">
        <w:rPr>
          <w:color w:val="000000" w:themeColor="text1"/>
          <w:lang w:val="en-GB"/>
        </w:rPr>
        <w:t>the Special Investigations Unit (SIU) and the Ministry of Interior Ombudsman</w:t>
      </w:r>
      <w:r w:rsidR="001C7FC7" w:rsidRPr="00EB0BCC">
        <w:rPr>
          <w:color w:val="000000" w:themeColor="text1"/>
          <w:lang w:val="en-GB"/>
        </w:rPr>
        <w:t>.</w:t>
      </w:r>
      <w:r w:rsidR="000E2F57" w:rsidRPr="00EB0BCC">
        <w:rPr>
          <w:color w:val="000000" w:themeColor="text1"/>
          <w:lang w:val="en-GB"/>
        </w:rPr>
        <w:t xml:space="preserve"> </w:t>
      </w:r>
      <w:r w:rsidR="001C7FC7" w:rsidRPr="00EB0BCC">
        <w:rPr>
          <w:color w:val="000000" w:themeColor="text1"/>
          <w:lang w:val="en-GB"/>
        </w:rPr>
        <w:t xml:space="preserve">These institutions were set up in response </w:t>
      </w:r>
      <w:r w:rsidR="00A42E2A" w:rsidRPr="00EB0BCC">
        <w:rPr>
          <w:color w:val="000000" w:themeColor="text1"/>
          <w:lang w:val="en-GB"/>
        </w:rPr>
        <w:t xml:space="preserve">to the </w:t>
      </w:r>
      <w:r w:rsidR="003654D1" w:rsidRPr="00EB0BCC">
        <w:rPr>
          <w:color w:val="000000" w:themeColor="text1"/>
          <w:lang w:val="en-GB"/>
        </w:rPr>
        <w:t xml:space="preserve">November 2011 </w:t>
      </w:r>
      <w:r w:rsidR="00A42E2A" w:rsidRPr="00EB0BCC">
        <w:rPr>
          <w:color w:val="000000" w:themeColor="text1"/>
          <w:lang w:val="en-GB"/>
        </w:rPr>
        <w:t xml:space="preserve">recommendations of the </w:t>
      </w:r>
      <w:r w:rsidR="00344284" w:rsidRPr="00EB0BCC">
        <w:rPr>
          <w:color w:val="000000" w:themeColor="text1"/>
          <w:lang w:val="en-GB"/>
        </w:rPr>
        <w:t>Bahrain Independent Commission of Inquiry (BICI)</w:t>
      </w:r>
      <w:r w:rsidR="00BA35C4" w:rsidRPr="00EB0BCC">
        <w:rPr>
          <w:color w:val="000000" w:themeColor="text1"/>
          <w:lang w:val="en-GB"/>
        </w:rPr>
        <w:t>, in addition to the Prisoners and Detainees Rights Commission</w:t>
      </w:r>
      <w:r w:rsidR="00344284" w:rsidRPr="00EB0BCC">
        <w:rPr>
          <w:color w:val="000000" w:themeColor="text1"/>
          <w:lang w:val="en-GB"/>
        </w:rPr>
        <w:t>.</w:t>
      </w:r>
      <w:r w:rsidR="000E2F57" w:rsidRPr="00EB0BCC">
        <w:rPr>
          <w:color w:val="000000" w:themeColor="text1"/>
          <w:lang w:val="en-GB"/>
        </w:rPr>
        <w:t xml:space="preserve"> </w:t>
      </w:r>
      <w:r w:rsidR="001C7FC7" w:rsidRPr="00EB0BCC">
        <w:rPr>
          <w:color w:val="000000" w:themeColor="text1"/>
          <w:lang w:val="en-GB"/>
        </w:rPr>
        <w:t xml:space="preserve">But </w:t>
      </w:r>
      <w:r w:rsidR="00A32ADC" w:rsidRPr="00EB0BCC">
        <w:rPr>
          <w:color w:val="000000" w:themeColor="text1"/>
          <w:lang w:val="en-GB"/>
        </w:rPr>
        <w:t xml:space="preserve">this report’s </w:t>
      </w:r>
      <w:r w:rsidR="00A42E2A" w:rsidRPr="00EB0BCC">
        <w:rPr>
          <w:color w:val="000000" w:themeColor="text1"/>
          <w:lang w:val="en-GB"/>
        </w:rPr>
        <w:t>findings</w:t>
      </w:r>
      <w:r w:rsidR="001C7FC7" w:rsidRPr="00EB0BCC">
        <w:rPr>
          <w:color w:val="000000" w:themeColor="text1"/>
          <w:lang w:val="en-GB"/>
        </w:rPr>
        <w:t xml:space="preserve"> indicate that the</w:t>
      </w:r>
      <w:r w:rsidR="00965785" w:rsidRPr="00EB0BCC">
        <w:rPr>
          <w:color w:val="000000" w:themeColor="text1"/>
          <w:lang w:val="en-GB"/>
        </w:rPr>
        <w:t>se organi</w:t>
      </w:r>
      <w:r w:rsidR="002D3AD0" w:rsidRPr="00EB0BCC">
        <w:rPr>
          <w:color w:val="000000" w:themeColor="text1"/>
          <w:lang w:val="en-GB"/>
        </w:rPr>
        <w:t>s</w:t>
      </w:r>
      <w:r w:rsidR="00965785" w:rsidRPr="00EB0BCC">
        <w:rPr>
          <w:color w:val="000000" w:themeColor="text1"/>
          <w:lang w:val="en-GB"/>
        </w:rPr>
        <w:t>ations</w:t>
      </w:r>
      <w:r w:rsidR="00A42E2A" w:rsidRPr="00EB0BCC">
        <w:rPr>
          <w:color w:val="000000" w:themeColor="text1"/>
          <w:lang w:val="en-GB"/>
        </w:rPr>
        <w:t xml:space="preserve"> </w:t>
      </w:r>
      <w:r w:rsidR="00926C07" w:rsidRPr="00EB0BCC">
        <w:rPr>
          <w:color w:val="000000" w:themeColor="text1"/>
          <w:lang w:val="en-GB"/>
        </w:rPr>
        <w:t>have failed to effectively investigate and prosecute security forces and high officials for torture and serious mistreatment of persons in custody</w:t>
      </w:r>
      <w:r w:rsidR="00344284" w:rsidRPr="00EB0BCC">
        <w:rPr>
          <w:color w:val="000000" w:themeColor="text1"/>
          <w:lang w:val="en-GB"/>
        </w:rPr>
        <w:t xml:space="preserve"> and have not deterred government misconduct</w:t>
      </w:r>
      <w:r w:rsidR="00926C07" w:rsidRPr="00EB0BCC">
        <w:rPr>
          <w:color w:val="000000" w:themeColor="text1"/>
          <w:lang w:val="en-GB"/>
        </w:rPr>
        <w:t>.</w:t>
      </w:r>
      <w:r w:rsidR="000E2F57" w:rsidRPr="00EB0BCC">
        <w:rPr>
          <w:color w:val="000000" w:themeColor="text1"/>
          <w:lang w:val="en-GB"/>
        </w:rPr>
        <w:t xml:space="preserve"> </w:t>
      </w:r>
      <w:r w:rsidR="000138DB" w:rsidRPr="00EB0BCC">
        <w:rPr>
          <w:color w:val="000000" w:themeColor="text1"/>
          <w:lang w:val="en-GB"/>
        </w:rPr>
        <w:t xml:space="preserve">On the contrary, these </w:t>
      </w:r>
      <w:r w:rsidR="002F7488" w:rsidRPr="00EB0BCC">
        <w:rPr>
          <w:color w:val="000000" w:themeColor="text1"/>
          <w:lang w:val="en-GB"/>
        </w:rPr>
        <w:t>institutions</w:t>
      </w:r>
      <w:r w:rsidR="000138DB" w:rsidRPr="00EB0BCC">
        <w:rPr>
          <w:color w:val="000000" w:themeColor="text1"/>
          <w:lang w:val="en-GB"/>
        </w:rPr>
        <w:t xml:space="preserve"> have, since their introduction, taken part in covering up some of the violations that occur.</w:t>
      </w:r>
    </w:p>
    <w:p w:rsidR="00614768" w:rsidRPr="00EB0BCC" w:rsidRDefault="00614768" w:rsidP="00614768">
      <w:pPr>
        <w:ind w:left="720"/>
        <w:jc w:val="both"/>
        <w:rPr>
          <w:color w:val="000000" w:themeColor="text1"/>
          <w:lang w:val="en-GB"/>
        </w:rPr>
      </w:pPr>
    </w:p>
    <w:p w:rsidR="00A04008" w:rsidRPr="00EB0BCC" w:rsidRDefault="00A32ADC" w:rsidP="004A0494">
      <w:pPr>
        <w:numPr>
          <w:ilvl w:val="0"/>
          <w:numId w:val="17"/>
        </w:numPr>
        <w:jc w:val="both"/>
        <w:rPr>
          <w:color w:val="000000" w:themeColor="text1"/>
          <w:szCs w:val="24"/>
          <w:lang w:val="en-GB"/>
        </w:rPr>
      </w:pPr>
      <w:r w:rsidRPr="00EB0BCC">
        <w:rPr>
          <w:color w:val="000000" w:themeColor="text1"/>
          <w:lang w:val="en-GB"/>
        </w:rPr>
        <w:t xml:space="preserve">It is </w:t>
      </w:r>
      <w:r w:rsidR="0031072C" w:rsidRPr="00EB0BCC">
        <w:rPr>
          <w:color w:val="000000" w:themeColor="text1"/>
          <w:lang w:val="en-GB"/>
        </w:rPr>
        <w:t xml:space="preserve">further </w:t>
      </w:r>
      <w:r w:rsidRPr="00EB0BCC">
        <w:rPr>
          <w:color w:val="000000" w:themeColor="text1"/>
          <w:lang w:val="en-GB"/>
        </w:rPr>
        <w:t xml:space="preserve">important to </w:t>
      </w:r>
      <w:r w:rsidR="0031072C" w:rsidRPr="00EB0BCC">
        <w:rPr>
          <w:color w:val="000000" w:themeColor="text1"/>
          <w:lang w:val="en-GB"/>
        </w:rPr>
        <w:t xml:space="preserve">note that </w:t>
      </w:r>
      <w:r w:rsidR="0085053A" w:rsidRPr="00EB0BCC">
        <w:rPr>
          <w:color w:val="000000" w:themeColor="text1"/>
          <w:lang w:val="en-GB"/>
        </w:rPr>
        <w:t>on 14</w:t>
      </w:r>
      <w:r w:rsidR="00A04008" w:rsidRPr="00EB0BCC">
        <w:rPr>
          <w:color w:val="000000" w:themeColor="text1"/>
          <w:lang w:val="en-GB"/>
        </w:rPr>
        <w:t xml:space="preserve"> September 2015, the </w:t>
      </w:r>
      <w:r w:rsidR="00A571F4" w:rsidRPr="00EB0BCC">
        <w:rPr>
          <w:color w:val="000000" w:themeColor="text1"/>
          <w:lang w:val="en-GB"/>
        </w:rPr>
        <w:t xml:space="preserve">UNHRC </w:t>
      </w:r>
      <w:r w:rsidR="00A04008" w:rsidRPr="00EB0BCC">
        <w:rPr>
          <w:color w:val="000000" w:themeColor="text1"/>
          <w:lang w:val="en-GB"/>
        </w:rPr>
        <w:t xml:space="preserve">issued a statement joined by 33 states, including the US and the United Kingdom, </w:t>
      </w:r>
      <w:r w:rsidR="00D573B9" w:rsidRPr="00EB0BCC">
        <w:rPr>
          <w:color w:val="000000" w:themeColor="text1"/>
          <w:lang w:val="en-GB"/>
        </w:rPr>
        <w:t>criticising</w:t>
      </w:r>
      <w:r w:rsidR="00A04008" w:rsidRPr="00EB0BCC">
        <w:rPr>
          <w:color w:val="000000" w:themeColor="text1"/>
          <w:lang w:val="en-GB"/>
        </w:rPr>
        <w:t xml:space="preserve"> Bahrain for detaining dissidents and calling for the release of political prisoners and the revision of laws that restrict freedom of expression</w:t>
      </w:r>
      <w:r w:rsidR="00A04008" w:rsidRPr="00EB0BCC">
        <w:rPr>
          <w:color w:val="000000" w:themeColor="text1"/>
          <w:szCs w:val="24"/>
          <w:lang w:val="en-GB"/>
        </w:rPr>
        <w:t>.</w:t>
      </w:r>
      <w:r w:rsidR="00390415" w:rsidRPr="00EB0BCC">
        <w:rPr>
          <w:rStyle w:val="FootnoteReference"/>
          <w:color w:val="000000" w:themeColor="text1"/>
          <w:szCs w:val="24"/>
          <w:lang w:val="en-GB"/>
        </w:rPr>
        <w:footnoteReference w:id="2"/>
      </w:r>
      <w:r w:rsidR="000E2F57" w:rsidRPr="00EB0BCC">
        <w:rPr>
          <w:color w:val="000000" w:themeColor="text1"/>
          <w:szCs w:val="24"/>
          <w:lang w:val="en-GB"/>
        </w:rPr>
        <w:t xml:space="preserve"> </w:t>
      </w:r>
      <w:r w:rsidR="00F8763C" w:rsidRPr="00EB0BCC">
        <w:rPr>
          <w:color w:val="000000" w:themeColor="text1"/>
          <w:szCs w:val="24"/>
          <w:lang w:val="en-GB"/>
        </w:rPr>
        <w:t>This report underscores the continuing problem of un</w:t>
      </w:r>
      <w:r w:rsidR="00077454" w:rsidRPr="00EB0BCC">
        <w:rPr>
          <w:color w:val="000000" w:themeColor="text1"/>
          <w:szCs w:val="24"/>
          <w:lang w:val="en-GB"/>
        </w:rPr>
        <w:t>justifiable</w:t>
      </w:r>
      <w:r w:rsidR="00F8763C" w:rsidRPr="00EB0BCC">
        <w:rPr>
          <w:color w:val="000000" w:themeColor="text1"/>
          <w:szCs w:val="24"/>
          <w:lang w:val="en-GB"/>
        </w:rPr>
        <w:t xml:space="preserve"> detention </w:t>
      </w:r>
      <w:r w:rsidR="00300F87" w:rsidRPr="00EB0BCC">
        <w:rPr>
          <w:color w:val="000000" w:themeColor="text1"/>
          <w:szCs w:val="24"/>
          <w:lang w:val="en-GB"/>
        </w:rPr>
        <w:t xml:space="preserve">by Bahraini authorities </w:t>
      </w:r>
      <w:r w:rsidR="00F8763C" w:rsidRPr="00EB0BCC">
        <w:rPr>
          <w:color w:val="000000" w:themeColor="text1"/>
          <w:szCs w:val="24"/>
          <w:lang w:val="en-GB"/>
        </w:rPr>
        <w:t xml:space="preserve">of individuals for simple expressions of dissent </w:t>
      </w:r>
      <w:r w:rsidR="009D1E39" w:rsidRPr="00EB0BCC">
        <w:rPr>
          <w:color w:val="000000" w:themeColor="text1"/>
          <w:szCs w:val="24"/>
          <w:lang w:val="en-GB"/>
        </w:rPr>
        <w:t>or</w:t>
      </w:r>
      <w:r w:rsidR="00F8763C" w:rsidRPr="00EB0BCC">
        <w:rPr>
          <w:color w:val="000000" w:themeColor="text1"/>
          <w:szCs w:val="24"/>
          <w:lang w:val="en-GB"/>
        </w:rPr>
        <w:t xml:space="preserve"> non</w:t>
      </w:r>
      <w:r w:rsidR="005D599A" w:rsidRPr="00EB0BCC">
        <w:rPr>
          <w:color w:val="000000" w:themeColor="text1"/>
          <w:szCs w:val="24"/>
          <w:lang w:val="en-GB"/>
        </w:rPr>
        <w:t>-</w:t>
      </w:r>
      <w:r w:rsidR="00F8763C" w:rsidRPr="00EB0BCC">
        <w:rPr>
          <w:color w:val="000000" w:themeColor="text1"/>
          <w:szCs w:val="24"/>
          <w:lang w:val="en-GB"/>
        </w:rPr>
        <w:t xml:space="preserve">violent protest, compounded by the deliberate targeting of human rights defenders and journalists </w:t>
      </w:r>
      <w:r w:rsidR="00300F87" w:rsidRPr="00EB0BCC">
        <w:rPr>
          <w:color w:val="000000" w:themeColor="text1"/>
          <w:szCs w:val="24"/>
          <w:lang w:val="en-GB"/>
        </w:rPr>
        <w:t>to stifle the investigation and repor</w:t>
      </w:r>
      <w:r w:rsidR="009D1E39" w:rsidRPr="00EB0BCC">
        <w:rPr>
          <w:color w:val="000000" w:themeColor="text1"/>
          <w:szCs w:val="24"/>
          <w:lang w:val="en-GB"/>
        </w:rPr>
        <w:t xml:space="preserve">ting of human rights violations, rather than addressing the violations through fair and proper investigations </w:t>
      </w:r>
      <w:r w:rsidR="005D599A" w:rsidRPr="00EB0BCC">
        <w:rPr>
          <w:color w:val="000000" w:themeColor="text1"/>
          <w:szCs w:val="24"/>
          <w:lang w:val="en-GB"/>
        </w:rPr>
        <w:t>and prosecutions</w:t>
      </w:r>
      <w:r w:rsidR="008A563A" w:rsidRPr="00EB0BCC">
        <w:rPr>
          <w:color w:val="000000" w:themeColor="text1"/>
          <w:szCs w:val="24"/>
          <w:lang w:val="en-GB"/>
        </w:rPr>
        <w:t>, where appropriate</w:t>
      </w:r>
      <w:r w:rsidR="00344284" w:rsidRPr="00EB0BCC">
        <w:rPr>
          <w:color w:val="000000" w:themeColor="text1"/>
          <w:szCs w:val="24"/>
          <w:lang w:val="en-GB"/>
        </w:rPr>
        <w:t>.</w:t>
      </w:r>
    </w:p>
    <w:p w:rsidR="00614768" w:rsidRPr="00EB0BCC" w:rsidRDefault="00614768" w:rsidP="00614768">
      <w:pPr>
        <w:ind w:left="720"/>
        <w:jc w:val="both"/>
        <w:rPr>
          <w:color w:val="000000" w:themeColor="text1"/>
          <w:szCs w:val="24"/>
          <w:lang w:val="en-GB"/>
        </w:rPr>
      </w:pPr>
    </w:p>
    <w:p w:rsidR="0057518B" w:rsidRPr="00EB0BCC" w:rsidRDefault="00311863" w:rsidP="00BA35C4">
      <w:pPr>
        <w:pStyle w:val="Heading3"/>
        <w:jc w:val="both"/>
        <w:rPr>
          <w:color w:val="000000" w:themeColor="text1"/>
          <w:lang w:val="en-GB"/>
        </w:rPr>
      </w:pPr>
      <w:bookmarkStart w:id="3" w:name="_Toc475984105"/>
      <w:r w:rsidRPr="00EB0BCC">
        <w:rPr>
          <w:color w:val="000000" w:themeColor="text1"/>
          <w:lang w:val="en-GB"/>
        </w:rPr>
        <w:t>I</w:t>
      </w:r>
      <w:r w:rsidR="0057518B" w:rsidRPr="00EB0BCC">
        <w:rPr>
          <w:color w:val="000000" w:themeColor="text1"/>
          <w:lang w:val="en-GB"/>
        </w:rPr>
        <w:t>I</w:t>
      </w:r>
      <w:r w:rsidR="00CF3DB4" w:rsidRPr="00EB0BCC">
        <w:rPr>
          <w:color w:val="000000" w:themeColor="text1"/>
          <w:lang w:val="en-GB"/>
        </w:rPr>
        <w:t>I</w:t>
      </w:r>
      <w:r w:rsidR="0057518B" w:rsidRPr="00EB0BCC">
        <w:rPr>
          <w:color w:val="000000" w:themeColor="text1"/>
          <w:lang w:val="en-GB"/>
        </w:rPr>
        <w:t>. Methodology</w:t>
      </w:r>
      <w:bookmarkEnd w:id="3"/>
      <w:r w:rsidR="0057518B" w:rsidRPr="00EB0BCC">
        <w:rPr>
          <w:color w:val="000000" w:themeColor="text1"/>
          <w:lang w:val="en-GB"/>
        </w:rPr>
        <w:t xml:space="preserve"> </w:t>
      </w:r>
    </w:p>
    <w:p w:rsidR="00A54C2F" w:rsidRPr="00EB0BCC" w:rsidRDefault="00A54C2F" w:rsidP="004A0494">
      <w:pPr>
        <w:numPr>
          <w:ilvl w:val="0"/>
          <w:numId w:val="17"/>
        </w:numPr>
        <w:jc w:val="both"/>
        <w:rPr>
          <w:color w:val="000000" w:themeColor="text1"/>
          <w:lang w:val="en-GB"/>
        </w:rPr>
      </w:pPr>
      <w:r w:rsidRPr="00EB0BCC">
        <w:rPr>
          <w:color w:val="000000" w:themeColor="text1"/>
          <w:lang w:val="en-GB"/>
        </w:rPr>
        <w:t xml:space="preserve">This report based </w:t>
      </w:r>
      <w:r w:rsidR="006B74A6" w:rsidRPr="00EB0BCC">
        <w:rPr>
          <w:color w:val="000000" w:themeColor="text1"/>
          <w:lang w:val="en-GB"/>
        </w:rPr>
        <w:t xml:space="preserve">its evidence </w:t>
      </w:r>
      <w:r w:rsidRPr="00EB0BCC">
        <w:rPr>
          <w:color w:val="000000" w:themeColor="text1"/>
          <w:lang w:val="en-GB"/>
        </w:rPr>
        <w:t xml:space="preserve">upon interviews with victims and witnesses, as well as collateral sources of information, including reports from independent human rights </w:t>
      </w:r>
      <w:r w:rsidR="008A09BB" w:rsidRPr="00EB0BCC">
        <w:rPr>
          <w:color w:val="000000" w:themeColor="text1"/>
          <w:lang w:val="en-GB"/>
        </w:rPr>
        <w:t>organisations</w:t>
      </w:r>
      <w:r w:rsidRPr="00EB0BCC">
        <w:rPr>
          <w:color w:val="000000" w:themeColor="text1"/>
          <w:lang w:val="en-GB"/>
        </w:rPr>
        <w:t>.</w:t>
      </w:r>
      <w:r w:rsidR="00BA35C4" w:rsidRPr="00EB0BCC">
        <w:rPr>
          <w:color w:val="000000" w:themeColor="text1"/>
          <w:lang w:val="en-GB"/>
        </w:rPr>
        <w:t xml:space="preserve"> </w:t>
      </w:r>
      <w:r w:rsidRPr="00EB0BCC">
        <w:rPr>
          <w:color w:val="000000" w:themeColor="text1"/>
          <w:lang w:val="en-GB"/>
        </w:rPr>
        <w:t xml:space="preserve">It focuses on </w:t>
      </w:r>
      <w:r w:rsidR="00FC46F9" w:rsidRPr="00EB0BCC">
        <w:rPr>
          <w:color w:val="000000" w:themeColor="text1"/>
          <w:lang w:val="en-GB"/>
        </w:rPr>
        <w:t xml:space="preserve">nine </w:t>
      </w:r>
      <w:r w:rsidR="00D5627E" w:rsidRPr="00EB0BCC">
        <w:rPr>
          <w:color w:val="000000" w:themeColor="text1"/>
          <w:lang w:val="en-GB"/>
        </w:rPr>
        <w:t xml:space="preserve">human rights defenders </w:t>
      </w:r>
      <w:r w:rsidRPr="00EB0BCC">
        <w:rPr>
          <w:color w:val="000000" w:themeColor="text1"/>
          <w:lang w:val="en-GB"/>
        </w:rPr>
        <w:t xml:space="preserve">who have been detained by Bahraini law enforcement or internal security </w:t>
      </w:r>
      <w:r w:rsidR="008A09BB" w:rsidRPr="00EB0BCC">
        <w:rPr>
          <w:color w:val="000000" w:themeColor="text1"/>
          <w:lang w:val="en-GB"/>
        </w:rPr>
        <w:t>organisations</w:t>
      </w:r>
      <w:r w:rsidRPr="00EB0BCC">
        <w:rPr>
          <w:color w:val="000000" w:themeColor="text1"/>
          <w:lang w:val="en-GB"/>
        </w:rPr>
        <w:t xml:space="preserve"> in the period from 2014 through 2016. It is not intended to be a comprehensive evaluation of the human rights situation in Bahrain, but rather to provide some insight into the status and treatment of detainees in recent years in light of relevant past history. As of the publication of this report, at least </w:t>
      </w:r>
      <w:r w:rsidR="00D5627E" w:rsidRPr="00EB0BCC">
        <w:rPr>
          <w:color w:val="000000" w:themeColor="text1"/>
          <w:lang w:val="en-GB"/>
        </w:rPr>
        <w:t xml:space="preserve">four </w:t>
      </w:r>
      <w:r w:rsidRPr="00EB0BCC">
        <w:rPr>
          <w:color w:val="000000" w:themeColor="text1"/>
          <w:lang w:val="en-GB"/>
        </w:rPr>
        <w:t xml:space="preserve">of these </w:t>
      </w:r>
      <w:r w:rsidR="00D5627E" w:rsidRPr="00EB0BCC">
        <w:rPr>
          <w:color w:val="000000" w:themeColor="text1"/>
          <w:lang w:val="en-GB"/>
        </w:rPr>
        <w:t xml:space="preserve">nine </w:t>
      </w:r>
      <w:r w:rsidRPr="00EB0BCC">
        <w:rPr>
          <w:color w:val="000000" w:themeColor="text1"/>
          <w:lang w:val="en-GB"/>
        </w:rPr>
        <w:t>individuals remain in detention.</w:t>
      </w:r>
      <w:r w:rsidR="00BA35C4" w:rsidRPr="00EB0BCC">
        <w:rPr>
          <w:color w:val="000000" w:themeColor="text1"/>
          <w:lang w:val="en-GB"/>
        </w:rPr>
        <w:t xml:space="preserve"> </w:t>
      </w:r>
    </w:p>
    <w:p w:rsidR="00614768" w:rsidRPr="00EB0BCC" w:rsidRDefault="00614768" w:rsidP="00614768">
      <w:pPr>
        <w:ind w:left="720"/>
        <w:jc w:val="both"/>
        <w:rPr>
          <w:color w:val="000000" w:themeColor="text1"/>
          <w:lang w:val="en-GB"/>
        </w:rPr>
      </w:pPr>
    </w:p>
    <w:p w:rsidR="00A54C2F" w:rsidRPr="00EB0BCC" w:rsidRDefault="00A54C2F" w:rsidP="004A0494">
      <w:pPr>
        <w:numPr>
          <w:ilvl w:val="0"/>
          <w:numId w:val="17"/>
        </w:numPr>
        <w:jc w:val="both"/>
        <w:rPr>
          <w:color w:val="000000" w:themeColor="text1"/>
          <w:lang w:val="en-GB"/>
        </w:rPr>
      </w:pPr>
      <w:r w:rsidRPr="00EB0BCC">
        <w:rPr>
          <w:color w:val="000000" w:themeColor="text1"/>
          <w:lang w:val="en-GB"/>
        </w:rPr>
        <w:t>The material was prepared and organi</w:t>
      </w:r>
      <w:r w:rsidR="00314775" w:rsidRPr="00EB0BCC">
        <w:rPr>
          <w:color w:val="000000" w:themeColor="text1"/>
          <w:lang w:val="en-GB"/>
        </w:rPr>
        <w:t>s</w:t>
      </w:r>
      <w:r w:rsidRPr="00EB0BCC">
        <w:rPr>
          <w:color w:val="000000" w:themeColor="text1"/>
          <w:lang w:val="en-GB"/>
        </w:rPr>
        <w:t xml:space="preserve">ed by Charles Shotwell, senior attorney in the Seattle office of Dorsey &amp; Whitney LLP, </w:t>
      </w:r>
      <w:r w:rsidR="0088405F" w:rsidRPr="00EB0BCC">
        <w:rPr>
          <w:color w:val="000000" w:themeColor="text1"/>
          <w:lang w:val="en-GB"/>
        </w:rPr>
        <w:t>and co-authored by</w:t>
      </w:r>
      <w:r w:rsidR="008B6F4F" w:rsidRPr="00EB0BCC">
        <w:rPr>
          <w:color w:val="000000" w:themeColor="text1"/>
          <w:lang w:val="en-GB"/>
        </w:rPr>
        <w:t xml:space="preserve"> Joshua Colangelo-Bryan, of counsel </w:t>
      </w:r>
      <w:r w:rsidR="0088405F" w:rsidRPr="00EB0BCC">
        <w:rPr>
          <w:color w:val="000000" w:themeColor="text1"/>
          <w:lang w:val="en-GB"/>
        </w:rPr>
        <w:t xml:space="preserve">in the New York office of Dorsey &amp; Whitney and a consultant with Human Rights Watch; </w:t>
      </w:r>
      <w:r w:rsidRPr="00EB0BCC">
        <w:rPr>
          <w:color w:val="000000" w:themeColor="text1"/>
          <w:lang w:val="en-GB"/>
        </w:rPr>
        <w:t xml:space="preserve">with the assistance of Sarah Pallotti, associate at the Denver office of Dorsey &amp; Whitney; Jasmine Hui, staff attorney at the Seattle office of Dorsey &amp; Whitney; and Kymra Archibald, associate at the Missoula office of Dorsey &amp; Whitney. </w:t>
      </w:r>
      <w:r w:rsidR="00D5627E" w:rsidRPr="00EB0BCC">
        <w:rPr>
          <w:color w:val="000000" w:themeColor="text1"/>
          <w:lang w:val="en-GB"/>
        </w:rPr>
        <w:t>The Dorsey &amp; Whitney staff</w:t>
      </w:r>
      <w:r w:rsidRPr="00EB0BCC">
        <w:rPr>
          <w:color w:val="000000" w:themeColor="text1"/>
          <w:lang w:val="en-GB"/>
        </w:rPr>
        <w:t xml:space="preserve"> also conducted interviews </w:t>
      </w:r>
      <w:r w:rsidR="004D30B0" w:rsidRPr="00EB0BCC">
        <w:rPr>
          <w:color w:val="000000" w:themeColor="text1"/>
          <w:lang w:val="en-GB"/>
        </w:rPr>
        <w:t>with</w:t>
      </w:r>
      <w:r w:rsidRPr="00EB0BCC">
        <w:rPr>
          <w:color w:val="000000" w:themeColor="text1"/>
          <w:lang w:val="en-GB"/>
        </w:rPr>
        <w:t xml:space="preserve"> witnesses and prepared narratives based upon their statements.</w:t>
      </w:r>
      <w:r w:rsidR="00BA35C4" w:rsidRPr="00EB0BCC">
        <w:rPr>
          <w:color w:val="000000" w:themeColor="text1"/>
          <w:lang w:val="en-GB"/>
        </w:rPr>
        <w:t xml:space="preserve"> </w:t>
      </w:r>
      <w:r w:rsidRPr="00EB0BCC">
        <w:rPr>
          <w:color w:val="000000" w:themeColor="text1"/>
          <w:lang w:val="en-GB"/>
        </w:rPr>
        <w:t xml:space="preserve">The report was edited by Kristina Stockwood, Chair of the </w:t>
      </w:r>
      <w:r w:rsidR="0088405F" w:rsidRPr="00EB0BCC">
        <w:rPr>
          <w:color w:val="000000" w:themeColor="text1"/>
          <w:lang w:val="en-GB"/>
        </w:rPr>
        <w:t>Gulf Centre for Human Rights (GCHR)</w:t>
      </w:r>
      <w:r w:rsidRPr="00EB0BCC">
        <w:rPr>
          <w:color w:val="000000" w:themeColor="text1"/>
          <w:lang w:val="en-GB"/>
        </w:rPr>
        <w:t xml:space="preserve"> Advisory Board, Khalid Ibrahim, </w:t>
      </w:r>
      <w:r w:rsidR="00D5627E" w:rsidRPr="00EB0BCC">
        <w:rPr>
          <w:color w:val="000000" w:themeColor="text1"/>
          <w:lang w:val="en-GB"/>
        </w:rPr>
        <w:t xml:space="preserve">GCHR </w:t>
      </w:r>
      <w:r w:rsidR="002F7488" w:rsidRPr="00EB0BCC">
        <w:rPr>
          <w:color w:val="000000" w:themeColor="text1"/>
          <w:lang w:val="en-GB"/>
        </w:rPr>
        <w:t xml:space="preserve">Executive </w:t>
      </w:r>
      <w:r w:rsidRPr="00EB0BCC">
        <w:rPr>
          <w:color w:val="000000" w:themeColor="text1"/>
          <w:lang w:val="en-GB"/>
        </w:rPr>
        <w:t>Director</w:t>
      </w:r>
      <w:r w:rsidR="00D5627E" w:rsidRPr="00EB0BCC">
        <w:rPr>
          <w:color w:val="000000" w:themeColor="text1"/>
          <w:lang w:val="en-GB"/>
        </w:rPr>
        <w:t xml:space="preserve">, </w:t>
      </w:r>
      <w:r w:rsidR="002F7488" w:rsidRPr="00EB0BCC">
        <w:rPr>
          <w:color w:val="000000" w:themeColor="text1"/>
          <w:lang w:val="en-GB"/>
        </w:rPr>
        <w:t xml:space="preserve">Maryam Al-Khawaja, GCHR Special Advisor on Advocacy </w:t>
      </w:r>
      <w:r w:rsidR="00D5627E" w:rsidRPr="00EB0BCC">
        <w:rPr>
          <w:color w:val="000000" w:themeColor="text1"/>
          <w:lang w:val="en-GB"/>
        </w:rPr>
        <w:t>and Weaam Youssef, Human Rights Officer.</w:t>
      </w:r>
      <w:r w:rsidR="00B1707E" w:rsidRPr="00EB0BCC">
        <w:rPr>
          <w:color w:val="000000" w:themeColor="text1"/>
          <w:lang w:val="en-GB"/>
        </w:rPr>
        <w:t xml:space="preserve"> Khalid Ibrahim also </w:t>
      </w:r>
      <w:r w:rsidR="008A09BB" w:rsidRPr="00EB0BCC">
        <w:rPr>
          <w:color w:val="000000" w:themeColor="text1"/>
          <w:lang w:val="en-GB"/>
        </w:rPr>
        <w:t>organised</w:t>
      </w:r>
      <w:r w:rsidR="00B1707E" w:rsidRPr="00EB0BCC">
        <w:rPr>
          <w:color w:val="000000" w:themeColor="text1"/>
          <w:lang w:val="en-GB"/>
        </w:rPr>
        <w:t xml:space="preserve"> the report and facilitated interviews.</w:t>
      </w:r>
    </w:p>
    <w:p w:rsidR="00A54C2F" w:rsidRPr="00EB0BCC" w:rsidRDefault="00BA35C4" w:rsidP="004A0494">
      <w:pPr>
        <w:numPr>
          <w:ilvl w:val="0"/>
          <w:numId w:val="17"/>
        </w:numPr>
        <w:jc w:val="both"/>
        <w:rPr>
          <w:color w:val="000000" w:themeColor="text1"/>
          <w:szCs w:val="24"/>
          <w:lang w:val="en-GB"/>
        </w:rPr>
      </w:pPr>
      <w:r w:rsidRPr="00EB0BCC">
        <w:rPr>
          <w:color w:val="000000" w:themeColor="text1"/>
          <w:lang w:val="en-GB"/>
        </w:rPr>
        <w:br w:type="page"/>
      </w:r>
      <w:r w:rsidR="00A54C2F" w:rsidRPr="00EB0BCC">
        <w:rPr>
          <w:color w:val="000000" w:themeColor="text1"/>
          <w:szCs w:val="24"/>
          <w:lang w:val="en-GB"/>
        </w:rPr>
        <w:lastRenderedPageBreak/>
        <w:t>Between October 2016 and January 2017, eight</w:t>
      </w:r>
      <w:r w:rsidR="00DB0953" w:rsidRPr="00EB0BCC">
        <w:rPr>
          <w:color w:val="000000" w:themeColor="text1"/>
          <w:szCs w:val="24"/>
          <w:lang w:val="en-GB"/>
        </w:rPr>
        <w:t xml:space="preserve"> individuals were interviewed. </w:t>
      </w:r>
      <w:r w:rsidR="00A54C2F" w:rsidRPr="00EB0BCC">
        <w:rPr>
          <w:color w:val="000000" w:themeColor="text1"/>
          <w:szCs w:val="24"/>
          <w:lang w:val="en-GB"/>
        </w:rPr>
        <w:t>Th</w:t>
      </w:r>
      <w:r w:rsidR="003B0012" w:rsidRPr="00EB0BCC">
        <w:rPr>
          <w:color w:val="000000" w:themeColor="text1"/>
          <w:szCs w:val="24"/>
          <w:lang w:val="en-GB"/>
        </w:rPr>
        <w:t>e</w:t>
      </w:r>
      <w:r w:rsidR="0038556C" w:rsidRPr="00EB0BCC">
        <w:rPr>
          <w:color w:val="000000" w:themeColor="text1"/>
          <w:szCs w:val="24"/>
          <w:lang w:val="en-GB"/>
        </w:rPr>
        <w:t xml:space="preserve"> interviewees </w:t>
      </w:r>
      <w:r w:rsidR="004D30B0" w:rsidRPr="00EB0BCC">
        <w:rPr>
          <w:color w:val="000000" w:themeColor="text1"/>
          <w:szCs w:val="24"/>
          <w:lang w:val="en-GB"/>
        </w:rPr>
        <w:t>include those who had</w:t>
      </w:r>
      <w:r w:rsidR="00A54C2F" w:rsidRPr="00EB0BCC">
        <w:rPr>
          <w:color w:val="000000" w:themeColor="text1"/>
          <w:szCs w:val="24"/>
          <w:lang w:val="en-GB"/>
        </w:rPr>
        <w:t xml:space="preserve"> been detained by Bahraini law enforcement (or other internal security </w:t>
      </w:r>
      <w:r w:rsidR="003B0012" w:rsidRPr="00EB0BCC">
        <w:rPr>
          <w:color w:val="000000" w:themeColor="text1"/>
          <w:szCs w:val="24"/>
          <w:lang w:val="en-GB"/>
        </w:rPr>
        <w:t>authorities</w:t>
      </w:r>
      <w:r w:rsidR="00A54C2F" w:rsidRPr="00EB0BCC">
        <w:rPr>
          <w:color w:val="000000" w:themeColor="text1"/>
          <w:szCs w:val="24"/>
          <w:lang w:val="en-GB"/>
        </w:rPr>
        <w:t xml:space="preserve">) or </w:t>
      </w:r>
      <w:r w:rsidR="004D30B0" w:rsidRPr="00EB0BCC">
        <w:rPr>
          <w:color w:val="000000" w:themeColor="text1"/>
          <w:szCs w:val="24"/>
          <w:lang w:val="en-GB"/>
        </w:rPr>
        <w:t xml:space="preserve">who </w:t>
      </w:r>
      <w:r w:rsidR="00A54C2F" w:rsidRPr="00EB0BCC">
        <w:rPr>
          <w:color w:val="000000" w:themeColor="text1"/>
          <w:szCs w:val="24"/>
          <w:lang w:val="en-GB"/>
        </w:rPr>
        <w:t xml:space="preserve">were witnesses to the detention and ill-treatment of others. The latter individuals were interviewed in cases where the victim remained in detention and was not otherwise available for interview. Names of certain interviewees have not been disclosed in this report because of concerns </w:t>
      </w:r>
      <w:r w:rsidR="0038556C" w:rsidRPr="00EB0BCC">
        <w:rPr>
          <w:color w:val="000000" w:themeColor="text1"/>
          <w:szCs w:val="24"/>
          <w:lang w:val="en-GB"/>
        </w:rPr>
        <w:t xml:space="preserve">about </w:t>
      </w:r>
      <w:r w:rsidR="00A54C2F" w:rsidRPr="00EB0BCC">
        <w:rPr>
          <w:color w:val="000000" w:themeColor="text1"/>
          <w:szCs w:val="24"/>
          <w:lang w:val="en-GB"/>
        </w:rPr>
        <w:t xml:space="preserve">their privacy, safety, and security. </w:t>
      </w:r>
      <w:r w:rsidR="006036EC" w:rsidRPr="00EB0BCC">
        <w:rPr>
          <w:color w:val="000000" w:themeColor="text1"/>
          <w:szCs w:val="24"/>
          <w:lang w:val="en-GB"/>
        </w:rPr>
        <w:t>Those named have given their consent.</w:t>
      </w:r>
    </w:p>
    <w:p w:rsidR="00703277" w:rsidRPr="00EB0BCC" w:rsidRDefault="00703277" w:rsidP="00703277">
      <w:pPr>
        <w:ind w:left="720"/>
        <w:jc w:val="both"/>
        <w:rPr>
          <w:color w:val="000000" w:themeColor="text1"/>
          <w:szCs w:val="24"/>
          <w:lang w:val="en-GB"/>
        </w:rPr>
      </w:pPr>
    </w:p>
    <w:p w:rsidR="00EE363B" w:rsidRPr="00EB0BCC" w:rsidRDefault="00A54C2F" w:rsidP="004A0494">
      <w:pPr>
        <w:numPr>
          <w:ilvl w:val="0"/>
          <w:numId w:val="17"/>
        </w:numPr>
        <w:jc w:val="both"/>
        <w:rPr>
          <w:color w:val="000000" w:themeColor="text1"/>
          <w:szCs w:val="24"/>
          <w:lang w:val="en-GB"/>
        </w:rPr>
      </w:pPr>
      <w:r w:rsidRPr="00EB0BCC">
        <w:rPr>
          <w:color w:val="000000" w:themeColor="text1"/>
          <w:szCs w:val="24"/>
          <w:lang w:val="en-GB"/>
        </w:rPr>
        <w:t xml:space="preserve">In addition to recounting the experience of the nine individuals who are the primary focus of this report, references to several other cases </w:t>
      </w:r>
      <w:r w:rsidR="004D30B0" w:rsidRPr="00EB0BCC">
        <w:rPr>
          <w:color w:val="000000" w:themeColor="text1"/>
          <w:szCs w:val="24"/>
          <w:lang w:val="en-GB"/>
        </w:rPr>
        <w:t>documented</w:t>
      </w:r>
      <w:r w:rsidRPr="00EB0BCC">
        <w:rPr>
          <w:color w:val="000000" w:themeColor="text1"/>
          <w:szCs w:val="24"/>
          <w:lang w:val="en-GB"/>
        </w:rPr>
        <w:t xml:space="preserve"> by human rights </w:t>
      </w:r>
      <w:r w:rsidR="0038556C" w:rsidRPr="00EB0BCC">
        <w:rPr>
          <w:color w:val="000000" w:themeColor="text1"/>
          <w:szCs w:val="24"/>
          <w:lang w:val="en-GB"/>
        </w:rPr>
        <w:t>organisations</w:t>
      </w:r>
      <w:r w:rsidRPr="00EB0BCC">
        <w:rPr>
          <w:color w:val="000000" w:themeColor="text1"/>
          <w:szCs w:val="24"/>
          <w:lang w:val="en-GB"/>
        </w:rPr>
        <w:t xml:space="preserve"> are included, which provide corroboration of systemic conduct by Bahraini authorities.</w:t>
      </w:r>
    </w:p>
    <w:p w:rsidR="00A54C2F" w:rsidRPr="00EB0BCC" w:rsidRDefault="00A54C2F" w:rsidP="00EE363B">
      <w:pPr>
        <w:ind w:left="720"/>
        <w:jc w:val="both"/>
        <w:rPr>
          <w:color w:val="000000" w:themeColor="text1"/>
          <w:szCs w:val="24"/>
          <w:lang w:val="en-GB"/>
        </w:rPr>
      </w:pPr>
      <w:r w:rsidRPr="00EB0BCC">
        <w:rPr>
          <w:color w:val="000000" w:themeColor="text1"/>
          <w:szCs w:val="24"/>
          <w:lang w:val="en-GB"/>
        </w:rPr>
        <w:t xml:space="preserve"> </w:t>
      </w:r>
    </w:p>
    <w:p w:rsidR="00A32ADC" w:rsidRPr="00EB0BCC" w:rsidRDefault="00A54C2F" w:rsidP="004A0494">
      <w:pPr>
        <w:numPr>
          <w:ilvl w:val="0"/>
          <w:numId w:val="17"/>
        </w:numPr>
        <w:jc w:val="both"/>
        <w:rPr>
          <w:color w:val="000000" w:themeColor="text1"/>
          <w:szCs w:val="24"/>
          <w:lang w:val="en-GB"/>
        </w:rPr>
      </w:pPr>
      <w:r w:rsidRPr="00EB0BCC">
        <w:rPr>
          <w:color w:val="000000" w:themeColor="text1"/>
          <w:szCs w:val="24"/>
          <w:lang w:val="en-GB"/>
        </w:rPr>
        <w:t>It is noted that there may be different (English language) spellings for names of individuals and places in this report.</w:t>
      </w:r>
      <w:r w:rsidR="00BA35C4" w:rsidRPr="00EB0BCC">
        <w:rPr>
          <w:color w:val="000000" w:themeColor="text1"/>
          <w:szCs w:val="24"/>
          <w:lang w:val="en-GB"/>
        </w:rPr>
        <w:t xml:space="preserve"> </w:t>
      </w:r>
      <w:r w:rsidR="00F41422" w:rsidRPr="00EB0BCC">
        <w:rPr>
          <w:color w:val="000000" w:themeColor="text1"/>
          <w:szCs w:val="24"/>
          <w:lang w:val="en-GB"/>
        </w:rPr>
        <w:t xml:space="preserve">Wherever possible, </w:t>
      </w:r>
      <w:r w:rsidRPr="00EB0BCC">
        <w:rPr>
          <w:color w:val="000000" w:themeColor="text1"/>
          <w:szCs w:val="24"/>
          <w:lang w:val="en-GB"/>
        </w:rPr>
        <w:t>effort</w:t>
      </w:r>
      <w:r w:rsidR="00F41422" w:rsidRPr="00EB0BCC">
        <w:rPr>
          <w:color w:val="000000" w:themeColor="text1"/>
          <w:szCs w:val="24"/>
          <w:lang w:val="en-GB"/>
        </w:rPr>
        <w:t>s</w:t>
      </w:r>
      <w:r w:rsidRPr="00EB0BCC">
        <w:rPr>
          <w:color w:val="000000" w:themeColor="text1"/>
          <w:szCs w:val="24"/>
          <w:lang w:val="en-GB"/>
        </w:rPr>
        <w:t xml:space="preserve"> ha</w:t>
      </w:r>
      <w:r w:rsidR="00F41422" w:rsidRPr="00EB0BCC">
        <w:rPr>
          <w:color w:val="000000" w:themeColor="text1"/>
          <w:szCs w:val="24"/>
          <w:lang w:val="en-GB"/>
        </w:rPr>
        <w:t>ve</w:t>
      </w:r>
      <w:r w:rsidRPr="00EB0BCC">
        <w:rPr>
          <w:color w:val="000000" w:themeColor="text1"/>
          <w:szCs w:val="24"/>
          <w:lang w:val="en-GB"/>
        </w:rPr>
        <w:t xml:space="preserve"> been made to employ the most common usage. </w:t>
      </w:r>
    </w:p>
    <w:p w:rsidR="00EE363B" w:rsidRPr="00EB0BCC" w:rsidRDefault="00EE363B" w:rsidP="00EE363B">
      <w:pPr>
        <w:ind w:left="720"/>
        <w:jc w:val="both"/>
        <w:rPr>
          <w:color w:val="000000" w:themeColor="text1"/>
          <w:szCs w:val="24"/>
          <w:lang w:val="en-GB"/>
        </w:rPr>
      </w:pPr>
    </w:p>
    <w:p w:rsidR="0057518B" w:rsidRPr="00EB0BCC" w:rsidRDefault="00311863" w:rsidP="00BA35C4">
      <w:pPr>
        <w:pStyle w:val="Heading3"/>
        <w:jc w:val="both"/>
        <w:rPr>
          <w:color w:val="000000" w:themeColor="text1"/>
          <w:lang w:val="en-GB"/>
        </w:rPr>
      </w:pPr>
      <w:bookmarkStart w:id="4" w:name="_Toc475984106"/>
      <w:r w:rsidRPr="00EB0BCC">
        <w:rPr>
          <w:color w:val="000000" w:themeColor="text1"/>
          <w:lang w:val="en-GB"/>
        </w:rPr>
        <w:t>I</w:t>
      </w:r>
      <w:r w:rsidR="00C00605" w:rsidRPr="00EB0BCC">
        <w:rPr>
          <w:color w:val="000000" w:themeColor="text1"/>
          <w:lang w:val="en-GB"/>
        </w:rPr>
        <w:t>V</w:t>
      </w:r>
      <w:r w:rsidR="0057518B" w:rsidRPr="00EB0BCC">
        <w:rPr>
          <w:color w:val="000000" w:themeColor="text1"/>
          <w:lang w:val="en-GB"/>
        </w:rPr>
        <w:t>. Background</w:t>
      </w:r>
      <w:bookmarkEnd w:id="4"/>
      <w:r w:rsidR="0057518B" w:rsidRPr="00EB0BCC">
        <w:rPr>
          <w:color w:val="000000" w:themeColor="text1"/>
          <w:lang w:val="en-GB"/>
        </w:rPr>
        <w:t xml:space="preserve"> </w:t>
      </w:r>
    </w:p>
    <w:p w:rsidR="00466096" w:rsidRPr="00EB0BCC" w:rsidRDefault="00A870E7" w:rsidP="004A0494">
      <w:pPr>
        <w:pStyle w:val="BodyText"/>
        <w:numPr>
          <w:ilvl w:val="0"/>
          <w:numId w:val="17"/>
        </w:numPr>
        <w:tabs>
          <w:tab w:val="right" w:pos="8910"/>
        </w:tabs>
        <w:ind w:right="18"/>
        <w:jc w:val="both"/>
        <w:rPr>
          <w:color w:val="000000" w:themeColor="text1"/>
          <w:szCs w:val="24"/>
          <w:lang w:val="en-GB"/>
        </w:rPr>
      </w:pPr>
      <w:r w:rsidRPr="00EB0BCC">
        <w:rPr>
          <w:color w:val="000000" w:themeColor="text1"/>
          <w:szCs w:val="24"/>
          <w:lang w:val="en-GB"/>
        </w:rPr>
        <w:t xml:space="preserve">Bahrain is </w:t>
      </w:r>
      <w:r w:rsidR="004D30B0" w:rsidRPr="00EB0BCC">
        <w:rPr>
          <w:color w:val="000000" w:themeColor="text1"/>
          <w:szCs w:val="24"/>
          <w:lang w:val="en-GB"/>
        </w:rPr>
        <w:t>an</w:t>
      </w:r>
      <w:r w:rsidR="009664B4" w:rsidRPr="00EB0BCC">
        <w:rPr>
          <w:color w:val="000000" w:themeColor="text1"/>
          <w:szCs w:val="24"/>
          <w:lang w:val="en-GB"/>
        </w:rPr>
        <w:t xml:space="preserve"> island kingdom located near </w:t>
      </w:r>
      <w:r w:rsidR="0057518B" w:rsidRPr="00EB0BCC">
        <w:rPr>
          <w:color w:val="000000" w:themeColor="text1"/>
          <w:szCs w:val="24"/>
          <w:lang w:val="en-GB"/>
        </w:rPr>
        <w:t xml:space="preserve">the </w:t>
      </w:r>
      <w:r w:rsidR="00164CB0" w:rsidRPr="00EB0BCC">
        <w:rPr>
          <w:color w:val="000000" w:themeColor="text1"/>
          <w:szCs w:val="24"/>
          <w:lang w:val="en-GB"/>
        </w:rPr>
        <w:t xml:space="preserve">Western shores of </w:t>
      </w:r>
      <w:r w:rsidR="00324434" w:rsidRPr="00EB0BCC">
        <w:rPr>
          <w:color w:val="000000" w:themeColor="text1"/>
          <w:szCs w:val="24"/>
          <w:lang w:val="en-GB"/>
        </w:rPr>
        <w:t xml:space="preserve">the </w:t>
      </w:r>
      <w:r w:rsidR="00466096" w:rsidRPr="00EB0BCC">
        <w:rPr>
          <w:color w:val="000000" w:themeColor="text1"/>
          <w:szCs w:val="24"/>
          <w:lang w:val="en-GB"/>
        </w:rPr>
        <w:t xml:space="preserve">Arabian </w:t>
      </w:r>
      <w:r w:rsidR="0057518B" w:rsidRPr="00EB0BCC">
        <w:rPr>
          <w:color w:val="000000" w:themeColor="text1"/>
          <w:szCs w:val="24"/>
          <w:lang w:val="en-GB"/>
        </w:rPr>
        <w:t>Gulf</w:t>
      </w:r>
      <w:r w:rsidR="005D599A" w:rsidRPr="00EB0BCC">
        <w:rPr>
          <w:color w:val="000000" w:themeColor="text1"/>
          <w:szCs w:val="24"/>
          <w:lang w:val="en-GB"/>
        </w:rPr>
        <w:t>.</w:t>
      </w:r>
      <w:r w:rsidR="000E2F57" w:rsidRPr="00EB0BCC">
        <w:rPr>
          <w:color w:val="000000" w:themeColor="text1"/>
          <w:szCs w:val="24"/>
          <w:lang w:val="en-GB"/>
        </w:rPr>
        <w:t xml:space="preserve"> </w:t>
      </w:r>
      <w:r w:rsidR="00DE699B" w:rsidRPr="00EB0BCC">
        <w:rPr>
          <w:color w:val="000000" w:themeColor="text1"/>
          <w:szCs w:val="24"/>
          <w:lang w:val="en-GB"/>
        </w:rPr>
        <w:t xml:space="preserve">It is </w:t>
      </w:r>
      <w:r w:rsidR="00466096" w:rsidRPr="00EB0BCC">
        <w:rPr>
          <w:color w:val="000000" w:themeColor="text1"/>
          <w:szCs w:val="24"/>
          <w:lang w:val="en-GB"/>
        </w:rPr>
        <w:t xml:space="preserve">geographically </w:t>
      </w:r>
      <w:r w:rsidR="00DE699B" w:rsidRPr="00EB0BCC">
        <w:rPr>
          <w:color w:val="000000" w:themeColor="text1"/>
          <w:szCs w:val="24"/>
          <w:lang w:val="en-GB"/>
        </w:rPr>
        <w:t xml:space="preserve">connected to </w:t>
      </w:r>
      <w:r w:rsidR="0057518B" w:rsidRPr="00EB0BCC">
        <w:rPr>
          <w:color w:val="000000" w:themeColor="text1"/>
          <w:szCs w:val="24"/>
          <w:lang w:val="en-GB"/>
        </w:rPr>
        <w:t xml:space="preserve">Saudi Arabia by a 25-kilometer causeway. </w:t>
      </w:r>
      <w:r w:rsidR="00DE699B" w:rsidRPr="00EB0BCC">
        <w:rPr>
          <w:color w:val="000000" w:themeColor="text1"/>
          <w:szCs w:val="24"/>
          <w:lang w:val="en-GB"/>
        </w:rPr>
        <w:t xml:space="preserve">As of </w:t>
      </w:r>
      <w:r w:rsidR="002F7018" w:rsidRPr="00EB0BCC">
        <w:rPr>
          <w:color w:val="000000" w:themeColor="text1"/>
          <w:szCs w:val="24"/>
          <w:lang w:val="en-GB"/>
        </w:rPr>
        <w:t>November</w:t>
      </w:r>
      <w:r w:rsidR="00DE699B" w:rsidRPr="00EB0BCC">
        <w:rPr>
          <w:color w:val="000000" w:themeColor="text1"/>
          <w:szCs w:val="24"/>
          <w:lang w:val="en-GB"/>
        </w:rPr>
        <w:t xml:space="preserve"> 2016, </w:t>
      </w:r>
      <w:r w:rsidR="00E054CE" w:rsidRPr="00EB0BCC">
        <w:rPr>
          <w:color w:val="000000" w:themeColor="text1"/>
          <w:szCs w:val="24"/>
          <w:lang w:val="en-GB"/>
        </w:rPr>
        <w:t xml:space="preserve">Bahrain’s </w:t>
      </w:r>
      <w:r w:rsidR="0057518B" w:rsidRPr="00EB0BCC">
        <w:rPr>
          <w:color w:val="000000" w:themeColor="text1"/>
          <w:szCs w:val="24"/>
          <w:lang w:val="en-GB"/>
        </w:rPr>
        <w:t xml:space="preserve">population </w:t>
      </w:r>
      <w:r w:rsidR="00E054CE" w:rsidRPr="00EB0BCC">
        <w:rPr>
          <w:color w:val="000000" w:themeColor="text1"/>
          <w:szCs w:val="24"/>
          <w:lang w:val="en-GB"/>
        </w:rPr>
        <w:t>was</w:t>
      </w:r>
      <w:r w:rsidR="0057518B" w:rsidRPr="00EB0BCC">
        <w:rPr>
          <w:color w:val="000000" w:themeColor="text1"/>
          <w:szCs w:val="24"/>
          <w:lang w:val="en-GB"/>
        </w:rPr>
        <w:t xml:space="preserve"> a</w:t>
      </w:r>
      <w:r w:rsidR="002F7018" w:rsidRPr="00EB0BCC">
        <w:rPr>
          <w:color w:val="000000" w:themeColor="text1"/>
          <w:szCs w:val="24"/>
          <w:lang w:val="en-GB"/>
        </w:rPr>
        <w:t>bout</w:t>
      </w:r>
      <w:r w:rsidR="0057518B" w:rsidRPr="00EB0BCC">
        <w:rPr>
          <w:color w:val="000000" w:themeColor="text1"/>
          <w:szCs w:val="24"/>
          <w:lang w:val="en-GB"/>
        </w:rPr>
        <w:t xml:space="preserve"> </w:t>
      </w:r>
      <w:r w:rsidR="00E054CE" w:rsidRPr="00EB0BCC">
        <w:rPr>
          <w:color w:val="000000" w:themeColor="text1"/>
          <w:szCs w:val="24"/>
          <w:lang w:val="en-GB"/>
        </w:rPr>
        <w:t>1.4 million people</w:t>
      </w:r>
      <w:r w:rsidR="00FF3D84" w:rsidRPr="00EB0BCC">
        <w:rPr>
          <w:color w:val="000000" w:themeColor="text1"/>
          <w:szCs w:val="24"/>
          <w:lang w:val="en-GB"/>
        </w:rPr>
        <w:t xml:space="preserve">, </w:t>
      </w:r>
      <w:r w:rsidR="005D599A" w:rsidRPr="00EB0BCC">
        <w:rPr>
          <w:color w:val="000000" w:themeColor="text1"/>
          <w:szCs w:val="24"/>
          <w:lang w:val="en-GB"/>
        </w:rPr>
        <w:t xml:space="preserve">making it </w:t>
      </w:r>
      <w:r w:rsidR="00FF3D84" w:rsidRPr="00EB0BCC">
        <w:rPr>
          <w:color w:val="000000" w:themeColor="text1"/>
          <w:szCs w:val="24"/>
          <w:lang w:val="en-GB"/>
        </w:rPr>
        <w:t>one of the most densely populated countries in the Mideast</w:t>
      </w:r>
      <w:r w:rsidR="00B60C98" w:rsidRPr="00EB0BCC">
        <w:rPr>
          <w:color w:val="000000" w:themeColor="text1"/>
          <w:szCs w:val="24"/>
          <w:lang w:val="en-GB"/>
        </w:rPr>
        <w:t>.</w:t>
      </w:r>
      <w:r w:rsidR="002F7018" w:rsidRPr="00EB0BCC">
        <w:rPr>
          <w:rStyle w:val="FootnoteReference"/>
          <w:color w:val="000000" w:themeColor="text1"/>
          <w:szCs w:val="24"/>
          <w:lang w:val="en-GB"/>
        </w:rPr>
        <w:footnoteReference w:id="3"/>
      </w:r>
      <w:r w:rsidR="000E2F57" w:rsidRPr="00EB0BCC">
        <w:rPr>
          <w:rStyle w:val="FootnoteReference"/>
          <w:color w:val="000000" w:themeColor="text1"/>
        </w:rPr>
        <w:t xml:space="preserve"> </w:t>
      </w:r>
      <w:r w:rsidR="00B60C98" w:rsidRPr="00EB0BCC">
        <w:rPr>
          <w:color w:val="000000" w:themeColor="text1"/>
          <w:szCs w:val="24"/>
          <w:lang w:val="en-GB"/>
        </w:rPr>
        <w:t>The 2010 census indicated that 54% of the population consisted of non-</w:t>
      </w:r>
      <w:r w:rsidR="0057518B" w:rsidRPr="00EB0BCC">
        <w:rPr>
          <w:color w:val="000000" w:themeColor="text1"/>
          <w:szCs w:val="24"/>
          <w:lang w:val="en-GB"/>
        </w:rPr>
        <w:t xml:space="preserve">Bahraini nationals, </w:t>
      </w:r>
      <w:r w:rsidR="00FF3D84" w:rsidRPr="00EB0BCC">
        <w:rPr>
          <w:color w:val="000000" w:themeColor="text1"/>
          <w:szCs w:val="24"/>
          <w:lang w:val="en-GB"/>
        </w:rPr>
        <w:t>mainly</w:t>
      </w:r>
      <w:r w:rsidR="0057518B" w:rsidRPr="00EB0BCC">
        <w:rPr>
          <w:color w:val="000000" w:themeColor="text1"/>
          <w:szCs w:val="24"/>
          <w:lang w:val="en-GB"/>
        </w:rPr>
        <w:t xml:space="preserve"> </w:t>
      </w:r>
      <w:r w:rsidR="004D30B0" w:rsidRPr="00EB0BCC">
        <w:rPr>
          <w:color w:val="000000" w:themeColor="text1"/>
          <w:szCs w:val="24"/>
          <w:lang w:val="en-GB"/>
        </w:rPr>
        <w:t xml:space="preserve">migrant </w:t>
      </w:r>
      <w:r w:rsidR="0057518B" w:rsidRPr="00EB0BCC">
        <w:rPr>
          <w:color w:val="000000" w:themeColor="text1"/>
          <w:szCs w:val="24"/>
          <w:lang w:val="en-GB"/>
        </w:rPr>
        <w:t>workers and professionals from abroad (mostly from other Arab countries or South Asia).</w:t>
      </w:r>
      <w:r w:rsidR="000E2F57" w:rsidRPr="00EB0BCC">
        <w:rPr>
          <w:color w:val="000000" w:themeColor="text1"/>
          <w:szCs w:val="24"/>
          <w:lang w:val="en-GB"/>
        </w:rPr>
        <w:t xml:space="preserve"> </w:t>
      </w:r>
      <w:r w:rsidR="0057518B" w:rsidRPr="00EB0BCC">
        <w:rPr>
          <w:color w:val="000000" w:themeColor="text1"/>
          <w:szCs w:val="24"/>
          <w:lang w:val="en-GB"/>
        </w:rPr>
        <w:t xml:space="preserve">Bahraini nationals are </w:t>
      </w:r>
      <w:r w:rsidR="007921A3" w:rsidRPr="00EB0BCC">
        <w:rPr>
          <w:color w:val="000000" w:themeColor="text1"/>
          <w:szCs w:val="24"/>
          <w:lang w:val="en-GB"/>
        </w:rPr>
        <w:t>about 99</w:t>
      </w:r>
      <w:r w:rsidR="00666FD1" w:rsidRPr="00EB0BCC">
        <w:rPr>
          <w:color w:val="000000" w:themeColor="text1"/>
          <w:szCs w:val="24"/>
          <w:lang w:val="en-GB"/>
        </w:rPr>
        <w:t>.8</w:t>
      </w:r>
      <w:r w:rsidR="007921A3" w:rsidRPr="00EB0BCC">
        <w:rPr>
          <w:color w:val="000000" w:themeColor="text1"/>
          <w:szCs w:val="24"/>
          <w:lang w:val="en-GB"/>
        </w:rPr>
        <w:t xml:space="preserve">% </w:t>
      </w:r>
      <w:r w:rsidR="0057518B" w:rsidRPr="00EB0BCC">
        <w:rPr>
          <w:color w:val="000000" w:themeColor="text1"/>
          <w:szCs w:val="24"/>
          <w:lang w:val="en-GB"/>
        </w:rPr>
        <w:t>Muslim</w:t>
      </w:r>
      <w:r w:rsidR="00666FD1" w:rsidRPr="00EB0BCC">
        <w:rPr>
          <w:color w:val="000000" w:themeColor="text1"/>
          <w:szCs w:val="24"/>
          <w:lang w:val="en-GB"/>
        </w:rPr>
        <w:t>, as of the 2010 census</w:t>
      </w:r>
      <w:r w:rsidR="007921A3" w:rsidRPr="00EB0BCC">
        <w:rPr>
          <w:color w:val="000000" w:themeColor="text1"/>
          <w:szCs w:val="24"/>
          <w:lang w:val="en-GB"/>
        </w:rPr>
        <w:t>.</w:t>
      </w:r>
      <w:r w:rsidR="000E2F57" w:rsidRPr="00EB0BCC">
        <w:rPr>
          <w:color w:val="000000" w:themeColor="text1"/>
          <w:szCs w:val="24"/>
          <w:lang w:val="en-GB"/>
        </w:rPr>
        <w:t xml:space="preserve"> </w:t>
      </w:r>
      <w:r w:rsidR="007921A3" w:rsidRPr="00EB0BCC">
        <w:rPr>
          <w:color w:val="000000" w:themeColor="text1"/>
          <w:szCs w:val="24"/>
          <w:lang w:val="en-GB"/>
        </w:rPr>
        <w:t xml:space="preserve">Though there are no </w:t>
      </w:r>
      <w:r w:rsidR="004F2577" w:rsidRPr="00EB0BCC">
        <w:rPr>
          <w:color w:val="000000" w:themeColor="text1"/>
          <w:szCs w:val="24"/>
          <w:lang w:val="en-GB"/>
        </w:rPr>
        <w:t xml:space="preserve">recent </w:t>
      </w:r>
      <w:r w:rsidR="007921A3" w:rsidRPr="00EB0BCC">
        <w:rPr>
          <w:color w:val="000000" w:themeColor="text1"/>
          <w:szCs w:val="24"/>
          <w:lang w:val="en-GB"/>
        </w:rPr>
        <w:t>official figures, it is estimated that 60-70% of Bahraini</w:t>
      </w:r>
      <w:r w:rsidR="00C768B3" w:rsidRPr="00EB0BCC">
        <w:rPr>
          <w:color w:val="000000" w:themeColor="text1"/>
          <w:szCs w:val="24"/>
          <w:lang w:val="en-GB"/>
        </w:rPr>
        <w:t xml:space="preserve"> citizens</w:t>
      </w:r>
      <w:r w:rsidR="003F226D" w:rsidRPr="00EB0BCC">
        <w:rPr>
          <w:color w:val="000000" w:themeColor="text1"/>
          <w:szCs w:val="24"/>
          <w:lang w:val="en-GB"/>
        </w:rPr>
        <w:t xml:space="preserve"> </w:t>
      </w:r>
      <w:r w:rsidR="00C768B3" w:rsidRPr="00EB0BCC">
        <w:rPr>
          <w:color w:val="000000" w:themeColor="text1"/>
          <w:szCs w:val="24"/>
          <w:lang w:val="en-GB"/>
        </w:rPr>
        <w:t>are</w:t>
      </w:r>
      <w:r w:rsidR="007921A3" w:rsidRPr="00EB0BCC">
        <w:rPr>
          <w:color w:val="000000" w:themeColor="text1"/>
          <w:szCs w:val="24"/>
          <w:lang w:val="en-GB"/>
        </w:rPr>
        <w:t xml:space="preserve"> Shia.</w:t>
      </w:r>
      <w:r w:rsidR="00646550" w:rsidRPr="00EB0BCC">
        <w:rPr>
          <w:rStyle w:val="FootnoteReference"/>
          <w:color w:val="000000" w:themeColor="text1"/>
          <w:szCs w:val="24"/>
          <w:lang w:val="en-GB"/>
        </w:rPr>
        <w:footnoteReference w:id="4"/>
      </w:r>
      <w:r w:rsidR="000E2F57" w:rsidRPr="00EB0BCC">
        <w:rPr>
          <w:color w:val="000000" w:themeColor="text1"/>
          <w:szCs w:val="24"/>
          <w:lang w:val="en-GB"/>
        </w:rPr>
        <w:t xml:space="preserve"> </w:t>
      </w:r>
    </w:p>
    <w:p w:rsidR="0057518B" w:rsidRPr="00EB0BCC" w:rsidRDefault="0010188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Formerly a British protectorate, Bahrain gained independence in 1971.</w:t>
      </w:r>
      <w:r w:rsidR="000E2F57" w:rsidRPr="00EB0BCC">
        <w:rPr>
          <w:color w:val="000000" w:themeColor="text1"/>
          <w:szCs w:val="24"/>
          <w:lang w:val="en-GB"/>
        </w:rPr>
        <w:t xml:space="preserve"> </w:t>
      </w:r>
      <w:r w:rsidR="005A7ADB" w:rsidRPr="00EB0BCC">
        <w:rPr>
          <w:color w:val="000000" w:themeColor="text1"/>
          <w:szCs w:val="24"/>
          <w:lang w:val="en-GB"/>
        </w:rPr>
        <w:t>The</w:t>
      </w:r>
      <w:r w:rsidR="0057518B" w:rsidRPr="00EB0BCC">
        <w:rPr>
          <w:color w:val="000000" w:themeColor="text1"/>
          <w:szCs w:val="24"/>
          <w:lang w:val="en-GB"/>
        </w:rPr>
        <w:t xml:space="preserve"> ruling Al</w:t>
      </w:r>
      <w:r w:rsidR="00324434" w:rsidRPr="00EB0BCC">
        <w:rPr>
          <w:color w:val="000000" w:themeColor="text1"/>
          <w:szCs w:val="24"/>
          <w:lang w:val="en-GB"/>
        </w:rPr>
        <w:t>-</w:t>
      </w:r>
      <w:r w:rsidR="0057518B" w:rsidRPr="00EB0BCC">
        <w:rPr>
          <w:color w:val="000000" w:themeColor="text1"/>
          <w:szCs w:val="24"/>
          <w:lang w:val="en-GB"/>
        </w:rPr>
        <w:t>Khalifa family</w:t>
      </w:r>
      <w:r w:rsidR="005A7ADB" w:rsidRPr="00EB0BCC">
        <w:rPr>
          <w:color w:val="000000" w:themeColor="text1"/>
          <w:szCs w:val="24"/>
          <w:lang w:val="en-GB"/>
        </w:rPr>
        <w:t xml:space="preserve"> belongs to a </w:t>
      </w:r>
      <w:r w:rsidR="005B179B" w:rsidRPr="00EB0BCC">
        <w:rPr>
          <w:color w:val="000000" w:themeColor="text1"/>
          <w:szCs w:val="24"/>
          <w:lang w:val="en-GB"/>
        </w:rPr>
        <w:t>tribe</w:t>
      </w:r>
      <w:r w:rsidR="002F3B34" w:rsidRPr="00EB0BCC">
        <w:rPr>
          <w:color w:val="000000" w:themeColor="text1"/>
          <w:szCs w:val="24"/>
          <w:lang w:val="en-GB"/>
        </w:rPr>
        <w:t xml:space="preserve"> </w:t>
      </w:r>
      <w:r w:rsidR="005A7ADB" w:rsidRPr="00EB0BCC">
        <w:rPr>
          <w:color w:val="000000" w:themeColor="text1"/>
          <w:szCs w:val="24"/>
          <w:lang w:val="en-GB"/>
        </w:rPr>
        <w:t>dynasty dating back to 1783</w:t>
      </w:r>
      <w:r w:rsidR="000138DB" w:rsidRPr="00EB0BCC">
        <w:rPr>
          <w:color w:val="000000" w:themeColor="text1"/>
          <w:szCs w:val="24"/>
          <w:lang w:val="en-GB"/>
        </w:rPr>
        <w:t xml:space="preserve"> when they took over Bahrain by force</w:t>
      </w:r>
      <w:r w:rsidR="005A7ADB" w:rsidRPr="00EB0BCC">
        <w:rPr>
          <w:color w:val="000000" w:themeColor="text1"/>
          <w:szCs w:val="24"/>
          <w:lang w:val="en-GB"/>
        </w:rPr>
        <w:t>.</w:t>
      </w:r>
      <w:r w:rsidR="000E2F57" w:rsidRPr="00EB0BCC">
        <w:rPr>
          <w:color w:val="000000" w:themeColor="text1"/>
          <w:szCs w:val="24"/>
          <w:lang w:val="en-GB"/>
        </w:rPr>
        <w:t xml:space="preserve"> </w:t>
      </w:r>
      <w:r w:rsidR="00115DC8" w:rsidRPr="00EB0BCC">
        <w:rPr>
          <w:color w:val="000000" w:themeColor="text1"/>
          <w:szCs w:val="24"/>
          <w:lang w:val="en-GB"/>
        </w:rPr>
        <w:t>The Al</w:t>
      </w:r>
      <w:r w:rsidR="00324434" w:rsidRPr="00EB0BCC">
        <w:rPr>
          <w:color w:val="000000" w:themeColor="text1"/>
          <w:szCs w:val="24"/>
          <w:lang w:val="en-GB"/>
        </w:rPr>
        <w:t>-</w:t>
      </w:r>
      <w:r w:rsidR="00115DC8" w:rsidRPr="00EB0BCC">
        <w:rPr>
          <w:color w:val="000000" w:themeColor="text1"/>
          <w:szCs w:val="24"/>
          <w:lang w:val="en-GB"/>
        </w:rPr>
        <w:t xml:space="preserve">Khalifa family holds </w:t>
      </w:r>
      <w:r w:rsidR="00547AEB" w:rsidRPr="00EB0BCC">
        <w:rPr>
          <w:color w:val="000000" w:themeColor="text1"/>
          <w:szCs w:val="24"/>
          <w:lang w:val="en-GB"/>
        </w:rPr>
        <w:t xml:space="preserve">all </w:t>
      </w:r>
      <w:r w:rsidR="00115DC8" w:rsidRPr="00EB0BCC">
        <w:rPr>
          <w:color w:val="000000" w:themeColor="text1"/>
          <w:szCs w:val="24"/>
          <w:lang w:val="en-GB"/>
        </w:rPr>
        <w:t>key executive positions, including the Prime Minister</w:t>
      </w:r>
      <w:r w:rsidR="00144A83" w:rsidRPr="00EB0BCC">
        <w:rPr>
          <w:color w:val="000000" w:themeColor="text1"/>
          <w:szCs w:val="24"/>
          <w:lang w:val="en-GB"/>
        </w:rPr>
        <w:t>, D</w:t>
      </w:r>
      <w:r w:rsidR="006B0F2E" w:rsidRPr="00EB0BCC">
        <w:rPr>
          <w:color w:val="000000" w:themeColor="text1"/>
          <w:szCs w:val="24"/>
          <w:lang w:val="en-GB"/>
        </w:rPr>
        <w:t>eputy Prime Minister, Minister of the Interior,</w:t>
      </w:r>
      <w:r w:rsidR="00144A83" w:rsidRPr="00EB0BCC">
        <w:rPr>
          <w:color w:val="000000" w:themeColor="text1"/>
          <w:szCs w:val="24"/>
          <w:lang w:val="en-GB"/>
        </w:rPr>
        <w:t xml:space="preserve"> Minister of Foreign Affairs, Minister of Finance, and Minister of Justice</w:t>
      </w:r>
      <w:r w:rsidR="00115DC8" w:rsidRPr="00EB0BCC">
        <w:rPr>
          <w:color w:val="000000" w:themeColor="text1"/>
          <w:szCs w:val="24"/>
          <w:lang w:val="en-GB"/>
        </w:rPr>
        <w:t>.</w:t>
      </w:r>
      <w:r w:rsidR="000E2F57" w:rsidRPr="00EB0BCC">
        <w:rPr>
          <w:color w:val="000000" w:themeColor="text1"/>
          <w:szCs w:val="24"/>
          <w:lang w:val="en-GB"/>
        </w:rPr>
        <w:t xml:space="preserve"> </w:t>
      </w:r>
      <w:r w:rsidR="00164CB0" w:rsidRPr="00EB0BCC">
        <w:rPr>
          <w:color w:val="000000" w:themeColor="text1"/>
          <w:szCs w:val="24"/>
          <w:lang w:val="en-GB"/>
        </w:rPr>
        <w:t>Within the family, affairs are managed by the Ruling Family Council.</w:t>
      </w:r>
      <w:r w:rsidR="000E2F57" w:rsidRPr="00EB0BCC">
        <w:rPr>
          <w:color w:val="000000" w:themeColor="text1"/>
          <w:szCs w:val="24"/>
          <w:lang w:val="en-GB"/>
        </w:rPr>
        <w:t xml:space="preserve"> </w:t>
      </w:r>
    </w:p>
    <w:p w:rsidR="009A7190" w:rsidRPr="00EB0BCC" w:rsidRDefault="00D67C3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Bahrain has a </w:t>
      </w:r>
      <w:r w:rsidR="00BA35C4" w:rsidRPr="00EB0BCC">
        <w:rPr>
          <w:color w:val="000000" w:themeColor="text1"/>
          <w:szCs w:val="24"/>
          <w:lang w:val="en-GB"/>
        </w:rPr>
        <w:t xml:space="preserve">mixed and unbalanced </w:t>
      </w:r>
      <w:r w:rsidRPr="00EB0BCC">
        <w:rPr>
          <w:color w:val="000000" w:themeColor="text1"/>
          <w:szCs w:val="24"/>
          <w:lang w:val="en-GB"/>
        </w:rPr>
        <w:t>record of progress and regression on human rights and democratic reforms, since independence.</w:t>
      </w:r>
      <w:r w:rsidR="008106F0" w:rsidRPr="00EB0BCC">
        <w:rPr>
          <w:rStyle w:val="FootnoteReference"/>
          <w:color w:val="000000" w:themeColor="text1"/>
          <w:szCs w:val="24"/>
          <w:lang w:val="en-GB"/>
        </w:rPr>
        <w:footnoteReference w:id="5"/>
      </w:r>
      <w:r w:rsidR="000E2F57" w:rsidRPr="00EB0BCC">
        <w:rPr>
          <w:color w:val="000000" w:themeColor="text1"/>
          <w:szCs w:val="24"/>
          <w:lang w:val="en-GB"/>
        </w:rPr>
        <w:t xml:space="preserve"> </w:t>
      </w:r>
      <w:r w:rsidR="002524F3" w:rsidRPr="00EB0BCC">
        <w:rPr>
          <w:color w:val="000000" w:themeColor="text1"/>
          <w:szCs w:val="24"/>
          <w:lang w:val="en-GB"/>
        </w:rPr>
        <w:t xml:space="preserve">The </w:t>
      </w:r>
      <w:r w:rsidR="006D5295" w:rsidRPr="00EB0BCC">
        <w:rPr>
          <w:color w:val="000000" w:themeColor="text1"/>
          <w:szCs w:val="24"/>
          <w:lang w:val="en-GB"/>
        </w:rPr>
        <w:t xml:space="preserve">newly </w:t>
      </w:r>
      <w:r w:rsidR="002524F3" w:rsidRPr="00EB0BCC">
        <w:rPr>
          <w:color w:val="000000" w:themeColor="text1"/>
          <w:szCs w:val="24"/>
          <w:lang w:val="en-GB"/>
        </w:rPr>
        <w:t xml:space="preserve">independent state of Bahrain established </w:t>
      </w:r>
      <w:r w:rsidR="00D52193" w:rsidRPr="00EB0BCC">
        <w:rPr>
          <w:color w:val="000000" w:themeColor="text1"/>
          <w:szCs w:val="24"/>
          <w:lang w:val="en-GB"/>
        </w:rPr>
        <w:t xml:space="preserve">two </w:t>
      </w:r>
      <w:r w:rsidR="002524F3" w:rsidRPr="00EB0BCC">
        <w:rPr>
          <w:color w:val="000000" w:themeColor="text1"/>
          <w:szCs w:val="24"/>
          <w:lang w:val="en-GB"/>
        </w:rPr>
        <w:t>fundamental structures of a democratic state:</w:t>
      </w:r>
      <w:r w:rsidR="000E2F57" w:rsidRPr="00EB0BCC">
        <w:rPr>
          <w:color w:val="000000" w:themeColor="text1"/>
          <w:szCs w:val="24"/>
          <w:lang w:val="en-GB"/>
        </w:rPr>
        <w:t xml:space="preserve"> </w:t>
      </w:r>
      <w:r w:rsidR="002524F3" w:rsidRPr="00EB0BCC">
        <w:rPr>
          <w:color w:val="000000" w:themeColor="text1"/>
          <w:szCs w:val="24"/>
          <w:lang w:val="en-GB"/>
        </w:rPr>
        <w:t>a constitution and a National Assembly.</w:t>
      </w:r>
      <w:r w:rsidR="000E2F57" w:rsidRPr="00EB0BCC">
        <w:rPr>
          <w:color w:val="000000" w:themeColor="text1"/>
          <w:szCs w:val="24"/>
          <w:lang w:val="en-GB"/>
        </w:rPr>
        <w:t xml:space="preserve"> </w:t>
      </w:r>
      <w:r w:rsidRPr="00EB0BCC">
        <w:rPr>
          <w:color w:val="000000" w:themeColor="text1"/>
          <w:szCs w:val="24"/>
          <w:lang w:val="en-GB"/>
        </w:rPr>
        <w:t>The first parliamentary elections were held in 1973, but Emir Isa bin Salma</w:t>
      </w:r>
      <w:r w:rsidR="000138DB" w:rsidRPr="00EB0BCC">
        <w:rPr>
          <w:color w:val="000000" w:themeColor="text1"/>
          <w:szCs w:val="24"/>
          <w:lang w:val="en-GB"/>
        </w:rPr>
        <w:t>n</w:t>
      </w:r>
      <w:r w:rsidRPr="00EB0BCC">
        <w:rPr>
          <w:color w:val="000000" w:themeColor="text1"/>
          <w:szCs w:val="24"/>
          <w:lang w:val="en-GB"/>
        </w:rPr>
        <w:t xml:space="preserve"> Al</w:t>
      </w:r>
      <w:r w:rsidR="00324434" w:rsidRPr="00EB0BCC">
        <w:rPr>
          <w:color w:val="000000" w:themeColor="text1"/>
          <w:szCs w:val="24"/>
          <w:lang w:val="en-GB"/>
        </w:rPr>
        <w:t>-</w:t>
      </w:r>
      <w:r w:rsidRPr="00EB0BCC">
        <w:rPr>
          <w:color w:val="000000" w:themeColor="text1"/>
          <w:szCs w:val="24"/>
          <w:lang w:val="en-GB"/>
        </w:rPr>
        <w:t xml:space="preserve">Khalifa suspended the constitution in 1975 and dissolved the National Assembly after it </w:t>
      </w:r>
      <w:r w:rsidR="00BA35C4" w:rsidRPr="00EB0BCC">
        <w:rPr>
          <w:color w:val="000000" w:themeColor="text1"/>
          <w:szCs w:val="24"/>
          <w:lang w:val="en-GB"/>
        </w:rPr>
        <w:t xml:space="preserve">refused </w:t>
      </w:r>
      <w:r w:rsidRPr="00EB0BCC">
        <w:rPr>
          <w:color w:val="000000" w:themeColor="text1"/>
          <w:szCs w:val="24"/>
          <w:lang w:val="en-GB"/>
        </w:rPr>
        <w:t>to ratify the Decree Law on State Security Measures.</w:t>
      </w:r>
      <w:r w:rsidR="000E2F57" w:rsidRPr="00EB0BCC">
        <w:rPr>
          <w:color w:val="000000" w:themeColor="text1"/>
          <w:szCs w:val="24"/>
          <w:lang w:val="en-GB"/>
        </w:rPr>
        <w:t xml:space="preserve"> </w:t>
      </w:r>
      <w:r w:rsidRPr="00EB0BCC">
        <w:rPr>
          <w:color w:val="000000" w:themeColor="text1"/>
          <w:szCs w:val="24"/>
          <w:lang w:val="en-GB"/>
        </w:rPr>
        <w:t xml:space="preserve">The </w:t>
      </w:r>
      <w:r w:rsidR="00464972" w:rsidRPr="00EB0BCC">
        <w:rPr>
          <w:color w:val="000000" w:themeColor="text1"/>
          <w:szCs w:val="24"/>
          <w:lang w:val="en-GB"/>
        </w:rPr>
        <w:t>Decree l</w:t>
      </w:r>
      <w:r w:rsidRPr="00EB0BCC">
        <w:rPr>
          <w:color w:val="000000" w:themeColor="text1"/>
          <w:szCs w:val="24"/>
          <w:lang w:val="en-GB"/>
        </w:rPr>
        <w:t>aw was implemented by the government notwithstanding the lack of parliamentary ratification.</w:t>
      </w:r>
      <w:r w:rsidR="000E2F57" w:rsidRPr="00EB0BCC">
        <w:rPr>
          <w:color w:val="000000" w:themeColor="text1"/>
          <w:szCs w:val="24"/>
          <w:lang w:val="en-GB"/>
        </w:rPr>
        <w:t xml:space="preserve"> </w:t>
      </w:r>
      <w:r w:rsidRPr="00EB0BCC">
        <w:rPr>
          <w:color w:val="000000" w:themeColor="text1"/>
          <w:szCs w:val="24"/>
          <w:lang w:val="en-GB"/>
        </w:rPr>
        <w:t xml:space="preserve">It allowed the arrest and imprisonment </w:t>
      </w:r>
      <w:r w:rsidR="00464972" w:rsidRPr="00EB0BCC">
        <w:rPr>
          <w:color w:val="000000" w:themeColor="text1"/>
          <w:szCs w:val="24"/>
          <w:lang w:val="en-GB"/>
        </w:rPr>
        <w:t xml:space="preserve">of individuals charged with vaguely defined state security </w:t>
      </w:r>
      <w:r w:rsidR="0038556C" w:rsidRPr="00EB0BCC">
        <w:rPr>
          <w:color w:val="000000" w:themeColor="text1"/>
          <w:szCs w:val="24"/>
          <w:lang w:val="en-GB"/>
        </w:rPr>
        <w:t>offences</w:t>
      </w:r>
      <w:r w:rsidR="00464972" w:rsidRPr="00EB0BCC">
        <w:rPr>
          <w:color w:val="000000" w:themeColor="text1"/>
          <w:szCs w:val="24"/>
          <w:lang w:val="en-GB"/>
        </w:rPr>
        <w:t xml:space="preserve"> </w:t>
      </w:r>
      <w:r w:rsidRPr="00EB0BCC">
        <w:rPr>
          <w:color w:val="000000" w:themeColor="text1"/>
          <w:szCs w:val="24"/>
          <w:lang w:val="en-GB"/>
        </w:rPr>
        <w:t>for up to three years without trial.</w:t>
      </w:r>
      <w:r w:rsidR="000E2F57" w:rsidRPr="00EB0BCC">
        <w:rPr>
          <w:color w:val="000000" w:themeColor="text1"/>
          <w:szCs w:val="24"/>
          <w:lang w:val="en-GB"/>
        </w:rPr>
        <w:t xml:space="preserve"> </w:t>
      </w:r>
    </w:p>
    <w:p w:rsidR="00D67C35" w:rsidRPr="00EB0BCC" w:rsidRDefault="00D67C3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A 1976 decree by the emir provided for new special state security courts to try crimes related to state security, but lacking guarantees of due process for accused individuals.</w:t>
      </w:r>
      <w:r w:rsidR="000E2F57" w:rsidRPr="00EB0BCC">
        <w:rPr>
          <w:color w:val="000000" w:themeColor="text1"/>
          <w:szCs w:val="24"/>
          <w:lang w:val="en-GB"/>
        </w:rPr>
        <w:t xml:space="preserve"> </w:t>
      </w:r>
    </w:p>
    <w:p w:rsidR="00D67C35" w:rsidRPr="00EB0BCC" w:rsidRDefault="00D67C3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These measures in turn spurred action by groups who felt underrepresented in government.</w:t>
      </w:r>
      <w:r w:rsidR="000E2F57" w:rsidRPr="00EB0BCC">
        <w:rPr>
          <w:color w:val="000000" w:themeColor="text1"/>
          <w:szCs w:val="24"/>
          <w:lang w:val="en-GB"/>
        </w:rPr>
        <w:t xml:space="preserve"> </w:t>
      </w:r>
      <w:r w:rsidRPr="00EB0BCC">
        <w:rPr>
          <w:color w:val="000000" w:themeColor="text1"/>
          <w:szCs w:val="24"/>
          <w:lang w:val="en-GB"/>
        </w:rPr>
        <w:t xml:space="preserve">A </w:t>
      </w:r>
      <w:r w:rsidR="000138DB" w:rsidRPr="00EB0BCC">
        <w:rPr>
          <w:color w:val="000000" w:themeColor="text1"/>
          <w:szCs w:val="24"/>
          <w:lang w:val="en-GB"/>
        </w:rPr>
        <w:t xml:space="preserve">movement attempting to overthrow the monarchy </w:t>
      </w:r>
      <w:r w:rsidRPr="00EB0BCC">
        <w:rPr>
          <w:color w:val="000000" w:themeColor="text1"/>
          <w:szCs w:val="24"/>
          <w:lang w:val="en-GB"/>
        </w:rPr>
        <w:t>in 1981 was defeated, after which 73 individuals were arrested.</w:t>
      </w:r>
      <w:r w:rsidR="000E2F57" w:rsidRPr="00EB0BCC">
        <w:rPr>
          <w:color w:val="000000" w:themeColor="text1"/>
          <w:szCs w:val="24"/>
          <w:lang w:val="en-GB"/>
        </w:rPr>
        <w:t xml:space="preserve"> </w:t>
      </w:r>
      <w:r w:rsidRPr="00EB0BCC">
        <w:rPr>
          <w:color w:val="000000" w:themeColor="text1"/>
          <w:szCs w:val="24"/>
          <w:lang w:val="en-GB"/>
        </w:rPr>
        <w:t>Between December 1994 and 2000, a wide-ranging coalition of political and religious groups conducted protests, demanding the restoration of the National Assembly and other democratic rights.</w:t>
      </w:r>
      <w:r w:rsidR="000E2F57" w:rsidRPr="00EB0BCC">
        <w:rPr>
          <w:color w:val="000000" w:themeColor="text1"/>
          <w:szCs w:val="24"/>
          <w:lang w:val="en-GB"/>
        </w:rPr>
        <w:t xml:space="preserve"> </w:t>
      </w:r>
      <w:r w:rsidRPr="00EB0BCC">
        <w:rPr>
          <w:color w:val="000000" w:themeColor="text1"/>
          <w:szCs w:val="24"/>
          <w:lang w:val="en-GB"/>
        </w:rPr>
        <w:t>During this period, the government conducted mass arrests.</w:t>
      </w:r>
      <w:r w:rsidR="000E2F57" w:rsidRPr="00EB0BCC">
        <w:rPr>
          <w:color w:val="000000" w:themeColor="text1"/>
          <w:szCs w:val="24"/>
          <w:lang w:val="en-GB"/>
        </w:rPr>
        <w:t xml:space="preserve"> </w:t>
      </w:r>
      <w:r w:rsidRPr="00EB0BCC">
        <w:rPr>
          <w:color w:val="000000" w:themeColor="text1"/>
          <w:szCs w:val="24"/>
          <w:lang w:val="en-GB"/>
        </w:rPr>
        <w:t>Over 40 deaths resulted from clashes between the government and protesters and subsequent actions.</w:t>
      </w:r>
      <w:r w:rsidR="000E2F57" w:rsidRPr="00EB0BCC">
        <w:rPr>
          <w:color w:val="000000" w:themeColor="text1"/>
          <w:szCs w:val="24"/>
          <w:lang w:val="en-GB"/>
        </w:rPr>
        <w:t xml:space="preserve"> </w:t>
      </w:r>
    </w:p>
    <w:p w:rsidR="00AF4422" w:rsidRPr="00EB0BCC" w:rsidRDefault="00D67C3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Following the death of his father, </w:t>
      </w:r>
      <w:r w:rsidR="00464972" w:rsidRPr="00EB0BCC">
        <w:rPr>
          <w:color w:val="000000" w:themeColor="text1"/>
          <w:szCs w:val="24"/>
          <w:lang w:val="en-GB"/>
        </w:rPr>
        <w:t xml:space="preserve">Emir </w:t>
      </w:r>
      <w:r w:rsidRPr="00EB0BCC">
        <w:rPr>
          <w:color w:val="000000" w:themeColor="text1"/>
          <w:szCs w:val="24"/>
          <w:lang w:val="en-GB"/>
        </w:rPr>
        <w:t xml:space="preserve">Hamad </w:t>
      </w:r>
      <w:r w:rsidR="00464972" w:rsidRPr="00EB0BCC">
        <w:rPr>
          <w:color w:val="000000" w:themeColor="text1"/>
          <w:szCs w:val="24"/>
          <w:lang w:val="en-GB"/>
        </w:rPr>
        <w:t xml:space="preserve">Isa </w:t>
      </w:r>
      <w:r w:rsidRPr="00EB0BCC">
        <w:rPr>
          <w:color w:val="000000" w:themeColor="text1"/>
          <w:szCs w:val="24"/>
          <w:lang w:val="en-GB"/>
        </w:rPr>
        <w:t xml:space="preserve">bin </w:t>
      </w:r>
      <w:r w:rsidR="00464972" w:rsidRPr="00EB0BCC">
        <w:rPr>
          <w:color w:val="000000" w:themeColor="text1"/>
          <w:szCs w:val="24"/>
          <w:lang w:val="en-GB"/>
        </w:rPr>
        <w:t>Salma</w:t>
      </w:r>
      <w:r w:rsidRPr="00EB0BCC">
        <w:rPr>
          <w:color w:val="000000" w:themeColor="text1"/>
          <w:szCs w:val="24"/>
          <w:lang w:val="en-GB"/>
        </w:rPr>
        <w:t xml:space="preserve"> </w:t>
      </w:r>
      <w:r w:rsidR="00324434" w:rsidRPr="00EB0BCC">
        <w:rPr>
          <w:color w:val="000000" w:themeColor="text1"/>
          <w:szCs w:val="24"/>
          <w:lang w:val="en-GB"/>
        </w:rPr>
        <w:t>Al-</w:t>
      </w:r>
      <w:r w:rsidRPr="00EB0BCC">
        <w:rPr>
          <w:color w:val="000000" w:themeColor="text1"/>
          <w:szCs w:val="24"/>
          <w:lang w:val="en-GB"/>
        </w:rPr>
        <w:t>Khalifa ascended to the throne of Bahrain, as Emir (6 March 1999) raising hopes of reforms.</w:t>
      </w:r>
      <w:r w:rsidR="000E2F57" w:rsidRPr="00EB0BCC">
        <w:rPr>
          <w:color w:val="000000" w:themeColor="text1"/>
          <w:szCs w:val="24"/>
          <w:lang w:val="en-GB"/>
        </w:rPr>
        <w:t xml:space="preserve"> </w:t>
      </w:r>
      <w:r w:rsidR="00255A30" w:rsidRPr="00EB0BCC">
        <w:rPr>
          <w:color w:val="000000" w:themeColor="text1"/>
          <w:szCs w:val="24"/>
          <w:lang w:val="en-GB"/>
        </w:rPr>
        <w:t xml:space="preserve">The expectations were supported by significant and substantial signs of reform, including </w:t>
      </w:r>
      <w:r w:rsidR="00AF4422" w:rsidRPr="00EB0BCC">
        <w:rPr>
          <w:color w:val="000000" w:themeColor="text1"/>
          <w:szCs w:val="24"/>
          <w:lang w:val="en-GB"/>
        </w:rPr>
        <w:t>the rescinding of the State Security Law and abolishment of state security courts in 2001.</w:t>
      </w:r>
      <w:r w:rsidR="000E2F57" w:rsidRPr="00EB0BCC">
        <w:rPr>
          <w:color w:val="000000" w:themeColor="text1"/>
          <w:szCs w:val="24"/>
          <w:lang w:val="en-GB"/>
        </w:rPr>
        <w:t xml:space="preserve"> </w:t>
      </w:r>
      <w:r w:rsidR="008D1ABF" w:rsidRPr="00EB0BCC">
        <w:rPr>
          <w:color w:val="000000" w:themeColor="text1"/>
          <w:szCs w:val="24"/>
          <w:lang w:val="en-GB"/>
        </w:rPr>
        <w:t>Hamad Al-Khalifa unilaterally changed the constitution</w:t>
      </w:r>
      <w:r w:rsidR="00F00D8F" w:rsidRPr="00EB0BCC">
        <w:rPr>
          <w:color w:val="000000" w:themeColor="text1"/>
          <w:szCs w:val="24"/>
          <w:lang w:val="en-GB"/>
        </w:rPr>
        <w:t xml:space="preserve"> appointing himself king instead of emir and announcing Bahrain a kingdom instead of a state -</w:t>
      </w:r>
      <w:r w:rsidR="008D1ABF" w:rsidRPr="00EB0BCC">
        <w:rPr>
          <w:color w:val="000000" w:themeColor="text1"/>
          <w:szCs w:val="24"/>
          <w:lang w:val="en-GB"/>
        </w:rPr>
        <w:t xml:space="preserve"> despite promises of bringing back the constit</w:t>
      </w:r>
      <w:r w:rsidR="00F00D8F" w:rsidRPr="00EB0BCC">
        <w:rPr>
          <w:color w:val="000000" w:themeColor="text1"/>
          <w:szCs w:val="24"/>
          <w:lang w:val="en-GB"/>
        </w:rPr>
        <w:t>ut</w:t>
      </w:r>
      <w:r w:rsidR="008D1ABF" w:rsidRPr="00EB0BCC">
        <w:rPr>
          <w:color w:val="000000" w:themeColor="text1"/>
          <w:szCs w:val="24"/>
          <w:lang w:val="en-GB"/>
        </w:rPr>
        <w:t>ion of 1982. The new constitution placed the king above it, and created a parliament with no legislative or monitoring powers</w:t>
      </w:r>
      <w:r w:rsidR="00BA35C4" w:rsidRPr="00EB0BCC">
        <w:rPr>
          <w:color w:val="000000" w:themeColor="text1"/>
          <w:szCs w:val="24"/>
          <w:lang w:val="en-GB"/>
        </w:rPr>
        <w:t>.</w:t>
      </w:r>
      <w:r w:rsidR="00846691" w:rsidRPr="00EB0BCC">
        <w:rPr>
          <w:rStyle w:val="FootnoteReference"/>
          <w:color w:val="000000" w:themeColor="text1"/>
          <w:szCs w:val="24"/>
          <w:lang w:val="en-GB"/>
        </w:rPr>
        <w:footnoteReference w:id="6"/>
      </w:r>
      <w:r w:rsidR="000E2F57" w:rsidRPr="00EB0BCC">
        <w:rPr>
          <w:color w:val="000000" w:themeColor="text1"/>
          <w:szCs w:val="24"/>
          <w:lang w:val="en-GB"/>
        </w:rPr>
        <w:t xml:space="preserve"> </w:t>
      </w:r>
      <w:r w:rsidR="00AF4422" w:rsidRPr="00EB0BCC">
        <w:rPr>
          <w:color w:val="000000" w:themeColor="text1"/>
          <w:szCs w:val="24"/>
          <w:lang w:val="en-GB"/>
        </w:rPr>
        <w:t>Additional reforms gave women the right to vote and re-established elections for members of parliament.</w:t>
      </w:r>
      <w:r w:rsidR="000E2F57" w:rsidRPr="00EB0BCC">
        <w:rPr>
          <w:color w:val="000000" w:themeColor="text1"/>
          <w:szCs w:val="24"/>
          <w:lang w:val="en-GB"/>
        </w:rPr>
        <w:t xml:space="preserve"> </w:t>
      </w:r>
    </w:p>
    <w:p w:rsidR="00FC0964" w:rsidRPr="00EB0BCC" w:rsidRDefault="00D67C3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King Hamad </w:t>
      </w:r>
      <w:r w:rsidR="006E4AAD" w:rsidRPr="00EB0BCC">
        <w:rPr>
          <w:color w:val="000000" w:themeColor="text1"/>
          <w:szCs w:val="24"/>
          <w:lang w:val="en-GB"/>
        </w:rPr>
        <w:t xml:space="preserve">also </w:t>
      </w:r>
      <w:r w:rsidRPr="00EB0BCC">
        <w:rPr>
          <w:color w:val="000000" w:themeColor="text1"/>
          <w:szCs w:val="24"/>
          <w:lang w:val="en-GB"/>
        </w:rPr>
        <w:t xml:space="preserve">introduced </w:t>
      </w:r>
      <w:r w:rsidR="006E4AAD" w:rsidRPr="00EB0BCC">
        <w:rPr>
          <w:color w:val="000000" w:themeColor="text1"/>
          <w:szCs w:val="24"/>
          <w:lang w:val="en-GB"/>
        </w:rPr>
        <w:t>measures</w:t>
      </w:r>
      <w:r w:rsidR="00547AEB" w:rsidRPr="00EB0BCC">
        <w:rPr>
          <w:color w:val="000000" w:themeColor="text1"/>
          <w:szCs w:val="24"/>
          <w:lang w:val="en-GB"/>
        </w:rPr>
        <w:t xml:space="preserve"> with regard</w:t>
      </w:r>
      <w:r w:rsidRPr="00EB0BCC">
        <w:rPr>
          <w:color w:val="000000" w:themeColor="text1"/>
          <w:szCs w:val="24"/>
          <w:lang w:val="en-GB"/>
        </w:rPr>
        <w:t xml:space="preserve"> to torture and excessive force, </w:t>
      </w:r>
      <w:r w:rsidR="006E4AAD" w:rsidRPr="00EB0BCC">
        <w:rPr>
          <w:color w:val="000000" w:themeColor="text1"/>
          <w:szCs w:val="24"/>
          <w:lang w:val="en-GB"/>
        </w:rPr>
        <w:t>as contained in</w:t>
      </w:r>
      <w:r w:rsidRPr="00EB0BCC">
        <w:rPr>
          <w:color w:val="000000" w:themeColor="text1"/>
          <w:szCs w:val="24"/>
          <w:lang w:val="en-GB"/>
        </w:rPr>
        <w:t xml:space="preserve"> the 2002 report of the Working Group of the Universal Periodic </w:t>
      </w:r>
      <w:r w:rsidR="00324434" w:rsidRPr="00EB0BCC">
        <w:rPr>
          <w:color w:val="000000" w:themeColor="text1"/>
          <w:szCs w:val="24"/>
          <w:lang w:val="en-GB"/>
        </w:rPr>
        <w:t xml:space="preserve">Review </w:t>
      </w:r>
      <w:r w:rsidRPr="00EB0BCC">
        <w:rPr>
          <w:color w:val="000000" w:themeColor="text1"/>
          <w:szCs w:val="24"/>
          <w:lang w:val="en-GB"/>
        </w:rPr>
        <w:t xml:space="preserve">(UPR) </w:t>
      </w:r>
      <w:r w:rsidR="004D30B0" w:rsidRPr="00EB0BCC">
        <w:rPr>
          <w:color w:val="000000" w:themeColor="text1"/>
          <w:szCs w:val="24"/>
          <w:lang w:val="en-GB"/>
        </w:rPr>
        <w:t>submitted to</w:t>
      </w:r>
      <w:r w:rsidRPr="00EB0BCC">
        <w:rPr>
          <w:color w:val="000000" w:themeColor="text1"/>
          <w:szCs w:val="24"/>
          <w:lang w:val="en-GB"/>
        </w:rPr>
        <w:t xml:space="preserve"> the UN Committee on Human Rights (UN</w:t>
      </w:r>
      <w:r w:rsidR="00F6279C" w:rsidRPr="00EB0BCC">
        <w:rPr>
          <w:color w:val="000000" w:themeColor="text1"/>
          <w:szCs w:val="24"/>
          <w:lang w:val="en-GB"/>
        </w:rPr>
        <w:t xml:space="preserve"> </w:t>
      </w:r>
      <w:r w:rsidRPr="00EB0BCC">
        <w:rPr>
          <w:color w:val="000000" w:themeColor="text1"/>
          <w:szCs w:val="24"/>
          <w:lang w:val="en-GB"/>
        </w:rPr>
        <w:t>CHR).</w:t>
      </w:r>
      <w:r w:rsidR="000E2F57" w:rsidRPr="00EB0BCC">
        <w:rPr>
          <w:color w:val="000000" w:themeColor="text1"/>
          <w:szCs w:val="24"/>
          <w:lang w:val="en-GB"/>
        </w:rPr>
        <w:t xml:space="preserve"> </w:t>
      </w:r>
      <w:r w:rsidRPr="00EB0BCC">
        <w:rPr>
          <w:color w:val="000000" w:themeColor="text1"/>
          <w:szCs w:val="24"/>
          <w:lang w:val="en-GB"/>
        </w:rPr>
        <w:t>Bahrain adopted recommendations from the report to prohibit torture and abusive treatment of prisoners and to hold perpetrators accountable.</w:t>
      </w:r>
      <w:r w:rsidR="000E2F57" w:rsidRPr="00EB0BCC">
        <w:rPr>
          <w:color w:val="000000" w:themeColor="text1"/>
          <w:szCs w:val="24"/>
          <w:lang w:val="en-GB"/>
        </w:rPr>
        <w:t xml:space="preserve"> </w:t>
      </w:r>
      <w:r w:rsidR="00F00D8F" w:rsidRPr="00EB0BCC">
        <w:rPr>
          <w:color w:val="000000" w:themeColor="text1"/>
          <w:szCs w:val="24"/>
          <w:lang w:val="en-GB"/>
        </w:rPr>
        <w:t xml:space="preserve">Despite this, King Hamad also passed Decree 56 of 2002 which gave a blanket amnesty to all </w:t>
      </w:r>
      <w:r w:rsidR="00BA35C4" w:rsidRPr="00EB0BCC">
        <w:rPr>
          <w:color w:val="000000" w:themeColor="text1"/>
          <w:szCs w:val="24"/>
          <w:lang w:val="en-GB"/>
        </w:rPr>
        <w:t xml:space="preserve">those </w:t>
      </w:r>
      <w:r w:rsidR="00F00D8F" w:rsidRPr="00EB0BCC">
        <w:rPr>
          <w:color w:val="000000" w:themeColor="text1"/>
          <w:szCs w:val="24"/>
          <w:lang w:val="en-GB"/>
        </w:rPr>
        <w:t>who had committed acts of torture and/or extrajudicial killings prior to 2002.</w:t>
      </w:r>
    </w:p>
    <w:p w:rsidR="00D67C35" w:rsidRPr="00EB0BCC" w:rsidRDefault="006E4AA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Additionally, Bahrain acceded to the International Covenant on Civil and Political Rights in 2006 and adopt</w:t>
      </w:r>
      <w:r w:rsidR="00AF4422" w:rsidRPr="00EB0BCC">
        <w:rPr>
          <w:color w:val="000000" w:themeColor="text1"/>
          <w:szCs w:val="24"/>
          <w:lang w:val="en-GB"/>
        </w:rPr>
        <w:t>ed</w:t>
      </w:r>
      <w:r w:rsidRPr="00EB0BCC">
        <w:rPr>
          <w:color w:val="000000" w:themeColor="text1"/>
          <w:szCs w:val="24"/>
          <w:lang w:val="en-GB"/>
        </w:rPr>
        <w:t xml:space="preserve"> the Arab Charter on Human Rights in 2006.</w:t>
      </w:r>
      <w:r w:rsidR="000E2F57" w:rsidRPr="00EB0BCC">
        <w:rPr>
          <w:color w:val="000000" w:themeColor="text1"/>
          <w:szCs w:val="24"/>
          <w:lang w:val="en-GB"/>
        </w:rPr>
        <w:t xml:space="preserve"> </w:t>
      </w:r>
      <w:r w:rsidR="00D67C35" w:rsidRPr="00EB0BCC">
        <w:rPr>
          <w:color w:val="000000" w:themeColor="text1"/>
          <w:szCs w:val="24"/>
          <w:lang w:val="en-GB"/>
        </w:rPr>
        <w:t xml:space="preserve">In April 2009, the king issued a pardon freeing 178 persons who had been detained on </w:t>
      </w:r>
      <w:r w:rsidR="00F00D8F" w:rsidRPr="00EB0BCC">
        <w:rPr>
          <w:color w:val="000000" w:themeColor="text1"/>
          <w:szCs w:val="24"/>
          <w:lang w:val="en-GB"/>
        </w:rPr>
        <w:t>trumped</w:t>
      </w:r>
      <w:r w:rsidR="00BA35C4" w:rsidRPr="00EB0BCC">
        <w:rPr>
          <w:color w:val="000000" w:themeColor="text1"/>
          <w:szCs w:val="24"/>
          <w:lang w:val="en-GB"/>
        </w:rPr>
        <w:t>-</w:t>
      </w:r>
      <w:r w:rsidR="00F00D8F" w:rsidRPr="00EB0BCC">
        <w:rPr>
          <w:color w:val="000000" w:themeColor="text1"/>
          <w:szCs w:val="24"/>
          <w:lang w:val="en-GB"/>
        </w:rPr>
        <w:t xml:space="preserve">up </w:t>
      </w:r>
      <w:r w:rsidR="00D67C35" w:rsidRPr="00EB0BCC">
        <w:rPr>
          <w:color w:val="000000" w:themeColor="text1"/>
          <w:szCs w:val="24"/>
          <w:lang w:val="en-GB"/>
        </w:rPr>
        <w:t>security-related charges</w:t>
      </w:r>
      <w:r w:rsidR="00DB0953" w:rsidRPr="00EB0BCC">
        <w:rPr>
          <w:color w:val="000000" w:themeColor="text1"/>
          <w:szCs w:val="24"/>
          <w:lang w:val="en-GB"/>
        </w:rPr>
        <w:t>.</w:t>
      </w:r>
      <w:r w:rsidR="00FC0964" w:rsidRPr="00EB0BCC">
        <w:rPr>
          <w:rStyle w:val="FootnoteReference"/>
          <w:color w:val="000000" w:themeColor="text1"/>
          <w:szCs w:val="24"/>
          <w:lang w:val="en-GB"/>
        </w:rPr>
        <w:footnoteReference w:id="7"/>
      </w:r>
      <w:r w:rsidR="000E2F57" w:rsidRPr="00EB0BCC">
        <w:rPr>
          <w:color w:val="000000" w:themeColor="text1"/>
          <w:szCs w:val="24"/>
          <w:lang w:val="en-GB"/>
        </w:rPr>
        <w:t xml:space="preserve"> </w:t>
      </w:r>
      <w:r w:rsidRPr="00EB0BCC">
        <w:rPr>
          <w:color w:val="000000" w:themeColor="text1"/>
          <w:szCs w:val="24"/>
          <w:lang w:val="en-GB"/>
        </w:rPr>
        <w:t xml:space="preserve">These reforms earned praise </w:t>
      </w:r>
      <w:r w:rsidR="00BA35C4" w:rsidRPr="00EB0BCC">
        <w:rPr>
          <w:color w:val="000000" w:themeColor="text1"/>
          <w:szCs w:val="24"/>
          <w:lang w:val="en-GB"/>
        </w:rPr>
        <w:t xml:space="preserve">at the time </w:t>
      </w:r>
      <w:r w:rsidRPr="00EB0BCC">
        <w:rPr>
          <w:color w:val="000000" w:themeColor="text1"/>
          <w:szCs w:val="24"/>
          <w:lang w:val="en-GB"/>
        </w:rPr>
        <w:t>from various sources around the world, including Amnesty International</w:t>
      </w:r>
      <w:r w:rsidR="00AF4422" w:rsidRPr="00EB0BCC">
        <w:rPr>
          <w:color w:val="000000" w:themeColor="text1"/>
          <w:szCs w:val="24"/>
          <w:lang w:val="en-GB"/>
        </w:rPr>
        <w:t>.</w:t>
      </w:r>
    </w:p>
    <w:p w:rsidR="00D67C35" w:rsidRPr="00EB0BCC" w:rsidRDefault="00D67C3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But by 2010, there were indications that torture and other coercive practices were </w:t>
      </w:r>
      <w:r w:rsidR="00547AEB" w:rsidRPr="00EB0BCC">
        <w:rPr>
          <w:color w:val="000000" w:themeColor="text1"/>
          <w:szCs w:val="24"/>
          <w:lang w:val="en-GB"/>
        </w:rPr>
        <w:t xml:space="preserve">again </w:t>
      </w:r>
      <w:r w:rsidRPr="00EB0BCC">
        <w:rPr>
          <w:color w:val="000000" w:themeColor="text1"/>
          <w:szCs w:val="24"/>
          <w:lang w:val="en-GB"/>
        </w:rPr>
        <w:t xml:space="preserve">being used regularly by law enforcement and internal security officers, </w:t>
      </w:r>
      <w:r w:rsidR="004D30B0" w:rsidRPr="00EB0BCC">
        <w:rPr>
          <w:color w:val="000000" w:themeColor="text1"/>
          <w:szCs w:val="24"/>
          <w:lang w:val="en-GB"/>
        </w:rPr>
        <w:t>despite</w:t>
      </w:r>
      <w:r w:rsidRPr="00EB0BCC">
        <w:rPr>
          <w:color w:val="000000" w:themeColor="text1"/>
          <w:szCs w:val="24"/>
          <w:lang w:val="en-GB"/>
        </w:rPr>
        <w:t xml:space="preserve"> the legal reforms.</w:t>
      </w:r>
      <w:r w:rsidR="000E2F57" w:rsidRPr="00EB0BCC">
        <w:rPr>
          <w:color w:val="000000" w:themeColor="text1"/>
          <w:szCs w:val="24"/>
          <w:lang w:val="en-GB"/>
        </w:rPr>
        <w:t xml:space="preserve"> </w:t>
      </w:r>
      <w:r w:rsidRPr="00EB0BCC">
        <w:rPr>
          <w:color w:val="000000" w:themeColor="text1"/>
          <w:szCs w:val="24"/>
          <w:lang w:val="en-GB"/>
        </w:rPr>
        <w:t xml:space="preserve">Reports produced by the </w:t>
      </w:r>
      <w:r w:rsidR="00BA35C4" w:rsidRPr="00EB0BCC">
        <w:rPr>
          <w:color w:val="000000" w:themeColor="text1"/>
          <w:szCs w:val="24"/>
          <w:lang w:val="en-GB"/>
        </w:rPr>
        <w:t xml:space="preserve">Bahrain </w:t>
      </w:r>
      <w:r w:rsidR="00466471" w:rsidRPr="00EB0BCC">
        <w:rPr>
          <w:color w:val="000000" w:themeColor="text1"/>
          <w:szCs w:val="24"/>
          <w:lang w:val="en-GB"/>
        </w:rPr>
        <w:t>Centre</w:t>
      </w:r>
      <w:r w:rsidR="00BA35C4" w:rsidRPr="00EB0BCC">
        <w:rPr>
          <w:color w:val="000000" w:themeColor="text1"/>
          <w:szCs w:val="24"/>
          <w:lang w:val="en-GB"/>
        </w:rPr>
        <w:t xml:space="preserve"> </w:t>
      </w:r>
      <w:r w:rsidRPr="00EB0BCC">
        <w:rPr>
          <w:color w:val="000000" w:themeColor="text1"/>
          <w:szCs w:val="24"/>
          <w:lang w:val="en-GB"/>
        </w:rPr>
        <w:t xml:space="preserve">for Human Rights, Human Rights Watch, and other groups </w:t>
      </w:r>
      <w:r w:rsidR="00547AEB" w:rsidRPr="00EB0BCC">
        <w:rPr>
          <w:color w:val="000000" w:themeColor="text1"/>
          <w:szCs w:val="24"/>
          <w:lang w:val="en-GB"/>
        </w:rPr>
        <w:t>collected evidence of</w:t>
      </w:r>
      <w:r w:rsidR="004D30B0" w:rsidRPr="00EB0BCC">
        <w:rPr>
          <w:color w:val="000000" w:themeColor="text1"/>
          <w:szCs w:val="24"/>
          <w:lang w:val="en-GB"/>
        </w:rPr>
        <w:t xml:space="preserve"> the systemic</w:t>
      </w:r>
      <w:r w:rsidRPr="00EB0BCC">
        <w:rPr>
          <w:color w:val="000000" w:themeColor="text1"/>
          <w:szCs w:val="24"/>
          <w:lang w:val="en-GB"/>
        </w:rPr>
        <w:t xml:space="preserve"> employment of coercive tactics by</w:t>
      </w:r>
      <w:r w:rsidR="000E2F57" w:rsidRPr="00EB0BCC">
        <w:rPr>
          <w:color w:val="000000" w:themeColor="text1"/>
          <w:szCs w:val="24"/>
          <w:lang w:val="en-GB"/>
        </w:rPr>
        <w:t xml:space="preserve"> </w:t>
      </w:r>
      <w:r w:rsidRPr="00EB0BCC">
        <w:rPr>
          <w:color w:val="000000" w:themeColor="text1"/>
          <w:szCs w:val="24"/>
          <w:lang w:val="en-GB"/>
        </w:rPr>
        <w:t xml:space="preserve">security </w:t>
      </w:r>
      <w:r w:rsidR="00547AEB" w:rsidRPr="00EB0BCC">
        <w:rPr>
          <w:color w:val="000000" w:themeColor="text1"/>
          <w:szCs w:val="24"/>
          <w:lang w:val="en-GB"/>
        </w:rPr>
        <w:t>personnel</w:t>
      </w:r>
      <w:r w:rsidR="00314CFC" w:rsidRPr="00EB0BCC">
        <w:rPr>
          <w:color w:val="000000" w:themeColor="text1"/>
          <w:szCs w:val="24"/>
          <w:lang w:val="en-GB"/>
        </w:rPr>
        <w:t xml:space="preserve">; one such report was </w:t>
      </w:r>
      <w:r w:rsidRPr="00EB0BCC">
        <w:rPr>
          <w:color w:val="000000" w:themeColor="text1"/>
          <w:szCs w:val="24"/>
          <w:lang w:val="en-GB"/>
        </w:rPr>
        <w:t xml:space="preserve">the February 2010 report from Human Rights Watch, </w:t>
      </w:r>
      <w:r w:rsidRPr="00EB0BCC">
        <w:rPr>
          <w:i/>
          <w:color w:val="000000" w:themeColor="text1"/>
          <w:szCs w:val="24"/>
          <w:lang w:val="en-GB"/>
        </w:rPr>
        <w:t>Torture Redux: The Revival of Physical Coercion during Interrogations in Bahrain</w:t>
      </w:r>
      <w:r w:rsidRPr="00EB0BCC">
        <w:rPr>
          <w:color w:val="000000" w:themeColor="text1"/>
          <w:szCs w:val="24"/>
          <w:lang w:val="en-GB"/>
        </w:rPr>
        <w:t xml:space="preserve">. </w:t>
      </w:r>
    </w:p>
    <w:p w:rsidR="00E56A9F" w:rsidRPr="00EB0BCC" w:rsidRDefault="00D67C3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 xml:space="preserve">The advent of </w:t>
      </w:r>
      <w:r w:rsidR="00324434" w:rsidRPr="00EB0BCC">
        <w:rPr>
          <w:color w:val="000000" w:themeColor="text1"/>
          <w:szCs w:val="24"/>
          <w:lang w:val="en-GB"/>
        </w:rPr>
        <w:t xml:space="preserve">the </w:t>
      </w:r>
      <w:r w:rsidRPr="00EB0BCC">
        <w:rPr>
          <w:color w:val="000000" w:themeColor="text1"/>
          <w:szCs w:val="24"/>
          <w:lang w:val="en-GB"/>
        </w:rPr>
        <w:t xml:space="preserve">Arab Spring in early 2011 led to pro-democracy protests across North Africa </w:t>
      </w:r>
      <w:r w:rsidR="00E56A9F" w:rsidRPr="00EB0BCC">
        <w:rPr>
          <w:color w:val="000000" w:themeColor="text1"/>
          <w:szCs w:val="24"/>
          <w:lang w:val="en-GB"/>
        </w:rPr>
        <w:t>and the Mid</w:t>
      </w:r>
      <w:r w:rsidR="00314CFC" w:rsidRPr="00EB0BCC">
        <w:rPr>
          <w:color w:val="000000" w:themeColor="text1"/>
          <w:szCs w:val="24"/>
          <w:lang w:val="en-GB"/>
        </w:rPr>
        <w:t>dle E</w:t>
      </w:r>
      <w:r w:rsidR="00E56A9F" w:rsidRPr="00EB0BCC">
        <w:rPr>
          <w:color w:val="000000" w:themeColor="text1"/>
          <w:szCs w:val="24"/>
          <w:lang w:val="en-GB"/>
        </w:rPr>
        <w:t>ast</w:t>
      </w:r>
      <w:r w:rsidRPr="00EB0BCC">
        <w:rPr>
          <w:color w:val="000000" w:themeColor="text1"/>
          <w:szCs w:val="24"/>
          <w:lang w:val="en-GB"/>
        </w:rPr>
        <w:t xml:space="preserve"> and resulted in mass arrests and detentions of Bahraini citizens.</w:t>
      </w:r>
      <w:r w:rsidR="000E2F57" w:rsidRPr="00EB0BCC">
        <w:rPr>
          <w:color w:val="000000" w:themeColor="text1"/>
          <w:szCs w:val="24"/>
          <w:lang w:val="en-GB"/>
        </w:rPr>
        <w:t xml:space="preserve"> </w:t>
      </w:r>
      <w:r w:rsidR="00E56A9F" w:rsidRPr="00EB0BCC">
        <w:rPr>
          <w:color w:val="000000" w:themeColor="text1"/>
          <w:szCs w:val="24"/>
          <w:lang w:val="en-GB"/>
        </w:rPr>
        <w:t xml:space="preserve">In February and March of 2011, protests erupted around the Pearl </w:t>
      </w:r>
      <w:r w:rsidR="00324434" w:rsidRPr="00EB0BCC">
        <w:rPr>
          <w:color w:val="000000" w:themeColor="text1"/>
          <w:szCs w:val="24"/>
          <w:lang w:val="en-GB"/>
        </w:rPr>
        <w:t xml:space="preserve">Roundabout </w:t>
      </w:r>
      <w:r w:rsidR="00E56A9F" w:rsidRPr="00EB0BCC">
        <w:rPr>
          <w:color w:val="000000" w:themeColor="text1"/>
          <w:szCs w:val="24"/>
          <w:lang w:val="en-GB"/>
        </w:rPr>
        <w:t>area in Manama, Bahrain.</w:t>
      </w:r>
      <w:r w:rsidR="000E2F57" w:rsidRPr="00EB0BCC">
        <w:rPr>
          <w:color w:val="000000" w:themeColor="text1"/>
          <w:szCs w:val="24"/>
          <w:lang w:val="en-GB"/>
        </w:rPr>
        <w:t xml:space="preserve"> </w:t>
      </w:r>
      <w:r w:rsidR="00AD5C17" w:rsidRPr="00EB0BCC">
        <w:rPr>
          <w:color w:val="000000" w:themeColor="text1"/>
          <w:szCs w:val="24"/>
          <w:lang w:val="en-GB"/>
        </w:rPr>
        <w:t>M</w:t>
      </w:r>
      <w:r w:rsidR="00E56A9F" w:rsidRPr="00EB0BCC">
        <w:rPr>
          <w:color w:val="000000" w:themeColor="text1"/>
          <w:szCs w:val="24"/>
          <w:lang w:val="en-GB"/>
        </w:rPr>
        <w:t xml:space="preserve">any </w:t>
      </w:r>
      <w:r w:rsidR="00AD5C17" w:rsidRPr="00EB0BCC">
        <w:rPr>
          <w:color w:val="000000" w:themeColor="text1"/>
          <w:szCs w:val="24"/>
          <w:lang w:val="en-GB"/>
        </w:rPr>
        <w:t xml:space="preserve">of the </w:t>
      </w:r>
      <w:r w:rsidR="00E56A9F" w:rsidRPr="00EB0BCC">
        <w:rPr>
          <w:color w:val="000000" w:themeColor="text1"/>
          <w:szCs w:val="24"/>
          <w:lang w:val="en-GB"/>
        </w:rPr>
        <w:t xml:space="preserve">protesters </w:t>
      </w:r>
      <w:r w:rsidR="00AD5C17" w:rsidRPr="00EB0BCC">
        <w:rPr>
          <w:color w:val="000000" w:themeColor="text1"/>
          <w:szCs w:val="24"/>
          <w:lang w:val="en-GB"/>
        </w:rPr>
        <w:t>focused on gaining</w:t>
      </w:r>
      <w:r w:rsidR="00E56A9F" w:rsidRPr="00EB0BCC">
        <w:rPr>
          <w:color w:val="000000" w:themeColor="text1"/>
          <w:szCs w:val="24"/>
          <w:lang w:val="en-GB"/>
        </w:rPr>
        <w:t xml:space="preserve"> greater political freedom and</w:t>
      </w:r>
      <w:r w:rsidR="00BA35C4" w:rsidRPr="00EB0BCC">
        <w:rPr>
          <w:color w:val="000000" w:themeColor="text1"/>
          <w:szCs w:val="24"/>
          <w:lang w:val="en-GB"/>
        </w:rPr>
        <w:t xml:space="preserve"> </w:t>
      </w:r>
      <w:r w:rsidR="00F41422" w:rsidRPr="00EB0BCC">
        <w:rPr>
          <w:color w:val="000000" w:themeColor="text1"/>
          <w:szCs w:val="24"/>
          <w:lang w:val="en-GB"/>
        </w:rPr>
        <w:t>revisions to the</w:t>
      </w:r>
      <w:r w:rsidR="00BA35C4" w:rsidRPr="00EB0BCC">
        <w:rPr>
          <w:color w:val="000000" w:themeColor="text1"/>
          <w:szCs w:val="24"/>
          <w:lang w:val="en-GB"/>
        </w:rPr>
        <w:t xml:space="preserve"> constitution</w:t>
      </w:r>
      <w:r w:rsidR="00F41422" w:rsidRPr="00EB0BCC">
        <w:rPr>
          <w:color w:val="000000" w:themeColor="text1"/>
          <w:szCs w:val="24"/>
          <w:lang w:val="en-GB"/>
        </w:rPr>
        <w:t>.</w:t>
      </w:r>
      <w:r w:rsidR="000E2F57" w:rsidRPr="00EB0BCC">
        <w:rPr>
          <w:color w:val="000000" w:themeColor="text1"/>
          <w:szCs w:val="24"/>
          <w:lang w:val="en-GB"/>
        </w:rPr>
        <w:t xml:space="preserve"> </w:t>
      </w:r>
      <w:r w:rsidR="00E56A9F" w:rsidRPr="00EB0BCC">
        <w:rPr>
          <w:color w:val="000000" w:themeColor="text1"/>
          <w:szCs w:val="24"/>
          <w:lang w:val="en-GB"/>
        </w:rPr>
        <w:t xml:space="preserve">On 17 February, internal security forces conducted </w:t>
      </w:r>
      <w:r w:rsidR="00F00D8F" w:rsidRPr="00EB0BCC">
        <w:rPr>
          <w:color w:val="000000" w:themeColor="text1"/>
          <w:szCs w:val="24"/>
          <w:lang w:val="en-GB"/>
        </w:rPr>
        <w:t>an attack</w:t>
      </w:r>
      <w:r w:rsidR="00E56A9F" w:rsidRPr="00EB0BCC">
        <w:rPr>
          <w:color w:val="000000" w:themeColor="text1"/>
          <w:szCs w:val="24"/>
          <w:lang w:val="en-GB"/>
        </w:rPr>
        <w:t xml:space="preserve"> on </w:t>
      </w:r>
      <w:r w:rsidR="00F00D8F" w:rsidRPr="00EB0BCC">
        <w:rPr>
          <w:color w:val="000000" w:themeColor="text1"/>
          <w:szCs w:val="24"/>
          <w:lang w:val="en-GB"/>
        </w:rPr>
        <w:t>peaceful protesters at the Pearl Roundabout</w:t>
      </w:r>
      <w:r w:rsidR="00E56A9F" w:rsidRPr="00EB0BCC">
        <w:rPr>
          <w:color w:val="000000" w:themeColor="text1"/>
          <w:szCs w:val="24"/>
          <w:lang w:val="en-GB"/>
        </w:rPr>
        <w:t xml:space="preserve"> which became known as “Bloody Thursday</w:t>
      </w:r>
      <w:r w:rsidR="00DB0953" w:rsidRPr="00EB0BCC">
        <w:rPr>
          <w:color w:val="000000" w:themeColor="text1"/>
          <w:szCs w:val="24"/>
          <w:lang w:val="en-GB"/>
        </w:rPr>
        <w:t>.</w:t>
      </w:r>
      <w:r w:rsidR="00E56A9F" w:rsidRPr="00EB0BCC">
        <w:rPr>
          <w:color w:val="000000" w:themeColor="text1"/>
          <w:szCs w:val="24"/>
          <w:lang w:val="en-GB"/>
        </w:rPr>
        <w:t>”</w:t>
      </w:r>
      <w:r w:rsidR="00FC0964" w:rsidRPr="00EB0BCC">
        <w:rPr>
          <w:rStyle w:val="FootnoteReference"/>
          <w:color w:val="000000" w:themeColor="text1"/>
          <w:szCs w:val="24"/>
          <w:lang w:val="en-GB"/>
        </w:rPr>
        <w:footnoteReference w:id="8"/>
      </w:r>
      <w:r w:rsidR="000E2F57" w:rsidRPr="00EB0BCC">
        <w:rPr>
          <w:color w:val="000000" w:themeColor="text1"/>
          <w:szCs w:val="24"/>
          <w:lang w:val="en-GB"/>
        </w:rPr>
        <w:t xml:space="preserve"> </w:t>
      </w:r>
      <w:r w:rsidR="00E56A9F" w:rsidRPr="00EB0BCC">
        <w:rPr>
          <w:color w:val="000000" w:themeColor="text1"/>
          <w:szCs w:val="24"/>
          <w:lang w:val="en-GB"/>
        </w:rPr>
        <w:t>On 14 March, following continued protests</w:t>
      </w:r>
      <w:r w:rsidR="00F00D8F" w:rsidRPr="00EB0BCC">
        <w:rPr>
          <w:color w:val="000000" w:themeColor="text1"/>
          <w:szCs w:val="24"/>
          <w:lang w:val="en-GB"/>
        </w:rPr>
        <w:t xml:space="preserve"> and a national strike</w:t>
      </w:r>
      <w:r w:rsidR="00E56A9F" w:rsidRPr="00EB0BCC">
        <w:rPr>
          <w:color w:val="000000" w:themeColor="text1"/>
          <w:szCs w:val="24"/>
          <w:lang w:val="en-GB"/>
        </w:rPr>
        <w:t>, Bahraini security forces</w:t>
      </w:r>
      <w:r w:rsidR="00F00D8F" w:rsidRPr="00EB0BCC">
        <w:rPr>
          <w:color w:val="000000" w:themeColor="text1"/>
          <w:szCs w:val="24"/>
          <w:lang w:val="en-GB"/>
        </w:rPr>
        <w:t xml:space="preserve"> supported by Saudi and UAE forces,</w:t>
      </w:r>
      <w:r w:rsidR="00314CFC" w:rsidRPr="00EB0BCC">
        <w:rPr>
          <w:color w:val="000000" w:themeColor="text1"/>
          <w:szCs w:val="24"/>
          <w:lang w:val="en-GB"/>
        </w:rPr>
        <w:t xml:space="preserve"> </w:t>
      </w:r>
      <w:r w:rsidR="00F00D8F" w:rsidRPr="00EB0BCC">
        <w:rPr>
          <w:color w:val="000000" w:themeColor="text1"/>
          <w:szCs w:val="24"/>
          <w:lang w:val="en-GB"/>
        </w:rPr>
        <w:t xml:space="preserve">attacked and </w:t>
      </w:r>
      <w:r w:rsidR="00E56A9F" w:rsidRPr="00EB0BCC">
        <w:rPr>
          <w:color w:val="000000" w:themeColor="text1"/>
          <w:szCs w:val="24"/>
          <w:lang w:val="en-GB"/>
        </w:rPr>
        <w:t xml:space="preserve">cleared the Pearl </w:t>
      </w:r>
      <w:r w:rsidR="00324434" w:rsidRPr="00EB0BCC">
        <w:rPr>
          <w:color w:val="000000" w:themeColor="text1"/>
          <w:szCs w:val="24"/>
          <w:lang w:val="en-GB"/>
        </w:rPr>
        <w:t xml:space="preserve">Roundabout </w:t>
      </w:r>
      <w:r w:rsidR="00E56A9F" w:rsidRPr="00EB0BCC">
        <w:rPr>
          <w:color w:val="000000" w:themeColor="text1"/>
          <w:szCs w:val="24"/>
          <w:lang w:val="en-GB"/>
        </w:rPr>
        <w:t>area of demonstrators.</w:t>
      </w:r>
      <w:r w:rsidR="000E2F57" w:rsidRPr="00EB0BCC">
        <w:rPr>
          <w:color w:val="000000" w:themeColor="text1"/>
          <w:szCs w:val="24"/>
          <w:lang w:val="en-GB"/>
        </w:rPr>
        <w:t xml:space="preserve"> </w:t>
      </w:r>
    </w:p>
    <w:p w:rsidR="00E56A9F" w:rsidRPr="00EB0BCC" w:rsidRDefault="00E56A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The following day, King Hamad declared martial law and a three-month state of emergency.</w:t>
      </w:r>
      <w:r w:rsidR="00DB0953" w:rsidRPr="00EB0BCC">
        <w:rPr>
          <w:rStyle w:val="FootnoteReference"/>
          <w:color w:val="000000" w:themeColor="text1"/>
          <w:szCs w:val="24"/>
          <w:lang w:val="en-GB"/>
        </w:rPr>
        <w:footnoteReference w:id="9"/>
      </w:r>
      <w:r w:rsidR="000E2F57" w:rsidRPr="00EB0BCC">
        <w:rPr>
          <w:color w:val="000000" w:themeColor="text1"/>
          <w:szCs w:val="24"/>
          <w:lang w:val="en-GB"/>
        </w:rPr>
        <w:t xml:space="preserve"> </w:t>
      </w:r>
      <w:r w:rsidRPr="00EB0BCC">
        <w:rPr>
          <w:color w:val="000000" w:themeColor="text1"/>
          <w:szCs w:val="24"/>
          <w:lang w:val="en-GB"/>
        </w:rPr>
        <w:t>In the weeks that followed, nearly 3000 people were arrested and five died as a result of torture while in police custody.</w:t>
      </w:r>
      <w:r w:rsidR="00DB0953" w:rsidRPr="00EB0BCC">
        <w:rPr>
          <w:rStyle w:val="FootnoteReference"/>
          <w:color w:val="000000" w:themeColor="text1"/>
          <w:szCs w:val="24"/>
          <w:lang w:val="en-GB"/>
        </w:rPr>
        <w:footnoteReference w:id="10"/>
      </w:r>
      <w:r w:rsidR="000E2F57" w:rsidRPr="00EB0BCC">
        <w:rPr>
          <w:color w:val="000000" w:themeColor="text1"/>
          <w:szCs w:val="24"/>
          <w:lang w:val="en-GB"/>
        </w:rPr>
        <w:t xml:space="preserve"> </w:t>
      </w:r>
    </w:p>
    <w:p w:rsidR="002C7A74" w:rsidRPr="00EB0BCC" w:rsidRDefault="000448B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w:t>
      </w:r>
      <w:r w:rsidR="002C7A74" w:rsidRPr="00EB0BCC">
        <w:rPr>
          <w:color w:val="000000" w:themeColor="text1"/>
          <w:szCs w:val="24"/>
          <w:lang w:val="en-GB"/>
        </w:rPr>
        <w:t xml:space="preserve">n </w:t>
      </w:r>
      <w:r w:rsidR="004936E3" w:rsidRPr="00EB0BCC">
        <w:rPr>
          <w:color w:val="000000" w:themeColor="text1"/>
          <w:szCs w:val="24"/>
          <w:lang w:val="en-GB"/>
        </w:rPr>
        <w:t xml:space="preserve">29 </w:t>
      </w:r>
      <w:r w:rsidR="002C7A74" w:rsidRPr="00EB0BCC">
        <w:rPr>
          <w:color w:val="000000" w:themeColor="text1"/>
          <w:szCs w:val="24"/>
          <w:lang w:val="en-GB"/>
        </w:rPr>
        <w:t xml:space="preserve">June 2011, </w:t>
      </w:r>
      <w:r w:rsidR="00F44AA7" w:rsidRPr="00EB0BCC">
        <w:rPr>
          <w:color w:val="000000" w:themeColor="text1"/>
          <w:szCs w:val="24"/>
          <w:lang w:val="en-GB"/>
        </w:rPr>
        <w:t>in response to international pressure,</w:t>
      </w:r>
      <w:r w:rsidRPr="00EB0BCC">
        <w:rPr>
          <w:rStyle w:val="FootnoteReference"/>
          <w:color w:val="000000" w:themeColor="text1"/>
          <w:szCs w:val="24"/>
          <w:lang w:val="en-GB"/>
        </w:rPr>
        <w:footnoteReference w:id="11"/>
      </w:r>
      <w:r w:rsidR="00F44AA7" w:rsidRPr="00EB0BCC">
        <w:rPr>
          <w:color w:val="000000" w:themeColor="text1"/>
          <w:szCs w:val="24"/>
          <w:lang w:val="en-GB"/>
        </w:rPr>
        <w:t xml:space="preserve"> </w:t>
      </w:r>
      <w:r w:rsidR="002C7A74" w:rsidRPr="00EB0BCC">
        <w:rPr>
          <w:color w:val="000000" w:themeColor="text1"/>
          <w:szCs w:val="24"/>
          <w:lang w:val="en-GB"/>
        </w:rPr>
        <w:t xml:space="preserve">King Hamad established </w:t>
      </w:r>
      <w:r w:rsidR="00E96C36" w:rsidRPr="00EB0BCC">
        <w:rPr>
          <w:color w:val="000000" w:themeColor="text1"/>
          <w:szCs w:val="24"/>
          <w:lang w:val="en-GB"/>
        </w:rPr>
        <w:t>the Bahrain I</w:t>
      </w:r>
      <w:r w:rsidR="002C7A74" w:rsidRPr="00EB0BCC">
        <w:rPr>
          <w:color w:val="000000" w:themeColor="text1"/>
          <w:szCs w:val="24"/>
          <w:lang w:val="en-GB"/>
        </w:rPr>
        <w:t xml:space="preserve">ndependent </w:t>
      </w:r>
      <w:r w:rsidR="00E96C36" w:rsidRPr="00EB0BCC">
        <w:rPr>
          <w:color w:val="000000" w:themeColor="text1"/>
          <w:szCs w:val="24"/>
          <w:lang w:val="en-GB"/>
        </w:rPr>
        <w:t>C</w:t>
      </w:r>
      <w:r w:rsidR="002C7A74" w:rsidRPr="00EB0BCC">
        <w:rPr>
          <w:color w:val="000000" w:themeColor="text1"/>
          <w:szCs w:val="24"/>
          <w:lang w:val="en-GB"/>
        </w:rPr>
        <w:t xml:space="preserve">ommission </w:t>
      </w:r>
      <w:r w:rsidR="00E96C36" w:rsidRPr="00EB0BCC">
        <w:rPr>
          <w:color w:val="000000" w:themeColor="text1"/>
          <w:szCs w:val="24"/>
          <w:lang w:val="en-GB"/>
        </w:rPr>
        <w:t xml:space="preserve">of Inquiry (BICI) </w:t>
      </w:r>
      <w:r w:rsidR="002C7A74" w:rsidRPr="00EB0BCC">
        <w:rPr>
          <w:color w:val="000000" w:themeColor="text1"/>
          <w:szCs w:val="24"/>
          <w:lang w:val="en-GB"/>
        </w:rPr>
        <w:t xml:space="preserve">to investigate </w:t>
      </w:r>
      <w:r w:rsidR="007F67C2" w:rsidRPr="00EB0BCC">
        <w:rPr>
          <w:color w:val="000000" w:themeColor="text1"/>
          <w:szCs w:val="24"/>
          <w:lang w:val="en-GB"/>
        </w:rPr>
        <w:t>allegations of</w:t>
      </w:r>
      <w:r w:rsidR="00E96C36" w:rsidRPr="00EB0BCC">
        <w:rPr>
          <w:color w:val="000000" w:themeColor="text1"/>
          <w:szCs w:val="24"/>
          <w:lang w:val="en-GB"/>
        </w:rPr>
        <w:t xml:space="preserve"> human rights abuses and </w:t>
      </w:r>
      <w:r w:rsidR="00314CFC" w:rsidRPr="00EB0BCC">
        <w:rPr>
          <w:color w:val="000000" w:themeColor="text1"/>
          <w:szCs w:val="24"/>
          <w:lang w:val="en-GB"/>
        </w:rPr>
        <w:t xml:space="preserve">other </w:t>
      </w:r>
      <w:r w:rsidR="007F67C2" w:rsidRPr="00EB0BCC">
        <w:rPr>
          <w:color w:val="000000" w:themeColor="text1"/>
          <w:szCs w:val="24"/>
          <w:lang w:val="en-GB"/>
        </w:rPr>
        <w:t xml:space="preserve">government </w:t>
      </w:r>
      <w:r w:rsidR="00314CFC" w:rsidRPr="00EB0BCC">
        <w:rPr>
          <w:color w:val="000000" w:themeColor="text1"/>
          <w:szCs w:val="24"/>
          <w:lang w:val="en-GB"/>
        </w:rPr>
        <w:t>abuses</w:t>
      </w:r>
      <w:r w:rsidR="007F67C2" w:rsidRPr="00EB0BCC">
        <w:rPr>
          <w:color w:val="000000" w:themeColor="text1"/>
          <w:szCs w:val="24"/>
          <w:lang w:val="en-GB"/>
        </w:rPr>
        <w:t>.</w:t>
      </w:r>
      <w:r w:rsidR="000E2F57" w:rsidRPr="00EB0BCC">
        <w:rPr>
          <w:color w:val="000000" w:themeColor="text1"/>
          <w:szCs w:val="24"/>
          <w:lang w:val="en-GB"/>
        </w:rPr>
        <w:t xml:space="preserve"> </w:t>
      </w:r>
      <w:r w:rsidR="00314CFC" w:rsidRPr="00EB0BCC">
        <w:rPr>
          <w:color w:val="000000" w:themeColor="text1"/>
          <w:szCs w:val="24"/>
          <w:lang w:val="en-GB"/>
        </w:rPr>
        <w:t>BICI</w:t>
      </w:r>
      <w:r w:rsidR="007F67C2" w:rsidRPr="00EB0BCC">
        <w:rPr>
          <w:color w:val="000000" w:themeColor="text1"/>
          <w:szCs w:val="24"/>
          <w:lang w:val="en-GB"/>
        </w:rPr>
        <w:t xml:space="preserve"> </w:t>
      </w:r>
      <w:r w:rsidR="00E96C36" w:rsidRPr="00EB0BCC">
        <w:rPr>
          <w:color w:val="000000" w:themeColor="text1"/>
          <w:szCs w:val="24"/>
          <w:lang w:val="en-GB"/>
        </w:rPr>
        <w:t xml:space="preserve">consisted of </w:t>
      </w:r>
      <w:r w:rsidR="004D5EEE" w:rsidRPr="00EB0BCC">
        <w:rPr>
          <w:color w:val="000000" w:themeColor="text1"/>
          <w:szCs w:val="24"/>
          <w:lang w:val="en-GB"/>
        </w:rPr>
        <w:t xml:space="preserve">five </w:t>
      </w:r>
      <w:r w:rsidR="007F67C2" w:rsidRPr="00EB0BCC">
        <w:rPr>
          <w:color w:val="000000" w:themeColor="text1"/>
          <w:szCs w:val="24"/>
          <w:lang w:val="en-GB"/>
        </w:rPr>
        <w:t xml:space="preserve">independent international </w:t>
      </w:r>
      <w:r w:rsidR="004D5EEE" w:rsidRPr="00EB0BCC">
        <w:rPr>
          <w:color w:val="000000" w:themeColor="text1"/>
          <w:szCs w:val="24"/>
          <w:lang w:val="en-GB"/>
        </w:rPr>
        <w:t>jurists</w:t>
      </w:r>
      <w:r w:rsidR="007F67C2" w:rsidRPr="00EB0BCC">
        <w:rPr>
          <w:color w:val="000000" w:themeColor="text1"/>
          <w:szCs w:val="24"/>
          <w:lang w:val="en-GB"/>
        </w:rPr>
        <w:t>.</w:t>
      </w:r>
      <w:r w:rsidR="000E2F57" w:rsidRPr="00EB0BCC">
        <w:rPr>
          <w:color w:val="000000" w:themeColor="text1"/>
          <w:szCs w:val="24"/>
          <w:lang w:val="en-GB"/>
        </w:rPr>
        <w:t xml:space="preserve"> </w:t>
      </w:r>
      <w:r w:rsidR="00314CFC" w:rsidRPr="00EB0BCC">
        <w:rPr>
          <w:color w:val="000000" w:themeColor="text1"/>
          <w:szCs w:val="24"/>
          <w:lang w:val="en-GB"/>
        </w:rPr>
        <w:t xml:space="preserve">Its </w:t>
      </w:r>
      <w:r w:rsidR="00281F45" w:rsidRPr="00EB0BCC">
        <w:rPr>
          <w:color w:val="000000" w:themeColor="text1"/>
          <w:szCs w:val="24"/>
          <w:lang w:val="en-GB"/>
        </w:rPr>
        <w:t>500-page</w:t>
      </w:r>
      <w:r w:rsidR="007F67C2" w:rsidRPr="00EB0BCC">
        <w:rPr>
          <w:color w:val="000000" w:themeColor="text1"/>
          <w:szCs w:val="24"/>
          <w:lang w:val="en-GB"/>
        </w:rPr>
        <w:t xml:space="preserve"> report was </w:t>
      </w:r>
      <w:r w:rsidR="00314CFC" w:rsidRPr="00EB0BCC">
        <w:rPr>
          <w:color w:val="000000" w:themeColor="text1"/>
          <w:szCs w:val="24"/>
          <w:lang w:val="en-GB"/>
        </w:rPr>
        <w:t xml:space="preserve">issued </w:t>
      </w:r>
      <w:r w:rsidR="007F67C2" w:rsidRPr="00EB0BCC">
        <w:rPr>
          <w:color w:val="000000" w:themeColor="text1"/>
          <w:szCs w:val="24"/>
          <w:lang w:val="en-GB"/>
        </w:rPr>
        <w:t xml:space="preserve">in November </w:t>
      </w:r>
      <w:r w:rsidR="00314CFC" w:rsidRPr="00EB0BCC">
        <w:rPr>
          <w:color w:val="000000" w:themeColor="text1"/>
          <w:szCs w:val="24"/>
          <w:lang w:val="en-GB"/>
        </w:rPr>
        <w:t xml:space="preserve">2011, </w:t>
      </w:r>
      <w:r w:rsidR="007F67C2" w:rsidRPr="00EB0BCC">
        <w:rPr>
          <w:color w:val="000000" w:themeColor="text1"/>
          <w:szCs w:val="24"/>
          <w:lang w:val="en-GB"/>
        </w:rPr>
        <w:t xml:space="preserve">and </w:t>
      </w:r>
      <w:r w:rsidR="00AD5C17" w:rsidRPr="00EB0BCC">
        <w:rPr>
          <w:color w:val="000000" w:themeColor="text1"/>
          <w:szCs w:val="24"/>
          <w:lang w:val="en-GB"/>
        </w:rPr>
        <w:t>determined</w:t>
      </w:r>
      <w:r w:rsidR="00321DAD" w:rsidRPr="00EB0BCC">
        <w:rPr>
          <w:color w:val="000000" w:themeColor="text1"/>
          <w:szCs w:val="24"/>
          <w:lang w:val="en-GB"/>
        </w:rPr>
        <w:t xml:space="preserve"> that the government had used torture and other forms of abusive treatment on detainees</w:t>
      </w:r>
      <w:r w:rsidR="00604ED5" w:rsidRPr="00EB0BCC">
        <w:rPr>
          <w:color w:val="000000" w:themeColor="text1"/>
          <w:szCs w:val="24"/>
          <w:lang w:val="en-GB"/>
        </w:rPr>
        <w:t xml:space="preserve">, “aimed at extracting confessions and statements by duress” or </w:t>
      </w:r>
      <w:r w:rsidR="00833274" w:rsidRPr="00EB0BCC">
        <w:rPr>
          <w:color w:val="000000" w:themeColor="text1"/>
          <w:szCs w:val="24"/>
          <w:lang w:val="en-GB"/>
        </w:rPr>
        <w:t>“for the purpose of retribution and punishment.”</w:t>
      </w:r>
      <w:r w:rsidR="000E2F57" w:rsidRPr="00EB0BCC">
        <w:rPr>
          <w:color w:val="000000" w:themeColor="text1"/>
          <w:szCs w:val="24"/>
          <w:lang w:val="en-GB"/>
        </w:rPr>
        <w:t xml:space="preserve"> </w:t>
      </w:r>
      <w:r w:rsidR="00E96C36" w:rsidRPr="00EB0BCC">
        <w:rPr>
          <w:color w:val="000000" w:themeColor="text1"/>
          <w:szCs w:val="24"/>
          <w:lang w:val="en-GB"/>
        </w:rPr>
        <w:t>It also critici</w:t>
      </w:r>
      <w:r w:rsidR="009A7190" w:rsidRPr="00EB0BCC">
        <w:rPr>
          <w:color w:val="000000" w:themeColor="text1"/>
          <w:szCs w:val="24"/>
          <w:lang w:val="en-GB"/>
        </w:rPr>
        <w:t>s</w:t>
      </w:r>
      <w:r w:rsidR="00E96C36" w:rsidRPr="00EB0BCC">
        <w:rPr>
          <w:color w:val="000000" w:themeColor="text1"/>
          <w:szCs w:val="24"/>
          <w:lang w:val="en-GB"/>
        </w:rPr>
        <w:t xml:space="preserve">ed the unwillingness of the </w:t>
      </w:r>
      <w:r w:rsidR="005C5724" w:rsidRPr="00EB0BCC">
        <w:rPr>
          <w:color w:val="000000" w:themeColor="text1"/>
          <w:szCs w:val="24"/>
          <w:lang w:val="en-GB"/>
        </w:rPr>
        <w:t>j</w:t>
      </w:r>
      <w:r w:rsidR="00E96C36" w:rsidRPr="00EB0BCC">
        <w:rPr>
          <w:color w:val="000000" w:themeColor="text1"/>
          <w:szCs w:val="24"/>
          <w:lang w:val="en-GB"/>
        </w:rPr>
        <w:t xml:space="preserve">udiciary to investigate and punish </w:t>
      </w:r>
      <w:r w:rsidR="0033094B" w:rsidRPr="00EB0BCC">
        <w:rPr>
          <w:color w:val="000000" w:themeColor="text1"/>
          <w:szCs w:val="24"/>
          <w:lang w:val="en-GB"/>
        </w:rPr>
        <w:t>perpetrators alleged to have committed acts of torture and mistreatment of detainees.</w:t>
      </w:r>
      <w:r w:rsidR="000E2F57" w:rsidRPr="00EB0BCC">
        <w:rPr>
          <w:color w:val="000000" w:themeColor="text1"/>
          <w:szCs w:val="24"/>
          <w:lang w:val="en-GB"/>
        </w:rPr>
        <w:t xml:space="preserve"> </w:t>
      </w:r>
      <w:r w:rsidR="00BF221F" w:rsidRPr="00EB0BCC">
        <w:rPr>
          <w:color w:val="000000" w:themeColor="text1"/>
          <w:szCs w:val="24"/>
          <w:lang w:val="en-GB"/>
        </w:rPr>
        <w:t>K</w:t>
      </w:r>
      <w:r w:rsidR="005A6230" w:rsidRPr="00EB0BCC">
        <w:rPr>
          <w:color w:val="000000" w:themeColor="text1"/>
          <w:szCs w:val="24"/>
          <w:lang w:val="en-GB"/>
        </w:rPr>
        <w:t>ing</w:t>
      </w:r>
      <w:r w:rsidR="00BF221F" w:rsidRPr="00EB0BCC">
        <w:rPr>
          <w:color w:val="000000" w:themeColor="text1"/>
          <w:szCs w:val="24"/>
          <w:lang w:val="en-GB"/>
        </w:rPr>
        <w:t xml:space="preserve"> Hamad</w:t>
      </w:r>
      <w:r w:rsidR="005A6230" w:rsidRPr="00EB0BCC">
        <w:rPr>
          <w:color w:val="000000" w:themeColor="text1"/>
          <w:szCs w:val="24"/>
          <w:lang w:val="en-GB"/>
        </w:rPr>
        <w:t xml:space="preserve"> accepted all findings in the report.</w:t>
      </w:r>
      <w:r w:rsidR="000E2F57" w:rsidRPr="00EB0BCC">
        <w:rPr>
          <w:color w:val="000000" w:themeColor="text1"/>
          <w:szCs w:val="24"/>
          <w:lang w:val="en-GB"/>
        </w:rPr>
        <w:t xml:space="preserve"> </w:t>
      </w:r>
    </w:p>
    <w:p w:rsidR="00FF71DD" w:rsidRPr="00EB0BCC" w:rsidRDefault="00465AE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After </w:t>
      </w:r>
      <w:r w:rsidR="005C5724" w:rsidRPr="00EB0BCC">
        <w:rPr>
          <w:color w:val="000000" w:themeColor="text1"/>
          <w:szCs w:val="24"/>
          <w:lang w:val="en-GB"/>
        </w:rPr>
        <w:t xml:space="preserve">the BICI </w:t>
      </w:r>
      <w:r w:rsidR="00314CFC" w:rsidRPr="00EB0BCC">
        <w:rPr>
          <w:color w:val="000000" w:themeColor="text1"/>
          <w:szCs w:val="24"/>
          <w:lang w:val="en-GB"/>
        </w:rPr>
        <w:t>report was issued</w:t>
      </w:r>
      <w:r w:rsidR="005C5724" w:rsidRPr="00EB0BCC">
        <w:rPr>
          <w:color w:val="000000" w:themeColor="text1"/>
          <w:szCs w:val="24"/>
          <w:lang w:val="en-GB"/>
        </w:rPr>
        <w:t>, the</w:t>
      </w:r>
      <w:r w:rsidR="005A6230" w:rsidRPr="00EB0BCC">
        <w:rPr>
          <w:color w:val="000000" w:themeColor="text1"/>
          <w:szCs w:val="24"/>
          <w:lang w:val="en-GB"/>
        </w:rPr>
        <w:t xml:space="preserve"> </w:t>
      </w:r>
      <w:r w:rsidR="005C5724" w:rsidRPr="00EB0BCC">
        <w:rPr>
          <w:color w:val="000000" w:themeColor="text1"/>
          <w:szCs w:val="24"/>
          <w:lang w:val="en-GB"/>
        </w:rPr>
        <w:t xml:space="preserve">Bahraini government </w:t>
      </w:r>
      <w:r w:rsidR="00787D52" w:rsidRPr="00EB0BCC">
        <w:rPr>
          <w:color w:val="000000" w:themeColor="text1"/>
          <w:szCs w:val="24"/>
          <w:lang w:val="en-GB"/>
        </w:rPr>
        <w:t>undertook</w:t>
      </w:r>
      <w:r w:rsidR="0009432F" w:rsidRPr="00EB0BCC">
        <w:rPr>
          <w:color w:val="000000" w:themeColor="text1"/>
          <w:szCs w:val="24"/>
          <w:lang w:val="en-GB"/>
        </w:rPr>
        <w:t xml:space="preserve"> </w:t>
      </w:r>
      <w:r w:rsidR="00CF27E8" w:rsidRPr="00EB0BCC">
        <w:rPr>
          <w:color w:val="000000" w:themeColor="text1"/>
          <w:szCs w:val="24"/>
          <w:lang w:val="en-GB"/>
        </w:rPr>
        <w:t>certain</w:t>
      </w:r>
      <w:r w:rsidR="004936E3" w:rsidRPr="00EB0BCC">
        <w:rPr>
          <w:color w:val="000000" w:themeColor="text1"/>
          <w:szCs w:val="24"/>
          <w:lang w:val="en-GB"/>
        </w:rPr>
        <w:t xml:space="preserve"> </w:t>
      </w:r>
      <w:r w:rsidR="0009432F" w:rsidRPr="00EB0BCC">
        <w:rPr>
          <w:color w:val="000000" w:themeColor="text1"/>
          <w:szCs w:val="24"/>
          <w:lang w:val="en-GB"/>
        </w:rPr>
        <w:t xml:space="preserve">actions </w:t>
      </w:r>
      <w:r w:rsidR="005C5724" w:rsidRPr="00EB0BCC">
        <w:rPr>
          <w:color w:val="000000" w:themeColor="text1"/>
          <w:szCs w:val="24"/>
          <w:lang w:val="en-GB"/>
        </w:rPr>
        <w:t>to address the human rights abuses</w:t>
      </w:r>
      <w:r w:rsidR="009C2417" w:rsidRPr="00EB0BCC">
        <w:rPr>
          <w:color w:val="000000" w:themeColor="text1"/>
          <w:szCs w:val="24"/>
          <w:lang w:val="en-GB"/>
        </w:rPr>
        <w:t xml:space="preserve"> described in the report</w:t>
      </w:r>
      <w:r w:rsidR="00415CD5" w:rsidRPr="00EB0BCC">
        <w:rPr>
          <w:color w:val="000000" w:themeColor="text1"/>
          <w:szCs w:val="24"/>
          <w:lang w:val="en-GB"/>
        </w:rPr>
        <w:t>,</w:t>
      </w:r>
      <w:r w:rsidR="006F3F0E" w:rsidRPr="00EB0BCC">
        <w:rPr>
          <w:color w:val="000000" w:themeColor="text1"/>
          <w:szCs w:val="24"/>
          <w:lang w:val="en-GB"/>
        </w:rPr>
        <w:t xml:space="preserve"> such as </w:t>
      </w:r>
      <w:r w:rsidR="000B4FDD" w:rsidRPr="00EB0BCC">
        <w:rPr>
          <w:color w:val="000000" w:themeColor="text1"/>
          <w:szCs w:val="24"/>
          <w:lang w:val="en-GB"/>
        </w:rPr>
        <w:t xml:space="preserve">to </w:t>
      </w:r>
      <w:r w:rsidR="006F3F0E" w:rsidRPr="00EB0BCC">
        <w:rPr>
          <w:color w:val="000000" w:themeColor="text1"/>
          <w:szCs w:val="24"/>
          <w:lang w:val="en-GB"/>
        </w:rPr>
        <w:t xml:space="preserve">dismiss the head of </w:t>
      </w:r>
      <w:r w:rsidR="00C054CE" w:rsidRPr="00EB0BCC">
        <w:rPr>
          <w:color w:val="000000" w:themeColor="text1"/>
          <w:szCs w:val="24"/>
          <w:lang w:val="en-GB"/>
        </w:rPr>
        <w:t>the National Security Agency (NSA)</w:t>
      </w:r>
      <w:r w:rsidR="006F3F0E" w:rsidRPr="00EB0BCC">
        <w:rPr>
          <w:color w:val="000000" w:themeColor="text1"/>
          <w:szCs w:val="24"/>
          <w:lang w:val="en-GB"/>
        </w:rPr>
        <w:t xml:space="preserve"> and </w:t>
      </w:r>
      <w:r w:rsidR="000B4FDD" w:rsidRPr="00EB0BCC">
        <w:rPr>
          <w:color w:val="000000" w:themeColor="text1"/>
          <w:szCs w:val="24"/>
          <w:lang w:val="en-GB"/>
        </w:rPr>
        <w:t xml:space="preserve">to </w:t>
      </w:r>
      <w:r w:rsidR="006F3F0E" w:rsidRPr="00EB0BCC">
        <w:rPr>
          <w:color w:val="000000" w:themeColor="text1"/>
          <w:szCs w:val="24"/>
          <w:lang w:val="en-GB"/>
        </w:rPr>
        <w:t>remov</w:t>
      </w:r>
      <w:r w:rsidR="000B4FDD" w:rsidRPr="00EB0BCC">
        <w:rPr>
          <w:color w:val="000000" w:themeColor="text1"/>
          <w:szCs w:val="24"/>
          <w:lang w:val="en-GB"/>
        </w:rPr>
        <w:t>e</w:t>
      </w:r>
      <w:r w:rsidR="0009432F" w:rsidRPr="00EB0BCC">
        <w:rPr>
          <w:color w:val="000000" w:themeColor="text1"/>
          <w:szCs w:val="24"/>
          <w:lang w:val="en-GB"/>
        </w:rPr>
        <w:t xml:space="preserve"> the</w:t>
      </w:r>
      <w:r w:rsidR="00C054CE" w:rsidRPr="00EB0BCC">
        <w:rPr>
          <w:color w:val="000000" w:themeColor="text1"/>
          <w:szCs w:val="24"/>
          <w:lang w:val="en-GB"/>
        </w:rPr>
        <w:t xml:space="preserve"> NSA’s</w:t>
      </w:r>
      <w:r w:rsidR="006F3F0E" w:rsidRPr="00EB0BCC">
        <w:rPr>
          <w:color w:val="000000" w:themeColor="text1"/>
          <w:szCs w:val="24"/>
          <w:lang w:val="en-GB"/>
        </w:rPr>
        <w:t xml:space="preserve"> powers </w:t>
      </w:r>
      <w:r w:rsidR="00C054CE" w:rsidRPr="00EB0BCC">
        <w:rPr>
          <w:color w:val="000000" w:themeColor="text1"/>
          <w:szCs w:val="24"/>
          <w:lang w:val="en-GB"/>
        </w:rPr>
        <w:t>to arrest</w:t>
      </w:r>
      <w:r w:rsidR="006F3F0E" w:rsidRPr="00EB0BCC">
        <w:rPr>
          <w:color w:val="000000" w:themeColor="text1"/>
          <w:szCs w:val="24"/>
          <w:lang w:val="en-GB"/>
        </w:rPr>
        <w:t>.</w:t>
      </w:r>
      <w:r w:rsidR="000E2F57" w:rsidRPr="00EB0BCC">
        <w:rPr>
          <w:color w:val="000000" w:themeColor="text1"/>
          <w:szCs w:val="24"/>
          <w:lang w:val="en-GB"/>
        </w:rPr>
        <w:t xml:space="preserve"> </w:t>
      </w:r>
      <w:r w:rsidR="00370B7F" w:rsidRPr="00EB0BCC">
        <w:rPr>
          <w:color w:val="000000" w:themeColor="text1"/>
          <w:szCs w:val="24"/>
          <w:lang w:val="en-GB"/>
        </w:rPr>
        <w:t xml:space="preserve">Also, in 2012, the definition of </w:t>
      </w:r>
      <w:r w:rsidR="000B4FDD" w:rsidRPr="00EB0BCC">
        <w:rPr>
          <w:color w:val="000000" w:themeColor="text1"/>
          <w:szCs w:val="24"/>
          <w:lang w:val="en-GB"/>
        </w:rPr>
        <w:t>“</w:t>
      </w:r>
      <w:r w:rsidR="00370B7F" w:rsidRPr="00EB0BCC">
        <w:rPr>
          <w:color w:val="000000" w:themeColor="text1"/>
          <w:szCs w:val="24"/>
          <w:lang w:val="en-GB"/>
        </w:rPr>
        <w:t>torture</w:t>
      </w:r>
      <w:r w:rsidR="000B4FDD" w:rsidRPr="00EB0BCC">
        <w:rPr>
          <w:color w:val="000000" w:themeColor="text1"/>
          <w:szCs w:val="24"/>
          <w:lang w:val="en-GB"/>
        </w:rPr>
        <w:t>”</w:t>
      </w:r>
      <w:r w:rsidR="00370B7F" w:rsidRPr="00EB0BCC">
        <w:rPr>
          <w:color w:val="000000" w:themeColor="text1"/>
          <w:szCs w:val="24"/>
          <w:lang w:val="en-GB"/>
        </w:rPr>
        <w:t xml:space="preserve"> in the Criminal Code was amended to better match the definition in the </w:t>
      </w:r>
      <w:r w:rsidR="000B4FDD" w:rsidRPr="00EB0BCC">
        <w:rPr>
          <w:color w:val="000000" w:themeColor="text1"/>
          <w:szCs w:val="24"/>
          <w:lang w:val="en-GB"/>
        </w:rPr>
        <w:t xml:space="preserve">United Nations </w:t>
      </w:r>
      <w:r w:rsidR="0009432F" w:rsidRPr="00EB0BCC">
        <w:rPr>
          <w:color w:val="000000" w:themeColor="text1"/>
          <w:szCs w:val="24"/>
          <w:lang w:val="en-GB"/>
        </w:rPr>
        <w:t xml:space="preserve">Convention </w:t>
      </w:r>
      <w:r w:rsidR="000B4FDD" w:rsidRPr="00EB0BCC">
        <w:rPr>
          <w:color w:val="000000" w:themeColor="text1"/>
          <w:szCs w:val="24"/>
          <w:lang w:val="en-GB"/>
        </w:rPr>
        <w:t>Against</w:t>
      </w:r>
      <w:r w:rsidR="0009432F" w:rsidRPr="00EB0BCC">
        <w:rPr>
          <w:color w:val="000000" w:themeColor="text1"/>
          <w:szCs w:val="24"/>
          <w:lang w:val="en-GB"/>
        </w:rPr>
        <w:t xml:space="preserve"> Torture and other Cruel, Inhuman or Degrading Treatment</w:t>
      </w:r>
      <w:r w:rsidR="00F46117" w:rsidRPr="00EB0BCC">
        <w:rPr>
          <w:color w:val="000000" w:themeColor="text1"/>
          <w:szCs w:val="24"/>
          <w:lang w:val="en-GB"/>
        </w:rPr>
        <w:t xml:space="preserve"> or Punishment</w:t>
      </w:r>
      <w:r w:rsidR="00370B7F" w:rsidRPr="00EB0BCC">
        <w:rPr>
          <w:color w:val="000000" w:themeColor="text1"/>
          <w:szCs w:val="24"/>
          <w:lang w:val="en-GB"/>
        </w:rPr>
        <w:t>.</w:t>
      </w:r>
      <w:r w:rsidR="000E2F57" w:rsidRPr="00EB0BCC">
        <w:rPr>
          <w:color w:val="000000" w:themeColor="text1"/>
          <w:szCs w:val="24"/>
          <w:lang w:val="en-GB"/>
        </w:rPr>
        <w:t xml:space="preserve"> </w:t>
      </w:r>
      <w:r w:rsidR="004D21CA" w:rsidRPr="00EB0BCC">
        <w:rPr>
          <w:color w:val="000000" w:themeColor="text1"/>
          <w:szCs w:val="24"/>
          <w:lang w:val="en-GB"/>
        </w:rPr>
        <w:t>The definition of victim was expanded</w:t>
      </w:r>
      <w:r w:rsidR="00415CD5" w:rsidRPr="00EB0BCC">
        <w:rPr>
          <w:color w:val="000000" w:themeColor="text1"/>
          <w:szCs w:val="24"/>
          <w:lang w:val="en-GB"/>
        </w:rPr>
        <w:t>, as well</w:t>
      </w:r>
      <w:r w:rsidR="004D21CA" w:rsidRPr="00EB0BCC">
        <w:rPr>
          <w:color w:val="000000" w:themeColor="text1"/>
          <w:szCs w:val="24"/>
          <w:lang w:val="en-GB"/>
        </w:rPr>
        <w:t>.</w:t>
      </w:r>
      <w:r w:rsidR="000E2F57" w:rsidRPr="00EB0BCC">
        <w:rPr>
          <w:color w:val="000000" w:themeColor="text1"/>
          <w:szCs w:val="24"/>
          <w:lang w:val="en-GB"/>
        </w:rPr>
        <w:t xml:space="preserve"> </w:t>
      </w:r>
      <w:r w:rsidR="0009432F" w:rsidRPr="00EB0BCC">
        <w:rPr>
          <w:color w:val="000000" w:themeColor="text1"/>
          <w:szCs w:val="24"/>
          <w:lang w:val="en-GB"/>
        </w:rPr>
        <w:t>In addition, t</w:t>
      </w:r>
      <w:r w:rsidR="004D21CA" w:rsidRPr="00EB0BCC">
        <w:rPr>
          <w:color w:val="000000" w:themeColor="text1"/>
          <w:szCs w:val="24"/>
          <w:lang w:val="en-GB"/>
        </w:rPr>
        <w:t xml:space="preserve">he </w:t>
      </w:r>
      <w:r w:rsidR="00A72F61" w:rsidRPr="00EB0BCC">
        <w:rPr>
          <w:color w:val="000000" w:themeColor="text1"/>
          <w:szCs w:val="24"/>
          <w:lang w:val="en-GB"/>
        </w:rPr>
        <w:t>ten</w:t>
      </w:r>
      <w:r w:rsidR="004D21CA" w:rsidRPr="00EB0BCC">
        <w:rPr>
          <w:color w:val="000000" w:themeColor="text1"/>
          <w:szCs w:val="24"/>
          <w:lang w:val="en-GB"/>
        </w:rPr>
        <w:t>-year statute of limitations for the crime of torture was abolished</w:t>
      </w:r>
      <w:r w:rsidR="0009432F" w:rsidRPr="00EB0BCC">
        <w:rPr>
          <w:color w:val="000000" w:themeColor="text1"/>
          <w:szCs w:val="24"/>
          <w:lang w:val="en-GB"/>
        </w:rPr>
        <w:t xml:space="preserve"> and</w:t>
      </w:r>
      <w:r w:rsidR="0074438C" w:rsidRPr="00EB0BCC">
        <w:rPr>
          <w:color w:val="000000" w:themeColor="text1"/>
          <w:szCs w:val="24"/>
          <w:lang w:val="en-GB"/>
        </w:rPr>
        <w:t xml:space="preserve"> </w:t>
      </w:r>
      <w:r w:rsidR="0009432F" w:rsidRPr="00EB0BCC">
        <w:rPr>
          <w:color w:val="000000" w:themeColor="text1"/>
          <w:szCs w:val="24"/>
          <w:lang w:val="en-GB"/>
        </w:rPr>
        <w:t>l</w:t>
      </w:r>
      <w:r w:rsidR="004D21CA" w:rsidRPr="00EB0BCC">
        <w:rPr>
          <w:color w:val="000000" w:themeColor="text1"/>
          <w:szCs w:val="24"/>
          <w:lang w:val="en-GB"/>
        </w:rPr>
        <w:t>ife sentences were authorized</w:t>
      </w:r>
      <w:r w:rsidR="0009432F" w:rsidRPr="00EB0BCC">
        <w:rPr>
          <w:color w:val="000000" w:themeColor="text1"/>
          <w:szCs w:val="24"/>
          <w:lang w:val="en-GB"/>
        </w:rPr>
        <w:t xml:space="preserve"> for perpetrators</w:t>
      </w:r>
      <w:r w:rsidR="004D21CA" w:rsidRPr="00EB0BCC">
        <w:rPr>
          <w:color w:val="000000" w:themeColor="text1"/>
          <w:szCs w:val="24"/>
          <w:lang w:val="en-GB"/>
        </w:rPr>
        <w:t xml:space="preserve"> if </w:t>
      </w:r>
      <w:r w:rsidR="000B4FDD" w:rsidRPr="00EB0BCC">
        <w:rPr>
          <w:color w:val="000000" w:themeColor="text1"/>
          <w:szCs w:val="24"/>
          <w:lang w:val="en-GB"/>
        </w:rPr>
        <w:t xml:space="preserve">a </w:t>
      </w:r>
      <w:r w:rsidR="004D21CA" w:rsidRPr="00EB0BCC">
        <w:rPr>
          <w:color w:val="000000" w:themeColor="text1"/>
          <w:szCs w:val="24"/>
          <w:lang w:val="en-GB"/>
        </w:rPr>
        <w:t>death resulted from torture.</w:t>
      </w:r>
      <w:r w:rsidR="000E2F57" w:rsidRPr="00EB0BCC">
        <w:rPr>
          <w:color w:val="000000" w:themeColor="text1"/>
          <w:szCs w:val="24"/>
          <w:lang w:val="en-GB"/>
        </w:rPr>
        <w:t xml:space="preserve"> </w:t>
      </w:r>
    </w:p>
    <w:p w:rsidR="009A7190" w:rsidRPr="00EB0BCC" w:rsidRDefault="00FF71D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Also in response to the BICI report, the Office of the Ombudsman at the Ministry of Interior and Islamic Affairs and the Special Investigation Unit (SIU) in the Office of the Public Prosecutor were established in 2012 to investigate crimes of government agencies, including torture and other criminal violations of human rights.</w:t>
      </w:r>
      <w:r w:rsidR="000E2F57" w:rsidRPr="00EB0BCC">
        <w:rPr>
          <w:color w:val="000000" w:themeColor="text1"/>
          <w:szCs w:val="24"/>
          <w:lang w:val="en-GB"/>
        </w:rPr>
        <w:t xml:space="preserve"> </w:t>
      </w:r>
      <w:r w:rsidR="00004946" w:rsidRPr="00EB0BCC">
        <w:rPr>
          <w:color w:val="000000" w:themeColor="text1"/>
          <w:szCs w:val="24"/>
          <w:lang w:val="en-GB"/>
        </w:rPr>
        <w:t>But little or no action was taken against the MOI’s CID</w:t>
      </w:r>
      <w:r w:rsidR="0009432F" w:rsidRPr="00EB0BCC">
        <w:rPr>
          <w:color w:val="000000" w:themeColor="text1"/>
          <w:szCs w:val="24"/>
          <w:lang w:val="en-GB"/>
        </w:rPr>
        <w:t xml:space="preserve"> or other security personnel</w:t>
      </w:r>
      <w:r w:rsidR="00CC38EC" w:rsidRPr="00EB0BCC">
        <w:rPr>
          <w:color w:val="000000" w:themeColor="text1"/>
          <w:szCs w:val="24"/>
          <w:lang w:val="en-GB"/>
        </w:rPr>
        <w:t>; and f</w:t>
      </w:r>
      <w:r w:rsidR="006F3F0E" w:rsidRPr="00EB0BCC">
        <w:rPr>
          <w:color w:val="000000" w:themeColor="text1"/>
          <w:szCs w:val="24"/>
          <w:lang w:val="en-GB"/>
        </w:rPr>
        <w:t>ew follow-up investigations have been undertaken.</w:t>
      </w:r>
      <w:r w:rsidR="000E2F57" w:rsidRPr="00EB0BCC">
        <w:rPr>
          <w:color w:val="000000" w:themeColor="text1"/>
          <w:szCs w:val="24"/>
          <w:lang w:val="en-GB"/>
        </w:rPr>
        <w:t xml:space="preserve"> </w:t>
      </w:r>
    </w:p>
    <w:p w:rsidR="005C5724" w:rsidRPr="00EB0BCC" w:rsidRDefault="009C2417"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Instead, many sources indicate that torture and abusive treatment continue</w:t>
      </w:r>
      <w:r w:rsidR="00C3600C" w:rsidRPr="00EB0BCC">
        <w:rPr>
          <w:color w:val="000000" w:themeColor="text1"/>
          <w:szCs w:val="24"/>
          <w:lang w:val="en-GB"/>
        </w:rPr>
        <w:t>, without repercussions for the agencies involved</w:t>
      </w:r>
      <w:r w:rsidRPr="00EB0BCC">
        <w:rPr>
          <w:color w:val="000000" w:themeColor="text1"/>
          <w:szCs w:val="24"/>
          <w:lang w:val="en-GB"/>
        </w:rPr>
        <w:t>.</w:t>
      </w:r>
      <w:r w:rsidR="00F507DE" w:rsidRPr="00EB0BCC">
        <w:rPr>
          <w:rStyle w:val="FootnoteReference"/>
          <w:color w:val="000000" w:themeColor="text1"/>
          <w:szCs w:val="24"/>
          <w:lang w:val="en-GB"/>
        </w:rPr>
        <w:footnoteReference w:id="12"/>
      </w:r>
      <w:r w:rsidR="000E2F57" w:rsidRPr="00EB0BCC">
        <w:rPr>
          <w:color w:val="000000" w:themeColor="text1"/>
          <w:szCs w:val="24"/>
          <w:lang w:val="en-GB"/>
        </w:rPr>
        <w:t xml:space="preserve"> </w:t>
      </w:r>
      <w:r w:rsidRPr="00EB0BCC">
        <w:rPr>
          <w:color w:val="000000" w:themeColor="text1"/>
          <w:szCs w:val="24"/>
          <w:lang w:val="en-GB"/>
        </w:rPr>
        <w:t xml:space="preserve">Furthermore, many of the agencies accused of human rights violations </w:t>
      </w:r>
      <w:r w:rsidR="006F3F0E" w:rsidRPr="00EB0BCC">
        <w:rPr>
          <w:color w:val="000000" w:themeColor="text1"/>
          <w:szCs w:val="24"/>
          <w:lang w:val="en-GB"/>
        </w:rPr>
        <w:t>have been</w:t>
      </w:r>
      <w:r w:rsidRPr="00EB0BCC">
        <w:rPr>
          <w:color w:val="000000" w:themeColor="text1"/>
          <w:szCs w:val="24"/>
          <w:lang w:val="en-GB"/>
        </w:rPr>
        <w:t xml:space="preserve"> responsible for the </w:t>
      </w:r>
      <w:r w:rsidR="006F3F0E" w:rsidRPr="00EB0BCC">
        <w:rPr>
          <w:color w:val="000000" w:themeColor="text1"/>
          <w:szCs w:val="24"/>
          <w:lang w:val="en-GB"/>
        </w:rPr>
        <w:t xml:space="preserve">more recent </w:t>
      </w:r>
      <w:r w:rsidRPr="00EB0BCC">
        <w:rPr>
          <w:color w:val="000000" w:themeColor="text1"/>
          <w:szCs w:val="24"/>
          <w:lang w:val="en-GB"/>
        </w:rPr>
        <w:t>suppression of the reporting of torture and mistreatment.</w:t>
      </w:r>
      <w:r w:rsidR="000E2F57" w:rsidRPr="00EB0BCC">
        <w:rPr>
          <w:color w:val="000000" w:themeColor="text1"/>
          <w:szCs w:val="24"/>
          <w:lang w:val="en-GB"/>
        </w:rPr>
        <w:t xml:space="preserve"> </w:t>
      </w:r>
    </w:p>
    <w:p w:rsidR="00C3600C" w:rsidRPr="00EB0BCC" w:rsidRDefault="00C3600C"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Over the last five years, n</w:t>
      </w:r>
      <w:r w:rsidR="00D128AA" w:rsidRPr="00EB0BCC">
        <w:rPr>
          <w:color w:val="000000" w:themeColor="text1"/>
          <w:szCs w:val="24"/>
          <w:lang w:val="en-GB"/>
        </w:rPr>
        <w:t>umerous human rights reports have provided ample assessment and evaluation of the situation in Bahrain with observations and conclusions</w:t>
      </w:r>
      <w:r w:rsidR="0094357B" w:rsidRPr="00EB0BCC">
        <w:rPr>
          <w:color w:val="000000" w:themeColor="text1"/>
          <w:szCs w:val="24"/>
          <w:lang w:val="en-GB"/>
        </w:rPr>
        <w:t xml:space="preserve"> consistent with the findings of this report</w:t>
      </w:r>
      <w:r w:rsidR="00D128AA" w:rsidRPr="00EB0BCC">
        <w:rPr>
          <w:color w:val="000000" w:themeColor="text1"/>
          <w:szCs w:val="24"/>
          <w:lang w:val="en-GB"/>
        </w:rPr>
        <w:t>.</w:t>
      </w:r>
      <w:r w:rsidR="000E2F57" w:rsidRPr="00EB0BCC">
        <w:rPr>
          <w:color w:val="000000" w:themeColor="text1"/>
          <w:szCs w:val="24"/>
          <w:lang w:val="en-GB"/>
        </w:rPr>
        <w:t xml:space="preserve"> </w:t>
      </w:r>
      <w:r w:rsidR="00AD5C17" w:rsidRPr="00EB0BCC">
        <w:rPr>
          <w:color w:val="000000" w:themeColor="text1"/>
          <w:szCs w:val="24"/>
          <w:lang w:val="en-GB"/>
        </w:rPr>
        <w:t xml:space="preserve">The Human Rights Watch </w:t>
      </w:r>
      <w:r w:rsidR="00AD5C17" w:rsidRPr="00EB0BCC">
        <w:rPr>
          <w:i/>
          <w:iCs/>
          <w:color w:val="000000" w:themeColor="text1"/>
          <w:szCs w:val="24"/>
          <w:lang w:val="en-GB"/>
        </w:rPr>
        <w:t>World Reports</w:t>
      </w:r>
      <w:r w:rsidR="00AD5C17" w:rsidRPr="00EB0BCC">
        <w:rPr>
          <w:color w:val="000000" w:themeColor="text1"/>
          <w:szCs w:val="24"/>
          <w:lang w:val="en-GB"/>
        </w:rPr>
        <w:t xml:space="preserve"> of 2012, 2013, 2015, and 2016 (sections on Bahrain) provided anecdotal evidence of continued use of torture, mistreatment of detainees, reprisals against dissidents and human rights defenders, and impunity of officials.</w:t>
      </w:r>
      <w:r w:rsidR="000E2F57" w:rsidRPr="00EB0BCC">
        <w:rPr>
          <w:color w:val="000000" w:themeColor="text1"/>
          <w:szCs w:val="24"/>
          <w:lang w:val="en-GB"/>
        </w:rPr>
        <w:t xml:space="preserve"> </w:t>
      </w:r>
      <w:r w:rsidR="00AD5C17" w:rsidRPr="00EB0BCC">
        <w:rPr>
          <w:color w:val="000000" w:themeColor="text1"/>
          <w:szCs w:val="24"/>
          <w:lang w:val="en-GB"/>
        </w:rPr>
        <w:t>A special Human Rights Watch report dated 28 May 2014</w:t>
      </w:r>
      <w:r w:rsidR="00AD5C17" w:rsidRPr="00EB0BCC">
        <w:rPr>
          <w:i/>
          <w:color w:val="000000" w:themeColor="text1"/>
          <w:szCs w:val="24"/>
          <w:lang w:val="en-GB"/>
        </w:rPr>
        <w:t>, Criminalizing Dissent, Entrenching Impunity: Persistent Failures of the Bahraini Justice System</w:t>
      </w:r>
      <w:r w:rsidR="004936E3" w:rsidRPr="00EB0BCC">
        <w:rPr>
          <w:i/>
          <w:color w:val="000000" w:themeColor="text1"/>
          <w:szCs w:val="24"/>
          <w:lang w:val="en-GB"/>
        </w:rPr>
        <w:t>,</w:t>
      </w:r>
      <w:r w:rsidR="00AD5C17" w:rsidRPr="00EB0BCC">
        <w:rPr>
          <w:color w:val="000000" w:themeColor="text1"/>
          <w:szCs w:val="24"/>
          <w:lang w:val="en-GB"/>
        </w:rPr>
        <w:t xml:space="preserve"> </w:t>
      </w:r>
      <w:r w:rsidR="006F3F0E" w:rsidRPr="00EB0BCC">
        <w:rPr>
          <w:color w:val="000000" w:themeColor="text1"/>
          <w:szCs w:val="24"/>
          <w:lang w:val="en-GB"/>
        </w:rPr>
        <w:t>chronicled the Bahraini government’s crackdown on dissent and the reporting of human rights abuses.</w:t>
      </w:r>
    </w:p>
    <w:p w:rsidR="0094357B" w:rsidRPr="00EB0BCC" w:rsidRDefault="0094357B"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In its annual report (2015/2016), Amnesty International found that the Bahraini government continued to suppress the exercise of freedom of association and expression </w:t>
      </w:r>
      <w:r w:rsidR="002608CF" w:rsidRPr="00EB0BCC">
        <w:rPr>
          <w:color w:val="000000" w:themeColor="text1"/>
          <w:szCs w:val="24"/>
          <w:lang w:val="en-GB"/>
        </w:rPr>
        <w:t>by repressive measures that included the imprisonment of opposition leaders</w:t>
      </w:r>
      <w:r w:rsidRPr="00EB0BCC">
        <w:rPr>
          <w:color w:val="000000" w:themeColor="text1"/>
          <w:szCs w:val="24"/>
          <w:lang w:val="en-GB"/>
        </w:rPr>
        <w:t>.</w:t>
      </w:r>
      <w:r w:rsidR="00497F3D" w:rsidRPr="00EB0BCC">
        <w:rPr>
          <w:rStyle w:val="FootnoteReference"/>
          <w:color w:val="000000" w:themeColor="text1"/>
          <w:szCs w:val="24"/>
          <w:lang w:val="en-GB"/>
        </w:rPr>
        <w:footnoteReference w:id="13"/>
      </w:r>
      <w:r w:rsidR="000E2F57" w:rsidRPr="00EB0BCC">
        <w:rPr>
          <w:color w:val="000000" w:themeColor="text1"/>
          <w:szCs w:val="24"/>
          <w:lang w:val="en-GB"/>
        </w:rPr>
        <w:t xml:space="preserve"> </w:t>
      </w:r>
      <w:r w:rsidR="002608CF" w:rsidRPr="00EB0BCC">
        <w:rPr>
          <w:color w:val="000000" w:themeColor="text1"/>
          <w:szCs w:val="24"/>
          <w:lang w:val="en-GB"/>
        </w:rPr>
        <w:t>The report noted that these measures of suppression were aimed at both po</w:t>
      </w:r>
      <w:r w:rsidR="005C5724" w:rsidRPr="00EB0BCC">
        <w:rPr>
          <w:color w:val="000000" w:themeColor="text1"/>
          <w:szCs w:val="24"/>
          <w:lang w:val="en-GB"/>
        </w:rPr>
        <w:t>litical and religious activists, similar to the findings of this report.</w:t>
      </w:r>
      <w:r w:rsidR="000E2F57" w:rsidRPr="00EB0BCC">
        <w:rPr>
          <w:color w:val="000000" w:themeColor="text1"/>
          <w:szCs w:val="24"/>
          <w:lang w:val="en-GB"/>
        </w:rPr>
        <w:t xml:space="preserve"> </w:t>
      </w:r>
      <w:r w:rsidR="00172F42" w:rsidRPr="00EB0BCC">
        <w:rPr>
          <w:color w:val="000000" w:themeColor="text1"/>
          <w:szCs w:val="24"/>
          <w:lang w:val="en-GB"/>
        </w:rPr>
        <w:t>The same Amnesty International report described a “climate of impunity” for senior officials accused of torture and other human rights violations.</w:t>
      </w:r>
    </w:p>
    <w:p w:rsidR="00415CD5" w:rsidRPr="00EB0BCC" w:rsidRDefault="00A04008"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In September 2015, the </w:t>
      </w:r>
      <w:r w:rsidR="00270089" w:rsidRPr="00EB0BCC">
        <w:rPr>
          <w:color w:val="000000" w:themeColor="text1"/>
          <w:szCs w:val="24"/>
          <w:lang w:val="en-GB"/>
        </w:rPr>
        <w:t>UN HRC</w:t>
      </w:r>
      <w:r w:rsidRPr="00EB0BCC">
        <w:rPr>
          <w:color w:val="000000" w:themeColor="text1"/>
          <w:szCs w:val="24"/>
          <w:lang w:val="en-GB"/>
        </w:rPr>
        <w:t xml:space="preserve"> issued a statement joined by 33 states, including the US and the United Kingdom, criticizing Bahrain for detaining dissidents and calling for the release of political prisoners and the revision of laws that restrict freedom of expression.</w:t>
      </w:r>
      <w:r w:rsidR="000E2F57" w:rsidRPr="00EB0BCC">
        <w:rPr>
          <w:color w:val="000000" w:themeColor="text1"/>
          <w:szCs w:val="24"/>
          <w:lang w:val="en-GB"/>
        </w:rPr>
        <w:t xml:space="preserve"> </w:t>
      </w:r>
    </w:p>
    <w:p w:rsidR="00465AEF" w:rsidRPr="00EB0BCC" w:rsidRDefault="00465AEF" w:rsidP="004A0494">
      <w:pPr>
        <w:pStyle w:val="BodyText"/>
        <w:numPr>
          <w:ilvl w:val="0"/>
          <w:numId w:val="18"/>
        </w:numPr>
        <w:jc w:val="both"/>
        <w:rPr>
          <w:color w:val="000000" w:themeColor="text1"/>
          <w:szCs w:val="24"/>
          <w:lang w:val="en-GB"/>
        </w:rPr>
      </w:pPr>
      <w:r w:rsidRPr="00EB0BCC">
        <w:rPr>
          <w:color w:val="000000" w:themeColor="text1"/>
          <w:szCs w:val="24"/>
          <w:lang w:val="en-GB"/>
        </w:rPr>
        <w:t xml:space="preserve">In a disturbing recent development, the NSA’s powers to arrest and detain individuals suspected of “terror crimes” was restored in January 2017. This effectively reverses action taken in response to a BICI recommendation. In practice, a broad interpretation of what constitutes “terror crimes” has provided a pretext for harassment of human rights defenders, journalists, and </w:t>
      </w:r>
      <w:r w:rsidR="00C26E82" w:rsidRPr="00EB0BCC">
        <w:rPr>
          <w:color w:val="000000" w:themeColor="text1"/>
          <w:szCs w:val="24"/>
          <w:lang w:val="en-GB"/>
        </w:rPr>
        <w:t>dissidents</w:t>
      </w:r>
      <w:r w:rsidRPr="00EB0BCC">
        <w:rPr>
          <w:color w:val="000000" w:themeColor="text1"/>
          <w:szCs w:val="24"/>
          <w:lang w:val="en-GB"/>
        </w:rPr>
        <w:t>.</w:t>
      </w:r>
    </w:p>
    <w:p w:rsidR="009A7190" w:rsidRPr="00EB0BCC" w:rsidRDefault="00415CD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Thus, the evidence </w:t>
      </w:r>
      <w:r w:rsidR="0009432F" w:rsidRPr="00EB0BCC">
        <w:rPr>
          <w:color w:val="000000" w:themeColor="text1"/>
          <w:szCs w:val="24"/>
          <w:lang w:val="en-GB"/>
        </w:rPr>
        <w:t xml:space="preserve">indicates that, even after </w:t>
      </w:r>
      <w:r w:rsidRPr="00EB0BCC">
        <w:rPr>
          <w:color w:val="000000" w:themeColor="text1"/>
          <w:szCs w:val="24"/>
          <w:lang w:val="en-GB"/>
        </w:rPr>
        <w:t xml:space="preserve">the BICI </w:t>
      </w:r>
      <w:r w:rsidR="0009432F" w:rsidRPr="00EB0BCC">
        <w:rPr>
          <w:color w:val="000000" w:themeColor="text1"/>
          <w:szCs w:val="24"/>
          <w:lang w:val="en-GB"/>
        </w:rPr>
        <w:t>r</w:t>
      </w:r>
      <w:r w:rsidRPr="00EB0BCC">
        <w:rPr>
          <w:color w:val="000000" w:themeColor="text1"/>
          <w:szCs w:val="24"/>
          <w:lang w:val="en-GB"/>
        </w:rPr>
        <w:t>eport</w:t>
      </w:r>
      <w:r w:rsidR="0009432F" w:rsidRPr="00EB0BCC">
        <w:rPr>
          <w:color w:val="000000" w:themeColor="text1"/>
          <w:szCs w:val="24"/>
          <w:lang w:val="en-GB"/>
        </w:rPr>
        <w:t xml:space="preserve"> was issued</w:t>
      </w:r>
      <w:r w:rsidRPr="00EB0BCC">
        <w:rPr>
          <w:color w:val="000000" w:themeColor="text1"/>
          <w:szCs w:val="24"/>
          <w:lang w:val="en-GB"/>
        </w:rPr>
        <w:t xml:space="preserve">, </w:t>
      </w:r>
      <w:r w:rsidR="0009432F" w:rsidRPr="00EB0BCC">
        <w:rPr>
          <w:color w:val="000000" w:themeColor="text1"/>
          <w:szCs w:val="24"/>
          <w:lang w:val="en-GB"/>
        </w:rPr>
        <w:t xml:space="preserve">the Bahraini government continues to engage in </w:t>
      </w:r>
      <w:r w:rsidRPr="00EB0BCC">
        <w:rPr>
          <w:color w:val="000000" w:themeColor="text1"/>
          <w:szCs w:val="24"/>
          <w:lang w:val="en-GB"/>
        </w:rPr>
        <w:t xml:space="preserve">persistent and systematic suppression of political dissent and peaceful protest, the infliction of reprisals against human rights defenders, </w:t>
      </w:r>
      <w:r w:rsidR="0009432F" w:rsidRPr="00EB0BCC">
        <w:rPr>
          <w:color w:val="000000" w:themeColor="text1"/>
          <w:szCs w:val="24"/>
          <w:lang w:val="en-GB"/>
        </w:rPr>
        <w:t xml:space="preserve">the prosecution of </w:t>
      </w:r>
      <w:r w:rsidRPr="00EB0BCC">
        <w:rPr>
          <w:color w:val="000000" w:themeColor="text1"/>
          <w:szCs w:val="24"/>
          <w:lang w:val="en-GB"/>
        </w:rPr>
        <w:t xml:space="preserve">criminal charges </w:t>
      </w:r>
      <w:r w:rsidR="0009432F" w:rsidRPr="00EB0BCC">
        <w:rPr>
          <w:color w:val="000000" w:themeColor="text1"/>
          <w:szCs w:val="24"/>
          <w:lang w:val="en-GB"/>
        </w:rPr>
        <w:t xml:space="preserve">based on political and other forms of expression, the </w:t>
      </w:r>
      <w:r w:rsidRPr="00EB0BCC">
        <w:rPr>
          <w:color w:val="000000" w:themeColor="text1"/>
          <w:szCs w:val="24"/>
          <w:lang w:val="en-GB"/>
        </w:rPr>
        <w:t>mistreatment of detainees, and the effective impunity of police and security personnel accused of human rights violations.</w:t>
      </w:r>
    </w:p>
    <w:p w:rsidR="00AC0D11" w:rsidRPr="00EB0BCC" w:rsidRDefault="009A7190" w:rsidP="00BA35C4">
      <w:pPr>
        <w:pStyle w:val="Heading3"/>
        <w:jc w:val="both"/>
        <w:rPr>
          <w:color w:val="000000" w:themeColor="text1"/>
          <w:lang w:val="en-GB"/>
        </w:rPr>
      </w:pPr>
      <w:r w:rsidRPr="00EB0BCC">
        <w:rPr>
          <w:color w:val="000000" w:themeColor="text1"/>
          <w:lang w:val="en-GB"/>
        </w:rPr>
        <w:br w:type="page"/>
      </w:r>
      <w:bookmarkStart w:id="5" w:name="_Toc475984107"/>
      <w:r w:rsidR="00CF3DB4" w:rsidRPr="00EB0BCC">
        <w:rPr>
          <w:color w:val="000000" w:themeColor="text1"/>
          <w:lang w:val="en-GB"/>
        </w:rPr>
        <w:lastRenderedPageBreak/>
        <w:t xml:space="preserve">V. </w:t>
      </w:r>
      <w:r w:rsidR="00AC0D11" w:rsidRPr="00EB0BCC">
        <w:rPr>
          <w:color w:val="000000" w:themeColor="text1"/>
          <w:lang w:val="en-GB"/>
        </w:rPr>
        <w:t xml:space="preserve">Bahrain’s </w:t>
      </w:r>
      <w:r w:rsidR="002E07D4" w:rsidRPr="00EB0BCC">
        <w:rPr>
          <w:color w:val="000000" w:themeColor="text1"/>
          <w:lang w:val="en-GB"/>
        </w:rPr>
        <w:t xml:space="preserve">Internal </w:t>
      </w:r>
      <w:r w:rsidR="00AC0D11" w:rsidRPr="00EB0BCC">
        <w:rPr>
          <w:color w:val="000000" w:themeColor="text1"/>
          <w:lang w:val="en-GB"/>
        </w:rPr>
        <w:t xml:space="preserve">Security and </w:t>
      </w:r>
      <w:r w:rsidR="00B806F2" w:rsidRPr="00EB0BCC">
        <w:rPr>
          <w:color w:val="000000" w:themeColor="text1"/>
          <w:lang w:val="en-GB"/>
        </w:rPr>
        <w:t xml:space="preserve">Detention </w:t>
      </w:r>
      <w:r w:rsidR="00AC0D11" w:rsidRPr="00EB0BCC">
        <w:rPr>
          <w:color w:val="000000" w:themeColor="text1"/>
          <w:lang w:val="en-GB"/>
        </w:rPr>
        <w:t>Apparatus</w:t>
      </w:r>
      <w:bookmarkEnd w:id="5"/>
    </w:p>
    <w:p w:rsidR="0057518B" w:rsidRPr="00EB0BCC" w:rsidRDefault="00AC0D11"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w:t>
      </w:r>
      <w:r w:rsidR="00BD1914" w:rsidRPr="00EB0BCC">
        <w:rPr>
          <w:color w:val="000000" w:themeColor="text1"/>
          <w:szCs w:val="24"/>
          <w:lang w:val="en-GB"/>
        </w:rPr>
        <w:t>Criminal Investigations Directorate (</w:t>
      </w:r>
      <w:r w:rsidRPr="00EB0BCC">
        <w:rPr>
          <w:color w:val="000000" w:themeColor="text1"/>
          <w:szCs w:val="24"/>
          <w:lang w:val="en-GB"/>
        </w:rPr>
        <w:t>CID</w:t>
      </w:r>
      <w:r w:rsidR="00BD1914" w:rsidRPr="00EB0BCC">
        <w:rPr>
          <w:color w:val="000000" w:themeColor="text1"/>
          <w:szCs w:val="24"/>
          <w:lang w:val="en-GB"/>
        </w:rPr>
        <w:t>)</w:t>
      </w:r>
      <w:r w:rsidRPr="00EB0BCC">
        <w:rPr>
          <w:color w:val="000000" w:themeColor="text1"/>
          <w:szCs w:val="24"/>
          <w:lang w:val="en-GB"/>
        </w:rPr>
        <w:t xml:space="preserve"> is an agen</w:t>
      </w:r>
      <w:r w:rsidR="00195923" w:rsidRPr="00EB0BCC">
        <w:rPr>
          <w:color w:val="000000" w:themeColor="text1"/>
          <w:szCs w:val="24"/>
          <w:lang w:val="en-GB"/>
        </w:rPr>
        <w:t xml:space="preserve">cy of the Ministry of Interior </w:t>
      </w:r>
      <w:r w:rsidR="00BD3489" w:rsidRPr="00EB0BCC">
        <w:rPr>
          <w:color w:val="000000" w:themeColor="text1"/>
          <w:szCs w:val="24"/>
          <w:lang w:val="en-GB"/>
        </w:rPr>
        <w:t xml:space="preserve">(MoI) </w:t>
      </w:r>
      <w:r w:rsidR="00195923" w:rsidRPr="00EB0BCC">
        <w:rPr>
          <w:color w:val="000000" w:themeColor="text1"/>
          <w:szCs w:val="24"/>
          <w:lang w:val="en-GB"/>
        </w:rPr>
        <w:t>and hold</w:t>
      </w:r>
      <w:r w:rsidR="00EF30C4" w:rsidRPr="00EB0BCC">
        <w:rPr>
          <w:color w:val="000000" w:themeColor="text1"/>
          <w:szCs w:val="24"/>
          <w:lang w:val="en-GB"/>
        </w:rPr>
        <w:t>s</w:t>
      </w:r>
      <w:r w:rsidR="00195923" w:rsidRPr="00EB0BCC">
        <w:rPr>
          <w:color w:val="000000" w:themeColor="text1"/>
          <w:szCs w:val="24"/>
          <w:lang w:val="en-GB"/>
        </w:rPr>
        <w:t xml:space="preserve"> primary responsibility for internal security.</w:t>
      </w:r>
      <w:r w:rsidR="000E2F57" w:rsidRPr="00EB0BCC">
        <w:rPr>
          <w:color w:val="000000" w:themeColor="text1"/>
          <w:szCs w:val="24"/>
          <w:lang w:val="en-GB"/>
        </w:rPr>
        <w:t xml:space="preserve"> </w:t>
      </w:r>
      <w:r w:rsidR="00DE558E" w:rsidRPr="00EB0BCC">
        <w:rPr>
          <w:color w:val="000000" w:themeColor="text1"/>
          <w:szCs w:val="24"/>
          <w:lang w:val="en-GB"/>
        </w:rPr>
        <w:t>The CID’s Department of Cyber Crime is notorious for surveillance of the</w:t>
      </w:r>
      <w:r w:rsidR="00E718C5" w:rsidRPr="00EB0BCC">
        <w:rPr>
          <w:color w:val="000000" w:themeColor="text1"/>
          <w:szCs w:val="24"/>
          <w:lang w:val="en-GB"/>
        </w:rPr>
        <w:t xml:space="preserve"> </w:t>
      </w:r>
      <w:r w:rsidR="004936E3" w:rsidRPr="00EB0BCC">
        <w:rPr>
          <w:color w:val="000000" w:themeColor="text1"/>
          <w:szCs w:val="24"/>
          <w:lang w:val="en-GB"/>
        </w:rPr>
        <w:t>I</w:t>
      </w:r>
      <w:r w:rsidR="00DE558E" w:rsidRPr="00EB0BCC">
        <w:rPr>
          <w:color w:val="000000" w:themeColor="text1"/>
          <w:szCs w:val="24"/>
          <w:lang w:val="en-GB"/>
        </w:rPr>
        <w:t xml:space="preserve">nternet, especially social media sites, and arresting individuals for nebulous “crimes” </w:t>
      </w:r>
      <w:r w:rsidR="00361655" w:rsidRPr="00EB0BCC">
        <w:rPr>
          <w:color w:val="000000" w:themeColor="text1"/>
          <w:szCs w:val="24"/>
          <w:lang w:val="en-GB"/>
        </w:rPr>
        <w:t>such as</w:t>
      </w:r>
      <w:r w:rsidR="00DE558E" w:rsidRPr="00EB0BCC">
        <w:rPr>
          <w:color w:val="000000" w:themeColor="text1"/>
          <w:szCs w:val="24"/>
          <w:lang w:val="en-GB"/>
        </w:rPr>
        <w:t xml:space="preserve"> </w:t>
      </w:r>
      <w:r w:rsidR="00981F8B" w:rsidRPr="00EB0BCC">
        <w:rPr>
          <w:color w:val="000000" w:themeColor="text1"/>
          <w:szCs w:val="24"/>
          <w:lang w:val="en-GB"/>
        </w:rPr>
        <w:t>spreading “false news,” “insulting a statutory body,” or “undermining the prestige” of Bahrain</w:t>
      </w:r>
      <w:r w:rsidR="00DE558E" w:rsidRPr="00EB0BCC">
        <w:rPr>
          <w:color w:val="000000" w:themeColor="text1"/>
          <w:szCs w:val="24"/>
          <w:lang w:val="en-GB"/>
        </w:rPr>
        <w:t>.</w:t>
      </w:r>
      <w:r w:rsidR="000E2F57" w:rsidRPr="00EB0BCC">
        <w:rPr>
          <w:color w:val="000000" w:themeColor="text1"/>
          <w:szCs w:val="24"/>
          <w:lang w:val="en-GB"/>
        </w:rPr>
        <w:t xml:space="preserve"> </w:t>
      </w:r>
      <w:r w:rsidR="00195923" w:rsidRPr="00EB0BCC">
        <w:rPr>
          <w:color w:val="000000" w:themeColor="text1"/>
          <w:szCs w:val="24"/>
          <w:lang w:val="en-GB"/>
        </w:rPr>
        <w:t>The Office of the Inspector-G</w:t>
      </w:r>
      <w:r w:rsidRPr="00EB0BCC">
        <w:rPr>
          <w:color w:val="000000" w:themeColor="text1"/>
          <w:szCs w:val="24"/>
          <w:lang w:val="en-GB"/>
        </w:rPr>
        <w:t>eneral of the M</w:t>
      </w:r>
      <w:r w:rsidR="009F7A59" w:rsidRPr="00EB0BCC">
        <w:rPr>
          <w:color w:val="000000" w:themeColor="text1"/>
          <w:szCs w:val="24"/>
          <w:lang w:val="en-GB"/>
        </w:rPr>
        <w:t>oI</w:t>
      </w:r>
      <w:r w:rsidRPr="00EB0BCC">
        <w:rPr>
          <w:color w:val="000000" w:themeColor="text1"/>
          <w:szCs w:val="24"/>
          <w:lang w:val="en-GB"/>
        </w:rPr>
        <w:t xml:space="preserve"> includes a Directorate of </w:t>
      </w:r>
      <w:r w:rsidR="00195923" w:rsidRPr="00EB0BCC">
        <w:rPr>
          <w:color w:val="000000" w:themeColor="text1"/>
          <w:szCs w:val="24"/>
          <w:lang w:val="en-GB"/>
        </w:rPr>
        <w:t>Complaints and Human Rights.</w:t>
      </w:r>
      <w:r w:rsidR="000E2F57" w:rsidRPr="00EB0BCC">
        <w:rPr>
          <w:color w:val="000000" w:themeColor="text1"/>
          <w:szCs w:val="24"/>
          <w:lang w:val="en-GB"/>
        </w:rPr>
        <w:t xml:space="preserve"> </w:t>
      </w:r>
      <w:r w:rsidRPr="00EB0BCC">
        <w:rPr>
          <w:color w:val="000000" w:themeColor="text1"/>
          <w:szCs w:val="24"/>
          <w:lang w:val="en-GB"/>
        </w:rPr>
        <w:t xml:space="preserve">There is also an Office of Public Security, which supervises </w:t>
      </w:r>
      <w:r w:rsidR="00361655" w:rsidRPr="00EB0BCC">
        <w:rPr>
          <w:color w:val="000000" w:themeColor="text1"/>
          <w:szCs w:val="24"/>
          <w:lang w:val="en-GB"/>
        </w:rPr>
        <w:t>the official</w:t>
      </w:r>
      <w:r w:rsidRPr="00EB0BCC">
        <w:rPr>
          <w:color w:val="000000" w:themeColor="text1"/>
          <w:szCs w:val="24"/>
          <w:lang w:val="en-GB"/>
        </w:rPr>
        <w:t xml:space="preserve"> police</w:t>
      </w:r>
      <w:r w:rsidR="00361655" w:rsidRPr="00EB0BCC">
        <w:rPr>
          <w:color w:val="000000" w:themeColor="text1"/>
          <w:szCs w:val="24"/>
          <w:lang w:val="en-GB"/>
        </w:rPr>
        <w:t xml:space="preserve"> force</w:t>
      </w:r>
      <w:r w:rsidRPr="00EB0BCC">
        <w:rPr>
          <w:color w:val="000000" w:themeColor="text1"/>
          <w:szCs w:val="24"/>
          <w:lang w:val="en-GB"/>
        </w:rPr>
        <w:t>.</w:t>
      </w:r>
      <w:r w:rsidR="000E2F57" w:rsidRPr="00EB0BCC">
        <w:rPr>
          <w:color w:val="000000" w:themeColor="text1"/>
          <w:szCs w:val="24"/>
          <w:lang w:val="en-GB"/>
        </w:rPr>
        <w:t xml:space="preserve"> </w:t>
      </w:r>
    </w:p>
    <w:p w:rsidR="00BD3489" w:rsidRPr="00EB0BCC" w:rsidRDefault="00BD348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In addition to the M</w:t>
      </w:r>
      <w:r w:rsidR="00C74A99" w:rsidRPr="00EB0BCC">
        <w:rPr>
          <w:color w:val="000000" w:themeColor="text1"/>
          <w:szCs w:val="24"/>
          <w:lang w:val="en-GB"/>
        </w:rPr>
        <w:t>oI</w:t>
      </w:r>
      <w:r w:rsidRPr="00EB0BCC">
        <w:rPr>
          <w:color w:val="000000" w:themeColor="text1"/>
          <w:szCs w:val="24"/>
          <w:lang w:val="en-GB"/>
        </w:rPr>
        <w:t>, another agency, the National Security Agency (NSA)</w:t>
      </w:r>
      <w:r w:rsidR="00C76D2F" w:rsidRPr="00EB0BCC">
        <w:rPr>
          <w:color w:val="000000" w:themeColor="text1"/>
          <w:szCs w:val="24"/>
          <w:lang w:val="en-GB"/>
        </w:rPr>
        <w:t xml:space="preserve"> was created in 2002 to replace the</w:t>
      </w:r>
      <w:r w:rsidRPr="00EB0BCC">
        <w:rPr>
          <w:color w:val="000000" w:themeColor="text1"/>
          <w:szCs w:val="24"/>
          <w:lang w:val="en-GB"/>
        </w:rPr>
        <w:t xml:space="preserve"> </w:t>
      </w:r>
      <w:r w:rsidR="00697127" w:rsidRPr="00EB0BCC">
        <w:rPr>
          <w:color w:val="000000" w:themeColor="text1"/>
          <w:szCs w:val="24"/>
          <w:lang w:val="en-GB"/>
        </w:rPr>
        <w:t>General Directorate for State Security Investigations.</w:t>
      </w:r>
      <w:r w:rsidR="000E2F57" w:rsidRPr="00EB0BCC">
        <w:rPr>
          <w:color w:val="000000" w:themeColor="text1"/>
          <w:szCs w:val="24"/>
          <w:lang w:val="en-GB"/>
        </w:rPr>
        <w:t xml:space="preserve"> </w:t>
      </w:r>
      <w:r w:rsidR="00E52857" w:rsidRPr="00EB0BCC">
        <w:rPr>
          <w:color w:val="000000" w:themeColor="text1"/>
          <w:szCs w:val="24"/>
          <w:lang w:val="en-GB"/>
        </w:rPr>
        <w:t xml:space="preserve">It works closely with </w:t>
      </w:r>
      <w:r w:rsidR="004936E3" w:rsidRPr="00EB0BCC">
        <w:rPr>
          <w:color w:val="000000" w:themeColor="text1"/>
          <w:szCs w:val="24"/>
          <w:lang w:val="en-GB"/>
        </w:rPr>
        <w:t xml:space="preserve">the </w:t>
      </w:r>
      <w:r w:rsidR="00E52857" w:rsidRPr="00EB0BCC">
        <w:rPr>
          <w:color w:val="000000" w:themeColor="text1"/>
          <w:szCs w:val="24"/>
          <w:lang w:val="en-GB"/>
        </w:rPr>
        <w:t xml:space="preserve">MoI though it is not formally a part of that </w:t>
      </w:r>
      <w:r w:rsidR="00466471" w:rsidRPr="00EB0BCC">
        <w:rPr>
          <w:color w:val="000000" w:themeColor="text1"/>
          <w:szCs w:val="24"/>
          <w:lang w:val="en-GB"/>
        </w:rPr>
        <w:t>organis</w:t>
      </w:r>
      <w:r w:rsidR="00E52857" w:rsidRPr="00EB0BCC">
        <w:rPr>
          <w:color w:val="000000" w:themeColor="text1"/>
          <w:szCs w:val="24"/>
          <w:lang w:val="en-GB"/>
        </w:rPr>
        <w:t>ation.</w:t>
      </w:r>
      <w:r w:rsidR="000E2F57" w:rsidRPr="00EB0BCC">
        <w:rPr>
          <w:color w:val="000000" w:themeColor="text1"/>
          <w:szCs w:val="24"/>
          <w:lang w:val="en-GB"/>
        </w:rPr>
        <w:t xml:space="preserve"> </w:t>
      </w:r>
      <w:r w:rsidRPr="00EB0BCC">
        <w:rPr>
          <w:color w:val="000000" w:themeColor="text1"/>
          <w:szCs w:val="24"/>
          <w:lang w:val="en-GB"/>
        </w:rPr>
        <w:t xml:space="preserve">In addition to the MoI and NSA, the Bahraini military, officially known as the Bahrain Defence Force (BDF), </w:t>
      </w:r>
      <w:r w:rsidR="00A92A11" w:rsidRPr="00EB0BCC">
        <w:rPr>
          <w:color w:val="000000" w:themeColor="text1"/>
          <w:szCs w:val="24"/>
          <w:lang w:val="en-GB"/>
        </w:rPr>
        <w:t xml:space="preserve">has </w:t>
      </w:r>
      <w:r w:rsidR="005504F2" w:rsidRPr="00EB0BCC">
        <w:rPr>
          <w:color w:val="000000" w:themeColor="text1"/>
          <w:szCs w:val="24"/>
          <w:lang w:val="en-GB"/>
        </w:rPr>
        <w:t xml:space="preserve">on occasion </w:t>
      </w:r>
      <w:r w:rsidR="00A92A11" w:rsidRPr="00EB0BCC">
        <w:rPr>
          <w:color w:val="000000" w:themeColor="text1"/>
          <w:szCs w:val="24"/>
          <w:lang w:val="en-GB"/>
        </w:rPr>
        <w:t>participated in raids, arrests, and detention of protesters</w:t>
      </w:r>
      <w:r w:rsidR="0067768C" w:rsidRPr="00EB0BCC">
        <w:rPr>
          <w:color w:val="000000" w:themeColor="text1"/>
          <w:szCs w:val="24"/>
          <w:lang w:val="en-GB"/>
        </w:rPr>
        <w:t xml:space="preserve"> and human rights defenders</w:t>
      </w:r>
      <w:r w:rsidR="00A92A11" w:rsidRPr="00EB0BCC">
        <w:rPr>
          <w:color w:val="000000" w:themeColor="text1"/>
          <w:szCs w:val="24"/>
          <w:lang w:val="en-GB"/>
        </w:rPr>
        <w:t>.</w:t>
      </w:r>
      <w:r w:rsidR="000E2F57" w:rsidRPr="00EB0BCC">
        <w:rPr>
          <w:color w:val="000000" w:themeColor="text1"/>
          <w:szCs w:val="24"/>
          <w:lang w:val="en-GB"/>
        </w:rPr>
        <w:t xml:space="preserve"> </w:t>
      </w:r>
    </w:p>
    <w:p w:rsidR="00BD3489" w:rsidRPr="00EB0BCC" w:rsidRDefault="00BD348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There are approximately 20 prisons in Bahrain.</w:t>
      </w:r>
      <w:r w:rsidR="000E2F57" w:rsidRPr="00EB0BCC">
        <w:rPr>
          <w:color w:val="000000" w:themeColor="text1"/>
          <w:szCs w:val="24"/>
          <w:lang w:val="en-GB"/>
        </w:rPr>
        <w:t xml:space="preserve"> </w:t>
      </w:r>
      <w:r w:rsidR="004F42BA" w:rsidRPr="00EB0BCC">
        <w:rPr>
          <w:color w:val="000000" w:themeColor="text1"/>
          <w:szCs w:val="24"/>
          <w:lang w:val="en-GB"/>
        </w:rPr>
        <w:t>All are run by the MoI with the exception of two: the Al</w:t>
      </w:r>
      <w:r w:rsidR="004936E3" w:rsidRPr="00EB0BCC">
        <w:rPr>
          <w:color w:val="000000" w:themeColor="text1"/>
          <w:szCs w:val="24"/>
          <w:lang w:val="en-GB"/>
        </w:rPr>
        <w:t>-</w:t>
      </w:r>
      <w:r w:rsidR="004F42BA" w:rsidRPr="00EB0BCC">
        <w:rPr>
          <w:color w:val="000000" w:themeColor="text1"/>
          <w:szCs w:val="24"/>
          <w:lang w:val="en-GB"/>
        </w:rPr>
        <w:t>Qurain prison (run by the BDF)</w:t>
      </w:r>
      <w:r w:rsidR="00CA5521" w:rsidRPr="00EB0BCC">
        <w:rPr>
          <w:color w:val="000000" w:themeColor="text1"/>
          <w:szCs w:val="24"/>
          <w:lang w:val="en-GB"/>
        </w:rPr>
        <w:t xml:space="preserve"> and the NSA </w:t>
      </w:r>
      <w:r w:rsidR="000F0FC4" w:rsidRPr="00EB0BCC">
        <w:rPr>
          <w:color w:val="000000" w:themeColor="text1"/>
          <w:szCs w:val="24"/>
          <w:lang w:val="en-GB"/>
        </w:rPr>
        <w:t>facility</w:t>
      </w:r>
      <w:r w:rsidR="00CA5521" w:rsidRPr="00EB0BCC">
        <w:rPr>
          <w:color w:val="000000" w:themeColor="text1"/>
          <w:szCs w:val="24"/>
          <w:lang w:val="en-GB"/>
        </w:rPr>
        <w:t xml:space="preserve"> </w:t>
      </w:r>
      <w:r w:rsidR="00144CA4" w:rsidRPr="00EB0BCC">
        <w:rPr>
          <w:color w:val="000000" w:themeColor="text1"/>
          <w:szCs w:val="24"/>
          <w:lang w:val="en-GB"/>
        </w:rPr>
        <w:t>in Al</w:t>
      </w:r>
      <w:r w:rsidR="004936E3" w:rsidRPr="00EB0BCC">
        <w:rPr>
          <w:color w:val="000000" w:themeColor="text1"/>
          <w:szCs w:val="24"/>
          <w:lang w:val="en-GB"/>
        </w:rPr>
        <w:t>-</w:t>
      </w:r>
      <w:r w:rsidR="00144CA4" w:rsidRPr="00EB0BCC">
        <w:rPr>
          <w:color w:val="000000" w:themeColor="text1"/>
          <w:szCs w:val="24"/>
          <w:lang w:val="en-GB"/>
        </w:rPr>
        <w:t xml:space="preserve">Qalaa </w:t>
      </w:r>
      <w:r w:rsidR="00CA5521" w:rsidRPr="00EB0BCC">
        <w:rPr>
          <w:color w:val="000000" w:themeColor="text1"/>
          <w:szCs w:val="24"/>
          <w:lang w:val="en-GB"/>
        </w:rPr>
        <w:t>(sometimes known as</w:t>
      </w:r>
      <w:r w:rsidR="00144CA4" w:rsidRPr="00EB0BCC">
        <w:rPr>
          <w:color w:val="000000" w:themeColor="text1"/>
          <w:szCs w:val="24"/>
          <w:lang w:val="en-GB"/>
        </w:rPr>
        <w:t xml:space="preserve"> “the castle” or </w:t>
      </w:r>
      <w:r w:rsidR="00CA5521" w:rsidRPr="00EB0BCC">
        <w:rPr>
          <w:color w:val="000000" w:themeColor="text1"/>
          <w:szCs w:val="24"/>
          <w:lang w:val="en-GB"/>
        </w:rPr>
        <w:t>“the police fort”, run by the NSA).</w:t>
      </w:r>
      <w:r w:rsidR="000E2F57" w:rsidRPr="00EB0BCC">
        <w:rPr>
          <w:color w:val="000000" w:themeColor="text1"/>
          <w:szCs w:val="24"/>
          <w:lang w:val="en-GB"/>
        </w:rPr>
        <w:t xml:space="preserve"> </w:t>
      </w:r>
      <w:r w:rsidR="004F42BA" w:rsidRPr="00EB0BCC">
        <w:rPr>
          <w:color w:val="000000" w:themeColor="text1"/>
          <w:szCs w:val="24"/>
          <w:lang w:val="en-GB"/>
        </w:rPr>
        <w:t xml:space="preserve">Among the main </w:t>
      </w:r>
      <w:r w:rsidR="00144CA4" w:rsidRPr="00EB0BCC">
        <w:rPr>
          <w:color w:val="000000" w:themeColor="text1"/>
          <w:szCs w:val="24"/>
          <w:lang w:val="en-GB"/>
        </w:rPr>
        <w:t>prison</w:t>
      </w:r>
      <w:r w:rsidR="004F42BA" w:rsidRPr="00EB0BCC">
        <w:rPr>
          <w:color w:val="000000" w:themeColor="text1"/>
          <w:szCs w:val="24"/>
          <w:lang w:val="en-GB"/>
        </w:rPr>
        <w:t xml:space="preserve"> facilities are the Dry Dock Detention </w:t>
      </w:r>
      <w:r w:rsidR="00466471" w:rsidRPr="00EB0BCC">
        <w:rPr>
          <w:color w:val="000000" w:themeColor="text1"/>
          <w:szCs w:val="24"/>
          <w:lang w:val="en-GB"/>
        </w:rPr>
        <w:t>Centre</w:t>
      </w:r>
      <w:r w:rsidR="00CA5521" w:rsidRPr="00EB0BCC">
        <w:rPr>
          <w:color w:val="000000" w:themeColor="text1"/>
          <w:szCs w:val="24"/>
          <w:lang w:val="en-GB"/>
        </w:rPr>
        <w:t>,</w:t>
      </w:r>
      <w:r w:rsidR="00715A0E" w:rsidRPr="00EB0BCC">
        <w:rPr>
          <w:color w:val="000000" w:themeColor="text1"/>
          <w:szCs w:val="24"/>
          <w:lang w:val="en-GB"/>
        </w:rPr>
        <w:t xml:space="preserve"> </w:t>
      </w:r>
      <w:r w:rsidR="004F42BA" w:rsidRPr="00EB0BCC">
        <w:rPr>
          <w:color w:val="000000" w:themeColor="text1"/>
          <w:szCs w:val="24"/>
          <w:lang w:val="en-GB"/>
        </w:rPr>
        <w:t>Jaw (sometimes spelled “Jau” or “Jow”) Prison</w:t>
      </w:r>
      <w:r w:rsidR="00CA5521" w:rsidRPr="00EB0BCC">
        <w:rPr>
          <w:color w:val="000000" w:themeColor="text1"/>
          <w:szCs w:val="24"/>
          <w:lang w:val="en-GB"/>
        </w:rPr>
        <w:t>, and the Al</w:t>
      </w:r>
      <w:r w:rsidR="004936E3" w:rsidRPr="00EB0BCC">
        <w:rPr>
          <w:color w:val="000000" w:themeColor="text1"/>
          <w:szCs w:val="24"/>
          <w:lang w:val="en-GB"/>
        </w:rPr>
        <w:t>-</w:t>
      </w:r>
      <w:r w:rsidR="00CA5521" w:rsidRPr="00EB0BCC">
        <w:rPr>
          <w:color w:val="000000" w:themeColor="text1"/>
          <w:szCs w:val="24"/>
          <w:lang w:val="en-GB"/>
        </w:rPr>
        <w:t xml:space="preserve">Adliya Prison (run by the </w:t>
      </w:r>
      <w:r w:rsidR="0067768C" w:rsidRPr="00EB0BCC">
        <w:rPr>
          <w:color w:val="000000" w:themeColor="text1"/>
          <w:szCs w:val="24"/>
          <w:lang w:val="en-GB"/>
        </w:rPr>
        <w:t xml:space="preserve">MOI’s </w:t>
      </w:r>
      <w:r w:rsidR="00CA5521" w:rsidRPr="00EB0BCC">
        <w:rPr>
          <w:color w:val="000000" w:themeColor="text1"/>
          <w:szCs w:val="24"/>
          <w:lang w:val="en-GB"/>
        </w:rPr>
        <w:t>CID).</w:t>
      </w:r>
      <w:r w:rsidR="000E2F57" w:rsidRPr="00EB0BCC">
        <w:rPr>
          <w:color w:val="000000" w:themeColor="text1"/>
          <w:szCs w:val="24"/>
          <w:lang w:val="en-GB"/>
        </w:rPr>
        <w:t xml:space="preserve"> </w:t>
      </w:r>
      <w:r w:rsidR="00144CA4" w:rsidRPr="00EB0BCC">
        <w:rPr>
          <w:color w:val="000000" w:themeColor="text1"/>
          <w:szCs w:val="24"/>
          <w:lang w:val="en-GB"/>
        </w:rPr>
        <w:t xml:space="preserve">There are numerous smaller detention facilities such as the </w:t>
      </w:r>
      <w:r w:rsidR="00DF5EF0" w:rsidRPr="00EB0BCC">
        <w:rPr>
          <w:color w:val="000000" w:themeColor="text1"/>
          <w:szCs w:val="24"/>
          <w:lang w:val="en-GB"/>
        </w:rPr>
        <w:t xml:space="preserve">West and East </w:t>
      </w:r>
      <w:r w:rsidR="00144CA4" w:rsidRPr="00EB0BCC">
        <w:rPr>
          <w:color w:val="000000" w:themeColor="text1"/>
          <w:szCs w:val="24"/>
          <w:lang w:val="en-GB"/>
        </w:rPr>
        <w:t>Riffa police station</w:t>
      </w:r>
      <w:r w:rsidR="00E718C5" w:rsidRPr="00EB0BCC">
        <w:rPr>
          <w:color w:val="000000" w:themeColor="text1"/>
          <w:szCs w:val="24"/>
          <w:lang w:val="en-GB"/>
        </w:rPr>
        <w:t>s</w:t>
      </w:r>
      <w:r w:rsidR="00B93764" w:rsidRPr="00EB0BCC">
        <w:rPr>
          <w:color w:val="000000" w:themeColor="text1"/>
          <w:szCs w:val="24"/>
          <w:lang w:val="en-GB"/>
        </w:rPr>
        <w:t xml:space="preserve"> and the</w:t>
      </w:r>
      <w:r w:rsidR="00144CA4" w:rsidRPr="00EB0BCC">
        <w:rPr>
          <w:color w:val="000000" w:themeColor="text1"/>
          <w:szCs w:val="24"/>
          <w:lang w:val="en-GB"/>
        </w:rPr>
        <w:t xml:space="preserve"> Asri Prison</w:t>
      </w:r>
      <w:r w:rsidR="00B93764" w:rsidRPr="00EB0BCC">
        <w:rPr>
          <w:color w:val="000000" w:themeColor="text1"/>
          <w:szCs w:val="24"/>
          <w:lang w:val="en-GB"/>
        </w:rPr>
        <w:t>.</w:t>
      </w:r>
      <w:r w:rsidR="000E2F57" w:rsidRPr="00EB0BCC">
        <w:rPr>
          <w:color w:val="000000" w:themeColor="text1"/>
          <w:szCs w:val="24"/>
          <w:lang w:val="en-GB"/>
        </w:rPr>
        <w:t xml:space="preserve"> </w:t>
      </w:r>
      <w:r w:rsidR="00B93764" w:rsidRPr="00EB0BCC">
        <w:rPr>
          <w:color w:val="000000" w:themeColor="text1"/>
          <w:szCs w:val="24"/>
          <w:lang w:val="en-GB"/>
        </w:rPr>
        <w:t xml:space="preserve">One prison, the Isa Town Detention </w:t>
      </w:r>
      <w:r w:rsidR="00466471" w:rsidRPr="00EB0BCC">
        <w:rPr>
          <w:color w:val="000000" w:themeColor="text1"/>
          <w:szCs w:val="24"/>
          <w:lang w:val="en-GB"/>
        </w:rPr>
        <w:t>Centre</w:t>
      </w:r>
      <w:r w:rsidR="00B93764" w:rsidRPr="00EB0BCC">
        <w:rPr>
          <w:color w:val="000000" w:themeColor="text1"/>
          <w:szCs w:val="24"/>
          <w:lang w:val="en-GB"/>
        </w:rPr>
        <w:t xml:space="preserve">, is </w:t>
      </w:r>
      <w:r w:rsidR="0074438C" w:rsidRPr="00EB0BCC">
        <w:rPr>
          <w:color w:val="000000" w:themeColor="text1"/>
          <w:szCs w:val="24"/>
          <w:lang w:val="en-GB"/>
        </w:rPr>
        <w:t>intended for</w:t>
      </w:r>
      <w:r w:rsidR="00B93764" w:rsidRPr="00EB0BCC">
        <w:rPr>
          <w:color w:val="000000" w:themeColor="text1"/>
          <w:szCs w:val="24"/>
          <w:lang w:val="en-GB"/>
        </w:rPr>
        <w:t xml:space="preserve"> female detainees</w:t>
      </w:r>
      <w:r w:rsidR="0074438C" w:rsidRPr="00EB0BCC">
        <w:rPr>
          <w:color w:val="000000" w:themeColor="text1"/>
          <w:szCs w:val="24"/>
          <w:lang w:val="en-GB"/>
        </w:rPr>
        <w:t xml:space="preserve"> only</w:t>
      </w:r>
      <w:r w:rsidR="00B93764" w:rsidRPr="00EB0BCC">
        <w:rPr>
          <w:color w:val="000000" w:themeColor="text1"/>
          <w:szCs w:val="24"/>
          <w:lang w:val="en-GB"/>
        </w:rPr>
        <w:t>.</w:t>
      </w:r>
      <w:r w:rsidR="000E2F57" w:rsidRPr="00EB0BCC">
        <w:rPr>
          <w:color w:val="000000" w:themeColor="text1"/>
          <w:szCs w:val="24"/>
          <w:lang w:val="en-GB"/>
        </w:rPr>
        <w:t xml:space="preserve"> </w:t>
      </w:r>
    </w:p>
    <w:p w:rsidR="00E70F69" w:rsidRPr="00EB0BCC" w:rsidRDefault="00E70F69" w:rsidP="00BA35C4">
      <w:pPr>
        <w:pStyle w:val="Heading3"/>
        <w:jc w:val="both"/>
        <w:rPr>
          <w:color w:val="000000" w:themeColor="text1"/>
          <w:lang w:val="en-GB"/>
        </w:rPr>
      </w:pPr>
      <w:bookmarkStart w:id="6" w:name="_Toc475984108"/>
      <w:r w:rsidRPr="00EB0BCC">
        <w:rPr>
          <w:color w:val="000000" w:themeColor="text1"/>
          <w:lang w:val="en-GB"/>
        </w:rPr>
        <w:t>V</w:t>
      </w:r>
      <w:r w:rsidR="00C00605" w:rsidRPr="00EB0BCC">
        <w:rPr>
          <w:color w:val="000000" w:themeColor="text1"/>
          <w:lang w:val="en-GB"/>
        </w:rPr>
        <w:t>I</w:t>
      </w:r>
      <w:r w:rsidRPr="00EB0BCC">
        <w:rPr>
          <w:color w:val="000000" w:themeColor="text1"/>
          <w:lang w:val="en-GB"/>
        </w:rPr>
        <w:t>. Legal Framework</w:t>
      </w:r>
      <w:bookmarkEnd w:id="6"/>
      <w:r w:rsidRPr="00EB0BCC">
        <w:rPr>
          <w:color w:val="000000" w:themeColor="text1"/>
          <w:lang w:val="en-GB"/>
        </w:rPr>
        <w:t xml:space="preserve"> </w:t>
      </w:r>
    </w:p>
    <w:p w:rsidR="009A7190" w:rsidRPr="00EB0BCC" w:rsidRDefault="00E70F69"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Since its independence in 1971, Bahrain has acceded to three international treaties that prohibit torture as well as cruel, inhuman or degrading treatment: the Convention against Torture and other Cruel, Inhuman and Degrading Treatment or Punishment (CAT) (1998);</w:t>
      </w:r>
      <w:r w:rsidRPr="00EB0BCC">
        <w:rPr>
          <w:rStyle w:val="FootnoteReference"/>
          <w:color w:val="000000" w:themeColor="text1"/>
          <w:szCs w:val="24"/>
          <w:lang w:val="en-GB"/>
        </w:rPr>
        <w:footnoteReference w:id="14"/>
      </w:r>
      <w:r w:rsidRPr="00EB0BCC">
        <w:rPr>
          <w:color w:val="000000" w:themeColor="text1"/>
          <w:szCs w:val="24"/>
          <w:lang w:val="en-GB"/>
        </w:rPr>
        <w:t xml:space="preserve"> the International Covenant on Civil and Political Rights (2006) (ICCPR);</w:t>
      </w:r>
      <w:r w:rsidRPr="00EB0BCC">
        <w:rPr>
          <w:rStyle w:val="FootnoteReference"/>
          <w:color w:val="000000" w:themeColor="text1"/>
          <w:szCs w:val="24"/>
          <w:lang w:val="en-GB"/>
        </w:rPr>
        <w:footnoteReference w:id="15"/>
      </w:r>
      <w:r w:rsidRPr="00EB0BCC">
        <w:rPr>
          <w:color w:val="000000" w:themeColor="text1"/>
          <w:szCs w:val="24"/>
          <w:lang w:val="en-GB"/>
        </w:rPr>
        <w:t xml:space="preserve"> and the revised Arab Charter on Human Rights (2006) (the Arab Charter).</w:t>
      </w:r>
      <w:r w:rsidRPr="00EB0BCC">
        <w:rPr>
          <w:rStyle w:val="FootnoteReference"/>
          <w:color w:val="000000" w:themeColor="text1"/>
          <w:szCs w:val="24"/>
          <w:lang w:val="en-GB"/>
        </w:rPr>
        <w:footnoteReference w:id="16"/>
      </w:r>
      <w:r w:rsidRPr="00EB0BCC">
        <w:rPr>
          <w:color w:val="000000" w:themeColor="text1"/>
          <w:szCs w:val="24"/>
          <w:lang w:val="en-GB"/>
        </w:rPr>
        <w:t xml:space="preserve"> In addition to these treaties, Bahrain has revised its constitution, penal code, and code of criminal procedure over the years to forbid the use of torture and abusive treatment of detainees. Other laws have provided for the investigation and punishment of individuals involved in torture or abusive treatment. But countervailing Bahraini actions curtail freedom of expression and assembly and allow for lengthy detention without trial, as discussed throughout this report. </w:t>
      </w:r>
    </w:p>
    <w:p w:rsidR="00E70F69" w:rsidRPr="00EB0BCC" w:rsidRDefault="009A7190" w:rsidP="009A7190">
      <w:pPr>
        <w:pStyle w:val="Heading3"/>
        <w:rPr>
          <w:color w:val="000000" w:themeColor="text1"/>
          <w:szCs w:val="24"/>
          <w:lang w:val="en-GB"/>
        </w:rPr>
      </w:pPr>
      <w:r w:rsidRPr="00EB0BCC">
        <w:rPr>
          <w:color w:val="000000" w:themeColor="text1"/>
          <w:szCs w:val="24"/>
          <w:lang w:val="en-GB"/>
        </w:rPr>
        <w:br w:type="page"/>
      </w:r>
      <w:bookmarkStart w:id="7" w:name="_Toc475984109"/>
      <w:r w:rsidR="00E70F69" w:rsidRPr="00EB0BCC">
        <w:rPr>
          <w:color w:val="000000" w:themeColor="text1"/>
          <w:lang w:val="en-GB"/>
        </w:rPr>
        <w:lastRenderedPageBreak/>
        <w:t>a) Convention against Torture and Other Cruel, Inhuman or Degrading Treatment or Punishment</w:t>
      </w:r>
      <w:bookmarkEnd w:id="7"/>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Bahrain became a signatory to the CAT on 18 February 1998 and ratified it on March 1998. The convention defines torture broadly as follows: </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r w:rsidRPr="00EB0BCC">
        <w:rPr>
          <w:rStyle w:val="FootnoteReference"/>
          <w:color w:val="000000" w:themeColor="text1"/>
          <w:szCs w:val="24"/>
          <w:lang w:val="en-GB"/>
        </w:rPr>
        <w:footnoteReference w:id="17"/>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CAT requires that parties “take effective legislative, administrative, judicial or other measures to prevent acts of torture in any territory under its jurisdiction.”</w:t>
      </w:r>
      <w:r w:rsidRPr="00EB0BCC">
        <w:rPr>
          <w:rStyle w:val="FootnoteReference"/>
          <w:color w:val="000000" w:themeColor="text1"/>
          <w:szCs w:val="24"/>
          <w:lang w:val="en-GB"/>
        </w:rPr>
        <w:footnoteReference w:id="18"/>
      </w:r>
      <w:r w:rsidRPr="00EB0BCC">
        <w:rPr>
          <w:color w:val="000000" w:themeColor="text1"/>
          <w:szCs w:val="24"/>
          <w:lang w:val="en-GB"/>
        </w:rPr>
        <w:t xml:space="preserve"> Each state party must also undertake systematic reviews of custodial and interrogation practices and procedures to prevent the use of torture.</w:t>
      </w:r>
      <w:r w:rsidRPr="00EB0BCC">
        <w:rPr>
          <w:rStyle w:val="FootnoteReference"/>
          <w:color w:val="000000" w:themeColor="text1"/>
          <w:szCs w:val="24"/>
          <w:lang w:val="en-GB"/>
        </w:rPr>
        <w:footnoteReference w:id="19"/>
      </w:r>
      <w:r w:rsidRPr="00EB0BCC">
        <w:rPr>
          <w:color w:val="000000" w:themeColor="text1"/>
          <w:szCs w:val="24"/>
          <w:lang w:val="en-GB"/>
        </w:rPr>
        <w:t xml:space="preserve"> Additionally, the convention mandates that governments conduct a prompt and impartial investigation “wherever there is reasonable ground to believe that an act of torture has been committed in any territory under its jurisdiction.”</w:t>
      </w:r>
      <w:r w:rsidRPr="00EB0BCC">
        <w:rPr>
          <w:rStyle w:val="FootnoteReference"/>
          <w:color w:val="000000" w:themeColor="text1"/>
          <w:szCs w:val="24"/>
          <w:lang w:val="en-GB"/>
        </w:rPr>
        <w:footnoteReference w:id="20"/>
      </w:r>
      <w:r w:rsidRPr="00EB0BCC">
        <w:rPr>
          <w:color w:val="000000" w:themeColor="text1"/>
          <w:szCs w:val="24"/>
          <w:lang w:val="en-GB"/>
        </w:rPr>
        <w:t xml:space="preserve"> Furthermore, there is a requirement that state authorities ensure that any victim of torture “obtains redress and has an enforceable right to fair and adequate compensation....”</w:t>
      </w:r>
      <w:r w:rsidRPr="00EB0BCC">
        <w:rPr>
          <w:rStyle w:val="FootnoteReference"/>
          <w:color w:val="000000" w:themeColor="text1"/>
          <w:szCs w:val="24"/>
          <w:lang w:val="en-GB"/>
        </w:rPr>
        <w:footnoteReference w:id="21"/>
      </w:r>
      <w:r w:rsidRPr="00EB0BCC">
        <w:rPr>
          <w:color w:val="000000" w:themeColor="text1"/>
          <w:szCs w:val="24"/>
          <w:lang w:val="en-GB"/>
        </w:rPr>
        <w:t xml:space="preserve"> One fundamental principle of the convention is that statements coerced by torture shall not be used as evidence in any proceeding “except against a person accused of torture as evidence that the statement was made” which is especially relevant to this report.”</w:t>
      </w:r>
      <w:r w:rsidRPr="00EB0BCC">
        <w:rPr>
          <w:rStyle w:val="FootnoteReference"/>
          <w:color w:val="000000" w:themeColor="text1"/>
          <w:szCs w:val="24"/>
          <w:lang w:val="en-GB"/>
        </w:rPr>
        <w:footnoteReference w:id="22"/>
      </w:r>
      <w:r w:rsidRPr="00EB0BCC">
        <w:rPr>
          <w:color w:val="000000" w:themeColor="text1"/>
          <w:szCs w:val="24"/>
          <w:lang w:val="en-GB"/>
        </w:rPr>
        <w:t xml:space="preserve"> For acts falling short of the strict definition of torture, the convention requires parties to take measures to prevent acts that amount to “cruel, inhuman or degrading treatment or punishment.”</w:t>
      </w:r>
      <w:r w:rsidRPr="00EB0BCC">
        <w:rPr>
          <w:rStyle w:val="FootnoteReference"/>
          <w:color w:val="000000" w:themeColor="text1"/>
          <w:szCs w:val="24"/>
          <w:lang w:val="en-GB"/>
        </w:rPr>
        <w:footnoteReference w:id="23"/>
      </w:r>
      <w:r w:rsidRPr="00EB0BCC">
        <w:rPr>
          <w:color w:val="000000" w:themeColor="text1"/>
          <w:szCs w:val="24"/>
          <w:lang w:val="en-GB"/>
        </w:rPr>
        <w:t xml:space="preserve"> </w:t>
      </w:r>
    </w:p>
    <w:p w:rsidR="00E70F69" w:rsidRPr="00EB0BCC" w:rsidRDefault="00E70F69" w:rsidP="00BA35C4">
      <w:pPr>
        <w:pStyle w:val="Heading3"/>
        <w:jc w:val="both"/>
        <w:rPr>
          <w:color w:val="000000" w:themeColor="text1"/>
          <w:lang w:val="en-GB"/>
        </w:rPr>
      </w:pPr>
      <w:bookmarkStart w:id="8" w:name="_Toc475984110"/>
      <w:r w:rsidRPr="00EB0BCC">
        <w:rPr>
          <w:color w:val="000000" w:themeColor="text1"/>
          <w:lang w:val="en-GB"/>
        </w:rPr>
        <w:t>b) International Covenant on Civil and Political Rights (ICCPR)</w:t>
      </w:r>
      <w:bookmarkEnd w:id="8"/>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Bahrain became party to the ICCPR on 20 September 2006.</w:t>
      </w:r>
      <w:r w:rsidRPr="00EB0BCC">
        <w:rPr>
          <w:rStyle w:val="FootnoteReference"/>
          <w:color w:val="000000" w:themeColor="text1"/>
          <w:szCs w:val="24"/>
          <w:lang w:val="en-GB"/>
        </w:rPr>
        <w:footnoteReference w:id="24"/>
      </w:r>
      <w:r w:rsidRPr="00EB0BCC">
        <w:rPr>
          <w:color w:val="000000" w:themeColor="text1"/>
          <w:szCs w:val="24"/>
          <w:lang w:val="en-GB"/>
        </w:rPr>
        <w:t xml:space="preserve"> The ICCPR states that “[n]o one shall be subjected to torture or to cruel, inhuman or degrading treatment or punishment.”</w:t>
      </w:r>
      <w:r w:rsidRPr="00EB0BCC">
        <w:rPr>
          <w:rStyle w:val="FootnoteReference"/>
          <w:color w:val="000000" w:themeColor="text1"/>
          <w:szCs w:val="24"/>
          <w:lang w:val="en-GB"/>
        </w:rPr>
        <w:footnoteReference w:id="25"/>
      </w:r>
      <w:r w:rsidRPr="00EB0BCC">
        <w:rPr>
          <w:color w:val="000000" w:themeColor="text1"/>
          <w:szCs w:val="24"/>
          <w:lang w:val="en-GB"/>
        </w:rPr>
        <w:t xml:space="preserve"> It requires that arrestees and detainees “shall be treated with humanity and with respect for the inherent dignity of the human person.”</w:t>
      </w:r>
      <w:r w:rsidRPr="00EB0BCC">
        <w:rPr>
          <w:rStyle w:val="FootnoteReference"/>
          <w:color w:val="000000" w:themeColor="text1"/>
          <w:szCs w:val="24"/>
          <w:lang w:val="en-GB"/>
        </w:rPr>
        <w:footnoteReference w:id="26"/>
      </w:r>
      <w:r w:rsidRPr="00EB0BCC">
        <w:rPr>
          <w:color w:val="000000" w:themeColor="text1"/>
          <w:szCs w:val="24"/>
          <w:lang w:val="en-GB"/>
        </w:rPr>
        <w:t xml:space="preserve"> State parties are required to undertake efforts “to respect and to ensure to all individuals ... the rights recognized in the present Covenant, without distinction of any kind....”</w:t>
      </w:r>
      <w:r w:rsidRPr="00EB0BCC">
        <w:rPr>
          <w:rStyle w:val="FootnoteReference"/>
          <w:color w:val="000000" w:themeColor="text1"/>
          <w:szCs w:val="24"/>
          <w:lang w:val="en-GB"/>
        </w:rPr>
        <w:footnoteReference w:id="27"/>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The ICCPR also prescribes specific rights with regard to criminal and investigative procedure. Article 9(1) states that:</w:t>
      </w:r>
    </w:p>
    <w:p w:rsidR="00E70F69" w:rsidRPr="00EB0BCC" w:rsidRDefault="00E70F69" w:rsidP="000C620D">
      <w:pPr>
        <w:pStyle w:val="BodyText"/>
        <w:tabs>
          <w:tab w:val="right" w:pos="8910"/>
        </w:tabs>
        <w:ind w:left="737" w:right="18"/>
        <w:jc w:val="both"/>
        <w:rPr>
          <w:color w:val="000000" w:themeColor="text1"/>
          <w:szCs w:val="24"/>
          <w:lang w:val="en-GB"/>
        </w:rPr>
      </w:pPr>
      <w:r w:rsidRPr="00EB0BCC">
        <w:rPr>
          <w:color w:val="000000" w:themeColor="text1"/>
          <w:szCs w:val="24"/>
          <w:lang w:val="en-GB"/>
        </w:rPr>
        <w:t xml:space="preserve">…No one shall be subjected to </w:t>
      </w:r>
      <w:r w:rsidRPr="00EB0BCC">
        <w:rPr>
          <w:b/>
          <w:color w:val="000000" w:themeColor="text1"/>
          <w:szCs w:val="24"/>
          <w:lang w:val="en-GB"/>
        </w:rPr>
        <w:t>arbitrary arrest or detention</w:t>
      </w:r>
      <w:r w:rsidRPr="00EB0BCC">
        <w:rPr>
          <w:color w:val="000000" w:themeColor="text1"/>
          <w:szCs w:val="24"/>
          <w:lang w:val="en-GB"/>
        </w:rPr>
        <w:t>. No one shall be deprived of his liberty except on such grounds and in accordance with such procedure as are established by law.</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Furthermore, Article 9(2) requires that “anyone who is arrested shall be informed, at the time of arrest, of the reasons for his arrest and shall be promptly informed of any charges against him.” The ICCPR entitles accused persons to a trial within a reasonable time or to release (Article 9(3)).</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Additionally, the ICCPR recognizes </w:t>
      </w:r>
      <w:r w:rsidRPr="00EB0BCC">
        <w:rPr>
          <w:b/>
          <w:color w:val="000000" w:themeColor="text1"/>
          <w:szCs w:val="24"/>
          <w:lang w:val="en-GB"/>
        </w:rPr>
        <w:t>rights of individuals to travel</w:t>
      </w:r>
      <w:r w:rsidRPr="00EB0BCC">
        <w:rPr>
          <w:color w:val="000000" w:themeColor="text1"/>
          <w:szCs w:val="24"/>
          <w:lang w:val="en-GB"/>
        </w:rPr>
        <w:t xml:space="preserve"> to, to travel within, and to leave countries without undue interference. Article 12 rights include the following:</w:t>
      </w:r>
    </w:p>
    <w:p w:rsidR="00E70F69" w:rsidRPr="00EB0BCC" w:rsidRDefault="00E70F69" w:rsidP="004A0494">
      <w:pPr>
        <w:pStyle w:val="BodyText"/>
        <w:numPr>
          <w:ilvl w:val="0"/>
          <w:numId w:val="19"/>
        </w:numPr>
        <w:tabs>
          <w:tab w:val="right" w:pos="8910"/>
        </w:tabs>
        <w:spacing w:after="0"/>
        <w:ind w:right="18"/>
        <w:jc w:val="both"/>
        <w:rPr>
          <w:color w:val="000000" w:themeColor="text1"/>
          <w:szCs w:val="24"/>
          <w:lang w:val="en-GB"/>
        </w:rPr>
      </w:pPr>
      <w:r w:rsidRPr="00EB0BCC">
        <w:rPr>
          <w:color w:val="000000" w:themeColor="text1"/>
          <w:szCs w:val="24"/>
          <w:lang w:val="en-GB"/>
        </w:rPr>
        <w:t xml:space="preserve">Everyone lawfully within the territory of a State shall, within that territory, have the right to liberty of movement and freedom to choose his residence. </w:t>
      </w:r>
    </w:p>
    <w:p w:rsidR="00E70F69" w:rsidRPr="00EB0BCC" w:rsidRDefault="00E70F69" w:rsidP="004A0494">
      <w:pPr>
        <w:pStyle w:val="BodyText"/>
        <w:numPr>
          <w:ilvl w:val="0"/>
          <w:numId w:val="19"/>
        </w:numPr>
        <w:tabs>
          <w:tab w:val="right" w:pos="8910"/>
        </w:tabs>
        <w:spacing w:after="0"/>
        <w:ind w:right="18"/>
        <w:jc w:val="both"/>
        <w:rPr>
          <w:color w:val="000000" w:themeColor="text1"/>
          <w:szCs w:val="24"/>
          <w:lang w:val="en-GB"/>
        </w:rPr>
      </w:pPr>
      <w:r w:rsidRPr="00EB0BCC">
        <w:rPr>
          <w:color w:val="000000" w:themeColor="text1"/>
          <w:szCs w:val="24"/>
          <w:lang w:val="en-GB"/>
        </w:rPr>
        <w:t xml:space="preserve">Everyone shall be free to leave any country, including his own. </w:t>
      </w:r>
    </w:p>
    <w:p w:rsidR="00E70F69" w:rsidRPr="00EB0BCC" w:rsidRDefault="00E70F69" w:rsidP="004A0494">
      <w:pPr>
        <w:pStyle w:val="BodyText"/>
        <w:numPr>
          <w:ilvl w:val="0"/>
          <w:numId w:val="19"/>
        </w:numPr>
        <w:tabs>
          <w:tab w:val="right" w:pos="8910"/>
        </w:tabs>
        <w:spacing w:after="0"/>
        <w:ind w:right="18"/>
        <w:jc w:val="both"/>
        <w:rPr>
          <w:color w:val="000000" w:themeColor="text1"/>
          <w:szCs w:val="24"/>
          <w:lang w:val="en-GB"/>
        </w:rPr>
      </w:pPr>
      <w:r w:rsidRPr="00EB0BCC">
        <w:rPr>
          <w:color w:val="000000" w:themeColor="text1"/>
          <w:szCs w:val="24"/>
          <w:lang w:val="en-GB"/>
        </w:rPr>
        <w:t xml:space="preserve">The above-mentioned rights shall not be subject to any restrictions except those which are provided by law, are necessary to protect national security, public order (ordre public), public health or morals or the rights and freedoms of others, and are consistent with the other rights recognized in the present Covenant. </w:t>
      </w:r>
    </w:p>
    <w:p w:rsidR="00E70F69" w:rsidRPr="00EB0BCC" w:rsidRDefault="00E70F69" w:rsidP="004A0494">
      <w:pPr>
        <w:pStyle w:val="BodyText"/>
        <w:numPr>
          <w:ilvl w:val="0"/>
          <w:numId w:val="19"/>
        </w:numPr>
        <w:tabs>
          <w:tab w:val="right" w:pos="8910"/>
        </w:tabs>
        <w:spacing w:after="0"/>
        <w:ind w:right="18"/>
        <w:jc w:val="both"/>
        <w:rPr>
          <w:color w:val="000000" w:themeColor="text1"/>
          <w:szCs w:val="24"/>
          <w:lang w:val="en-GB"/>
        </w:rPr>
      </w:pPr>
      <w:r w:rsidRPr="00EB0BCC">
        <w:rPr>
          <w:color w:val="000000" w:themeColor="text1"/>
          <w:szCs w:val="24"/>
          <w:lang w:val="en-GB"/>
        </w:rPr>
        <w:t>No one shall be arbitrarily deprived of the right to enter his own country.</w:t>
      </w:r>
    </w:p>
    <w:p w:rsidR="00E70F69" w:rsidRPr="00EB0BCC" w:rsidRDefault="00E70F69" w:rsidP="00BA35C4">
      <w:pPr>
        <w:pStyle w:val="BodyText"/>
        <w:tabs>
          <w:tab w:val="right" w:pos="8910"/>
        </w:tabs>
        <w:spacing w:after="0"/>
        <w:ind w:right="18"/>
        <w:jc w:val="both"/>
        <w:rPr>
          <w:color w:val="000000" w:themeColor="text1"/>
          <w:szCs w:val="24"/>
          <w:lang w:val="en-GB"/>
        </w:rPr>
      </w:pP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These rights can only be restricted where there is a bona fide need and rational basis in protecting national security, public health, or public order. </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The ICCPR also forbids the overreach of law enforcement into personal privacy, family, and homes. Article 17 states that:</w:t>
      </w:r>
    </w:p>
    <w:p w:rsidR="00E70F69" w:rsidRPr="00EB0BCC" w:rsidRDefault="00E70F69" w:rsidP="004A0494">
      <w:pPr>
        <w:pStyle w:val="BodyText"/>
        <w:numPr>
          <w:ilvl w:val="0"/>
          <w:numId w:val="20"/>
        </w:numPr>
        <w:tabs>
          <w:tab w:val="right" w:pos="8910"/>
        </w:tabs>
        <w:spacing w:after="0"/>
        <w:ind w:right="18"/>
        <w:jc w:val="both"/>
        <w:rPr>
          <w:color w:val="000000" w:themeColor="text1"/>
          <w:szCs w:val="24"/>
          <w:lang w:val="en-GB"/>
        </w:rPr>
      </w:pPr>
      <w:r w:rsidRPr="00EB0BCC">
        <w:rPr>
          <w:color w:val="000000" w:themeColor="text1"/>
          <w:szCs w:val="24"/>
          <w:lang w:val="en-GB"/>
        </w:rPr>
        <w:t xml:space="preserve">No one shall be subjected to </w:t>
      </w:r>
      <w:r w:rsidRPr="00EB0BCC">
        <w:rPr>
          <w:b/>
          <w:color w:val="000000" w:themeColor="text1"/>
          <w:szCs w:val="24"/>
          <w:lang w:val="en-GB"/>
        </w:rPr>
        <w:t>arbitrary or unlawful interference with his privacy, family, home or correspondence</w:t>
      </w:r>
      <w:r w:rsidRPr="00EB0BCC">
        <w:rPr>
          <w:color w:val="000000" w:themeColor="text1"/>
          <w:szCs w:val="24"/>
          <w:lang w:val="en-GB"/>
        </w:rPr>
        <w:t xml:space="preserve">, nor to unlawful attacks on his honour and reputation. </w:t>
      </w:r>
    </w:p>
    <w:p w:rsidR="00E70F69" w:rsidRPr="00EB0BCC" w:rsidRDefault="00E70F69" w:rsidP="004A0494">
      <w:pPr>
        <w:pStyle w:val="BodyText"/>
        <w:numPr>
          <w:ilvl w:val="0"/>
          <w:numId w:val="20"/>
        </w:numPr>
        <w:tabs>
          <w:tab w:val="right" w:pos="8910"/>
        </w:tabs>
        <w:spacing w:after="0"/>
        <w:ind w:right="18"/>
        <w:jc w:val="both"/>
        <w:rPr>
          <w:color w:val="000000" w:themeColor="text1"/>
          <w:szCs w:val="24"/>
          <w:lang w:val="en-GB"/>
        </w:rPr>
      </w:pPr>
      <w:r w:rsidRPr="00EB0BCC">
        <w:rPr>
          <w:color w:val="000000" w:themeColor="text1"/>
          <w:szCs w:val="24"/>
          <w:lang w:val="en-GB"/>
        </w:rPr>
        <w:t>Everyone has the right to the protection of the law against such interference or attacks.</w:t>
      </w:r>
    </w:p>
    <w:p w:rsidR="00E70F69" w:rsidRPr="00EB0BCC" w:rsidRDefault="00E70F69" w:rsidP="00BA35C4">
      <w:pPr>
        <w:pStyle w:val="BodyText"/>
        <w:tabs>
          <w:tab w:val="right" w:pos="8910"/>
        </w:tabs>
        <w:spacing w:after="0"/>
        <w:ind w:right="18"/>
        <w:jc w:val="both"/>
        <w:rPr>
          <w:color w:val="000000" w:themeColor="text1"/>
          <w:szCs w:val="24"/>
          <w:lang w:val="en-GB"/>
        </w:rPr>
      </w:pP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Freedom of expression and conscience are protected by Article 19:</w:t>
      </w:r>
    </w:p>
    <w:p w:rsidR="00E70F69" w:rsidRPr="00EB0BCC" w:rsidRDefault="00E70F69" w:rsidP="004A0494">
      <w:pPr>
        <w:pStyle w:val="BodyText"/>
        <w:numPr>
          <w:ilvl w:val="0"/>
          <w:numId w:val="21"/>
        </w:numPr>
        <w:tabs>
          <w:tab w:val="right" w:pos="8910"/>
        </w:tabs>
        <w:spacing w:after="0"/>
        <w:ind w:right="18"/>
        <w:jc w:val="both"/>
        <w:rPr>
          <w:color w:val="000000" w:themeColor="text1"/>
          <w:szCs w:val="24"/>
          <w:lang w:val="en-GB"/>
        </w:rPr>
      </w:pPr>
      <w:r w:rsidRPr="00EB0BCC">
        <w:rPr>
          <w:color w:val="000000" w:themeColor="text1"/>
          <w:szCs w:val="24"/>
          <w:lang w:val="en-GB"/>
        </w:rPr>
        <w:t xml:space="preserve">Everyone shall have the </w:t>
      </w:r>
      <w:r w:rsidRPr="00EB0BCC">
        <w:rPr>
          <w:b/>
          <w:color w:val="000000" w:themeColor="text1"/>
          <w:szCs w:val="24"/>
          <w:lang w:val="en-GB"/>
        </w:rPr>
        <w:t>right to hold opinions without interference</w:t>
      </w:r>
      <w:r w:rsidRPr="00EB0BCC">
        <w:rPr>
          <w:color w:val="000000" w:themeColor="text1"/>
          <w:szCs w:val="24"/>
          <w:lang w:val="en-GB"/>
        </w:rPr>
        <w:t xml:space="preserve">. </w:t>
      </w:r>
    </w:p>
    <w:p w:rsidR="00E70F69" w:rsidRPr="00EB0BCC" w:rsidRDefault="00E70F69" w:rsidP="004A0494">
      <w:pPr>
        <w:pStyle w:val="BodyText"/>
        <w:numPr>
          <w:ilvl w:val="0"/>
          <w:numId w:val="21"/>
        </w:numPr>
        <w:tabs>
          <w:tab w:val="right" w:pos="8910"/>
        </w:tabs>
        <w:spacing w:after="0"/>
        <w:ind w:right="18"/>
        <w:jc w:val="both"/>
        <w:rPr>
          <w:color w:val="000000" w:themeColor="text1"/>
          <w:szCs w:val="24"/>
          <w:lang w:val="en-GB"/>
        </w:rPr>
      </w:pPr>
      <w:r w:rsidRPr="00EB0BCC">
        <w:rPr>
          <w:color w:val="000000" w:themeColor="text1"/>
          <w:szCs w:val="24"/>
          <w:lang w:val="en-GB"/>
        </w:rPr>
        <w:t xml:space="preserve">Everyone shall have the right to </w:t>
      </w:r>
      <w:r w:rsidRPr="00EB0BCC">
        <w:rPr>
          <w:b/>
          <w:color w:val="000000" w:themeColor="text1"/>
          <w:szCs w:val="24"/>
          <w:lang w:val="en-GB"/>
        </w:rPr>
        <w:t>freedom of expression</w:t>
      </w:r>
      <w:r w:rsidRPr="00EB0BCC">
        <w:rPr>
          <w:color w:val="000000" w:themeColor="text1"/>
          <w:szCs w:val="24"/>
          <w:lang w:val="en-GB"/>
        </w:rPr>
        <w:t xml:space="preserve">; this right shall include freedom to seek, receive and impart information and ideas of all kinds, regardless of frontiers, either orally, in writing or in print, in the form of art, or through any other media of his choice. </w:t>
      </w:r>
    </w:p>
    <w:p w:rsidR="00E70F69" w:rsidRPr="00EB0BCC" w:rsidRDefault="00E70F69" w:rsidP="004A0494">
      <w:pPr>
        <w:pStyle w:val="BodyText"/>
        <w:numPr>
          <w:ilvl w:val="0"/>
          <w:numId w:val="21"/>
        </w:numPr>
        <w:tabs>
          <w:tab w:val="right" w:pos="8910"/>
        </w:tabs>
        <w:spacing w:after="0"/>
        <w:ind w:right="18"/>
        <w:jc w:val="both"/>
        <w:rPr>
          <w:color w:val="000000" w:themeColor="text1"/>
          <w:szCs w:val="24"/>
          <w:lang w:val="en-GB"/>
        </w:rPr>
      </w:pPr>
      <w:r w:rsidRPr="00EB0BCC">
        <w:rPr>
          <w:color w:val="000000" w:themeColor="text1"/>
          <w:szCs w:val="24"/>
          <w:lang w:val="en-GB"/>
        </w:rPr>
        <w:t xml:space="preserve">The exercise of the rights provided for in paragraph 2 of this article carries with it special duties and responsibilities. It may therefore be subject to certain restrictions, but these shall only be such as are provided by law and are necessary: </w:t>
      </w:r>
    </w:p>
    <w:p w:rsidR="00E70F69" w:rsidRPr="00EB0BCC" w:rsidRDefault="00E70F69" w:rsidP="004A0494">
      <w:pPr>
        <w:pStyle w:val="BodyText"/>
        <w:numPr>
          <w:ilvl w:val="1"/>
          <w:numId w:val="21"/>
        </w:numPr>
        <w:tabs>
          <w:tab w:val="right" w:pos="8910"/>
        </w:tabs>
        <w:spacing w:after="0"/>
        <w:ind w:right="18"/>
        <w:jc w:val="both"/>
        <w:rPr>
          <w:color w:val="000000" w:themeColor="text1"/>
          <w:szCs w:val="24"/>
          <w:lang w:val="en-GB"/>
        </w:rPr>
      </w:pPr>
      <w:r w:rsidRPr="00EB0BCC">
        <w:rPr>
          <w:color w:val="000000" w:themeColor="text1"/>
          <w:szCs w:val="24"/>
          <w:lang w:val="en-GB"/>
        </w:rPr>
        <w:t xml:space="preserve">For respect of the rights or reputations of others; </w:t>
      </w:r>
    </w:p>
    <w:p w:rsidR="00E70F69" w:rsidRPr="00EB0BCC" w:rsidRDefault="00E70F69" w:rsidP="004A0494">
      <w:pPr>
        <w:pStyle w:val="BodyText"/>
        <w:numPr>
          <w:ilvl w:val="1"/>
          <w:numId w:val="21"/>
        </w:numPr>
        <w:tabs>
          <w:tab w:val="right" w:pos="8910"/>
        </w:tabs>
        <w:spacing w:after="0"/>
        <w:ind w:right="18"/>
        <w:jc w:val="both"/>
        <w:rPr>
          <w:color w:val="000000" w:themeColor="text1"/>
          <w:szCs w:val="24"/>
          <w:lang w:val="en-GB"/>
        </w:rPr>
      </w:pPr>
      <w:r w:rsidRPr="00EB0BCC">
        <w:rPr>
          <w:color w:val="000000" w:themeColor="text1"/>
          <w:szCs w:val="24"/>
          <w:lang w:val="en-GB"/>
        </w:rPr>
        <w:lastRenderedPageBreak/>
        <w:t>For the protection of national security or of public order (</w:t>
      </w:r>
      <w:r w:rsidRPr="00EB0BCC">
        <w:rPr>
          <w:i/>
          <w:iCs/>
          <w:color w:val="000000" w:themeColor="text1"/>
          <w:szCs w:val="24"/>
          <w:lang w:val="en-GB"/>
        </w:rPr>
        <w:t>ordre public</w:t>
      </w:r>
      <w:r w:rsidRPr="00EB0BCC">
        <w:rPr>
          <w:color w:val="000000" w:themeColor="text1"/>
          <w:szCs w:val="24"/>
          <w:lang w:val="en-GB"/>
        </w:rPr>
        <w:t>), or of public health or morals.</w:t>
      </w:r>
    </w:p>
    <w:p w:rsidR="00E70F69" w:rsidRPr="00EB0BCC" w:rsidRDefault="00E70F69" w:rsidP="00BA35C4">
      <w:pPr>
        <w:pStyle w:val="BodyText"/>
        <w:tabs>
          <w:tab w:val="right" w:pos="8910"/>
        </w:tabs>
        <w:spacing w:after="0"/>
        <w:ind w:right="18"/>
        <w:jc w:val="both"/>
        <w:rPr>
          <w:color w:val="000000" w:themeColor="text1"/>
          <w:szCs w:val="24"/>
          <w:lang w:val="en-GB"/>
        </w:rPr>
      </w:pP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Finally, the ICCPR recognizes the </w:t>
      </w:r>
      <w:r w:rsidRPr="00EB0BCC">
        <w:rPr>
          <w:b/>
          <w:color w:val="000000" w:themeColor="text1"/>
          <w:szCs w:val="24"/>
          <w:lang w:val="en-GB"/>
        </w:rPr>
        <w:t>right of peaceful assembly</w:t>
      </w:r>
      <w:r w:rsidRPr="00EB0BCC">
        <w:rPr>
          <w:color w:val="000000" w:themeColor="text1"/>
          <w:szCs w:val="24"/>
          <w:lang w:val="en-GB"/>
        </w:rPr>
        <w:t xml:space="preserve"> without undue restrictions. Article 21 states that “No restrictions may be placed on the exercise of this right other than those imposed in conformity with the law and which are necessary in a democratic society in the interests of national security or public safety, public order (</w:t>
      </w:r>
      <w:r w:rsidRPr="00EB0BCC">
        <w:rPr>
          <w:i/>
          <w:iCs/>
          <w:color w:val="000000" w:themeColor="text1"/>
          <w:szCs w:val="24"/>
          <w:lang w:val="en-GB"/>
        </w:rPr>
        <w:t>ordre public</w:t>
      </w:r>
      <w:r w:rsidRPr="00EB0BCC">
        <w:rPr>
          <w:color w:val="000000" w:themeColor="text1"/>
          <w:szCs w:val="24"/>
          <w:lang w:val="en-GB"/>
        </w:rPr>
        <w:t>), the protection of public health or morals or the protection of the rights and freedoms of others.” Again, this right can only be restricted where there is a bona fide need and rational basis in protecting national security, public health, or public order.</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Related to the ICCPR are general prohibitions against </w:t>
      </w:r>
      <w:r w:rsidRPr="00EB0BCC">
        <w:rPr>
          <w:b/>
          <w:color w:val="000000" w:themeColor="text1"/>
          <w:szCs w:val="24"/>
          <w:lang w:val="en-GB"/>
        </w:rPr>
        <w:t>acts of intimidation and reprisal</w:t>
      </w:r>
      <w:r w:rsidRPr="00EB0BCC">
        <w:rPr>
          <w:color w:val="000000" w:themeColor="text1"/>
          <w:szCs w:val="24"/>
          <w:lang w:val="en-GB"/>
        </w:rPr>
        <w:t xml:space="preserve"> by the state in retaliation for human rights activities. The Optional Protocol to the Torture Convention uses the term “sanction” to describe similar activity. The prohibitions against reprisals include infringements of rights set forth in the ICCPR and other actions carried out for the purpose preventing, interfering with, or punishing individuals for the lawful reporting or investigating of alleged violations of human rights. These prohibitions have been widely recognized in many sources, including Human Rights Council resolutions 12/2 and 24/24. Among other things, it is prohibited to punish or retaliate against those who:</w:t>
      </w:r>
    </w:p>
    <w:p w:rsidR="00E70F69" w:rsidRPr="00EB0BCC" w:rsidRDefault="00E70F69" w:rsidP="004A0494">
      <w:pPr>
        <w:pStyle w:val="BodyText"/>
        <w:numPr>
          <w:ilvl w:val="1"/>
          <w:numId w:val="18"/>
        </w:numPr>
        <w:tabs>
          <w:tab w:val="right" w:pos="8910"/>
        </w:tabs>
        <w:spacing w:after="0"/>
        <w:ind w:right="18"/>
        <w:jc w:val="both"/>
        <w:rPr>
          <w:color w:val="000000" w:themeColor="text1"/>
          <w:szCs w:val="24"/>
          <w:lang w:val="en-GB"/>
        </w:rPr>
      </w:pPr>
      <w:r w:rsidRPr="00EB0BCC">
        <w:rPr>
          <w:color w:val="000000" w:themeColor="text1"/>
          <w:szCs w:val="24"/>
          <w:lang w:val="en-GB"/>
        </w:rPr>
        <w:t>Seek to cooperate or have cooperated with the United Nations, its representatives and mechanisms in the field of human rights, or who have provided testimony or information to them;</w:t>
      </w:r>
    </w:p>
    <w:p w:rsidR="00E70F69" w:rsidRPr="00EB0BCC" w:rsidRDefault="00E70F69" w:rsidP="004A0494">
      <w:pPr>
        <w:pStyle w:val="BodyText"/>
        <w:numPr>
          <w:ilvl w:val="1"/>
          <w:numId w:val="18"/>
        </w:numPr>
        <w:tabs>
          <w:tab w:val="right" w:pos="8910"/>
        </w:tabs>
        <w:spacing w:after="0"/>
        <w:ind w:right="18"/>
        <w:jc w:val="both"/>
        <w:rPr>
          <w:color w:val="000000" w:themeColor="text1"/>
          <w:szCs w:val="24"/>
          <w:lang w:val="en-GB"/>
        </w:rPr>
      </w:pPr>
      <w:r w:rsidRPr="00EB0BCC">
        <w:rPr>
          <w:color w:val="000000" w:themeColor="text1"/>
          <w:szCs w:val="24"/>
          <w:lang w:val="en-GB"/>
        </w:rPr>
        <w:t>Avail or have availed themselves of procedures established under the auspices of the United Nations for the protection of human rights and fundamental freedoms, and all those who have provided legal or other assistance to them for this purpose;</w:t>
      </w:r>
    </w:p>
    <w:p w:rsidR="00E70F69" w:rsidRPr="00EB0BCC" w:rsidRDefault="00E70F69" w:rsidP="004A0494">
      <w:pPr>
        <w:pStyle w:val="BodyText"/>
        <w:numPr>
          <w:ilvl w:val="1"/>
          <w:numId w:val="18"/>
        </w:numPr>
        <w:tabs>
          <w:tab w:val="right" w:pos="8910"/>
        </w:tabs>
        <w:spacing w:after="0"/>
        <w:ind w:right="18"/>
        <w:jc w:val="both"/>
        <w:rPr>
          <w:color w:val="000000" w:themeColor="text1"/>
          <w:szCs w:val="24"/>
          <w:lang w:val="en-GB"/>
        </w:rPr>
      </w:pPr>
      <w:r w:rsidRPr="00EB0BCC">
        <w:rPr>
          <w:color w:val="000000" w:themeColor="text1"/>
          <w:szCs w:val="24"/>
          <w:lang w:val="en-GB"/>
        </w:rPr>
        <w:t>Submit or have submitted communications under procedures established by human rights instruments, and all those who have provided legal or other assistance to them for this purpose;</w:t>
      </w:r>
    </w:p>
    <w:p w:rsidR="00E70F69" w:rsidRPr="00EB0BCC" w:rsidRDefault="00E70F69" w:rsidP="004A0494">
      <w:pPr>
        <w:pStyle w:val="BodyText"/>
        <w:numPr>
          <w:ilvl w:val="1"/>
          <w:numId w:val="18"/>
        </w:numPr>
        <w:tabs>
          <w:tab w:val="right" w:pos="8910"/>
        </w:tabs>
        <w:spacing w:after="0"/>
        <w:ind w:right="18"/>
        <w:jc w:val="both"/>
        <w:rPr>
          <w:color w:val="000000" w:themeColor="text1"/>
          <w:szCs w:val="24"/>
          <w:lang w:val="en-GB"/>
        </w:rPr>
      </w:pPr>
      <w:r w:rsidRPr="00EB0BCC">
        <w:rPr>
          <w:color w:val="000000" w:themeColor="text1"/>
          <w:szCs w:val="24"/>
          <w:lang w:val="en-GB"/>
        </w:rPr>
        <w:t>Are relatives of victims of human rights violations or of those who have provided legal or other assistance to victims.</w:t>
      </w:r>
      <w:r w:rsidRPr="00EB0BCC">
        <w:rPr>
          <w:rStyle w:val="FootnoteReference"/>
          <w:color w:val="000000" w:themeColor="text1"/>
          <w:szCs w:val="24"/>
          <w:lang w:val="en-GB"/>
        </w:rPr>
        <w:footnoteReference w:id="28"/>
      </w:r>
    </w:p>
    <w:p w:rsidR="00E70F69" w:rsidRPr="00EB0BCC" w:rsidRDefault="00E70F69" w:rsidP="00BA35C4">
      <w:pPr>
        <w:pStyle w:val="BodyText"/>
        <w:tabs>
          <w:tab w:val="right" w:pos="8910"/>
        </w:tabs>
        <w:spacing w:after="0"/>
        <w:ind w:right="18"/>
        <w:jc w:val="both"/>
        <w:rPr>
          <w:color w:val="000000" w:themeColor="text1"/>
          <w:szCs w:val="24"/>
          <w:lang w:val="en-GB"/>
        </w:rPr>
      </w:pP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On 30 July 2015, the “San José Guidelines</w:t>
      </w:r>
      <w:r w:rsidR="00C26E82" w:rsidRPr="00EB0BCC">
        <w:rPr>
          <w:color w:val="000000" w:themeColor="text1"/>
          <w:szCs w:val="24"/>
          <w:lang w:val="en-GB"/>
        </w:rPr>
        <w:t>”</w:t>
      </w:r>
      <w:r w:rsidRPr="00EB0BCC">
        <w:rPr>
          <w:color w:val="000000" w:themeColor="text1"/>
          <w:szCs w:val="24"/>
          <w:lang w:val="en-GB"/>
        </w:rPr>
        <w:t xml:space="preserve"> Against Intimidation or Reprisals, </w:t>
      </w:r>
      <w:r w:rsidR="00C26E82" w:rsidRPr="00EB0BCC">
        <w:rPr>
          <w:color w:val="000000" w:themeColor="text1"/>
          <w:szCs w:val="24"/>
          <w:lang w:val="en-GB"/>
        </w:rPr>
        <w:t xml:space="preserve">were </w:t>
      </w:r>
      <w:r w:rsidRPr="00EB0BCC">
        <w:rPr>
          <w:color w:val="000000" w:themeColor="text1"/>
          <w:szCs w:val="24"/>
          <w:lang w:val="en-GB"/>
        </w:rPr>
        <w:t>adopted at the annual meeting of chairpersons of human rights treaty bodies, which provided for the principles of unimpeded access to human rights treaty bodies and freedom from reprisals and intimidation. Similar to the aforementioned Human Rights Council resolutions, these guidelines are aimed at protecting witnesses and human rights defenders assisting or cooperating with international investigators from intergovernmental organi</w:t>
      </w:r>
      <w:r w:rsidR="00FA086F" w:rsidRPr="00EB0BCC">
        <w:rPr>
          <w:color w:val="000000" w:themeColor="text1"/>
          <w:szCs w:val="24"/>
          <w:lang w:val="en-GB"/>
        </w:rPr>
        <w:t>s</w:t>
      </w:r>
      <w:r w:rsidRPr="00EB0BCC">
        <w:rPr>
          <w:color w:val="000000" w:themeColor="text1"/>
          <w:szCs w:val="24"/>
          <w:lang w:val="en-GB"/>
        </w:rPr>
        <w:t xml:space="preserve">ations (IGOs). But the principles against reprisals could reflect an emerging </w:t>
      </w:r>
      <w:r w:rsidRPr="00EB0BCC">
        <w:rPr>
          <w:i/>
          <w:color w:val="000000" w:themeColor="text1"/>
          <w:szCs w:val="24"/>
          <w:lang w:val="en-GB"/>
        </w:rPr>
        <w:t>opinio juris communis</w:t>
      </w:r>
      <w:r w:rsidRPr="00EB0BCC">
        <w:rPr>
          <w:color w:val="000000" w:themeColor="text1"/>
          <w:szCs w:val="24"/>
          <w:lang w:val="en-GB"/>
        </w:rPr>
        <w:t xml:space="preserve"> that applies to human rights defenders writ large, not just those working for IGOs. Eight out of ten human rights treaty bodies had adopted the guidelines by June 2016. </w:t>
      </w:r>
    </w:p>
    <w:p w:rsidR="000C620D" w:rsidRPr="00EB0BCC" w:rsidRDefault="000C620D" w:rsidP="000C620D">
      <w:pPr>
        <w:pStyle w:val="BodyText"/>
        <w:tabs>
          <w:tab w:val="right" w:pos="8910"/>
        </w:tabs>
        <w:ind w:left="737" w:right="18"/>
        <w:jc w:val="both"/>
        <w:rPr>
          <w:color w:val="000000" w:themeColor="text1"/>
          <w:szCs w:val="24"/>
          <w:lang w:val="en-GB"/>
        </w:rPr>
      </w:pP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Individuals engaged in the reporting or investigating violations of human rights, including and especially those working for human rights groups, are victims of these types of intimidation and reprisal. Such actions obstruct the pursuit of justice and violate the letter and spirit of the ICCPR.</w:t>
      </w:r>
    </w:p>
    <w:p w:rsidR="00E70F69" w:rsidRPr="00EB0BCC" w:rsidRDefault="00E70F69" w:rsidP="00BA35C4">
      <w:pPr>
        <w:pStyle w:val="Heading3"/>
        <w:jc w:val="both"/>
        <w:rPr>
          <w:color w:val="000000" w:themeColor="text1"/>
          <w:lang w:val="en-GB"/>
        </w:rPr>
      </w:pPr>
      <w:bookmarkStart w:id="9" w:name="_Toc475984111"/>
      <w:r w:rsidRPr="00EB0BCC">
        <w:rPr>
          <w:color w:val="000000" w:themeColor="text1"/>
          <w:lang w:val="en-GB"/>
        </w:rPr>
        <w:t>c) Arab Charter on Human Rights</w:t>
      </w:r>
      <w:bookmarkEnd w:id="9"/>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The League of Arab States adopted the Arab Charter on Human Rights in May 2004, incorporating principles from the United Nations Charter, the Universal Declaration of Human Rights, and the Cairo Declaration of Human Rights in Islam. The Arab Charter was ratified by Bahrain in 2006</w:t>
      </w:r>
      <w:r w:rsidRPr="00EB0BCC">
        <w:rPr>
          <w:rStyle w:val="FootnoteReference"/>
          <w:color w:val="000000" w:themeColor="text1"/>
          <w:szCs w:val="24"/>
          <w:lang w:val="en-GB"/>
        </w:rPr>
        <w:footnoteReference w:id="29"/>
      </w:r>
      <w:r w:rsidRPr="00EB0BCC">
        <w:rPr>
          <w:color w:val="000000" w:themeColor="text1"/>
          <w:szCs w:val="24"/>
          <w:lang w:val="en-GB"/>
        </w:rPr>
        <w:t>, and the treaty entered into force on 15 March 2008. The Arab Charter is similar to the ICCPR with respect to its coverage of torture and mistreatment of detainees. It states that “[n]o one shall be subjected to physical or psychological torture or to cruel, degrading, humiliating or inhuman treatment.”</w:t>
      </w:r>
      <w:r w:rsidRPr="00EB0BCC">
        <w:rPr>
          <w:rStyle w:val="FootnoteReference"/>
          <w:color w:val="000000" w:themeColor="text1"/>
          <w:szCs w:val="24"/>
          <w:lang w:val="en-GB"/>
        </w:rPr>
        <w:footnoteReference w:id="30"/>
      </w:r>
      <w:r w:rsidRPr="00EB0BCC">
        <w:rPr>
          <w:color w:val="000000" w:themeColor="text1"/>
          <w:szCs w:val="24"/>
          <w:lang w:val="en-GB"/>
        </w:rPr>
        <w:t xml:space="preserve"> State parties are required to criminalize such acts, and to guarantee legal redress, rehabilitation, and compensation for torture victims.</w:t>
      </w:r>
      <w:r w:rsidRPr="00EB0BCC">
        <w:rPr>
          <w:rStyle w:val="FootnoteReference"/>
          <w:color w:val="000000" w:themeColor="text1"/>
          <w:szCs w:val="24"/>
          <w:lang w:val="en-GB"/>
        </w:rPr>
        <w:footnoteReference w:id="31"/>
      </w:r>
      <w:r w:rsidRPr="00EB0BCC">
        <w:rPr>
          <w:color w:val="000000" w:themeColor="text1"/>
          <w:szCs w:val="24"/>
          <w:lang w:val="en-GB"/>
        </w:rPr>
        <w:t xml:space="preserve"> Additionally, the charter mandates that “[a]ll persons deprived of their liberty shall be treated with humanity and with respect for the inherent dignity of the human person.”</w:t>
      </w:r>
      <w:r w:rsidRPr="00EB0BCC">
        <w:rPr>
          <w:rStyle w:val="FootnoteReference"/>
          <w:color w:val="000000" w:themeColor="text1"/>
          <w:szCs w:val="24"/>
          <w:lang w:val="en-GB"/>
        </w:rPr>
        <w:footnoteReference w:id="32"/>
      </w:r>
    </w:p>
    <w:p w:rsidR="00E70F69" w:rsidRPr="00EB0BCC" w:rsidRDefault="00E70F69" w:rsidP="00BA35C4">
      <w:pPr>
        <w:pStyle w:val="Heading3"/>
        <w:jc w:val="both"/>
        <w:rPr>
          <w:color w:val="000000" w:themeColor="text1"/>
          <w:lang w:val="en-GB"/>
        </w:rPr>
      </w:pPr>
      <w:bookmarkStart w:id="10" w:name="_Toc475984112"/>
      <w:r w:rsidRPr="00EB0BCC">
        <w:rPr>
          <w:color w:val="000000" w:themeColor="text1"/>
          <w:lang w:val="en-GB"/>
        </w:rPr>
        <w:t>d) Bahraini Law</w:t>
      </w:r>
      <w:bookmarkEnd w:id="10"/>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In </w:t>
      </w:r>
      <w:r w:rsidR="00E266D8" w:rsidRPr="00EB0BCC">
        <w:rPr>
          <w:color w:val="000000" w:themeColor="text1"/>
          <w:szCs w:val="24"/>
          <w:lang w:val="en-GB"/>
        </w:rPr>
        <w:t>fulfilment</w:t>
      </w:r>
      <w:r w:rsidRPr="00EB0BCC">
        <w:rPr>
          <w:color w:val="000000" w:themeColor="text1"/>
          <w:szCs w:val="24"/>
          <w:lang w:val="en-GB"/>
        </w:rPr>
        <w:t xml:space="preserve"> of treaty mandates, Bahrain has adopted laws that make torture illegal.</w:t>
      </w:r>
      <w:r w:rsidRPr="00EB0BCC">
        <w:rPr>
          <w:rStyle w:val="FootnoteReference"/>
          <w:color w:val="000000" w:themeColor="text1"/>
          <w:szCs w:val="24"/>
          <w:lang w:val="en-GB"/>
        </w:rPr>
        <w:footnoteReference w:id="33"/>
      </w:r>
      <w:r w:rsidRPr="00EB0BCC">
        <w:rPr>
          <w:color w:val="000000" w:themeColor="text1"/>
          <w:szCs w:val="24"/>
          <w:lang w:val="en-GB"/>
        </w:rPr>
        <w:t xml:space="preserve"> The constitution of Bahrain states that “[n]o person shall be subjected to physical or mental torture, or inducement, or undignified treatment....”</w:t>
      </w:r>
      <w:r w:rsidRPr="00EB0BCC">
        <w:rPr>
          <w:rStyle w:val="FootnoteReference"/>
          <w:color w:val="000000" w:themeColor="text1"/>
          <w:szCs w:val="24"/>
          <w:lang w:val="en-GB"/>
        </w:rPr>
        <w:footnoteReference w:id="34"/>
      </w:r>
      <w:r w:rsidRPr="00EB0BCC">
        <w:rPr>
          <w:color w:val="000000" w:themeColor="text1"/>
          <w:szCs w:val="24"/>
          <w:lang w:val="en-GB"/>
        </w:rPr>
        <w:t xml:space="preserve"> Nor may a defendant or a person accused of a crime “be harmed physically or mentally.</w:t>
      </w:r>
      <w:r w:rsidRPr="00EB0BCC">
        <w:rPr>
          <w:rStyle w:val="FootnoteReference"/>
          <w:color w:val="000000" w:themeColor="text1"/>
          <w:szCs w:val="24"/>
          <w:lang w:val="en-GB"/>
        </w:rPr>
        <w:footnoteReference w:id="35"/>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Additionally, Bahrain’s Penal Code outlaws the use of “torture, force or threats, either personally or through a third party, against an accused person, witness or expert” in order to induce a person to confess to an offense or to offer statements or related information.</w:t>
      </w:r>
      <w:r w:rsidRPr="00EB0BCC">
        <w:rPr>
          <w:rStyle w:val="FootnoteReference"/>
          <w:color w:val="000000" w:themeColor="text1"/>
          <w:szCs w:val="24"/>
          <w:lang w:val="en-GB"/>
        </w:rPr>
        <w:footnoteReference w:id="36"/>
      </w:r>
      <w:r w:rsidRPr="00EB0BCC">
        <w:rPr>
          <w:color w:val="000000" w:themeColor="text1"/>
          <w:szCs w:val="24"/>
          <w:lang w:val="en-GB"/>
        </w:rPr>
        <w:t xml:space="preserve"> The Penal Code also calls for the imprisonment of civil servants (or any other persons) who engage in torture.</w:t>
      </w:r>
      <w:r w:rsidRPr="00EB0BCC">
        <w:rPr>
          <w:rStyle w:val="FootnoteReference"/>
          <w:color w:val="000000" w:themeColor="text1"/>
          <w:szCs w:val="24"/>
          <w:lang w:val="en-GB"/>
        </w:rPr>
        <w:footnoteReference w:id="37"/>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Bahraini law requires that anyone arrested or detained must be treated “in such a manner as to maintain his human dignity and shall not be subjected to any bodily or psychological harm.”</w:t>
      </w:r>
      <w:r w:rsidRPr="00EB0BCC">
        <w:rPr>
          <w:rStyle w:val="FootnoteReference"/>
          <w:color w:val="000000" w:themeColor="text1"/>
          <w:szCs w:val="24"/>
          <w:lang w:val="en-GB"/>
        </w:rPr>
        <w:footnoteReference w:id="38"/>
      </w:r>
      <w:r w:rsidRPr="00EB0BCC">
        <w:rPr>
          <w:color w:val="000000" w:themeColor="text1"/>
          <w:szCs w:val="24"/>
          <w:lang w:val="en-GB"/>
        </w:rPr>
        <w:t xml:space="preserve"> The law also mandates that detainees be afforded the presence of counsel during interrogations by the Public Prosecution Office.</w:t>
      </w:r>
      <w:r w:rsidRPr="00EB0BCC">
        <w:rPr>
          <w:rStyle w:val="FootnoteReference"/>
          <w:color w:val="000000" w:themeColor="text1"/>
          <w:szCs w:val="24"/>
          <w:lang w:val="en-GB"/>
        </w:rPr>
        <w:footnoteReference w:id="39"/>
      </w:r>
      <w:r w:rsidRPr="00EB0BCC">
        <w:rPr>
          <w:color w:val="000000" w:themeColor="text1"/>
          <w:szCs w:val="24"/>
          <w:lang w:val="en-GB"/>
        </w:rPr>
        <w:t xml:space="preserve"> And to further prevent mistreatment of detainees, Bahrain’s constitution provides that “[a]ny statement or confession proved to have been made under torture, inducement, or such treatment, or the threat thereof, shall be null and void.”</w:t>
      </w:r>
      <w:r w:rsidRPr="00EB0BCC">
        <w:rPr>
          <w:rStyle w:val="FootnoteReference"/>
          <w:color w:val="000000" w:themeColor="text1"/>
          <w:szCs w:val="24"/>
          <w:lang w:val="en-GB"/>
        </w:rPr>
        <w:footnoteReference w:id="40"/>
      </w:r>
      <w:r w:rsidRPr="00EB0BCC">
        <w:rPr>
          <w:color w:val="000000" w:themeColor="text1"/>
          <w:szCs w:val="24"/>
          <w:lang w:val="en-GB"/>
        </w:rPr>
        <w:t xml:space="preserve"> </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Basic due process rights are provided for by Bahraini law governing criminal procedure. For example, individuals arrested on suspicion of crimes must be presented to the Public Prosecution Office within 48 hours of arrest.</w:t>
      </w:r>
      <w:r w:rsidRPr="00EB0BCC">
        <w:rPr>
          <w:rStyle w:val="FootnoteReference"/>
          <w:color w:val="000000" w:themeColor="text1"/>
          <w:szCs w:val="24"/>
          <w:lang w:val="en-GB"/>
        </w:rPr>
        <w:footnoteReference w:id="41"/>
      </w:r>
      <w:r w:rsidRPr="00EB0BCC">
        <w:rPr>
          <w:color w:val="000000" w:themeColor="text1"/>
          <w:szCs w:val="24"/>
          <w:lang w:val="en-GB"/>
        </w:rPr>
        <w:t xml:space="preserve"> Furthermore, summons or arrest warrants issued by the Public Prosecution Office must be presented to the suspect “immediately” or, if not feasible, within 24 hours by the arresting authority.</w:t>
      </w:r>
      <w:r w:rsidRPr="00EB0BCC">
        <w:rPr>
          <w:rStyle w:val="FootnoteReference"/>
          <w:color w:val="000000" w:themeColor="text1"/>
          <w:szCs w:val="24"/>
          <w:lang w:val="en-GB"/>
        </w:rPr>
        <w:footnoteReference w:id="42"/>
      </w:r>
      <w:r w:rsidRPr="00EB0BCC">
        <w:rPr>
          <w:color w:val="000000" w:themeColor="text1"/>
          <w:szCs w:val="24"/>
          <w:lang w:val="en-GB"/>
        </w:rPr>
        <w:t xml:space="preserve"> There are also limits on detention without charges. The Bahraini Code of Criminal Procedure requires the Public Prosecution Office to decide whether to charge the suspect with a criminal offense. If the individual is charged, the Public Prosecution Office must decide whether to continue his or her detention or order his or her release.</w:t>
      </w:r>
      <w:r w:rsidRPr="00EB0BCC">
        <w:rPr>
          <w:rStyle w:val="FootnoteReference"/>
          <w:color w:val="000000" w:themeColor="text1"/>
          <w:szCs w:val="24"/>
          <w:lang w:val="en-GB"/>
        </w:rPr>
        <w:footnoteReference w:id="43"/>
      </w:r>
      <w:r w:rsidRPr="00EB0BCC">
        <w:rPr>
          <w:color w:val="000000" w:themeColor="text1"/>
          <w:szCs w:val="24"/>
          <w:lang w:val="en-GB"/>
        </w:rPr>
        <w:t xml:space="preserve"> Generally, a person may be held for up to seven days in </w:t>
      </w:r>
      <w:r w:rsidR="00E266D8" w:rsidRPr="00EB0BCC">
        <w:rPr>
          <w:color w:val="000000" w:themeColor="text1"/>
          <w:szCs w:val="24"/>
          <w:lang w:val="en-GB"/>
        </w:rPr>
        <w:t>pre-trial</w:t>
      </w:r>
      <w:r w:rsidRPr="00EB0BCC">
        <w:rPr>
          <w:color w:val="000000" w:themeColor="text1"/>
          <w:szCs w:val="24"/>
          <w:lang w:val="en-GB"/>
        </w:rPr>
        <w:t xml:space="preserve"> detention, but the court may authorize additional </w:t>
      </w:r>
      <w:r w:rsidR="00E266D8" w:rsidRPr="00EB0BCC">
        <w:rPr>
          <w:color w:val="000000" w:themeColor="text1"/>
          <w:szCs w:val="24"/>
          <w:lang w:val="en-GB"/>
        </w:rPr>
        <w:t>pre-trial</w:t>
      </w:r>
      <w:r w:rsidRPr="00EB0BCC">
        <w:rPr>
          <w:color w:val="000000" w:themeColor="text1"/>
          <w:szCs w:val="24"/>
          <w:lang w:val="en-GB"/>
        </w:rPr>
        <w:t xml:space="preserve"> detention of up to six months.</w:t>
      </w:r>
      <w:r w:rsidRPr="00EB0BCC">
        <w:rPr>
          <w:rStyle w:val="FootnoteReference"/>
          <w:color w:val="000000" w:themeColor="text1"/>
          <w:szCs w:val="24"/>
          <w:lang w:val="en-GB"/>
        </w:rPr>
        <w:footnoteReference w:id="44"/>
      </w:r>
      <w:r w:rsidRPr="00EB0BCC">
        <w:rPr>
          <w:color w:val="000000" w:themeColor="text1"/>
          <w:szCs w:val="24"/>
          <w:lang w:val="en-GB"/>
        </w:rPr>
        <w:t xml:space="preserve"> Also, for certain “national security” crimes specified in the criminal code, the Public Prosecution Office has the power to extend </w:t>
      </w:r>
      <w:r w:rsidR="00E266D8" w:rsidRPr="00EB0BCC">
        <w:rPr>
          <w:color w:val="000000" w:themeColor="text1"/>
          <w:szCs w:val="24"/>
          <w:lang w:val="en-GB"/>
        </w:rPr>
        <w:t>pre-trial</w:t>
      </w:r>
      <w:r w:rsidRPr="00EB0BCC">
        <w:rPr>
          <w:color w:val="000000" w:themeColor="text1"/>
          <w:szCs w:val="24"/>
          <w:lang w:val="en-GB"/>
        </w:rPr>
        <w:t xml:space="preserve"> detention for up to six months.</w:t>
      </w:r>
      <w:r w:rsidRPr="00EB0BCC">
        <w:rPr>
          <w:rStyle w:val="FootnoteReference"/>
          <w:color w:val="000000" w:themeColor="text1"/>
          <w:szCs w:val="24"/>
          <w:lang w:val="en-GB"/>
        </w:rPr>
        <w:footnoteReference w:id="45"/>
      </w:r>
      <w:r w:rsidRPr="00EB0BCC">
        <w:rPr>
          <w:color w:val="000000" w:themeColor="text1"/>
          <w:szCs w:val="24"/>
          <w:lang w:val="en-GB"/>
        </w:rPr>
        <w:t xml:space="preserve"> But any </w:t>
      </w:r>
      <w:r w:rsidR="00E266D8" w:rsidRPr="00EB0BCC">
        <w:rPr>
          <w:color w:val="000000" w:themeColor="text1"/>
          <w:szCs w:val="24"/>
          <w:lang w:val="en-GB"/>
        </w:rPr>
        <w:t>pre-trial</w:t>
      </w:r>
      <w:r w:rsidRPr="00EB0BCC">
        <w:rPr>
          <w:color w:val="000000" w:themeColor="text1"/>
          <w:szCs w:val="24"/>
          <w:lang w:val="en-GB"/>
        </w:rPr>
        <w:t xml:space="preserve"> detention exceeding 45 days for national security crimes must be approved by the High Criminal Court.</w:t>
      </w:r>
      <w:r w:rsidRPr="00EB0BCC">
        <w:rPr>
          <w:rStyle w:val="FootnoteReference"/>
          <w:color w:val="000000" w:themeColor="text1"/>
          <w:szCs w:val="24"/>
          <w:lang w:val="en-GB"/>
        </w:rPr>
        <w:footnoteReference w:id="46"/>
      </w:r>
      <w:r w:rsidRPr="00EB0BCC">
        <w:rPr>
          <w:color w:val="000000" w:themeColor="text1"/>
          <w:szCs w:val="24"/>
          <w:lang w:val="en-GB"/>
        </w:rPr>
        <w:t xml:space="preserve"> But judicial oversight of </w:t>
      </w:r>
      <w:r w:rsidR="00E266D8" w:rsidRPr="00EB0BCC">
        <w:rPr>
          <w:color w:val="000000" w:themeColor="text1"/>
          <w:szCs w:val="24"/>
          <w:lang w:val="en-GB"/>
        </w:rPr>
        <w:t>pre-trial</w:t>
      </w:r>
      <w:r w:rsidRPr="00EB0BCC">
        <w:rPr>
          <w:color w:val="000000" w:themeColor="text1"/>
          <w:szCs w:val="24"/>
          <w:lang w:val="en-GB"/>
        </w:rPr>
        <w:t xml:space="preserve"> detention is “muddied” by contradictory provisions, such as a special Anti-Terrorism Law, enacted by Royal Decree No. 68/2014, which gives security forces to power to detain individuals from 10 days to a maximum of 28 days. </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Investigating and prosecuting allegations of torture, as with all crimes in Bahrain, is the responsibility of the Office of Public Prosecution.</w:t>
      </w:r>
      <w:r w:rsidRPr="00EB0BCC">
        <w:rPr>
          <w:rStyle w:val="FootnoteReference"/>
          <w:color w:val="000000" w:themeColor="text1"/>
          <w:szCs w:val="24"/>
          <w:lang w:val="en-GB"/>
        </w:rPr>
        <w:footnoteReference w:id="47"/>
      </w:r>
      <w:r w:rsidRPr="00EB0BCC">
        <w:rPr>
          <w:color w:val="000000" w:themeColor="text1"/>
          <w:szCs w:val="24"/>
          <w:lang w:val="en-GB"/>
        </w:rPr>
        <w:t xml:space="preserve"> That office may also demand that law enforcement agencies conduct internal investigations of their officers.</w:t>
      </w:r>
      <w:r w:rsidRPr="00EB0BCC">
        <w:rPr>
          <w:rStyle w:val="FootnoteReference"/>
          <w:color w:val="000000" w:themeColor="text1"/>
          <w:szCs w:val="24"/>
          <w:lang w:val="en-GB"/>
        </w:rPr>
        <w:footnoteReference w:id="48"/>
      </w:r>
      <w:r w:rsidRPr="00EB0BCC">
        <w:rPr>
          <w:color w:val="000000" w:themeColor="text1"/>
          <w:szCs w:val="24"/>
          <w:lang w:val="en-GB"/>
        </w:rPr>
        <w:t xml:space="preserve"> The Ministry of Interior’s inspector-general investigates all complaints of torture and may refer complaints to the Police Court within the Ministry of Interior.</w:t>
      </w:r>
      <w:r w:rsidRPr="00EB0BCC">
        <w:rPr>
          <w:rStyle w:val="FootnoteReference"/>
          <w:color w:val="000000" w:themeColor="text1"/>
          <w:szCs w:val="24"/>
          <w:lang w:val="en-GB"/>
        </w:rPr>
        <w:footnoteReference w:id="49"/>
      </w:r>
      <w:r w:rsidRPr="00EB0BCC">
        <w:rPr>
          <w:color w:val="000000" w:themeColor="text1"/>
          <w:szCs w:val="24"/>
          <w:lang w:val="en-GB"/>
        </w:rPr>
        <w:t xml:space="preserve"> There is a requirement for civil servants, medical professionals, and other civilians to report suspected crimes to the Public Prosecution Office or other relevant authorities.</w:t>
      </w:r>
      <w:r w:rsidRPr="00EB0BCC">
        <w:rPr>
          <w:rStyle w:val="FootnoteReference"/>
          <w:color w:val="000000" w:themeColor="text1"/>
          <w:szCs w:val="24"/>
          <w:lang w:val="en-GB"/>
        </w:rPr>
        <w:footnoteReference w:id="50"/>
      </w:r>
      <w:r w:rsidRPr="00EB0BCC">
        <w:rPr>
          <w:color w:val="000000" w:themeColor="text1"/>
          <w:szCs w:val="24"/>
          <w:lang w:val="en-GB"/>
        </w:rPr>
        <w:t xml:space="preserve"> </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Victims of torture have a right to seek redress through a civil action under Bahraini law.</w:t>
      </w:r>
      <w:r w:rsidRPr="00EB0BCC">
        <w:rPr>
          <w:rStyle w:val="FootnoteReference"/>
          <w:color w:val="000000" w:themeColor="text1"/>
          <w:szCs w:val="24"/>
          <w:lang w:val="en-GB"/>
        </w:rPr>
        <w:footnoteReference w:id="51"/>
      </w:r>
      <w:r w:rsidRPr="00EB0BCC">
        <w:rPr>
          <w:color w:val="000000" w:themeColor="text1"/>
          <w:szCs w:val="24"/>
          <w:lang w:val="en-GB"/>
        </w:rPr>
        <w:t xml:space="preserve"> But it is problematic that Decree 56/2002 conferred immunity from investigation or prosecution on government officials alleged to be responsible for torture or other serious human rights abuses committed prior to 2001.</w:t>
      </w:r>
      <w:r w:rsidRPr="00EB0BCC">
        <w:rPr>
          <w:rStyle w:val="FootnoteReference"/>
          <w:color w:val="000000" w:themeColor="text1"/>
          <w:szCs w:val="24"/>
          <w:lang w:val="en-GB"/>
        </w:rPr>
        <w:footnoteReference w:id="52"/>
      </w:r>
      <w:r w:rsidRPr="00EB0BCC">
        <w:rPr>
          <w:color w:val="000000" w:themeColor="text1"/>
          <w:szCs w:val="24"/>
          <w:lang w:val="en-GB"/>
        </w:rPr>
        <w:t xml:space="preserve"> </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In response to the BICI’s recommendations in 2011, some improvements were made to the laws governing the subject of torture. For example, Royal Decree No. 52 of 2012 amended the definition of torture under the Criminal Code to match the definition of Article 1 of the Torture Convention. The definition of the victim was expanded. The amendment outlawed the use of torture for “coercing a confession, punishing a person for an act he/she or any other person had committed or is suspected to have committed, or intimidating or coercing that person or any other person for any reasons whatsoever.” Furthermore, Article 253 of the Code of Criminal Procedures mandated that any “confession proved to have been obtained through coercion or threat” will be considered to be invalid, consistent with Article 19(d) of the Bahraini constitution. The previous law's 10-year statute of limitations on the crime of torture was abolished. Additionally, if death results from torture, then the perpetrator may be given a life sentence.</w:t>
      </w:r>
    </w:p>
    <w:p w:rsidR="00E70F69" w:rsidRPr="00EB0BCC" w:rsidRDefault="00E70F6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Also in response to the BICI report, the Office of the Ombudsman at the Ministry of Interior and Islamic Affairs and the Special Investigation Unit (SIU) in the Office of the Public Prosecutor were established in 2012. The Ombudsman’s jurisdiction is limited to investigating crimes involving Ministry of Interior personnel. The SIU’s jurisdiction is focused on investigating and prosecuting members of the security services or government officials allegedly involved in the torture of or cruel, inhuman or degrading treatment of detainees. In addition to the offices of the Ombudsman and SIU, the Prisoners and Detainees Rights Commission (PDRC) was founded in 2013 and charged with investigating the condition</w:t>
      </w:r>
      <w:r w:rsidR="00DD38D8" w:rsidRPr="00EB0BCC">
        <w:rPr>
          <w:color w:val="000000" w:themeColor="text1"/>
          <w:szCs w:val="24"/>
          <w:lang w:val="en-GB"/>
        </w:rPr>
        <w:t>s of prisons and detention centre</w:t>
      </w:r>
      <w:r w:rsidRPr="00EB0BCC">
        <w:rPr>
          <w:color w:val="000000" w:themeColor="text1"/>
          <w:szCs w:val="24"/>
          <w:lang w:val="en-GB"/>
        </w:rPr>
        <w:t xml:space="preserve">s in Bahrain. Additionally, the functions of the National Institution of Human Rights were expanded in 2012 and 2014, but it has no independence from the control of the chief executive. </w:t>
      </w:r>
    </w:p>
    <w:p w:rsidR="00F02FAA" w:rsidRPr="00EB0BCC" w:rsidRDefault="00CF3DB4" w:rsidP="00BA35C4">
      <w:pPr>
        <w:pStyle w:val="Heading3"/>
        <w:jc w:val="both"/>
        <w:rPr>
          <w:color w:val="000000" w:themeColor="text1"/>
          <w:lang w:val="en-GB"/>
        </w:rPr>
      </w:pPr>
      <w:bookmarkStart w:id="11" w:name="_Toc475984113"/>
      <w:r w:rsidRPr="00EB0BCC">
        <w:rPr>
          <w:color w:val="000000" w:themeColor="text1"/>
          <w:lang w:val="en-GB"/>
        </w:rPr>
        <w:t>V</w:t>
      </w:r>
      <w:r w:rsidR="00E70F69" w:rsidRPr="00EB0BCC">
        <w:rPr>
          <w:color w:val="000000" w:themeColor="text1"/>
          <w:lang w:val="en-GB"/>
        </w:rPr>
        <w:t>I</w:t>
      </w:r>
      <w:r w:rsidR="00C00605" w:rsidRPr="00EB0BCC">
        <w:rPr>
          <w:color w:val="000000" w:themeColor="text1"/>
          <w:lang w:val="en-GB"/>
        </w:rPr>
        <w:t>I</w:t>
      </w:r>
      <w:r w:rsidRPr="00EB0BCC">
        <w:rPr>
          <w:color w:val="000000" w:themeColor="text1"/>
          <w:lang w:val="en-GB"/>
        </w:rPr>
        <w:t xml:space="preserve">. </w:t>
      </w:r>
      <w:r w:rsidR="00F02FAA" w:rsidRPr="00EB0BCC">
        <w:rPr>
          <w:color w:val="000000" w:themeColor="text1"/>
          <w:lang w:val="en-GB"/>
        </w:rPr>
        <w:t>Overview of</w:t>
      </w:r>
      <w:r w:rsidR="007D6675" w:rsidRPr="00EB0BCC">
        <w:rPr>
          <w:color w:val="000000" w:themeColor="text1"/>
          <w:lang w:val="en-GB"/>
        </w:rPr>
        <w:t xml:space="preserve"> Human Rights</w:t>
      </w:r>
      <w:r w:rsidR="00F02FAA" w:rsidRPr="00EB0BCC">
        <w:rPr>
          <w:color w:val="000000" w:themeColor="text1"/>
          <w:lang w:val="en-GB"/>
        </w:rPr>
        <w:t xml:space="preserve"> Case</w:t>
      </w:r>
      <w:r w:rsidR="007D6675" w:rsidRPr="00EB0BCC">
        <w:rPr>
          <w:color w:val="000000" w:themeColor="text1"/>
          <w:lang w:val="en-GB"/>
        </w:rPr>
        <w:t>s</w:t>
      </w:r>
      <w:bookmarkEnd w:id="11"/>
      <w:r w:rsidR="007D6675" w:rsidRPr="00EB0BCC">
        <w:rPr>
          <w:color w:val="000000" w:themeColor="text1"/>
          <w:lang w:val="en-GB"/>
        </w:rPr>
        <w:t xml:space="preserve"> </w:t>
      </w:r>
    </w:p>
    <w:p w:rsidR="00DD38D8" w:rsidRPr="00EB0BCC" w:rsidRDefault="00F12B6B"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In the </w:t>
      </w:r>
      <w:r w:rsidR="005D271A" w:rsidRPr="00EB0BCC">
        <w:rPr>
          <w:color w:val="000000" w:themeColor="text1"/>
          <w:szCs w:val="24"/>
          <w:lang w:val="en-GB"/>
        </w:rPr>
        <w:t>aftermath</w:t>
      </w:r>
      <w:r w:rsidRPr="00EB0BCC">
        <w:rPr>
          <w:color w:val="000000" w:themeColor="text1"/>
          <w:szCs w:val="24"/>
          <w:lang w:val="en-GB"/>
        </w:rPr>
        <w:t xml:space="preserve"> of the 2011 protests, there were many allegations of torture </w:t>
      </w:r>
      <w:r w:rsidR="005D271A" w:rsidRPr="00EB0BCC">
        <w:rPr>
          <w:color w:val="000000" w:themeColor="text1"/>
          <w:szCs w:val="24"/>
          <w:lang w:val="en-GB"/>
        </w:rPr>
        <w:t xml:space="preserve">by detainees </w:t>
      </w:r>
      <w:r w:rsidRPr="00EB0BCC">
        <w:rPr>
          <w:color w:val="000000" w:themeColor="text1"/>
          <w:szCs w:val="24"/>
          <w:lang w:val="en-GB"/>
        </w:rPr>
        <w:t>while in police custody.</w:t>
      </w:r>
      <w:r w:rsidR="000E2F57" w:rsidRPr="00EB0BCC">
        <w:rPr>
          <w:color w:val="000000" w:themeColor="text1"/>
          <w:szCs w:val="24"/>
          <w:lang w:val="en-GB"/>
        </w:rPr>
        <w:t xml:space="preserve"> </w:t>
      </w:r>
      <w:r w:rsidR="005D271A" w:rsidRPr="00EB0BCC">
        <w:rPr>
          <w:color w:val="000000" w:themeColor="text1"/>
          <w:szCs w:val="24"/>
          <w:lang w:val="en-GB"/>
        </w:rPr>
        <w:t>The allegations were supported by corroborating evidence.</w:t>
      </w:r>
      <w:r w:rsidR="000E2F57" w:rsidRPr="00EB0BCC">
        <w:rPr>
          <w:color w:val="000000" w:themeColor="text1"/>
          <w:szCs w:val="24"/>
          <w:lang w:val="en-GB"/>
        </w:rPr>
        <w:t xml:space="preserve"> </w:t>
      </w:r>
      <w:r w:rsidR="0039148C" w:rsidRPr="00EB0BCC">
        <w:rPr>
          <w:color w:val="000000" w:themeColor="text1"/>
          <w:szCs w:val="24"/>
          <w:lang w:val="en-GB"/>
        </w:rPr>
        <w:t xml:space="preserve">The following </w:t>
      </w:r>
      <w:r w:rsidR="00CC38EC" w:rsidRPr="00EB0BCC">
        <w:rPr>
          <w:color w:val="000000" w:themeColor="text1"/>
          <w:szCs w:val="24"/>
          <w:lang w:val="en-GB"/>
        </w:rPr>
        <w:t xml:space="preserve">section </w:t>
      </w:r>
      <w:r w:rsidR="00DF5EF0" w:rsidRPr="00EB0BCC">
        <w:rPr>
          <w:color w:val="000000" w:themeColor="text1"/>
          <w:szCs w:val="24"/>
          <w:lang w:val="en-GB"/>
        </w:rPr>
        <w:t xml:space="preserve">includes </w:t>
      </w:r>
      <w:r w:rsidR="00FF55F5" w:rsidRPr="00EB0BCC">
        <w:rPr>
          <w:color w:val="000000" w:themeColor="text1"/>
          <w:szCs w:val="24"/>
          <w:lang w:val="en-GB"/>
        </w:rPr>
        <w:t xml:space="preserve">more recent </w:t>
      </w:r>
      <w:r w:rsidR="0039148C" w:rsidRPr="00EB0BCC">
        <w:rPr>
          <w:color w:val="000000" w:themeColor="text1"/>
          <w:szCs w:val="24"/>
          <w:lang w:val="en-GB"/>
        </w:rPr>
        <w:t>cases</w:t>
      </w:r>
      <w:r w:rsidR="005D271A" w:rsidRPr="00EB0BCC">
        <w:rPr>
          <w:color w:val="000000" w:themeColor="text1"/>
          <w:szCs w:val="24"/>
          <w:lang w:val="en-GB"/>
        </w:rPr>
        <w:t>, based upon witness interviews,</w:t>
      </w:r>
      <w:r w:rsidR="0039148C" w:rsidRPr="00EB0BCC">
        <w:rPr>
          <w:color w:val="000000" w:themeColor="text1"/>
          <w:szCs w:val="24"/>
          <w:lang w:val="en-GB"/>
        </w:rPr>
        <w:t xml:space="preserve"> </w:t>
      </w:r>
      <w:r w:rsidR="00DF5EF0" w:rsidRPr="00EB0BCC">
        <w:rPr>
          <w:color w:val="000000" w:themeColor="text1"/>
          <w:szCs w:val="24"/>
          <w:lang w:val="en-GB"/>
        </w:rPr>
        <w:t xml:space="preserve">and </w:t>
      </w:r>
      <w:r w:rsidR="0039148C" w:rsidRPr="00EB0BCC">
        <w:rPr>
          <w:color w:val="000000" w:themeColor="text1"/>
          <w:szCs w:val="24"/>
          <w:lang w:val="en-GB"/>
        </w:rPr>
        <w:t>provide</w:t>
      </w:r>
      <w:r w:rsidR="00CC38EC" w:rsidRPr="00EB0BCC">
        <w:rPr>
          <w:color w:val="000000" w:themeColor="text1"/>
          <w:szCs w:val="24"/>
          <w:lang w:val="en-GB"/>
        </w:rPr>
        <w:t>s</w:t>
      </w:r>
      <w:r w:rsidR="0039148C" w:rsidRPr="00EB0BCC">
        <w:rPr>
          <w:color w:val="000000" w:themeColor="text1"/>
          <w:szCs w:val="24"/>
          <w:lang w:val="en-GB"/>
        </w:rPr>
        <w:t xml:space="preserve"> substantiation that torture and </w:t>
      </w:r>
      <w:r w:rsidR="005D271A" w:rsidRPr="00EB0BCC">
        <w:rPr>
          <w:color w:val="000000" w:themeColor="text1"/>
          <w:szCs w:val="24"/>
          <w:lang w:val="en-GB"/>
        </w:rPr>
        <w:t xml:space="preserve">other </w:t>
      </w:r>
      <w:r w:rsidR="0039148C" w:rsidRPr="00EB0BCC">
        <w:rPr>
          <w:color w:val="000000" w:themeColor="text1"/>
          <w:szCs w:val="24"/>
          <w:lang w:val="en-GB"/>
        </w:rPr>
        <w:t xml:space="preserve">abusive conduct by law enforcement and internal security officials </w:t>
      </w:r>
      <w:r w:rsidR="005D271A" w:rsidRPr="00EB0BCC">
        <w:rPr>
          <w:color w:val="000000" w:themeColor="text1"/>
          <w:szCs w:val="24"/>
          <w:lang w:val="en-GB"/>
        </w:rPr>
        <w:t>continues in Bahrain and appears to be</w:t>
      </w:r>
      <w:r w:rsidR="0039148C" w:rsidRPr="00EB0BCC">
        <w:rPr>
          <w:color w:val="000000" w:themeColor="text1"/>
          <w:szCs w:val="24"/>
          <w:lang w:val="en-GB"/>
        </w:rPr>
        <w:t xml:space="preserve"> </w:t>
      </w:r>
      <w:r w:rsidR="00701341" w:rsidRPr="00EB0BCC">
        <w:rPr>
          <w:color w:val="000000" w:themeColor="text1"/>
          <w:szCs w:val="24"/>
          <w:lang w:val="en-GB"/>
        </w:rPr>
        <w:t xml:space="preserve">systematic and </w:t>
      </w:r>
      <w:r w:rsidR="0039148C" w:rsidRPr="00EB0BCC">
        <w:rPr>
          <w:color w:val="000000" w:themeColor="text1"/>
          <w:szCs w:val="24"/>
          <w:lang w:val="en-GB"/>
        </w:rPr>
        <w:t>systemic.</w:t>
      </w:r>
    </w:p>
    <w:p w:rsidR="00DD38D8" w:rsidRPr="00EB0BCC" w:rsidRDefault="00DD38D8" w:rsidP="00DD38D8">
      <w:pPr>
        <w:pStyle w:val="BodyText"/>
        <w:tabs>
          <w:tab w:val="right" w:pos="8910"/>
        </w:tabs>
        <w:ind w:left="737" w:right="18"/>
        <w:jc w:val="both"/>
        <w:rPr>
          <w:b/>
          <w:i/>
          <w:color w:val="000000" w:themeColor="text1"/>
          <w:szCs w:val="24"/>
          <w:lang w:val="en-GB"/>
        </w:rPr>
      </w:pPr>
      <w:r w:rsidRPr="00EB0BCC">
        <w:rPr>
          <w:color w:val="000000" w:themeColor="text1"/>
          <w:szCs w:val="24"/>
          <w:lang w:val="en-GB"/>
        </w:rPr>
        <w:br w:type="page"/>
      </w:r>
      <w:r w:rsidR="00606639" w:rsidRPr="00EB0BCC">
        <w:rPr>
          <w:b/>
          <w:i/>
          <w:color w:val="000000" w:themeColor="text1"/>
          <w:szCs w:val="24"/>
          <w:lang w:val="en-GB"/>
        </w:rPr>
        <w:lastRenderedPageBreak/>
        <w:t>Abdul</w:t>
      </w:r>
      <w:r w:rsidR="005B179B" w:rsidRPr="00EB0BCC">
        <w:rPr>
          <w:b/>
          <w:i/>
          <w:color w:val="000000" w:themeColor="text1"/>
          <w:szCs w:val="24"/>
          <w:lang w:val="en-GB"/>
        </w:rPr>
        <w:t>h</w:t>
      </w:r>
      <w:r w:rsidR="00606639" w:rsidRPr="00EB0BCC">
        <w:rPr>
          <w:b/>
          <w:i/>
          <w:color w:val="000000" w:themeColor="text1"/>
          <w:szCs w:val="24"/>
          <w:lang w:val="en-GB"/>
        </w:rPr>
        <w:t>adi Al-Khawaja Case</w:t>
      </w:r>
      <w:r w:rsidR="00E27AA9" w:rsidRPr="00EB0BCC">
        <w:rPr>
          <w:rStyle w:val="FootnoteReference"/>
          <w:b/>
          <w:i/>
          <w:color w:val="000000" w:themeColor="text1"/>
          <w:szCs w:val="24"/>
          <w:lang w:val="en-GB"/>
        </w:rPr>
        <w:footnoteReference w:id="53"/>
      </w:r>
    </w:p>
    <w:p w:rsidR="00F24A44" w:rsidRPr="00EB0BCC" w:rsidRDefault="00E50BAC" w:rsidP="004A0494">
      <w:pPr>
        <w:pStyle w:val="BodyText"/>
        <w:numPr>
          <w:ilvl w:val="0"/>
          <w:numId w:val="18"/>
        </w:numPr>
        <w:tabs>
          <w:tab w:val="right" w:pos="8910"/>
        </w:tabs>
        <w:ind w:right="18"/>
        <w:jc w:val="both"/>
        <w:rPr>
          <w:b/>
          <w:i/>
          <w:color w:val="000000" w:themeColor="text1"/>
          <w:szCs w:val="24"/>
          <w:lang w:val="en-GB"/>
        </w:rPr>
      </w:pPr>
      <w:r w:rsidRPr="00EB0BCC">
        <w:rPr>
          <w:color w:val="000000" w:themeColor="text1"/>
          <w:szCs w:val="24"/>
          <w:lang w:val="en-GB"/>
        </w:rPr>
        <w:t>Abdul</w:t>
      </w:r>
      <w:r w:rsidR="005B179B" w:rsidRPr="00EB0BCC">
        <w:rPr>
          <w:color w:val="000000" w:themeColor="text1"/>
          <w:szCs w:val="24"/>
          <w:lang w:val="en-GB"/>
        </w:rPr>
        <w:t>h</w:t>
      </w:r>
      <w:r w:rsidRPr="00EB0BCC">
        <w:rPr>
          <w:color w:val="000000" w:themeColor="text1"/>
          <w:szCs w:val="24"/>
          <w:lang w:val="en-GB"/>
        </w:rPr>
        <w:t>adi Al-Khawaja is the Co-Founder and former President of the Bahrain Centre for Human Rights</w:t>
      </w:r>
      <w:r w:rsidR="004936E3" w:rsidRPr="00EB0BCC">
        <w:rPr>
          <w:color w:val="000000" w:themeColor="text1"/>
          <w:szCs w:val="24"/>
          <w:lang w:val="en-GB"/>
        </w:rPr>
        <w:t xml:space="preserve"> and the GCHR</w:t>
      </w:r>
      <w:r w:rsidRPr="00EB0BCC">
        <w:rPr>
          <w:color w:val="000000" w:themeColor="text1"/>
          <w:szCs w:val="24"/>
          <w:lang w:val="en-GB"/>
        </w:rPr>
        <w:t xml:space="preserve">, </w:t>
      </w:r>
      <w:r w:rsidR="004936E3" w:rsidRPr="00EB0BCC">
        <w:rPr>
          <w:color w:val="000000" w:themeColor="text1"/>
          <w:szCs w:val="24"/>
          <w:lang w:val="en-GB"/>
        </w:rPr>
        <w:t xml:space="preserve">as well as </w:t>
      </w:r>
      <w:r w:rsidRPr="00EB0BCC">
        <w:rPr>
          <w:color w:val="000000" w:themeColor="text1"/>
          <w:szCs w:val="24"/>
          <w:lang w:val="en-GB"/>
        </w:rPr>
        <w:t>an internationally recogni</w:t>
      </w:r>
      <w:r w:rsidR="00DD38D8" w:rsidRPr="00EB0BCC">
        <w:rPr>
          <w:color w:val="000000" w:themeColor="text1"/>
          <w:szCs w:val="24"/>
          <w:lang w:val="en-GB"/>
        </w:rPr>
        <w:t>s</w:t>
      </w:r>
      <w:r w:rsidRPr="00EB0BCC">
        <w:rPr>
          <w:color w:val="000000" w:themeColor="text1"/>
          <w:szCs w:val="24"/>
          <w:lang w:val="en-GB"/>
        </w:rPr>
        <w:t>ed human rights defender.</w:t>
      </w:r>
      <w:r w:rsidR="000E2F57" w:rsidRPr="00EB0BCC">
        <w:rPr>
          <w:color w:val="000000" w:themeColor="text1"/>
          <w:szCs w:val="24"/>
          <w:lang w:val="en-GB"/>
        </w:rPr>
        <w:t xml:space="preserve"> </w:t>
      </w:r>
      <w:r w:rsidR="00B65992" w:rsidRPr="00EB0BCC">
        <w:rPr>
          <w:color w:val="000000" w:themeColor="text1"/>
          <w:szCs w:val="24"/>
          <w:lang w:val="en-GB"/>
        </w:rPr>
        <w:t>He received the 2012 Freedom Award from Freedom House, along with his daughters Maryam and Zainab Al-Khawaja. In 2013, he won the World Without Torture Award from Dignity. He has been nominated for the Nobel Peace Prize</w:t>
      </w:r>
      <w:r w:rsidR="00701341" w:rsidRPr="00EB0BCC">
        <w:rPr>
          <w:color w:val="000000" w:themeColor="text1"/>
          <w:szCs w:val="24"/>
          <w:lang w:val="en-GB"/>
        </w:rPr>
        <w:t xml:space="preserve"> by a member of the EU Parliament</w:t>
      </w:r>
      <w:r w:rsidR="00B65992" w:rsidRPr="00EB0BCC">
        <w:rPr>
          <w:color w:val="000000" w:themeColor="text1"/>
          <w:szCs w:val="24"/>
          <w:lang w:val="en-GB"/>
        </w:rPr>
        <w:t>. He is currently being held in prison serving a life sentence</w:t>
      </w:r>
      <w:r w:rsidR="00052E13" w:rsidRPr="00EB0BCC">
        <w:rPr>
          <w:color w:val="000000" w:themeColor="text1"/>
          <w:szCs w:val="24"/>
          <w:lang w:val="en-GB"/>
        </w:rPr>
        <w:t>, as part of a group of prisoners known</w:t>
      </w:r>
      <w:r w:rsidR="00C76C7D" w:rsidRPr="00EB0BCC">
        <w:rPr>
          <w:color w:val="000000" w:themeColor="text1"/>
          <w:szCs w:val="24"/>
          <w:lang w:val="en-GB"/>
        </w:rPr>
        <w:t xml:space="preserve"> collectively</w:t>
      </w:r>
      <w:r w:rsidR="00052E13" w:rsidRPr="00EB0BCC">
        <w:rPr>
          <w:color w:val="000000" w:themeColor="text1"/>
          <w:szCs w:val="24"/>
          <w:lang w:val="en-GB"/>
        </w:rPr>
        <w:t xml:space="preserve"> as the </w:t>
      </w:r>
      <w:r w:rsidR="00C76C7D" w:rsidRPr="00EB0BCC">
        <w:rPr>
          <w:color w:val="000000" w:themeColor="text1"/>
          <w:szCs w:val="24"/>
          <w:lang w:val="en-GB"/>
        </w:rPr>
        <w:t>“</w:t>
      </w:r>
      <w:r w:rsidR="00052E13" w:rsidRPr="00EB0BCC">
        <w:rPr>
          <w:color w:val="000000" w:themeColor="text1"/>
          <w:szCs w:val="24"/>
          <w:lang w:val="en-GB"/>
        </w:rPr>
        <w:t>Bahrain 13</w:t>
      </w:r>
      <w:r w:rsidR="00C76C7D" w:rsidRPr="00EB0BCC">
        <w:rPr>
          <w:color w:val="000000" w:themeColor="text1"/>
          <w:szCs w:val="24"/>
          <w:lang w:val="en-GB"/>
        </w:rPr>
        <w:t>”</w:t>
      </w:r>
      <w:r w:rsidR="00052E13" w:rsidRPr="00EB0BCC">
        <w:rPr>
          <w:color w:val="000000" w:themeColor="text1"/>
          <w:szCs w:val="24"/>
          <w:lang w:val="en-GB"/>
        </w:rPr>
        <w:t xml:space="preserve"> who were sentenced for their role in the 2011 democracy protests</w:t>
      </w:r>
      <w:r w:rsidR="00B65992" w:rsidRPr="00EB0BCC">
        <w:rPr>
          <w:color w:val="000000" w:themeColor="text1"/>
          <w:szCs w:val="24"/>
          <w:lang w:val="en-GB"/>
        </w:rPr>
        <w:t xml:space="preserve">. </w:t>
      </w:r>
      <w:r w:rsidR="00F24A44" w:rsidRPr="00EB0BCC">
        <w:rPr>
          <w:color w:val="000000" w:themeColor="text1"/>
          <w:szCs w:val="24"/>
          <w:lang w:val="en-GB"/>
        </w:rPr>
        <w:t>He was convicted by a military court on 22 June 2011 and a civilian appeals court upheld the sentence on 22 May 2012. </w:t>
      </w:r>
    </w:p>
    <w:p w:rsidR="004D2707" w:rsidRPr="00EB0BCC" w:rsidRDefault="00B65992"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Al-Khawaja </w:t>
      </w:r>
      <w:r w:rsidR="006C70E3" w:rsidRPr="00EB0BCC">
        <w:rPr>
          <w:color w:val="000000" w:themeColor="text1"/>
          <w:szCs w:val="24"/>
          <w:lang w:val="en-GB"/>
        </w:rPr>
        <w:t xml:space="preserve">was arrested on </w:t>
      </w:r>
      <w:r w:rsidR="00D17596" w:rsidRPr="00EB0BCC">
        <w:rPr>
          <w:color w:val="000000" w:themeColor="text1"/>
          <w:szCs w:val="24"/>
          <w:lang w:val="en-GB"/>
        </w:rPr>
        <w:t>0</w:t>
      </w:r>
      <w:r w:rsidR="006C70E3" w:rsidRPr="00EB0BCC">
        <w:rPr>
          <w:color w:val="000000" w:themeColor="text1"/>
          <w:szCs w:val="24"/>
          <w:lang w:val="en-GB"/>
        </w:rPr>
        <w:t>9 April 2011 at 2</w:t>
      </w:r>
      <w:r w:rsidR="00D7639F" w:rsidRPr="00EB0BCC">
        <w:rPr>
          <w:color w:val="000000" w:themeColor="text1"/>
          <w:szCs w:val="24"/>
          <w:lang w:val="en-GB"/>
        </w:rPr>
        <w:t>:</w:t>
      </w:r>
      <w:r w:rsidR="006C70E3" w:rsidRPr="00EB0BCC">
        <w:rPr>
          <w:color w:val="000000" w:themeColor="text1"/>
          <w:szCs w:val="24"/>
          <w:lang w:val="en-GB"/>
        </w:rPr>
        <w:t xml:space="preserve">30 </w:t>
      </w:r>
      <w:r w:rsidR="00D7639F" w:rsidRPr="00EB0BCC">
        <w:rPr>
          <w:color w:val="000000" w:themeColor="text1"/>
          <w:szCs w:val="24"/>
          <w:lang w:val="en-GB"/>
        </w:rPr>
        <w:t>am</w:t>
      </w:r>
      <w:r w:rsidR="006C70E3" w:rsidRPr="00EB0BCC">
        <w:rPr>
          <w:color w:val="000000" w:themeColor="text1"/>
          <w:szCs w:val="24"/>
          <w:lang w:val="en-GB"/>
        </w:rPr>
        <w:t>.</w:t>
      </w:r>
      <w:r w:rsidR="000E2F57" w:rsidRPr="00EB0BCC">
        <w:rPr>
          <w:color w:val="000000" w:themeColor="text1"/>
          <w:szCs w:val="24"/>
          <w:lang w:val="en-GB"/>
        </w:rPr>
        <w:t xml:space="preserve"> </w:t>
      </w:r>
      <w:r w:rsidR="006C70E3" w:rsidRPr="00EB0BCC">
        <w:rPr>
          <w:color w:val="000000" w:themeColor="text1"/>
          <w:szCs w:val="24"/>
          <w:lang w:val="en-GB"/>
        </w:rPr>
        <w:t xml:space="preserve">Government agents showed up at the apartment of </w:t>
      </w:r>
      <w:r w:rsidR="00701341" w:rsidRPr="00EB0BCC">
        <w:rPr>
          <w:color w:val="000000" w:themeColor="text1"/>
          <w:szCs w:val="24"/>
          <w:lang w:val="en-GB"/>
        </w:rPr>
        <w:t>Mohammed Al-Maskati</w:t>
      </w:r>
      <w:r w:rsidR="006C70E3" w:rsidRPr="00EB0BCC">
        <w:rPr>
          <w:color w:val="000000" w:themeColor="text1"/>
          <w:szCs w:val="24"/>
          <w:lang w:val="en-GB"/>
        </w:rPr>
        <w:t xml:space="preserve">, the son-in-law of </w:t>
      </w:r>
      <w:r w:rsidR="004936E3" w:rsidRPr="00EB0BCC">
        <w:rPr>
          <w:color w:val="000000" w:themeColor="text1"/>
          <w:szCs w:val="24"/>
          <w:lang w:val="en-GB"/>
        </w:rPr>
        <w:t>Al-Khawaja</w:t>
      </w:r>
      <w:r w:rsidR="006C70E3" w:rsidRPr="00EB0BCC">
        <w:rPr>
          <w:color w:val="000000" w:themeColor="text1"/>
          <w:szCs w:val="24"/>
          <w:lang w:val="en-GB"/>
        </w:rPr>
        <w:t>, and broke down the front door.</w:t>
      </w:r>
      <w:r w:rsidR="000E2F57" w:rsidRPr="00EB0BCC">
        <w:rPr>
          <w:color w:val="000000" w:themeColor="text1"/>
          <w:szCs w:val="24"/>
          <w:lang w:val="en-GB"/>
        </w:rPr>
        <w:t xml:space="preserve"> </w:t>
      </w:r>
      <w:r w:rsidR="006C70E3" w:rsidRPr="00EB0BCC">
        <w:rPr>
          <w:color w:val="000000" w:themeColor="text1"/>
          <w:szCs w:val="24"/>
          <w:lang w:val="en-GB"/>
        </w:rPr>
        <w:t>The government agents were from different agencies.</w:t>
      </w:r>
      <w:r w:rsidR="000E2F57" w:rsidRPr="00EB0BCC">
        <w:rPr>
          <w:color w:val="000000" w:themeColor="text1"/>
          <w:szCs w:val="24"/>
          <w:lang w:val="en-GB"/>
        </w:rPr>
        <w:t xml:space="preserve"> </w:t>
      </w:r>
      <w:r w:rsidR="006C70E3" w:rsidRPr="00EB0BCC">
        <w:rPr>
          <w:color w:val="000000" w:themeColor="text1"/>
          <w:szCs w:val="24"/>
          <w:lang w:val="en-GB"/>
        </w:rPr>
        <w:t>There were 20-30 agents dressed like commandos, wearing black from head to toe.</w:t>
      </w:r>
      <w:r w:rsidR="000E2F57" w:rsidRPr="00EB0BCC">
        <w:rPr>
          <w:color w:val="000000" w:themeColor="text1"/>
          <w:szCs w:val="24"/>
          <w:lang w:val="en-GB"/>
        </w:rPr>
        <w:t xml:space="preserve"> </w:t>
      </w:r>
      <w:r w:rsidR="006C70E3" w:rsidRPr="00EB0BCC">
        <w:rPr>
          <w:color w:val="000000" w:themeColor="text1"/>
          <w:szCs w:val="24"/>
          <w:lang w:val="en-GB"/>
        </w:rPr>
        <w:t>Faces were covered so they could not be identified.</w:t>
      </w:r>
      <w:r w:rsidR="000E2F57" w:rsidRPr="00EB0BCC">
        <w:rPr>
          <w:color w:val="000000" w:themeColor="text1"/>
          <w:szCs w:val="24"/>
          <w:lang w:val="en-GB"/>
        </w:rPr>
        <w:t xml:space="preserve"> </w:t>
      </w:r>
      <w:r w:rsidR="006C70E3" w:rsidRPr="00EB0BCC">
        <w:rPr>
          <w:color w:val="000000" w:themeColor="text1"/>
          <w:szCs w:val="24"/>
          <w:lang w:val="en-GB"/>
        </w:rPr>
        <w:t>They had automatic weapons.</w:t>
      </w:r>
      <w:r w:rsidR="000E2F57" w:rsidRPr="00EB0BCC">
        <w:rPr>
          <w:color w:val="000000" w:themeColor="text1"/>
          <w:szCs w:val="24"/>
          <w:lang w:val="en-GB"/>
        </w:rPr>
        <w:t xml:space="preserve"> </w:t>
      </w:r>
      <w:r w:rsidR="006C70E3" w:rsidRPr="00EB0BCC">
        <w:rPr>
          <w:color w:val="000000" w:themeColor="text1"/>
          <w:szCs w:val="24"/>
          <w:lang w:val="en-GB"/>
        </w:rPr>
        <w:t>One agent was filming with a video camera.</w:t>
      </w:r>
      <w:r w:rsidR="000E2F57" w:rsidRPr="00EB0BCC">
        <w:rPr>
          <w:color w:val="000000" w:themeColor="text1"/>
          <w:szCs w:val="24"/>
          <w:lang w:val="en-GB"/>
        </w:rPr>
        <w:t xml:space="preserve"> </w:t>
      </w:r>
      <w:r w:rsidR="006C70E3" w:rsidRPr="00EB0BCC">
        <w:rPr>
          <w:color w:val="000000" w:themeColor="text1"/>
          <w:szCs w:val="24"/>
          <w:lang w:val="en-GB"/>
        </w:rPr>
        <w:t>There were also CID agents dressed in civilian clothes, but the</w:t>
      </w:r>
      <w:r w:rsidR="00356591" w:rsidRPr="00EB0BCC">
        <w:rPr>
          <w:color w:val="000000" w:themeColor="text1"/>
          <w:szCs w:val="24"/>
          <w:lang w:val="en-GB"/>
        </w:rPr>
        <w:t>i</w:t>
      </w:r>
      <w:r w:rsidR="006C70E3" w:rsidRPr="00EB0BCC">
        <w:rPr>
          <w:color w:val="000000" w:themeColor="text1"/>
          <w:szCs w:val="24"/>
          <w:lang w:val="en-GB"/>
        </w:rPr>
        <w:t>r faces were also covered.</w:t>
      </w:r>
      <w:r w:rsidR="000E2F57" w:rsidRPr="00EB0BCC">
        <w:rPr>
          <w:color w:val="000000" w:themeColor="text1"/>
          <w:szCs w:val="24"/>
          <w:lang w:val="en-GB"/>
        </w:rPr>
        <w:t xml:space="preserve"> </w:t>
      </w:r>
      <w:r w:rsidR="00701341" w:rsidRPr="00EB0BCC">
        <w:rPr>
          <w:color w:val="000000" w:themeColor="text1"/>
          <w:szCs w:val="24"/>
          <w:lang w:val="en-GB"/>
        </w:rPr>
        <w:t>Additionally, there were</w:t>
      </w:r>
      <w:r w:rsidR="006C70E3" w:rsidRPr="00EB0BCC">
        <w:rPr>
          <w:color w:val="000000" w:themeColor="text1"/>
          <w:szCs w:val="24"/>
          <w:lang w:val="en-GB"/>
        </w:rPr>
        <w:t xml:space="preserve"> agents </w:t>
      </w:r>
      <w:r w:rsidR="00701341" w:rsidRPr="00EB0BCC">
        <w:rPr>
          <w:color w:val="000000" w:themeColor="text1"/>
          <w:szCs w:val="24"/>
          <w:lang w:val="en-GB"/>
        </w:rPr>
        <w:t xml:space="preserve">identifiable </w:t>
      </w:r>
      <w:r w:rsidR="006C70E3" w:rsidRPr="00EB0BCC">
        <w:rPr>
          <w:color w:val="000000" w:themeColor="text1"/>
          <w:szCs w:val="24"/>
          <w:lang w:val="en-GB"/>
        </w:rPr>
        <w:t>as riot police.</w:t>
      </w:r>
      <w:r w:rsidR="000E2F57" w:rsidRPr="00EB0BCC">
        <w:rPr>
          <w:color w:val="000000" w:themeColor="text1"/>
          <w:szCs w:val="24"/>
          <w:lang w:val="en-GB"/>
        </w:rPr>
        <w:t xml:space="preserve"> </w:t>
      </w:r>
      <w:r w:rsidR="006C70E3" w:rsidRPr="00EB0BCC">
        <w:rPr>
          <w:color w:val="000000" w:themeColor="text1"/>
          <w:szCs w:val="24"/>
          <w:lang w:val="en-GB"/>
        </w:rPr>
        <w:t xml:space="preserve">They were specifically looking for </w:t>
      </w:r>
      <w:r w:rsidR="004936E3" w:rsidRPr="00EB0BCC">
        <w:rPr>
          <w:color w:val="000000" w:themeColor="text1"/>
          <w:szCs w:val="24"/>
          <w:lang w:val="en-GB"/>
        </w:rPr>
        <w:t>Al-Khawaja</w:t>
      </w:r>
      <w:r w:rsidR="006C70E3" w:rsidRPr="00EB0BCC">
        <w:rPr>
          <w:color w:val="000000" w:themeColor="text1"/>
          <w:szCs w:val="24"/>
          <w:lang w:val="en-GB"/>
        </w:rPr>
        <w:t>, who was arrested by members of the military</w:t>
      </w:r>
      <w:r w:rsidR="003B0817" w:rsidRPr="00EB0BCC">
        <w:rPr>
          <w:color w:val="000000" w:themeColor="text1"/>
          <w:szCs w:val="24"/>
          <w:lang w:val="en-GB"/>
        </w:rPr>
        <w:t xml:space="preserve"> (</w:t>
      </w:r>
      <w:r w:rsidR="00D7639F" w:rsidRPr="00EB0BCC">
        <w:rPr>
          <w:color w:val="000000" w:themeColor="text1"/>
          <w:szCs w:val="24"/>
          <w:lang w:val="en-GB"/>
        </w:rPr>
        <w:t>BDF</w:t>
      </w:r>
      <w:r w:rsidR="003B0817" w:rsidRPr="00EB0BCC">
        <w:rPr>
          <w:color w:val="000000" w:themeColor="text1"/>
          <w:szCs w:val="24"/>
          <w:lang w:val="en-GB"/>
        </w:rPr>
        <w:t>)</w:t>
      </w:r>
      <w:r w:rsidR="006C70E3" w:rsidRPr="00EB0BCC">
        <w:rPr>
          <w:color w:val="000000" w:themeColor="text1"/>
          <w:szCs w:val="24"/>
          <w:lang w:val="en-GB"/>
        </w:rPr>
        <w:t>.</w:t>
      </w:r>
      <w:r w:rsidR="000E2F57" w:rsidRPr="00EB0BCC">
        <w:rPr>
          <w:color w:val="000000" w:themeColor="text1"/>
          <w:szCs w:val="24"/>
          <w:lang w:val="en-GB"/>
        </w:rPr>
        <w:t xml:space="preserve"> </w:t>
      </w:r>
      <w:r w:rsidR="00D7639F" w:rsidRPr="00EB0BCC">
        <w:rPr>
          <w:color w:val="000000" w:themeColor="text1"/>
          <w:szCs w:val="24"/>
          <w:lang w:val="en-GB"/>
        </w:rPr>
        <w:t xml:space="preserve">While being arrested himself, </w:t>
      </w:r>
      <w:r w:rsidR="00701341" w:rsidRPr="00EB0BCC">
        <w:rPr>
          <w:color w:val="000000" w:themeColor="text1"/>
          <w:szCs w:val="24"/>
          <w:lang w:val="en-GB"/>
        </w:rPr>
        <w:t xml:space="preserve">Al-Khawaja’s other son-in-law, Wafi Kamel </w:t>
      </w:r>
      <w:r w:rsidR="00722DA0" w:rsidRPr="00EB0BCC">
        <w:rPr>
          <w:color w:val="000000" w:themeColor="text1"/>
          <w:szCs w:val="24"/>
          <w:lang w:val="en-GB"/>
        </w:rPr>
        <w:t>Al-Majed</w:t>
      </w:r>
      <w:r w:rsidR="00701341" w:rsidRPr="00EB0BCC">
        <w:rPr>
          <w:color w:val="000000" w:themeColor="text1"/>
          <w:szCs w:val="24"/>
          <w:lang w:val="en-GB"/>
        </w:rPr>
        <w:t>,</w:t>
      </w:r>
      <w:r w:rsidR="00220A6A" w:rsidRPr="00EB0BCC">
        <w:rPr>
          <w:color w:val="000000" w:themeColor="text1"/>
          <w:szCs w:val="24"/>
          <w:lang w:val="en-GB"/>
        </w:rPr>
        <w:t xml:space="preserve"> </w:t>
      </w:r>
      <w:r w:rsidR="00356591" w:rsidRPr="00EB0BCC">
        <w:rPr>
          <w:color w:val="000000" w:themeColor="text1"/>
          <w:szCs w:val="24"/>
          <w:lang w:val="en-GB"/>
        </w:rPr>
        <w:t>witnessed his father-in-law being beaten on the stairs of his apartment by BDF agents sent to arrest him.</w:t>
      </w:r>
      <w:r w:rsidR="000E2F57" w:rsidRPr="00EB0BCC">
        <w:rPr>
          <w:color w:val="000000" w:themeColor="text1"/>
          <w:szCs w:val="24"/>
          <w:lang w:val="en-GB"/>
        </w:rPr>
        <w:t xml:space="preserve"> </w:t>
      </w:r>
      <w:r w:rsidR="00356591" w:rsidRPr="00EB0BCC">
        <w:rPr>
          <w:color w:val="000000" w:themeColor="text1"/>
          <w:szCs w:val="24"/>
          <w:lang w:val="en-GB"/>
        </w:rPr>
        <w:t>He would not see hi</w:t>
      </w:r>
      <w:r w:rsidR="00D7639F" w:rsidRPr="00EB0BCC">
        <w:rPr>
          <w:color w:val="000000" w:themeColor="text1"/>
          <w:szCs w:val="24"/>
          <w:lang w:val="en-GB"/>
        </w:rPr>
        <w:t>s father-in-law</w:t>
      </w:r>
      <w:r w:rsidR="00356591" w:rsidRPr="00EB0BCC">
        <w:rPr>
          <w:color w:val="000000" w:themeColor="text1"/>
          <w:szCs w:val="24"/>
          <w:lang w:val="en-GB"/>
        </w:rPr>
        <w:t xml:space="preserve"> again until November while being held at Jaw Prison.</w:t>
      </w:r>
      <w:r w:rsidR="000E2F57" w:rsidRPr="00EB0BCC">
        <w:rPr>
          <w:color w:val="000000" w:themeColor="text1"/>
          <w:szCs w:val="24"/>
          <w:lang w:val="en-GB"/>
        </w:rPr>
        <w:t xml:space="preserve"> </w:t>
      </w:r>
      <w:r w:rsidR="006C70E3" w:rsidRPr="00EB0BCC">
        <w:rPr>
          <w:color w:val="000000" w:themeColor="text1"/>
          <w:szCs w:val="24"/>
          <w:lang w:val="en-GB"/>
        </w:rPr>
        <w:t xml:space="preserve">Outside the apartment building, there were about 15 </w:t>
      </w:r>
      <w:r w:rsidR="00356591" w:rsidRPr="00EB0BCC">
        <w:rPr>
          <w:color w:val="000000" w:themeColor="text1"/>
          <w:szCs w:val="24"/>
          <w:lang w:val="en-GB"/>
        </w:rPr>
        <w:t xml:space="preserve">government </w:t>
      </w:r>
      <w:r w:rsidR="006C70E3" w:rsidRPr="00EB0BCC">
        <w:rPr>
          <w:color w:val="000000" w:themeColor="text1"/>
          <w:szCs w:val="24"/>
          <w:lang w:val="en-GB"/>
        </w:rPr>
        <w:t>vehicles, mostly GMC trucks</w:t>
      </w:r>
      <w:r w:rsidR="00D7639F" w:rsidRPr="00EB0BCC">
        <w:rPr>
          <w:color w:val="000000" w:themeColor="text1"/>
          <w:szCs w:val="24"/>
          <w:lang w:val="en-GB"/>
        </w:rPr>
        <w:t xml:space="preserve">, to take </w:t>
      </w:r>
      <w:r w:rsidR="004936E3" w:rsidRPr="00EB0BCC">
        <w:rPr>
          <w:color w:val="000000" w:themeColor="text1"/>
          <w:szCs w:val="24"/>
          <w:lang w:val="en-GB"/>
        </w:rPr>
        <w:t>Al-Khawaja</w:t>
      </w:r>
      <w:r w:rsidR="00D7639F" w:rsidRPr="00EB0BCC">
        <w:rPr>
          <w:color w:val="000000" w:themeColor="text1"/>
          <w:szCs w:val="24"/>
          <w:lang w:val="en-GB"/>
        </w:rPr>
        <w:t xml:space="preserve">, </w:t>
      </w:r>
      <w:r w:rsidR="00722DA0" w:rsidRPr="00EB0BCC">
        <w:rPr>
          <w:color w:val="000000" w:themeColor="text1"/>
          <w:szCs w:val="24"/>
          <w:lang w:val="en-GB"/>
        </w:rPr>
        <w:t>Al-Majed</w:t>
      </w:r>
      <w:r w:rsidR="00D7639F" w:rsidRPr="00EB0BCC">
        <w:rPr>
          <w:color w:val="000000" w:themeColor="text1"/>
          <w:szCs w:val="24"/>
          <w:lang w:val="en-GB"/>
        </w:rPr>
        <w:t xml:space="preserve">, </w:t>
      </w:r>
      <w:r w:rsidR="003C04C8" w:rsidRPr="00EB0BCC">
        <w:rPr>
          <w:color w:val="000000" w:themeColor="text1"/>
          <w:szCs w:val="24"/>
          <w:lang w:val="en-GB"/>
        </w:rPr>
        <w:t>his brother-in-law Huss</w:t>
      </w:r>
      <w:r w:rsidR="00220A6A" w:rsidRPr="00EB0BCC">
        <w:rPr>
          <w:color w:val="000000" w:themeColor="text1"/>
          <w:szCs w:val="24"/>
          <w:lang w:val="en-GB"/>
        </w:rPr>
        <w:t>e</w:t>
      </w:r>
      <w:r w:rsidR="003C04C8" w:rsidRPr="00EB0BCC">
        <w:rPr>
          <w:color w:val="000000" w:themeColor="text1"/>
          <w:szCs w:val="24"/>
          <w:lang w:val="en-GB"/>
        </w:rPr>
        <w:t>in</w:t>
      </w:r>
      <w:r w:rsidR="00220A6A" w:rsidRPr="00EB0BCC">
        <w:rPr>
          <w:color w:val="000000" w:themeColor="text1"/>
          <w:szCs w:val="24"/>
          <w:lang w:val="en-GB"/>
        </w:rPr>
        <w:t xml:space="preserve"> Ahmed</w:t>
      </w:r>
      <w:r w:rsidR="003C04C8" w:rsidRPr="00EB0BCC">
        <w:rPr>
          <w:color w:val="000000" w:themeColor="text1"/>
          <w:szCs w:val="24"/>
          <w:lang w:val="en-GB"/>
        </w:rPr>
        <w:t>, and others away to interrogation centr</w:t>
      </w:r>
      <w:r w:rsidR="00E6593F" w:rsidRPr="00EB0BCC">
        <w:rPr>
          <w:color w:val="000000" w:themeColor="text1"/>
          <w:szCs w:val="24"/>
          <w:lang w:val="en-GB"/>
        </w:rPr>
        <w:t>e</w:t>
      </w:r>
      <w:r w:rsidR="003C04C8" w:rsidRPr="00EB0BCC">
        <w:rPr>
          <w:color w:val="000000" w:themeColor="text1"/>
          <w:szCs w:val="24"/>
          <w:lang w:val="en-GB"/>
        </w:rPr>
        <w:t>s</w:t>
      </w:r>
      <w:r w:rsidR="006C70E3" w:rsidRPr="00EB0BCC">
        <w:rPr>
          <w:color w:val="000000" w:themeColor="text1"/>
          <w:szCs w:val="24"/>
          <w:lang w:val="en-GB"/>
        </w:rPr>
        <w:t>.</w:t>
      </w:r>
      <w:r w:rsidR="000E2F57" w:rsidRPr="00EB0BCC">
        <w:rPr>
          <w:color w:val="000000" w:themeColor="text1"/>
          <w:szCs w:val="24"/>
          <w:lang w:val="en-GB"/>
        </w:rPr>
        <w:t xml:space="preserve"> </w:t>
      </w:r>
    </w:p>
    <w:p w:rsidR="00E50BAC" w:rsidRPr="00EB0BCC" w:rsidRDefault="00356591"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During his arrest and during his detention, </w:t>
      </w:r>
      <w:r w:rsidR="004936E3" w:rsidRPr="00EB0BCC">
        <w:rPr>
          <w:color w:val="000000" w:themeColor="text1"/>
          <w:szCs w:val="24"/>
          <w:lang w:val="en-GB"/>
        </w:rPr>
        <w:t>Al-Khawaja</w:t>
      </w:r>
      <w:r w:rsidRPr="00EB0BCC">
        <w:rPr>
          <w:color w:val="000000" w:themeColor="text1"/>
          <w:szCs w:val="24"/>
          <w:lang w:val="en-GB"/>
        </w:rPr>
        <w:t xml:space="preserve"> was</w:t>
      </w:r>
      <w:r w:rsidR="007B24E7" w:rsidRPr="00EB0BCC">
        <w:rPr>
          <w:color w:val="000000" w:themeColor="text1"/>
          <w:szCs w:val="24"/>
          <w:lang w:val="en-GB"/>
        </w:rPr>
        <w:t xml:space="preserve"> subjected to </w:t>
      </w:r>
      <w:r w:rsidR="00701341" w:rsidRPr="00EB0BCC">
        <w:rPr>
          <w:color w:val="000000" w:themeColor="text1"/>
          <w:szCs w:val="24"/>
          <w:lang w:val="en-GB"/>
        </w:rPr>
        <w:t>physical, psychological and sexual torture</w:t>
      </w:r>
      <w:r w:rsidR="007B24E7" w:rsidRPr="00EB0BCC">
        <w:rPr>
          <w:color w:val="000000" w:themeColor="text1"/>
          <w:szCs w:val="24"/>
          <w:lang w:val="en-GB"/>
        </w:rPr>
        <w:t xml:space="preserve"> at the hands of government agents.</w:t>
      </w:r>
      <w:r w:rsidR="000E2F57" w:rsidRPr="00EB0BCC">
        <w:rPr>
          <w:color w:val="000000" w:themeColor="text1"/>
          <w:szCs w:val="24"/>
          <w:lang w:val="en-GB"/>
        </w:rPr>
        <w:t xml:space="preserve"> </w:t>
      </w:r>
      <w:r w:rsidR="007B24E7" w:rsidRPr="00EB0BCC">
        <w:rPr>
          <w:color w:val="000000" w:themeColor="text1"/>
          <w:szCs w:val="24"/>
          <w:lang w:val="en-GB"/>
        </w:rPr>
        <w:t>He suffered injuries so severe that it necessitated the surgical installation of</w:t>
      </w:r>
      <w:r w:rsidR="00E50BAC" w:rsidRPr="00EB0BCC">
        <w:rPr>
          <w:color w:val="000000" w:themeColor="text1"/>
          <w:szCs w:val="24"/>
          <w:lang w:val="en-GB"/>
        </w:rPr>
        <w:t xml:space="preserve"> 36 screws and 18 metal plates in his face</w:t>
      </w:r>
      <w:r w:rsidR="00701341" w:rsidRPr="00EB0BCC">
        <w:rPr>
          <w:color w:val="000000" w:themeColor="text1"/>
          <w:szCs w:val="24"/>
          <w:lang w:val="en-GB"/>
        </w:rPr>
        <w:t xml:space="preserve"> to reattach his jaw</w:t>
      </w:r>
      <w:r w:rsidR="007B24E7" w:rsidRPr="00EB0BCC">
        <w:rPr>
          <w:color w:val="000000" w:themeColor="text1"/>
          <w:szCs w:val="24"/>
          <w:lang w:val="en-GB"/>
        </w:rPr>
        <w:t>.</w:t>
      </w:r>
      <w:r w:rsidR="000E2F57" w:rsidRPr="00EB0BCC">
        <w:rPr>
          <w:color w:val="000000" w:themeColor="text1"/>
          <w:szCs w:val="24"/>
          <w:lang w:val="en-GB"/>
        </w:rPr>
        <w:t xml:space="preserve"> </w:t>
      </w:r>
      <w:r w:rsidR="00052E13" w:rsidRPr="00EB0BCC">
        <w:rPr>
          <w:color w:val="000000" w:themeColor="text1"/>
          <w:szCs w:val="24"/>
          <w:lang w:val="en-GB"/>
        </w:rPr>
        <w:t>Nobody has been held to account for this treatment</w:t>
      </w:r>
      <w:r w:rsidR="00701341" w:rsidRPr="00EB0BCC">
        <w:rPr>
          <w:color w:val="000000" w:themeColor="text1"/>
          <w:szCs w:val="24"/>
          <w:lang w:val="en-GB"/>
        </w:rPr>
        <w:t xml:space="preserve"> and he continues to need rehabilitation</w:t>
      </w:r>
      <w:r w:rsidR="00052E13" w:rsidRPr="00EB0BCC">
        <w:rPr>
          <w:color w:val="000000" w:themeColor="text1"/>
          <w:szCs w:val="24"/>
          <w:lang w:val="en-GB"/>
        </w:rPr>
        <w:t>.</w:t>
      </w:r>
    </w:p>
    <w:p w:rsidR="00606639" w:rsidRPr="00EB0BCC" w:rsidRDefault="00606639" w:rsidP="00DD38D8">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Maryam Al-Khawaja Case</w:t>
      </w:r>
      <w:r w:rsidR="00352B69" w:rsidRPr="00EB0BCC">
        <w:rPr>
          <w:rStyle w:val="FootnoteReference"/>
          <w:b/>
          <w:i/>
          <w:color w:val="000000" w:themeColor="text1"/>
          <w:szCs w:val="24"/>
          <w:lang w:val="en-GB"/>
        </w:rPr>
        <w:footnoteReference w:id="54"/>
      </w:r>
    </w:p>
    <w:p w:rsidR="00B431DE" w:rsidRPr="00EB0BCC" w:rsidRDefault="00C8150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Maryam </w:t>
      </w:r>
      <w:r w:rsidR="004936E3" w:rsidRPr="00EB0BCC">
        <w:rPr>
          <w:color w:val="000000" w:themeColor="text1"/>
          <w:szCs w:val="24"/>
          <w:lang w:val="en-GB"/>
        </w:rPr>
        <w:t xml:space="preserve">Al-Khawaja </w:t>
      </w:r>
      <w:r w:rsidRPr="00EB0BCC">
        <w:rPr>
          <w:color w:val="000000" w:themeColor="text1"/>
          <w:szCs w:val="24"/>
          <w:lang w:val="en-GB"/>
        </w:rPr>
        <w:t xml:space="preserve">is the </w:t>
      </w:r>
      <w:r w:rsidR="00701341" w:rsidRPr="00EB0BCC">
        <w:rPr>
          <w:color w:val="000000" w:themeColor="text1"/>
          <w:szCs w:val="24"/>
          <w:lang w:val="en-GB"/>
        </w:rPr>
        <w:t xml:space="preserve">former </w:t>
      </w:r>
      <w:r w:rsidRPr="00EB0BCC">
        <w:rPr>
          <w:color w:val="000000" w:themeColor="text1"/>
          <w:szCs w:val="24"/>
          <w:lang w:val="en-GB"/>
        </w:rPr>
        <w:t>co-director</w:t>
      </w:r>
      <w:r w:rsidR="00B0571E" w:rsidRPr="00EB0BCC">
        <w:rPr>
          <w:color w:val="000000" w:themeColor="text1"/>
          <w:szCs w:val="24"/>
          <w:lang w:val="en-GB"/>
        </w:rPr>
        <w:t xml:space="preserve"> and</w:t>
      </w:r>
      <w:r w:rsidR="00701341" w:rsidRPr="00EB0BCC">
        <w:rPr>
          <w:color w:val="000000" w:themeColor="text1"/>
          <w:szCs w:val="24"/>
          <w:lang w:val="en-GB"/>
        </w:rPr>
        <w:t xml:space="preserve"> current </w:t>
      </w:r>
      <w:r w:rsidR="00B0571E" w:rsidRPr="00EB0BCC">
        <w:rPr>
          <w:color w:val="000000" w:themeColor="text1"/>
          <w:szCs w:val="24"/>
          <w:lang w:val="en-GB"/>
        </w:rPr>
        <w:t xml:space="preserve">Special </w:t>
      </w:r>
      <w:r w:rsidR="00701341" w:rsidRPr="00EB0BCC">
        <w:rPr>
          <w:color w:val="000000" w:themeColor="text1"/>
          <w:szCs w:val="24"/>
          <w:lang w:val="en-GB"/>
        </w:rPr>
        <w:t>Advisor on Advocacy</w:t>
      </w:r>
      <w:r w:rsidRPr="00EB0BCC">
        <w:rPr>
          <w:color w:val="000000" w:themeColor="text1"/>
          <w:szCs w:val="24"/>
          <w:lang w:val="en-GB"/>
        </w:rPr>
        <w:t xml:space="preserve"> of the Gulf </w:t>
      </w:r>
      <w:r w:rsidR="004936E3" w:rsidRPr="00EB0BCC">
        <w:rPr>
          <w:color w:val="000000" w:themeColor="text1"/>
          <w:szCs w:val="24"/>
          <w:lang w:val="en-GB"/>
        </w:rPr>
        <w:t xml:space="preserve">Centre </w:t>
      </w:r>
      <w:r w:rsidRPr="00EB0BCC">
        <w:rPr>
          <w:color w:val="000000" w:themeColor="text1"/>
          <w:szCs w:val="24"/>
          <w:lang w:val="en-GB"/>
        </w:rPr>
        <w:t>for Human Rights</w:t>
      </w:r>
      <w:r w:rsidR="007346BB" w:rsidRPr="00EB0BCC">
        <w:rPr>
          <w:color w:val="000000" w:themeColor="text1"/>
          <w:szCs w:val="24"/>
          <w:lang w:val="en-GB"/>
        </w:rPr>
        <w:t xml:space="preserve"> (GCHR)</w:t>
      </w:r>
      <w:r w:rsidR="004A72F6" w:rsidRPr="00EB0BCC">
        <w:rPr>
          <w:color w:val="000000" w:themeColor="text1"/>
          <w:szCs w:val="24"/>
          <w:lang w:val="en-GB"/>
        </w:rPr>
        <w:t xml:space="preserve">, a Board Member of the International Service for Human Rights (ISHR) and she works with Bahrain Watch. </w:t>
      </w:r>
      <w:r w:rsidR="00701341" w:rsidRPr="00EB0BCC">
        <w:rPr>
          <w:color w:val="000000" w:themeColor="text1"/>
          <w:szCs w:val="24"/>
          <w:lang w:val="en-GB"/>
        </w:rPr>
        <w:t>Al-Khawaja has won several awards and prizes in recognition of her human rights work including the Rafto Prize and the Stieg Larsson Prize</w:t>
      </w:r>
      <w:r w:rsidR="004A72F6" w:rsidRPr="00EB0BCC">
        <w:rPr>
          <w:color w:val="000000" w:themeColor="text1"/>
          <w:szCs w:val="24"/>
          <w:lang w:val="en-GB"/>
        </w:rPr>
        <w:t>. She is</w:t>
      </w:r>
      <w:r w:rsidR="007346BB" w:rsidRPr="00EB0BCC">
        <w:rPr>
          <w:color w:val="000000" w:themeColor="text1"/>
          <w:szCs w:val="24"/>
          <w:lang w:val="en-GB"/>
        </w:rPr>
        <w:t xml:space="preserve"> a well-known Bahraini human rights defender with over 107,000 followers on Twitter</w:t>
      </w:r>
      <w:r w:rsidRPr="00EB0BCC">
        <w:rPr>
          <w:color w:val="000000" w:themeColor="text1"/>
          <w:szCs w:val="24"/>
          <w:lang w:val="en-GB"/>
        </w:rPr>
        <w:t xml:space="preserve">. </w:t>
      </w:r>
      <w:r w:rsidR="00B431DE" w:rsidRPr="00EB0BCC">
        <w:rPr>
          <w:color w:val="000000" w:themeColor="text1"/>
          <w:szCs w:val="24"/>
          <w:lang w:val="en-GB"/>
        </w:rPr>
        <w:t>She currently resides in Denmark</w:t>
      </w:r>
      <w:r w:rsidR="00404A6B" w:rsidRPr="00EB0BCC">
        <w:rPr>
          <w:color w:val="000000" w:themeColor="text1"/>
          <w:szCs w:val="24"/>
          <w:lang w:val="en-GB"/>
        </w:rPr>
        <w:t>, where she is a Danish citizen,</w:t>
      </w:r>
      <w:r w:rsidR="00B431DE" w:rsidRPr="00EB0BCC">
        <w:rPr>
          <w:color w:val="000000" w:themeColor="text1"/>
          <w:szCs w:val="24"/>
          <w:lang w:val="en-GB"/>
        </w:rPr>
        <w:t xml:space="preserve"> in exile from Bahrain.</w:t>
      </w:r>
    </w:p>
    <w:p w:rsidR="002A724F" w:rsidRPr="00EB0BCC" w:rsidRDefault="002A724F" w:rsidP="002A724F">
      <w:pPr>
        <w:pStyle w:val="BodyText"/>
        <w:tabs>
          <w:tab w:val="right" w:pos="8910"/>
        </w:tabs>
        <w:ind w:left="737" w:right="18"/>
        <w:jc w:val="both"/>
        <w:rPr>
          <w:color w:val="000000" w:themeColor="text1"/>
          <w:szCs w:val="24"/>
          <w:lang w:val="en-GB"/>
        </w:rPr>
      </w:pPr>
    </w:p>
    <w:p w:rsidR="00C81505" w:rsidRPr="00EB0BCC" w:rsidRDefault="00B431D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Al-Khawaja</w:t>
      </w:r>
      <w:r w:rsidR="00C81505" w:rsidRPr="00EB0BCC">
        <w:rPr>
          <w:color w:val="000000" w:themeColor="text1"/>
          <w:szCs w:val="24"/>
          <w:lang w:val="en-GB"/>
        </w:rPr>
        <w:t xml:space="preserve"> </w:t>
      </w:r>
      <w:r w:rsidR="00BA5049" w:rsidRPr="00EB0BCC">
        <w:rPr>
          <w:color w:val="000000" w:themeColor="text1"/>
          <w:szCs w:val="24"/>
          <w:lang w:val="en-GB"/>
        </w:rPr>
        <w:t>was detained</w:t>
      </w:r>
      <w:r w:rsidR="00C81505" w:rsidRPr="00EB0BCC">
        <w:rPr>
          <w:color w:val="000000" w:themeColor="text1"/>
          <w:szCs w:val="24"/>
          <w:lang w:val="en-GB"/>
        </w:rPr>
        <w:t xml:space="preserve"> in Bahrain</w:t>
      </w:r>
      <w:r w:rsidR="00B0506C" w:rsidRPr="00EB0BCC">
        <w:rPr>
          <w:rStyle w:val="FootnoteReference"/>
          <w:color w:val="000000" w:themeColor="text1"/>
          <w:szCs w:val="24"/>
          <w:lang w:val="en-GB"/>
        </w:rPr>
        <w:footnoteReference w:id="55"/>
      </w:r>
      <w:r w:rsidR="00C81505" w:rsidRPr="00EB0BCC">
        <w:rPr>
          <w:color w:val="000000" w:themeColor="text1"/>
          <w:szCs w:val="24"/>
          <w:lang w:val="en-GB"/>
        </w:rPr>
        <w:t xml:space="preserve"> </w:t>
      </w:r>
      <w:r w:rsidRPr="00EB0BCC">
        <w:rPr>
          <w:color w:val="000000" w:themeColor="text1"/>
          <w:szCs w:val="24"/>
          <w:lang w:val="en-GB"/>
        </w:rPr>
        <w:t>early in the morning on 30</w:t>
      </w:r>
      <w:r w:rsidR="004936E3" w:rsidRPr="00EB0BCC">
        <w:rPr>
          <w:color w:val="000000" w:themeColor="text1"/>
          <w:szCs w:val="24"/>
          <w:lang w:val="en-GB"/>
        </w:rPr>
        <w:t xml:space="preserve"> </w:t>
      </w:r>
      <w:r w:rsidR="00C81505" w:rsidRPr="00EB0BCC">
        <w:rPr>
          <w:color w:val="000000" w:themeColor="text1"/>
          <w:szCs w:val="24"/>
          <w:lang w:val="en-GB"/>
        </w:rPr>
        <w:t>August 2014 at the Bahrain International Airport</w:t>
      </w:r>
      <w:r w:rsidR="00E1745B" w:rsidRPr="00EB0BCC">
        <w:rPr>
          <w:color w:val="000000" w:themeColor="text1"/>
          <w:szCs w:val="24"/>
          <w:lang w:val="en-GB"/>
        </w:rPr>
        <w:t xml:space="preserve"> upon arrival from Istanbul</w:t>
      </w:r>
      <w:r w:rsidR="00C81505" w:rsidRPr="00EB0BCC">
        <w:rPr>
          <w:color w:val="000000" w:themeColor="text1"/>
          <w:szCs w:val="24"/>
          <w:lang w:val="en-GB"/>
        </w:rPr>
        <w:t>.</w:t>
      </w:r>
      <w:r w:rsidR="000E2F57" w:rsidRPr="00EB0BCC">
        <w:rPr>
          <w:color w:val="000000" w:themeColor="text1"/>
          <w:szCs w:val="24"/>
          <w:lang w:val="en-GB"/>
        </w:rPr>
        <w:t xml:space="preserve"> </w:t>
      </w:r>
      <w:r w:rsidR="00C81505" w:rsidRPr="00EB0BCC">
        <w:rPr>
          <w:color w:val="000000" w:themeColor="text1"/>
          <w:szCs w:val="24"/>
          <w:lang w:val="en-GB"/>
        </w:rPr>
        <w:t xml:space="preserve">She </w:t>
      </w:r>
      <w:r w:rsidRPr="00EB0BCC">
        <w:rPr>
          <w:color w:val="000000" w:themeColor="text1"/>
          <w:szCs w:val="24"/>
          <w:lang w:val="en-GB"/>
        </w:rPr>
        <w:t>arrived in Bahrain to visit</w:t>
      </w:r>
      <w:r w:rsidR="00C81505" w:rsidRPr="00EB0BCC">
        <w:rPr>
          <w:color w:val="000000" w:themeColor="text1"/>
          <w:szCs w:val="24"/>
          <w:lang w:val="en-GB"/>
        </w:rPr>
        <w:t xml:space="preserve"> her father, Abdul</w:t>
      </w:r>
      <w:r w:rsidR="00701341" w:rsidRPr="00EB0BCC">
        <w:rPr>
          <w:color w:val="000000" w:themeColor="text1"/>
          <w:szCs w:val="24"/>
          <w:lang w:val="en-GB"/>
        </w:rPr>
        <w:t>-H</w:t>
      </w:r>
      <w:r w:rsidR="00C81505" w:rsidRPr="00EB0BCC">
        <w:rPr>
          <w:color w:val="000000" w:themeColor="text1"/>
          <w:szCs w:val="24"/>
          <w:lang w:val="en-GB"/>
        </w:rPr>
        <w:t xml:space="preserve">adi Al-Khawaja, who was conducting a hunger strike while serving </w:t>
      </w:r>
      <w:r w:rsidRPr="00EB0BCC">
        <w:rPr>
          <w:color w:val="000000" w:themeColor="text1"/>
          <w:szCs w:val="24"/>
          <w:lang w:val="en-GB"/>
        </w:rPr>
        <w:t xml:space="preserve">a life sentence </w:t>
      </w:r>
      <w:r w:rsidR="00C81505" w:rsidRPr="00EB0BCC">
        <w:rPr>
          <w:color w:val="000000" w:themeColor="text1"/>
          <w:szCs w:val="24"/>
          <w:lang w:val="en-GB"/>
        </w:rPr>
        <w:t xml:space="preserve">in Jaw </w:t>
      </w:r>
      <w:r w:rsidR="00722DA0" w:rsidRPr="00EB0BCC">
        <w:rPr>
          <w:color w:val="000000" w:themeColor="text1"/>
          <w:szCs w:val="24"/>
          <w:lang w:val="en-GB"/>
        </w:rPr>
        <w:t>Prison</w:t>
      </w:r>
      <w:r w:rsidR="00C81505" w:rsidRPr="00EB0BCC">
        <w:rPr>
          <w:color w:val="000000" w:themeColor="text1"/>
          <w:szCs w:val="24"/>
          <w:lang w:val="en-GB"/>
        </w:rPr>
        <w:t>. Immediately upon stepping off the plane, she was confronted by three police officers</w:t>
      </w:r>
      <w:r w:rsidR="00701341" w:rsidRPr="00EB0BCC">
        <w:rPr>
          <w:color w:val="000000" w:themeColor="text1"/>
          <w:szCs w:val="24"/>
          <w:lang w:val="en-GB"/>
        </w:rPr>
        <w:t xml:space="preserve"> (one male, two females)</w:t>
      </w:r>
      <w:r w:rsidR="00E1745B" w:rsidRPr="00EB0BCC">
        <w:rPr>
          <w:color w:val="000000" w:themeColor="text1"/>
          <w:szCs w:val="24"/>
          <w:lang w:val="en-GB"/>
        </w:rPr>
        <w:t xml:space="preserve"> and</w:t>
      </w:r>
      <w:r w:rsidR="00C81505" w:rsidRPr="00EB0BCC">
        <w:rPr>
          <w:color w:val="000000" w:themeColor="text1"/>
          <w:szCs w:val="24"/>
          <w:lang w:val="en-GB"/>
        </w:rPr>
        <w:t xml:space="preserve"> one passport control official</w:t>
      </w:r>
      <w:r w:rsidR="00E1745B" w:rsidRPr="00EB0BCC">
        <w:rPr>
          <w:color w:val="000000" w:themeColor="text1"/>
          <w:szCs w:val="24"/>
          <w:lang w:val="en-GB"/>
        </w:rPr>
        <w:t xml:space="preserve">. </w:t>
      </w:r>
      <w:r w:rsidR="00C81505" w:rsidRPr="00EB0BCC">
        <w:rPr>
          <w:color w:val="000000" w:themeColor="text1"/>
          <w:szCs w:val="24"/>
          <w:lang w:val="en-GB"/>
        </w:rPr>
        <w:t xml:space="preserve">The </w:t>
      </w:r>
      <w:r w:rsidR="00E1745B" w:rsidRPr="00EB0BCC">
        <w:rPr>
          <w:color w:val="000000" w:themeColor="text1"/>
          <w:szCs w:val="24"/>
          <w:lang w:val="en-GB"/>
        </w:rPr>
        <w:t xml:space="preserve">officials </w:t>
      </w:r>
      <w:r w:rsidR="00C81505" w:rsidRPr="00EB0BCC">
        <w:rPr>
          <w:color w:val="000000" w:themeColor="text1"/>
          <w:szCs w:val="24"/>
          <w:lang w:val="en-GB"/>
        </w:rPr>
        <w:t xml:space="preserve">informed </w:t>
      </w:r>
      <w:r w:rsidR="004936E3" w:rsidRPr="00EB0BCC">
        <w:rPr>
          <w:color w:val="000000" w:themeColor="text1"/>
          <w:szCs w:val="24"/>
          <w:lang w:val="en-GB"/>
        </w:rPr>
        <w:t>Al-Khawaja</w:t>
      </w:r>
      <w:r w:rsidR="00C81505" w:rsidRPr="00EB0BCC">
        <w:rPr>
          <w:color w:val="000000" w:themeColor="text1"/>
          <w:szCs w:val="24"/>
          <w:lang w:val="en-GB"/>
        </w:rPr>
        <w:t xml:space="preserve"> that her Bahraini citizenship had been revoked </w:t>
      </w:r>
      <w:r w:rsidR="00E1745B" w:rsidRPr="00EB0BCC">
        <w:rPr>
          <w:color w:val="000000" w:themeColor="text1"/>
          <w:szCs w:val="24"/>
          <w:lang w:val="en-GB"/>
        </w:rPr>
        <w:t>so</w:t>
      </w:r>
      <w:r w:rsidR="00C81505" w:rsidRPr="00EB0BCC">
        <w:rPr>
          <w:color w:val="000000" w:themeColor="text1"/>
          <w:szCs w:val="24"/>
          <w:lang w:val="en-GB"/>
        </w:rPr>
        <w:t xml:space="preserve"> she </w:t>
      </w:r>
      <w:r w:rsidR="00976C65" w:rsidRPr="00EB0BCC">
        <w:rPr>
          <w:color w:val="000000" w:themeColor="text1"/>
          <w:szCs w:val="24"/>
          <w:lang w:val="en-GB"/>
        </w:rPr>
        <w:t>was</w:t>
      </w:r>
      <w:r w:rsidR="00C81505" w:rsidRPr="00EB0BCC">
        <w:rPr>
          <w:color w:val="000000" w:themeColor="text1"/>
          <w:szCs w:val="24"/>
          <w:lang w:val="en-GB"/>
        </w:rPr>
        <w:t xml:space="preserve"> longer a Bahraini citizen</w:t>
      </w:r>
      <w:r w:rsidR="00E1745B" w:rsidRPr="00EB0BCC">
        <w:rPr>
          <w:color w:val="000000" w:themeColor="text1"/>
          <w:szCs w:val="24"/>
          <w:lang w:val="en-GB"/>
        </w:rPr>
        <w:t>, and she should leave the country</w:t>
      </w:r>
      <w:r w:rsidR="00C81505" w:rsidRPr="00EB0BCC">
        <w:rPr>
          <w:color w:val="000000" w:themeColor="text1"/>
          <w:szCs w:val="24"/>
          <w:lang w:val="en-GB"/>
        </w:rPr>
        <w:t xml:space="preserve">. </w:t>
      </w:r>
      <w:r w:rsidR="004936E3" w:rsidRPr="00EB0BCC">
        <w:rPr>
          <w:color w:val="000000" w:themeColor="text1"/>
          <w:szCs w:val="24"/>
          <w:lang w:val="en-GB"/>
        </w:rPr>
        <w:t>Al-Khawaja</w:t>
      </w:r>
      <w:r w:rsidR="00C81505" w:rsidRPr="00EB0BCC">
        <w:rPr>
          <w:color w:val="000000" w:themeColor="text1"/>
          <w:szCs w:val="24"/>
          <w:lang w:val="en-GB"/>
        </w:rPr>
        <w:t xml:space="preserve"> asked for evidence or an official document proving that her citizenship had been revoked, which no one could provide.</w:t>
      </w:r>
      <w:r w:rsidR="00E1745B" w:rsidRPr="00EB0BCC">
        <w:rPr>
          <w:color w:val="000000" w:themeColor="text1"/>
          <w:szCs w:val="24"/>
          <w:lang w:val="en-GB"/>
        </w:rPr>
        <w:t xml:space="preserve"> A cameraman was video recording the encounter.</w:t>
      </w:r>
    </w:p>
    <w:p w:rsidR="002A724F" w:rsidRPr="00EB0BCC" w:rsidRDefault="00C8150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She was then taken to the airport </w:t>
      </w:r>
      <w:r w:rsidR="00E1745B" w:rsidRPr="00EB0BCC">
        <w:rPr>
          <w:color w:val="000000" w:themeColor="text1"/>
          <w:szCs w:val="24"/>
          <w:lang w:val="en-GB"/>
        </w:rPr>
        <w:t xml:space="preserve">security </w:t>
      </w:r>
      <w:r w:rsidRPr="00EB0BCC">
        <w:rPr>
          <w:color w:val="000000" w:themeColor="text1"/>
          <w:szCs w:val="24"/>
          <w:lang w:val="en-GB"/>
        </w:rPr>
        <w:t xml:space="preserve">area </w:t>
      </w:r>
      <w:r w:rsidR="00E1745B" w:rsidRPr="00EB0BCC">
        <w:rPr>
          <w:color w:val="000000" w:themeColor="text1"/>
          <w:szCs w:val="24"/>
          <w:lang w:val="en-GB"/>
        </w:rPr>
        <w:t xml:space="preserve">for transit flights </w:t>
      </w:r>
      <w:r w:rsidRPr="00EB0BCC">
        <w:rPr>
          <w:color w:val="000000" w:themeColor="text1"/>
          <w:szCs w:val="24"/>
          <w:lang w:val="en-GB"/>
        </w:rPr>
        <w:t xml:space="preserve">and told again by the officials that her citizenship had been revoked. </w:t>
      </w:r>
      <w:r w:rsidR="001655B6" w:rsidRPr="00EB0BCC">
        <w:rPr>
          <w:color w:val="000000" w:themeColor="text1"/>
          <w:szCs w:val="24"/>
          <w:lang w:val="en-GB"/>
        </w:rPr>
        <w:t>The encounter was still being filmed.</w:t>
      </w:r>
      <w:r w:rsidR="000E2F57" w:rsidRPr="00EB0BCC">
        <w:rPr>
          <w:color w:val="000000" w:themeColor="text1"/>
          <w:szCs w:val="24"/>
          <w:lang w:val="en-GB"/>
        </w:rPr>
        <w:t xml:space="preserve"> </w:t>
      </w:r>
      <w:r w:rsidRPr="00EB0BCC">
        <w:rPr>
          <w:color w:val="000000" w:themeColor="text1"/>
          <w:szCs w:val="24"/>
          <w:lang w:val="en-GB"/>
        </w:rPr>
        <w:t xml:space="preserve">A woman, whom </w:t>
      </w:r>
      <w:r w:rsidR="004936E3" w:rsidRPr="00EB0BCC">
        <w:rPr>
          <w:color w:val="000000" w:themeColor="text1"/>
          <w:szCs w:val="24"/>
          <w:lang w:val="en-GB"/>
        </w:rPr>
        <w:t>Al-Khawaja</w:t>
      </w:r>
      <w:r w:rsidRPr="00EB0BCC">
        <w:rPr>
          <w:color w:val="000000" w:themeColor="text1"/>
          <w:szCs w:val="24"/>
          <w:lang w:val="en-GB"/>
        </w:rPr>
        <w:t xml:space="preserve"> later learned was Hay</w:t>
      </w:r>
      <w:r w:rsidR="00701341" w:rsidRPr="00EB0BCC">
        <w:rPr>
          <w:color w:val="000000" w:themeColor="text1"/>
          <w:szCs w:val="24"/>
          <w:lang w:val="en-GB"/>
        </w:rPr>
        <w:t>a</w:t>
      </w:r>
      <w:r w:rsidRPr="00EB0BCC">
        <w:rPr>
          <w:color w:val="000000" w:themeColor="text1"/>
          <w:szCs w:val="24"/>
          <w:lang w:val="en-GB"/>
        </w:rPr>
        <w:t>t Al</w:t>
      </w:r>
      <w:r w:rsidR="00F376F6" w:rsidRPr="00EB0BCC">
        <w:rPr>
          <w:color w:val="000000" w:themeColor="text1"/>
          <w:szCs w:val="24"/>
          <w:lang w:val="en-GB"/>
        </w:rPr>
        <w:t>-S</w:t>
      </w:r>
      <w:r w:rsidRPr="00EB0BCC">
        <w:rPr>
          <w:color w:val="000000" w:themeColor="text1"/>
          <w:szCs w:val="24"/>
          <w:lang w:val="en-GB"/>
        </w:rPr>
        <w:t xml:space="preserve">almabadi (name </w:t>
      </w:r>
      <w:r w:rsidR="001655B6" w:rsidRPr="00EB0BCC">
        <w:rPr>
          <w:color w:val="000000" w:themeColor="text1"/>
          <w:szCs w:val="24"/>
          <w:lang w:val="en-GB"/>
        </w:rPr>
        <w:t xml:space="preserve">later </w:t>
      </w:r>
      <w:r w:rsidRPr="00EB0BCC">
        <w:rPr>
          <w:color w:val="000000" w:themeColor="text1"/>
          <w:szCs w:val="24"/>
          <w:lang w:val="en-GB"/>
        </w:rPr>
        <w:t>changed to Al</w:t>
      </w:r>
      <w:r w:rsidR="00F376F6" w:rsidRPr="00EB0BCC">
        <w:rPr>
          <w:color w:val="000000" w:themeColor="text1"/>
          <w:szCs w:val="24"/>
          <w:lang w:val="en-GB"/>
        </w:rPr>
        <w:t>-H</w:t>
      </w:r>
      <w:r w:rsidRPr="00EB0BCC">
        <w:rPr>
          <w:color w:val="000000" w:themeColor="text1"/>
          <w:szCs w:val="24"/>
          <w:lang w:val="en-GB"/>
        </w:rPr>
        <w:t>assan) of the</w:t>
      </w:r>
      <w:r w:rsidR="004936E3" w:rsidRPr="00EB0BCC">
        <w:rPr>
          <w:color w:val="000000" w:themeColor="text1"/>
          <w:szCs w:val="24"/>
          <w:lang w:val="en-GB"/>
        </w:rPr>
        <w:t xml:space="preserve"> </w:t>
      </w:r>
      <w:r w:rsidRPr="00EB0BCC">
        <w:rPr>
          <w:color w:val="000000" w:themeColor="text1"/>
          <w:szCs w:val="24"/>
          <w:lang w:val="en-GB"/>
        </w:rPr>
        <w:t xml:space="preserve">MOI arrived. </w:t>
      </w:r>
      <w:r w:rsidR="004936E3" w:rsidRPr="00EB0BCC">
        <w:rPr>
          <w:color w:val="000000" w:themeColor="text1"/>
          <w:szCs w:val="24"/>
          <w:lang w:val="en-GB"/>
        </w:rPr>
        <w:t>Al-Khawaja</w:t>
      </w:r>
      <w:r w:rsidRPr="00EB0BCC">
        <w:rPr>
          <w:color w:val="000000" w:themeColor="text1"/>
          <w:szCs w:val="24"/>
          <w:lang w:val="en-GB"/>
        </w:rPr>
        <w:t xml:space="preserve"> made phone calls to her family and to her lawyer, informing them that she had been detained at the airport. The officials took </w:t>
      </w:r>
      <w:r w:rsidR="004936E3" w:rsidRPr="00EB0BCC">
        <w:rPr>
          <w:color w:val="000000" w:themeColor="text1"/>
          <w:szCs w:val="24"/>
          <w:lang w:val="en-GB"/>
        </w:rPr>
        <w:t>Al-Khawaja</w:t>
      </w:r>
      <w:r w:rsidRPr="00EB0BCC">
        <w:rPr>
          <w:color w:val="000000" w:themeColor="text1"/>
          <w:szCs w:val="24"/>
          <w:lang w:val="en-GB"/>
        </w:rPr>
        <w:t xml:space="preserve"> to a waiting room</w:t>
      </w:r>
      <w:r w:rsidR="001655B6" w:rsidRPr="00EB0BCC">
        <w:rPr>
          <w:color w:val="000000" w:themeColor="text1"/>
          <w:szCs w:val="24"/>
          <w:lang w:val="en-GB"/>
        </w:rPr>
        <w:t xml:space="preserve">, </w:t>
      </w:r>
      <w:r w:rsidR="00976C65" w:rsidRPr="00EB0BCC">
        <w:rPr>
          <w:color w:val="000000" w:themeColor="text1"/>
          <w:szCs w:val="24"/>
          <w:lang w:val="en-GB"/>
        </w:rPr>
        <w:t xml:space="preserve">and </w:t>
      </w:r>
      <w:r w:rsidRPr="00EB0BCC">
        <w:rPr>
          <w:color w:val="000000" w:themeColor="text1"/>
          <w:szCs w:val="24"/>
          <w:lang w:val="en-GB"/>
        </w:rPr>
        <w:t xml:space="preserve">the cameraman shut off the video camera. </w:t>
      </w:r>
      <w:r w:rsidR="00B0506C" w:rsidRPr="00EB0BCC">
        <w:rPr>
          <w:color w:val="000000" w:themeColor="text1"/>
          <w:szCs w:val="24"/>
          <w:lang w:val="en-GB"/>
        </w:rPr>
        <w:t>After she was told that she would not be mistreated if she went into the room, f</w:t>
      </w:r>
      <w:r w:rsidR="00E1745B" w:rsidRPr="00EB0BCC">
        <w:rPr>
          <w:color w:val="000000" w:themeColor="text1"/>
          <w:szCs w:val="24"/>
          <w:lang w:val="en-GB"/>
        </w:rPr>
        <w:t xml:space="preserve">our </w:t>
      </w:r>
      <w:r w:rsidRPr="00EB0BCC">
        <w:rPr>
          <w:color w:val="000000" w:themeColor="text1"/>
          <w:szCs w:val="24"/>
          <w:lang w:val="en-GB"/>
        </w:rPr>
        <w:t xml:space="preserve">female police officers </w:t>
      </w:r>
      <w:r w:rsidR="001655B6" w:rsidRPr="00EB0BCC">
        <w:rPr>
          <w:color w:val="000000" w:themeColor="text1"/>
          <w:szCs w:val="24"/>
          <w:lang w:val="en-GB"/>
        </w:rPr>
        <w:t>then</w:t>
      </w:r>
      <w:r w:rsidRPr="00EB0BCC">
        <w:rPr>
          <w:color w:val="000000" w:themeColor="text1"/>
          <w:szCs w:val="24"/>
          <w:lang w:val="en-GB"/>
        </w:rPr>
        <w:t xml:space="preserve"> attack</w:t>
      </w:r>
      <w:r w:rsidR="001655B6" w:rsidRPr="00EB0BCC">
        <w:rPr>
          <w:color w:val="000000" w:themeColor="text1"/>
          <w:szCs w:val="24"/>
          <w:lang w:val="en-GB"/>
        </w:rPr>
        <w:t>ed</w:t>
      </w:r>
      <w:r w:rsidRPr="00EB0BCC">
        <w:rPr>
          <w:color w:val="000000" w:themeColor="text1"/>
          <w:szCs w:val="24"/>
          <w:lang w:val="en-GB"/>
        </w:rPr>
        <w:t xml:space="preserve"> </w:t>
      </w:r>
      <w:r w:rsidR="004936E3" w:rsidRPr="00EB0BCC">
        <w:rPr>
          <w:color w:val="000000" w:themeColor="text1"/>
          <w:szCs w:val="24"/>
          <w:lang w:val="en-GB"/>
        </w:rPr>
        <w:t>Al-Khawaja</w:t>
      </w:r>
      <w:r w:rsidRPr="00EB0BCC">
        <w:rPr>
          <w:color w:val="000000" w:themeColor="text1"/>
          <w:szCs w:val="24"/>
          <w:lang w:val="en-GB"/>
        </w:rPr>
        <w:t xml:space="preserve"> and confiscated her cell phone. </w:t>
      </w:r>
      <w:r w:rsidR="00B0506C" w:rsidRPr="00EB0BCC">
        <w:rPr>
          <w:color w:val="000000" w:themeColor="text1"/>
          <w:lang w:val="en-CA"/>
        </w:rPr>
        <w:t xml:space="preserve">She reported that “Within seconds Lieutenant Hayat jammed her knee above my right hip and grabbed my right arm.” </w:t>
      </w:r>
      <w:r w:rsidR="00B0506C" w:rsidRPr="00EB0BCC">
        <w:rPr>
          <w:color w:val="000000" w:themeColor="text1"/>
          <w:szCs w:val="24"/>
          <w:lang w:val="en-CA"/>
        </w:rPr>
        <w:t xml:space="preserve">Despite the fact that Al-Khawaja did not respond to this use of force, the four police women continued to assault her. She says, “Lieutenant Hayat yanked my right arm several times very roughly which I later on found out caused a tear in my shoulder muscle. When it was over, I was pretty roughed up and in pain all over; I had severe pain in my </w:t>
      </w:r>
      <w:r w:rsidR="00FA66D6" w:rsidRPr="00EB0BCC">
        <w:rPr>
          <w:color w:val="000000" w:themeColor="text1"/>
          <w:szCs w:val="24"/>
          <w:lang w:val="en-CA"/>
        </w:rPr>
        <w:t xml:space="preserve">[previously] </w:t>
      </w:r>
      <w:r w:rsidR="00B0506C" w:rsidRPr="00EB0BCC">
        <w:rPr>
          <w:color w:val="000000" w:themeColor="text1"/>
          <w:szCs w:val="24"/>
          <w:lang w:val="en-CA"/>
        </w:rPr>
        <w:t>injured knee, right shoulder, neck, above my left hip and right leg where I had skid marks from their shoes.”</w:t>
      </w:r>
      <w:r w:rsidR="00FA66D6" w:rsidRPr="00EB0BCC">
        <w:rPr>
          <w:color w:val="000000" w:themeColor="text1"/>
          <w:szCs w:val="24"/>
          <w:lang w:val="en-CA"/>
        </w:rPr>
        <w:t xml:space="preserve"> </w:t>
      </w:r>
    </w:p>
    <w:p w:rsidR="00C81505" w:rsidRPr="00EB0BCC" w:rsidRDefault="004936E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Al-Khawaja</w:t>
      </w:r>
      <w:r w:rsidR="00C81505" w:rsidRPr="00EB0BCC">
        <w:rPr>
          <w:color w:val="000000" w:themeColor="text1"/>
          <w:szCs w:val="24"/>
          <w:lang w:val="en-GB"/>
        </w:rPr>
        <w:t xml:space="preserve"> was held in the room for several hours</w:t>
      </w:r>
      <w:r w:rsidR="00404A6B" w:rsidRPr="00EB0BCC">
        <w:rPr>
          <w:color w:val="000000" w:themeColor="text1"/>
          <w:szCs w:val="24"/>
          <w:lang w:val="en-GB"/>
        </w:rPr>
        <w:t>, and it became extremely cold</w:t>
      </w:r>
      <w:r w:rsidR="00C81505" w:rsidRPr="00EB0BCC">
        <w:rPr>
          <w:color w:val="000000" w:themeColor="text1"/>
          <w:szCs w:val="24"/>
          <w:lang w:val="en-GB"/>
        </w:rPr>
        <w:t xml:space="preserve">. She asked for permission to go to the restroom and to pray—both requests were denied. At some point, </w:t>
      </w:r>
      <w:r w:rsidRPr="00EB0BCC">
        <w:rPr>
          <w:color w:val="000000" w:themeColor="text1"/>
          <w:szCs w:val="24"/>
          <w:lang w:val="en-GB"/>
        </w:rPr>
        <w:t>Al-Khawaja</w:t>
      </w:r>
      <w:r w:rsidR="00C81505" w:rsidRPr="00EB0BCC">
        <w:rPr>
          <w:color w:val="000000" w:themeColor="text1"/>
          <w:szCs w:val="24"/>
          <w:lang w:val="en-GB"/>
        </w:rPr>
        <w:t xml:space="preserve"> was able to walk out of the room when the guards were not paying attention. </w:t>
      </w:r>
      <w:r w:rsidR="00404A6B" w:rsidRPr="00EB0BCC">
        <w:rPr>
          <w:color w:val="000000" w:themeColor="text1"/>
          <w:szCs w:val="24"/>
          <w:lang w:val="en-GB"/>
        </w:rPr>
        <w:t>After she started asking other passengers for help to call the Danish Embassy, she was stopped and</w:t>
      </w:r>
      <w:r w:rsidR="00C81505" w:rsidRPr="00EB0BCC">
        <w:rPr>
          <w:color w:val="000000" w:themeColor="text1"/>
          <w:szCs w:val="24"/>
          <w:lang w:val="en-GB"/>
        </w:rPr>
        <w:t xml:space="preserve"> brought back to the room in handcuffs.</w:t>
      </w:r>
    </w:p>
    <w:p w:rsidR="00C81505" w:rsidRPr="00EB0BCC" w:rsidRDefault="004936E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Al-Khawaja</w:t>
      </w:r>
      <w:r w:rsidR="00C81505" w:rsidRPr="00EB0BCC">
        <w:rPr>
          <w:color w:val="000000" w:themeColor="text1"/>
          <w:szCs w:val="24"/>
          <w:lang w:val="en-GB"/>
        </w:rPr>
        <w:t xml:space="preserve"> remained handcuffed in the waiting room for several more hours. </w:t>
      </w:r>
      <w:r w:rsidR="00A524A9" w:rsidRPr="00EB0BCC">
        <w:rPr>
          <w:color w:val="000000" w:themeColor="text1"/>
          <w:szCs w:val="24"/>
          <w:lang w:val="en-GB"/>
        </w:rPr>
        <w:t xml:space="preserve">She </w:t>
      </w:r>
      <w:r w:rsidR="00C81505" w:rsidRPr="00EB0BCC">
        <w:rPr>
          <w:color w:val="000000" w:themeColor="text1"/>
          <w:szCs w:val="24"/>
          <w:lang w:val="en-GB"/>
        </w:rPr>
        <w:t xml:space="preserve">was </w:t>
      </w:r>
      <w:r w:rsidR="00A524A9" w:rsidRPr="00EB0BCC">
        <w:rPr>
          <w:color w:val="000000" w:themeColor="text1"/>
          <w:szCs w:val="24"/>
          <w:lang w:val="en-GB"/>
        </w:rPr>
        <w:t xml:space="preserve">then </w:t>
      </w:r>
      <w:r w:rsidR="00C81505" w:rsidRPr="00EB0BCC">
        <w:rPr>
          <w:color w:val="000000" w:themeColor="text1"/>
          <w:szCs w:val="24"/>
          <w:lang w:val="en-GB"/>
        </w:rPr>
        <w:t xml:space="preserve">taken to a room upstairs in the airport arrival hall, where she was met by the cameraman and another agent, Sawac Malsaneen. She was </w:t>
      </w:r>
      <w:r w:rsidR="00A524A9" w:rsidRPr="00EB0BCC">
        <w:rPr>
          <w:color w:val="000000" w:themeColor="text1"/>
          <w:szCs w:val="24"/>
          <w:lang w:val="en-GB"/>
        </w:rPr>
        <w:t xml:space="preserve">told that she was </w:t>
      </w:r>
      <w:r w:rsidR="00C81505" w:rsidRPr="00EB0BCC">
        <w:rPr>
          <w:color w:val="000000" w:themeColor="text1"/>
          <w:szCs w:val="24"/>
          <w:lang w:val="en-GB"/>
        </w:rPr>
        <w:t xml:space="preserve">being charged with assaulting </w:t>
      </w:r>
      <w:r w:rsidR="00A524A9" w:rsidRPr="00EB0BCC">
        <w:rPr>
          <w:color w:val="000000" w:themeColor="text1"/>
          <w:szCs w:val="24"/>
          <w:lang w:val="en-GB"/>
        </w:rPr>
        <w:t xml:space="preserve">the </w:t>
      </w:r>
      <w:r w:rsidR="00C81505" w:rsidRPr="00EB0BCC">
        <w:rPr>
          <w:color w:val="000000" w:themeColor="text1"/>
          <w:szCs w:val="24"/>
          <w:lang w:val="en-GB"/>
        </w:rPr>
        <w:t xml:space="preserve">two female police officers from her earlier encounter and for defaming the King of Bahrain. She was also presented with 57 complaints from various </w:t>
      </w:r>
      <w:r w:rsidR="00A524A9" w:rsidRPr="00EB0BCC">
        <w:rPr>
          <w:color w:val="000000" w:themeColor="text1"/>
          <w:szCs w:val="24"/>
          <w:lang w:val="en-GB"/>
        </w:rPr>
        <w:t>individuals</w:t>
      </w:r>
      <w:r w:rsidR="00C81505" w:rsidRPr="00EB0BCC">
        <w:rPr>
          <w:color w:val="000000" w:themeColor="text1"/>
          <w:szCs w:val="24"/>
          <w:lang w:val="en-GB"/>
        </w:rPr>
        <w:t>, mostly low-level police officers and judges</w:t>
      </w:r>
      <w:r w:rsidR="00A10B11" w:rsidRPr="00EB0BCC">
        <w:rPr>
          <w:color w:val="000000" w:themeColor="text1"/>
          <w:szCs w:val="24"/>
          <w:lang w:val="en-GB"/>
        </w:rPr>
        <w:t>,</w:t>
      </w:r>
      <w:r w:rsidR="00C81505" w:rsidRPr="00EB0BCC">
        <w:rPr>
          <w:color w:val="000000" w:themeColor="text1"/>
          <w:szCs w:val="24"/>
          <w:lang w:val="en-GB"/>
        </w:rPr>
        <w:t xml:space="preserve"> </w:t>
      </w:r>
      <w:r w:rsidR="00A10B11" w:rsidRPr="00EB0BCC">
        <w:rPr>
          <w:color w:val="000000" w:themeColor="text1"/>
          <w:szCs w:val="24"/>
          <w:lang w:val="en-GB"/>
        </w:rPr>
        <w:t xml:space="preserve">whom she had previously </w:t>
      </w:r>
      <w:r w:rsidR="00976C65" w:rsidRPr="00EB0BCC">
        <w:rPr>
          <w:color w:val="000000" w:themeColor="text1"/>
          <w:szCs w:val="24"/>
          <w:lang w:val="en-GB"/>
        </w:rPr>
        <w:t>declared</w:t>
      </w:r>
      <w:r w:rsidR="00A10B11" w:rsidRPr="00EB0BCC">
        <w:rPr>
          <w:color w:val="000000" w:themeColor="text1"/>
          <w:szCs w:val="24"/>
          <w:lang w:val="en-GB"/>
        </w:rPr>
        <w:t xml:space="preserve"> as individuals responsible for human rights violations.</w:t>
      </w:r>
    </w:p>
    <w:p w:rsidR="00C81505" w:rsidRPr="00EB0BCC" w:rsidRDefault="00A10B11"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w:t>
      </w:r>
      <w:r w:rsidR="00C81505" w:rsidRPr="00EB0BCC">
        <w:rPr>
          <w:color w:val="000000" w:themeColor="text1"/>
          <w:szCs w:val="24"/>
          <w:lang w:val="en-GB"/>
        </w:rPr>
        <w:t xml:space="preserve">fter refusing to answer any questions </w:t>
      </w:r>
      <w:r w:rsidRPr="00EB0BCC">
        <w:rPr>
          <w:color w:val="000000" w:themeColor="text1"/>
          <w:szCs w:val="24"/>
          <w:lang w:val="en-GB"/>
        </w:rPr>
        <w:t>related to the charges and com</w:t>
      </w:r>
      <w:r w:rsidR="00976C65" w:rsidRPr="00EB0BCC">
        <w:rPr>
          <w:color w:val="000000" w:themeColor="text1"/>
          <w:szCs w:val="24"/>
          <w:lang w:val="en-GB"/>
        </w:rPr>
        <w:t>p</w:t>
      </w:r>
      <w:r w:rsidRPr="00EB0BCC">
        <w:rPr>
          <w:color w:val="000000" w:themeColor="text1"/>
          <w:szCs w:val="24"/>
          <w:lang w:val="en-GB"/>
        </w:rPr>
        <w:t xml:space="preserve">laints </w:t>
      </w:r>
      <w:r w:rsidR="00C81505" w:rsidRPr="00EB0BCC">
        <w:rPr>
          <w:color w:val="000000" w:themeColor="text1"/>
          <w:szCs w:val="24"/>
          <w:lang w:val="en-GB"/>
        </w:rPr>
        <w:t xml:space="preserve">without her lawyer present, </w:t>
      </w:r>
      <w:r w:rsidR="004936E3" w:rsidRPr="00EB0BCC">
        <w:rPr>
          <w:color w:val="000000" w:themeColor="text1"/>
          <w:szCs w:val="24"/>
          <w:lang w:val="en-GB"/>
        </w:rPr>
        <w:t>Al-Khawaja</w:t>
      </w:r>
      <w:r w:rsidR="00C81505" w:rsidRPr="00EB0BCC">
        <w:rPr>
          <w:color w:val="000000" w:themeColor="text1"/>
          <w:szCs w:val="24"/>
          <w:lang w:val="en-GB"/>
        </w:rPr>
        <w:t xml:space="preserve"> was</w:t>
      </w:r>
      <w:r w:rsidR="00C47397" w:rsidRPr="00EB0BCC">
        <w:rPr>
          <w:color w:val="000000" w:themeColor="text1"/>
          <w:szCs w:val="24"/>
          <w:lang w:val="en-GB"/>
        </w:rPr>
        <w:t xml:space="preserve"> handcuffed and</w:t>
      </w:r>
      <w:r w:rsidR="00C81505" w:rsidRPr="00EB0BCC">
        <w:rPr>
          <w:color w:val="000000" w:themeColor="text1"/>
          <w:szCs w:val="24"/>
          <w:lang w:val="en-GB"/>
        </w:rPr>
        <w:t xml:space="preserve"> </w:t>
      </w:r>
      <w:r w:rsidR="00C47397" w:rsidRPr="00EB0BCC">
        <w:rPr>
          <w:color w:val="000000" w:themeColor="text1"/>
          <w:szCs w:val="24"/>
          <w:lang w:val="en-GB"/>
        </w:rPr>
        <w:t>forced</w:t>
      </w:r>
      <w:r w:rsidR="00C81505" w:rsidRPr="00EB0BCC">
        <w:rPr>
          <w:color w:val="000000" w:themeColor="text1"/>
          <w:szCs w:val="24"/>
          <w:lang w:val="en-GB"/>
        </w:rPr>
        <w:t xml:space="preserve"> into a sports car</w:t>
      </w:r>
      <w:r w:rsidR="00C47397" w:rsidRPr="00EB0BCC">
        <w:rPr>
          <w:color w:val="000000" w:themeColor="text1"/>
          <w:szCs w:val="24"/>
          <w:lang w:val="en-GB"/>
        </w:rPr>
        <w:t xml:space="preserve"> with plain-clothed police</w:t>
      </w:r>
      <w:r w:rsidR="00071D97" w:rsidRPr="00EB0BCC">
        <w:rPr>
          <w:color w:val="000000" w:themeColor="text1"/>
          <w:szCs w:val="24"/>
          <w:lang w:val="en-GB"/>
        </w:rPr>
        <w:t>, and taken to t</w:t>
      </w:r>
      <w:r w:rsidR="00404A6B" w:rsidRPr="00EB0BCC">
        <w:rPr>
          <w:color w:val="000000" w:themeColor="text1"/>
          <w:szCs w:val="24"/>
          <w:lang w:val="en-GB"/>
        </w:rPr>
        <w:t>he Criminal Investigations Directorate (</w:t>
      </w:r>
      <w:r w:rsidR="00C81505" w:rsidRPr="00EB0BCC">
        <w:rPr>
          <w:color w:val="000000" w:themeColor="text1"/>
          <w:szCs w:val="24"/>
          <w:lang w:val="en-GB"/>
        </w:rPr>
        <w:t>CID</w:t>
      </w:r>
      <w:r w:rsidR="00404A6B" w:rsidRPr="00EB0BCC">
        <w:rPr>
          <w:color w:val="000000" w:themeColor="text1"/>
          <w:szCs w:val="24"/>
          <w:lang w:val="en-GB"/>
        </w:rPr>
        <w:t>)</w:t>
      </w:r>
      <w:r w:rsidR="00C81505" w:rsidRPr="00EB0BCC">
        <w:rPr>
          <w:color w:val="000000" w:themeColor="text1"/>
          <w:szCs w:val="24"/>
          <w:lang w:val="en-GB"/>
        </w:rPr>
        <w:t xml:space="preserve"> headquarters. </w:t>
      </w:r>
    </w:p>
    <w:p w:rsidR="00071D97" w:rsidRPr="00EB0BCC" w:rsidRDefault="00071D97"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 xml:space="preserve">Al-Khawaja was then taken to the public prosecution in a Ministry of Interior minibus with several female police escorting her. She was then interrogated </w:t>
      </w:r>
      <w:r w:rsidR="00675388" w:rsidRPr="00EB0BCC">
        <w:rPr>
          <w:color w:val="000000" w:themeColor="text1"/>
          <w:szCs w:val="24"/>
          <w:lang w:val="en-GB"/>
        </w:rPr>
        <w:t>and</w:t>
      </w:r>
      <w:r w:rsidRPr="00EB0BCC">
        <w:rPr>
          <w:color w:val="000000" w:themeColor="text1"/>
          <w:szCs w:val="24"/>
          <w:lang w:val="en-GB"/>
        </w:rPr>
        <w:t xml:space="preserve"> </w:t>
      </w:r>
      <w:r w:rsidR="003D70AA" w:rsidRPr="00EB0BCC">
        <w:rPr>
          <w:color w:val="000000" w:themeColor="text1"/>
          <w:szCs w:val="24"/>
          <w:lang w:val="en-GB"/>
        </w:rPr>
        <w:t>falsely accused of having</w:t>
      </w:r>
      <w:r w:rsidR="00675388" w:rsidRPr="00EB0BCC">
        <w:rPr>
          <w:color w:val="000000" w:themeColor="text1"/>
          <w:szCs w:val="24"/>
          <w:lang w:val="en-GB"/>
        </w:rPr>
        <w:t xml:space="preserve"> </w:t>
      </w:r>
      <w:r w:rsidRPr="00EB0BCC">
        <w:rPr>
          <w:color w:val="000000" w:themeColor="text1"/>
          <w:szCs w:val="24"/>
          <w:lang w:val="en-GB"/>
        </w:rPr>
        <w:t>attack</w:t>
      </w:r>
      <w:r w:rsidR="00675388" w:rsidRPr="00EB0BCC">
        <w:rPr>
          <w:color w:val="000000" w:themeColor="text1"/>
          <w:szCs w:val="24"/>
          <w:lang w:val="en-GB"/>
        </w:rPr>
        <w:t>ed</w:t>
      </w:r>
      <w:r w:rsidRPr="00EB0BCC">
        <w:rPr>
          <w:color w:val="000000" w:themeColor="text1"/>
          <w:szCs w:val="24"/>
          <w:lang w:val="en-GB"/>
        </w:rPr>
        <w:t xml:space="preserve"> the police women</w:t>
      </w:r>
      <w:r w:rsidR="00675388" w:rsidRPr="00EB0BCC">
        <w:rPr>
          <w:color w:val="000000" w:themeColor="text1"/>
          <w:szCs w:val="24"/>
          <w:lang w:val="en-GB"/>
        </w:rPr>
        <w:t xml:space="preserve"> (scratching someone’s finger and kicking someone)</w:t>
      </w:r>
      <w:r w:rsidRPr="00EB0BCC">
        <w:rPr>
          <w:color w:val="000000" w:themeColor="text1"/>
          <w:szCs w:val="24"/>
          <w:lang w:val="en-GB"/>
        </w:rPr>
        <w:t xml:space="preserve">, </w:t>
      </w:r>
      <w:r w:rsidR="00675388" w:rsidRPr="00EB0BCC">
        <w:rPr>
          <w:color w:val="000000" w:themeColor="text1"/>
          <w:szCs w:val="24"/>
          <w:lang w:val="en-GB"/>
        </w:rPr>
        <w:t xml:space="preserve">with no mention </w:t>
      </w:r>
      <w:r w:rsidRPr="00EB0BCC">
        <w:rPr>
          <w:color w:val="000000" w:themeColor="text1"/>
          <w:szCs w:val="24"/>
          <w:lang w:val="en-GB"/>
        </w:rPr>
        <w:t xml:space="preserve">of their assault on her. Her lawyer was present but she </w:t>
      </w:r>
      <w:r w:rsidR="003D70AA" w:rsidRPr="00EB0BCC">
        <w:rPr>
          <w:color w:val="000000" w:themeColor="text1"/>
          <w:szCs w:val="24"/>
          <w:lang w:val="en-GB"/>
        </w:rPr>
        <w:t>was not allowed</w:t>
      </w:r>
      <w:r w:rsidRPr="00EB0BCC">
        <w:rPr>
          <w:color w:val="000000" w:themeColor="text1"/>
          <w:szCs w:val="24"/>
          <w:lang w:val="en-GB"/>
        </w:rPr>
        <w:t xml:space="preserve"> to speak with him, </w:t>
      </w:r>
      <w:r w:rsidR="003D70AA" w:rsidRPr="00EB0BCC">
        <w:rPr>
          <w:color w:val="000000" w:themeColor="text1"/>
          <w:szCs w:val="24"/>
          <w:lang w:val="en-GB"/>
        </w:rPr>
        <w:t>as was her constitutional right</w:t>
      </w:r>
      <w:r w:rsidRPr="00EB0BCC">
        <w:rPr>
          <w:color w:val="000000" w:themeColor="text1"/>
          <w:szCs w:val="24"/>
          <w:lang w:val="en-GB"/>
        </w:rPr>
        <w:t>. She was asked to sign a prepared statement about her charges and complaints, but refused.</w:t>
      </w:r>
    </w:p>
    <w:p w:rsidR="00C81505" w:rsidRPr="00EB0BCC" w:rsidRDefault="00071D97"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Al-Khawaja was then informed that she was being held for seven days pending investigation by the public prosecution and taken to the Muharraq Airport police station. </w:t>
      </w:r>
      <w:r w:rsidR="00C81505" w:rsidRPr="00EB0BCC">
        <w:rPr>
          <w:color w:val="000000" w:themeColor="text1"/>
          <w:szCs w:val="24"/>
          <w:lang w:val="en-GB"/>
        </w:rPr>
        <w:t xml:space="preserve">She was then taken to the </w:t>
      </w:r>
      <w:r w:rsidR="00B25EE6" w:rsidRPr="00EB0BCC">
        <w:rPr>
          <w:color w:val="000000" w:themeColor="text1"/>
          <w:szCs w:val="24"/>
          <w:lang w:val="en-GB"/>
        </w:rPr>
        <w:t xml:space="preserve">female detention </w:t>
      </w:r>
      <w:r w:rsidR="009F467A" w:rsidRPr="00EB0BCC">
        <w:rPr>
          <w:color w:val="000000" w:themeColor="text1"/>
          <w:szCs w:val="24"/>
          <w:lang w:val="en-GB"/>
        </w:rPr>
        <w:t>centre</w:t>
      </w:r>
      <w:r w:rsidR="00C81505" w:rsidRPr="00EB0BCC">
        <w:rPr>
          <w:color w:val="000000" w:themeColor="text1"/>
          <w:szCs w:val="24"/>
          <w:lang w:val="en-GB"/>
        </w:rPr>
        <w:t>, Isa</w:t>
      </w:r>
      <w:r w:rsidR="008F0554" w:rsidRPr="00EB0BCC">
        <w:rPr>
          <w:color w:val="000000" w:themeColor="text1"/>
          <w:szCs w:val="24"/>
          <w:lang w:val="en-GB"/>
        </w:rPr>
        <w:t xml:space="preserve"> T</w:t>
      </w:r>
      <w:r w:rsidR="00C81505" w:rsidRPr="00EB0BCC">
        <w:rPr>
          <w:color w:val="000000" w:themeColor="text1"/>
          <w:szCs w:val="24"/>
          <w:lang w:val="en-GB"/>
        </w:rPr>
        <w:t>own</w:t>
      </w:r>
      <w:r w:rsidR="008F0554" w:rsidRPr="00EB0BCC">
        <w:rPr>
          <w:color w:val="000000" w:themeColor="text1"/>
          <w:szCs w:val="24"/>
          <w:lang w:val="en-GB"/>
        </w:rPr>
        <w:t xml:space="preserve"> </w:t>
      </w:r>
      <w:r w:rsidR="00722DA0" w:rsidRPr="00EB0BCC">
        <w:rPr>
          <w:color w:val="000000" w:themeColor="text1"/>
          <w:szCs w:val="24"/>
          <w:lang w:val="en-GB"/>
        </w:rPr>
        <w:t>P</w:t>
      </w:r>
      <w:r w:rsidR="008F0554" w:rsidRPr="00EB0BCC">
        <w:rPr>
          <w:color w:val="000000" w:themeColor="text1"/>
          <w:szCs w:val="24"/>
          <w:lang w:val="en-GB"/>
        </w:rPr>
        <w:t>rison</w:t>
      </w:r>
      <w:r w:rsidR="00C81505" w:rsidRPr="00EB0BCC">
        <w:rPr>
          <w:color w:val="000000" w:themeColor="text1"/>
          <w:szCs w:val="24"/>
          <w:lang w:val="en-GB"/>
        </w:rPr>
        <w:t xml:space="preserve">. </w:t>
      </w:r>
    </w:p>
    <w:p w:rsidR="00C81505" w:rsidRPr="00EB0BCC" w:rsidRDefault="00C8150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detention </w:t>
      </w:r>
      <w:r w:rsidR="009F467A" w:rsidRPr="00EB0BCC">
        <w:rPr>
          <w:color w:val="000000" w:themeColor="text1"/>
          <w:szCs w:val="24"/>
          <w:lang w:val="en-GB"/>
        </w:rPr>
        <w:t xml:space="preserve">centre </w:t>
      </w:r>
      <w:r w:rsidRPr="00EB0BCC">
        <w:rPr>
          <w:color w:val="000000" w:themeColor="text1"/>
          <w:szCs w:val="24"/>
          <w:lang w:val="en-GB"/>
        </w:rPr>
        <w:t xml:space="preserve">cell </w:t>
      </w:r>
      <w:r w:rsidR="00B0506C" w:rsidRPr="00EB0BCC">
        <w:rPr>
          <w:color w:val="000000" w:themeColor="text1"/>
          <w:szCs w:val="24"/>
          <w:lang w:val="en-GB"/>
        </w:rPr>
        <w:t xml:space="preserve">in which </w:t>
      </w:r>
      <w:r w:rsidR="004936E3" w:rsidRPr="00EB0BCC">
        <w:rPr>
          <w:color w:val="000000" w:themeColor="text1"/>
          <w:szCs w:val="24"/>
          <w:lang w:val="en-GB"/>
        </w:rPr>
        <w:t>Al-Khawaja</w:t>
      </w:r>
      <w:r w:rsidRPr="00EB0BCC">
        <w:rPr>
          <w:color w:val="000000" w:themeColor="text1"/>
          <w:szCs w:val="24"/>
          <w:lang w:val="en-GB"/>
        </w:rPr>
        <w:t xml:space="preserve"> was placed held eight people at a time. The conditions were </w:t>
      </w:r>
      <w:r w:rsidR="00B25EE6" w:rsidRPr="00EB0BCC">
        <w:rPr>
          <w:color w:val="000000" w:themeColor="text1"/>
          <w:szCs w:val="24"/>
          <w:lang w:val="en-GB"/>
        </w:rPr>
        <w:t>oppressive</w:t>
      </w:r>
      <w:r w:rsidRPr="00EB0BCC">
        <w:rPr>
          <w:color w:val="000000" w:themeColor="text1"/>
          <w:szCs w:val="24"/>
          <w:lang w:val="en-GB"/>
        </w:rPr>
        <w:t xml:space="preserve">, and two detainees </w:t>
      </w:r>
      <w:r w:rsidR="00D81FCA" w:rsidRPr="00EB0BCC">
        <w:rPr>
          <w:color w:val="000000" w:themeColor="text1"/>
          <w:szCs w:val="24"/>
          <w:lang w:val="en-GB"/>
        </w:rPr>
        <w:t>attempted</w:t>
      </w:r>
      <w:r w:rsidRPr="00EB0BCC">
        <w:rPr>
          <w:color w:val="000000" w:themeColor="text1"/>
          <w:szCs w:val="24"/>
          <w:lang w:val="en-GB"/>
        </w:rPr>
        <w:t xml:space="preserve"> suicide while </w:t>
      </w:r>
      <w:r w:rsidR="004936E3" w:rsidRPr="00EB0BCC">
        <w:rPr>
          <w:color w:val="000000" w:themeColor="text1"/>
          <w:szCs w:val="24"/>
          <w:lang w:val="en-GB"/>
        </w:rPr>
        <w:t>Al-Khawaja</w:t>
      </w:r>
      <w:r w:rsidRPr="00EB0BCC">
        <w:rPr>
          <w:color w:val="000000" w:themeColor="text1"/>
          <w:szCs w:val="24"/>
          <w:lang w:val="en-GB"/>
        </w:rPr>
        <w:t xml:space="preserve"> was imprisoned. Loudspeakers were kept on </w:t>
      </w:r>
      <w:r w:rsidR="00816791" w:rsidRPr="00EB0BCC">
        <w:rPr>
          <w:color w:val="000000" w:themeColor="text1"/>
          <w:szCs w:val="24"/>
          <w:lang w:val="en-GB"/>
        </w:rPr>
        <w:t xml:space="preserve">continuously </w:t>
      </w:r>
      <w:r w:rsidRPr="00EB0BCC">
        <w:rPr>
          <w:color w:val="000000" w:themeColor="text1"/>
          <w:szCs w:val="24"/>
          <w:lang w:val="en-GB"/>
        </w:rPr>
        <w:t xml:space="preserve">throughout the night blasting casual conversations amongst the guards. Bright fluorescent lights were also kept on, making it very difficult for </w:t>
      </w:r>
      <w:r w:rsidR="004936E3" w:rsidRPr="00EB0BCC">
        <w:rPr>
          <w:color w:val="000000" w:themeColor="text1"/>
          <w:szCs w:val="24"/>
          <w:lang w:val="en-GB"/>
        </w:rPr>
        <w:t>Al-Khawaja</w:t>
      </w:r>
      <w:r w:rsidRPr="00EB0BCC">
        <w:rPr>
          <w:color w:val="000000" w:themeColor="text1"/>
          <w:szCs w:val="24"/>
          <w:lang w:val="en-GB"/>
        </w:rPr>
        <w:t xml:space="preserve"> </w:t>
      </w:r>
      <w:r w:rsidR="00B25EE6" w:rsidRPr="00EB0BCC">
        <w:rPr>
          <w:color w:val="000000" w:themeColor="text1"/>
          <w:szCs w:val="24"/>
          <w:lang w:val="en-GB"/>
        </w:rPr>
        <w:t xml:space="preserve">or anyone else </w:t>
      </w:r>
      <w:r w:rsidRPr="00EB0BCC">
        <w:rPr>
          <w:color w:val="000000" w:themeColor="text1"/>
          <w:szCs w:val="24"/>
          <w:lang w:val="en-GB"/>
        </w:rPr>
        <w:t xml:space="preserve">to sleep. Half the bathrooms were in failing condition. </w:t>
      </w:r>
      <w:r w:rsidR="00B25EE6" w:rsidRPr="00EB0BCC">
        <w:rPr>
          <w:color w:val="000000" w:themeColor="text1"/>
          <w:szCs w:val="24"/>
          <w:lang w:val="en-GB"/>
        </w:rPr>
        <w:t xml:space="preserve">In total, </w:t>
      </w:r>
      <w:r w:rsidR="004936E3" w:rsidRPr="00EB0BCC">
        <w:rPr>
          <w:color w:val="000000" w:themeColor="text1"/>
          <w:szCs w:val="24"/>
          <w:lang w:val="en-GB"/>
        </w:rPr>
        <w:t>Al-Khawaja</w:t>
      </w:r>
      <w:r w:rsidRPr="00EB0BCC">
        <w:rPr>
          <w:color w:val="000000" w:themeColor="text1"/>
          <w:szCs w:val="24"/>
          <w:lang w:val="en-GB"/>
        </w:rPr>
        <w:t xml:space="preserve"> was detained for three weeks. Though she met with several government officials </w:t>
      </w:r>
      <w:r w:rsidR="00816791" w:rsidRPr="00EB0BCC">
        <w:rPr>
          <w:color w:val="000000" w:themeColor="text1"/>
          <w:szCs w:val="24"/>
          <w:lang w:val="en-GB"/>
        </w:rPr>
        <w:t>during her imprisonment</w:t>
      </w:r>
      <w:r w:rsidRPr="00EB0BCC">
        <w:rPr>
          <w:color w:val="000000" w:themeColor="text1"/>
          <w:szCs w:val="24"/>
          <w:lang w:val="en-GB"/>
        </w:rPr>
        <w:t>, she was not allowed to see her lawyer or a representative of the Danish embassy</w:t>
      </w:r>
      <w:r w:rsidR="00816791" w:rsidRPr="00EB0BCC">
        <w:rPr>
          <w:color w:val="000000" w:themeColor="text1"/>
          <w:szCs w:val="24"/>
          <w:lang w:val="en-GB"/>
        </w:rPr>
        <w:t xml:space="preserve"> at any time</w:t>
      </w:r>
      <w:r w:rsidRPr="00EB0BCC">
        <w:rPr>
          <w:color w:val="000000" w:themeColor="text1"/>
          <w:szCs w:val="24"/>
          <w:lang w:val="en-GB"/>
        </w:rPr>
        <w:t xml:space="preserve">. </w:t>
      </w:r>
    </w:p>
    <w:p w:rsidR="00C81505" w:rsidRPr="00EB0BCC" w:rsidRDefault="00B0506C"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On 18 September 2014, </w:t>
      </w:r>
      <w:r w:rsidR="004936E3" w:rsidRPr="00EB0BCC">
        <w:rPr>
          <w:color w:val="000000" w:themeColor="text1"/>
          <w:szCs w:val="24"/>
          <w:lang w:val="en-GB"/>
        </w:rPr>
        <w:t>Al-Khawaja</w:t>
      </w:r>
      <w:r w:rsidR="00C81505" w:rsidRPr="00EB0BCC">
        <w:rPr>
          <w:color w:val="000000" w:themeColor="text1"/>
          <w:szCs w:val="24"/>
          <w:lang w:val="en-GB"/>
        </w:rPr>
        <w:t xml:space="preserve"> was finally released without </w:t>
      </w:r>
      <w:r w:rsidR="004B0B05" w:rsidRPr="00EB0BCC">
        <w:rPr>
          <w:color w:val="000000" w:themeColor="text1"/>
          <w:szCs w:val="24"/>
          <w:lang w:val="en-GB"/>
        </w:rPr>
        <w:t>explanation</w:t>
      </w:r>
      <w:r w:rsidR="00C81505" w:rsidRPr="00EB0BCC">
        <w:rPr>
          <w:color w:val="000000" w:themeColor="text1"/>
          <w:szCs w:val="24"/>
          <w:lang w:val="en-GB"/>
        </w:rPr>
        <w:t xml:space="preserve"> and was allowed to leave Bahrain one week after her release. </w:t>
      </w:r>
      <w:r w:rsidR="00BD4FB7" w:rsidRPr="00EB0BCC">
        <w:rPr>
          <w:color w:val="000000" w:themeColor="text1"/>
          <w:szCs w:val="24"/>
          <w:lang w:val="en-GB"/>
        </w:rPr>
        <w:t xml:space="preserve">On </w:t>
      </w:r>
      <w:r w:rsidR="00D17596" w:rsidRPr="00EB0BCC">
        <w:rPr>
          <w:color w:val="000000" w:themeColor="text1"/>
          <w:szCs w:val="24"/>
          <w:lang w:val="en-GB"/>
        </w:rPr>
        <w:t>0</w:t>
      </w:r>
      <w:r w:rsidR="00BD4FB7" w:rsidRPr="00EB0BCC">
        <w:rPr>
          <w:color w:val="000000" w:themeColor="text1"/>
          <w:szCs w:val="24"/>
          <w:lang w:val="en-GB"/>
        </w:rPr>
        <w:t>1 December 2014</w:t>
      </w:r>
      <w:r w:rsidR="00C81505" w:rsidRPr="00EB0BCC">
        <w:rPr>
          <w:color w:val="000000" w:themeColor="text1"/>
          <w:szCs w:val="24"/>
          <w:lang w:val="en-GB"/>
        </w:rPr>
        <w:t xml:space="preserve"> </w:t>
      </w:r>
      <w:r w:rsidR="004936E3" w:rsidRPr="00EB0BCC">
        <w:rPr>
          <w:color w:val="000000" w:themeColor="text1"/>
          <w:szCs w:val="24"/>
          <w:lang w:val="en-GB"/>
        </w:rPr>
        <w:t>Al-Khawaja</w:t>
      </w:r>
      <w:r w:rsidR="00C81505" w:rsidRPr="00EB0BCC">
        <w:rPr>
          <w:color w:val="000000" w:themeColor="text1"/>
          <w:szCs w:val="24"/>
          <w:lang w:val="en-GB"/>
        </w:rPr>
        <w:t xml:space="preserve"> was sentenced </w:t>
      </w:r>
      <w:r w:rsidRPr="00EB0BCC">
        <w:rPr>
          <w:i/>
          <w:iCs/>
          <w:color w:val="000000" w:themeColor="text1"/>
          <w:szCs w:val="24"/>
          <w:lang w:val="en-GB"/>
        </w:rPr>
        <w:t>in absentia</w:t>
      </w:r>
      <w:r w:rsidRPr="00EB0BCC">
        <w:rPr>
          <w:color w:val="000000" w:themeColor="text1"/>
          <w:szCs w:val="24"/>
          <w:lang w:val="en-GB"/>
        </w:rPr>
        <w:t xml:space="preserve"> </w:t>
      </w:r>
      <w:r w:rsidR="00C81505" w:rsidRPr="00EB0BCC">
        <w:rPr>
          <w:color w:val="000000" w:themeColor="text1"/>
          <w:szCs w:val="24"/>
          <w:lang w:val="en-GB"/>
        </w:rPr>
        <w:t xml:space="preserve">to one year in prison, and </w:t>
      </w:r>
      <w:r w:rsidR="00BD4FB7" w:rsidRPr="00EB0BCC">
        <w:rPr>
          <w:color w:val="000000" w:themeColor="text1"/>
          <w:szCs w:val="24"/>
          <w:lang w:val="en-GB"/>
        </w:rPr>
        <w:t xml:space="preserve">she learned </w:t>
      </w:r>
      <w:r w:rsidR="00C81505" w:rsidRPr="00EB0BCC">
        <w:rPr>
          <w:color w:val="000000" w:themeColor="text1"/>
          <w:szCs w:val="24"/>
          <w:lang w:val="en-GB"/>
        </w:rPr>
        <w:t xml:space="preserve">that a warrant was out for her arrest should she return. She currently has four </w:t>
      </w:r>
      <w:r w:rsidR="00816791" w:rsidRPr="00EB0BCC">
        <w:rPr>
          <w:color w:val="000000" w:themeColor="text1"/>
          <w:szCs w:val="24"/>
          <w:lang w:val="en-GB"/>
        </w:rPr>
        <w:t>pend</w:t>
      </w:r>
      <w:r w:rsidR="00C81505" w:rsidRPr="00EB0BCC">
        <w:rPr>
          <w:color w:val="000000" w:themeColor="text1"/>
          <w:szCs w:val="24"/>
          <w:lang w:val="en-GB"/>
        </w:rPr>
        <w:t>ing cases against her in Bahrain, one brought under Bahrain’s terrorism law with a potential death sentence.</w:t>
      </w:r>
    </w:p>
    <w:p w:rsidR="00CB65A6" w:rsidRPr="00EB0BCC" w:rsidRDefault="00606639" w:rsidP="002A724F">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Zainab Al-Khawaja Case</w:t>
      </w:r>
      <w:r w:rsidR="0080739F" w:rsidRPr="00EB0BCC">
        <w:rPr>
          <w:rStyle w:val="FootnoteReference"/>
          <w:b/>
          <w:i/>
          <w:color w:val="000000" w:themeColor="text1"/>
          <w:szCs w:val="24"/>
          <w:lang w:val="en-GB"/>
        </w:rPr>
        <w:footnoteReference w:id="56"/>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Human rights defender and pro-democracy activist Zainab Al-Khawaja has been arrested a total of eleven times, most often on charges related to peaceful assembly and freedom of expression. She has been targeted by the Bahraini government because of her work.</w:t>
      </w:r>
      <w:r w:rsidR="004A72F6" w:rsidRPr="00EB0BCC">
        <w:rPr>
          <w:color w:val="000000" w:themeColor="text1"/>
          <w:szCs w:val="24"/>
          <w:lang w:val="en-GB"/>
        </w:rPr>
        <w:t xml:space="preserve"> Along with her father and her sister Maryam Al-Khawaja, she received the 2012 Freedom Award from Freedom House.</w:t>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On 27 February 2013, </w:t>
      </w:r>
      <w:r w:rsidR="009B6D6D" w:rsidRPr="00EB0BCC">
        <w:rPr>
          <w:color w:val="000000" w:themeColor="text1"/>
          <w:szCs w:val="24"/>
          <w:lang w:val="en-GB"/>
        </w:rPr>
        <w:t>Al-Khawaja</w:t>
      </w:r>
      <w:r w:rsidRPr="00EB0BCC">
        <w:rPr>
          <w:color w:val="000000" w:themeColor="text1"/>
          <w:szCs w:val="24"/>
          <w:lang w:val="en-GB"/>
        </w:rPr>
        <w:t xml:space="preserve"> was sentenced to prison for “participating in an unauthorized demonstration and entering a restricted zone” </w:t>
      </w:r>
      <w:r w:rsidR="00BD4FB7" w:rsidRPr="00EB0BCC">
        <w:rPr>
          <w:color w:val="000000" w:themeColor="text1"/>
          <w:szCs w:val="24"/>
          <w:lang w:val="en-GB"/>
        </w:rPr>
        <w:t>(the P</w:t>
      </w:r>
      <w:r w:rsidRPr="00EB0BCC">
        <w:rPr>
          <w:color w:val="000000" w:themeColor="text1"/>
          <w:szCs w:val="24"/>
          <w:lang w:val="en-GB"/>
        </w:rPr>
        <w:t xml:space="preserve">earl </w:t>
      </w:r>
      <w:r w:rsidR="00BD4FB7" w:rsidRPr="00EB0BCC">
        <w:rPr>
          <w:color w:val="000000" w:themeColor="text1"/>
          <w:szCs w:val="24"/>
          <w:lang w:val="en-GB"/>
        </w:rPr>
        <w:t>R</w:t>
      </w:r>
      <w:r w:rsidRPr="00EB0BCC">
        <w:rPr>
          <w:color w:val="000000" w:themeColor="text1"/>
          <w:szCs w:val="24"/>
          <w:lang w:val="en-GB"/>
        </w:rPr>
        <w:t>oundabout area</w:t>
      </w:r>
      <w:r w:rsidR="00BD4FB7" w:rsidRPr="00EB0BCC">
        <w:rPr>
          <w:color w:val="000000" w:themeColor="text1"/>
          <w:szCs w:val="24"/>
          <w:lang w:val="en-GB"/>
        </w:rPr>
        <w:t>)</w:t>
      </w:r>
      <w:r w:rsidRPr="00EB0BCC">
        <w:rPr>
          <w:color w:val="000000" w:themeColor="text1"/>
          <w:szCs w:val="24"/>
          <w:lang w:val="en-GB"/>
        </w:rPr>
        <w:t xml:space="preserve">, and insulting the police. She was ordered to serve one year in prison for multiple charges, and released in February 2014. During her time in prison, for the first six months, she was never allowed to step outside. Only after writing to the Danish consulate was she allowed to go outside with other prisoners, but even then it was only granted for five or six minutes. </w:t>
      </w:r>
    </w:p>
    <w:p w:rsidR="002A724F" w:rsidRPr="00EB0BCC" w:rsidRDefault="009B6D6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Al-Khawaja</w:t>
      </w:r>
      <w:r w:rsidR="0080739F" w:rsidRPr="00EB0BCC">
        <w:rPr>
          <w:color w:val="000000" w:themeColor="text1"/>
          <w:szCs w:val="24"/>
          <w:lang w:val="en-GB"/>
        </w:rPr>
        <w:t xml:space="preserve"> was </w:t>
      </w:r>
      <w:r w:rsidR="009900F7" w:rsidRPr="00EB0BCC">
        <w:rPr>
          <w:color w:val="000000" w:themeColor="text1"/>
          <w:szCs w:val="24"/>
          <w:lang w:val="en-GB"/>
        </w:rPr>
        <w:t xml:space="preserve">also </w:t>
      </w:r>
      <w:r w:rsidR="0080739F" w:rsidRPr="00EB0BCC">
        <w:rPr>
          <w:color w:val="000000" w:themeColor="text1"/>
          <w:szCs w:val="24"/>
          <w:lang w:val="en-GB"/>
        </w:rPr>
        <w:t xml:space="preserve">arrested for “obstructing traffic.” She had been protesting with other political activists when a higher level officer gave another officer direct orders to shoot a </w:t>
      </w:r>
      <w:r w:rsidR="00736A24" w:rsidRPr="00EB0BCC">
        <w:rPr>
          <w:color w:val="000000" w:themeColor="text1"/>
          <w:szCs w:val="24"/>
          <w:lang w:val="en-GB"/>
        </w:rPr>
        <w:t>tear gas canister</w:t>
      </w:r>
      <w:r w:rsidR="0080739F" w:rsidRPr="00EB0BCC">
        <w:rPr>
          <w:color w:val="000000" w:themeColor="text1"/>
          <w:szCs w:val="24"/>
          <w:lang w:val="en-GB"/>
        </w:rPr>
        <w:t xml:space="preserve"> in her thigh. The bullet hit her in the thigh and broke her leg. </w:t>
      </w:r>
      <w:r w:rsidRPr="00EB0BCC">
        <w:rPr>
          <w:color w:val="000000" w:themeColor="text1"/>
          <w:szCs w:val="24"/>
          <w:lang w:val="en-GB"/>
        </w:rPr>
        <w:t>Al-Khawaja</w:t>
      </w:r>
      <w:r w:rsidR="0080739F" w:rsidRPr="00EB0BCC">
        <w:rPr>
          <w:color w:val="000000" w:themeColor="text1"/>
          <w:szCs w:val="24"/>
          <w:lang w:val="en-GB"/>
        </w:rPr>
        <w:t xml:space="preserve"> tried to seek medical attention, but because hospital</w:t>
      </w:r>
      <w:r w:rsidR="00BD4FB7" w:rsidRPr="00EB0BCC">
        <w:rPr>
          <w:color w:val="000000" w:themeColor="text1"/>
          <w:szCs w:val="24"/>
          <w:lang w:val="en-GB"/>
        </w:rPr>
        <w:t xml:space="preserve"> staff</w:t>
      </w:r>
      <w:r w:rsidR="0080739F" w:rsidRPr="00EB0BCC">
        <w:rPr>
          <w:color w:val="000000" w:themeColor="text1"/>
          <w:szCs w:val="24"/>
          <w:lang w:val="en-GB"/>
        </w:rPr>
        <w:t xml:space="preserve"> in Bahrain are afraid of the government, she did not receive proper treatment. </w:t>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The hospital did not run tests on her leg, but instead stitched up the open wound and sent her away. The stitches popped open only a few days later and she was forced to secretly find doctors who would properly treat her leg. After this, she was on crutches and protested again, about a week later. The police were afraid that her injury would catch media attention, so they filmed their interactions with her, asking her nicely if she needed water or food. Shortly after, they shut off the video camera, arrested her and became verbally abusive to her. When she was being processed, she took a picture of King Hamad off the wall and tore it up, stating that she needed to be treated with respect and speak to the proper individuals. The officers’ response was to drag her across the floor, throw her into a Jeep and send her back to prison.</w:t>
      </w:r>
    </w:p>
    <w:p w:rsidR="0080739F" w:rsidRPr="00EB0BCC" w:rsidRDefault="00BD4FB7" w:rsidP="005B179B">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In several cases</w:t>
      </w:r>
      <w:r w:rsidR="0080739F" w:rsidRPr="00EB0BCC">
        <w:rPr>
          <w:color w:val="000000" w:themeColor="text1"/>
          <w:szCs w:val="24"/>
          <w:lang w:val="en-GB"/>
        </w:rPr>
        <w:t xml:space="preserve">, </w:t>
      </w:r>
      <w:r w:rsidR="009B6D6D" w:rsidRPr="00EB0BCC">
        <w:rPr>
          <w:color w:val="000000" w:themeColor="text1"/>
          <w:szCs w:val="24"/>
          <w:lang w:val="en-GB"/>
        </w:rPr>
        <w:t>Al-Khawaja</w:t>
      </w:r>
      <w:r w:rsidR="0080739F" w:rsidRPr="00EB0BCC">
        <w:rPr>
          <w:color w:val="000000" w:themeColor="text1"/>
          <w:szCs w:val="24"/>
          <w:lang w:val="en-GB"/>
        </w:rPr>
        <w:t xml:space="preserve"> </w:t>
      </w:r>
      <w:r w:rsidRPr="00EB0BCC">
        <w:rPr>
          <w:color w:val="000000" w:themeColor="text1"/>
          <w:szCs w:val="24"/>
          <w:lang w:val="en-GB"/>
        </w:rPr>
        <w:t xml:space="preserve">was arrested while trying </w:t>
      </w:r>
      <w:r w:rsidR="0080739F" w:rsidRPr="00EB0BCC">
        <w:rPr>
          <w:color w:val="000000" w:themeColor="text1"/>
          <w:szCs w:val="24"/>
          <w:lang w:val="en-GB"/>
        </w:rPr>
        <w:t>to visit her father Abdul</w:t>
      </w:r>
      <w:r w:rsidR="005B179B" w:rsidRPr="00EB0BCC">
        <w:rPr>
          <w:color w:val="000000" w:themeColor="text1"/>
          <w:szCs w:val="24"/>
        </w:rPr>
        <w:t>h</w:t>
      </w:r>
      <w:r w:rsidR="0080739F" w:rsidRPr="00EB0BCC">
        <w:rPr>
          <w:color w:val="000000" w:themeColor="text1"/>
          <w:szCs w:val="24"/>
          <w:lang w:val="en-GB"/>
        </w:rPr>
        <w:t xml:space="preserve">adi Al-Khawaja, a </w:t>
      </w:r>
      <w:r w:rsidR="005B179B" w:rsidRPr="00EB0BCC">
        <w:rPr>
          <w:color w:val="000000" w:themeColor="text1"/>
          <w:szCs w:val="24"/>
        </w:rPr>
        <w:t>human rights defender</w:t>
      </w:r>
      <w:r w:rsidR="0080739F" w:rsidRPr="00EB0BCC">
        <w:rPr>
          <w:color w:val="000000" w:themeColor="text1"/>
          <w:szCs w:val="24"/>
          <w:lang w:val="en-GB"/>
        </w:rPr>
        <w:t xml:space="preserve"> who is currently serving a life sentence in Bahrain. After being refused many times upon inquiring about the health condition of her father, </w:t>
      </w:r>
      <w:r w:rsidR="009B6D6D" w:rsidRPr="00EB0BCC">
        <w:rPr>
          <w:color w:val="000000" w:themeColor="text1"/>
          <w:szCs w:val="24"/>
          <w:lang w:val="en-GB"/>
        </w:rPr>
        <w:t>Al-Khawaja</w:t>
      </w:r>
      <w:r w:rsidR="0080739F" w:rsidRPr="00EB0BCC">
        <w:rPr>
          <w:color w:val="000000" w:themeColor="text1"/>
          <w:szCs w:val="24"/>
          <w:lang w:val="en-GB"/>
        </w:rPr>
        <w:t xml:space="preserve"> attempted to visit him</w:t>
      </w:r>
      <w:r w:rsidRPr="00EB0BCC">
        <w:rPr>
          <w:color w:val="000000" w:themeColor="text1"/>
          <w:szCs w:val="24"/>
          <w:lang w:val="en-GB"/>
        </w:rPr>
        <w:t xml:space="preserve"> in prison</w:t>
      </w:r>
      <w:r w:rsidR="0080739F" w:rsidRPr="00EB0BCC">
        <w:rPr>
          <w:color w:val="000000" w:themeColor="text1"/>
          <w:szCs w:val="24"/>
          <w:lang w:val="en-GB"/>
        </w:rPr>
        <w:t xml:space="preserve">. </w:t>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On one occasion, </w:t>
      </w:r>
      <w:r w:rsidR="009B6D6D" w:rsidRPr="00EB0BCC">
        <w:rPr>
          <w:color w:val="000000" w:themeColor="text1"/>
          <w:szCs w:val="24"/>
          <w:lang w:val="en-GB"/>
        </w:rPr>
        <w:t>Al-Khawaja</w:t>
      </w:r>
      <w:r w:rsidRPr="00EB0BCC">
        <w:rPr>
          <w:color w:val="000000" w:themeColor="text1"/>
          <w:szCs w:val="24"/>
          <w:lang w:val="en-GB"/>
        </w:rPr>
        <w:t xml:space="preserve"> was arrested while seven months pregnant for trying to visit her father in prison. They put her on the ground and the head prison warren said to her that it would be her fault if she </w:t>
      </w:r>
      <w:r w:rsidR="00BD4FB7" w:rsidRPr="00EB0BCC">
        <w:rPr>
          <w:color w:val="000000" w:themeColor="text1"/>
          <w:szCs w:val="24"/>
          <w:lang w:val="en-GB"/>
        </w:rPr>
        <w:t>had a miscarriage</w:t>
      </w:r>
      <w:r w:rsidRPr="00EB0BCC">
        <w:rPr>
          <w:color w:val="000000" w:themeColor="text1"/>
          <w:szCs w:val="24"/>
          <w:lang w:val="en-GB"/>
        </w:rPr>
        <w:t xml:space="preserve"> because she was the one who chose to protest. </w:t>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On another occasion, her father was moved to a military hospital. She went to the hospital and refused to leave when military officials told her to leave. Eventually, the military officials tied her arms and legs to a wheelchair and taped her mouth. They placed her in a car with other armed military officers who threatened to rape and abuse her. She was sent to a dark room at the military base, and only after expressing her concern about being raped and abused, was she placed in an armo</w:t>
      </w:r>
      <w:r w:rsidR="00B0571E" w:rsidRPr="00EB0BCC">
        <w:rPr>
          <w:color w:val="000000" w:themeColor="text1"/>
          <w:szCs w:val="24"/>
          <w:lang w:val="en-GB"/>
        </w:rPr>
        <w:t>u</w:t>
      </w:r>
      <w:r w:rsidRPr="00EB0BCC">
        <w:rPr>
          <w:color w:val="000000" w:themeColor="text1"/>
          <w:szCs w:val="24"/>
          <w:lang w:val="en-GB"/>
        </w:rPr>
        <w:t xml:space="preserve">red vehicle and sent away. </w:t>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On </w:t>
      </w:r>
      <w:r w:rsidR="005B179B" w:rsidRPr="00EB0BCC">
        <w:rPr>
          <w:color w:val="000000" w:themeColor="text1"/>
          <w:szCs w:val="24"/>
          <w:lang w:val="en-GB"/>
        </w:rPr>
        <w:t>0</w:t>
      </w:r>
      <w:r w:rsidRPr="00EB0BCC">
        <w:rPr>
          <w:color w:val="000000" w:themeColor="text1"/>
          <w:szCs w:val="24"/>
          <w:lang w:val="en-GB"/>
        </w:rPr>
        <w:t xml:space="preserve">2 June 2015, </w:t>
      </w:r>
      <w:r w:rsidR="009B6D6D" w:rsidRPr="00EB0BCC">
        <w:rPr>
          <w:color w:val="000000" w:themeColor="text1"/>
          <w:szCs w:val="24"/>
          <w:lang w:val="en-GB"/>
        </w:rPr>
        <w:t>Al-Khawaja</w:t>
      </w:r>
      <w:r w:rsidRPr="00EB0BCC">
        <w:rPr>
          <w:color w:val="000000" w:themeColor="text1"/>
          <w:szCs w:val="24"/>
          <w:lang w:val="en-GB"/>
        </w:rPr>
        <w:t xml:space="preserve"> was sentenced to nine months in prison after trying to visit her father, Abdul</w:t>
      </w:r>
      <w:r w:rsidR="00B03A70" w:rsidRPr="00EB0BCC">
        <w:rPr>
          <w:color w:val="000000" w:themeColor="text1"/>
          <w:szCs w:val="24"/>
          <w:lang w:val="en-GB"/>
        </w:rPr>
        <w:t>-H</w:t>
      </w:r>
      <w:r w:rsidRPr="00EB0BCC">
        <w:rPr>
          <w:color w:val="000000" w:themeColor="text1"/>
          <w:szCs w:val="24"/>
          <w:lang w:val="en-GB"/>
        </w:rPr>
        <w:t xml:space="preserve">adi Al-Khawaja in Jaw Prison. </w:t>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On </w:t>
      </w:r>
      <w:r w:rsidR="005B179B" w:rsidRPr="00EB0BCC">
        <w:rPr>
          <w:color w:val="000000" w:themeColor="text1"/>
          <w:szCs w:val="24"/>
          <w:lang w:val="en-GB"/>
        </w:rPr>
        <w:t>0</w:t>
      </w:r>
      <w:r w:rsidRPr="00EB0BCC">
        <w:rPr>
          <w:color w:val="000000" w:themeColor="text1"/>
          <w:szCs w:val="24"/>
          <w:lang w:val="en-GB"/>
        </w:rPr>
        <w:t xml:space="preserve">3 December 2015, </w:t>
      </w:r>
      <w:r w:rsidR="009B6D6D" w:rsidRPr="00EB0BCC">
        <w:rPr>
          <w:color w:val="000000" w:themeColor="text1"/>
          <w:szCs w:val="24"/>
          <w:lang w:val="en-GB"/>
        </w:rPr>
        <w:t>Al-Khawaja</w:t>
      </w:r>
      <w:r w:rsidRPr="00EB0BCC">
        <w:rPr>
          <w:color w:val="000000" w:themeColor="text1"/>
          <w:szCs w:val="24"/>
          <w:lang w:val="en-GB"/>
        </w:rPr>
        <w:t xml:space="preserve"> lost her right to appeal in three cases that were heard in court, including the sentences for ripping up the photograph of King Hamad and insulting a public official. </w:t>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She was arrested again on 14 March 2016 at her home, in front of her six</w:t>
      </w:r>
      <w:r w:rsidR="00BD4FB7" w:rsidRPr="00EB0BCC">
        <w:rPr>
          <w:color w:val="000000" w:themeColor="text1"/>
          <w:szCs w:val="24"/>
          <w:lang w:val="en-GB"/>
        </w:rPr>
        <w:t>-</w:t>
      </w:r>
      <w:r w:rsidRPr="00EB0BCC">
        <w:rPr>
          <w:color w:val="000000" w:themeColor="text1"/>
          <w:szCs w:val="24"/>
          <w:lang w:val="en-GB"/>
        </w:rPr>
        <w:t>year</w:t>
      </w:r>
      <w:r w:rsidR="00BD4FB7" w:rsidRPr="00EB0BCC">
        <w:rPr>
          <w:color w:val="000000" w:themeColor="text1"/>
          <w:szCs w:val="24"/>
          <w:lang w:val="en-GB"/>
        </w:rPr>
        <w:t>-</w:t>
      </w:r>
      <w:r w:rsidRPr="00EB0BCC">
        <w:rPr>
          <w:color w:val="000000" w:themeColor="text1"/>
          <w:szCs w:val="24"/>
          <w:lang w:val="en-GB"/>
        </w:rPr>
        <w:t>old daughter. Because she had a 15</w:t>
      </w:r>
      <w:r w:rsidR="00BD4FB7" w:rsidRPr="00EB0BCC">
        <w:rPr>
          <w:color w:val="000000" w:themeColor="text1"/>
          <w:szCs w:val="24"/>
          <w:lang w:val="en-GB"/>
        </w:rPr>
        <w:t>-</w:t>
      </w:r>
      <w:r w:rsidRPr="00EB0BCC">
        <w:rPr>
          <w:color w:val="000000" w:themeColor="text1"/>
          <w:szCs w:val="24"/>
          <w:lang w:val="en-GB"/>
        </w:rPr>
        <w:t>month</w:t>
      </w:r>
      <w:r w:rsidR="00BD4FB7" w:rsidRPr="00EB0BCC">
        <w:rPr>
          <w:color w:val="000000" w:themeColor="text1"/>
          <w:szCs w:val="24"/>
          <w:lang w:val="en-GB"/>
        </w:rPr>
        <w:t>-</w:t>
      </w:r>
      <w:r w:rsidRPr="00EB0BCC">
        <w:rPr>
          <w:color w:val="000000" w:themeColor="text1"/>
          <w:szCs w:val="24"/>
          <w:lang w:val="en-GB"/>
        </w:rPr>
        <w:t>old son, she was forced to bring her son with her to prison. She was sentenced to three years and one month at Isa</w:t>
      </w:r>
      <w:r w:rsidR="008F0554" w:rsidRPr="00EB0BCC">
        <w:rPr>
          <w:color w:val="000000" w:themeColor="text1"/>
          <w:szCs w:val="24"/>
          <w:lang w:val="en-GB"/>
        </w:rPr>
        <w:t xml:space="preserve"> T</w:t>
      </w:r>
      <w:r w:rsidRPr="00EB0BCC">
        <w:rPr>
          <w:color w:val="000000" w:themeColor="text1"/>
          <w:szCs w:val="24"/>
          <w:lang w:val="en-GB"/>
        </w:rPr>
        <w:t xml:space="preserve">own </w:t>
      </w:r>
      <w:r w:rsidR="00BD4FB7" w:rsidRPr="00EB0BCC">
        <w:rPr>
          <w:color w:val="000000" w:themeColor="text1"/>
          <w:szCs w:val="24"/>
          <w:lang w:val="en-GB"/>
        </w:rPr>
        <w:t xml:space="preserve">Prison </w:t>
      </w:r>
      <w:r w:rsidRPr="00EB0BCC">
        <w:rPr>
          <w:color w:val="000000" w:themeColor="text1"/>
          <w:szCs w:val="24"/>
          <w:lang w:val="en-GB"/>
        </w:rPr>
        <w:t xml:space="preserve">for charges related to freedom of expression. Even though the prison was designated for females and mothers, </w:t>
      </w:r>
      <w:r w:rsidR="009B6D6D" w:rsidRPr="00EB0BCC">
        <w:rPr>
          <w:color w:val="000000" w:themeColor="text1"/>
          <w:szCs w:val="24"/>
          <w:lang w:val="en-GB"/>
        </w:rPr>
        <w:t>Al-Khawaja</w:t>
      </w:r>
      <w:r w:rsidRPr="00EB0BCC">
        <w:rPr>
          <w:color w:val="000000" w:themeColor="text1"/>
          <w:szCs w:val="24"/>
          <w:lang w:val="en-GB"/>
        </w:rPr>
        <w:t xml:space="preserve">’s treatment was a serious threat to her son’s health. The cell itself had closing metal bars that could break a child’s arm or leg if they got stuck. Guards even had trouble opening and closing the bars. </w:t>
      </w:r>
      <w:r w:rsidR="009B6D6D" w:rsidRPr="00EB0BCC">
        <w:rPr>
          <w:color w:val="000000" w:themeColor="text1"/>
          <w:szCs w:val="24"/>
          <w:lang w:val="en-GB"/>
        </w:rPr>
        <w:t>Al-Khawaja</w:t>
      </w:r>
      <w:r w:rsidRPr="00EB0BCC">
        <w:rPr>
          <w:color w:val="000000" w:themeColor="text1"/>
          <w:szCs w:val="24"/>
          <w:lang w:val="en-GB"/>
        </w:rPr>
        <w:t xml:space="preserve"> was finally released from prison on 31 May 2016, after multiple complaints to officials and </w:t>
      </w:r>
      <w:r w:rsidR="00BD4FB7" w:rsidRPr="00EB0BCC">
        <w:rPr>
          <w:color w:val="000000" w:themeColor="text1"/>
          <w:szCs w:val="24"/>
          <w:lang w:val="en-GB"/>
        </w:rPr>
        <w:t xml:space="preserve">appeals to </w:t>
      </w:r>
      <w:r w:rsidRPr="00EB0BCC">
        <w:rPr>
          <w:color w:val="000000" w:themeColor="text1"/>
          <w:szCs w:val="24"/>
          <w:lang w:val="en-GB"/>
        </w:rPr>
        <w:t xml:space="preserve">the Danish consulate that her son was ill and was not getting better. Bahrain’s Foreign Minister promised her release in a press conference with US Secretary of State John Kerry seven weeks earlier on </w:t>
      </w:r>
      <w:r w:rsidR="005B179B" w:rsidRPr="00EB0BCC">
        <w:rPr>
          <w:color w:val="000000" w:themeColor="text1"/>
          <w:szCs w:val="24"/>
          <w:lang w:val="en-GB"/>
        </w:rPr>
        <w:t>0</w:t>
      </w:r>
      <w:r w:rsidRPr="00EB0BCC">
        <w:rPr>
          <w:color w:val="000000" w:themeColor="text1"/>
          <w:szCs w:val="24"/>
          <w:lang w:val="en-GB"/>
        </w:rPr>
        <w:t xml:space="preserve">7 April 2016. Upon her release, </w:t>
      </w:r>
      <w:r w:rsidR="009B6D6D" w:rsidRPr="00EB0BCC">
        <w:rPr>
          <w:color w:val="000000" w:themeColor="text1"/>
          <w:szCs w:val="24"/>
          <w:lang w:val="en-GB"/>
        </w:rPr>
        <w:t>Al-Khawaja</w:t>
      </w:r>
      <w:r w:rsidRPr="00EB0BCC">
        <w:rPr>
          <w:color w:val="000000" w:themeColor="text1"/>
          <w:szCs w:val="24"/>
          <w:lang w:val="en-GB"/>
        </w:rPr>
        <w:t xml:space="preserve"> was threatened and forced to leave Bahrain with her children or risk imprisonment for an indefinite term with new charges. </w:t>
      </w:r>
    </w:p>
    <w:p w:rsidR="0080739F" w:rsidRPr="00EB0BCC" w:rsidRDefault="009B6D6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Al-Khawaja</w:t>
      </w:r>
      <w:r w:rsidR="0080739F" w:rsidRPr="00EB0BCC">
        <w:rPr>
          <w:color w:val="000000" w:themeColor="text1"/>
          <w:szCs w:val="24"/>
          <w:lang w:val="en-GB"/>
        </w:rPr>
        <w:t xml:space="preserve"> describes conditions in the detention cent</w:t>
      </w:r>
      <w:r w:rsidR="00B0571E" w:rsidRPr="00EB0BCC">
        <w:rPr>
          <w:color w:val="000000" w:themeColor="text1"/>
          <w:szCs w:val="24"/>
          <w:lang w:val="en-GB"/>
        </w:rPr>
        <w:t>re</w:t>
      </w:r>
      <w:r w:rsidR="0080739F" w:rsidRPr="00EB0BCC">
        <w:rPr>
          <w:color w:val="000000" w:themeColor="text1"/>
          <w:szCs w:val="24"/>
          <w:lang w:val="en-GB"/>
        </w:rPr>
        <w:t xml:space="preserve"> and prison as failing and unsanitary. At the detention cent</w:t>
      </w:r>
      <w:r w:rsidR="00B0571E" w:rsidRPr="00EB0BCC">
        <w:rPr>
          <w:color w:val="000000" w:themeColor="text1"/>
          <w:szCs w:val="24"/>
          <w:lang w:val="en-GB"/>
        </w:rPr>
        <w:t>re</w:t>
      </w:r>
      <w:r w:rsidR="0080739F" w:rsidRPr="00EB0BCC">
        <w:rPr>
          <w:color w:val="000000" w:themeColor="text1"/>
          <w:szCs w:val="24"/>
          <w:lang w:val="en-GB"/>
        </w:rPr>
        <w:t xml:space="preserve">, arrested individuals, some with contagious diseases, were all put into the same room for processing. Instead of giving clean sheets to each arrestee, dirty sheets were handed out. As for prison, </w:t>
      </w:r>
      <w:r w:rsidRPr="00EB0BCC">
        <w:rPr>
          <w:color w:val="000000" w:themeColor="text1"/>
          <w:szCs w:val="24"/>
          <w:lang w:val="en-GB"/>
        </w:rPr>
        <w:t>Al-Khawaja</w:t>
      </w:r>
      <w:r w:rsidR="0080739F" w:rsidRPr="00EB0BCC">
        <w:rPr>
          <w:color w:val="000000" w:themeColor="text1"/>
          <w:szCs w:val="24"/>
          <w:lang w:val="en-GB"/>
        </w:rPr>
        <w:t xml:space="preserve"> remembers the cells being overcrowded, with ten beds to a cell, but actually holding 16-17 prisoners. There were cockroaches, bedbugs and mice in the cells. There was no fresh air and the prisoners were not allowed to go outside regularly. In the </w:t>
      </w:r>
      <w:r w:rsidR="00B03A70" w:rsidRPr="00EB0BCC">
        <w:rPr>
          <w:color w:val="000000" w:themeColor="text1"/>
          <w:szCs w:val="24"/>
          <w:lang w:val="en-GB"/>
        </w:rPr>
        <w:t>visitations</w:t>
      </w:r>
      <w:r w:rsidR="0080739F" w:rsidRPr="00EB0BCC">
        <w:rPr>
          <w:color w:val="000000" w:themeColor="text1"/>
          <w:szCs w:val="24"/>
          <w:lang w:val="en-GB"/>
        </w:rPr>
        <w:t xml:space="preserve"> she was allowed once a week, two to three guards would sit next to her and interrupt her conversations. She was never allowed to hug </w:t>
      </w:r>
      <w:r w:rsidR="007B1DB0" w:rsidRPr="00EB0BCC">
        <w:rPr>
          <w:color w:val="000000" w:themeColor="text1"/>
          <w:szCs w:val="24"/>
          <w:lang w:val="en-GB"/>
        </w:rPr>
        <w:t xml:space="preserve">members of </w:t>
      </w:r>
      <w:r w:rsidR="0080739F" w:rsidRPr="00EB0BCC">
        <w:rPr>
          <w:color w:val="000000" w:themeColor="text1"/>
          <w:szCs w:val="24"/>
          <w:lang w:val="en-GB"/>
        </w:rPr>
        <w:t>her family, including her six</w:t>
      </w:r>
      <w:r w:rsidR="00BD4FB7" w:rsidRPr="00EB0BCC">
        <w:rPr>
          <w:color w:val="000000" w:themeColor="text1"/>
          <w:szCs w:val="24"/>
          <w:lang w:val="en-GB"/>
        </w:rPr>
        <w:t>-</w:t>
      </w:r>
      <w:r w:rsidR="0080739F" w:rsidRPr="00EB0BCC">
        <w:rPr>
          <w:color w:val="000000" w:themeColor="text1"/>
          <w:szCs w:val="24"/>
          <w:lang w:val="en-GB"/>
        </w:rPr>
        <w:t>year</w:t>
      </w:r>
      <w:r w:rsidR="00BD4FB7" w:rsidRPr="00EB0BCC">
        <w:rPr>
          <w:color w:val="000000" w:themeColor="text1"/>
          <w:szCs w:val="24"/>
          <w:lang w:val="en-GB"/>
        </w:rPr>
        <w:t>-</w:t>
      </w:r>
      <w:r w:rsidR="0080739F" w:rsidRPr="00EB0BCC">
        <w:rPr>
          <w:color w:val="000000" w:themeColor="text1"/>
          <w:szCs w:val="24"/>
          <w:lang w:val="en-GB"/>
        </w:rPr>
        <w:t xml:space="preserve">old daughter who was traumatized by </w:t>
      </w:r>
      <w:r w:rsidRPr="00EB0BCC">
        <w:rPr>
          <w:color w:val="000000" w:themeColor="text1"/>
          <w:szCs w:val="24"/>
          <w:lang w:val="en-GB"/>
        </w:rPr>
        <w:t>Al-Khawaja</w:t>
      </w:r>
      <w:r w:rsidR="0080739F" w:rsidRPr="00EB0BCC">
        <w:rPr>
          <w:color w:val="000000" w:themeColor="text1"/>
          <w:szCs w:val="24"/>
          <w:lang w:val="en-GB"/>
        </w:rPr>
        <w:t xml:space="preserve">’s imprisonment. </w:t>
      </w:r>
    </w:p>
    <w:p w:rsidR="0080739F" w:rsidRPr="00EB0BCC" w:rsidRDefault="009B6D6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Al-Khawaja</w:t>
      </w:r>
      <w:r w:rsidR="0080739F" w:rsidRPr="00EB0BCC">
        <w:rPr>
          <w:color w:val="000000" w:themeColor="text1"/>
          <w:szCs w:val="24"/>
          <w:lang w:val="en-GB"/>
        </w:rPr>
        <w:t xml:space="preserve"> and the Gulf </w:t>
      </w:r>
      <w:r w:rsidRPr="00EB0BCC">
        <w:rPr>
          <w:color w:val="000000" w:themeColor="text1"/>
          <w:szCs w:val="24"/>
          <w:lang w:val="en-GB"/>
        </w:rPr>
        <w:t xml:space="preserve">Centre </w:t>
      </w:r>
      <w:r w:rsidR="0080739F" w:rsidRPr="00EB0BCC">
        <w:rPr>
          <w:color w:val="000000" w:themeColor="text1"/>
          <w:szCs w:val="24"/>
          <w:lang w:val="en-GB"/>
        </w:rPr>
        <w:t xml:space="preserve">for Human Rights believe that </w:t>
      </w:r>
      <w:r w:rsidRPr="00EB0BCC">
        <w:rPr>
          <w:color w:val="000000" w:themeColor="text1"/>
          <w:szCs w:val="24"/>
          <w:lang w:val="en-GB"/>
        </w:rPr>
        <w:t>Al-Khawaja</w:t>
      </w:r>
      <w:r w:rsidR="0080739F" w:rsidRPr="00EB0BCC">
        <w:rPr>
          <w:color w:val="000000" w:themeColor="text1"/>
          <w:szCs w:val="24"/>
          <w:lang w:val="en-GB"/>
        </w:rPr>
        <w:t xml:space="preserve">’s arrests were all responses to her work as a human rights activist. Whenever she was arrested, she was always threatened with more charges and prison time if she dared stand up for herself or any other individuals. On one occasion, </w:t>
      </w:r>
      <w:r w:rsidRPr="00EB0BCC">
        <w:rPr>
          <w:color w:val="000000" w:themeColor="text1"/>
          <w:szCs w:val="24"/>
          <w:lang w:val="en-GB"/>
        </w:rPr>
        <w:t>Al-Khawaja</w:t>
      </w:r>
      <w:r w:rsidR="0080739F" w:rsidRPr="00EB0BCC">
        <w:rPr>
          <w:color w:val="000000" w:themeColor="text1"/>
          <w:szCs w:val="24"/>
          <w:lang w:val="en-GB"/>
        </w:rPr>
        <w:t xml:space="preserve"> was imprisoned with a non-political prisoner who had been arrested for responding to officers at a checkpoint who sexually harassed and verbally assaulted her. The woman was treated horrifically, harassed and abused by prison guards. At one point, </w:t>
      </w:r>
      <w:r w:rsidRPr="00EB0BCC">
        <w:rPr>
          <w:color w:val="000000" w:themeColor="text1"/>
          <w:szCs w:val="24"/>
          <w:lang w:val="en-GB"/>
        </w:rPr>
        <w:t>Al-Khawaja</w:t>
      </w:r>
      <w:r w:rsidR="0080739F" w:rsidRPr="00EB0BCC">
        <w:rPr>
          <w:color w:val="000000" w:themeColor="text1"/>
          <w:szCs w:val="24"/>
          <w:lang w:val="en-GB"/>
        </w:rPr>
        <w:t xml:space="preserve"> stood up for the woman to a female officer who had been screaming and shouting at the prisoner. The next day, </w:t>
      </w:r>
      <w:r w:rsidRPr="00EB0BCC">
        <w:rPr>
          <w:color w:val="000000" w:themeColor="text1"/>
          <w:szCs w:val="24"/>
          <w:lang w:val="en-GB"/>
        </w:rPr>
        <w:t>Al-Khawaja</w:t>
      </w:r>
      <w:r w:rsidR="0080739F" w:rsidRPr="00EB0BCC">
        <w:rPr>
          <w:color w:val="000000" w:themeColor="text1"/>
          <w:szCs w:val="24"/>
          <w:lang w:val="en-GB"/>
        </w:rPr>
        <w:t xml:space="preserve"> was charged with verbally assaulting a police officer. </w:t>
      </w:r>
    </w:p>
    <w:p w:rsidR="0080739F" w:rsidRPr="00EB0BCC" w:rsidRDefault="0080739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Every time </w:t>
      </w:r>
      <w:r w:rsidR="009B6D6D" w:rsidRPr="00EB0BCC">
        <w:rPr>
          <w:color w:val="000000" w:themeColor="text1"/>
          <w:szCs w:val="24"/>
          <w:lang w:val="en-GB"/>
        </w:rPr>
        <w:t>Al-Khawaja</w:t>
      </w:r>
      <w:r w:rsidRPr="00EB0BCC">
        <w:rPr>
          <w:color w:val="000000" w:themeColor="text1"/>
          <w:szCs w:val="24"/>
          <w:lang w:val="en-GB"/>
        </w:rPr>
        <w:t xml:space="preserve"> was in the court room for her charges, she would witness endless rows of political prisoners, all handcuffed to each other, facing similar charges related to freedom of expression. </w:t>
      </w:r>
      <w:r w:rsidR="009B6D6D" w:rsidRPr="00EB0BCC">
        <w:rPr>
          <w:color w:val="000000" w:themeColor="text1"/>
          <w:szCs w:val="24"/>
          <w:lang w:val="en-GB"/>
        </w:rPr>
        <w:t>Al-Khawaja</w:t>
      </w:r>
      <w:r w:rsidRPr="00EB0BCC">
        <w:rPr>
          <w:color w:val="000000" w:themeColor="text1"/>
          <w:szCs w:val="24"/>
          <w:lang w:val="en-GB"/>
        </w:rPr>
        <w:t xml:space="preserve"> commented that the arrests and sentencing were very systematic, and that young individuals were receiving increasingly harsher sentences over the years that she was an activist. She stated that it was not only the physical abuse she and others experienced that was torture, but also the mental effect of being arrested and imprisoned that perhaps had the most profound and lasting impact. </w:t>
      </w:r>
    </w:p>
    <w:p w:rsidR="00B1119A" w:rsidRPr="00EB0BCC" w:rsidRDefault="00B1119A" w:rsidP="002A724F">
      <w:pPr>
        <w:pStyle w:val="BodyText"/>
        <w:ind w:left="737"/>
        <w:jc w:val="both"/>
        <w:rPr>
          <w:b/>
          <w:bCs/>
          <w:i/>
          <w:iCs/>
          <w:color w:val="000000" w:themeColor="text1"/>
          <w:szCs w:val="24"/>
          <w:lang w:val="en-GB"/>
        </w:rPr>
      </w:pPr>
      <w:r w:rsidRPr="00EB0BCC">
        <w:rPr>
          <w:b/>
          <w:bCs/>
          <w:i/>
          <w:iCs/>
          <w:color w:val="000000" w:themeColor="text1"/>
          <w:szCs w:val="24"/>
          <w:lang w:val="en-GB"/>
        </w:rPr>
        <w:t>Abduljalil Al-Singace Case</w:t>
      </w:r>
      <w:r w:rsidRPr="00EB0BCC">
        <w:rPr>
          <w:rStyle w:val="FootnoteReference"/>
          <w:b/>
          <w:bCs/>
          <w:i/>
          <w:iCs/>
          <w:color w:val="000000" w:themeColor="text1"/>
          <w:szCs w:val="24"/>
          <w:lang w:val="en-GB"/>
        </w:rPr>
        <w:footnoteReference w:id="57"/>
      </w:r>
    </w:p>
    <w:p w:rsidR="00B1119A" w:rsidRPr="00EB0BCC" w:rsidRDefault="00B1119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Dr</w:t>
      </w:r>
      <w:r w:rsidR="00C65AEA" w:rsidRPr="00EB0BCC">
        <w:rPr>
          <w:color w:val="000000" w:themeColor="text1"/>
          <w:szCs w:val="24"/>
          <w:lang w:val="en-GB"/>
        </w:rPr>
        <w:t>.</w:t>
      </w:r>
      <w:r w:rsidRPr="00EB0BCC">
        <w:rPr>
          <w:color w:val="000000" w:themeColor="text1"/>
          <w:szCs w:val="24"/>
          <w:lang w:val="en-GB"/>
        </w:rPr>
        <w:t xml:space="preserve"> Abduljalil Al-Singace is a blogger, academic, and former Head of Mechanical Engineering at the University of Bahrain and was the spokesman and director of the Human Rights Bureau of the Haq Movement for Civil Liberties and Democracy at the time of his arrest in 2011. He is part of a group of prisoners collectively known as the “Bahrain 13”, leading human rights defenders and activists arrested by the Bahraini government for their role in peaceful protests in 2011. He is currently serving a life sentence ordered by a military court. </w:t>
      </w:r>
    </w:p>
    <w:p w:rsidR="00505BCF" w:rsidRPr="00EB0BCC" w:rsidRDefault="00505BC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The Bahrain Independent Commission of Inquiry (BICI) met with Dr. Abduljalil Al-Singace in 2011 and collected testimony regarding his arbitrary arrest and reports of torture. Despite the existence of this testimony, in 2012 a civilian appeals court refused to investigate Dr. Al-Singace’s credible allegations of abuse and upheld the military court’s decision. Dr. Al-Singace has received no compensation for the acts of torture that he suffered, nor have his torturers been held accountable for their actions.</w:t>
      </w:r>
    </w:p>
    <w:p w:rsidR="00B1119A" w:rsidRPr="00EB0BCC" w:rsidRDefault="00B1119A" w:rsidP="004A0494">
      <w:pPr>
        <w:pStyle w:val="BodyText"/>
        <w:numPr>
          <w:ilvl w:val="0"/>
          <w:numId w:val="18"/>
        </w:numPr>
        <w:jc w:val="both"/>
        <w:rPr>
          <w:color w:val="000000" w:themeColor="text1"/>
          <w:szCs w:val="24"/>
          <w:lang w:val="en-GB"/>
        </w:rPr>
      </w:pPr>
      <w:r w:rsidRPr="00EB0BCC">
        <w:rPr>
          <w:color w:val="000000" w:themeColor="text1"/>
          <w:szCs w:val="24"/>
          <w:lang w:val="en-GB"/>
        </w:rPr>
        <w:lastRenderedPageBreak/>
        <w:t>On 21 March 2015, Dr</w:t>
      </w:r>
      <w:r w:rsidR="00C65AEA" w:rsidRPr="00EB0BCC">
        <w:rPr>
          <w:color w:val="000000" w:themeColor="text1"/>
          <w:szCs w:val="24"/>
          <w:lang w:val="en-GB"/>
        </w:rPr>
        <w:t>.</w:t>
      </w:r>
      <w:r w:rsidRPr="00EB0BCC">
        <w:rPr>
          <w:color w:val="000000" w:themeColor="text1"/>
          <w:szCs w:val="24"/>
          <w:lang w:val="en-GB"/>
        </w:rPr>
        <w:t xml:space="preserve"> Al-Singace went on hunger strike to protest the collective punishment and acts of torture that police inflicted upon prisoners following a riot in Ja</w:t>
      </w:r>
      <w:r w:rsidR="00F1559A" w:rsidRPr="00EB0BCC">
        <w:rPr>
          <w:color w:val="000000" w:themeColor="text1"/>
          <w:szCs w:val="24"/>
          <w:lang w:val="en-GB"/>
        </w:rPr>
        <w:t>w</w:t>
      </w:r>
      <w:r w:rsidRPr="00EB0BCC">
        <w:rPr>
          <w:color w:val="000000" w:themeColor="text1"/>
          <w:szCs w:val="24"/>
          <w:lang w:val="en-GB"/>
        </w:rPr>
        <w:t xml:space="preserve"> Prison earlier that month. He spent over 200 days without solid food, and was held in solitary confinement in a windowless room in Al-Qalaa hospital.</w:t>
      </w:r>
      <w:r w:rsidR="00C65AEA" w:rsidRPr="00EB0BCC">
        <w:rPr>
          <w:color w:val="000000" w:themeColor="text1"/>
          <w:szCs w:val="24"/>
          <w:lang w:val="en-GB"/>
        </w:rPr>
        <w:t xml:space="preserve"> It was just one of many hunger strikes he undertook alone or with other members of the “Bahrain 13”.</w:t>
      </w:r>
    </w:p>
    <w:p w:rsidR="003B3507" w:rsidRPr="00EB0BCC" w:rsidRDefault="003B3507" w:rsidP="004A0494">
      <w:pPr>
        <w:pStyle w:val="BodyText"/>
        <w:numPr>
          <w:ilvl w:val="0"/>
          <w:numId w:val="18"/>
        </w:numPr>
        <w:jc w:val="both"/>
        <w:rPr>
          <w:color w:val="000000" w:themeColor="text1"/>
          <w:szCs w:val="24"/>
          <w:lang w:val="en-GB"/>
        </w:rPr>
      </w:pPr>
      <w:r w:rsidRPr="00EB0BCC">
        <w:rPr>
          <w:color w:val="000000" w:themeColor="text1"/>
          <w:szCs w:val="24"/>
          <w:lang w:val="en-GB"/>
        </w:rPr>
        <w:t>Dr. Al-Singace suffers from post-polio syndrome and is disabled. In addition to the torture Dr Al-Singace has suffered, his medical conditions have deteriorated considerably as a result of his incarceration and the repeated hunger strikes he has undertaken. These hunger strikes, subsisting usually on liquids only, have lowered his white blood cell count and led to constant dizziness. Prison and prison hospital authorities have denied him physiotherapy and surgery to his nose and ears. His health is poor and suffers because he refuses to go to the hospital, where he has not been properly treated. For example, a doctor might examine him for only a few minutes and then prescribed treatment is not implemented properly nor is medicine properly given. In addition, he has faced ill treatment when going to the hospital, such as being made to wait for hours in a car in the sun, not to mention that it takes too long to get an appointment, even for urgent medical matters.</w:t>
      </w:r>
    </w:p>
    <w:p w:rsidR="00674843" w:rsidRPr="00EB0BCC" w:rsidRDefault="00674843" w:rsidP="004A0494">
      <w:pPr>
        <w:pStyle w:val="BodyText"/>
        <w:numPr>
          <w:ilvl w:val="0"/>
          <w:numId w:val="18"/>
        </w:numPr>
        <w:jc w:val="both"/>
        <w:rPr>
          <w:color w:val="000000" w:themeColor="text1"/>
          <w:szCs w:val="24"/>
          <w:lang w:val="en-GB"/>
        </w:rPr>
      </w:pPr>
      <w:r w:rsidRPr="00EB0BCC">
        <w:rPr>
          <w:color w:val="000000" w:themeColor="text1"/>
          <w:szCs w:val="24"/>
          <w:lang w:val="en-GB"/>
        </w:rPr>
        <w:t xml:space="preserve">In 2017, following the escape of several prisoners, harassment of prisoners at Jaw Prison has increased. For example, </w:t>
      </w:r>
      <w:r w:rsidR="00604E8F" w:rsidRPr="00EB0BCC">
        <w:rPr>
          <w:color w:val="000000" w:themeColor="text1"/>
          <w:szCs w:val="24"/>
          <w:lang w:val="en-GB"/>
        </w:rPr>
        <w:t xml:space="preserve">time limits for phone calls have been placed for length and timing. As well, family visits are being changed, and there is harassment during the visits. </w:t>
      </w:r>
    </w:p>
    <w:p w:rsidR="00B1119A" w:rsidRPr="00EB0BCC" w:rsidRDefault="00F1559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Among his past human rights activities, i</w:t>
      </w:r>
      <w:r w:rsidR="00B1119A" w:rsidRPr="00EB0BCC">
        <w:rPr>
          <w:color w:val="000000" w:themeColor="text1"/>
          <w:szCs w:val="24"/>
          <w:lang w:val="en-GB"/>
        </w:rPr>
        <w:t>n 2008, Dr</w:t>
      </w:r>
      <w:r w:rsidR="00C65AEA" w:rsidRPr="00EB0BCC">
        <w:rPr>
          <w:color w:val="000000" w:themeColor="text1"/>
          <w:szCs w:val="24"/>
          <w:lang w:val="en-GB"/>
        </w:rPr>
        <w:t>.</w:t>
      </w:r>
      <w:r w:rsidR="00B1119A" w:rsidRPr="00EB0BCC">
        <w:rPr>
          <w:color w:val="000000" w:themeColor="text1"/>
          <w:szCs w:val="24"/>
          <w:lang w:val="en-GB"/>
        </w:rPr>
        <w:t xml:space="preserve"> Al-Singace attempted to meet US President George W. Bush to present him with a petition of 80,000 signatures protesting his description of Bahrain as “a democratic country” and demanding to draft a democratic constitution.</w:t>
      </w:r>
      <w:r w:rsidR="00B1119A" w:rsidRPr="00EB0BCC">
        <w:rPr>
          <w:rStyle w:val="FootnoteReference"/>
          <w:color w:val="000000" w:themeColor="text1"/>
          <w:szCs w:val="24"/>
          <w:lang w:val="en-GB"/>
        </w:rPr>
        <w:footnoteReference w:id="58"/>
      </w:r>
      <w:r w:rsidR="00B1119A" w:rsidRPr="00EB0BCC">
        <w:rPr>
          <w:color w:val="000000" w:themeColor="text1"/>
          <w:szCs w:val="24"/>
          <w:lang w:val="en-GB"/>
        </w:rPr>
        <w:t xml:space="preserve"> Then on 26 January 2009, Dr Al-Singace was detained by the Bahraini authorities and charged with being involved in a “terror plot” and “inciting hatred against the regime” </w:t>
      </w:r>
      <w:r w:rsidR="00C65AEA" w:rsidRPr="00EB0BCC">
        <w:rPr>
          <w:color w:val="000000" w:themeColor="text1"/>
          <w:szCs w:val="24"/>
          <w:lang w:val="en-GB"/>
        </w:rPr>
        <w:t>based on</w:t>
      </w:r>
      <w:r w:rsidR="00B1119A" w:rsidRPr="00EB0BCC">
        <w:rPr>
          <w:color w:val="000000" w:themeColor="text1"/>
          <w:szCs w:val="24"/>
          <w:lang w:val="en-GB"/>
        </w:rPr>
        <w:t xml:space="preserve"> articles published in his blog, which was later blocked in February 2009. Under domest</w:t>
      </w:r>
      <w:r w:rsidR="00C65AEA" w:rsidRPr="00EB0BCC">
        <w:rPr>
          <w:color w:val="000000" w:themeColor="text1"/>
          <w:szCs w:val="24"/>
          <w:lang w:val="en-GB"/>
        </w:rPr>
        <w:t>ic and international pressure, Dr. A</w:t>
      </w:r>
      <w:r w:rsidR="00B1119A" w:rsidRPr="00EB0BCC">
        <w:rPr>
          <w:color w:val="000000" w:themeColor="text1"/>
          <w:szCs w:val="24"/>
          <w:lang w:val="en-GB"/>
        </w:rPr>
        <w:t xml:space="preserve">l-Singace was released </w:t>
      </w:r>
      <w:r w:rsidR="00C65AEA" w:rsidRPr="00EB0BCC">
        <w:rPr>
          <w:color w:val="000000" w:themeColor="text1"/>
          <w:szCs w:val="24"/>
          <w:lang w:val="en-GB"/>
        </w:rPr>
        <w:t>via</w:t>
      </w:r>
      <w:r w:rsidR="00B1119A" w:rsidRPr="00EB0BCC">
        <w:rPr>
          <w:color w:val="000000" w:themeColor="text1"/>
          <w:szCs w:val="24"/>
          <w:lang w:val="en-GB"/>
        </w:rPr>
        <w:t xml:space="preserve"> a royal pardon. </w:t>
      </w:r>
    </w:p>
    <w:p w:rsidR="00B1119A" w:rsidRPr="00EB0BCC" w:rsidRDefault="00C65AE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On</w:t>
      </w:r>
      <w:r w:rsidR="00B1119A" w:rsidRPr="00EB0BCC">
        <w:rPr>
          <w:color w:val="000000" w:themeColor="text1"/>
          <w:szCs w:val="24"/>
          <w:lang w:val="en-GB"/>
        </w:rPr>
        <w:t xml:space="preserve"> </w:t>
      </w:r>
      <w:r w:rsidR="00F14264" w:rsidRPr="00EB0BCC">
        <w:rPr>
          <w:color w:val="000000" w:themeColor="text1"/>
          <w:szCs w:val="24"/>
          <w:lang w:val="en-GB"/>
        </w:rPr>
        <w:t>0</w:t>
      </w:r>
      <w:r w:rsidR="00B1119A" w:rsidRPr="00EB0BCC">
        <w:rPr>
          <w:color w:val="000000" w:themeColor="text1"/>
          <w:szCs w:val="24"/>
          <w:lang w:val="en-GB"/>
        </w:rPr>
        <w:t xml:space="preserve">5 August 2010, </w:t>
      </w:r>
      <w:r w:rsidRPr="00EB0BCC">
        <w:rPr>
          <w:color w:val="000000" w:themeColor="text1"/>
          <w:szCs w:val="24"/>
          <w:lang w:val="en-GB"/>
        </w:rPr>
        <w:t>Dr. Al-Singace</w:t>
      </w:r>
      <w:r w:rsidR="00B1119A" w:rsidRPr="00EB0BCC">
        <w:rPr>
          <w:color w:val="000000" w:themeColor="text1"/>
          <w:szCs w:val="24"/>
          <w:lang w:val="en-GB"/>
        </w:rPr>
        <w:t xml:space="preserve"> spoke at a conference at the British House of Lords </w:t>
      </w:r>
      <w:r w:rsidRPr="00EB0BCC">
        <w:rPr>
          <w:color w:val="000000" w:themeColor="text1"/>
          <w:szCs w:val="24"/>
          <w:lang w:val="en-GB"/>
        </w:rPr>
        <w:t>about the</w:t>
      </w:r>
      <w:r w:rsidR="00B1119A" w:rsidRPr="00EB0BCC">
        <w:rPr>
          <w:color w:val="000000" w:themeColor="text1"/>
          <w:szCs w:val="24"/>
          <w:lang w:val="en-GB"/>
        </w:rPr>
        <w:t xml:space="preserve"> human rights situation in Bahrain. </w:t>
      </w:r>
      <w:r w:rsidRPr="00EB0BCC">
        <w:rPr>
          <w:color w:val="000000" w:themeColor="text1"/>
          <w:szCs w:val="24"/>
          <w:lang w:val="en-GB"/>
        </w:rPr>
        <w:t>When he arrived at Bahrain International Airport</w:t>
      </w:r>
      <w:r w:rsidR="00B1119A" w:rsidRPr="00EB0BCC">
        <w:rPr>
          <w:color w:val="000000" w:themeColor="text1"/>
          <w:szCs w:val="24"/>
          <w:lang w:val="en-GB"/>
        </w:rPr>
        <w:t xml:space="preserve"> on 13 August</w:t>
      </w:r>
      <w:r w:rsidRPr="00EB0BCC">
        <w:rPr>
          <w:color w:val="000000" w:themeColor="text1"/>
          <w:szCs w:val="24"/>
          <w:lang w:val="en-GB"/>
        </w:rPr>
        <w:t xml:space="preserve"> 2010, he </w:t>
      </w:r>
      <w:r w:rsidR="00B1119A" w:rsidRPr="00EB0BCC">
        <w:rPr>
          <w:color w:val="000000" w:themeColor="text1"/>
          <w:szCs w:val="24"/>
          <w:lang w:val="en-GB"/>
        </w:rPr>
        <w:t xml:space="preserve">was arrested by the Bahraini security forces. </w:t>
      </w:r>
      <w:r w:rsidRPr="00EB0BCC">
        <w:rPr>
          <w:color w:val="000000" w:themeColor="text1"/>
          <w:szCs w:val="24"/>
          <w:lang w:val="en-GB"/>
        </w:rPr>
        <w:t>He was then fired from his job at the University of Bahrain. He was released in 2011 before being re-arrested again on 17 March 2011 after he spoke at peaceful demonstrations. On 8 May 2011, Dr. Al-Singace went to military court on charges of “organi</w:t>
      </w:r>
      <w:r w:rsidR="00FA086F" w:rsidRPr="00EB0BCC">
        <w:rPr>
          <w:color w:val="000000" w:themeColor="text1"/>
          <w:szCs w:val="24"/>
          <w:lang w:val="en-GB"/>
        </w:rPr>
        <w:t>s</w:t>
      </w:r>
      <w:r w:rsidRPr="00EB0BCC">
        <w:rPr>
          <w:color w:val="000000" w:themeColor="text1"/>
          <w:szCs w:val="24"/>
          <w:lang w:val="en-GB"/>
        </w:rPr>
        <w:t>ing and managing a terrorist organi</w:t>
      </w:r>
      <w:r w:rsidR="00FA086F" w:rsidRPr="00EB0BCC">
        <w:rPr>
          <w:color w:val="000000" w:themeColor="text1"/>
          <w:szCs w:val="24"/>
          <w:lang w:val="en-GB"/>
        </w:rPr>
        <w:t>s</w:t>
      </w:r>
      <w:r w:rsidRPr="00EB0BCC">
        <w:rPr>
          <w:color w:val="000000" w:themeColor="text1"/>
          <w:szCs w:val="24"/>
          <w:lang w:val="en-GB"/>
        </w:rPr>
        <w:t>ation</w:t>
      </w:r>
      <w:r w:rsidR="00E67319" w:rsidRPr="00EB0BCC">
        <w:rPr>
          <w:color w:val="000000" w:themeColor="text1"/>
          <w:szCs w:val="24"/>
          <w:lang w:val="en-GB"/>
        </w:rPr>
        <w:t>,</w:t>
      </w:r>
      <w:r w:rsidRPr="00EB0BCC">
        <w:rPr>
          <w:color w:val="000000" w:themeColor="text1"/>
          <w:szCs w:val="24"/>
          <w:lang w:val="en-GB"/>
        </w:rPr>
        <w:t>”</w:t>
      </w:r>
      <w:r w:rsidR="00E67319" w:rsidRPr="00EB0BCC">
        <w:rPr>
          <w:color w:val="000000" w:themeColor="text1"/>
          <w:szCs w:val="24"/>
          <w:lang w:val="en-GB"/>
        </w:rPr>
        <w:t xml:space="preserve"> “attempting to overthrow the g</w:t>
      </w:r>
      <w:r w:rsidRPr="00EB0BCC">
        <w:rPr>
          <w:color w:val="000000" w:themeColor="text1"/>
          <w:szCs w:val="24"/>
          <w:lang w:val="en-GB"/>
        </w:rPr>
        <w:t>overnment by force</w:t>
      </w:r>
      <w:r w:rsidR="00E67319" w:rsidRPr="00EB0BCC">
        <w:rPr>
          <w:color w:val="000000" w:themeColor="text1"/>
          <w:szCs w:val="24"/>
          <w:lang w:val="en-GB"/>
        </w:rPr>
        <w:t>,</w:t>
      </w:r>
      <w:r w:rsidRPr="00EB0BCC">
        <w:rPr>
          <w:color w:val="000000" w:themeColor="text1"/>
          <w:szCs w:val="24"/>
          <w:lang w:val="en-GB"/>
        </w:rPr>
        <w:t>” “coordinating with a terrorist organi</w:t>
      </w:r>
      <w:r w:rsidR="00FA086F" w:rsidRPr="00EB0BCC">
        <w:rPr>
          <w:color w:val="000000" w:themeColor="text1"/>
          <w:szCs w:val="24"/>
          <w:lang w:val="en-GB"/>
        </w:rPr>
        <w:t>s</w:t>
      </w:r>
      <w:r w:rsidRPr="00EB0BCC">
        <w:rPr>
          <w:color w:val="000000" w:themeColor="text1"/>
          <w:szCs w:val="24"/>
          <w:lang w:val="en-GB"/>
        </w:rPr>
        <w:t>ation works for a foreign country</w:t>
      </w:r>
      <w:r w:rsidR="00E67319" w:rsidRPr="00EB0BCC">
        <w:rPr>
          <w:color w:val="000000" w:themeColor="text1"/>
          <w:szCs w:val="24"/>
          <w:lang w:val="en-GB"/>
        </w:rPr>
        <w:t>,</w:t>
      </w:r>
      <w:r w:rsidRPr="00EB0BCC">
        <w:rPr>
          <w:color w:val="000000" w:themeColor="text1"/>
          <w:szCs w:val="24"/>
          <w:lang w:val="en-GB"/>
        </w:rPr>
        <w:t>” and “raising money to benefit a terrorist organi</w:t>
      </w:r>
      <w:r w:rsidR="00FA086F" w:rsidRPr="00EB0BCC">
        <w:rPr>
          <w:color w:val="000000" w:themeColor="text1"/>
          <w:szCs w:val="24"/>
          <w:lang w:val="en-GB"/>
        </w:rPr>
        <w:t>s</w:t>
      </w:r>
      <w:r w:rsidRPr="00EB0BCC">
        <w:rPr>
          <w:color w:val="000000" w:themeColor="text1"/>
          <w:szCs w:val="24"/>
          <w:lang w:val="en-GB"/>
        </w:rPr>
        <w:t>ation.” He was sentenced to life in prison on 22 June 2011.</w:t>
      </w:r>
    </w:p>
    <w:p w:rsidR="00621633" w:rsidRPr="00EB0BCC" w:rsidRDefault="00621633" w:rsidP="00621633">
      <w:pPr>
        <w:pStyle w:val="BodyText"/>
        <w:tabs>
          <w:tab w:val="right" w:pos="8910"/>
        </w:tabs>
        <w:ind w:left="737" w:right="18"/>
        <w:jc w:val="both"/>
        <w:rPr>
          <w:color w:val="000000" w:themeColor="text1"/>
          <w:szCs w:val="24"/>
          <w:rtl/>
          <w:lang w:val="en-GB"/>
        </w:rPr>
      </w:pPr>
    </w:p>
    <w:p w:rsidR="00F14264" w:rsidRPr="00EB0BCC" w:rsidRDefault="00F14264" w:rsidP="00621633">
      <w:pPr>
        <w:pStyle w:val="BodyText"/>
        <w:tabs>
          <w:tab w:val="right" w:pos="8910"/>
        </w:tabs>
        <w:ind w:left="737" w:right="18"/>
        <w:jc w:val="both"/>
        <w:rPr>
          <w:color w:val="000000" w:themeColor="text1"/>
          <w:szCs w:val="24"/>
          <w:rtl/>
          <w:lang w:val="en-GB"/>
        </w:rPr>
      </w:pPr>
    </w:p>
    <w:p w:rsidR="00F14264" w:rsidRPr="00EB0BCC" w:rsidRDefault="00F14264" w:rsidP="00621633">
      <w:pPr>
        <w:pStyle w:val="BodyText"/>
        <w:tabs>
          <w:tab w:val="right" w:pos="8910"/>
        </w:tabs>
        <w:ind w:left="737" w:right="18"/>
        <w:jc w:val="both"/>
        <w:rPr>
          <w:color w:val="000000" w:themeColor="text1"/>
          <w:szCs w:val="24"/>
          <w:lang w:val="en-GB"/>
        </w:rPr>
      </w:pPr>
    </w:p>
    <w:p w:rsidR="000B155E" w:rsidRPr="00EB0BCC" w:rsidRDefault="000B155E" w:rsidP="00621633">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Naji Fateel Case</w:t>
      </w:r>
      <w:r w:rsidRPr="00EB0BCC">
        <w:rPr>
          <w:rStyle w:val="FootnoteReference"/>
          <w:b/>
          <w:i/>
          <w:color w:val="000000" w:themeColor="text1"/>
          <w:szCs w:val="24"/>
          <w:lang w:val="en-GB"/>
        </w:rPr>
        <w:footnoteReference w:id="59"/>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Naji Fateel, a human rights defender and board member of the Bahrain Youth Society for Human Rights (BYSHR), has been arrested multiple times for peaceful protest and human rights activities. He was detained from December 2007 to April 2009, during which time he was subjected to torture. During Arab Spring </w:t>
      </w:r>
      <w:r w:rsidR="003B0012" w:rsidRPr="00EB0BCC">
        <w:rPr>
          <w:color w:val="000000" w:themeColor="text1"/>
          <w:szCs w:val="24"/>
          <w:lang w:val="en-GB"/>
        </w:rPr>
        <w:t xml:space="preserve">anniversary </w:t>
      </w:r>
      <w:r w:rsidRPr="00EB0BCC">
        <w:rPr>
          <w:color w:val="000000" w:themeColor="text1"/>
          <w:szCs w:val="24"/>
          <w:lang w:val="en-GB"/>
        </w:rPr>
        <w:t>protests on 14 February 2012, Fateel was arrested while participating in a peaceful march near the Pearl Roundabout area. The march was about rights of citizenship and democracy. His work in defen</w:t>
      </w:r>
      <w:r w:rsidR="000004B4" w:rsidRPr="00EB0BCC">
        <w:rPr>
          <w:color w:val="000000" w:themeColor="text1"/>
          <w:szCs w:val="24"/>
          <w:lang w:val="en-GB"/>
        </w:rPr>
        <w:t>c</w:t>
      </w:r>
      <w:r w:rsidRPr="00EB0BCC">
        <w:rPr>
          <w:color w:val="000000" w:themeColor="text1"/>
          <w:szCs w:val="24"/>
          <w:lang w:val="en-GB"/>
        </w:rPr>
        <w:t xml:space="preserve">e of human rights has made him the target of several death threats since March 2011. </w:t>
      </w:r>
    </w:p>
    <w:p w:rsidR="000A2D62"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On </w:t>
      </w:r>
      <w:r w:rsidR="0037497B" w:rsidRPr="00EB0BCC">
        <w:rPr>
          <w:rFonts w:hint="cs"/>
          <w:color w:val="000000" w:themeColor="text1"/>
          <w:szCs w:val="24"/>
          <w:rtl/>
          <w:lang w:val="en-GB"/>
        </w:rPr>
        <w:t>0</w:t>
      </w:r>
      <w:r w:rsidRPr="00EB0BCC">
        <w:rPr>
          <w:color w:val="000000" w:themeColor="text1"/>
          <w:szCs w:val="24"/>
          <w:lang w:val="en-GB"/>
        </w:rPr>
        <w:t>2 May 2013, Fateel was arrested again without warrant by security forces in civilian clothes at his home in the village of Bani Jamra at approximately 3am. The timing and circumstances of his arrest raised suspicions that he was detained because of his previous participation at the 22</w:t>
      </w:r>
      <w:r w:rsidRPr="00EB0BCC">
        <w:rPr>
          <w:color w:val="000000" w:themeColor="text1"/>
          <w:szCs w:val="24"/>
          <w:vertAlign w:val="superscript"/>
          <w:lang w:val="en-GB"/>
        </w:rPr>
        <w:t>nd</w:t>
      </w:r>
      <w:r w:rsidRPr="00EB0BCC">
        <w:rPr>
          <w:color w:val="000000" w:themeColor="text1"/>
          <w:szCs w:val="24"/>
          <w:lang w:val="en-GB"/>
        </w:rPr>
        <w:t xml:space="preserve"> session of the UN Human Rights Council (25 February through 22 March 2013) and to prevent him from participating in the 23</w:t>
      </w:r>
      <w:r w:rsidRPr="00EB0BCC">
        <w:rPr>
          <w:color w:val="000000" w:themeColor="text1"/>
          <w:szCs w:val="24"/>
          <w:vertAlign w:val="superscript"/>
          <w:lang w:val="en-GB"/>
        </w:rPr>
        <w:t>rd</w:t>
      </w:r>
      <w:r w:rsidRPr="00EB0BCC">
        <w:rPr>
          <w:color w:val="000000" w:themeColor="text1"/>
          <w:szCs w:val="24"/>
          <w:lang w:val="en-GB"/>
        </w:rPr>
        <w:t xml:space="preserve"> session scheduled for 27 May through 14 June 2013. Despite requests from Fateel’s lawyer, Mohammed Al-Mahdi, the Office of the Public Prosecutor denied knowledge of his whereabouts at the time and claimed to not be aware of any charges against him.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It was later learned that Fateel was held at the Dry Dock Prison for six months before being transferred to Jaw Prison to serve a 15-year prison sentence for activities in connection with the founding of BYSHR. The charge was for “establishment of a group for the purpose of disabling the Constitution.”</w:t>
      </w:r>
      <w:r w:rsidRPr="00EB0BCC">
        <w:rPr>
          <w:rStyle w:val="FootnoteReference"/>
          <w:color w:val="000000" w:themeColor="text1"/>
          <w:szCs w:val="24"/>
          <w:lang w:val="en-GB"/>
        </w:rPr>
        <w:footnoteReference w:id="60"/>
      </w:r>
      <w:r w:rsidRPr="00EB0BCC">
        <w:rPr>
          <w:color w:val="000000" w:themeColor="text1"/>
          <w:szCs w:val="24"/>
          <w:lang w:val="en-GB"/>
        </w:rPr>
        <w:t xml:space="preserve"> That charge was dropped later, but replaced with additional charges. </w:t>
      </w:r>
    </w:p>
    <w:p w:rsidR="000B155E" w:rsidRPr="00EB0BCC" w:rsidRDefault="000B155E" w:rsidP="004A0494">
      <w:pPr>
        <w:pStyle w:val="BodyText"/>
        <w:numPr>
          <w:ilvl w:val="0"/>
          <w:numId w:val="18"/>
        </w:numPr>
        <w:jc w:val="both"/>
        <w:rPr>
          <w:color w:val="000000" w:themeColor="text1"/>
          <w:szCs w:val="24"/>
          <w:lang w:val="en-GB"/>
        </w:rPr>
      </w:pPr>
      <w:r w:rsidRPr="00EB0BCC">
        <w:rPr>
          <w:color w:val="000000" w:themeColor="text1"/>
          <w:szCs w:val="24"/>
          <w:lang w:val="en-GB"/>
        </w:rPr>
        <w:t>During his initial detention by the CID, Fateel was reportedly subjected to torture, including electric shocks applied to his genitals, left foot, and back. Additionally, he was subjected to simulated drowning (water-boarding), severe beatings, verbal abuse, hanging by his hands from the ceiling, sexual harassment and threats to rape him, standing for long hours, and sleep deprivation, during which time he was held incommunicado. He was later taken to an MOI-administered hospital for treatment of injuries resulting from the torture.</w:t>
      </w:r>
      <w:r w:rsidR="00BA35C4" w:rsidRPr="00EB0BCC">
        <w:rPr>
          <w:color w:val="000000" w:themeColor="text1"/>
          <w:szCs w:val="24"/>
          <w:lang w:val="en-GB"/>
        </w:rPr>
        <w:t xml:space="preserve"> </w:t>
      </w:r>
      <w:r w:rsidRPr="00EB0BCC">
        <w:rPr>
          <w:color w:val="000000" w:themeColor="text1"/>
          <w:szCs w:val="24"/>
          <w:lang w:val="en-GB"/>
        </w:rPr>
        <w:t>In particular, he suffered from pain and inflammation in his leg, which had been broken prior to his arrest. The broken leg was beaten during his interrogation, aggravating the injury and splintering of the bone where surgical pins had been installed.</w:t>
      </w:r>
      <w:r w:rsidR="00BA35C4" w:rsidRPr="00EB0BCC">
        <w:rPr>
          <w:color w:val="000000" w:themeColor="text1"/>
          <w:szCs w:val="24"/>
          <w:lang w:val="en-GB"/>
        </w:rPr>
        <w:t xml:space="preserve"> </w:t>
      </w:r>
      <w:r w:rsidRPr="00EB0BCC">
        <w:rPr>
          <w:color w:val="000000" w:themeColor="text1"/>
          <w:szCs w:val="24"/>
          <w:lang w:val="en-GB"/>
        </w:rPr>
        <w:t xml:space="preserve"> </w:t>
      </w:r>
    </w:p>
    <w:p w:rsidR="000A2D62" w:rsidRPr="00EB0BCC" w:rsidRDefault="000B155E" w:rsidP="004A0494">
      <w:pPr>
        <w:numPr>
          <w:ilvl w:val="0"/>
          <w:numId w:val="18"/>
        </w:numPr>
        <w:spacing w:before="100" w:beforeAutospacing="1" w:after="100" w:afterAutospacing="1"/>
        <w:jc w:val="both"/>
        <w:rPr>
          <w:color w:val="000000" w:themeColor="text1"/>
          <w:szCs w:val="24"/>
          <w:lang w:val="en-GB"/>
        </w:rPr>
      </w:pPr>
      <w:r w:rsidRPr="00EB0BCC">
        <w:rPr>
          <w:color w:val="000000" w:themeColor="text1"/>
          <w:szCs w:val="24"/>
          <w:lang w:val="en-GB"/>
        </w:rPr>
        <w:t xml:space="preserve">On 25 January 2016, Fateel was sentenced </w:t>
      </w:r>
      <w:r w:rsidR="00A50B3B" w:rsidRPr="00EB0BCC">
        <w:rPr>
          <w:color w:val="000000" w:themeColor="text1"/>
          <w:szCs w:val="24"/>
          <w:lang w:val="en-GB"/>
        </w:rPr>
        <w:t xml:space="preserve">by the High Criminal court </w:t>
      </w:r>
      <w:r w:rsidRPr="00EB0BCC">
        <w:rPr>
          <w:color w:val="000000" w:themeColor="text1"/>
          <w:szCs w:val="24"/>
          <w:lang w:val="en-GB"/>
        </w:rPr>
        <w:t xml:space="preserve">to an additional 15-year term for allegedly inciting disturbances by prisoners in Jaw prison in March 2015, during an incident involving 57 prisoners. </w:t>
      </w:r>
      <w:r w:rsidR="009D329D" w:rsidRPr="00EB0BCC">
        <w:rPr>
          <w:color w:val="000000" w:themeColor="text1"/>
          <w:szCs w:val="24"/>
          <w:lang w:val="en-GB"/>
        </w:rPr>
        <w:t xml:space="preserve">The Court of Appeal reduced the sentence to 10 years in prison, leaving him with combined sentences of 25 years in prison total. </w:t>
      </w:r>
    </w:p>
    <w:p w:rsidR="000A2D62" w:rsidRPr="00EB0BCC" w:rsidRDefault="000A2D62" w:rsidP="000A2D62">
      <w:pPr>
        <w:spacing w:before="100" w:beforeAutospacing="1" w:after="100" w:afterAutospacing="1"/>
        <w:ind w:left="737"/>
        <w:jc w:val="both"/>
        <w:rPr>
          <w:color w:val="000000" w:themeColor="text1"/>
          <w:szCs w:val="24"/>
          <w:lang w:val="en-GB"/>
        </w:rPr>
      </w:pPr>
    </w:p>
    <w:p w:rsidR="00A50B3B" w:rsidRPr="00EB0BCC" w:rsidRDefault="000A2D62" w:rsidP="004A0494">
      <w:pPr>
        <w:numPr>
          <w:ilvl w:val="0"/>
          <w:numId w:val="18"/>
        </w:numPr>
        <w:spacing w:before="100" w:beforeAutospacing="1" w:after="100" w:afterAutospacing="1"/>
        <w:jc w:val="both"/>
        <w:rPr>
          <w:color w:val="000000" w:themeColor="text1"/>
          <w:szCs w:val="24"/>
          <w:lang w:val="en-GB"/>
        </w:rPr>
      </w:pPr>
      <w:r w:rsidRPr="00EB0BCC">
        <w:rPr>
          <w:color w:val="000000" w:themeColor="text1"/>
          <w:szCs w:val="24"/>
          <w:lang w:val="en-GB"/>
        </w:rPr>
        <w:t>The charges were</w:t>
      </w:r>
      <w:r w:rsidR="00A50B3B" w:rsidRPr="00EB0BCC">
        <w:rPr>
          <w:color w:val="000000" w:themeColor="text1"/>
          <w:szCs w:val="24"/>
          <w:lang w:val="en-GB"/>
        </w:rPr>
        <w:t xml:space="preserve"> </w:t>
      </w:r>
      <w:r w:rsidR="00A50B3B" w:rsidRPr="00EB0BCC">
        <w:rPr>
          <w:color w:val="000000" w:themeColor="text1"/>
          <w:szCs w:val="24"/>
          <w:lang w:val="en-GB" w:eastAsia="en-CA"/>
        </w:rPr>
        <w:t>criminal use of force and violence against public employees who are members of the public security forces, igniting a fire in a dedicated building used for public benefit that would endanger people's lives and their money, the wilful damage of some buildings’ facilities with intention to create chaos and disrupt the facilities by making them unfit for the housing of inmates and putting</w:t>
      </w:r>
      <w:r w:rsidRPr="00EB0BCC">
        <w:rPr>
          <w:color w:val="000000" w:themeColor="text1"/>
          <w:szCs w:val="24"/>
          <w:lang w:val="en-GB" w:eastAsia="en-CA"/>
        </w:rPr>
        <w:t xml:space="preserve"> </w:t>
      </w:r>
      <w:r w:rsidR="00A50B3B" w:rsidRPr="00EB0BCC">
        <w:rPr>
          <w:color w:val="000000" w:themeColor="text1"/>
          <w:szCs w:val="24"/>
          <w:lang w:val="en-GB" w:eastAsia="en-CA"/>
        </w:rPr>
        <w:t xml:space="preserve">the lives of inmates and their health and safety at risk. </w:t>
      </w:r>
      <w:r w:rsidR="000B155E" w:rsidRPr="00EB0BCC">
        <w:rPr>
          <w:color w:val="000000" w:themeColor="text1"/>
          <w:szCs w:val="24"/>
          <w:lang w:val="en-GB"/>
        </w:rPr>
        <w:t xml:space="preserve">There are indications that he was injured during this </w:t>
      </w:r>
      <w:r w:rsidR="00A50B3B" w:rsidRPr="00EB0BCC">
        <w:rPr>
          <w:color w:val="000000" w:themeColor="text1"/>
          <w:szCs w:val="24"/>
          <w:lang w:val="en-GB"/>
        </w:rPr>
        <w:t>disturbance</w:t>
      </w:r>
      <w:r w:rsidR="00621633" w:rsidRPr="00EB0BCC">
        <w:rPr>
          <w:color w:val="000000" w:themeColor="text1"/>
          <w:szCs w:val="24"/>
          <w:lang w:val="en-GB"/>
        </w:rPr>
        <w:t>.</w:t>
      </w:r>
    </w:p>
    <w:p w:rsidR="000B155E" w:rsidRPr="00EB0BCC" w:rsidRDefault="000B155E" w:rsidP="004A0494">
      <w:pPr>
        <w:pStyle w:val="BodyText"/>
        <w:numPr>
          <w:ilvl w:val="0"/>
          <w:numId w:val="18"/>
        </w:numPr>
        <w:spacing w:before="240"/>
        <w:jc w:val="both"/>
        <w:rPr>
          <w:color w:val="000000" w:themeColor="text1"/>
          <w:szCs w:val="24"/>
          <w:lang w:val="en-GB"/>
        </w:rPr>
      </w:pPr>
      <w:r w:rsidRPr="00EB0BCC">
        <w:rPr>
          <w:color w:val="000000" w:themeColor="text1"/>
          <w:szCs w:val="24"/>
          <w:lang w:val="en-GB"/>
        </w:rPr>
        <w:t>In addition to the previously mentioned injuries, it is believed that Fateel suffers from damage to his spine, also as a result of torture and mistreatment in detention.</w:t>
      </w:r>
      <w:r w:rsidR="00BA35C4" w:rsidRPr="00EB0BCC">
        <w:rPr>
          <w:color w:val="000000" w:themeColor="text1"/>
          <w:szCs w:val="24"/>
          <w:lang w:val="en-GB"/>
        </w:rPr>
        <w:t xml:space="preserve"> </w:t>
      </w:r>
      <w:r w:rsidRPr="00EB0BCC">
        <w:rPr>
          <w:color w:val="000000" w:themeColor="text1"/>
          <w:szCs w:val="24"/>
          <w:lang w:val="en-GB"/>
        </w:rPr>
        <w:t>He was held for subsequent periods of time incommunicado and in solitary confinement which raised concerns for his well-being and protection of his due process rights.</w:t>
      </w:r>
      <w:r w:rsidR="00BA35C4" w:rsidRPr="00EB0BCC">
        <w:rPr>
          <w:color w:val="000000" w:themeColor="text1"/>
          <w:szCs w:val="24"/>
          <w:lang w:val="en-GB"/>
        </w:rPr>
        <w:t xml:space="preserve"> </w:t>
      </w:r>
      <w:r w:rsidRPr="00EB0BCC">
        <w:rPr>
          <w:color w:val="000000" w:themeColor="text1"/>
          <w:szCs w:val="24"/>
          <w:lang w:val="en-GB"/>
        </w:rPr>
        <w:t xml:space="preserve">GCHR and the Bahrain </w:t>
      </w:r>
      <w:r w:rsidR="00466471" w:rsidRPr="00EB0BCC">
        <w:rPr>
          <w:color w:val="000000" w:themeColor="text1"/>
          <w:szCs w:val="24"/>
          <w:lang w:val="en-GB"/>
        </w:rPr>
        <w:t>Centre</w:t>
      </w:r>
      <w:r w:rsidRPr="00EB0BCC">
        <w:rPr>
          <w:color w:val="000000" w:themeColor="text1"/>
          <w:szCs w:val="24"/>
          <w:lang w:val="en-GB"/>
        </w:rPr>
        <w:t xml:space="preserve"> for Human Rights (BCHR) believe that the arbitrary arrest of Fateel took place solely because of his activities and work in the defense of human rights. He remains in need of medical treatment for the injuries mentioned above.</w:t>
      </w:r>
    </w:p>
    <w:p w:rsidR="000B155E" w:rsidRPr="00EB0BCC" w:rsidRDefault="000B155E" w:rsidP="000A2D62">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Ghada Jamsheer Case</w:t>
      </w:r>
      <w:r w:rsidRPr="00EB0BCC">
        <w:rPr>
          <w:rStyle w:val="FootnoteReference"/>
          <w:b/>
          <w:i/>
          <w:color w:val="000000" w:themeColor="text1"/>
          <w:szCs w:val="24"/>
          <w:lang w:val="en-GB"/>
        </w:rPr>
        <w:footnoteReference w:id="61"/>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On 22 June 2016, Ghada Jamsheer, a feminist, writer, blogger and journalist who is President of the Women's Petition Committee (WPC), was sentenced on appeal to 10 months in prison for four cases related to her Tweets about corruption at King Hamad hospital, which is run by a member of the royal family. She had already been sentenced to one year and seven months on other charges related to the same case – for which she has 12 charges. The sentencing is a direct result of her being a well-known international human rights defender and writer who has strong links to the international community, with whom she consistently communicated during efforts to draw attention to human rights issues in the country. She has repeatedly been threatened and harassed, including through travel bans, and her blog has been censored.</w:t>
      </w:r>
    </w:p>
    <w:p w:rsidR="005937E3" w:rsidRPr="00EB0BCC" w:rsidRDefault="005937E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lang w:val="en-GB"/>
        </w:rPr>
        <w:t>Jamsheer was also fined 10,000 dinars (approx. USD$26,500) for defamation of the management of the hospital. In addition, she was also sentenced to one year in prison (suspended) on trumped up charges of allegedly “assaulting a police officer” while in custody.</w:t>
      </w:r>
      <w:r w:rsidRPr="00EB0BCC">
        <w:rPr>
          <w:rStyle w:val="FootnoteReference"/>
          <w:color w:val="000000" w:themeColor="text1"/>
          <w:lang w:val="en-GB"/>
        </w:rPr>
        <w:footnoteReference w:id="62"/>
      </w:r>
      <w:r w:rsidRPr="00EB0BCC">
        <w:rPr>
          <w:color w:val="000000" w:themeColor="text1"/>
          <w:lang w:val="en-GB"/>
        </w:rPr>
        <w:t xml:space="preserve"> Yet there was no evidence that she was </w:t>
      </w:r>
      <w:r w:rsidR="00174E85" w:rsidRPr="00EB0BCC">
        <w:rPr>
          <w:color w:val="000000" w:themeColor="text1"/>
          <w:lang w:val="en-GB"/>
        </w:rPr>
        <w:t xml:space="preserve">physically </w:t>
      </w:r>
      <w:r w:rsidRPr="00EB0BCC">
        <w:rPr>
          <w:color w:val="000000" w:themeColor="text1"/>
          <w:lang w:val="en-GB"/>
        </w:rPr>
        <w:t>capable of assaulting a police officer.</w:t>
      </w:r>
    </w:p>
    <w:p w:rsidR="00174E85" w:rsidRPr="00EB0BCC" w:rsidRDefault="000B155E" w:rsidP="00B122BD">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On 15 August 2016, Jamsheer was taken into custody at the airport upon her return to Bahrain after a trip abroad for medical appointments. She appealed to the court to release her on medical grounds because she was suffering from debilitating rheumat</w:t>
      </w:r>
      <w:r w:rsidR="00174E85" w:rsidRPr="00EB0BCC">
        <w:rPr>
          <w:color w:val="000000" w:themeColor="text1"/>
          <w:szCs w:val="24"/>
          <w:lang w:val="en-GB"/>
        </w:rPr>
        <w:t xml:space="preserve">oid arthritis in prison and was </w:t>
      </w:r>
      <w:r w:rsidRPr="00EB0BCC">
        <w:rPr>
          <w:color w:val="000000" w:themeColor="text1"/>
          <w:szCs w:val="24"/>
          <w:lang w:val="en-GB"/>
        </w:rPr>
        <w:t xml:space="preserve">not able to carry out treatment in the cold and unsanitary conditions.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After nearly four months in detention, Jamsheer was released from prison on 12 December 2016 under an agreement with the court whereby she would </w:t>
      </w:r>
      <w:r w:rsidR="00174E85" w:rsidRPr="00EB0BCC">
        <w:rPr>
          <w:color w:val="000000" w:themeColor="text1"/>
          <w:szCs w:val="24"/>
          <w:lang w:val="en-GB"/>
        </w:rPr>
        <w:t xml:space="preserve">be allowed to </w:t>
      </w:r>
      <w:r w:rsidRPr="00EB0BCC">
        <w:rPr>
          <w:color w:val="000000" w:themeColor="text1"/>
          <w:szCs w:val="24"/>
          <w:lang w:val="en-GB"/>
        </w:rPr>
        <w:lastRenderedPageBreak/>
        <w:t>work at a government appointed job for the remainder of her sentence.</w:t>
      </w:r>
      <w:r w:rsidRPr="00EB0BCC">
        <w:rPr>
          <w:rStyle w:val="FootnoteReference"/>
          <w:color w:val="000000" w:themeColor="text1"/>
          <w:szCs w:val="24"/>
          <w:lang w:val="en-GB"/>
        </w:rPr>
        <w:footnoteReference w:id="63"/>
      </w:r>
      <w:r w:rsidRPr="00EB0BCC">
        <w:rPr>
          <w:color w:val="000000" w:themeColor="text1"/>
          <w:szCs w:val="24"/>
          <w:lang w:val="en-GB"/>
        </w:rPr>
        <w:t xml:space="preserve"> More than 20 human rights groups had appealed for her release. However, she still has other sentences, including jail sentences suspended for a period of several years. </w:t>
      </w:r>
    </w:p>
    <w:p w:rsidR="005B179B" w:rsidRPr="00EB0BCC" w:rsidRDefault="005B179B" w:rsidP="005B179B">
      <w:pPr>
        <w:pStyle w:val="BodyText"/>
        <w:tabs>
          <w:tab w:val="right" w:pos="8910"/>
        </w:tabs>
        <w:ind w:left="737" w:right="18"/>
        <w:jc w:val="both"/>
        <w:rPr>
          <w:color w:val="000000" w:themeColor="text1"/>
          <w:szCs w:val="24"/>
          <w:lang w:val="en-GB"/>
        </w:rPr>
      </w:pPr>
    </w:p>
    <w:p w:rsidR="000B155E" w:rsidRPr="00EB0BCC" w:rsidRDefault="000B155E" w:rsidP="000A2D62">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Hussain Jawad Case</w:t>
      </w:r>
      <w:r w:rsidRPr="00EB0BCC">
        <w:rPr>
          <w:rStyle w:val="FootnoteReference"/>
          <w:b/>
          <w:i/>
          <w:color w:val="000000" w:themeColor="text1"/>
          <w:szCs w:val="24"/>
          <w:lang w:val="en-GB"/>
        </w:rPr>
        <w:footnoteReference w:id="64"/>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Hussain Jawad is </w:t>
      </w:r>
      <w:r w:rsidR="00341F64" w:rsidRPr="00EB0BCC">
        <w:rPr>
          <w:color w:val="000000" w:themeColor="text1"/>
          <w:szCs w:val="24"/>
          <w:lang w:val="en-GB"/>
        </w:rPr>
        <w:t>Chairman of the European-Bahraini Organi</w:t>
      </w:r>
      <w:r w:rsidR="00FA086F" w:rsidRPr="00EB0BCC">
        <w:rPr>
          <w:color w:val="000000" w:themeColor="text1"/>
          <w:szCs w:val="24"/>
          <w:lang w:val="en-GB"/>
        </w:rPr>
        <w:t>s</w:t>
      </w:r>
      <w:r w:rsidR="00341F64" w:rsidRPr="00EB0BCC">
        <w:rPr>
          <w:color w:val="000000" w:themeColor="text1"/>
          <w:szCs w:val="24"/>
          <w:lang w:val="en-GB"/>
        </w:rPr>
        <w:t xml:space="preserve">ation for Human Rights (EBOHR) </w:t>
      </w:r>
      <w:r w:rsidRPr="00EB0BCC">
        <w:rPr>
          <w:color w:val="000000" w:themeColor="text1"/>
          <w:szCs w:val="24"/>
          <w:lang w:val="en-GB"/>
        </w:rPr>
        <w:t xml:space="preserve">and currently resides outside of Bahrain because of threats to his personal safety made by government agents. When living in Bahrain, Jawad gave public speeches on the subject of human rights and nonviolent protest on behalf of human rights.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Jawad was first arrested in November 2013 shortly after giving a speech about human rights in Manama. Jawad went to the police station to file a complaint against a pro-government newspaper for publishing a photo of him with the words “wanted” in a campaign against activists. After Jawad made the complaint, he was arrested. Jawad was charged with “insulting the king” and “inciting hatred against the regime” for the speech he had delivered days earlier. Jawad was detained for 46 days and was released on bail on the 47th day.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Jawad was re-arrested in the early morning hours of 16 February 2015. While returning from his aunt’s house with his wife and son, Jawad observed a helicopter and several police vehicles, including a bus with 16 government agents. Approximately 10-15 armed, masked police officers in civilian clothing jumped out of the bus, detained Jawad, and proceeded to search his house, where they seized his passport and cell phone. Jawad was told that they would like to question him. They asked him to enter the bus, whereupon an officer ordered another officer to blindfold him and handcuff his hands behind his back.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For approximately 11 hours, this “assault team” of government agents raided other houses and arrested additional activist leaders. Jawad could hear them breaking down doors and shouting, while people ran and tried to escape. Once the detainees were on the bus, he could hear them being beaten and subjected to electric shock, which he believes was on the genitals. He vividly remembers them shouting and crying in pain as government agents attempted to get them to confess to criminal acts.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detainees were eventually taken to the CID facility in Adliya. Once the prisoners were inside the CID building, they were beaten, including Jawad, who was repeatedly hit in the face, while being taunted and threatened by shouting guards while referring to him as a human rights defender. His lawyer confirmed that Jawad suffered physical, sexual, verbal and psychological abuse while in detention. Jawad was ordered to call his family and tell them he was safe and at CID. He called his wife, but when she asked if they had hurt him, he said “yes.” His interrogators ended the call and threatened to kill and rape him while they beat him.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 xml:space="preserve">Jawad was eventually taken to what he referred to as the “officer building” where he was thrown down and his legs were beaten. He was threatened with electric shock. Jawad was still blindfolded and handcuffed. Jawad was interrogated for 12 hours in the officer building and then returned to the cold room known as “the fridge” for 12 hours of torture or standing. This pattern of interrogations and return to the fridge continued for two days, with a rotation of different officers conducting interrogations.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Jawad was never told of charges against him during this part of his detention. He was questioned in depth about his social media activities (Twitter, Facebook), his co</w:t>
      </w:r>
      <w:r w:rsidR="00B03A70" w:rsidRPr="00EB0BCC">
        <w:rPr>
          <w:color w:val="000000" w:themeColor="text1"/>
          <w:szCs w:val="24"/>
          <w:lang w:val="en-GB"/>
        </w:rPr>
        <w:t>-</w:t>
      </w:r>
      <w:r w:rsidRPr="00EB0BCC">
        <w:rPr>
          <w:color w:val="000000" w:themeColor="text1"/>
          <w:szCs w:val="24"/>
          <w:lang w:val="en-GB"/>
        </w:rPr>
        <w:t xml:space="preserve">workers’ activities, travel, communications, interviews and friends in Europe. On the third day, at approximately midnight or 1 am, law enforcement officers tried to sodomize him from behind with a stick. Jawad fought and resisted. He was told he had to sign the papers or they would rape him with the stick and force him to vomit. On the fourth day of detention, guards threatened that six Pakistani men would rape him if he did not cooperate. Jawad was reportedly prevented from sleeping and using the bathroom, and confined to a narrow cell. The human rights defender was forced to confess that he collected money from Bahrain and abroad to “aid and abet” saboteurs.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Jawad was taken to public prosecution, where he was denied representation by a lawyer and informed of charges relating to involvement in a protest and beating a police officer. For the next four days, he was subjected to beatings, was not allowed to sleep and was forced to stand for prolonged periods of time in the same 12 hour cycles as before, 12 hours of interrogation, 12 hours of torture. Jawad was never allowed to go to the bathroom.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When Jawad was taken to public prosecution again, Jawad’s lawyer was called, who was shocked at his appearance. Jawad told his lawyer that he was tortured, sexually abused, deprived of sleep, and described everything else that had taken place. Jawad was taken to a hospital at the Interior Ministry. He never saw a doctor, but instead saw a nurse who gave him cream to put on his body </w:t>
      </w:r>
      <w:r w:rsidR="002E59DB" w:rsidRPr="00EB0BCC">
        <w:rPr>
          <w:color w:val="000000" w:themeColor="text1"/>
          <w:szCs w:val="24"/>
          <w:lang w:val="en-GB"/>
        </w:rPr>
        <w:t xml:space="preserve">to </w:t>
      </w:r>
      <w:r w:rsidRPr="00EB0BCC">
        <w:rPr>
          <w:color w:val="000000" w:themeColor="text1"/>
          <w:szCs w:val="24"/>
          <w:lang w:val="en-GB"/>
        </w:rPr>
        <w:t>reduce marks</w:t>
      </w:r>
      <w:r w:rsidR="00DC790D" w:rsidRPr="00EB0BCC">
        <w:rPr>
          <w:color w:val="000000" w:themeColor="text1"/>
          <w:szCs w:val="24"/>
          <w:lang w:val="en-GB"/>
        </w:rPr>
        <w:t xml:space="preserve"> of abuse</w:t>
      </w:r>
      <w:r w:rsidRPr="00EB0BCC">
        <w:rPr>
          <w:color w:val="000000" w:themeColor="text1"/>
          <w:szCs w:val="24"/>
          <w:lang w:val="en-GB"/>
        </w:rPr>
        <w:t xml:space="preserve">. He has never seen a medical report from this visit. After that, Jawad was taken to the Dry Dock Detention </w:t>
      </w:r>
      <w:r w:rsidR="00466471" w:rsidRPr="00EB0BCC">
        <w:rPr>
          <w:color w:val="000000" w:themeColor="text1"/>
          <w:szCs w:val="24"/>
          <w:lang w:val="en-GB"/>
        </w:rPr>
        <w:t>Centre</w:t>
      </w:r>
      <w:r w:rsidRPr="00EB0BCC">
        <w:rPr>
          <w:color w:val="000000" w:themeColor="text1"/>
          <w:szCs w:val="24"/>
          <w:lang w:val="en-GB"/>
        </w:rPr>
        <w:t xml:space="preserve"> where he was given clean clothes and allowed to sleep.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 few days later, Jawad was taken back to public prosecution where he met with an investigator regarding his torture. He was then taken to two doctors, one to examine his body and the other for a mental health check. Jawad was held at Dry Dock for four months.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Though an investigation of torture was initially recognized in earlier proceedings, the judge without stated cause, blocked further investigation during a subsequent hearing. No record of the medical reports were produced. Nevertheless, Jawad told the judge that he had been tortured. The judge appeared “red in the face” likely due to the presence of human rights organi</w:t>
      </w:r>
      <w:r w:rsidR="00FA086F" w:rsidRPr="00EB0BCC">
        <w:rPr>
          <w:color w:val="000000" w:themeColor="text1"/>
          <w:szCs w:val="24"/>
          <w:lang w:val="en-GB"/>
        </w:rPr>
        <w:t>s</w:t>
      </w:r>
      <w:r w:rsidRPr="00EB0BCC">
        <w:rPr>
          <w:color w:val="000000" w:themeColor="text1"/>
          <w:szCs w:val="24"/>
          <w:lang w:val="en-GB"/>
        </w:rPr>
        <w:t xml:space="preserve">ations, foreign embassy representatives, and the media during the proceeding. </w:t>
      </w:r>
    </w:p>
    <w:p w:rsidR="00174E85" w:rsidRPr="00EB0BCC" w:rsidRDefault="000B155E" w:rsidP="00FB6EE2">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Jawad was then blindfolded and taken back to CID that night. During this time, someone put their hand on his shoulder and told him that he had three months to leave the country or he would be tortured again. He was then released to his family.</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He left Bahrain with his family two and a half months later. Jawad was subsequently convicted of allegedly collecting and receiving money from Bahrain and abroad </w:t>
      </w:r>
      <w:r w:rsidRPr="00EB0BCC">
        <w:rPr>
          <w:color w:val="000000" w:themeColor="text1"/>
          <w:szCs w:val="24"/>
          <w:lang w:val="en-GB"/>
        </w:rPr>
        <w:lastRenderedPageBreak/>
        <w:t xml:space="preserve">without a permit and sentenced on 15 December 2015 </w:t>
      </w:r>
      <w:r w:rsidRPr="00EB0BCC">
        <w:rPr>
          <w:i/>
          <w:iCs/>
          <w:color w:val="000000" w:themeColor="text1"/>
          <w:szCs w:val="24"/>
          <w:lang w:val="en-GB"/>
        </w:rPr>
        <w:t>in absentia</w:t>
      </w:r>
      <w:r w:rsidRPr="00EB0BCC">
        <w:rPr>
          <w:color w:val="000000" w:themeColor="text1"/>
          <w:szCs w:val="24"/>
          <w:lang w:val="en-GB"/>
        </w:rPr>
        <w:t xml:space="preserve"> to two years in prison and monetary fines. As of this writing, the charges against Jawad from 2013 are still pending.</w:t>
      </w:r>
    </w:p>
    <w:p w:rsidR="000B155E" w:rsidRPr="00EB0BCC" w:rsidRDefault="000B155E" w:rsidP="00174E8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Nabeel Rajab Case</w:t>
      </w:r>
      <w:r w:rsidRPr="00EB0BCC">
        <w:rPr>
          <w:rStyle w:val="FootnoteReference"/>
          <w:b/>
          <w:i/>
          <w:color w:val="000000" w:themeColor="text1"/>
          <w:szCs w:val="24"/>
          <w:lang w:val="en-GB"/>
        </w:rPr>
        <w:footnoteReference w:id="65"/>
      </w:r>
      <w:r w:rsidRPr="00EB0BCC">
        <w:rPr>
          <w:b/>
          <w:i/>
          <w:color w:val="000000" w:themeColor="text1"/>
          <w:szCs w:val="24"/>
          <w:lang w:val="en-GB"/>
        </w:rPr>
        <w:t xml:space="preserve">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Nabeel Rajab is President of the Bahrain Centre for Human Rights (BCHR), former Deputy Secretary General of the International Federation for Human Rights (FIDH), and Founding Director of the Gulf </w:t>
      </w:r>
      <w:r w:rsidR="00466471" w:rsidRPr="00EB0BCC">
        <w:rPr>
          <w:color w:val="000000" w:themeColor="text1"/>
          <w:szCs w:val="24"/>
          <w:lang w:val="en-GB"/>
        </w:rPr>
        <w:t>Centre</w:t>
      </w:r>
      <w:r w:rsidRPr="00EB0BCC">
        <w:rPr>
          <w:color w:val="000000" w:themeColor="text1"/>
          <w:szCs w:val="24"/>
          <w:lang w:val="en-GB"/>
        </w:rPr>
        <w:t xml:space="preserve"> for Human Rights (GCHR). He has won accolades for his human rights advocacy, such as the 2011 Ion Ratiu Democracy Award, presented by the Woodrow Wilson International </w:t>
      </w:r>
      <w:r w:rsidR="00466471" w:rsidRPr="00EB0BCC">
        <w:rPr>
          <w:color w:val="000000" w:themeColor="text1"/>
          <w:szCs w:val="24"/>
          <w:lang w:val="en-GB"/>
        </w:rPr>
        <w:t>Centre</w:t>
      </w:r>
      <w:r w:rsidRPr="00EB0BCC">
        <w:rPr>
          <w:color w:val="000000" w:themeColor="text1"/>
          <w:szCs w:val="24"/>
          <w:lang w:val="en-GB"/>
        </w:rPr>
        <w:t xml:space="preserve"> for Scholars. Rajab is one of the most famous Arab activists on the Internet, with over 345,000 followers on Twitter. Rajab has faced repeated arrests for his human rights activities, including organi</w:t>
      </w:r>
      <w:r w:rsidR="00FA086F" w:rsidRPr="00EB0BCC">
        <w:rPr>
          <w:color w:val="000000" w:themeColor="text1"/>
          <w:szCs w:val="24"/>
          <w:lang w:val="en-GB"/>
        </w:rPr>
        <w:t>s</w:t>
      </w:r>
      <w:r w:rsidRPr="00EB0BCC">
        <w:rPr>
          <w:color w:val="000000" w:themeColor="text1"/>
          <w:szCs w:val="24"/>
          <w:lang w:val="en-GB"/>
        </w:rPr>
        <w:t>ing and participating in demonstrations and criticizing the government for using counter-terrorism laws to prosecute human rights defenders.</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Rajab’s most recent arrests were in 2015 and 2016. On </w:t>
      </w:r>
      <w:r w:rsidR="00783487" w:rsidRPr="00EB0BCC">
        <w:rPr>
          <w:color w:val="000000" w:themeColor="text1"/>
          <w:szCs w:val="24"/>
          <w:lang w:val="en-GB"/>
        </w:rPr>
        <w:t>0</w:t>
      </w:r>
      <w:r w:rsidRPr="00EB0BCC">
        <w:rPr>
          <w:color w:val="000000" w:themeColor="text1"/>
          <w:szCs w:val="24"/>
          <w:lang w:val="en-GB"/>
        </w:rPr>
        <w:t xml:space="preserve">2 April 2015, Rajab was arrested at his home in Bani Jamra village, which was surrounded by police vehicles. The government agents confiscated electronic equipment in his home. Neither he nor his family was ever shown a summons from General Directorate of Anti-Corruption and Economic and Electronic Security. He was subsequently taken to CID facilities for interrogation and detained indefinitely. On 13 May 2015, the Special Rapporteur on Reprisals, Office of High Commissioner for Human Rights, wrote to Bahrain’s ambassador to the UN regarding Rajab’s arrest and detention. The governments of the United Kingdom and the United States were also critical of Rajab’s conviction and detention. On 9 July 2015, the European Parliament adopted an emergency resolution which appealed to the Bahraini government for his release. He was released on 13 July 2015 for health reasons, following a royal pardon. </w:t>
      </w:r>
    </w:p>
    <w:p w:rsidR="00513A16"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During his most recent arrest on 13 June 2016, Rajab’s house was surrounded by Bahraini government agents (from the CID) at 5:00am. The agents confiscated all WiFi and other Internet devices and modems from the house. Rajab was arrested and has been held at West and then East Riffa Prison in solitary confinement for most of that time. He was later charged with </w:t>
      </w:r>
      <w:r w:rsidR="00AB7492" w:rsidRPr="00EB0BCC">
        <w:rPr>
          <w:color w:val="000000" w:themeColor="text1"/>
          <w:szCs w:val="24"/>
          <w:lang w:val="en-GB"/>
        </w:rPr>
        <w:t>criticising</w:t>
      </w:r>
      <w:r w:rsidRPr="00EB0BCC">
        <w:rPr>
          <w:color w:val="000000" w:themeColor="text1"/>
          <w:szCs w:val="24"/>
          <w:lang w:val="en-GB"/>
        </w:rPr>
        <w:t xml:space="preserve">/offending a governmental body, spreading false news against the state (“in a time of war”), and insulting the Saudi state. </w:t>
      </w:r>
      <w:r w:rsidR="00AB7492" w:rsidRPr="00EB0BCC">
        <w:rPr>
          <w:color w:val="000000" w:themeColor="text1"/>
          <w:szCs w:val="24"/>
          <w:lang w:val="en-GB"/>
        </w:rPr>
        <w:t>These charges carry a possible prison sentence of up to 1</w:t>
      </w:r>
      <w:r w:rsidR="00254165" w:rsidRPr="00EB0BCC">
        <w:rPr>
          <w:color w:val="000000" w:themeColor="text1"/>
          <w:szCs w:val="24"/>
          <w:lang w:val="en-GB"/>
        </w:rPr>
        <w:t>5</w:t>
      </w:r>
      <w:r w:rsidR="00AB7492" w:rsidRPr="00EB0BCC">
        <w:rPr>
          <w:color w:val="000000" w:themeColor="text1"/>
          <w:szCs w:val="24"/>
          <w:lang w:val="en-GB"/>
        </w:rPr>
        <w:t xml:space="preserve"> years. </w:t>
      </w:r>
      <w:r w:rsidRPr="00EB0BCC">
        <w:rPr>
          <w:color w:val="000000" w:themeColor="text1"/>
          <w:szCs w:val="24"/>
          <w:lang w:val="en-GB"/>
        </w:rPr>
        <w:t xml:space="preserve">He was removed from the prison and taken to a Bahraini Defence Forces hospital for a gall bladder operation on </w:t>
      </w:r>
      <w:r w:rsidR="00783487" w:rsidRPr="00EB0BCC">
        <w:rPr>
          <w:color w:val="000000" w:themeColor="text1"/>
          <w:szCs w:val="24"/>
          <w:lang w:val="en-GB"/>
        </w:rPr>
        <w:t>0</w:t>
      </w:r>
      <w:r w:rsidRPr="00EB0BCC">
        <w:rPr>
          <w:color w:val="000000" w:themeColor="text1"/>
          <w:szCs w:val="24"/>
          <w:lang w:val="en-GB"/>
        </w:rPr>
        <w:t xml:space="preserve">3 October 2016, but then returned the next day to solitary confinement at East Riffa Prison. His health has continued to deteriorate. He believes his detention is related to human rights work performed in his capacity as President of the Bahrain Centre for Human Rights. </w:t>
      </w:r>
    </w:p>
    <w:p w:rsidR="000B155E" w:rsidRPr="00EB0BCC" w:rsidRDefault="00513A16"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Rajab </w:t>
      </w:r>
      <w:r w:rsidR="00AB7492" w:rsidRPr="00EB0BCC">
        <w:rPr>
          <w:color w:val="000000" w:themeColor="text1"/>
          <w:szCs w:val="24"/>
          <w:lang w:val="en-GB"/>
        </w:rPr>
        <w:t xml:space="preserve">then </w:t>
      </w:r>
      <w:r w:rsidR="000B155E" w:rsidRPr="00EB0BCC">
        <w:rPr>
          <w:color w:val="000000" w:themeColor="text1"/>
          <w:szCs w:val="24"/>
          <w:lang w:val="en-GB"/>
        </w:rPr>
        <w:t xml:space="preserve">faced new charges (“undermining the prestige” of Bahrain) relating to an op-ed piece he published about human rights (“A Letter from a Bahraini Jail”) in the </w:t>
      </w:r>
      <w:r w:rsidR="000B155E" w:rsidRPr="00EB0BCC">
        <w:rPr>
          <w:i/>
          <w:iCs/>
          <w:color w:val="000000" w:themeColor="text1"/>
          <w:szCs w:val="24"/>
          <w:lang w:val="en-GB"/>
        </w:rPr>
        <w:t>New York Times</w:t>
      </w:r>
      <w:r w:rsidR="000B155E" w:rsidRPr="00EB0BCC">
        <w:rPr>
          <w:color w:val="000000" w:themeColor="text1"/>
          <w:szCs w:val="24"/>
          <w:lang w:val="en-GB"/>
        </w:rPr>
        <w:t xml:space="preserve"> on </w:t>
      </w:r>
      <w:r w:rsidR="00783487" w:rsidRPr="00EB0BCC">
        <w:rPr>
          <w:color w:val="000000" w:themeColor="text1"/>
          <w:szCs w:val="24"/>
        </w:rPr>
        <w:t>0</w:t>
      </w:r>
      <w:r w:rsidR="000B155E" w:rsidRPr="00EB0BCC">
        <w:rPr>
          <w:color w:val="000000" w:themeColor="text1"/>
          <w:szCs w:val="24"/>
          <w:lang w:val="en-GB"/>
        </w:rPr>
        <w:t xml:space="preserve">4 September 2016. </w:t>
      </w:r>
      <w:r w:rsidRPr="00EB0BCC">
        <w:rPr>
          <w:color w:val="000000" w:themeColor="text1"/>
          <w:szCs w:val="24"/>
          <w:lang w:val="en-GB"/>
        </w:rPr>
        <w:t>This charge carries a possible prison sentence of one year.</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On 28 December 2016, Manama’s Fifth High Criminal Court ordered Rajab’s temporary release from detention</w:t>
      </w:r>
      <w:r w:rsidR="004C5DD5" w:rsidRPr="00EB0BCC">
        <w:rPr>
          <w:color w:val="000000" w:themeColor="text1"/>
          <w:szCs w:val="24"/>
          <w:lang w:val="en-GB"/>
        </w:rPr>
        <w:t xml:space="preserve"> while his twitter case is ongoing (for which he has </w:t>
      </w:r>
      <w:r w:rsidR="004C5DD5" w:rsidRPr="00EB0BCC">
        <w:rPr>
          <w:color w:val="000000" w:themeColor="text1"/>
          <w:szCs w:val="24"/>
          <w:lang w:val="en-GB"/>
        </w:rPr>
        <w:lastRenderedPageBreak/>
        <w:t>appeared in court in February and March 2017</w:t>
      </w:r>
      <w:r w:rsidRPr="00EB0BCC">
        <w:rPr>
          <w:color w:val="000000" w:themeColor="text1"/>
          <w:szCs w:val="24"/>
          <w:lang w:val="en-GB"/>
        </w:rPr>
        <w:t>.</w:t>
      </w:r>
      <w:r w:rsidR="004C5DD5" w:rsidRPr="00EB0BCC">
        <w:rPr>
          <w:color w:val="000000" w:themeColor="text1"/>
          <w:szCs w:val="24"/>
          <w:lang w:val="en-GB"/>
        </w:rPr>
        <w:t>)</w:t>
      </w:r>
      <w:r w:rsidRPr="00EB0BCC">
        <w:rPr>
          <w:color w:val="000000" w:themeColor="text1"/>
          <w:szCs w:val="24"/>
          <w:lang w:val="en-GB"/>
        </w:rPr>
        <w:t xml:space="preserve"> The court found that insufficient evidence was presented to establish a link between Rajab and an allegedly offending Twitter source which formed the basis of several charges against him. Unfortunately, later the same day as he was being prepared for release, he was re-arrested on new charges for activities (televised interviews) dating back to 2015</w:t>
      </w:r>
      <w:r w:rsidR="004C5DD5" w:rsidRPr="00EB0BCC">
        <w:rPr>
          <w:color w:val="000000" w:themeColor="text1"/>
          <w:szCs w:val="24"/>
          <w:lang w:val="en-GB"/>
        </w:rPr>
        <w:t>, for which he faces up to three years in prison. He has had court appearances in February and March 2017 on these charges</w:t>
      </w:r>
      <w:r w:rsidRPr="00EB0BCC">
        <w:rPr>
          <w:color w:val="000000" w:themeColor="text1"/>
          <w:szCs w:val="24"/>
          <w:lang w:val="en-GB"/>
        </w:rPr>
        <w:t>.</w:t>
      </w:r>
      <w:r w:rsidR="00AB7492" w:rsidRPr="00EB0BCC">
        <w:rPr>
          <w:color w:val="000000" w:themeColor="text1"/>
          <w:szCs w:val="24"/>
          <w:lang w:val="en-GB"/>
        </w:rPr>
        <w:t xml:space="preserve"> In total, Rajab is facing 1</w:t>
      </w:r>
      <w:r w:rsidR="00513A16" w:rsidRPr="00EB0BCC">
        <w:rPr>
          <w:color w:val="000000" w:themeColor="text1"/>
          <w:szCs w:val="24"/>
          <w:lang w:val="en-GB"/>
        </w:rPr>
        <w:t>9</w:t>
      </w:r>
      <w:r w:rsidR="00AB7492" w:rsidRPr="00EB0BCC">
        <w:rPr>
          <w:color w:val="000000" w:themeColor="text1"/>
          <w:szCs w:val="24"/>
          <w:lang w:val="en-GB"/>
        </w:rPr>
        <w:t xml:space="preserve"> years in prison</w:t>
      </w:r>
      <w:r w:rsidR="00513A16" w:rsidRPr="00EB0BCC">
        <w:rPr>
          <w:color w:val="000000" w:themeColor="text1"/>
          <w:szCs w:val="24"/>
          <w:lang w:val="en-GB"/>
        </w:rPr>
        <w:t xml:space="preserve"> for the three aforementioned cases</w:t>
      </w:r>
      <w:r w:rsidR="00AB7492" w:rsidRPr="00EB0BCC">
        <w:rPr>
          <w:color w:val="000000" w:themeColor="text1"/>
          <w:szCs w:val="24"/>
          <w:lang w:val="en-GB"/>
        </w:rPr>
        <w:t>.</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Since his arrest on 13 June 2016, Nabeel Rajab has been held at the East and West Riffa detention facilities, most of the time in solitary confinement. He was removed briefly from the prison for a gall bladder operation on </w:t>
      </w:r>
      <w:r w:rsidR="00783487" w:rsidRPr="00EB0BCC">
        <w:rPr>
          <w:color w:val="000000" w:themeColor="text1"/>
          <w:szCs w:val="24"/>
          <w:lang w:val="en-GB"/>
        </w:rPr>
        <w:t>0</w:t>
      </w:r>
      <w:r w:rsidRPr="00EB0BCC">
        <w:rPr>
          <w:color w:val="000000" w:themeColor="text1"/>
          <w:szCs w:val="24"/>
          <w:lang w:val="en-GB"/>
        </w:rPr>
        <w:t xml:space="preserve">3 October 2016, but was returned the next day to solitary confinement at the prison. His family is allowed to visit once every week, but all visits are strictly supervised and security officers are always present. The conditions of the cell are unsanitary, with cockroaches running rampant. </w:t>
      </w:r>
    </w:p>
    <w:p w:rsidR="000B155E" w:rsidRPr="00EB0BCC" w:rsidRDefault="000B155E" w:rsidP="00174E8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Nazeeha Saeed Case</w:t>
      </w:r>
      <w:r w:rsidRPr="00EB0BCC">
        <w:rPr>
          <w:rStyle w:val="FootnoteReference"/>
          <w:b/>
          <w:i/>
          <w:color w:val="000000" w:themeColor="text1"/>
          <w:szCs w:val="24"/>
          <w:lang w:val="en-GB"/>
        </w:rPr>
        <w:footnoteReference w:id="66"/>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Nazeeha Saeed is a writer and an award-winning professional radio and television journalist and correspondent for Radio Monte Carlo Doualiya and France24.</w:t>
      </w:r>
      <w:r w:rsidRPr="00EB0BCC">
        <w:rPr>
          <w:rStyle w:val="FootnoteReference"/>
          <w:color w:val="000000" w:themeColor="text1"/>
          <w:szCs w:val="24"/>
          <w:lang w:val="en-GB"/>
        </w:rPr>
        <w:footnoteReference w:id="67"/>
      </w:r>
      <w:r w:rsidRPr="00EB0BCC">
        <w:rPr>
          <w:color w:val="000000" w:themeColor="text1"/>
          <w:szCs w:val="24"/>
          <w:lang w:val="en-GB"/>
        </w:rPr>
        <w:t xml:space="preserve"> Saeed covered many of the protests during 2011. Saeed was arrested on 22 May 2011. She received a phone call and was summoned to the police station in West Riffa where she was arrested and held for around 14 hours. She was accused of allegedly working with the Iranian media (Al-Aalam TV), with a media sector associated with Hezbollah (Al-Manar), supporting Welayat Al-faqeeh (political system in Iran), supporting the Islamic movement, attempting to overthrow the Bahraini government, participating in protests aimed at overthrowing the Bahraini government, and of lying in her reports and harming Bahrain’s image. She was questioned specifically about why she had reported the death of a man killed by a police officer. They claimed that such reporting defamed the Bahraini government.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Saeed was initially punched, kicked, and slapped by officers. A police officer took Saeed’s shoe and put it in Saeed’s mouth, stating, “This shoe is cleaner than your mouth.” Saeed was instructed to keep the shoe in her mouth and that if she dropped it, she would be kicked. At one point officers attempted to put an unknown liquid into Saeed’s mouth. When she resisted, the liquid was poured on her hair and face. The officer then grabbed Saeed by the hair and forced her face into a toilet bowl. They threw her to the ground when she denied the officers’ accusations. While she was on the ground, four to five officers kicked her on her head, back, and all over her body.</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For the majority of her detention, Saeed was held in a larger room with other detainees. She was repeatedly beaten with a hose on her back, head, and feet while sitting in a chair in reverse with her back facing outwards. During this same time officers repeatedly punched and hit her with hands and fists. Saeed was then told to go back and stand at the wall. She felt an electric shock in her right hand. She was blindfolded and did not see the device that caused the shock. She was shocked </w:t>
      </w:r>
      <w:r w:rsidRPr="00EB0BCC">
        <w:rPr>
          <w:color w:val="000000" w:themeColor="text1"/>
          <w:szCs w:val="24"/>
          <w:lang w:val="en-GB"/>
        </w:rPr>
        <w:lastRenderedPageBreak/>
        <w:t xml:space="preserve">approximately 10 times. This was the only time she was subjected to use of an electro-shock device. Saeed had burns on her right hand following the application of the electro-shock device.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After approximately nine hours of torture and interrogation, an officer brought papers to Saeed and instructed her to sign. She believes the papers were a confession, but did not read the papers before signing because she was “too tired and broken.” Saeed was taken to see the head officer whom she knew previously. He ordered her release. </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Her arrest and torture in May 2011 have been described in the 2014 Human Rights Watch report, </w:t>
      </w:r>
      <w:r w:rsidRPr="00EB0BCC">
        <w:rPr>
          <w:i/>
          <w:iCs/>
          <w:color w:val="000000" w:themeColor="text1"/>
          <w:szCs w:val="24"/>
          <w:lang w:val="en-GB"/>
        </w:rPr>
        <w:t>Criminalizing Dissent-Entrenching Impunity</w:t>
      </w:r>
      <w:r w:rsidRPr="00EB0BCC">
        <w:rPr>
          <w:color w:val="000000" w:themeColor="text1"/>
          <w:szCs w:val="24"/>
          <w:lang w:val="en-GB"/>
        </w:rPr>
        <w:t>. Since that report, there is evidence of new reprisals for journalistic activity.</w:t>
      </w:r>
    </w:p>
    <w:p w:rsidR="000B155E" w:rsidRPr="00EB0BCC" w:rsidRDefault="000B155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On 17 July 2016, Saeed was notified by Bahrain’s Public Prosecution that she was facing charges of “unlawfully” working for foreign or international media, under Article 88 of Law 47/2002.</w:t>
      </w:r>
      <w:r w:rsidRPr="00EB0BCC">
        <w:rPr>
          <w:rStyle w:val="FootnoteReference"/>
          <w:color w:val="000000" w:themeColor="text1"/>
          <w:szCs w:val="24"/>
          <w:lang w:val="en-GB"/>
        </w:rPr>
        <w:footnoteReference w:id="68"/>
      </w:r>
      <w:r w:rsidRPr="00EB0BCC">
        <w:rPr>
          <w:color w:val="000000" w:themeColor="text1"/>
          <w:szCs w:val="24"/>
          <w:lang w:val="en-GB"/>
        </w:rPr>
        <w:t xml:space="preserve"> That law regulates the press and requires Bahrainis to obtain a license from the Information Affairs Authority (IAA) before working for foreign media. The license must be renewed annually. When Saeed applied for a renewal of her license in March 2016, it was denied by the IAA. She has never been denied a renewal before. With the charges pending, she faces a trial and a fine of up to 1000 Bahraini Dinars (approximately $2650 USD). In July 2016, 43 international freedom of expression NGOs called on the government of Bahrain to respect press freedom and to end reprisals against Saeed, by removing a travel ban and dropping charges against her. As of the writing of this report, Saeed’s trial has been postponed by the criminal court</w:t>
      </w:r>
      <w:r w:rsidR="00DC790D" w:rsidRPr="00EB0BCC">
        <w:rPr>
          <w:color w:val="000000" w:themeColor="text1"/>
          <w:szCs w:val="24"/>
          <w:lang w:val="en-GB"/>
        </w:rPr>
        <w:t>, with the latest hearing on</w:t>
      </w:r>
      <w:r w:rsidR="00513A16" w:rsidRPr="00EB0BCC">
        <w:rPr>
          <w:color w:val="000000" w:themeColor="text1"/>
          <w:szCs w:val="24"/>
          <w:lang w:val="en-GB"/>
        </w:rPr>
        <w:t xml:space="preserve"> </w:t>
      </w:r>
      <w:r w:rsidRPr="00EB0BCC">
        <w:rPr>
          <w:color w:val="000000" w:themeColor="text1"/>
          <w:szCs w:val="24"/>
          <w:lang w:val="en-GB"/>
        </w:rPr>
        <w:t xml:space="preserve">28 February 2017. </w:t>
      </w:r>
    </w:p>
    <w:p w:rsidR="003558BC" w:rsidRPr="00EB0BCC" w:rsidRDefault="003558BC" w:rsidP="00BA35C4">
      <w:pPr>
        <w:pStyle w:val="Heading3"/>
        <w:jc w:val="both"/>
        <w:rPr>
          <w:color w:val="000000" w:themeColor="text1"/>
          <w:lang w:val="en-GB"/>
        </w:rPr>
      </w:pPr>
      <w:bookmarkStart w:id="12" w:name="_Toc475984114"/>
      <w:r w:rsidRPr="00EB0BCC">
        <w:rPr>
          <w:color w:val="000000" w:themeColor="text1"/>
          <w:lang w:val="en-GB"/>
        </w:rPr>
        <w:t>V</w:t>
      </w:r>
      <w:r w:rsidR="00F02FAA" w:rsidRPr="00EB0BCC">
        <w:rPr>
          <w:color w:val="000000" w:themeColor="text1"/>
          <w:lang w:val="en-GB"/>
        </w:rPr>
        <w:t>I</w:t>
      </w:r>
      <w:r w:rsidR="00CF3DB4" w:rsidRPr="00EB0BCC">
        <w:rPr>
          <w:color w:val="000000" w:themeColor="text1"/>
          <w:lang w:val="en-GB"/>
        </w:rPr>
        <w:t>I</w:t>
      </w:r>
      <w:r w:rsidR="00EA5841" w:rsidRPr="00EB0BCC">
        <w:rPr>
          <w:color w:val="000000" w:themeColor="text1"/>
          <w:lang w:val="en-GB"/>
        </w:rPr>
        <w:t>I</w:t>
      </w:r>
      <w:r w:rsidRPr="00EB0BCC">
        <w:rPr>
          <w:color w:val="000000" w:themeColor="text1"/>
          <w:lang w:val="en-GB"/>
        </w:rPr>
        <w:t>. Torture or Cruel, Inhuman or Degrading Treatment</w:t>
      </w:r>
      <w:bookmarkEnd w:id="12"/>
      <w:r w:rsidRPr="00EB0BCC">
        <w:rPr>
          <w:color w:val="000000" w:themeColor="text1"/>
          <w:lang w:val="en-GB"/>
        </w:rPr>
        <w:t xml:space="preserve"> </w:t>
      </w:r>
    </w:p>
    <w:p w:rsidR="003558BC" w:rsidRPr="00EB0BCC" w:rsidRDefault="006C0DD6"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We note that the Human Rights Watch </w:t>
      </w:r>
      <w:r w:rsidR="00303717" w:rsidRPr="00EB0BCC">
        <w:rPr>
          <w:color w:val="000000" w:themeColor="text1"/>
          <w:szCs w:val="24"/>
          <w:lang w:val="en-GB"/>
        </w:rPr>
        <w:t xml:space="preserve">report </w:t>
      </w:r>
      <w:r w:rsidRPr="00EB0BCC">
        <w:rPr>
          <w:color w:val="000000" w:themeColor="text1"/>
          <w:szCs w:val="24"/>
          <w:lang w:val="en-GB"/>
        </w:rPr>
        <w:t xml:space="preserve">of </w:t>
      </w:r>
      <w:r w:rsidR="00131D04" w:rsidRPr="00EB0BCC">
        <w:rPr>
          <w:color w:val="000000" w:themeColor="text1"/>
          <w:szCs w:val="24"/>
          <w:lang w:val="en-GB"/>
        </w:rPr>
        <w:t>February</w:t>
      </w:r>
      <w:r w:rsidRPr="00EB0BCC">
        <w:rPr>
          <w:color w:val="000000" w:themeColor="text1"/>
          <w:szCs w:val="24"/>
          <w:lang w:val="en-GB"/>
        </w:rPr>
        <w:t xml:space="preserve"> 2010 documented and listed specific practices of torture or other cruel, inhuman, or degrading treatment of detainees.</w:t>
      </w:r>
      <w:r w:rsidR="00131D04" w:rsidRPr="00EB0BCC">
        <w:rPr>
          <w:rStyle w:val="FootnoteReference"/>
          <w:color w:val="000000" w:themeColor="text1"/>
          <w:szCs w:val="24"/>
          <w:lang w:val="en-GB"/>
        </w:rPr>
        <w:footnoteReference w:id="69"/>
      </w:r>
      <w:r w:rsidR="000E2F57" w:rsidRPr="00EB0BCC">
        <w:rPr>
          <w:color w:val="000000" w:themeColor="text1"/>
          <w:szCs w:val="24"/>
          <w:lang w:val="en-GB"/>
        </w:rPr>
        <w:t xml:space="preserve"> </w:t>
      </w:r>
      <w:r w:rsidR="00900A6C" w:rsidRPr="00EB0BCC">
        <w:rPr>
          <w:color w:val="000000" w:themeColor="text1"/>
          <w:szCs w:val="24"/>
          <w:lang w:val="en-GB"/>
        </w:rPr>
        <w:t>That report was used as a baseline to measure changes or continuation of past behavio</w:t>
      </w:r>
      <w:r w:rsidR="00513A16" w:rsidRPr="00EB0BCC">
        <w:rPr>
          <w:color w:val="000000" w:themeColor="text1"/>
          <w:szCs w:val="24"/>
          <w:lang w:val="en-GB"/>
        </w:rPr>
        <w:t>u</w:t>
      </w:r>
      <w:r w:rsidR="00900A6C" w:rsidRPr="00EB0BCC">
        <w:rPr>
          <w:color w:val="000000" w:themeColor="text1"/>
          <w:szCs w:val="24"/>
          <w:lang w:val="en-GB"/>
        </w:rPr>
        <w:t>r.</w:t>
      </w:r>
      <w:r w:rsidR="000E2F57" w:rsidRPr="00EB0BCC">
        <w:rPr>
          <w:color w:val="000000" w:themeColor="text1"/>
          <w:szCs w:val="24"/>
          <w:lang w:val="en-GB"/>
        </w:rPr>
        <w:t xml:space="preserve"> </w:t>
      </w:r>
      <w:r w:rsidR="003558BC" w:rsidRPr="00EB0BCC">
        <w:rPr>
          <w:color w:val="000000" w:themeColor="text1"/>
          <w:szCs w:val="24"/>
          <w:lang w:val="en-GB"/>
        </w:rPr>
        <w:t>Based upon</w:t>
      </w:r>
      <w:r w:rsidRPr="00EB0BCC">
        <w:rPr>
          <w:color w:val="000000" w:themeColor="text1"/>
          <w:szCs w:val="24"/>
          <w:lang w:val="en-GB"/>
        </w:rPr>
        <w:t xml:space="preserve"> our</w:t>
      </w:r>
      <w:r w:rsidR="003558BC" w:rsidRPr="00EB0BCC">
        <w:rPr>
          <w:color w:val="000000" w:themeColor="text1"/>
          <w:szCs w:val="24"/>
          <w:lang w:val="en-GB"/>
        </w:rPr>
        <w:t xml:space="preserve"> interviews and review of the </w:t>
      </w:r>
      <w:r w:rsidRPr="00EB0BCC">
        <w:rPr>
          <w:color w:val="000000" w:themeColor="text1"/>
          <w:szCs w:val="24"/>
          <w:lang w:val="en-GB"/>
        </w:rPr>
        <w:t>evidentiary</w:t>
      </w:r>
      <w:r w:rsidR="003558BC" w:rsidRPr="00EB0BCC">
        <w:rPr>
          <w:color w:val="000000" w:themeColor="text1"/>
          <w:szCs w:val="24"/>
          <w:lang w:val="en-GB"/>
        </w:rPr>
        <w:t xml:space="preserve"> record, </w:t>
      </w:r>
      <w:r w:rsidR="003560E6" w:rsidRPr="00EB0BCC">
        <w:rPr>
          <w:color w:val="000000" w:themeColor="text1"/>
          <w:szCs w:val="24"/>
          <w:lang w:val="en-GB"/>
        </w:rPr>
        <w:t>this report concludes that</w:t>
      </w:r>
      <w:r w:rsidR="003558BC" w:rsidRPr="00EB0BCC">
        <w:rPr>
          <w:color w:val="000000" w:themeColor="text1"/>
          <w:szCs w:val="24"/>
          <w:lang w:val="en-GB"/>
        </w:rPr>
        <w:t xml:space="preserve"> there is credible evidence that, since</w:t>
      </w:r>
      <w:r w:rsidRPr="00EB0BCC">
        <w:rPr>
          <w:color w:val="000000" w:themeColor="text1"/>
          <w:szCs w:val="24"/>
          <w:lang w:val="en-GB"/>
        </w:rPr>
        <w:t xml:space="preserve"> </w:t>
      </w:r>
      <w:r w:rsidR="00131D04" w:rsidRPr="00EB0BCC">
        <w:rPr>
          <w:color w:val="000000" w:themeColor="text1"/>
          <w:szCs w:val="24"/>
          <w:lang w:val="en-GB"/>
        </w:rPr>
        <w:t>February</w:t>
      </w:r>
      <w:r w:rsidRPr="00EB0BCC">
        <w:rPr>
          <w:color w:val="000000" w:themeColor="text1"/>
          <w:szCs w:val="24"/>
          <w:lang w:val="en-GB"/>
        </w:rPr>
        <w:t xml:space="preserve"> 2010</w:t>
      </w:r>
      <w:r w:rsidR="003558BC" w:rsidRPr="00EB0BCC">
        <w:rPr>
          <w:color w:val="000000" w:themeColor="text1"/>
          <w:szCs w:val="24"/>
          <w:lang w:val="en-GB"/>
        </w:rPr>
        <w:t xml:space="preserve"> </w:t>
      </w:r>
      <w:r w:rsidRPr="00EB0BCC">
        <w:rPr>
          <w:color w:val="000000" w:themeColor="text1"/>
          <w:szCs w:val="24"/>
          <w:lang w:val="en-GB"/>
        </w:rPr>
        <w:t xml:space="preserve">various </w:t>
      </w:r>
      <w:r w:rsidR="003558BC" w:rsidRPr="00EB0BCC">
        <w:rPr>
          <w:color w:val="000000" w:themeColor="text1"/>
          <w:szCs w:val="24"/>
          <w:lang w:val="en-GB"/>
        </w:rPr>
        <w:t xml:space="preserve">Bahraini </w:t>
      </w:r>
      <w:r w:rsidRPr="00EB0BCC">
        <w:rPr>
          <w:color w:val="000000" w:themeColor="text1"/>
          <w:szCs w:val="24"/>
          <w:lang w:val="en-GB"/>
        </w:rPr>
        <w:t xml:space="preserve">law enforcement and internal </w:t>
      </w:r>
      <w:r w:rsidR="003558BC" w:rsidRPr="00EB0BCC">
        <w:rPr>
          <w:color w:val="000000" w:themeColor="text1"/>
          <w:szCs w:val="24"/>
          <w:lang w:val="en-GB"/>
        </w:rPr>
        <w:t>security forces have</w:t>
      </w:r>
      <w:r w:rsidR="003560E6" w:rsidRPr="00EB0BCC">
        <w:rPr>
          <w:color w:val="000000" w:themeColor="text1"/>
          <w:szCs w:val="24"/>
          <w:lang w:val="en-GB"/>
        </w:rPr>
        <w:t xml:space="preserve"> continued </w:t>
      </w:r>
      <w:r w:rsidRPr="00EB0BCC">
        <w:rPr>
          <w:color w:val="000000" w:themeColor="text1"/>
          <w:szCs w:val="24"/>
          <w:lang w:val="en-GB"/>
        </w:rPr>
        <w:t xml:space="preserve">to engage in </w:t>
      </w:r>
      <w:r w:rsidR="003560E6" w:rsidRPr="00EB0BCC">
        <w:rPr>
          <w:color w:val="000000" w:themeColor="text1"/>
          <w:szCs w:val="24"/>
          <w:lang w:val="en-GB"/>
        </w:rPr>
        <w:t>the following practices</w:t>
      </w:r>
      <w:r w:rsidR="003558BC" w:rsidRPr="00EB0BCC">
        <w:rPr>
          <w:color w:val="000000" w:themeColor="text1"/>
          <w:szCs w:val="24"/>
          <w:lang w:val="en-GB"/>
        </w:rPr>
        <w:t>:</w:t>
      </w:r>
    </w:p>
    <w:p w:rsidR="003558BC" w:rsidRPr="00EB0BCC" w:rsidRDefault="000E2F57" w:rsidP="00174E85">
      <w:pPr>
        <w:pStyle w:val="BodyText"/>
        <w:tabs>
          <w:tab w:val="right" w:pos="8910"/>
        </w:tabs>
        <w:ind w:left="2160" w:right="18"/>
        <w:jc w:val="both"/>
        <w:rPr>
          <w:color w:val="000000" w:themeColor="text1"/>
          <w:szCs w:val="24"/>
          <w:lang w:val="en-GB"/>
        </w:rPr>
      </w:pPr>
      <w:r w:rsidRPr="00EB0BCC">
        <w:rPr>
          <w:color w:val="000000" w:themeColor="text1"/>
          <w:szCs w:val="24"/>
          <w:lang w:val="en-GB"/>
        </w:rPr>
        <w:t xml:space="preserve"> </w:t>
      </w:r>
      <w:r w:rsidR="003558BC" w:rsidRPr="00EB0BCC">
        <w:rPr>
          <w:color w:val="000000" w:themeColor="text1"/>
          <w:szCs w:val="24"/>
          <w:lang w:val="en-GB"/>
        </w:rPr>
        <w:t>•</w:t>
      </w:r>
      <w:r w:rsidRPr="00EB0BCC">
        <w:rPr>
          <w:color w:val="000000" w:themeColor="text1"/>
          <w:szCs w:val="24"/>
          <w:lang w:val="en-GB"/>
        </w:rPr>
        <w:t xml:space="preserve"> </w:t>
      </w:r>
      <w:r w:rsidR="003558BC" w:rsidRPr="00EB0BCC">
        <w:rPr>
          <w:color w:val="000000" w:themeColor="text1"/>
          <w:szCs w:val="24"/>
          <w:lang w:val="en-GB"/>
        </w:rPr>
        <w:t>use</w:t>
      </w:r>
      <w:r w:rsidR="006C0DD6" w:rsidRPr="00EB0BCC">
        <w:rPr>
          <w:color w:val="000000" w:themeColor="text1"/>
          <w:szCs w:val="24"/>
          <w:lang w:val="en-GB"/>
        </w:rPr>
        <w:t xml:space="preserve"> of</w:t>
      </w:r>
      <w:r w:rsidR="003558BC" w:rsidRPr="00EB0BCC">
        <w:rPr>
          <w:color w:val="000000" w:themeColor="text1"/>
          <w:szCs w:val="24"/>
          <w:lang w:val="en-GB"/>
        </w:rPr>
        <w:t xml:space="preserve"> electro-shock devices against detainees; </w:t>
      </w:r>
    </w:p>
    <w:p w:rsidR="003558BC" w:rsidRPr="00EB0BCC" w:rsidRDefault="000E2F57" w:rsidP="00174E85">
      <w:pPr>
        <w:pStyle w:val="BodyText"/>
        <w:tabs>
          <w:tab w:val="right" w:pos="8910"/>
        </w:tabs>
        <w:ind w:left="2160" w:right="18"/>
        <w:jc w:val="both"/>
        <w:rPr>
          <w:color w:val="000000" w:themeColor="text1"/>
          <w:szCs w:val="24"/>
          <w:lang w:val="en-GB"/>
        </w:rPr>
      </w:pPr>
      <w:r w:rsidRPr="00EB0BCC">
        <w:rPr>
          <w:color w:val="000000" w:themeColor="text1"/>
          <w:szCs w:val="24"/>
          <w:lang w:val="en-GB"/>
        </w:rPr>
        <w:t xml:space="preserve"> </w:t>
      </w:r>
      <w:r w:rsidR="003558BC" w:rsidRPr="00EB0BCC">
        <w:rPr>
          <w:color w:val="000000" w:themeColor="text1"/>
          <w:szCs w:val="24"/>
          <w:lang w:val="en-GB"/>
        </w:rPr>
        <w:t>•</w:t>
      </w:r>
      <w:r w:rsidRPr="00EB0BCC">
        <w:rPr>
          <w:color w:val="000000" w:themeColor="text1"/>
          <w:szCs w:val="24"/>
          <w:lang w:val="en-GB"/>
        </w:rPr>
        <w:t xml:space="preserve"> </w:t>
      </w:r>
      <w:r w:rsidR="003558BC" w:rsidRPr="00EB0BCC">
        <w:rPr>
          <w:color w:val="000000" w:themeColor="text1"/>
          <w:szCs w:val="24"/>
          <w:lang w:val="en-GB"/>
        </w:rPr>
        <w:t>suspen</w:t>
      </w:r>
      <w:r w:rsidR="006C0DD6" w:rsidRPr="00EB0BCC">
        <w:rPr>
          <w:color w:val="000000" w:themeColor="text1"/>
          <w:szCs w:val="24"/>
          <w:lang w:val="en-GB"/>
        </w:rPr>
        <w:t>sion of</w:t>
      </w:r>
      <w:r w:rsidR="003558BC" w:rsidRPr="00EB0BCC">
        <w:rPr>
          <w:color w:val="000000" w:themeColor="text1"/>
          <w:szCs w:val="24"/>
          <w:lang w:val="en-GB"/>
        </w:rPr>
        <w:t xml:space="preserve"> detainees in painful positions;</w:t>
      </w:r>
    </w:p>
    <w:p w:rsidR="003558BC" w:rsidRPr="00EB0BCC" w:rsidRDefault="000E2F57" w:rsidP="00174E85">
      <w:pPr>
        <w:pStyle w:val="BodyText"/>
        <w:tabs>
          <w:tab w:val="right" w:pos="8910"/>
        </w:tabs>
        <w:ind w:left="2160" w:right="18"/>
        <w:jc w:val="both"/>
        <w:rPr>
          <w:color w:val="000000" w:themeColor="text1"/>
          <w:szCs w:val="24"/>
          <w:lang w:val="en-GB"/>
        </w:rPr>
      </w:pPr>
      <w:r w:rsidRPr="00EB0BCC">
        <w:rPr>
          <w:color w:val="000000" w:themeColor="text1"/>
          <w:szCs w:val="24"/>
          <w:lang w:val="en-GB"/>
        </w:rPr>
        <w:t xml:space="preserve"> </w:t>
      </w:r>
      <w:r w:rsidR="003558BC" w:rsidRPr="00EB0BCC">
        <w:rPr>
          <w:color w:val="000000" w:themeColor="text1"/>
          <w:szCs w:val="24"/>
          <w:lang w:val="en-GB"/>
        </w:rPr>
        <w:t>•</w:t>
      </w:r>
      <w:r w:rsidRPr="00EB0BCC">
        <w:rPr>
          <w:color w:val="000000" w:themeColor="text1"/>
          <w:szCs w:val="24"/>
          <w:lang w:val="en-GB"/>
        </w:rPr>
        <w:t xml:space="preserve"> </w:t>
      </w:r>
      <w:r w:rsidR="003558BC" w:rsidRPr="00EB0BCC">
        <w:rPr>
          <w:color w:val="000000" w:themeColor="text1"/>
          <w:szCs w:val="24"/>
          <w:lang w:val="en-GB"/>
        </w:rPr>
        <w:t>beat</w:t>
      </w:r>
      <w:r w:rsidR="00900A6C" w:rsidRPr="00EB0BCC">
        <w:rPr>
          <w:color w:val="000000" w:themeColor="text1"/>
          <w:szCs w:val="24"/>
          <w:lang w:val="en-GB"/>
        </w:rPr>
        <w:t>ing</w:t>
      </w:r>
      <w:r w:rsidR="003558BC" w:rsidRPr="00EB0BCC">
        <w:rPr>
          <w:color w:val="000000" w:themeColor="text1"/>
          <w:szCs w:val="24"/>
          <w:lang w:val="en-GB"/>
        </w:rPr>
        <w:t xml:space="preserve"> detainees’ feet with rubber hoses and/or batons; </w:t>
      </w:r>
    </w:p>
    <w:p w:rsidR="003558BC" w:rsidRPr="00EB0BCC" w:rsidRDefault="000E2F57" w:rsidP="00174E85">
      <w:pPr>
        <w:pStyle w:val="BodyText"/>
        <w:tabs>
          <w:tab w:val="right" w:pos="8910"/>
        </w:tabs>
        <w:ind w:left="2160" w:right="18"/>
        <w:jc w:val="both"/>
        <w:rPr>
          <w:color w:val="000000" w:themeColor="text1"/>
          <w:szCs w:val="24"/>
          <w:lang w:val="en-GB"/>
        </w:rPr>
      </w:pPr>
      <w:r w:rsidRPr="00EB0BCC">
        <w:rPr>
          <w:color w:val="000000" w:themeColor="text1"/>
          <w:szCs w:val="24"/>
          <w:lang w:val="en-GB"/>
        </w:rPr>
        <w:t xml:space="preserve"> </w:t>
      </w:r>
      <w:r w:rsidR="003558BC" w:rsidRPr="00EB0BCC">
        <w:rPr>
          <w:color w:val="000000" w:themeColor="text1"/>
          <w:szCs w:val="24"/>
          <w:lang w:val="en-GB"/>
        </w:rPr>
        <w:t>•</w:t>
      </w:r>
      <w:r w:rsidRPr="00EB0BCC">
        <w:rPr>
          <w:color w:val="000000" w:themeColor="text1"/>
          <w:szCs w:val="24"/>
          <w:lang w:val="en-GB"/>
        </w:rPr>
        <w:t xml:space="preserve"> </w:t>
      </w:r>
      <w:r w:rsidR="003558BC" w:rsidRPr="00EB0BCC">
        <w:rPr>
          <w:color w:val="000000" w:themeColor="text1"/>
          <w:szCs w:val="24"/>
          <w:lang w:val="en-GB"/>
        </w:rPr>
        <w:t>slapp</w:t>
      </w:r>
      <w:r w:rsidR="006C0DD6" w:rsidRPr="00EB0BCC">
        <w:rPr>
          <w:color w:val="000000" w:themeColor="text1"/>
          <w:szCs w:val="24"/>
          <w:lang w:val="en-GB"/>
        </w:rPr>
        <w:t>ing</w:t>
      </w:r>
      <w:r w:rsidR="003558BC" w:rsidRPr="00EB0BCC">
        <w:rPr>
          <w:color w:val="000000" w:themeColor="text1"/>
          <w:szCs w:val="24"/>
          <w:lang w:val="en-GB"/>
        </w:rPr>
        <w:t>, punch</w:t>
      </w:r>
      <w:r w:rsidR="006C0DD6" w:rsidRPr="00EB0BCC">
        <w:rPr>
          <w:color w:val="000000" w:themeColor="text1"/>
          <w:szCs w:val="24"/>
          <w:lang w:val="en-GB"/>
        </w:rPr>
        <w:t>ing</w:t>
      </w:r>
      <w:r w:rsidR="003558BC" w:rsidRPr="00EB0BCC">
        <w:rPr>
          <w:color w:val="000000" w:themeColor="text1"/>
          <w:szCs w:val="24"/>
          <w:lang w:val="en-GB"/>
        </w:rPr>
        <w:t>, and kick</w:t>
      </w:r>
      <w:r w:rsidR="006C0DD6" w:rsidRPr="00EB0BCC">
        <w:rPr>
          <w:color w:val="000000" w:themeColor="text1"/>
          <w:szCs w:val="24"/>
          <w:lang w:val="en-GB"/>
        </w:rPr>
        <w:t>ing</w:t>
      </w:r>
      <w:r w:rsidR="003558BC" w:rsidRPr="00EB0BCC">
        <w:rPr>
          <w:color w:val="000000" w:themeColor="text1"/>
          <w:szCs w:val="24"/>
          <w:lang w:val="en-GB"/>
        </w:rPr>
        <w:t xml:space="preserve"> detainees, and beat</w:t>
      </w:r>
      <w:r w:rsidR="006C0DD6" w:rsidRPr="00EB0BCC">
        <w:rPr>
          <w:color w:val="000000" w:themeColor="text1"/>
          <w:szCs w:val="24"/>
          <w:lang w:val="en-GB"/>
        </w:rPr>
        <w:t>ing</w:t>
      </w:r>
      <w:r w:rsidR="003558BC" w:rsidRPr="00EB0BCC">
        <w:rPr>
          <w:color w:val="000000" w:themeColor="text1"/>
          <w:szCs w:val="24"/>
          <w:lang w:val="en-GB"/>
        </w:rPr>
        <w:t xml:space="preserve"> them with implements; </w:t>
      </w:r>
    </w:p>
    <w:p w:rsidR="003558BC" w:rsidRPr="00EB0BCC" w:rsidRDefault="000E2F57" w:rsidP="00174E85">
      <w:pPr>
        <w:pStyle w:val="BodyText"/>
        <w:tabs>
          <w:tab w:val="right" w:pos="8910"/>
        </w:tabs>
        <w:ind w:left="2160" w:right="18"/>
        <w:jc w:val="both"/>
        <w:rPr>
          <w:color w:val="000000" w:themeColor="text1"/>
          <w:szCs w:val="24"/>
          <w:lang w:val="en-GB"/>
        </w:rPr>
      </w:pPr>
      <w:r w:rsidRPr="00EB0BCC">
        <w:rPr>
          <w:color w:val="000000" w:themeColor="text1"/>
          <w:szCs w:val="24"/>
          <w:lang w:val="en-GB"/>
        </w:rPr>
        <w:t xml:space="preserve"> </w:t>
      </w:r>
      <w:r w:rsidR="003558BC" w:rsidRPr="00EB0BCC">
        <w:rPr>
          <w:color w:val="000000" w:themeColor="text1"/>
          <w:szCs w:val="24"/>
          <w:lang w:val="en-GB"/>
        </w:rPr>
        <w:t>•</w:t>
      </w:r>
      <w:r w:rsidRPr="00EB0BCC">
        <w:rPr>
          <w:color w:val="000000" w:themeColor="text1"/>
          <w:szCs w:val="24"/>
          <w:lang w:val="en-GB"/>
        </w:rPr>
        <w:t xml:space="preserve"> </w:t>
      </w:r>
      <w:r w:rsidR="003558BC" w:rsidRPr="00EB0BCC">
        <w:rPr>
          <w:color w:val="000000" w:themeColor="text1"/>
          <w:szCs w:val="24"/>
          <w:lang w:val="en-GB"/>
        </w:rPr>
        <w:t>forc</w:t>
      </w:r>
      <w:r w:rsidR="006C0DD6" w:rsidRPr="00EB0BCC">
        <w:rPr>
          <w:color w:val="000000" w:themeColor="text1"/>
          <w:szCs w:val="24"/>
          <w:lang w:val="en-GB"/>
        </w:rPr>
        <w:t>ing</w:t>
      </w:r>
      <w:r w:rsidR="003558BC" w:rsidRPr="00EB0BCC">
        <w:rPr>
          <w:color w:val="000000" w:themeColor="text1"/>
          <w:szCs w:val="24"/>
          <w:lang w:val="en-GB"/>
        </w:rPr>
        <w:t xml:space="preserve"> detainees to stand for prolonged periods of time; and </w:t>
      </w:r>
    </w:p>
    <w:p w:rsidR="003558BC" w:rsidRPr="00EB0BCC" w:rsidRDefault="000E2F57" w:rsidP="00174E85">
      <w:pPr>
        <w:pStyle w:val="BodyText"/>
        <w:tabs>
          <w:tab w:val="right" w:pos="8910"/>
        </w:tabs>
        <w:ind w:left="2160" w:right="18"/>
        <w:jc w:val="both"/>
        <w:rPr>
          <w:color w:val="000000" w:themeColor="text1"/>
          <w:szCs w:val="24"/>
          <w:lang w:val="en-GB"/>
        </w:rPr>
      </w:pPr>
      <w:r w:rsidRPr="00EB0BCC">
        <w:rPr>
          <w:color w:val="000000" w:themeColor="text1"/>
          <w:szCs w:val="24"/>
          <w:lang w:val="en-GB"/>
        </w:rPr>
        <w:lastRenderedPageBreak/>
        <w:t xml:space="preserve"> </w:t>
      </w:r>
      <w:r w:rsidR="003558BC" w:rsidRPr="00EB0BCC">
        <w:rPr>
          <w:color w:val="000000" w:themeColor="text1"/>
          <w:szCs w:val="24"/>
          <w:lang w:val="en-GB"/>
        </w:rPr>
        <w:t>•</w:t>
      </w:r>
      <w:r w:rsidRPr="00EB0BCC">
        <w:rPr>
          <w:color w:val="000000" w:themeColor="text1"/>
          <w:szCs w:val="24"/>
          <w:lang w:val="en-GB"/>
        </w:rPr>
        <w:t xml:space="preserve"> </w:t>
      </w:r>
      <w:r w:rsidR="003558BC" w:rsidRPr="00EB0BCC">
        <w:rPr>
          <w:color w:val="000000" w:themeColor="text1"/>
          <w:szCs w:val="24"/>
          <w:lang w:val="en-GB"/>
        </w:rPr>
        <w:t>threaten</w:t>
      </w:r>
      <w:r w:rsidR="006C0DD6" w:rsidRPr="00EB0BCC">
        <w:rPr>
          <w:color w:val="000000" w:themeColor="text1"/>
          <w:szCs w:val="24"/>
          <w:lang w:val="en-GB"/>
        </w:rPr>
        <w:t>ing</w:t>
      </w:r>
      <w:r w:rsidR="003558BC" w:rsidRPr="00EB0BCC">
        <w:rPr>
          <w:color w:val="000000" w:themeColor="text1"/>
          <w:szCs w:val="24"/>
          <w:lang w:val="en-GB"/>
        </w:rPr>
        <w:t xml:space="preserve"> detainees with death and rape.</w:t>
      </w:r>
    </w:p>
    <w:p w:rsidR="0021467F" w:rsidRPr="00EB0BCC" w:rsidRDefault="003558BC"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w:t>
      </w:r>
      <w:r w:rsidR="005557FE" w:rsidRPr="00EB0BCC">
        <w:rPr>
          <w:color w:val="000000" w:themeColor="text1"/>
          <w:szCs w:val="24"/>
          <w:lang w:val="en-GB"/>
        </w:rPr>
        <w:t xml:space="preserve">international and national legal obligations of Bahrain forbid </w:t>
      </w:r>
      <w:r w:rsidRPr="00EB0BCC">
        <w:rPr>
          <w:color w:val="000000" w:themeColor="text1"/>
          <w:szCs w:val="24"/>
          <w:lang w:val="en-GB"/>
        </w:rPr>
        <w:t xml:space="preserve">use of these </w:t>
      </w:r>
      <w:r w:rsidR="00F12FE3" w:rsidRPr="00EB0BCC">
        <w:rPr>
          <w:color w:val="000000" w:themeColor="text1"/>
          <w:szCs w:val="24"/>
          <w:lang w:val="en-GB"/>
        </w:rPr>
        <w:t>practices</w:t>
      </w:r>
      <w:r w:rsidRPr="00EB0BCC">
        <w:rPr>
          <w:color w:val="000000" w:themeColor="text1"/>
          <w:szCs w:val="24"/>
          <w:lang w:val="en-GB"/>
        </w:rPr>
        <w:t xml:space="preserve">, </w:t>
      </w:r>
      <w:r w:rsidR="005557FE" w:rsidRPr="00EB0BCC">
        <w:rPr>
          <w:color w:val="000000" w:themeColor="text1"/>
          <w:szCs w:val="24"/>
          <w:lang w:val="en-GB"/>
        </w:rPr>
        <w:t xml:space="preserve">whether applied </w:t>
      </w:r>
      <w:r w:rsidRPr="00EB0BCC">
        <w:rPr>
          <w:color w:val="000000" w:themeColor="text1"/>
          <w:szCs w:val="24"/>
          <w:lang w:val="en-GB"/>
        </w:rPr>
        <w:t xml:space="preserve">separately </w:t>
      </w:r>
      <w:r w:rsidR="005557FE" w:rsidRPr="00EB0BCC">
        <w:rPr>
          <w:color w:val="000000" w:themeColor="text1"/>
          <w:szCs w:val="24"/>
          <w:lang w:val="en-GB"/>
        </w:rPr>
        <w:t>or</w:t>
      </w:r>
      <w:r w:rsidRPr="00EB0BCC">
        <w:rPr>
          <w:color w:val="000000" w:themeColor="text1"/>
          <w:szCs w:val="24"/>
          <w:lang w:val="en-GB"/>
        </w:rPr>
        <w:t xml:space="preserve"> in combination</w:t>
      </w:r>
      <w:r w:rsidR="005557FE" w:rsidRPr="00EB0BCC">
        <w:rPr>
          <w:color w:val="000000" w:themeColor="text1"/>
          <w:szCs w:val="24"/>
          <w:lang w:val="en-GB"/>
        </w:rPr>
        <w:t xml:space="preserve"> with each other.</w:t>
      </w:r>
      <w:r w:rsidR="000E2F57" w:rsidRPr="00EB0BCC">
        <w:rPr>
          <w:color w:val="000000" w:themeColor="text1"/>
          <w:szCs w:val="24"/>
          <w:lang w:val="en-GB"/>
        </w:rPr>
        <w:t xml:space="preserve"> </w:t>
      </w:r>
      <w:r w:rsidR="00F12FE3" w:rsidRPr="00EB0BCC">
        <w:rPr>
          <w:color w:val="000000" w:themeColor="text1"/>
          <w:szCs w:val="24"/>
          <w:lang w:val="en-GB"/>
        </w:rPr>
        <w:t xml:space="preserve">There is ample precedent and legal authority </w:t>
      </w:r>
      <w:r w:rsidR="00784E7B" w:rsidRPr="00EB0BCC">
        <w:rPr>
          <w:color w:val="000000" w:themeColor="text1"/>
          <w:szCs w:val="24"/>
          <w:lang w:val="en-GB"/>
        </w:rPr>
        <w:t>recognizing</w:t>
      </w:r>
      <w:r w:rsidR="00F12FE3" w:rsidRPr="00EB0BCC">
        <w:rPr>
          <w:color w:val="000000" w:themeColor="text1"/>
          <w:szCs w:val="24"/>
          <w:lang w:val="en-GB"/>
        </w:rPr>
        <w:t xml:space="preserve"> the unlawful nature of these techniques.</w:t>
      </w:r>
      <w:r w:rsidR="000E2F57" w:rsidRPr="00EB0BCC">
        <w:rPr>
          <w:color w:val="000000" w:themeColor="text1"/>
          <w:szCs w:val="24"/>
          <w:lang w:val="en-GB"/>
        </w:rPr>
        <w:t xml:space="preserve"> </w:t>
      </w:r>
    </w:p>
    <w:p w:rsidR="00F81CD9" w:rsidRPr="00EB0BCC" w:rsidRDefault="00D5126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International courts have found that severe beatings and beatings in general constitute torture or cruel, inhuman or degrading treatment.</w:t>
      </w:r>
      <w:r w:rsidRPr="00EB0BCC">
        <w:rPr>
          <w:rStyle w:val="FootnoteReference"/>
          <w:color w:val="000000" w:themeColor="text1"/>
          <w:szCs w:val="24"/>
          <w:lang w:val="en-GB"/>
        </w:rPr>
        <w:footnoteReference w:id="70"/>
      </w:r>
      <w:r w:rsidR="000E2F57" w:rsidRPr="00EB0BCC">
        <w:rPr>
          <w:color w:val="000000" w:themeColor="text1"/>
          <w:szCs w:val="24"/>
          <w:lang w:val="en-GB"/>
        </w:rPr>
        <w:t xml:space="preserve"> </w:t>
      </w:r>
      <w:r w:rsidR="00F81CD9" w:rsidRPr="00EB0BCC">
        <w:rPr>
          <w:color w:val="000000" w:themeColor="text1"/>
          <w:szCs w:val="24"/>
          <w:lang w:val="en-GB"/>
        </w:rPr>
        <w:t xml:space="preserve">Of the </w:t>
      </w:r>
      <w:r w:rsidR="00A4622A" w:rsidRPr="00EB0BCC">
        <w:rPr>
          <w:color w:val="000000" w:themeColor="text1"/>
          <w:szCs w:val="24"/>
          <w:lang w:val="en-GB"/>
        </w:rPr>
        <w:t>individuals</w:t>
      </w:r>
      <w:r w:rsidR="00F81CD9" w:rsidRPr="00EB0BCC">
        <w:rPr>
          <w:color w:val="000000" w:themeColor="text1"/>
          <w:szCs w:val="24"/>
          <w:lang w:val="en-GB"/>
        </w:rPr>
        <w:t xml:space="preserve"> interviewed for this report, almost all reported that guards subjected them to some degree of assault at the time of arrest, during transport to interrogation or prison, or while in detention.</w:t>
      </w:r>
      <w:r w:rsidR="000E2F57" w:rsidRPr="00EB0BCC">
        <w:rPr>
          <w:color w:val="000000" w:themeColor="text1"/>
          <w:szCs w:val="24"/>
          <w:lang w:val="en-GB"/>
        </w:rPr>
        <w:t xml:space="preserve"> </w:t>
      </w:r>
      <w:r w:rsidR="00A4622A" w:rsidRPr="00EB0BCC">
        <w:rPr>
          <w:color w:val="000000" w:themeColor="text1"/>
          <w:szCs w:val="24"/>
          <w:lang w:val="en-GB"/>
        </w:rPr>
        <w:t xml:space="preserve">Almost all </w:t>
      </w:r>
      <w:r w:rsidR="00F81CD9" w:rsidRPr="00EB0BCC">
        <w:rPr>
          <w:color w:val="000000" w:themeColor="text1"/>
          <w:szCs w:val="24"/>
          <w:lang w:val="en-GB"/>
        </w:rPr>
        <w:t>reported that security forces had punched, kicked, or slapped them. Many individuals reported that guards beat them during interrogations, such as at CID headquarters in Adliya or other facilities.</w:t>
      </w:r>
      <w:r w:rsidR="000E2F57" w:rsidRPr="00EB0BCC">
        <w:rPr>
          <w:color w:val="000000" w:themeColor="text1"/>
          <w:szCs w:val="24"/>
          <w:lang w:val="en-GB"/>
        </w:rPr>
        <w:t xml:space="preserve"> </w:t>
      </w:r>
      <w:r w:rsidRPr="00EB0BCC">
        <w:rPr>
          <w:color w:val="000000" w:themeColor="text1"/>
          <w:szCs w:val="24"/>
          <w:lang w:val="en-GB"/>
        </w:rPr>
        <w:t xml:space="preserve">The cases of </w:t>
      </w:r>
      <w:r w:rsidR="00303717" w:rsidRPr="00EB0BCC">
        <w:rPr>
          <w:b/>
          <w:bCs/>
          <w:color w:val="000000" w:themeColor="text1"/>
          <w:szCs w:val="24"/>
          <w:lang w:val="en-GB"/>
        </w:rPr>
        <w:t xml:space="preserve">Hussain </w:t>
      </w:r>
      <w:r w:rsidRPr="00EB0BCC">
        <w:rPr>
          <w:b/>
          <w:bCs/>
          <w:color w:val="000000" w:themeColor="text1"/>
          <w:szCs w:val="24"/>
          <w:lang w:val="en-GB"/>
        </w:rPr>
        <w:t xml:space="preserve">Jawad, </w:t>
      </w:r>
      <w:r w:rsidR="00054C8E" w:rsidRPr="00EB0BCC">
        <w:rPr>
          <w:b/>
          <w:bCs/>
          <w:color w:val="000000" w:themeColor="text1"/>
          <w:szCs w:val="24"/>
          <w:lang w:val="en-GB"/>
        </w:rPr>
        <w:t xml:space="preserve">Nazeeha Saeed, </w:t>
      </w:r>
      <w:r w:rsidR="00B1119A" w:rsidRPr="00EB0BCC">
        <w:rPr>
          <w:b/>
          <w:bCs/>
          <w:color w:val="000000" w:themeColor="text1"/>
          <w:szCs w:val="24"/>
          <w:lang w:val="en-GB"/>
        </w:rPr>
        <w:t xml:space="preserve">Naji Fateel, </w:t>
      </w:r>
      <w:r w:rsidR="00054C8E" w:rsidRPr="00EB0BCC">
        <w:rPr>
          <w:b/>
          <w:bCs/>
          <w:color w:val="000000" w:themeColor="text1"/>
          <w:szCs w:val="24"/>
          <w:lang w:val="en-GB"/>
        </w:rPr>
        <w:t>Maryam Al-Khawaja</w:t>
      </w:r>
      <w:r w:rsidR="00054C8E" w:rsidRPr="00EB0BCC">
        <w:rPr>
          <w:color w:val="000000" w:themeColor="text1"/>
          <w:szCs w:val="24"/>
          <w:lang w:val="en-GB"/>
        </w:rPr>
        <w:t xml:space="preserve">, and </w:t>
      </w:r>
      <w:r w:rsidR="00054C8E" w:rsidRPr="00EB0BCC">
        <w:rPr>
          <w:b/>
          <w:bCs/>
          <w:color w:val="000000" w:themeColor="text1"/>
          <w:szCs w:val="24"/>
          <w:lang w:val="en-GB"/>
        </w:rPr>
        <w:t>Abdulhadi Al-Khawaja</w:t>
      </w:r>
      <w:r w:rsidR="00054C8E" w:rsidRPr="00EB0BCC">
        <w:rPr>
          <w:color w:val="000000" w:themeColor="text1"/>
          <w:szCs w:val="24"/>
          <w:lang w:val="en-GB"/>
        </w:rPr>
        <w:t xml:space="preserve"> </w:t>
      </w:r>
      <w:r w:rsidR="00666B22" w:rsidRPr="00EB0BCC">
        <w:rPr>
          <w:color w:val="000000" w:themeColor="text1"/>
          <w:szCs w:val="24"/>
          <w:lang w:val="en-GB"/>
        </w:rPr>
        <w:t xml:space="preserve">related above </w:t>
      </w:r>
      <w:r w:rsidR="00054C8E" w:rsidRPr="00EB0BCC">
        <w:rPr>
          <w:color w:val="000000" w:themeColor="text1"/>
          <w:szCs w:val="24"/>
          <w:lang w:val="en-GB"/>
        </w:rPr>
        <w:t>demonstrate that beatings continue to be a systemic problem with police and internal security officials.</w:t>
      </w:r>
    </w:p>
    <w:p w:rsidR="00174E85" w:rsidRPr="00EB0BCC" w:rsidRDefault="00303717" w:rsidP="004304FC">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International courts </w:t>
      </w:r>
      <w:r w:rsidR="00BF7B16" w:rsidRPr="00EB0BCC">
        <w:rPr>
          <w:color w:val="000000" w:themeColor="text1"/>
          <w:szCs w:val="24"/>
          <w:lang w:val="en-GB"/>
        </w:rPr>
        <w:t>have consistently declared the use of electro-shock devices to constitute torture or cruel, inhuman or degrading treatment.</w:t>
      </w:r>
      <w:r w:rsidR="0021467F" w:rsidRPr="00EB0BCC">
        <w:rPr>
          <w:rStyle w:val="FootnoteReference"/>
          <w:color w:val="000000" w:themeColor="text1"/>
          <w:szCs w:val="24"/>
          <w:lang w:val="en-GB"/>
        </w:rPr>
        <w:footnoteReference w:id="71"/>
      </w:r>
      <w:r w:rsidR="000E2F57" w:rsidRPr="00EB0BCC">
        <w:rPr>
          <w:color w:val="000000" w:themeColor="text1"/>
          <w:szCs w:val="24"/>
          <w:lang w:val="en-GB"/>
        </w:rPr>
        <w:t xml:space="preserve"> </w:t>
      </w:r>
      <w:r w:rsidR="006D6CAB" w:rsidRPr="00EB0BCC">
        <w:rPr>
          <w:color w:val="000000" w:themeColor="text1"/>
          <w:szCs w:val="24"/>
          <w:lang w:val="en-GB"/>
        </w:rPr>
        <w:t>Recent former inmates of Jaw Prison have reported being subjected to electric shock, among other forms of torture and abusive treatment.</w:t>
      </w:r>
      <w:r w:rsidR="000E2F57" w:rsidRPr="00EB0BCC">
        <w:rPr>
          <w:color w:val="000000" w:themeColor="text1"/>
          <w:szCs w:val="24"/>
          <w:lang w:val="en-GB"/>
        </w:rPr>
        <w:t xml:space="preserve"> </w:t>
      </w:r>
      <w:r w:rsidR="006D6CAB" w:rsidRPr="00EB0BCC">
        <w:rPr>
          <w:color w:val="000000" w:themeColor="text1"/>
          <w:szCs w:val="24"/>
          <w:lang w:val="en-GB"/>
        </w:rPr>
        <w:t>Hussain Jawad overhear</w:t>
      </w:r>
      <w:r w:rsidR="0021467F" w:rsidRPr="00EB0BCC">
        <w:rPr>
          <w:color w:val="000000" w:themeColor="text1"/>
          <w:szCs w:val="24"/>
          <w:lang w:val="en-GB"/>
        </w:rPr>
        <w:t>d</w:t>
      </w:r>
      <w:r w:rsidR="006D6CAB" w:rsidRPr="00EB0BCC">
        <w:rPr>
          <w:color w:val="000000" w:themeColor="text1"/>
          <w:szCs w:val="24"/>
          <w:lang w:val="en-GB"/>
        </w:rPr>
        <w:t xml:space="preserve"> the use of </w:t>
      </w:r>
      <w:r w:rsidRPr="00EB0BCC">
        <w:rPr>
          <w:color w:val="000000" w:themeColor="text1"/>
          <w:szCs w:val="24"/>
          <w:lang w:val="en-GB"/>
        </w:rPr>
        <w:t>electro-</w:t>
      </w:r>
      <w:r w:rsidR="006D6CAB" w:rsidRPr="00EB0BCC">
        <w:rPr>
          <w:color w:val="000000" w:themeColor="text1"/>
          <w:szCs w:val="24"/>
          <w:lang w:val="en-GB"/>
        </w:rPr>
        <w:t>shock treatment on fellow detainees</w:t>
      </w:r>
      <w:r w:rsidR="003D08F3" w:rsidRPr="00EB0BCC">
        <w:rPr>
          <w:color w:val="000000" w:themeColor="text1"/>
          <w:szCs w:val="24"/>
          <w:lang w:val="en-GB"/>
        </w:rPr>
        <w:t>’ genitals</w:t>
      </w:r>
      <w:r w:rsidR="006D6CAB" w:rsidRPr="00EB0BCC">
        <w:rPr>
          <w:color w:val="000000" w:themeColor="text1"/>
          <w:szCs w:val="24"/>
          <w:lang w:val="en-GB"/>
        </w:rPr>
        <w:t xml:space="preserve"> after his arrest on 16 February 2015.</w:t>
      </w:r>
      <w:r w:rsidR="000E2F57" w:rsidRPr="00EB0BCC">
        <w:rPr>
          <w:color w:val="000000" w:themeColor="text1"/>
          <w:szCs w:val="24"/>
          <w:lang w:val="en-GB"/>
        </w:rPr>
        <w:t xml:space="preserve"> </w:t>
      </w:r>
      <w:r w:rsidR="006D6CAB" w:rsidRPr="00EB0BCC">
        <w:rPr>
          <w:color w:val="000000" w:themeColor="text1"/>
          <w:szCs w:val="24"/>
          <w:lang w:val="en-GB"/>
        </w:rPr>
        <w:t>Nazeeha Saeed reported that she was subjected to electric shock</w:t>
      </w:r>
      <w:r w:rsidR="0021467F" w:rsidRPr="00EB0BCC">
        <w:rPr>
          <w:color w:val="000000" w:themeColor="text1"/>
          <w:szCs w:val="24"/>
          <w:lang w:val="en-GB"/>
        </w:rPr>
        <w:t>s</w:t>
      </w:r>
      <w:r w:rsidR="006D6CAB" w:rsidRPr="00EB0BCC">
        <w:rPr>
          <w:color w:val="000000" w:themeColor="text1"/>
          <w:szCs w:val="24"/>
          <w:lang w:val="en-GB"/>
        </w:rPr>
        <w:t xml:space="preserve"> on her right hand about 10 times after her arrest on 22 May 2011. </w:t>
      </w:r>
    </w:p>
    <w:p w:rsidR="00D171AA" w:rsidRPr="00EB0BCC" w:rsidRDefault="0021467F"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International courts have classified the beating of feet as torture.</w:t>
      </w:r>
      <w:r w:rsidRPr="00EB0BCC">
        <w:rPr>
          <w:rStyle w:val="FootnoteReference"/>
          <w:color w:val="000000" w:themeColor="text1"/>
          <w:szCs w:val="24"/>
          <w:lang w:val="en-GB"/>
        </w:rPr>
        <w:footnoteReference w:id="72"/>
      </w:r>
      <w:r w:rsidR="000E2F57" w:rsidRPr="00EB0BCC">
        <w:rPr>
          <w:color w:val="000000" w:themeColor="text1"/>
          <w:szCs w:val="24"/>
          <w:lang w:val="en-GB"/>
        </w:rPr>
        <w:t xml:space="preserve"> </w:t>
      </w:r>
      <w:r w:rsidR="00D171AA" w:rsidRPr="00EB0BCC">
        <w:rPr>
          <w:color w:val="000000" w:themeColor="text1"/>
          <w:szCs w:val="24"/>
          <w:lang w:val="en-GB"/>
        </w:rPr>
        <w:t>Previous reports indicated a practice of beating feet with rubber hoses and/or batons.</w:t>
      </w:r>
      <w:r w:rsidR="000E2F57" w:rsidRPr="00EB0BCC">
        <w:rPr>
          <w:color w:val="000000" w:themeColor="text1"/>
          <w:szCs w:val="24"/>
          <w:lang w:val="en-GB"/>
        </w:rPr>
        <w:t xml:space="preserve"> </w:t>
      </w:r>
      <w:r w:rsidR="00D171AA" w:rsidRPr="00EB0BCC">
        <w:rPr>
          <w:color w:val="000000" w:themeColor="text1"/>
          <w:szCs w:val="24"/>
          <w:lang w:val="en-GB"/>
        </w:rPr>
        <w:t>The practice of beating the soles of the feet is sometimes referred to as “falaka,” as mentioned. The soles of the feet are not thickly muscled, and beating them causes excruciating pain.</w:t>
      </w:r>
      <w:r w:rsidR="000E2F57" w:rsidRPr="00EB0BCC">
        <w:rPr>
          <w:color w:val="000000" w:themeColor="text1"/>
          <w:szCs w:val="24"/>
          <w:lang w:val="en-GB"/>
        </w:rPr>
        <w:t xml:space="preserve"> </w:t>
      </w:r>
      <w:r w:rsidR="00D171AA" w:rsidRPr="00EB0BCC">
        <w:rPr>
          <w:color w:val="000000" w:themeColor="text1"/>
          <w:szCs w:val="24"/>
          <w:lang w:val="en-GB"/>
        </w:rPr>
        <w:t>The case of Nazeeha Saeed</w:t>
      </w:r>
      <w:r w:rsidR="004B223D" w:rsidRPr="00EB0BCC">
        <w:rPr>
          <w:color w:val="000000" w:themeColor="text1"/>
          <w:szCs w:val="24"/>
          <w:lang w:val="en-GB"/>
        </w:rPr>
        <w:t xml:space="preserve"> </w:t>
      </w:r>
      <w:r w:rsidR="00D171AA" w:rsidRPr="00EB0BCC">
        <w:rPr>
          <w:color w:val="000000" w:themeColor="text1"/>
          <w:szCs w:val="24"/>
          <w:lang w:val="en-GB"/>
        </w:rPr>
        <w:t>indicates that the practice of beating feet continues.</w:t>
      </w:r>
    </w:p>
    <w:p w:rsidR="00166494" w:rsidRPr="00EB0BCC" w:rsidRDefault="00F81CD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 xml:space="preserve">International courts have also found that suspending victims by their arms and legs </w:t>
      </w:r>
      <w:r w:rsidR="003D08F3" w:rsidRPr="00EB0BCC">
        <w:rPr>
          <w:color w:val="000000" w:themeColor="text1"/>
          <w:szCs w:val="24"/>
          <w:lang w:val="en-GB"/>
        </w:rPr>
        <w:t>constitu</w:t>
      </w:r>
      <w:r w:rsidR="00784E7B" w:rsidRPr="00EB0BCC">
        <w:rPr>
          <w:color w:val="000000" w:themeColor="text1"/>
          <w:szCs w:val="24"/>
          <w:lang w:val="en-GB"/>
        </w:rPr>
        <w:t>t</w:t>
      </w:r>
      <w:r w:rsidR="003D08F3" w:rsidRPr="00EB0BCC">
        <w:rPr>
          <w:color w:val="000000" w:themeColor="text1"/>
          <w:szCs w:val="24"/>
          <w:lang w:val="en-GB"/>
        </w:rPr>
        <w:t>es</w:t>
      </w:r>
      <w:r w:rsidRPr="00EB0BCC">
        <w:rPr>
          <w:color w:val="000000" w:themeColor="text1"/>
          <w:szCs w:val="24"/>
          <w:lang w:val="en-GB"/>
        </w:rPr>
        <w:t xml:space="preserve"> torture.</w:t>
      </w:r>
      <w:r w:rsidRPr="00EB0BCC">
        <w:rPr>
          <w:rStyle w:val="FootnoteReference"/>
          <w:color w:val="000000" w:themeColor="text1"/>
          <w:szCs w:val="24"/>
          <w:lang w:val="en-GB"/>
        </w:rPr>
        <w:footnoteReference w:id="73"/>
      </w:r>
      <w:r w:rsidR="000E2F57" w:rsidRPr="00EB0BCC">
        <w:rPr>
          <w:color w:val="000000" w:themeColor="text1"/>
          <w:szCs w:val="24"/>
          <w:lang w:val="en-GB"/>
        </w:rPr>
        <w:t xml:space="preserve"> </w:t>
      </w:r>
      <w:r w:rsidR="00166494" w:rsidRPr="00EB0BCC">
        <w:rPr>
          <w:color w:val="000000" w:themeColor="text1"/>
          <w:szCs w:val="24"/>
          <w:lang w:val="en-GB"/>
        </w:rPr>
        <w:t>Former detainees of the Jaw Prison report being suspended in painful positions, in addition to other forms of torture or mistreatment.</w:t>
      </w:r>
      <w:r w:rsidR="000E2F57" w:rsidRPr="00EB0BCC">
        <w:rPr>
          <w:color w:val="000000" w:themeColor="text1"/>
          <w:szCs w:val="24"/>
          <w:lang w:val="en-GB"/>
        </w:rPr>
        <w:t xml:space="preserve"> </w:t>
      </w:r>
      <w:r w:rsidR="00166494" w:rsidRPr="00EB0BCC">
        <w:rPr>
          <w:b/>
          <w:bCs/>
          <w:color w:val="000000" w:themeColor="text1"/>
          <w:szCs w:val="24"/>
          <w:lang w:val="en-GB"/>
        </w:rPr>
        <w:t>Hussain Ali Moosa</w:t>
      </w:r>
      <w:r w:rsidR="00166494" w:rsidRPr="00EB0BCC">
        <w:rPr>
          <w:color w:val="000000" w:themeColor="text1"/>
          <w:szCs w:val="24"/>
          <w:lang w:val="en-GB"/>
        </w:rPr>
        <w:t xml:space="preserve"> reported being suspended and beaten in a CID facility in February 2014.</w:t>
      </w:r>
      <w:r w:rsidR="003771C3" w:rsidRPr="00EB0BCC">
        <w:rPr>
          <w:color w:val="000000" w:themeColor="text1"/>
          <w:szCs w:val="24"/>
          <w:lang w:val="en-GB"/>
        </w:rPr>
        <w:t xml:space="preserve"> (See below for more information.)</w:t>
      </w:r>
    </w:p>
    <w:p w:rsidR="00FC6EF6" w:rsidRPr="00EB0BCC" w:rsidRDefault="006E3C76" w:rsidP="00965F62">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Threats to rape and/or kill have been found to constitute torture and/or inhuman treatment.</w:t>
      </w:r>
      <w:r w:rsidRPr="00EB0BCC">
        <w:rPr>
          <w:rStyle w:val="FootnoteReference"/>
          <w:color w:val="000000" w:themeColor="text1"/>
          <w:szCs w:val="24"/>
          <w:lang w:val="en-GB"/>
        </w:rPr>
        <w:footnoteReference w:id="74"/>
      </w:r>
      <w:r w:rsidR="000E2F57" w:rsidRPr="00EB0BCC">
        <w:rPr>
          <w:color w:val="000000" w:themeColor="text1"/>
          <w:szCs w:val="24"/>
          <w:lang w:val="en-GB"/>
        </w:rPr>
        <w:t xml:space="preserve"> </w:t>
      </w:r>
      <w:r w:rsidR="00FC6EF6" w:rsidRPr="00EB0BCC">
        <w:rPr>
          <w:color w:val="000000" w:themeColor="text1"/>
          <w:szCs w:val="24"/>
          <w:lang w:val="en-GB"/>
        </w:rPr>
        <w:t>There have been numerous reports by detainees about police or security forces who threatened to kill or rape them, while being detained for interrogation.</w:t>
      </w:r>
      <w:r w:rsidR="000E2F57" w:rsidRPr="00EB0BCC">
        <w:rPr>
          <w:color w:val="000000" w:themeColor="text1"/>
          <w:szCs w:val="24"/>
          <w:lang w:val="en-GB"/>
        </w:rPr>
        <w:t xml:space="preserve"> </w:t>
      </w:r>
      <w:r w:rsidR="00E727A1" w:rsidRPr="00EB0BCC">
        <w:rPr>
          <w:color w:val="000000" w:themeColor="text1"/>
          <w:szCs w:val="24"/>
          <w:lang w:val="en-GB"/>
        </w:rPr>
        <w:t xml:space="preserve">Their family members are also threatened with rape. </w:t>
      </w:r>
      <w:r w:rsidR="00FC6EF6" w:rsidRPr="00EB0BCC">
        <w:rPr>
          <w:b/>
          <w:bCs/>
          <w:color w:val="000000" w:themeColor="text1"/>
          <w:szCs w:val="24"/>
          <w:lang w:val="en-GB"/>
        </w:rPr>
        <w:t>Hussain Jawad</w:t>
      </w:r>
      <w:r w:rsidR="00FC6EF6" w:rsidRPr="00EB0BCC">
        <w:rPr>
          <w:color w:val="000000" w:themeColor="text1"/>
          <w:szCs w:val="24"/>
          <w:lang w:val="en-GB"/>
        </w:rPr>
        <w:t xml:space="preserve"> was subjected to threats of being raped and killed after his arrest on 16 </w:t>
      </w:r>
      <w:r w:rsidRPr="00EB0BCC">
        <w:rPr>
          <w:color w:val="000000" w:themeColor="text1"/>
          <w:szCs w:val="24"/>
          <w:lang w:val="en-GB"/>
        </w:rPr>
        <w:t>February 2016.</w:t>
      </w:r>
      <w:r w:rsidR="000E2F57" w:rsidRPr="00EB0BCC">
        <w:rPr>
          <w:color w:val="000000" w:themeColor="text1"/>
          <w:szCs w:val="24"/>
          <w:lang w:val="en-GB"/>
        </w:rPr>
        <w:t xml:space="preserve"> </w:t>
      </w:r>
      <w:r w:rsidR="00611F1D" w:rsidRPr="00EB0BCC">
        <w:rPr>
          <w:color w:val="000000" w:themeColor="text1"/>
          <w:szCs w:val="24"/>
          <w:lang w:val="en-GB"/>
        </w:rPr>
        <w:t xml:space="preserve">Later, guards attempted to commit sexual assault on </w:t>
      </w:r>
      <w:r w:rsidR="000311A6" w:rsidRPr="00EB0BCC">
        <w:rPr>
          <w:color w:val="000000" w:themeColor="text1"/>
          <w:szCs w:val="24"/>
          <w:lang w:val="en-GB"/>
        </w:rPr>
        <w:t>Hussain Jawad</w:t>
      </w:r>
      <w:r w:rsidR="00611F1D" w:rsidRPr="00EB0BCC">
        <w:rPr>
          <w:color w:val="000000" w:themeColor="text1"/>
          <w:szCs w:val="24"/>
          <w:lang w:val="en-GB"/>
        </w:rPr>
        <w:t>.</w:t>
      </w:r>
      <w:r w:rsidR="000E2F57" w:rsidRPr="00EB0BCC">
        <w:rPr>
          <w:color w:val="000000" w:themeColor="text1"/>
          <w:szCs w:val="24"/>
          <w:lang w:val="en-GB"/>
        </w:rPr>
        <w:t xml:space="preserve"> </w:t>
      </w:r>
      <w:r w:rsidR="000311A6" w:rsidRPr="00EB0BCC">
        <w:rPr>
          <w:b/>
          <w:bCs/>
          <w:color w:val="000000" w:themeColor="text1"/>
          <w:szCs w:val="24"/>
          <w:lang w:val="en-GB"/>
        </w:rPr>
        <w:t>Ali Isa Al-Tajer</w:t>
      </w:r>
      <w:r w:rsidR="000311A6" w:rsidRPr="00EB0BCC">
        <w:rPr>
          <w:color w:val="000000" w:themeColor="text1"/>
          <w:szCs w:val="24"/>
          <w:lang w:val="en-GB"/>
        </w:rPr>
        <w:t xml:space="preserve"> w</w:t>
      </w:r>
      <w:r w:rsidR="00611F1D" w:rsidRPr="00EB0BCC">
        <w:rPr>
          <w:color w:val="000000" w:themeColor="text1"/>
          <w:szCs w:val="24"/>
          <w:lang w:val="en-GB"/>
        </w:rPr>
        <w:t>as</w:t>
      </w:r>
      <w:r w:rsidR="000311A6" w:rsidRPr="00EB0BCC">
        <w:rPr>
          <w:color w:val="000000" w:themeColor="text1"/>
          <w:szCs w:val="24"/>
          <w:lang w:val="en-GB"/>
        </w:rPr>
        <w:t xml:space="preserve"> subjected to </w:t>
      </w:r>
      <w:r w:rsidR="00611F1D" w:rsidRPr="00EB0BCC">
        <w:rPr>
          <w:color w:val="000000" w:themeColor="text1"/>
          <w:szCs w:val="24"/>
          <w:lang w:val="en-GB"/>
        </w:rPr>
        <w:t xml:space="preserve">sexual assault after his arrest on </w:t>
      </w:r>
      <w:r w:rsidR="00635F72" w:rsidRPr="00EB0BCC">
        <w:rPr>
          <w:color w:val="000000" w:themeColor="text1"/>
          <w:szCs w:val="24"/>
          <w:lang w:val="en-GB"/>
        </w:rPr>
        <w:t>0</w:t>
      </w:r>
      <w:r w:rsidR="00611F1D" w:rsidRPr="00EB0BCC">
        <w:rPr>
          <w:color w:val="000000" w:themeColor="text1"/>
          <w:szCs w:val="24"/>
          <w:lang w:val="en-GB"/>
        </w:rPr>
        <w:t>5 November 2015.</w:t>
      </w:r>
      <w:r w:rsidR="00E727A1" w:rsidRPr="00EB0BCC">
        <w:rPr>
          <w:color w:val="000000" w:themeColor="text1"/>
          <w:szCs w:val="24"/>
          <w:lang w:val="en-GB"/>
        </w:rPr>
        <w:t xml:space="preserve"> </w:t>
      </w:r>
      <w:r w:rsidR="00B85942" w:rsidRPr="00EB0BCC">
        <w:rPr>
          <w:color w:val="000000" w:themeColor="text1"/>
          <w:szCs w:val="24"/>
          <w:lang w:val="en-GB"/>
        </w:rPr>
        <w:t xml:space="preserve">In May 2011, while in detention, </w:t>
      </w:r>
      <w:r w:rsidR="00E727A1" w:rsidRPr="00EB0BCC">
        <w:rPr>
          <w:b/>
          <w:bCs/>
          <w:color w:val="000000" w:themeColor="text1"/>
          <w:szCs w:val="24"/>
          <w:lang w:val="en-GB"/>
        </w:rPr>
        <w:t>Abdul</w:t>
      </w:r>
      <w:r w:rsidR="00965F62" w:rsidRPr="00EB0BCC">
        <w:rPr>
          <w:b/>
          <w:bCs/>
          <w:color w:val="000000" w:themeColor="text1"/>
          <w:szCs w:val="24"/>
          <w:lang w:val="en-GB"/>
        </w:rPr>
        <w:t>h</w:t>
      </w:r>
      <w:r w:rsidR="00E727A1" w:rsidRPr="00EB0BCC">
        <w:rPr>
          <w:b/>
          <w:bCs/>
          <w:color w:val="000000" w:themeColor="text1"/>
          <w:szCs w:val="24"/>
          <w:lang w:val="en-GB"/>
        </w:rPr>
        <w:t>adi Al-Khawaja</w:t>
      </w:r>
      <w:r w:rsidR="00E727A1" w:rsidRPr="00EB0BCC">
        <w:rPr>
          <w:color w:val="000000" w:themeColor="text1"/>
          <w:szCs w:val="24"/>
          <w:lang w:val="en-GB"/>
        </w:rPr>
        <w:t xml:space="preserve"> was threatened with rape </w:t>
      </w:r>
      <w:r w:rsidR="00B85942" w:rsidRPr="00EB0BCC">
        <w:rPr>
          <w:color w:val="000000" w:themeColor="text1"/>
          <w:szCs w:val="24"/>
          <w:lang w:val="en-GB"/>
        </w:rPr>
        <w:t xml:space="preserve">and the rape of his daughter </w:t>
      </w:r>
      <w:r w:rsidR="00B85942" w:rsidRPr="00EB0BCC">
        <w:rPr>
          <w:b/>
          <w:bCs/>
          <w:color w:val="000000" w:themeColor="text1"/>
          <w:szCs w:val="24"/>
          <w:lang w:val="en-GB"/>
        </w:rPr>
        <w:t>Maryam</w:t>
      </w:r>
      <w:r w:rsidR="00BF1296" w:rsidRPr="00EB0BCC">
        <w:rPr>
          <w:rFonts w:hint="cs"/>
          <w:b/>
          <w:bCs/>
          <w:color w:val="000000" w:themeColor="text1"/>
          <w:szCs w:val="24"/>
          <w:rtl/>
          <w:lang w:val="en-GB"/>
        </w:rPr>
        <w:t xml:space="preserve"> </w:t>
      </w:r>
      <w:r w:rsidR="00BF1296" w:rsidRPr="00EB0BCC">
        <w:rPr>
          <w:b/>
          <w:bCs/>
          <w:color w:val="000000" w:themeColor="text1"/>
          <w:szCs w:val="24"/>
        </w:rPr>
        <w:t xml:space="preserve"> Al-Khawaja</w:t>
      </w:r>
      <w:r w:rsidR="00E727A1" w:rsidRPr="00EB0BCC">
        <w:rPr>
          <w:color w:val="000000" w:themeColor="text1"/>
          <w:szCs w:val="24"/>
          <w:lang w:val="en-GB"/>
        </w:rPr>
        <w:t>.</w:t>
      </w:r>
      <w:r w:rsidR="00B85942" w:rsidRPr="00EB0BCC">
        <w:rPr>
          <w:rStyle w:val="FootnoteReference"/>
          <w:color w:val="000000" w:themeColor="text1"/>
          <w:szCs w:val="24"/>
          <w:lang w:val="en-GB"/>
        </w:rPr>
        <w:footnoteReference w:id="75"/>
      </w:r>
    </w:p>
    <w:p w:rsidR="00AD1C97" w:rsidRPr="00EB0BCC" w:rsidRDefault="00AD1C97"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Courts have also </w:t>
      </w:r>
      <w:r w:rsidR="00A4511D" w:rsidRPr="00EB0BCC">
        <w:rPr>
          <w:color w:val="000000" w:themeColor="text1"/>
          <w:szCs w:val="24"/>
          <w:lang w:val="en-GB"/>
        </w:rPr>
        <w:t xml:space="preserve">determined </w:t>
      </w:r>
      <w:r w:rsidRPr="00EB0BCC">
        <w:rPr>
          <w:color w:val="000000" w:themeColor="text1"/>
          <w:szCs w:val="24"/>
          <w:lang w:val="en-GB"/>
        </w:rPr>
        <w:t>that forced standing for great lengths of time amounts to torture or inhuman treatment.</w:t>
      </w:r>
      <w:r w:rsidR="00A4511D" w:rsidRPr="00EB0BCC">
        <w:rPr>
          <w:rStyle w:val="FootnoteReference"/>
          <w:color w:val="000000" w:themeColor="text1"/>
          <w:szCs w:val="24"/>
          <w:lang w:val="en-GB"/>
        </w:rPr>
        <w:footnoteReference w:id="76"/>
      </w:r>
      <w:r w:rsidR="000E2F57" w:rsidRPr="00EB0BCC">
        <w:rPr>
          <w:color w:val="000000" w:themeColor="text1"/>
          <w:szCs w:val="24"/>
          <w:lang w:val="en-GB"/>
        </w:rPr>
        <w:t xml:space="preserve"> </w:t>
      </w:r>
      <w:r w:rsidRPr="00EB0BCC">
        <w:rPr>
          <w:color w:val="000000" w:themeColor="text1"/>
          <w:szCs w:val="24"/>
          <w:lang w:val="en-GB"/>
        </w:rPr>
        <w:t>Recent former inmates of Jaw Prison report being subjected to forced standing, among other forms of torture and abusive treatment.</w:t>
      </w:r>
      <w:r w:rsidR="000E2F57" w:rsidRPr="00EB0BCC">
        <w:rPr>
          <w:color w:val="000000" w:themeColor="text1"/>
          <w:szCs w:val="24"/>
          <w:lang w:val="en-GB"/>
        </w:rPr>
        <w:t xml:space="preserve"> </w:t>
      </w:r>
      <w:r w:rsidR="00A4511D" w:rsidRPr="00EB0BCC">
        <w:rPr>
          <w:color w:val="000000" w:themeColor="text1"/>
          <w:szCs w:val="24"/>
          <w:lang w:val="en-GB"/>
        </w:rPr>
        <w:t xml:space="preserve">After his arrest on 5 November 2015, </w:t>
      </w:r>
      <w:r w:rsidRPr="00EB0BCC">
        <w:rPr>
          <w:b/>
          <w:bCs/>
          <w:color w:val="000000" w:themeColor="text1"/>
          <w:szCs w:val="24"/>
          <w:lang w:val="en-GB"/>
        </w:rPr>
        <w:t>Ali Isa Al-Tajer</w:t>
      </w:r>
      <w:r w:rsidRPr="00EB0BCC">
        <w:rPr>
          <w:color w:val="000000" w:themeColor="text1"/>
          <w:szCs w:val="24"/>
          <w:lang w:val="en-GB"/>
        </w:rPr>
        <w:t xml:space="preserve"> </w:t>
      </w:r>
      <w:r w:rsidR="00A4511D" w:rsidRPr="00EB0BCC">
        <w:rPr>
          <w:color w:val="000000" w:themeColor="text1"/>
          <w:szCs w:val="24"/>
          <w:lang w:val="en-GB"/>
        </w:rPr>
        <w:t>was forced to stand for hours while being deprived of sleep.</w:t>
      </w:r>
      <w:r w:rsidR="000E2F57" w:rsidRPr="00EB0BCC">
        <w:rPr>
          <w:color w:val="000000" w:themeColor="text1"/>
          <w:szCs w:val="24"/>
          <w:lang w:val="en-GB"/>
        </w:rPr>
        <w:t xml:space="preserve"> </w:t>
      </w:r>
      <w:r w:rsidR="0072135B" w:rsidRPr="00EB0BCC">
        <w:rPr>
          <w:color w:val="000000" w:themeColor="text1"/>
          <w:szCs w:val="24"/>
          <w:lang w:val="en-GB"/>
        </w:rPr>
        <w:t xml:space="preserve">Following his arrest in May 2013, </w:t>
      </w:r>
      <w:r w:rsidR="0072135B" w:rsidRPr="00EB0BCC">
        <w:rPr>
          <w:b/>
          <w:bCs/>
          <w:color w:val="000000" w:themeColor="text1"/>
          <w:szCs w:val="24"/>
          <w:lang w:val="en-GB"/>
        </w:rPr>
        <w:t>Ali Ahmed Haroun</w:t>
      </w:r>
      <w:r w:rsidR="0072135B" w:rsidRPr="00EB0BCC">
        <w:rPr>
          <w:color w:val="000000" w:themeColor="text1"/>
          <w:szCs w:val="24"/>
          <w:lang w:val="en-GB"/>
        </w:rPr>
        <w:t xml:space="preserve"> was forced to stand in stressful positions and was deprived of sleep, food, and water.</w:t>
      </w:r>
      <w:r w:rsidR="003771C3" w:rsidRPr="00EB0BCC">
        <w:rPr>
          <w:color w:val="000000" w:themeColor="text1"/>
          <w:szCs w:val="24"/>
          <w:lang w:val="en-GB"/>
        </w:rPr>
        <w:t xml:space="preserve"> (See below for more information.)</w:t>
      </w:r>
    </w:p>
    <w:p w:rsidR="00531C89" w:rsidRPr="00EB0BCC" w:rsidRDefault="00531C8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In addition to the above listed practices, </w:t>
      </w:r>
      <w:r w:rsidR="00680A96" w:rsidRPr="00EB0BCC">
        <w:rPr>
          <w:color w:val="000000" w:themeColor="text1"/>
          <w:szCs w:val="24"/>
          <w:lang w:val="en-GB"/>
        </w:rPr>
        <w:t>this report documents</w:t>
      </w:r>
      <w:r w:rsidRPr="00EB0BCC">
        <w:rPr>
          <w:color w:val="000000" w:themeColor="text1"/>
          <w:szCs w:val="24"/>
          <w:lang w:val="en-GB"/>
        </w:rPr>
        <w:t xml:space="preserve"> at least one substantiated case of the use of solitary confinement, which is considered by many </w:t>
      </w:r>
      <w:r w:rsidR="00F96FD9" w:rsidRPr="00EB0BCC">
        <w:rPr>
          <w:color w:val="000000" w:themeColor="text1"/>
          <w:szCs w:val="24"/>
          <w:lang w:val="en-GB"/>
        </w:rPr>
        <w:t>internation</w:t>
      </w:r>
      <w:r w:rsidRPr="00EB0BCC">
        <w:rPr>
          <w:color w:val="000000" w:themeColor="text1"/>
          <w:szCs w:val="24"/>
          <w:lang w:val="en-GB"/>
        </w:rPr>
        <w:t>al authorities to be a violation of the torture convention.</w:t>
      </w:r>
      <w:r w:rsidR="00DB027F" w:rsidRPr="00EB0BCC">
        <w:rPr>
          <w:rStyle w:val="FootnoteReference"/>
          <w:color w:val="000000" w:themeColor="text1"/>
          <w:szCs w:val="24"/>
          <w:lang w:val="en-GB"/>
        </w:rPr>
        <w:footnoteReference w:id="77"/>
      </w:r>
      <w:r w:rsidR="000E2F57" w:rsidRPr="00EB0BCC">
        <w:rPr>
          <w:color w:val="000000" w:themeColor="text1"/>
          <w:szCs w:val="24"/>
          <w:lang w:val="en-GB"/>
        </w:rPr>
        <w:t xml:space="preserve"> </w:t>
      </w:r>
      <w:r w:rsidR="00B6138B" w:rsidRPr="00EB0BCC">
        <w:rPr>
          <w:color w:val="000000" w:themeColor="text1"/>
          <w:szCs w:val="24"/>
          <w:lang w:val="en-GB"/>
        </w:rPr>
        <w:t xml:space="preserve">Since his arrest in June 2016, human rights defender </w:t>
      </w:r>
      <w:r w:rsidR="00B6138B" w:rsidRPr="00EB0BCC">
        <w:rPr>
          <w:b/>
          <w:bCs/>
          <w:color w:val="000000" w:themeColor="text1"/>
          <w:szCs w:val="24"/>
          <w:lang w:val="en-GB"/>
        </w:rPr>
        <w:t>Nabeel Rajab</w:t>
      </w:r>
      <w:r w:rsidR="00B6138B" w:rsidRPr="00EB0BCC">
        <w:rPr>
          <w:color w:val="000000" w:themeColor="text1"/>
          <w:szCs w:val="24"/>
          <w:lang w:val="en-GB"/>
        </w:rPr>
        <w:t xml:space="preserve"> has been held in solitary confinement</w:t>
      </w:r>
      <w:r w:rsidR="004404B3" w:rsidRPr="00EB0BCC">
        <w:rPr>
          <w:color w:val="000000" w:themeColor="text1"/>
          <w:szCs w:val="24"/>
          <w:lang w:val="en-GB"/>
        </w:rPr>
        <w:t xml:space="preserve"> for most of the time</w:t>
      </w:r>
      <w:r w:rsidR="00B6138B" w:rsidRPr="00EB0BCC">
        <w:rPr>
          <w:color w:val="000000" w:themeColor="text1"/>
          <w:szCs w:val="24"/>
          <w:lang w:val="en-GB"/>
        </w:rPr>
        <w:t xml:space="preserve">, with </w:t>
      </w:r>
      <w:r w:rsidR="00FD02CF" w:rsidRPr="00EB0BCC">
        <w:rPr>
          <w:color w:val="000000" w:themeColor="text1"/>
          <w:szCs w:val="24"/>
          <w:lang w:val="en-GB"/>
        </w:rPr>
        <w:t>one</w:t>
      </w:r>
      <w:r w:rsidR="00B6138B" w:rsidRPr="00EB0BCC">
        <w:rPr>
          <w:color w:val="000000" w:themeColor="text1"/>
          <w:szCs w:val="24"/>
          <w:lang w:val="en-GB"/>
        </w:rPr>
        <w:t xml:space="preserve"> </w:t>
      </w:r>
      <w:r w:rsidR="00FD02CF" w:rsidRPr="00EB0BCC">
        <w:rPr>
          <w:color w:val="000000" w:themeColor="text1"/>
          <w:szCs w:val="24"/>
          <w:lang w:val="en-GB"/>
        </w:rPr>
        <w:t xml:space="preserve">notable </w:t>
      </w:r>
      <w:r w:rsidR="00B6138B" w:rsidRPr="00EB0BCC">
        <w:rPr>
          <w:color w:val="000000" w:themeColor="text1"/>
          <w:szCs w:val="24"/>
          <w:lang w:val="en-GB"/>
        </w:rPr>
        <w:t xml:space="preserve">exception of a short release for </w:t>
      </w:r>
      <w:r w:rsidR="00303717" w:rsidRPr="00EB0BCC">
        <w:rPr>
          <w:color w:val="000000" w:themeColor="text1"/>
          <w:szCs w:val="24"/>
          <w:lang w:val="en-GB"/>
        </w:rPr>
        <w:t xml:space="preserve">a </w:t>
      </w:r>
      <w:r w:rsidR="00B6138B" w:rsidRPr="00EB0BCC">
        <w:rPr>
          <w:color w:val="000000" w:themeColor="text1"/>
          <w:szCs w:val="24"/>
          <w:lang w:val="en-GB"/>
        </w:rPr>
        <w:t>gall bladder operation in October 2016.</w:t>
      </w:r>
      <w:r w:rsidR="00F137E5" w:rsidRPr="00EB0BCC">
        <w:rPr>
          <w:color w:val="000000" w:themeColor="text1"/>
          <w:szCs w:val="24"/>
          <w:lang w:val="en-GB"/>
        </w:rPr>
        <w:t xml:space="preserve"> He has also been held in a dirty, cockroach infested cell.</w:t>
      </w:r>
    </w:p>
    <w:p w:rsidR="00513A16" w:rsidRPr="00EB0BCC" w:rsidRDefault="006D6CAB"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 xml:space="preserve">The following </w:t>
      </w:r>
      <w:r w:rsidR="00F81CD9" w:rsidRPr="00EB0BCC">
        <w:rPr>
          <w:color w:val="000000" w:themeColor="text1"/>
          <w:szCs w:val="24"/>
          <w:lang w:val="en-GB"/>
        </w:rPr>
        <w:t xml:space="preserve">specific </w:t>
      </w:r>
      <w:r w:rsidRPr="00EB0BCC">
        <w:rPr>
          <w:color w:val="000000" w:themeColor="text1"/>
          <w:szCs w:val="24"/>
          <w:lang w:val="en-GB"/>
        </w:rPr>
        <w:t>cases are examples of various forms of torture or cruel, inhuman or degrading treatment of detainees at the hands of police or state security officers</w:t>
      </w:r>
      <w:r w:rsidR="00513A16" w:rsidRPr="00EB0BCC">
        <w:rPr>
          <w:color w:val="000000" w:themeColor="text1"/>
          <w:szCs w:val="24"/>
          <w:lang w:val="en-GB"/>
        </w:rPr>
        <w:t>.</w:t>
      </w:r>
    </w:p>
    <w:p w:rsidR="00635F72" w:rsidRPr="00EB0BCC" w:rsidRDefault="00635F72" w:rsidP="00635F72">
      <w:pPr>
        <w:pStyle w:val="BodyText"/>
        <w:tabs>
          <w:tab w:val="right" w:pos="8910"/>
        </w:tabs>
        <w:ind w:left="737" w:right="18"/>
        <w:jc w:val="both"/>
        <w:rPr>
          <w:color w:val="000000" w:themeColor="text1"/>
          <w:szCs w:val="24"/>
          <w:lang w:val="en-GB"/>
        </w:rPr>
      </w:pPr>
    </w:p>
    <w:p w:rsidR="0076147B" w:rsidRPr="00EB0BCC" w:rsidRDefault="0076147B" w:rsidP="00174E85">
      <w:pPr>
        <w:pStyle w:val="BodyText"/>
        <w:tabs>
          <w:tab w:val="right" w:pos="8910"/>
        </w:tabs>
        <w:ind w:left="737" w:right="18"/>
        <w:jc w:val="both"/>
        <w:rPr>
          <w:b/>
          <w:color w:val="000000" w:themeColor="text1"/>
          <w:szCs w:val="24"/>
          <w:lang w:val="en-GB"/>
        </w:rPr>
      </w:pPr>
      <w:r w:rsidRPr="00EB0BCC">
        <w:rPr>
          <w:b/>
          <w:color w:val="000000" w:themeColor="text1"/>
          <w:szCs w:val="24"/>
          <w:lang w:val="en-GB"/>
        </w:rPr>
        <w:t>Other Cases</w:t>
      </w:r>
      <w:r w:rsidR="00591F0A" w:rsidRPr="00EB0BCC">
        <w:rPr>
          <w:b/>
          <w:color w:val="000000" w:themeColor="text1"/>
          <w:szCs w:val="24"/>
          <w:lang w:val="en-GB"/>
        </w:rPr>
        <w:t xml:space="preserve"> of </w:t>
      </w:r>
      <w:r w:rsidR="004D442D" w:rsidRPr="00EB0BCC">
        <w:rPr>
          <w:b/>
          <w:color w:val="000000" w:themeColor="text1"/>
          <w:szCs w:val="24"/>
          <w:lang w:val="en-GB"/>
        </w:rPr>
        <w:t xml:space="preserve">Torture, </w:t>
      </w:r>
      <w:r w:rsidR="00591F0A" w:rsidRPr="00EB0BCC">
        <w:rPr>
          <w:b/>
          <w:color w:val="000000" w:themeColor="text1"/>
          <w:szCs w:val="24"/>
          <w:lang w:val="en-GB"/>
        </w:rPr>
        <w:t>Severe Beatings</w:t>
      </w:r>
      <w:r w:rsidR="00AD1C97" w:rsidRPr="00EB0BCC">
        <w:rPr>
          <w:b/>
          <w:color w:val="000000" w:themeColor="text1"/>
          <w:szCs w:val="24"/>
          <w:lang w:val="en-GB"/>
        </w:rPr>
        <w:t xml:space="preserve"> and Abusive Treatment</w:t>
      </w:r>
    </w:p>
    <w:p w:rsidR="004D442D" w:rsidRPr="00EB0BCC" w:rsidRDefault="004D442D" w:rsidP="00174E85">
      <w:pPr>
        <w:pStyle w:val="BodyText"/>
        <w:tabs>
          <w:tab w:val="right" w:pos="8910"/>
        </w:tabs>
        <w:spacing w:after="0"/>
        <w:ind w:left="737" w:right="18"/>
        <w:jc w:val="both"/>
        <w:rPr>
          <w:b/>
          <w:i/>
          <w:color w:val="000000" w:themeColor="text1"/>
          <w:szCs w:val="24"/>
          <w:lang w:val="en-GB"/>
        </w:rPr>
      </w:pPr>
      <w:r w:rsidRPr="00EB0BCC">
        <w:rPr>
          <w:b/>
          <w:i/>
          <w:color w:val="000000" w:themeColor="text1"/>
          <w:szCs w:val="24"/>
          <w:lang w:val="en-GB"/>
        </w:rPr>
        <w:t>Sami Mushaima, Abbas Al-Samea, and Ali Abdulshaheed Al-Singace Case</w:t>
      </w:r>
      <w:r w:rsidRPr="00EB0BCC">
        <w:rPr>
          <w:rStyle w:val="FootnoteReference"/>
          <w:b/>
          <w:i/>
          <w:color w:val="000000" w:themeColor="text1"/>
          <w:szCs w:val="24"/>
          <w:lang w:val="en-GB"/>
        </w:rPr>
        <w:footnoteReference w:id="78"/>
      </w:r>
    </w:p>
    <w:p w:rsidR="004D442D" w:rsidRPr="00EB0BCC" w:rsidRDefault="004D442D" w:rsidP="00BA35C4">
      <w:pPr>
        <w:pStyle w:val="BodyText"/>
        <w:tabs>
          <w:tab w:val="right" w:pos="8910"/>
        </w:tabs>
        <w:spacing w:after="0"/>
        <w:ind w:right="18"/>
        <w:jc w:val="both"/>
        <w:rPr>
          <w:b/>
          <w:i/>
          <w:color w:val="000000" w:themeColor="text1"/>
          <w:szCs w:val="24"/>
          <w:lang w:val="en-GB"/>
        </w:rPr>
      </w:pPr>
    </w:p>
    <w:p w:rsidR="00174E85" w:rsidRPr="00EB0BCC" w:rsidRDefault="004D442D" w:rsidP="004A0494">
      <w:pPr>
        <w:pStyle w:val="BodyText"/>
        <w:numPr>
          <w:ilvl w:val="0"/>
          <w:numId w:val="18"/>
        </w:numPr>
        <w:tabs>
          <w:tab w:val="right" w:pos="8910"/>
        </w:tabs>
        <w:spacing w:after="0"/>
        <w:ind w:right="18"/>
        <w:jc w:val="both"/>
        <w:rPr>
          <w:b/>
          <w:i/>
          <w:color w:val="000000" w:themeColor="text1"/>
          <w:szCs w:val="24"/>
          <w:lang w:val="en-GB"/>
        </w:rPr>
      </w:pPr>
      <w:r w:rsidRPr="00EB0BCC">
        <w:rPr>
          <w:bCs/>
          <w:iCs/>
          <w:color w:val="000000" w:themeColor="text1"/>
          <w:szCs w:val="24"/>
          <w:lang w:val="en-GB"/>
        </w:rPr>
        <w:t xml:space="preserve">Sami Mushaima, Abbas Al-Samea, and Ali Abdulshaheed Al-Singace were sentenced to death based on confessions made following torture. The three men were arrested on </w:t>
      </w:r>
      <w:r w:rsidR="00BF1296" w:rsidRPr="00EB0BCC">
        <w:rPr>
          <w:bCs/>
          <w:iCs/>
          <w:color w:val="000000" w:themeColor="text1"/>
          <w:szCs w:val="24"/>
          <w:lang w:val="en-GB"/>
        </w:rPr>
        <w:t>0</w:t>
      </w:r>
      <w:r w:rsidRPr="00EB0BCC">
        <w:rPr>
          <w:bCs/>
          <w:iCs/>
          <w:color w:val="000000" w:themeColor="text1"/>
          <w:szCs w:val="24"/>
          <w:lang w:val="en-GB"/>
        </w:rPr>
        <w:t xml:space="preserve">3 March 2014 by security forces during house raids and charged in the death of three police officers. The three men allege that Bahraini authorities subjected them to severe torture to extract coerced confessions and subsequently pleaded innocent. On 26 February 2015, the High Criminal Court convicted Mushaima, Al-Samea, and Al-Singace and sentenced them to death, and the sentence was upheld on appeal on 31 May 2016. On </w:t>
      </w:r>
      <w:r w:rsidR="00BF1296" w:rsidRPr="00EB0BCC">
        <w:rPr>
          <w:bCs/>
          <w:iCs/>
          <w:color w:val="000000" w:themeColor="text1"/>
          <w:szCs w:val="24"/>
          <w:lang w:val="en-GB"/>
        </w:rPr>
        <w:t>0</w:t>
      </w:r>
      <w:r w:rsidRPr="00EB0BCC">
        <w:rPr>
          <w:bCs/>
          <w:iCs/>
          <w:color w:val="000000" w:themeColor="text1"/>
          <w:szCs w:val="24"/>
          <w:lang w:val="en-GB"/>
        </w:rPr>
        <w:t>9 January 2017, the Court of Cassation in Bahrain upheld the death sentence, leading the way for their execution on 15 January 2017 by firing squad.</w:t>
      </w:r>
    </w:p>
    <w:p w:rsidR="00A6565C" w:rsidRPr="00EB0BCC" w:rsidRDefault="00A6565C" w:rsidP="00174E85">
      <w:pPr>
        <w:pStyle w:val="BodyText"/>
        <w:tabs>
          <w:tab w:val="right" w:pos="8910"/>
        </w:tabs>
        <w:spacing w:before="240"/>
        <w:ind w:left="737" w:right="18"/>
        <w:jc w:val="both"/>
        <w:rPr>
          <w:b/>
          <w:i/>
          <w:color w:val="000000" w:themeColor="text1"/>
          <w:szCs w:val="24"/>
          <w:lang w:val="en-GB"/>
        </w:rPr>
      </w:pPr>
      <w:r w:rsidRPr="00EB0BCC">
        <w:rPr>
          <w:b/>
          <w:i/>
          <w:color w:val="000000" w:themeColor="text1"/>
          <w:szCs w:val="24"/>
          <w:lang w:val="en-GB"/>
        </w:rPr>
        <w:t>Hasan Jassim Hasan Al-Hayki</w:t>
      </w:r>
      <w:r w:rsidR="008E15BE" w:rsidRPr="00EB0BCC">
        <w:rPr>
          <w:b/>
          <w:i/>
          <w:color w:val="000000" w:themeColor="text1"/>
          <w:szCs w:val="24"/>
          <w:lang w:val="en-GB"/>
        </w:rPr>
        <w:t xml:space="preserve"> </w:t>
      </w:r>
      <w:r w:rsidR="000A0114" w:rsidRPr="00EB0BCC">
        <w:rPr>
          <w:b/>
          <w:i/>
          <w:color w:val="000000" w:themeColor="text1"/>
          <w:szCs w:val="24"/>
          <w:lang w:val="en-GB"/>
        </w:rPr>
        <w:t>C</w:t>
      </w:r>
      <w:r w:rsidR="008E15BE" w:rsidRPr="00EB0BCC">
        <w:rPr>
          <w:b/>
          <w:i/>
          <w:color w:val="000000" w:themeColor="text1"/>
          <w:szCs w:val="24"/>
          <w:lang w:val="en-GB"/>
        </w:rPr>
        <w:t>ase</w:t>
      </w:r>
      <w:r w:rsidR="00C12B32" w:rsidRPr="00EB0BCC">
        <w:rPr>
          <w:rStyle w:val="FootnoteReference"/>
          <w:b/>
          <w:i/>
          <w:color w:val="000000" w:themeColor="text1"/>
          <w:szCs w:val="24"/>
          <w:lang w:val="en-GB"/>
        </w:rPr>
        <w:footnoteReference w:id="79"/>
      </w:r>
    </w:p>
    <w:p w:rsidR="00174E85" w:rsidRPr="00EB0BCC" w:rsidRDefault="00A6565C" w:rsidP="00E4138D">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Hasan Jassim Hasan Al-Hayki</w:t>
      </w:r>
      <w:r w:rsidR="00101B3A" w:rsidRPr="00EB0BCC">
        <w:rPr>
          <w:color w:val="000000" w:themeColor="text1"/>
          <w:szCs w:val="24"/>
          <w:lang w:val="en-GB"/>
        </w:rPr>
        <w:t>, age 35,</w:t>
      </w:r>
      <w:r w:rsidRPr="00EB0BCC">
        <w:rPr>
          <w:color w:val="000000" w:themeColor="text1"/>
          <w:szCs w:val="24"/>
          <w:lang w:val="en-GB"/>
        </w:rPr>
        <w:t xml:space="preserve"> died while in police custody </w:t>
      </w:r>
      <w:r w:rsidR="00101B3A" w:rsidRPr="00EB0BCC">
        <w:rPr>
          <w:color w:val="000000" w:themeColor="text1"/>
          <w:szCs w:val="24"/>
          <w:lang w:val="en-GB"/>
        </w:rPr>
        <w:t>as reported on 31 July</w:t>
      </w:r>
      <w:r w:rsidRPr="00EB0BCC">
        <w:rPr>
          <w:color w:val="000000" w:themeColor="text1"/>
          <w:szCs w:val="24"/>
          <w:lang w:val="en-GB"/>
        </w:rPr>
        <w:t xml:space="preserve"> 2016.</w:t>
      </w:r>
      <w:r w:rsidR="000E2F57" w:rsidRPr="00EB0BCC">
        <w:rPr>
          <w:color w:val="000000" w:themeColor="text1"/>
          <w:szCs w:val="24"/>
          <w:lang w:val="en-GB"/>
        </w:rPr>
        <w:t xml:space="preserve"> </w:t>
      </w:r>
      <w:r w:rsidR="00101B3A" w:rsidRPr="00EB0BCC">
        <w:rPr>
          <w:color w:val="000000" w:themeColor="text1"/>
          <w:szCs w:val="24"/>
          <w:lang w:val="en-GB"/>
        </w:rPr>
        <w:t>He had been detained at the Al</w:t>
      </w:r>
      <w:r w:rsidR="007E2523" w:rsidRPr="00EB0BCC">
        <w:rPr>
          <w:color w:val="000000" w:themeColor="text1"/>
          <w:szCs w:val="24"/>
          <w:lang w:val="en-GB"/>
        </w:rPr>
        <w:t>-</w:t>
      </w:r>
      <w:r w:rsidR="00101B3A" w:rsidRPr="00EB0BCC">
        <w:rPr>
          <w:color w:val="000000" w:themeColor="text1"/>
          <w:szCs w:val="24"/>
          <w:lang w:val="en-GB"/>
        </w:rPr>
        <w:t>Hoora police station</w:t>
      </w:r>
      <w:r w:rsidR="0086187E" w:rsidRPr="00EB0BCC">
        <w:rPr>
          <w:color w:val="000000" w:themeColor="text1"/>
          <w:szCs w:val="24"/>
          <w:lang w:val="en-GB"/>
        </w:rPr>
        <w:t xml:space="preserve"> and later at the Dry Dock Detention </w:t>
      </w:r>
      <w:r w:rsidR="00420F90" w:rsidRPr="00EB0BCC">
        <w:rPr>
          <w:color w:val="000000" w:themeColor="text1"/>
          <w:szCs w:val="24"/>
          <w:lang w:val="en-GB"/>
        </w:rPr>
        <w:t xml:space="preserve">Centre </w:t>
      </w:r>
      <w:r w:rsidR="0086187E" w:rsidRPr="00EB0BCC">
        <w:rPr>
          <w:color w:val="000000" w:themeColor="text1"/>
          <w:szCs w:val="24"/>
          <w:lang w:val="en-GB"/>
        </w:rPr>
        <w:t xml:space="preserve">following a </w:t>
      </w:r>
      <w:r w:rsidR="00BF1296" w:rsidRPr="00EB0BCC">
        <w:rPr>
          <w:color w:val="000000" w:themeColor="text1"/>
          <w:szCs w:val="24"/>
          <w:lang w:val="en-GB"/>
        </w:rPr>
        <w:t>0</w:t>
      </w:r>
      <w:r w:rsidR="0086187E" w:rsidRPr="00EB0BCC">
        <w:rPr>
          <w:color w:val="000000" w:themeColor="text1"/>
          <w:szCs w:val="24"/>
          <w:lang w:val="en-GB"/>
        </w:rPr>
        <w:t>4 July raid on his home</w:t>
      </w:r>
      <w:r w:rsidR="00101B3A" w:rsidRPr="00EB0BCC">
        <w:rPr>
          <w:color w:val="000000" w:themeColor="text1"/>
          <w:szCs w:val="24"/>
          <w:lang w:val="en-GB"/>
        </w:rPr>
        <w:t>.</w:t>
      </w:r>
      <w:r w:rsidR="000E2F57" w:rsidRPr="00EB0BCC">
        <w:rPr>
          <w:color w:val="000000" w:themeColor="text1"/>
          <w:szCs w:val="24"/>
          <w:lang w:val="en-GB"/>
        </w:rPr>
        <w:t xml:space="preserve"> </w:t>
      </w:r>
      <w:r w:rsidR="00101B3A" w:rsidRPr="00EB0BCC">
        <w:rPr>
          <w:color w:val="000000" w:themeColor="text1"/>
          <w:szCs w:val="24"/>
          <w:lang w:val="en-GB"/>
        </w:rPr>
        <w:t>Though police claimed he died of “natural causes”</w:t>
      </w:r>
      <w:r w:rsidR="00F706CD" w:rsidRPr="00EB0BCC">
        <w:rPr>
          <w:color w:val="000000" w:themeColor="text1"/>
          <w:szCs w:val="24"/>
          <w:lang w:val="en-GB"/>
        </w:rPr>
        <w:t xml:space="preserve"> because of a pre-existing medical condition,</w:t>
      </w:r>
      <w:r w:rsidR="00101B3A" w:rsidRPr="00EB0BCC">
        <w:rPr>
          <w:color w:val="000000" w:themeColor="text1"/>
          <w:szCs w:val="24"/>
          <w:lang w:val="en-GB"/>
        </w:rPr>
        <w:t xml:space="preserve"> t</w:t>
      </w:r>
      <w:r w:rsidRPr="00EB0BCC">
        <w:rPr>
          <w:color w:val="000000" w:themeColor="text1"/>
          <w:szCs w:val="24"/>
          <w:lang w:val="en-GB"/>
        </w:rPr>
        <w:t>orture is suspected and international human rights organi</w:t>
      </w:r>
      <w:r w:rsidR="004E2C04" w:rsidRPr="00EB0BCC">
        <w:rPr>
          <w:color w:val="000000" w:themeColor="text1"/>
          <w:szCs w:val="24"/>
          <w:lang w:val="en-GB"/>
        </w:rPr>
        <w:t>s</w:t>
      </w:r>
      <w:r w:rsidRPr="00EB0BCC">
        <w:rPr>
          <w:color w:val="000000" w:themeColor="text1"/>
          <w:szCs w:val="24"/>
          <w:lang w:val="en-GB"/>
        </w:rPr>
        <w:t xml:space="preserve">ations have demanded the release of his body to his family and expert medical examiners </w:t>
      </w:r>
      <w:r w:rsidR="004460EE" w:rsidRPr="00EB0BCC">
        <w:rPr>
          <w:color w:val="000000" w:themeColor="text1"/>
          <w:szCs w:val="24"/>
          <w:lang w:val="en-GB"/>
        </w:rPr>
        <w:t xml:space="preserve">so that they may </w:t>
      </w:r>
      <w:r w:rsidRPr="00EB0BCC">
        <w:rPr>
          <w:color w:val="000000" w:themeColor="text1"/>
          <w:szCs w:val="24"/>
          <w:lang w:val="en-GB"/>
        </w:rPr>
        <w:t>confirm or deny the allegations.</w:t>
      </w:r>
    </w:p>
    <w:p w:rsidR="00543851" w:rsidRPr="00EB0BCC" w:rsidRDefault="00543851" w:rsidP="00174E8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Hussein Jarallah Al-Qassab</w:t>
      </w:r>
      <w:r w:rsidR="008E15BE" w:rsidRPr="00EB0BCC">
        <w:rPr>
          <w:b/>
          <w:i/>
          <w:color w:val="000000" w:themeColor="text1"/>
          <w:szCs w:val="24"/>
          <w:lang w:val="en-GB"/>
        </w:rPr>
        <w:t xml:space="preserve"> </w:t>
      </w:r>
      <w:r w:rsidR="000A0114" w:rsidRPr="00EB0BCC">
        <w:rPr>
          <w:b/>
          <w:i/>
          <w:color w:val="000000" w:themeColor="text1"/>
          <w:szCs w:val="24"/>
          <w:lang w:val="en-GB"/>
        </w:rPr>
        <w:t>C</w:t>
      </w:r>
      <w:r w:rsidR="008E15BE" w:rsidRPr="00EB0BCC">
        <w:rPr>
          <w:b/>
          <w:i/>
          <w:color w:val="000000" w:themeColor="text1"/>
          <w:szCs w:val="24"/>
          <w:lang w:val="en-GB"/>
        </w:rPr>
        <w:t>ase</w:t>
      </w:r>
      <w:r w:rsidR="00945BA5" w:rsidRPr="00EB0BCC">
        <w:rPr>
          <w:rStyle w:val="FootnoteReference"/>
          <w:b/>
          <w:i/>
          <w:color w:val="000000" w:themeColor="text1"/>
          <w:szCs w:val="24"/>
          <w:lang w:val="en-GB"/>
        </w:rPr>
        <w:footnoteReference w:id="80"/>
      </w:r>
      <w:r w:rsidRPr="00EB0BCC">
        <w:rPr>
          <w:b/>
          <w:i/>
          <w:color w:val="000000" w:themeColor="text1"/>
          <w:szCs w:val="24"/>
          <w:lang w:val="en-GB"/>
        </w:rPr>
        <w:t xml:space="preserve"> </w:t>
      </w:r>
    </w:p>
    <w:p w:rsidR="00543851" w:rsidRPr="00EB0BCC" w:rsidRDefault="00543851"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Hussein Jarallah Al-Qassab</w:t>
      </w:r>
      <w:r w:rsidR="00124F2E" w:rsidRPr="00EB0BCC">
        <w:rPr>
          <w:color w:val="000000" w:themeColor="text1"/>
          <w:szCs w:val="24"/>
          <w:lang w:val="en-GB"/>
        </w:rPr>
        <w:t xml:space="preserve"> is a </w:t>
      </w:r>
      <w:r w:rsidRPr="00EB0BCC">
        <w:rPr>
          <w:color w:val="000000" w:themeColor="text1"/>
          <w:szCs w:val="24"/>
          <w:lang w:val="en-GB"/>
        </w:rPr>
        <w:t>37</w:t>
      </w:r>
      <w:r w:rsidR="009B6D6D" w:rsidRPr="00EB0BCC">
        <w:rPr>
          <w:color w:val="000000" w:themeColor="text1"/>
          <w:szCs w:val="24"/>
          <w:lang w:val="en-GB"/>
        </w:rPr>
        <w:t>-</w:t>
      </w:r>
      <w:r w:rsidRPr="00EB0BCC">
        <w:rPr>
          <w:color w:val="000000" w:themeColor="text1"/>
          <w:szCs w:val="24"/>
          <w:lang w:val="en-GB"/>
        </w:rPr>
        <w:t>year</w:t>
      </w:r>
      <w:r w:rsidR="00124F2E" w:rsidRPr="00EB0BCC">
        <w:rPr>
          <w:color w:val="000000" w:themeColor="text1"/>
          <w:szCs w:val="24"/>
          <w:lang w:val="en-GB"/>
        </w:rPr>
        <w:t xml:space="preserve">-old </w:t>
      </w:r>
      <w:r w:rsidRPr="00EB0BCC">
        <w:rPr>
          <w:color w:val="000000" w:themeColor="text1"/>
          <w:szCs w:val="24"/>
          <w:lang w:val="en-GB"/>
        </w:rPr>
        <w:t>driver and a father of two</w:t>
      </w:r>
      <w:r w:rsidR="00E50C95" w:rsidRPr="00EB0BCC">
        <w:rPr>
          <w:color w:val="000000" w:themeColor="text1"/>
          <w:szCs w:val="24"/>
          <w:lang w:val="en-GB"/>
        </w:rPr>
        <w:t>.</w:t>
      </w:r>
      <w:r w:rsidR="000E2F57" w:rsidRPr="00EB0BCC">
        <w:rPr>
          <w:color w:val="000000" w:themeColor="text1"/>
          <w:szCs w:val="24"/>
          <w:lang w:val="en-GB"/>
        </w:rPr>
        <w:t xml:space="preserve"> </w:t>
      </w:r>
      <w:r w:rsidR="00875433" w:rsidRPr="00EB0BCC">
        <w:rPr>
          <w:color w:val="000000" w:themeColor="text1"/>
          <w:szCs w:val="24"/>
          <w:lang w:val="en-GB"/>
        </w:rPr>
        <w:t>In 2015, h</w:t>
      </w:r>
      <w:r w:rsidR="00E50C95" w:rsidRPr="00EB0BCC">
        <w:rPr>
          <w:color w:val="000000" w:themeColor="text1"/>
          <w:szCs w:val="24"/>
          <w:lang w:val="en-GB"/>
        </w:rPr>
        <w:t xml:space="preserve">e was arrested at his home in Abu Saiba village </w:t>
      </w:r>
      <w:r w:rsidR="00CF0BFC" w:rsidRPr="00EB0BCC">
        <w:rPr>
          <w:color w:val="000000" w:themeColor="text1"/>
          <w:szCs w:val="24"/>
          <w:lang w:val="en-GB"/>
        </w:rPr>
        <w:t>in the northern part of Bahrain.</w:t>
      </w:r>
      <w:r w:rsidR="000E2F57" w:rsidRPr="00EB0BCC">
        <w:rPr>
          <w:color w:val="000000" w:themeColor="text1"/>
          <w:szCs w:val="24"/>
          <w:lang w:val="en-GB"/>
        </w:rPr>
        <w:t xml:space="preserve"> </w:t>
      </w:r>
      <w:r w:rsidR="00CF0BFC" w:rsidRPr="00EB0BCC">
        <w:rPr>
          <w:color w:val="000000" w:themeColor="text1"/>
          <w:szCs w:val="24"/>
          <w:lang w:val="en-GB"/>
        </w:rPr>
        <w:t>Bahraini security forces used</w:t>
      </w:r>
      <w:r w:rsidRPr="00EB0BCC">
        <w:rPr>
          <w:color w:val="000000" w:themeColor="text1"/>
          <w:szCs w:val="24"/>
          <w:lang w:val="en-GB"/>
        </w:rPr>
        <w:t xml:space="preserve"> excessive physical force</w:t>
      </w:r>
      <w:r w:rsidR="00CF0BFC" w:rsidRPr="00EB0BCC">
        <w:rPr>
          <w:color w:val="000000" w:themeColor="text1"/>
          <w:szCs w:val="24"/>
          <w:lang w:val="en-GB"/>
        </w:rPr>
        <w:t xml:space="preserve"> </w:t>
      </w:r>
      <w:r w:rsidRPr="00EB0BCC">
        <w:rPr>
          <w:color w:val="000000" w:themeColor="text1"/>
          <w:szCs w:val="24"/>
          <w:lang w:val="en-GB"/>
        </w:rPr>
        <w:t xml:space="preserve">during </w:t>
      </w:r>
      <w:r w:rsidR="00CF0BFC" w:rsidRPr="00EB0BCC">
        <w:rPr>
          <w:color w:val="000000" w:themeColor="text1"/>
          <w:szCs w:val="24"/>
          <w:lang w:val="en-GB"/>
        </w:rPr>
        <w:t xml:space="preserve">his </w:t>
      </w:r>
      <w:r w:rsidRPr="00EB0BCC">
        <w:rPr>
          <w:color w:val="000000" w:themeColor="text1"/>
          <w:szCs w:val="24"/>
          <w:lang w:val="en-GB"/>
        </w:rPr>
        <w:t>arrest</w:t>
      </w:r>
      <w:r w:rsidR="00CF0BFC" w:rsidRPr="00EB0BCC">
        <w:rPr>
          <w:color w:val="000000" w:themeColor="text1"/>
          <w:szCs w:val="24"/>
          <w:lang w:val="en-GB"/>
        </w:rPr>
        <w:t xml:space="preserve">, </w:t>
      </w:r>
      <w:r w:rsidRPr="00EB0BCC">
        <w:rPr>
          <w:color w:val="000000" w:themeColor="text1"/>
          <w:szCs w:val="24"/>
          <w:lang w:val="en-GB"/>
        </w:rPr>
        <w:t>severely beat</w:t>
      </w:r>
      <w:r w:rsidR="00CF0BFC" w:rsidRPr="00EB0BCC">
        <w:rPr>
          <w:color w:val="000000" w:themeColor="text1"/>
          <w:szCs w:val="24"/>
          <w:lang w:val="en-GB"/>
        </w:rPr>
        <w:t>ing him and kicking</w:t>
      </w:r>
      <w:r w:rsidR="00151AE8" w:rsidRPr="00EB0BCC">
        <w:rPr>
          <w:color w:val="000000" w:themeColor="text1"/>
          <w:szCs w:val="24"/>
          <w:lang w:val="en-GB"/>
        </w:rPr>
        <w:t xml:space="preserve"> </w:t>
      </w:r>
      <w:r w:rsidRPr="00EB0BCC">
        <w:rPr>
          <w:color w:val="000000" w:themeColor="text1"/>
          <w:szCs w:val="24"/>
          <w:lang w:val="en-GB"/>
        </w:rPr>
        <w:t>different parts of his body</w:t>
      </w:r>
      <w:r w:rsidR="00CF0BFC" w:rsidRPr="00EB0BCC">
        <w:rPr>
          <w:color w:val="000000" w:themeColor="text1"/>
          <w:szCs w:val="24"/>
          <w:lang w:val="en-GB"/>
        </w:rPr>
        <w:t xml:space="preserve"> before </w:t>
      </w:r>
      <w:r w:rsidRPr="00EB0BCC">
        <w:rPr>
          <w:color w:val="000000" w:themeColor="text1"/>
          <w:szCs w:val="24"/>
          <w:lang w:val="en-GB"/>
        </w:rPr>
        <w:t>he lost consciousness.</w:t>
      </w:r>
      <w:r w:rsidR="000E2F57" w:rsidRPr="00EB0BCC">
        <w:rPr>
          <w:color w:val="000000" w:themeColor="text1"/>
          <w:szCs w:val="24"/>
          <w:lang w:val="en-GB"/>
        </w:rPr>
        <w:t xml:space="preserve"> </w:t>
      </w:r>
      <w:r w:rsidR="00CF0BFC" w:rsidRPr="00EB0BCC">
        <w:rPr>
          <w:color w:val="000000" w:themeColor="text1"/>
          <w:szCs w:val="24"/>
          <w:lang w:val="en-GB"/>
        </w:rPr>
        <w:t>The incident was witnessed by</w:t>
      </w:r>
      <w:r w:rsidRPr="00EB0BCC">
        <w:rPr>
          <w:color w:val="000000" w:themeColor="text1"/>
          <w:szCs w:val="24"/>
          <w:lang w:val="en-GB"/>
        </w:rPr>
        <w:t xml:space="preserve"> </w:t>
      </w:r>
      <w:r w:rsidR="00B237A0" w:rsidRPr="00EB0BCC">
        <w:rPr>
          <w:color w:val="000000" w:themeColor="text1"/>
          <w:szCs w:val="24"/>
          <w:lang w:val="en-GB"/>
        </w:rPr>
        <w:t xml:space="preserve">relatives and </w:t>
      </w:r>
      <w:r w:rsidRPr="00EB0BCC">
        <w:rPr>
          <w:color w:val="000000" w:themeColor="text1"/>
          <w:szCs w:val="24"/>
          <w:lang w:val="en-GB"/>
        </w:rPr>
        <w:t>neighbo</w:t>
      </w:r>
      <w:r w:rsidR="00420F90" w:rsidRPr="00EB0BCC">
        <w:rPr>
          <w:color w:val="000000" w:themeColor="text1"/>
          <w:szCs w:val="24"/>
          <w:lang w:val="en-GB"/>
        </w:rPr>
        <w:t>u</w:t>
      </w:r>
      <w:r w:rsidRPr="00EB0BCC">
        <w:rPr>
          <w:color w:val="000000" w:themeColor="text1"/>
          <w:szCs w:val="24"/>
          <w:lang w:val="en-GB"/>
        </w:rPr>
        <w:t>rs</w:t>
      </w:r>
      <w:r w:rsidR="00CF0BFC" w:rsidRPr="00EB0BCC">
        <w:rPr>
          <w:color w:val="000000" w:themeColor="text1"/>
          <w:szCs w:val="24"/>
          <w:lang w:val="en-GB"/>
        </w:rPr>
        <w:t>.</w:t>
      </w:r>
      <w:r w:rsidR="000E2F57" w:rsidRPr="00EB0BCC">
        <w:rPr>
          <w:color w:val="000000" w:themeColor="text1"/>
          <w:szCs w:val="24"/>
          <w:lang w:val="en-GB"/>
        </w:rPr>
        <w:t xml:space="preserve"> </w:t>
      </w:r>
      <w:r w:rsidR="00CF0BFC" w:rsidRPr="00EB0BCC">
        <w:rPr>
          <w:color w:val="000000" w:themeColor="text1"/>
          <w:szCs w:val="24"/>
          <w:lang w:val="en-GB"/>
        </w:rPr>
        <w:t xml:space="preserve">He was denied medical treatment and </w:t>
      </w:r>
      <w:r w:rsidRPr="00EB0BCC">
        <w:rPr>
          <w:color w:val="000000" w:themeColor="text1"/>
          <w:szCs w:val="24"/>
          <w:lang w:val="en-GB"/>
        </w:rPr>
        <w:t xml:space="preserve">held incommunicado for </w:t>
      </w:r>
      <w:r w:rsidR="00F61572" w:rsidRPr="00EB0BCC">
        <w:rPr>
          <w:color w:val="000000" w:themeColor="text1"/>
          <w:szCs w:val="24"/>
          <w:lang w:val="en-GB"/>
        </w:rPr>
        <w:t>twelve</w:t>
      </w:r>
      <w:r w:rsidRPr="00EB0BCC">
        <w:rPr>
          <w:color w:val="000000" w:themeColor="text1"/>
          <w:szCs w:val="24"/>
          <w:lang w:val="en-GB"/>
        </w:rPr>
        <w:t xml:space="preserve"> days</w:t>
      </w:r>
      <w:r w:rsidR="00CF0BFC" w:rsidRPr="00EB0BCC">
        <w:rPr>
          <w:color w:val="000000" w:themeColor="text1"/>
          <w:szCs w:val="24"/>
          <w:lang w:val="en-GB"/>
        </w:rPr>
        <w:t>.</w:t>
      </w:r>
      <w:r w:rsidR="000E2F57" w:rsidRPr="00EB0BCC">
        <w:rPr>
          <w:color w:val="000000" w:themeColor="text1"/>
          <w:szCs w:val="24"/>
          <w:lang w:val="en-GB"/>
        </w:rPr>
        <w:t xml:space="preserve"> </w:t>
      </w:r>
      <w:r w:rsidR="00875433" w:rsidRPr="00EB0BCC">
        <w:rPr>
          <w:color w:val="000000" w:themeColor="text1"/>
          <w:szCs w:val="24"/>
          <w:lang w:val="en-GB"/>
        </w:rPr>
        <w:t xml:space="preserve">Later, </w:t>
      </w:r>
      <w:r w:rsidRPr="00EB0BCC">
        <w:rPr>
          <w:color w:val="000000" w:themeColor="text1"/>
          <w:szCs w:val="24"/>
          <w:lang w:val="en-GB"/>
        </w:rPr>
        <w:t>Al-Qassab was t</w:t>
      </w:r>
      <w:r w:rsidR="00875433" w:rsidRPr="00EB0BCC">
        <w:rPr>
          <w:color w:val="000000" w:themeColor="text1"/>
          <w:szCs w:val="24"/>
          <w:lang w:val="en-GB"/>
        </w:rPr>
        <w:t xml:space="preserve">aken </w:t>
      </w:r>
      <w:r w:rsidRPr="00EB0BCC">
        <w:rPr>
          <w:color w:val="000000" w:themeColor="text1"/>
          <w:szCs w:val="24"/>
          <w:lang w:val="en-GB"/>
        </w:rPr>
        <w:t>to Citadel Hospital</w:t>
      </w:r>
      <w:r w:rsidR="00875433" w:rsidRPr="00EB0BCC">
        <w:rPr>
          <w:color w:val="000000" w:themeColor="text1"/>
          <w:szCs w:val="24"/>
          <w:lang w:val="en-GB"/>
        </w:rPr>
        <w:t>.</w:t>
      </w:r>
      <w:r w:rsidR="000E2F57" w:rsidRPr="00EB0BCC">
        <w:rPr>
          <w:color w:val="000000" w:themeColor="text1"/>
          <w:szCs w:val="24"/>
          <w:lang w:val="en-GB"/>
        </w:rPr>
        <w:t xml:space="preserve"> </w:t>
      </w:r>
      <w:r w:rsidR="00875433" w:rsidRPr="00EB0BCC">
        <w:rPr>
          <w:color w:val="000000" w:themeColor="text1"/>
          <w:szCs w:val="24"/>
          <w:lang w:val="en-GB"/>
        </w:rPr>
        <w:t>His family observed bruises and blood spots on his shoulders, back, and chest</w:t>
      </w:r>
      <w:r w:rsidRPr="00EB0BCC">
        <w:rPr>
          <w:color w:val="000000" w:themeColor="text1"/>
          <w:szCs w:val="24"/>
          <w:lang w:val="en-GB"/>
        </w:rPr>
        <w:t xml:space="preserve"> wh</w:t>
      </w:r>
      <w:r w:rsidR="00875433" w:rsidRPr="00EB0BCC">
        <w:rPr>
          <w:color w:val="000000" w:themeColor="text1"/>
          <w:szCs w:val="24"/>
          <w:lang w:val="en-GB"/>
        </w:rPr>
        <w:t>en they</w:t>
      </w:r>
      <w:r w:rsidRPr="00EB0BCC">
        <w:rPr>
          <w:color w:val="000000" w:themeColor="text1"/>
          <w:szCs w:val="24"/>
          <w:lang w:val="en-GB"/>
        </w:rPr>
        <w:t xml:space="preserve"> </w:t>
      </w:r>
      <w:r w:rsidR="00875433" w:rsidRPr="00EB0BCC">
        <w:rPr>
          <w:color w:val="000000" w:themeColor="text1"/>
          <w:szCs w:val="24"/>
          <w:lang w:val="en-GB"/>
        </w:rPr>
        <w:t xml:space="preserve">were allowed to </w:t>
      </w:r>
      <w:r w:rsidRPr="00EB0BCC">
        <w:rPr>
          <w:color w:val="000000" w:themeColor="text1"/>
          <w:szCs w:val="24"/>
          <w:lang w:val="en-GB"/>
        </w:rPr>
        <w:t>visit him in the hospital for the first time since his detention</w:t>
      </w:r>
      <w:r w:rsidR="00875433" w:rsidRPr="00EB0BCC">
        <w:rPr>
          <w:color w:val="000000" w:themeColor="text1"/>
          <w:szCs w:val="24"/>
          <w:lang w:val="en-GB"/>
        </w:rPr>
        <w:t>.</w:t>
      </w:r>
      <w:r w:rsidR="000E2F57" w:rsidRPr="00EB0BCC">
        <w:rPr>
          <w:color w:val="000000" w:themeColor="text1"/>
          <w:szCs w:val="24"/>
          <w:lang w:val="en-GB"/>
        </w:rPr>
        <w:t xml:space="preserve"> </w:t>
      </w:r>
      <w:r w:rsidR="00875433" w:rsidRPr="00EB0BCC">
        <w:rPr>
          <w:color w:val="000000" w:themeColor="text1"/>
          <w:szCs w:val="24"/>
          <w:lang w:val="en-GB"/>
        </w:rPr>
        <w:t>They also noticed his inability</w:t>
      </w:r>
      <w:r w:rsidRPr="00EB0BCC">
        <w:rPr>
          <w:color w:val="000000" w:themeColor="text1"/>
          <w:szCs w:val="24"/>
          <w:lang w:val="en-GB"/>
        </w:rPr>
        <w:t xml:space="preserve"> to walk.</w:t>
      </w:r>
      <w:r w:rsidR="000E2F57" w:rsidRPr="00EB0BCC">
        <w:rPr>
          <w:color w:val="000000" w:themeColor="text1"/>
          <w:szCs w:val="24"/>
          <w:lang w:val="en-GB"/>
        </w:rPr>
        <w:t xml:space="preserve"> </w:t>
      </w:r>
      <w:r w:rsidRPr="00EB0BCC">
        <w:rPr>
          <w:color w:val="000000" w:themeColor="text1"/>
          <w:szCs w:val="24"/>
          <w:lang w:val="en-GB"/>
        </w:rPr>
        <w:t>On 26 February</w:t>
      </w:r>
      <w:r w:rsidR="00E50C95" w:rsidRPr="00EB0BCC">
        <w:rPr>
          <w:color w:val="000000" w:themeColor="text1"/>
          <w:szCs w:val="24"/>
          <w:lang w:val="en-GB"/>
        </w:rPr>
        <w:t xml:space="preserve"> 2016</w:t>
      </w:r>
      <w:r w:rsidRPr="00EB0BCC">
        <w:rPr>
          <w:color w:val="000000" w:themeColor="text1"/>
          <w:szCs w:val="24"/>
          <w:lang w:val="en-GB"/>
        </w:rPr>
        <w:t>, he was charged with attacking police officers</w:t>
      </w:r>
      <w:r w:rsidR="00440517" w:rsidRPr="00EB0BCC">
        <w:rPr>
          <w:color w:val="000000" w:themeColor="text1"/>
          <w:szCs w:val="24"/>
          <w:lang w:val="en-GB"/>
        </w:rPr>
        <w:t>.</w:t>
      </w:r>
      <w:r w:rsidR="000E2F57" w:rsidRPr="00EB0BCC">
        <w:rPr>
          <w:color w:val="000000" w:themeColor="text1"/>
          <w:szCs w:val="24"/>
          <w:lang w:val="en-GB"/>
        </w:rPr>
        <w:t xml:space="preserve"> </w:t>
      </w:r>
      <w:r w:rsidR="00B237A0" w:rsidRPr="00EB0BCC">
        <w:rPr>
          <w:color w:val="000000" w:themeColor="text1"/>
          <w:szCs w:val="24"/>
          <w:lang w:val="en-GB"/>
        </w:rPr>
        <w:t xml:space="preserve">In the meantime, he was held at the Dry Dock Detention </w:t>
      </w:r>
      <w:r w:rsidR="00466471" w:rsidRPr="00EB0BCC">
        <w:rPr>
          <w:color w:val="000000" w:themeColor="text1"/>
          <w:szCs w:val="24"/>
          <w:lang w:val="en-GB"/>
        </w:rPr>
        <w:t>Centre</w:t>
      </w:r>
      <w:r w:rsidR="00B237A0" w:rsidRPr="00EB0BCC">
        <w:rPr>
          <w:color w:val="000000" w:themeColor="text1"/>
          <w:szCs w:val="24"/>
          <w:lang w:val="en-GB"/>
        </w:rPr>
        <w:t xml:space="preserve"> while awaiting</w:t>
      </w:r>
      <w:r w:rsidRPr="00EB0BCC">
        <w:rPr>
          <w:color w:val="000000" w:themeColor="text1"/>
          <w:szCs w:val="24"/>
          <w:lang w:val="en-GB"/>
        </w:rPr>
        <w:t xml:space="preserve"> trial</w:t>
      </w:r>
      <w:r w:rsidR="00B237A0" w:rsidRPr="00EB0BCC">
        <w:rPr>
          <w:color w:val="000000" w:themeColor="text1"/>
          <w:szCs w:val="24"/>
          <w:lang w:val="en-GB"/>
        </w:rPr>
        <w:t>.</w:t>
      </w:r>
      <w:r w:rsidR="000E2F57" w:rsidRPr="00EB0BCC">
        <w:rPr>
          <w:color w:val="000000" w:themeColor="text1"/>
          <w:szCs w:val="24"/>
          <w:lang w:val="en-GB"/>
        </w:rPr>
        <w:t xml:space="preserve"> </w:t>
      </w:r>
      <w:r w:rsidR="00B237A0" w:rsidRPr="00EB0BCC">
        <w:rPr>
          <w:color w:val="000000" w:themeColor="text1"/>
          <w:szCs w:val="24"/>
          <w:lang w:val="en-GB"/>
        </w:rPr>
        <w:t>He was</w:t>
      </w:r>
      <w:r w:rsidRPr="00EB0BCC">
        <w:rPr>
          <w:color w:val="000000" w:themeColor="text1"/>
          <w:szCs w:val="24"/>
          <w:lang w:val="en-GB"/>
        </w:rPr>
        <w:t xml:space="preserve"> transferred </w:t>
      </w:r>
      <w:r w:rsidR="00B237A0" w:rsidRPr="00EB0BCC">
        <w:rPr>
          <w:color w:val="000000" w:themeColor="text1"/>
          <w:szCs w:val="24"/>
          <w:lang w:val="en-GB"/>
        </w:rPr>
        <w:t>back t</w:t>
      </w:r>
      <w:r w:rsidRPr="00EB0BCC">
        <w:rPr>
          <w:color w:val="000000" w:themeColor="text1"/>
          <w:szCs w:val="24"/>
          <w:lang w:val="en-GB"/>
        </w:rPr>
        <w:t xml:space="preserve">o the hospital </w:t>
      </w:r>
      <w:r w:rsidR="00B237A0" w:rsidRPr="00EB0BCC">
        <w:rPr>
          <w:color w:val="000000" w:themeColor="text1"/>
          <w:szCs w:val="24"/>
          <w:lang w:val="en-GB"/>
        </w:rPr>
        <w:t xml:space="preserve">when his health continued to deteriorate and was later </w:t>
      </w:r>
      <w:r w:rsidRPr="00EB0BCC">
        <w:rPr>
          <w:color w:val="000000" w:themeColor="text1"/>
          <w:szCs w:val="24"/>
          <w:lang w:val="en-GB"/>
        </w:rPr>
        <w:t>released on medical grounds.</w:t>
      </w:r>
    </w:p>
    <w:p w:rsidR="005937E3" w:rsidRPr="00EB0BCC" w:rsidRDefault="005937E3" w:rsidP="00174E8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lastRenderedPageBreak/>
        <w:t>Ali Isa Al-Tajer Case</w:t>
      </w:r>
      <w:r w:rsidRPr="00EB0BCC">
        <w:rPr>
          <w:rStyle w:val="FootnoteReference"/>
          <w:b/>
          <w:i/>
          <w:color w:val="000000" w:themeColor="text1"/>
          <w:szCs w:val="24"/>
          <w:lang w:val="en-GB"/>
        </w:rPr>
        <w:footnoteReference w:id="81"/>
      </w:r>
      <w:r w:rsidRPr="00EB0BCC">
        <w:rPr>
          <w:b/>
          <w:i/>
          <w:color w:val="000000" w:themeColor="text1"/>
          <w:szCs w:val="24"/>
          <w:lang w:val="en-GB"/>
        </w:rPr>
        <w:t xml:space="preserve"> </w:t>
      </w:r>
    </w:p>
    <w:p w:rsidR="005937E3" w:rsidRPr="00EB0BCC" w:rsidRDefault="005937E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Ali Isa Al-Tajer is the brother of human rights lawyer </w:t>
      </w:r>
      <w:r w:rsidRPr="00EB0BCC">
        <w:rPr>
          <w:b/>
          <w:bCs/>
          <w:color w:val="000000" w:themeColor="text1"/>
          <w:szCs w:val="24"/>
          <w:lang w:val="en-GB"/>
        </w:rPr>
        <w:t>Mohammed Al-Tajer</w:t>
      </w:r>
      <w:r w:rsidRPr="00EB0BCC">
        <w:rPr>
          <w:color w:val="000000" w:themeColor="text1"/>
          <w:szCs w:val="24"/>
          <w:lang w:val="en-GB"/>
        </w:rPr>
        <w:t xml:space="preserve">. On </w:t>
      </w:r>
      <w:r w:rsidR="00BF1296" w:rsidRPr="00EB0BCC">
        <w:rPr>
          <w:color w:val="000000" w:themeColor="text1"/>
          <w:szCs w:val="24"/>
        </w:rPr>
        <w:t>0</w:t>
      </w:r>
      <w:r w:rsidRPr="00EB0BCC">
        <w:rPr>
          <w:color w:val="000000" w:themeColor="text1"/>
          <w:szCs w:val="24"/>
          <w:lang w:val="en-GB"/>
        </w:rPr>
        <w:t xml:space="preserve">5 November 2015, Bahraini security forces raided his family home. He was arrested and during his subsequent detention, he was beaten, threatened with electric shocks, forced to strip naked, sexually assaulted, forced to stand, deprived of sleep for most of the time, and was forced to sign a confession. </w:t>
      </w:r>
    </w:p>
    <w:p w:rsidR="00543851" w:rsidRPr="00EB0BCC" w:rsidRDefault="00543851" w:rsidP="00174E8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Khalil Ibrahim Al-Saffar</w:t>
      </w:r>
      <w:r w:rsidR="008E15BE" w:rsidRPr="00EB0BCC">
        <w:rPr>
          <w:b/>
          <w:i/>
          <w:color w:val="000000" w:themeColor="text1"/>
          <w:szCs w:val="24"/>
          <w:lang w:val="en-GB"/>
        </w:rPr>
        <w:t xml:space="preserve"> </w:t>
      </w:r>
      <w:r w:rsidR="000A0114" w:rsidRPr="00EB0BCC">
        <w:rPr>
          <w:b/>
          <w:i/>
          <w:color w:val="000000" w:themeColor="text1"/>
          <w:szCs w:val="24"/>
          <w:lang w:val="en-GB"/>
        </w:rPr>
        <w:t>C</w:t>
      </w:r>
      <w:r w:rsidR="008E15BE" w:rsidRPr="00EB0BCC">
        <w:rPr>
          <w:b/>
          <w:i/>
          <w:color w:val="000000" w:themeColor="text1"/>
          <w:szCs w:val="24"/>
          <w:lang w:val="en-GB"/>
        </w:rPr>
        <w:t>ase</w:t>
      </w:r>
      <w:r w:rsidR="004A39EC" w:rsidRPr="00EB0BCC">
        <w:rPr>
          <w:rStyle w:val="FootnoteReference"/>
          <w:b/>
          <w:i/>
          <w:color w:val="000000" w:themeColor="text1"/>
          <w:szCs w:val="24"/>
          <w:lang w:val="en-GB"/>
        </w:rPr>
        <w:footnoteReference w:id="82"/>
      </w:r>
      <w:r w:rsidRPr="00EB0BCC">
        <w:rPr>
          <w:b/>
          <w:i/>
          <w:color w:val="000000" w:themeColor="text1"/>
          <w:szCs w:val="24"/>
          <w:lang w:val="en-GB"/>
        </w:rPr>
        <w:t xml:space="preserve"> </w:t>
      </w:r>
    </w:p>
    <w:p w:rsidR="003F06F9" w:rsidRPr="00EB0BCC" w:rsidRDefault="00543851"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Khalil Ibrahim Al-Saffar</w:t>
      </w:r>
      <w:r w:rsidR="00DA5378" w:rsidRPr="00EB0BCC">
        <w:rPr>
          <w:color w:val="000000" w:themeColor="text1"/>
          <w:szCs w:val="24"/>
          <w:lang w:val="en-GB"/>
        </w:rPr>
        <w:t>, age 19, was arrested on 15 September 2015.</w:t>
      </w:r>
      <w:r w:rsidR="000E2F57" w:rsidRPr="00EB0BCC">
        <w:rPr>
          <w:color w:val="000000" w:themeColor="text1"/>
          <w:szCs w:val="24"/>
          <w:lang w:val="en-GB"/>
        </w:rPr>
        <w:t xml:space="preserve"> </w:t>
      </w:r>
      <w:r w:rsidR="00DA5378" w:rsidRPr="00EB0BCC">
        <w:rPr>
          <w:color w:val="000000" w:themeColor="text1"/>
          <w:szCs w:val="24"/>
          <w:lang w:val="en-GB"/>
        </w:rPr>
        <w:t xml:space="preserve">He was detained by the CID and </w:t>
      </w:r>
      <w:r w:rsidRPr="00EB0BCC">
        <w:rPr>
          <w:color w:val="000000" w:themeColor="text1"/>
          <w:szCs w:val="24"/>
          <w:lang w:val="en-GB"/>
        </w:rPr>
        <w:t xml:space="preserve">was </w:t>
      </w:r>
      <w:r w:rsidR="00DA5378" w:rsidRPr="00EB0BCC">
        <w:rPr>
          <w:color w:val="000000" w:themeColor="text1"/>
          <w:szCs w:val="24"/>
          <w:lang w:val="en-GB"/>
        </w:rPr>
        <w:t xml:space="preserve">forced to </w:t>
      </w:r>
      <w:r w:rsidRPr="00EB0BCC">
        <w:rPr>
          <w:color w:val="000000" w:themeColor="text1"/>
          <w:szCs w:val="24"/>
          <w:lang w:val="en-GB"/>
        </w:rPr>
        <w:t>strip of</w:t>
      </w:r>
      <w:r w:rsidR="00DA5378" w:rsidRPr="00EB0BCC">
        <w:rPr>
          <w:color w:val="000000" w:themeColor="text1"/>
          <w:szCs w:val="24"/>
          <w:lang w:val="en-GB"/>
        </w:rPr>
        <w:t>f</w:t>
      </w:r>
      <w:r w:rsidRPr="00EB0BCC">
        <w:rPr>
          <w:color w:val="000000" w:themeColor="text1"/>
          <w:szCs w:val="24"/>
          <w:lang w:val="en-GB"/>
        </w:rPr>
        <w:t xml:space="preserve"> his clothes, </w:t>
      </w:r>
      <w:r w:rsidR="00122865" w:rsidRPr="00EB0BCC">
        <w:rPr>
          <w:color w:val="000000" w:themeColor="text1"/>
          <w:szCs w:val="24"/>
          <w:lang w:val="en-GB"/>
        </w:rPr>
        <w:t xml:space="preserve">was </w:t>
      </w:r>
      <w:r w:rsidRPr="00EB0BCC">
        <w:rPr>
          <w:color w:val="000000" w:themeColor="text1"/>
          <w:szCs w:val="24"/>
          <w:lang w:val="en-GB"/>
        </w:rPr>
        <w:t>beaten on his genitals,</w:t>
      </w:r>
      <w:r w:rsidR="00122865" w:rsidRPr="00EB0BCC">
        <w:rPr>
          <w:color w:val="000000" w:themeColor="text1"/>
          <w:szCs w:val="24"/>
          <w:lang w:val="en-GB"/>
        </w:rPr>
        <w:t xml:space="preserve"> and was</w:t>
      </w:r>
      <w:r w:rsidRPr="00EB0BCC">
        <w:rPr>
          <w:color w:val="000000" w:themeColor="text1"/>
          <w:szCs w:val="24"/>
          <w:lang w:val="en-GB"/>
        </w:rPr>
        <w:t xml:space="preserve"> beaten with batons and plastic cables on his </w:t>
      </w:r>
      <w:r w:rsidR="0001646B" w:rsidRPr="00EB0BCC">
        <w:rPr>
          <w:color w:val="000000" w:themeColor="text1"/>
          <w:szCs w:val="24"/>
          <w:lang w:val="en-GB"/>
        </w:rPr>
        <w:t xml:space="preserve">other </w:t>
      </w:r>
      <w:r w:rsidRPr="00EB0BCC">
        <w:rPr>
          <w:color w:val="000000" w:themeColor="text1"/>
          <w:szCs w:val="24"/>
          <w:lang w:val="en-GB"/>
        </w:rPr>
        <w:t>body parts.</w:t>
      </w:r>
    </w:p>
    <w:p w:rsidR="003F06F9" w:rsidRPr="00EB0BCC" w:rsidRDefault="003F06F9" w:rsidP="00174E8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Mohammed Ibrahim Al</w:t>
      </w:r>
      <w:r w:rsidR="007E2523" w:rsidRPr="00EB0BCC">
        <w:rPr>
          <w:b/>
          <w:i/>
          <w:color w:val="000000" w:themeColor="text1"/>
          <w:szCs w:val="24"/>
          <w:lang w:val="en-GB"/>
        </w:rPr>
        <w:t>-</w:t>
      </w:r>
      <w:r w:rsidRPr="00EB0BCC">
        <w:rPr>
          <w:b/>
          <w:i/>
          <w:color w:val="000000" w:themeColor="text1"/>
          <w:szCs w:val="24"/>
          <w:lang w:val="en-GB"/>
        </w:rPr>
        <w:t>Mullah</w:t>
      </w:r>
      <w:r w:rsidR="008E15BE" w:rsidRPr="00EB0BCC">
        <w:rPr>
          <w:b/>
          <w:i/>
          <w:color w:val="000000" w:themeColor="text1"/>
          <w:szCs w:val="24"/>
          <w:lang w:val="en-GB"/>
        </w:rPr>
        <w:t xml:space="preserve"> </w:t>
      </w:r>
      <w:r w:rsidR="000A0114" w:rsidRPr="00EB0BCC">
        <w:rPr>
          <w:b/>
          <w:i/>
          <w:color w:val="000000" w:themeColor="text1"/>
          <w:szCs w:val="24"/>
          <w:lang w:val="en-GB"/>
        </w:rPr>
        <w:t>C</w:t>
      </w:r>
      <w:r w:rsidR="008E15BE" w:rsidRPr="00EB0BCC">
        <w:rPr>
          <w:b/>
          <w:i/>
          <w:color w:val="000000" w:themeColor="text1"/>
          <w:szCs w:val="24"/>
          <w:lang w:val="en-GB"/>
        </w:rPr>
        <w:t>ase</w:t>
      </w:r>
      <w:r w:rsidR="004A39EC" w:rsidRPr="00EB0BCC">
        <w:rPr>
          <w:rStyle w:val="FootnoteReference"/>
          <w:b/>
          <w:i/>
          <w:color w:val="000000" w:themeColor="text1"/>
          <w:szCs w:val="24"/>
          <w:lang w:val="en-GB"/>
        </w:rPr>
        <w:footnoteReference w:id="83"/>
      </w:r>
    </w:p>
    <w:p w:rsidR="00635F72" w:rsidRPr="00EB0BCC" w:rsidRDefault="00543851" w:rsidP="00635F72">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Mohammed Ibrahim Al</w:t>
      </w:r>
      <w:r w:rsidR="007E2523" w:rsidRPr="00EB0BCC">
        <w:rPr>
          <w:color w:val="000000" w:themeColor="text1"/>
          <w:szCs w:val="24"/>
          <w:lang w:val="en-GB"/>
        </w:rPr>
        <w:t>-</w:t>
      </w:r>
      <w:r w:rsidRPr="00EB0BCC">
        <w:rPr>
          <w:color w:val="000000" w:themeColor="text1"/>
          <w:szCs w:val="24"/>
          <w:lang w:val="en-GB"/>
        </w:rPr>
        <w:t>Mullah</w:t>
      </w:r>
      <w:r w:rsidR="00DA5378" w:rsidRPr="00EB0BCC">
        <w:rPr>
          <w:color w:val="000000" w:themeColor="text1"/>
          <w:szCs w:val="24"/>
          <w:lang w:val="en-GB"/>
        </w:rPr>
        <w:t xml:space="preserve">, age 23, is a political activist who </w:t>
      </w:r>
      <w:r w:rsidRPr="00EB0BCC">
        <w:rPr>
          <w:color w:val="000000" w:themeColor="text1"/>
          <w:szCs w:val="24"/>
          <w:lang w:val="en-GB"/>
        </w:rPr>
        <w:t>was arrested in February 2015 at the Bahrain International Airport</w:t>
      </w:r>
      <w:r w:rsidR="00DA5378" w:rsidRPr="00EB0BCC">
        <w:rPr>
          <w:color w:val="000000" w:themeColor="text1"/>
          <w:szCs w:val="24"/>
          <w:lang w:val="en-GB"/>
        </w:rPr>
        <w:t>.</w:t>
      </w:r>
      <w:r w:rsidR="000E2F57" w:rsidRPr="00EB0BCC">
        <w:rPr>
          <w:color w:val="000000" w:themeColor="text1"/>
          <w:szCs w:val="24"/>
          <w:lang w:val="en-GB"/>
        </w:rPr>
        <w:t xml:space="preserve"> </w:t>
      </w:r>
      <w:r w:rsidR="00DA5378" w:rsidRPr="00EB0BCC">
        <w:rPr>
          <w:color w:val="000000" w:themeColor="text1"/>
          <w:szCs w:val="24"/>
          <w:lang w:val="en-GB"/>
        </w:rPr>
        <w:t>He was taken to t</w:t>
      </w:r>
      <w:r w:rsidRPr="00EB0BCC">
        <w:rPr>
          <w:color w:val="000000" w:themeColor="text1"/>
          <w:szCs w:val="24"/>
          <w:lang w:val="en-GB"/>
        </w:rPr>
        <w:t xml:space="preserve">he Dry Dock Detention </w:t>
      </w:r>
      <w:r w:rsidR="00466471" w:rsidRPr="00EB0BCC">
        <w:rPr>
          <w:color w:val="000000" w:themeColor="text1"/>
          <w:szCs w:val="24"/>
          <w:lang w:val="en-GB"/>
        </w:rPr>
        <w:t>Centre</w:t>
      </w:r>
      <w:r w:rsidR="00DA5378" w:rsidRPr="00EB0BCC">
        <w:rPr>
          <w:color w:val="000000" w:themeColor="text1"/>
          <w:szCs w:val="24"/>
          <w:lang w:val="en-GB"/>
        </w:rPr>
        <w:t xml:space="preserve"> and </w:t>
      </w:r>
      <w:r w:rsidRPr="00EB0BCC">
        <w:rPr>
          <w:color w:val="000000" w:themeColor="text1"/>
          <w:szCs w:val="24"/>
          <w:lang w:val="en-GB"/>
        </w:rPr>
        <w:t xml:space="preserve">tortured during his interrogation </w:t>
      </w:r>
      <w:r w:rsidR="00DA5378" w:rsidRPr="00EB0BCC">
        <w:rPr>
          <w:color w:val="000000" w:themeColor="text1"/>
          <w:szCs w:val="24"/>
          <w:lang w:val="en-GB"/>
        </w:rPr>
        <w:t>by</w:t>
      </w:r>
      <w:r w:rsidRPr="00EB0BCC">
        <w:rPr>
          <w:color w:val="000000" w:themeColor="text1"/>
          <w:szCs w:val="24"/>
          <w:lang w:val="en-GB"/>
        </w:rPr>
        <w:t xml:space="preserve"> the CID.</w:t>
      </w:r>
      <w:r w:rsidR="001E250B" w:rsidRPr="00EB0BCC">
        <w:rPr>
          <w:rStyle w:val="FootnoteReference"/>
          <w:color w:val="000000" w:themeColor="text1"/>
          <w:szCs w:val="24"/>
          <w:lang w:val="en-GB"/>
        </w:rPr>
        <w:footnoteReference w:id="84"/>
      </w:r>
      <w:r w:rsidR="000E2F57" w:rsidRPr="00EB0BCC">
        <w:rPr>
          <w:color w:val="000000" w:themeColor="text1"/>
          <w:szCs w:val="24"/>
          <w:lang w:val="en-GB"/>
        </w:rPr>
        <w:t xml:space="preserve"> </w:t>
      </w:r>
      <w:r w:rsidR="00843633" w:rsidRPr="00EB0BCC">
        <w:rPr>
          <w:color w:val="000000" w:themeColor="text1"/>
          <w:szCs w:val="24"/>
          <w:lang w:val="en-GB"/>
        </w:rPr>
        <w:t xml:space="preserve">After </w:t>
      </w:r>
      <w:r w:rsidRPr="00EB0BCC">
        <w:rPr>
          <w:color w:val="000000" w:themeColor="text1"/>
          <w:szCs w:val="24"/>
          <w:lang w:val="en-GB"/>
        </w:rPr>
        <w:t xml:space="preserve">his transfer to the Citadel Hospital, he </w:t>
      </w:r>
      <w:r w:rsidR="00843633" w:rsidRPr="00EB0BCC">
        <w:rPr>
          <w:color w:val="000000" w:themeColor="text1"/>
          <w:szCs w:val="24"/>
          <w:lang w:val="en-GB"/>
        </w:rPr>
        <w:t>informed his family that he had been</w:t>
      </w:r>
      <w:r w:rsidRPr="00EB0BCC">
        <w:rPr>
          <w:color w:val="000000" w:themeColor="text1"/>
          <w:szCs w:val="24"/>
          <w:lang w:val="en-GB"/>
        </w:rPr>
        <w:t xml:space="preserve"> severely beaten by batons on his head, back and chest, and </w:t>
      </w:r>
      <w:r w:rsidR="00F94DEA" w:rsidRPr="00EB0BCC">
        <w:rPr>
          <w:color w:val="000000" w:themeColor="text1"/>
          <w:szCs w:val="24"/>
          <w:lang w:val="en-GB"/>
        </w:rPr>
        <w:t xml:space="preserve">that his genitals had been subjected to </w:t>
      </w:r>
      <w:r w:rsidRPr="00EB0BCC">
        <w:rPr>
          <w:color w:val="000000" w:themeColor="text1"/>
          <w:szCs w:val="24"/>
          <w:lang w:val="en-GB"/>
        </w:rPr>
        <w:t>electric shocks.</w:t>
      </w:r>
    </w:p>
    <w:p w:rsidR="005937E3" w:rsidRPr="00EB0BCC" w:rsidRDefault="00D4678F" w:rsidP="00635F72">
      <w:pPr>
        <w:pStyle w:val="BodyText"/>
        <w:tabs>
          <w:tab w:val="right" w:pos="8910"/>
        </w:tabs>
        <w:ind w:left="737" w:right="18"/>
        <w:jc w:val="both"/>
        <w:rPr>
          <w:color w:val="000000" w:themeColor="text1"/>
          <w:szCs w:val="24"/>
          <w:lang w:val="en-GB"/>
        </w:rPr>
      </w:pPr>
      <w:r w:rsidRPr="00EB0BCC">
        <w:rPr>
          <w:b/>
          <w:i/>
          <w:color w:val="000000" w:themeColor="text1"/>
          <w:szCs w:val="24"/>
          <w:lang w:val="en-GB"/>
        </w:rPr>
        <w:t xml:space="preserve">Mohammed Ramadhan and </w:t>
      </w:r>
      <w:r w:rsidR="005937E3" w:rsidRPr="00EB0BCC">
        <w:rPr>
          <w:b/>
          <w:i/>
          <w:color w:val="000000" w:themeColor="text1"/>
          <w:szCs w:val="24"/>
          <w:lang w:val="en-GB"/>
        </w:rPr>
        <w:t>Hussain Ali Moosa Case</w:t>
      </w:r>
      <w:r w:rsidRPr="00EB0BCC">
        <w:rPr>
          <w:b/>
          <w:i/>
          <w:color w:val="000000" w:themeColor="text1"/>
          <w:szCs w:val="24"/>
          <w:lang w:val="en-GB"/>
        </w:rPr>
        <w:t>s</w:t>
      </w:r>
      <w:r w:rsidR="005937E3" w:rsidRPr="00EB0BCC">
        <w:rPr>
          <w:rStyle w:val="FootnoteReference"/>
          <w:b/>
          <w:i/>
          <w:color w:val="000000" w:themeColor="text1"/>
          <w:szCs w:val="24"/>
          <w:lang w:val="en-GB"/>
        </w:rPr>
        <w:footnoteReference w:id="85"/>
      </w:r>
      <w:r w:rsidR="005937E3" w:rsidRPr="00EB0BCC">
        <w:rPr>
          <w:b/>
          <w:color w:val="000000" w:themeColor="text1"/>
          <w:szCs w:val="24"/>
          <w:lang w:val="en-GB"/>
        </w:rPr>
        <w:t xml:space="preserve"> </w:t>
      </w:r>
    </w:p>
    <w:p w:rsidR="005937E3" w:rsidRPr="00EB0BCC" w:rsidRDefault="005937E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Hussain Ali Moosa </w:t>
      </w:r>
      <w:r w:rsidR="00D4678F" w:rsidRPr="00EB0BCC">
        <w:rPr>
          <w:color w:val="000000" w:themeColor="text1"/>
          <w:szCs w:val="24"/>
          <w:lang w:val="en-GB"/>
        </w:rPr>
        <w:t xml:space="preserve">and Mohammed Ramadhan were </w:t>
      </w:r>
      <w:r w:rsidRPr="00EB0BCC">
        <w:rPr>
          <w:color w:val="000000" w:themeColor="text1"/>
          <w:szCs w:val="24"/>
          <w:lang w:val="en-GB"/>
        </w:rPr>
        <w:t xml:space="preserve">arrested in February 2014 on charges of complicity in the killing of a policeman in </w:t>
      </w:r>
      <w:r w:rsidR="00D4678F" w:rsidRPr="00EB0BCC">
        <w:rPr>
          <w:color w:val="000000" w:themeColor="text1"/>
          <w:szCs w:val="24"/>
          <w:lang w:val="en-GB"/>
        </w:rPr>
        <w:t>Al-</w:t>
      </w:r>
      <w:r w:rsidRPr="00EB0BCC">
        <w:rPr>
          <w:color w:val="000000" w:themeColor="text1"/>
          <w:szCs w:val="24"/>
          <w:lang w:val="en-GB"/>
        </w:rPr>
        <w:t xml:space="preserve">Dair. After his arrest, </w:t>
      </w:r>
      <w:r w:rsidR="00D4678F" w:rsidRPr="00EB0BCC">
        <w:rPr>
          <w:color w:val="000000" w:themeColor="text1"/>
          <w:szCs w:val="24"/>
          <w:lang w:val="en-GB"/>
        </w:rPr>
        <w:t xml:space="preserve">Moosa </w:t>
      </w:r>
      <w:r w:rsidRPr="00EB0BCC">
        <w:rPr>
          <w:color w:val="000000" w:themeColor="text1"/>
          <w:szCs w:val="24"/>
          <w:lang w:val="en-GB"/>
        </w:rPr>
        <w:t xml:space="preserve">was taken to a CID facility where he was suspended </w:t>
      </w:r>
      <w:r w:rsidR="00D4678F" w:rsidRPr="00EB0BCC">
        <w:rPr>
          <w:color w:val="000000" w:themeColor="text1"/>
          <w:szCs w:val="24"/>
          <w:lang w:val="en-GB"/>
        </w:rPr>
        <w:t xml:space="preserve">by his limbs, given electric shocks </w:t>
      </w:r>
      <w:r w:rsidRPr="00EB0BCC">
        <w:rPr>
          <w:color w:val="000000" w:themeColor="text1"/>
          <w:szCs w:val="24"/>
          <w:lang w:val="en-GB"/>
        </w:rPr>
        <w:t>and beaten with batons in an effort to force his confession. The CID agents also threatened to fabricate evidence against his relatives and to rape his sisters. Though he signed a confession, he later retracted it because it was induced by torture.</w:t>
      </w:r>
      <w:r w:rsidR="00E76EA7" w:rsidRPr="00EB0BCC">
        <w:rPr>
          <w:color w:val="000000" w:themeColor="text1"/>
          <w:szCs w:val="24"/>
          <w:lang w:val="en-GB"/>
        </w:rPr>
        <w:t xml:space="preserve"> </w:t>
      </w:r>
      <w:r w:rsidR="00D4678F" w:rsidRPr="00EB0BCC">
        <w:rPr>
          <w:color w:val="000000" w:themeColor="text1"/>
          <w:szCs w:val="24"/>
          <w:lang w:val="en-GB"/>
        </w:rPr>
        <w:t xml:space="preserve">Ramadhan also reported being beaten and given electric shocks on his feet. </w:t>
      </w:r>
      <w:r w:rsidR="00E76EA7" w:rsidRPr="00EB0BCC">
        <w:rPr>
          <w:color w:val="000000" w:themeColor="text1"/>
          <w:szCs w:val="24"/>
          <w:lang w:val="en-GB"/>
        </w:rPr>
        <w:t xml:space="preserve">According to Amnesty International, Moosa </w:t>
      </w:r>
      <w:r w:rsidR="00D4678F" w:rsidRPr="00EB0BCC">
        <w:rPr>
          <w:color w:val="000000" w:themeColor="text1"/>
          <w:szCs w:val="24"/>
          <w:lang w:val="en-GB"/>
        </w:rPr>
        <w:t>and Ramadhan are</w:t>
      </w:r>
      <w:r w:rsidR="00E76EA7" w:rsidRPr="00EB0BCC">
        <w:rPr>
          <w:color w:val="000000" w:themeColor="text1"/>
          <w:szCs w:val="24"/>
          <w:lang w:val="en-GB"/>
        </w:rPr>
        <w:t xml:space="preserve"> at imminent risk of execution as of 18 January 2017 following the execution of three men.</w:t>
      </w:r>
      <w:r w:rsidR="00E76EA7" w:rsidRPr="00EB0BCC">
        <w:rPr>
          <w:rStyle w:val="FootnoteReference"/>
          <w:color w:val="000000" w:themeColor="text1"/>
          <w:szCs w:val="24"/>
          <w:lang w:val="en-GB"/>
        </w:rPr>
        <w:footnoteReference w:id="86"/>
      </w:r>
      <w:r w:rsidR="00E76EA7" w:rsidRPr="00EB0BCC">
        <w:rPr>
          <w:color w:val="000000" w:themeColor="text1"/>
          <w:szCs w:val="24"/>
          <w:lang w:val="en-GB"/>
        </w:rPr>
        <w:t xml:space="preserve"> </w:t>
      </w:r>
    </w:p>
    <w:p w:rsidR="005937E3" w:rsidRPr="00EB0BCC" w:rsidRDefault="005937E3" w:rsidP="00174E8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Ahmed Mohammad Saleh Al-Arab Case</w:t>
      </w:r>
      <w:r w:rsidRPr="00EB0BCC">
        <w:rPr>
          <w:rStyle w:val="FootnoteReference"/>
          <w:b/>
          <w:i/>
          <w:color w:val="000000" w:themeColor="text1"/>
          <w:szCs w:val="24"/>
          <w:lang w:val="en-GB"/>
        </w:rPr>
        <w:footnoteReference w:id="87"/>
      </w:r>
      <w:r w:rsidRPr="00EB0BCC">
        <w:rPr>
          <w:b/>
          <w:i/>
          <w:color w:val="000000" w:themeColor="text1"/>
          <w:szCs w:val="24"/>
          <w:lang w:val="en-GB"/>
        </w:rPr>
        <w:t xml:space="preserve"> </w:t>
      </w:r>
    </w:p>
    <w:p w:rsidR="005937E3" w:rsidRPr="00EB0BCC" w:rsidRDefault="005937E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Ahmed Mohammad Saleh Al-Arab, age 23, was arrested in January 2014 and was held incommunicado by the CID for 21 days where he was reportedly tortured.</w:t>
      </w:r>
      <w:r w:rsidRPr="00EB0BCC">
        <w:rPr>
          <w:rStyle w:val="FootnoteReference"/>
          <w:color w:val="000000" w:themeColor="text1"/>
          <w:szCs w:val="24"/>
          <w:lang w:val="en-GB"/>
        </w:rPr>
        <w:footnoteReference w:id="88"/>
      </w:r>
      <w:r w:rsidRPr="00EB0BCC">
        <w:rPr>
          <w:color w:val="000000" w:themeColor="text1"/>
          <w:szCs w:val="24"/>
          <w:lang w:val="en-GB"/>
        </w:rPr>
        <w:t xml:space="preserve"> He was allegedly repeatedly beaten, deprived of sleep, and subjected to “waterboarding,” </w:t>
      </w:r>
      <w:r w:rsidRPr="00EB0BCC">
        <w:rPr>
          <w:color w:val="000000" w:themeColor="text1"/>
          <w:szCs w:val="24"/>
          <w:lang w:val="en-GB"/>
        </w:rPr>
        <w:lastRenderedPageBreak/>
        <w:t>whereby security forces covered his face with a cloth and water was poured into his mouth to simulate drowning. He was subjected to continuous verbal abuse and psychological torture including keeping him in the dark for long periods and forcing him to listen to others being tortured. His lawyer’s plea to investigate allegations of torture against his client was dismissed without action.</w:t>
      </w:r>
    </w:p>
    <w:p w:rsidR="005937E3" w:rsidRPr="00EB0BCC" w:rsidRDefault="005937E3" w:rsidP="00174E8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Ali Ahmed Haroun Case</w:t>
      </w:r>
      <w:r w:rsidRPr="00EB0BCC">
        <w:rPr>
          <w:rStyle w:val="FootnoteReference"/>
          <w:b/>
          <w:i/>
          <w:color w:val="000000" w:themeColor="text1"/>
          <w:szCs w:val="24"/>
          <w:lang w:val="en-GB"/>
        </w:rPr>
        <w:footnoteReference w:id="89"/>
      </w:r>
      <w:r w:rsidRPr="00EB0BCC">
        <w:rPr>
          <w:b/>
          <w:i/>
          <w:color w:val="000000" w:themeColor="text1"/>
          <w:szCs w:val="24"/>
          <w:lang w:val="en-GB"/>
        </w:rPr>
        <w:t xml:space="preserve"> </w:t>
      </w:r>
    </w:p>
    <w:p w:rsidR="00635F72" w:rsidRPr="00EB0BCC" w:rsidRDefault="005937E3" w:rsidP="00635F72">
      <w:pPr>
        <w:pStyle w:val="BodyText"/>
        <w:numPr>
          <w:ilvl w:val="0"/>
          <w:numId w:val="18"/>
        </w:numPr>
        <w:tabs>
          <w:tab w:val="right" w:pos="8910"/>
        </w:tabs>
        <w:ind w:right="18"/>
        <w:jc w:val="both"/>
        <w:rPr>
          <w:color w:val="000000" w:themeColor="text1"/>
          <w:lang w:val="en-GB"/>
        </w:rPr>
      </w:pPr>
      <w:r w:rsidRPr="00EB0BCC">
        <w:rPr>
          <w:color w:val="000000" w:themeColor="text1"/>
          <w:szCs w:val="24"/>
          <w:lang w:val="en-GB"/>
        </w:rPr>
        <w:t xml:space="preserve">Ali Ahmed Haroun, age 20, was arrested in May 2013 on charges of participating in an illegal gathering and criminal arson relating to an explosion in the village of Bani Jamra. He was taken to the Dry Dock Detention </w:t>
      </w:r>
      <w:r w:rsidR="00466471" w:rsidRPr="00EB0BCC">
        <w:rPr>
          <w:color w:val="000000" w:themeColor="text1"/>
          <w:szCs w:val="24"/>
          <w:lang w:val="en-GB"/>
        </w:rPr>
        <w:t>Centre</w:t>
      </w:r>
      <w:r w:rsidRPr="00EB0BCC">
        <w:rPr>
          <w:color w:val="000000" w:themeColor="text1"/>
          <w:szCs w:val="24"/>
          <w:lang w:val="en-GB"/>
        </w:rPr>
        <w:t xml:space="preserve"> where he was beaten, forced to stand in stress positions and deprived of food, water, and sleep until he signed a coerced confession relating to the explosion in Bani Jamra.</w:t>
      </w:r>
      <w:r w:rsidRPr="00EB0BCC">
        <w:rPr>
          <w:rStyle w:val="FootnoteReference"/>
          <w:color w:val="000000" w:themeColor="text1"/>
          <w:szCs w:val="24"/>
          <w:lang w:val="en-GB"/>
        </w:rPr>
        <w:footnoteReference w:id="90"/>
      </w:r>
      <w:r w:rsidRPr="00EB0BCC">
        <w:rPr>
          <w:color w:val="000000" w:themeColor="text1"/>
          <w:szCs w:val="24"/>
          <w:lang w:val="en-GB"/>
        </w:rPr>
        <w:t xml:space="preserve"> Haroun has a permanent injury to his spine, torn ligaments in his leg, and permanent loss of hearing in one of his ears because of torture. </w:t>
      </w:r>
      <w:bookmarkStart w:id="13" w:name="_Toc475984115"/>
    </w:p>
    <w:p w:rsidR="00AF08B3" w:rsidRPr="00EB0BCC" w:rsidRDefault="00AD35CE" w:rsidP="00AD35CE">
      <w:pPr>
        <w:pStyle w:val="BodyText"/>
        <w:tabs>
          <w:tab w:val="right" w:pos="8910"/>
        </w:tabs>
        <w:ind w:right="18"/>
        <w:jc w:val="both"/>
        <w:rPr>
          <w:b/>
          <w:bCs/>
          <w:color w:val="000000" w:themeColor="text1"/>
          <w:sz w:val="28"/>
          <w:szCs w:val="28"/>
          <w:lang w:val="en-GB"/>
        </w:rPr>
      </w:pPr>
      <w:r w:rsidRPr="00EB0BCC">
        <w:rPr>
          <w:b/>
          <w:bCs/>
          <w:color w:val="000000" w:themeColor="text1"/>
          <w:sz w:val="28"/>
          <w:szCs w:val="28"/>
          <w:lang w:val="en-GB"/>
        </w:rPr>
        <w:t xml:space="preserve">IX. </w:t>
      </w:r>
      <w:r w:rsidR="009C45EB" w:rsidRPr="00EB0BCC">
        <w:rPr>
          <w:b/>
          <w:bCs/>
          <w:color w:val="000000" w:themeColor="text1"/>
          <w:sz w:val="28"/>
          <w:szCs w:val="28"/>
          <w:lang w:val="en-GB"/>
        </w:rPr>
        <w:t>Infringement</w:t>
      </w:r>
      <w:r w:rsidR="00DB11A8" w:rsidRPr="00EB0BCC">
        <w:rPr>
          <w:b/>
          <w:bCs/>
          <w:color w:val="000000" w:themeColor="text1"/>
          <w:sz w:val="28"/>
          <w:szCs w:val="28"/>
          <w:lang w:val="en-GB"/>
        </w:rPr>
        <w:t xml:space="preserve">s </w:t>
      </w:r>
      <w:r w:rsidR="00AF08B3" w:rsidRPr="00EB0BCC">
        <w:rPr>
          <w:b/>
          <w:bCs/>
          <w:color w:val="000000" w:themeColor="text1"/>
          <w:sz w:val="28"/>
          <w:szCs w:val="28"/>
          <w:lang w:val="en-GB"/>
        </w:rPr>
        <w:t>of Civil and Political Rights</w:t>
      </w:r>
      <w:bookmarkEnd w:id="13"/>
    </w:p>
    <w:p w:rsidR="004A054A" w:rsidRPr="00EB0BCC" w:rsidRDefault="005D4C0C" w:rsidP="00BA35C4">
      <w:pPr>
        <w:pStyle w:val="Heading3"/>
        <w:jc w:val="both"/>
        <w:rPr>
          <w:color w:val="000000" w:themeColor="text1"/>
          <w:lang w:val="en-GB"/>
        </w:rPr>
      </w:pPr>
      <w:bookmarkStart w:id="14" w:name="_Toc475984116"/>
      <w:r w:rsidRPr="00EB0BCC">
        <w:rPr>
          <w:color w:val="000000" w:themeColor="text1"/>
          <w:lang w:val="en-GB"/>
        </w:rPr>
        <w:t xml:space="preserve">a) </w:t>
      </w:r>
      <w:r w:rsidR="009C45EB" w:rsidRPr="00EB0BCC">
        <w:rPr>
          <w:color w:val="000000" w:themeColor="text1"/>
          <w:lang w:val="en-GB"/>
        </w:rPr>
        <w:t>Reprisals</w:t>
      </w:r>
      <w:r w:rsidR="00F9692F" w:rsidRPr="00EB0BCC">
        <w:rPr>
          <w:color w:val="000000" w:themeColor="text1"/>
          <w:lang w:val="en-GB"/>
        </w:rPr>
        <w:t xml:space="preserve"> for Expressing Dissent</w:t>
      </w:r>
      <w:bookmarkEnd w:id="14"/>
      <w:r w:rsidR="00F9692F" w:rsidRPr="00EB0BCC">
        <w:rPr>
          <w:color w:val="000000" w:themeColor="text1"/>
          <w:lang w:val="en-GB"/>
        </w:rPr>
        <w:t xml:space="preserve"> </w:t>
      </w:r>
    </w:p>
    <w:p w:rsidR="00E03701" w:rsidRPr="00EB0BCC" w:rsidRDefault="00E03701"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apparent worldwide increase in reprisals against human rights defenders, including against those cooperating with UN investigators, has drawn the attention of senior United Nations officials, including the </w:t>
      </w:r>
      <w:r w:rsidR="007E2523" w:rsidRPr="00EB0BCC">
        <w:rPr>
          <w:color w:val="000000" w:themeColor="text1"/>
          <w:szCs w:val="24"/>
          <w:lang w:val="en-GB"/>
        </w:rPr>
        <w:t xml:space="preserve">(former) </w:t>
      </w:r>
      <w:r w:rsidRPr="00EB0BCC">
        <w:rPr>
          <w:color w:val="000000" w:themeColor="text1"/>
          <w:szCs w:val="24"/>
          <w:lang w:val="en-GB"/>
        </w:rPr>
        <w:t>Secretary General.</w:t>
      </w:r>
      <w:r w:rsidR="000E2F57" w:rsidRPr="00EB0BCC">
        <w:rPr>
          <w:color w:val="000000" w:themeColor="text1"/>
          <w:szCs w:val="24"/>
          <w:lang w:val="en-GB"/>
        </w:rPr>
        <w:t xml:space="preserve"> </w:t>
      </w:r>
      <w:r w:rsidRPr="00EB0BCC">
        <w:rPr>
          <w:color w:val="000000" w:themeColor="text1"/>
          <w:szCs w:val="24"/>
          <w:lang w:val="en-GB"/>
        </w:rPr>
        <w:t>In his annual report to the UN Human Rights Council (UNHRC)</w:t>
      </w:r>
      <w:r w:rsidR="007E2523" w:rsidRPr="00EB0BCC">
        <w:rPr>
          <w:color w:val="000000" w:themeColor="text1"/>
          <w:szCs w:val="24"/>
          <w:lang w:val="en-GB"/>
        </w:rPr>
        <w:t xml:space="preserve"> in 2016</w:t>
      </w:r>
      <w:r w:rsidRPr="00EB0BCC">
        <w:rPr>
          <w:color w:val="000000" w:themeColor="text1"/>
          <w:szCs w:val="24"/>
          <w:lang w:val="en-GB"/>
        </w:rPr>
        <w:t xml:space="preserve">, </w:t>
      </w:r>
      <w:r w:rsidR="00884FF7" w:rsidRPr="00EB0BCC">
        <w:rPr>
          <w:color w:val="000000" w:themeColor="text1"/>
          <w:szCs w:val="24"/>
        </w:rPr>
        <w:t xml:space="preserve">former </w:t>
      </w:r>
      <w:r w:rsidRPr="00EB0BCC">
        <w:rPr>
          <w:color w:val="000000" w:themeColor="text1"/>
          <w:szCs w:val="24"/>
          <w:lang w:val="en-GB"/>
        </w:rPr>
        <w:t xml:space="preserve">Secretary General Ban Ki Moon announced his intention to </w:t>
      </w:r>
      <w:r w:rsidR="004B223D" w:rsidRPr="00EB0BCC">
        <w:rPr>
          <w:color w:val="000000" w:themeColor="text1"/>
          <w:szCs w:val="24"/>
          <w:lang w:val="en-GB"/>
        </w:rPr>
        <w:t>escalate</w:t>
      </w:r>
      <w:r w:rsidRPr="00EB0BCC">
        <w:rPr>
          <w:color w:val="000000" w:themeColor="text1"/>
          <w:szCs w:val="24"/>
          <w:lang w:val="en-GB"/>
        </w:rPr>
        <w:t xml:space="preserve"> the UN response to reprisals, by enforcing accountability for government officials who impose reprisals and </w:t>
      </w:r>
      <w:r w:rsidR="00E92380" w:rsidRPr="00EB0BCC">
        <w:rPr>
          <w:color w:val="000000" w:themeColor="text1"/>
          <w:szCs w:val="24"/>
          <w:lang w:val="en-GB"/>
        </w:rPr>
        <w:t xml:space="preserve">by </w:t>
      </w:r>
      <w:r w:rsidRPr="00EB0BCC">
        <w:rPr>
          <w:color w:val="000000" w:themeColor="text1"/>
          <w:szCs w:val="24"/>
          <w:lang w:val="en-GB"/>
        </w:rPr>
        <w:t>strengthening protections for human rights defenders and witnesses.</w:t>
      </w:r>
      <w:r w:rsidR="00E22B6F" w:rsidRPr="00EB0BCC">
        <w:rPr>
          <w:rStyle w:val="FootnoteReference"/>
          <w:color w:val="000000" w:themeColor="text1"/>
          <w:szCs w:val="24"/>
          <w:lang w:val="en-GB"/>
        </w:rPr>
        <w:footnoteReference w:id="91"/>
      </w:r>
      <w:r w:rsidR="000E2F57" w:rsidRPr="00EB0BCC">
        <w:rPr>
          <w:color w:val="000000" w:themeColor="text1"/>
          <w:szCs w:val="24"/>
          <w:lang w:val="en-GB"/>
        </w:rPr>
        <w:t xml:space="preserve"> </w:t>
      </w:r>
      <w:r w:rsidRPr="00EB0BCC">
        <w:rPr>
          <w:color w:val="000000" w:themeColor="text1"/>
          <w:szCs w:val="24"/>
          <w:lang w:val="en-GB"/>
        </w:rPr>
        <w:t xml:space="preserve">We note that emerging human rights standards, such as </w:t>
      </w:r>
      <w:r w:rsidR="004B223D" w:rsidRPr="00EB0BCC">
        <w:rPr>
          <w:color w:val="000000" w:themeColor="text1"/>
          <w:szCs w:val="24"/>
          <w:lang w:val="en-GB"/>
        </w:rPr>
        <w:t xml:space="preserve">those </w:t>
      </w:r>
      <w:r w:rsidRPr="00EB0BCC">
        <w:rPr>
          <w:color w:val="000000" w:themeColor="text1"/>
          <w:szCs w:val="24"/>
          <w:lang w:val="en-GB"/>
        </w:rPr>
        <w:t xml:space="preserve">embodied in the “San José” Guidelines Against Intimidation or Reprisals, reflect a growing international legal consensus or </w:t>
      </w:r>
      <w:r w:rsidR="009E66BC" w:rsidRPr="00EB0BCC">
        <w:rPr>
          <w:i/>
          <w:color w:val="000000" w:themeColor="text1"/>
          <w:szCs w:val="24"/>
          <w:lang w:val="en-GB"/>
        </w:rPr>
        <w:t>o</w:t>
      </w:r>
      <w:r w:rsidRPr="00EB0BCC">
        <w:rPr>
          <w:i/>
          <w:color w:val="000000" w:themeColor="text1"/>
          <w:szCs w:val="24"/>
          <w:lang w:val="en-GB"/>
        </w:rPr>
        <w:t xml:space="preserve">pinio </w:t>
      </w:r>
      <w:r w:rsidR="009E66BC" w:rsidRPr="00EB0BCC">
        <w:rPr>
          <w:i/>
          <w:color w:val="000000" w:themeColor="text1"/>
          <w:szCs w:val="24"/>
          <w:lang w:val="en-GB"/>
        </w:rPr>
        <w:t>j</w:t>
      </w:r>
      <w:r w:rsidRPr="00EB0BCC">
        <w:rPr>
          <w:i/>
          <w:color w:val="000000" w:themeColor="text1"/>
          <w:szCs w:val="24"/>
          <w:lang w:val="en-GB"/>
        </w:rPr>
        <w:t xml:space="preserve">uris </w:t>
      </w:r>
      <w:r w:rsidR="009E66BC" w:rsidRPr="00EB0BCC">
        <w:rPr>
          <w:i/>
          <w:color w:val="000000" w:themeColor="text1"/>
          <w:szCs w:val="24"/>
          <w:lang w:val="en-GB"/>
        </w:rPr>
        <w:t>c</w:t>
      </w:r>
      <w:r w:rsidRPr="00EB0BCC">
        <w:rPr>
          <w:i/>
          <w:color w:val="000000" w:themeColor="text1"/>
          <w:szCs w:val="24"/>
          <w:lang w:val="en-GB"/>
        </w:rPr>
        <w:t>ommunis</w:t>
      </w:r>
      <w:r w:rsidRPr="00EB0BCC">
        <w:rPr>
          <w:color w:val="000000" w:themeColor="text1"/>
          <w:szCs w:val="24"/>
          <w:lang w:val="en-GB"/>
        </w:rPr>
        <w:t xml:space="preserve"> that such intimidation or reprisals violate international law.</w:t>
      </w:r>
    </w:p>
    <w:p w:rsidR="00FF40DE" w:rsidRPr="00EB0BCC" w:rsidRDefault="00E03701"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In Bahrain, t</w:t>
      </w:r>
      <w:r w:rsidR="004A054A" w:rsidRPr="00EB0BCC">
        <w:rPr>
          <w:color w:val="000000" w:themeColor="text1"/>
          <w:szCs w:val="24"/>
          <w:lang w:val="en-GB"/>
        </w:rPr>
        <w:t xml:space="preserve">here </w:t>
      </w:r>
      <w:r w:rsidR="00DB11A8" w:rsidRPr="00EB0BCC">
        <w:rPr>
          <w:color w:val="000000" w:themeColor="text1"/>
          <w:szCs w:val="24"/>
          <w:lang w:val="en-GB"/>
        </w:rPr>
        <w:t xml:space="preserve">is </w:t>
      </w:r>
      <w:r w:rsidR="004A054A" w:rsidRPr="00EB0BCC">
        <w:rPr>
          <w:color w:val="000000" w:themeColor="text1"/>
          <w:szCs w:val="24"/>
          <w:lang w:val="en-GB"/>
        </w:rPr>
        <w:t xml:space="preserve">a pattern indicative of a systemic use of intimidation and punishment </w:t>
      </w:r>
      <w:r w:rsidR="000C4868" w:rsidRPr="00EB0BCC">
        <w:rPr>
          <w:color w:val="000000" w:themeColor="text1"/>
          <w:szCs w:val="24"/>
          <w:lang w:val="en-GB"/>
        </w:rPr>
        <w:t xml:space="preserve">or reporting on </w:t>
      </w:r>
      <w:r w:rsidR="00BA1B82" w:rsidRPr="00EB0BCC">
        <w:rPr>
          <w:color w:val="000000" w:themeColor="text1"/>
          <w:szCs w:val="24"/>
          <w:lang w:val="en-GB"/>
        </w:rPr>
        <w:t xml:space="preserve">human rights, </w:t>
      </w:r>
      <w:r w:rsidR="000C4868" w:rsidRPr="00EB0BCC">
        <w:rPr>
          <w:color w:val="000000" w:themeColor="text1"/>
          <w:szCs w:val="24"/>
          <w:lang w:val="en-GB"/>
        </w:rPr>
        <w:t xml:space="preserve">torture, </w:t>
      </w:r>
      <w:r w:rsidR="003018D8" w:rsidRPr="00EB0BCC">
        <w:rPr>
          <w:color w:val="000000" w:themeColor="text1"/>
          <w:szCs w:val="24"/>
          <w:lang w:val="en-GB"/>
        </w:rPr>
        <w:t xml:space="preserve">abuse, </w:t>
      </w:r>
      <w:r w:rsidR="000C4868" w:rsidRPr="00EB0BCC">
        <w:rPr>
          <w:color w:val="000000" w:themeColor="text1"/>
          <w:szCs w:val="24"/>
          <w:lang w:val="en-GB"/>
        </w:rPr>
        <w:t>free expression or peace</w:t>
      </w:r>
      <w:r w:rsidR="004A054A" w:rsidRPr="00EB0BCC">
        <w:rPr>
          <w:color w:val="000000" w:themeColor="text1"/>
          <w:szCs w:val="24"/>
          <w:lang w:val="en-GB"/>
        </w:rPr>
        <w:t>able</w:t>
      </w:r>
      <w:r w:rsidR="000C4868" w:rsidRPr="00EB0BCC">
        <w:rPr>
          <w:color w:val="000000" w:themeColor="text1"/>
          <w:szCs w:val="24"/>
          <w:lang w:val="en-GB"/>
        </w:rPr>
        <w:t xml:space="preserve"> assembly</w:t>
      </w:r>
      <w:r w:rsidR="004A054A" w:rsidRPr="00EB0BCC">
        <w:rPr>
          <w:color w:val="000000" w:themeColor="text1"/>
          <w:szCs w:val="24"/>
          <w:lang w:val="en-GB"/>
        </w:rPr>
        <w:t>.</w:t>
      </w:r>
      <w:r w:rsidR="000E2F57" w:rsidRPr="00EB0BCC">
        <w:rPr>
          <w:color w:val="000000" w:themeColor="text1"/>
          <w:szCs w:val="24"/>
          <w:lang w:val="en-GB"/>
        </w:rPr>
        <w:t xml:space="preserve"> </w:t>
      </w:r>
      <w:r w:rsidR="00BB107C" w:rsidRPr="00EB0BCC">
        <w:rPr>
          <w:color w:val="000000" w:themeColor="text1"/>
          <w:szCs w:val="24"/>
          <w:lang w:val="en-GB"/>
        </w:rPr>
        <w:t>The result of these actions is to effectively “criminali</w:t>
      </w:r>
      <w:r w:rsidR="00CD1535" w:rsidRPr="00EB0BCC">
        <w:rPr>
          <w:color w:val="000000" w:themeColor="text1"/>
          <w:szCs w:val="24"/>
          <w:lang w:val="en-GB"/>
        </w:rPr>
        <w:t>s</w:t>
      </w:r>
      <w:r w:rsidR="00BB107C" w:rsidRPr="00EB0BCC">
        <w:rPr>
          <w:color w:val="000000" w:themeColor="text1"/>
          <w:szCs w:val="24"/>
          <w:lang w:val="en-GB"/>
        </w:rPr>
        <w:t>e” dissent in any form</w:t>
      </w:r>
      <w:r w:rsidR="004822EC" w:rsidRPr="00EB0BCC">
        <w:rPr>
          <w:color w:val="000000" w:themeColor="text1"/>
          <w:szCs w:val="24"/>
          <w:lang w:val="en-GB"/>
        </w:rPr>
        <w:t>, with increasing restrictions on freedom of expression, assembly, and association.</w:t>
      </w:r>
      <w:r w:rsidR="000E2F57" w:rsidRPr="00EB0BCC">
        <w:rPr>
          <w:color w:val="000000" w:themeColor="text1"/>
          <w:szCs w:val="24"/>
          <w:lang w:val="en-GB"/>
        </w:rPr>
        <w:t xml:space="preserve"> </w:t>
      </w:r>
      <w:r w:rsidR="004822EC" w:rsidRPr="00EB0BCC">
        <w:rPr>
          <w:color w:val="000000" w:themeColor="text1"/>
          <w:szCs w:val="24"/>
          <w:lang w:val="en-GB"/>
        </w:rPr>
        <w:t>Dissidents, journalists and human rights defenders are the most frequent targets of reprisals.</w:t>
      </w:r>
      <w:r w:rsidR="000E2F57" w:rsidRPr="00EB0BCC">
        <w:rPr>
          <w:color w:val="000000" w:themeColor="text1"/>
          <w:szCs w:val="24"/>
          <w:lang w:val="en-GB"/>
        </w:rPr>
        <w:t xml:space="preserve"> </w:t>
      </w:r>
      <w:r w:rsidR="00432211" w:rsidRPr="00EB0BCC">
        <w:rPr>
          <w:color w:val="000000" w:themeColor="text1"/>
          <w:szCs w:val="24"/>
          <w:lang w:val="en-GB"/>
        </w:rPr>
        <w:t>R</w:t>
      </w:r>
      <w:r w:rsidR="00274AAB" w:rsidRPr="00EB0BCC">
        <w:rPr>
          <w:color w:val="000000" w:themeColor="text1"/>
          <w:szCs w:val="24"/>
          <w:lang w:val="en-GB"/>
        </w:rPr>
        <w:t>eprisals “take many forms, ranging from smear campaigns, threats, travel bans, harassment, fines, the closing of organi</w:t>
      </w:r>
      <w:r w:rsidR="00314775" w:rsidRPr="00EB0BCC">
        <w:rPr>
          <w:color w:val="000000" w:themeColor="text1"/>
          <w:szCs w:val="24"/>
          <w:lang w:val="en-GB"/>
        </w:rPr>
        <w:t>s</w:t>
      </w:r>
      <w:r w:rsidR="00274AAB" w:rsidRPr="00EB0BCC">
        <w:rPr>
          <w:color w:val="000000" w:themeColor="text1"/>
          <w:szCs w:val="24"/>
          <w:lang w:val="en-GB"/>
        </w:rPr>
        <w:t>ations, sexual violence, arbitrary arrests, prosecutions and lengthy prison sentences through to torture, ill-treatment and even death”</w:t>
      </w:r>
      <w:r w:rsidR="00432211" w:rsidRPr="00EB0BCC">
        <w:rPr>
          <w:color w:val="000000" w:themeColor="text1"/>
          <w:szCs w:val="24"/>
          <w:lang w:val="en-GB"/>
        </w:rPr>
        <w:t xml:space="preserve"> according to a July 2013 report to the UN HRC by the Office of the UN High Commissioner of Human Rights (OHCHR).</w:t>
      </w:r>
      <w:r w:rsidR="00C72D3B" w:rsidRPr="00EB0BCC">
        <w:rPr>
          <w:rStyle w:val="FootnoteReference"/>
          <w:color w:val="000000" w:themeColor="text1"/>
          <w:szCs w:val="24"/>
          <w:lang w:val="en-GB"/>
        </w:rPr>
        <w:footnoteReference w:id="92"/>
      </w:r>
      <w:r w:rsidR="000E2F57" w:rsidRPr="00EB0BCC">
        <w:rPr>
          <w:color w:val="000000" w:themeColor="text1"/>
          <w:szCs w:val="24"/>
          <w:lang w:val="en-GB"/>
        </w:rPr>
        <w:t xml:space="preserve"> </w:t>
      </w:r>
      <w:r w:rsidR="0086302B" w:rsidRPr="00EB0BCC">
        <w:rPr>
          <w:color w:val="000000" w:themeColor="text1"/>
          <w:szCs w:val="24"/>
          <w:lang w:val="en-GB"/>
        </w:rPr>
        <w:t>The previously mentioned</w:t>
      </w:r>
      <w:r w:rsidR="00B101F2" w:rsidRPr="00EB0BCC">
        <w:rPr>
          <w:color w:val="000000" w:themeColor="text1"/>
          <w:szCs w:val="24"/>
          <w:lang w:val="en-GB"/>
        </w:rPr>
        <w:t xml:space="preserve"> “San José” Guidelines Against Intimidation or Reprisals reflect a </w:t>
      </w:r>
      <w:r w:rsidR="0067160A" w:rsidRPr="00EB0BCC">
        <w:rPr>
          <w:color w:val="000000" w:themeColor="text1"/>
          <w:szCs w:val="24"/>
          <w:lang w:val="en-GB"/>
        </w:rPr>
        <w:t>growing</w:t>
      </w:r>
      <w:r w:rsidR="00B101F2" w:rsidRPr="00EB0BCC">
        <w:rPr>
          <w:color w:val="000000" w:themeColor="text1"/>
          <w:szCs w:val="24"/>
          <w:lang w:val="en-GB"/>
        </w:rPr>
        <w:t xml:space="preserve"> </w:t>
      </w:r>
      <w:r w:rsidR="00B101F2" w:rsidRPr="00EB0BCC">
        <w:rPr>
          <w:color w:val="000000" w:themeColor="text1"/>
          <w:szCs w:val="24"/>
          <w:lang w:val="en-GB"/>
        </w:rPr>
        <w:lastRenderedPageBreak/>
        <w:t xml:space="preserve">international legal consensus that such intimidation or reprisals </w:t>
      </w:r>
      <w:r w:rsidR="00B35734" w:rsidRPr="00EB0BCC">
        <w:rPr>
          <w:color w:val="000000" w:themeColor="text1"/>
          <w:szCs w:val="24"/>
          <w:lang w:val="en-GB"/>
        </w:rPr>
        <w:t xml:space="preserve">are themselves violations of </w:t>
      </w:r>
      <w:r w:rsidR="00B101F2" w:rsidRPr="00EB0BCC">
        <w:rPr>
          <w:color w:val="000000" w:themeColor="text1"/>
          <w:szCs w:val="24"/>
          <w:lang w:val="en-GB"/>
        </w:rPr>
        <w:t xml:space="preserve">international </w:t>
      </w:r>
      <w:r w:rsidR="00B35734" w:rsidRPr="00EB0BCC">
        <w:rPr>
          <w:color w:val="000000" w:themeColor="text1"/>
          <w:szCs w:val="24"/>
          <w:lang w:val="en-GB"/>
        </w:rPr>
        <w:t xml:space="preserve">human rights </w:t>
      </w:r>
      <w:r w:rsidR="00B101F2" w:rsidRPr="00EB0BCC">
        <w:rPr>
          <w:color w:val="000000" w:themeColor="text1"/>
          <w:szCs w:val="24"/>
          <w:lang w:val="en-GB"/>
        </w:rPr>
        <w:t>law.</w:t>
      </w:r>
      <w:r w:rsidR="000E2F57" w:rsidRPr="00EB0BCC">
        <w:rPr>
          <w:color w:val="000000" w:themeColor="text1"/>
          <w:szCs w:val="24"/>
          <w:lang w:val="en-GB"/>
        </w:rPr>
        <w:t xml:space="preserve"> </w:t>
      </w:r>
    </w:p>
    <w:p w:rsidR="00CD1535" w:rsidRPr="00EB0BCC" w:rsidRDefault="00F06D3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In September 2015, the United Nations Human Rights Council issued a statement joined by 33 states, including the US and the United Kingdom, criticizing Bahrain for detaining dissidents and calling for the revision of laws that restrict freedom of expression.</w:t>
      </w:r>
      <w:r w:rsidR="000E2F57" w:rsidRPr="00EB0BCC">
        <w:rPr>
          <w:color w:val="000000" w:themeColor="text1"/>
          <w:szCs w:val="24"/>
          <w:lang w:val="en-GB"/>
        </w:rPr>
        <w:t xml:space="preserve"> </w:t>
      </w:r>
      <w:r w:rsidR="008D1546" w:rsidRPr="00EB0BCC">
        <w:rPr>
          <w:color w:val="000000" w:themeColor="text1"/>
          <w:szCs w:val="24"/>
          <w:lang w:val="en-GB"/>
        </w:rPr>
        <w:t>Control of media even meant that e</w:t>
      </w:r>
      <w:r w:rsidR="00913662" w:rsidRPr="00EB0BCC">
        <w:rPr>
          <w:color w:val="000000" w:themeColor="text1"/>
          <w:szCs w:val="24"/>
          <w:lang w:val="en-GB"/>
        </w:rPr>
        <w:t>ven photography</w:t>
      </w:r>
      <w:r w:rsidR="008D1546" w:rsidRPr="00EB0BCC">
        <w:rPr>
          <w:color w:val="000000" w:themeColor="text1"/>
          <w:szCs w:val="24"/>
          <w:lang w:val="en-GB"/>
        </w:rPr>
        <w:t xml:space="preserve"> is not free from restriction.</w:t>
      </w:r>
      <w:r w:rsidR="000E2F57" w:rsidRPr="00EB0BCC">
        <w:rPr>
          <w:color w:val="000000" w:themeColor="text1"/>
          <w:szCs w:val="24"/>
          <w:lang w:val="en-GB"/>
        </w:rPr>
        <w:t xml:space="preserve"> </w:t>
      </w:r>
    </w:p>
    <w:p w:rsidR="00CD1535" w:rsidRPr="00EB0BCC" w:rsidRDefault="008D1546" w:rsidP="00B77C86">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In </w:t>
      </w:r>
      <w:r w:rsidR="00913662" w:rsidRPr="00EB0BCC">
        <w:rPr>
          <w:color w:val="000000" w:themeColor="text1"/>
          <w:szCs w:val="24"/>
          <w:lang w:val="en-GB"/>
        </w:rPr>
        <w:t>2014</w:t>
      </w:r>
      <w:r w:rsidRPr="00EB0BCC">
        <w:rPr>
          <w:color w:val="000000" w:themeColor="text1"/>
          <w:szCs w:val="24"/>
          <w:lang w:val="en-GB"/>
        </w:rPr>
        <w:t>,</w:t>
      </w:r>
      <w:r w:rsidR="00913662" w:rsidRPr="00EB0BCC">
        <w:rPr>
          <w:color w:val="000000" w:themeColor="text1"/>
          <w:szCs w:val="24"/>
          <w:lang w:val="en-GB"/>
        </w:rPr>
        <w:t xml:space="preserve"> four award-winning photographers </w:t>
      </w:r>
      <w:r w:rsidR="00B00082" w:rsidRPr="00EB0BCC">
        <w:rPr>
          <w:color w:val="000000" w:themeColor="text1"/>
          <w:szCs w:val="24"/>
          <w:lang w:val="en-GB"/>
        </w:rPr>
        <w:t>were</w:t>
      </w:r>
      <w:r w:rsidR="00913662" w:rsidRPr="00EB0BCC">
        <w:rPr>
          <w:color w:val="000000" w:themeColor="text1"/>
          <w:szCs w:val="24"/>
          <w:lang w:val="en-GB"/>
        </w:rPr>
        <w:t xml:space="preserve"> in jail or facing criminal charges</w:t>
      </w:r>
      <w:r w:rsidRPr="00EB0BCC">
        <w:rPr>
          <w:color w:val="000000" w:themeColor="text1"/>
          <w:szCs w:val="24"/>
          <w:lang w:val="en-GB"/>
        </w:rPr>
        <w:t>.</w:t>
      </w:r>
      <w:r w:rsidR="000E2F57" w:rsidRPr="00EB0BCC">
        <w:rPr>
          <w:color w:val="000000" w:themeColor="text1"/>
          <w:szCs w:val="24"/>
          <w:lang w:val="en-GB"/>
        </w:rPr>
        <w:t xml:space="preserve"> </w:t>
      </w:r>
      <w:r w:rsidRPr="00EB0BCC">
        <w:rPr>
          <w:color w:val="000000" w:themeColor="text1"/>
          <w:szCs w:val="24"/>
          <w:lang w:val="en-GB"/>
        </w:rPr>
        <w:t xml:space="preserve">One of the photographers, </w:t>
      </w:r>
      <w:r w:rsidR="00913662" w:rsidRPr="00EB0BCC">
        <w:rPr>
          <w:b/>
          <w:bCs/>
          <w:color w:val="000000" w:themeColor="text1"/>
          <w:szCs w:val="24"/>
          <w:lang w:val="en-GB"/>
        </w:rPr>
        <w:t>Hussain Hubail</w:t>
      </w:r>
      <w:r w:rsidRPr="00EB0BCC">
        <w:rPr>
          <w:color w:val="000000" w:themeColor="text1"/>
          <w:szCs w:val="24"/>
          <w:lang w:val="en-GB"/>
        </w:rPr>
        <w:t>, was</w:t>
      </w:r>
      <w:r w:rsidR="00913662" w:rsidRPr="00EB0BCC">
        <w:rPr>
          <w:color w:val="000000" w:themeColor="text1"/>
          <w:szCs w:val="24"/>
          <w:lang w:val="en-GB"/>
        </w:rPr>
        <w:t xml:space="preserve"> sentenced by a court to a five-year prison term on charges </w:t>
      </w:r>
      <w:r w:rsidRPr="00EB0BCC">
        <w:rPr>
          <w:color w:val="000000" w:themeColor="text1"/>
          <w:szCs w:val="24"/>
          <w:lang w:val="en-GB"/>
        </w:rPr>
        <w:t xml:space="preserve">of </w:t>
      </w:r>
      <w:r w:rsidR="00913662" w:rsidRPr="00EB0BCC">
        <w:rPr>
          <w:color w:val="000000" w:themeColor="text1"/>
          <w:szCs w:val="24"/>
          <w:lang w:val="en-GB"/>
        </w:rPr>
        <w:t>using social media networks to “incite hatred of the regime</w:t>
      </w:r>
      <w:r w:rsidRPr="00EB0BCC">
        <w:rPr>
          <w:color w:val="000000" w:themeColor="text1"/>
          <w:szCs w:val="24"/>
          <w:lang w:val="en-GB"/>
        </w:rPr>
        <w:t>.</w:t>
      </w:r>
      <w:r w:rsidR="00913662" w:rsidRPr="00EB0BCC">
        <w:rPr>
          <w:color w:val="000000" w:themeColor="text1"/>
          <w:szCs w:val="24"/>
          <w:lang w:val="en-GB"/>
        </w:rPr>
        <w:t>”</w:t>
      </w:r>
      <w:r w:rsidR="000E2F57" w:rsidRPr="00EB0BCC">
        <w:rPr>
          <w:color w:val="000000" w:themeColor="text1"/>
          <w:szCs w:val="24"/>
          <w:lang w:val="en-GB"/>
        </w:rPr>
        <w:t xml:space="preserve"> </w:t>
      </w:r>
      <w:r w:rsidRPr="00EB0BCC">
        <w:rPr>
          <w:color w:val="000000" w:themeColor="text1"/>
          <w:szCs w:val="24"/>
          <w:lang w:val="en-GB"/>
        </w:rPr>
        <w:t xml:space="preserve">Another photographer, </w:t>
      </w:r>
      <w:r w:rsidR="00913662" w:rsidRPr="00EB0BCC">
        <w:rPr>
          <w:b/>
          <w:bCs/>
          <w:color w:val="000000" w:themeColor="text1"/>
          <w:szCs w:val="24"/>
          <w:lang w:val="en-GB"/>
        </w:rPr>
        <w:t>Ahmed Humaidan</w:t>
      </w:r>
      <w:r w:rsidR="00913662" w:rsidRPr="00EB0BCC">
        <w:rPr>
          <w:color w:val="000000" w:themeColor="text1"/>
          <w:szCs w:val="24"/>
          <w:lang w:val="en-GB"/>
        </w:rPr>
        <w:t>, w</w:t>
      </w:r>
      <w:r w:rsidR="00B00082" w:rsidRPr="00EB0BCC">
        <w:rPr>
          <w:color w:val="000000" w:themeColor="text1"/>
          <w:szCs w:val="24"/>
          <w:lang w:val="en-GB"/>
        </w:rPr>
        <w:t xml:space="preserve">as sentenced to </w:t>
      </w:r>
      <w:r w:rsidR="001B230A" w:rsidRPr="00EB0BCC">
        <w:rPr>
          <w:color w:val="000000" w:themeColor="text1"/>
          <w:szCs w:val="24"/>
          <w:lang w:val="en-GB"/>
        </w:rPr>
        <w:t>ten years in prison</w:t>
      </w:r>
      <w:r w:rsidR="00B00082" w:rsidRPr="00EB0BCC">
        <w:rPr>
          <w:color w:val="000000" w:themeColor="text1"/>
          <w:szCs w:val="24"/>
          <w:lang w:val="en-GB"/>
        </w:rPr>
        <w:t xml:space="preserve">, which </w:t>
      </w:r>
      <w:r w:rsidR="00913662" w:rsidRPr="00EB0BCC">
        <w:rPr>
          <w:color w:val="000000" w:themeColor="text1"/>
          <w:szCs w:val="24"/>
          <w:lang w:val="en-GB"/>
        </w:rPr>
        <w:t>was confirmed by the Supreme Court</w:t>
      </w:r>
      <w:r w:rsidR="00B00082" w:rsidRPr="00EB0BCC">
        <w:rPr>
          <w:color w:val="000000" w:themeColor="text1"/>
          <w:szCs w:val="24"/>
          <w:lang w:val="en-GB"/>
        </w:rPr>
        <w:t>.</w:t>
      </w:r>
      <w:r w:rsidR="000E2F57" w:rsidRPr="00EB0BCC">
        <w:rPr>
          <w:color w:val="000000" w:themeColor="text1"/>
          <w:szCs w:val="24"/>
          <w:lang w:val="en-GB"/>
        </w:rPr>
        <w:t xml:space="preserve"> </w:t>
      </w:r>
      <w:r w:rsidR="00FA4317" w:rsidRPr="00EB0BCC">
        <w:rPr>
          <w:color w:val="000000" w:themeColor="text1"/>
          <w:szCs w:val="24"/>
          <w:lang w:val="en-GB"/>
        </w:rPr>
        <w:t>S</w:t>
      </w:r>
      <w:r w:rsidR="00B35734" w:rsidRPr="00EB0BCC">
        <w:rPr>
          <w:color w:val="000000" w:themeColor="text1"/>
          <w:szCs w:val="24"/>
          <w:lang w:val="en-GB"/>
        </w:rPr>
        <w:t xml:space="preserve">ome </w:t>
      </w:r>
      <w:r w:rsidR="00F06D3D" w:rsidRPr="00EB0BCC">
        <w:rPr>
          <w:color w:val="000000" w:themeColor="text1"/>
          <w:szCs w:val="24"/>
          <w:lang w:val="en-GB"/>
        </w:rPr>
        <w:t>recent examples of actions of reprisal</w:t>
      </w:r>
      <w:r w:rsidR="009E732C" w:rsidRPr="00EB0BCC">
        <w:rPr>
          <w:color w:val="000000" w:themeColor="text1"/>
          <w:szCs w:val="24"/>
          <w:lang w:val="en-GB"/>
        </w:rPr>
        <w:t>s</w:t>
      </w:r>
      <w:r w:rsidR="00FA4317" w:rsidRPr="00EB0BCC">
        <w:rPr>
          <w:color w:val="000000" w:themeColor="text1"/>
          <w:szCs w:val="24"/>
          <w:lang w:val="en-GB"/>
        </w:rPr>
        <w:t xml:space="preserve"> </w:t>
      </w:r>
      <w:r w:rsidR="009E732C" w:rsidRPr="00EB0BCC">
        <w:rPr>
          <w:color w:val="000000" w:themeColor="text1"/>
          <w:szCs w:val="24"/>
          <w:lang w:val="en-GB"/>
        </w:rPr>
        <w:t>are referenced in the cases of</w:t>
      </w:r>
      <w:r w:rsidR="00FA4317" w:rsidRPr="00EB0BCC">
        <w:rPr>
          <w:color w:val="000000" w:themeColor="text1"/>
          <w:szCs w:val="24"/>
          <w:lang w:val="en-GB"/>
        </w:rPr>
        <w:t xml:space="preserve"> Nazeeha Saeed, Naji Fateel, Nabeel Rajab, Hussain Jawad, Zainab Al-Khawaja and Ghada Jamsheer.</w:t>
      </w:r>
    </w:p>
    <w:p w:rsidR="00EA1F9D" w:rsidRPr="00EB0BCC" w:rsidRDefault="00EA1F9D" w:rsidP="004A0494">
      <w:pPr>
        <w:pStyle w:val="BodyText"/>
        <w:numPr>
          <w:ilvl w:val="0"/>
          <w:numId w:val="18"/>
        </w:numPr>
        <w:tabs>
          <w:tab w:val="right" w:pos="8910"/>
        </w:tabs>
        <w:ind w:right="18"/>
        <w:jc w:val="both"/>
        <w:rPr>
          <w:color w:val="000000" w:themeColor="text1"/>
          <w:szCs w:val="24"/>
          <w:lang w:val="en-GB"/>
        </w:rPr>
      </w:pPr>
      <w:r w:rsidRPr="00EB0BCC">
        <w:rPr>
          <w:b/>
          <w:bCs/>
          <w:color w:val="000000" w:themeColor="text1"/>
          <w:szCs w:val="24"/>
          <w:lang w:val="en-GB"/>
        </w:rPr>
        <w:t>Nabeel Rajab</w:t>
      </w:r>
      <w:r w:rsidRPr="00EB0BCC">
        <w:rPr>
          <w:color w:val="000000" w:themeColor="text1"/>
          <w:szCs w:val="24"/>
          <w:lang w:val="en-GB"/>
        </w:rPr>
        <w:t>’s arrest and detention are directly linked to his protest activities and his investigating and reporting of human rights violations.</w:t>
      </w:r>
      <w:r w:rsidR="001834E7" w:rsidRPr="00EB0BCC">
        <w:rPr>
          <w:color w:val="000000" w:themeColor="text1"/>
          <w:szCs w:val="24"/>
          <w:lang w:val="en-GB"/>
        </w:rPr>
        <w:t xml:space="preserve"> The pattern of his charges demonstrate a clear objective to suppress freedom of expression, especially when related to the subject of human rights. </w:t>
      </w:r>
      <w:r w:rsidRPr="00EB0BCC">
        <w:rPr>
          <w:color w:val="000000" w:themeColor="text1"/>
          <w:szCs w:val="24"/>
          <w:lang w:val="en-GB"/>
        </w:rPr>
        <w:t xml:space="preserve">In connection with cases that he was told had been dropped, Rajab was re-arrested </w:t>
      </w:r>
      <w:r w:rsidR="001834E7" w:rsidRPr="00EB0BCC">
        <w:rPr>
          <w:color w:val="000000" w:themeColor="text1"/>
          <w:szCs w:val="24"/>
          <w:lang w:val="en-GB"/>
        </w:rPr>
        <w:t>on 13</w:t>
      </w:r>
      <w:r w:rsidRPr="00EB0BCC">
        <w:rPr>
          <w:color w:val="000000" w:themeColor="text1"/>
          <w:szCs w:val="24"/>
          <w:lang w:val="en-GB"/>
        </w:rPr>
        <w:t xml:space="preserve"> June 2016</w:t>
      </w:r>
      <w:r w:rsidR="001834E7" w:rsidRPr="00EB0BCC">
        <w:rPr>
          <w:color w:val="000000" w:themeColor="text1"/>
          <w:szCs w:val="24"/>
          <w:lang w:val="en-GB"/>
        </w:rPr>
        <w:t>, the first day of the UN Human Rights Commission session</w:t>
      </w:r>
      <w:r w:rsidRPr="00EB0BCC">
        <w:rPr>
          <w:color w:val="000000" w:themeColor="text1"/>
          <w:szCs w:val="24"/>
          <w:lang w:val="en-GB"/>
        </w:rPr>
        <w:t>.</w:t>
      </w:r>
      <w:r w:rsidR="00C402DE" w:rsidRPr="00EB0BCC">
        <w:rPr>
          <w:color w:val="000000" w:themeColor="text1"/>
          <w:szCs w:val="24"/>
          <w:lang w:val="en-GB"/>
        </w:rPr>
        <w:t xml:space="preserve"> Since the Arab Spring in 2011, Rajab has been subjected to prosecution many times, and was arrested repeatedly during 2012. He spent two years in prison between 2012 and 2014 on charges of "organising an unauthorised protest." After his release in 2014, Rajab carried out an advocacy tour in Europe, and visited in September 2014 the UN Human Rights Council in Geneva, the European Parliament in Brussels, and some European capitals. He also participated in the 27th session of the Human Rights Council. He was then re-arrested on 1 October 2014 upon his return to Bahrain </w:t>
      </w:r>
      <w:r w:rsidRPr="00EB0BCC">
        <w:rPr>
          <w:color w:val="000000" w:themeColor="text1"/>
          <w:szCs w:val="24"/>
          <w:lang w:val="en-GB"/>
        </w:rPr>
        <w:t xml:space="preserve">(see also detailed narrative in </w:t>
      </w:r>
      <w:r w:rsidR="00EA5841" w:rsidRPr="00EB0BCC">
        <w:rPr>
          <w:color w:val="000000" w:themeColor="text1"/>
          <w:szCs w:val="24"/>
          <w:lang w:val="en-GB"/>
        </w:rPr>
        <w:t>Section VII</w:t>
      </w:r>
      <w:r w:rsidR="00271F7E" w:rsidRPr="00EB0BCC">
        <w:rPr>
          <w:color w:val="000000" w:themeColor="text1"/>
          <w:szCs w:val="24"/>
          <w:lang w:val="en-GB"/>
        </w:rPr>
        <w:t>.</w:t>
      </w:r>
      <w:r w:rsidRPr="00EB0BCC">
        <w:rPr>
          <w:color w:val="000000" w:themeColor="text1"/>
          <w:szCs w:val="24"/>
          <w:lang w:val="en-GB"/>
        </w:rPr>
        <w:t>)</w:t>
      </w:r>
    </w:p>
    <w:p w:rsidR="00EA1F9D" w:rsidRPr="00EB0BCC" w:rsidRDefault="00EA1F9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In 2016, </w:t>
      </w:r>
      <w:r w:rsidR="004822EC" w:rsidRPr="00EB0BCC">
        <w:rPr>
          <w:b/>
          <w:bCs/>
          <w:color w:val="000000" w:themeColor="text1"/>
          <w:szCs w:val="24"/>
          <w:lang w:val="en-GB"/>
        </w:rPr>
        <w:t>Nazeeha Saeed</w:t>
      </w:r>
      <w:r w:rsidR="004822EC" w:rsidRPr="00EB0BCC">
        <w:rPr>
          <w:color w:val="000000" w:themeColor="text1"/>
          <w:szCs w:val="24"/>
          <w:lang w:val="en-GB"/>
        </w:rPr>
        <w:t xml:space="preserve"> </w:t>
      </w:r>
      <w:r w:rsidRPr="00EB0BCC">
        <w:rPr>
          <w:color w:val="000000" w:themeColor="text1"/>
          <w:szCs w:val="24"/>
          <w:lang w:val="en-GB"/>
        </w:rPr>
        <w:t xml:space="preserve">faced </w:t>
      </w:r>
      <w:r w:rsidR="00DF2E10" w:rsidRPr="00EB0BCC">
        <w:rPr>
          <w:color w:val="000000" w:themeColor="text1"/>
          <w:szCs w:val="24"/>
          <w:lang w:val="en-GB"/>
        </w:rPr>
        <w:t xml:space="preserve">new </w:t>
      </w:r>
      <w:r w:rsidR="00F42A7E" w:rsidRPr="00EB0BCC">
        <w:rPr>
          <w:color w:val="000000" w:themeColor="text1"/>
          <w:szCs w:val="24"/>
          <w:lang w:val="en-GB"/>
        </w:rPr>
        <w:t>reprisals</w:t>
      </w:r>
      <w:r w:rsidR="00CF3DB4" w:rsidRPr="00EB0BCC">
        <w:rPr>
          <w:color w:val="000000" w:themeColor="text1"/>
          <w:szCs w:val="24"/>
          <w:lang w:val="en-GB"/>
        </w:rPr>
        <w:t xml:space="preserve"> for </w:t>
      </w:r>
      <w:r w:rsidRPr="00EB0BCC">
        <w:rPr>
          <w:color w:val="000000" w:themeColor="text1"/>
          <w:szCs w:val="24"/>
          <w:lang w:val="en-GB"/>
        </w:rPr>
        <w:t xml:space="preserve">her </w:t>
      </w:r>
      <w:r w:rsidR="00CF3DB4" w:rsidRPr="00EB0BCC">
        <w:rPr>
          <w:color w:val="000000" w:themeColor="text1"/>
          <w:szCs w:val="24"/>
          <w:lang w:val="en-GB"/>
        </w:rPr>
        <w:t>journalistic activity.</w:t>
      </w:r>
      <w:r w:rsidRPr="00EB0BCC">
        <w:rPr>
          <w:color w:val="000000" w:themeColor="text1"/>
          <w:szCs w:val="24"/>
          <w:lang w:val="en-GB"/>
        </w:rPr>
        <w:t xml:space="preserve"> </w:t>
      </w:r>
      <w:r w:rsidR="007C7F12" w:rsidRPr="00EB0BCC">
        <w:rPr>
          <w:color w:val="000000" w:themeColor="text1"/>
          <w:szCs w:val="24"/>
          <w:lang w:val="en-GB"/>
        </w:rPr>
        <w:t xml:space="preserve">On 17 July 2016, Saeed was notified </w:t>
      </w:r>
      <w:r w:rsidR="00112EB0" w:rsidRPr="00EB0BCC">
        <w:rPr>
          <w:color w:val="000000" w:themeColor="text1"/>
          <w:szCs w:val="24"/>
          <w:lang w:val="en-GB"/>
        </w:rPr>
        <w:t xml:space="preserve">by Bahrain’s Public Prosecution </w:t>
      </w:r>
      <w:r w:rsidR="007C7F12" w:rsidRPr="00EB0BCC">
        <w:rPr>
          <w:color w:val="000000" w:themeColor="text1"/>
          <w:szCs w:val="24"/>
          <w:lang w:val="en-GB"/>
        </w:rPr>
        <w:t xml:space="preserve">of new charges </w:t>
      </w:r>
      <w:r w:rsidR="00112EB0" w:rsidRPr="00EB0BCC">
        <w:rPr>
          <w:color w:val="000000" w:themeColor="text1"/>
          <w:szCs w:val="24"/>
          <w:lang w:val="en-GB"/>
        </w:rPr>
        <w:t>of</w:t>
      </w:r>
      <w:r w:rsidR="007C7F12" w:rsidRPr="00EB0BCC">
        <w:rPr>
          <w:color w:val="000000" w:themeColor="text1"/>
          <w:szCs w:val="24"/>
          <w:lang w:val="en-GB"/>
        </w:rPr>
        <w:t xml:space="preserve"> “unlawfully</w:t>
      </w:r>
      <w:r w:rsidR="00112EB0" w:rsidRPr="00EB0BCC">
        <w:rPr>
          <w:color w:val="000000" w:themeColor="text1"/>
          <w:szCs w:val="24"/>
          <w:lang w:val="en-GB"/>
        </w:rPr>
        <w:t>”</w:t>
      </w:r>
      <w:r w:rsidR="007C7F12" w:rsidRPr="00EB0BCC">
        <w:rPr>
          <w:color w:val="000000" w:themeColor="text1"/>
          <w:szCs w:val="24"/>
          <w:lang w:val="en-GB"/>
        </w:rPr>
        <w:t xml:space="preserve"> working </w:t>
      </w:r>
      <w:r w:rsidR="00112EB0" w:rsidRPr="00EB0BCC">
        <w:rPr>
          <w:color w:val="000000" w:themeColor="text1"/>
          <w:szCs w:val="24"/>
          <w:lang w:val="en-GB"/>
        </w:rPr>
        <w:t>for foreign or international media, under Article 88 of Law 47/2002.</w:t>
      </w:r>
      <w:r w:rsidR="000E2F57" w:rsidRPr="00EB0BCC">
        <w:rPr>
          <w:color w:val="000000" w:themeColor="text1"/>
          <w:szCs w:val="24"/>
          <w:lang w:val="en-GB"/>
        </w:rPr>
        <w:t xml:space="preserve"> </w:t>
      </w:r>
      <w:r w:rsidR="00DE5D2F" w:rsidRPr="00EB0BCC">
        <w:rPr>
          <w:color w:val="000000" w:themeColor="text1"/>
          <w:szCs w:val="24"/>
          <w:lang w:val="en-GB"/>
        </w:rPr>
        <w:t xml:space="preserve">When Saeed applied for a renewal of her license in March 2016, it was denied </w:t>
      </w:r>
      <w:r w:rsidRPr="00EB0BCC">
        <w:rPr>
          <w:color w:val="000000" w:themeColor="text1"/>
          <w:szCs w:val="24"/>
          <w:lang w:val="en-GB"/>
        </w:rPr>
        <w:t xml:space="preserve">for the first time in her career. (see also detailed narrative in </w:t>
      </w:r>
      <w:r w:rsidR="00EA5841" w:rsidRPr="00EB0BCC">
        <w:rPr>
          <w:color w:val="000000" w:themeColor="text1"/>
          <w:szCs w:val="24"/>
          <w:lang w:val="en-GB"/>
        </w:rPr>
        <w:t>Section VII</w:t>
      </w:r>
      <w:r w:rsidR="00271F7E" w:rsidRPr="00EB0BCC">
        <w:rPr>
          <w:color w:val="000000" w:themeColor="text1"/>
          <w:szCs w:val="24"/>
          <w:lang w:val="en-GB"/>
        </w:rPr>
        <w:t>.</w:t>
      </w:r>
      <w:r w:rsidRPr="00EB0BCC">
        <w:rPr>
          <w:color w:val="000000" w:themeColor="text1"/>
          <w:szCs w:val="24"/>
          <w:lang w:val="en-GB"/>
        </w:rPr>
        <w:t>)</w:t>
      </w:r>
    </w:p>
    <w:p w:rsidR="0053232C" w:rsidRPr="00EB0BCC" w:rsidRDefault="0053232C"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The Gulf Centr</w:t>
      </w:r>
      <w:r w:rsidR="00C44013" w:rsidRPr="00EB0BCC">
        <w:rPr>
          <w:color w:val="000000" w:themeColor="text1"/>
          <w:szCs w:val="24"/>
          <w:lang w:val="en-GB"/>
        </w:rPr>
        <w:t>e</w:t>
      </w:r>
      <w:r w:rsidRPr="00EB0BCC">
        <w:rPr>
          <w:color w:val="000000" w:themeColor="text1"/>
          <w:szCs w:val="24"/>
          <w:lang w:val="en-GB"/>
        </w:rPr>
        <w:t xml:space="preserve"> for Human Rights believes that </w:t>
      </w:r>
      <w:r w:rsidR="00271F7E" w:rsidRPr="00EB0BCC">
        <w:rPr>
          <w:b/>
          <w:bCs/>
          <w:color w:val="000000" w:themeColor="text1"/>
          <w:szCs w:val="24"/>
          <w:lang w:val="en-GB"/>
        </w:rPr>
        <w:t>Zainab Al-Khawaja</w:t>
      </w:r>
      <w:r w:rsidR="00271F7E" w:rsidRPr="00EB0BCC">
        <w:rPr>
          <w:color w:val="000000" w:themeColor="text1"/>
          <w:szCs w:val="24"/>
          <w:lang w:val="en-GB"/>
        </w:rPr>
        <w:t>’s</w:t>
      </w:r>
      <w:r w:rsidR="00BA0945" w:rsidRPr="00EB0BCC">
        <w:rPr>
          <w:color w:val="000000" w:themeColor="text1"/>
          <w:szCs w:val="24"/>
          <w:lang w:val="en-GB"/>
        </w:rPr>
        <w:t xml:space="preserve"> </w:t>
      </w:r>
      <w:r w:rsidR="00271F7E" w:rsidRPr="00EB0BCC">
        <w:rPr>
          <w:color w:val="000000" w:themeColor="text1"/>
          <w:szCs w:val="24"/>
          <w:lang w:val="en-GB"/>
        </w:rPr>
        <w:t>re-</w:t>
      </w:r>
      <w:r w:rsidRPr="00EB0BCC">
        <w:rPr>
          <w:color w:val="000000" w:themeColor="text1"/>
          <w:szCs w:val="24"/>
          <w:lang w:val="en-GB"/>
        </w:rPr>
        <w:t xml:space="preserve">arrest </w:t>
      </w:r>
      <w:r w:rsidR="00271F7E" w:rsidRPr="00EB0BCC">
        <w:rPr>
          <w:color w:val="000000" w:themeColor="text1"/>
          <w:szCs w:val="24"/>
          <w:lang w:val="en-GB"/>
        </w:rPr>
        <w:t xml:space="preserve">on 14 March 2016 </w:t>
      </w:r>
      <w:r w:rsidRPr="00EB0BCC">
        <w:rPr>
          <w:color w:val="000000" w:themeColor="text1"/>
          <w:szCs w:val="24"/>
          <w:lang w:val="en-GB"/>
        </w:rPr>
        <w:t xml:space="preserve">was a response to the work of her sister, and fellow human rights activist, </w:t>
      </w:r>
      <w:r w:rsidRPr="00EB0BCC">
        <w:rPr>
          <w:b/>
          <w:bCs/>
          <w:color w:val="000000" w:themeColor="text1"/>
          <w:szCs w:val="24"/>
          <w:lang w:val="en-GB"/>
        </w:rPr>
        <w:t>Maryam Al-Khawaja</w:t>
      </w:r>
      <w:r w:rsidRPr="00EB0BCC">
        <w:rPr>
          <w:color w:val="000000" w:themeColor="text1"/>
          <w:szCs w:val="24"/>
          <w:lang w:val="en-GB"/>
        </w:rPr>
        <w:t xml:space="preserve">. Maryam had just attended </w:t>
      </w:r>
      <w:r w:rsidR="00DF573F" w:rsidRPr="00EB0BCC">
        <w:rPr>
          <w:color w:val="000000" w:themeColor="text1"/>
          <w:szCs w:val="24"/>
          <w:lang w:val="en-GB"/>
        </w:rPr>
        <w:t xml:space="preserve">a protest in </w:t>
      </w:r>
      <w:r w:rsidR="00AC20EA" w:rsidRPr="00EB0BCC">
        <w:rPr>
          <w:color w:val="000000" w:themeColor="text1"/>
          <w:szCs w:val="24"/>
          <w:lang w:val="en-GB"/>
        </w:rPr>
        <w:t xml:space="preserve">Zurich </w:t>
      </w:r>
      <w:r w:rsidRPr="00EB0BCC">
        <w:rPr>
          <w:color w:val="000000" w:themeColor="text1"/>
          <w:szCs w:val="24"/>
          <w:lang w:val="en-GB"/>
        </w:rPr>
        <w:t xml:space="preserve">where Bahraini </w:t>
      </w:r>
      <w:r w:rsidR="00AC20EA" w:rsidRPr="00EB0BCC">
        <w:rPr>
          <w:color w:val="000000" w:themeColor="text1"/>
          <w:szCs w:val="24"/>
          <w:lang w:val="en-GB"/>
        </w:rPr>
        <w:t>ruling family member</w:t>
      </w:r>
      <w:r w:rsidRPr="00EB0BCC">
        <w:rPr>
          <w:color w:val="000000" w:themeColor="text1"/>
          <w:szCs w:val="24"/>
          <w:lang w:val="en-GB"/>
        </w:rPr>
        <w:t xml:space="preserve"> Shaikh Salman Al</w:t>
      </w:r>
      <w:r w:rsidR="00BA0945" w:rsidRPr="00EB0BCC">
        <w:rPr>
          <w:color w:val="000000" w:themeColor="text1"/>
          <w:szCs w:val="24"/>
          <w:lang w:val="en-GB"/>
        </w:rPr>
        <w:t>-K</w:t>
      </w:r>
      <w:r w:rsidRPr="00EB0BCC">
        <w:rPr>
          <w:color w:val="000000" w:themeColor="text1"/>
          <w:szCs w:val="24"/>
          <w:lang w:val="en-GB"/>
        </w:rPr>
        <w:t>halifa lost his presidential bid for the Federation Internationale de Football Association (FIFA)</w:t>
      </w:r>
      <w:r w:rsidR="000E2F57" w:rsidRPr="00EB0BCC">
        <w:rPr>
          <w:color w:val="000000" w:themeColor="text1"/>
          <w:szCs w:val="24"/>
          <w:lang w:val="en-GB"/>
        </w:rPr>
        <w:t xml:space="preserve"> </w:t>
      </w:r>
      <w:r w:rsidR="00C749E4" w:rsidRPr="00EB0BCC">
        <w:rPr>
          <w:color w:val="000000" w:themeColor="text1"/>
          <w:szCs w:val="24"/>
          <w:lang w:val="en-GB"/>
        </w:rPr>
        <w:t xml:space="preserve">(see also detailed narrative in </w:t>
      </w:r>
      <w:r w:rsidR="00EA5841" w:rsidRPr="00EB0BCC">
        <w:rPr>
          <w:color w:val="000000" w:themeColor="text1"/>
          <w:szCs w:val="24"/>
          <w:lang w:val="en-GB"/>
        </w:rPr>
        <w:t>Section VII</w:t>
      </w:r>
      <w:r w:rsidR="00271F7E" w:rsidRPr="00EB0BCC">
        <w:rPr>
          <w:color w:val="000000" w:themeColor="text1"/>
          <w:szCs w:val="24"/>
          <w:lang w:val="en-GB"/>
        </w:rPr>
        <w:t>.</w:t>
      </w:r>
      <w:r w:rsidR="00C749E4" w:rsidRPr="00EB0BCC">
        <w:rPr>
          <w:color w:val="000000" w:themeColor="text1"/>
          <w:szCs w:val="24"/>
          <w:lang w:val="en-GB"/>
        </w:rPr>
        <w:t>)</w:t>
      </w:r>
    </w:p>
    <w:p w:rsidR="004A47C8" w:rsidRPr="00EB0BCC" w:rsidRDefault="004A47C8" w:rsidP="00BA35C4">
      <w:pPr>
        <w:pStyle w:val="BodyText"/>
        <w:tabs>
          <w:tab w:val="right" w:pos="8910"/>
        </w:tabs>
        <w:spacing w:after="0"/>
        <w:ind w:right="18"/>
        <w:jc w:val="both"/>
        <w:rPr>
          <w:color w:val="000000" w:themeColor="text1"/>
          <w:szCs w:val="24"/>
          <w:lang w:val="en-GB"/>
        </w:rPr>
      </w:pPr>
    </w:p>
    <w:p w:rsidR="004A47C8" w:rsidRPr="00EB0BCC" w:rsidRDefault="004A47C8"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arrest of </w:t>
      </w:r>
      <w:r w:rsidRPr="00EB0BCC">
        <w:rPr>
          <w:b/>
          <w:bCs/>
          <w:color w:val="000000" w:themeColor="text1"/>
          <w:szCs w:val="24"/>
          <w:lang w:val="en-GB"/>
        </w:rPr>
        <w:t>Naji Fateel</w:t>
      </w:r>
      <w:r w:rsidRPr="00EB0BCC">
        <w:rPr>
          <w:color w:val="000000" w:themeColor="text1"/>
          <w:szCs w:val="24"/>
          <w:lang w:val="en-GB"/>
        </w:rPr>
        <w:t xml:space="preserve"> on 2 May 2013 raised questions that he was being detained because of his previous participation at the 22nd session of the UN Human Rights Council (25 February through 22 March 2013) and to prevent him from participating in the 23rd session scheduled for 27 May through 14 June 2013. He remains in prison serving two 15-year prison sentences and has been held incommunicado for substantial periods of time. (see also detailed narrative in </w:t>
      </w:r>
      <w:r w:rsidR="00EA5841" w:rsidRPr="00EB0BCC">
        <w:rPr>
          <w:color w:val="000000" w:themeColor="text1"/>
          <w:szCs w:val="24"/>
          <w:lang w:val="en-GB"/>
        </w:rPr>
        <w:t>Section VII</w:t>
      </w:r>
      <w:r w:rsidRPr="00EB0BCC">
        <w:rPr>
          <w:color w:val="000000" w:themeColor="text1"/>
          <w:szCs w:val="24"/>
          <w:lang w:val="en-GB"/>
        </w:rPr>
        <w:t>.)</w:t>
      </w:r>
    </w:p>
    <w:p w:rsidR="004A47C8" w:rsidRPr="00EB0BCC" w:rsidRDefault="004A47C8"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lastRenderedPageBreak/>
        <w:t xml:space="preserve">On </w:t>
      </w:r>
      <w:r w:rsidR="000809D6" w:rsidRPr="00EB0BCC">
        <w:rPr>
          <w:color w:val="000000" w:themeColor="text1"/>
          <w:szCs w:val="24"/>
          <w:lang w:val="en-GB"/>
        </w:rPr>
        <w:t>0</w:t>
      </w:r>
      <w:r w:rsidRPr="00EB0BCC">
        <w:rPr>
          <w:color w:val="000000" w:themeColor="text1"/>
          <w:szCs w:val="24"/>
          <w:lang w:val="en-GB"/>
        </w:rPr>
        <w:t xml:space="preserve">5 August 2010, </w:t>
      </w:r>
      <w:r w:rsidRPr="00EB0BCC">
        <w:rPr>
          <w:b/>
          <w:bCs/>
          <w:color w:val="000000" w:themeColor="text1"/>
          <w:szCs w:val="24"/>
          <w:lang w:val="en-GB"/>
        </w:rPr>
        <w:t>Dr. Abduljalil Al-Singace</w:t>
      </w:r>
      <w:r w:rsidRPr="00EB0BCC">
        <w:rPr>
          <w:color w:val="000000" w:themeColor="text1"/>
          <w:szCs w:val="24"/>
          <w:lang w:val="en-GB"/>
        </w:rPr>
        <w:t xml:space="preserve"> spoke at a conference at the British House of Lords about the human rights situation in Bahrain. When he arrived at Bahrain International Airport on 13 August 2010, he was arrested by the Bahraini security forces. He was then fired from his job at the University of Bahrain. He was released in 2011 before being re-arrested again on 17 March 2011 after he spoke at peaceful demonstrations. (see also detailed narrative in </w:t>
      </w:r>
      <w:r w:rsidR="00EA5841" w:rsidRPr="00EB0BCC">
        <w:rPr>
          <w:color w:val="000000" w:themeColor="text1"/>
          <w:szCs w:val="24"/>
          <w:lang w:val="en-GB"/>
        </w:rPr>
        <w:t>Section VII</w:t>
      </w:r>
      <w:r w:rsidRPr="00EB0BCC">
        <w:rPr>
          <w:color w:val="000000" w:themeColor="text1"/>
          <w:szCs w:val="24"/>
          <w:lang w:val="en-GB"/>
        </w:rPr>
        <w:t>.)</w:t>
      </w:r>
    </w:p>
    <w:p w:rsidR="006947A6" w:rsidRPr="00EB0BCC" w:rsidRDefault="006947A6" w:rsidP="00BA35C4">
      <w:pPr>
        <w:pStyle w:val="BodyText"/>
        <w:tabs>
          <w:tab w:val="right" w:pos="8910"/>
        </w:tabs>
        <w:spacing w:after="0"/>
        <w:ind w:right="18"/>
        <w:jc w:val="both"/>
        <w:rPr>
          <w:color w:val="000000" w:themeColor="text1"/>
          <w:szCs w:val="24"/>
          <w:lang w:val="en-GB"/>
        </w:rPr>
      </w:pPr>
    </w:p>
    <w:p w:rsidR="00FB126F" w:rsidRPr="00EB0BCC" w:rsidRDefault="00FB126F" w:rsidP="00CD1535">
      <w:pPr>
        <w:pStyle w:val="BodyText"/>
        <w:tabs>
          <w:tab w:val="right" w:pos="8910"/>
        </w:tabs>
        <w:spacing w:after="0"/>
        <w:ind w:left="737" w:right="18"/>
        <w:jc w:val="both"/>
        <w:rPr>
          <w:b/>
          <w:color w:val="000000" w:themeColor="text1"/>
          <w:szCs w:val="24"/>
          <w:lang w:val="en-GB"/>
        </w:rPr>
      </w:pPr>
      <w:r w:rsidRPr="00EB0BCC">
        <w:rPr>
          <w:b/>
          <w:color w:val="000000" w:themeColor="text1"/>
          <w:szCs w:val="24"/>
          <w:lang w:val="en-GB"/>
        </w:rPr>
        <w:t>Other Cases</w:t>
      </w:r>
      <w:r w:rsidR="00AB032F" w:rsidRPr="00EB0BCC">
        <w:rPr>
          <w:b/>
          <w:color w:val="000000" w:themeColor="text1"/>
          <w:szCs w:val="24"/>
          <w:lang w:val="en-GB"/>
        </w:rPr>
        <w:t xml:space="preserve"> of Reprisals</w:t>
      </w:r>
    </w:p>
    <w:p w:rsidR="001F53C2" w:rsidRPr="00EB0BCC" w:rsidRDefault="001F53C2" w:rsidP="00BA35C4">
      <w:pPr>
        <w:pStyle w:val="BodyText"/>
        <w:tabs>
          <w:tab w:val="right" w:pos="8910"/>
        </w:tabs>
        <w:spacing w:after="0"/>
        <w:ind w:right="18"/>
        <w:jc w:val="both"/>
        <w:rPr>
          <w:b/>
          <w:color w:val="000000" w:themeColor="text1"/>
          <w:szCs w:val="24"/>
          <w:lang w:val="en-GB"/>
        </w:rPr>
      </w:pPr>
    </w:p>
    <w:p w:rsidR="001F53C2" w:rsidRPr="00EB0BCC" w:rsidRDefault="001F53C2"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It is estimated that there are at least ten journalists and media workers jailed today, including Sayed Ahmed Al</w:t>
      </w:r>
      <w:r w:rsidR="00BA0945" w:rsidRPr="00EB0BCC">
        <w:rPr>
          <w:color w:val="000000" w:themeColor="text1"/>
          <w:szCs w:val="24"/>
          <w:lang w:val="en-GB"/>
        </w:rPr>
        <w:t>-M</w:t>
      </w:r>
      <w:r w:rsidRPr="00EB0BCC">
        <w:rPr>
          <w:color w:val="000000" w:themeColor="text1"/>
          <w:szCs w:val="24"/>
          <w:lang w:val="en-GB"/>
        </w:rPr>
        <w:t>ousawi, Ahmed Humaidan, Hussain Hubail, Mahmoud Al</w:t>
      </w:r>
      <w:r w:rsidR="009B6D6D" w:rsidRPr="00EB0BCC">
        <w:rPr>
          <w:color w:val="000000" w:themeColor="text1"/>
          <w:szCs w:val="24"/>
          <w:lang w:val="en-GB"/>
        </w:rPr>
        <w:t>-</w:t>
      </w:r>
      <w:r w:rsidRPr="00EB0BCC">
        <w:rPr>
          <w:color w:val="000000" w:themeColor="text1"/>
          <w:szCs w:val="24"/>
          <w:lang w:val="en-GB"/>
        </w:rPr>
        <w:t>Jaziri, Qassim Zainaldeen, Jaffar Marhoon, Ahmed Zainaldeen, Mustapha Rabea, and Houssam Soroor.</w:t>
      </w:r>
      <w:r w:rsidR="0086302B" w:rsidRPr="00EB0BCC">
        <w:rPr>
          <w:rStyle w:val="FootnoteReference"/>
          <w:color w:val="000000" w:themeColor="text1"/>
          <w:szCs w:val="24"/>
          <w:lang w:val="en-GB"/>
        </w:rPr>
        <w:footnoteReference w:id="93"/>
      </w:r>
      <w:r w:rsidR="000E2F57" w:rsidRPr="00EB0BCC">
        <w:rPr>
          <w:color w:val="000000" w:themeColor="text1"/>
          <w:szCs w:val="24"/>
          <w:lang w:val="en-GB"/>
        </w:rPr>
        <w:t xml:space="preserve"> </w:t>
      </w:r>
      <w:r w:rsidRPr="00EB0BCC">
        <w:rPr>
          <w:color w:val="000000" w:themeColor="text1"/>
          <w:szCs w:val="24"/>
          <w:lang w:val="en-GB"/>
        </w:rPr>
        <w:t xml:space="preserve">Here are </w:t>
      </w:r>
      <w:r w:rsidR="0086302B" w:rsidRPr="00EB0BCC">
        <w:rPr>
          <w:color w:val="000000" w:themeColor="text1"/>
          <w:szCs w:val="24"/>
          <w:lang w:val="en-GB"/>
        </w:rPr>
        <w:t xml:space="preserve">additional </w:t>
      </w:r>
      <w:r w:rsidRPr="00EB0BCC">
        <w:rPr>
          <w:color w:val="000000" w:themeColor="text1"/>
          <w:szCs w:val="24"/>
          <w:lang w:val="en-GB"/>
        </w:rPr>
        <w:t xml:space="preserve">cases </w:t>
      </w:r>
      <w:r w:rsidR="00F22078" w:rsidRPr="00EB0BCC">
        <w:rPr>
          <w:color w:val="000000" w:themeColor="text1"/>
          <w:szCs w:val="24"/>
          <w:lang w:val="en-GB"/>
        </w:rPr>
        <w:t xml:space="preserve">of opposition leaders and </w:t>
      </w:r>
      <w:r w:rsidR="00E60F0B" w:rsidRPr="00EB0BCC">
        <w:rPr>
          <w:color w:val="000000" w:themeColor="text1"/>
          <w:szCs w:val="24"/>
          <w:lang w:val="en-GB"/>
        </w:rPr>
        <w:t>human rights defenders</w:t>
      </w:r>
      <w:r w:rsidR="00F22078" w:rsidRPr="00EB0BCC">
        <w:rPr>
          <w:color w:val="000000" w:themeColor="text1"/>
          <w:szCs w:val="24"/>
          <w:lang w:val="en-GB"/>
        </w:rPr>
        <w:t xml:space="preserve"> </w:t>
      </w:r>
      <w:r w:rsidRPr="00EB0BCC">
        <w:rPr>
          <w:color w:val="000000" w:themeColor="text1"/>
          <w:szCs w:val="24"/>
          <w:lang w:val="en-GB"/>
        </w:rPr>
        <w:t xml:space="preserve">as </w:t>
      </w:r>
      <w:r w:rsidR="00F22078" w:rsidRPr="00EB0BCC">
        <w:rPr>
          <w:color w:val="000000" w:themeColor="text1"/>
          <w:szCs w:val="24"/>
          <w:lang w:val="en-GB"/>
        </w:rPr>
        <w:t>detailed</w:t>
      </w:r>
      <w:r w:rsidRPr="00EB0BCC">
        <w:rPr>
          <w:color w:val="000000" w:themeColor="text1"/>
          <w:szCs w:val="24"/>
          <w:lang w:val="en-GB"/>
        </w:rPr>
        <w:t xml:space="preserve"> in othe</w:t>
      </w:r>
      <w:r w:rsidR="00CD1535" w:rsidRPr="00EB0BCC">
        <w:rPr>
          <w:color w:val="000000" w:themeColor="text1"/>
          <w:szCs w:val="24"/>
          <w:lang w:val="en-GB"/>
        </w:rPr>
        <w:t>r recent reports.</w:t>
      </w:r>
    </w:p>
    <w:p w:rsidR="00FB126F" w:rsidRPr="00EB0BCC" w:rsidRDefault="00FB126F" w:rsidP="00BA35C4">
      <w:pPr>
        <w:pStyle w:val="BodyText"/>
        <w:tabs>
          <w:tab w:val="right" w:pos="8910"/>
        </w:tabs>
        <w:spacing w:after="0"/>
        <w:ind w:right="18"/>
        <w:jc w:val="both"/>
        <w:rPr>
          <w:b/>
          <w:i/>
          <w:color w:val="000000" w:themeColor="text1"/>
          <w:szCs w:val="24"/>
          <w:lang w:val="en-GB"/>
        </w:rPr>
      </w:pPr>
    </w:p>
    <w:p w:rsidR="00573BA9" w:rsidRPr="00EB0BCC" w:rsidRDefault="00440214" w:rsidP="00CD153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E</w:t>
      </w:r>
      <w:r w:rsidR="00573BA9" w:rsidRPr="00EB0BCC">
        <w:rPr>
          <w:b/>
          <w:i/>
          <w:color w:val="000000" w:themeColor="text1"/>
          <w:szCs w:val="24"/>
          <w:lang w:val="en-GB"/>
        </w:rPr>
        <w:t xml:space="preserve">brahim Sharif </w:t>
      </w:r>
      <w:r w:rsidR="000A0114" w:rsidRPr="00EB0BCC">
        <w:rPr>
          <w:b/>
          <w:i/>
          <w:color w:val="000000" w:themeColor="text1"/>
          <w:szCs w:val="24"/>
          <w:lang w:val="en-GB"/>
        </w:rPr>
        <w:t>C</w:t>
      </w:r>
      <w:r w:rsidR="00573BA9" w:rsidRPr="00EB0BCC">
        <w:rPr>
          <w:b/>
          <w:i/>
          <w:color w:val="000000" w:themeColor="text1"/>
          <w:szCs w:val="24"/>
          <w:lang w:val="en-GB"/>
        </w:rPr>
        <w:t>ase</w:t>
      </w:r>
      <w:r w:rsidR="009A2739" w:rsidRPr="00EB0BCC">
        <w:rPr>
          <w:rStyle w:val="FootnoteReference"/>
          <w:b/>
          <w:i/>
          <w:color w:val="000000" w:themeColor="text1"/>
          <w:szCs w:val="24"/>
          <w:lang w:val="en-GB"/>
        </w:rPr>
        <w:footnoteReference w:id="94"/>
      </w:r>
    </w:p>
    <w:p w:rsidR="00A72BFA" w:rsidRPr="00EB0BCC" w:rsidRDefault="00440214"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Ebrahim Sharif was Secretary General of the National Democratic Action (Wa’ad) Society, </w:t>
      </w:r>
      <w:r w:rsidR="0016664B" w:rsidRPr="00EB0BCC">
        <w:rPr>
          <w:color w:val="000000" w:themeColor="text1"/>
          <w:szCs w:val="24"/>
          <w:lang w:val="en-GB"/>
        </w:rPr>
        <w:t>a recognized</w:t>
      </w:r>
      <w:r w:rsidRPr="00EB0BCC">
        <w:rPr>
          <w:color w:val="000000" w:themeColor="text1"/>
          <w:szCs w:val="24"/>
          <w:lang w:val="en-GB"/>
        </w:rPr>
        <w:t xml:space="preserve"> opposition party in Bahrain.</w:t>
      </w:r>
      <w:r w:rsidR="000E2F57" w:rsidRPr="00EB0BCC">
        <w:rPr>
          <w:color w:val="000000" w:themeColor="text1"/>
          <w:szCs w:val="24"/>
          <w:lang w:val="en-GB"/>
        </w:rPr>
        <w:t xml:space="preserve"> </w:t>
      </w:r>
      <w:r w:rsidR="00573BA9" w:rsidRPr="00EB0BCC">
        <w:rPr>
          <w:color w:val="000000" w:themeColor="text1"/>
          <w:szCs w:val="24"/>
          <w:lang w:val="en-GB"/>
        </w:rPr>
        <w:t>On 13 November 2016,</w:t>
      </w:r>
      <w:r w:rsidR="00356556" w:rsidRPr="00EB0BCC">
        <w:rPr>
          <w:color w:val="000000" w:themeColor="text1"/>
          <w:szCs w:val="24"/>
          <w:lang w:val="en-GB"/>
        </w:rPr>
        <w:t xml:space="preserve"> Sharif </w:t>
      </w:r>
      <w:r w:rsidR="00573BA9" w:rsidRPr="00EB0BCC">
        <w:rPr>
          <w:color w:val="000000" w:themeColor="text1"/>
          <w:szCs w:val="24"/>
          <w:lang w:val="en-GB"/>
        </w:rPr>
        <w:t>was summoned by Bahraini authorities and interrogated about an interview he gave to the Associate</w:t>
      </w:r>
      <w:r w:rsidR="00D91107" w:rsidRPr="00EB0BCC">
        <w:rPr>
          <w:color w:val="000000" w:themeColor="text1"/>
          <w:szCs w:val="24"/>
          <w:lang w:val="en-GB"/>
        </w:rPr>
        <w:t>d</w:t>
      </w:r>
      <w:r w:rsidR="00573BA9" w:rsidRPr="00EB0BCC">
        <w:rPr>
          <w:color w:val="000000" w:themeColor="text1"/>
          <w:szCs w:val="24"/>
          <w:lang w:val="en-GB"/>
        </w:rPr>
        <w:t xml:space="preserve"> Press (AP) regarding the recent visit of England’s Prince Charles to Bahrain.</w:t>
      </w:r>
      <w:r w:rsidR="000E2F57" w:rsidRPr="00EB0BCC">
        <w:rPr>
          <w:color w:val="000000" w:themeColor="text1"/>
          <w:szCs w:val="24"/>
          <w:lang w:val="en-GB"/>
        </w:rPr>
        <w:t xml:space="preserve"> </w:t>
      </w:r>
      <w:r w:rsidR="00573BA9" w:rsidRPr="00EB0BCC">
        <w:rPr>
          <w:color w:val="000000" w:themeColor="text1"/>
          <w:szCs w:val="24"/>
          <w:lang w:val="en-GB"/>
        </w:rPr>
        <w:t>He was charged with “inciting hatred against the regime” under article 165 of the penal code.</w:t>
      </w:r>
      <w:r w:rsidR="000E2F57" w:rsidRPr="00EB0BCC">
        <w:rPr>
          <w:color w:val="000000" w:themeColor="text1"/>
          <w:szCs w:val="24"/>
          <w:lang w:val="en-GB"/>
        </w:rPr>
        <w:t xml:space="preserve"> </w:t>
      </w:r>
      <w:r w:rsidR="00573BA9" w:rsidRPr="00EB0BCC">
        <w:rPr>
          <w:color w:val="000000" w:themeColor="text1"/>
          <w:szCs w:val="24"/>
          <w:lang w:val="en-GB"/>
        </w:rPr>
        <w:t>He had recently (July 2016) completed a one-year prison sentence for the offense of promoting a change of regime during a speech he gave.</w:t>
      </w:r>
      <w:r w:rsidR="00BA0945" w:rsidRPr="00EB0BCC">
        <w:rPr>
          <w:color w:val="000000" w:themeColor="text1"/>
          <w:szCs w:val="24"/>
          <w:lang w:val="en-GB"/>
        </w:rPr>
        <w:t xml:space="preserve"> </w:t>
      </w:r>
      <w:r w:rsidR="00FA4317" w:rsidRPr="00EB0BCC">
        <w:rPr>
          <w:color w:val="000000" w:themeColor="text1"/>
          <w:szCs w:val="24"/>
          <w:lang w:val="en-GB"/>
        </w:rPr>
        <w:t>These charges were later dropped on 23 November 2016 following international pressure and the case was closed.</w:t>
      </w:r>
    </w:p>
    <w:p w:rsidR="00FA4317" w:rsidRPr="00EB0BCC" w:rsidRDefault="00FA4317" w:rsidP="00BA35C4">
      <w:pPr>
        <w:pStyle w:val="BodyText"/>
        <w:tabs>
          <w:tab w:val="right" w:pos="8910"/>
        </w:tabs>
        <w:spacing w:after="0"/>
        <w:ind w:right="18"/>
        <w:jc w:val="both"/>
        <w:rPr>
          <w:color w:val="000000" w:themeColor="text1"/>
          <w:szCs w:val="24"/>
          <w:lang w:val="en-GB"/>
        </w:rPr>
      </w:pPr>
    </w:p>
    <w:p w:rsidR="008A1E46" w:rsidRPr="00EB0BCC" w:rsidRDefault="008A1E46" w:rsidP="00CD1535">
      <w:pPr>
        <w:pStyle w:val="BodyText"/>
        <w:tabs>
          <w:tab w:val="right" w:pos="8910"/>
        </w:tabs>
        <w:spacing w:after="0"/>
        <w:ind w:left="737" w:right="18"/>
        <w:jc w:val="both"/>
        <w:rPr>
          <w:b/>
          <w:i/>
          <w:color w:val="000000" w:themeColor="text1"/>
          <w:szCs w:val="24"/>
          <w:lang w:val="en-GB"/>
        </w:rPr>
      </w:pPr>
      <w:r w:rsidRPr="00EB0BCC">
        <w:rPr>
          <w:b/>
          <w:i/>
          <w:color w:val="000000" w:themeColor="text1"/>
          <w:szCs w:val="24"/>
          <w:lang w:val="en-GB"/>
        </w:rPr>
        <w:t>Dr. Taha Al-Derazi</w:t>
      </w:r>
      <w:r w:rsidR="008E15BE" w:rsidRPr="00EB0BCC">
        <w:rPr>
          <w:b/>
          <w:i/>
          <w:color w:val="000000" w:themeColor="text1"/>
          <w:szCs w:val="24"/>
          <w:lang w:val="en-GB"/>
        </w:rPr>
        <w:t xml:space="preserve"> </w:t>
      </w:r>
      <w:r w:rsidR="000A0114" w:rsidRPr="00EB0BCC">
        <w:rPr>
          <w:b/>
          <w:i/>
          <w:color w:val="000000" w:themeColor="text1"/>
          <w:szCs w:val="24"/>
          <w:lang w:val="en-GB"/>
        </w:rPr>
        <w:t>C</w:t>
      </w:r>
      <w:r w:rsidR="00596046" w:rsidRPr="00EB0BCC">
        <w:rPr>
          <w:b/>
          <w:i/>
          <w:color w:val="000000" w:themeColor="text1"/>
          <w:szCs w:val="24"/>
          <w:lang w:val="en-GB"/>
        </w:rPr>
        <w:t>ase</w:t>
      </w:r>
      <w:r w:rsidR="004173ED" w:rsidRPr="00EB0BCC">
        <w:rPr>
          <w:rStyle w:val="FootnoteReference"/>
          <w:b/>
          <w:i/>
          <w:color w:val="000000" w:themeColor="text1"/>
          <w:szCs w:val="24"/>
          <w:lang w:val="en-GB"/>
        </w:rPr>
        <w:footnoteReference w:id="95"/>
      </w:r>
    </w:p>
    <w:p w:rsidR="008A1E46" w:rsidRPr="00EB0BCC" w:rsidRDefault="008A1E46" w:rsidP="00BA35C4">
      <w:pPr>
        <w:pStyle w:val="BodyText"/>
        <w:tabs>
          <w:tab w:val="right" w:pos="8910"/>
        </w:tabs>
        <w:spacing w:after="0"/>
        <w:ind w:right="18"/>
        <w:jc w:val="both"/>
        <w:rPr>
          <w:b/>
          <w:i/>
          <w:color w:val="000000" w:themeColor="text1"/>
          <w:szCs w:val="24"/>
          <w:lang w:val="en-GB"/>
        </w:rPr>
      </w:pPr>
    </w:p>
    <w:p w:rsidR="008A1E46" w:rsidRPr="00EB0BCC" w:rsidRDefault="008A1E46"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On 8 June 2016, </w:t>
      </w:r>
      <w:r w:rsidR="00E60F0B" w:rsidRPr="00EB0BCC">
        <w:rPr>
          <w:color w:val="000000" w:themeColor="text1"/>
          <w:szCs w:val="24"/>
          <w:lang w:val="en-GB"/>
        </w:rPr>
        <w:t xml:space="preserve">the Bahraini government prevented </w:t>
      </w:r>
      <w:r w:rsidRPr="00EB0BCC">
        <w:rPr>
          <w:color w:val="000000" w:themeColor="text1"/>
          <w:szCs w:val="24"/>
          <w:lang w:val="en-GB"/>
        </w:rPr>
        <w:t xml:space="preserve">Dr. Taha Al-Derazi, a </w:t>
      </w:r>
      <w:r w:rsidR="00E60F0B" w:rsidRPr="00EB0BCC">
        <w:rPr>
          <w:color w:val="000000" w:themeColor="text1"/>
          <w:szCs w:val="24"/>
          <w:lang w:val="en-GB"/>
        </w:rPr>
        <w:t xml:space="preserve">human rights defender and </w:t>
      </w:r>
      <w:r w:rsidRPr="00EB0BCC">
        <w:rPr>
          <w:color w:val="000000" w:themeColor="text1"/>
          <w:szCs w:val="24"/>
          <w:lang w:val="en-GB"/>
        </w:rPr>
        <w:t>former prisoner of consci</w:t>
      </w:r>
      <w:r w:rsidR="00E60F0B" w:rsidRPr="00EB0BCC">
        <w:rPr>
          <w:color w:val="000000" w:themeColor="text1"/>
          <w:szCs w:val="24"/>
          <w:lang w:val="en-GB"/>
        </w:rPr>
        <w:t>ence</w:t>
      </w:r>
      <w:r w:rsidRPr="00EB0BCC">
        <w:rPr>
          <w:color w:val="000000" w:themeColor="text1"/>
          <w:szCs w:val="24"/>
          <w:lang w:val="en-GB"/>
        </w:rPr>
        <w:t xml:space="preserve">, </w:t>
      </w:r>
      <w:r w:rsidR="00E60F0B" w:rsidRPr="00EB0BCC">
        <w:rPr>
          <w:color w:val="000000" w:themeColor="text1"/>
          <w:szCs w:val="24"/>
          <w:lang w:val="en-GB"/>
        </w:rPr>
        <w:t xml:space="preserve">and his wife </w:t>
      </w:r>
      <w:r w:rsidRPr="00EB0BCC">
        <w:rPr>
          <w:color w:val="000000" w:themeColor="text1"/>
          <w:szCs w:val="24"/>
          <w:lang w:val="en-GB"/>
        </w:rPr>
        <w:t>from traveling to the United Kingdom.</w:t>
      </w:r>
      <w:r w:rsidR="000E2F57" w:rsidRPr="00EB0BCC">
        <w:rPr>
          <w:color w:val="000000" w:themeColor="text1"/>
          <w:szCs w:val="24"/>
          <w:lang w:val="en-GB"/>
        </w:rPr>
        <w:t xml:space="preserve"> </w:t>
      </w:r>
      <w:r w:rsidR="00E60F0B" w:rsidRPr="00EB0BCC">
        <w:rPr>
          <w:color w:val="000000" w:themeColor="text1"/>
          <w:szCs w:val="24"/>
          <w:lang w:val="en-GB"/>
        </w:rPr>
        <w:t xml:space="preserve">It is believed that this travel restriction was </w:t>
      </w:r>
      <w:r w:rsidR="00575387" w:rsidRPr="00EB0BCC">
        <w:rPr>
          <w:color w:val="000000" w:themeColor="text1"/>
          <w:szCs w:val="24"/>
          <w:lang w:val="en-GB"/>
        </w:rPr>
        <w:t>because of his</w:t>
      </w:r>
      <w:r w:rsidRPr="00EB0BCC">
        <w:rPr>
          <w:color w:val="000000" w:themeColor="text1"/>
          <w:szCs w:val="24"/>
          <w:lang w:val="en-GB"/>
        </w:rPr>
        <w:t xml:space="preserve"> </w:t>
      </w:r>
      <w:r w:rsidR="0053000F" w:rsidRPr="00EB0BCC">
        <w:rPr>
          <w:color w:val="000000" w:themeColor="text1"/>
          <w:szCs w:val="24"/>
          <w:lang w:val="en-GB"/>
        </w:rPr>
        <w:t xml:space="preserve">previous </w:t>
      </w:r>
      <w:r w:rsidRPr="00EB0BCC">
        <w:rPr>
          <w:color w:val="000000" w:themeColor="text1"/>
          <w:szCs w:val="24"/>
          <w:lang w:val="en-GB"/>
        </w:rPr>
        <w:t>participat</w:t>
      </w:r>
      <w:r w:rsidR="00575387" w:rsidRPr="00EB0BCC">
        <w:rPr>
          <w:color w:val="000000" w:themeColor="text1"/>
          <w:szCs w:val="24"/>
          <w:lang w:val="en-GB"/>
        </w:rPr>
        <w:t>ion</w:t>
      </w:r>
      <w:r w:rsidRPr="00EB0BCC">
        <w:rPr>
          <w:color w:val="000000" w:themeColor="text1"/>
          <w:szCs w:val="24"/>
          <w:lang w:val="en-GB"/>
        </w:rPr>
        <w:t xml:space="preserve"> in the 31st session of the UN HRC in 2015.</w:t>
      </w:r>
      <w:r w:rsidR="000E2F57" w:rsidRPr="00EB0BCC">
        <w:rPr>
          <w:color w:val="000000" w:themeColor="text1"/>
          <w:szCs w:val="24"/>
          <w:lang w:val="en-GB"/>
        </w:rPr>
        <w:t xml:space="preserve"> </w:t>
      </w:r>
      <w:r w:rsidR="00575387" w:rsidRPr="00EB0BCC">
        <w:rPr>
          <w:color w:val="000000" w:themeColor="text1"/>
          <w:szCs w:val="24"/>
          <w:lang w:val="en-GB"/>
        </w:rPr>
        <w:t>O</w:t>
      </w:r>
      <w:r w:rsidRPr="00EB0BCC">
        <w:rPr>
          <w:color w:val="000000" w:themeColor="text1"/>
          <w:szCs w:val="24"/>
          <w:lang w:val="en-GB"/>
        </w:rPr>
        <w:t>n 15 August</w:t>
      </w:r>
      <w:r w:rsidR="00BA0945" w:rsidRPr="00EB0BCC">
        <w:rPr>
          <w:color w:val="000000" w:themeColor="text1"/>
          <w:szCs w:val="24"/>
          <w:lang w:val="en-GB"/>
        </w:rPr>
        <w:t xml:space="preserve"> 2016</w:t>
      </w:r>
      <w:r w:rsidRPr="00EB0BCC">
        <w:rPr>
          <w:color w:val="000000" w:themeColor="text1"/>
          <w:szCs w:val="24"/>
          <w:lang w:val="en-GB"/>
        </w:rPr>
        <w:t xml:space="preserve">, </w:t>
      </w:r>
      <w:r w:rsidR="00575387" w:rsidRPr="00EB0BCC">
        <w:rPr>
          <w:color w:val="000000" w:themeColor="text1"/>
          <w:szCs w:val="24"/>
          <w:lang w:val="en-GB"/>
        </w:rPr>
        <w:t>he</w:t>
      </w:r>
      <w:r w:rsidRPr="00EB0BCC">
        <w:rPr>
          <w:color w:val="000000" w:themeColor="text1"/>
          <w:szCs w:val="24"/>
          <w:lang w:val="en-GB"/>
        </w:rPr>
        <w:t xml:space="preserve"> was charged with “illegal gathering”</w:t>
      </w:r>
      <w:r w:rsidR="00575387" w:rsidRPr="00EB0BCC">
        <w:rPr>
          <w:color w:val="000000" w:themeColor="text1"/>
          <w:szCs w:val="24"/>
          <w:lang w:val="en-GB"/>
        </w:rPr>
        <w:t xml:space="preserve"> as a result of a peaceful protest in the village of Duraz.</w:t>
      </w:r>
      <w:r w:rsidR="000E2F57" w:rsidRPr="00EB0BCC">
        <w:rPr>
          <w:color w:val="000000" w:themeColor="text1"/>
          <w:szCs w:val="24"/>
          <w:lang w:val="en-GB"/>
        </w:rPr>
        <w:t xml:space="preserve"> </w:t>
      </w:r>
      <w:r w:rsidR="00575387" w:rsidRPr="00EB0BCC">
        <w:rPr>
          <w:color w:val="000000" w:themeColor="text1"/>
          <w:szCs w:val="24"/>
          <w:lang w:val="en-GB"/>
        </w:rPr>
        <w:t>The village ha</w:t>
      </w:r>
      <w:r w:rsidR="0053000F" w:rsidRPr="00EB0BCC">
        <w:rPr>
          <w:color w:val="000000" w:themeColor="text1"/>
          <w:szCs w:val="24"/>
          <w:lang w:val="en-GB"/>
        </w:rPr>
        <w:t>d</w:t>
      </w:r>
      <w:r w:rsidR="00575387" w:rsidRPr="00EB0BCC">
        <w:rPr>
          <w:color w:val="000000" w:themeColor="text1"/>
          <w:szCs w:val="24"/>
          <w:lang w:val="en-GB"/>
        </w:rPr>
        <w:t xml:space="preserve"> been subjected to police surveillance and a blockade as a result of </w:t>
      </w:r>
      <w:r w:rsidR="00863CA3" w:rsidRPr="00EB0BCC">
        <w:rPr>
          <w:color w:val="000000" w:themeColor="text1"/>
          <w:szCs w:val="24"/>
          <w:lang w:val="en-GB"/>
        </w:rPr>
        <w:t>protest activity.</w:t>
      </w:r>
      <w:r w:rsidR="000E2F57" w:rsidRPr="00EB0BCC">
        <w:rPr>
          <w:color w:val="000000" w:themeColor="text1"/>
          <w:szCs w:val="24"/>
          <w:lang w:val="en-GB"/>
        </w:rPr>
        <w:t xml:space="preserve"> </w:t>
      </w:r>
      <w:r w:rsidR="00575387" w:rsidRPr="00EB0BCC">
        <w:rPr>
          <w:color w:val="000000" w:themeColor="text1"/>
          <w:szCs w:val="24"/>
          <w:lang w:val="en-GB"/>
        </w:rPr>
        <w:t>He was held</w:t>
      </w:r>
      <w:r w:rsidRPr="00EB0BCC">
        <w:rPr>
          <w:color w:val="000000" w:themeColor="text1"/>
          <w:szCs w:val="24"/>
          <w:lang w:val="en-GB"/>
        </w:rPr>
        <w:t xml:space="preserve"> in custody for two weeks.</w:t>
      </w:r>
    </w:p>
    <w:p w:rsidR="00D05453" w:rsidRPr="00EB0BCC" w:rsidRDefault="00D05453" w:rsidP="00BA35C4">
      <w:pPr>
        <w:pStyle w:val="BodyText"/>
        <w:tabs>
          <w:tab w:val="right" w:pos="8910"/>
        </w:tabs>
        <w:spacing w:after="0"/>
        <w:ind w:right="18"/>
        <w:jc w:val="both"/>
        <w:rPr>
          <w:color w:val="000000" w:themeColor="text1"/>
          <w:szCs w:val="24"/>
          <w:lang w:val="en-GB"/>
        </w:rPr>
      </w:pPr>
    </w:p>
    <w:p w:rsidR="00D05453" w:rsidRPr="00EB0BCC" w:rsidRDefault="00D05453" w:rsidP="00CD1535">
      <w:pPr>
        <w:pStyle w:val="BodyText"/>
        <w:tabs>
          <w:tab w:val="right" w:pos="8910"/>
        </w:tabs>
        <w:spacing w:after="0"/>
        <w:ind w:left="737" w:right="18"/>
        <w:jc w:val="both"/>
        <w:rPr>
          <w:b/>
          <w:i/>
          <w:color w:val="000000" w:themeColor="text1"/>
          <w:szCs w:val="24"/>
          <w:lang w:val="en-GB"/>
        </w:rPr>
      </w:pPr>
      <w:r w:rsidRPr="00EB0BCC">
        <w:rPr>
          <w:b/>
          <w:i/>
          <w:color w:val="000000" w:themeColor="text1"/>
          <w:szCs w:val="24"/>
          <w:lang w:val="en-GB"/>
        </w:rPr>
        <w:t>Maytham Al-Salman</w:t>
      </w:r>
      <w:r w:rsidR="008E15BE" w:rsidRPr="00EB0BCC">
        <w:rPr>
          <w:b/>
          <w:i/>
          <w:color w:val="000000" w:themeColor="text1"/>
          <w:szCs w:val="24"/>
          <w:lang w:val="en-GB"/>
        </w:rPr>
        <w:t xml:space="preserve"> </w:t>
      </w:r>
      <w:r w:rsidR="000A0114" w:rsidRPr="00EB0BCC">
        <w:rPr>
          <w:b/>
          <w:i/>
          <w:color w:val="000000" w:themeColor="text1"/>
          <w:szCs w:val="24"/>
          <w:lang w:val="en-GB"/>
        </w:rPr>
        <w:t>C</w:t>
      </w:r>
      <w:r w:rsidR="00596046" w:rsidRPr="00EB0BCC">
        <w:rPr>
          <w:b/>
          <w:i/>
          <w:color w:val="000000" w:themeColor="text1"/>
          <w:szCs w:val="24"/>
          <w:lang w:val="en-GB"/>
        </w:rPr>
        <w:t>ase</w:t>
      </w:r>
      <w:r w:rsidR="0012552D" w:rsidRPr="00EB0BCC">
        <w:rPr>
          <w:rStyle w:val="FootnoteReference"/>
          <w:b/>
          <w:i/>
          <w:color w:val="000000" w:themeColor="text1"/>
          <w:szCs w:val="24"/>
          <w:lang w:val="en-GB"/>
        </w:rPr>
        <w:footnoteReference w:id="96"/>
      </w:r>
    </w:p>
    <w:p w:rsidR="00D05453" w:rsidRPr="00EB0BCC" w:rsidRDefault="00D05453" w:rsidP="00BA35C4">
      <w:pPr>
        <w:pStyle w:val="BodyText"/>
        <w:tabs>
          <w:tab w:val="right" w:pos="8910"/>
        </w:tabs>
        <w:spacing w:after="0"/>
        <w:ind w:right="18"/>
        <w:jc w:val="both"/>
        <w:rPr>
          <w:b/>
          <w:i/>
          <w:color w:val="000000" w:themeColor="text1"/>
          <w:szCs w:val="24"/>
          <w:lang w:val="en-GB"/>
        </w:rPr>
      </w:pPr>
    </w:p>
    <w:p w:rsidR="00AF08B3" w:rsidRPr="00EB0BCC" w:rsidRDefault="00D05453"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Maytham Al-Salman </w:t>
      </w:r>
      <w:r w:rsidR="00F22078" w:rsidRPr="00EB0BCC">
        <w:rPr>
          <w:color w:val="000000" w:themeColor="text1"/>
          <w:szCs w:val="24"/>
          <w:lang w:val="en-GB"/>
        </w:rPr>
        <w:t xml:space="preserve">is a human rights defender who </w:t>
      </w:r>
      <w:r w:rsidRPr="00EB0BCC">
        <w:rPr>
          <w:color w:val="000000" w:themeColor="text1"/>
          <w:szCs w:val="24"/>
          <w:lang w:val="en-GB"/>
        </w:rPr>
        <w:t xml:space="preserve">was charged </w:t>
      </w:r>
      <w:r w:rsidR="00863CA3" w:rsidRPr="00EB0BCC">
        <w:rPr>
          <w:color w:val="000000" w:themeColor="text1"/>
          <w:szCs w:val="24"/>
          <w:lang w:val="en-GB"/>
        </w:rPr>
        <w:t xml:space="preserve">with </w:t>
      </w:r>
      <w:r w:rsidR="00E60F0B" w:rsidRPr="00EB0BCC">
        <w:rPr>
          <w:color w:val="000000" w:themeColor="text1"/>
          <w:szCs w:val="24"/>
          <w:lang w:val="en-GB"/>
        </w:rPr>
        <w:t xml:space="preserve">“illegal gathering” </w:t>
      </w:r>
      <w:r w:rsidR="00863CA3" w:rsidRPr="00EB0BCC">
        <w:rPr>
          <w:color w:val="000000" w:themeColor="text1"/>
          <w:szCs w:val="24"/>
          <w:lang w:val="en-GB"/>
        </w:rPr>
        <w:t xml:space="preserve">in the same incident in Duraz as </w:t>
      </w:r>
      <w:r w:rsidRPr="00EB0BCC">
        <w:rPr>
          <w:color w:val="000000" w:themeColor="text1"/>
          <w:szCs w:val="24"/>
          <w:lang w:val="en-GB"/>
        </w:rPr>
        <w:t>Dr. Al-Derazi</w:t>
      </w:r>
      <w:r w:rsidR="00863CA3" w:rsidRPr="00EB0BCC">
        <w:rPr>
          <w:color w:val="000000" w:themeColor="text1"/>
          <w:szCs w:val="24"/>
          <w:lang w:val="en-GB"/>
        </w:rPr>
        <w:t xml:space="preserve"> (described above)</w:t>
      </w:r>
      <w:r w:rsidRPr="00EB0BCC">
        <w:rPr>
          <w:color w:val="000000" w:themeColor="text1"/>
          <w:szCs w:val="24"/>
          <w:lang w:val="en-GB"/>
        </w:rPr>
        <w:t xml:space="preserve"> on 15 August 2016</w:t>
      </w:r>
      <w:r w:rsidR="00F22078" w:rsidRPr="00EB0BCC">
        <w:rPr>
          <w:color w:val="000000" w:themeColor="text1"/>
          <w:szCs w:val="24"/>
          <w:lang w:val="en-GB"/>
        </w:rPr>
        <w:t>.</w:t>
      </w:r>
      <w:r w:rsidR="000E2F57" w:rsidRPr="00EB0BCC">
        <w:rPr>
          <w:color w:val="000000" w:themeColor="text1"/>
          <w:szCs w:val="24"/>
          <w:lang w:val="en-GB"/>
        </w:rPr>
        <w:t xml:space="preserve"> </w:t>
      </w:r>
      <w:r w:rsidR="00863CA3" w:rsidRPr="00EB0BCC">
        <w:rPr>
          <w:color w:val="000000" w:themeColor="text1"/>
          <w:szCs w:val="24"/>
          <w:lang w:val="en-GB"/>
        </w:rPr>
        <w:t xml:space="preserve">Like Dr. Al-Derazi, </w:t>
      </w:r>
      <w:r w:rsidR="00575387" w:rsidRPr="00EB0BCC">
        <w:rPr>
          <w:color w:val="000000" w:themeColor="text1"/>
          <w:szCs w:val="24"/>
          <w:lang w:val="en-GB"/>
        </w:rPr>
        <w:t xml:space="preserve">he </w:t>
      </w:r>
      <w:r w:rsidR="00F22078" w:rsidRPr="00EB0BCC">
        <w:rPr>
          <w:color w:val="000000" w:themeColor="text1"/>
          <w:szCs w:val="24"/>
          <w:lang w:val="en-GB"/>
        </w:rPr>
        <w:t xml:space="preserve">was later </w:t>
      </w:r>
      <w:r w:rsidR="00575387" w:rsidRPr="00EB0BCC">
        <w:rPr>
          <w:color w:val="000000" w:themeColor="text1"/>
          <w:szCs w:val="24"/>
          <w:lang w:val="en-GB"/>
        </w:rPr>
        <w:t>released</w:t>
      </w:r>
      <w:r w:rsidR="00863CA3" w:rsidRPr="00EB0BCC">
        <w:rPr>
          <w:color w:val="000000" w:themeColor="text1"/>
          <w:szCs w:val="24"/>
          <w:lang w:val="en-GB"/>
        </w:rPr>
        <w:t xml:space="preserve"> after being held in custody</w:t>
      </w:r>
      <w:r w:rsidR="00575387" w:rsidRPr="00EB0BCC">
        <w:rPr>
          <w:color w:val="000000" w:themeColor="text1"/>
          <w:szCs w:val="24"/>
          <w:lang w:val="en-GB"/>
        </w:rPr>
        <w:t xml:space="preserve">. </w:t>
      </w:r>
    </w:p>
    <w:p w:rsidR="004A47C8" w:rsidRPr="00EB0BCC" w:rsidRDefault="004A47C8" w:rsidP="00BA35C4">
      <w:pPr>
        <w:pStyle w:val="BodyText"/>
        <w:tabs>
          <w:tab w:val="right" w:pos="8910"/>
        </w:tabs>
        <w:spacing w:after="0"/>
        <w:ind w:right="18"/>
        <w:jc w:val="both"/>
        <w:rPr>
          <w:color w:val="000000" w:themeColor="text1"/>
          <w:szCs w:val="24"/>
          <w:lang w:val="en-GB"/>
        </w:rPr>
      </w:pPr>
    </w:p>
    <w:p w:rsidR="004A47C8" w:rsidRPr="00EB0BCC" w:rsidRDefault="004A47C8" w:rsidP="00CD1535">
      <w:pPr>
        <w:pStyle w:val="BodyText"/>
        <w:tabs>
          <w:tab w:val="right" w:pos="8910"/>
        </w:tabs>
        <w:spacing w:after="0"/>
        <w:ind w:left="737" w:right="18"/>
        <w:jc w:val="both"/>
        <w:rPr>
          <w:b/>
          <w:i/>
          <w:color w:val="000000" w:themeColor="text1"/>
          <w:szCs w:val="24"/>
          <w:lang w:val="en-GB"/>
        </w:rPr>
      </w:pPr>
      <w:r w:rsidRPr="00EB0BCC">
        <w:rPr>
          <w:b/>
          <w:i/>
          <w:color w:val="000000" w:themeColor="text1"/>
          <w:szCs w:val="24"/>
          <w:lang w:val="en-GB"/>
        </w:rPr>
        <w:t>Fadhel Abbas Mahdi Mohamed Case</w:t>
      </w:r>
      <w:r w:rsidRPr="00EB0BCC">
        <w:rPr>
          <w:rStyle w:val="FootnoteReference"/>
          <w:b/>
          <w:i/>
          <w:color w:val="000000" w:themeColor="text1"/>
          <w:szCs w:val="24"/>
          <w:lang w:val="en-GB"/>
        </w:rPr>
        <w:footnoteReference w:id="97"/>
      </w:r>
    </w:p>
    <w:p w:rsidR="004A47C8" w:rsidRPr="00EB0BCC" w:rsidRDefault="004A47C8" w:rsidP="00BA35C4">
      <w:pPr>
        <w:pStyle w:val="BodyText"/>
        <w:tabs>
          <w:tab w:val="right" w:pos="8910"/>
        </w:tabs>
        <w:spacing w:after="0"/>
        <w:ind w:right="18"/>
        <w:jc w:val="both"/>
        <w:rPr>
          <w:b/>
          <w:i/>
          <w:color w:val="000000" w:themeColor="text1"/>
          <w:szCs w:val="24"/>
          <w:lang w:val="en-GB"/>
        </w:rPr>
      </w:pPr>
    </w:p>
    <w:p w:rsidR="004A47C8" w:rsidRPr="00EB0BCC" w:rsidRDefault="004A47C8"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Fadhel Abbas Mahdi Mohamed was Secretary General of the Unitary National Democratic Assemblage (Al-Wahdawi) party. In June 2015, he was sentenced to five years in prison for “spreading false information” after his party called the Saudi-led air strikes in Yemen a violation of international law.</w:t>
      </w:r>
    </w:p>
    <w:p w:rsidR="00546FFC" w:rsidRPr="00EB0BCC" w:rsidRDefault="005D4C0C" w:rsidP="00BA35C4">
      <w:pPr>
        <w:pStyle w:val="Heading3"/>
        <w:jc w:val="both"/>
        <w:rPr>
          <w:color w:val="000000" w:themeColor="text1"/>
          <w:lang w:val="en-GB"/>
        </w:rPr>
      </w:pPr>
      <w:bookmarkStart w:id="15" w:name="_Toc475984117"/>
      <w:r w:rsidRPr="00EB0BCC">
        <w:rPr>
          <w:color w:val="000000" w:themeColor="text1"/>
          <w:lang w:val="en-GB"/>
        </w:rPr>
        <w:t xml:space="preserve">b) </w:t>
      </w:r>
      <w:r w:rsidR="009C45EB" w:rsidRPr="00EB0BCC">
        <w:rPr>
          <w:color w:val="000000" w:themeColor="text1"/>
          <w:lang w:val="en-GB"/>
        </w:rPr>
        <w:t>Denial of Due Process</w:t>
      </w:r>
      <w:r w:rsidR="002B4B4D" w:rsidRPr="00EB0BCC">
        <w:rPr>
          <w:color w:val="000000" w:themeColor="text1"/>
          <w:lang w:val="en-GB"/>
        </w:rPr>
        <w:t xml:space="preserve"> and </w:t>
      </w:r>
      <w:r w:rsidR="002F0EB2" w:rsidRPr="00EB0BCC">
        <w:rPr>
          <w:color w:val="000000" w:themeColor="text1"/>
          <w:lang w:val="en-GB"/>
        </w:rPr>
        <w:t xml:space="preserve">the Right to </w:t>
      </w:r>
      <w:r w:rsidR="002B4B4D" w:rsidRPr="00EB0BCC">
        <w:rPr>
          <w:color w:val="000000" w:themeColor="text1"/>
          <w:lang w:val="en-GB"/>
        </w:rPr>
        <w:t>Fair Trial</w:t>
      </w:r>
      <w:bookmarkEnd w:id="15"/>
      <w:r w:rsidR="000E2F57" w:rsidRPr="00EB0BCC">
        <w:rPr>
          <w:color w:val="000000" w:themeColor="text1"/>
          <w:lang w:val="en-GB"/>
        </w:rPr>
        <w:t xml:space="preserve"> </w:t>
      </w:r>
    </w:p>
    <w:p w:rsidR="00CD1535" w:rsidRPr="00EB0BCC" w:rsidRDefault="00546FFC"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Bahraini law enforcement and internal security forces have demonstrated a pattern of </w:t>
      </w:r>
      <w:r w:rsidR="00860E97" w:rsidRPr="00EB0BCC">
        <w:rPr>
          <w:color w:val="000000" w:themeColor="text1"/>
          <w:szCs w:val="24"/>
          <w:lang w:val="en-GB"/>
        </w:rPr>
        <w:t xml:space="preserve">arbitrary arrest </w:t>
      </w:r>
      <w:r w:rsidR="005839F0" w:rsidRPr="00EB0BCC">
        <w:rPr>
          <w:color w:val="000000" w:themeColor="text1"/>
          <w:szCs w:val="24"/>
          <w:lang w:val="en-GB"/>
        </w:rPr>
        <w:t>and</w:t>
      </w:r>
      <w:r w:rsidR="00860E97" w:rsidRPr="00EB0BCC">
        <w:rPr>
          <w:color w:val="000000" w:themeColor="text1"/>
          <w:szCs w:val="24"/>
          <w:lang w:val="en-GB"/>
        </w:rPr>
        <w:t xml:space="preserve"> detention</w:t>
      </w:r>
      <w:r w:rsidR="000C4868" w:rsidRPr="00EB0BCC">
        <w:rPr>
          <w:color w:val="000000" w:themeColor="text1"/>
          <w:szCs w:val="24"/>
          <w:lang w:val="en-GB"/>
        </w:rPr>
        <w:t xml:space="preserve">, </w:t>
      </w:r>
      <w:r w:rsidR="005839F0" w:rsidRPr="00EB0BCC">
        <w:rPr>
          <w:color w:val="000000" w:themeColor="text1"/>
          <w:szCs w:val="24"/>
          <w:lang w:val="en-GB"/>
        </w:rPr>
        <w:t xml:space="preserve">including </w:t>
      </w:r>
      <w:r w:rsidR="000C4868" w:rsidRPr="00EB0BCC">
        <w:rPr>
          <w:color w:val="000000" w:themeColor="text1"/>
          <w:szCs w:val="24"/>
          <w:lang w:val="en-GB"/>
        </w:rPr>
        <w:t xml:space="preserve">detention </w:t>
      </w:r>
      <w:r w:rsidR="00BE1D46" w:rsidRPr="00EB0BCC">
        <w:rPr>
          <w:color w:val="000000" w:themeColor="text1"/>
          <w:szCs w:val="24"/>
          <w:lang w:val="en-GB"/>
        </w:rPr>
        <w:t>without being presented with</w:t>
      </w:r>
      <w:r w:rsidR="000C4868" w:rsidRPr="00EB0BCC">
        <w:rPr>
          <w:color w:val="000000" w:themeColor="text1"/>
          <w:szCs w:val="24"/>
          <w:lang w:val="en-GB"/>
        </w:rPr>
        <w:t xml:space="preserve"> charges</w:t>
      </w:r>
      <w:r w:rsidRPr="00EB0BCC">
        <w:rPr>
          <w:color w:val="000000" w:themeColor="text1"/>
          <w:szCs w:val="24"/>
          <w:lang w:val="en-GB"/>
        </w:rPr>
        <w:t>.</w:t>
      </w:r>
      <w:r w:rsidR="000E2F57" w:rsidRPr="00EB0BCC">
        <w:rPr>
          <w:color w:val="000000" w:themeColor="text1"/>
          <w:szCs w:val="24"/>
          <w:lang w:val="en-GB"/>
        </w:rPr>
        <w:t xml:space="preserve"> </w:t>
      </w:r>
      <w:r w:rsidRPr="00EB0BCC">
        <w:rPr>
          <w:color w:val="000000" w:themeColor="text1"/>
          <w:szCs w:val="24"/>
          <w:lang w:val="en-GB"/>
        </w:rPr>
        <w:t xml:space="preserve">Basic due process requires </w:t>
      </w:r>
      <w:r w:rsidR="00D61CFE" w:rsidRPr="00EB0BCC">
        <w:rPr>
          <w:color w:val="000000" w:themeColor="text1"/>
          <w:szCs w:val="24"/>
          <w:lang w:val="en-GB"/>
        </w:rPr>
        <w:t xml:space="preserve">prompt </w:t>
      </w:r>
      <w:r w:rsidRPr="00EB0BCC">
        <w:rPr>
          <w:color w:val="000000" w:themeColor="text1"/>
          <w:szCs w:val="24"/>
          <w:lang w:val="en-GB"/>
        </w:rPr>
        <w:t>notification of charges</w:t>
      </w:r>
      <w:r w:rsidR="00D61CFE" w:rsidRPr="00EB0BCC">
        <w:rPr>
          <w:color w:val="000000" w:themeColor="text1"/>
          <w:szCs w:val="24"/>
          <w:lang w:val="en-GB"/>
        </w:rPr>
        <w:t xml:space="preserve"> and the opportunity to defend oneself in a hearing</w:t>
      </w:r>
      <w:r w:rsidR="00CC0A77" w:rsidRPr="00EB0BCC">
        <w:rPr>
          <w:color w:val="000000" w:themeColor="text1"/>
          <w:szCs w:val="24"/>
          <w:lang w:val="en-GB"/>
        </w:rPr>
        <w:t xml:space="preserve"> or other legal proceeding</w:t>
      </w:r>
      <w:r w:rsidR="00D61CFE" w:rsidRPr="00EB0BCC">
        <w:rPr>
          <w:color w:val="000000" w:themeColor="text1"/>
          <w:szCs w:val="24"/>
          <w:lang w:val="en-GB"/>
        </w:rPr>
        <w:t>.</w:t>
      </w:r>
      <w:r w:rsidR="000E2F57" w:rsidRPr="00EB0BCC">
        <w:rPr>
          <w:color w:val="000000" w:themeColor="text1"/>
          <w:szCs w:val="24"/>
          <w:lang w:val="en-GB"/>
        </w:rPr>
        <w:t xml:space="preserve"> </w:t>
      </w:r>
      <w:r w:rsidR="00674843" w:rsidRPr="00EB0BCC">
        <w:rPr>
          <w:color w:val="000000" w:themeColor="text1"/>
          <w:szCs w:val="24"/>
          <w:lang w:val="en-GB"/>
        </w:rPr>
        <w:t>Arbitrary a</w:t>
      </w:r>
      <w:r w:rsidR="00D61CFE" w:rsidRPr="00EB0BCC">
        <w:rPr>
          <w:color w:val="000000" w:themeColor="text1"/>
          <w:szCs w:val="24"/>
          <w:lang w:val="en-GB"/>
        </w:rPr>
        <w:t>rrests and extended detention</w:t>
      </w:r>
      <w:r w:rsidR="00674843" w:rsidRPr="00EB0BCC">
        <w:rPr>
          <w:color w:val="000000" w:themeColor="text1"/>
          <w:szCs w:val="24"/>
          <w:lang w:val="en-GB"/>
        </w:rPr>
        <w:t>, sometimes tantamount to enforced disappearance,</w:t>
      </w:r>
      <w:r w:rsidR="00D61CFE" w:rsidRPr="00EB0BCC">
        <w:rPr>
          <w:color w:val="000000" w:themeColor="text1"/>
          <w:szCs w:val="24"/>
          <w:lang w:val="en-GB"/>
        </w:rPr>
        <w:t xml:space="preserve"> without notification of charges are commonly observed practices</w:t>
      </w:r>
      <w:r w:rsidR="004B223D" w:rsidRPr="00EB0BCC">
        <w:rPr>
          <w:color w:val="000000" w:themeColor="text1"/>
          <w:szCs w:val="24"/>
          <w:lang w:val="en-GB"/>
        </w:rPr>
        <w:t xml:space="preserve"> in Bahrain</w:t>
      </w:r>
      <w:r w:rsidR="00D61CFE" w:rsidRPr="00EB0BCC">
        <w:rPr>
          <w:color w:val="000000" w:themeColor="text1"/>
          <w:szCs w:val="24"/>
          <w:lang w:val="en-GB"/>
        </w:rPr>
        <w:t>, as supported by statements provided by the witnesses.</w:t>
      </w:r>
      <w:r w:rsidR="000E2F57" w:rsidRPr="00EB0BCC">
        <w:rPr>
          <w:color w:val="000000" w:themeColor="text1"/>
          <w:szCs w:val="24"/>
          <w:lang w:val="en-GB"/>
        </w:rPr>
        <w:t xml:space="preserve"> </w:t>
      </w:r>
    </w:p>
    <w:p w:rsidR="00CD1535" w:rsidRPr="00EB0BCC" w:rsidRDefault="00CD1535" w:rsidP="00CD1535">
      <w:pPr>
        <w:pStyle w:val="BodyText"/>
        <w:tabs>
          <w:tab w:val="right" w:pos="8910"/>
        </w:tabs>
        <w:spacing w:after="0"/>
        <w:ind w:right="18"/>
        <w:jc w:val="both"/>
        <w:rPr>
          <w:color w:val="000000" w:themeColor="text1"/>
          <w:szCs w:val="24"/>
          <w:lang w:val="en-GB"/>
        </w:rPr>
      </w:pPr>
    </w:p>
    <w:p w:rsidR="00544001" w:rsidRPr="00EB0BCC" w:rsidRDefault="004B223D"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A</w:t>
      </w:r>
      <w:r w:rsidR="00AD4EF9" w:rsidRPr="00EB0BCC">
        <w:rPr>
          <w:color w:val="000000" w:themeColor="text1"/>
          <w:szCs w:val="24"/>
          <w:lang w:val="en-GB"/>
        </w:rPr>
        <w:t xml:space="preserve"> special </w:t>
      </w:r>
      <w:r w:rsidR="00E46859" w:rsidRPr="00EB0BCC">
        <w:rPr>
          <w:color w:val="000000" w:themeColor="text1"/>
          <w:szCs w:val="24"/>
          <w:lang w:val="en-GB"/>
        </w:rPr>
        <w:t>2014</w:t>
      </w:r>
      <w:r w:rsidR="00AD4EF9" w:rsidRPr="00EB0BCC">
        <w:rPr>
          <w:color w:val="000000" w:themeColor="text1"/>
          <w:szCs w:val="24"/>
          <w:lang w:val="en-GB"/>
        </w:rPr>
        <w:t xml:space="preserve"> amendment to</w:t>
      </w:r>
      <w:r w:rsidR="00E46859" w:rsidRPr="00EB0BCC">
        <w:rPr>
          <w:color w:val="000000" w:themeColor="text1"/>
          <w:szCs w:val="24"/>
          <w:lang w:val="en-GB"/>
        </w:rPr>
        <w:t xml:space="preserve"> the Anti-Terrorism Law </w:t>
      </w:r>
      <w:r w:rsidR="00AD4EF9" w:rsidRPr="00EB0BCC">
        <w:rPr>
          <w:color w:val="000000" w:themeColor="text1"/>
          <w:szCs w:val="24"/>
          <w:lang w:val="en-GB"/>
        </w:rPr>
        <w:t xml:space="preserve">(enacted </w:t>
      </w:r>
      <w:r w:rsidR="00E46859" w:rsidRPr="00EB0BCC">
        <w:rPr>
          <w:color w:val="000000" w:themeColor="text1"/>
          <w:szCs w:val="24"/>
          <w:lang w:val="en-GB"/>
        </w:rPr>
        <w:t>by Royal Decree No.68/2014</w:t>
      </w:r>
      <w:r w:rsidR="00AD4EF9" w:rsidRPr="00EB0BCC">
        <w:rPr>
          <w:color w:val="000000" w:themeColor="text1"/>
          <w:szCs w:val="24"/>
          <w:lang w:val="en-GB"/>
        </w:rPr>
        <w:t>) gives</w:t>
      </w:r>
      <w:r w:rsidR="00E46859" w:rsidRPr="00EB0BCC">
        <w:rPr>
          <w:color w:val="000000" w:themeColor="text1"/>
          <w:szCs w:val="24"/>
          <w:lang w:val="en-GB"/>
        </w:rPr>
        <w:t xml:space="preserve"> security forces with the power to detain individuals from 10 to a maximum of 28 days.</w:t>
      </w:r>
      <w:r w:rsidR="000E2F57" w:rsidRPr="00EB0BCC">
        <w:rPr>
          <w:color w:val="000000" w:themeColor="text1"/>
          <w:szCs w:val="24"/>
          <w:lang w:val="en-GB"/>
        </w:rPr>
        <w:t xml:space="preserve"> </w:t>
      </w:r>
      <w:r w:rsidR="00251F92" w:rsidRPr="00EB0BCC">
        <w:rPr>
          <w:color w:val="000000" w:themeColor="text1"/>
          <w:szCs w:val="24"/>
          <w:lang w:val="en-GB"/>
        </w:rPr>
        <w:t>Additionally, prosecutors may extend pre-trial detention for up to six months without the opportunity for the detainee to challenge his/her detention.</w:t>
      </w:r>
      <w:r w:rsidR="000E2F57" w:rsidRPr="00EB0BCC">
        <w:rPr>
          <w:color w:val="000000" w:themeColor="text1"/>
          <w:szCs w:val="24"/>
          <w:lang w:val="en-GB"/>
        </w:rPr>
        <w:t xml:space="preserve"> </w:t>
      </w:r>
      <w:r w:rsidR="00E46859" w:rsidRPr="00EB0BCC">
        <w:rPr>
          <w:color w:val="000000" w:themeColor="text1"/>
          <w:szCs w:val="24"/>
          <w:lang w:val="en-GB"/>
        </w:rPr>
        <w:t xml:space="preserve">Detainees are </w:t>
      </w:r>
      <w:r w:rsidR="0069165A" w:rsidRPr="00EB0BCC">
        <w:rPr>
          <w:color w:val="000000" w:themeColor="text1"/>
          <w:szCs w:val="24"/>
          <w:lang w:val="en-GB"/>
        </w:rPr>
        <w:t>frequently</w:t>
      </w:r>
      <w:r w:rsidR="00E46859" w:rsidRPr="00EB0BCC">
        <w:rPr>
          <w:color w:val="000000" w:themeColor="text1"/>
          <w:szCs w:val="24"/>
          <w:lang w:val="en-GB"/>
        </w:rPr>
        <w:t xml:space="preserve"> held incommunicado</w:t>
      </w:r>
      <w:r w:rsidR="0069165A" w:rsidRPr="00EB0BCC">
        <w:rPr>
          <w:color w:val="000000" w:themeColor="text1"/>
          <w:szCs w:val="24"/>
          <w:lang w:val="en-GB"/>
        </w:rPr>
        <w:t xml:space="preserve">, denying them protection against </w:t>
      </w:r>
      <w:r w:rsidR="00E46859" w:rsidRPr="00EB0BCC">
        <w:rPr>
          <w:color w:val="000000" w:themeColor="text1"/>
          <w:szCs w:val="24"/>
          <w:lang w:val="en-GB"/>
        </w:rPr>
        <w:t xml:space="preserve">torture </w:t>
      </w:r>
      <w:r w:rsidR="0069165A" w:rsidRPr="00EB0BCC">
        <w:rPr>
          <w:color w:val="000000" w:themeColor="text1"/>
          <w:szCs w:val="24"/>
          <w:lang w:val="en-GB"/>
        </w:rPr>
        <w:t xml:space="preserve">and </w:t>
      </w:r>
      <w:r w:rsidR="00E46859" w:rsidRPr="00EB0BCC">
        <w:rPr>
          <w:color w:val="000000" w:themeColor="text1"/>
          <w:szCs w:val="24"/>
          <w:lang w:val="en-GB"/>
        </w:rPr>
        <w:t>forced confessions.</w:t>
      </w:r>
      <w:r w:rsidR="000E2F57" w:rsidRPr="00EB0BCC">
        <w:rPr>
          <w:color w:val="000000" w:themeColor="text1"/>
          <w:szCs w:val="24"/>
          <w:lang w:val="en-GB"/>
        </w:rPr>
        <w:t xml:space="preserve"> </w:t>
      </w:r>
    </w:p>
    <w:p w:rsidR="00544001" w:rsidRPr="00EB0BCC" w:rsidRDefault="00544001" w:rsidP="00BA35C4">
      <w:pPr>
        <w:pStyle w:val="BodyText"/>
        <w:tabs>
          <w:tab w:val="right" w:pos="8910"/>
        </w:tabs>
        <w:spacing w:after="0"/>
        <w:ind w:right="18"/>
        <w:jc w:val="both"/>
        <w:rPr>
          <w:color w:val="000000" w:themeColor="text1"/>
          <w:szCs w:val="24"/>
          <w:lang w:val="en-GB"/>
        </w:rPr>
      </w:pPr>
    </w:p>
    <w:p w:rsidR="00546FFC" w:rsidRPr="00EB0BCC" w:rsidRDefault="00FF1B20"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There are notable exceptions when the Bahraini judicial system follows international</w:t>
      </w:r>
      <w:r w:rsidR="00667CDB" w:rsidRPr="00EB0BCC">
        <w:rPr>
          <w:color w:val="000000" w:themeColor="text1"/>
          <w:szCs w:val="24"/>
          <w:lang w:val="en-GB"/>
        </w:rPr>
        <w:t>ly accepted</w:t>
      </w:r>
      <w:r w:rsidRPr="00EB0BCC">
        <w:rPr>
          <w:color w:val="000000" w:themeColor="text1"/>
          <w:szCs w:val="24"/>
          <w:lang w:val="en-GB"/>
        </w:rPr>
        <w:t xml:space="preserve"> principles of due process</w:t>
      </w:r>
      <w:r w:rsidR="00667CDB" w:rsidRPr="00EB0BCC">
        <w:rPr>
          <w:color w:val="000000" w:themeColor="text1"/>
          <w:szCs w:val="24"/>
          <w:lang w:val="en-GB"/>
        </w:rPr>
        <w:t xml:space="preserve"> and stifles executive security agency attempts to short-circuit civil procedure and standards of evidence</w:t>
      </w:r>
      <w:r w:rsidRPr="00EB0BCC">
        <w:rPr>
          <w:color w:val="000000" w:themeColor="text1"/>
          <w:szCs w:val="24"/>
          <w:lang w:val="en-GB"/>
        </w:rPr>
        <w:t xml:space="preserve">, such as when Manama’s Fifth </w:t>
      </w:r>
      <w:r w:rsidR="00667CDB" w:rsidRPr="00EB0BCC">
        <w:rPr>
          <w:color w:val="000000" w:themeColor="text1"/>
          <w:szCs w:val="24"/>
          <w:lang w:val="en-GB"/>
        </w:rPr>
        <w:t>High Criminal Court ordered the release of Nabeel Rajab on 28 December 2016.</w:t>
      </w:r>
      <w:r w:rsidR="000E2F57" w:rsidRPr="00EB0BCC">
        <w:rPr>
          <w:color w:val="000000" w:themeColor="text1"/>
          <w:szCs w:val="24"/>
          <w:lang w:val="en-GB"/>
        </w:rPr>
        <w:t xml:space="preserve"> </w:t>
      </w:r>
      <w:r w:rsidR="00667CDB" w:rsidRPr="00EB0BCC">
        <w:rPr>
          <w:color w:val="000000" w:themeColor="text1"/>
          <w:szCs w:val="24"/>
          <w:lang w:val="en-GB"/>
        </w:rPr>
        <w:t xml:space="preserve">True independence of the judiciary has been and will continue to be the historic safeguard against </w:t>
      </w:r>
      <w:r w:rsidR="00E70C52" w:rsidRPr="00EB0BCC">
        <w:rPr>
          <w:color w:val="000000" w:themeColor="text1"/>
          <w:szCs w:val="24"/>
          <w:lang w:val="en-GB"/>
        </w:rPr>
        <w:t>governmental infringement on</w:t>
      </w:r>
      <w:r w:rsidR="00667CDB" w:rsidRPr="00EB0BCC">
        <w:rPr>
          <w:color w:val="000000" w:themeColor="text1"/>
          <w:szCs w:val="24"/>
          <w:lang w:val="en-GB"/>
        </w:rPr>
        <w:t xml:space="preserve"> civil rights.</w:t>
      </w:r>
    </w:p>
    <w:p w:rsidR="00251F92" w:rsidRPr="00EB0BCC" w:rsidRDefault="00251F92" w:rsidP="00BA35C4">
      <w:pPr>
        <w:pStyle w:val="BodyText"/>
        <w:tabs>
          <w:tab w:val="right" w:pos="8910"/>
        </w:tabs>
        <w:spacing w:after="0"/>
        <w:ind w:right="18"/>
        <w:jc w:val="both"/>
        <w:rPr>
          <w:b/>
          <w:color w:val="000000" w:themeColor="text1"/>
          <w:szCs w:val="24"/>
          <w:lang w:val="en-GB"/>
        </w:rPr>
      </w:pPr>
    </w:p>
    <w:p w:rsidR="00DD1F79" w:rsidRPr="00EB0BCC" w:rsidRDefault="00544001"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In a lack of due process, </w:t>
      </w:r>
      <w:r w:rsidR="00C11168" w:rsidRPr="00EB0BCC">
        <w:rPr>
          <w:b/>
          <w:bCs/>
          <w:color w:val="000000" w:themeColor="text1"/>
          <w:szCs w:val="24"/>
          <w:lang w:val="en-GB"/>
        </w:rPr>
        <w:t>Nabeel Rajab</w:t>
      </w:r>
      <w:r w:rsidR="00C11168" w:rsidRPr="00EB0BCC">
        <w:rPr>
          <w:color w:val="000000" w:themeColor="text1"/>
          <w:szCs w:val="24"/>
          <w:lang w:val="en-GB"/>
        </w:rPr>
        <w:t xml:space="preserve"> was not informed of charges against him during his arrest on 13 June 2016.</w:t>
      </w:r>
      <w:r w:rsidRPr="00EB0BCC">
        <w:rPr>
          <w:color w:val="000000" w:themeColor="text1"/>
          <w:szCs w:val="24"/>
          <w:lang w:val="en-GB"/>
        </w:rPr>
        <w:t xml:space="preserve"> </w:t>
      </w:r>
      <w:r w:rsidR="00C11168" w:rsidRPr="00EB0BCC">
        <w:rPr>
          <w:color w:val="000000" w:themeColor="text1"/>
          <w:szCs w:val="24"/>
          <w:lang w:val="en-GB"/>
        </w:rPr>
        <w:t>Only much later was he informed that he was charged with offending a governmental body, spreading false news against the state, and insulting the Saudi state.</w:t>
      </w:r>
      <w:r w:rsidR="000E2F57" w:rsidRPr="00EB0BCC">
        <w:rPr>
          <w:color w:val="000000" w:themeColor="text1"/>
          <w:szCs w:val="24"/>
          <w:lang w:val="en-GB"/>
        </w:rPr>
        <w:t xml:space="preserve"> </w:t>
      </w:r>
      <w:r w:rsidR="00356556" w:rsidRPr="00EB0BCC">
        <w:rPr>
          <w:color w:val="000000" w:themeColor="text1"/>
          <w:szCs w:val="24"/>
          <w:lang w:val="en-GB"/>
        </w:rPr>
        <w:t>Nor was he informed of a summons during his arrest in 2015.</w:t>
      </w:r>
      <w:r w:rsidR="000E2F57" w:rsidRPr="00EB0BCC">
        <w:rPr>
          <w:color w:val="000000" w:themeColor="text1"/>
          <w:szCs w:val="24"/>
          <w:lang w:val="en-GB"/>
        </w:rPr>
        <w:t xml:space="preserve"> </w:t>
      </w:r>
      <w:r w:rsidR="00356556" w:rsidRPr="00EB0BCC">
        <w:rPr>
          <w:color w:val="000000" w:themeColor="text1"/>
          <w:szCs w:val="24"/>
          <w:lang w:val="en-GB"/>
        </w:rPr>
        <w:t>Additionally, his house was searched without a warrant in 2015.</w:t>
      </w:r>
      <w:r w:rsidR="000E2F57" w:rsidRPr="00EB0BCC">
        <w:rPr>
          <w:color w:val="000000" w:themeColor="text1"/>
          <w:szCs w:val="24"/>
          <w:lang w:val="en-GB"/>
        </w:rPr>
        <w:t xml:space="preserve"> </w:t>
      </w:r>
      <w:r w:rsidRPr="00EB0BCC">
        <w:rPr>
          <w:color w:val="000000" w:themeColor="text1"/>
          <w:szCs w:val="24"/>
          <w:lang w:val="en-GB"/>
        </w:rPr>
        <w:t>After his release</w:t>
      </w:r>
      <w:r w:rsidR="00E70C52" w:rsidRPr="00EB0BCC">
        <w:rPr>
          <w:color w:val="000000" w:themeColor="text1"/>
          <w:szCs w:val="24"/>
          <w:lang w:val="en-GB"/>
        </w:rPr>
        <w:t xml:space="preserve"> on 28 December </w:t>
      </w:r>
      <w:r w:rsidRPr="00EB0BCC">
        <w:rPr>
          <w:color w:val="000000" w:themeColor="text1"/>
          <w:szCs w:val="24"/>
          <w:lang w:val="en-GB"/>
        </w:rPr>
        <w:t>2016,</w:t>
      </w:r>
      <w:r w:rsidR="00E70C52" w:rsidRPr="00EB0BCC">
        <w:rPr>
          <w:color w:val="000000" w:themeColor="text1"/>
          <w:szCs w:val="24"/>
          <w:lang w:val="en-GB"/>
        </w:rPr>
        <w:t xml:space="preserve"> the MOI moved quickly </w:t>
      </w:r>
      <w:r w:rsidRPr="00EB0BCC">
        <w:rPr>
          <w:color w:val="000000" w:themeColor="text1"/>
          <w:szCs w:val="24"/>
          <w:lang w:val="en-GB"/>
        </w:rPr>
        <w:t>to re-arrest him on new charges.</w:t>
      </w:r>
      <w:r w:rsidR="00D4678F" w:rsidRPr="00EB0BCC">
        <w:rPr>
          <w:color w:val="000000" w:themeColor="text1"/>
          <w:szCs w:val="24"/>
          <w:lang w:val="en-GB"/>
        </w:rPr>
        <w:t xml:space="preserve"> He is awaiting trial </w:t>
      </w:r>
      <w:r w:rsidR="00513A16" w:rsidRPr="00EB0BCC">
        <w:rPr>
          <w:color w:val="000000" w:themeColor="text1"/>
          <w:szCs w:val="24"/>
          <w:lang w:val="en-GB"/>
        </w:rPr>
        <w:t>in March</w:t>
      </w:r>
      <w:r w:rsidR="00D4678F" w:rsidRPr="00EB0BCC">
        <w:rPr>
          <w:color w:val="000000" w:themeColor="text1"/>
          <w:szCs w:val="24"/>
          <w:lang w:val="en-GB"/>
        </w:rPr>
        <w:t xml:space="preserve"> in this case after </w:t>
      </w:r>
      <w:r w:rsidR="00513A16" w:rsidRPr="00EB0BCC">
        <w:rPr>
          <w:color w:val="000000" w:themeColor="text1"/>
          <w:szCs w:val="24"/>
          <w:lang w:val="en-GB"/>
        </w:rPr>
        <w:t>10</w:t>
      </w:r>
      <w:r w:rsidR="00D4678F" w:rsidRPr="00EB0BCC">
        <w:rPr>
          <w:color w:val="000000" w:themeColor="text1"/>
          <w:szCs w:val="24"/>
          <w:lang w:val="en-GB"/>
        </w:rPr>
        <w:t xml:space="preserve"> previous hearings. </w:t>
      </w:r>
    </w:p>
    <w:p w:rsidR="00513A16" w:rsidRPr="00EB0BCC" w:rsidRDefault="00513A16" w:rsidP="00BA35C4">
      <w:pPr>
        <w:pStyle w:val="BodyText"/>
        <w:tabs>
          <w:tab w:val="right" w:pos="8910"/>
        </w:tabs>
        <w:spacing w:after="0"/>
        <w:ind w:right="18"/>
        <w:jc w:val="both"/>
        <w:rPr>
          <w:color w:val="000000" w:themeColor="text1"/>
          <w:szCs w:val="24"/>
          <w:lang w:val="en-GB"/>
        </w:rPr>
      </w:pPr>
    </w:p>
    <w:p w:rsidR="00C11168" w:rsidRPr="00EB0BCC" w:rsidRDefault="00D4678F"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In addition, </w:t>
      </w:r>
      <w:r w:rsidR="00DD1F79" w:rsidRPr="00EB0BCC">
        <w:rPr>
          <w:color w:val="000000" w:themeColor="text1"/>
          <w:szCs w:val="24"/>
          <w:lang w:val="en-GB"/>
        </w:rPr>
        <w:t>in a further lack of due process, neither Rajab</w:t>
      </w:r>
      <w:r w:rsidRPr="00EB0BCC">
        <w:rPr>
          <w:color w:val="000000" w:themeColor="text1"/>
          <w:szCs w:val="24"/>
          <w:lang w:val="en-GB"/>
        </w:rPr>
        <w:t xml:space="preserve"> </w:t>
      </w:r>
      <w:r w:rsidR="00DD1F79" w:rsidRPr="00EB0BCC">
        <w:rPr>
          <w:color w:val="000000" w:themeColor="text1"/>
          <w:szCs w:val="24"/>
          <w:lang w:val="en-GB"/>
        </w:rPr>
        <w:t>nor his lawyer were</w:t>
      </w:r>
      <w:r w:rsidRPr="00EB0BCC">
        <w:rPr>
          <w:color w:val="000000" w:themeColor="text1"/>
          <w:szCs w:val="24"/>
          <w:lang w:val="en-GB"/>
        </w:rPr>
        <w:t xml:space="preserve"> informed that on </w:t>
      </w:r>
      <w:r w:rsidR="00DD1F79" w:rsidRPr="00EB0BCC">
        <w:rPr>
          <w:color w:val="000000" w:themeColor="text1"/>
          <w:szCs w:val="24"/>
          <w:lang w:val="en-GB"/>
        </w:rPr>
        <w:t xml:space="preserve">the afternoon of </w:t>
      </w:r>
      <w:r w:rsidRPr="00EB0BCC">
        <w:rPr>
          <w:color w:val="000000" w:themeColor="text1"/>
          <w:szCs w:val="24"/>
          <w:lang w:val="en-GB"/>
        </w:rPr>
        <w:t xml:space="preserve">23 January 2017, there would be a hearing in another case for which he was re-arrested upon his release on 28 December </w:t>
      </w:r>
      <w:r w:rsidR="00DD1F79" w:rsidRPr="00EB0BCC">
        <w:rPr>
          <w:color w:val="000000" w:themeColor="text1"/>
          <w:szCs w:val="24"/>
          <w:lang w:val="en-GB"/>
        </w:rPr>
        <w:t xml:space="preserve">2017. </w:t>
      </w:r>
      <w:r w:rsidRPr="00EB0BCC">
        <w:rPr>
          <w:color w:val="000000" w:themeColor="text1"/>
          <w:szCs w:val="24"/>
          <w:lang w:val="en-GB"/>
        </w:rPr>
        <w:t xml:space="preserve">He was in court on </w:t>
      </w:r>
      <w:r w:rsidR="00F62214" w:rsidRPr="00EB0BCC">
        <w:rPr>
          <w:color w:val="000000" w:themeColor="text1"/>
          <w:szCs w:val="24"/>
          <w:lang w:val="en-GB"/>
        </w:rPr>
        <w:t>0</w:t>
      </w:r>
      <w:r w:rsidRPr="00EB0BCC">
        <w:rPr>
          <w:color w:val="000000" w:themeColor="text1"/>
          <w:szCs w:val="24"/>
          <w:lang w:val="en-GB"/>
        </w:rPr>
        <w:t>8 February 2017 in this case</w:t>
      </w:r>
      <w:r w:rsidR="00766EFA" w:rsidRPr="00EB0BCC">
        <w:rPr>
          <w:color w:val="000000" w:themeColor="text1"/>
          <w:szCs w:val="24"/>
          <w:lang w:val="en-GB"/>
        </w:rPr>
        <w:t>, on charges of allegedly “spreading false information and malicious rumours about domestic matters with the aim of discrediting and adversely affecting the State’s prestige,” based on televised interviews with foreign television channels</w:t>
      </w:r>
      <w:r w:rsidRPr="00EB0BCC">
        <w:rPr>
          <w:color w:val="000000" w:themeColor="text1"/>
          <w:szCs w:val="24"/>
          <w:lang w:val="en-GB"/>
        </w:rPr>
        <w:t xml:space="preserve">. </w:t>
      </w:r>
      <w:r w:rsidR="00513A16" w:rsidRPr="00EB0BCC">
        <w:rPr>
          <w:color w:val="000000" w:themeColor="text1"/>
          <w:szCs w:val="24"/>
          <w:lang w:val="en-GB"/>
        </w:rPr>
        <w:t xml:space="preserve">Hearings were subsequently held on 21 February and </w:t>
      </w:r>
      <w:r w:rsidR="00F62214" w:rsidRPr="00EB0BCC">
        <w:rPr>
          <w:color w:val="000000" w:themeColor="text1"/>
          <w:szCs w:val="24"/>
          <w:lang w:val="en-GB"/>
        </w:rPr>
        <w:t>0</w:t>
      </w:r>
      <w:r w:rsidR="00513A16" w:rsidRPr="00EB0BCC">
        <w:rPr>
          <w:color w:val="000000" w:themeColor="text1"/>
          <w:szCs w:val="24"/>
          <w:lang w:val="en-GB"/>
        </w:rPr>
        <w:t>7 March 2017.</w:t>
      </w:r>
    </w:p>
    <w:p w:rsidR="00546FFC" w:rsidRPr="00EB0BCC" w:rsidRDefault="00546FFC" w:rsidP="00BA35C4">
      <w:pPr>
        <w:pStyle w:val="BodyText"/>
        <w:tabs>
          <w:tab w:val="right" w:pos="8910"/>
        </w:tabs>
        <w:spacing w:after="0"/>
        <w:ind w:right="18"/>
        <w:jc w:val="both"/>
        <w:rPr>
          <w:b/>
          <w:i/>
          <w:color w:val="000000" w:themeColor="text1"/>
          <w:szCs w:val="24"/>
          <w:lang w:val="en-GB"/>
        </w:rPr>
      </w:pPr>
    </w:p>
    <w:p w:rsidR="00E10242" w:rsidRPr="00EB0BCC" w:rsidRDefault="00C11168" w:rsidP="004A0494">
      <w:pPr>
        <w:pStyle w:val="BodyText"/>
        <w:numPr>
          <w:ilvl w:val="0"/>
          <w:numId w:val="18"/>
        </w:numPr>
        <w:tabs>
          <w:tab w:val="right" w:pos="8910"/>
        </w:tabs>
        <w:spacing w:after="0"/>
        <w:ind w:right="18"/>
        <w:jc w:val="both"/>
        <w:rPr>
          <w:color w:val="000000" w:themeColor="text1"/>
          <w:szCs w:val="24"/>
          <w:lang w:val="en-GB"/>
        </w:rPr>
      </w:pPr>
      <w:r w:rsidRPr="00EB0BCC">
        <w:rPr>
          <w:b/>
          <w:bCs/>
          <w:color w:val="000000" w:themeColor="text1"/>
          <w:szCs w:val="24"/>
          <w:lang w:val="en-GB"/>
        </w:rPr>
        <w:t>Hussain Jawad</w:t>
      </w:r>
      <w:r w:rsidRPr="00EB0BCC">
        <w:rPr>
          <w:color w:val="000000" w:themeColor="text1"/>
          <w:szCs w:val="24"/>
          <w:lang w:val="en-GB"/>
        </w:rPr>
        <w:t xml:space="preserve"> was</w:t>
      </w:r>
      <w:r w:rsidRPr="00EB0BCC">
        <w:rPr>
          <w:b/>
          <w:color w:val="000000" w:themeColor="text1"/>
          <w:szCs w:val="24"/>
          <w:lang w:val="en-GB"/>
        </w:rPr>
        <w:t xml:space="preserve"> </w:t>
      </w:r>
      <w:r w:rsidR="00E10242" w:rsidRPr="00EB0BCC">
        <w:rPr>
          <w:color w:val="000000" w:themeColor="text1"/>
          <w:szCs w:val="24"/>
          <w:lang w:val="en-GB"/>
        </w:rPr>
        <w:t>n</w:t>
      </w:r>
      <w:r w:rsidRPr="00EB0BCC">
        <w:rPr>
          <w:color w:val="000000" w:themeColor="text1"/>
          <w:szCs w:val="24"/>
          <w:lang w:val="en-GB"/>
        </w:rPr>
        <w:t>ot</w:t>
      </w:r>
      <w:r w:rsidR="00E10242" w:rsidRPr="00EB0BCC">
        <w:rPr>
          <w:color w:val="000000" w:themeColor="text1"/>
          <w:szCs w:val="24"/>
          <w:lang w:val="en-GB"/>
        </w:rPr>
        <w:t xml:space="preserve"> informed of charges against him </w:t>
      </w:r>
      <w:r w:rsidR="001225F8" w:rsidRPr="00EB0BCC">
        <w:rPr>
          <w:color w:val="000000" w:themeColor="text1"/>
          <w:szCs w:val="24"/>
          <w:lang w:val="en-GB"/>
        </w:rPr>
        <w:t>following his arrest on</w:t>
      </w:r>
      <w:r w:rsidR="00E10242" w:rsidRPr="00EB0BCC">
        <w:rPr>
          <w:color w:val="000000" w:themeColor="text1"/>
          <w:szCs w:val="24"/>
          <w:lang w:val="en-GB"/>
        </w:rPr>
        <w:t xml:space="preserve"> 16 Feb</w:t>
      </w:r>
      <w:r w:rsidR="00544001" w:rsidRPr="00EB0BCC">
        <w:rPr>
          <w:color w:val="000000" w:themeColor="text1"/>
          <w:szCs w:val="24"/>
          <w:lang w:val="en-GB"/>
        </w:rPr>
        <w:t>ruary</w:t>
      </w:r>
      <w:r w:rsidR="00E10242" w:rsidRPr="00EB0BCC">
        <w:rPr>
          <w:color w:val="000000" w:themeColor="text1"/>
          <w:szCs w:val="24"/>
          <w:lang w:val="en-GB"/>
        </w:rPr>
        <w:t xml:space="preserve"> 2015</w:t>
      </w:r>
      <w:r w:rsidR="001225F8" w:rsidRPr="00EB0BCC">
        <w:rPr>
          <w:color w:val="000000" w:themeColor="text1"/>
          <w:szCs w:val="24"/>
          <w:lang w:val="en-GB"/>
        </w:rPr>
        <w:t>,</w:t>
      </w:r>
      <w:r w:rsidR="00D62779" w:rsidRPr="00EB0BCC">
        <w:rPr>
          <w:color w:val="000000" w:themeColor="text1"/>
          <w:szCs w:val="24"/>
          <w:lang w:val="en-GB"/>
        </w:rPr>
        <w:t xml:space="preserve"> until </w:t>
      </w:r>
      <w:r w:rsidR="001225F8" w:rsidRPr="00EB0BCC">
        <w:rPr>
          <w:color w:val="000000" w:themeColor="text1"/>
          <w:szCs w:val="24"/>
          <w:lang w:val="en-GB"/>
        </w:rPr>
        <w:t xml:space="preserve">his </w:t>
      </w:r>
      <w:r w:rsidR="00D62779" w:rsidRPr="00EB0BCC">
        <w:rPr>
          <w:color w:val="000000" w:themeColor="text1"/>
          <w:szCs w:val="24"/>
          <w:lang w:val="en-GB"/>
        </w:rPr>
        <w:t>third day in detention</w:t>
      </w:r>
      <w:r w:rsidR="00F02066" w:rsidRPr="00EB0BCC">
        <w:rPr>
          <w:color w:val="000000" w:themeColor="text1"/>
          <w:szCs w:val="24"/>
          <w:lang w:val="en-GB"/>
        </w:rPr>
        <w:t>.</w:t>
      </w:r>
    </w:p>
    <w:p w:rsidR="004B223D" w:rsidRPr="00EB0BCC" w:rsidRDefault="004B223D" w:rsidP="00BA35C4">
      <w:pPr>
        <w:pStyle w:val="BodyText"/>
        <w:tabs>
          <w:tab w:val="right" w:pos="8910"/>
        </w:tabs>
        <w:spacing w:after="0"/>
        <w:ind w:right="18"/>
        <w:jc w:val="both"/>
        <w:rPr>
          <w:color w:val="000000" w:themeColor="text1"/>
          <w:szCs w:val="24"/>
          <w:lang w:val="en-GB"/>
        </w:rPr>
      </w:pPr>
    </w:p>
    <w:p w:rsidR="004B223D" w:rsidRPr="00EB0BCC" w:rsidRDefault="004B223D" w:rsidP="004A0494">
      <w:pPr>
        <w:pStyle w:val="BodyText"/>
        <w:numPr>
          <w:ilvl w:val="0"/>
          <w:numId w:val="18"/>
        </w:numPr>
        <w:jc w:val="both"/>
        <w:rPr>
          <w:color w:val="000000" w:themeColor="text1"/>
          <w:szCs w:val="24"/>
          <w:lang w:val="en-GB"/>
        </w:rPr>
      </w:pPr>
      <w:r w:rsidRPr="00EB0BCC">
        <w:rPr>
          <w:color w:val="000000" w:themeColor="text1"/>
          <w:szCs w:val="24"/>
          <w:lang w:val="en-GB"/>
        </w:rPr>
        <w:t xml:space="preserve">During </w:t>
      </w:r>
      <w:r w:rsidRPr="00EB0BCC">
        <w:rPr>
          <w:b/>
          <w:bCs/>
          <w:color w:val="000000" w:themeColor="text1"/>
          <w:szCs w:val="24"/>
          <w:lang w:val="en-GB"/>
        </w:rPr>
        <w:t>Naji Fateel</w:t>
      </w:r>
      <w:r w:rsidRPr="00EB0BCC">
        <w:rPr>
          <w:color w:val="000000" w:themeColor="text1"/>
          <w:szCs w:val="24"/>
          <w:lang w:val="en-GB"/>
        </w:rPr>
        <w:t>’s appeal proceeding in November 2013, the Bahraini authorities denied entry to a legal observer sent by international human rights organi</w:t>
      </w:r>
      <w:r w:rsidR="00314775" w:rsidRPr="00EB0BCC">
        <w:rPr>
          <w:color w:val="000000" w:themeColor="text1"/>
          <w:szCs w:val="24"/>
          <w:lang w:val="en-GB"/>
        </w:rPr>
        <w:t>s</w:t>
      </w:r>
      <w:r w:rsidRPr="00EB0BCC">
        <w:rPr>
          <w:color w:val="000000" w:themeColor="text1"/>
          <w:szCs w:val="24"/>
          <w:lang w:val="en-GB"/>
        </w:rPr>
        <w:t>ations.</w:t>
      </w:r>
      <w:r w:rsidRPr="00EB0BCC">
        <w:rPr>
          <w:color w:val="000000" w:themeColor="text1"/>
          <w:szCs w:val="24"/>
          <w:vertAlign w:val="superscript"/>
          <w:lang w:val="en-GB"/>
        </w:rPr>
        <w:footnoteReference w:id="98"/>
      </w:r>
      <w:r w:rsidR="00544001" w:rsidRPr="00EB0BCC">
        <w:rPr>
          <w:color w:val="000000" w:themeColor="text1"/>
          <w:szCs w:val="24"/>
          <w:lang w:val="en-GB"/>
        </w:rPr>
        <w:t xml:space="preserve"> </w:t>
      </w:r>
      <w:r w:rsidRPr="00EB0BCC">
        <w:rPr>
          <w:color w:val="000000" w:themeColor="text1"/>
          <w:szCs w:val="24"/>
          <w:lang w:val="en-GB"/>
        </w:rPr>
        <w:t>The same court upheld</w:t>
      </w:r>
      <w:r w:rsidR="00544001" w:rsidRPr="00EB0BCC">
        <w:rPr>
          <w:color w:val="000000" w:themeColor="text1"/>
          <w:szCs w:val="24"/>
          <w:lang w:val="en-GB"/>
        </w:rPr>
        <w:t xml:space="preserve"> his</w:t>
      </w:r>
      <w:r w:rsidRPr="00EB0BCC">
        <w:rPr>
          <w:color w:val="000000" w:themeColor="text1"/>
          <w:szCs w:val="24"/>
          <w:lang w:val="en-GB"/>
        </w:rPr>
        <w:t xml:space="preserve"> 15-year sentence without investigating allegations of torture. </w:t>
      </w:r>
    </w:p>
    <w:p w:rsidR="00EE4E36" w:rsidRPr="00EB0BCC" w:rsidRDefault="00CD1535" w:rsidP="00CD1535">
      <w:pPr>
        <w:pStyle w:val="BodyText"/>
        <w:tabs>
          <w:tab w:val="right" w:pos="8910"/>
        </w:tabs>
        <w:spacing w:after="0"/>
        <w:ind w:left="360" w:right="18"/>
        <w:jc w:val="both"/>
        <w:rPr>
          <w:b/>
          <w:bCs/>
          <w:color w:val="000000" w:themeColor="text1"/>
          <w:szCs w:val="24"/>
          <w:lang w:val="en-GB"/>
        </w:rPr>
      </w:pPr>
      <w:r w:rsidRPr="00EB0BCC">
        <w:rPr>
          <w:b/>
          <w:bCs/>
          <w:color w:val="000000" w:themeColor="text1"/>
          <w:szCs w:val="24"/>
          <w:lang w:val="en-GB"/>
        </w:rPr>
        <w:br w:type="page"/>
      </w:r>
      <w:r w:rsidR="00EE4E36" w:rsidRPr="00EB0BCC">
        <w:rPr>
          <w:b/>
          <w:bCs/>
          <w:color w:val="000000" w:themeColor="text1"/>
          <w:szCs w:val="24"/>
          <w:lang w:val="en-GB"/>
        </w:rPr>
        <w:lastRenderedPageBreak/>
        <w:t>Other Cases of Denial of Due Process</w:t>
      </w:r>
    </w:p>
    <w:p w:rsidR="00EE4E36" w:rsidRPr="00EB0BCC" w:rsidRDefault="00EE4E36" w:rsidP="00BA35C4">
      <w:pPr>
        <w:pStyle w:val="BodyText"/>
        <w:tabs>
          <w:tab w:val="right" w:pos="8910"/>
        </w:tabs>
        <w:spacing w:after="0"/>
        <w:ind w:right="18"/>
        <w:jc w:val="both"/>
        <w:rPr>
          <w:b/>
          <w:bCs/>
          <w:i/>
          <w:iCs/>
          <w:color w:val="000000" w:themeColor="text1"/>
          <w:szCs w:val="24"/>
          <w:lang w:val="en-GB"/>
        </w:rPr>
      </w:pPr>
    </w:p>
    <w:p w:rsidR="000A0114" w:rsidRPr="00EB0BCC" w:rsidRDefault="000A0114" w:rsidP="00CD1535">
      <w:pPr>
        <w:pStyle w:val="BodyText"/>
        <w:tabs>
          <w:tab w:val="right" w:pos="8910"/>
        </w:tabs>
        <w:spacing w:after="0"/>
        <w:ind w:left="737" w:right="18"/>
        <w:jc w:val="both"/>
        <w:rPr>
          <w:b/>
          <w:i/>
          <w:color w:val="000000" w:themeColor="text1"/>
          <w:szCs w:val="24"/>
          <w:lang w:val="en-GB"/>
        </w:rPr>
      </w:pPr>
      <w:r w:rsidRPr="00EB0BCC">
        <w:rPr>
          <w:b/>
          <w:i/>
          <w:color w:val="000000" w:themeColor="text1"/>
          <w:szCs w:val="24"/>
          <w:lang w:val="en-GB"/>
        </w:rPr>
        <w:t>Sami Mushaima, Abbas Al-Samea, and Ali Abdulshaheed Al-Singace Case</w:t>
      </w:r>
      <w:r w:rsidR="00C26E82" w:rsidRPr="00EB0BCC">
        <w:rPr>
          <w:b/>
          <w:i/>
          <w:color w:val="000000" w:themeColor="text1"/>
          <w:szCs w:val="24"/>
          <w:lang w:val="en-GB"/>
        </w:rPr>
        <w:t>s</w:t>
      </w:r>
      <w:r w:rsidRPr="00EB0BCC">
        <w:rPr>
          <w:rStyle w:val="FootnoteReference"/>
          <w:b/>
          <w:i/>
          <w:color w:val="000000" w:themeColor="text1"/>
          <w:szCs w:val="24"/>
          <w:lang w:val="en-GB"/>
        </w:rPr>
        <w:footnoteReference w:id="99"/>
      </w:r>
    </w:p>
    <w:p w:rsidR="000A0114" w:rsidRPr="00EB0BCC" w:rsidRDefault="000A0114" w:rsidP="00BA35C4">
      <w:pPr>
        <w:pStyle w:val="BodyText"/>
        <w:tabs>
          <w:tab w:val="right" w:pos="8910"/>
        </w:tabs>
        <w:spacing w:after="0"/>
        <w:ind w:right="18"/>
        <w:jc w:val="both"/>
        <w:rPr>
          <w:b/>
          <w:i/>
          <w:color w:val="000000" w:themeColor="text1"/>
          <w:szCs w:val="24"/>
          <w:lang w:val="en-GB"/>
        </w:rPr>
      </w:pPr>
    </w:p>
    <w:p w:rsidR="000A0114" w:rsidRPr="00EB0BCC" w:rsidRDefault="004D442D" w:rsidP="004A0494">
      <w:pPr>
        <w:pStyle w:val="BodyText"/>
        <w:numPr>
          <w:ilvl w:val="0"/>
          <w:numId w:val="18"/>
        </w:numPr>
        <w:tabs>
          <w:tab w:val="right" w:pos="8910"/>
        </w:tabs>
        <w:spacing w:after="0"/>
        <w:ind w:right="18"/>
        <w:jc w:val="both"/>
        <w:rPr>
          <w:bCs/>
          <w:iCs/>
          <w:color w:val="000000" w:themeColor="text1"/>
          <w:szCs w:val="24"/>
          <w:lang w:val="en-GB"/>
        </w:rPr>
      </w:pPr>
      <w:r w:rsidRPr="00EB0BCC">
        <w:rPr>
          <w:bCs/>
          <w:iCs/>
          <w:color w:val="000000" w:themeColor="text1"/>
          <w:szCs w:val="24"/>
          <w:lang w:val="en-GB"/>
        </w:rPr>
        <w:t xml:space="preserve">As mentioned above, </w:t>
      </w:r>
      <w:r w:rsidR="000A0114" w:rsidRPr="00EB0BCC">
        <w:rPr>
          <w:bCs/>
          <w:iCs/>
          <w:color w:val="000000" w:themeColor="text1"/>
          <w:szCs w:val="24"/>
          <w:lang w:val="en-GB"/>
        </w:rPr>
        <w:t>Sami Mushaima, Abbas Al-Samea, and Ali Abdulshaheed Al-Singace were sentenced to death based on confessions made following torture. The three men were arrested on 3 March 2014 by security forces during house raids and charged in the death of three police officers. They were accused of murder in the state-sponsored media before the trial</w:t>
      </w:r>
      <w:r w:rsidR="00B1707E" w:rsidRPr="00EB0BCC">
        <w:rPr>
          <w:bCs/>
          <w:iCs/>
          <w:color w:val="000000" w:themeColor="text1"/>
          <w:szCs w:val="24"/>
          <w:lang w:val="en-GB"/>
        </w:rPr>
        <w:t>, thus were publicly tried in the court of public opinion</w:t>
      </w:r>
      <w:r w:rsidR="000A0114" w:rsidRPr="00EB0BCC">
        <w:rPr>
          <w:bCs/>
          <w:iCs/>
          <w:color w:val="000000" w:themeColor="text1"/>
          <w:szCs w:val="24"/>
          <w:lang w:val="en-GB"/>
        </w:rPr>
        <w:t xml:space="preserve">. The three men allege that Bahraini authorities subjected them to severe torture to extract coerced confessions and subsequently pleaded innocent. They had no access to a lawyer during trial, </w:t>
      </w:r>
      <w:r w:rsidR="00697B15" w:rsidRPr="00EB0BCC">
        <w:rPr>
          <w:bCs/>
          <w:iCs/>
          <w:color w:val="000000" w:themeColor="text1"/>
          <w:szCs w:val="24"/>
          <w:lang w:val="en-GB"/>
        </w:rPr>
        <w:t xml:space="preserve">although </w:t>
      </w:r>
      <w:r w:rsidR="000A0114" w:rsidRPr="00EB0BCC">
        <w:rPr>
          <w:bCs/>
          <w:iCs/>
          <w:color w:val="000000" w:themeColor="text1"/>
          <w:szCs w:val="24"/>
          <w:lang w:val="en-GB"/>
        </w:rPr>
        <w:t>evidence was provided to show their innocence</w:t>
      </w:r>
      <w:r w:rsidR="00E727A1" w:rsidRPr="00EB0BCC">
        <w:rPr>
          <w:bCs/>
          <w:iCs/>
          <w:color w:val="000000" w:themeColor="text1"/>
          <w:szCs w:val="24"/>
          <w:lang w:val="en-GB"/>
        </w:rPr>
        <w:t>, including the fact that Al-Samea was at work during the time of the murder.</w:t>
      </w:r>
      <w:r w:rsidR="000A0114" w:rsidRPr="00EB0BCC">
        <w:rPr>
          <w:bCs/>
          <w:iCs/>
          <w:color w:val="000000" w:themeColor="text1"/>
          <w:szCs w:val="24"/>
          <w:lang w:val="en-GB"/>
        </w:rPr>
        <w:t xml:space="preserve">On 26 February 2015, the High Criminal Court convicted Mushaima, Al-Samea, and Al-Singace and sentenced them to death, and the sentence was upheld on appeal on 31 May 2016. On </w:t>
      </w:r>
      <w:r w:rsidR="00FE1B4E" w:rsidRPr="00EB0BCC">
        <w:rPr>
          <w:bCs/>
          <w:iCs/>
          <w:color w:val="000000" w:themeColor="text1"/>
          <w:szCs w:val="24"/>
          <w:lang w:val="en-GB"/>
        </w:rPr>
        <w:t>0</w:t>
      </w:r>
      <w:r w:rsidR="000A0114" w:rsidRPr="00EB0BCC">
        <w:rPr>
          <w:bCs/>
          <w:iCs/>
          <w:color w:val="000000" w:themeColor="text1"/>
          <w:szCs w:val="24"/>
          <w:lang w:val="en-GB"/>
        </w:rPr>
        <w:t>9 January 2017, the Court of Cassation in Bahrain upheld the death sentence, leading the way for their execution</w:t>
      </w:r>
      <w:r w:rsidR="00697B15" w:rsidRPr="00EB0BCC">
        <w:rPr>
          <w:bCs/>
          <w:iCs/>
          <w:color w:val="000000" w:themeColor="text1"/>
          <w:szCs w:val="24"/>
          <w:lang w:val="en-GB"/>
        </w:rPr>
        <w:t xml:space="preserve"> on 15 January 2017 by firing squad</w:t>
      </w:r>
      <w:r w:rsidR="000A0114" w:rsidRPr="00EB0BCC">
        <w:rPr>
          <w:bCs/>
          <w:iCs/>
          <w:color w:val="000000" w:themeColor="text1"/>
          <w:szCs w:val="24"/>
          <w:lang w:val="en-GB"/>
        </w:rPr>
        <w:t>.</w:t>
      </w:r>
    </w:p>
    <w:p w:rsidR="001A605B" w:rsidRPr="00EB0BCC" w:rsidRDefault="001A605B" w:rsidP="00BA35C4">
      <w:pPr>
        <w:pStyle w:val="BodyText"/>
        <w:tabs>
          <w:tab w:val="right" w:pos="8910"/>
        </w:tabs>
        <w:spacing w:after="0"/>
        <w:ind w:right="18"/>
        <w:jc w:val="both"/>
        <w:rPr>
          <w:bCs/>
          <w:iCs/>
          <w:color w:val="000000" w:themeColor="text1"/>
          <w:szCs w:val="24"/>
          <w:lang w:val="en-GB"/>
        </w:rPr>
      </w:pPr>
    </w:p>
    <w:p w:rsidR="001A605B" w:rsidRPr="00EB0BCC" w:rsidRDefault="001A605B" w:rsidP="00CD1535">
      <w:pPr>
        <w:pStyle w:val="BodyText"/>
        <w:tabs>
          <w:tab w:val="right" w:pos="8910"/>
        </w:tabs>
        <w:spacing w:after="0"/>
        <w:ind w:left="737" w:right="18"/>
        <w:jc w:val="both"/>
        <w:rPr>
          <w:b/>
          <w:bCs/>
          <w:i/>
          <w:iCs/>
          <w:color w:val="000000" w:themeColor="text1"/>
          <w:szCs w:val="24"/>
          <w:lang w:val="en-GB"/>
        </w:rPr>
      </w:pPr>
      <w:r w:rsidRPr="00EB0BCC">
        <w:rPr>
          <w:b/>
          <w:bCs/>
          <w:i/>
          <w:iCs/>
          <w:color w:val="000000" w:themeColor="text1"/>
          <w:szCs w:val="24"/>
          <w:lang w:val="en-GB"/>
        </w:rPr>
        <w:t>Hussain Ali Moosa and Mohammed Ramadan Cases</w:t>
      </w:r>
    </w:p>
    <w:p w:rsidR="001A605B" w:rsidRPr="00EB0BCC" w:rsidRDefault="001A605B" w:rsidP="00BA35C4">
      <w:pPr>
        <w:pStyle w:val="BodyText"/>
        <w:tabs>
          <w:tab w:val="right" w:pos="8910"/>
        </w:tabs>
        <w:spacing w:after="0"/>
        <w:ind w:right="18"/>
        <w:jc w:val="both"/>
        <w:rPr>
          <w:b/>
          <w:bCs/>
          <w:color w:val="000000" w:themeColor="text1"/>
          <w:szCs w:val="24"/>
          <w:lang w:val="en-GB"/>
        </w:rPr>
      </w:pPr>
    </w:p>
    <w:p w:rsidR="001A605B" w:rsidRPr="00EB0BCC" w:rsidRDefault="001A605B" w:rsidP="004A0494">
      <w:pPr>
        <w:pStyle w:val="BodyText"/>
        <w:numPr>
          <w:ilvl w:val="0"/>
          <w:numId w:val="18"/>
        </w:numPr>
        <w:tabs>
          <w:tab w:val="right" w:pos="8910"/>
        </w:tabs>
        <w:spacing w:after="0"/>
        <w:ind w:right="18"/>
        <w:jc w:val="both"/>
        <w:rPr>
          <w:b/>
          <w:i/>
          <w:color w:val="000000" w:themeColor="text1"/>
          <w:szCs w:val="24"/>
          <w:lang w:val="en-GB"/>
        </w:rPr>
      </w:pPr>
      <w:r w:rsidRPr="00EB0BCC">
        <w:rPr>
          <w:color w:val="000000" w:themeColor="text1"/>
          <w:szCs w:val="24"/>
          <w:lang w:val="en-GB"/>
        </w:rPr>
        <w:t>Hussain Ali Moosa and Mohammed Ramadan were both arrested in February 2014 on charges of killing a policeman in Dair. Both were subjected to torture (see Hussain Ali Moosa case above) and forced to sign confessions. Their petition to the Court of Cassation to nullify the confessions was rejected. According to their lawyer, the claims of torture were never investigated.</w:t>
      </w:r>
      <w:r w:rsidRPr="00EB0BCC">
        <w:rPr>
          <w:b/>
          <w:i/>
          <w:color w:val="000000" w:themeColor="text1"/>
          <w:szCs w:val="24"/>
          <w:lang w:val="en-GB"/>
        </w:rPr>
        <w:t xml:space="preserve"> </w:t>
      </w:r>
    </w:p>
    <w:p w:rsidR="00356556" w:rsidRPr="00EB0BCC" w:rsidRDefault="00356556" w:rsidP="00BA35C4">
      <w:pPr>
        <w:pStyle w:val="BodyText"/>
        <w:tabs>
          <w:tab w:val="right" w:pos="8910"/>
        </w:tabs>
        <w:spacing w:after="0"/>
        <w:ind w:right="18"/>
        <w:jc w:val="both"/>
        <w:rPr>
          <w:b/>
          <w:i/>
          <w:color w:val="000000" w:themeColor="text1"/>
          <w:szCs w:val="24"/>
          <w:lang w:val="en-GB"/>
        </w:rPr>
      </w:pPr>
    </w:p>
    <w:p w:rsidR="001B62F4" w:rsidRPr="00EB0BCC" w:rsidRDefault="005D4C0C" w:rsidP="00AD35CE">
      <w:pPr>
        <w:pStyle w:val="Heading3"/>
        <w:numPr>
          <w:ilvl w:val="0"/>
          <w:numId w:val="0"/>
        </w:numPr>
        <w:jc w:val="both"/>
        <w:rPr>
          <w:color w:val="000000" w:themeColor="text1"/>
          <w:lang w:val="en-GB"/>
        </w:rPr>
      </w:pPr>
      <w:bookmarkStart w:id="16" w:name="_Toc475984118"/>
      <w:r w:rsidRPr="00EB0BCC">
        <w:rPr>
          <w:color w:val="000000" w:themeColor="text1"/>
          <w:lang w:val="en-GB"/>
        </w:rPr>
        <w:t xml:space="preserve">c) </w:t>
      </w:r>
      <w:r w:rsidR="00F309A1" w:rsidRPr="00EB0BCC">
        <w:rPr>
          <w:color w:val="000000" w:themeColor="text1"/>
          <w:lang w:val="en-GB"/>
        </w:rPr>
        <w:t>Unlawful Restrictions on Travel</w:t>
      </w:r>
      <w:bookmarkEnd w:id="16"/>
      <w:r w:rsidR="000C4868" w:rsidRPr="00EB0BCC">
        <w:rPr>
          <w:color w:val="000000" w:themeColor="text1"/>
          <w:lang w:val="en-GB"/>
        </w:rPr>
        <w:t xml:space="preserve"> </w:t>
      </w:r>
    </w:p>
    <w:p w:rsidR="003D34B3" w:rsidRPr="00EB0BCC" w:rsidRDefault="00FC7B11"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In 2016, </w:t>
      </w:r>
      <w:r w:rsidR="00AE07A9" w:rsidRPr="00EB0BCC">
        <w:rPr>
          <w:color w:val="000000" w:themeColor="text1"/>
          <w:szCs w:val="24"/>
          <w:lang w:val="en-GB"/>
        </w:rPr>
        <w:t xml:space="preserve">there </w:t>
      </w:r>
      <w:r w:rsidRPr="00EB0BCC">
        <w:rPr>
          <w:color w:val="000000" w:themeColor="text1"/>
          <w:szCs w:val="24"/>
          <w:lang w:val="en-GB"/>
        </w:rPr>
        <w:t xml:space="preserve">was </w:t>
      </w:r>
      <w:r w:rsidR="00AE07A9" w:rsidRPr="00EB0BCC">
        <w:rPr>
          <w:color w:val="000000" w:themeColor="text1"/>
          <w:szCs w:val="24"/>
          <w:lang w:val="en-GB"/>
        </w:rPr>
        <w:t>a</w:t>
      </w:r>
      <w:r w:rsidR="002C7142" w:rsidRPr="00EB0BCC">
        <w:rPr>
          <w:color w:val="000000" w:themeColor="text1"/>
          <w:szCs w:val="24"/>
          <w:lang w:val="en-GB"/>
        </w:rPr>
        <w:t xml:space="preserve"> dramatic</w:t>
      </w:r>
      <w:r w:rsidRPr="00EB0BCC">
        <w:rPr>
          <w:color w:val="000000" w:themeColor="text1"/>
          <w:szCs w:val="24"/>
          <w:lang w:val="en-GB"/>
        </w:rPr>
        <w:t xml:space="preserve"> </w:t>
      </w:r>
      <w:r w:rsidR="00AE07A9" w:rsidRPr="00EB0BCC">
        <w:rPr>
          <w:color w:val="000000" w:themeColor="text1"/>
          <w:szCs w:val="24"/>
          <w:lang w:val="en-GB"/>
        </w:rPr>
        <w:t>increase in the imposition of travel bans on human rights defenders</w:t>
      </w:r>
      <w:r w:rsidR="00B30503" w:rsidRPr="00EB0BCC">
        <w:rPr>
          <w:color w:val="000000" w:themeColor="text1"/>
          <w:szCs w:val="24"/>
          <w:lang w:val="en-GB"/>
        </w:rPr>
        <w:t xml:space="preserve"> without a legitimate public interest justification</w:t>
      </w:r>
      <w:r w:rsidR="00AE07A9" w:rsidRPr="00EB0BCC">
        <w:rPr>
          <w:color w:val="000000" w:themeColor="text1"/>
          <w:szCs w:val="24"/>
          <w:lang w:val="en-GB"/>
        </w:rPr>
        <w:t>, in violation of Article 12 of the International Covenant on Civil and Political Rights.</w:t>
      </w:r>
      <w:r w:rsidR="000E2F57" w:rsidRPr="00EB0BCC">
        <w:rPr>
          <w:color w:val="000000" w:themeColor="text1"/>
          <w:szCs w:val="24"/>
          <w:lang w:val="en-GB"/>
        </w:rPr>
        <w:t xml:space="preserve"> </w:t>
      </w:r>
      <w:r w:rsidR="00CB3731" w:rsidRPr="00EB0BCC">
        <w:rPr>
          <w:color w:val="000000" w:themeColor="text1"/>
          <w:szCs w:val="24"/>
          <w:lang w:val="en-GB"/>
        </w:rPr>
        <w:t>Claims of a legitimate national security interest in restricting travel appear to be a pretext for curbing human rights activity, as evidenced by a clear pattern targeting human rights defenders.</w:t>
      </w:r>
      <w:r w:rsidR="000E2F57" w:rsidRPr="00EB0BCC">
        <w:rPr>
          <w:color w:val="000000" w:themeColor="text1"/>
          <w:szCs w:val="24"/>
          <w:lang w:val="en-GB"/>
        </w:rPr>
        <w:t xml:space="preserve"> </w:t>
      </w:r>
      <w:r w:rsidR="00CB3731" w:rsidRPr="00EB0BCC">
        <w:rPr>
          <w:color w:val="000000" w:themeColor="text1"/>
          <w:szCs w:val="24"/>
          <w:lang w:val="en-GB"/>
        </w:rPr>
        <w:t>Arbitrary r</w:t>
      </w:r>
      <w:r w:rsidR="003D34B3" w:rsidRPr="00EB0BCC">
        <w:rPr>
          <w:color w:val="000000" w:themeColor="text1"/>
          <w:szCs w:val="24"/>
          <w:lang w:val="en-GB"/>
        </w:rPr>
        <w:t>estrictions on freedom of travel also violate Article 19(b) of the Bahrain Constitution, which states that:</w:t>
      </w:r>
    </w:p>
    <w:p w:rsidR="003D34B3" w:rsidRPr="00EB0BCC" w:rsidRDefault="003D34B3" w:rsidP="00BA35C4">
      <w:pPr>
        <w:pStyle w:val="BodyText"/>
        <w:tabs>
          <w:tab w:val="right" w:pos="8910"/>
        </w:tabs>
        <w:spacing w:after="0"/>
        <w:ind w:right="18"/>
        <w:jc w:val="both"/>
        <w:rPr>
          <w:color w:val="000000" w:themeColor="text1"/>
          <w:szCs w:val="24"/>
          <w:lang w:val="en-GB"/>
        </w:rPr>
      </w:pPr>
    </w:p>
    <w:p w:rsidR="003D34B3" w:rsidRPr="00EB0BCC" w:rsidRDefault="003D34B3"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No person shall be arrested, detained, imprisoned, searched or compelled to reside in a specified place, nor shall the residence of any person or his liberty to choose his place of residence or his liberty of movement be restricted, except in accordance with the law and under the supervision of the judicial authorities.</w:t>
      </w:r>
    </w:p>
    <w:p w:rsidR="003D34B3" w:rsidRPr="00EB0BCC" w:rsidRDefault="003D34B3" w:rsidP="00BA35C4">
      <w:pPr>
        <w:pStyle w:val="BodyText"/>
        <w:tabs>
          <w:tab w:val="right" w:pos="8910"/>
        </w:tabs>
        <w:spacing w:after="0"/>
        <w:ind w:right="18"/>
        <w:jc w:val="both"/>
        <w:rPr>
          <w:color w:val="000000" w:themeColor="text1"/>
          <w:szCs w:val="24"/>
          <w:lang w:val="en-GB"/>
        </w:rPr>
      </w:pPr>
    </w:p>
    <w:p w:rsidR="009C670F" w:rsidRPr="00EB0BCC" w:rsidRDefault="00BF0273"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The Gulf </w:t>
      </w:r>
      <w:r w:rsidR="009B6D6D" w:rsidRPr="00EB0BCC">
        <w:rPr>
          <w:color w:val="000000" w:themeColor="text1"/>
          <w:szCs w:val="24"/>
          <w:lang w:val="en-GB"/>
        </w:rPr>
        <w:t xml:space="preserve">Centre </w:t>
      </w:r>
      <w:r w:rsidRPr="00EB0BCC">
        <w:rPr>
          <w:color w:val="000000" w:themeColor="text1"/>
          <w:szCs w:val="24"/>
          <w:lang w:val="en-GB"/>
        </w:rPr>
        <w:t>for Human Rights report</w:t>
      </w:r>
      <w:r w:rsidR="0049349F" w:rsidRPr="00EB0BCC">
        <w:rPr>
          <w:color w:val="000000" w:themeColor="text1"/>
          <w:szCs w:val="24"/>
          <w:lang w:val="en-GB"/>
        </w:rPr>
        <w:t>ed</w:t>
      </w:r>
      <w:r w:rsidRPr="00EB0BCC">
        <w:rPr>
          <w:color w:val="000000" w:themeColor="text1"/>
          <w:szCs w:val="24"/>
          <w:lang w:val="en-GB"/>
        </w:rPr>
        <w:t xml:space="preserve"> that dozens of prominent human rights defenders have been arbitrarily banned from travel.</w:t>
      </w:r>
      <w:r w:rsidRPr="00EB0BCC">
        <w:rPr>
          <w:rStyle w:val="FootnoteReference"/>
          <w:color w:val="000000" w:themeColor="text1"/>
          <w:szCs w:val="24"/>
          <w:lang w:val="en-GB"/>
        </w:rPr>
        <w:footnoteReference w:id="100"/>
      </w:r>
      <w:r w:rsidR="000E2F57" w:rsidRPr="00EB0BCC">
        <w:rPr>
          <w:color w:val="000000" w:themeColor="text1"/>
          <w:szCs w:val="24"/>
          <w:lang w:val="en-GB"/>
        </w:rPr>
        <w:t xml:space="preserve"> </w:t>
      </w:r>
      <w:r w:rsidR="009C670F" w:rsidRPr="00EB0BCC">
        <w:rPr>
          <w:color w:val="000000" w:themeColor="text1"/>
          <w:szCs w:val="24"/>
          <w:lang w:val="en-GB"/>
        </w:rPr>
        <w:t xml:space="preserve">In June 2016, </w:t>
      </w:r>
      <w:r w:rsidR="009C670F" w:rsidRPr="00EB0BCC">
        <w:rPr>
          <w:b/>
          <w:bCs/>
          <w:color w:val="000000" w:themeColor="text1"/>
          <w:szCs w:val="24"/>
          <w:lang w:val="en-GB"/>
        </w:rPr>
        <w:t>Nazeeha Saeed</w:t>
      </w:r>
      <w:r w:rsidR="009C670F" w:rsidRPr="00EB0BCC">
        <w:rPr>
          <w:color w:val="000000" w:themeColor="text1"/>
          <w:szCs w:val="24"/>
          <w:lang w:val="en-GB"/>
        </w:rPr>
        <w:t xml:space="preserve"> was subject to a ban on travel outside Bahrain. </w:t>
      </w:r>
    </w:p>
    <w:p w:rsidR="009C670F" w:rsidRPr="00EB0BCC" w:rsidRDefault="009C670F" w:rsidP="00BA35C4">
      <w:pPr>
        <w:pStyle w:val="BodyText"/>
        <w:tabs>
          <w:tab w:val="right" w:pos="8910"/>
        </w:tabs>
        <w:spacing w:after="0"/>
        <w:ind w:right="18"/>
        <w:jc w:val="both"/>
        <w:rPr>
          <w:color w:val="000000" w:themeColor="text1"/>
          <w:szCs w:val="24"/>
          <w:lang w:val="en-GB"/>
        </w:rPr>
      </w:pPr>
    </w:p>
    <w:p w:rsidR="00F309A1" w:rsidRPr="00EB0BCC" w:rsidRDefault="005822BE"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Even worse, Amnesty International reported that since 2012, Bahrain has arbitrarily revoked citizenship for at least 316 individuals, including former members of parliament and human rights defenders, leaving many of them stateless.</w:t>
      </w:r>
      <w:r w:rsidRPr="00EB0BCC">
        <w:rPr>
          <w:rStyle w:val="FootnoteReference"/>
          <w:color w:val="000000" w:themeColor="text1"/>
          <w:szCs w:val="24"/>
          <w:lang w:val="en-GB"/>
        </w:rPr>
        <w:footnoteReference w:id="101"/>
      </w:r>
      <w:r w:rsidR="000E2F57" w:rsidRPr="00EB0BCC">
        <w:rPr>
          <w:color w:val="000000" w:themeColor="text1"/>
          <w:szCs w:val="24"/>
          <w:lang w:val="en-GB"/>
        </w:rPr>
        <w:t xml:space="preserve"> </w:t>
      </w:r>
      <w:r w:rsidR="00BB4BD3" w:rsidRPr="00EB0BCC">
        <w:rPr>
          <w:color w:val="000000" w:themeColor="text1"/>
          <w:szCs w:val="24"/>
          <w:lang w:val="en-GB"/>
        </w:rPr>
        <w:t xml:space="preserve">Article 17(a) of the Bahraini constitution allows for the stripping of nationality only for </w:t>
      </w:r>
      <w:r w:rsidR="00D334BF" w:rsidRPr="00EB0BCC">
        <w:rPr>
          <w:color w:val="000000" w:themeColor="text1"/>
          <w:szCs w:val="24"/>
          <w:lang w:val="en-GB"/>
        </w:rPr>
        <w:t xml:space="preserve">acts of </w:t>
      </w:r>
      <w:r w:rsidR="00BB4BD3" w:rsidRPr="00EB0BCC">
        <w:rPr>
          <w:color w:val="000000" w:themeColor="text1"/>
          <w:szCs w:val="24"/>
          <w:lang w:val="en-GB"/>
        </w:rPr>
        <w:t>treason or otherwise as prescribed by law.</w:t>
      </w:r>
      <w:r w:rsidR="000E2F57" w:rsidRPr="00EB0BCC">
        <w:rPr>
          <w:color w:val="000000" w:themeColor="text1"/>
          <w:szCs w:val="24"/>
          <w:lang w:val="en-GB"/>
        </w:rPr>
        <w:t xml:space="preserve"> </w:t>
      </w:r>
      <w:r w:rsidR="00D334BF" w:rsidRPr="00EB0BCC">
        <w:rPr>
          <w:color w:val="000000" w:themeColor="text1"/>
          <w:szCs w:val="24"/>
          <w:lang w:val="en-GB"/>
        </w:rPr>
        <w:t>Also, Article 29(1)</w:t>
      </w:r>
      <w:r w:rsidR="001249E2" w:rsidRPr="00EB0BCC">
        <w:rPr>
          <w:color w:val="000000" w:themeColor="text1"/>
          <w:szCs w:val="24"/>
          <w:lang w:val="en-GB"/>
        </w:rPr>
        <w:t xml:space="preserve"> </w:t>
      </w:r>
      <w:r w:rsidR="00D334BF" w:rsidRPr="00EB0BCC">
        <w:rPr>
          <w:color w:val="000000" w:themeColor="text1"/>
          <w:szCs w:val="24"/>
          <w:lang w:val="en-GB"/>
        </w:rPr>
        <w:t>of the Arab Charter prohibits the arbitrary revocation of nationality.</w:t>
      </w:r>
      <w:r w:rsidR="000E2F57" w:rsidRPr="00EB0BCC">
        <w:rPr>
          <w:color w:val="000000" w:themeColor="text1"/>
          <w:szCs w:val="24"/>
          <w:lang w:val="en-GB"/>
        </w:rPr>
        <w:t xml:space="preserve"> </w:t>
      </w:r>
      <w:r w:rsidR="004F60FC" w:rsidRPr="00EB0BCC">
        <w:rPr>
          <w:color w:val="000000" w:themeColor="text1"/>
          <w:szCs w:val="24"/>
          <w:lang w:val="en-GB"/>
        </w:rPr>
        <w:t>Several witnesses provided exampl</w:t>
      </w:r>
      <w:r w:rsidR="003D34B3" w:rsidRPr="00EB0BCC">
        <w:rPr>
          <w:color w:val="000000" w:themeColor="text1"/>
          <w:szCs w:val="24"/>
          <w:lang w:val="en-GB"/>
        </w:rPr>
        <w:t xml:space="preserve">es where Bahraini officials have </w:t>
      </w:r>
      <w:r w:rsidR="000C4868" w:rsidRPr="00EB0BCC">
        <w:rPr>
          <w:color w:val="000000" w:themeColor="text1"/>
          <w:szCs w:val="24"/>
          <w:lang w:val="en-GB"/>
        </w:rPr>
        <w:t>restrict</w:t>
      </w:r>
      <w:r w:rsidR="004F60FC" w:rsidRPr="00EB0BCC">
        <w:rPr>
          <w:color w:val="000000" w:themeColor="text1"/>
          <w:szCs w:val="24"/>
          <w:lang w:val="en-GB"/>
        </w:rPr>
        <w:t>ed their rights to</w:t>
      </w:r>
      <w:r w:rsidR="000C4868" w:rsidRPr="00EB0BCC">
        <w:rPr>
          <w:color w:val="000000" w:themeColor="text1"/>
          <w:szCs w:val="24"/>
          <w:lang w:val="en-GB"/>
        </w:rPr>
        <w:t xml:space="preserve"> ent</w:t>
      </w:r>
      <w:r w:rsidR="004F60FC" w:rsidRPr="00EB0BCC">
        <w:rPr>
          <w:color w:val="000000" w:themeColor="text1"/>
          <w:szCs w:val="24"/>
          <w:lang w:val="en-GB"/>
        </w:rPr>
        <w:t>e</w:t>
      </w:r>
      <w:r w:rsidR="000C4868" w:rsidRPr="00EB0BCC">
        <w:rPr>
          <w:color w:val="000000" w:themeColor="text1"/>
          <w:szCs w:val="24"/>
          <w:lang w:val="en-GB"/>
        </w:rPr>
        <w:t>r</w:t>
      </w:r>
      <w:r w:rsidR="004F60FC" w:rsidRPr="00EB0BCC">
        <w:rPr>
          <w:color w:val="000000" w:themeColor="text1"/>
          <w:szCs w:val="24"/>
          <w:lang w:val="en-GB"/>
        </w:rPr>
        <w:t xml:space="preserve"> or </w:t>
      </w:r>
      <w:r w:rsidR="000C4868" w:rsidRPr="00EB0BCC">
        <w:rPr>
          <w:color w:val="000000" w:themeColor="text1"/>
          <w:szCs w:val="24"/>
          <w:lang w:val="en-GB"/>
        </w:rPr>
        <w:t>travel in</w:t>
      </w:r>
      <w:r w:rsidR="004F60FC" w:rsidRPr="00EB0BCC">
        <w:rPr>
          <w:color w:val="000000" w:themeColor="text1"/>
          <w:szCs w:val="24"/>
          <w:lang w:val="en-GB"/>
        </w:rPr>
        <w:t xml:space="preserve"> their home coun</w:t>
      </w:r>
      <w:r w:rsidR="000C4868" w:rsidRPr="00EB0BCC">
        <w:rPr>
          <w:color w:val="000000" w:themeColor="text1"/>
          <w:szCs w:val="24"/>
          <w:lang w:val="en-GB"/>
        </w:rPr>
        <w:t>try</w:t>
      </w:r>
      <w:r w:rsidR="003947C5" w:rsidRPr="00EB0BCC">
        <w:rPr>
          <w:color w:val="000000" w:themeColor="text1"/>
          <w:szCs w:val="24"/>
          <w:lang w:val="en-GB"/>
        </w:rPr>
        <w:t xml:space="preserve"> or have encouraged them to leave Bahrain altogether</w:t>
      </w:r>
      <w:r w:rsidR="00390415" w:rsidRPr="00EB0BCC">
        <w:rPr>
          <w:color w:val="000000" w:themeColor="text1"/>
          <w:szCs w:val="24"/>
          <w:lang w:val="en-GB"/>
        </w:rPr>
        <w:t>:</w:t>
      </w:r>
      <w:r w:rsidR="000E2F57" w:rsidRPr="00EB0BCC">
        <w:rPr>
          <w:color w:val="000000" w:themeColor="text1"/>
          <w:szCs w:val="24"/>
          <w:lang w:val="en-GB"/>
        </w:rPr>
        <w:t xml:space="preserve"> </w:t>
      </w:r>
    </w:p>
    <w:p w:rsidR="00734632" w:rsidRPr="00EB0BCC" w:rsidRDefault="00734632" w:rsidP="00BA35C4">
      <w:pPr>
        <w:pStyle w:val="BodyText"/>
        <w:tabs>
          <w:tab w:val="right" w:pos="8910"/>
        </w:tabs>
        <w:spacing w:after="0"/>
        <w:ind w:right="18"/>
        <w:jc w:val="both"/>
        <w:rPr>
          <w:b/>
          <w:color w:val="000000" w:themeColor="text1"/>
          <w:szCs w:val="24"/>
          <w:lang w:val="en-GB"/>
        </w:rPr>
      </w:pPr>
    </w:p>
    <w:p w:rsidR="00751158" w:rsidRPr="00EB0BCC" w:rsidRDefault="00751158" w:rsidP="004A0494">
      <w:pPr>
        <w:pStyle w:val="BodyText"/>
        <w:numPr>
          <w:ilvl w:val="0"/>
          <w:numId w:val="18"/>
        </w:numPr>
        <w:tabs>
          <w:tab w:val="right" w:pos="8910"/>
        </w:tabs>
        <w:ind w:right="18"/>
        <w:jc w:val="both"/>
        <w:rPr>
          <w:color w:val="000000" w:themeColor="text1"/>
          <w:szCs w:val="24"/>
          <w:lang w:val="en-GB"/>
        </w:rPr>
      </w:pPr>
      <w:r w:rsidRPr="00EB0BCC">
        <w:rPr>
          <w:b/>
          <w:bCs/>
          <w:color w:val="000000" w:themeColor="text1"/>
          <w:szCs w:val="24"/>
          <w:lang w:val="en-GB"/>
        </w:rPr>
        <w:t>Maryam Al-Khawaja</w:t>
      </w:r>
      <w:r w:rsidRPr="00EB0BCC">
        <w:rPr>
          <w:color w:val="000000" w:themeColor="text1"/>
          <w:szCs w:val="24"/>
          <w:lang w:val="en-GB"/>
        </w:rPr>
        <w:t xml:space="preserve"> was </w:t>
      </w:r>
      <w:r w:rsidR="00B55B6E" w:rsidRPr="00EB0BCC">
        <w:rPr>
          <w:color w:val="000000" w:themeColor="text1"/>
          <w:szCs w:val="24"/>
          <w:lang w:val="en-GB"/>
        </w:rPr>
        <w:t>told she would have to leave Bahrain shortly after her arrival at the airport on 29 August 2014.</w:t>
      </w:r>
      <w:r w:rsidR="000E2F57" w:rsidRPr="00EB0BCC">
        <w:rPr>
          <w:color w:val="000000" w:themeColor="text1"/>
          <w:szCs w:val="24"/>
          <w:lang w:val="en-GB"/>
        </w:rPr>
        <w:t xml:space="preserve"> </w:t>
      </w:r>
      <w:r w:rsidR="00390415" w:rsidRPr="00EB0BCC">
        <w:rPr>
          <w:color w:val="000000" w:themeColor="text1"/>
          <w:szCs w:val="24"/>
          <w:lang w:val="en-GB"/>
        </w:rPr>
        <w:t>She was in Bahrain to visit her father, a human rights activist imprisoned since 2011.</w:t>
      </w:r>
      <w:r w:rsidR="000E2F57" w:rsidRPr="00EB0BCC">
        <w:rPr>
          <w:color w:val="000000" w:themeColor="text1"/>
          <w:szCs w:val="24"/>
          <w:lang w:val="en-GB"/>
        </w:rPr>
        <w:t xml:space="preserve"> </w:t>
      </w:r>
      <w:r w:rsidR="00390415" w:rsidRPr="00EB0BCC">
        <w:rPr>
          <w:color w:val="000000" w:themeColor="text1"/>
          <w:szCs w:val="24"/>
          <w:lang w:val="en-GB"/>
        </w:rPr>
        <w:t>When she refused to leave Bahrain, she was detained by security, interrogated, and treated abusively before she was allowed to leave the country.</w:t>
      </w:r>
      <w:r w:rsidR="00B25273" w:rsidRPr="00EB0BCC">
        <w:rPr>
          <w:color w:val="000000" w:themeColor="text1"/>
          <w:szCs w:val="24"/>
          <w:lang w:val="en-GB"/>
        </w:rPr>
        <w:t xml:space="preserve"> She has since been sentenced in an unfair trial and rendered unable to return to Bahrain.</w:t>
      </w:r>
    </w:p>
    <w:p w:rsidR="00D05453" w:rsidRPr="00EB0BCC" w:rsidRDefault="009C670F" w:rsidP="00CD1535">
      <w:pPr>
        <w:pStyle w:val="BodyText"/>
        <w:tabs>
          <w:tab w:val="right" w:pos="8910"/>
        </w:tabs>
        <w:spacing w:after="0"/>
        <w:ind w:left="737" w:right="18"/>
        <w:jc w:val="both"/>
        <w:rPr>
          <w:b/>
          <w:bCs/>
          <w:i/>
          <w:iCs/>
          <w:color w:val="000000" w:themeColor="text1"/>
          <w:szCs w:val="24"/>
          <w:lang w:val="en-GB"/>
        </w:rPr>
      </w:pPr>
      <w:r w:rsidRPr="00EB0BCC">
        <w:rPr>
          <w:b/>
          <w:bCs/>
          <w:i/>
          <w:iCs/>
          <w:color w:val="000000" w:themeColor="text1"/>
          <w:szCs w:val="24"/>
          <w:lang w:val="en-GB"/>
        </w:rPr>
        <w:t>Other Cases of Unlawful Travel Restrictions</w:t>
      </w:r>
    </w:p>
    <w:p w:rsidR="009C670F" w:rsidRPr="00EB0BCC" w:rsidRDefault="009C670F" w:rsidP="00BA35C4">
      <w:pPr>
        <w:pStyle w:val="BodyText"/>
        <w:tabs>
          <w:tab w:val="right" w:pos="8910"/>
        </w:tabs>
        <w:spacing w:after="0"/>
        <w:ind w:right="18"/>
        <w:jc w:val="both"/>
        <w:rPr>
          <w:color w:val="000000" w:themeColor="text1"/>
          <w:szCs w:val="24"/>
          <w:lang w:val="en-GB"/>
        </w:rPr>
      </w:pPr>
    </w:p>
    <w:p w:rsidR="00B55B6E" w:rsidRPr="00EB0BCC" w:rsidRDefault="00B55B6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Approximately two dozen human rights defenders </w:t>
      </w:r>
      <w:r w:rsidR="00087E49" w:rsidRPr="00EB0BCC">
        <w:rPr>
          <w:color w:val="000000" w:themeColor="text1"/>
          <w:szCs w:val="24"/>
          <w:lang w:val="en-GB"/>
        </w:rPr>
        <w:t xml:space="preserve">were denied the right to </w:t>
      </w:r>
      <w:r w:rsidRPr="00EB0BCC">
        <w:rPr>
          <w:color w:val="000000" w:themeColor="text1"/>
          <w:szCs w:val="24"/>
          <w:lang w:val="en-GB"/>
        </w:rPr>
        <w:t>travel in June and July 2016 to destinations including Geneva for the 32nd session of the UN HRC in Geneva</w:t>
      </w:r>
      <w:r w:rsidR="00BB1A8D" w:rsidRPr="00EB0BCC">
        <w:rPr>
          <w:color w:val="000000" w:themeColor="text1"/>
          <w:szCs w:val="24"/>
          <w:lang w:val="en-GB"/>
        </w:rPr>
        <w:t xml:space="preserve"> </w:t>
      </w:r>
      <w:r w:rsidR="0005769A" w:rsidRPr="00EB0BCC">
        <w:rPr>
          <w:color w:val="000000" w:themeColor="text1"/>
          <w:szCs w:val="24"/>
          <w:lang w:val="en-GB"/>
        </w:rPr>
        <w:t>(</w:t>
      </w:r>
      <w:r w:rsidR="00D41864" w:rsidRPr="00EB0BCC">
        <w:rPr>
          <w:color w:val="000000" w:themeColor="text1"/>
          <w:szCs w:val="24"/>
          <w:lang w:val="en-GB"/>
        </w:rPr>
        <w:t>0</w:t>
      </w:r>
      <w:r w:rsidR="0005769A" w:rsidRPr="00EB0BCC">
        <w:rPr>
          <w:color w:val="000000" w:themeColor="text1"/>
          <w:szCs w:val="24"/>
          <w:lang w:val="en-GB"/>
        </w:rPr>
        <w:t xml:space="preserve">6 June to </w:t>
      </w:r>
      <w:r w:rsidR="00D41864" w:rsidRPr="00EB0BCC">
        <w:rPr>
          <w:color w:val="000000" w:themeColor="text1"/>
          <w:szCs w:val="24"/>
          <w:lang w:val="en-GB"/>
        </w:rPr>
        <w:t>0</w:t>
      </w:r>
      <w:r w:rsidR="0005769A" w:rsidRPr="00EB0BCC">
        <w:rPr>
          <w:color w:val="000000" w:themeColor="text1"/>
          <w:szCs w:val="24"/>
          <w:lang w:val="en-GB"/>
        </w:rPr>
        <w:t>1 July 2016)</w:t>
      </w:r>
      <w:r w:rsidRPr="00EB0BCC">
        <w:rPr>
          <w:color w:val="000000" w:themeColor="text1"/>
          <w:szCs w:val="24"/>
          <w:lang w:val="en-GB"/>
        </w:rPr>
        <w:t>.</w:t>
      </w:r>
      <w:r w:rsidR="000E2F57" w:rsidRPr="00EB0BCC">
        <w:rPr>
          <w:color w:val="000000" w:themeColor="text1"/>
          <w:szCs w:val="24"/>
          <w:lang w:val="en-GB"/>
        </w:rPr>
        <w:t xml:space="preserve"> </w:t>
      </w:r>
      <w:r w:rsidR="00087E49" w:rsidRPr="00EB0BCC">
        <w:rPr>
          <w:color w:val="000000" w:themeColor="text1"/>
          <w:szCs w:val="24"/>
          <w:lang w:val="en-GB"/>
        </w:rPr>
        <w:t xml:space="preserve">Travel bans were imposed on </w:t>
      </w:r>
      <w:r w:rsidRPr="00EB0BCC">
        <w:rPr>
          <w:color w:val="000000" w:themeColor="text1"/>
          <w:szCs w:val="24"/>
          <w:lang w:val="en-GB"/>
        </w:rPr>
        <w:t>human rights defender Hussain Radhi of the Bahrain Centre for Human Rights (BCHR), Ebtisam Al-Saegh of Salam for Human Rights and Democracy, unionist and activist Ebrahim Al-Demistani, the parents of Ali Mushaima, a victim of extrajudicial killing, and the father of another victim of extrajudicial killing Sayed Has</w:t>
      </w:r>
      <w:r w:rsidR="00B25273" w:rsidRPr="00EB0BCC">
        <w:rPr>
          <w:color w:val="000000" w:themeColor="text1"/>
          <w:szCs w:val="24"/>
          <w:lang w:val="en-GB"/>
        </w:rPr>
        <w:t>h</w:t>
      </w:r>
      <w:r w:rsidRPr="00EB0BCC">
        <w:rPr>
          <w:color w:val="000000" w:themeColor="text1"/>
          <w:szCs w:val="24"/>
          <w:lang w:val="en-GB"/>
        </w:rPr>
        <w:t>im, all of whom were due to participate in the delegation in Geneva.</w:t>
      </w:r>
    </w:p>
    <w:p w:rsidR="00B55B6E" w:rsidRPr="00EB0BCC" w:rsidRDefault="009A5391"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Others subjected to travel bans included </w:t>
      </w:r>
      <w:r w:rsidR="00B55B6E" w:rsidRPr="00EB0BCC">
        <w:rPr>
          <w:color w:val="000000" w:themeColor="text1"/>
          <w:szCs w:val="24"/>
          <w:lang w:val="en-GB"/>
        </w:rPr>
        <w:t xml:space="preserve">human rights lawyer Mohammed Al-Tajer, head of the Bahrain Transparency Association Sharaf Al-Mosawi, </w:t>
      </w:r>
      <w:r w:rsidRPr="00EB0BCC">
        <w:rPr>
          <w:color w:val="000000" w:themeColor="text1"/>
          <w:szCs w:val="24"/>
          <w:lang w:val="en-GB"/>
        </w:rPr>
        <w:t xml:space="preserve">Zainab Al-Khamis, Abdulnabi Al-Ekry, </w:t>
      </w:r>
      <w:r w:rsidR="00B55B6E" w:rsidRPr="00EB0BCC">
        <w:rPr>
          <w:color w:val="000000" w:themeColor="text1"/>
          <w:szCs w:val="24"/>
          <w:lang w:val="en-GB"/>
        </w:rPr>
        <w:t>and members of the Bahrain Human Rights Observatory (BHRO)</w:t>
      </w:r>
      <w:r w:rsidRPr="00EB0BCC">
        <w:rPr>
          <w:color w:val="000000" w:themeColor="text1"/>
          <w:szCs w:val="24"/>
          <w:lang w:val="en-GB"/>
        </w:rPr>
        <w:t>.</w:t>
      </w:r>
      <w:r w:rsidR="000E2F57" w:rsidRPr="00EB0BCC">
        <w:rPr>
          <w:color w:val="000000" w:themeColor="text1"/>
          <w:szCs w:val="24"/>
          <w:lang w:val="en-GB"/>
        </w:rPr>
        <w:t xml:space="preserve"> </w:t>
      </w:r>
      <w:r w:rsidR="003947C5" w:rsidRPr="00EB0BCC">
        <w:rPr>
          <w:color w:val="000000" w:themeColor="text1"/>
          <w:szCs w:val="24"/>
          <w:lang w:val="en-GB"/>
        </w:rPr>
        <w:t>Additionally,</w:t>
      </w:r>
      <w:r w:rsidR="00B55B6E" w:rsidRPr="00EB0BCC">
        <w:rPr>
          <w:color w:val="000000" w:themeColor="text1"/>
          <w:szCs w:val="24"/>
          <w:lang w:val="en-GB"/>
        </w:rPr>
        <w:t xml:space="preserve"> Jalila Al-Salman, Vice-President of the dissolved Bahrain Teachers’ Society, was stopped from flying to Norway for an award ceremony</w:t>
      </w:r>
      <w:r w:rsidR="003947C5" w:rsidRPr="00EB0BCC">
        <w:rPr>
          <w:color w:val="000000" w:themeColor="text1"/>
          <w:szCs w:val="24"/>
          <w:lang w:val="en-GB"/>
        </w:rPr>
        <w:t xml:space="preserve"> on 13 June 2016.</w:t>
      </w:r>
    </w:p>
    <w:p w:rsidR="00B26E2A" w:rsidRPr="00EB0BCC" w:rsidRDefault="00B26E2A" w:rsidP="00BA35C4">
      <w:pPr>
        <w:pStyle w:val="BodyText"/>
        <w:tabs>
          <w:tab w:val="right" w:pos="8910"/>
        </w:tabs>
        <w:spacing w:after="0"/>
        <w:ind w:right="18"/>
        <w:jc w:val="both"/>
        <w:rPr>
          <w:color w:val="000000" w:themeColor="text1"/>
          <w:szCs w:val="24"/>
          <w:lang w:val="en-GB"/>
        </w:rPr>
      </w:pPr>
    </w:p>
    <w:p w:rsidR="00F309A1" w:rsidRPr="00EB0BCC" w:rsidRDefault="000F466D"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Later in 2016, </w:t>
      </w:r>
      <w:r w:rsidR="009C2C19" w:rsidRPr="00EB0BCC">
        <w:rPr>
          <w:color w:val="000000" w:themeColor="text1"/>
          <w:szCs w:val="24"/>
          <w:lang w:val="en-GB"/>
        </w:rPr>
        <w:t xml:space="preserve">Bahraini authorities </w:t>
      </w:r>
      <w:r w:rsidR="00BB1A8D" w:rsidRPr="00EB0BCC">
        <w:rPr>
          <w:color w:val="000000" w:themeColor="text1"/>
          <w:szCs w:val="24"/>
          <w:lang w:val="en-GB"/>
        </w:rPr>
        <w:t xml:space="preserve">also </w:t>
      </w:r>
      <w:r w:rsidR="009C2C19" w:rsidRPr="00EB0BCC">
        <w:rPr>
          <w:color w:val="000000" w:themeColor="text1"/>
          <w:szCs w:val="24"/>
          <w:lang w:val="en-GB"/>
        </w:rPr>
        <w:t xml:space="preserve">prevented </w:t>
      </w:r>
      <w:r w:rsidR="005F3C80" w:rsidRPr="00EB0BCC">
        <w:rPr>
          <w:color w:val="000000" w:themeColor="text1"/>
          <w:szCs w:val="24"/>
          <w:lang w:val="en-GB"/>
        </w:rPr>
        <w:t>BCHR</w:t>
      </w:r>
      <w:r w:rsidR="009C2C19" w:rsidRPr="00EB0BCC">
        <w:rPr>
          <w:color w:val="000000" w:themeColor="text1"/>
          <w:szCs w:val="24"/>
          <w:lang w:val="en-GB"/>
        </w:rPr>
        <w:t xml:space="preserve">'s head of documentation Enas Oun and human rights activist Ahmed </w:t>
      </w:r>
      <w:r w:rsidR="005F3C80" w:rsidRPr="00EB0BCC">
        <w:rPr>
          <w:color w:val="000000" w:themeColor="text1"/>
          <w:szCs w:val="24"/>
          <w:lang w:val="en-GB"/>
        </w:rPr>
        <w:t>Al</w:t>
      </w:r>
      <w:r w:rsidR="009C2C19" w:rsidRPr="00EB0BCC">
        <w:rPr>
          <w:color w:val="000000" w:themeColor="text1"/>
          <w:szCs w:val="24"/>
          <w:lang w:val="en-GB"/>
        </w:rPr>
        <w:t xml:space="preserve">-Saffar from leaving the country through King Fahad Causeway. Oun and </w:t>
      </w:r>
      <w:r w:rsidR="005F3C80" w:rsidRPr="00EB0BCC">
        <w:rPr>
          <w:color w:val="000000" w:themeColor="text1"/>
          <w:szCs w:val="24"/>
          <w:lang w:val="en-GB"/>
        </w:rPr>
        <w:t>Al</w:t>
      </w:r>
      <w:r w:rsidR="009C2C19" w:rsidRPr="00EB0BCC">
        <w:rPr>
          <w:color w:val="000000" w:themeColor="text1"/>
          <w:szCs w:val="24"/>
          <w:lang w:val="en-GB"/>
        </w:rPr>
        <w:t>-Saffar first found out about the travel ban in August prior to the 33rd Session of the UN Human Rights Council</w:t>
      </w:r>
      <w:r w:rsidR="00BB1A8D" w:rsidRPr="00EB0BCC">
        <w:rPr>
          <w:color w:val="000000" w:themeColor="text1"/>
          <w:szCs w:val="24"/>
          <w:lang w:val="en-GB"/>
        </w:rPr>
        <w:t xml:space="preserve"> (13 to 30 September 2016)</w:t>
      </w:r>
      <w:r w:rsidR="0005769A" w:rsidRPr="00EB0BCC">
        <w:rPr>
          <w:color w:val="000000" w:themeColor="text1"/>
          <w:szCs w:val="24"/>
          <w:lang w:val="en-GB"/>
        </w:rPr>
        <w:t xml:space="preserve"> in Geneva</w:t>
      </w:r>
      <w:r w:rsidR="009C2C19" w:rsidRPr="00EB0BCC">
        <w:rPr>
          <w:color w:val="000000" w:themeColor="text1"/>
          <w:szCs w:val="24"/>
          <w:lang w:val="en-GB"/>
        </w:rPr>
        <w:t>.</w:t>
      </w:r>
      <w:r w:rsidR="005F3C80" w:rsidRPr="00EB0BCC">
        <w:rPr>
          <w:color w:val="000000" w:themeColor="text1"/>
          <w:szCs w:val="24"/>
          <w:lang w:val="en-GB"/>
        </w:rPr>
        <w:t xml:space="preserve"> BCHR’s Head of International Relations Nedal Al-Salman was also banned from travel at this time, and BCHR’s President Nabeel Rajab remains under a travel ban since his arrest on </w:t>
      </w:r>
      <w:r w:rsidR="00D41864" w:rsidRPr="00EB0BCC">
        <w:rPr>
          <w:color w:val="000000" w:themeColor="text1"/>
          <w:szCs w:val="24"/>
          <w:lang w:val="en-GB"/>
        </w:rPr>
        <w:t>0</w:t>
      </w:r>
      <w:r w:rsidR="005F3C80" w:rsidRPr="00EB0BCC">
        <w:rPr>
          <w:color w:val="000000" w:themeColor="text1"/>
          <w:szCs w:val="24"/>
          <w:lang w:val="en-GB"/>
        </w:rPr>
        <w:t>1 October 2014.</w:t>
      </w:r>
    </w:p>
    <w:p w:rsidR="000F466D" w:rsidRPr="00EB0BCC" w:rsidRDefault="000F466D" w:rsidP="00BA35C4">
      <w:pPr>
        <w:pStyle w:val="BodyText"/>
        <w:tabs>
          <w:tab w:val="right" w:pos="8910"/>
        </w:tabs>
        <w:spacing w:after="0"/>
        <w:ind w:right="18"/>
        <w:jc w:val="both"/>
        <w:rPr>
          <w:color w:val="000000" w:themeColor="text1"/>
          <w:szCs w:val="24"/>
          <w:lang w:val="en-GB"/>
        </w:rPr>
      </w:pPr>
    </w:p>
    <w:p w:rsidR="000F466D" w:rsidRPr="00EB0BCC" w:rsidRDefault="00A574C5" w:rsidP="00CD153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br w:type="page"/>
      </w:r>
      <w:r w:rsidR="000F466D" w:rsidRPr="00EB0BCC">
        <w:rPr>
          <w:b/>
          <w:i/>
          <w:color w:val="000000" w:themeColor="text1"/>
          <w:szCs w:val="24"/>
          <w:lang w:val="en-GB"/>
        </w:rPr>
        <w:lastRenderedPageBreak/>
        <w:t>Maytham Al-Salman</w:t>
      </w:r>
      <w:r w:rsidR="000A0114" w:rsidRPr="00EB0BCC">
        <w:rPr>
          <w:b/>
          <w:i/>
          <w:color w:val="000000" w:themeColor="text1"/>
          <w:szCs w:val="24"/>
          <w:lang w:val="en-GB"/>
        </w:rPr>
        <w:t xml:space="preserve"> Case</w:t>
      </w:r>
    </w:p>
    <w:p w:rsidR="000F466D" w:rsidRPr="00EB0BCC" w:rsidRDefault="000F466D" w:rsidP="004A0494">
      <w:pPr>
        <w:pStyle w:val="BodyText"/>
        <w:numPr>
          <w:ilvl w:val="0"/>
          <w:numId w:val="18"/>
        </w:numPr>
        <w:tabs>
          <w:tab w:val="right" w:pos="8910"/>
        </w:tabs>
        <w:spacing w:after="0"/>
        <w:ind w:right="18"/>
        <w:jc w:val="both"/>
        <w:rPr>
          <w:color w:val="000000" w:themeColor="text1"/>
          <w:szCs w:val="24"/>
          <w:lang w:val="en-GB"/>
        </w:rPr>
      </w:pPr>
      <w:r w:rsidRPr="00EB0BCC">
        <w:rPr>
          <w:color w:val="000000" w:themeColor="text1"/>
          <w:szCs w:val="24"/>
          <w:lang w:val="en-GB"/>
        </w:rPr>
        <w:t xml:space="preserve">Human rights defender Maytham Al-Salman was subject to a travel ban following his participation in various international human rights related conferences. He was selected from over 500 applicants to participate in the 2016 Draper Hills Summer Fellowship Program at Stanford University based on “the significant contributions that he has made to build more tolerant societies to counter violence and extremism in the Middle East.” The Stanford University’s </w:t>
      </w:r>
      <w:r w:rsidR="00466471" w:rsidRPr="00EB0BCC">
        <w:rPr>
          <w:color w:val="000000" w:themeColor="text1"/>
          <w:szCs w:val="24"/>
          <w:lang w:val="en-GB"/>
        </w:rPr>
        <w:t>Centre</w:t>
      </w:r>
      <w:r w:rsidRPr="00EB0BCC">
        <w:rPr>
          <w:color w:val="000000" w:themeColor="text1"/>
          <w:szCs w:val="24"/>
          <w:lang w:val="en-GB"/>
        </w:rPr>
        <w:t xml:space="preserve"> on Democracy, Development, and the Rule of Law called on the Bahraini authorities to lift the ban to no avail.</w:t>
      </w:r>
      <w:r w:rsidRPr="00EB0BCC">
        <w:rPr>
          <w:rStyle w:val="FootnoteReference"/>
          <w:color w:val="000000" w:themeColor="text1"/>
          <w:szCs w:val="24"/>
          <w:lang w:val="en-GB"/>
        </w:rPr>
        <w:footnoteReference w:id="102"/>
      </w:r>
    </w:p>
    <w:p w:rsidR="009C2C19" w:rsidRPr="00EB0BCC" w:rsidRDefault="009C2C19" w:rsidP="00BA35C4">
      <w:pPr>
        <w:pStyle w:val="BodyText"/>
        <w:tabs>
          <w:tab w:val="right" w:pos="8910"/>
        </w:tabs>
        <w:spacing w:after="0"/>
        <w:ind w:right="18"/>
        <w:jc w:val="both"/>
        <w:rPr>
          <w:b/>
          <w:color w:val="000000" w:themeColor="text1"/>
          <w:szCs w:val="24"/>
          <w:lang w:val="en-GB"/>
        </w:rPr>
      </w:pPr>
    </w:p>
    <w:p w:rsidR="0033006A" w:rsidRPr="00EB0BCC" w:rsidRDefault="00EA5841" w:rsidP="00AD35CE">
      <w:pPr>
        <w:pStyle w:val="Heading3"/>
        <w:numPr>
          <w:ilvl w:val="0"/>
          <w:numId w:val="0"/>
        </w:numPr>
        <w:jc w:val="both"/>
        <w:rPr>
          <w:color w:val="000000" w:themeColor="text1"/>
          <w:lang w:val="en-GB"/>
        </w:rPr>
      </w:pPr>
      <w:bookmarkStart w:id="17" w:name="_Toc475984119"/>
      <w:r w:rsidRPr="00EB0BCC">
        <w:rPr>
          <w:color w:val="000000" w:themeColor="text1"/>
          <w:lang w:val="en-GB"/>
        </w:rPr>
        <w:t>X</w:t>
      </w:r>
      <w:r w:rsidR="0033006A" w:rsidRPr="00EB0BCC">
        <w:rPr>
          <w:color w:val="000000" w:themeColor="text1"/>
          <w:lang w:val="en-GB"/>
        </w:rPr>
        <w:t xml:space="preserve">. </w:t>
      </w:r>
      <w:r w:rsidR="00B806BE" w:rsidRPr="00EB0BCC">
        <w:rPr>
          <w:color w:val="000000" w:themeColor="text1"/>
          <w:lang w:val="en-GB"/>
        </w:rPr>
        <w:t>System</w:t>
      </w:r>
      <w:r w:rsidR="000B7347" w:rsidRPr="00EB0BCC">
        <w:rPr>
          <w:color w:val="000000" w:themeColor="text1"/>
          <w:lang w:val="en-GB"/>
        </w:rPr>
        <w:t>at</w:t>
      </w:r>
      <w:r w:rsidR="00B806BE" w:rsidRPr="00EB0BCC">
        <w:rPr>
          <w:color w:val="000000" w:themeColor="text1"/>
          <w:lang w:val="en-GB"/>
        </w:rPr>
        <w:t>ic Targeting of Hu</w:t>
      </w:r>
      <w:r w:rsidR="00BE6634" w:rsidRPr="00EB0BCC">
        <w:rPr>
          <w:color w:val="000000" w:themeColor="text1"/>
          <w:lang w:val="en-GB"/>
        </w:rPr>
        <w:t xml:space="preserve">man Rights </w:t>
      </w:r>
      <w:r w:rsidR="00DA0FDA" w:rsidRPr="00EB0BCC">
        <w:rPr>
          <w:color w:val="000000" w:themeColor="text1"/>
          <w:lang w:val="en-GB"/>
        </w:rPr>
        <w:t>Defenders</w:t>
      </w:r>
      <w:bookmarkEnd w:id="17"/>
      <w:r w:rsidR="000E2F57" w:rsidRPr="00EB0BCC">
        <w:rPr>
          <w:color w:val="000000" w:themeColor="text1"/>
          <w:lang w:val="en-GB"/>
        </w:rPr>
        <w:t xml:space="preserve"> </w:t>
      </w:r>
    </w:p>
    <w:p w:rsidR="00E4566D" w:rsidRPr="00EB0BCC" w:rsidRDefault="00AA738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Many of the witnesses interviewed </w:t>
      </w:r>
      <w:r w:rsidR="001B1805" w:rsidRPr="00EB0BCC">
        <w:rPr>
          <w:color w:val="000000" w:themeColor="text1"/>
          <w:szCs w:val="24"/>
          <w:lang w:val="en-GB"/>
        </w:rPr>
        <w:t xml:space="preserve">discussed in detail above </w:t>
      </w:r>
      <w:r w:rsidRPr="00EB0BCC">
        <w:rPr>
          <w:color w:val="000000" w:themeColor="text1"/>
          <w:szCs w:val="24"/>
          <w:lang w:val="en-GB"/>
        </w:rPr>
        <w:t xml:space="preserve">are prominent human rights defenders, often senior members or leaders of </w:t>
      </w:r>
      <w:r w:rsidR="001B1805" w:rsidRPr="00EB0BCC">
        <w:rPr>
          <w:color w:val="000000" w:themeColor="text1"/>
          <w:szCs w:val="24"/>
          <w:lang w:val="en-GB"/>
        </w:rPr>
        <w:t xml:space="preserve">well-known and </w:t>
      </w:r>
      <w:r w:rsidRPr="00EB0BCC">
        <w:rPr>
          <w:color w:val="000000" w:themeColor="text1"/>
          <w:szCs w:val="24"/>
          <w:lang w:val="en-GB"/>
        </w:rPr>
        <w:t>established organi</w:t>
      </w:r>
      <w:r w:rsidR="00314775" w:rsidRPr="00EB0BCC">
        <w:rPr>
          <w:color w:val="000000" w:themeColor="text1"/>
          <w:szCs w:val="24"/>
          <w:lang w:val="en-GB"/>
        </w:rPr>
        <w:t>s</w:t>
      </w:r>
      <w:r w:rsidRPr="00EB0BCC">
        <w:rPr>
          <w:color w:val="000000" w:themeColor="text1"/>
          <w:szCs w:val="24"/>
          <w:lang w:val="en-GB"/>
        </w:rPr>
        <w:t>ations for the promotion of human rights.</w:t>
      </w:r>
      <w:r w:rsidR="000E2F57" w:rsidRPr="00EB0BCC">
        <w:rPr>
          <w:color w:val="000000" w:themeColor="text1"/>
          <w:szCs w:val="24"/>
          <w:lang w:val="en-GB"/>
        </w:rPr>
        <w:t xml:space="preserve"> </w:t>
      </w:r>
      <w:r w:rsidR="001B1805" w:rsidRPr="00EB0BCC">
        <w:rPr>
          <w:color w:val="000000" w:themeColor="text1"/>
          <w:szCs w:val="24"/>
          <w:lang w:val="en-GB"/>
        </w:rPr>
        <w:t xml:space="preserve">The pattern indicates that the more outspoken an individual is on the subject of human rights, especially </w:t>
      </w:r>
      <w:r w:rsidR="005F0E30" w:rsidRPr="00EB0BCC">
        <w:rPr>
          <w:color w:val="000000" w:themeColor="text1"/>
          <w:szCs w:val="24"/>
          <w:lang w:val="en-GB"/>
        </w:rPr>
        <w:t xml:space="preserve">if he or she reports on </w:t>
      </w:r>
      <w:r w:rsidR="001B1805" w:rsidRPr="00EB0BCC">
        <w:rPr>
          <w:color w:val="000000" w:themeColor="text1"/>
          <w:szCs w:val="24"/>
          <w:lang w:val="en-GB"/>
        </w:rPr>
        <w:t xml:space="preserve">torture or abuse, the more likely he or she will be subjected to arrest, detention, deportation, or other </w:t>
      </w:r>
      <w:r w:rsidR="0064650B" w:rsidRPr="00EB0BCC">
        <w:rPr>
          <w:color w:val="000000" w:themeColor="text1"/>
          <w:szCs w:val="24"/>
          <w:lang w:val="en-GB"/>
        </w:rPr>
        <w:t>acts</w:t>
      </w:r>
      <w:r w:rsidR="00E4566D" w:rsidRPr="00EB0BCC">
        <w:rPr>
          <w:color w:val="000000" w:themeColor="text1"/>
          <w:szCs w:val="24"/>
          <w:lang w:val="en-GB"/>
        </w:rPr>
        <w:t xml:space="preserve"> of in</w:t>
      </w:r>
      <w:r w:rsidR="001B1805" w:rsidRPr="00EB0BCC">
        <w:rPr>
          <w:color w:val="000000" w:themeColor="text1"/>
          <w:szCs w:val="24"/>
          <w:lang w:val="en-GB"/>
        </w:rPr>
        <w:t>timidation or punishment.</w:t>
      </w:r>
      <w:r w:rsidR="000E2F57" w:rsidRPr="00EB0BCC">
        <w:rPr>
          <w:color w:val="000000" w:themeColor="text1"/>
          <w:szCs w:val="24"/>
          <w:lang w:val="en-GB"/>
        </w:rPr>
        <w:t xml:space="preserve"> </w:t>
      </w:r>
      <w:r w:rsidR="00BB4CDA" w:rsidRPr="00EB0BCC">
        <w:rPr>
          <w:color w:val="000000" w:themeColor="text1"/>
          <w:szCs w:val="24"/>
          <w:lang w:val="en-GB"/>
        </w:rPr>
        <w:t>In one recent example i</w:t>
      </w:r>
      <w:r w:rsidR="00E4566D" w:rsidRPr="00EB0BCC">
        <w:rPr>
          <w:color w:val="000000" w:themeColor="text1"/>
          <w:szCs w:val="24"/>
          <w:lang w:val="en-GB"/>
        </w:rPr>
        <w:t>n November 2016, Bahraini authorities summoned and interrogated human rights defenders, members of civil society organi</w:t>
      </w:r>
      <w:r w:rsidR="00314775" w:rsidRPr="00EB0BCC">
        <w:rPr>
          <w:color w:val="000000" w:themeColor="text1"/>
          <w:szCs w:val="24"/>
          <w:lang w:val="en-GB"/>
        </w:rPr>
        <w:t>s</w:t>
      </w:r>
      <w:r w:rsidR="00E4566D" w:rsidRPr="00EB0BCC">
        <w:rPr>
          <w:color w:val="000000" w:themeColor="text1"/>
          <w:szCs w:val="24"/>
          <w:lang w:val="en-GB"/>
        </w:rPr>
        <w:t>ations, and political activists and charged the majority with illegal assembly.</w:t>
      </w:r>
      <w:r w:rsidR="000E2F57" w:rsidRPr="00EB0BCC">
        <w:rPr>
          <w:color w:val="000000" w:themeColor="text1"/>
          <w:szCs w:val="24"/>
          <w:lang w:val="en-GB"/>
        </w:rPr>
        <w:t xml:space="preserve"> </w:t>
      </w:r>
      <w:r w:rsidR="00E4566D" w:rsidRPr="00EB0BCC">
        <w:rPr>
          <w:color w:val="000000" w:themeColor="text1"/>
          <w:szCs w:val="24"/>
          <w:lang w:val="en-GB"/>
        </w:rPr>
        <w:t xml:space="preserve">Among those summoned include BCHR members Enas Oun and Ahmed al-Saffar, </w:t>
      </w:r>
      <w:r w:rsidR="00F72A0E" w:rsidRPr="00EB0BCC">
        <w:rPr>
          <w:color w:val="000000" w:themeColor="text1"/>
          <w:szCs w:val="24"/>
          <w:lang w:val="en-GB"/>
        </w:rPr>
        <w:t>Bahrain Human Rights Society (</w:t>
      </w:r>
      <w:r w:rsidR="00E4566D" w:rsidRPr="00EB0BCC">
        <w:rPr>
          <w:color w:val="000000" w:themeColor="text1"/>
          <w:szCs w:val="24"/>
          <w:lang w:val="en-GB"/>
        </w:rPr>
        <w:t>BHRS</w:t>
      </w:r>
      <w:r w:rsidR="00F72A0E" w:rsidRPr="00EB0BCC">
        <w:rPr>
          <w:color w:val="000000" w:themeColor="text1"/>
          <w:szCs w:val="24"/>
          <w:lang w:val="en-GB"/>
        </w:rPr>
        <w:t>)</w:t>
      </w:r>
      <w:r w:rsidR="00E4566D" w:rsidRPr="00EB0BCC">
        <w:rPr>
          <w:color w:val="000000" w:themeColor="text1"/>
          <w:szCs w:val="24"/>
          <w:lang w:val="en-GB"/>
        </w:rPr>
        <w:t xml:space="preserve"> members Abdulnabi </w:t>
      </w:r>
      <w:r w:rsidR="00F72A0E" w:rsidRPr="00EB0BCC">
        <w:rPr>
          <w:color w:val="000000" w:themeColor="text1"/>
          <w:szCs w:val="24"/>
          <w:lang w:val="en-GB"/>
        </w:rPr>
        <w:t>Al</w:t>
      </w:r>
      <w:r w:rsidR="00E4566D" w:rsidRPr="00EB0BCC">
        <w:rPr>
          <w:color w:val="000000" w:themeColor="text1"/>
          <w:szCs w:val="24"/>
          <w:lang w:val="en-GB"/>
        </w:rPr>
        <w:t>-Ekri and Zainab Khamis, Wa'ad</w:t>
      </w:r>
      <w:r w:rsidR="00BB4CDA" w:rsidRPr="00EB0BCC">
        <w:rPr>
          <w:color w:val="000000" w:themeColor="text1"/>
          <w:szCs w:val="24"/>
          <w:lang w:val="en-GB"/>
        </w:rPr>
        <w:t xml:space="preserve"> Society</w:t>
      </w:r>
      <w:r w:rsidR="00E4566D" w:rsidRPr="00EB0BCC">
        <w:rPr>
          <w:color w:val="000000" w:themeColor="text1"/>
          <w:szCs w:val="24"/>
          <w:lang w:val="en-GB"/>
        </w:rPr>
        <w:t xml:space="preserve">'s former secretary general Radhi </w:t>
      </w:r>
      <w:r w:rsidR="00F72A0E" w:rsidRPr="00EB0BCC">
        <w:rPr>
          <w:color w:val="000000" w:themeColor="text1"/>
          <w:szCs w:val="24"/>
          <w:lang w:val="en-GB"/>
        </w:rPr>
        <w:t>Al</w:t>
      </w:r>
      <w:r w:rsidR="00E4566D" w:rsidRPr="00EB0BCC">
        <w:rPr>
          <w:color w:val="000000" w:themeColor="text1"/>
          <w:szCs w:val="24"/>
          <w:lang w:val="en-GB"/>
        </w:rPr>
        <w:t xml:space="preserve">-Mosawi, and human rights lawyer Mohammed </w:t>
      </w:r>
      <w:r w:rsidR="00F72A0E" w:rsidRPr="00EB0BCC">
        <w:rPr>
          <w:color w:val="000000" w:themeColor="text1"/>
          <w:szCs w:val="24"/>
          <w:lang w:val="en-GB"/>
        </w:rPr>
        <w:t>Al</w:t>
      </w:r>
      <w:r w:rsidR="00E4566D" w:rsidRPr="00EB0BCC">
        <w:rPr>
          <w:color w:val="000000" w:themeColor="text1"/>
          <w:szCs w:val="24"/>
          <w:lang w:val="en-GB"/>
        </w:rPr>
        <w:t>-Tajer.</w:t>
      </w:r>
      <w:r w:rsidR="000E2F57" w:rsidRPr="00EB0BCC">
        <w:rPr>
          <w:color w:val="000000" w:themeColor="text1"/>
          <w:szCs w:val="24"/>
          <w:lang w:val="en-GB"/>
        </w:rPr>
        <w:t xml:space="preserve"> </w:t>
      </w:r>
      <w:r w:rsidR="007E7473" w:rsidRPr="00EB0BCC">
        <w:rPr>
          <w:color w:val="000000" w:themeColor="text1"/>
          <w:szCs w:val="24"/>
          <w:lang w:val="en-GB"/>
        </w:rPr>
        <w:t>B</w:t>
      </w:r>
      <w:r w:rsidR="00E4566D" w:rsidRPr="00EB0BCC">
        <w:rPr>
          <w:color w:val="000000" w:themeColor="text1"/>
          <w:szCs w:val="24"/>
          <w:lang w:val="en-GB"/>
        </w:rPr>
        <w:t>ecause of their well-known leadership r</w:t>
      </w:r>
      <w:r w:rsidR="00030E7C" w:rsidRPr="00EB0BCC">
        <w:rPr>
          <w:color w:val="000000" w:themeColor="text1"/>
          <w:szCs w:val="24"/>
          <w:lang w:val="en-GB"/>
        </w:rPr>
        <w:t>oles</w:t>
      </w:r>
      <w:r w:rsidR="00F72A0E" w:rsidRPr="00EB0BCC">
        <w:rPr>
          <w:color w:val="000000" w:themeColor="text1"/>
          <w:szCs w:val="24"/>
          <w:lang w:val="en-GB"/>
        </w:rPr>
        <w:t xml:space="preserve"> </w:t>
      </w:r>
      <w:r w:rsidR="00030E7C" w:rsidRPr="00EB0BCC">
        <w:rPr>
          <w:color w:val="000000" w:themeColor="text1"/>
          <w:szCs w:val="24"/>
          <w:lang w:val="en-GB"/>
        </w:rPr>
        <w:t>in</w:t>
      </w:r>
      <w:r w:rsidR="00E4566D" w:rsidRPr="00EB0BCC">
        <w:rPr>
          <w:color w:val="000000" w:themeColor="text1"/>
          <w:szCs w:val="24"/>
          <w:lang w:val="en-GB"/>
        </w:rPr>
        <w:t xml:space="preserve"> human rights organi</w:t>
      </w:r>
      <w:r w:rsidR="00314775" w:rsidRPr="00EB0BCC">
        <w:rPr>
          <w:color w:val="000000" w:themeColor="text1"/>
          <w:szCs w:val="24"/>
          <w:lang w:val="en-GB"/>
        </w:rPr>
        <w:t>s</w:t>
      </w:r>
      <w:r w:rsidR="00E4566D" w:rsidRPr="00EB0BCC">
        <w:rPr>
          <w:color w:val="000000" w:themeColor="text1"/>
          <w:szCs w:val="24"/>
          <w:lang w:val="en-GB"/>
        </w:rPr>
        <w:t xml:space="preserve">ations, </w:t>
      </w:r>
      <w:r w:rsidR="007E7473" w:rsidRPr="00EB0BCC">
        <w:rPr>
          <w:color w:val="000000" w:themeColor="text1"/>
          <w:szCs w:val="24"/>
          <w:lang w:val="en-GB"/>
        </w:rPr>
        <w:t xml:space="preserve">Nabeel Rajab, Hussain Jawad, Naji Fateel, Abdulhadi Al-Khawaja and Maryam Al-Khawaja </w:t>
      </w:r>
      <w:r w:rsidR="00E4566D" w:rsidRPr="00EB0BCC">
        <w:rPr>
          <w:color w:val="000000" w:themeColor="text1"/>
          <w:szCs w:val="24"/>
          <w:lang w:val="en-GB"/>
        </w:rPr>
        <w:t>have been targeted for</w:t>
      </w:r>
      <w:r w:rsidR="00F72A0E" w:rsidRPr="00EB0BCC">
        <w:rPr>
          <w:color w:val="000000" w:themeColor="text1"/>
          <w:szCs w:val="24"/>
          <w:lang w:val="en-GB"/>
        </w:rPr>
        <w:t xml:space="preserve"> harassment</w:t>
      </w:r>
      <w:r w:rsidR="00742439" w:rsidRPr="00EB0BCC">
        <w:rPr>
          <w:color w:val="000000" w:themeColor="text1"/>
          <w:szCs w:val="24"/>
          <w:lang w:val="en-GB"/>
        </w:rPr>
        <w:t>, intimidation, and reprisals</w:t>
      </w:r>
      <w:r w:rsidR="00E4566D" w:rsidRPr="00EB0BCC">
        <w:rPr>
          <w:color w:val="000000" w:themeColor="text1"/>
          <w:szCs w:val="24"/>
          <w:lang w:val="en-GB"/>
        </w:rPr>
        <w:t>.</w:t>
      </w:r>
    </w:p>
    <w:p w:rsidR="008C1A59" w:rsidRPr="00EB0BCC" w:rsidRDefault="008C1A59" w:rsidP="00A574C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 xml:space="preserve">Mohammed </w:t>
      </w:r>
      <w:r w:rsidR="00F72A0E" w:rsidRPr="00EB0BCC">
        <w:rPr>
          <w:b/>
          <w:i/>
          <w:color w:val="000000" w:themeColor="text1"/>
          <w:szCs w:val="24"/>
          <w:lang w:val="en-GB"/>
        </w:rPr>
        <w:t>Al</w:t>
      </w:r>
      <w:r w:rsidRPr="00EB0BCC">
        <w:rPr>
          <w:b/>
          <w:i/>
          <w:color w:val="000000" w:themeColor="text1"/>
          <w:szCs w:val="24"/>
          <w:lang w:val="en-GB"/>
        </w:rPr>
        <w:t xml:space="preserve">-Tajer </w:t>
      </w:r>
      <w:r w:rsidR="000A0114" w:rsidRPr="00EB0BCC">
        <w:rPr>
          <w:b/>
          <w:i/>
          <w:color w:val="000000" w:themeColor="text1"/>
          <w:szCs w:val="24"/>
          <w:lang w:val="en-GB"/>
        </w:rPr>
        <w:t>C</w:t>
      </w:r>
      <w:r w:rsidRPr="00EB0BCC">
        <w:rPr>
          <w:b/>
          <w:i/>
          <w:color w:val="000000" w:themeColor="text1"/>
          <w:szCs w:val="24"/>
          <w:lang w:val="en-GB"/>
        </w:rPr>
        <w:t>ase</w:t>
      </w:r>
    </w:p>
    <w:p w:rsidR="00513A16" w:rsidRPr="00EB0BCC" w:rsidRDefault="008C1A5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Lawyer Mohammed </w:t>
      </w:r>
      <w:r w:rsidR="00F72A0E" w:rsidRPr="00EB0BCC">
        <w:rPr>
          <w:color w:val="000000" w:themeColor="text1"/>
          <w:szCs w:val="24"/>
          <w:lang w:val="en-GB"/>
        </w:rPr>
        <w:t>Al</w:t>
      </w:r>
      <w:r w:rsidRPr="00EB0BCC">
        <w:rPr>
          <w:color w:val="000000" w:themeColor="text1"/>
          <w:szCs w:val="24"/>
          <w:lang w:val="en-GB"/>
        </w:rPr>
        <w:t>-Tajer, President of Lawyers for Human Rights</w:t>
      </w:r>
      <w:r w:rsidR="005D1D29" w:rsidRPr="00EB0BCC">
        <w:rPr>
          <w:color w:val="000000" w:themeColor="text1"/>
          <w:szCs w:val="24"/>
          <w:lang w:val="en-GB"/>
        </w:rPr>
        <w:t xml:space="preserve"> -</w:t>
      </w:r>
      <w:r w:rsidRPr="00EB0BCC">
        <w:rPr>
          <w:color w:val="000000" w:themeColor="text1"/>
          <w:szCs w:val="24"/>
          <w:lang w:val="en-GB"/>
        </w:rPr>
        <w:t xml:space="preserve"> Bahrain, was interrogated </w:t>
      </w:r>
      <w:r w:rsidR="008228B2" w:rsidRPr="00EB0BCC">
        <w:rPr>
          <w:color w:val="000000" w:themeColor="text1"/>
          <w:szCs w:val="24"/>
          <w:lang w:val="en-GB"/>
        </w:rPr>
        <w:t xml:space="preserve">by the General Public Prosecutor's Office </w:t>
      </w:r>
      <w:r w:rsidRPr="00EB0BCC">
        <w:rPr>
          <w:color w:val="000000" w:themeColor="text1"/>
          <w:szCs w:val="24"/>
          <w:lang w:val="en-GB"/>
        </w:rPr>
        <w:t>on 10</w:t>
      </w:r>
      <w:r w:rsidR="008228B2" w:rsidRPr="00EB0BCC">
        <w:rPr>
          <w:color w:val="000000" w:themeColor="text1"/>
          <w:szCs w:val="24"/>
          <w:lang w:val="en-GB"/>
        </w:rPr>
        <w:t xml:space="preserve"> November </w:t>
      </w:r>
      <w:r w:rsidRPr="00EB0BCC">
        <w:rPr>
          <w:color w:val="000000" w:themeColor="text1"/>
          <w:szCs w:val="24"/>
          <w:lang w:val="en-GB"/>
        </w:rPr>
        <w:t xml:space="preserve">2016, </w:t>
      </w:r>
      <w:r w:rsidR="008228B2" w:rsidRPr="00EB0BCC">
        <w:rPr>
          <w:color w:val="000000" w:themeColor="text1"/>
          <w:szCs w:val="24"/>
          <w:lang w:val="en-GB"/>
        </w:rPr>
        <w:t xml:space="preserve">and charged with insulting a sect </w:t>
      </w:r>
      <w:r w:rsidR="007937F7" w:rsidRPr="00EB0BCC">
        <w:rPr>
          <w:color w:val="000000" w:themeColor="text1"/>
          <w:szCs w:val="24"/>
          <w:lang w:val="en-GB"/>
        </w:rPr>
        <w:t xml:space="preserve">pursuant to </w:t>
      </w:r>
      <w:r w:rsidR="008228B2" w:rsidRPr="00EB0BCC">
        <w:rPr>
          <w:color w:val="000000" w:themeColor="text1"/>
          <w:szCs w:val="24"/>
          <w:lang w:val="en-GB"/>
        </w:rPr>
        <w:t xml:space="preserve">Article 172 of the Penal Code, telephone misuse </w:t>
      </w:r>
      <w:r w:rsidR="007937F7" w:rsidRPr="00EB0BCC">
        <w:rPr>
          <w:color w:val="000000" w:themeColor="text1"/>
          <w:szCs w:val="24"/>
          <w:lang w:val="en-GB"/>
        </w:rPr>
        <w:t xml:space="preserve">pursuant to </w:t>
      </w:r>
      <w:r w:rsidR="008228B2" w:rsidRPr="00EB0BCC">
        <w:rPr>
          <w:color w:val="000000" w:themeColor="text1"/>
          <w:szCs w:val="24"/>
          <w:lang w:val="en-GB"/>
        </w:rPr>
        <w:t>Article 290</w:t>
      </w:r>
      <w:r w:rsidR="00B30FED" w:rsidRPr="00EB0BCC">
        <w:rPr>
          <w:color w:val="000000" w:themeColor="text1"/>
          <w:szCs w:val="24"/>
          <w:lang w:val="en-GB"/>
        </w:rPr>
        <w:t>,</w:t>
      </w:r>
      <w:r w:rsidR="008228B2" w:rsidRPr="00EB0BCC">
        <w:rPr>
          <w:color w:val="000000" w:themeColor="text1"/>
          <w:szCs w:val="24"/>
          <w:lang w:val="en-GB"/>
        </w:rPr>
        <w:t xml:space="preserve"> and insulting </w:t>
      </w:r>
      <w:r w:rsidR="00B30FED" w:rsidRPr="00EB0BCC">
        <w:rPr>
          <w:color w:val="000000" w:themeColor="text1"/>
          <w:szCs w:val="24"/>
          <w:lang w:val="en-GB"/>
        </w:rPr>
        <w:t>“</w:t>
      </w:r>
      <w:r w:rsidR="008228B2" w:rsidRPr="00EB0BCC">
        <w:rPr>
          <w:color w:val="000000" w:themeColor="text1"/>
          <w:szCs w:val="24"/>
          <w:lang w:val="en-GB"/>
        </w:rPr>
        <w:t>statutory bod</w:t>
      </w:r>
      <w:r w:rsidR="00B30FED" w:rsidRPr="00EB0BCC">
        <w:rPr>
          <w:color w:val="000000" w:themeColor="text1"/>
          <w:szCs w:val="24"/>
          <w:lang w:val="en-GB"/>
        </w:rPr>
        <w:t>ies”</w:t>
      </w:r>
      <w:r w:rsidR="008228B2" w:rsidRPr="00EB0BCC">
        <w:rPr>
          <w:color w:val="000000" w:themeColor="text1"/>
          <w:szCs w:val="24"/>
          <w:lang w:val="en-GB"/>
        </w:rPr>
        <w:t xml:space="preserve"> </w:t>
      </w:r>
      <w:r w:rsidR="007937F7" w:rsidRPr="00EB0BCC">
        <w:rPr>
          <w:color w:val="000000" w:themeColor="text1"/>
          <w:szCs w:val="24"/>
          <w:lang w:val="en-GB"/>
        </w:rPr>
        <w:t xml:space="preserve">pursuant to </w:t>
      </w:r>
      <w:r w:rsidR="008228B2" w:rsidRPr="00EB0BCC">
        <w:rPr>
          <w:color w:val="000000" w:themeColor="text1"/>
          <w:szCs w:val="24"/>
          <w:lang w:val="en-GB"/>
        </w:rPr>
        <w:t>Article 216</w:t>
      </w:r>
      <w:r w:rsidR="00B30FED" w:rsidRPr="00EB0BCC">
        <w:rPr>
          <w:color w:val="000000" w:themeColor="text1"/>
          <w:szCs w:val="24"/>
          <w:lang w:val="en-GB"/>
        </w:rPr>
        <w:t xml:space="preserve"> (specifically, the statutory offices of the P</w:t>
      </w:r>
      <w:r w:rsidR="008228B2" w:rsidRPr="00EB0BCC">
        <w:rPr>
          <w:color w:val="000000" w:themeColor="text1"/>
          <w:szCs w:val="24"/>
          <w:lang w:val="en-GB"/>
        </w:rPr>
        <w:t xml:space="preserve">ublic </w:t>
      </w:r>
      <w:r w:rsidR="00B30FED" w:rsidRPr="00EB0BCC">
        <w:rPr>
          <w:color w:val="000000" w:themeColor="text1"/>
          <w:szCs w:val="24"/>
          <w:lang w:val="en-GB"/>
        </w:rPr>
        <w:t>P</w:t>
      </w:r>
      <w:r w:rsidR="008228B2" w:rsidRPr="00EB0BCC">
        <w:rPr>
          <w:color w:val="000000" w:themeColor="text1"/>
          <w:szCs w:val="24"/>
          <w:lang w:val="en-GB"/>
        </w:rPr>
        <w:t>rosecutor</w:t>
      </w:r>
      <w:r w:rsidR="00B30FED" w:rsidRPr="00EB0BCC">
        <w:rPr>
          <w:color w:val="000000" w:themeColor="text1"/>
          <w:szCs w:val="24"/>
          <w:lang w:val="en-GB"/>
        </w:rPr>
        <w:t>,</w:t>
      </w:r>
      <w:r w:rsidR="008228B2" w:rsidRPr="00EB0BCC">
        <w:rPr>
          <w:color w:val="000000" w:themeColor="text1"/>
          <w:szCs w:val="24"/>
          <w:lang w:val="en-GB"/>
        </w:rPr>
        <w:t xml:space="preserve"> the Interior Ministry</w:t>
      </w:r>
      <w:r w:rsidR="00B30FED" w:rsidRPr="00EB0BCC">
        <w:rPr>
          <w:color w:val="000000" w:themeColor="text1"/>
          <w:szCs w:val="24"/>
          <w:lang w:val="en-GB"/>
        </w:rPr>
        <w:t>,</w:t>
      </w:r>
      <w:r w:rsidR="008228B2" w:rsidRPr="00EB0BCC">
        <w:rPr>
          <w:color w:val="000000" w:themeColor="text1"/>
          <w:szCs w:val="24"/>
          <w:lang w:val="en-GB"/>
        </w:rPr>
        <w:t xml:space="preserve"> and the Criminal Investigation D</w:t>
      </w:r>
      <w:r w:rsidR="00B30FED" w:rsidRPr="00EB0BCC">
        <w:rPr>
          <w:color w:val="000000" w:themeColor="text1"/>
          <w:szCs w:val="24"/>
          <w:lang w:val="en-GB"/>
        </w:rPr>
        <w:t>irectorate)</w:t>
      </w:r>
      <w:r w:rsidR="008228B2" w:rsidRPr="00EB0BCC">
        <w:rPr>
          <w:color w:val="000000" w:themeColor="text1"/>
          <w:szCs w:val="24"/>
          <w:lang w:val="en-GB"/>
        </w:rPr>
        <w:t>.</w:t>
      </w:r>
      <w:r w:rsidR="000E2F57" w:rsidRPr="00EB0BCC">
        <w:rPr>
          <w:color w:val="000000" w:themeColor="text1"/>
          <w:szCs w:val="24"/>
          <w:lang w:val="en-GB"/>
        </w:rPr>
        <w:t xml:space="preserve"> </w:t>
      </w:r>
      <w:r w:rsidR="005D1D29" w:rsidRPr="00EB0BCC">
        <w:rPr>
          <w:color w:val="000000" w:themeColor="text1"/>
          <w:szCs w:val="24"/>
          <w:lang w:val="en-GB"/>
        </w:rPr>
        <w:t>The latter charges were based on comments made on Twitter.</w:t>
      </w:r>
      <w:r w:rsidR="000E2F57" w:rsidRPr="00EB0BCC">
        <w:rPr>
          <w:color w:val="000000" w:themeColor="text1"/>
          <w:szCs w:val="24"/>
          <w:lang w:val="en-GB"/>
        </w:rPr>
        <w:t xml:space="preserve"> </w:t>
      </w:r>
      <w:r w:rsidR="005D1D29" w:rsidRPr="00EB0BCC">
        <w:rPr>
          <w:color w:val="000000" w:themeColor="text1"/>
          <w:szCs w:val="24"/>
          <w:lang w:val="en-GB"/>
        </w:rPr>
        <w:t xml:space="preserve">The </w:t>
      </w:r>
      <w:r w:rsidR="006339F7" w:rsidRPr="00EB0BCC">
        <w:rPr>
          <w:color w:val="000000" w:themeColor="text1"/>
          <w:szCs w:val="24"/>
          <w:lang w:val="en-GB"/>
        </w:rPr>
        <w:t xml:space="preserve">incidents of </w:t>
      </w:r>
      <w:r w:rsidR="005D1D29" w:rsidRPr="00EB0BCC">
        <w:rPr>
          <w:color w:val="000000" w:themeColor="text1"/>
          <w:szCs w:val="24"/>
          <w:lang w:val="en-GB"/>
        </w:rPr>
        <w:t xml:space="preserve">surveillance of social media and curtailment of free expression </w:t>
      </w:r>
      <w:r w:rsidR="006339F7" w:rsidRPr="00EB0BCC">
        <w:rPr>
          <w:color w:val="000000" w:themeColor="text1"/>
          <w:szCs w:val="24"/>
          <w:lang w:val="en-GB"/>
        </w:rPr>
        <w:t>by the Department of Cyber Crime have increased and have become a tool of choice for targeting human rights defenders, as can be seen in several of the charges against many others defendants.</w:t>
      </w:r>
      <w:r w:rsidR="000E2F57" w:rsidRPr="00EB0BCC">
        <w:rPr>
          <w:color w:val="000000" w:themeColor="text1"/>
          <w:szCs w:val="24"/>
          <w:lang w:val="en-GB"/>
        </w:rPr>
        <w:t xml:space="preserve"> </w:t>
      </w:r>
      <w:r w:rsidRPr="00EB0BCC">
        <w:rPr>
          <w:color w:val="000000" w:themeColor="text1"/>
          <w:szCs w:val="24"/>
          <w:lang w:val="en-GB"/>
        </w:rPr>
        <w:t>Al</w:t>
      </w:r>
      <w:r w:rsidR="00FC7B11" w:rsidRPr="00EB0BCC">
        <w:rPr>
          <w:color w:val="000000" w:themeColor="text1"/>
          <w:szCs w:val="24"/>
          <w:lang w:val="en-GB"/>
        </w:rPr>
        <w:t>-T</w:t>
      </w:r>
      <w:r w:rsidRPr="00EB0BCC">
        <w:rPr>
          <w:color w:val="000000" w:themeColor="text1"/>
          <w:szCs w:val="24"/>
          <w:lang w:val="en-GB"/>
        </w:rPr>
        <w:t>ajer has denied all charges</w:t>
      </w:r>
      <w:r w:rsidR="00FC7B11" w:rsidRPr="00EB0BCC">
        <w:rPr>
          <w:color w:val="000000" w:themeColor="text1"/>
          <w:szCs w:val="24"/>
          <w:lang w:val="en-GB"/>
        </w:rPr>
        <w:t>.</w:t>
      </w:r>
    </w:p>
    <w:p w:rsidR="00A93F51" w:rsidRPr="00EB0BCC" w:rsidRDefault="00A574C5" w:rsidP="00AD35CE">
      <w:pPr>
        <w:pStyle w:val="Heading3"/>
        <w:numPr>
          <w:ilvl w:val="0"/>
          <w:numId w:val="0"/>
        </w:numPr>
        <w:jc w:val="both"/>
        <w:rPr>
          <w:color w:val="000000" w:themeColor="text1"/>
          <w:lang w:val="en-GB"/>
        </w:rPr>
      </w:pPr>
      <w:r w:rsidRPr="00EB0BCC">
        <w:rPr>
          <w:color w:val="000000" w:themeColor="text1"/>
          <w:lang w:val="en-GB"/>
        </w:rPr>
        <w:br w:type="page"/>
      </w:r>
      <w:bookmarkStart w:id="18" w:name="_Toc475984120"/>
      <w:r w:rsidR="00F02FAA" w:rsidRPr="00EB0BCC">
        <w:rPr>
          <w:color w:val="000000" w:themeColor="text1"/>
          <w:lang w:val="en-GB"/>
        </w:rPr>
        <w:lastRenderedPageBreak/>
        <w:t>X</w:t>
      </w:r>
      <w:r w:rsidR="00EA5841" w:rsidRPr="00EB0BCC">
        <w:rPr>
          <w:color w:val="000000" w:themeColor="text1"/>
          <w:lang w:val="en-GB"/>
        </w:rPr>
        <w:t>I</w:t>
      </w:r>
      <w:r w:rsidR="00A93F51" w:rsidRPr="00EB0BCC">
        <w:rPr>
          <w:color w:val="000000" w:themeColor="text1"/>
          <w:lang w:val="en-GB"/>
        </w:rPr>
        <w:t xml:space="preserve">. Pattern of Impunity for </w:t>
      </w:r>
      <w:r w:rsidR="000F5107" w:rsidRPr="00EB0BCC">
        <w:rPr>
          <w:color w:val="000000" w:themeColor="text1"/>
          <w:lang w:val="en-GB"/>
        </w:rPr>
        <w:t>Accused Government</w:t>
      </w:r>
      <w:r w:rsidR="00A93F51" w:rsidRPr="00EB0BCC">
        <w:rPr>
          <w:color w:val="000000" w:themeColor="text1"/>
          <w:lang w:val="en-GB"/>
        </w:rPr>
        <w:t xml:space="preserve"> Officials</w:t>
      </w:r>
      <w:bookmarkEnd w:id="18"/>
      <w:r w:rsidR="00A93F51" w:rsidRPr="00EB0BCC">
        <w:rPr>
          <w:color w:val="000000" w:themeColor="text1"/>
          <w:lang w:val="en-GB"/>
        </w:rPr>
        <w:t xml:space="preserve"> </w:t>
      </w:r>
    </w:p>
    <w:p w:rsidR="00591F0A" w:rsidRPr="00EB0BCC" w:rsidRDefault="000F5107"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w:t>
      </w:r>
      <w:r w:rsidR="00776C44" w:rsidRPr="00EB0BCC">
        <w:rPr>
          <w:color w:val="000000" w:themeColor="text1"/>
          <w:szCs w:val="24"/>
          <w:lang w:val="en-GB"/>
        </w:rPr>
        <w:t xml:space="preserve">systemic practice of </w:t>
      </w:r>
      <w:r w:rsidR="00876104" w:rsidRPr="00EB0BCC">
        <w:rPr>
          <w:color w:val="000000" w:themeColor="text1"/>
          <w:szCs w:val="24"/>
          <w:lang w:val="en-GB"/>
        </w:rPr>
        <w:t xml:space="preserve">abusive and </w:t>
      </w:r>
      <w:r w:rsidR="009E6A6C" w:rsidRPr="00EB0BCC">
        <w:rPr>
          <w:color w:val="000000" w:themeColor="text1"/>
          <w:szCs w:val="24"/>
          <w:lang w:val="en-GB"/>
        </w:rPr>
        <w:t xml:space="preserve">other </w:t>
      </w:r>
      <w:r w:rsidR="00876104" w:rsidRPr="00EB0BCC">
        <w:rPr>
          <w:color w:val="000000" w:themeColor="text1"/>
          <w:szCs w:val="24"/>
          <w:lang w:val="en-GB"/>
        </w:rPr>
        <w:t xml:space="preserve">unlawful </w:t>
      </w:r>
      <w:r w:rsidRPr="00EB0BCC">
        <w:rPr>
          <w:color w:val="000000" w:themeColor="text1"/>
          <w:szCs w:val="24"/>
          <w:lang w:val="en-GB"/>
        </w:rPr>
        <w:t xml:space="preserve">conduct </w:t>
      </w:r>
      <w:r w:rsidR="00876104" w:rsidRPr="00EB0BCC">
        <w:rPr>
          <w:color w:val="000000" w:themeColor="text1"/>
          <w:szCs w:val="24"/>
          <w:lang w:val="en-GB"/>
        </w:rPr>
        <w:t xml:space="preserve">described above </w:t>
      </w:r>
      <w:r w:rsidRPr="00EB0BCC">
        <w:rPr>
          <w:color w:val="000000" w:themeColor="text1"/>
          <w:szCs w:val="24"/>
          <w:lang w:val="en-GB"/>
        </w:rPr>
        <w:t xml:space="preserve">is reinforced by a “culture of impunity” whereby government officials are </w:t>
      </w:r>
      <w:r w:rsidR="000C7856" w:rsidRPr="00EB0BCC">
        <w:rPr>
          <w:color w:val="000000" w:themeColor="text1"/>
          <w:szCs w:val="24"/>
          <w:lang w:val="en-GB"/>
        </w:rPr>
        <w:t>rarely if ever</w:t>
      </w:r>
      <w:r w:rsidRPr="00EB0BCC">
        <w:rPr>
          <w:color w:val="000000" w:themeColor="text1"/>
          <w:szCs w:val="24"/>
          <w:lang w:val="en-GB"/>
        </w:rPr>
        <w:t xml:space="preserve"> punished for unlawful actions</w:t>
      </w:r>
      <w:r w:rsidR="000C7856" w:rsidRPr="00EB0BCC">
        <w:rPr>
          <w:color w:val="000000" w:themeColor="text1"/>
          <w:szCs w:val="24"/>
          <w:lang w:val="en-GB"/>
        </w:rPr>
        <w:t xml:space="preserve">, as noted by </w:t>
      </w:r>
      <w:r w:rsidR="0085113D" w:rsidRPr="00EB0BCC">
        <w:rPr>
          <w:color w:val="000000" w:themeColor="text1"/>
          <w:szCs w:val="24"/>
          <w:lang w:val="en-GB"/>
        </w:rPr>
        <w:t xml:space="preserve">the </w:t>
      </w:r>
      <w:r w:rsidR="000C7856" w:rsidRPr="00EB0BCC">
        <w:rPr>
          <w:color w:val="000000" w:themeColor="text1"/>
          <w:szCs w:val="24"/>
          <w:lang w:val="en-GB"/>
        </w:rPr>
        <w:t>Egyptian lawyer, M. Cherif Bassiouni, head of the BICI.</w:t>
      </w:r>
      <w:r w:rsidR="000C7856" w:rsidRPr="00EB0BCC">
        <w:rPr>
          <w:rStyle w:val="FootnoteReference"/>
          <w:color w:val="000000" w:themeColor="text1"/>
          <w:szCs w:val="24"/>
          <w:lang w:val="en-GB"/>
        </w:rPr>
        <w:footnoteReference w:id="103"/>
      </w:r>
      <w:r w:rsidR="000E2F57" w:rsidRPr="00EB0BCC">
        <w:rPr>
          <w:color w:val="000000" w:themeColor="text1"/>
          <w:szCs w:val="24"/>
          <w:lang w:val="en-GB"/>
        </w:rPr>
        <w:t xml:space="preserve"> </w:t>
      </w:r>
      <w:r w:rsidR="00591F0A" w:rsidRPr="00EB0BCC">
        <w:rPr>
          <w:color w:val="000000" w:themeColor="text1"/>
          <w:szCs w:val="24"/>
          <w:lang w:val="en-GB"/>
        </w:rPr>
        <w:t>Although created to provide accountability for government misconduct, the Special Investigations Unit (SIU) and the Ministry of Interior Ombudsman</w:t>
      </w:r>
      <w:r w:rsidR="00CB59F8" w:rsidRPr="00EB0BCC">
        <w:rPr>
          <w:color w:val="000000" w:themeColor="text1"/>
          <w:szCs w:val="24"/>
          <w:lang w:val="en-GB"/>
        </w:rPr>
        <w:t xml:space="preserve"> have failed to effectively investigate and prosecute </w:t>
      </w:r>
      <w:r w:rsidR="00742439" w:rsidRPr="00EB0BCC">
        <w:rPr>
          <w:color w:val="000000" w:themeColor="text1"/>
          <w:szCs w:val="24"/>
          <w:lang w:val="en-GB"/>
        </w:rPr>
        <w:t xml:space="preserve">individuals serving with </w:t>
      </w:r>
      <w:r w:rsidR="00591F0A" w:rsidRPr="00EB0BCC">
        <w:rPr>
          <w:color w:val="000000" w:themeColor="text1"/>
          <w:szCs w:val="24"/>
          <w:lang w:val="en-GB"/>
        </w:rPr>
        <w:t>security forces</w:t>
      </w:r>
      <w:r w:rsidR="00CF417B" w:rsidRPr="00EB0BCC">
        <w:rPr>
          <w:color w:val="000000" w:themeColor="text1"/>
          <w:szCs w:val="24"/>
          <w:lang w:val="en-GB"/>
        </w:rPr>
        <w:t>,</w:t>
      </w:r>
      <w:r w:rsidR="00FF33C2" w:rsidRPr="00EB0BCC">
        <w:rPr>
          <w:color w:val="000000" w:themeColor="text1"/>
          <w:szCs w:val="24"/>
          <w:lang w:val="en-GB"/>
        </w:rPr>
        <w:t xml:space="preserve"> </w:t>
      </w:r>
      <w:r w:rsidR="00CF417B" w:rsidRPr="00EB0BCC">
        <w:rPr>
          <w:color w:val="000000" w:themeColor="text1"/>
          <w:szCs w:val="24"/>
          <w:lang w:val="en-GB"/>
        </w:rPr>
        <w:t>including senior</w:t>
      </w:r>
      <w:r w:rsidR="00591F0A" w:rsidRPr="00EB0BCC">
        <w:rPr>
          <w:color w:val="000000" w:themeColor="text1"/>
          <w:szCs w:val="24"/>
          <w:lang w:val="en-GB"/>
        </w:rPr>
        <w:t xml:space="preserve"> officials</w:t>
      </w:r>
      <w:r w:rsidR="00CF417B" w:rsidRPr="00EB0BCC">
        <w:rPr>
          <w:color w:val="000000" w:themeColor="text1"/>
          <w:szCs w:val="24"/>
          <w:lang w:val="en-GB"/>
        </w:rPr>
        <w:t>,</w:t>
      </w:r>
      <w:r w:rsidR="00CB59F8" w:rsidRPr="00EB0BCC">
        <w:rPr>
          <w:color w:val="000000" w:themeColor="text1"/>
          <w:szCs w:val="24"/>
          <w:lang w:val="en-GB"/>
        </w:rPr>
        <w:t xml:space="preserve"> </w:t>
      </w:r>
      <w:r w:rsidR="00591F0A" w:rsidRPr="00EB0BCC">
        <w:rPr>
          <w:color w:val="000000" w:themeColor="text1"/>
          <w:szCs w:val="24"/>
          <w:lang w:val="en-GB"/>
        </w:rPr>
        <w:t>for torture and serious mistreatment of persons in custody.</w:t>
      </w:r>
      <w:r w:rsidR="000E2F57" w:rsidRPr="00EB0BCC">
        <w:rPr>
          <w:color w:val="000000" w:themeColor="text1"/>
          <w:szCs w:val="24"/>
          <w:lang w:val="en-GB"/>
        </w:rPr>
        <w:t xml:space="preserve"> </w:t>
      </w:r>
      <w:r w:rsidR="0019758C" w:rsidRPr="00EB0BCC">
        <w:rPr>
          <w:color w:val="000000" w:themeColor="text1"/>
          <w:szCs w:val="24"/>
          <w:lang w:val="en-GB"/>
        </w:rPr>
        <w:t xml:space="preserve">In some cases, </w:t>
      </w:r>
      <w:r w:rsidR="00A85F54" w:rsidRPr="00EB0BCC">
        <w:rPr>
          <w:color w:val="000000" w:themeColor="text1"/>
          <w:szCs w:val="24"/>
          <w:lang w:val="en-GB"/>
        </w:rPr>
        <w:t xml:space="preserve">certain </w:t>
      </w:r>
      <w:r w:rsidR="0019758C" w:rsidRPr="00EB0BCC">
        <w:rPr>
          <w:color w:val="000000" w:themeColor="text1"/>
          <w:szCs w:val="24"/>
          <w:lang w:val="en-GB"/>
        </w:rPr>
        <w:t>government authorities obstructed the pursuit of justice and interfered with investigations of torture by purposely hindering access to medical reports</w:t>
      </w:r>
      <w:r w:rsidR="00CF417B" w:rsidRPr="00EB0BCC">
        <w:rPr>
          <w:color w:val="000000" w:themeColor="text1"/>
          <w:szCs w:val="24"/>
          <w:lang w:val="en-GB"/>
        </w:rPr>
        <w:t>,</w:t>
      </w:r>
      <w:r w:rsidR="0019758C" w:rsidRPr="00EB0BCC">
        <w:rPr>
          <w:color w:val="000000" w:themeColor="text1"/>
          <w:szCs w:val="24"/>
          <w:lang w:val="en-GB"/>
        </w:rPr>
        <w:t xml:space="preserve"> witnesses</w:t>
      </w:r>
      <w:r w:rsidR="00CF417B" w:rsidRPr="00EB0BCC">
        <w:rPr>
          <w:color w:val="000000" w:themeColor="text1"/>
          <w:szCs w:val="24"/>
          <w:lang w:val="en-GB"/>
        </w:rPr>
        <w:t>, or other evidence</w:t>
      </w:r>
      <w:r w:rsidR="0019758C" w:rsidRPr="00EB0BCC">
        <w:rPr>
          <w:color w:val="000000" w:themeColor="text1"/>
          <w:szCs w:val="24"/>
          <w:lang w:val="en-GB"/>
        </w:rPr>
        <w:t>.</w:t>
      </w:r>
      <w:r w:rsidR="000E2F57" w:rsidRPr="00EB0BCC">
        <w:rPr>
          <w:color w:val="000000" w:themeColor="text1"/>
          <w:szCs w:val="24"/>
          <w:lang w:val="en-GB"/>
        </w:rPr>
        <w:t xml:space="preserve"> </w:t>
      </w:r>
    </w:p>
    <w:p w:rsidR="00D46D6C" w:rsidRPr="00EB0BCC" w:rsidRDefault="00D46D6C"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Even in </w:t>
      </w:r>
      <w:r w:rsidR="00926C07" w:rsidRPr="00EB0BCC">
        <w:rPr>
          <w:color w:val="000000" w:themeColor="text1"/>
          <w:szCs w:val="24"/>
          <w:lang w:val="en-GB"/>
        </w:rPr>
        <w:t xml:space="preserve">the </w:t>
      </w:r>
      <w:r w:rsidRPr="00EB0BCC">
        <w:rPr>
          <w:color w:val="000000" w:themeColor="text1"/>
          <w:szCs w:val="24"/>
          <w:lang w:val="en-GB"/>
        </w:rPr>
        <w:t xml:space="preserve">early years </w:t>
      </w:r>
      <w:r w:rsidR="00926C07" w:rsidRPr="00EB0BCC">
        <w:rPr>
          <w:color w:val="000000" w:themeColor="text1"/>
          <w:szCs w:val="24"/>
          <w:lang w:val="en-GB"/>
        </w:rPr>
        <w:t xml:space="preserve">of reform </w:t>
      </w:r>
      <w:r w:rsidRPr="00EB0BCC">
        <w:rPr>
          <w:color w:val="000000" w:themeColor="text1"/>
          <w:szCs w:val="24"/>
          <w:lang w:val="en-GB"/>
        </w:rPr>
        <w:t>when there was an improvement in t</w:t>
      </w:r>
      <w:r w:rsidR="00926C07" w:rsidRPr="00EB0BCC">
        <w:rPr>
          <w:color w:val="000000" w:themeColor="text1"/>
          <w:szCs w:val="24"/>
          <w:lang w:val="en-GB"/>
        </w:rPr>
        <w:t xml:space="preserve">he observance of human rights, apparent </w:t>
      </w:r>
      <w:r w:rsidRPr="00EB0BCC">
        <w:rPr>
          <w:color w:val="000000" w:themeColor="text1"/>
          <w:szCs w:val="24"/>
          <w:lang w:val="en-GB"/>
        </w:rPr>
        <w:t xml:space="preserve">protection </w:t>
      </w:r>
      <w:r w:rsidR="00E051B9" w:rsidRPr="00EB0BCC">
        <w:rPr>
          <w:color w:val="000000" w:themeColor="text1"/>
          <w:szCs w:val="24"/>
          <w:lang w:val="en-GB"/>
        </w:rPr>
        <w:t xml:space="preserve">was </w:t>
      </w:r>
      <w:r w:rsidRPr="00EB0BCC">
        <w:rPr>
          <w:color w:val="000000" w:themeColor="text1"/>
          <w:szCs w:val="24"/>
          <w:lang w:val="en-GB"/>
        </w:rPr>
        <w:t>provided to past perpetrators of torture and abuse.</w:t>
      </w:r>
      <w:r w:rsidR="000E2F57" w:rsidRPr="00EB0BCC">
        <w:rPr>
          <w:color w:val="000000" w:themeColor="text1"/>
          <w:szCs w:val="24"/>
          <w:lang w:val="en-GB"/>
        </w:rPr>
        <w:t xml:space="preserve"> </w:t>
      </w:r>
      <w:r w:rsidRPr="00EB0BCC">
        <w:rPr>
          <w:color w:val="000000" w:themeColor="text1"/>
          <w:szCs w:val="24"/>
          <w:lang w:val="en-GB"/>
        </w:rPr>
        <w:t xml:space="preserve">In 2002, Royal Decree 56 gave immunity to all accused of torture during </w:t>
      </w:r>
      <w:r w:rsidR="004C181C" w:rsidRPr="00EB0BCC">
        <w:rPr>
          <w:color w:val="000000" w:themeColor="text1"/>
          <w:szCs w:val="24"/>
          <w:lang w:val="en-GB"/>
        </w:rPr>
        <w:t xml:space="preserve">and prior to </w:t>
      </w:r>
      <w:r w:rsidRPr="00EB0BCC">
        <w:rPr>
          <w:color w:val="000000" w:themeColor="text1"/>
          <w:szCs w:val="24"/>
          <w:lang w:val="en-GB"/>
        </w:rPr>
        <w:t xml:space="preserve">the uprising in the 1990s. </w:t>
      </w:r>
    </w:p>
    <w:p w:rsidR="000E2FCE" w:rsidRPr="00EB0BCC" w:rsidRDefault="00FE184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2014 Human Rights Watch report, </w:t>
      </w:r>
      <w:r w:rsidRPr="00EB0BCC">
        <w:rPr>
          <w:i/>
          <w:color w:val="000000" w:themeColor="text1"/>
          <w:szCs w:val="24"/>
          <w:lang w:val="en-GB"/>
        </w:rPr>
        <w:t>Criminalizing Dissent-Entrenching Impunity</w:t>
      </w:r>
      <w:r w:rsidR="00CB59F8" w:rsidRPr="00EB0BCC">
        <w:rPr>
          <w:i/>
          <w:color w:val="000000" w:themeColor="text1"/>
          <w:szCs w:val="24"/>
          <w:lang w:val="en-GB"/>
        </w:rPr>
        <w:t>,</w:t>
      </w:r>
      <w:r w:rsidRPr="00EB0BCC">
        <w:rPr>
          <w:i/>
          <w:color w:val="000000" w:themeColor="text1"/>
          <w:szCs w:val="24"/>
          <w:lang w:val="en-GB"/>
        </w:rPr>
        <w:t xml:space="preserve"> </w:t>
      </w:r>
      <w:r w:rsidR="00FC3C09" w:rsidRPr="00EB0BCC">
        <w:rPr>
          <w:color w:val="000000" w:themeColor="text1"/>
          <w:szCs w:val="24"/>
          <w:lang w:val="en-GB"/>
        </w:rPr>
        <w:t>found that investigations of reported violations were slow (often three years after-the-fact), aimed almost exclusively at low</w:t>
      </w:r>
      <w:r w:rsidR="00FF33C2" w:rsidRPr="00EB0BCC">
        <w:rPr>
          <w:color w:val="000000" w:themeColor="text1"/>
          <w:szCs w:val="24"/>
          <w:lang w:val="en-GB"/>
        </w:rPr>
        <w:t>-</w:t>
      </w:r>
      <w:r w:rsidR="00FC3C09" w:rsidRPr="00EB0BCC">
        <w:rPr>
          <w:color w:val="000000" w:themeColor="text1"/>
          <w:szCs w:val="24"/>
          <w:lang w:val="en-GB"/>
        </w:rPr>
        <w:t xml:space="preserve">level officials, and resulted in little or no punishment (in </w:t>
      </w:r>
      <w:r w:rsidR="00137F67" w:rsidRPr="00EB0BCC">
        <w:rPr>
          <w:color w:val="000000" w:themeColor="text1"/>
          <w:szCs w:val="24"/>
          <w:lang w:val="en-GB"/>
        </w:rPr>
        <w:t>the harshest</w:t>
      </w:r>
      <w:r w:rsidR="00FC3C09" w:rsidRPr="00EB0BCC">
        <w:rPr>
          <w:color w:val="000000" w:themeColor="text1"/>
          <w:szCs w:val="24"/>
          <w:lang w:val="en-GB"/>
        </w:rPr>
        <w:t xml:space="preserve"> case</w:t>
      </w:r>
      <w:r w:rsidR="00137F67" w:rsidRPr="00EB0BCC">
        <w:rPr>
          <w:color w:val="000000" w:themeColor="text1"/>
          <w:szCs w:val="24"/>
          <w:lang w:val="en-GB"/>
        </w:rPr>
        <w:t>,</w:t>
      </w:r>
      <w:r w:rsidR="00FC3C09" w:rsidRPr="00EB0BCC">
        <w:rPr>
          <w:color w:val="000000" w:themeColor="text1"/>
          <w:szCs w:val="24"/>
          <w:lang w:val="en-GB"/>
        </w:rPr>
        <w:t xml:space="preserve"> a 10</w:t>
      </w:r>
      <w:r w:rsidR="00FF33C2" w:rsidRPr="00EB0BCC">
        <w:rPr>
          <w:color w:val="000000" w:themeColor="text1"/>
          <w:szCs w:val="24"/>
          <w:lang w:val="en-GB"/>
        </w:rPr>
        <w:t>-</w:t>
      </w:r>
      <w:r w:rsidR="00FC3C09" w:rsidRPr="00EB0BCC">
        <w:rPr>
          <w:color w:val="000000" w:themeColor="text1"/>
          <w:szCs w:val="24"/>
          <w:lang w:val="en-GB"/>
        </w:rPr>
        <w:t xml:space="preserve">year sentence was reduced to </w:t>
      </w:r>
      <w:r w:rsidR="009B6D6D" w:rsidRPr="00EB0BCC">
        <w:rPr>
          <w:color w:val="000000" w:themeColor="text1"/>
          <w:szCs w:val="24"/>
          <w:lang w:val="en-GB"/>
        </w:rPr>
        <w:t xml:space="preserve">two </w:t>
      </w:r>
      <w:r w:rsidR="00FC3C09" w:rsidRPr="00EB0BCC">
        <w:rPr>
          <w:color w:val="000000" w:themeColor="text1"/>
          <w:szCs w:val="24"/>
          <w:lang w:val="en-GB"/>
        </w:rPr>
        <w:t>years).</w:t>
      </w:r>
      <w:r w:rsidR="000E2F57" w:rsidRPr="00EB0BCC">
        <w:rPr>
          <w:color w:val="000000" w:themeColor="text1"/>
          <w:szCs w:val="24"/>
          <w:lang w:val="en-GB"/>
        </w:rPr>
        <w:t xml:space="preserve"> </w:t>
      </w:r>
      <w:r w:rsidR="00FC3C09" w:rsidRPr="00EB0BCC">
        <w:rPr>
          <w:color w:val="000000" w:themeColor="text1"/>
          <w:szCs w:val="24"/>
          <w:lang w:val="en-GB"/>
        </w:rPr>
        <w:t>A</w:t>
      </w:r>
      <w:r w:rsidR="00CB59F8" w:rsidRPr="00EB0BCC">
        <w:rPr>
          <w:color w:val="000000" w:themeColor="text1"/>
          <w:szCs w:val="24"/>
          <w:lang w:val="en-GB"/>
        </w:rPr>
        <w:t>n earlier</w:t>
      </w:r>
      <w:r w:rsidR="00137F67" w:rsidRPr="00EB0BCC">
        <w:rPr>
          <w:color w:val="000000" w:themeColor="text1"/>
          <w:szCs w:val="24"/>
          <w:lang w:val="en-GB"/>
        </w:rPr>
        <w:t xml:space="preserve"> </w:t>
      </w:r>
      <w:r w:rsidR="00FC3C09" w:rsidRPr="00EB0BCC">
        <w:rPr>
          <w:color w:val="000000" w:themeColor="text1"/>
          <w:szCs w:val="24"/>
          <w:lang w:val="en-GB"/>
        </w:rPr>
        <w:t xml:space="preserve">US State Department report </w:t>
      </w:r>
      <w:r w:rsidR="00137F67" w:rsidRPr="00EB0BCC">
        <w:rPr>
          <w:color w:val="000000" w:themeColor="text1"/>
          <w:szCs w:val="24"/>
          <w:lang w:val="en-GB"/>
        </w:rPr>
        <w:t>was unable to confirm that any convicted security personnel actually served time in detention at all.</w:t>
      </w:r>
      <w:r w:rsidR="00137F67" w:rsidRPr="00EB0BCC">
        <w:rPr>
          <w:rStyle w:val="FootnoteReference"/>
          <w:color w:val="000000" w:themeColor="text1"/>
          <w:szCs w:val="24"/>
          <w:lang w:val="en-GB"/>
        </w:rPr>
        <w:footnoteReference w:id="104"/>
      </w:r>
      <w:r w:rsidR="000E2F57" w:rsidRPr="00EB0BCC">
        <w:rPr>
          <w:color w:val="000000" w:themeColor="text1"/>
          <w:szCs w:val="24"/>
          <w:lang w:val="en-GB"/>
        </w:rPr>
        <w:t xml:space="preserve"> </w:t>
      </w:r>
      <w:r w:rsidR="009E6A6C" w:rsidRPr="00EB0BCC">
        <w:rPr>
          <w:color w:val="000000" w:themeColor="text1"/>
          <w:szCs w:val="24"/>
          <w:lang w:val="en-GB"/>
        </w:rPr>
        <w:t xml:space="preserve">Here are </w:t>
      </w:r>
      <w:r w:rsidR="004021D3" w:rsidRPr="00EB0BCC">
        <w:rPr>
          <w:color w:val="000000" w:themeColor="text1"/>
          <w:szCs w:val="24"/>
          <w:lang w:val="en-GB"/>
        </w:rPr>
        <w:t>some</w:t>
      </w:r>
      <w:r w:rsidR="009E6A6C" w:rsidRPr="00EB0BCC">
        <w:rPr>
          <w:color w:val="000000" w:themeColor="text1"/>
          <w:szCs w:val="24"/>
          <w:lang w:val="en-GB"/>
        </w:rPr>
        <w:t xml:space="preserve"> recent examples that indicate the practic</w:t>
      </w:r>
      <w:r w:rsidR="004021D3" w:rsidRPr="00EB0BCC">
        <w:rPr>
          <w:color w:val="000000" w:themeColor="text1"/>
          <w:szCs w:val="24"/>
          <w:lang w:val="en-GB"/>
        </w:rPr>
        <w:t>e is continuing to be a problem:</w:t>
      </w:r>
    </w:p>
    <w:p w:rsidR="001A605B" w:rsidRPr="00EB0BCC" w:rsidRDefault="00B1119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 Bahrain Independent Commission of Inquiry (BICI) met with </w:t>
      </w:r>
      <w:r w:rsidRPr="00EB0BCC">
        <w:rPr>
          <w:b/>
          <w:bCs/>
          <w:color w:val="000000" w:themeColor="text1"/>
          <w:szCs w:val="24"/>
          <w:lang w:val="en-GB"/>
        </w:rPr>
        <w:t>Dr</w:t>
      </w:r>
      <w:r w:rsidR="001A605B" w:rsidRPr="00EB0BCC">
        <w:rPr>
          <w:b/>
          <w:bCs/>
          <w:color w:val="000000" w:themeColor="text1"/>
          <w:szCs w:val="24"/>
          <w:lang w:val="en-GB"/>
        </w:rPr>
        <w:t>.</w:t>
      </w:r>
      <w:r w:rsidRPr="00EB0BCC">
        <w:rPr>
          <w:b/>
          <w:bCs/>
          <w:color w:val="000000" w:themeColor="text1"/>
          <w:szCs w:val="24"/>
          <w:lang w:val="en-GB"/>
        </w:rPr>
        <w:t xml:space="preserve"> Abduljalil Al-Singace</w:t>
      </w:r>
      <w:r w:rsidRPr="00EB0BCC">
        <w:rPr>
          <w:color w:val="000000" w:themeColor="text1"/>
          <w:szCs w:val="24"/>
          <w:lang w:val="en-GB"/>
        </w:rPr>
        <w:t xml:space="preserve"> in 2011 and collected testimony regarding his arbitrary arrest and reports of torture. Despite the existence of this testimony, in 2012 a civilian appeals court refused to investigate Dr</w:t>
      </w:r>
      <w:r w:rsidR="001A605B" w:rsidRPr="00EB0BCC">
        <w:rPr>
          <w:color w:val="000000" w:themeColor="text1"/>
          <w:szCs w:val="24"/>
          <w:lang w:val="en-GB"/>
        </w:rPr>
        <w:t>.</w:t>
      </w:r>
      <w:r w:rsidRPr="00EB0BCC">
        <w:rPr>
          <w:color w:val="000000" w:themeColor="text1"/>
          <w:szCs w:val="24"/>
          <w:lang w:val="en-GB"/>
        </w:rPr>
        <w:t xml:space="preserve"> Al-Singace’s credible allegations of abuse and upheld the military court’s decision. Dr</w:t>
      </w:r>
      <w:r w:rsidR="001A605B" w:rsidRPr="00EB0BCC">
        <w:rPr>
          <w:color w:val="000000" w:themeColor="text1"/>
          <w:szCs w:val="24"/>
          <w:lang w:val="en-GB"/>
        </w:rPr>
        <w:t>.</w:t>
      </w:r>
      <w:r w:rsidRPr="00EB0BCC">
        <w:rPr>
          <w:color w:val="000000" w:themeColor="text1"/>
          <w:szCs w:val="24"/>
          <w:lang w:val="en-GB"/>
        </w:rPr>
        <w:t xml:space="preserve"> Al-Singace has received no compensation for the acts of torture that he suffered, nor have his torturers been held accountable for their actions.</w:t>
      </w:r>
      <w:r w:rsidR="001A605B" w:rsidRPr="00EB0BCC">
        <w:rPr>
          <w:color w:val="000000" w:themeColor="text1"/>
          <w:szCs w:val="24"/>
          <w:lang w:val="en-GB"/>
        </w:rPr>
        <w:t xml:space="preserve"> (see also detailed narrative in </w:t>
      </w:r>
      <w:r w:rsidR="00EA5841" w:rsidRPr="00EB0BCC">
        <w:rPr>
          <w:color w:val="000000" w:themeColor="text1"/>
          <w:szCs w:val="24"/>
          <w:lang w:val="en-GB"/>
        </w:rPr>
        <w:t>Section VII</w:t>
      </w:r>
      <w:r w:rsidR="001A605B" w:rsidRPr="00EB0BCC">
        <w:rPr>
          <w:color w:val="000000" w:themeColor="text1"/>
          <w:szCs w:val="24"/>
          <w:lang w:val="en-GB"/>
        </w:rPr>
        <w:t>.)</w:t>
      </w:r>
    </w:p>
    <w:p w:rsidR="00A574C5" w:rsidRPr="00EB0BCC" w:rsidRDefault="004021D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During his arrest on 16 February 2015 and </w:t>
      </w:r>
      <w:r w:rsidR="00C5533A" w:rsidRPr="00EB0BCC">
        <w:rPr>
          <w:color w:val="000000" w:themeColor="text1"/>
          <w:szCs w:val="24"/>
          <w:lang w:val="en-GB"/>
        </w:rPr>
        <w:t>subsequent</w:t>
      </w:r>
      <w:r w:rsidRPr="00EB0BCC">
        <w:rPr>
          <w:color w:val="000000" w:themeColor="text1"/>
          <w:szCs w:val="24"/>
          <w:lang w:val="en-GB"/>
        </w:rPr>
        <w:t xml:space="preserve"> detention for </w:t>
      </w:r>
      <w:r w:rsidR="00E650DD" w:rsidRPr="00EB0BCC">
        <w:rPr>
          <w:color w:val="000000" w:themeColor="text1"/>
          <w:szCs w:val="24"/>
          <w:lang w:val="en-GB"/>
        </w:rPr>
        <w:t>several</w:t>
      </w:r>
      <w:r w:rsidR="00C5533A" w:rsidRPr="00EB0BCC">
        <w:rPr>
          <w:color w:val="000000" w:themeColor="text1"/>
          <w:szCs w:val="24"/>
          <w:lang w:val="en-GB"/>
        </w:rPr>
        <w:t xml:space="preserve"> </w:t>
      </w:r>
      <w:r w:rsidR="00323765" w:rsidRPr="00EB0BCC">
        <w:rPr>
          <w:color w:val="000000" w:themeColor="text1"/>
          <w:szCs w:val="24"/>
          <w:lang w:val="en-GB"/>
        </w:rPr>
        <w:t>months</w:t>
      </w:r>
      <w:r w:rsidRPr="00EB0BCC">
        <w:rPr>
          <w:color w:val="000000" w:themeColor="text1"/>
          <w:szCs w:val="24"/>
          <w:lang w:val="en-GB"/>
        </w:rPr>
        <w:t xml:space="preserve">, </w:t>
      </w:r>
      <w:r w:rsidRPr="00EB0BCC">
        <w:rPr>
          <w:b/>
          <w:bCs/>
          <w:color w:val="000000" w:themeColor="text1"/>
          <w:szCs w:val="24"/>
          <w:lang w:val="en-GB"/>
        </w:rPr>
        <w:t xml:space="preserve">Hussain Jawad </w:t>
      </w:r>
      <w:r w:rsidRPr="00EB0BCC">
        <w:rPr>
          <w:color w:val="000000" w:themeColor="text1"/>
          <w:szCs w:val="24"/>
          <w:lang w:val="en-GB"/>
        </w:rPr>
        <w:t>was subject</w:t>
      </w:r>
      <w:r w:rsidR="00FF33C2" w:rsidRPr="00EB0BCC">
        <w:rPr>
          <w:color w:val="000000" w:themeColor="text1"/>
          <w:szCs w:val="24"/>
          <w:lang w:val="en-GB"/>
        </w:rPr>
        <w:t>ed</w:t>
      </w:r>
      <w:r w:rsidRPr="00EB0BCC">
        <w:rPr>
          <w:color w:val="000000" w:themeColor="text1"/>
          <w:szCs w:val="24"/>
          <w:lang w:val="en-GB"/>
        </w:rPr>
        <w:t xml:space="preserve"> to torture in order to extract a confession for crimes he did not commit.</w:t>
      </w:r>
      <w:r w:rsidR="000E2F57" w:rsidRPr="00EB0BCC">
        <w:rPr>
          <w:color w:val="000000" w:themeColor="text1"/>
          <w:szCs w:val="24"/>
          <w:lang w:val="en-GB"/>
        </w:rPr>
        <w:t xml:space="preserve"> </w:t>
      </w:r>
      <w:r w:rsidR="00323765" w:rsidRPr="00EB0BCC">
        <w:rPr>
          <w:color w:val="000000" w:themeColor="text1"/>
          <w:szCs w:val="24"/>
          <w:lang w:val="en-GB"/>
        </w:rPr>
        <w:t xml:space="preserve">After </w:t>
      </w:r>
      <w:r w:rsidR="00C4142A" w:rsidRPr="00EB0BCC">
        <w:rPr>
          <w:color w:val="000000" w:themeColor="text1"/>
          <w:szCs w:val="24"/>
          <w:lang w:val="en-GB"/>
        </w:rPr>
        <w:t xml:space="preserve">four </w:t>
      </w:r>
      <w:r w:rsidR="00323765" w:rsidRPr="00EB0BCC">
        <w:rPr>
          <w:color w:val="000000" w:themeColor="text1"/>
          <w:szCs w:val="24"/>
          <w:lang w:val="en-GB"/>
        </w:rPr>
        <w:t xml:space="preserve">days of detention, </w:t>
      </w:r>
      <w:r w:rsidR="005F63FA" w:rsidRPr="00EB0BCC">
        <w:rPr>
          <w:color w:val="000000" w:themeColor="text1"/>
          <w:szCs w:val="24"/>
          <w:lang w:val="en-GB"/>
        </w:rPr>
        <w:t xml:space="preserve">with signs of torture obvious to the Prosecutor and Defense Counsel during a scheduled hearing, </w:t>
      </w:r>
      <w:r w:rsidR="00323765" w:rsidRPr="00EB0BCC">
        <w:rPr>
          <w:color w:val="000000" w:themeColor="text1"/>
          <w:szCs w:val="24"/>
          <w:lang w:val="en-GB"/>
        </w:rPr>
        <w:t>Jawad was allowed to visit a hospital and received treatment for his wounds by a nurse (</w:t>
      </w:r>
      <w:r w:rsidR="00FF33C2" w:rsidRPr="00EB0BCC">
        <w:rPr>
          <w:color w:val="000000" w:themeColor="text1"/>
          <w:szCs w:val="24"/>
          <w:lang w:val="en-GB"/>
        </w:rPr>
        <w:t xml:space="preserve">at </w:t>
      </w:r>
      <w:r w:rsidR="00323765" w:rsidRPr="00EB0BCC">
        <w:rPr>
          <w:color w:val="000000" w:themeColor="text1"/>
          <w:szCs w:val="24"/>
          <w:lang w:val="en-GB"/>
        </w:rPr>
        <w:t>a hospital apparently run by the Interior Ministry).</w:t>
      </w:r>
      <w:r w:rsidR="000E2F57" w:rsidRPr="00EB0BCC">
        <w:rPr>
          <w:color w:val="000000" w:themeColor="text1"/>
          <w:szCs w:val="24"/>
          <w:lang w:val="en-GB"/>
        </w:rPr>
        <w:t xml:space="preserve"> </w:t>
      </w:r>
      <w:r w:rsidR="00323765" w:rsidRPr="00EB0BCC">
        <w:rPr>
          <w:color w:val="000000" w:themeColor="text1"/>
          <w:szCs w:val="24"/>
          <w:lang w:val="en-GB"/>
        </w:rPr>
        <w:t xml:space="preserve">A few days later, </w:t>
      </w:r>
      <w:r w:rsidR="00A574C5" w:rsidRPr="00EB0BCC">
        <w:rPr>
          <w:color w:val="000000" w:themeColor="text1"/>
          <w:szCs w:val="24"/>
          <w:lang w:val="en-GB"/>
        </w:rPr>
        <w:t>Jawad</w:t>
      </w:r>
      <w:r w:rsidR="00323765" w:rsidRPr="00EB0BCC">
        <w:rPr>
          <w:color w:val="000000" w:themeColor="text1"/>
          <w:szCs w:val="24"/>
          <w:lang w:val="en-GB"/>
        </w:rPr>
        <w:t xml:space="preserve"> was taken back to </w:t>
      </w:r>
      <w:r w:rsidR="00FF33C2" w:rsidRPr="00EB0BCC">
        <w:rPr>
          <w:color w:val="000000" w:themeColor="text1"/>
          <w:szCs w:val="24"/>
          <w:lang w:val="en-GB"/>
        </w:rPr>
        <w:t xml:space="preserve">the </w:t>
      </w:r>
      <w:r w:rsidR="00323765" w:rsidRPr="00EB0BCC">
        <w:rPr>
          <w:color w:val="000000" w:themeColor="text1"/>
          <w:szCs w:val="24"/>
          <w:lang w:val="en-GB"/>
        </w:rPr>
        <w:t>public prosecution where he met with an</w:t>
      </w:r>
      <w:r w:rsidR="001357A9" w:rsidRPr="00EB0BCC">
        <w:rPr>
          <w:color w:val="000000" w:themeColor="text1"/>
          <w:szCs w:val="24"/>
          <w:lang w:val="en-GB"/>
        </w:rPr>
        <w:t xml:space="preserve"> individual who claimed to be </w:t>
      </w:r>
      <w:r w:rsidR="00323765" w:rsidRPr="00EB0BCC">
        <w:rPr>
          <w:color w:val="000000" w:themeColor="text1"/>
          <w:szCs w:val="24"/>
          <w:lang w:val="en-GB"/>
        </w:rPr>
        <w:t>investigat</w:t>
      </w:r>
      <w:r w:rsidR="001357A9" w:rsidRPr="00EB0BCC">
        <w:rPr>
          <w:color w:val="000000" w:themeColor="text1"/>
          <w:szCs w:val="24"/>
          <w:lang w:val="en-GB"/>
        </w:rPr>
        <w:t>ing charges of</w:t>
      </w:r>
      <w:r w:rsidR="00323765" w:rsidRPr="00EB0BCC">
        <w:rPr>
          <w:color w:val="000000" w:themeColor="text1"/>
          <w:szCs w:val="24"/>
          <w:lang w:val="en-GB"/>
        </w:rPr>
        <w:t xml:space="preserve"> torture.</w:t>
      </w:r>
      <w:r w:rsidR="000E2F57" w:rsidRPr="00EB0BCC">
        <w:rPr>
          <w:color w:val="000000" w:themeColor="text1"/>
          <w:szCs w:val="24"/>
          <w:lang w:val="en-GB"/>
        </w:rPr>
        <w:t xml:space="preserve"> </w:t>
      </w:r>
      <w:r w:rsidR="001357A9" w:rsidRPr="00EB0BCC">
        <w:rPr>
          <w:color w:val="000000" w:themeColor="text1"/>
          <w:szCs w:val="24"/>
          <w:lang w:val="en-GB"/>
        </w:rPr>
        <w:t>He was then taken to two</w:t>
      </w:r>
      <w:r w:rsidR="00323765" w:rsidRPr="00EB0BCC">
        <w:rPr>
          <w:color w:val="000000" w:themeColor="text1"/>
          <w:szCs w:val="24"/>
          <w:lang w:val="en-GB"/>
        </w:rPr>
        <w:t xml:space="preserve"> doctors, one to examine his body and the other for a mental health check.</w:t>
      </w:r>
      <w:r w:rsidR="000E2F57" w:rsidRPr="00EB0BCC">
        <w:rPr>
          <w:color w:val="000000" w:themeColor="text1"/>
          <w:szCs w:val="24"/>
          <w:lang w:val="en-GB"/>
        </w:rPr>
        <w:t xml:space="preserve"> </w:t>
      </w:r>
      <w:r w:rsidR="00C4142A" w:rsidRPr="00EB0BCC">
        <w:rPr>
          <w:color w:val="000000" w:themeColor="text1"/>
          <w:szCs w:val="24"/>
          <w:lang w:val="en-GB"/>
        </w:rPr>
        <w:t>In a subsequent hearing, the judge without stated cause, explanation, or prior warning blocked further investigation</w:t>
      </w:r>
      <w:r w:rsidR="001357A9" w:rsidRPr="00EB0BCC">
        <w:rPr>
          <w:color w:val="000000" w:themeColor="text1"/>
          <w:szCs w:val="24"/>
          <w:lang w:val="en-GB"/>
        </w:rPr>
        <w:t xml:space="preserve"> </w:t>
      </w:r>
      <w:r w:rsidR="0015044D" w:rsidRPr="00EB0BCC">
        <w:rPr>
          <w:color w:val="000000" w:themeColor="text1"/>
          <w:szCs w:val="24"/>
          <w:lang w:val="en-GB"/>
        </w:rPr>
        <w:t>into</w:t>
      </w:r>
      <w:r w:rsidR="001357A9" w:rsidRPr="00EB0BCC">
        <w:rPr>
          <w:color w:val="000000" w:themeColor="text1"/>
          <w:szCs w:val="24"/>
          <w:lang w:val="en-GB"/>
        </w:rPr>
        <w:t xml:space="preserve"> allegations of torture</w:t>
      </w:r>
      <w:r w:rsidR="00C4142A" w:rsidRPr="00EB0BCC">
        <w:rPr>
          <w:color w:val="000000" w:themeColor="text1"/>
          <w:szCs w:val="24"/>
          <w:lang w:val="en-GB"/>
        </w:rPr>
        <w:t>.</w:t>
      </w:r>
      <w:r w:rsidR="000E2F57" w:rsidRPr="00EB0BCC">
        <w:rPr>
          <w:color w:val="000000" w:themeColor="text1"/>
          <w:szCs w:val="24"/>
          <w:lang w:val="en-GB"/>
        </w:rPr>
        <w:t xml:space="preserve"> </w:t>
      </w:r>
      <w:r w:rsidRPr="00EB0BCC">
        <w:rPr>
          <w:color w:val="000000" w:themeColor="text1"/>
          <w:szCs w:val="24"/>
          <w:lang w:val="en-GB"/>
        </w:rPr>
        <w:t>No medical reports were ever produced from Jawad’s visit</w:t>
      </w:r>
      <w:r w:rsidR="005F63FA" w:rsidRPr="00EB0BCC">
        <w:rPr>
          <w:color w:val="000000" w:themeColor="text1"/>
          <w:szCs w:val="24"/>
          <w:lang w:val="en-GB"/>
        </w:rPr>
        <w:t>s with doctors or nurses</w:t>
      </w:r>
      <w:r w:rsidR="001357A9" w:rsidRPr="00EB0BCC">
        <w:rPr>
          <w:color w:val="000000" w:themeColor="text1"/>
          <w:szCs w:val="24"/>
          <w:lang w:val="en-GB"/>
        </w:rPr>
        <w:t>.</w:t>
      </w:r>
      <w:r w:rsidR="000E2F57" w:rsidRPr="00EB0BCC">
        <w:rPr>
          <w:color w:val="000000" w:themeColor="text1"/>
          <w:szCs w:val="24"/>
          <w:lang w:val="en-GB"/>
        </w:rPr>
        <w:t xml:space="preserve"> </w:t>
      </w:r>
    </w:p>
    <w:p w:rsidR="004021D3" w:rsidRPr="00EB0BCC" w:rsidRDefault="004021D3"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 xml:space="preserve">Jawad </w:t>
      </w:r>
      <w:r w:rsidR="0015044D" w:rsidRPr="00EB0BCC">
        <w:rPr>
          <w:color w:val="000000" w:themeColor="text1"/>
          <w:szCs w:val="24"/>
          <w:lang w:val="en-GB"/>
        </w:rPr>
        <w:t>persisted in telling</w:t>
      </w:r>
      <w:r w:rsidRPr="00EB0BCC">
        <w:rPr>
          <w:color w:val="000000" w:themeColor="text1"/>
          <w:szCs w:val="24"/>
          <w:lang w:val="en-GB"/>
        </w:rPr>
        <w:t xml:space="preserve"> the judge that his confessions were coerced by torture</w:t>
      </w:r>
      <w:r w:rsidR="001357A9" w:rsidRPr="00EB0BCC">
        <w:rPr>
          <w:color w:val="000000" w:themeColor="text1"/>
          <w:szCs w:val="24"/>
          <w:lang w:val="en-GB"/>
        </w:rPr>
        <w:t>.</w:t>
      </w:r>
      <w:r w:rsidR="000E2F57" w:rsidRPr="00EB0BCC">
        <w:rPr>
          <w:color w:val="000000" w:themeColor="text1"/>
          <w:szCs w:val="24"/>
          <w:lang w:val="en-GB"/>
        </w:rPr>
        <w:t xml:space="preserve"> </w:t>
      </w:r>
      <w:r w:rsidR="00224CEA" w:rsidRPr="00EB0BCC">
        <w:rPr>
          <w:color w:val="000000" w:themeColor="text1"/>
          <w:szCs w:val="24"/>
          <w:lang w:val="en-GB"/>
        </w:rPr>
        <w:t xml:space="preserve">The judge appeared to be both agitated and embarrassed by the presence of the </w:t>
      </w:r>
      <w:r w:rsidR="0015044D" w:rsidRPr="00EB0BCC">
        <w:rPr>
          <w:color w:val="000000" w:themeColor="text1"/>
          <w:szCs w:val="24"/>
          <w:lang w:val="en-GB"/>
        </w:rPr>
        <w:t>human rights observers, media, and foreign embassy staff.</w:t>
      </w:r>
      <w:r w:rsidR="000E2F57" w:rsidRPr="00EB0BCC">
        <w:rPr>
          <w:color w:val="000000" w:themeColor="text1"/>
          <w:szCs w:val="24"/>
          <w:lang w:val="en-GB"/>
        </w:rPr>
        <w:t xml:space="preserve"> </w:t>
      </w:r>
      <w:r w:rsidR="0015044D" w:rsidRPr="00EB0BCC">
        <w:rPr>
          <w:color w:val="000000" w:themeColor="text1"/>
          <w:szCs w:val="24"/>
          <w:lang w:val="en-GB"/>
        </w:rPr>
        <w:t xml:space="preserve">Shortly after the hearing, Jawad was “invited” </w:t>
      </w:r>
      <w:r w:rsidR="00AA311E" w:rsidRPr="00EB0BCC">
        <w:rPr>
          <w:color w:val="000000" w:themeColor="text1"/>
          <w:szCs w:val="24"/>
          <w:lang w:val="en-GB"/>
        </w:rPr>
        <w:t xml:space="preserve">by unidentified individuals (he was blindfolded) </w:t>
      </w:r>
      <w:r w:rsidR="0015044D" w:rsidRPr="00EB0BCC">
        <w:rPr>
          <w:color w:val="000000" w:themeColor="text1"/>
          <w:szCs w:val="24"/>
          <w:lang w:val="en-GB"/>
        </w:rPr>
        <w:t>to leave Bahrain or face further torture.</w:t>
      </w:r>
      <w:r w:rsidR="000E2F57" w:rsidRPr="00EB0BCC">
        <w:rPr>
          <w:color w:val="000000" w:themeColor="text1"/>
          <w:szCs w:val="24"/>
          <w:lang w:val="en-GB"/>
        </w:rPr>
        <w:t xml:space="preserve"> </w:t>
      </w:r>
      <w:r w:rsidR="00485682" w:rsidRPr="00EB0BCC">
        <w:rPr>
          <w:color w:val="000000" w:themeColor="text1"/>
          <w:szCs w:val="24"/>
          <w:lang w:val="en-GB"/>
        </w:rPr>
        <w:t xml:space="preserve">Jawad also filed a complaint of torture by the CID </w:t>
      </w:r>
      <w:r w:rsidR="007F636E" w:rsidRPr="00EB0BCC">
        <w:rPr>
          <w:color w:val="000000" w:themeColor="text1"/>
          <w:szCs w:val="24"/>
          <w:lang w:val="en-GB"/>
        </w:rPr>
        <w:t xml:space="preserve">to coerce a confession </w:t>
      </w:r>
      <w:r w:rsidR="00485682" w:rsidRPr="00EB0BCC">
        <w:rPr>
          <w:color w:val="000000" w:themeColor="text1"/>
          <w:szCs w:val="24"/>
          <w:lang w:val="en-GB"/>
        </w:rPr>
        <w:t>with the SIU.</w:t>
      </w:r>
      <w:r w:rsidR="000E2F57" w:rsidRPr="00EB0BCC">
        <w:rPr>
          <w:color w:val="000000" w:themeColor="text1"/>
          <w:szCs w:val="24"/>
          <w:lang w:val="en-GB"/>
        </w:rPr>
        <w:t xml:space="preserve"> </w:t>
      </w:r>
      <w:r w:rsidR="00485682" w:rsidRPr="00EB0BCC">
        <w:rPr>
          <w:color w:val="000000" w:themeColor="text1"/>
          <w:szCs w:val="24"/>
          <w:lang w:val="en-GB"/>
        </w:rPr>
        <w:t>The SIU closed the investigation because of an alleged lack of evidence</w:t>
      </w:r>
      <w:r w:rsidR="00485682" w:rsidRPr="00EB0BCC">
        <w:rPr>
          <w:rStyle w:val="FootnoteReference"/>
          <w:color w:val="000000" w:themeColor="text1"/>
          <w:szCs w:val="24"/>
          <w:lang w:val="en-GB"/>
        </w:rPr>
        <w:footnoteReference w:id="105"/>
      </w:r>
      <w:r w:rsidR="000E2F57" w:rsidRPr="00EB0BCC">
        <w:rPr>
          <w:color w:val="000000" w:themeColor="text1"/>
          <w:szCs w:val="24"/>
          <w:lang w:val="en-GB"/>
        </w:rPr>
        <w:t xml:space="preserve"> </w:t>
      </w:r>
      <w:r w:rsidR="00811A55" w:rsidRPr="00EB0BCC">
        <w:rPr>
          <w:color w:val="000000" w:themeColor="text1"/>
          <w:szCs w:val="24"/>
          <w:lang w:val="en-GB"/>
        </w:rPr>
        <w:t>(see also</w:t>
      </w:r>
      <w:r w:rsidR="00B8323B" w:rsidRPr="00EB0BCC">
        <w:rPr>
          <w:color w:val="000000" w:themeColor="text1"/>
          <w:szCs w:val="24"/>
          <w:lang w:val="en-GB"/>
        </w:rPr>
        <w:t xml:space="preserve"> detailed narrative in </w:t>
      </w:r>
      <w:r w:rsidR="00EA5841" w:rsidRPr="00EB0BCC">
        <w:rPr>
          <w:color w:val="000000" w:themeColor="text1"/>
          <w:szCs w:val="24"/>
          <w:lang w:val="en-GB"/>
        </w:rPr>
        <w:t>Section VII</w:t>
      </w:r>
      <w:r w:rsidR="00E2715F" w:rsidRPr="00EB0BCC">
        <w:rPr>
          <w:color w:val="000000" w:themeColor="text1"/>
          <w:szCs w:val="24"/>
          <w:lang w:val="en-GB"/>
        </w:rPr>
        <w:t>.</w:t>
      </w:r>
      <w:r w:rsidR="00811A55" w:rsidRPr="00EB0BCC">
        <w:rPr>
          <w:color w:val="000000" w:themeColor="text1"/>
          <w:szCs w:val="24"/>
          <w:lang w:val="en-GB"/>
        </w:rPr>
        <w:t>)</w:t>
      </w:r>
    </w:p>
    <w:p w:rsidR="00B22EBF" w:rsidRPr="00EB0BCC" w:rsidRDefault="00C10E4D"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Government agencies have affected a cordon of silence around human rights defenders like </w:t>
      </w:r>
      <w:r w:rsidRPr="00EB0BCC">
        <w:rPr>
          <w:b/>
          <w:bCs/>
          <w:color w:val="000000" w:themeColor="text1"/>
          <w:szCs w:val="24"/>
          <w:lang w:val="en-GB"/>
        </w:rPr>
        <w:t>Naji Fateel</w:t>
      </w:r>
      <w:r w:rsidRPr="00EB0BCC">
        <w:rPr>
          <w:color w:val="000000" w:themeColor="text1"/>
          <w:szCs w:val="24"/>
          <w:lang w:val="en-GB"/>
        </w:rPr>
        <w:t>.</w:t>
      </w:r>
      <w:r w:rsidR="000E2F57" w:rsidRPr="00EB0BCC">
        <w:rPr>
          <w:color w:val="000000" w:themeColor="text1"/>
          <w:szCs w:val="24"/>
          <w:lang w:val="en-GB"/>
        </w:rPr>
        <w:t xml:space="preserve"> </w:t>
      </w:r>
      <w:r w:rsidRPr="00EB0BCC">
        <w:rPr>
          <w:color w:val="000000" w:themeColor="text1"/>
          <w:szCs w:val="24"/>
          <w:lang w:val="en-GB"/>
        </w:rPr>
        <w:t>After his arrest on 2 May 2013, Fateel was kept hidden from his lawyer and family members, even during criminal proceedings.</w:t>
      </w:r>
      <w:r w:rsidR="000E2F57" w:rsidRPr="00EB0BCC">
        <w:rPr>
          <w:color w:val="000000" w:themeColor="text1"/>
          <w:szCs w:val="24"/>
          <w:lang w:val="en-GB"/>
        </w:rPr>
        <w:t xml:space="preserve"> </w:t>
      </w:r>
      <w:r w:rsidR="004D5F74" w:rsidRPr="00EB0BCC">
        <w:rPr>
          <w:color w:val="000000" w:themeColor="text1"/>
          <w:szCs w:val="24"/>
          <w:lang w:val="en-GB"/>
        </w:rPr>
        <w:t>The Office of Public Prosecutor appears to be a participant in a “conspiracy of silence” claiming not to know his whereabouts despite later acknowledgement of his detention at Jaw Prison.</w:t>
      </w:r>
      <w:r w:rsidR="000E2F57" w:rsidRPr="00EB0BCC">
        <w:rPr>
          <w:color w:val="000000" w:themeColor="text1"/>
          <w:szCs w:val="24"/>
          <w:lang w:val="en-GB"/>
        </w:rPr>
        <w:t xml:space="preserve"> </w:t>
      </w:r>
      <w:r w:rsidRPr="00EB0BCC">
        <w:rPr>
          <w:color w:val="000000" w:themeColor="text1"/>
          <w:szCs w:val="24"/>
          <w:lang w:val="en-GB"/>
        </w:rPr>
        <w:t>Despite requests from Fateel’s lawyer, Mohammed Al-Mahdi, the Office of Public Prosecutor denied knowledge of his whereabouts at the time and claimed to not be aware of any charges against him.</w:t>
      </w:r>
      <w:r w:rsidR="000E2F57" w:rsidRPr="00EB0BCC">
        <w:rPr>
          <w:color w:val="000000" w:themeColor="text1"/>
          <w:szCs w:val="24"/>
          <w:lang w:val="en-GB"/>
        </w:rPr>
        <w:t xml:space="preserve"> </w:t>
      </w:r>
      <w:r w:rsidRPr="00EB0BCC">
        <w:rPr>
          <w:color w:val="000000" w:themeColor="text1"/>
          <w:szCs w:val="24"/>
          <w:lang w:val="en-GB"/>
        </w:rPr>
        <w:t>During his detention, he was reportedly subjected to torture.</w:t>
      </w:r>
      <w:r w:rsidR="000E2F57" w:rsidRPr="00EB0BCC">
        <w:rPr>
          <w:color w:val="000000" w:themeColor="text1"/>
          <w:szCs w:val="24"/>
          <w:lang w:val="en-GB"/>
        </w:rPr>
        <w:t xml:space="preserve"> </w:t>
      </w:r>
      <w:r w:rsidRPr="00EB0BCC">
        <w:rPr>
          <w:color w:val="000000" w:themeColor="text1"/>
          <w:szCs w:val="24"/>
          <w:lang w:val="en-GB"/>
        </w:rPr>
        <w:t xml:space="preserve">He </w:t>
      </w:r>
      <w:r w:rsidR="00125FCB" w:rsidRPr="00EB0BCC">
        <w:rPr>
          <w:color w:val="000000" w:themeColor="text1"/>
          <w:szCs w:val="24"/>
          <w:lang w:val="en-GB"/>
        </w:rPr>
        <w:t>has been</w:t>
      </w:r>
      <w:r w:rsidRPr="00EB0BCC">
        <w:rPr>
          <w:color w:val="000000" w:themeColor="text1"/>
          <w:szCs w:val="24"/>
          <w:lang w:val="en-GB"/>
        </w:rPr>
        <w:t xml:space="preserve"> held incommunicado </w:t>
      </w:r>
      <w:r w:rsidR="00125FCB" w:rsidRPr="00EB0BCC">
        <w:rPr>
          <w:color w:val="000000" w:themeColor="text1"/>
          <w:szCs w:val="24"/>
          <w:lang w:val="en-GB"/>
        </w:rPr>
        <w:t xml:space="preserve">at length </w:t>
      </w:r>
      <w:r w:rsidRPr="00EB0BCC">
        <w:rPr>
          <w:color w:val="000000" w:themeColor="text1"/>
          <w:szCs w:val="24"/>
          <w:lang w:val="en-GB"/>
        </w:rPr>
        <w:t>which raise</w:t>
      </w:r>
      <w:r w:rsidR="00125FCB" w:rsidRPr="00EB0BCC">
        <w:rPr>
          <w:color w:val="000000" w:themeColor="text1"/>
          <w:szCs w:val="24"/>
          <w:lang w:val="en-GB"/>
        </w:rPr>
        <w:t>d</w:t>
      </w:r>
      <w:r w:rsidRPr="00EB0BCC">
        <w:rPr>
          <w:color w:val="000000" w:themeColor="text1"/>
          <w:szCs w:val="24"/>
          <w:lang w:val="en-GB"/>
        </w:rPr>
        <w:t xml:space="preserve"> concerns for his well-being and protection of his due process rights</w:t>
      </w:r>
      <w:r w:rsidR="000E2F57" w:rsidRPr="00EB0BCC">
        <w:rPr>
          <w:color w:val="000000" w:themeColor="text1"/>
          <w:szCs w:val="24"/>
          <w:lang w:val="en-GB"/>
        </w:rPr>
        <w:t xml:space="preserve"> </w:t>
      </w:r>
      <w:r w:rsidR="00811A55" w:rsidRPr="00EB0BCC">
        <w:rPr>
          <w:color w:val="000000" w:themeColor="text1"/>
          <w:szCs w:val="24"/>
          <w:lang w:val="en-GB"/>
        </w:rPr>
        <w:t xml:space="preserve">(see also detailed narrative in </w:t>
      </w:r>
      <w:r w:rsidR="00EA5841" w:rsidRPr="00EB0BCC">
        <w:rPr>
          <w:color w:val="000000" w:themeColor="text1"/>
          <w:szCs w:val="24"/>
          <w:lang w:val="en-GB"/>
        </w:rPr>
        <w:t>Section VII</w:t>
      </w:r>
      <w:r w:rsidR="00B8323B" w:rsidRPr="00EB0BCC">
        <w:rPr>
          <w:color w:val="000000" w:themeColor="text1"/>
          <w:szCs w:val="24"/>
          <w:lang w:val="en-GB"/>
        </w:rPr>
        <w:t>.</w:t>
      </w:r>
      <w:r w:rsidR="00811A55" w:rsidRPr="00EB0BCC">
        <w:rPr>
          <w:color w:val="000000" w:themeColor="text1"/>
          <w:szCs w:val="24"/>
          <w:lang w:val="en-GB"/>
        </w:rPr>
        <w:t>)</w:t>
      </w:r>
    </w:p>
    <w:p w:rsidR="001A605B" w:rsidRPr="00EB0BCC" w:rsidRDefault="001A605B"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As mentioned earlier in the report, journalist </w:t>
      </w:r>
      <w:r w:rsidRPr="00EB0BCC">
        <w:rPr>
          <w:b/>
          <w:bCs/>
          <w:color w:val="000000" w:themeColor="text1"/>
          <w:szCs w:val="24"/>
          <w:lang w:val="en-GB"/>
        </w:rPr>
        <w:t>Nazeeha Saeed</w:t>
      </w:r>
      <w:r w:rsidRPr="00EB0BCC">
        <w:rPr>
          <w:color w:val="000000" w:themeColor="text1"/>
          <w:szCs w:val="24"/>
          <w:lang w:val="en-GB"/>
        </w:rPr>
        <w:t xml:space="preserve"> was detained and tortured by police for purposes of obtaining a coerced confession in May 2011. One of the policewomen responsible was identified as Sarah Al-Moosa. On 22 October 2012, Al-Moosa was acquitted of charges of torturing and mistreating Saeed. On 23 March 2013, a Bahraini Court of Appeals upheld the acquittal. More recently (November 2015), authorities decided against charging other identified officers because of “insufficient” evidence (see also detailed narrative in </w:t>
      </w:r>
      <w:r w:rsidR="00EA5841" w:rsidRPr="00EB0BCC">
        <w:rPr>
          <w:color w:val="000000" w:themeColor="text1"/>
          <w:szCs w:val="24"/>
          <w:lang w:val="en-GB"/>
        </w:rPr>
        <w:t>Section VII</w:t>
      </w:r>
      <w:r w:rsidRPr="00EB0BCC">
        <w:rPr>
          <w:color w:val="000000" w:themeColor="text1"/>
          <w:szCs w:val="24"/>
          <w:lang w:val="en-GB"/>
        </w:rPr>
        <w:t>.)</w:t>
      </w:r>
    </w:p>
    <w:p w:rsidR="00B8323B" w:rsidRPr="00EB0BCC" w:rsidRDefault="00B8323B" w:rsidP="00A574C5">
      <w:pPr>
        <w:pStyle w:val="BodyText"/>
        <w:tabs>
          <w:tab w:val="right" w:pos="8910"/>
        </w:tabs>
        <w:ind w:left="737" w:right="18"/>
        <w:jc w:val="both"/>
        <w:rPr>
          <w:b/>
          <w:iCs/>
          <w:color w:val="000000" w:themeColor="text1"/>
          <w:szCs w:val="24"/>
          <w:lang w:val="en-GB"/>
        </w:rPr>
      </w:pPr>
      <w:r w:rsidRPr="00EB0BCC">
        <w:rPr>
          <w:b/>
          <w:iCs/>
          <w:color w:val="000000" w:themeColor="text1"/>
          <w:szCs w:val="24"/>
          <w:lang w:val="en-GB"/>
        </w:rPr>
        <w:t>Other Cases of Impunity for Torture</w:t>
      </w:r>
    </w:p>
    <w:p w:rsidR="004B1B1C" w:rsidRPr="00EB0BCC" w:rsidRDefault="004B1B1C" w:rsidP="00A574C5">
      <w:pPr>
        <w:pStyle w:val="BodyText"/>
        <w:tabs>
          <w:tab w:val="right" w:pos="8910"/>
        </w:tabs>
        <w:ind w:left="737" w:right="18"/>
        <w:jc w:val="both"/>
        <w:rPr>
          <w:b/>
          <w:i/>
          <w:color w:val="000000" w:themeColor="text1"/>
          <w:szCs w:val="24"/>
          <w:lang w:val="en-GB"/>
        </w:rPr>
      </w:pPr>
      <w:r w:rsidRPr="00EB0BCC">
        <w:rPr>
          <w:b/>
          <w:i/>
          <w:color w:val="000000" w:themeColor="text1"/>
          <w:szCs w:val="24"/>
          <w:lang w:val="en-GB"/>
        </w:rPr>
        <w:t>Ahmed Mohammad Saleh Al</w:t>
      </w:r>
      <w:r w:rsidR="00FF33C2" w:rsidRPr="00EB0BCC">
        <w:rPr>
          <w:b/>
          <w:i/>
          <w:color w:val="000000" w:themeColor="text1"/>
          <w:szCs w:val="24"/>
          <w:lang w:val="en-GB"/>
        </w:rPr>
        <w:t>-</w:t>
      </w:r>
      <w:r w:rsidRPr="00EB0BCC">
        <w:rPr>
          <w:b/>
          <w:i/>
          <w:color w:val="000000" w:themeColor="text1"/>
          <w:szCs w:val="24"/>
          <w:lang w:val="en-GB"/>
        </w:rPr>
        <w:t>Arab</w:t>
      </w:r>
      <w:r w:rsidR="00680A96" w:rsidRPr="00EB0BCC">
        <w:rPr>
          <w:b/>
          <w:i/>
          <w:color w:val="000000" w:themeColor="text1"/>
          <w:szCs w:val="24"/>
          <w:lang w:val="en-GB"/>
        </w:rPr>
        <w:t xml:space="preserve"> C</w:t>
      </w:r>
      <w:r w:rsidR="000D33AA" w:rsidRPr="00EB0BCC">
        <w:rPr>
          <w:b/>
          <w:i/>
          <w:color w:val="000000" w:themeColor="text1"/>
          <w:szCs w:val="24"/>
          <w:lang w:val="en-GB"/>
        </w:rPr>
        <w:t>ase</w:t>
      </w:r>
      <w:r w:rsidR="003912C7" w:rsidRPr="00EB0BCC">
        <w:rPr>
          <w:rStyle w:val="FootnoteReference"/>
          <w:b/>
          <w:i/>
          <w:color w:val="000000" w:themeColor="text1"/>
          <w:szCs w:val="24"/>
          <w:lang w:val="en-GB"/>
        </w:rPr>
        <w:footnoteReference w:id="106"/>
      </w:r>
    </w:p>
    <w:p w:rsidR="004B1B1C" w:rsidRPr="00EB0BCC" w:rsidRDefault="004B1B1C"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Despite a plea from </w:t>
      </w:r>
      <w:r w:rsidR="00FF33C2" w:rsidRPr="00EB0BCC">
        <w:rPr>
          <w:color w:val="000000" w:themeColor="text1"/>
          <w:szCs w:val="24"/>
          <w:lang w:val="en-GB"/>
        </w:rPr>
        <w:t xml:space="preserve">Ahmed Mohammad Saleh </w:t>
      </w:r>
      <w:r w:rsidRPr="00EB0BCC">
        <w:rPr>
          <w:color w:val="000000" w:themeColor="text1"/>
          <w:szCs w:val="24"/>
          <w:lang w:val="en-GB"/>
        </w:rPr>
        <w:t>Al</w:t>
      </w:r>
      <w:r w:rsidR="00FF33C2" w:rsidRPr="00EB0BCC">
        <w:rPr>
          <w:color w:val="000000" w:themeColor="text1"/>
          <w:szCs w:val="24"/>
          <w:lang w:val="en-GB"/>
        </w:rPr>
        <w:t>-</w:t>
      </w:r>
      <w:r w:rsidRPr="00EB0BCC">
        <w:rPr>
          <w:color w:val="000000" w:themeColor="text1"/>
          <w:szCs w:val="24"/>
          <w:lang w:val="en-GB"/>
        </w:rPr>
        <w:t>Arab’s lawyer</w:t>
      </w:r>
      <w:r w:rsidR="002E5C31" w:rsidRPr="00EB0BCC">
        <w:rPr>
          <w:color w:val="000000" w:themeColor="text1"/>
          <w:szCs w:val="24"/>
          <w:lang w:val="en-GB"/>
        </w:rPr>
        <w:t xml:space="preserve"> based on the testimony of his client</w:t>
      </w:r>
      <w:r w:rsidRPr="00EB0BCC">
        <w:rPr>
          <w:color w:val="000000" w:themeColor="text1"/>
          <w:szCs w:val="24"/>
          <w:lang w:val="en-GB"/>
        </w:rPr>
        <w:t>, the court refused to investigate allegations of torture.</w:t>
      </w:r>
      <w:r w:rsidR="000E2F57" w:rsidRPr="00EB0BCC">
        <w:rPr>
          <w:color w:val="000000" w:themeColor="text1"/>
          <w:szCs w:val="24"/>
          <w:lang w:val="en-GB"/>
        </w:rPr>
        <w:t xml:space="preserve"> </w:t>
      </w:r>
      <w:r w:rsidRPr="00EB0BCC">
        <w:rPr>
          <w:color w:val="000000" w:themeColor="text1"/>
          <w:szCs w:val="24"/>
          <w:lang w:val="en-GB"/>
        </w:rPr>
        <w:t xml:space="preserve">He was arrested in January 2014 and was held in incommunicado detention at the CID for 21 days where he was </w:t>
      </w:r>
      <w:r w:rsidR="00AB6E61" w:rsidRPr="00EB0BCC">
        <w:rPr>
          <w:color w:val="000000" w:themeColor="text1"/>
          <w:szCs w:val="24"/>
          <w:lang w:val="en-GB"/>
        </w:rPr>
        <w:t xml:space="preserve">allegedly </w:t>
      </w:r>
      <w:r w:rsidRPr="00EB0BCC">
        <w:rPr>
          <w:color w:val="000000" w:themeColor="text1"/>
          <w:szCs w:val="24"/>
          <w:lang w:val="en-GB"/>
        </w:rPr>
        <w:t>repeatedly beaten, deprived of sleep, and subjected to “waterboarding</w:t>
      </w:r>
      <w:r w:rsidR="002E5C31" w:rsidRPr="00EB0BCC">
        <w:rPr>
          <w:color w:val="000000" w:themeColor="text1"/>
          <w:szCs w:val="24"/>
          <w:lang w:val="en-GB"/>
        </w:rPr>
        <w:t>.</w:t>
      </w:r>
      <w:r w:rsidRPr="00EB0BCC">
        <w:rPr>
          <w:color w:val="000000" w:themeColor="text1"/>
          <w:szCs w:val="24"/>
          <w:lang w:val="en-GB"/>
        </w:rPr>
        <w:t xml:space="preserve">” </w:t>
      </w:r>
    </w:p>
    <w:p w:rsidR="0004454B" w:rsidRPr="00EB0BCC" w:rsidRDefault="00A574C5" w:rsidP="00A574C5">
      <w:pPr>
        <w:pStyle w:val="BodyText"/>
        <w:tabs>
          <w:tab w:val="right" w:pos="8910"/>
        </w:tabs>
        <w:ind w:left="737" w:right="18"/>
        <w:jc w:val="both"/>
        <w:rPr>
          <w:b/>
          <w:color w:val="000000" w:themeColor="text1"/>
          <w:szCs w:val="24"/>
          <w:lang w:val="en-GB"/>
        </w:rPr>
      </w:pPr>
      <w:r w:rsidRPr="00EB0BCC">
        <w:rPr>
          <w:b/>
          <w:color w:val="000000" w:themeColor="text1"/>
          <w:szCs w:val="24"/>
          <w:lang w:val="en-GB"/>
        </w:rPr>
        <w:br w:type="page"/>
      </w:r>
      <w:r w:rsidR="00B03BB7" w:rsidRPr="00EB0BCC">
        <w:rPr>
          <w:b/>
          <w:color w:val="000000" w:themeColor="text1"/>
          <w:szCs w:val="24"/>
          <w:lang w:val="en-GB"/>
        </w:rPr>
        <w:lastRenderedPageBreak/>
        <w:t xml:space="preserve">Failure to Follow-up on </w:t>
      </w:r>
      <w:r w:rsidR="0019758C" w:rsidRPr="00EB0BCC">
        <w:rPr>
          <w:b/>
          <w:color w:val="000000" w:themeColor="text1"/>
          <w:szCs w:val="24"/>
          <w:lang w:val="en-GB"/>
        </w:rPr>
        <w:t xml:space="preserve">Allegations of </w:t>
      </w:r>
      <w:r w:rsidR="00B03BB7" w:rsidRPr="00EB0BCC">
        <w:rPr>
          <w:b/>
          <w:color w:val="000000" w:themeColor="text1"/>
          <w:szCs w:val="24"/>
          <w:lang w:val="en-GB"/>
        </w:rPr>
        <w:t xml:space="preserve">Torture </w:t>
      </w:r>
    </w:p>
    <w:p w:rsidR="000F5107" w:rsidRPr="00EB0BCC" w:rsidRDefault="00F6400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There is an apparent absence of effective investigations into wrongdoing by the Bahraini government, including agencies charged with policing violators, such as the Office of Ombudsman </w:t>
      </w:r>
      <w:r w:rsidR="005D5B72" w:rsidRPr="00EB0BCC">
        <w:rPr>
          <w:color w:val="000000" w:themeColor="text1"/>
          <w:szCs w:val="24"/>
          <w:lang w:val="en-GB"/>
        </w:rPr>
        <w:t>at the Ministry of Interior and Islamic Affairs and the Special Investigation Unit (SIU) in the Office of the Public Prosecutor.</w:t>
      </w:r>
      <w:r w:rsidR="000E2F57" w:rsidRPr="00EB0BCC">
        <w:rPr>
          <w:color w:val="000000" w:themeColor="text1"/>
          <w:szCs w:val="24"/>
          <w:lang w:val="en-GB"/>
        </w:rPr>
        <w:t xml:space="preserve"> </w:t>
      </w:r>
      <w:r w:rsidR="002E5C31" w:rsidRPr="00EB0BCC">
        <w:rPr>
          <w:color w:val="000000" w:themeColor="text1"/>
          <w:szCs w:val="24"/>
          <w:lang w:val="en-GB"/>
        </w:rPr>
        <w:t xml:space="preserve">As indicated by the cases of </w:t>
      </w:r>
      <w:r w:rsidR="002E5C31" w:rsidRPr="00EB0BCC">
        <w:rPr>
          <w:b/>
          <w:bCs/>
          <w:color w:val="000000" w:themeColor="text1"/>
          <w:szCs w:val="24"/>
          <w:lang w:val="en-GB"/>
        </w:rPr>
        <w:t>Hussain Jawad, Nazeeha Saeed, Naji Fateel,</w:t>
      </w:r>
      <w:r w:rsidR="002E5C31" w:rsidRPr="00EB0BCC">
        <w:rPr>
          <w:color w:val="000000" w:themeColor="text1"/>
          <w:szCs w:val="24"/>
          <w:lang w:val="en-GB"/>
        </w:rPr>
        <w:t xml:space="preserve"> and </w:t>
      </w:r>
      <w:r w:rsidR="004D67A9" w:rsidRPr="00EB0BCC">
        <w:rPr>
          <w:b/>
          <w:bCs/>
          <w:color w:val="000000" w:themeColor="text1"/>
          <w:szCs w:val="24"/>
          <w:lang w:val="en-GB"/>
        </w:rPr>
        <w:t>Ahmed Mohammad Saleh Al</w:t>
      </w:r>
      <w:r w:rsidR="00FF33C2" w:rsidRPr="00EB0BCC">
        <w:rPr>
          <w:b/>
          <w:bCs/>
          <w:color w:val="000000" w:themeColor="text1"/>
          <w:szCs w:val="24"/>
          <w:lang w:val="en-GB"/>
        </w:rPr>
        <w:t>-</w:t>
      </w:r>
      <w:r w:rsidR="004D67A9" w:rsidRPr="00EB0BCC">
        <w:rPr>
          <w:b/>
          <w:bCs/>
          <w:color w:val="000000" w:themeColor="text1"/>
          <w:szCs w:val="24"/>
          <w:lang w:val="en-GB"/>
        </w:rPr>
        <w:t>Arab</w:t>
      </w:r>
      <w:r w:rsidR="00110E3A" w:rsidRPr="00EB0BCC">
        <w:rPr>
          <w:color w:val="000000" w:themeColor="text1"/>
          <w:szCs w:val="24"/>
          <w:lang w:val="en-GB"/>
        </w:rPr>
        <w:t xml:space="preserve"> in the section above</w:t>
      </w:r>
      <w:r w:rsidR="004D67A9" w:rsidRPr="00EB0BCC">
        <w:rPr>
          <w:color w:val="000000" w:themeColor="text1"/>
          <w:szCs w:val="24"/>
          <w:lang w:val="en-GB"/>
        </w:rPr>
        <w:t xml:space="preserve">, </w:t>
      </w:r>
      <w:r w:rsidR="002E5C31" w:rsidRPr="00EB0BCC">
        <w:rPr>
          <w:color w:val="000000" w:themeColor="text1"/>
          <w:szCs w:val="24"/>
          <w:lang w:val="en-GB"/>
        </w:rPr>
        <w:t xml:space="preserve">the judiciary is also reluctant to </w:t>
      </w:r>
      <w:r w:rsidR="00110E3A" w:rsidRPr="00EB0BCC">
        <w:rPr>
          <w:color w:val="000000" w:themeColor="text1"/>
          <w:szCs w:val="24"/>
          <w:lang w:val="en-GB"/>
        </w:rPr>
        <w:t>investigate and punish</w:t>
      </w:r>
      <w:r w:rsidR="002E5C31" w:rsidRPr="00EB0BCC">
        <w:rPr>
          <w:color w:val="000000" w:themeColor="text1"/>
          <w:szCs w:val="24"/>
          <w:lang w:val="en-GB"/>
        </w:rPr>
        <w:t xml:space="preserve"> allegations of torture, even when failing to do so would result in a miscarriage of justice.</w:t>
      </w:r>
      <w:r w:rsidR="000E2F57" w:rsidRPr="00EB0BCC">
        <w:rPr>
          <w:color w:val="000000" w:themeColor="text1"/>
          <w:szCs w:val="24"/>
          <w:lang w:val="en-GB"/>
        </w:rPr>
        <w:t xml:space="preserve"> </w:t>
      </w:r>
      <w:r w:rsidR="005D5B72" w:rsidRPr="00EB0BCC">
        <w:rPr>
          <w:color w:val="000000" w:themeColor="text1"/>
          <w:szCs w:val="24"/>
          <w:lang w:val="en-GB"/>
        </w:rPr>
        <w:t>In particular, there is an inability or unwillingness of government agencies</w:t>
      </w:r>
      <w:r w:rsidR="000F5107" w:rsidRPr="00EB0BCC">
        <w:rPr>
          <w:color w:val="000000" w:themeColor="text1"/>
          <w:szCs w:val="24"/>
          <w:lang w:val="en-GB"/>
        </w:rPr>
        <w:t xml:space="preserve"> </w:t>
      </w:r>
      <w:r w:rsidR="005D5B72" w:rsidRPr="00EB0BCC">
        <w:rPr>
          <w:color w:val="000000" w:themeColor="text1"/>
          <w:szCs w:val="24"/>
          <w:lang w:val="en-GB"/>
        </w:rPr>
        <w:t xml:space="preserve">to investigate </w:t>
      </w:r>
      <w:r w:rsidRPr="00EB0BCC">
        <w:rPr>
          <w:color w:val="000000" w:themeColor="text1"/>
          <w:szCs w:val="24"/>
          <w:lang w:val="en-GB"/>
        </w:rPr>
        <w:t>allegations of torture</w:t>
      </w:r>
      <w:r w:rsidR="005D5B72" w:rsidRPr="00EB0BCC">
        <w:rPr>
          <w:color w:val="000000" w:themeColor="text1"/>
          <w:szCs w:val="24"/>
          <w:lang w:val="en-GB"/>
        </w:rPr>
        <w:t>,</w:t>
      </w:r>
      <w:r w:rsidRPr="00EB0BCC">
        <w:rPr>
          <w:color w:val="000000" w:themeColor="text1"/>
          <w:szCs w:val="24"/>
          <w:lang w:val="en-GB"/>
        </w:rPr>
        <w:t xml:space="preserve"> evidence obtained through torture</w:t>
      </w:r>
      <w:r w:rsidR="005D5B72" w:rsidRPr="00EB0BCC">
        <w:rPr>
          <w:color w:val="000000" w:themeColor="text1"/>
          <w:szCs w:val="24"/>
          <w:lang w:val="en-GB"/>
        </w:rPr>
        <w:t>, and abusive treatment during detention</w:t>
      </w:r>
      <w:r w:rsidR="00E91527" w:rsidRPr="00EB0BCC">
        <w:rPr>
          <w:color w:val="000000" w:themeColor="text1"/>
          <w:szCs w:val="24"/>
          <w:lang w:val="en-GB"/>
        </w:rPr>
        <w:t xml:space="preserve"> (including the arbitrary denial of medical treatment)</w:t>
      </w:r>
      <w:r w:rsidR="005D5B72" w:rsidRPr="00EB0BCC">
        <w:rPr>
          <w:color w:val="000000" w:themeColor="text1"/>
          <w:szCs w:val="24"/>
          <w:lang w:val="en-GB"/>
        </w:rPr>
        <w:t>.</w:t>
      </w:r>
      <w:r w:rsidR="000E2F57" w:rsidRPr="00EB0BCC">
        <w:rPr>
          <w:color w:val="000000" w:themeColor="text1"/>
          <w:szCs w:val="24"/>
          <w:lang w:val="en-GB"/>
        </w:rPr>
        <w:t xml:space="preserve"> </w:t>
      </w:r>
      <w:r w:rsidR="008E1A77" w:rsidRPr="00EB0BCC">
        <w:rPr>
          <w:color w:val="000000" w:themeColor="text1"/>
          <w:szCs w:val="24"/>
          <w:lang w:val="en-GB"/>
        </w:rPr>
        <w:t>Furthermore, the courts and the judicial system have displayed a reluctance to allow proper hearings when substantive allegations of human rights violations are presented.</w:t>
      </w:r>
      <w:r w:rsidR="00BA35C4" w:rsidRPr="00EB0BCC">
        <w:rPr>
          <w:color w:val="000000" w:themeColor="text1"/>
          <w:szCs w:val="24"/>
          <w:lang w:val="en-GB"/>
        </w:rPr>
        <w:t xml:space="preserve"> </w:t>
      </w:r>
      <w:r w:rsidR="008E1A77" w:rsidRPr="00EB0BCC">
        <w:rPr>
          <w:color w:val="000000" w:themeColor="text1"/>
          <w:szCs w:val="24"/>
          <w:lang w:val="en-GB"/>
        </w:rPr>
        <w:t>For example, despite bruises and marks on Naji Fateel’s body that were obvious during his trial, no investigation was initiated into allegations of torture.</w:t>
      </w:r>
      <w:r w:rsidR="008E1A77" w:rsidRPr="00EB0BCC">
        <w:rPr>
          <w:color w:val="000000" w:themeColor="text1"/>
          <w:szCs w:val="24"/>
          <w:vertAlign w:val="superscript"/>
          <w:lang w:val="en-GB"/>
        </w:rPr>
        <w:footnoteReference w:id="107"/>
      </w:r>
      <w:r w:rsidR="008E1A77" w:rsidRPr="00EB0BCC">
        <w:rPr>
          <w:color w:val="000000" w:themeColor="text1"/>
          <w:szCs w:val="24"/>
          <w:lang w:val="en-GB"/>
        </w:rPr>
        <w:t xml:space="preserve"> The denial of effective redress is itself a denial of due process of law.</w:t>
      </w:r>
      <w:r w:rsidR="00BA35C4" w:rsidRPr="00EB0BCC">
        <w:rPr>
          <w:color w:val="000000" w:themeColor="text1"/>
          <w:szCs w:val="24"/>
          <w:lang w:val="en-GB"/>
        </w:rPr>
        <w:t xml:space="preserve"> </w:t>
      </w:r>
    </w:p>
    <w:p w:rsidR="00624F4A" w:rsidRPr="00EB0BCC" w:rsidRDefault="0088422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S</w:t>
      </w:r>
      <w:r w:rsidR="000F5107" w:rsidRPr="00EB0BCC">
        <w:rPr>
          <w:color w:val="000000" w:themeColor="text1"/>
          <w:szCs w:val="24"/>
          <w:lang w:val="en-GB"/>
        </w:rPr>
        <w:t>ince 2012</w:t>
      </w:r>
      <w:r w:rsidRPr="00EB0BCC">
        <w:rPr>
          <w:color w:val="000000" w:themeColor="text1"/>
          <w:szCs w:val="24"/>
          <w:lang w:val="en-GB"/>
        </w:rPr>
        <w:t xml:space="preserve">, </w:t>
      </w:r>
      <w:r w:rsidR="004D67A9" w:rsidRPr="00EB0BCC">
        <w:rPr>
          <w:color w:val="000000" w:themeColor="text1"/>
          <w:szCs w:val="24"/>
          <w:lang w:val="en-GB"/>
        </w:rPr>
        <w:t>investigations into allegations of torture initiated by</w:t>
      </w:r>
      <w:r w:rsidR="000F5107" w:rsidRPr="00EB0BCC">
        <w:rPr>
          <w:color w:val="000000" w:themeColor="text1"/>
          <w:szCs w:val="24"/>
          <w:lang w:val="en-GB"/>
        </w:rPr>
        <w:t xml:space="preserve"> the Public Prosecutor </w:t>
      </w:r>
      <w:r w:rsidR="00410301" w:rsidRPr="00EB0BCC">
        <w:rPr>
          <w:color w:val="000000" w:themeColor="text1"/>
          <w:szCs w:val="24"/>
          <w:lang w:val="en-GB"/>
        </w:rPr>
        <w:t xml:space="preserve">and subsequent prosecutions </w:t>
      </w:r>
      <w:r w:rsidR="005636D0" w:rsidRPr="00EB0BCC">
        <w:rPr>
          <w:color w:val="000000" w:themeColor="text1"/>
          <w:szCs w:val="24"/>
          <w:lang w:val="en-GB"/>
        </w:rPr>
        <w:t xml:space="preserve">lead to </w:t>
      </w:r>
      <w:r w:rsidR="00410301" w:rsidRPr="00EB0BCC">
        <w:rPr>
          <w:color w:val="000000" w:themeColor="text1"/>
          <w:szCs w:val="24"/>
          <w:lang w:val="en-GB"/>
        </w:rPr>
        <w:t xml:space="preserve">either </w:t>
      </w:r>
      <w:r w:rsidR="000F5107" w:rsidRPr="00EB0BCC">
        <w:rPr>
          <w:color w:val="000000" w:themeColor="text1"/>
          <w:szCs w:val="24"/>
          <w:lang w:val="en-GB"/>
        </w:rPr>
        <w:t>acquittal</w:t>
      </w:r>
      <w:r w:rsidR="00410301" w:rsidRPr="00EB0BCC">
        <w:rPr>
          <w:color w:val="000000" w:themeColor="text1"/>
          <w:szCs w:val="24"/>
          <w:lang w:val="en-GB"/>
        </w:rPr>
        <w:t>s</w:t>
      </w:r>
      <w:r w:rsidR="000F5107" w:rsidRPr="00EB0BCC">
        <w:rPr>
          <w:color w:val="000000" w:themeColor="text1"/>
          <w:szCs w:val="24"/>
          <w:lang w:val="en-GB"/>
        </w:rPr>
        <w:t xml:space="preserve"> or light sentences</w:t>
      </w:r>
      <w:r w:rsidR="004D67A9" w:rsidRPr="00EB0BCC">
        <w:rPr>
          <w:color w:val="000000" w:themeColor="text1"/>
          <w:szCs w:val="24"/>
          <w:lang w:val="en-GB"/>
        </w:rPr>
        <w:t>.</w:t>
      </w:r>
      <w:r w:rsidR="000E2F57" w:rsidRPr="00EB0BCC">
        <w:rPr>
          <w:color w:val="000000" w:themeColor="text1"/>
          <w:szCs w:val="24"/>
          <w:lang w:val="en-GB"/>
        </w:rPr>
        <w:t xml:space="preserve"> </w:t>
      </w:r>
      <w:r w:rsidR="005636D0" w:rsidRPr="00EB0BCC">
        <w:rPr>
          <w:color w:val="000000" w:themeColor="text1"/>
          <w:szCs w:val="24"/>
          <w:lang w:val="en-GB"/>
        </w:rPr>
        <w:t>High level officials have not been investigated.</w:t>
      </w:r>
      <w:r w:rsidR="000E2F57" w:rsidRPr="00EB0BCC">
        <w:rPr>
          <w:color w:val="000000" w:themeColor="text1"/>
          <w:szCs w:val="24"/>
          <w:lang w:val="en-GB"/>
        </w:rPr>
        <w:t xml:space="preserve"> </w:t>
      </w:r>
      <w:r w:rsidR="005636D0" w:rsidRPr="00EB0BCC">
        <w:rPr>
          <w:color w:val="000000" w:themeColor="text1"/>
          <w:szCs w:val="24"/>
          <w:lang w:val="en-GB"/>
        </w:rPr>
        <w:t xml:space="preserve">Nor has the Office of </w:t>
      </w:r>
      <w:r w:rsidR="00257B44" w:rsidRPr="00EB0BCC">
        <w:rPr>
          <w:color w:val="000000" w:themeColor="text1"/>
          <w:szCs w:val="24"/>
          <w:lang w:val="en-GB"/>
        </w:rPr>
        <w:t xml:space="preserve">the </w:t>
      </w:r>
      <w:r w:rsidR="005636D0" w:rsidRPr="00EB0BCC">
        <w:rPr>
          <w:color w:val="000000" w:themeColor="text1"/>
          <w:szCs w:val="24"/>
          <w:lang w:val="en-GB"/>
        </w:rPr>
        <w:t xml:space="preserve">Ombudsman </w:t>
      </w:r>
      <w:r w:rsidR="00380014" w:rsidRPr="00EB0BCC">
        <w:rPr>
          <w:color w:val="000000" w:themeColor="text1"/>
          <w:szCs w:val="24"/>
          <w:lang w:val="en-GB"/>
        </w:rPr>
        <w:t>displayed much willingness to conduct good faith investigations into government misconduct.</w:t>
      </w:r>
      <w:r w:rsidR="005636D0" w:rsidRPr="00EB0BCC">
        <w:rPr>
          <w:rStyle w:val="FootnoteReference"/>
          <w:color w:val="000000" w:themeColor="text1"/>
          <w:szCs w:val="24"/>
          <w:lang w:val="en-GB"/>
        </w:rPr>
        <w:footnoteReference w:id="108"/>
      </w:r>
      <w:r w:rsidR="000E2F57" w:rsidRPr="00EB0BCC">
        <w:rPr>
          <w:color w:val="000000" w:themeColor="text1"/>
          <w:szCs w:val="24"/>
          <w:lang w:val="en-GB"/>
        </w:rPr>
        <w:t xml:space="preserve"> </w:t>
      </w:r>
      <w:r w:rsidR="00243902" w:rsidRPr="00EB0BCC">
        <w:rPr>
          <w:color w:val="000000" w:themeColor="text1"/>
          <w:szCs w:val="24"/>
          <w:lang w:val="en-GB"/>
        </w:rPr>
        <w:t xml:space="preserve">The third annual report for the Office of </w:t>
      </w:r>
      <w:r w:rsidR="00257B44" w:rsidRPr="00EB0BCC">
        <w:rPr>
          <w:color w:val="000000" w:themeColor="text1"/>
          <w:szCs w:val="24"/>
          <w:lang w:val="en-GB"/>
        </w:rPr>
        <w:t xml:space="preserve">the </w:t>
      </w:r>
      <w:r w:rsidR="00243902" w:rsidRPr="00EB0BCC">
        <w:rPr>
          <w:color w:val="000000" w:themeColor="text1"/>
          <w:szCs w:val="24"/>
          <w:lang w:val="en-GB"/>
        </w:rPr>
        <w:t xml:space="preserve">Ombudsman which was released on </w:t>
      </w:r>
      <w:r w:rsidR="00F14264" w:rsidRPr="00EB0BCC">
        <w:rPr>
          <w:rFonts w:hint="cs"/>
          <w:color w:val="000000" w:themeColor="text1"/>
          <w:szCs w:val="24"/>
          <w:rtl/>
          <w:lang w:val="en-GB"/>
        </w:rPr>
        <w:t>0</w:t>
      </w:r>
      <w:r w:rsidR="00243902" w:rsidRPr="00EB0BCC">
        <w:rPr>
          <w:color w:val="000000" w:themeColor="text1"/>
          <w:szCs w:val="24"/>
          <w:lang w:val="en-GB"/>
        </w:rPr>
        <w:t>1 June 2016 stated that there were no</w:t>
      </w:r>
      <w:r w:rsidR="00257B44" w:rsidRPr="00EB0BCC">
        <w:rPr>
          <w:color w:val="000000" w:themeColor="text1"/>
          <w:szCs w:val="24"/>
          <w:lang w:val="en-GB"/>
        </w:rPr>
        <w:t xml:space="preserve"> </w:t>
      </w:r>
      <w:r w:rsidR="00243902" w:rsidRPr="00EB0BCC">
        <w:rPr>
          <w:color w:val="000000" w:themeColor="text1"/>
          <w:szCs w:val="24"/>
          <w:lang w:val="en-GB"/>
        </w:rPr>
        <w:t>convictions on charges of torture since the office was set up in 2012.</w:t>
      </w:r>
      <w:r w:rsidR="000E2F57" w:rsidRPr="00EB0BCC">
        <w:rPr>
          <w:color w:val="000000" w:themeColor="text1"/>
          <w:szCs w:val="24"/>
          <w:lang w:val="en-GB"/>
        </w:rPr>
        <w:t xml:space="preserve"> </w:t>
      </w:r>
      <w:r w:rsidR="00243902" w:rsidRPr="00EB0BCC">
        <w:rPr>
          <w:color w:val="000000" w:themeColor="text1"/>
          <w:szCs w:val="24"/>
          <w:lang w:val="en-GB"/>
        </w:rPr>
        <w:t xml:space="preserve">The report indicated that </w:t>
      </w:r>
      <w:r w:rsidR="00D06BF3" w:rsidRPr="00EB0BCC">
        <w:rPr>
          <w:color w:val="000000" w:themeColor="text1"/>
          <w:szCs w:val="24"/>
          <w:lang w:val="en-GB"/>
        </w:rPr>
        <w:t>992 requests for investigation were received by the office between May 2015 and April 2016.</w:t>
      </w:r>
      <w:r w:rsidR="000E2F57" w:rsidRPr="00EB0BCC">
        <w:rPr>
          <w:color w:val="000000" w:themeColor="text1"/>
          <w:szCs w:val="24"/>
          <w:lang w:val="en-GB"/>
        </w:rPr>
        <w:t xml:space="preserve"> </w:t>
      </w:r>
    </w:p>
    <w:p w:rsidR="00624F4A" w:rsidRPr="00EB0BCC" w:rsidRDefault="0088422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Of the requests, </w:t>
      </w:r>
      <w:r w:rsidR="00624F4A" w:rsidRPr="00EB0BCC">
        <w:rPr>
          <w:color w:val="000000" w:themeColor="text1"/>
          <w:szCs w:val="24"/>
          <w:lang w:val="en-GB"/>
        </w:rPr>
        <w:t>55</w:t>
      </w:r>
      <w:r w:rsidR="00D06BF3" w:rsidRPr="00EB0BCC">
        <w:rPr>
          <w:color w:val="000000" w:themeColor="text1"/>
          <w:szCs w:val="24"/>
          <w:lang w:val="en-GB"/>
        </w:rPr>
        <w:t xml:space="preserve"> </w:t>
      </w:r>
      <w:r w:rsidRPr="00EB0BCC">
        <w:rPr>
          <w:color w:val="000000" w:themeColor="text1"/>
          <w:szCs w:val="24"/>
          <w:lang w:val="en-GB"/>
        </w:rPr>
        <w:t>complaints of torture or cruel, inhuman or degrading treatment</w:t>
      </w:r>
      <w:r w:rsidR="00D06BF3" w:rsidRPr="00EB0BCC">
        <w:rPr>
          <w:color w:val="000000" w:themeColor="text1"/>
          <w:szCs w:val="24"/>
          <w:lang w:val="en-GB"/>
        </w:rPr>
        <w:t xml:space="preserve"> were referred to the SIU, </w:t>
      </w:r>
      <w:r w:rsidR="00243902" w:rsidRPr="00EB0BCC">
        <w:rPr>
          <w:color w:val="000000" w:themeColor="text1"/>
          <w:szCs w:val="24"/>
          <w:lang w:val="en-GB"/>
        </w:rPr>
        <w:t xml:space="preserve">53 of </w:t>
      </w:r>
      <w:r w:rsidRPr="00EB0BCC">
        <w:rPr>
          <w:color w:val="000000" w:themeColor="text1"/>
          <w:szCs w:val="24"/>
          <w:lang w:val="en-GB"/>
        </w:rPr>
        <w:t>which</w:t>
      </w:r>
      <w:r w:rsidR="00243902" w:rsidRPr="00EB0BCC">
        <w:rPr>
          <w:color w:val="000000" w:themeColor="text1"/>
          <w:szCs w:val="24"/>
          <w:lang w:val="en-GB"/>
        </w:rPr>
        <w:t xml:space="preserve"> </w:t>
      </w:r>
      <w:r w:rsidR="004B4AA7" w:rsidRPr="00EB0BCC">
        <w:rPr>
          <w:color w:val="000000" w:themeColor="text1"/>
          <w:szCs w:val="24"/>
          <w:lang w:val="en-GB"/>
        </w:rPr>
        <w:t>were</w:t>
      </w:r>
      <w:r w:rsidR="00D06BF3" w:rsidRPr="00EB0BCC">
        <w:rPr>
          <w:color w:val="000000" w:themeColor="text1"/>
          <w:szCs w:val="24"/>
          <w:lang w:val="en-GB"/>
        </w:rPr>
        <w:t xml:space="preserve"> still under investigation</w:t>
      </w:r>
      <w:r w:rsidR="004B4AA7" w:rsidRPr="00EB0BCC">
        <w:rPr>
          <w:color w:val="000000" w:themeColor="text1"/>
          <w:szCs w:val="24"/>
          <w:lang w:val="en-GB"/>
        </w:rPr>
        <w:t xml:space="preserve"> (as of the date of the report)</w:t>
      </w:r>
      <w:r w:rsidRPr="00EB0BCC">
        <w:rPr>
          <w:color w:val="000000" w:themeColor="text1"/>
          <w:szCs w:val="24"/>
          <w:lang w:val="en-GB"/>
        </w:rPr>
        <w:t>.</w:t>
      </w:r>
      <w:r w:rsidR="000E2F57" w:rsidRPr="00EB0BCC">
        <w:rPr>
          <w:color w:val="000000" w:themeColor="text1"/>
          <w:szCs w:val="24"/>
          <w:lang w:val="en-GB"/>
        </w:rPr>
        <w:t xml:space="preserve"> </w:t>
      </w:r>
      <w:r w:rsidRPr="00EB0BCC">
        <w:rPr>
          <w:color w:val="000000" w:themeColor="text1"/>
          <w:szCs w:val="24"/>
          <w:lang w:val="en-GB"/>
        </w:rPr>
        <w:t xml:space="preserve">One case was dismissed and another was </w:t>
      </w:r>
      <w:r w:rsidR="00380014" w:rsidRPr="00EB0BCC">
        <w:rPr>
          <w:color w:val="000000" w:themeColor="text1"/>
          <w:szCs w:val="24"/>
          <w:lang w:val="en-GB"/>
        </w:rPr>
        <w:t xml:space="preserve">still </w:t>
      </w:r>
      <w:r w:rsidRPr="00EB0BCC">
        <w:rPr>
          <w:color w:val="000000" w:themeColor="text1"/>
          <w:szCs w:val="24"/>
          <w:lang w:val="en-GB"/>
        </w:rPr>
        <w:t>pending in court.</w:t>
      </w:r>
      <w:r w:rsidR="000F5107" w:rsidRPr="00EB0BCC">
        <w:rPr>
          <w:color w:val="000000" w:themeColor="text1"/>
          <w:szCs w:val="24"/>
          <w:lang w:val="en-GB"/>
        </w:rPr>
        <w:t xml:space="preserve"> </w:t>
      </w:r>
      <w:r w:rsidR="00624F4A" w:rsidRPr="00EB0BCC">
        <w:rPr>
          <w:color w:val="000000" w:themeColor="text1"/>
          <w:szCs w:val="24"/>
          <w:lang w:val="en-GB"/>
        </w:rPr>
        <w:t>Since 2013, SIU has received 138 cases from the Ombudsman.</w:t>
      </w:r>
      <w:r w:rsidR="000E2F57" w:rsidRPr="00EB0BCC">
        <w:rPr>
          <w:color w:val="000000" w:themeColor="text1"/>
          <w:szCs w:val="24"/>
          <w:lang w:val="en-GB"/>
        </w:rPr>
        <w:t xml:space="preserve"> </w:t>
      </w:r>
      <w:r w:rsidR="00624F4A" w:rsidRPr="00EB0BCC">
        <w:rPr>
          <w:color w:val="000000" w:themeColor="text1"/>
          <w:szCs w:val="24"/>
          <w:lang w:val="en-GB"/>
        </w:rPr>
        <w:t>The only successful prosecution involved a forced confession to drug dealing, not otherwise related to human rights</w:t>
      </w:r>
      <w:r w:rsidR="004B4AA7" w:rsidRPr="00EB0BCC">
        <w:rPr>
          <w:color w:val="000000" w:themeColor="text1"/>
          <w:szCs w:val="24"/>
          <w:lang w:val="en-GB"/>
        </w:rPr>
        <w:t xml:space="preserve"> or political dissent</w:t>
      </w:r>
      <w:r w:rsidR="00624F4A" w:rsidRPr="00EB0BCC">
        <w:rPr>
          <w:color w:val="000000" w:themeColor="text1"/>
          <w:szCs w:val="24"/>
          <w:lang w:val="en-GB"/>
        </w:rPr>
        <w:t>.</w:t>
      </w:r>
      <w:r w:rsidR="000E2F57" w:rsidRPr="00EB0BCC">
        <w:rPr>
          <w:color w:val="000000" w:themeColor="text1"/>
          <w:szCs w:val="24"/>
          <w:lang w:val="en-GB"/>
        </w:rPr>
        <w:t xml:space="preserve"> </w:t>
      </w:r>
    </w:p>
    <w:p w:rsidR="00826B18" w:rsidRPr="00EB0BCC" w:rsidRDefault="00F310D8"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On a separate issue, the Office of </w:t>
      </w:r>
      <w:r w:rsidR="00257B44" w:rsidRPr="00EB0BCC">
        <w:rPr>
          <w:color w:val="000000" w:themeColor="text1"/>
          <w:szCs w:val="24"/>
          <w:lang w:val="en-GB"/>
        </w:rPr>
        <w:t xml:space="preserve">the </w:t>
      </w:r>
      <w:r w:rsidRPr="00EB0BCC">
        <w:rPr>
          <w:color w:val="000000" w:themeColor="text1"/>
          <w:szCs w:val="24"/>
          <w:lang w:val="en-GB"/>
        </w:rPr>
        <w:t xml:space="preserve">Ombudsman </w:t>
      </w:r>
      <w:r w:rsidR="00F83A3B" w:rsidRPr="00EB0BCC">
        <w:rPr>
          <w:color w:val="000000" w:themeColor="text1"/>
          <w:szCs w:val="24"/>
          <w:lang w:val="en-GB"/>
        </w:rPr>
        <w:t>received complaints about treatment of detainees at Jaw Prison and had met with 156 inmates.</w:t>
      </w:r>
      <w:r w:rsidR="00F83A3B" w:rsidRPr="00EB0BCC">
        <w:rPr>
          <w:rStyle w:val="FootnoteReference"/>
          <w:color w:val="000000" w:themeColor="text1"/>
          <w:szCs w:val="24"/>
          <w:lang w:val="en-GB"/>
        </w:rPr>
        <w:footnoteReference w:id="109"/>
      </w:r>
      <w:r w:rsidR="00F83A3B" w:rsidRPr="00EB0BCC">
        <w:rPr>
          <w:color w:val="000000" w:themeColor="text1"/>
          <w:szCs w:val="24"/>
          <w:lang w:val="en-GB"/>
        </w:rPr>
        <w:t xml:space="preserve"> </w:t>
      </w:r>
      <w:r w:rsidR="00936660" w:rsidRPr="00EB0BCC">
        <w:rPr>
          <w:color w:val="000000" w:themeColor="text1"/>
          <w:szCs w:val="24"/>
          <w:lang w:val="en-GB"/>
        </w:rPr>
        <w:t>As of August 2015</w:t>
      </w:r>
      <w:r w:rsidR="00F83A3B" w:rsidRPr="00EB0BCC">
        <w:rPr>
          <w:color w:val="000000" w:themeColor="text1"/>
          <w:szCs w:val="24"/>
          <w:lang w:val="en-GB"/>
        </w:rPr>
        <w:t>, 15</w:t>
      </w:r>
      <w:r w:rsidR="00936660" w:rsidRPr="00EB0BCC">
        <w:rPr>
          <w:color w:val="000000" w:themeColor="text1"/>
          <w:szCs w:val="24"/>
          <w:lang w:val="en-GB"/>
        </w:rPr>
        <w:t xml:space="preserve"> of these</w:t>
      </w:r>
      <w:r w:rsidR="00F83A3B" w:rsidRPr="00EB0BCC">
        <w:rPr>
          <w:color w:val="000000" w:themeColor="text1"/>
          <w:szCs w:val="24"/>
          <w:lang w:val="en-GB"/>
        </w:rPr>
        <w:t xml:space="preserve"> inmates had filed formal complaints</w:t>
      </w:r>
      <w:r w:rsidR="00936660" w:rsidRPr="00EB0BCC">
        <w:rPr>
          <w:color w:val="000000" w:themeColor="text1"/>
          <w:szCs w:val="24"/>
          <w:lang w:val="en-GB"/>
        </w:rPr>
        <w:t xml:space="preserve"> of torture</w:t>
      </w:r>
      <w:r w:rsidR="00305F69" w:rsidRPr="00EB0BCC">
        <w:rPr>
          <w:color w:val="000000" w:themeColor="text1"/>
          <w:szCs w:val="24"/>
          <w:lang w:val="en-GB"/>
        </w:rPr>
        <w:t xml:space="preserve"> related to events surrounding unrest at the prison in March 2015</w:t>
      </w:r>
      <w:r w:rsidR="00F83A3B" w:rsidRPr="00EB0BCC">
        <w:rPr>
          <w:color w:val="000000" w:themeColor="text1"/>
          <w:szCs w:val="24"/>
          <w:lang w:val="en-GB"/>
        </w:rPr>
        <w:t xml:space="preserve"> (again the Ombudsman referred these to the SIU).</w:t>
      </w:r>
      <w:r w:rsidR="000E2F57" w:rsidRPr="00EB0BCC">
        <w:rPr>
          <w:color w:val="000000" w:themeColor="text1"/>
          <w:szCs w:val="24"/>
          <w:lang w:val="en-GB"/>
        </w:rPr>
        <w:t xml:space="preserve"> </w:t>
      </w:r>
      <w:r w:rsidR="00936660" w:rsidRPr="00EB0BCC">
        <w:rPr>
          <w:color w:val="000000" w:themeColor="text1"/>
          <w:szCs w:val="24"/>
          <w:lang w:val="en-GB"/>
        </w:rPr>
        <w:t>There is no indication that action has been taken on these complaints.</w:t>
      </w:r>
      <w:r w:rsidR="000E2F57" w:rsidRPr="00EB0BCC">
        <w:rPr>
          <w:color w:val="000000" w:themeColor="text1"/>
          <w:szCs w:val="24"/>
          <w:lang w:val="en-GB"/>
        </w:rPr>
        <w:t xml:space="preserve"> </w:t>
      </w:r>
      <w:r w:rsidR="00305F69" w:rsidRPr="00EB0BCC">
        <w:rPr>
          <w:color w:val="000000" w:themeColor="text1"/>
          <w:szCs w:val="24"/>
          <w:lang w:val="en-GB"/>
        </w:rPr>
        <w:t>Additionally, representatives of t</w:t>
      </w:r>
      <w:r w:rsidR="00A8261A" w:rsidRPr="00EB0BCC">
        <w:rPr>
          <w:color w:val="000000" w:themeColor="text1"/>
          <w:szCs w:val="24"/>
          <w:lang w:val="en-GB"/>
        </w:rPr>
        <w:t xml:space="preserve">he Prisoners and Detainees Rights Commission (PDRC) </w:t>
      </w:r>
      <w:r w:rsidR="00305F69" w:rsidRPr="00EB0BCC">
        <w:rPr>
          <w:color w:val="000000" w:themeColor="text1"/>
          <w:szCs w:val="24"/>
          <w:lang w:val="en-GB"/>
        </w:rPr>
        <w:t xml:space="preserve">visited both Dry Dock Detention </w:t>
      </w:r>
      <w:r w:rsidR="00466471" w:rsidRPr="00EB0BCC">
        <w:rPr>
          <w:color w:val="000000" w:themeColor="text1"/>
          <w:szCs w:val="24"/>
          <w:lang w:val="en-GB"/>
        </w:rPr>
        <w:t>Centre</w:t>
      </w:r>
      <w:r w:rsidR="00305F69" w:rsidRPr="00EB0BCC">
        <w:rPr>
          <w:color w:val="000000" w:themeColor="text1"/>
          <w:szCs w:val="24"/>
          <w:lang w:val="en-GB"/>
        </w:rPr>
        <w:t xml:space="preserve"> and Jaw Prison in 2014 and 2015.</w:t>
      </w:r>
      <w:r w:rsidR="000E2F57" w:rsidRPr="00EB0BCC">
        <w:rPr>
          <w:color w:val="000000" w:themeColor="text1"/>
          <w:szCs w:val="24"/>
          <w:lang w:val="en-GB"/>
        </w:rPr>
        <w:t xml:space="preserve"> </w:t>
      </w:r>
      <w:r w:rsidR="00305F69" w:rsidRPr="00EB0BCC">
        <w:rPr>
          <w:color w:val="000000" w:themeColor="text1"/>
          <w:szCs w:val="24"/>
          <w:lang w:val="en-GB"/>
        </w:rPr>
        <w:t>Though the PDRC was</w:t>
      </w:r>
      <w:r w:rsidR="00A8261A" w:rsidRPr="00EB0BCC">
        <w:rPr>
          <w:color w:val="000000" w:themeColor="text1"/>
          <w:szCs w:val="24"/>
          <w:lang w:val="en-GB"/>
        </w:rPr>
        <w:t xml:space="preserve"> concern</w:t>
      </w:r>
      <w:r w:rsidR="00305F69" w:rsidRPr="00EB0BCC">
        <w:rPr>
          <w:color w:val="000000" w:themeColor="text1"/>
          <w:szCs w:val="24"/>
          <w:lang w:val="en-GB"/>
        </w:rPr>
        <w:t>ed about</w:t>
      </w:r>
      <w:r w:rsidR="00A8261A" w:rsidRPr="00EB0BCC">
        <w:rPr>
          <w:color w:val="000000" w:themeColor="text1"/>
          <w:szCs w:val="24"/>
          <w:lang w:val="en-GB"/>
        </w:rPr>
        <w:t xml:space="preserve"> the treatment of prisoners</w:t>
      </w:r>
      <w:r w:rsidR="00043B93" w:rsidRPr="00EB0BCC">
        <w:rPr>
          <w:color w:val="000000" w:themeColor="text1"/>
          <w:szCs w:val="24"/>
          <w:lang w:val="en-GB"/>
        </w:rPr>
        <w:t xml:space="preserve">, it was careful to avoid </w:t>
      </w:r>
      <w:r w:rsidR="00A8261A" w:rsidRPr="00EB0BCC">
        <w:rPr>
          <w:color w:val="000000" w:themeColor="text1"/>
          <w:szCs w:val="24"/>
          <w:lang w:val="en-GB"/>
        </w:rPr>
        <w:t>any allegation</w:t>
      </w:r>
      <w:r w:rsidR="00257B44" w:rsidRPr="00EB0BCC">
        <w:rPr>
          <w:color w:val="000000" w:themeColor="text1"/>
          <w:szCs w:val="24"/>
          <w:lang w:val="en-GB"/>
        </w:rPr>
        <w:t>s</w:t>
      </w:r>
      <w:r w:rsidR="00A8261A" w:rsidRPr="00EB0BCC">
        <w:rPr>
          <w:color w:val="000000" w:themeColor="text1"/>
          <w:szCs w:val="24"/>
          <w:lang w:val="en-GB"/>
        </w:rPr>
        <w:t xml:space="preserve"> of torture in its reports.</w:t>
      </w:r>
      <w:r w:rsidR="000E2F57" w:rsidRPr="00EB0BCC">
        <w:rPr>
          <w:color w:val="000000" w:themeColor="text1"/>
          <w:szCs w:val="24"/>
          <w:lang w:val="en-GB"/>
        </w:rPr>
        <w:t xml:space="preserve"> </w:t>
      </w:r>
    </w:p>
    <w:p w:rsidR="00A574C5" w:rsidRPr="00EB0BCC" w:rsidRDefault="00A574C5" w:rsidP="00A574C5">
      <w:pPr>
        <w:pStyle w:val="BodyText"/>
        <w:tabs>
          <w:tab w:val="right" w:pos="8910"/>
        </w:tabs>
        <w:ind w:left="737" w:right="18"/>
        <w:jc w:val="both"/>
        <w:rPr>
          <w:color w:val="000000" w:themeColor="text1"/>
          <w:szCs w:val="24"/>
          <w:lang w:val="en-GB"/>
        </w:rPr>
      </w:pPr>
    </w:p>
    <w:p w:rsidR="00944A64" w:rsidRPr="00EB0BCC" w:rsidRDefault="00944A64"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rPr>
        <w:lastRenderedPageBreak/>
        <w:t>The lawyers of Mohamed Ramadhan and Hussain Ali Moosa lodged complaints with the SIU about their torture allegations, but received no response. In 2014, Ramadhan’s wife and Americans for Democracy and Human Rights in Bahrain (ADHRB) also lodged complaints with the Ombudsman’s office, which only looked into the allegations after two years.</w:t>
      </w:r>
      <w:r w:rsidRPr="00EB0BCC">
        <w:rPr>
          <w:rStyle w:val="FootnoteReference"/>
          <w:color w:val="000000" w:themeColor="text1"/>
          <w:szCs w:val="24"/>
        </w:rPr>
        <w:footnoteReference w:id="110"/>
      </w:r>
    </w:p>
    <w:p w:rsidR="00826B18" w:rsidRPr="00EB0BCC" w:rsidRDefault="00826B18"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Finally, cooperation with international investigators has been lacking.</w:t>
      </w:r>
      <w:r w:rsidR="000E2F57" w:rsidRPr="00EB0BCC">
        <w:rPr>
          <w:color w:val="000000" w:themeColor="text1"/>
          <w:szCs w:val="24"/>
          <w:lang w:val="en-GB"/>
        </w:rPr>
        <w:t xml:space="preserve"> </w:t>
      </w:r>
      <w:r w:rsidRPr="00EB0BCC">
        <w:rPr>
          <w:color w:val="000000" w:themeColor="text1"/>
          <w:szCs w:val="24"/>
          <w:lang w:val="en-GB"/>
        </w:rPr>
        <w:t xml:space="preserve">The visit of </w:t>
      </w:r>
      <w:r w:rsidRPr="00EB0BCC">
        <w:rPr>
          <w:b/>
          <w:bCs/>
          <w:color w:val="000000" w:themeColor="text1"/>
          <w:szCs w:val="24"/>
          <w:lang w:val="en-GB"/>
        </w:rPr>
        <w:t>Juan Mendez</w:t>
      </w:r>
      <w:r w:rsidRPr="00EB0BCC">
        <w:rPr>
          <w:color w:val="000000" w:themeColor="text1"/>
          <w:szCs w:val="24"/>
          <w:lang w:val="en-GB"/>
        </w:rPr>
        <w:t xml:space="preserve">, the </w:t>
      </w:r>
      <w:r w:rsidR="00257B44" w:rsidRPr="00EB0BCC">
        <w:rPr>
          <w:color w:val="000000" w:themeColor="text1"/>
          <w:szCs w:val="24"/>
          <w:lang w:val="en-GB"/>
        </w:rPr>
        <w:t xml:space="preserve">UN </w:t>
      </w:r>
      <w:r w:rsidRPr="00EB0BCC">
        <w:rPr>
          <w:color w:val="000000" w:themeColor="text1"/>
          <w:szCs w:val="24"/>
          <w:lang w:val="en-GB"/>
        </w:rPr>
        <w:t xml:space="preserve">Special Rapporteur on Torture and Other Cruel, Inhuman or Degrading Treatment or Punishment to Bahrain, was </w:t>
      </w:r>
      <w:r w:rsidR="00B25273" w:rsidRPr="00EB0BCC">
        <w:rPr>
          <w:color w:val="000000" w:themeColor="text1"/>
          <w:szCs w:val="24"/>
          <w:lang w:val="en-GB"/>
        </w:rPr>
        <w:t xml:space="preserve">effectively </w:t>
      </w:r>
      <w:r w:rsidRPr="00EB0BCC">
        <w:rPr>
          <w:color w:val="000000" w:themeColor="text1"/>
          <w:szCs w:val="24"/>
          <w:lang w:val="en-GB"/>
        </w:rPr>
        <w:t>cancelled in April 2013.</w:t>
      </w:r>
      <w:r w:rsidR="000E2F57" w:rsidRPr="00EB0BCC">
        <w:rPr>
          <w:color w:val="000000" w:themeColor="text1"/>
          <w:szCs w:val="24"/>
          <w:lang w:val="en-GB"/>
        </w:rPr>
        <w:t xml:space="preserve"> </w:t>
      </w:r>
      <w:r w:rsidRPr="00EB0BCC">
        <w:rPr>
          <w:color w:val="000000" w:themeColor="text1"/>
          <w:szCs w:val="24"/>
          <w:lang w:val="en-GB"/>
        </w:rPr>
        <w:t>An earlier visit scheduled for 2012 had already been postponed.</w:t>
      </w:r>
      <w:r w:rsidR="000E2F57" w:rsidRPr="00EB0BCC">
        <w:rPr>
          <w:color w:val="000000" w:themeColor="text1"/>
          <w:szCs w:val="24"/>
          <w:lang w:val="en-GB"/>
        </w:rPr>
        <w:t xml:space="preserve"> </w:t>
      </w:r>
      <w:r w:rsidRPr="00EB0BCC">
        <w:rPr>
          <w:color w:val="000000" w:themeColor="text1"/>
          <w:szCs w:val="24"/>
          <w:lang w:val="en-GB"/>
        </w:rPr>
        <w:t xml:space="preserve">These actions do not inspire confidence </w:t>
      </w:r>
      <w:r w:rsidR="00F310D8" w:rsidRPr="00EB0BCC">
        <w:rPr>
          <w:color w:val="000000" w:themeColor="text1"/>
          <w:szCs w:val="24"/>
          <w:lang w:val="en-GB"/>
        </w:rPr>
        <w:t>that the government of Bahrain is dealing with human rights issues in good faith or with due diligence.</w:t>
      </w:r>
      <w:r w:rsidR="000E2F57" w:rsidRPr="00EB0BCC">
        <w:rPr>
          <w:color w:val="000000" w:themeColor="text1"/>
          <w:szCs w:val="24"/>
          <w:lang w:val="en-GB"/>
        </w:rPr>
        <w:t xml:space="preserve"> </w:t>
      </w:r>
    </w:p>
    <w:p w:rsidR="00DB6F26" w:rsidRPr="00EB0BCC" w:rsidRDefault="00DD2B1E" w:rsidP="00BA35C4">
      <w:pPr>
        <w:pStyle w:val="Heading3"/>
        <w:jc w:val="both"/>
        <w:rPr>
          <w:color w:val="000000" w:themeColor="text1"/>
          <w:lang w:val="en-GB"/>
        </w:rPr>
      </w:pPr>
      <w:bookmarkStart w:id="19" w:name="_Toc475984121"/>
      <w:r w:rsidRPr="00EB0BCC">
        <w:rPr>
          <w:color w:val="000000" w:themeColor="text1"/>
          <w:lang w:val="en-GB"/>
        </w:rPr>
        <w:t>X</w:t>
      </w:r>
      <w:r w:rsidR="00EA5841" w:rsidRPr="00EB0BCC">
        <w:rPr>
          <w:color w:val="000000" w:themeColor="text1"/>
          <w:lang w:val="en-GB"/>
        </w:rPr>
        <w:t>II</w:t>
      </w:r>
      <w:r w:rsidR="0033006A" w:rsidRPr="00EB0BCC">
        <w:rPr>
          <w:color w:val="000000" w:themeColor="text1"/>
          <w:lang w:val="en-GB"/>
        </w:rPr>
        <w:t>.</w:t>
      </w:r>
      <w:r w:rsidR="000E2F57" w:rsidRPr="00EB0BCC">
        <w:rPr>
          <w:color w:val="000000" w:themeColor="text1"/>
          <w:lang w:val="en-GB"/>
        </w:rPr>
        <w:t xml:space="preserve"> </w:t>
      </w:r>
      <w:r w:rsidR="00DB6F26" w:rsidRPr="00EB0BCC">
        <w:rPr>
          <w:color w:val="000000" w:themeColor="text1"/>
          <w:lang w:val="en-GB"/>
        </w:rPr>
        <w:t>Conclusion</w:t>
      </w:r>
      <w:bookmarkEnd w:id="19"/>
    </w:p>
    <w:p w:rsidR="008E1A77" w:rsidRPr="00EB0BCC" w:rsidRDefault="008E1A77" w:rsidP="004A0494">
      <w:pPr>
        <w:pStyle w:val="BodyText"/>
        <w:numPr>
          <w:ilvl w:val="0"/>
          <w:numId w:val="18"/>
        </w:numPr>
        <w:jc w:val="both"/>
        <w:rPr>
          <w:color w:val="000000" w:themeColor="text1"/>
          <w:lang w:val="en-GB"/>
        </w:rPr>
      </w:pPr>
      <w:r w:rsidRPr="00EB0BCC">
        <w:rPr>
          <w:color w:val="000000" w:themeColor="text1"/>
          <w:lang w:val="en-GB"/>
        </w:rPr>
        <w:t>Though this report was researched by conducting interviews with a relatively small sampling of individuals, the statements of witnesses herein together with the reports of human rights organi</w:t>
      </w:r>
      <w:r w:rsidR="00314775" w:rsidRPr="00EB0BCC">
        <w:rPr>
          <w:color w:val="000000" w:themeColor="text1"/>
          <w:lang w:val="en-GB"/>
        </w:rPr>
        <w:t>s</w:t>
      </w:r>
      <w:r w:rsidRPr="00EB0BCC">
        <w:rPr>
          <w:color w:val="000000" w:themeColor="text1"/>
          <w:lang w:val="en-GB"/>
        </w:rPr>
        <w:t>ations establish a consistent pattern of behavio</w:t>
      </w:r>
      <w:r w:rsidR="00466471" w:rsidRPr="00EB0BCC">
        <w:rPr>
          <w:color w:val="000000" w:themeColor="text1"/>
          <w:lang w:val="en-GB"/>
        </w:rPr>
        <w:t>u</w:t>
      </w:r>
      <w:r w:rsidRPr="00EB0BCC">
        <w:rPr>
          <w:color w:val="000000" w:themeColor="text1"/>
          <w:lang w:val="en-GB"/>
        </w:rPr>
        <w:t>r on the part of Bahraini police and internal security officials.</w:t>
      </w:r>
    </w:p>
    <w:p w:rsidR="008E1A77" w:rsidRPr="00EB0BCC" w:rsidRDefault="008E1A77" w:rsidP="004A0494">
      <w:pPr>
        <w:pStyle w:val="BodyText"/>
        <w:numPr>
          <w:ilvl w:val="0"/>
          <w:numId w:val="18"/>
        </w:numPr>
        <w:jc w:val="both"/>
        <w:rPr>
          <w:color w:val="000000" w:themeColor="text1"/>
          <w:lang w:val="en-GB"/>
        </w:rPr>
      </w:pPr>
      <w:r w:rsidRPr="00EB0BCC">
        <w:rPr>
          <w:color w:val="000000" w:themeColor="text1"/>
          <w:lang w:val="en-GB"/>
        </w:rPr>
        <w:t>This report concludes that the pattern of mistreatment of detainees and prisoners, including torture and other abusive forms of treatment, as observed by multiple sources since February 2011, continues to be the modus operandi of internal security and police forces on a regular basis, often to induce forced confessions. The techniques employed include the following:</w:t>
      </w:r>
    </w:p>
    <w:p w:rsidR="008E1A77" w:rsidRPr="00EB0BCC" w:rsidRDefault="008E1A77" w:rsidP="004A0494">
      <w:pPr>
        <w:pStyle w:val="BodyText"/>
        <w:numPr>
          <w:ilvl w:val="1"/>
          <w:numId w:val="22"/>
        </w:numPr>
        <w:jc w:val="both"/>
        <w:rPr>
          <w:color w:val="000000" w:themeColor="text1"/>
          <w:lang w:val="en-GB"/>
        </w:rPr>
      </w:pPr>
      <w:r w:rsidRPr="00EB0BCC">
        <w:rPr>
          <w:color w:val="000000" w:themeColor="text1"/>
          <w:lang w:val="en-GB"/>
        </w:rPr>
        <w:t xml:space="preserve">use of electro-shock devices against detainees; </w:t>
      </w:r>
    </w:p>
    <w:p w:rsidR="008E1A77" w:rsidRPr="00EB0BCC" w:rsidRDefault="008E1A77" w:rsidP="004A0494">
      <w:pPr>
        <w:pStyle w:val="BodyText"/>
        <w:numPr>
          <w:ilvl w:val="1"/>
          <w:numId w:val="22"/>
        </w:numPr>
        <w:jc w:val="both"/>
        <w:rPr>
          <w:color w:val="000000" w:themeColor="text1"/>
          <w:lang w:val="en-GB"/>
        </w:rPr>
      </w:pPr>
      <w:r w:rsidRPr="00EB0BCC">
        <w:rPr>
          <w:color w:val="000000" w:themeColor="text1"/>
          <w:lang w:val="en-GB"/>
        </w:rPr>
        <w:t>suspension of detainees in painful positions;</w:t>
      </w:r>
    </w:p>
    <w:p w:rsidR="008E1A77" w:rsidRPr="00EB0BCC" w:rsidRDefault="008E1A77" w:rsidP="004A0494">
      <w:pPr>
        <w:pStyle w:val="BodyText"/>
        <w:numPr>
          <w:ilvl w:val="1"/>
          <w:numId w:val="22"/>
        </w:numPr>
        <w:jc w:val="both"/>
        <w:rPr>
          <w:color w:val="000000" w:themeColor="text1"/>
          <w:lang w:val="en-GB"/>
        </w:rPr>
      </w:pPr>
      <w:r w:rsidRPr="00EB0BCC">
        <w:rPr>
          <w:color w:val="000000" w:themeColor="text1"/>
          <w:lang w:val="en-GB"/>
        </w:rPr>
        <w:t xml:space="preserve">beating detainees’ feet with rubber hoses and/or batons; </w:t>
      </w:r>
    </w:p>
    <w:p w:rsidR="008E1A77" w:rsidRPr="00EB0BCC" w:rsidRDefault="008E1A77" w:rsidP="004A0494">
      <w:pPr>
        <w:pStyle w:val="BodyText"/>
        <w:numPr>
          <w:ilvl w:val="1"/>
          <w:numId w:val="22"/>
        </w:numPr>
        <w:jc w:val="both"/>
        <w:rPr>
          <w:color w:val="000000" w:themeColor="text1"/>
          <w:lang w:val="en-GB"/>
        </w:rPr>
      </w:pPr>
      <w:r w:rsidRPr="00EB0BCC">
        <w:rPr>
          <w:color w:val="000000" w:themeColor="text1"/>
          <w:lang w:val="en-GB"/>
        </w:rPr>
        <w:t xml:space="preserve">slapping, punching, and kicking detainees, and beating them with implements; </w:t>
      </w:r>
    </w:p>
    <w:p w:rsidR="008E1A77" w:rsidRPr="00EB0BCC" w:rsidRDefault="008E1A77" w:rsidP="004A0494">
      <w:pPr>
        <w:pStyle w:val="BodyText"/>
        <w:numPr>
          <w:ilvl w:val="1"/>
          <w:numId w:val="22"/>
        </w:numPr>
        <w:jc w:val="both"/>
        <w:rPr>
          <w:color w:val="000000" w:themeColor="text1"/>
          <w:lang w:val="en-GB"/>
        </w:rPr>
      </w:pPr>
      <w:r w:rsidRPr="00EB0BCC">
        <w:rPr>
          <w:color w:val="000000" w:themeColor="text1"/>
          <w:lang w:val="en-GB"/>
        </w:rPr>
        <w:t xml:space="preserve">forcing detainees to stand for prolonged periods of time; and </w:t>
      </w:r>
    </w:p>
    <w:p w:rsidR="008E1A77" w:rsidRPr="00EB0BCC" w:rsidRDefault="008E1A77" w:rsidP="004A0494">
      <w:pPr>
        <w:pStyle w:val="BodyText"/>
        <w:numPr>
          <w:ilvl w:val="1"/>
          <w:numId w:val="22"/>
        </w:numPr>
        <w:jc w:val="both"/>
        <w:rPr>
          <w:color w:val="000000" w:themeColor="text1"/>
          <w:lang w:val="en-GB"/>
        </w:rPr>
      </w:pPr>
      <w:r w:rsidRPr="00EB0BCC">
        <w:rPr>
          <w:color w:val="000000" w:themeColor="text1"/>
          <w:lang w:val="en-GB"/>
        </w:rPr>
        <w:t>threatening detainees with death and rape.</w:t>
      </w:r>
    </w:p>
    <w:p w:rsidR="008E1A77" w:rsidRPr="00EB0BCC" w:rsidRDefault="008E1A77" w:rsidP="004A0494">
      <w:pPr>
        <w:pStyle w:val="BodyText"/>
        <w:numPr>
          <w:ilvl w:val="0"/>
          <w:numId w:val="18"/>
        </w:numPr>
        <w:jc w:val="both"/>
        <w:rPr>
          <w:color w:val="000000" w:themeColor="text1"/>
          <w:lang w:val="en-GB"/>
        </w:rPr>
      </w:pPr>
      <w:r w:rsidRPr="00EB0BCC">
        <w:rPr>
          <w:color w:val="000000" w:themeColor="text1"/>
          <w:lang w:val="en-GB"/>
        </w:rPr>
        <w:t>It also finds that basic civil and political rights are denied to Bahraini citizens, especially for those who seek to investigate and report on violations of human rights in Bahrain.</w:t>
      </w:r>
      <w:r w:rsidR="00BA35C4" w:rsidRPr="00EB0BCC">
        <w:rPr>
          <w:color w:val="000000" w:themeColor="text1"/>
          <w:lang w:val="en-GB"/>
        </w:rPr>
        <w:t xml:space="preserve"> </w:t>
      </w:r>
      <w:r w:rsidRPr="00EB0BCC">
        <w:rPr>
          <w:color w:val="000000" w:themeColor="text1"/>
          <w:lang w:val="en-GB"/>
        </w:rPr>
        <w:t xml:space="preserve">Those civil and political rights include the right to freely and peacefully express dissent and opposition to government policies without retribution, the right to peaceable assembly, the right to travel without restriction, the right to security in their homes, the right to due process of law in all criminal proceedings, the right to counsel and legal representation in all criminal proceedings, and the right to be presented with criminal charges within a reasonable time of arrest. </w:t>
      </w:r>
    </w:p>
    <w:p w:rsidR="008E1A77" w:rsidRPr="00EB0BCC" w:rsidRDefault="008E1A77" w:rsidP="004A0494">
      <w:pPr>
        <w:pStyle w:val="BodyText"/>
        <w:numPr>
          <w:ilvl w:val="0"/>
          <w:numId w:val="18"/>
        </w:numPr>
        <w:jc w:val="both"/>
        <w:rPr>
          <w:color w:val="000000" w:themeColor="text1"/>
          <w:lang w:val="en-GB"/>
        </w:rPr>
      </w:pPr>
      <w:r w:rsidRPr="00EB0BCC">
        <w:rPr>
          <w:color w:val="000000" w:themeColor="text1"/>
          <w:lang w:val="en-GB"/>
        </w:rPr>
        <w:lastRenderedPageBreak/>
        <w:t>Furthermore, there is a clear pattern of targeting human rights defenders, journalists, and dissidents for reprisals for human rights activities in violation of international norms of behavior.</w:t>
      </w:r>
      <w:r w:rsidR="00BA35C4" w:rsidRPr="00EB0BCC">
        <w:rPr>
          <w:color w:val="000000" w:themeColor="text1"/>
          <w:lang w:val="en-GB"/>
        </w:rPr>
        <w:t xml:space="preserve"> </w:t>
      </w:r>
      <w:r w:rsidRPr="00EB0BCC">
        <w:rPr>
          <w:color w:val="000000" w:themeColor="text1"/>
          <w:lang w:val="en-GB"/>
        </w:rPr>
        <w:t>This situation is made worse by the apparent impunity of police and internal security officials when presented with credible evidence of torture or other human rights violations.</w:t>
      </w:r>
      <w:r w:rsidR="00BA35C4" w:rsidRPr="00EB0BCC">
        <w:rPr>
          <w:color w:val="000000" w:themeColor="text1"/>
          <w:lang w:val="en-GB"/>
        </w:rPr>
        <w:t xml:space="preserve"> </w:t>
      </w:r>
      <w:r w:rsidRPr="00EB0BCC">
        <w:rPr>
          <w:color w:val="000000" w:themeColor="text1"/>
          <w:lang w:val="en-GB"/>
        </w:rPr>
        <w:t>It cannot be accepted that the orchestrated and systematic punishment and silencing of dissent and human rights reports means that human rights are not being violated.</w:t>
      </w:r>
      <w:r w:rsidR="00BA35C4" w:rsidRPr="00EB0BCC">
        <w:rPr>
          <w:color w:val="000000" w:themeColor="text1"/>
          <w:lang w:val="en-GB"/>
        </w:rPr>
        <w:t xml:space="preserve"> </w:t>
      </w:r>
    </w:p>
    <w:p w:rsidR="008E1A77" w:rsidRPr="00EB0BCC" w:rsidRDefault="008E1A77" w:rsidP="004A0494">
      <w:pPr>
        <w:pStyle w:val="BodyText"/>
        <w:numPr>
          <w:ilvl w:val="0"/>
          <w:numId w:val="18"/>
        </w:numPr>
        <w:jc w:val="both"/>
        <w:rPr>
          <w:color w:val="000000" w:themeColor="text1"/>
          <w:lang w:val="en-GB"/>
        </w:rPr>
      </w:pPr>
      <w:r w:rsidRPr="00EB0BCC">
        <w:rPr>
          <w:color w:val="000000" w:themeColor="text1"/>
          <w:lang w:val="en-GB"/>
        </w:rPr>
        <w:t>Therefore, the recommendations below are intended to provide a path to compliance with human rights law, provide rectification/remediation for past violations, and to prevent/deter future violations.</w:t>
      </w:r>
      <w:r w:rsidR="00BA35C4" w:rsidRPr="00EB0BCC">
        <w:rPr>
          <w:color w:val="000000" w:themeColor="text1"/>
          <w:lang w:val="en-GB"/>
        </w:rPr>
        <w:t xml:space="preserve"> </w:t>
      </w:r>
      <w:r w:rsidRPr="00EB0BCC">
        <w:rPr>
          <w:color w:val="000000" w:themeColor="text1"/>
          <w:lang w:val="en-GB"/>
        </w:rPr>
        <w:t>It is understood that this report will be followed by subsequent reports intended to assess the response by the government of Bahrain, if any, and evaluate the adequacy of corrective action accordingly.</w:t>
      </w:r>
    </w:p>
    <w:p w:rsidR="0033006A" w:rsidRPr="00EB0BCC" w:rsidRDefault="00DB6F26" w:rsidP="00BA35C4">
      <w:pPr>
        <w:pStyle w:val="Heading3"/>
        <w:jc w:val="both"/>
        <w:rPr>
          <w:color w:val="000000" w:themeColor="text1"/>
          <w:lang w:val="en-GB"/>
        </w:rPr>
      </w:pPr>
      <w:bookmarkStart w:id="20" w:name="_Toc475984122"/>
      <w:r w:rsidRPr="00EB0BCC">
        <w:rPr>
          <w:color w:val="000000" w:themeColor="text1"/>
          <w:lang w:val="en-GB"/>
        </w:rPr>
        <w:t>X</w:t>
      </w:r>
      <w:r w:rsidR="00EA5841" w:rsidRPr="00EB0BCC">
        <w:rPr>
          <w:color w:val="000000" w:themeColor="text1"/>
          <w:lang w:val="en-GB"/>
        </w:rPr>
        <w:t>II</w:t>
      </w:r>
      <w:r w:rsidRPr="00EB0BCC">
        <w:rPr>
          <w:color w:val="000000" w:themeColor="text1"/>
          <w:lang w:val="en-GB"/>
        </w:rPr>
        <w:t xml:space="preserve">I. </w:t>
      </w:r>
      <w:r w:rsidR="0033006A" w:rsidRPr="00EB0BCC">
        <w:rPr>
          <w:color w:val="000000" w:themeColor="text1"/>
          <w:lang w:val="en-GB"/>
        </w:rPr>
        <w:t>Recommendations</w:t>
      </w:r>
      <w:bookmarkEnd w:id="20"/>
      <w:r w:rsidR="0033006A" w:rsidRPr="00EB0BCC">
        <w:rPr>
          <w:color w:val="000000" w:themeColor="text1"/>
          <w:lang w:val="en-GB"/>
        </w:rPr>
        <w:t xml:space="preserve"> </w:t>
      </w:r>
    </w:p>
    <w:p w:rsidR="00B319A8" w:rsidRPr="00EB0BCC" w:rsidRDefault="008E1A77" w:rsidP="004A0494">
      <w:pPr>
        <w:pStyle w:val="BodyText"/>
        <w:numPr>
          <w:ilvl w:val="0"/>
          <w:numId w:val="18"/>
        </w:numPr>
        <w:jc w:val="both"/>
        <w:rPr>
          <w:color w:val="000000" w:themeColor="text1"/>
          <w:lang w:val="en-GB"/>
        </w:rPr>
      </w:pPr>
      <w:r w:rsidRPr="00EB0BCC">
        <w:rPr>
          <w:color w:val="000000" w:themeColor="text1"/>
          <w:lang w:val="en-GB"/>
        </w:rPr>
        <w:t xml:space="preserve">In light of the conclusion of this report </w:t>
      </w:r>
      <w:r w:rsidR="00B319A8" w:rsidRPr="00EB0BCC">
        <w:rPr>
          <w:color w:val="000000" w:themeColor="text1"/>
          <w:lang w:val="en-GB"/>
        </w:rPr>
        <w:t>that</w:t>
      </w:r>
      <w:r w:rsidR="001003DB" w:rsidRPr="00EB0BCC">
        <w:rPr>
          <w:color w:val="000000" w:themeColor="text1"/>
          <w:lang w:val="en-GB"/>
        </w:rPr>
        <w:t xml:space="preserve"> torture and abusive treatment of </w:t>
      </w:r>
      <w:r w:rsidRPr="00EB0BCC">
        <w:rPr>
          <w:color w:val="000000" w:themeColor="text1"/>
          <w:lang w:val="en-GB"/>
        </w:rPr>
        <w:t>human rights defenders and other</w:t>
      </w:r>
      <w:r w:rsidR="001003DB" w:rsidRPr="00EB0BCC">
        <w:rPr>
          <w:color w:val="000000" w:themeColor="text1"/>
          <w:lang w:val="en-GB"/>
        </w:rPr>
        <w:t xml:space="preserve"> detaine</w:t>
      </w:r>
      <w:r w:rsidRPr="00EB0BCC">
        <w:rPr>
          <w:color w:val="000000" w:themeColor="text1"/>
          <w:lang w:val="en-GB"/>
        </w:rPr>
        <w:t xml:space="preserve">es </w:t>
      </w:r>
      <w:r w:rsidR="001003DB" w:rsidRPr="00EB0BCC">
        <w:rPr>
          <w:color w:val="000000" w:themeColor="text1"/>
          <w:lang w:val="en-GB"/>
        </w:rPr>
        <w:t>continues in Bahrain, as well as denial of due process of law for persons accused of crimes</w:t>
      </w:r>
      <w:r w:rsidRPr="00EB0BCC">
        <w:rPr>
          <w:color w:val="000000" w:themeColor="text1"/>
          <w:lang w:val="en-GB"/>
        </w:rPr>
        <w:t xml:space="preserve">; and </w:t>
      </w:r>
      <w:r w:rsidR="000D10F0" w:rsidRPr="00EB0BCC">
        <w:rPr>
          <w:color w:val="000000" w:themeColor="text1"/>
          <w:lang w:val="en-GB"/>
        </w:rPr>
        <w:t>considering</w:t>
      </w:r>
      <w:r w:rsidRPr="00EB0BCC">
        <w:rPr>
          <w:color w:val="000000" w:themeColor="text1"/>
          <w:lang w:val="en-GB"/>
        </w:rPr>
        <w:t xml:space="preserve"> that</w:t>
      </w:r>
      <w:r w:rsidR="001003DB" w:rsidRPr="00EB0BCC">
        <w:rPr>
          <w:color w:val="000000" w:themeColor="text1"/>
          <w:lang w:val="en-GB"/>
        </w:rPr>
        <w:t xml:space="preserve"> that</w:t>
      </w:r>
      <w:r w:rsidR="00B319A8" w:rsidRPr="00EB0BCC">
        <w:rPr>
          <w:color w:val="000000" w:themeColor="text1"/>
          <w:lang w:val="en-GB"/>
        </w:rPr>
        <w:t xml:space="preserve"> human rights defenders, journalists, and </w:t>
      </w:r>
      <w:r w:rsidR="008D0DB7" w:rsidRPr="00EB0BCC">
        <w:rPr>
          <w:color w:val="000000" w:themeColor="text1"/>
          <w:lang w:val="en-GB"/>
        </w:rPr>
        <w:t>dissidents</w:t>
      </w:r>
      <w:r w:rsidR="00B319A8" w:rsidRPr="00EB0BCC">
        <w:rPr>
          <w:color w:val="000000" w:themeColor="text1"/>
          <w:lang w:val="en-GB"/>
        </w:rPr>
        <w:t xml:space="preserve"> face reprisals </w:t>
      </w:r>
      <w:r w:rsidR="008D0DB7" w:rsidRPr="00EB0BCC">
        <w:rPr>
          <w:color w:val="000000" w:themeColor="text1"/>
          <w:lang w:val="en-GB"/>
        </w:rPr>
        <w:t xml:space="preserve">for nonviolent, free expression of their views and for </w:t>
      </w:r>
      <w:r w:rsidR="00B319A8" w:rsidRPr="00EB0BCC">
        <w:rPr>
          <w:color w:val="000000" w:themeColor="text1"/>
          <w:lang w:val="en-GB"/>
        </w:rPr>
        <w:t xml:space="preserve">the investigation and reporting of </w:t>
      </w:r>
      <w:r w:rsidRPr="00EB0BCC">
        <w:rPr>
          <w:color w:val="000000" w:themeColor="text1"/>
          <w:lang w:val="en-GB"/>
        </w:rPr>
        <w:t>human rights violations</w:t>
      </w:r>
      <w:r w:rsidR="000D10F0" w:rsidRPr="00EB0BCC">
        <w:rPr>
          <w:color w:val="000000" w:themeColor="text1"/>
          <w:lang w:val="en-GB"/>
        </w:rPr>
        <w:t xml:space="preserve"> as </w:t>
      </w:r>
      <w:r w:rsidR="00B25273" w:rsidRPr="00EB0BCC">
        <w:rPr>
          <w:color w:val="000000" w:themeColor="text1"/>
          <w:lang w:val="en-GB"/>
        </w:rPr>
        <w:t>evidenced</w:t>
      </w:r>
      <w:r w:rsidR="000D10F0" w:rsidRPr="00EB0BCC">
        <w:rPr>
          <w:color w:val="000000" w:themeColor="text1"/>
          <w:lang w:val="en-GB"/>
        </w:rPr>
        <w:t xml:space="preserve"> by </w:t>
      </w:r>
      <w:r w:rsidR="003B0012" w:rsidRPr="00EB0BCC">
        <w:rPr>
          <w:color w:val="000000" w:themeColor="text1"/>
          <w:lang w:val="en-GB"/>
        </w:rPr>
        <w:t>the cases cited above</w:t>
      </w:r>
      <w:r w:rsidR="000D10F0" w:rsidRPr="00EB0BCC">
        <w:rPr>
          <w:color w:val="000000" w:themeColor="text1"/>
          <w:lang w:val="en-GB"/>
        </w:rPr>
        <w:t>,</w:t>
      </w:r>
      <w:r w:rsidR="008D0DB7" w:rsidRPr="00EB0BCC">
        <w:rPr>
          <w:color w:val="000000" w:themeColor="text1"/>
          <w:lang w:val="en-GB"/>
        </w:rPr>
        <w:t xml:space="preserve"> </w:t>
      </w:r>
      <w:r w:rsidR="002515AF" w:rsidRPr="00EB0BCC">
        <w:rPr>
          <w:color w:val="000000" w:themeColor="text1"/>
          <w:lang w:val="en-GB"/>
        </w:rPr>
        <w:t xml:space="preserve">this report </w:t>
      </w:r>
      <w:r w:rsidR="008D0DB7" w:rsidRPr="00EB0BCC">
        <w:rPr>
          <w:color w:val="000000" w:themeColor="text1"/>
          <w:lang w:val="en-GB"/>
        </w:rPr>
        <w:t>make</w:t>
      </w:r>
      <w:r w:rsidR="002515AF" w:rsidRPr="00EB0BCC">
        <w:rPr>
          <w:color w:val="000000" w:themeColor="text1"/>
          <w:lang w:val="en-GB"/>
        </w:rPr>
        <w:t>s</w:t>
      </w:r>
      <w:r w:rsidR="008D0DB7" w:rsidRPr="00EB0BCC">
        <w:rPr>
          <w:color w:val="000000" w:themeColor="text1"/>
          <w:lang w:val="en-GB"/>
        </w:rPr>
        <w:t xml:space="preserve"> the following recommendations to the authorities in the Kingdom of Bahrain:</w:t>
      </w:r>
    </w:p>
    <w:p w:rsidR="00EE6C6C" w:rsidRPr="00EB0BCC" w:rsidRDefault="00EE6C6C"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Immediately and unconditionally release human rights defenders </w:t>
      </w:r>
      <w:r w:rsidR="00257B44" w:rsidRPr="00EB0BCC">
        <w:rPr>
          <w:color w:val="000000" w:themeColor="text1"/>
          <w:szCs w:val="24"/>
          <w:lang w:val="en-GB"/>
        </w:rPr>
        <w:t xml:space="preserve">including </w:t>
      </w:r>
      <w:r w:rsidRPr="00EB0BCC">
        <w:rPr>
          <w:color w:val="000000" w:themeColor="text1"/>
          <w:szCs w:val="24"/>
          <w:lang w:val="en-GB"/>
        </w:rPr>
        <w:t>Abdul</w:t>
      </w:r>
      <w:r w:rsidR="00B25273" w:rsidRPr="00EB0BCC">
        <w:rPr>
          <w:color w:val="000000" w:themeColor="text1"/>
          <w:szCs w:val="24"/>
          <w:lang w:val="en-GB"/>
        </w:rPr>
        <w:t>-H</w:t>
      </w:r>
      <w:r w:rsidR="00D81FCA" w:rsidRPr="00EB0BCC">
        <w:rPr>
          <w:color w:val="000000" w:themeColor="text1"/>
          <w:szCs w:val="24"/>
          <w:lang w:val="en-GB"/>
        </w:rPr>
        <w:t>adi</w:t>
      </w:r>
      <w:r w:rsidR="000E2F57" w:rsidRPr="00EB0BCC">
        <w:rPr>
          <w:color w:val="000000" w:themeColor="text1"/>
          <w:szCs w:val="24"/>
          <w:lang w:val="en-GB"/>
        </w:rPr>
        <w:t xml:space="preserve"> </w:t>
      </w:r>
      <w:r w:rsidRPr="00EB0BCC">
        <w:rPr>
          <w:color w:val="000000" w:themeColor="text1"/>
          <w:szCs w:val="24"/>
          <w:lang w:val="en-GB"/>
        </w:rPr>
        <w:t xml:space="preserve">Al-Khawaja, </w:t>
      </w:r>
      <w:r w:rsidR="00505BCF" w:rsidRPr="00EB0BCC">
        <w:rPr>
          <w:color w:val="000000" w:themeColor="text1"/>
          <w:szCs w:val="24"/>
          <w:lang w:val="en-GB"/>
        </w:rPr>
        <w:t xml:space="preserve">Dr. </w:t>
      </w:r>
      <w:r w:rsidR="008E1A77" w:rsidRPr="00EB0BCC">
        <w:rPr>
          <w:color w:val="000000" w:themeColor="text1"/>
          <w:szCs w:val="24"/>
          <w:lang w:val="en-GB"/>
        </w:rPr>
        <w:t>Abduljalil Al-Singace</w:t>
      </w:r>
      <w:r w:rsidR="000D10F0" w:rsidRPr="00EB0BCC">
        <w:rPr>
          <w:color w:val="000000" w:themeColor="text1"/>
          <w:szCs w:val="24"/>
          <w:lang w:val="en-GB"/>
        </w:rPr>
        <w:t>, Nabeel Rajab</w:t>
      </w:r>
      <w:r w:rsidR="008E1A77" w:rsidRPr="00EB0BCC">
        <w:rPr>
          <w:color w:val="000000" w:themeColor="text1"/>
          <w:szCs w:val="24"/>
          <w:lang w:val="en-GB"/>
        </w:rPr>
        <w:t xml:space="preserve"> </w:t>
      </w:r>
      <w:r w:rsidRPr="00EB0BCC">
        <w:rPr>
          <w:color w:val="000000" w:themeColor="text1"/>
          <w:szCs w:val="24"/>
          <w:lang w:val="en-GB"/>
        </w:rPr>
        <w:t xml:space="preserve">and Naji Fateel; drop all charges against them; and remove </w:t>
      </w:r>
      <w:r w:rsidR="00EE591A" w:rsidRPr="00EB0BCC">
        <w:rPr>
          <w:color w:val="000000" w:themeColor="text1"/>
          <w:szCs w:val="24"/>
          <w:lang w:val="en-GB"/>
        </w:rPr>
        <w:t xml:space="preserve">all </w:t>
      </w:r>
      <w:r w:rsidRPr="00EB0BCC">
        <w:rPr>
          <w:color w:val="000000" w:themeColor="text1"/>
          <w:szCs w:val="24"/>
          <w:lang w:val="en-GB"/>
        </w:rPr>
        <w:t xml:space="preserve">travel bans </w:t>
      </w:r>
      <w:r w:rsidR="008E1A77" w:rsidRPr="00EB0BCC">
        <w:rPr>
          <w:color w:val="000000" w:themeColor="text1"/>
          <w:szCs w:val="24"/>
          <w:lang w:val="en-GB"/>
        </w:rPr>
        <w:t xml:space="preserve">and restrictions </w:t>
      </w:r>
      <w:r w:rsidRPr="00EB0BCC">
        <w:rPr>
          <w:color w:val="000000" w:themeColor="text1"/>
          <w:szCs w:val="24"/>
          <w:lang w:val="en-GB"/>
        </w:rPr>
        <w:t>against them.</w:t>
      </w:r>
    </w:p>
    <w:p w:rsidR="00DD2B1E" w:rsidRPr="00EB0BCC" w:rsidRDefault="00DD2B1E"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Appoint </w:t>
      </w:r>
      <w:r w:rsidR="00A5052B" w:rsidRPr="00EB0BCC">
        <w:rPr>
          <w:color w:val="000000" w:themeColor="text1"/>
          <w:szCs w:val="24"/>
          <w:lang w:val="en-GB"/>
        </w:rPr>
        <w:t xml:space="preserve">a </w:t>
      </w:r>
      <w:r w:rsidR="00A5052B" w:rsidRPr="00EB0BCC">
        <w:rPr>
          <w:b/>
          <w:color w:val="000000" w:themeColor="text1"/>
          <w:szCs w:val="24"/>
          <w:lang w:val="en-GB"/>
        </w:rPr>
        <w:t>new Special Commission</w:t>
      </w:r>
      <w:r w:rsidR="00A5052B" w:rsidRPr="00EB0BCC">
        <w:rPr>
          <w:color w:val="000000" w:themeColor="text1"/>
          <w:szCs w:val="24"/>
          <w:lang w:val="en-GB"/>
        </w:rPr>
        <w:t xml:space="preserve"> of </w:t>
      </w:r>
      <w:r w:rsidRPr="00EB0BCC">
        <w:rPr>
          <w:color w:val="000000" w:themeColor="text1"/>
          <w:szCs w:val="24"/>
          <w:lang w:val="en-GB"/>
        </w:rPr>
        <w:t>independent and impartial investigators for the purpose of uncovering the truth about allegations of government misconduct and for the purpose of fostering national reconciliation.</w:t>
      </w:r>
      <w:r w:rsidR="000E2F57" w:rsidRPr="00EB0BCC">
        <w:rPr>
          <w:color w:val="000000" w:themeColor="text1"/>
          <w:szCs w:val="24"/>
          <w:lang w:val="en-GB"/>
        </w:rPr>
        <w:t xml:space="preserve"> </w:t>
      </w:r>
      <w:r w:rsidRPr="00EB0BCC">
        <w:rPr>
          <w:color w:val="000000" w:themeColor="text1"/>
          <w:szCs w:val="24"/>
          <w:lang w:val="en-GB"/>
        </w:rPr>
        <w:t xml:space="preserve">Empower the Commission to investigate promptly and impartially all allegations of torture, ill-treatment, or reprisals by security or law enforcement officials of any rank, and to facilitate prosecution to the fullest extent of the law, in a court that meets international fair trial standards, any official found responsible for ordering, carrying out, or acquiescing in torture or ill-treatment. </w:t>
      </w:r>
    </w:p>
    <w:p w:rsidR="00DB6E19" w:rsidRPr="00EB0BCC" w:rsidRDefault="0033006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This independent investigation should also determine the extent to which</w:t>
      </w:r>
      <w:r w:rsidR="00A5052B" w:rsidRPr="00EB0BCC">
        <w:rPr>
          <w:color w:val="000000" w:themeColor="text1"/>
          <w:szCs w:val="24"/>
          <w:lang w:val="en-GB"/>
        </w:rPr>
        <w:t xml:space="preserve"> the </w:t>
      </w:r>
      <w:r w:rsidR="00A5052B" w:rsidRPr="00EB0BCC">
        <w:rPr>
          <w:b/>
          <w:color w:val="000000" w:themeColor="text1"/>
          <w:szCs w:val="24"/>
          <w:lang w:val="en-GB"/>
        </w:rPr>
        <w:t>Office of the Ombudsman at the Ministry of Interior and Islamic Affairs</w:t>
      </w:r>
      <w:r w:rsidR="00E05140" w:rsidRPr="00EB0BCC">
        <w:rPr>
          <w:b/>
          <w:color w:val="000000" w:themeColor="text1"/>
          <w:szCs w:val="24"/>
          <w:lang w:val="en-GB"/>
        </w:rPr>
        <w:t>,</w:t>
      </w:r>
      <w:r w:rsidR="00A5052B" w:rsidRPr="00EB0BCC">
        <w:rPr>
          <w:color w:val="000000" w:themeColor="text1"/>
          <w:szCs w:val="24"/>
          <w:lang w:val="en-GB"/>
        </w:rPr>
        <w:t xml:space="preserve"> the </w:t>
      </w:r>
      <w:r w:rsidR="00A5052B" w:rsidRPr="00EB0BCC">
        <w:rPr>
          <w:b/>
          <w:color w:val="000000" w:themeColor="text1"/>
          <w:szCs w:val="24"/>
          <w:lang w:val="en-GB"/>
        </w:rPr>
        <w:t>Special Investigation Unit (SIU) in the Office of the Public Prosecutor</w:t>
      </w:r>
      <w:r w:rsidR="00E05140" w:rsidRPr="00EB0BCC">
        <w:rPr>
          <w:b/>
          <w:color w:val="000000" w:themeColor="text1"/>
          <w:szCs w:val="24"/>
          <w:lang w:val="en-GB"/>
        </w:rPr>
        <w:t>, and the Prisoners and Detainees Rights Commission (PDRC)</w:t>
      </w:r>
      <w:r w:rsidRPr="00EB0BCC">
        <w:rPr>
          <w:color w:val="000000" w:themeColor="text1"/>
          <w:szCs w:val="24"/>
          <w:lang w:val="en-GB"/>
        </w:rPr>
        <w:t xml:space="preserve"> failed to respond properly</w:t>
      </w:r>
      <w:r w:rsidR="0085113D" w:rsidRPr="00EB0BCC">
        <w:rPr>
          <w:color w:val="000000" w:themeColor="text1"/>
          <w:szCs w:val="24"/>
          <w:lang w:val="en-GB"/>
        </w:rPr>
        <w:t xml:space="preserve"> and adequately</w:t>
      </w:r>
      <w:r w:rsidRPr="00EB0BCC">
        <w:rPr>
          <w:color w:val="000000" w:themeColor="text1"/>
          <w:szCs w:val="24"/>
          <w:lang w:val="en-GB"/>
        </w:rPr>
        <w:t xml:space="preserve"> to detainee complaints of torture or ill-treatment, or when detainees with visible injuries were brought to their offices, and recommend appropriate sanctions or criminal charges.</w:t>
      </w:r>
    </w:p>
    <w:p w:rsidR="0033006A" w:rsidRPr="00EB0BCC" w:rsidRDefault="00DB6E19"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Ratify without delay the Optional Protocol to the Convention against Torture to allow independent international experts to conduct regular visits to places of detention in Bahrain.</w:t>
      </w:r>
    </w:p>
    <w:p w:rsidR="00A5052B" w:rsidRPr="00EB0BCC" w:rsidRDefault="00A5052B"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lastRenderedPageBreak/>
        <w:t xml:space="preserve">Immediately suspend </w:t>
      </w:r>
      <w:r w:rsidR="00DB6E19" w:rsidRPr="00EB0BCC">
        <w:rPr>
          <w:color w:val="000000" w:themeColor="text1"/>
          <w:szCs w:val="24"/>
          <w:lang w:val="en-GB"/>
        </w:rPr>
        <w:t xml:space="preserve">and remove </w:t>
      </w:r>
      <w:r w:rsidRPr="00EB0BCC">
        <w:rPr>
          <w:color w:val="000000" w:themeColor="text1"/>
          <w:szCs w:val="24"/>
          <w:lang w:val="en-GB"/>
        </w:rPr>
        <w:t xml:space="preserve">any security or law enforcement official when credible evidence exists showing that such official ordered, carried out, or acquiesced in acts of torture, ill-treatment, or reprisals. </w:t>
      </w:r>
    </w:p>
    <w:p w:rsidR="0033006A" w:rsidRPr="00EB0BCC" w:rsidRDefault="0033006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Ensure that allegations of torture or ill-treatment by CID or other Ministry of Interior officials are thoroughly investigated and, if warranted, prosecuted before an independent civilian court, and ensure that victims of torture or ill-treatment receive appropriate compensation from the government and those officials responsible in accordance with Bahraini law. </w:t>
      </w:r>
    </w:p>
    <w:p w:rsidR="00CC396A" w:rsidRPr="00EB0BCC" w:rsidRDefault="00CC396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Provide training on human rights standards to law enforcement officers, members of the judiciary, and members of the prosecution.</w:t>
      </w:r>
    </w:p>
    <w:p w:rsidR="00DF39E6" w:rsidRPr="00EB0BCC" w:rsidRDefault="0033006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Ensure that administrative and judicial proceedings regarding alleged acts of torture or ill-treatment are subject to public scrutiny. </w:t>
      </w:r>
    </w:p>
    <w:p w:rsidR="0033006A" w:rsidRPr="00EB0BCC" w:rsidRDefault="0033006A"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Allow non</w:t>
      </w:r>
      <w:r w:rsidR="00257B44" w:rsidRPr="00EB0BCC">
        <w:rPr>
          <w:color w:val="000000" w:themeColor="text1"/>
          <w:szCs w:val="24"/>
          <w:lang w:val="en-GB"/>
        </w:rPr>
        <w:t>-</w:t>
      </w:r>
      <w:r w:rsidRPr="00EB0BCC">
        <w:rPr>
          <w:color w:val="000000" w:themeColor="text1"/>
          <w:szCs w:val="24"/>
          <w:lang w:val="en-GB"/>
        </w:rPr>
        <w:t>governmental human rights organi</w:t>
      </w:r>
      <w:r w:rsidR="00314775" w:rsidRPr="00EB0BCC">
        <w:rPr>
          <w:color w:val="000000" w:themeColor="text1"/>
          <w:szCs w:val="24"/>
          <w:lang w:val="en-GB"/>
        </w:rPr>
        <w:t>s</w:t>
      </w:r>
      <w:r w:rsidRPr="00EB0BCC">
        <w:rPr>
          <w:color w:val="000000" w:themeColor="text1"/>
          <w:szCs w:val="24"/>
          <w:lang w:val="en-GB"/>
        </w:rPr>
        <w:t>ations,</w:t>
      </w:r>
      <w:r w:rsidR="00DB6E19" w:rsidRPr="00EB0BCC">
        <w:rPr>
          <w:color w:val="000000" w:themeColor="text1"/>
          <w:szCs w:val="24"/>
          <w:lang w:val="en-GB"/>
        </w:rPr>
        <w:t xml:space="preserve"> </w:t>
      </w:r>
      <w:r w:rsidR="000D10F0" w:rsidRPr="00EB0BCC">
        <w:rPr>
          <w:color w:val="000000" w:themeColor="text1"/>
          <w:szCs w:val="24"/>
          <w:lang w:val="en-GB"/>
        </w:rPr>
        <w:t>independent human rights investigators</w:t>
      </w:r>
      <w:r w:rsidR="003B0012" w:rsidRPr="00EB0BCC">
        <w:rPr>
          <w:color w:val="000000" w:themeColor="text1"/>
          <w:szCs w:val="24"/>
          <w:lang w:val="en-GB"/>
        </w:rPr>
        <w:t xml:space="preserve">, </w:t>
      </w:r>
      <w:r w:rsidR="000D10F0" w:rsidRPr="00EB0BCC">
        <w:rPr>
          <w:color w:val="000000" w:themeColor="text1"/>
          <w:szCs w:val="24"/>
          <w:lang w:val="en-GB"/>
        </w:rPr>
        <w:t xml:space="preserve">lawyers </w:t>
      </w:r>
      <w:r w:rsidR="00DB6E19" w:rsidRPr="00EB0BCC">
        <w:rPr>
          <w:color w:val="000000" w:themeColor="text1"/>
          <w:szCs w:val="24"/>
          <w:lang w:val="en-GB"/>
        </w:rPr>
        <w:t>and</w:t>
      </w:r>
      <w:r w:rsidRPr="00EB0BCC">
        <w:rPr>
          <w:color w:val="000000" w:themeColor="text1"/>
          <w:szCs w:val="24"/>
          <w:lang w:val="en-GB"/>
        </w:rPr>
        <w:t xml:space="preserve"> medical professionals, access to all places of detention. </w:t>
      </w:r>
    </w:p>
    <w:p w:rsidR="00CD0E18" w:rsidRPr="00EB0BCC" w:rsidRDefault="004B312C"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Ensure that every person arrested </w:t>
      </w:r>
      <w:r w:rsidR="006B2239" w:rsidRPr="00EB0BCC">
        <w:rPr>
          <w:color w:val="000000" w:themeColor="text1"/>
          <w:szCs w:val="24"/>
          <w:lang w:val="en-GB"/>
        </w:rPr>
        <w:t xml:space="preserve">be presented with a copy of the arrest warrant </w:t>
      </w:r>
      <w:r w:rsidR="00DF39E6" w:rsidRPr="00EB0BCC">
        <w:rPr>
          <w:color w:val="000000" w:themeColor="text1"/>
          <w:szCs w:val="24"/>
          <w:lang w:val="en-GB"/>
        </w:rPr>
        <w:t xml:space="preserve">at the time of arrest </w:t>
      </w:r>
      <w:r w:rsidR="006B2239" w:rsidRPr="00EB0BCC">
        <w:rPr>
          <w:color w:val="000000" w:themeColor="text1"/>
          <w:szCs w:val="24"/>
          <w:lang w:val="en-GB"/>
        </w:rPr>
        <w:t>and that no person should be held incommunicado</w:t>
      </w:r>
      <w:r w:rsidR="00DF39E6" w:rsidRPr="00EB0BCC">
        <w:rPr>
          <w:color w:val="000000" w:themeColor="text1"/>
          <w:szCs w:val="24"/>
          <w:lang w:val="en-GB"/>
        </w:rPr>
        <w:t xml:space="preserve"> or in solitary confinement</w:t>
      </w:r>
      <w:r w:rsidR="009D5A04" w:rsidRPr="00EB0BCC">
        <w:rPr>
          <w:color w:val="000000" w:themeColor="text1"/>
          <w:szCs w:val="24"/>
          <w:lang w:val="en-GB"/>
        </w:rPr>
        <w:t>, subject to release by writ of habeas corpus where the detaining agency does not comply</w:t>
      </w:r>
      <w:r w:rsidR="00CD0E18" w:rsidRPr="00EB0BCC">
        <w:rPr>
          <w:color w:val="000000" w:themeColor="text1"/>
          <w:szCs w:val="24"/>
          <w:lang w:val="en-GB"/>
        </w:rPr>
        <w:t xml:space="preserve">. </w:t>
      </w:r>
    </w:p>
    <w:p w:rsidR="004B312C" w:rsidRPr="00EB0BCC" w:rsidRDefault="00CD0E18"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 xml:space="preserve">Ensure that detainees have immediate and </w:t>
      </w:r>
      <w:r w:rsidR="003B0012" w:rsidRPr="00EB0BCC">
        <w:rPr>
          <w:color w:val="000000" w:themeColor="text1"/>
          <w:szCs w:val="24"/>
          <w:lang w:val="en-GB"/>
        </w:rPr>
        <w:t xml:space="preserve">weekly or monthly </w:t>
      </w:r>
      <w:r w:rsidRPr="00EB0BCC">
        <w:rPr>
          <w:color w:val="000000" w:themeColor="text1"/>
          <w:szCs w:val="24"/>
          <w:lang w:val="en-GB"/>
        </w:rPr>
        <w:t>access to their lawyers and family members.</w:t>
      </w:r>
    </w:p>
    <w:p w:rsidR="00CD0E18" w:rsidRPr="00EB0BCC" w:rsidRDefault="00CD0E18"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Ensure that detainees have access to prompt</w:t>
      </w:r>
      <w:r w:rsidR="000D10F0" w:rsidRPr="00EB0BCC">
        <w:rPr>
          <w:color w:val="000000" w:themeColor="text1"/>
          <w:szCs w:val="24"/>
          <w:lang w:val="en-GB"/>
        </w:rPr>
        <w:t xml:space="preserve"> and adequate</w:t>
      </w:r>
      <w:r w:rsidRPr="00EB0BCC">
        <w:rPr>
          <w:color w:val="000000" w:themeColor="text1"/>
          <w:szCs w:val="24"/>
          <w:lang w:val="en-GB"/>
        </w:rPr>
        <w:t xml:space="preserve"> medical examinations by civil and independent physicians and that examination results are available to courts and detainees’ lawyers and family members.</w:t>
      </w:r>
    </w:p>
    <w:p w:rsidR="00A540A5" w:rsidRPr="00EB0BCC" w:rsidRDefault="00A540A5" w:rsidP="004A0494">
      <w:pPr>
        <w:pStyle w:val="BodyText"/>
        <w:numPr>
          <w:ilvl w:val="0"/>
          <w:numId w:val="18"/>
        </w:numPr>
        <w:tabs>
          <w:tab w:val="right" w:pos="8910"/>
        </w:tabs>
        <w:ind w:right="18"/>
        <w:jc w:val="both"/>
        <w:rPr>
          <w:color w:val="000000" w:themeColor="text1"/>
          <w:szCs w:val="24"/>
          <w:lang w:val="en-GB"/>
        </w:rPr>
      </w:pPr>
      <w:r w:rsidRPr="00EB0BCC">
        <w:rPr>
          <w:color w:val="000000" w:themeColor="text1"/>
          <w:szCs w:val="24"/>
          <w:lang w:val="en-GB"/>
        </w:rPr>
        <w:t>Ensure that all human rights defenders in Bahrain are able to carry out legitimate human rights activities, including investigations and reporting, without reprisals, harassment, and restrictions.</w:t>
      </w:r>
    </w:p>
    <w:p w:rsidR="00CB63E8" w:rsidRPr="00EB0BCC" w:rsidRDefault="00CB63E8" w:rsidP="00BA35C4">
      <w:pPr>
        <w:pStyle w:val="BodyText"/>
        <w:tabs>
          <w:tab w:val="right" w:pos="8910"/>
        </w:tabs>
        <w:ind w:right="18"/>
        <w:jc w:val="both"/>
        <w:rPr>
          <w:color w:val="000000" w:themeColor="text1"/>
          <w:szCs w:val="24"/>
          <w:lang w:val="en-GB"/>
        </w:rPr>
      </w:pPr>
    </w:p>
    <w:p w:rsidR="00CB63E8" w:rsidRPr="00EB0BCC" w:rsidRDefault="00CB63E8" w:rsidP="00BA35C4">
      <w:pPr>
        <w:pStyle w:val="BodyText"/>
        <w:tabs>
          <w:tab w:val="right" w:pos="8910"/>
        </w:tabs>
        <w:ind w:right="18"/>
        <w:jc w:val="both"/>
        <w:rPr>
          <w:color w:val="000000" w:themeColor="text1"/>
          <w:szCs w:val="24"/>
          <w:lang w:val="en-GB"/>
        </w:rPr>
      </w:pPr>
    </w:p>
    <w:sectPr w:rsidR="00CB63E8" w:rsidRPr="00EB0BCC" w:rsidSect="00614768">
      <w:headerReference w:type="even" r:id="rId10"/>
      <w:footerReference w:type="even" r:id="rId11"/>
      <w:footerReference w:type="default" r:id="rId12"/>
      <w:footerReference w:type="first" r:id="rId13"/>
      <w:pgSz w:w="11907" w:h="16839"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CF" w:rsidRDefault="00A104CF">
      <w:r>
        <w:separator/>
      </w:r>
    </w:p>
  </w:endnote>
  <w:endnote w:type="continuationSeparator" w:id="0">
    <w:p w:rsidR="00A104CF" w:rsidRDefault="00A1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96" w:rsidRDefault="00D17596">
    <w:pPr>
      <w:framePr w:wrap="around" w:vAnchor="text" w:hAnchor="margin" w:xAlign="right" w:y="1"/>
    </w:pPr>
    <w:r>
      <w:fldChar w:fldCharType="begin"/>
    </w:r>
    <w:r>
      <w:instrText xml:space="preserve">PAGE  </w:instrText>
    </w:r>
    <w:r>
      <w:fldChar w:fldCharType="separate"/>
    </w:r>
    <w:r>
      <w:rPr>
        <w:noProof/>
      </w:rPr>
      <w:t>1</w:t>
    </w:r>
    <w:r>
      <w:fldChar w:fldCharType="end"/>
    </w:r>
  </w:p>
  <w:p w:rsidR="00D17596" w:rsidRDefault="00D1759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96" w:rsidRDefault="00D17596">
    <w:pPr>
      <w:pStyle w:val="Footer"/>
      <w:jc w:val="center"/>
    </w:pPr>
    <w:r>
      <w:fldChar w:fldCharType="begin"/>
    </w:r>
    <w:r>
      <w:instrText xml:space="preserve"> PAGE   \* MERGEFORMAT </w:instrText>
    </w:r>
    <w:r>
      <w:fldChar w:fldCharType="separate"/>
    </w:r>
    <w:r w:rsidR="0067246A">
      <w:rPr>
        <w:noProof/>
      </w:rPr>
      <w:t>46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1" w:name="_iDocIDField_1"/>
  <w:p w:rsidR="00D17596" w:rsidRDefault="00D17596">
    <w:pPr>
      <w:pStyle w:val="Footer"/>
      <w:rPr>
        <w:rStyle w:val="DocID"/>
      </w:rPr>
    </w:pPr>
    <w:r>
      <w:rPr>
        <w:rStyle w:val="DocID"/>
      </w:rPr>
      <w:fldChar w:fldCharType="begin"/>
    </w:r>
    <w:r>
      <w:rPr>
        <w:rStyle w:val="DocID"/>
      </w:rPr>
      <w:instrText xml:space="preserve"> IF</w:instrText>
    </w:r>
    <w:r>
      <w:rPr>
        <w:rStyle w:val="DocID"/>
      </w:rPr>
      <w:fldChar w:fldCharType="begin"/>
    </w:r>
    <w:r>
      <w:rPr>
        <w:rStyle w:val="DocID"/>
      </w:rPr>
      <w:instrText xml:space="preserve"> DOCPROPERTY "CUS_DocIDOperation" </w:instrText>
    </w:r>
    <w:r>
      <w:rPr>
        <w:rStyle w:val="DocID"/>
      </w:rPr>
      <w:fldChar w:fldCharType="separate"/>
    </w:r>
    <w:r>
      <w:rPr>
        <w:rStyle w:val="DocID"/>
      </w:rPr>
      <w:instrText>LAST PAGE ONLY</w:instrText>
    </w:r>
    <w:r>
      <w:rPr>
        <w:rStyle w:val="DocID"/>
      </w:rPr>
      <w:fldChar w:fldCharType="end"/>
    </w:r>
    <w:r>
      <w:rPr>
        <w:rStyle w:val="DocID"/>
      </w:rPr>
      <w:instrText xml:space="preserve">= "LAST PAGE ONLY" </w:instrText>
    </w:r>
    <w:r>
      <w:rPr>
        <w:rStyle w:val="DocID"/>
      </w:rPr>
      <w:fldChar w:fldCharType="begin"/>
    </w:r>
    <w:r>
      <w:rPr>
        <w:rStyle w:val="DocID"/>
      </w:rPr>
      <w:instrText xml:space="preserve"> IF </w:instrText>
    </w:r>
    <w:r>
      <w:rPr>
        <w:rStyle w:val="DocID"/>
      </w:rPr>
      <w:fldChar w:fldCharType="begin"/>
    </w:r>
    <w:r>
      <w:rPr>
        <w:rStyle w:val="DocID"/>
      </w:rPr>
      <w:instrText xml:space="preserve">  = AND (</w:instrText>
    </w:r>
    <w:r>
      <w:rPr>
        <w:rStyle w:val="DocID"/>
      </w:rPr>
      <w:fldChar w:fldCharType="begin"/>
    </w:r>
    <w:r>
      <w:rPr>
        <w:rStyle w:val="DocID"/>
      </w:rPr>
      <w:instrText xml:space="preserve">  COMPARE </w:instrText>
    </w:r>
    <w:r>
      <w:rPr>
        <w:rStyle w:val="DocID"/>
      </w:rPr>
      <w:fldChar w:fldCharType="begin"/>
    </w:r>
    <w:r>
      <w:rPr>
        <w:rStyle w:val="DocID"/>
      </w:rPr>
      <w:instrText xml:space="preserve"> PAGE \* Arabic </w:instrText>
    </w:r>
    <w:r>
      <w:rPr>
        <w:rStyle w:val="DocID"/>
      </w:rPr>
      <w:fldChar w:fldCharType="separate"/>
    </w:r>
    <w:r w:rsidR="0067246A">
      <w:rPr>
        <w:rStyle w:val="DocID"/>
        <w:noProof/>
      </w:rPr>
      <w:instrText>1</w:instrText>
    </w:r>
    <w:r>
      <w:rPr>
        <w:rStyle w:val="DocID"/>
      </w:rPr>
      <w:fldChar w:fldCharType="end"/>
    </w:r>
    <w:r>
      <w:rPr>
        <w:rStyle w:val="DocID"/>
      </w:rPr>
      <w:instrText xml:space="preserve"> = </w:instrText>
    </w:r>
    <w:r>
      <w:rPr>
        <w:rStyle w:val="DocID"/>
      </w:rPr>
      <w:fldChar w:fldCharType="begin"/>
    </w:r>
    <w:r>
      <w:rPr>
        <w:rStyle w:val="DocID"/>
      </w:rPr>
      <w:instrText xml:space="preserve"> DOCPROPERTY "CUS_DocIDEndAdjustedPageNumber" </w:instrText>
    </w:r>
    <w:r>
      <w:rPr>
        <w:rStyle w:val="DocID"/>
      </w:rPr>
      <w:fldChar w:fldCharType="separate"/>
    </w:r>
    <w:r>
      <w:rPr>
        <w:rStyle w:val="DocID"/>
      </w:rPr>
      <w:instrText>3</w:instrText>
    </w:r>
    <w:r>
      <w:rPr>
        <w:rStyle w:val="DocID"/>
      </w:rPr>
      <w:fldChar w:fldCharType="end"/>
    </w:r>
    <w:r>
      <w:rPr>
        <w:rStyle w:val="DocID"/>
      </w:rPr>
      <w:instrText xml:space="preserve"> </w:instrText>
    </w:r>
    <w:r>
      <w:rPr>
        <w:rStyle w:val="DocID"/>
      </w:rPr>
      <w:fldChar w:fldCharType="separate"/>
    </w:r>
    <w:r w:rsidR="0067246A">
      <w:rPr>
        <w:rStyle w:val="DocID"/>
        <w:noProof/>
      </w:rPr>
      <w:instrText>0</w:instrText>
    </w:r>
    <w:r>
      <w:rPr>
        <w:rStyle w:val="DocID"/>
      </w:rPr>
      <w:fldChar w:fldCharType="end"/>
    </w:r>
    <w:r>
      <w:rPr>
        <w:rStyle w:val="DocID"/>
      </w:rPr>
      <w:instrText xml:space="preserve">, </w:instrText>
    </w:r>
    <w:r>
      <w:rPr>
        <w:rStyle w:val="DocID"/>
      </w:rPr>
      <w:fldChar w:fldCharType="begin"/>
    </w:r>
    <w:r>
      <w:rPr>
        <w:rStyle w:val="DocID"/>
      </w:rPr>
      <w:instrText xml:space="preserve"> COMPARE </w:instrText>
    </w:r>
    <w:r>
      <w:rPr>
        <w:rStyle w:val="DocID"/>
      </w:rPr>
      <w:fldChar w:fldCharType="begin"/>
    </w:r>
    <w:r>
      <w:rPr>
        <w:rStyle w:val="DocID"/>
      </w:rPr>
      <w:instrText xml:space="preserve"> SECTION </w:instrText>
    </w:r>
    <w:r>
      <w:rPr>
        <w:rStyle w:val="DocID"/>
      </w:rPr>
      <w:fldChar w:fldCharType="separate"/>
    </w:r>
    <w:r w:rsidR="0067246A">
      <w:rPr>
        <w:rStyle w:val="DocID"/>
      </w:rPr>
      <w:instrText>1</w:instrText>
    </w:r>
    <w:r>
      <w:rPr>
        <w:rStyle w:val="DocID"/>
      </w:rPr>
      <w:fldChar w:fldCharType="end"/>
    </w:r>
    <w:r>
      <w:rPr>
        <w:rStyle w:val="DocID"/>
      </w:rPr>
      <w:instrText xml:space="preserve"> = </w:instrText>
    </w:r>
    <w:r>
      <w:rPr>
        <w:rStyle w:val="DocID"/>
      </w:rPr>
      <w:fldChar w:fldCharType="begin"/>
    </w:r>
    <w:r>
      <w:rPr>
        <w:rStyle w:val="DocID"/>
      </w:rPr>
      <w:instrText xml:space="preserve"> DOCPROPERTY "CUS_DocIDEndSectionNumber" </w:instrText>
    </w:r>
    <w:r>
      <w:rPr>
        <w:rStyle w:val="DocID"/>
      </w:rPr>
      <w:fldChar w:fldCharType="separate"/>
    </w:r>
    <w:r>
      <w:rPr>
        <w:rStyle w:val="DocID"/>
      </w:rPr>
      <w:instrText>1</w:instrText>
    </w:r>
    <w:r>
      <w:rPr>
        <w:rStyle w:val="DocID"/>
      </w:rPr>
      <w:fldChar w:fldCharType="end"/>
    </w:r>
    <w:r>
      <w:rPr>
        <w:rStyle w:val="DocID"/>
      </w:rPr>
      <w:instrText xml:space="preserve"> </w:instrText>
    </w:r>
    <w:r>
      <w:rPr>
        <w:rStyle w:val="DocID"/>
      </w:rPr>
      <w:fldChar w:fldCharType="separate"/>
    </w:r>
    <w:r w:rsidR="0067246A">
      <w:rPr>
        <w:rStyle w:val="DocID"/>
        <w:noProof/>
      </w:rPr>
      <w:instrText>1</w:instrText>
    </w:r>
    <w:r>
      <w:rPr>
        <w:rStyle w:val="DocID"/>
      </w:rPr>
      <w:fldChar w:fldCharType="end"/>
    </w:r>
    <w:r>
      <w:rPr>
        <w:rStyle w:val="DocID"/>
      </w:rPr>
      <w:instrText xml:space="preserve">) </w:instrText>
    </w:r>
    <w:r>
      <w:rPr>
        <w:rStyle w:val="DocID"/>
      </w:rPr>
      <w:fldChar w:fldCharType="separate"/>
    </w:r>
    <w:r w:rsidR="0067246A">
      <w:rPr>
        <w:rStyle w:val="DocID"/>
        <w:noProof/>
      </w:rPr>
      <w:instrText>0</w:instrText>
    </w:r>
    <w:r>
      <w:rPr>
        <w:rStyle w:val="DocID"/>
      </w:rPr>
      <w:fldChar w:fldCharType="end"/>
    </w:r>
    <w:r>
      <w:rPr>
        <w:rStyle w:val="DocID"/>
      </w:rPr>
      <w:instrText xml:space="preserve"> = 1 </w:instrText>
    </w:r>
    <w:r>
      <w:rPr>
        <w:rStyle w:val="DocID"/>
      </w:rPr>
      <w:fldChar w:fldCharType="begin"/>
    </w:r>
    <w:r>
      <w:rPr>
        <w:rStyle w:val="DocID"/>
      </w:rPr>
      <w:instrText xml:space="preserve"> QUOTE </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4821-3077-3309\1</w:instrText>
    </w:r>
    <w:r>
      <w:rPr>
        <w:rStyle w:val="DocID"/>
      </w:rPr>
      <w:fldChar w:fldCharType="end"/>
    </w:r>
    <w:r>
      <w:rPr>
        <w:rStyle w:val="DocID"/>
      </w:rPr>
      <w:instrText xml:space="preserve"> " "</w:instrText>
    </w:r>
    <w:r>
      <w:rPr>
        <w:rStyle w:val="DocID"/>
      </w:rPr>
      <w:fldChar w:fldCharType="begin"/>
    </w:r>
    <w:r>
      <w:rPr>
        <w:rStyle w:val="DocID"/>
      </w:rPr>
      <w:instrText xml:space="preserve"> SAVEDATE \@ "M/d/yyyy h:mm am/pm" </w:instrText>
    </w:r>
    <w:r>
      <w:rPr>
        <w:rStyle w:val="DocID"/>
      </w:rPr>
      <w:fldChar w:fldCharType="separate"/>
    </w:r>
    <w:r>
      <w:rPr>
        <w:rStyle w:val="DocID"/>
        <w:noProof/>
      </w:rPr>
      <w:instrText>12/5/2016 2:47 PM</w:instrText>
    </w:r>
    <w:r>
      <w:rPr>
        <w:rStyle w:val="DocID"/>
      </w:rPr>
      <w:fldChar w:fldCharType="end"/>
    </w:r>
    <w:r>
      <w:rPr>
        <w:rStyle w:val="DocID"/>
      </w:rPr>
      <w:instrText xml:space="preserve"> </w:instrText>
    </w:r>
    <w:r>
      <w:rPr>
        <w:rStyle w:val="DocID"/>
      </w:rPr>
      <w:fldChar w:fldCharType="separate"/>
    </w:r>
    <w:r>
      <w:rPr>
        <w:rStyle w:val="DocID"/>
      </w:rPr>
      <w:instrText xml:space="preserve">4821-3077-3309\1 </w:instrText>
    </w:r>
    <w:r>
      <w:rPr>
        <w:rStyle w:val="DocID"/>
        <w:noProof/>
      </w:rPr>
      <w:instrText>12/5/2016 2:47 PM</w:instrText>
    </w:r>
    <w:r>
      <w:rPr>
        <w:rStyle w:val="DocID"/>
      </w:rPr>
      <w:fldChar w:fldCharType="end"/>
    </w:r>
    <w:r>
      <w:rPr>
        <w:rStyle w:val="DocID"/>
      </w:rPr>
      <w:instrText xml:space="preserve"> </w:instrText>
    </w:r>
    <w:r>
      <w:rPr>
        <w:rStyle w:val="DocID"/>
      </w:rPr>
      <w:fldChar w:fldCharType="end"/>
    </w:r>
    <w:r>
      <w:rPr>
        <w:rStyle w:val="DocID"/>
      </w:rPr>
      <w:instrText xml:space="preserve"> </w:instrText>
    </w:r>
    <w:r>
      <w:rPr>
        <w:rStyle w:val="DocID"/>
      </w:rPr>
      <w:fldChar w:fldCharType="end"/>
    </w:r>
    <w:bookmarkEnd w:id="2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CF" w:rsidRDefault="00A104CF">
      <w:r>
        <w:separator/>
      </w:r>
    </w:p>
  </w:footnote>
  <w:footnote w:type="continuationSeparator" w:id="0">
    <w:p w:rsidR="00A104CF" w:rsidRDefault="00A104CF">
      <w:r>
        <w:continuationSeparator/>
      </w:r>
    </w:p>
  </w:footnote>
  <w:footnote w:id="1">
    <w:p w:rsidR="00D17596" w:rsidRPr="00F376F6" w:rsidRDefault="00D17596" w:rsidP="00B1707E">
      <w:pPr>
        <w:pStyle w:val="FootnoteText"/>
        <w:spacing w:after="0"/>
        <w:ind w:left="0" w:firstLine="0"/>
      </w:pPr>
      <w:r w:rsidRPr="00F376F6">
        <w:rPr>
          <w:rStyle w:val="FootnoteReference"/>
          <w:sz w:val="20"/>
        </w:rPr>
        <w:footnoteRef/>
      </w:r>
      <w:r w:rsidRPr="00F376F6">
        <w:t xml:space="preserve"> </w:t>
      </w:r>
      <w:r>
        <w:t>UN</w:t>
      </w:r>
      <w:r w:rsidRPr="00F376F6">
        <w:t xml:space="preserve"> General Assembly Report of the Secretary General</w:t>
      </w:r>
      <w:r>
        <w:t>,</w:t>
      </w:r>
      <w:r w:rsidRPr="00F376F6">
        <w:t xml:space="preserve"> </w:t>
      </w:r>
      <w:r w:rsidRPr="00FC46F9">
        <w:rPr>
          <w:i/>
          <w:iCs/>
        </w:rPr>
        <w:t>Cooperation with the United Nations, its representatives and mechanisms in the field of human rights</w:t>
      </w:r>
      <w:r>
        <w:rPr>
          <w:i/>
          <w:iCs/>
        </w:rPr>
        <w:t>,</w:t>
      </w:r>
      <w:r w:rsidRPr="00F376F6">
        <w:t xml:space="preserve"> A/HRC/24/29</w:t>
      </w:r>
      <w:r>
        <w:t>,</w:t>
      </w:r>
      <w:r w:rsidRPr="00F376F6">
        <w:t xml:space="preserve"> available at http://www.ohchr.org/EN/HRBodies/HRC/RegularSessions/Session24/Documents/A-HRC-24-29_en.pdf</w:t>
      </w:r>
      <w:r>
        <w:t>.</w:t>
      </w:r>
    </w:p>
  </w:footnote>
  <w:footnote w:id="2">
    <w:p w:rsidR="00D17596" w:rsidRPr="00F376F6" w:rsidRDefault="00D17596" w:rsidP="00F376F6">
      <w:pPr>
        <w:pStyle w:val="FootnoteText"/>
        <w:spacing w:after="0"/>
        <w:ind w:left="0" w:firstLine="0"/>
      </w:pPr>
      <w:r w:rsidRPr="00F376F6">
        <w:rPr>
          <w:rStyle w:val="FootnoteReference"/>
          <w:sz w:val="20"/>
        </w:rPr>
        <w:footnoteRef/>
      </w:r>
      <w:r w:rsidRPr="00F376F6">
        <w:t xml:space="preserve"> 30</w:t>
      </w:r>
      <w:r w:rsidRPr="00F376F6">
        <w:rPr>
          <w:vertAlign w:val="superscript"/>
        </w:rPr>
        <w:t>th</w:t>
      </w:r>
      <w:r w:rsidRPr="00F376F6">
        <w:t xml:space="preserve"> session of the UN Human Rights Council, September 2015.</w:t>
      </w:r>
    </w:p>
  </w:footnote>
  <w:footnote w:id="3">
    <w:p w:rsidR="00D17596" w:rsidRPr="009A7190" w:rsidRDefault="00D17596" w:rsidP="00F376F6">
      <w:pPr>
        <w:pStyle w:val="FootnoteText"/>
        <w:spacing w:after="0"/>
        <w:ind w:left="0" w:firstLine="0"/>
        <w:rPr>
          <w:sz w:val="18"/>
          <w:szCs w:val="18"/>
        </w:rPr>
      </w:pPr>
      <w:r w:rsidRPr="009A7190">
        <w:rPr>
          <w:rStyle w:val="FootnoteReference"/>
          <w:sz w:val="18"/>
          <w:szCs w:val="18"/>
        </w:rPr>
        <w:footnoteRef/>
      </w:r>
      <w:r w:rsidRPr="009A7190">
        <w:rPr>
          <w:sz w:val="18"/>
          <w:szCs w:val="18"/>
        </w:rPr>
        <w:t xml:space="preserve"> World Population Review, 20 November 2016, http://worldpopulationreview.com/countries/bahrain-population/.</w:t>
      </w:r>
    </w:p>
  </w:footnote>
  <w:footnote w:id="4">
    <w:p w:rsidR="00D17596" w:rsidRPr="009A7190" w:rsidRDefault="00D17596" w:rsidP="00DB0953">
      <w:pPr>
        <w:pStyle w:val="FootnoteText"/>
        <w:spacing w:after="0"/>
        <w:ind w:left="0" w:firstLine="0"/>
        <w:rPr>
          <w:sz w:val="18"/>
          <w:szCs w:val="18"/>
        </w:rPr>
      </w:pPr>
      <w:r w:rsidRPr="009A7190">
        <w:rPr>
          <w:rStyle w:val="FootnoteReference"/>
          <w:sz w:val="18"/>
          <w:szCs w:val="18"/>
        </w:rPr>
        <w:footnoteRef/>
      </w:r>
      <w:r w:rsidRPr="009A7190">
        <w:rPr>
          <w:sz w:val="18"/>
          <w:szCs w:val="18"/>
        </w:rPr>
        <w:t xml:space="preserve"> Pew Research </w:t>
      </w:r>
      <w:r>
        <w:rPr>
          <w:sz w:val="18"/>
          <w:szCs w:val="18"/>
        </w:rPr>
        <w:t>Centre</w:t>
      </w:r>
      <w:r w:rsidRPr="009A7190">
        <w:rPr>
          <w:sz w:val="18"/>
          <w:szCs w:val="18"/>
        </w:rPr>
        <w:t xml:space="preserve">, 27 January 2011, </w:t>
      </w:r>
      <w:r w:rsidRPr="009A7190">
        <w:rPr>
          <w:i/>
          <w:sz w:val="18"/>
          <w:szCs w:val="18"/>
        </w:rPr>
        <w:t>The Future of the Global Muslim Population: Sunni and Shia Muslims,</w:t>
      </w:r>
      <w:r w:rsidRPr="009A7190">
        <w:rPr>
          <w:sz w:val="18"/>
          <w:szCs w:val="18"/>
        </w:rPr>
        <w:t xml:space="preserve"> http://www.pewforum.org/2011/01/27/future-of-the-global-muslim-population-sunni-and-shia/.</w:t>
      </w:r>
    </w:p>
  </w:footnote>
  <w:footnote w:id="5">
    <w:p w:rsidR="00D17596" w:rsidRPr="00F376F6" w:rsidRDefault="00D17596" w:rsidP="00DB0953">
      <w:pPr>
        <w:pStyle w:val="FootnoteText"/>
        <w:spacing w:after="0"/>
        <w:ind w:left="0" w:firstLine="0"/>
      </w:pPr>
      <w:r w:rsidRPr="009A7190">
        <w:rPr>
          <w:rStyle w:val="FootnoteReference"/>
          <w:sz w:val="18"/>
          <w:szCs w:val="18"/>
        </w:rPr>
        <w:footnoteRef/>
      </w:r>
      <w:r w:rsidRPr="009A7190">
        <w:rPr>
          <w:sz w:val="18"/>
          <w:szCs w:val="18"/>
        </w:rPr>
        <w:t xml:space="preserve"> </w:t>
      </w:r>
      <w:r w:rsidRPr="009A7190">
        <w:rPr>
          <w:i/>
          <w:iCs/>
          <w:sz w:val="18"/>
          <w:szCs w:val="18"/>
        </w:rPr>
        <w:t>Torture Redux: The Revival of Physical Coercion during Interrogations in Bahrain</w:t>
      </w:r>
      <w:r w:rsidRPr="009A7190">
        <w:rPr>
          <w:sz w:val="18"/>
          <w:szCs w:val="18"/>
        </w:rPr>
        <w:t>, Human Rights Watch, February 2010, pp. 1-6.</w:t>
      </w:r>
    </w:p>
  </w:footnote>
  <w:footnote w:id="6">
    <w:p w:rsidR="00D17596" w:rsidRPr="00FC0964" w:rsidRDefault="00D17596" w:rsidP="00846691">
      <w:pPr>
        <w:pStyle w:val="FootnoteText"/>
        <w:spacing w:after="0"/>
        <w:ind w:left="0" w:firstLine="0"/>
      </w:pPr>
      <w:r w:rsidRPr="00846691">
        <w:rPr>
          <w:rStyle w:val="FootnoteReference"/>
          <w:sz w:val="20"/>
        </w:rPr>
        <w:footnoteRef/>
      </w:r>
      <w:r w:rsidRPr="00846691">
        <w:t xml:space="preserve"> Ronald E. Neumann, </w:t>
      </w:r>
      <w:r w:rsidRPr="00846691">
        <w:rPr>
          <w:i/>
          <w:iCs/>
        </w:rPr>
        <w:t>Bahrain: A Very Complicated Little Island</w:t>
      </w:r>
      <w:r w:rsidRPr="00846691">
        <w:t>, Middle East Policy Council, Winter 2013, Volume XX, Number 4, http://www.mepc.org/journal/middle-east-policy-archives/bahrain-very-complicated-little-</w:t>
      </w:r>
      <w:r>
        <w:t>island?print.</w:t>
      </w:r>
    </w:p>
  </w:footnote>
  <w:footnote w:id="7">
    <w:p w:rsidR="00D17596" w:rsidRPr="00FC0964" w:rsidRDefault="00D17596" w:rsidP="00FC0964">
      <w:pPr>
        <w:pStyle w:val="FootnoteText"/>
        <w:spacing w:after="0"/>
        <w:ind w:left="0" w:firstLine="0"/>
      </w:pPr>
      <w:r w:rsidRPr="00FC0964">
        <w:rPr>
          <w:rStyle w:val="FootnoteReference"/>
          <w:sz w:val="20"/>
        </w:rPr>
        <w:footnoteRef/>
      </w:r>
      <w:r w:rsidRPr="00FC0964">
        <w:t xml:space="preserve"> Human Rights Watch, </w:t>
      </w:r>
      <w:r w:rsidRPr="00FC0964">
        <w:rPr>
          <w:i/>
          <w:iCs/>
        </w:rPr>
        <w:t>World Report 2010</w:t>
      </w:r>
      <w:r w:rsidRPr="00FC0964">
        <w:t xml:space="preserve"> (New York: Human Rights Watch, 2010), Bahrain chapter, https://www.hrw.org/world-repor</w:t>
      </w:r>
      <w:r>
        <w:t>t/2010/country-chapters/bahrain.</w:t>
      </w:r>
    </w:p>
  </w:footnote>
  <w:footnote w:id="8">
    <w:p w:rsidR="00D17596" w:rsidRPr="00FC0964" w:rsidRDefault="00D17596" w:rsidP="00DB0953">
      <w:pPr>
        <w:pStyle w:val="FootnoteText"/>
        <w:spacing w:after="0"/>
        <w:ind w:left="0" w:firstLine="0"/>
      </w:pPr>
      <w:r w:rsidRPr="00FC0964">
        <w:rPr>
          <w:rStyle w:val="FootnoteReference"/>
          <w:sz w:val="20"/>
        </w:rPr>
        <w:footnoteRef/>
      </w:r>
      <w:r w:rsidRPr="00FC0964">
        <w:t xml:space="preserve"> </w:t>
      </w:r>
      <w:r>
        <w:t xml:space="preserve">Larry Diamond, </w:t>
      </w:r>
      <w:r w:rsidRPr="00FC0964">
        <w:rPr>
          <w:i/>
          <w:iCs/>
        </w:rPr>
        <w:t>Forsaken by the West: Obama and the Betrayal of Democracy in Bahrain</w:t>
      </w:r>
      <w:r w:rsidRPr="00FC0964">
        <w:t xml:space="preserve">, The Atlantic, </w:t>
      </w:r>
      <w:r>
        <w:t>9 January</w:t>
      </w:r>
      <w:r w:rsidRPr="00FC0964">
        <w:t xml:space="preserve"> </w:t>
      </w:r>
      <w:r>
        <w:t>2013.</w:t>
      </w:r>
    </w:p>
  </w:footnote>
  <w:footnote w:id="9">
    <w:p w:rsidR="00D17596" w:rsidRPr="00DB0953" w:rsidRDefault="00D17596" w:rsidP="00DB0953">
      <w:pPr>
        <w:pStyle w:val="FootnoteText"/>
        <w:spacing w:after="0"/>
        <w:ind w:left="0" w:firstLine="0"/>
      </w:pPr>
      <w:r w:rsidRPr="00DB0953">
        <w:rPr>
          <w:rStyle w:val="FootnoteReference"/>
          <w:sz w:val="20"/>
        </w:rPr>
        <w:footnoteRef/>
      </w:r>
      <w:r w:rsidRPr="00DB0953">
        <w:t xml:space="preserve"> See Neuman, supra, (noting that the re-imposition of forcible repression quickly followed the state of emergency declaration and has continued</w:t>
      </w:r>
      <w:r>
        <w:t>.</w:t>
      </w:r>
      <w:r w:rsidRPr="00DB0953">
        <w:t>)</w:t>
      </w:r>
    </w:p>
  </w:footnote>
  <w:footnote w:id="10">
    <w:p w:rsidR="00D17596" w:rsidRPr="00DB0953" w:rsidRDefault="00D17596" w:rsidP="00DB0953">
      <w:pPr>
        <w:pStyle w:val="FootnoteText"/>
        <w:spacing w:after="0"/>
        <w:ind w:left="0" w:firstLine="0"/>
      </w:pPr>
      <w:r w:rsidRPr="00DB0953">
        <w:rPr>
          <w:rStyle w:val="FootnoteReference"/>
          <w:sz w:val="20"/>
        </w:rPr>
        <w:footnoteRef/>
      </w:r>
      <w:r w:rsidRPr="00DB0953">
        <w:t xml:space="preserve"> Marc Fisher, </w:t>
      </w:r>
      <w:r w:rsidRPr="00DB0953">
        <w:rPr>
          <w:i/>
          <w:iCs/>
        </w:rPr>
        <w:t>Arab Spring yields different outcomes in Bahrain</w:t>
      </w:r>
      <w:r w:rsidRPr="00DB0953">
        <w:t xml:space="preserve">, </w:t>
      </w:r>
      <w:r w:rsidRPr="00DB0953">
        <w:rPr>
          <w:i/>
          <w:iCs/>
        </w:rPr>
        <w:t>Egypt and Libya</w:t>
      </w:r>
      <w:r w:rsidRPr="00DB0953">
        <w:t xml:space="preserve">, Washington Post, 20 December 2011; Bahrain </w:t>
      </w:r>
      <w:r>
        <w:t>Centre</w:t>
      </w:r>
      <w:r w:rsidRPr="00DB0953">
        <w:t xml:space="preserve"> for Human Rights, “Report on the Treatment of Political Detainees in Bahrain’s Prisons,” http://bahrainrights.org/en/node/4986.</w:t>
      </w:r>
    </w:p>
  </w:footnote>
  <w:footnote w:id="11">
    <w:p w:rsidR="00D17596" w:rsidRPr="00F376F6" w:rsidRDefault="00D17596" w:rsidP="00F376F6">
      <w:pPr>
        <w:pStyle w:val="FootnoteText"/>
        <w:spacing w:after="0"/>
        <w:ind w:left="0" w:firstLine="0"/>
      </w:pPr>
      <w:r w:rsidRPr="00F376F6">
        <w:rPr>
          <w:rStyle w:val="FootnoteReference"/>
          <w:sz w:val="20"/>
        </w:rPr>
        <w:footnoteRef/>
      </w:r>
      <w:r w:rsidRPr="00F376F6">
        <w:t xml:space="preserve"> For example, the US suspended a $53 million arms sale pending the report’s findings.</w:t>
      </w:r>
      <w:r>
        <w:t xml:space="preserve"> </w:t>
      </w:r>
      <w:r w:rsidRPr="00F376F6">
        <w:t xml:space="preserve">See Elizabeth Dickenson, </w:t>
      </w:r>
      <w:r w:rsidRPr="00F376F6">
        <w:rPr>
          <w:i/>
        </w:rPr>
        <w:t>Bahrain commission issues brutal critique of Arab Spring crackdown</w:t>
      </w:r>
      <w:r w:rsidRPr="00F376F6">
        <w:t>, Christian Science Monitor, 23 Nov</w:t>
      </w:r>
      <w:r>
        <w:t>ember 2011.</w:t>
      </w:r>
    </w:p>
  </w:footnote>
  <w:footnote w:id="12">
    <w:p w:rsidR="00D17596" w:rsidRPr="00F507DE" w:rsidRDefault="00D17596" w:rsidP="00787D52">
      <w:pPr>
        <w:pStyle w:val="FootnoteText"/>
        <w:spacing w:after="0"/>
        <w:ind w:left="0" w:firstLine="0"/>
      </w:pPr>
      <w:r>
        <w:rPr>
          <w:rStyle w:val="FootnoteReference"/>
        </w:rPr>
        <w:footnoteRef/>
      </w:r>
      <w:r>
        <w:t xml:space="preserve"> </w:t>
      </w:r>
      <w:r w:rsidRPr="00F507DE">
        <w:t>Pro</w:t>
      </w:r>
      <w:r>
        <w:t xml:space="preserve">ject on Middle East Democracy, </w:t>
      </w:r>
      <w:r w:rsidRPr="00F507DE">
        <w:rPr>
          <w:i/>
          <w:iCs/>
        </w:rPr>
        <w:t>One Year Later: Assessing Bahrain’s Implementation of the BICI Report</w:t>
      </w:r>
      <w:r>
        <w:t>,</w:t>
      </w:r>
      <w:r w:rsidRPr="00F507DE">
        <w:t xml:space="preserve"> http://pomed.org/wp-content/uploads/2013/12/One-Year-Later-Assessing-Bahrains-Implementation-of-the-BICI-Report.pdf; Neuman, supra, (noting that reports of torture and beatings continue and that trial result</w:t>
      </w:r>
      <w:r>
        <w:t>s</w:t>
      </w:r>
      <w:r w:rsidRPr="00F507DE">
        <w:t xml:space="preserve"> appear to many to be based on highly questionable evidence</w:t>
      </w:r>
      <w:r>
        <w:t>.</w:t>
      </w:r>
      <w:r w:rsidRPr="00F507DE">
        <w:t>)</w:t>
      </w:r>
    </w:p>
  </w:footnote>
  <w:footnote w:id="13">
    <w:p w:rsidR="00D17596" w:rsidRPr="00F376F6" w:rsidRDefault="00D17596" w:rsidP="00F376F6">
      <w:pPr>
        <w:pStyle w:val="FootnoteText"/>
        <w:spacing w:after="0"/>
        <w:ind w:left="0" w:firstLine="0"/>
      </w:pPr>
      <w:r w:rsidRPr="00F376F6">
        <w:rPr>
          <w:rStyle w:val="FootnoteReference"/>
          <w:sz w:val="20"/>
        </w:rPr>
        <w:footnoteRef/>
      </w:r>
      <w:r w:rsidRPr="00F376F6">
        <w:t>Amnesty International Annual Report, 2015/2016, https://www.amnesty.org/en/countries/middle-east-and-north</w:t>
      </w:r>
      <w:r>
        <w:t>-africa/bahrain/report-bahrain/.</w:t>
      </w:r>
    </w:p>
  </w:footnote>
  <w:footnote w:id="14">
    <w:p w:rsidR="00D17596" w:rsidRPr="0057093F" w:rsidRDefault="00D17596" w:rsidP="00B9199B">
      <w:pPr>
        <w:pStyle w:val="FootnoteText"/>
        <w:spacing w:after="0"/>
        <w:ind w:left="0" w:firstLine="0"/>
      </w:pPr>
      <w:r w:rsidRPr="0057093F">
        <w:rPr>
          <w:rStyle w:val="FootnoteReference"/>
          <w:sz w:val="20"/>
        </w:rPr>
        <w:footnoteRef/>
      </w:r>
      <w:r w:rsidRPr="0057093F">
        <w:t xml:space="preserve"> Convention against Torture and Other Cruel, Inhuman or Degrading Treatment or Punishment, adopted December 10, 1984, G.A. res. 39/46, annex, 39 U.N. GAOR Supp. (No. 51) at 197, U.N. Doc. A/39/51 (1984), entered into force June 26, 1987. </w:t>
      </w:r>
    </w:p>
  </w:footnote>
  <w:footnote w:id="15">
    <w:p w:rsidR="00D17596" w:rsidRPr="0057093F" w:rsidRDefault="00D17596" w:rsidP="00B9199B">
      <w:pPr>
        <w:pStyle w:val="FootnoteText"/>
        <w:spacing w:after="0"/>
        <w:ind w:left="0" w:firstLine="0"/>
      </w:pPr>
      <w:r w:rsidRPr="0057093F">
        <w:rPr>
          <w:rStyle w:val="FootnoteReference"/>
          <w:sz w:val="20"/>
        </w:rPr>
        <w:footnoteRef/>
      </w:r>
      <w:r w:rsidRPr="0057093F">
        <w:t xml:space="preserve"> International Covenant on Civil and Political Rights, G.A. res. 2200A (XXI), 21 U.N. GAOR Supp. (No. 16) at 52, U.N. Doc. A/6316 (1966), 999 U.N.T.S. 171, entered into force March 23, 1976.</w:t>
      </w:r>
    </w:p>
  </w:footnote>
  <w:footnote w:id="16">
    <w:p w:rsidR="00D17596" w:rsidRDefault="00D17596" w:rsidP="00B9199B">
      <w:pPr>
        <w:pStyle w:val="FootnoteText"/>
        <w:spacing w:after="0"/>
        <w:ind w:left="0" w:firstLine="0"/>
      </w:pPr>
      <w:r w:rsidRPr="0057093F">
        <w:rPr>
          <w:rStyle w:val="FootnoteReference"/>
          <w:sz w:val="20"/>
        </w:rPr>
        <w:footnoteRef/>
      </w:r>
      <w:r w:rsidRPr="0057093F">
        <w:t xml:space="preserve"> Arab Charter on Human Rights, adopted by the Council of the League of Arab States on May 22, 2004, U.N. Doc. CHR/NONE/2004/40/Rev.1., entered into force March 15, 2008.</w:t>
      </w:r>
    </w:p>
  </w:footnote>
  <w:footnote w:id="17">
    <w:p w:rsidR="00D17596" w:rsidRPr="0057093F" w:rsidRDefault="00D17596" w:rsidP="00E70F69">
      <w:pPr>
        <w:pStyle w:val="FootnoteText"/>
        <w:spacing w:after="0"/>
        <w:ind w:left="0" w:firstLine="0"/>
      </w:pPr>
      <w:r w:rsidRPr="0057093F">
        <w:rPr>
          <w:rStyle w:val="FootnoteReference"/>
          <w:sz w:val="20"/>
        </w:rPr>
        <w:footnoteRef/>
      </w:r>
      <w:r w:rsidRPr="0057093F">
        <w:t xml:space="preserve"> Convention against Torture, art. 1(1).</w:t>
      </w:r>
    </w:p>
  </w:footnote>
  <w:footnote w:id="18">
    <w:p w:rsidR="00D17596" w:rsidRPr="0057093F" w:rsidRDefault="00D17596" w:rsidP="00E70F69">
      <w:pPr>
        <w:pStyle w:val="FootnoteText"/>
        <w:spacing w:after="0"/>
        <w:ind w:left="0" w:firstLine="0"/>
      </w:pPr>
      <w:r w:rsidRPr="0057093F">
        <w:rPr>
          <w:rStyle w:val="FootnoteReference"/>
          <w:sz w:val="20"/>
        </w:rPr>
        <w:footnoteRef/>
      </w:r>
      <w:r w:rsidRPr="0057093F">
        <w:t xml:space="preserve"> Ibid., art. 2(1).</w:t>
      </w:r>
    </w:p>
  </w:footnote>
  <w:footnote w:id="19">
    <w:p w:rsidR="00D17596" w:rsidRPr="0057093F" w:rsidRDefault="00D17596" w:rsidP="00E70F69">
      <w:pPr>
        <w:pStyle w:val="FootnoteText"/>
        <w:spacing w:after="0"/>
      </w:pPr>
      <w:r w:rsidRPr="0057093F">
        <w:rPr>
          <w:rStyle w:val="FootnoteReference"/>
          <w:sz w:val="20"/>
        </w:rPr>
        <w:footnoteRef/>
      </w:r>
      <w:r w:rsidRPr="0057093F">
        <w:t xml:space="preserve"> Ibid., art. 11.</w:t>
      </w:r>
    </w:p>
  </w:footnote>
  <w:footnote w:id="20">
    <w:p w:rsidR="00D17596" w:rsidRPr="0057093F" w:rsidRDefault="00D17596" w:rsidP="00E70F69">
      <w:pPr>
        <w:pStyle w:val="FootnoteText"/>
        <w:spacing w:after="0"/>
        <w:ind w:left="0" w:firstLine="0"/>
      </w:pPr>
      <w:r w:rsidRPr="0057093F">
        <w:rPr>
          <w:rStyle w:val="FootnoteReference"/>
          <w:sz w:val="20"/>
        </w:rPr>
        <w:footnoteRef/>
      </w:r>
      <w:r w:rsidRPr="0057093F">
        <w:t xml:space="preserve"> Ibid., art. 12.</w:t>
      </w:r>
    </w:p>
  </w:footnote>
  <w:footnote w:id="21">
    <w:p w:rsidR="00D17596" w:rsidRPr="0057093F" w:rsidRDefault="00D17596" w:rsidP="00E70F69">
      <w:pPr>
        <w:pStyle w:val="FootnoteText"/>
        <w:spacing w:after="0"/>
        <w:ind w:left="0" w:firstLine="0"/>
      </w:pPr>
      <w:r w:rsidRPr="0057093F">
        <w:rPr>
          <w:rStyle w:val="FootnoteReference"/>
          <w:sz w:val="20"/>
        </w:rPr>
        <w:footnoteRef/>
      </w:r>
      <w:r w:rsidRPr="0057093F">
        <w:t xml:space="preserve"> Ibid., art. 14.</w:t>
      </w:r>
    </w:p>
  </w:footnote>
  <w:footnote w:id="22">
    <w:p w:rsidR="00D17596" w:rsidRPr="0057093F" w:rsidRDefault="00D17596" w:rsidP="00E70F69">
      <w:pPr>
        <w:pStyle w:val="FootnoteText"/>
        <w:spacing w:after="0"/>
        <w:ind w:left="0" w:firstLine="0"/>
      </w:pPr>
      <w:r w:rsidRPr="0057093F">
        <w:rPr>
          <w:rStyle w:val="FootnoteReference"/>
          <w:sz w:val="20"/>
        </w:rPr>
        <w:footnoteRef/>
      </w:r>
      <w:r w:rsidRPr="0057093F">
        <w:t xml:space="preserve"> Ibid., art. 15.</w:t>
      </w:r>
    </w:p>
  </w:footnote>
  <w:footnote w:id="23">
    <w:p w:rsidR="00D17596" w:rsidRPr="0057093F" w:rsidRDefault="00D17596" w:rsidP="00E70F69">
      <w:pPr>
        <w:pStyle w:val="FootnoteText"/>
        <w:spacing w:after="0"/>
        <w:ind w:left="0" w:firstLine="0"/>
      </w:pPr>
      <w:r w:rsidRPr="0057093F">
        <w:rPr>
          <w:rStyle w:val="FootnoteReference"/>
          <w:sz w:val="20"/>
        </w:rPr>
        <w:footnoteRef/>
      </w:r>
      <w:r w:rsidRPr="0057093F">
        <w:t xml:space="preserve"> Ibid., art. 16(1).</w:t>
      </w:r>
    </w:p>
  </w:footnote>
  <w:footnote w:id="24">
    <w:p w:rsidR="00D17596" w:rsidRPr="0057093F" w:rsidRDefault="00D17596" w:rsidP="00E70F69">
      <w:pPr>
        <w:pStyle w:val="FootnoteText"/>
        <w:spacing w:after="0"/>
        <w:ind w:left="0" w:firstLine="0"/>
      </w:pPr>
      <w:r w:rsidRPr="0057093F">
        <w:rPr>
          <w:rStyle w:val="FootnoteReference"/>
          <w:sz w:val="20"/>
        </w:rPr>
        <w:footnoteRef/>
      </w:r>
      <w:r w:rsidRPr="0057093F">
        <w:t>Bahrain’s Accession to the ICCPR, C.N.764.2006.TREATIES-15 (</w:t>
      </w:r>
      <w:r>
        <w:t xml:space="preserve">20 </w:t>
      </w:r>
      <w:r w:rsidRPr="0057093F">
        <w:t xml:space="preserve">September 2006), http://untreaty.un.org/English/CNs/2006/701_800/764E.pdf (accessed </w:t>
      </w:r>
      <w:r>
        <w:t xml:space="preserve">12 </w:t>
      </w:r>
      <w:r w:rsidRPr="0057093F">
        <w:t>January 2010).</w:t>
      </w:r>
    </w:p>
  </w:footnote>
  <w:footnote w:id="25">
    <w:p w:rsidR="00D17596" w:rsidRPr="0057093F" w:rsidRDefault="00D17596" w:rsidP="00E70F69">
      <w:pPr>
        <w:pStyle w:val="FootnoteText"/>
        <w:spacing w:after="0"/>
        <w:ind w:left="0" w:firstLine="0"/>
      </w:pPr>
      <w:r w:rsidRPr="0057093F">
        <w:rPr>
          <w:rStyle w:val="FootnoteReference"/>
          <w:sz w:val="20"/>
        </w:rPr>
        <w:footnoteRef/>
      </w:r>
      <w:r w:rsidRPr="0057093F">
        <w:t xml:space="preserve"> ICCPR, art. 7.</w:t>
      </w:r>
    </w:p>
  </w:footnote>
  <w:footnote w:id="26">
    <w:p w:rsidR="00D17596" w:rsidRPr="0057093F" w:rsidRDefault="00D17596" w:rsidP="00E70F69">
      <w:pPr>
        <w:pStyle w:val="FootnoteText"/>
        <w:spacing w:after="0"/>
        <w:ind w:left="0" w:firstLine="0"/>
      </w:pPr>
      <w:r w:rsidRPr="0057093F">
        <w:rPr>
          <w:rStyle w:val="FootnoteReference"/>
          <w:sz w:val="20"/>
        </w:rPr>
        <w:footnoteRef/>
      </w:r>
      <w:r w:rsidRPr="0057093F">
        <w:t xml:space="preserve"> Ibid., art. 10.</w:t>
      </w:r>
    </w:p>
  </w:footnote>
  <w:footnote w:id="27">
    <w:p w:rsidR="00D17596" w:rsidRDefault="00D17596" w:rsidP="00E70F69">
      <w:pPr>
        <w:pStyle w:val="FootnoteText"/>
        <w:spacing w:after="0"/>
        <w:ind w:left="0" w:firstLine="0"/>
      </w:pPr>
      <w:r w:rsidRPr="0057093F">
        <w:rPr>
          <w:rStyle w:val="FootnoteReference"/>
          <w:sz w:val="20"/>
        </w:rPr>
        <w:footnoteRef/>
      </w:r>
      <w:r w:rsidRPr="0057093F">
        <w:t xml:space="preserve"> Ibid., art. 2(1).</w:t>
      </w:r>
    </w:p>
  </w:footnote>
  <w:footnote w:id="28">
    <w:p w:rsidR="00D17596" w:rsidRDefault="00D17596" w:rsidP="00E70F69">
      <w:pPr>
        <w:pStyle w:val="FootnoteText"/>
        <w:spacing w:after="0"/>
        <w:ind w:left="142" w:firstLine="0"/>
      </w:pPr>
      <w:r w:rsidRPr="00DD38D8">
        <w:rPr>
          <w:rStyle w:val="FootnoteReference"/>
          <w:sz w:val="20"/>
        </w:rPr>
        <w:t>28.</w:t>
      </w:r>
      <w:r>
        <w:t xml:space="preserve"> Ibid. Art. 21</w:t>
      </w:r>
    </w:p>
  </w:footnote>
  <w:footnote w:id="29">
    <w:p w:rsidR="00D17596" w:rsidRDefault="00D17596" w:rsidP="00E70F69">
      <w:pPr>
        <w:pStyle w:val="FootnoteText"/>
        <w:spacing w:after="0"/>
        <w:ind w:left="0" w:firstLine="0"/>
      </w:pPr>
      <w:r>
        <w:rPr>
          <w:rStyle w:val="FootnoteReference"/>
        </w:rPr>
        <w:footnoteRef/>
      </w:r>
      <w:r>
        <w:t xml:space="preserve"> See information provided by Bahrain to the UN Committee on the Elimination of Discrimination Against Women (CEDAW), as set out in Consideration of reports submitted by States Parties under article 18 of the Convention on the Elimination of All Forms of Discrimination against Women: combined 5th, 6th and 7th periodic reports of States Parties: Bahrain, CEDAW/C/BHR/2/Add.1, June 6, 2008, http://www2.ohchr.org/english/bodies/cedaw/cedaws42.htm (accessed January 12, 2010), p. 7.</w:t>
      </w:r>
    </w:p>
  </w:footnote>
  <w:footnote w:id="30">
    <w:p w:rsidR="00D17596" w:rsidRDefault="00D17596" w:rsidP="00E70F69">
      <w:pPr>
        <w:pStyle w:val="FootnoteText"/>
        <w:spacing w:after="0"/>
        <w:ind w:left="0" w:firstLine="0"/>
      </w:pPr>
      <w:r>
        <w:rPr>
          <w:rStyle w:val="FootnoteReference"/>
        </w:rPr>
        <w:footnoteRef/>
      </w:r>
      <w:r>
        <w:t xml:space="preserve"> </w:t>
      </w:r>
      <w:r w:rsidRPr="0098537C">
        <w:t>Arab Charter, art. 8(1).</w:t>
      </w:r>
    </w:p>
  </w:footnote>
  <w:footnote w:id="31">
    <w:p w:rsidR="00D17596" w:rsidRDefault="00D17596" w:rsidP="00E70F69">
      <w:pPr>
        <w:pStyle w:val="FootnoteText"/>
        <w:spacing w:after="0"/>
        <w:ind w:left="0" w:firstLine="0"/>
      </w:pPr>
      <w:r>
        <w:rPr>
          <w:rStyle w:val="FootnoteReference"/>
        </w:rPr>
        <w:footnoteRef/>
      </w:r>
      <w:r>
        <w:t xml:space="preserve"> </w:t>
      </w:r>
      <w:r w:rsidRPr="001A06F6">
        <w:t>Ibid., art. 8(2).</w:t>
      </w:r>
    </w:p>
  </w:footnote>
  <w:footnote w:id="32">
    <w:p w:rsidR="00D17596" w:rsidRDefault="00D17596" w:rsidP="00E70F69">
      <w:pPr>
        <w:pStyle w:val="FootnoteText"/>
        <w:spacing w:after="0"/>
        <w:ind w:left="0" w:firstLine="0"/>
      </w:pPr>
      <w:r>
        <w:rPr>
          <w:rStyle w:val="FootnoteReference"/>
        </w:rPr>
        <w:footnoteRef/>
      </w:r>
      <w:r>
        <w:t xml:space="preserve"> </w:t>
      </w:r>
      <w:r w:rsidRPr="001A06F6">
        <w:t>Ibid., art. 20(1).</w:t>
      </w:r>
    </w:p>
  </w:footnote>
  <w:footnote w:id="33">
    <w:p w:rsidR="00D17596" w:rsidRDefault="00D17596" w:rsidP="00E70F69">
      <w:pPr>
        <w:pStyle w:val="FootnoteText"/>
        <w:spacing w:after="0"/>
        <w:ind w:left="0" w:firstLine="0"/>
      </w:pPr>
      <w:r>
        <w:rPr>
          <w:rStyle w:val="FootnoteReference"/>
        </w:rPr>
        <w:footnoteRef/>
      </w:r>
      <w:r>
        <w:t xml:space="preserve"> The UN Committee Against Torture, in its 2005 review of Bahrain’s country report, recommended that Bahraini law be modified in order to bring the definition of torture into conformity with that of the Convention against Torture, ensure that all acts of torture constitute criminal offenses, and specify appropriate penalties. UN Committee Against Torture, “Consideration of Reports Submitted by States Parties under Article 19 of the Convention, Conclusions and Recommendations of the Committee against Torture, Bahrain,” CAT/C/CR/34/BHR, June 21, 2005, http://www.unhchr.ch/tbs/doc.nsf/(Symbol)/CAT.C.CR.34.BHR.En?Opendocument, para. 7.</w:t>
      </w:r>
    </w:p>
  </w:footnote>
  <w:footnote w:id="34">
    <w:p w:rsidR="00D17596" w:rsidRDefault="00D17596" w:rsidP="00E70F69">
      <w:pPr>
        <w:pStyle w:val="FootnoteText"/>
        <w:spacing w:after="0"/>
        <w:ind w:left="0" w:firstLine="0"/>
      </w:pPr>
      <w:r>
        <w:rPr>
          <w:rStyle w:val="FootnoteReference"/>
        </w:rPr>
        <w:footnoteRef/>
      </w:r>
      <w:r>
        <w:t xml:space="preserve"> </w:t>
      </w:r>
      <w:r w:rsidRPr="001A06F6">
        <w:t>Bahrain constitution, art. 19(d).</w:t>
      </w:r>
    </w:p>
  </w:footnote>
  <w:footnote w:id="35">
    <w:p w:rsidR="00D17596" w:rsidRDefault="00D17596" w:rsidP="00E70F69">
      <w:pPr>
        <w:pStyle w:val="FootnoteText"/>
        <w:spacing w:after="0"/>
        <w:ind w:left="0" w:firstLine="0"/>
      </w:pPr>
      <w:r>
        <w:rPr>
          <w:rStyle w:val="FootnoteReference"/>
        </w:rPr>
        <w:footnoteRef/>
      </w:r>
      <w:r>
        <w:t xml:space="preserve"> </w:t>
      </w:r>
      <w:r w:rsidRPr="001A06F6">
        <w:t>Ibid., art. 20(d).</w:t>
      </w:r>
    </w:p>
  </w:footnote>
  <w:footnote w:id="36">
    <w:p w:rsidR="00D17596" w:rsidRDefault="00D17596" w:rsidP="00E70F69">
      <w:pPr>
        <w:pStyle w:val="FootnoteText"/>
        <w:spacing w:after="0"/>
        <w:ind w:left="0" w:firstLine="0"/>
      </w:pPr>
      <w:r>
        <w:rPr>
          <w:rStyle w:val="FootnoteReference"/>
        </w:rPr>
        <w:footnoteRef/>
      </w:r>
      <w:r>
        <w:t xml:space="preserve"> </w:t>
      </w:r>
      <w:r w:rsidRPr="001A06F6">
        <w:t>Bahrain penal code, arts. 208, 232.</w:t>
      </w:r>
    </w:p>
  </w:footnote>
  <w:footnote w:id="37">
    <w:p w:rsidR="00D17596" w:rsidRDefault="00D17596" w:rsidP="00E70F69">
      <w:pPr>
        <w:pStyle w:val="FootnoteText"/>
        <w:spacing w:after="0"/>
        <w:ind w:left="0" w:firstLine="0"/>
      </w:pPr>
      <w:r>
        <w:rPr>
          <w:rStyle w:val="FootnoteReference"/>
        </w:rPr>
        <w:footnoteRef/>
      </w:r>
      <w:r>
        <w:t xml:space="preserve"> </w:t>
      </w:r>
      <w:r w:rsidRPr="00F5297D">
        <w:t>Ibid.</w:t>
      </w:r>
    </w:p>
  </w:footnote>
  <w:footnote w:id="38">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Bahrain code of criminal procedure, art. 61.</w:t>
      </w:r>
    </w:p>
  </w:footnote>
  <w:footnote w:id="39">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Ibid., arts. 133-35.</w:t>
      </w:r>
    </w:p>
  </w:footnote>
  <w:footnote w:id="40">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Bahrain constitution, art. 19(d).</w:t>
      </w:r>
    </w:p>
  </w:footnote>
  <w:footnote w:id="41">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Bahrain code of criminal procedure, art. 57.</w:t>
      </w:r>
    </w:p>
  </w:footnote>
  <w:footnote w:id="42">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Ibid., art. 141.</w:t>
      </w:r>
    </w:p>
  </w:footnote>
  <w:footnote w:id="43">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Ibid., arts. 57, 141-142.</w:t>
      </w:r>
    </w:p>
  </w:footnote>
  <w:footnote w:id="44">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Ibid., arts. 147-148.</w:t>
      </w:r>
    </w:p>
  </w:footnote>
  <w:footnote w:id="45">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Ibid., art. 147, and Bahrain penal code, arts. 112-177.</w:t>
      </w:r>
    </w:p>
  </w:footnote>
  <w:footnote w:id="46">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Bahrain code of criminal procedure, art. 148.</w:t>
      </w:r>
    </w:p>
  </w:footnote>
  <w:footnote w:id="47">
    <w:p w:rsidR="00D17596" w:rsidRPr="00DD38D8" w:rsidRDefault="00D17596" w:rsidP="00E70F69">
      <w:pPr>
        <w:pStyle w:val="FootnoteText"/>
        <w:spacing w:after="0"/>
        <w:ind w:left="0" w:firstLine="0"/>
        <w:rPr>
          <w:sz w:val="18"/>
          <w:szCs w:val="18"/>
        </w:rPr>
      </w:pPr>
      <w:r w:rsidRPr="00DD38D8">
        <w:rPr>
          <w:rStyle w:val="FootnoteReference"/>
          <w:sz w:val="18"/>
          <w:szCs w:val="18"/>
        </w:rPr>
        <w:footnoteRef/>
      </w:r>
      <w:r w:rsidRPr="00DD38D8">
        <w:rPr>
          <w:sz w:val="18"/>
          <w:szCs w:val="18"/>
        </w:rPr>
        <w:t xml:space="preserve"> Ibid., arts. 5, 8 and 81.</w:t>
      </w:r>
    </w:p>
  </w:footnote>
  <w:footnote w:id="48">
    <w:p w:rsidR="00D17596" w:rsidRDefault="00D17596" w:rsidP="00E70F69">
      <w:pPr>
        <w:pStyle w:val="FootnoteText"/>
        <w:spacing w:after="0"/>
        <w:ind w:left="0" w:firstLine="0"/>
      </w:pPr>
      <w:r w:rsidRPr="00DD38D8">
        <w:rPr>
          <w:rStyle w:val="FootnoteReference"/>
          <w:sz w:val="18"/>
          <w:szCs w:val="18"/>
        </w:rPr>
        <w:footnoteRef/>
      </w:r>
      <w:r w:rsidRPr="00DD38D8">
        <w:rPr>
          <w:sz w:val="18"/>
          <w:szCs w:val="18"/>
        </w:rPr>
        <w:t xml:space="preserve"> Ibid., art. 44,</w:t>
      </w:r>
    </w:p>
  </w:footnote>
  <w:footnote w:id="49">
    <w:p w:rsidR="00D17596" w:rsidRDefault="00D17596" w:rsidP="00E70F69">
      <w:pPr>
        <w:pStyle w:val="FootnoteText"/>
        <w:spacing w:after="0"/>
        <w:ind w:left="0" w:firstLine="0"/>
      </w:pPr>
      <w:r>
        <w:rPr>
          <w:rStyle w:val="FootnoteReference"/>
        </w:rPr>
        <w:footnoteRef/>
      </w:r>
      <w:r>
        <w:t xml:space="preserve"> See below, “Official Denials.” International law does not preclude the use of specialized courts for military or security personnel. However, the trend is very much against the use of such courts, which would at a minimum have to meet international standards of independence and impartiality in order to comply with international law. Human Rights Watch does not have sufficient information regarding the Police Court in Bahrain’s Ministry of Interior to assess whether it meets such standards. The UN Human Rights Committee has consistently called for civilian courts to try cases of alleged human rights violations.</w:t>
      </w:r>
    </w:p>
  </w:footnote>
  <w:footnote w:id="50">
    <w:p w:rsidR="00D17596" w:rsidRDefault="00D17596" w:rsidP="00E70F69">
      <w:pPr>
        <w:pStyle w:val="FootnoteText"/>
        <w:spacing w:after="0"/>
        <w:ind w:left="0" w:firstLine="0"/>
      </w:pPr>
      <w:r>
        <w:rPr>
          <w:rStyle w:val="FootnoteReference"/>
        </w:rPr>
        <w:footnoteRef/>
      </w:r>
      <w:r>
        <w:t xml:space="preserve"> </w:t>
      </w:r>
      <w:r w:rsidRPr="00CA58A0">
        <w:t>Bahrain code of criminal procedure, arts. 47-48.</w:t>
      </w:r>
    </w:p>
  </w:footnote>
  <w:footnote w:id="51">
    <w:p w:rsidR="00D17596" w:rsidRDefault="00D17596" w:rsidP="00E70F69">
      <w:pPr>
        <w:pStyle w:val="FootnoteText"/>
        <w:spacing w:after="0"/>
        <w:ind w:left="0" w:firstLine="0"/>
      </w:pPr>
      <w:r>
        <w:rPr>
          <w:rStyle w:val="FootnoteReference"/>
        </w:rPr>
        <w:footnoteRef/>
      </w:r>
      <w:r>
        <w:t xml:space="preserve"> </w:t>
      </w:r>
      <w:r w:rsidRPr="00CA58A0">
        <w:t>Ibid. art. 22, and Bahrain civil law, art. 158.</w:t>
      </w:r>
    </w:p>
  </w:footnote>
  <w:footnote w:id="52">
    <w:p w:rsidR="00D17596" w:rsidRPr="00AB6E61" w:rsidRDefault="00D17596" w:rsidP="00E70F69">
      <w:pPr>
        <w:pStyle w:val="FootnoteText"/>
        <w:spacing w:after="0"/>
        <w:ind w:left="0" w:firstLine="0"/>
      </w:pPr>
      <w:r w:rsidRPr="00AB6E61">
        <w:rPr>
          <w:rStyle w:val="FootnoteReference"/>
          <w:sz w:val="20"/>
        </w:rPr>
        <w:footnoteRef/>
      </w:r>
      <w:r w:rsidRPr="00AB6E61">
        <w:t xml:space="preserve"> Royal Decree 56/2002.</w:t>
      </w:r>
    </w:p>
  </w:footnote>
  <w:footnote w:id="53">
    <w:p w:rsidR="00D17596" w:rsidRPr="00F376F6" w:rsidRDefault="00D17596" w:rsidP="00F376F6">
      <w:pPr>
        <w:pStyle w:val="FootnoteText"/>
        <w:spacing w:after="0"/>
        <w:ind w:left="0" w:firstLine="0"/>
      </w:pPr>
      <w:r w:rsidRPr="00F376F6">
        <w:rPr>
          <w:rStyle w:val="FootnoteReference"/>
          <w:sz w:val="20"/>
        </w:rPr>
        <w:footnoteRef/>
      </w:r>
      <w:r w:rsidRPr="00F376F6">
        <w:t xml:space="preserve"> Gulf </w:t>
      </w:r>
      <w:r>
        <w:t>Centre</w:t>
      </w:r>
      <w:r w:rsidRPr="00F376F6">
        <w:t xml:space="preserve"> for Human Rights Report, </w:t>
      </w:r>
      <w:r w:rsidRPr="00F376F6">
        <w:rPr>
          <w:i/>
        </w:rPr>
        <w:t>Bahrain: Open Letter from Abdulhadi Al-Khawaja on his 21st day of hunger strike to the High Commissioner for Human Rights</w:t>
      </w:r>
      <w:r w:rsidRPr="00F376F6">
        <w:t xml:space="preserve">, 5 October 2015; also, Human Rights First, </w:t>
      </w:r>
      <w:r w:rsidRPr="00F376F6">
        <w:rPr>
          <w:i/>
        </w:rPr>
        <w:t>Abdulhadi Al-Khawaja Sentenced Five Years Ago Today, b</w:t>
      </w:r>
      <w:r w:rsidRPr="00F376F6">
        <w:t>y Leah Schulz, 22 June 2016.</w:t>
      </w:r>
    </w:p>
  </w:footnote>
  <w:footnote w:id="54">
    <w:p w:rsidR="00D17596" w:rsidRDefault="00D17596" w:rsidP="00F376F6">
      <w:pPr>
        <w:pStyle w:val="FootnoteText"/>
        <w:spacing w:after="0"/>
      </w:pPr>
      <w:r w:rsidRPr="00F376F6">
        <w:rPr>
          <w:rStyle w:val="FootnoteReference"/>
          <w:sz w:val="20"/>
        </w:rPr>
        <w:footnoteRef/>
      </w:r>
      <w:r w:rsidRPr="00F376F6">
        <w:t xml:space="preserve"> Interviewed on 11 Oct 2016 and 8 Nov 2016.</w:t>
      </w:r>
    </w:p>
  </w:footnote>
  <w:footnote w:id="55">
    <w:p w:rsidR="00D17596" w:rsidRPr="00B0506C" w:rsidRDefault="00D17596" w:rsidP="004A0494">
      <w:pPr>
        <w:pStyle w:val="FootnoteText"/>
        <w:numPr>
          <w:ilvl w:val="0"/>
          <w:numId w:val="3"/>
        </w:numPr>
        <w:spacing w:after="0"/>
        <w:rPr>
          <w:lang w:val="en-CA"/>
        </w:rPr>
      </w:pPr>
      <w:r w:rsidRPr="00B0506C">
        <w:rPr>
          <w:rStyle w:val="FootnoteReference"/>
          <w:sz w:val="20"/>
        </w:rPr>
        <w:footnoteRef/>
      </w:r>
      <w:r w:rsidRPr="00B0506C">
        <w:t xml:space="preserve"> </w:t>
      </w:r>
      <w:r>
        <w:t xml:space="preserve">Gulf Centre for Human Rights, 30 September 2014, </w:t>
      </w:r>
      <w:r w:rsidRPr="00B0506C">
        <w:rPr>
          <w:i/>
          <w:iCs/>
          <w:lang w:val="en-CA"/>
        </w:rPr>
        <w:t xml:space="preserve">Bahrain: Testimony and Trial of Human Rights Defender and Co-Director of GCHR Maryam Al-Khawaja, </w:t>
      </w:r>
      <w:r w:rsidRPr="00B0506C">
        <w:t>http://www.gc4hr.org/news/view/767</w:t>
      </w:r>
    </w:p>
  </w:footnote>
  <w:footnote w:id="56">
    <w:p w:rsidR="00D17596" w:rsidRPr="00F376F6" w:rsidRDefault="00D17596" w:rsidP="00AB6E61">
      <w:pPr>
        <w:pStyle w:val="FootnoteText"/>
        <w:spacing w:after="0"/>
      </w:pPr>
      <w:r w:rsidRPr="00F376F6">
        <w:rPr>
          <w:rStyle w:val="FootnoteReference"/>
          <w:sz w:val="20"/>
        </w:rPr>
        <w:footnoteRef/>
      </w:r>
      <w:r w:rsidRPr="00F376F6">
        <w:t xml:space="preserve"> Interviewed on 6 January 2017.</w:t>
      </w:r>
    </w:p>
  </w:footnote>
  <w:footnote w:id="57">
    <w:p w:rsidR="00D17596" w:rsidRPr="00052E13" w:rsidRDefault="00D17596" w:rsidP="004A0494">
      <w:pPr>
        <w:pStyle w:val="FootnoteText"/>
        <w:numPr>
          <w:ilvl w:val="0"/>
          <w:numId w:val="3"/>
        </w:numPr>
        <w:spacing w:after="0"/>
      </w:pPr>
      <w:r w:rsidRPr="00052E13">
        <w:rPr>
          <w:rStyle w:val="FootnoteReference"/>
          <w:sz w:val="20"/>
        </w:rPr>
        <w:footnoteRef/>
      </w:r>
      <w:r w:rsidRPr="00052E13">
        <w:t xml:space="preserve"> </w:t>
      </w:r>
      <w:r w:rsidRPr="00052E13">
        <w:rPr>
          <w:i/>
          <w:iCs/>
          <w:lang w:val="en-CA"/>
        </w:rPr>
        <w:t>Urgent Appeal: Bahrain: Release Prisoner of Conscience Dr</w:t>
      </w:r>
      <w:r>
        <w:rPr>
          <w:i/>
          <w:iCs/>
          <w:lang w:val="en-CA"/>
        </w:rPr>
        <w:t>.</w:t>
      </w:r>
      <w:r w:rsidRPr="00052E13">
        <w:rPr>
          <w:i/>
          <w:iCs/>
          <w:lang w:val="en-CA"/>
        </w:rPr>
        <w:t xml:space="preserve"> Abduljalil Al-Singace as Hunger Strike Reaches 160th Day, </w:t>
      </w:r>
      <w:r w:rsidRPr="00052E13">
        <w:rPr>
          <w:lang w:val="en-CA"/>
        </w:rPr>
        <w:t xml:space="preserve">27 August 2015, </w:t>
      </w:r>
      <w:r w:rsidRPr="00052E13">
        <w:t>http://www.gc4hr.org/news/view/1078</w:t>
      </w:r>
    </w:p>
  </w:footnote>
  <w:footnote w:id="58">
    <w:p w:rsidR="00D17596" w:rsidRPr="00C65AEA" w:rsidRDefault="00D17596" w:rsidP="009643AC">
      <w:pPr>
        <w:pStyle w:val="FootnoteText"/>
        <w:spacing w:after="0"/>
        <w:ind w:left="0" w:firstLine="0"/>
        <w:rPr>
          <w:i/>
          <w:iCs/>
          <w:lang w:val="en-CA"/>
        </w:rPr>
      </w:pPr>
      <w:r w:rsidRPr="00C65AEA">
        <w:rPr>
          <w:rStyle w:val="FootnoteReference"/>
          <w:sz w:val="20"/>
        </w:rPr>
        <w:footnoteRef/>
      </w:r>
      <w:r w:rsidRPr="00C65AEA">
        <w:t xml:space="preserve"> Arabic Network for Human Rights Information, </w:t>
      </w:r>
      <w:r w:rsidRPr="00C65AEA">
        <w:rPr>
          <w:i/>
          <w:iCs/>
        </w:rPr>
        <w:t xml:space="preserve">Their Freedom is Their Right” Campaign Declares “Abdul-jalil Yousef al-Singace” the Month’s Prisoner, </w:t>
      </w:r>
      <w:hyperlink r:id="rId1" w:history="1">
        <w:r w:rsidRPr="00C65AEA">
          <w:rPr>
            <w:rStyle w:val="Hyperlink"/>
            <w:i/>
            <w:iCs/>
          </w:rPr>
          <w:t>http://anhri.net/?p=154236&amp;lang=en</w:t>
        </w:r>
      </w:hyperlink>
      <w:r w:rsidRPr="00C65AEA">
        <w:rPr>
          <w:i/>
          <w:iCs/>
        </w:rPr>
        <w:t>, 6 November 2015.</w:t>
      </w:r>
    </w:p>
  </w:footnote>
  <w:footnote w:id="59">
    <w:p w:rsidR="00D17596" w:rsidRPr="00621633" w:rsidRDefault="00D17596" w:rsidP="000B155E">
      <w:pPr>
        <w:pStyle w:val="FootnoteText"/>
        <w:spacing w:after="0"/>
        <w:ind w:left="0" w:firstLine="0"/>
      </w:pPr>
      <w:r w:rsidRPr="00621633">
        <w:rPr>
          <w:rStyle w:val="FootnoteReference"/>
          <w:sz w:val="20"/>
        </w:rPr>
        <w:footnoteRef/>
      </w:r>
      <w:r w:rsidRPr="00621633">
        <w:t xml:space="preserve"> Gulf Centre for Human Rights Report, </w:t>
      </w:r>
      <w:r w:rsidRPr="00621633">
        <w:rPr>
          <w:i/>
          <w:iCs/>
        </w:rPr>
        <w:t>Bahrain: Torture of head of Bahrain Youth Society for Human Rights</w:t>
      </w:r>
      <w:r w:rsidRPr="00621633">
        <w:t xml:space="preserve">, Naji Fateel, and systematic targeting of its members, 20 February 2015; also, Front Line Defenders Report, </w:t>
      </w:r>
    </w:p>
    <w:p w:rsidR="00D17596" w:rsidRPr="00621633" w:rsidRDefault="00D17596" w:rsidP="000B155E">
      <w:pPr>
        <w:pStyle w:val="FootnoteText"/>
        <w:spacing w:after="0"/>
        <w:ind w:left="0" w:firstLine="0"/>
      </w:pPr>
      <w:r w:rsidRPr="00621633">
        <w:rPr>
          <w:i/>
        </w:rPr>
        <w:t>Incommunicado detention of imprisoned human rights defender Mr Naji Fateel</w:t>
      </w:r>
      <w:r w:rsidRPr="00621633">
        <w:t>, 24 March 2015.</w:t>
      </w:r>
    </w:p>
  </w:footnote>
  <w:footnote w:id="60">
    <w:p w:rsidR="00D17596" w:rsidRPr="00621633" w:rsidRDefault="00D17596" w:rsidP="005937E3">
      <w:pPr>
        <w:pStyle w:val="FootnoteText"/>
        <w:spacing w:after="0"/>
        <w:ind w:left="0" w:firstLine="0"/>
        <w:rPr>
          <w:lang w:val="en-CA"/>
        </w:rPr>
      </w:pPr>
      <w:r w:rsidRPr="00621633">
        <w:rPr>
          <w:rStyle w:val="FootnoteReference"/>
          <w:sz w:val="20"/>
        </w:rPr>
        <w:footnoteRef/>
      </w:r>
      <w:r w:rsidRPr="00621633">
        <w:t xml:space="preserve"> Gulf Centre for Human Rights Report, </w:t>
      </w:r>
      <w:r w:rsidRPr="00621633">
        <w:rPr>
          <w:i/>
        </w:rPr>
        <w:t>Bahrain - Human rights defender Naji Fateel to be detained for 60 days on anti-state charges after allegedly being tortured ,</w:t>
      </w:r>
      <w:r w:rsidRPr="00621633">
        <w:t xml:space="preserve"> 9 May 2013, http://www.gc4hr.org/news/view/412</w:t>
      </w:r>
    </w:p>
  </w:footnote>
  <w:footnote w:id="61">
    <w:p w:rsidR="00D17596" w:rsidRPr="00174E85" w:rsidRDefault="00D17596" w:rsidP="000A2D62">
      <w:pPr>
        <w:pStyle w:val="FootnoteText"/>
        <w:spacing w:after="0"/>
        <w:ind w:left="0" w:firstLine="0"/>
      </w:pPr>
      <w:r w:rsidRPr="00174E85">
        <w:rPr>
          <w:rStyle w:val="FootnoteReference"/>
          <w:sz w:val="20"/>
        </w:rPr>
        <w:footnoteRef/>
      </w:r>
      <w:r w:rsidRPr="00174E85">
        <w:t xml:space="preserve"> Gulf Centre for Human Rights Report</w:t>
      </w:r>
      <w:r w:rsidRPr="00174E85">
        <w:rPr>
          <w:i/>
        </w:rPr>
        <w:t>, Liberty at Risk: Reprisals Against Human Rights Defenders in the Gulf Region and Neighboring Countries</w:t>
      </w:r>
      <w:r w:rsidRPr="00174E85">
        <w:t>, August 2016, p. 6.</w:t>
      </w:r>
    </w:p>
  </w:footnote>
  <w:footnote w:id="62">
    <w:p w:rsidR="00D17596" w:rsidRPr="000A2D62" w:rsidRDefault="00D17596" w:rsidP="000A2D62">
      <w:pPr>
        <w:pStyle w:val="FootnoteText"/>
        <w:spacing w:after="0"/>
        <w:ind w:left="0" w:firstLine="0"/>
        <w:rPr>
          <w:rStyle w:val="FootnoteReference"/>
          <w:sz w:val="18"/>
          <w:szCs w:val="18"/>
        </w:rPr>
      </w:pPr>
      <w:r w:rsidRPr="00174E85">
        <w:rPr>
          <w:rStyle w:val="FootnoteReference"/>
          <w:sz w:val="20"/>
        </w:rPr>
        <w:footnoteRef/>
      </w:r>
      <w:r w:rsidRPr="00174E85">
        <w:rPr>
          <w:rStyle w:val="FootnoteReference"/>
          <w:sz w:val="20"/>
        </w:rPr>
        <w:t xml:space="preserve"> </w:t>
      </w:r>
      <w:r w:rsidRPr="00174E85">
        <w:t>GCHR, Bahrain: NGOs call for women’s rights defender Ghada Jamsheer to remain free and an end to judicial harassment of women human rights defenders, 1 July 2016, http://www.gc4hr.org/news/view/1306</w:t>
      </w:r>
    </w:p>
  </w:footnote>
  <w:footnote w:id="63">
    <w:p w:rsidR="00D17596" w:rsidRPr="00174E85" w:rsidRDefault="00D17596" w:rsidP="000A2D62">
      <w:pPr>
        <w:pStyle w:val="FootnoteText"/>
        <w:spacing w:after="0"/>
        <w:ind w:left="0" w:firstLine="0"/>
      </w:pPr>
      <w:r w:rsidRPr="00174E85">
        <w:rPr>
          <w:rStyle w:val="FootnoteReference"/>
          <w:sz w:val="20"/>
        </w:rPr>
        <w:footnoteRef/>
      </w:r>
      <w:r w:rsidRPr="00174E85">
        <w:t xml:space="preserve"> GCHR, </w:t>
      </w:r>
      <w:r w:rsidRPr="00174E85">
        <w:rPr>
          <w:i/>
        </w:rPr>
        <w:t>Bahrain: Human rights defender Ghada Jamsheer freed from prison, allowed to work off remainder of her sentence</w:t>
      </w:r>
      <w:r w:rsidRPr="00174E85">
        <w:t>, 12 December 2016, http://www.gc4hr.org/news/view/1448.</w:t>
      </w:r>
    </w:p>
  </w:footnote>
  <w:footnote w:id="64">
    <w:p w:rsidR="00D17596" w:rsidRPr="00F376F6" w:rsidRDefault="00D17596" w:rsidP="000B155E">
      <w:pPr>
        <w:pStyle w:val="FootnoteText"/>
        <w:spacing w:after="0"/>
        <w:ind w:left="0" w:firstLine="0"/>
      </w:pPr>
      <w:r w:rsidRPr="00174E85">
        <w:rPr>
          <w:rStyle w:val="FootnoteReference"/>
          <w:sz w:val="20"/>
        </w:rPr>
        <w:footnoteRef/>
      </w:r>
      <w:r w:rsidRPr="00174E85">
        <w:t xml:space="preserve"> Interviewed on 17 October 2016.</w:t>
      </w:r>
    </w:p>
  </w:footnote>
  <w:footnote w:id="65">
    <w:p w:rsidR="00D17596" w:rsidRDefault="00D17596" w:rsidP="000B155E">
      <w:pPr>
        <w:pStyle w:val="FootnoteText"/>
        <w:spacing w:after="0"/>
        <w:ind w:left="0" w:firstLine="0"/>
      </w:pPr>
      <w:r w:rsidRPr="00F376F6">
        <w:rPr>
          <w:rStyle w:val="FootnoteReference"/>
          <w:sz w:val="20"/>
        </w:rPr>
        <w:footnoteRef/>
      </w:r>
      <w:r w:rsidRPr="00F376F6">
        <w:t xml:space="preserve"> Adam Rajab, son of Nabeel Rajab, interviewed on 19 October 2016.</w:t>
      </w:r>
    </w:p>
  </w:footnote>
  <w:footnote w:id="66">
    <w:p w:rsidR="00D17596" w:rsidRPr="00F376F6" w:rsidRDefault="00D17596" w:rsidP="000B155E">
      <w:pPr>
        <w:pStyle w:val="FootnoteText"/>
        <w:spacing w:after="0"/>
        <w:ind w:left="0" w:firstLine="0"/>
      </w:pPr>
      <w:r w:rsidRPr="00F376F6">
        <w:rPr>
          <w:rStyle w:val="FootnoteReference"/>
          <w:sz w:val="20"/>
        </w:rPr>
        <w:footnoteRef/>
      </w:r>
      <w:r w:rsidRPr="00F376F6">
        <w:t xml:space="preserve"> Interviewed on 13 October 2016.</w:t>
      </w:r>
    </w:p>
  </w:footnote>
  <w:footnote w:id="67">
    <w:p w:rsidR="00D17596" w:rsidRDefault="00D17596" w:rsidP="000B155E">
      <w:pPr>
        <w:pStyle w:val="FootnoteText"/>
        <w:spacing w:after="0"/>
        <w:ind w:left="0" w:firstLine="0"/>
      </w:pPr>
      <w:r w:rsidRPr="00F376F6">
        <w:rPr>
          <w:rStyle w:val="FootnoteReference"/>
          <w:sz w:val="20"/>
        </w:rPr>
        <w:footnoteRef/>
      </w:r>
      <w:r w:rsidRPr="00F376F6">
        <w:t xml:space="preserve"> See also: Anna Therese Day, </w:t>
      </w:r>
      <w:r w:rsidRPr="00F376F6">
        <w:rPr>
          <w:i/>
        </w:rPr>
        <w:t>Tortured and trapped, Bahraini journalist Nazeeha Saeed continues her fight for press freedom</w:t>
      </w:r>
      <w:r w:rsidRPr="00F376F6">
        <w:t xml:space="preserve">, New York Times, </w:t>
      </w:r>
      <w:r>
        <w:t>16 August 20</w:t>
      </w:r>
      <w:r w:rsidRPr="00F376F6">
        <w:t>16.</w:t>
      </w:r>
      <w:r>
        <w:t xml:space="preserve"> </w:t>
      </w:r>
    </w:p>
  </w:footnote>
  <w:footnote w:id="68">
    <w:p w:rsidR="00D17596" w:rsidRPr="00C0649B" w:rsidRDefault="00D17596" w:rsidP="000B155E">
      <w:pPr>
        <w:pStyle w:val="FootnoteText"/>
        <w:spacing w:after="0"/>
        <w:ind w:left="0" w:firstLine="0"/>
        <w:rPr>
          <w:lang w:val="en-CA"/>
        </w:rPr>
      </w:pPr>
      <w:r w:rsidRPr="00C0649B">
        <w:rPr>
          <w:rStyle w:val="FootnoteReference"/>
          <w:sz w:val="20"/>
        </w:rPr>
        <w:footnoteRef/>
      </w:r>
      <w:r w:rsidRPr="00C0649B">
        <w:t xml:space="preserve"> Gulf Centre for Human Rights, </w:t>
      </w:r>
      <w:r w:rsidRPr="00C0649B">
        <w:rPr>
          <w:i/>
          <w:iCs/>
        </w:rPr>
        <w:t xml:space="preserve">Bahrain: Reprisals continue against human rights defenders, especially those engaging in international advocacy, </w:t>
      </w:r>
      <w:r w:rsidRPr="00C0649B">
        <w:t>20 July 2016, http://www.gc4hr.org/news/view/1313</w:t>
      </w:r>
    </w:p>
  </w:footnote>
  <w:footnote w:id="69">
    <w:p w:rsidR="00D17596" w:rsidRDefault="00D17596" w:rsidP="00271F7E">
      <w:pPr>
        <w:pStyle w:val="FootnoteText"/>
        <w:spacing w:after="0"/>
        <w:ind w:left="0" w:firstLine="0"/>
      </w:pPr>
      <w:r w:rsidRPr="00AB6E61">
        <w:rPr>
          <w:rStyle w:val="FootnoteReference"/>
          <w:sz w:val="20"/>
        </w:rPr>
        <w:footnoteRef/>
      </w:r>
      <w:r w:rsidRPr="00AB6E61">
        <w:t xml:space="preserve"> Human Rights Watch Report, </w:t>
      </w:r>
      <w:r w:rsidRPr="00AB6E61">
        <w:rPr>
          <w:i/>
        </w:rPr>
        <w:t>Torture Redux: The Revival of Physical Coercion during Interrogations in Bahrain</w:t>
      </w:r>
      <w:r>
        <w:rPr>
          <w:i/>
        </w:rPr>
        <w:t xml:space="preserve">, </w:t>
      </w:r>
      <w:r>
        <w:t>February 2010</w:t>
      </w:r>
      <w:r w:rsidRPr="00AB6E61">
        <w:t>.</w:t>
      </w:r>
    </w:p>
  </w:footnote>
  <w:footnote w:id="70">
    <w:p w:rsidR="00D17596" w:rsidRDefault="00D17596" w:rsidP="00AB6E61">
      <w:pPr>
        <w:pStyle w:val="FootnoteText"/>
        <w:spacing w:after="0"/>
        <w:ind w:left="0" w:firstLine="0"/>
      </w:pPr>
      <w:r>
        <w:rPr>
          <w:rStyle w:val="FootnoteReference"/>
        </w:rPr>
        <w:footnoteRef/>
      </w:r>
      <w:r>
        <w:t xml:space="preserve"> </w:t>
      </w:r>
      <w:r w:rsidRPr="00D51263">
        <w:t>See Chitayev and Chitayev v. Russia, (no. 59334/00), Eur. Ct. H.R., Judgment 18 January 2007 para. 19 (considered torture when victims beaten with rubber truncheons and plastic bottles filled with water); Selmouni v. France, (no. 25803/94), Eur. Ct. H.R., ECHR 1999-V, paras. 82, 105 (considered torture when victim was punched, kicked, and struck with objects repeatedly over two nights); Bati v. Turkey, (no. 33097/96, 57834/00), Eur. Ct. H.R., ECHR 2004-IV, paras. 110, 114, 124; Ireland v. United Kingdom, Eur. Ct. H.R., (no. 25), Judgment 18 January 1978 Series A, para. 174 (inhuman treatment when victims exposed to repeated violence during interrogation); Egmez v. Cyprus, (no. 30873/96), Eur. Ct. H.R., ECHR 2000-XII, para. 79 (beatings constituted inhuman treatment).</w:t>
      </w:r>
    </w:p>
  </w:footnote>
  <w:footnote w:id="71">
    <w:p w:rsidR="00D17596" w:rsidRDefault="00D17596" w:rsidP="00AB6E61">
      <w:pPr>
        <w:pStyle w:val="FootnoteText"/>
        <w:spacing w:after="0"/>
        <w:ind w:left="0" w:firstLine="0"/>
      </w:pPr>
      <w:r>
        <w:rPr>
          <w:rStyle w:val="FootnoteReference"/>
        </w:rPr>
        <w:footnoteRef/>
      </w:r>
      <w:r>
        <w:t xml:space="preserve"> </w:t>
      </w:r>
      <w:r w:rsidRPr="0021467F">
        <w:t>See Chitayev and Chitayev v. Russia, (no. 59334/00), Eur. Ct. H.R., Judgment 18 January 2007 paras. 19, 20, 27 (electric shocks applied to various parts of body including fingertips and ears); Yaman v. Turkey, (no. 32446/96), Eur. Ct. H.R., Judgment 2 November 2004 paras. 11, 41 or 47 (electric cables attached to sexual organs shocking victim while suspended); Akkoc v. Turkey (no. 22947-8/93), Eur. Ct. H.R., Report of the Commission, 23 April 1999 paras. 59, 120, 136, 162, 224, 304, 329-35 (electric shocks to mouth and sexual organs over a period of four days); Prosecutor v. Krajisnik, International Criminal Tribunal for the former Yugoslavia (ICTY), Case No. IT-00-39-T, Judgment paras. 798, 806 (27 September 2006).</w:t>
      </w:r>
    </w:p>
  </w:footnote>
  <w:footnote w:id="72">
    <w:p w:rsidR="00D17596" w:rsidRDefault="00D17596" w:rsidP="004B223D">
      <w:pPr>
        <w:pStyle w:val="FootnoteText"/>
        <w:spacing w:after="0"/>
        <w:ind w:left="0" w:firstLine="0"/>
      </w:pPr>
      <w:r>
        <w:rPr>
          <w:rStyle w:val="FootnoteReference"/>
        </w:rPr>
        <w:footnoteRef/>
      </w:r>
      <w:r>
        <w:t xml:space="preserve"> </w:t>
      </w:r>
      <w:r w:rsidRPr="0021467F">
        <w:t>Salman v. Turkey, (no. 21986/93), Eur. Ct. H.R., ECHR 2000-VII, paras. 71, 111, 116; Bati v. Turkey, (no. 33097/96, 57834/00), Eur. Ct. H.R., ECHR 2004-IV, paras. 26, 35, 43, 124.</w:t>
      </w:r>
    </w:p>
  </w:footnote>
  <w:footnote w:id="73">
    <w:p w:rsidR="00D17596" w:rsidRPr="00DC790D" w:rsidRDefault="00D17596" w:rsidP="00DC790D">
      <w:pPr>
        <w:rPr>
          <w:sz w:val="20"/>
        </w:rPr>
      </w:pPr>
      <w:r w:rsidRPr="00DC790D">
        <w:rPr>
          <w:rStyle w:val="FootnoteReference"/>
        </w:rPr>
        <w:footnoteRef/>
      </w:r>
      <w:r w:rsidRPr="00DC790D">
        <w:rPr>
          <w:sz w:val="20"/>
        </w:rPr>
        <w:t xml:space="preserve"> See Yaman v. Turkey, (no. 32446/96), Eur. Ct. H.R., Judgment 2 November 2004 para. 1 (suspended by arms from ceiling pipes); Veznedaroglu v. Turkey, (no. 32357/96), Eur. Ct. H.R., Judgment 11 April 2000 paras. 12, 35 (suspended by arms); Bati v. Turkey, (no. 33097/96, 57834/00), Eur. Ct. H.R., ECHR 2004-IV, paras. 38, 42, 52, 124 (suspended by arms).</w:t>
      </w:r>
    </w:p>
  </w:footnote>
  <w:footnote w:id="74">
    <w:p w:rsidR="00D17596" w:rsidRPr="00944888" w:rsidRDefault="00D17596" w:rsidP="001A605B">
      <w:pPr>
        <w:pStyle w:val="FootnoteText"/>
        <w:spacing w:after="0"/>
        <w:ind w:left="0" w:firstLine="0"/>
      </w:pPr>
      <w:r w:rsidRPr="001A605B">
        <w:rPr>
          <w:rStyle w:val="FootnoteReference"/>
          <w:sz w:val="20"/>
        </w:rPr>
        <w:footnoteRef/>
      </w:r>
      <w:r w:rsidRPr="001A605B">
        <w:t xml:space="preserve"> UN Special Rapporteur on Torture, Question of Torture and Other Cruel, Inhuman or Degrading Treatment or Punishment, UN Doc A/56/156, 3 July 2001, paras. 8 et seq. See also Prosecutor v. Kvocka, ICTY, Case No. IT-98-30/1-T, Judgment paras. 144, 160, 640 (2 November 2001) (threats of rape as well as threats to kill a victim’s wife and child constituted torture and cruel treatment); Akkoc v. Turkey, (no. 22947-8/93), Eur. Ct. H.R., Report of the Commission, 23 April 1999 para. 333 (psychological pressure caused by threats to victim’s children constituted torture); Denmark, Norway, Sweden and Netherlands v. Greece (Greek Case), (nos. 3321/67; 3322/67; 3323/67; 3344/67), Report of the European Commission of Human Rights (1969) (nonphysical torture included mock executions and threats of death against a detainee’s family).</w:t>
      </w:r>
    </w:p>
  </w:footnote>
  <w:footnote w:id="75">
    <w:p w:rsidR="00D17596" w:rsidRPr="00B85942" w:rsidRDefault="00D17596" w:rsidP="00944888">
      <w:pPr>
        <w:pStyle w:val="FootnoteText"/>
        <w:spacing w:after="0"/>
        <w:ind w:left="0" w:firstLine="0"/>
      </w:pPr>
      <w:r w:rsidRPr="00B9199B">
        <w:rPr>
          <w:rStyle w:val="FootnoteReference"/>
          <w:sz w:val="20"/>
        </w:rPr>
        <w:footnoteRef/>
      </w:r>
      <w:r w:rsidRPr="00B9199B">
        <w:rPr>
          <w:rStyle w:val="FootnoteReference"/>
          <w:sz w:val="20"/>
        </w:rPr>
        <w:t xml:space="preserve"> </w:t>
      </w:r>
      <w:r w:rsidRPr="00944888">
        <w:t>Committee to Protect Journalists Kings, queens, and torture in Bahrain, 28 June 2011, https://cpj.org/blog/2011/06/kings-queens-and-torture-in-bahrain.php</w:t>
      </w:r>
    </w:p>
  </w:footnote>
  <w:footnote w:id="76">
    <w:p w:rsidR="00D17596" w:rsidRPr="00B85942" w:rsidRDefault="00D17596" w:rsidP="00AB6E61">
      <w:pPr>
        <w:pStyle w:val="FootnoteText"/>
        <w:spacing w:after="0"/>
        <w:ind w:left="0" w:firstLine="0"/>
      </w:pPr>
      <w:r w:rsidRPr="00944888">
        <w:rPr>
          <w:rStyle w:val="FootnoteReference"/>
          <w:sz w:val="20"/>
        </w:rPr>
        <w:footnoteRef/>
      </w:r>
      <w:r w:rsidRPr="00B85942">
        <w:t xml:space="preserve"> Prosecutor v. Kvocka, ICTY, Case No. IT-98-30/1-T, Judgment para. 146 (2 November 2001); see also Chitayev and Chitayev v. Russia, (no. 59334/00), Eur. Ct. H.R., Judgment 18 January 2007 paras. 19, 159.</w:t>
      </w:r>
    </w:p>
  </w:footnote>
  <w:footnote w:id="77">
    <w:p w:rsidR="00D17596" w:rsidRPr="00B85942" w:rsidRDefault="00D17596" w:rsidP="00AB6E61">
      <w:pPr>
        <w:pStyle w:val="FootnoteText"/>
        <w:spacing w:after="0"/>
        <w:ind w:left="0" w:firstLine="0"/>
      </w:pPr>
      <w:r w:rsidRPr="00944888">
        <w:rPr>
          <w:rStyle w:val="FootnoteReference"/>
          <w:sz w:val="20"/>
        </w:rPr>
        <w:footnoteRef/>
      </w:r>
      <w:r w:rsidRPr="00B85942">
        <w:t xml:space="preserve"> See 5 August 2011 report of Juan E. Méndez, the United Nations Special Rapporteur on torture and other cruel, inhuman or degrading treatment or punishment. 15 days or more in solitary confinement constitutes torture or cruel, inhuman or degrading treatment. </w:t>
      </w:r>
      <w:hyperlink r:id="rId2" w:history="1">
        <w:r w:rsidRPr="00B85942">
          <w:rPr>
            <w:rStyle w:val="Hyperlink"/>
          </w:rPr>
          <w:t>http://solitaryconfinement.org/uploads/SpecRapTortureAug2011.pdf</w:t>
        </w:r>
      </w:hyperlink>
      <w:r w:rsidRPr="00B85942">
        <w:t xml:space="preserve"> See also The Istanbul statement on the use and effects of solitary confinement, </w:t>
      </w:r>
      <w:hyperlink r:id="rId3" w:history="1">
        <w:r w:rsidRPr="00B85942">
          <w:rPr>
            <w:rStyle w:val="Hyperlink"/>
          </w:rPr>
          <w:t>http://solitaryconfinement.org/uploads/Istanbul_expert_statement_on_sc.pdf</w:t>
        </w:r>
      </w:hyperlink>
      <w:r w:rsidRPr="00B85942">
        <w:t>.</w:t>
      </w:r>
    </w:p>
  </w:footnote>
  <w:footnote w:id="78">
    <w:p w:rsidR="00D17596" w:rsidRPr="000A0114" w:rsidRDefault="00D17596" w:rsidP="004D442D">
      <w:pPr>
        <w:pStyle w:val="FootnoteText"/>
        <w:spacing w:after="0"/>
        <w:ind w:left="0" w:firstLine="0"/>
        <w:rPr>
          <w:lang w:val="en-CA"/>
        </w:rPr>
      </w:pPr>
      <w:r w:rsidRPr="00B85942">
        <w:rPr>
          <w:rStyle w:val="FootnoteReference"/>
          <w:sz w:val="20"/>
        </w:rPr>
        <w:footnoteRef/>
      </w:r>
      <w:r>
        <w:t xml:space="preserve"> </w:t>
      </w:r>
      <w:r w:rsidRPr="00B85942">
        <w:t xml:space="preserve">Americans for Democracy &amp; Human Rights in Bahrain (ADHRB), </w:t>
      </w:r>
      <w:r w:rsidRPr="00B85942">
        <w:rPr>
          <w:i/>
          <w:iCs/>
        </w:rPr>
        <w:t>Three torture victims facing imminent threat of execution at any time</w:t>
      </w:r>
      <w:r w:rsidRPr="00B85942">
        <w:t>, 14 January 2017, http://www.adhrb.org/2017/01/three-torture-victims-facing-imminent-threat-execution-time/.</w:t>
      </w:r>
    </w:p>
  </w:footnote>
  <w:footnote w:id="79">
    <w:p w:rsidR="00D17596" w:rsidRPr="001A605B" w:rsidRDefault="00D17596" w:rsidP="00AB6E61">
      <w:pPr>
        <w:pStyle w:val="FootnoteText"/>
        <w:spacing w:after="0"/>
        <w:ind w:left="0" w:firstLine="0"/>
      </w:pPr>
      <w:r w:rsidRPr="001A605B">
        <w:rPr>
          <w:rStyle w:val="FootnoteReference"/>
          <w:sz w:val="20"/>
        </w:rPr>
        <w:footnoteRef/>
      </w:r>
      <w:r w:rsidRPr="001A605B">
        <w:t xml:space="preserve"> Bahrain </w:t>
      </w:r>
      <w:r>
        <w:t>Centre</w:t>
      </w:r>
      <w:r w:rsidRPr="001A605B">
        <w:t xml:space="preserve"> for Human Rights, 1 Aug, 2016, </w:t>
      </w:r>
      <w:r w:rsidRPr="001A605B">
        <w:rPr>
          <w:i/>
        </w:rPr>
        <w:t>Independent and Impartial Investigation Needed into the Death and Alleged Torture of Detainee,</w:t>
      </w:r>
      <w:r w:rsidRPr="001A605B">
        <w:t xml:space="preserve"> http://www.bahrainrights.org/en/node/8042.</w:t>
      </w:r>
    </w:p>
  </w:footnote>
  <w:footnote w:id="80">
    <w:p w:rsidR="00D17596" w:rsidRPr="001A605B" w:rsidRDefault="00D17596" w:rsidP="00AB6E61">
      <w:pPr>
        <w:pStyle w:val="FootnoteText"/>
        <w:spacing w:after="0"/>
        <w:ind w:left="0" w:firstLine="0"/>
      </w:pPr>
      <w:r w:rsidRPr="001A605B">
        <w:rPr>
          <w:rStyle w:val="FootnoteReference"/>
          <w:sz w:val="20"/>
        </w:rPr>
        <w:footnoteRef/>
      </w:r>
      <w:r w:rsidRPr="001A605B">
        <w:t>2017 Bahrain Universal Periodic Review, op. ct., P. 4.</w:t>
      </w:r>
    </w:p>
  </w:footnote>
  <w:footnote w:id="81">
    <w:p w:rsidR="00D17596" w:rsidRDefault="00D17596" w:rsidP="005937E3">
      <w:pPr>
        <w:pStyle w:val="FootnoteText"/>
        <w:spacing w:after="0"/>
        <w:ind w:left="0" w:firstLine="0"/>
      </w:pPr>
      <w:r w:rsidRPr="001A605B">
        <w:rPr>
          <w:rStyle w:val="FootnoteReference"/>
          <w:sz w:val="20"/>
        </w:rPr>
        <w:footnoteRef/>
      </w:r>
      <w:r w:rsidRPr="001A605B">
        <w:t xml:space="preserve"> Ibid., p.5.</w:t>
      </w:r>
      <w:r>
        <w:t xml:space="preserve"> </w:t>
      </w:r>
    </w:p>
  </w:footnote>
  <w:footnote w:id="82">
    <w:p w:rsidR="00D17596" w:rsidRDefault="00D17596" w:rsidP="00AB6E61">
      <w:pPr>
        <w:pStyle w:val="FootnoteText"/>
        <w:spacing w:after="0"/>
      </w:pPr>
      <w:r>
        <w:rPr>
          <w:rStyle w:val="FootnoteReference"/>
        </w:rPr>
        <w:footnoteRef/>
      </w:r>
      <w:r>
        <w:t xml:space="preserve"> Ibid., p. 5.</w:t>
      </w:r>
    </w:p>
  </w:footnote>
  <w:footnote w:id="83">
    <w:p w:rsidR="00D17596" w:rsidRDefault="00D17596" w:rsidP="00AB6E61">
      <w:pPr>
        <w:pStyle w:val="FootnoteText"/>
        <w:spacing w:after="0"/>
      </w:pPr>
      <w:r>
        <w:rPr>
          <w:rStyle w:val="FootnoteReference"/>
        </w:rPr>
        <w:footnoteRef/>
      </w:r>
      <w:r>
        <w:t xml:space="preserve"> Ibid., p. 5.</w:t>
      </w:r>
    </w:p>
  </w:footnote>
  <w:footnote w:id="84">
    <w:p w:rsidR="00D17596" w:rsidRDefault="00D17596" w:rsidP="00AB6E61">
      <w:pPr>
        <w:pStyle w:val="FootnoteText"/>
        <w:spacing w:after="0"/>
        <w:ind w:left="0" w:firstLine="0"/>
      </w:pPr>
      <w:r>
        <w:rPr>
          <w:rStyle w:val="FootnoteReference"/>
        </w:rPr>
        <w:footnoteRef/>
      </w:r>
      <w:r>
        <w:t xml:space="preserve"> Ibid., p.5.</w:t>
      </w:r>
    </w:p>
  </w:footnote>
  <w:footnote w:id="85">
    <w:p w:rsidR="00D17596" w:rsidRDefault="00D17596" w:rsidP="00E76EA7">
      <w:pPr>
        <w:pStyle w:val="FootnoteText"/>
        <w:spacing w:after="0"/>
        <w:ind w:left="0" w:firstLine="0"/>
      </w:pPr>
      <w:r>
        <w:rPr>
          <w:rStyle w:val="FootnoteReference"/>
        </w:rPr>
        <w:footnoteRef/>
      </w:r>
      <w:r>
        <w:t xml:space="preserve"> </w:t>
      </w:r>
      <w:r w:rsidRPr="007E0412">
        <w:t xml:space="preserve">2017 Bahrain Universal Periodic Review, Bahrain </w:t>
      </w:r>
      <w:r>
        <w:t>Centre</w:t>
      </w:r>
      <w:r w:rsidRPr="007E0412">
        <w:t xml:space="preserve"> for Human Rights (BCHR), Freedom House, &amp; the Gulf Centre for Human Rights (GCHR). P. </w:t>
      </w:r>
      <w:r>
        <w:t>5</w:t>
      </w:r>
      <w:r w:rsidRPr="007E0412">
        <w:t>.</w:t>
      </w:r>
    </w:p>
  </w:footnote>
  <w:footnote w:id="86">
    <w:p w:rsidR="00D17596" w:rsidRPr="00E76EA7" w:rsidRDefault="00D17596" w:rsidP="004A0494">
      <w:pPr>
        <w:pStyle w:val="FootnoteText"/>
        <w:numPr>
          <w:ilvl w:val="0"/>
          <w:numId w:val="3"/>
        </w:numPr>
        <w:spacing w:after="0"/>
      </w:pPr>
      <w:r>
        <w:rPr>
          <w:rStyle w:val="FootnoteReference"/>
        </w:rPr>
        <w:footnoteRef/>
      </w:r>
      <w:r w:rsidRPr="00E76EA7">
        <w:t xml:space="preserve"> Amnesty International</w:t>
      </w:r>
      <w:r w:rsidRPr="00944A64">
        <w:rPr>
          <w:lang w:val="en-CA"/>
        </w:rPr>
        <w:t xml:space="preserve">, </w:t>
      </w:r>
      <w:r w:rsidRPr="00944A64">
        <w:rPr>
          <w:i/>
          <w:iCs/>
          <w:lang w:val="en-CA"/>
        </w:rPr>
        <w:t>Two Bahraini Men at Imminent and Renewed Risk of Execution, 18 January 2</w:t>
      </w:r>
      <w:r w:rsidRPr="00420F90">
        <w:rPr>
          <w:i/>
          <w:iCs/>
          <w:lang w:val="en-CA"/>
        </w:rPr>
        <w:t xml:space="preserve">017, </w:t>
      </w:r>
      <w:r w:rsidRPr="00E76EA7">
        <w:t>https://www.amnesty.org/en/latest/campaigns/2017/01/two-bahraini-men-at-imminent-and-renewed-risk-of-execution/</w:t>
      </w:r>
    </w:p>
  </w:footnote>
  <w:footnote w:id="87">
    <w:p w:rsidR="00D17596" w:rsidRDefault="00D17596" w:rsidP="00944A64">
      <w:pPr>
        <w:pStyle w:val="FootnoteText"/>
        <w:spacing w:after="0"/>
      </w:pPr>
      <w:r>
        <w:rPr>
          <w:rStyle w:val="FootnoteReference"/>
        </w:rPr>
        <w:footnoteRef/>
      </w:r>
      <w:r>
        <w:t xml:space="preserve"> Ibid., pp. 4-5.</w:t>
      </w:r>
    </w:p>
  </w:footnote>
  <w:footnote w:id="88">
    <w:p w:rsidR="00D17596" w:rsidRDefault="00D17596" w:rsidP="005937E3">
      <w:pPr>
        <w:pStyle w:val="FootnoteText"/>
        <w:spacing w:after="0"/>
      </w:pPr>
      <w:r>
        <w:rPr>
          <w:rStyle w:val="FootnoteReference"/>
        </w:rPr>
        <w:footnoteRef/>
      </w:r>
      <w:r>
        <w:t xml:space="preserve"> Ibid., p.4-5.</w:t>
      </w:r>
    </w:p>
  </w:footnote>
  <w:footnote w:id="89">
    <w:p w:rsidR="00D17596" w:rsidRDefault="00D17596" w:rsidP="005937E3">
      <w:pPr>
        <w:pStyle w:val="FootnoteText"/>
        <w:spacing w:after="0"/>
      </w:pPr>
      <w:r>
        <w:rPr>
          <w:rStyle w:val="FootnoteReference"/>
        </w:rPr>
        <w:footnoteRef/>
      </w:r>
      <w:r>
        <w:t xml:space="preserve"> Ibid., p. 4.</w:t>
      </w:r>
    </w:p>
  </w:footnote>
  <w:footnote w:id="90">
    <w:p w:rsidR="00D17596" w:rsidRDefault="00D17596" w:rsidP="005937E3">
      <w:pPr>
        <w:pStyle w:val="FootnoteText"/>
        <w:spacing w:after="0"/>
      </w:pPr>
      <w:r>
        <w:rPr>
          <w:rStyle w:val="FootnoteReference"/>
        </w:rPr>
        <w:footnoteRef/>
      </w:r>
      <w:r>
        <w:t xml:space="preserve"> Ibid., p. 4.</w:t>
      </w:r>
    </w:p>
  </w:footnote>
  <w:footnote w:id="91">
    <w:p w:rsidR="00D17596" w:rsidRDefault="00D17596" w:rsidP="00AB6E61">
      <w:pPr>
        <w:pStyle w:val="FootnoteText"/>
        <w:spacing w:after="0"/>
        <w:ind w:left="0" w:firstLine="0"/>
      </w:pPr>
      <w:r>
        <w:rPr>
          <w:rStyle w:val="FootnoteReference"/>
        </w:rPr>
        <w:footnoteRef/>
      </w:r>
      <w:r>
        <w:t xml:space="preserve"> </w:t>
      </w:r>
      <w:r w:rsidRPr="00E22B6F">
        <w:t xml:space="preserve">Annual Report of the Secretary General to the </w:t>
      </w:r>
      <w:r>
        <w:t xml:space="preserve">UN </w:t>
      </w:r>
      <w:r w:rsidRPr="00E22B6F">
        <w:t>Human Rights Council, A/HRC/33/19, 16 August 2016.</w:t>
      </w:r>
    </w:p>
  </w:footnote>
  <w:footnote w:id="92">
    <w:p w:rsidR="00D17596" w:rsidRDefault="00D17596" w:rsidP="00AB6E61">
      <w:pPr>
        <w:pStyle w:val="FootnoteText"/>
        <w:spacing w:after="0"/>
        <w:ind w:left="0" w:firstLine="0"/>
      </w:pPr>
      <w:r>
        <w:rPr>
          <w:rStyle w:val="FootnoteReference"/>
        </w:rPr>
        <w:footnoteRef/>
      </w:r>
      <w:r>
        <w:t xml:space="preserve"> </w:t>
      </w:r>
      <w:r w:rsidRPr="00C72D3B">
        <w:t>United Nations General Assembly Report of the Secretary General “Cooperation with the United Nations, its representatives and mechanisms in the field of human rights “ A/HRC/24/29 available at http://www.ohchr.org/EN/HRBodies/HRC/RegularSessions/Session24/Documents/A-HRC-24-29_en.pdf</w:t>
      </w:r>
    </w:p>
  </w:footnote>
  <w:footnote w:id="93">
    <w:p w:rsidR="00D17596" w:rsidRPr="00DB6F26" w:rsidRDefault="00D17596" w:rsidP="00271F7E">
      <w:pPr>
        <w:pStyle w:val="FootnoteText"/>
        <w:spacing w:after="0"/>
        <w:ind w:left="0" w:firstLine="0"/>
      </w:pPr>
      <w:r w:rsidRPr="00DB6F26">
        <w:rPr>
          <w:rStyle w:val="FootnoteReference"/>
          <w:sz w:val="20"/>
        </w:rPr>
        <w:footnoteRef/>
      </w:r>
      <w:r w:rsidRPr="00DB6F26">
        <w:t xml:space="preserve"> Anna Therese Day, </w:t>
      </w:r>
      <w:r w:rsidRPr="00DB6F26">
        <w:rPr>
          <w:i/>
        </w:rPr>
        <w:t>Tortured and trapped, Bahraini journalist Nazeeha Saeed continues her fight for press freedom</w:t>
      </w:r>
      <w:r w:rsidRPr="00DB6F26">
        <w:t xml:space="preserve">, New York Times, </w:t>
      </w:r>
      <w:r>
        <w:t xml:space="preserve">16 August 2016 </w:t>
      </w:r>
      <w:r w:rsidRPr="00DB6F26">
        <w:t>16.</w:t>
      </w:r>
      <w:r>
        <w:t xml:space="preserve"> </w:t>
      </w:r>
    </w:p>
  </w:footnote>
  <w:footnote w:id="94">
    <w:p w:rsidR="00D17596" w:rsidRPr="00CD1535" w:rsidRDefault="00D17596" w:rsidP="00DB6F26">
      <w:pPr>
        <w:pStyle w:val="FootnoteText"/>
        <w:spacing w:after="0"/>
        <w:ind w:left="0" w:firstLine="0"/>
        <w:rPr>
          <w:sz w:val="18"/>
          <w:szCs w:val="18"/>
        </w:rPr>
      </w:pPr>
      <w:r w:rsidRPr="00CD1535">
        <w:rPr>
          <w:rStyle w:val="FootnoteReference"/>
          <w:sz w:val="18"/>
          <w:szCs w:val="18"/>
        </w:rPr>
        <w:footnoteRef/>
      </w:r>
      <w:r w:rsidRPr="00CD1535">
        <w:rPr>
          <w:sz w:val="18"/>
          <w:szCs w:val="18"/>
        </w:rPr>
        <w:t xml:space="preserve"> Americans for Democracy &amp; Human Rights in Bahrain Weekly Report, 15 November 2016.</w:t>
      </w:r>
    </w:p>
  </w:footnote>
  <w:footnote w:id="95">
    <w:p w:rsidR="00D17596" w:rsidRPr="00CD1535" w:rsidRDefault="00D17596" w:rsidP="00DB6F26">
      <w:pPr>
        <w:pStyle w:val="FootnoteText"/>
        <w:spacing w:after="0"/>
        <w:ind w:left="0" w:firstLine="0"/>
        <w:rPr>
          <w:sz w:val="18"/>
          <w:szCs w:val="18"/>
        </w:rPr>
      </w:pPr>
      <w:r w:rsidRPr="00CD1535">
        <w:rPr>
          <w:rStyle w:val="FootnoteReference"/>
          <w:sz w:val="18"/>
          <w:szCs w:val="18"/>
        </w:rPr>
        <w:footnoteRef/>
      </w:r>
      <w:r w:rsidRPr="00CD1535">
        <w:rPr>
          <w:sz w:val="18"/>
          <w:szCs w:val="18"/>
        </w:rPr>
        <w:t xml:space="preserve"> Gulf </w:t>
      </w:r>
      <w:r>
        <w:rPr>
          <w:sz w:val="18"/>
          <w:szCs w:val="18"/>
        </w:rPr>
        <w:t>Centre</w:t>
      </w:r>
      <w:r w:rsidRPr="00CD1535">
        <w:rPr>
          <w:sz w:val="18"/>
          <w:szCs w:val="18"/>
        </w:rPr>
        <w:t xml:space="preserve"> for Human Rights Report, Liberty at Risk: Reprisals Against Human Rights Defenders in the Gulf Region and Neighboring Countries, August 2016, p. 4.</w:t>
      </w:r>
    </w:p>
  </w:footnote>
  <w:footnote w:id="96">
    <w:p w:rsidR="00D17596" w:rsidRPr="00CD1535" w:rsidRDefault="00D17596" w:rsidP="000A0114">
      <w:pPr>
        <w:pStyle w:val="FootnoteText"/>
        <w:spacing w:after="0"/>
        <w:ind w:left="0" w:firstLine="0"/>
        <w:rPr>
          <w:sz w:val="18"/>
          <w:szCs w:val="18"/>
        </w:rPr>
      </w:pPr>
      <w:r w:rsidRPr="00CD1535">
        <w:rPr>
          <w:rStyle w:val="FootnoteReference"/>
          <w:sz w:val="18"/>
          <w:szCs w:val="18"/>
        </w:rPr>
        <w:footnoteRef/>
      </w:r>
      <w:r w:rsidRPr="00CD1535">
        <w:rPr>
          <w:sz w:val="18"/>
          <w:szCs w:val="18"/>
        </w:rPr>
        <w:t xml:space="preserve"> Ibid. p. 4.</w:t>
      </w:r>
    </w:p>
  </w:footnote>
  <w:footnote w:id="97">
    <w:p w:rsidR="00D17596" w:rsidRPr="00DB6F26" w:rsidRDefault="00D17596" w:rsidP="004A47C8">
      <w:pPr>
        <w:pStyle w:val="FootnoteText"/>
        <w:spacing w:after="0"/>
        <w:ind w:left="0" w:firstLine="0"/>
      </w:pPr>
      <w:r w:rsidRPr="00CD1535">
        <w:rPr>
          <w:rStyle w:val="FootnoteReference"/>
          <w:sz w:val="18"/>
          <w:szCs w:val="18"/>
        </w:rPr>
        <w:footnoteRef/>
      </w:r>
      <w:r w:rsidRPr="00CD1535">
        <w:rPr>
          <w:sz w:val="18"/>
          <w:szCs w:val="18"/>
        </w:rPr>
        <w:t xml:space="preserve"> Amnesty International Annual Report, 2015/2016, https://www.amnesty.org/en/countries/middle-east-and-north-africa/bahrain/report-bahrain/.</w:t>
      </w:r>
    </w:p>
  </w:footnote>
  <w:footnote w:id="98">
    <w:p w:rsidR="00D17596" w:rsidRPr="004B223D" w:rsidRDefault="00D17596" w:rsidP="000A0114">
      <w:pPr>
        <w:pStyle w:val="FootnoteText"/>
        <w:spacing w:after="0"/>
        <w:ind w:left="0" w:firstLine="0"/>
      </w:pPr>
      <w:r w:rsidRPr="004B223D">
        <w:rPr>
          <w:rStyle w:val="FootnoteReference"/>
          <w:sz w:val="20"/>
        </w:rPr>
        <w:footnoteRef/>
      </w:r>
      <w:r w:rsidRPr="004B223D">
        <w:t xml:space="preserve"> </w:t>
      </w:r>
      <w:r>
        <w:t>Gulf Centre for Human Rights</w:t>
      </w:r>
      <w:r w:rsidRPr="004B223D">
        <w:t xml:space="preserve">, </w:t>
      </w:r>
      <w:r w:rsidRPr="004B223D">
        <w:rPr>
          <w:i/>
          <w:iCs/>
        </w:rPr>
        <w:t>Bahrain: Human Rights Defender Naji Fat</w:t>
      </w:r>
      <w:r>
        <w:rPr>
          <w:i/>
          <w:iCs/>
        </w:rPr>
        <w:t>eel starts a hunger strike for f</w:t>
      </w:r>
      <w:r w:rsidRPr="004B223D">
        <w:rPr>
          <w:i/>
          <w:iCs/>
        </w:rPr>
        <w:t>reedom</w:t>
      </w:r>
      <w:r w:rsidRPr="004B223D">
        <w:t xml:space="preserve">, </w:t>
      </w:r>
      <w:r>
        <w:t>6 September</w:t>
      </w:r>
      <w:r w:rsidRPr="004B223D">
        <w:t xml:space="preserve"> 2014</w:t>
      </w:r>
      <w:r>
        <w:t xml:space="preserve">, </w:t>
      </w:r>
      <w:r w:rsidRPr="004B223D">
        <w:t>http://www.gc4hr.org/news/view/736.</w:t>
      </w:r>
    </w:p>
  </w:footnote>
  <w:footnote w:id="99">
    <w:p w:rsidR="00D17596" w:rsidRPr="000A0114" w:rsidRDefault="00D17596" w:rsidP="000A0114">
      <w:pPr>
        <w:pStyle w:val="FootnoteText"/>
        <w:spacing w:after="0"/>
        <w:ind w:left="0" w:firstLine="0"/>
        <w:rPr>
          <w:lang w:val="en-CA"/>
        </w:rPr>
      </w:pPr>
      <w:r w:rsidRPr="000A0114">
        <w:rPr>
          <w:rStyle w:val="FootnoteReference"/>
          <w:sz w:val="20"/>
        </w:rPr>
        <w:footnoteRef/>
      </w:r>
      <w:r>
        <w:t xml:space="preserve"> </w:t>
      </w:r>
      <w:r w:rsidRPr="000A0114">
        <w:t xml:space="preserve">Americans for Democracy &amp; Human Rights in Bahrain (ADHRB), </w:t>
      </w:r>
      <w:r w:rsidRPr="000A0114">
        <w:rPr>
          <w:i/>
          <w:iCs/>
        </w:rPr>
        <w:t>Three torture victims facing imminent threat of execution at any time</w:t>
      </w:r>
      <w:r w:rsidRPr="000A0114">
        <w:t>, 14 January 2017, http://www.adhrb.org/2017/01/three-torture-victims-facing-imminent-threat-execution-time/.</w:t>
      </w:r>
    </w:p>
  </w:footnote>
  <w:footnote w:id="100">
    <w:p w:rsidR="00D17596" w:rsidRPr="00AB6E61" w:rsidRDefault="00D17596" w:rsidP="00AB6E61">
      <w:pPr>
        <w:pStyle w:val="FootnoteText"/>
        <w:spacing w:after="0"/>
        <w:ind w:left="0" w:firstLine="0"/>
      </w:pPr>
      <w:r w:rsidRPr="00AB6E61">
        <w:rPr>
          <w:rStyle w:val="FootnoteReference"/>
          <w:sz w:val="20"/>
        </w:rPr>
        <w:footnoteRef/>
      </w:r>
      <w:r w:rsidRPr="00AB6E61">
        <w:t xml:space="preserve"> Gulf Centre for Human Rights, August 2016, </w:t>
      </w:r>
      <w:r w:rsidRPr="00AB6E61">
        <w:rPr>
          <w:i/>
        </w:rPr>
        <w:t>Liberty at Risk:</w:t>
      </w:r>
      <w:r>
        <w:rPr>
          <w:i/>
        </w:rPr>
        <w:t xml:space="preserve"> </w:t>
      </w:r>
      <w:r w:rsidRPr="00AB6E61">
        <w:rPr>
          <w:i/>
        </w:rPr>
        <w:t>Reprisals Against Human Rights Defenders in the Gulf Region and Neighboring Countries</w:t>
      </w:r>
      <w:r>
        <w:t xml:space="preserve">, </w:t>
      </w:r>
      <w:r w:rsidRPr="00944A64">
        <w:t>http://www.gc4hr.org/news/view/1347</w:t>
      </w:r>
    </w:p>
  </w:footnote>
  <w:footnote w:id="101">
    <w:p w:rsidR="00D17596" w:rsidRDefault="00D17596" w:rsidP="00AB6E61">
      <w:pPr>
        <w:pStyle w:val="FootnoteText"/>
        <w:spacing w:after="0"/>
        <w:ind w:left="0" w:firstLine="0"/>
      </w:pPr>
      <w:r w:rsidRPr="00AB6E61">
        <w:rPr>
          <w:rStyle w:val="FootnoteReference"/>
          <w:sz w:val="20"/>
        </w:rPr>
        <w:footnoteRef/>
      </w:r>
      <w:r w:rsidRPr="00AB6E61">
        <w:t xml:space="preserve"> Amnesty International statement to the 33rd session of the HRC, 13-30 September 2016, </w:t>
      </w:r>
      <w:r w:rsidRPr="00AB6E61">
        <w:rPr>
          <w:i/>
        </w:rPr>
        <w:t>Bahrain:</w:t>
      </w:r>
      <w:r>
        <w:rPr>
          <w:i/>
        </w:rPr>
        <w:t xml:space="preserve"> </w:t>
      </w:r>
      <w:r w:rsidRPr="00AB6E61">
        <w:rPr>
          <w:i/>
        </w:rPr>
        <w:t>Alarming Clampdown on the Rights to Freedom of Expression, Association, Peaceful Assembly and Movement</w:t>
      </w:r>
      <w:r w:rsidRPr="00AB6E61">
        <w:t>, p. 2.</w:t>
      </w:r>
    </w:p>
  </w:footnote>
  <w:footnote w:id="102">
    <w:p w:rsidR="00D17596" w:rsidRPr="00AB6E61" w:rsidRDefault="00D17596" w:rsidP="000F466D">
      <w:pPr>
        <w:pStyle w:val="FootnoteText"/>
        <w:spacing w:after="0"/>
        <w:ind w:left="0" w:firstLine="0"/>
      </w:pPr>
      <w:r w:rsidRPr="00AB6E61">
        <w:rPr>
          <w:rStyle w:val="FootnoteReference"/>
          <w:sz w:val="20"/>
        </w:rPr>
        <w:footnoteRef/>
      </w:r>
      <w:r>
        <w:t xml:space="preserve"> </w:t>
      </w:r>
      <w:r w:rsidRPr="00AB6E61">
        <w:t>http://cddrl.fsi.stanford.edu/news/stanford-cddrl-calls-bahrain-authorities-release-travel-ban-sheikh-al-salman</w:t>
      </w:r>
    </w:p>
  </w:footnote>
  <w:footnote w:id="103">
    <w:p w:rsidR="00D17596" w:rsidRDefault="00D17596" w:rsidP="00AB6E61">
      <w:pPr>
        <w:pStyle w:val="FootnoteText"/>
        <w:spacing w:after="0"/>
        <w:ind w:left="0" w:firstLine="0"/>
      </w:pPr>
      <w:r>
        <w:rPr>
          <w:rStyle w:val="FootnoteReference"/>
        </w:rPr>
        <w:footnoteRef/>
      </w:r>
      <w:r>
        <w:t xml:space="preserve"> Elizabeth Dickenson, </w:t>
      </w:r>
      <w:r w:rsidRPr="000C7856">
        <w:rPr>
          <w:i/>
        </w:rPr>
        <w:t>Bahrain commission issues brutal critique of Arab Spring crackdown</w:t>
      </w:r>
      <w:r>
        <w:t>, Christian Science Monitor, 23 Nov 2011.</w:t>
      </w:r>
    </w:p>
  </w:footnote>
  <w:footnote w:id="104">
    <w:p w:rsidR="00D17596" w:rsidRDefault="00D17596" w:rsidP="00AB6E61">
      <w:pPr>
        <w:pStyle w:val="FootnoteText"/>
        <w:spacing w:after="0"/>
        <w:ind w:left="0" w:firstLine="0"/>
      </w:pPr>
      <w:r>
        <w:rPr>
          <w:rStyle w:val="FootnoteReference"/>
        </w:rPr>
        <w:footnoteRef/>
      </w:r>
      <w:r>
        <w:t xml:space="preserve"> Bahrain 2013 Human Rights Report, US State Department, pp. 2,4.</w:t>
      </w:r>
    </w:p>
  </w:footnote>
  <w:footnote w:id="105">
    <w:p w:rsidR="00D17596" w:rsidRDefault="00D17596" w:rsidP="00AB6E61">
      <w:pPr>
        <w:pStyle w:val="FootnoteText"/>
        <w:spacing w:after="0"/>
        <w:ind w:left="0" w:firstLine="0"/>
      </w:pPr>
      <w:r>
        <w:rPr>
          <w:rStyle w:val="FootnoteReference"/>
        </w:rPr>
        <w:footnoteRef/>
      </w:r>
      <w:r w:rsidRPr="00485682">
        <w:t>Amnesty International Annual Report, 2015/2016, https://www.amnesty.org/en/countries/middle-east-and-north-africa/bahrain/report-bahrain/.</w:t>
      </w:r>
      <w:r>
        <w:t xml:space="preserve"> </w:t>
      </w:r>
    </w:p>
  </w:footnote>
  <w:footnote w:id="106">
    <w:p w:rsidR="00D17596" w:rsidRDefault="00D17596" w:rsidP="00F376F6">
      <w:pPr>
        <w:pStyle w:val="FootnoteText"/>
        <w:spacing w:after="0"/>
        <w:ind w:left="0" w:firstLine="0"/>
      </w:pPr>
      <w:r>
        <w:rPr>
          <w:rStyle w:val="FootnoteReference"/>
        </w:rPr>
        <w:footnoteRef/>
      </w:r>
      <w:r>
        <w:t xml:space="preserve"> Bahrain Centre for Human Rights Report, </w:t>
      </w:r>
      <w:r w:rsidRPr="002765F5">
        <w:rPr>
          <w:i/>
        </w:rPr>
        <w:t>Bahrain: Continued Harassment and Ill-Treatment for Ahmed Al-Arab</w:t>
      </w:r>
      <w:r>
        <w:t xml:space="preserve">, 1 June 2014, </w:t>
      </w:r>
      <w:r w:rsidRPr="00944A64">
        <w:t>http://www.bahrainrights.org/en/node/6886</w:t>
      </w:r>
    </w:p>
  </w:footnote>
  <w:footnote w:id="107">
    <w:p w:rsidR="00D17596" w:rsidRPr="008E1A77" w:rsidRDefault="00D17596" w:rsidP="00B8323B">
      <w:pPr>
        <w:pStyle w:val="FootnoteText"/>
        <w:spacing w:after="0"/>
        <w:ind w:left="0" w:firstLine="0"/>
      </w:pPr>
      <w:r w:rsidRPr="008E1A77">
        <w:rPr>
          <w:rStyle w:val="FootnoteReference"/>
          <w:sz w:val="20"/>
        </w:rPr>
        <w:footnoteRef/>
      </w:r>
      <w:r w:rsidRPr="008E1A77">
        <w:t xml:space="preserve"> </w:t>
      </w:r>
      <w:r>
        <w:t>Gulf Centre</w:t>
      </w:r>
      <w:r w:rsidRPr="008E1A77">
        <w:t xml:space="preserve"> for Human Rights Report, </w:t>
      </w:r>
      <w:r w:rsidRPr="008E1A77">
        <w:rPr>
          <w:i/>
        </w:rPr>
        <w:t>Bahrain: Human Rights Defender Naji Fateel starts a hunger strike for Freedom,</w:t>
      </w:r>
      <w:r w:rsidRPr="008E1A77">
        <w:t xml:space="preserve"> </w:t>
      </w:r>
      <w:r>
        <w:t xml:space="preserve">6 September </w:t>
      </w:r>
      <w:r w:rsidRPr="008E1A77">
        <w:t>2014, http://www.gc4hr.org/news/view/736.</w:t>
      </w:r>
    </w:p>
  </w:footnote>
  <w:footnote w:id="108">
    <w:p w:rsidR="00D17596" w:rsidRPr="005636D0" w:rsidRDefault="00D17596" w:rsidP="00F376F6">
      <w:pPr>
        <w:pStyle w:val="FootnoteText"/>
        <w:spacing w:after="0"/>
        <w:ind w:left="0" w:firstLine="0"/>
        <w:rPr>
          <w:i/>
        </w:rPr>
      </w:pPr>
      <w:r>
        <w:rPr>
          <w:rStyle w:val="FootnoteReference"/>
        </w:rPr>
        <w:footnoteRef/>
      </w:r>
      <w:r>
        <w:t xml:space="preserve"> Human Rights Watch Report, 13 June 2016, </w:t>
      </w:r>
      <w:r>
        <w:rPr>
          <w:i/>
        </w:rPr>
        <w:t>Bahrain: Lagging Efforts to End Torture.</w:t>
      </w:r>
    </w:p>
  </w:footnote>
  <w:footnote w:id="109">
    <w:p w:rsidR="00D17596" w:rsidRPr="008E1A77" w:rsidRDefault="00D17596" w:rsidP="00F376F6">
      <w:pPr>
        <w:pStyle w:val="FootnoteText"/>
        <w:spacing w:after="0"/>
        <w:ind w:left="0" w:firstLine="0"/>
      </w:pPr>
      <w:r w:rsidRPr="008E1A77">
        <w:rPr>
          <w:rStyle w:val="FootnoteReference"/>
          <w:sz w:val="20"/>
        </w:rPr>
        <w:footnoteRef/>
      </w:r>
      <w:r w:rsidRPr="008E1A77">
        <w:t xml:space="preserve"> Ibid., p. 2.</w:t>
      </w:r>
    </w:p>
  </w:footnote>
  <w:footnote w:id="110">
    <w:p w:rsidR="00D17596" w:rsidRPr="00944A64" w:rsidRDefault="00D17596" w:rsidP="00944A64">
      <w:pPr>
        <w:pStyle w:val="FootnoteText"/>
        <w:rPr>
          <w:lang w:val="en-CA"/>
        </w:rPr>
      </w:pPr>
      <w:r>
        <w:rPr>
          <w:rStyle w:val="FootnoteReference"/>
        </w:rPr>
        <w:footnoteRef/>
      </w:r>
      <w:r>
        <w:t xml:space="preserve"> </w:t>
      </w:r>
      <w:r w:rsidRPr="00944A64">
        <w:rPr>
          <w:i/>
          <w:iCs/>
        </w:rPr>
        <w:t>The Guardian</w:t>
      </w:r>
      <w:r>
        <w:t xml:space="preserve">, </w:t>
      </w:r>
      <w:r w:rsidRPr="00944A64">
        <w:rPr>
          <w:i/>
          <w:iCs/>
        </w:rPr>
        <w:t>Bahrain torture ‘ignored’ by UK-funded monitor</w:t>
      </w:r>
      <w:r>
        <w:t xml:space="preserve">, 16 July 2016, </w:t>
      </w:r>
      <w:r w:rsidRPr="00944A64">
        <w:t>https://www.theguardian.com/world/2016/jul/16/bahrain-torture-foreign-office-criticised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96" w:rsidRDefault="00D17596">
    <w:pPr>
      <w:framePr w:wrap="around" w:vAnchor="text" w:hAnchor="margin" w:xAlign="right" w:y="1"/>
    </w:pPr>
    <w:r>
      <w:fldChar w:fldCharType="begin"/>
    </w:r>
    <w:r>
      <w:instrText xml:space="preserve">PAGE  </w:instrText>
    </w:r>
    <w:r>
      <w:fldChar w:fldCharType="separate"/>
    </w:r>
    <w:r>
      <w:t>1</w:t>
    </w:r>
    <w:r>
      <w:fldChar w:fldCharType="end"/>
    </w:r>
  </w:p>
  <w:p w:rsidR="00D17596" w:rsidRDefault="00D1759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206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321E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A95C0"/>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F920E5D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F2E2563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F6B2AEF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C1E61D8C"/>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2EBAE0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1D0C99"/>
    <w:multiLevelType w:val="hybridMultilevel"/>
    <w:tmpl w:val="00D2F0A0"/>
    <w:lvl w:ilvl="0" w:tplc="DF9E60F6">
      <w:start w:val="1"/>
      <w:numFmt w:val="bullet"/>
      <w:pStyle w:val="DW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033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27002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E2379C"/>
    <w:multiLevelType w:val="singleLevel"/>
    <w:tmpl w:val="BE30B3A8"/>
    <w:lvl w:ilvl="0">
      <w:start w:val="1"/>
      <w:numFmt w:val="bullet"/>
      <w:pStyle w:val="ListBullet1"/>
      <w:lvlText w:val=""/>
      <w:lvlJc w:val="left"/>
      <w:pPr>
        <w:tabs>
          <w:tab w:val="num" w:pos="360"/>
        </w:tabs>
        <w:ind w:left="360" w:hanging="360"/>
      </w:pPr>
      <w:rPr>
        <w:rFonts w:ascii="Symbol" w:hAnsi="Symbol" w:hint="default"/>
      </w:rPr>
    </w:lvl>
  </w:abstractNum>
  <w:abstractNum w:abstractNumId="12">
    <w:nsid w:val="2A373242"/>
    <w:multiLevelType w:val="multilevel"/>
    <w:tmpl w:val="9B440460"/>
    <w:lvl w:ilvl="0">
      <w:start w:val="1"/>
      <w:numFmt w:val="none"/>
      <w:pStyle w:val="Heading1"/>
      <w:suff w:val="nothing"/>
      <w:lvlText w:val="%1"/>
      <w:lvlJc w:val="center"/>
      <w:pPr>
        <w:ind w:left="0" w:firstLine="0"/>
      </w:pPr>
      <w:rPr>
        <w:rFonts w:hint="default"/>
        <w:u w:val="none"/>
      </w:rPr>
    </w:lvl>
    <w:lvl w:ilvl="1">
      <w:start w:val="1"/>
      <w:numFmt w:val="none"/>
      <w:pStyle w:val="Heading2"/>
      <w:suff w:val="nothing"/>
      <w:lvlText w:val="%2"/>
      <w:lvlJc w:val="left"/>
      <w:pPr>
        <w:ind w:left="0" w:firstLine="0"/>
      </w:pPr>
      <w:rPr>
        <w:rFonts w:hint="default"/>
        <w:u w:val="none"/>
      </w:rPr>
    </w:lvl>
    <w:lvl w:ilvl="2">
      <w:start w:val="1"/>
      <w:numFmt w:val="none"/>
      <w:pStyle w:val="Heading3"/>
      <w:suff w:val="nothing"/>
      <w:lvlText w:val="%3"/>
      <w:lvlJc w:val="left"/>
      <w:pPr>
        <w:ind w:left="0" w:firstLine="0"/>
      </w:pPr>
      <w:rPr>
        <w:rFonts w:hint="default"/>
        <w:u w:val="none"/>
      </w:rPr>
    </w:lvl>
    <w:lvl w:ilvl="3">
      <w:start w:val="1"/>
      <w:numFmt w:val="none"/>
      <w:pStyle w:val="Heading4"/>
      <w:suff w:val="nothing"/>
      <w:lvlText w:val="%4"/>
      <w:lvlJc w:val="left"/>
      <w:pPr>
        <w:ind w:left="0" w:firstLine="0"/>
      </w:pPr>
      <w:rPr>
        <w:rFonts w:hint="default"/>
        <w:u w:val="none"/>
      </w:rPr>
    </w:lvl>
    <w:lvl w:ilvl="4">
      <w:start w:val="1"/>
      <w:numFmt w:val="none"/>
      <w:pStyle w:val="Heading5"/>
      <w:suff w:val="nothing"/>
      <w:lvlText w:val="%5"/>
      <w:lvlJc w:val="left"/>
      <w:pPr>
        <w:ind w:left="0" w:firstLine="0"/>
      </w:pPr>
      <w:rPr>
        <w:rFonts w:hint="default"/>
        <w:u w:val="none"/>
      </w:rPr>
    </w:lvl>
    <w:lvl w:ilvl="5">
      <w:start w:val="1"/>
      <w:numFmt w:val="none"/>
      <w:lvlRestart w:val="0"/>
      <w:pStyle w:val="Heading6"/>
      <w:suff w:val="nothing"/>
      <w:lvlText w:val=""/>
      <w:lvlJc w:val="left"/>
      <w:pPr>
        <w:ind w:left="0" w:firstLine="0"/>
      </w:pPr>
      <w:rPr>
        <w:rFonts w:hint="default"/>
        <w:u w:val="none"/>
      </w:rPr>
    </w:lvl>
    <w:lvl w:ilvl="6">
      <w:start w:val="1"/>
      <w:numFmt w:val="none"/>
      <w:pStyle w:val="Heading7"/>
      <w:suff w:val="nothing"/>
      <w:lvlText w:val="%7"/>
      <w:lvlJc w:val="left"/>
      <w:pPr>
        <w:ind w:left="0" w:firstLine="0"/>
      </w:pPr>
      <w:rPr>
        <w:rFonts w:hint="default"/>
        <w:u w:val="none"/>
      </w:rPr>
    </w:lvl>
    <w:lvl w:ilvl="7">
      <w:start w:val="1"/>
      <w:numFmt w:val="none"/>
      <w:pStyle w:val="Heading8"/>
      <w:suff w:val="nothing"/>
      <w:lvlText w:val="%8"/>
      <w:lvlJc w:val="left"/>
      <w:pPr>
        <w:ind w:left="0" w:firstLine="0"/>
      </w:pPr>
      <w:rPr>
        <w:rFonts w:hint="default"/>
        <w:u w:val="none"/>
      </w:rPr>
    </w:lvl>
    <w:lvl w:ilvl="8">
      <w:start w:val="1"/>
      <w:numFmt w:val="none"/>
      <w:pStyle w:val="Heading9"/>
      <w:suff w:val="nothing"/>
      <w:lvlText w:val="%9"/>
      <w:lvlJc w:val="left"/>
      <w:pPr>
        <w:ind w:left="0" w:firstLine="0"/>
      </w:pPr>
      <w:rPr>
        <w:rFonts w:hint="default"/>
        <w:u w:val="none"/>
      </w:rPr>
    </w:lvl>
  </w:abstractNum>
  <w:abstractNum w:abstractNumId="13">
    <w:nsid w:val="57BF7401"/>
    <w:multiLevelType w:val="hybridMultilevel"/>
    <w:tmpl w:val="B7549550"/>
    <w:lvl w:ilvl="0" w:tplc="D356492A">
      <w:start w:val="1"/>
      <w:numFmt w:val="decimal"/>
      <w:suff w:val="space"/>
      <w:lvlText w:val="%1."/>
      <w:lvlJc w:val="left"/>
      <w:pPr>
        <w:ind w:left="737" w:hanging="377"/>
      </w:pPr>
      <w:rPr>
        <w:rFonts w:hint="default"/>
        <w:b w:val="0"/>
        <w:bCs/>
      </w:rPr>
    </w:lvl>
    <w:lvl w:ilvl="1" w:tplc="3BB05824">
      <w:start w:val="1"/>
      <w:numFmt w:val="lowerLetter"/>
      <w:suff w:val="space"/>
      <w:lvlText w:val="(%2)"/>
      <w:lvlJc w:val="left"/>
      <w:pPr>
        <w:ind w:left="2189" w:hanging="372"/>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AC04A7F"/>
    <w:multiLevelType w:val="singleLevel"/>
    <w:tmpl w:val="61068C96"/>
    <w:lvl w:ilvl="0">
      <w:start w:val="1"/>
      <w:numFmt w:val="decimal"/>
      <w:pStyle w:val="ListNumber1"/>
      <w:lvlText w:val="%1."/>
      <w:lvlJc w:val="left"/>
      <w:pPr>
        <w:tabs>
          <w:tab w:val="num" w:pos="360"/>
        </w:tabs>
        <w:ind w:left="360" w:hanging="360"/>
      </w:pPr>
    </w:lvl>
  </w:abstractNum>
  <w:abstractNum w:abstractNumId="15">
    <w:nsid w:val="5B2A29AC"/>
    <w:multiLevelType w:val="hybridMultilevel"/>
    <w:tmpl w:val="2D0A480E"/>
    <w:lvl w:ilvl="0" w:tplc="DDEC2E6C">
      <w:start w:val="1"/>
      <w:numFmt w:val="decimal"/>
      <w:pStyle w:val="DWListNumber"/>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7610D3"/>
    <w:multiLevelType w:val="hybridMultilevel"/>
    <w:tmpl w:val="440AB3FE"/>
    <w:lvl w:ilvl="0" w:tplc="D356492A">
      <w:start w:val="1"/>
      <w:numFmt w:val="decimal"/>
      <w:suff w:val="space"/>
      <w:lvlText w:val="%1."/>
      <w:lvlJc w:val="left"/>
      <w:pPr>
        <w:ind w:left="737" w:hanging="377"/>
      </w:pPr>
      <w:rPr>
        <w:rFonts w:hint="default"/>
        <w:b w:val="0"/>
        <w:bCs/>
      </w:rPr>
    </w:lvl>
    <w:lvl w:ilvl="1" w:tplc="BA281982">
      <w:start w:val="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0C655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52260F2"/>
    <w:multiLevelType w:val="hybridMultilevel"/>
    <w:tmpl w:val="F1C82C7A"/>
    <w:lvl w:ilvl="0" w:tplc="DBF6FF70">
      <w:start w:val="1"/>
      <w:numFmt w:val="decimal"/>
      <w:suff w:val="space"/>
      <w:lvlText w:val="%1."/>
      <w:lvlJc w:val="left"/>
      <w:pPr>
        <w:ind w:left="1457" w:hanging="360"/>
      </w:pPr>
      <w:rPr>
        <w:rFonts w:hint="default"/>
      </w:rPr>
    </w:lvl>
    <w:lvl w:ilvl="1" w:tplc="10090019" w:tentative="1">
      <w:start w:val="1"/>
      <w:numFmt w:val="lowerLetter"/>
      <w:lvlText w:val="%2."/>
      <w:lvlJc w:val="left"/>
      <w:pPr>
        <w:ind w:left="2177" w:hanging="360"/>
      </w:pPr>
    </w:lvl>
    <w:lvl w:ilvl="2" w:tplc="1009001B" w:tentative="1">
      <w:start w:val="1"/>
      <w:numFmt w:val="lowerRoman"/>
      <w:lvlText w:val="%3."/>
      <w:lvlJc w:val="right"/>
      <w:pPr>
        <w:ind w:left="2897" w:hanging="180"/>
      </w:pPr>
    </w:lvl>
    <w:lvl w:ilvl="3" w:tplc="1009000F" w:tentative="1">
      <w:start w:val="1"/>
      <w:numFmt w:val="decimal"/>
      <w:lvlText w:val="%4."/>
      <w:lvlJc w:val="left"/>
      <w:pPr>
        <w:ind w:left="3617" w:hanging="360"/>
      </w:pPr>
    </w:lvl>
    <w:lvl w:ilvl="4" w:tplc="10090019" w:tentative="1">
      <w:start w:val="1"/>
      <w:numFmt w:val="lowerLetter"/>
      <w:lvlText w:val="%5."/>
      <w:lvlJc w:val="left"/>
      <w:pPr>
        <w:ind w:left="4337" w:hanging="360"/>
      </w:pPr>
    </w:lvl>
    <w:lvl w:ilvl="5" w:tplc="1009001B" w:tentative="1">
      <w:start w:val="1"/>
      <w:numFmt w:val="lowerRoman"/>
      <w:lvlText w:val="%6."/>
      <w:lvlJc w:val="right"/>
      <w:pPr>
        <w:ind w:left="5057" w:hanging="180"/>
      </w:pPr>
    </w:lvl>
    <w:lvl w:ilvl="6" w:tplc="1009000F" w:tentative="1">
      <w:start w:val="1"/>
      <w:numFmt w:val="decimal"/>
      <w:lvlText w:val="%7."/>
      <w:lvlJc w:val="left"/>
      <w:pPr>
        <w:ind w:left="5777" w:hanging="360"/>
      </w:pPr>
    </w:lvl>
    <w:lvl w:ilvl="7" w:tplc="10090019" w:tentative="1">
      <w:start w:val="1"/>
      <w:numFmt w:val="lowerLetter"/>
      <w:lvlText w:val="%8."/>
      <w:lvlJc w:val="left"/>
      <w:pPr>
        <w:ind w:left="6497" w:hanging="360"/>
      </w:pPr>
    </w:lvl>
    <w:lvl w:ilvl="8" w:tplc="1009001B" w:tentative="1">
      <w:start w:val="1"/>
      <w:numFmt w:val="lowerRoman"/>
      <w:lvlText w:val="%9."/>
      <w:lvlJc w:val="right"/>
      <w:pPr>
        <w:ind w:left="7217" w:hanging="180"/>
      </w:pPr>
    </w:lvl>
  </w:abstractNum>
  <w:abstractNum w:abstractNumId="19">
    <w:nsid w:val="78760944"/>
    <w:multiLevelType w:val="hybridMultilevel"/>
    <w:tmpl w:val="7DBAD2CA"/>
    <w:lvl w:ilvl="0" w:tplc="CB340A32">
      <w:start w:val="1"/>
      <w:numFmt w:val="decimal"/>
      <w:suff w:val="space"/>
      <w:lvlText w:val="%1."/>
      <w:lvlJc w:val="left"/>
      <w:pPr>
        <w:ind w:left="1457" w:hanging="360"/>
      </w:pPr>
      <w:rPr>
        <w:rFonts w:hint="default"/>
      </w:rPr>
    </w:lvl>
    <w:lvl w:ilvl="1" w:tplc="10090019" w:tentative="1">
      <w:start w:val="1"/>
      <w:numFmt w:val="lowerLetter"/>
      <w:lvlText w:val="%2."/>
      <w:lvlJc w:val="left"/>
      <w:pPr>
        <w:ind w:left="2177" w:hanging="360"/>
      </w:pPr>
    </w:lvl>
    <w:lvl w:ilvl="2" w:tplc="1009001B" w:tentative="1">
      <w:start w:val="1"/>
      <w:numFmt w:val="lowerRoman"/>
      <w:lvlText w:val="%3."/>
      <w:lvlJc w:val="right"/>
      <w:pPr>
        <w:ind w:left="2897" w:hanging="180"/>
      </w:pPr>
    </w:lvl>
    <w:lvl w:ilvl="3" w:tplc="1009000F" w:tentative="1">
      <w:start w:val="1"/>
      <w:numFmt w:val="decimal"/>
      <w:lvlText w:val="%4."/>
      <w:lvlJc w:val="left"/>
      <w:pPr>
        <w:ind w:left="3617" w:hanging="360"/>
      </w:pPr>
    </w:lvl>
    <w:lvl w:ilvl="4" w:tplc="10090019" w:tentative="1">
      <w:start w:val="1"/>
      <w:numFmt w:val="lowerLetter"/>
      <w:lvlText w:val="%5."/>
      <w:lvlJc w:val="left"/>
      <w:pPr>
        <w:ind w:left="4337" w:hanging="360"/>
      </w:pPr>
    </w:lvl>
    <w:lvl w:ilvl="5" w:tplc="1009001B" w:tentative="1">
      <w:start w:val="1"/>
      <w:numFmt w:val="lowerRoman"/>
      <w:lvlText w:val="%6."/>
      <w:lvlJc w:val="right"/>
      <w:pPr>
        <w:ind w:left="5057" w:hanging="180"/>
      </w:pPr>
    </w:lvl>
    <w:lvl w:ilvl="6" w:tplc="1009000F" w:tentative="1">
      <w:start w:val="1"/>
      <w:numFmt w:val="decimal"/>
      <w:lvlText w:val="%7."/>
      <w:lvlJc w:val="left"/>
      <w:pPr>
        <w:ind w:left="5777" w:hanging="360"/>
      </w:pPr>
    </w:lvl>
    <w:lvl w:ilvl="7" w:tplc="10090019" w:tentative="1">
      <w:start w:val="1"/>
      <w:numFmt w:val="lowerLetter"/>
      <w:lvlText w:val="%8."/>
      <w:lvlJc w:val="left"/>
      <w:pPr>
        <w:ind w:left="6497" w:hanging="360"/>
      </w:pPr>
    </w:lvl>
    <w:lvl w:ilvl="8" w:tplc="1009001B" w:tentative="1">
      <w:start w:val="1"/>
      <w:numFmt w:val="lowerRoman"/>
      <w:lvlText w:val="%9."/>
      <w:lvlJc w:val="right"/>
      <w:pPr>
        <w:ind w:left="7217" w:hanging="180"/>
      </w:pPr>
    </w:lvl>
  </w:abstractNum>
  <w:abstractNum w:abstractNumId="20">
    <w:nsid w:val="7CC84AA5"/>
    <w:multiLevelType w:val="hybridMultilevel"/>
    <w:tmpl w:val="C8866042"/>
    <w:lvl w:ilvl="0" w:tplc="8418209C">
      <w:start w:val="1"/>
      <w:numFmt w:val="decimal"/>
      <w:suff w:val="space"/>
      <w:lvlText w:val="%1."/>
      <w:lvlJc w:val="left"/>
      <w:pPr>
        <w:ind w:left="1457" w:hanging="360"/>
      </w:pPr>
      <w:rPr>
        <w:rFonts w:hint="default"/>
      </w:rPr>
    </w:lvl>
    <w:lvl w:ilvl="1" w:tplc="9C2A8794">
      <w:start w:val="1"/>
      <w:numFmt w:val="lowerLetter"/>
      <w:suff w:val="space"/>
      <w:lvlText w:val="(%2)"/>
      <w:lvlJc w:val="left"/>
      <w:pPr>
        <w:ind w:left="2177" w:hanging="360"/>
      </w:pPr>
      <w:rPr>
        <w:rFonts w:hint="default"/>
      </w:rPr>
    </w:lvl>
    <w:lvl w:ilvl="2" w:tplc="1009001B" w:tentative="1">
      <w:start w:val="1"/>
      <w:numFmt w:val="lowerRoman"/>
      <w:lvlText w:val="%3."/>
      <w:lvlJc w:val="right"/>
      <w:pPr>
        <w:ind w:left="2897" w:hanging="180"/>
      </w:pPr>
    </w:lvl>
    <w:lvl w:ilvl="3" w:tplc="1009000F" w:tentative="1">
      <w:start w:val="1"/>
      <w:numFmt w:val="decimal"/>
      <w:lvlText w:val="%4."/>
      <w:lvlJc w:val="left"/>
      <w:pPr>
        <w:ind w:left="3617" w:hanging="360"/>
      </w:pPr>
    </w:lvl>
    <w:lvl w:ilvl="4" w:tplc="10090019" w:tentative="1">
      <w:start w:val="1"/>
      <w:numFmt w:val="lowerLetter"/>
      <w:lvlText w:val="%5."/>
      <w:lvlJc w:val="left"/>
      <w:pPr>
        <w:ind w:left="4337" w:hanging="360"/>
      </w:pPr>
    </w:lvl>
    <w:lvl w:ilvl="5" w:tplc="1009001B" w:tentative="1">
      <w:start w:val="1"/>
      <w:numFmt w:val="lowerRoman"/>
      <w:lvlText w:val="%6."/>
      <w:lvlJc w:val="right"/>
      <w:pPr>
        <w:ind w:left="5057" w:hanging="180"/>
      </w:pPr>
    </w:lvl>
    <w:lvl w:ilvl="6" w:tplc="1009000F" w:tentative="1">
      <w:start w:val="1"/>
      <w:numFmt w:val="decimal"/>
      <w:lvlText w:val="%7."/>
      <w:lvlJc w:val="left"/>
      <w:pPr>
        <w:ind w:left="5777" w:hanging="360"/>
      </w:pPr>
    </w:lvl>
    <w:lvl w:ilvl="7" w:tplc="10090019" w:tentative="1">
      <w:start w:val="1"/>
      <w:numFmt w:val="lowerLetter"/>
      <w:lvlText w:val="%8."/>
      <w:lvlJc w:val="left"/>
      <w:pPr>
        <w:ind w:left="6497" w:hanging="360"/>
      </w:pPr>
    </w:lvl>
    <w:lvl w:ilvl="8" w:tplc="1009001B" w:tentative="1">
      <w:start w:val="1"/>
      <w:numFmt w:val="lowerRoman"/>
      <w:lvlText w:val="%9."/>
      <w:lvlJc w:val="right"/>
      <w:pPr>
        <w:ind w:left="7217" w:hanging="180"/>
      </w:pPr>
    </w:lvl>
  </w:abstractNum>
  <w:num w:numId="1">
    <w:abstractNumId w:val="8"/>
  </w:num>
  <w:num w:numId="2">
    <w:abstractNumId w:val="15"/>
  </w:num>
  <w:num w:numId="3">
    <w:abstractNumId w:val="12"/>
  </w:num>
  <w:num w:numId="4">
    <w:abstractNumId w:val="7"/>
  </w:num>
  <w:num w:numId="5">
    <w:abstractNumId w:val="11"/>
  </w:num>
  <w:num w:numId="6">
    <w:abstractNumId w:val="6"/>
  </w:num>
  <w:num w:numId="7">
    <w:abstractNumId w:val="5"/>
  </w:num>
  <w:num w:numId="8">
    <w:abstractNumId w:val="4"/>
  </w:num>
  <w:num w:numId="9">
    <w:abstractNumId w:val="3"/>
  </w:num>
  <w:num w:numId="10">
    <w:abstractNumId w:val="14"/>
  </w:num>
  <w:num w:numId="11">
    <w:abstractNumId w:val="2"/>
  </w:num>
  <w:num w:numId="12">
    <w:abstractNumId w:val="1"/>
  </w:num>
  <w:num w:numId="13">
    <w:abstractNumId w:val="0"/>
  </w:num>
  <w:num w:numId="14">
    <w:abstractNumId w:val="9"/>
  </w:num>
  <w:num w:numId="15">
    <w:abstractNumId w:val="10"/>
  </w:num>
  <w:num w:numId="16">
    <w:abstractNumId w:val="17"/>
  </w:num>
  <w:num w:numId="17">
    <w:abstractNumId w:val="13"/>
  </w:num>
  <w:num w:numId="18">
    <w:abstractNumId w:val="13"/>
  </w:num>
  <w:num w:numId="19">
    <w:abstractNumId w:val="18"/>
  </w:num>
  <w:num w:numId="20">
    <w:abstractNumId w:val="19"/>
  </w:num>
  <w:num w:numId="21">
    <w:abstractNumId w:val="20"/>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B8"/>
    <w:rsid w:val="000004B4"/>
    <w:rsid w:val="0000153B"/>
    <w:rsid w:val="00004946"/>
    <w:rsid w:val="00005890"/>
    <w:rsid w:val="000065D0"/>
    <w:rsid w:val="000138DB"/>
    <w:rsid w:val="000141DF"/>
    <w:rsid w:val="00014D12"/>
    <w:rsid w:val="0001646B"/>
    <w:rsid w:val="000170B3"/>
    <w:rsid w:val="00026979"/>
    <w:rsid w:val="00026D7B"/>
    <w:rsid w:val="00030E7C"/>
    <w:rsid w:val="00031183"/>
    <w:rsid w:val="000311A6"/>
    <w:rsid w:val="000342EF"/>
    <w:rsid w:val="000359F7"/>
    <w:rsid w:val="00036C89"/>
    <w:rsid w:val="00041A6A"/>
    <w:rsid w:val="00043B93"/>
    <w:rsid w:val="0004454B"/>
    <w:rsid w:val="000448B5"/>
    <w:rsid w:val="0004576A"/>
    <w:rsid w:val="00051C75"/>
    <w:rsid w:val="00052E13"/>
    <w:rsid w:val="0005343D"/>
    <w:rsid w:val="0005406A"/>
    <w:rsid w:val="00054469"/>
    <w:rsid w:val="00054C8E"/>
    <w:rsid w:val="00056D8A"/>
    <w:rsid w:val="0005769A"/>
    <w:rsid w:val="00061524"/>
    <w:rsid w:val="000630C0"/>
    <w:rsid w:val="00064085"/>
    <w:rsid w:val="00066426"/>
    <w:rsid w:val="00067201"/>
    <w:rsid w:val="00070706"/>
    <w:rsid w:val="00071D97"/>
    <w:rsid w:val="00075729"/>
    <w:rsid w:val="00076719"/>
    <w:rsid w:val="00077454"/>
    <w:rsid w:val="000809D6"/>
    <w:rsid w:val="00085701"/>
    <w:rsid w:val="00086FAE"/>
    <w:rsid w:val="00087075"/>
    <w:rsid w:val="00087E49"/>
    <w:rsid w:val="00090512"/>
    <w:rsid w:val="0009344A"/>
    <w:rsid w:val="0009432F"/>
    <w:rsid w:val="0009510E"/>
    <w:rsid w:val="000A002C"/>
    <w:rsid w:val="000A0114"/>
    <w:rsid w:val="000A0739"/>
    <w:rsid w:val="000A0C7F"/>
    <w:rsid w:val="000A1B53"/>
    <w:rsid w:val="000A2D62"/>
    <w:rsid w:val="000A4ACA"/>
    <w:rsid w:val="000A5584"/>
    <w:rsid w:val="000A73CC"/>
    <w:rsid w:val="000A7D07"/>
    <w:rsid w:val="000B11E3"/>
    <w:rsid w:val="000B155E"/>
    <w:rsid w:val="000B4FDD"/>
    <w:rsid w:val="000B6AE5"/>
    <w:rsid w:val="000B7347"/>
    <w:rsid w:val="000B75FD"/>
    <w:rsid w:val="000C2193"/>
    <w:rsid w:val="000C473B"/>
    <w:rsid w:val="000C4868"/>
    <w:rsid w:val="000C4A3F"/>
    <w:rsid w:val="000C620D"/>
    <w:rsid w:val="000C7856"/>
    <w:rsid w:val="000D10F0"/>
    <w:rsid w:val="000D21E4"/>
    <w:rsid w:val="000D33AA"/>
    <w:rsid w:val="000D74ED"/>
    <w:rsid w:val="000E2F57"/>
    <w:rsid w:val="000E2FCE"/>
    <w:rsid w:val="000E43FF"/>
    <w:rsid w:val="000E4779"/>
    <w:rsid w:val="000E696F"/>
    <w:rsid w:val="000F080C"/>
    <w:rsid w:val="000F0FC4"/>
    <w:rsid w:val="000F466D"/>
    <w:rsid w:val="000F5107"/>
    <w:rsid w:val="001003DB"/>
    <w:rsid w:val="00101889"/>
    <w:rsid w:val="00101B3A"/>
    <w:rsid w:val="00110E3A"/>
    <w:rsid w:val="00112242"/>
    <w:rsid w:val="00112EB0"/>
    <w:rsid w:val="00115DC8"/>
    <w:rsid w:val="00116B9A"/>
    <w:rsid w:val="001221F2"/>
    <w:rsid w:val="001225F8"/>
    <w:rsid w:val="00122865"/>
    <w:rsid w:val="001249E2"/>
    <w:rsid w:val="00124F2E"/>
    <w:rsid w:val="0012552D"/>
    <w:rsid w:val="00125FCB"/>
    <w:rsid w:val="001312EF"/>
    <w:rsid w:val="00131D04"/>
    <w:rsid w:val="001357A9"/>
    <w:rsid w:val="00137F67"/>
    <w:rsid w:val="00141F39"/>
    <w:rsid w:val="001423B4"/>
    <w:rsid w:val="00144A83"/>
    <w:rsid w:val="00144CA4"/>
    <w:rsid w:val="00144D42"/>
    <w:rsid w:val="00145584"/>
    <w:rsid w:val="001461F3"/>
    <w:rsid w:val="00146E91"/>
    <w:rsid w:val="0015044D"/>
    <w:rsid w:val="00151AE8"/>
    <w:rsid w:val="001545E4"/>
    <w:rsid w:val="00163CB4"/>
    <w:rsid w:val="00164CB0"/>
    <w:rsid w:val="00165538"/>
    <w:rsid w:val="001655B6"/>
    <w:rsid w:val="001658DE"/>
    <w:rsid w:val="00166494"/>
    <w:rsid w:val="0016664B"/>
    <w:rsid w:val="00167123"/>
    <w:rsid w:val="0016788F"/>
    <w:rsid w:val="00171B37"/>
    <w:rsid w:val="00172F42"/>
    <w:rsid w:val="00173DA9"/>
    <w:rsid w:val="00174E85"/>
    <w:rsid w:val="00177BE7"/>
    <w:rsid w:val="00180E17"/>
    <w:rsid w:val="001834E7"/>
    <w:rsid w:val="001956D6"/>
    <w:rsid w:val="00195777"/>
    <w:rsid w:val="00195923"/>
    <w:rsid w:val="00195D62"/>
    <w:rsid w:val="0019758C"/>
    <w:rsid w:val="001A06F6"/>
    <w:rsid w:val="001A1D7D"/>
    <w:rsid w:val="001A36A7"/>
    <w:rsid w:val="001A5317"/>
    <w:rsid w:val="001A605B"/>
    <w:rsid w:val="001A6DE1"/>
    <w:rsid w:val="001A7799"/>
    <w:rsid w:val="001A78F9"/>
    <w:rsid w:val="001B1805"/>
    <w:rsid w:val="001B230A"/>
    <w:rsid w:val="001B264B"/>
    <w:rsid w:val="001B4514"/>
    <w:rsid w:val="001B55D0"/>
    <w:rsid w:val="001B62F4"/>
    <w:rsid w:val="001B7876"/>
    <w:rsid w:val="001C26CF"/>
    <w:rsid w:val="001C28B4"/>
    <w:rsid w:val="001C2EAC"/>
    <w:rsid w:val="001C6A01"/>
    <w:rsid w:val="001C6A9B"/>
    <w:rsid w:val="001C7116"/>
    <w:rsid w:val="001C7FC7"/>
    <w:rsid w:val="001D07AC"/>
    <w:rsid w:val="001D0F05"/>
    <w:rsid w:val="001D2BD4"/>
    <w:rsid w:val="001E0E38"/>
    <w:rsid w:val="001E250B"/>
    <w:rsid w:val="001E43BD"/>
    <w:rsid w:val="001F2456"/>
    <w:rsid w:val="001F3ECC"/>
    <w:rsid w:val="001F3F6E"/>
    <w:rsid w:val="001F53C2"/>
    <w:rsid w:val="001F7ED8"/>
    <w:rsid w:val="002047AB"/>
    <w:rsid w:val="00213387"/>
    <w:rsid w:val="0021389C"/>
    <w:rsid w:val="0021467F"/>
    <w:rsid w:val="00214C01"/>
    <w:rsid w:val="00220A6A"/>
    <w:rsid w:val="00224CEA"/>
    <w:rsid w:val="00227298"/>
    <w:rsid w:val="00235E4C"/>
    <w:rsid w:val="0023602D"/>
    <w:rsid w:val="00236B3A"/>
    <w:rsid w:val="00240CE6"/>
    <w:rsid w:val="00243902"/>
    <w:rsid w:val="00244902"/>
    <w:rsid w:val="00247634"/>
    <w:rsid w:val="00250F13"/>
    <w:rsid w:val="002515AF"/>
    <w:rsid w:val="00251F92"/>
    <w:rsid w:val="002524F3"/>
    <w:rsid w:val="002534AF"/>
    <w:rsid w:val="00253C89"/>
    <w:rsid w:val="00254165"/>
    <w:rsid w:val="00255A30"/>
    <w:rsid w:val="002573A2"/>
    <w:rsid w:val="00257B44"/>
    <w:rsid w:val="00257C8C"/>
    <w:rsid w:val="00260240"/>
    <w:rsid w:val="002608CF"/>
    <w:rsid w:val="00263BF8"/>
    <w:rsid w:val="00265E0B"/>
    <w:rsid w:val="00270089"/>
    <w:rsid w:val="0027099F"/>
    <w:rsid w:val="00271F7E"/>
    <w:rsid w:val="00272A54"/>
    <w:rsid w:val="00274AAB"/>
    <w:rsid w:val="002765F5"/>
    <w:rsid w:val="0027744B"/>
    <w:rsid w:val="00280103"/>
    <w:rsid w:val="00281C75"/>
    <w:rsid w:val="00281F45"/>
    <w:rsid w:val="00282436"/>
    <w:rsid w:val="00294585"/>
    <w:rsid w:val="00296D28"/>
    <w:rsid w:val="002A1387"/>
    <w:rsid w:val="002A14EE"/>
    <w:rsid w:val="002A1B52"/>
    <w:rsid w:val="002A1DA3"/>
    <w:rsid w:val="002A3F80"/>
    <w:rsid w:val="002A4401"/>
    <w:rsid w:val="002A724F"/>
    <w:rsid w:val="002A738E"/>
    <w:rsid w:val="002B0FF0"/>
    <w:rsid w:val="002B1005"/>
    <w:rsid w:val="002B2BDE"/>
    <w:rsid w:val="002B4B4D"/>
    <w:rsid w:val="002B5256"/>
    <w:rsid w:val="002C034C"/>
    <w:rsid w:val="002C5455"/>
    <w:rsid w:val="002C7142"/>
    <w:rsid w:val="002C7A74"/>
    <w:rsid w:val="002C7C5A"/>
    <w:rsid w:val="002D080A"/>
    <w:rsid w:val="002D0839"/>
    <w:rsid w:val="002D29DD"/>
    <w:rsid w:val="002D3AD0"/>
    <w:rsid w:val="002D67D0"/>
    <w:rsid w:val="002E07D4"/>
    <w:rsid w:val="002E38F9"/>
    <w:rsid w:val="002E59DB"/>
    <w:rsid w:val="002E5C31"/>
    <w:rsid w:val="002E7F28"/>
    <w:rsid w:val="002F0EB2"/>
    <w:rsid w:val="002F122B"/>
    <w:rsid w:val="002F2510"/>
    <w:rsid w:val="002F3B34"/>
    <w:rsid w:val="002F4D76"/>
    <w:rsid w:val="002F61D9"/>
    <w:rsid w:val="002F7018"/>
    <w:rsid w:val="002F7488"/>
    <w:rsid w:val="002F7F24"/>
    <w:rsid w:val="00300F87"/>
    <w:rsid w:val="00301203"/>
    <w:rsid w:val="003018D8"/>
    <w:rsid w:val="00301B33"/>
    <w:rsid w:val="00303717"/>
    <w:rsid w:val="00305ADB"/>
    <w:rsid w:val="00305F69"/>
    <w:rsid w:val="0031072C"/>
    <w:rsid w:val="00311863"/>
    <w:rsid w:val="00314775"/>
    <w:rsid w:val="003148EE"/>
    <w:rsid w:val="00314BAA"/>
    <w:rsid w:val="00314CFC"/>
    <w:rsid w:val="0031719B"/>
    <w:rsid w:val="00321DAD"/>
    <w:rsid w:val="00323765"/>
    <w:rsid w:val="00323C5C"/>
    <w:rsid w:val="00324434"/>
    <w:rsid w:val="00324B7D"/>
    <w:rsid w:val="003251FE"/>
    <w:rsid w:val="0033006A"/>
    <w:rsid w:val="0033094B"/>
    <w:rsid w:val="003339BA"/>
    <w:rsid w:val="003359A3"/>
    <w:rsid w:val="0034022C"/>
    <w:rsid w:val="00341F64"/>
    <w:rsid w:val="003438FC"/>
    <w:rsid w:val="00344284"/>
    <w:rsid w:val="00344EF4"/>
    <w:rsid w:val="00347A94"/>
    <w:rsid w:val="00352B69"/>
    <w:rsid w:val="00354D80"/>
    <w:rsid w:val="003558BC"/>
    <w:rsid w:val="00355CFB"/>
    <w:rsid w:val="003560E6"/>
    <w:rsid w:val="00356556"/>
    <w:rsid w:val="00356591"/>
    <w:rsid w:val="00360430"/>
    <w:rsid w:val="00361655"/>
    <w:rsid w:val="00363414"/>
    <w:rsid w:val="003654D1"/>
    <w:rsid w:val="003708EE"/>
    <w:rsid w:val="00370B7F"/>
    <w:rsid w:val="003718ED"/>
    <w:rsid w:val="00371F12"/>
    <w:rsid w:val="00372C6D"/>
    <w:rsid w:val="00373E29"/>
    <w:rsid w:val="00373F44"/>
    <w:rsid w:val="0037497B"/>
    <w:rsid w:val="003771C3"/>
    <w:rsid w:val="00380014"/>
    <w:rsid w:val="00381460"/>
    <w:rsid w:val="00381B11"/>
    <w:rsid w:val="00382091"/>
    <w:rsid w:val="00384B2F"/>
    <w:rsid w:val="0038556C"/>
    <w:rsid w:val="0038780F"/>
    <w:rsid w:val="00390415"/>
    <w:rsid w:val="00390ED2"/>
    <w:rsid w:val="003912C7"/>
    <w:rsid w:val="0039148C"/>
    <w:rsid w:val="003947C5"/>
    <w:rsid w:val="00395BFE"/>
    <w:rsid w:val="00397429"/>
    <w:rsid w:val="003A54B1"/>
    <w:rsid w:val="003A69F4"/>
    <w:rsid w:val="003A7D06"/>
    <w:rsid w:val="003B0012"/>
    <w:rsid w:val="003B0817"/>
    <w:rsid w:val="003B0E61"/>
    <w:rsid w:val="003B3507"/>
    <w:rsid w:val="003B3642"/>
    <w:rsid w:val="003B4B00"/>
    <w:rsid w:val="003B572F"/>
    <w:rsid w:val="003B5BAE"/>
    <w:rsid w:val="003B7DDC"/>
    <w:rsid w:val="003C04C8"/>
    <w:rsid w:val="003C6747"/>
    <w:rsid w:val="003D08F3"/>
    <w:rsid w:val="003D34B3"/>
    <w:rsid w:val="003D5107"/>
    <w:rsid w:val="003D58F6"/>
    <w:rsid w:val="003D5B3C"/>
    <w:rsid w:val="003D70AA"/>
    <w:rsid w:val="003E0249"/>
    <w:rsid w:val="003E264B"/>
    <w:rsid w:val="003E2CF0"/>
    <w:rsid w:val="003E3BE3"/>
    <w:rsid w:val="003E5834"/>
    <w:rsid w:val="003F06F9"/>
    <w:rsid w:val="003F21B8"/>
    <w:rsid w:val="003F226D"/>
    <w:rsid w:val="003F459C"/>
    <w:rsid w:val="004001F6"/>
    <w:rsid w:val="004021D3"/>
    <w:rsid w:val="004028C2"/>
    <w:rsid w:val="00403DD2"/>
    <w:rsid w:val="00404A6B"/>
    <w:rsid w:val="00410301"/>
    <w:rsid w:val="004157B9"/>
    <w:rsid w:val="00415CD5"/>
    <w:rsid w:val="004173ED"/>
    <w:rsid w:val="00420F90"/>
    <w:rsid w:val="00423147"/>
    <w:rsid w:val="00423F20"/>
    <w:rsid w:val="00424C75"/>
    <w:rsid w:val="004262B7"/>
    <w:rsid w:val="00432211"/>
    <w:rsid w:val="00432F79"/>
    <w:rsid w:val="00434356"/>
    <w:rsid w:val="00434D1E"/>
    <w:rsid w:val="0043566A"/>
    <w:rsid w:val="00440214"/>
    <w:rsid w:val="004404B3"/>
    <w:rsid w:val="00440517"/>
    <w:rsid w:val="00440600"/>
    <w:rsid w:val="0044081A"/>
    <w:rsid w:val="00440EF8"/>
    <w:rsid w:val="0044114E"/>
    <w:rsid w:val="004411AB"/>
    <w:rsid w:val="0044171C"/>
    <w:rsid w:val="004429C3"/>
    <w:rsid w:val="00444E52"/>
    <w:rsid w:val="00445DFA"/>
    <w:rsid w:val="004460EE"/>
    <w:rsid w:val="004472DB"/>
    <w:rsid w:val="00450E46"/>
    <w:rsid w:val="004525F9"/>
    <w:rsid w:val="00454A1A"/>
    <w:rsid w:val="00464972"/>
    <w:rsid w:val="0046541E"/>
    <w:rsid w:val="00465AEF"/>
    <w:rsid w:val="00466096"/>
    <w:rsid w:val="00466471"/>
    <w:rsid w:val="00466868"/>
    <w:rsid w:val="00476648"/>
    <w:rsid w:val="00481275"/>
    <w:rsid w:val="004822EC"/>
    <w:rsid w:val="00483CCF"/>
    <w:rsid w:val="00485682"/>
    <w:rsid w:val="00487866"/>
    <w:rsid w:val="00487DEC"/>
    <w:rsid w:val="0049349F"/>
    <w:rsid w:val="0049368B"/>
    <w:rsid w:val="004936E3"/>
    <w:rsid w:val="0049681E"/>
    <w:rsid w:val="00497F3D"/>
    <w:rsid w:val="004A000F"/>
    <w:rsid w:val="004A0494"/>
    <w:rsid w:val="004A054A"/>
    <w:rsid w:val="004A28AB"/>
    <w:rsid w:val="004A39EC"/>
    <w:rsid w:val="004A47C8"/>
    <w:rsid w:val="004A596D"/>
    <w:rsid w:val="004A72F6"/>
    <w:rsid w:val="004A796A"/>
    <w:rsid w:val="004B0B05"/>
    <w:rsid w:val="004B0E9A"/>
    <w:rsid w:val="004B1B1C"/>
    <w:rsid w:val="004B223D"/>
    <w:rsid w:val="004B312C"/>
    <w:rsid w:val="004B33E9"/>
    <w:rsid w:val="004B4AA7"/>
    <w:rsid w:val="004B69B3"/>
    <w:rsid w:val="004C181C"/>
    <w:rsid w:val="004C4F4E"/>
    <w:rsid w:val="004C5DD5"/>
    <w:rsid w:val="004D1F71"/>
    <w:rsid w:val="004D21CA"/>
    <w:rsid w:val="004D2442"/>
    <w:rsid w:val="004D2707"/>
    <w:rsid w:val="004D30B0"/>
    <w:rsid w:val="004D442D"/>
    <w:rsid w:val="004D5C93"/>
    <w:rsid w:val="004D5EEE"/>
    <w:rsid w:val="004D5F74"/>
    <w:rsid w:val="004D67A9"/>
    <w:rsid w:val="004E2C04"/>
    <w:rsid w:val="004E4821"/>
    <w:rsid w:val="004E5D34"/>
    <w:rsid w:val="004F2577"/>
    <w:rsid w:val="004F30A7"/>
    <w:rsid w:val="004F42BA"/>
    <w:rsid w:val="004F4376"/>
    <w:rsid w:val="004F5454"/>
    <w:rsid w:val="004F5C9E"/>
    <w:rsid w:val="004F60FC"/>
    <w:rsid w:val="00503039"/>
    <w:rsid w:val="00505BCF"/>
    <w:rsid w:val="005114BB"/>
    <w:rsid w:val="00512888"/>
    <w:rsid w:val="005139CB"/>
    <w:rsid w:val="00513A16"/>
    <w:rsid w:val="00513DFE"/>
    <w:rsid w:val="0051486E"/>
    <w:rsid w:val="00517D46"/>
    <w:rsid w:val="0052001C"/>
    <w:rsid w:val="00520B09"/>
    <w:rsid w:val="0053000F"/>
    <w:rsid w:val="00530177"/>
    <w:rsid w:val="00531177"/>
    <w:rsid w:val="00531C65"/>
    <w:rsid w:val="00531C89"/>
    <w:rsid w:val="0053232C"/>
    <w:rsid w:val="00534F4B"/>
    <w:rsid w:val="00540A0E"/>
    <w:rsid w:val="005427C9"/>
    <w:rsid w:val="00543272"/>
    <w:rsid w:val="00543851"/>
    <w:rsid w:val="00544001"/>
    <w:rsid w:val="00546371"/>
    <w:rsid w:val="00546FFC"/>
    <w:rsid w:val="00547AEB"/>
    <w:rsid w:val="005504F2"/>
    <w:rsid w:val="00550D4E"/>
    <w:rsid w:val="005557FE"/>
    <w:rsid w:val="005558AC"/>
    <w:rsid w:val="005561F4"/>
    <w:rsid w:val="0056142B"/>
    <w:rsid w:val="005636D0"/>
    <w:rsid w:val="00567A22"/>
    <w:rsid w:val="00570470"/>
    <w:rsid w:val="0057051C"/>
    <w:rsid w:val="0057093F"/>
    <w:rsid w:val="00573BA9"/>
    <w:rsid w:val="0057518B"/>
    <w:rsid w:val="00575387"/>
    <w:rsid w:val="0057620A"/>
    <w:rsid w:val="005822BE"/>
    <w:rsid w:val="005839F0"/>
    <w:rsid w:val="00586167"/>
    <w:rsid w:val="00586F42"/>
    <w:rsid w:val="00587CFE"/>
    <w:rsid w:val="005902CE"/>
    <w:rsid w:val="00590DF9"/>
    <w:rsid w:val="00591F0A"/>
    <w:rsid w:val="00592BCD"/>
    <w:rsid w:val="005937E3"/>
    <w:rsid w:val="005948D3"/>
    <w:rsid w:val="005952CB"/>
    <w:rsid w:val="00596046"/>
    <w:rsid w:val="005A3A0C"/>
    <w:rsid w:val="005A4FE9"/>
    <w:rsid w:val="005A6230"/>
    <w:rsid w:val="005A7805"/>
    <w:rsid w:val="005A7ADB"/>
    <w:rsid w:val="005B08A1"/>
    <w:rsid w:val="005B0F0D"/>
    <w:rsid w:val="005B179B"/>
    <w:rsid w:val="005B679C"/>
    <w:rsid w:val="005C25E8"/>
    <w:rsid w:val="005C3704"/>
    <w:rsid w:val="005C5724"/>
    <w:rsid w:val="005C7A0D"/>
    <w:rsid w:val="005C7D07"/>
    <w:rsid w:val="005D1D29"/>
    <w:rsid w:val="005D271A"/>
    <w:rsid w:val="005D3CF1"/>
    <w:rsid w:val="005D4C0C"/>
    <w:rsid w:val="005D599A"/>
    <w:rsid w:val="005D5B72"/>
    <w:rsid w:val="005D64B8"/>
    <w:rsid w:val="005D746E"/>
    <w:rsid w:val="005E0F55"/>
    <w:rsid w:val="005E2E2B"/>
    <w:rsid w:val="005E7FEB"/>
    <w:rsid w:val="005F0E30"/>
    <w:rsid w:val="005F3985"/>
    <w:rsid w:val="005F3C80"/>
    <w:rsid w:val="005F63FA"/>
    <w:rsid w:val="005F711B"/>
    <w:rsid w:val="006036EC"/>
    <w:rsid w:val="00604E8F"/>
    <w:rsid w:val="00604ED5"/>
    <w:rsid w:val="00606639"/>
    <w:rsid w:val="00606D2F"/>
    <w:rsid w:val="006075FF"/>
    <w:rsid w:val="00611F1D"/>
    <w:rsid w:val="00612D6D"/>
    <w:rsid w:val="00614768"/>
    <w:rsid w:val="00614FAE"/>
    <w:rsid w:val="00621633"/>
    <w:rsid w:val="00621998"/>
    <w:rsid w:val="00624F4A"/>
    <w:rsid w:val="00625707"/>
    <w:rsid w:val="00626D30"/>
    <w:rsid w:val="00627BA1"/>
    <w:rsid w:val="00630D2D"/>
    <w:rsid w:val="006339F7"/>
    <w:rsid w:val="00635108"/>
    <w:rsid w:val="006351FD"/>
    <w:rsid w:val="00635F72"/>
    <w:rsid w:val="00636A4E"/>
    <w:rsid w:val="0064650B"/>
    <w:rsid w:val="00646550"/>
    <w:rsid w:val="00650777"/>
    <w:rsid w:val="00650F31"/>
    <w:rsid w:val="00655FD9"/>
    <w:rsid w:val="0065626D"/>
    <w:rsid w:val="00661D7F"/>
    <w:rsid w:val="00662083"/>
    <w:rsid w:val="00663618"/>
    <w:rsid w:val="00666425"/>
    <w:rsid w:val="00666B22"/>
    <w:rsid w:val="00666B77"/>
    <w:rsid w:val="00666FD1"/>
    <w:rsid w:val="00667CDB"/>
    <w:rsid w:val="0067041E"/>
    <w:rsid w:val="00670537"/>
    <w:rsid w:val="0067160A"/>
    <w:rsid w:val="00671D2F"/>
    <w:rsid w:val="0067246A"/>
    <w:rsid w:val="00674843"/>
    <w:rsid w:val="00675388"/>
    <w:rsid w:val="006756A3"/>
    <w:rsid w:val="0067768C"/>
    <w:rsid w:val="006805B7"/>
    <w:rsid w:val="00680A96"/>
    <w:rsid w:val="00684734"/>
    <w:rsid w:val="00685E94"/>
    <w:rsid w:val="00691298"/>
    <w:rsid w:val="0069165A"/>
    <w:rsid w:val="00691CDD"/>
    <w:rsid w:val="0069396F"/>
    <w:rsid w:val="00693B37"/>
    <w:rsid w:val="006947A6"/>
    <w:rsid w:val="00694DC9"/>
    <w:rsid w:val="006958CE"/>
    <w:rsid w:val="00697127"/>
    <w:rsid w:val="00697B15"/>
    <w:rsid w:val="006A1793"/>
    <w:rsid w:val="006A1805"/>
    <w:rsid w:val="006A514C"/>
    <w:rsid w:val="006A66D7"/>
    <w:rsid w:val="006B0F2E"/>
    <w:rsid w:val="006B2239"/>
    <w:rsid w:val="006B74A6"/>
    <w:rsid w:val="006B7CE4"/>
    <w:rsid w:val="006C0DD6"/>
    <w:rsid w:val="006C343C"/>
    <w:rsid w:val="006C40D0"/>
    <w:rsid w:val="006C58E7"/>
    <w:rsid w:val="006C5929"/>
    <w:rsid w:val="006C70E3"/>
    <w:rsid w:val="006D2EF0"/>
    <w:rsid w:val="006D3E9F"/>
    <w:rsid w:val="006D40AD"/>
    <w:rsid w:val="006D5295"/>
    <w:rsid w:val="006D6CAB"/>
    <w:rsid w:val="006E1192"/>
    <w:rsid w:val="006E3C76"/>
    <w:rsid w:val="006E4AAD"/>
    <w:rsid w:val="006F3DA0"/>
    <w:rsid w:val="006F3F0E"/>
    <w:rsid w:val="006F6625"/>
    <w:rsid w:val="00701341"/>
    <w:rsid w:val="00701358"/>
    <w:rsid w:val="00701999"/>
    <w:rsid w:val="007023E5"/>
    <w:rsid w:val="00702BB6"/>
    <w:rsid w:val="00703277"/>
    <w:rsid w:val="0071064E"/>
    <w:rsid w:val="007107CF"/>
    <w:rsid w:val="00712100"/>
    <w:rsid w:val="00712335"/>
    <w:rsid w:val="00712935"/>
    <w:rsid w:val="00715A0E"/>
    <w:rsid w:val="00716567"/>
    <w:rsid w:val="00716DC4"/>
    <w:rsid w:val="0071799D"/>
    <w:rsid w:val="0072132D"/>
    <w:rsid w:val="0072135B"/>
    <w:rsid w:val="0072236D"/>
    <w:rsid w:val="00722DA0"/>
    <w:rsid w:val="00727B0F"/>
    <w:rsid w:val="007342B2"/>
    <w:rsid w:val="00734632"/>
    <w:rsid w:val="007346BB"/>
    <w:rsid w:val="00735763"/>
    <w:rsid w:val="00735E57"/>
    <w:rsid w:val="00736A24"/>
    <w:rsid w:val="0074223C"/>
    <w:rsid w:val="00742439"/>
    <w:rsid w:val="00742E92"/>
    <w:rsid w:val="0074306C"/>
    <w:rsid w:val="0074323B"/>
    <w:rsid w:val="0074438C"/>
    <w:rsid w:val="007444EF"/>
    <w:rsid w:val="00746599"/>
    <w:rsid w:val="0075032B"/>
    <w:rsid w:val="00751158"/>
    <w:rsid w:val="00753FD7"/>
    <w:rsid w:val="00757EED"/>
    <w:rsid w:val="0076147B"/>
    <w:rsid w:val="007631F4"/>
    <w:rsid w:val="00763716"/>
    <w:rsid w:val="00763E5C"/>
    <w:rsid w:val="007640AD"/>
    <w:rsid w:val="007642C9"/>
    <w:rsid w:val="00764C7A"/>
    <w:rsid w:val="00766EFA"/>
    <w:rsid w:val="00770C9E"/>
    <w:rsid w:val="00771996"/>
    <w:rsid w:val="00772E69"/>
    <w:rsid w:val="007768FD"/>
    <w:rsid w:val="00776C44"/>
    <w:rsid w:val="00780FEE"/>
    <w:rsid w:val="00783487"/>
    <w:rsid w:val="00784AD5"/>
    <w:rsid w:val="00784E7B"/>
    <w:rsid w:val="00785AC8"/>
    <w:rsid w:val="00785CBB"/>
    <w:rsid w:val="007871A2"/>
    <w:rsid w:val="00787D52"/>
    <w:rsid w:val="00790BCA"/>
    <w:rsid w:val="007921A3"/>
    <w:rsid w:val="007937F7"/>
    <w:rsid w:val="00793E59"/>
    <w:rsid w:val="00794A0B"/>
    <w:rsid w:val="00795C18"/>
    <w:rsid w:val="00796A53"/>
    <w:rsid w:val="007A3037"/>
    <w:rsid w:val="007A30C5"/>
    <w:rsid w:val="007A5345"/>
    <w:rsid w:val="007A5654"/>
    <w:rsid w:val="007A6F59"/>
    <w:rsid w:val="007A7400"/>
    <w:rsid w:val="007B01A7"/>
    <w:rsid w:val="007B1DB0"/>
    <w:rsid w:val="007B1F5C"/>
    <w:rsid w:val="007B24E7"/>
    <w:rsid w:val="007B3A10"/>
    <w:rsid w:val="007B4C9E"/>
    <w:rsid w:val="007C2C41"/>
    <w:rsid w:val="007C2F30"/>
    <w:rsid w:val="007C4CEE"/>
    <w:rsid w:val="007C5E3D"/>
    <w:rsid w:val="007C7F12"/>
    <w:rsid w:val="007D0813"/>
    <w:rsid w:val="007D6675"/>
    <w:rsid w:val="007D70F6"/>
    <w:rsid w:val="007E0412"/>
    <w:rsid w:val="007E1292"/>
    <w:rsid w:val="007E1B65"/>
    <w:rsid w:val="007E2523"/>
    <w:rsid w:val="007E4F95"/>
    <w:rsid w:val="007E7473"/>
    <w:rsid w:val="007F3D42"/>
    <w:rsid w:val="007F636E"/>
    <w:rsid w:val="007F67C2"/>
    <w:rsid w:val="008032AF"/>
    <w:rsid w:val="0080340F"/>
    <w:rsid w:val="008040AD"/>
    <w:rsid w:val="00804829"/>
    <w:rsid w:val="00804EDE"/>
    <w:rsid w:val="0080739F"/>
    <w:rsid w:val="00807ABC"/>
    <w:rsid w:val="0081021D"/>
    <w:rsid w:val="008106F0"/>
    <w:rsid w:val="00811A55"/>
    <w:rsid w:val="00813EC5"/>
    <w:rsid w:val="00816791"/>
    <w:rsid w:val="008228B2"/>
    <w:rsid w:val="00826B18"/>
    <w:rsid w:val="00826D33"/>
    <w:rsid w:val="00832BFC"/>
    <w:rsid w:val="00833274"/>
    <w:rsid w:val="00834E5A"/>
    <w:rsid w:val="00835114"/>
    <w:rsid w:val="00843633"/>
    <w:rsid w:val="00843C74"/>
    <w:rsid w:val="00844F4D"/>
    <w:rsid w:val="00845E52"/>
    <w:rsid w:val="00846691"/>
    <w:rsid w:val="00846CFD"/>
    <w:rsid w:val="00846FD6"/>
    <w:rsid w:val="0085053A"/>
    <w:rsid w:val="008506CD"/>
    <w:rsid w:val="0085113D"/>
    <w:rsid w:val="00857FC4"/>
    <w:rsid w:val="00860E97"/>
    <w:rsid w:val="0086187E"/>
    <w:rsid w:val="0086302B"/>
    <w:rsid w:val="00863CA3"/>
    <w:rsid w:val="008723F4"/>
    <w:rsid w:val="008727EF"/>
    <w:rsid w:val="00875433"/>
    <w:rsid w:val="00876104"/>
    <w:rsid w:val="008806B7"/>
    <w:rsid w:val="00881BB2"/>
    <w:rsid w:val="00883087"/>
    <w:rsid w:val="008839DD"/>
    <w:rsid w:val="0088405F"/>
    <w:rsid w:val="0088422A"/>
    <w:rsid w:val="008846B4"/>
    <w:rsid w:val="00884B47"/>
    <w:rsid w:val="00884CAF"/>
    <w:rsid w:val="00884FF7"/>
    <w:rsid w:val="00886F5D"/>
    <w:rsid w:val="0088784A"/>
    <w:rsid w:val="008903A9"/>
    <w:rsid w:val="00893D3D"/>
    <w:rsid w:val="008940B4"/>
    <w:rsid w:val="00896556"/>
    <w:rsid w:val="008A09BB"/>
    <w:rsid w:val="008A1E46"/>
    <w:rsid w:val="008A1E4A"/>
    <w:rsid w:val="008A3D32"/>
    <w:rsid w:val="008A50E0"/>
    <w:rsid w:val="008A563A"/>
    <w:rsid w:val="008A6E3B"/>
    <w:rsid w:val="008A7D5D"/>
    <w:rsid w:val="008B0305"/>
    <w:rsid w:val="008B6F4F"/>
    <w:rsid w:val="008B715A"/>
    <w:rsid w:val="008C01A5"/>
    <w:rsid w:val="008C0CF2"/>
    <w:rsid w:val="008C1A59"/>
    <w:rsid w:val="008C2288"/>
    <w:rsid w:val="008C275E"/>
    <w:rsid w:val="008C35AA"/>
    <w:rsid w:val="008C7184"/>
    <w:rsid w:val="008C7B0C"/>
    <w:rsid w:val="008D0DB7"/>
    <w:rsid w:val="008D1546"/>
    <w:rsid w:val="008D1ABF"/>
    <w:rsid w:val="008D297A"/>
    <w:rsid w:val="008E15BE"/>
    <w:rsid w:val="008E1A77"/>
    <w:rsid w:val="008E200D"/>
    <w:rsid w:val="008E2E68"/>
    <w:rsid w:val="008E305E"/>
    <w:rsid w:val="008F0554"/>
    <w:rsid w:val="008F05ED"/>
    <w:rsid w:val="008F0A65"/>
    <w:rsid w:val="008F4164"/>
    <w:rsid w:val="008F491C"/>
    <w:rsid w:val="008F575B"/>
    <w:rsid w:val="00900A6C"/>
    <w:rsid w:val="00905F6B"/>
    <w:rsid w:val="00911F64"/>
    <w:rsid w:val="00912A78"/>
    <w:rsid w:val="00913662"/>
    <w:rsid w:val="00916E08"/>
    <w:rsid w:val="00920015"/>
    <w:rsid w:val="009215C8"/>
    <w:rsid w:val="00926C07"/>
    <w:rsid w:val="00927D40"/>
    <w:rsid w:val="009310DE"/>
    <w:rsid w:val="0093186D"/>
    <w:rsid w:val="009346C3"/>
    <w:rsid w:val="00936660"/>
    <w:rsid w:val="009370E4"/>
    <w:rsid w:val="009423D8"/>
    <w:rsid w:val="0094357B"/>
    <w:rsid w:val="00944888"/>
    <w:rsid w:val="00944A64"/>
    <w:rsid w:val="00944A9A"/>
    <w:rsid w:val="00944FD0"/>
    <w:rsid w:val="0094578A"/>
    <w:rsid w:val="00945BA5"/>
    <w:rsid w:val="00945FC4"/>
    <w:rsid w:val="00951075"/>
    <w:rsid w:val="00952DCE"/>
    <w:rsid w:val="009610E8"/>
    <w:rsid w:val="009643AC"/>
    <w:rsid w:val="00965785"/>
    <w:rsid w:val="00965F62"/>
    <w:rsid w:val="009664B4"/>
    <w:rsid w:val="009671EC"/>
    <w:rsid w:val="009705B7"/>
    <w:rsid w:val="0097067F"/>
    <w:rsid w:val="00970CC5"/>
    <w:rsid w:val="0097298B"/>
    <w:rsid w:val="00975ABC"/>
    <w:rsid w:val="00976C65"/>
    <w:rsid w:val="00980AA8"/>
    <w:rsid w:val="0098126D"/>
    <w:rsid w:val="009814BB"/>
    <w:rsid w:val="00981F8B"/>
    <w:rsid w:val="009830AA"/>
    <w:rsid w:val="0098384F"/>
    <w:rsid w:val="0098537C"/>
    <w:rsid w:val="009871D5"/>
    <w:rsid w:val="009879B0"/>
    <w:rsid w:val="009900F7"/>
    <w:rsid w:val="009907D0"/>
    <w:rsid w:val="00990C38"/>
    <w:rsid w:val="00991593"/>
    <w:rsid w:val="009918B5"/>
    <w:rsid w:val="009A2739"/>
    <w:rsid w:val="009A5391"/>
    <w:rsid w:val="009A5B02"/>
    <w:rsid w:val="009A7190"/>
    <w:rsid w:val="009B04C1"/>
    <w:rsid w:val="009B18AF"/>
    <w:rsid w:val="009B4C7A"/>
    <w:rsid w:val="009B4E7D"/>
    <w:rsid w:val="009B593C"/>
    <w:rsid w:val="009B6D6D"/>
    <w:rsid w:val="009B73F8"/>
    <w:rsid w:val="009C2417"/>
    <w:rsid w:val="009C2C19"/>
    <w:rsid w:val="009C45EB"/>
    <w:rsid w:val="009C670F"/>
    <w:rsid w:val="009C6D52"/>
    <w:rsid w:val="009D028E"/>
    <w:rsid w:val="009D0A92"/>
    <w:rsid w:val="009D0B19"/>
    <w:rsid w:val="009D0C29"/>
    <w:rsid w:val="009D1E39"/>
    <w:rsid w:val="009D2A01"/>
    <w:rsid w:val="009D329D"/>
    <w:rsid w:val="009D3C90"/>
    <w:rsid w:val="009D4D03"/>
    <w:rsid w:val="009D56FC"/>
    <w:rsid w:val="009D5A04"/>
    <w:rsid w:val="009D5B5F"/>
    <w:rsid w:val="009E0F9F"/>
    <w:rsid w:val="009E1A96"/>
    <w:rsid w:val="009E1F2B"/>
    <w:rsid w:val="009E3769"/>
    <w:rsid w:val="009E4CEC"/>
    <w:rsid w:val="009E66BC"/>
    <w:rsid w:val="009E6A6C"/>
    <w:rsid w:val="009E732C"/>
    <w:rsid w:val="009E7529"/>
    <w:rsid w:val="009E7ADA"/>
    <w:rsid w:val="009F0E0E"/>
    <w:rsid w:val="009F1208"/>
    <w:rsid w:val="009F467A"/>
    <w:rsid w:val="009F71DF"/>
    <w:rsid w:val="009F7A59"/>
    <w:rsid w:val="009F7CEC"/>
    <w:rsid w:val="00A02E50"/>
    <w:rsid w:val="00A03218"/>
    <w:rsid w:val="00A04008"/>
    <w:rsid w:val="00A104CF"/>
    <w:rsid w:val="00A10B11"/>
    <w:rsid w:val="00A14220"/>
    <w:rsid w:val="00A14780"/>
    <w:rsid w:val="00A15D4B"/>
    <w:rsid w:val="00A16414"/>
    <w:rsid w:val="00A23FF6"/>
    <w:rsid w:val="00A252A4"/>
    <w:rsid w:val="00A2620F"/>
    <w:rsid w:val="00A27BD9"/>
    <w:rsid w:val="00A30AA6"/>
    <w:rsid w:val="00A32ADC"/>
    <w:rsid w:val="00A34A54"/>
    <w:rsid w:val="00A37347"/>
    <w:rsid w:val="00A40D81"/>
    <w:rsid w:val="00A42E2A"/>
    <w:rsid w:val="00A4376C"/>
    <w:rsid w:val="00A44333"/>
    <w:rsid w:val="00A447FB"/>
    <w:rsid w:val="00A4511D"/>
    <w:rsid w:val="00A4622A"/>
    <w:rsid w:val="00A5052B"/>
    <w:rsid w:val="00A50B3B"/>
    <w:rsid w:val="00A51C05"/>
    <w:rsid w:val="00A524A9"/>
    <w:rsid w:val="00A540A5"/>
    <w:rsid w:val="00A54C2F"/>
    <w:rsid w:val="00A571F4"/>
    <w:rsid w:val="00A57340"/>
    <w:rsid w:val="00A574C5"/>
    <w:rsid w:val="00A64BEB"/>
    <w:rsid w:val="00A6565C"/>
    <w:rsid w:val="00A6735E"/>
    <w:rsid w:val="00A701B2"/>
    <w:rsid w:val="00A70933"/>
    <w:rsid w:val="00A719D1"/>
    <w:rsid w:val="00A72069"/>
    <w:rsid w:val="00A72BFA"/>
    <w:rsid w:val="00A72F61"/>
    <w:rsid w:val="00A75039"/>
    <w:rsid w:val="00A8261A"/>
    <w:rsid w:val="00A85F54"/>
    <w:rsid w:val="00A86066"/>
    <w:rsid w:val="00A870E7"/>
    <w:rsid w:val="00A916AC"/>
    <w:rsid w:val="00A92A11"/>
    <w:rsid w:val="00A93F4B"/>
    <w:rsid w:val="00A93F51"/>
    <w:rsid w:val="00AA311E"/>
    <w:rsid w:val="00AA7389"/>
    <w:rsid w:val="00AA7DD0"/>
    <w:rsid w:val="00AB032F"/>
    <w:rsid w:val="00AB2FB0"/>
    <w:rsid w:val="00AB3D11"/>
    <w:rsid w:val="00AB4891"/>
    <w:rsid w:val="00AB508E"/>
    <w:rsid w:val="00AB6E61"/>
    <w:rsid w:val="00AB7492"/>
    <w:rsid w:val="00AC0D11"/>
    <w:rsid w:val="00AC1241"/>
    <w:rsid w:val="00AC1BBD"/>
    <w:rsid w:val="00AC20EA"/>
    <w:rsid w:val="00AC3D73"/>
    <w:rsid w:val="00AC40BB"/>
    <w:rsid w:val="00AC42E0"/>
    <w:rsid w:val="00AC6D70"/>
    <w:rsid w:val="00AD0591"/>
    <w:rsid w:val="00AD0692"/>
    <w:rsid w:val="00AD1794"/>
    <w:rsid w:val="00AD1C97"/>
    <w:rsid w:val="00AD35CE"/>
    <w:rsid w:val="00AD4909"/>
    <w:rsid w:val="00AD4D12"/>
    <w:rsid w:val="00AD4EF9"/>
    <w:rsid w:val="00AD4FD4"/>
    <w:rsid w:val="00AD5C17"/>
    <w:rsid w:val="00AD78D9"/>
    <w:rsid w:val="00AE07A9"/>
    <w:rsid w:val="00AE314F"/>
    <w:rsid w:val="00AE4253"/>
    <w:rsid w:val="00AE5AA9"/>
    <w:rsid w:val="00AF08B3"/>
    <w:rsid w:val="00AF105E"/>
    <w:rsid w:val="00AF33B3"/>
    <w:rsid w:val="00AF41DA"/>
    <w:rsid w:val="00AF4422"/>
    <w:rsid w:val="00AF4771"/>
    <w:rsid w:val="00B00082"/>
    <w:rsid w:val="00B03A70"/>
    <w:rsid w:val="00B03BB7"/>
    <w:rsid w:val="00B0506C"/>
    <w:rsid w:val="00B0571E"/>
    <w:rsid w:val="00B101F2"/>
    <w:rsid w:val="00B1119A"/>
    <w:rsid w:val="00B12B52"/>
    <w:rsid w:val="00B1707E"/>
    <w:rsid w:val="00B1714D"/>
    <w:rsid w:val="00B22EBF"/>
    <w:rsid w:val="00B237A0"/>
    <w:rsid w:val="00B25273"/>
    <w:rsid w:val="00B25370"/>
    <w:rsid w:val="00B25493"/>
    <w:rsid w:val="00B25EE6"/>
    <w:rsid w:val="00B26E2A"/>
    <w:rsid w:val="00B27DB7"/>
    <w:rsid w:val="00B30503"/>
    <w:rsid w:val="00B30F79"/>
    <w:rsid w:val="00B30FED"/>
    <w:rsid w:val="00B319A8"/>
    <w:rsid w:val="00B33F17"/>
    <w:rsid w:val="00B35734"/>
    <w:rsid w:val="00B35E68"/>
    <w:rsid w:val="00B371D0"/>
    <w:rsid w:val="00B42BA8"/>
    <w:rsid w:val="00B431DE"/>
    <w:rsid w:val="00B44ED7"/>
    <w:rsid w:val="00B45E0F"/>
    <w:rsid w:val="00B50DBC"/>
    <w:rsid w:val="00B554F4"/>
    <w:rsid w:val="00B55B6E"/>
    <w:rsid w:val="00B56FBE"/>
    <w:rsid w:val="00B60C98"/>
    <w:rsid w:val="00B6138B"/>
    <w:rsid w:val="00B628FB"/>
    <w:rsid w:val="00B63074"/>
    <w:rsid w:val="00B64FC3"/>
    <w:rsid w:val="00B65992"/>
    <w:rsid w:val="00B6607E"/>
    <w:rsid w:val="00B7271A"/>
    <w:rsid w:val="00B72C29"/>
    <w:rsid w:val="00B806BE"/>
    <w:rsid w:val="00B806F2"/>
    <w:rsid w:val="00B8323B"/>
    <w:rsid w:val="00B85942"/>
    <w:rsid w:val="00B9199B"/>
    <w:rsid w:val="00B93764"/>
    <w:rsid w:val="00BA0945"/>
    <w:rsid w:val="00BA0C31"/>
    <w:rsid w:val="00BA1B82"/>
    <w:rsid w:val="00BA26B3"/>
    <w:rsid w:val="00BA27E1"/>
    <w:rsid w:val="00BA35C4"/>
    <w:rsid w:val="00BA40FA"/>
    <w:rsid w:val="00BA5049"/>
    <w:rsid w:val="00BA5D70"/>
    <w:rsid w:val="00BA6431"/>
    <w:rsid w:val="00BB107C"/>
    <w:rsid w:val="00BB13B0"/>
    <w:rsid w:val="00BB1A8D"/>
    <w:rsid w:val="00BB4BD3"/>
    <w:rsid w:val="00BB4CDA"/>
    <w:rsid w:val="00BB7D6A"/>
    <w:rsid w:val="00BC03C2"/>
    <w:rsid w:val="00BC76A5"/>
    <w:rsid w:val="00BD0AC6"/>
    <w:rsid w:val="00BD1914"/>
    <w:rsid w:val="00BD2695"/>
    <w:rsid w:val="00BD3489"/>
    <w:rsid w:val="00BD38E9"/>
    <w:rsid w:val="00BD3AD6"/>
    <w:rsid w:val="00BD4FB7"/>
    <w:rsid w:val="00BD53CC"/>
    <w:rsid w:val="00BE0148"/>
    <w:rsid w:val="00BE0C92"/>
    <w:rsid w:val="00BE1D46"/>
    <w:rsid w:val="00BE6634"/>
    <w:rsid w:val="00BF0273"/>
    <w:rsid w:val="00BF1296"/>
    <w:rsid w:val="00BF1A13"/>
    <w:rsid w:val="00BF221F"/>
    <w:rsid w:val="00BF31A1"/>
    <w:rsid w:val="00BF7B16"/>
    <w:rsid w:val="00C00605"/>
    <w:rsid w:val="00C01F38"/>
    <w:rsid w:val="00C03647"/>
    <w:rsid w:val="00C054CE"/>
    <w:rsid w:val="00C0649B"/>
    <w:rsid w:val="00C10E4D"/>
    <w:rsid w:val="00C11168"/>
    <w:rsid w:val="00C11CD3"/>
    <w:rsid w:val="00C12B32"/>
    <w:rsid w:val="00C158B7"/>
    <w:rsid w:val="00C15CFE"/>
    <w:rsid w:val="00C174C6"/>
    <w:rsid w:val="00C2243E"/>
    <w:rsid w:val="00C23E4B"/>
    <w:rsid w:val="00C245E5"/>
    <w:rsid w:val="00C26E82"/>
    <w:rsid w:val="00C31042"/>
    <w:rsid w:val="00C34753"/>
    <w:rsid w:val="00C3600C"/>
    <w:rsid w:val="00C3644C"/>
    <w:rsid w:val="00C402DE"/>
    <w:rsid w:val="00C411A8"/>
    <w:rsid w:val="00C4142A"/>
    <w:rsid w:val="00C421AF"/>
    <w:rsid w:val="00C44013"/>
    <w:rsid w:val="00C44C8A"/>
    <w:rsid w:val="00C45E93"/>
    <w:rsid w:val="00C47397"/>
    <w:rsid w:val="00C50C76"/>
    <w:rsid w:val="00C5376F"/>
    <w:rsid w:val="00C54B5D"/>
    <w:rsid w:val="00C5533A"/>
    <w:rsid w:val="00C61E11"/>
    <w:rsid w:val="00C6385E"/>
    <w:rsid w:val="00C65AEA"/>
    <w:rsid w:val="00C70719"/>
    <w:rsid w:val="00C7107E"/>
    <w:rsid w:val="00C71736"/>
    <w:rsid w:val="00C7202D"/>
    <w:rsid w:val="00C72BF7"/>
    <w:rsid w:val="00C72D3B"/>
    <w:rsid w:val="00C740E0"/>
    <w:rsid w:val="00C749E4"/>
    <w:rsid w:val="00C74A99"/>
    <w:rsid w:val="00C7526D"/>
    <w:rsid w:val="00C768B3"/>
    <w:rsid w:val="00C76C7D"/>
    <w:rsid w:val="00C76D2F"/>
    <w:rsid w:val="00C81505"/>
    <w:rsid w:val="00C8162E"/>
    <w:rsid w:val="00C8207A"/>
    <w:rsid w:val="00C82E7E"/>
    <w:rsid w:val="00C860DA"/>
    <w:rsid w:val="00C866B9"/>
    <w:rsid w:val="00C86806"/>
    <w:rsid w:val="00C90C99"/>
    <w:rsid w:val="00C923EA"/>
    <w:rsid w:val="00C93CA7"/>
    <w:rsid w:val="00CA5521"/>
    <w:rsid w:val="00CA58A0"/>
    <w:rsid w:val="00CA5BF6"/>
    <w:rsid w:val="00CA7F55"/>
    <w:rsid w:val="00CB3731"/>
    <w:rsid w:val="00CB59F8"/>
    <w:rsid w:val="00CB63E8"/>
    <w:rsid w:val="00CB65A6"/>
    <w:rsid w:val="00CB732F"/>
    <w:rsid w:val="00CB7FE6"/>
    <w:rsid w:val="00CC0A77"/>
    <w:rsid w:val="00CC209F"/>
    <w:rsid w:val="00CC38EC"/>
    <w:rsid w:val="00CC396A"/>
    <w:rsid w:val="00CC3A5A"/>
    <w:rsid w:val="00CD0E18"/>
    <w:rsid w:val="00CD1535"/>
    <w:rsid w:val="00CD21A0"/>
    <w:rsid w:val="00CD41F4"/>
    <w:rsid w:val="00CD434C"/>
    <w:rsid w:val="00CE46F0"/>
    <w:rsid w:val="00CE705E"/>
    <w:rsid w:val="00CF0BFC"/>
    <w:rsid w:val="00CF1EFB"/>
    <w:rsid w:val="00CF26E9"/>
    <w:rsid w:val="00CF27E8"/>
    <w:rsid w:val="00CF3DB4"/>
    <w:rsid w:val="00CF417B"/>
    <w:rsid w:val="00CF5BBC"/>
    <w:rsid w:val="00D011DA"/>
    <w:rsid w:val="00D02253"/>
    <w:rsid w:val="00D02D29"/>
    <w:rsid w:val="00D05453"/>
    <w:rsid w:val="00D05E54"/>
    <w:rsid w:val="00D06BF3"/>
    <w:rsid w:val="00D07923"/>
    <w:rsid w:val="00D128AA"/>
    <w:rsid w:val="00D13309"/>
    <w:rsid w:val="00D1452B"/>
    <w:rsid w:val="00D1603B"/>
    <w:rsid w:val="00D171AA"/>
    <w:rsid w:val="00D17596"/>
    <w:rsid w:val="00D178C4"/>
    <w:rsid w:val="00D20245"/>
    <w:rsid w:val="00D20ED4"/>
    <w:rsid w:val="00D218DE"/>
    <w:rsid w:val="00D23698"/>
    <w:rsid w:val="00D31774"/>
    <w:rsid w:val="00D3319F"/>
    <w:rsid w:val="00D334BF"/>
    <w:rsid w:val="00D3426A"/>
    <w:rsid w:val="00D37D80"/>
    <w:rsid w:val="00D4132C"/>
    <w:rsid w:val="00D41864"/>
    <w:rsid w:val="00D41CD1"/>
    <w:rsid w:val="00D45F81"/>
    <w:rsid w:val="00D4678F"/>
    <w:rsid w:val="00D46D6C"/>
    <w:rsid w:val="00D46E46"/>
    <w:rsid w:val="00D51263"/>
    <w:rsid w:val="00D52193"/>
    <w:rsid w:val="00D527DC"/>
    <w:rsid w:val="00D53D64"/>
    <w:rsid w:val="00D54876"/>
    <w:rsid w:val="00D5627E"/>
    <w:rsid w:val="00D573B9"/>
    <w:rsid w:val="00D61CFE"/>
    <w:rsid w:val="00D62779"/>
    <w:rsid w:val="00D67C35"/>
    <w:rsid w:val="00D73BCB"/>
    <w:rsid w:val="00D7530E"/>
    <w:rsid w:val="00D7639F"/>
    <w:rsid w:val="00D768BE"/>
    <w:rsid w:val="00D76FDD"/>
    <w:rsid w:val="00D81FCA"/>
    <w:rsid w:val="00D82143"/>
    <w:rsid w:val="00D84FD9"/>
    <w:rsid w:val="00D87267"/>
    <w:rsid w:val="00D91107"/>
    <w:rsid w:val="00D9146F"/>
    <w:rsid w:val="00D91B9E"/>
    <w:rsid w:val="00D94EBC"/>
    <w:rsid w:val="00D95185"/>
    <w:rsid w:val="00DA0FDA"/>
    <w:rsid w:val="00DA4842"/>
    <w:rsid w:val="00DA5378"/>
    <w:rsid w:val="00DA70F8"/>
    <w:rsid w:val="00DB027F"/>
    <w:rsid w:val="00DB0953"/>
    <w:rsid w:val="00DB11A8"/>
    <w:rsid w:val="00DB1DFB"/>
    <w:rsid w:val="00DB239F"/>
    <w:rsid w:val="00DB27F9"/>
    <w:rsid w:val="00DB28BC"/>
    <w:rsid w:val="00DB551A"/>
    <w:rsid w:val="00DB6BA4"/>
    <w:rsid w:val="00DB6E19"/>
    <w:rsid w:val="00DB6F26"/>
    <w:rsid w:val="00DB777C"/>
    <w:rsid w:val="00DC00B6"/>
    <w:rsid w:val="00DC4910"/>
    <w:rsid w:val="00DC790D"/>
    <w:rsid w:val="00DD1F79"/>
    <w:rsid w:val="00DD2B1E"/>
    <w:rsid w:val="00DD3610"/>
    <w:rsid w:val="00DD38D5"/>
    <w:rsid w:val="00DD38D8"/>
    <w:rsid w:val="00DE558E"/>
    <w:rsid w:val="00DE5D2F"/>
    <w:rsid w:val="00DE699B"/>
    <w:rsid w:val="00DF2E10"/>
    <w:rsid w:val="00DF2E8D"/>
    <w:rsid w:val="00DF39E6"/>
    <w:rsid w:val="00DF4CB0"/>
    <w:rsid w:val="00DF5001"/>
    <w:rsid w:val="00DF573F"/>
    <w:rsid w:val="00DF5EF0"/>
    <w:rsid w:val="00DF6712"/>
    <w:rsid w:val="00E03701"/>
    <w:rsid w:val="00E05140"/>
    <w:rsid w:val="00E051B9"/>
    <w:rsid w:val="00E05223"/>
    <w:rsid w:val="00E054CE"/>
    <w:rsid w:val="00E06C01"/>
    <w:rsid w:val="00E10242"/>
    <w:rsid w:val="00E114E8"/>
    <w:rsid w:val="00E155B2"/>
    <w:rsid w:val="00E1745B"/>
    <w:rsid w:val="00E22B6F"/>
    <w:rsid w:val="00E23CE9"/>
    <w:rsid w:val="00E266D8"/>
    <w:rsid w:val="00E2715F"/>
    <w:rsid w:val="00E27AA9"/>
    <w:rsid w:val="00E33E82"/>
    <w:rsid w:val="00E34F0C"/>
    <w:rsid w:val="00E3512A"/>
    <w:rsid w:val="00E355CD"/>
    <w:rsid w:val="00E35626"/>
    <w:rsid w:val="00E37EF0"/>
    <w:rsid w:val="00E408BC"/>
    <w:rsid w:val="00E40F6E"/>
    <w:rsid w:val="00E41463"/>
    <w:rsid w:val="00E443C1"/>
    <w:rsid w:val="00E4566D"/>
    <w:rsid w:val="00E458FA"/>
    <w:rsid w:val="00E46859"/>
    <w:rsid w:val="00E50BAC"/>
    <w:rsid w:val="00E50C95"/>
    <w:rsid w:val="00E52857"/>
    <w:rsid w:val="00E55DCB"/>
    <w:rsid w:val="00E56A9F"/>
    <w:rsid w:val="00E60F0B"/>
    <w:rsid w:val="00E627F9"/>
    <w:rsid w:val="00E63B5F"/>
    <w:rsid w:val="00E650DD"/>
    <w:rsid w:val="00E658BC"/>
    <w:rsid w:val="00E6593F"/>
    <w:rsid w:val="00E65F98"/>
    <w:rsid w:val="00E67319"/>
    <w:rsid w:val="00E70C52"/>
    <w:rsid w:val="00E70F69"/>
    <w:rsid w:val="00E718C5"/>
    <w:rsid w:val="00E71F3A"/>
    <w:rsid w:val="00E727A1"/>
    <w:rsid w:val="00E76EA7"/>
    <w:rsid w:val="00E81944"/>
    <w:rsid w:val="00E84752"/>
    <w:rsid w:val="00E90ABB"/>
    <w:rsid w:val="00E91527"/>
    <w:rsid w:val="00E92114"/>
    <w:rsid w:val="00E92380"/>
    <w:rsid w:val="00E92CF2"/>
    <w:rsid w:val="00E92F6F"/>
    <w:rsid w:val="00E96C36"/>
    <w:rsid w:val="00EA1B34"/>
    <w:rsid w:val="00EA1F9D"/>
    <w:rsid w:val="00EA2115"/>
    <w:rsid w:val="00EA23D1"/>
    <w:rsid w:val="00EA2B1C"/>
    <w:rsid w:val="00EA2E08"/>
    <w:rsid w:val="00EA5841"/>
    <w:rsid w:val="00EB0BCC"/>
    <w:rsid w:val="00EB148F"/>
    <w:rsid w:val="00EC1BAD"/>
    <w:rsid w:val="00EC538F"/>
    <w:rsid w:val="00EC6190"/>
    <w:rsid w:val="00EC766F"/>
    <w:rsid w:val="00ED0BBC"/>
    <w:rsid w:val="00ED12ED"/>
    <w:rsid w:val="00ED1DF4"/>
    <w:rsid w:val="00ED5ACA"/>
    <w:rsid w:val="00ED6E3A"/>
    <w:rsid w:val="00EE363B"/>
    <w:rsid w:val="00EE425F"/>
    <w:rsid w:val="00EE4E36"/>
    <w:rsid w:val="00EE5455"/>
    <w:rsid w:val="00EE591A"/>
    <w:rsid w:val="00EE69A6"/>
    <w:rsid w:val="00EE6C6C"/>
    <w:rsid w:val="00EF30C4"/>
    <w:rsid w:val="00EF4111"/>
    <w:rsid w:val="00EF5AC2"/>
    <w:rsid w:val="00EF7C0F"/>
    <w:rsid w:val="00F0010B"/>
    <w:rsid w:val="00F00475"/>
    <w:rsid w:val="00F00D8F"/>
    <w:rsid w:val="00F02066"/>
    <w:rsid w:val="00F02FAA"/>
    <w:rsid w:val="00F03DBC"/>
    <w:rsid w:val="00F06D3D"/>
    <w:rsid w:val="00F06F33"/>
    <w:rsid w:val="00F12B6B"/>
    <w:rsid w:val="00F12FE3"/>
    <w:rsid w:val="00F137E5"/>
    <w:rsid w:val="00F14264"/>
    <w:rsid w:val="00F1559A"/>
    <w:rsid w:val="00F22078"/>
    <w:rsid w:val="00F24A44"/>
    <w:rsid w:val="00F254D5"/>
    <w:rsid w:val="00F2627A"/>
    <w:rsid w:val="00F309A1"/>
    <w:rsid w:val="00F310D8"/>
    <w:rsid w:val="00F31712"/>
    <w:rsid w:val="00F376F6"/>
    <w:rsid w:val="00F4116D"/>
    <w:rsid w:val="00F41422"/>
    <w:rsid w:val="00F422FD"/>
    <w:rsid w:val="00F42A7E"/>
    <w:rsid w:val="00F44AA7"/>
    <w:rsid w:val="00F46117"/>
    <w:rsid w:val="00F4774D"/>
    <w:rsid w:val="00F507DE"/>
    <w:rsid w:val="00F5297D"/>
    <w:rsid w:val="00F53E28"/>
    <w:rsid w:val="00F562E5"/>
    <w:rsid w:val="00F575BF"/>
    <w:rsid w:val="00F57EB4"/>
    <w:rsid w:val="00F61572"/>
    <w:rsid w:val="00F62214"/>
    <w:rsid w:val="00F6279C"/>
    <w:rsid w:val="00F62C30"/>
    <w:rsid w:val="00F637CB"/>
    <w:rsid w:val="00F6400A"/>
    <w:rsid w:val="00F70402"/>
    <w:rsid w:val="00F706CD"/>
    <w:rsid w:val="00F7149E"/>
    <w:rsid w:val="00F72A0E"/>
    <w:rsid w:val="00F73A23"/>
    <w:rsid w:val="00F76301"/>
    <w:rsid w:val="00F81CD9"/>
    <w:rsid w:val="00F82A32"/>
    <w:rsid w:val="00F82E2B"/>
    <w:rsid w:val="00F833A2"/>
    <w:rsid w:val="00F83A3B"/>
    <w:rsid w:val="00F8763C"/>
    <w:rsid w:val="00F94DEA"/>
    <w:rsid w:val="00F968D0"/>
    <w:rsid w:val="00F9692F"/>
    <w:rsid w:val="00F96D7B"/>
    <w:rsid w:val="00F96FD9"/>
    <w:rsid w:val="00FA086F"/>
    <w:rsid w:val="00FA25C9"/>
    <w:rsid w:val="00FA325D"/>
    <w:rsid w:val="00FA3E6E"/>
    <w:rsid w:val="00FA4317"/>
    <w:rsid w:val="00FA4727"/>
    <w:rsid w:val="00FA66D6"/>
    <w:rsid w:val="00FB126F"/>
    <w:rsid w:val="00FB2CCB"/>
    <w:rsid w:val="00FC0964"/>
    <w:rsid w:val="00FC1870"/>
    <w:rsid w:val="00FC21AC"/>
    <w:rsid w:val="00FC3C09"/>
    <w:rsid w:val="00FC46F9"/>
    <w:rsid w:val="00FC4E96"/>
    <w:rsid w:val="00FC583A"/>
    <w:rsid w:val="00FC6EF6"/>
    <w:rsid w:val="00FC7B11"/>
    <w:rsid w:val="00FD0176"/>
    <w:rsid w:val="00FD02CF"/>
    <w:rsid w:val="00FD03E6"/>
    <w:rsid w:val="00FD3CAD"/>
    <w:rsid w:val="00FD7B95"/>
    <w:rsid w:val="00FE0046"/>
    <w:rsid w:val="00FE115D"/>
    <w:rsid w:val="00FE184D"/>
    <w:rsid w:val="00FE1B4E"/>
    <w:rsid w:val="00FE2FB8"/>
    <w:rsid w:val="00FE4092"/>
    <w:rsid w:val="00FE43E1"/>
    <w:rsid w:val="00FE5AB1"/>
    <w:rsid w:val="00FE780F"/>
    <w:rsid w:val="00FF143C"/>
    <w:rsid w:val="00FF1B20"/>
    <w:rsid w:val="00FF33C2"/>
    <w:rsid w:val="00FF3D84"/>
    <w:rsid w:val="00FF40DE"/>
    <w:rsid w:val="00FF4792"/>
    <w:rsid w:val="00FF4A00"/>
    <w:rsid w:val="00FF4F2C"/>
    <w:rsid w:val="00FF55F5"/>
    <w:rsid w:val="00FF7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Pr>
      <w:sz w:val="24"/>
    </w:rPr>
  </w:style>
  <w:style w:type="paragraph" w:styleId="Heading1">
    <w:name w:val="heading 1"/>
    <w:basedOn w:val="Heading"/>
    <w:next w:val="BodyText"/>
    <w:qFormat/>
    <w:pPr>
      <w:keepNext/>
      <w:keepLines/>
      <w:numPr>
        <w:numId w:val="3"/>
      </w:numPr>
      <w:jc w:val="center"/>
      <w:outlineLvl w:val="0"/>
    </w:pPr>
    <w:rPr>
      <w:b/>
    </w:rPr>
  </w:style>
  <w:style w:type="paragraph" w:styleId="Heading2">
    <w:name w:val="heading 2"/>
    <w:basedOn w:val="Heading"/>
    <w:next w:val="BodyText"/>
    <w:qFormat/>
    <w:pPr>
      <w:numPr>
        <w:ilvl w:val="1"/>
        <w:numId w:val="3"/>
      </w:numPr>
      <w:outlineLvl w:val="1"/>
    </w:pPr>
    <w:rPr>
      <w:b/>
    </w:rPr>
  </w:style>
  <w:style w:type="paragraph" w:styleId="Heading3">
    <w:name w:val="heading 3"/>
    <w:basedOn w:val="Heading"/>
    <w:next w:val="BodyText"/>
    <w:qFormat/>
    <w:rsid w:val="00DB6F26"/>
    <w:pPr>
      <w:numPr>
        <w:ilvl w:val="2"/>
        <w:numId w:val="3"/>
      </w:numPr>
      <w:outlineLvl w:val="2"/>
    </w:pPr>
    <w:rPr>
      <w:b/>
      <w:sz w:val="28"/>
    </w:rPr>
  </w:style>
  <w:style w:type="paragraph" w:styleId="Heading4">
    <w:name w:val="heading 4"/>
    <w:basedOn w:val="Heading"/>
    <w:next w:val="BodyText"/>
    <w:qFormat/>
    <w:pPr>
      <w:numPr>
        <w:ilvl w:val="3"/>
        <w:numId w:val="3"/>
      </w:numPr>
      <w:outlineLvl w:val="3"/>
    </w:pPr>
  </w:style>
  <w:style w:type="paragraph" w:styleId="Heading5">
    <w:name w:val="heading 5"/>
    <w:basedOn w:val="Heading"/>
    <w:next w:val="BodyText"/>
    <w:qFormat/>
    <w:pPr>
      <w:numPr>
        <w:ilvl w:val="4"/>
        <w:numId w:val="3"/>
      </w:numPr>
      <w:outlineLvl w:val="4"/>
    </w:pPr>
  </w:style>
  <w:style w:type="paragraph" w:styleId="Heading6">
    <w:name w:val="heading 6"/>
    <w:basedOn w:val="Heading"/>
    <w:next w:val="BodyText"/>
    <w:qFormat/>
    <w:pPr>
      <w:numPr>
        <w:ilvl w:val="5"/>
        <w:numId w:val="3"/>
      </w:numPr>
      <w:outlineLvl w:val="5"/>
    </w:pPr>
  </w:style>
  <w:style w:type="paragraph" w:styleId="Heading7">
    <w:name w:val="heading 7"/>
    <w:basedOn w:val="Heading"/>
    <w:next w:val="BodyText"/>
    <w:qFormat/>
    <w:pPr>
      <w:numPr>
        <w:ilvl w:val="6"/>
        <w:numId w:val="3"/>
      </w:numPr>
      <w:outlineLvl w:val="6"/>
    </w:pPr>
  </w:style>
  <w:style w:type="paragraph" w:styleId="Heading8">
    <w:name w:val="heading 8"/>
    <w:basedOn w:val="Heading"/>
    <w:next w:val="BodyText"/>
    <w:qFormat/>
    <w:pPr>
      <w:numPr>
        <w:ilvl w:val="7"/>
        <w:numId w:val="3"/>
      </w:numPr>
      <w:outlineLvl w:val="7"/>
    </w:pPr>
  </w:style>
  <w:style w:type="paragraph" w:styleId="Heading9">
    <w:name w:val="heading 9"/>
    <w:basedOn w:val="Heading"/>
    <w:next w:val="BodyText"/>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BodyText"/>
  </w:style>
  <w:style w:type="paragraph" w:customStyle="1" w:styleId="BelowDate">
    <w:name w:val="BelowDate"/>
    <w:basedOn w:val="Normal"/>
    <w:pPr>
      <w:framePr w:hSpace="187" w:wrap="notBeside" w:vAnchor="page" w:hAnchor="text" w:xAlign="center" w:y="3241"/>
      <w:jc w:val="center"/>
    </w:pPr>
  </w:style>
  <w:style w:type="paragraph" w:styleId="BlockText">
    <w:name w:val="Block Text"/>
    <w:basedOn w:val="Normal"/>
    <w:pPr>
      <w:spacing w:after="240"/>
      <w:ind w:left="1440" w:right="1440"/>
    </w:pPr>
  </w:style>
  <w:style w:type="paragraph" w:customStyle="1" w:styleId="BodyTextDblFirst5">
    <w:name w:val="Body Text Dbl First .5"/>
    <w:aliases w:val="btdf"/>
    <w:basedOn w:val="Normal"/>
    <w:pPr>
      <w:spacing w:line="480" w:lineRule="auto"/>
      <w:ind w:firstLine="720"/>
    </w:pPr>
  </w:style>
  <w:style w:type="paragraph" w:customStyle="1" w:styleId="BodyTextDbl">
    <w:name w:val="Body Text Dbl"/>
    <w:aliases w:val="btd"/>
    <w:basedOn w:val="Normal"/>
    <w:pPr>
      <w:spacing w:line="480" w:lineRule="auto"/>
    </w:pPr>
  </w:style>
  <w:style w:type="paragraph" w:customStyle="1" w:styleId="BodyTextFirst5">
    <w:name w:val="Body Text First .5"/>
    <w:aliases w:val="btf"/>
    <w:basedOn w:val="Normal"/>
    <w:pPr>
      <w:spacing w:after="240"/>
      <w:ind w:firstLine="720"/>
    </w:pPr>
  </w:style>
  <w:style w:type="paragraph" w:customStyle="1" w:styleId="BodyTextFJDblFirst5">
    <w:name w:val="Body Text FJ Dbl First .5"/>
    <w:aliases w:val="btjdf"/>
    <w:basedOn w:val="Normal"/>
    <w:pPr>
      <w:spacing w:line="480" w:lineRule="auto"/>
      <w:ind w:firstLine="720"/>
      <w:jc w:val="both"/>
    </w:pPr>
  </w:style>
  <w:style w:type="paragraph" w:customStyle="1" w:styleId="BodyTextFJDbl">
    <w:name w:val="Body Text FJ Dbl"/>
    <w:aliases w:val="btjd"/>
    <w:basedOn w:val="Normal"/>
    <w:pPr>
      <w:spacing w:line="480" w:lineRule="auto"/>
      <w:jc w:val="both"/>
    </w:pPr>
  </w:style>
  <w:style w:type="paragraph" w:customStyle="1" w:styleId="BodyTextFJFirst5">
    <w:name w:val="Body Text FJ First .5"/>
    <w:aliases w:val="btjf"/>
    <w:basedOn w:val="Normal"/>
    <w:pPr>
      <w:spacing w:after="240"/>
      <w:ind w:firstLine="720"/>
      <w:jc w:val="both"/>
    </w:pPr>
  </w:style>
  <w:style w:type="paragraph" w:customStyle="1" w:styleId="BodyTextFJ">
    <w:name w:val="Body Text FJ"/>
    <w:aliases w:val="btj"/>
    <w:basedOn w:val="Normal"/>
    <w:pPr>
      <w:spacing w:after="240"/>
      <w:jc w:val="both"/>
    </w:pPr>
  </w:style>
  <w:style w:type="paragraph" w:styleId="BodyText">
    <w:name w:val="Body Text"/>
    <w:aliases w:val="bt"/>
    <w:basedOn w:val="Normal"/>
    <w:pPr>
      <w:spacing w:after="240"/>
    </w:pPr>
  </w:style>
  <w:style w:type="paragraph" w:styleId="Caption">
    <w:name w:val="caption"/>
    <w:basedOn w:val="Normal"/>
    <w:next w:val="BodyText"/>
    <w:qFormat/>
    <w:pPr>
      <w:spacing w:after="240"/>
    </w:pPr>
    <w:rPr>
      <w:b/>
    </w:rPr>
  </w:style>
  <w:style w:type="paragraph" w:customStyle="1" w:styleId="ccList">
    <w:name w:val="cc List"/>
    <w:basedOn w:val="Normal"/>
    <w:next w:val="BodyText"/>
  </w:style>
  <w:style w:type="paragraph" w:styleId="Closing">
    <w:name w:val="Closing"/>
    <w:basedOn w:val="Normal"/>
    <w:next w:val="Signature"/>
    <w:pPr>
      <w:keepNext/>
      <w:spacing w:after="240"/>
      <w:ind w:left="5040"/>
    </w:pPr>
  </w:style>
  <w:style w:type="character" w:styleId="CommentReference">
    <w:name w:val="annotation reference"/>
    <w:rPr>
      <w:rFonts w:ascii="Times New Roman" w:hAnsi="Times New Roman"/>
      <w:color w:val="FF0000"/>
      <w:sz w:val="16"/>
    </w:rPr>
  </w:style>
  <w:style w:type="paragraph" w:styleId="CommentText">
    <w:name w:val="annotation text"/>
    <w:basedOn w:val="Normal"/>
    <w:link w:val="CommentTextChar"/>
    <w:pPr>
      <w:spacing w:after="240"/>
    </w:pPr>
  </w:style>
  <w:style w:type="paragraph" w:customStyle="1" w:styleId="Company">
    <w:name w:val="Company"/>
    <w:basedOn w:val="Normal"/>
    <w:pPr>
      <w:spacing w:after="240"/>
    </w:pPr>
  </w:style>
  <w:style w:type="paragraph" w:styleId="Date">
    <w:name w:val="Date"/>
    <w:basedOn w:val="Normal"/>
    <w:next w:val="BodyText"/>
    <w:pPr>
      <w:spacing w:after="240"/>
    </w:pPr>
  </w:style>
  <w:style w:type="paragraph" w:styleId="DocumentMap">
    <w:name w:val="Document Map"/>
    <w:basedOn w:val="Normal"/>
    <w:rPr>
      <w:rFonts w:ascii="Tahoma" w:hAnsi="Tahoma"/>
    </w:rPr>
  </w:style>
  <w:style w:type="paragraph" w:customStyle="1" w:styleId="DWListBullet">
    <w:name w:val="DW List Bullet"/>
    <w:basedOn w:val="Normal"/>
    <w:pPr>
      <w:numPr>
        <w:numId w:val="1"/>
      </w:numPr>
      <w:spacing w:after="240"/>
    </w:pPr>
  </w:style>
  <w:style w:type="paragraph" w:customStyle="1" w:styleId="DWListNumber">
    <w:name w:val="DW List Number"/>
    <w:basedOn w:val="Normal"/>
    <w:pPr>
      <w:numPr>
        <w:numId w:val="2"/>
      </w:numPr>
      <w:spacing w:after="240"/>
    </w:pPr>
  </w:style>
  <w:style w:type="character" w:styleId="Emphasis">
    <w:name w:val="Emphasis"/>
    <w:qFormat/>
    <w:rPr>
      <w:i/>
    </w:rPr>
  </w:style>
  <w:style w:type="paragraph" w:customStyle="1" w:styleId="Enclosure">
    <w:name w:val="Enclosure"/>
    <w:basedOn w:val="Normal"/>
    <w:next w:val="BodyText"/>
    <w:pPr>
      <w:spacing w:after="240"/>
    </w:pPr>
  </w:style>
  <w:style w:type="character" w:styleId="EndnoteReference">
    <w:name w:val="endnote reference"/>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680"/>
        <w:tab w:val="right" w:pos="9360"/>
      </w:tabs>
    </w:pPr>
  </w:style>
  <w:style w:type="paragraph" w:customStyle="1" w:styleId="FooterLandscape">
    <w:name w:val="Footer Landscape"/>
    <w:basedOn w:val="Normal"/>
    <w:pPr>
      <w:tabs>
        <w:tab w:val="center" w:pos="6480"/>
        <w:tab w:val="right" w:pos="12960"/>
      </w:tabs>
    </w:pPr>
  </w:style>
  <w:style w:type="character" w:styleId="FootnoteReference">
    <w:name w:val="footnote reference"/>
    <w:rPr>
      <w:rFonts w:ascii="Times New Roman" w:hAnsi="Times New Roman"/>
      <w:sz w:val="24"/>
      <w:vertAlign w:val="superscript"/>
    </w:rPr>
  </w:style>
  <w:style w:type="paragraph" w:styleId="FootnoteText">
    <w:name w:val="footnote text"/>
    <w:basedOn w:val="Normal"/>
    <w:pPr>
      <w:spacing w:after="200"/>
      <w:ind w:left="360" w:hanging="360"/>
    </w:pPr>
    <w:rPr>
      <w:sz w:val="20"/>
    </w:rPr>
  </w:style>
  <w:style w:type="paragraph" w:styleId="Header">
    <w:name w:val="header"/>
    <w:basedOn w:val="Normal"/>
    <w:pPr>
      <w:tabs>
        <w:tab w:val="center" w:pos="4680"/>
        <w:tab w:val="right" w:pos="9360"/>
      </w:tabs>
      <w:spacing w:after="240"/>
    </w:pPr>
  </w:style>
  <w:style w:type="paragraph" w:customStyle="1" w:styleId="HeaderLandscape">
    <w:name w:val="Header Landscape"/>
    <w:basedOn w:val="Normal"/>
    <w:next w:val="BodyText"/>
    <w:pPr>
      <w:tabs>
        <w:tab w:val="center" w:pos="6480"/>
        <w:tab w:val="right" w:pos="12960"/>
      </w:tabs>
      <w:spacing w:after="240"/>
    </w:pPr>
  </w:style>
  <w:style w:type="paragraph" w:customStyle="1" w:styleId="Heading">
    <w:name w:val="Heading"/>
    <w:basedOn w:val="Normal"/>
    <w:pPr>
      <w:spacing w:after="240"/>
    </w:pPr>
  </w:style>
  <w:style w:type="character" w:styleId="Hyperlink">
    <w:name w:val="Hyperlink"/>
    <w:uiPriority w:val="99"/>
    <w:rPr>
      <w:color w:val="0000FF"/>
      <w:u w:val="single"/>
    </w:rPr>
  </w:style>
  <w:style w:type="paragraph" w:customStyle="1" w:styleId="Index">
    <w:name w:val="Index"/>
    <w:basedOn w:val="Normal"/>
  </w:style>
  <w:style w:type="paragraph" w:styleId="Index1">
    <w:name w:val="index 1"/>
    <w:basedOn w:val="Index"/>
    <w:next w:val="BodyText"/>
  </w:style>
  <w:style w:type="paragraph" w:styleId="Index2">
    <w:name w:val="index 2"/>
    <w:basedOn w:val="Index"/>
    <w:next w:val="BodyText"/>
    <w:pPr>
      <w:ind w:left="360"/>
    </w:pPr>
  </w:style>
  <w:style w:type="paragraph" w:styleId="Index3">
    <w:name w:val="index 3"/>
    <w:basedOn w:val="Index"/>
    <w:next w:val="BodyText"/>
    <w:pPr>
      <w:ind w:left="720"/>
    </w:pPr>
  </w:style>
  <w:style w:type="paragraph" w:styleId="Index4">
    <w:name w:val="index 4"/>
    <w:basedOn w:val="Index"/>
    <w:next w:val="BodyText"/>
    <w:pPr>
      <w:ind w:left="1080"/>
    </w:pPr>
  </w:style>
  <w:style w:type="paragraph" w:styleId="Index5">
    <w:name w:val="index 5"/>
    <w:basedOn w:val="Index"/>
    <w:next w:val="BodyText"/>
    <w:pPr>
      <w:ind w:left="1440"/>
    </w:pPr>
  </w:style>
  <w:style w:type="paragraph" w:styleId="Index6">
    <w:name w:val="index 6"/>
    <w:basedOn w:val="Index"/>
    <w:next w:val="BodyText"/>
    <w:pPr>
      <w:ind w:left="1800"/>
    </w:pPr>
  </w:style>
  <w:style w:type="paragraph" w:styleId="Index7">
    <w:name w:val="index 7"/>
    <w:basedOn w:val="Index"/>
    <w:next w:val="BodyText"/>
    <w:pPr>
      <w:ind w:left="2160"/>
    </w:pPr>
  </w:style>
  <w:style w:type="paragraph" w:styleId="Index8">
    <w:name w:val="index 8"/>
    <w:basedOn w:val="Index"/>
    <w:next w:val="BodyText"/>
    <w:pPr>
      <w:ind w:left="2520"/>
    </w:pPr>
  </w:style>
  <w:style w:type="paragraph" w:styleId="Index9">
    <w:name w:val="index 9"/>
    <w:basedOn w:val="Index"/>
    <w:next w:val="BodyText"/>
    <w:pPr>
      <w:ind w:left="2880"/>
    </w:pPr>
  </w:style>
  <w:style w:type="paragraph" w:styleId="IndexHeading">
    <w:name w:val="index heading"/>
    <w:basedOn w:val="Normal"/>
    <w:next w:val="Index1"/>
  </w:style>
  <w:style w:type="paragraph" w:customStyle="1" w:styleId="Initials">
    <w:name w:val="Initials"/>
    <w:basedOn w:val="Normal"/>
    <w:next w:val="BodyText"/>
    <w:pPr>
      <w:spacing w:after="240"/>
    </w:pPr>
  </w:style>
  <w:style w:type="character" w:styleId="LineNumber">
    <w:name w:val="line number"/>
    <w:basedOn w:val="DefaultParagraphFont"/>
  </w:style>
  <w:style w:type="paragraph" w:styleId="List">
    <w:name w:val="List"/>
    <w:basedOn w:val="Normal"/>
    <w:next w:val="BodyText"/>
  </w:style>
  <w:style w:type="paragraph" w:customStyle="1" w:styleId="List1">
    <w:name w:val="List 1"/>
    <w:basedOn w:val="List"/>
    <w:next w:val="BodyText"/>
    <w:pPr>
      <w:ind w:left="720" w:hanging="720"/>
    </w:pPr>
  </w:style>
  <w:style w:type="paragraph" w:customStyle="1" w:styleId="List1d">
    <w:name w:val="List 1.d"/>
    <w:basedOn w:val="List"/>
    <w:next w:val="BodyText"/>
    <w:pPr>
      <w:tabs>
        <w:tab w:val="decimal" w:pos="1080"/>
      </w:tabs>
      <w:ind w:left="1440" w:hanging="1440"/>
    </w:pPr>
  </w:style>
  <w:style w:type="paragraph" w:styleId="List2">
    <w:name w:val="List 2"/>
    <w:basedOn w:val="List"/>
    <w:next w:val="BodyText"/>
    <w:pPr>
      <w:ind w:left="720"/>
    </w:pPr>
  </w:style>
  <w:style w:type="paragraph" w:customStyle="1" w:styleId="List2d">
    <w:name w:val="List 2.d"/>
    <w:basedOn w:val="List"/>
    <w:next w:val="BodyText"/>
    <w:pPr>
      <w:tabs>
        <w:tab w:val="decimal" w:pos="1800"/>
      </w:tabs>
      <w:ind w:left="2160" w:hanging="1440"/>
    </w:pPr>
  </w:style>
  <w:style w:type="paragraph" w:styleId="List3">
    <w:name w:val="List 3"/>
    <w:basedOn w:val="List"/>
    <w:next w:val="BodyText"/>
    <w:pPr>
      <w:ind w:left="1440"/>
    </w:pPr>
  </w:style>
  <w:style w:type="paragraph" w:customStyle="1" w:styleId="List3d">
    <w:name w:val="List 3.d"/>
    <w:basedOn w:val="List"/>
    <w:next w:val="BodyText"/>
    <w:pPr>
      <w:tabs>
        <w:tab w:val="decimal" w:pos="2520"/>
      </w:tabs>
      <w:ind w:left="2880" w:hanging="1440"/>
    </w:pPr>
  </w:style>
  <w:style w:type="paragraph" w:styleId="List4">
    <w:name w:val="List 4"/>
    <w:basedOn w:val="List"/>
    <w:next w:val="BodyText"/>
    <w:pPr>
      <w:ind w:left="2160"/>
    </w:pPr>
  </w:style>
  <w:style w:type="paragraph" w:customStyle="1" w:styleId="List4d">
    <w:name w:val="List 4.d"/>
    <w:basedOn w:val="List"/>
    <w:next w:val="BodyText"/>
    <w:pPr>
      <w:tabs>
        <w:tab w:val="decimal" w:pos="3240"/>
      </w:tabs>
      <w:ind w:left="3600" w:hanging="1440"/>
    </w:pPr>
  </w:style>
  <w:style w:type="paragraph" w:styleId="List5">
    <w:name w:val="List 5"/>
    <w:basedOn w:val="List"/>
    <w:next w:val="BodyText"/>
    <w:pPr>
      <w:ind w:left="2880"/>
    </w:pPr>
  </w:style>
  <w:style w:type="paragraph" w:customStyle="1" w:styleId="List5d">
    <w:name w:val="List 5.d"/>
    <w:basedOn w:val="List"/>
    <w:next w:val="BodyText"/>
    <w:pPr>
      <w:tabs>
        <w:tab w:val="decimal" w:pos="3960"/>
      </w:tabs>
      <w:ind w:left="4320" w:hanging="1440"/>
    </w:pPr>
  </w:style>
  <w:style w:type="paragraph" w:styleId="ListBullet">
    <w:name w:val="List Bullet"/>
    <w:basedOn w:val="Normal"/>
    <w:pPr>
      <w:numPr>
        <w:numId w:val="4"/>
      </w:numPr>
    </w:pPr>
  </w:style>
  <w:style w:type="paragraph" w:customStyle="1" w:styleId="ListBullet1">
    <w:name w:val="List Bullet 1"/>
    <w:basedOn w:val="ListBullet"/>
    <w:pPr>
      <w:numPr>
        <w:numId w:val="5"/>
      </w:numPr>
    </w:pPr>
  </w:style>
  <w:style w:type="paragraph" w:styleId="ListBullet2">
    <w:name w:val="List Bullet 2"/>
    <w:basedOn w:val="ListBullet"/>
    <w:pPr>
      <w:numPr>
        <w:numId w:val="6"/>
      </w:numPr>
    </w:pPr>
  </w:style>
  <w:style w:type="paragraph" w:styleId="ListBullet3">
    <w:name w:val="List Bullet 3"/>
    <w:basedOn w:val="ListBullet"/>
    <w:pPr>
      <w:numPr>
        <w:numId w:val="7"/>
      </w:numPr>
    </w:pPr>
  </w:style>
  <w:style w:type="paragraph" w:styleId="ListBullet4">
    <w:name w:val="List Bullet 4"/>
    <w:basedOn w:val="ListBullet"/>
    <w:pPr>
      <w:numPr>
        <w:numId w:val="8"/>
      </w:numPr>
    </w:pPr>
  </w:style>
  <w:style w:type="paragraph" w:styleId="ListBullet5">
    <w:name w:val="List Bullet 5"/>
    <w:basedOn w:val="ListBullet"/>
    <w:pPr>
      <w:numPr>
        <w:numId w:val="9"/>
      </w:numPr>
    </w:pPr>
  </w:style>
  <w:style w:type="paragraph" w:styleId="ListContinue">
    <w:name w:val="List Continue"/>
    <w:basedOn w:val="Normal"/>
    <w:pPr>
      <w:spacing w:after="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10"/>
      </w:numPr>
    </w:pPr>
  </w:style>
  <w:style w:type="paragraph" w:styleId="ListNumber2">
    <w:name w:val="List Number 2"/>
    <w:basedOn w:val="ListNumber"/>
    <w:pPr>
      <w:tabs>
        <w:tab w:val="num" w:pos="1800"/>
      </w:tabs>
      <w:ind w:left="1440" w:hanging="720"/>
    </w:pPr>
  </w:style>
  <w:style w:type="paragraph" w:styleId="ListNumber3">
    <w:name w:val="List Number 3"/>
    <w:basedOn w:val="ListNumber"/>
    <w:pPr>
      <w:numPr>
        <w:numId w:val="11"/>
      </w:numPr>
    </w:pPr>
  </w:style>
  <w:style w:type="paragraph" w:styleId="ListNumber4">
    <w:name w:val="List Number 4"/>
    <w:basedOn w:val="ListNumber"/>
    <w:pPr>
      <w:numPr>
        <w:numId w:val="12"/>
      </w:numPr>
    </w:pPr>
  </w:style>
  <w:style w:type="paragraph" w:styleId="ListNumber5">
    <w:name w:val="List Number 5"/>
    <w:basedOn w:val="ListNumber"/>
    <w:pPr>
      <w:numPr>
        <w:numId w:val="13"/>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BodyText"/>
    <w:semiHidden/>
  </w:style>
  <w:style w:type="character" w:styleId="PageNumber">
    <w:name w:val="page number"/>
    <w:basedOn w:val="DefaultParagraphFont"/>
  </w:style>
  <w:style w:type="character" w:customStyle="1" w:styleId="ParaNum">
    <w:name w:val="ParaNum"/>
    <w:basedOn w:val="DefaultParagraphFont"/>
  </w:style>
  <w:style w:type="paragraph" w:customStyle="1" w:styleId="Plain">
    <w:name w:val="Plain"/>
    <w:basedOn w:val="Normal"/>
    <w:semiHidden/>
    <w:pPr>
      <w:widowControl w:val="0"/>
      <w:tabs>
        <w:tab w:val="center" w:pos="4680"/>
      </w:tabs>
    </w:pPr>
  </w:style>
  <w:style w:type="paragraph" w:styleId="PlainText">
    <w:name w:val="Plain Text"/>
    <w:basedOn w:val="Normal"/>
    <w:rPr>
      <w:rFonts w:ascii="Courier New" w:hAnsi="Courier New"/>
      <w:sz w:val="20"/>
    </w:rPr>
  </w:style>
  <w:style w:type="paragraph" w:customStyle="1" w:styleId="Privacy">
    <w:name w:val="Privacy"/>
    <w:basedOn w:val="Normal"/>
    <w:next w:val="BodyText"/>
    <w:pPr>
      <w:spacing w:after="240"/>
      <w:jc w:val="center"/>
    </w:pPr>
    <w:rPr>
      <w:b/>
    </w:rPr>
  </w:style>
  <w:style w:type="paragraph" w:customStyle="1" w:styleId="Quote1">
    <w:name w:val="Quote1"/>
    <w:aliases w:val="q"/>
    <w:basedOn w:val="Normal"/>
    <w:next w:val="BodyText"/>
    <w:pPr>
      <w:spacing w:after="240"/>
      <w:ind w:left="1440" w:right="1440"/>
    </w:pPr>
  </w:style>
  <w:style w:type="paragraph" w:customStyle="1" w:styleId="QuoteDoubleSpace">
    <w:name w:val="Quote DoubleSpace"/>
    <w:aliases w:val="qd"/>
    <w:basedOn w:val="Quote1"/>
    <w:next w:val="BodyText"/>
    <w:pPr>
      <w:spacing w:line="480" w:lineRule="auto"/>
    </w:pPr>
  </w:style>
  <w:style w:type="paragraph" w:customStyle="1" w:styleId="ReLine">
    <w:name w:val="Re Line"/>
    <w:basedOn w:val="Normal"/>
    <w:next w:val="BodyText"/>
    <w:pPr>
      <w:spacing w:after="240"/>
      <w:ind w:left="1440" w:hanging="720"/>
    </w:pPr>
  </w:style>
  <w:style w:type="paragraph" w:customStyle="1" w:styleId="RecipientTitle">
    <w:name w:val="RecipientTitle"/>
    <w:basedOn w:val="Normal"/>
  </w:style>
  <w:style w:type="paragraph" w:customStyle="1" w:styleId="Recital">
    <w:name w:val="Recital"/>
    <w:basedOn w:val="Normal"/>
    <w:next w:val="BodyText"/>
    <w:pPr>
      <w:keepNext/>
      <w:keepLines/>
      <w:spacing w:after="240"/>
      <w:jc w:val="center"/>
    </w:pPr>
    <w:rPr>
      <w:caps/>
      <w:u w:val="words"/>
    </w:rPr>
  </w:style>
  <w:style w:type="paragraph" w:styleId="Salutation">
    <w:name w:val="Salutation"/>
    <w:basedOn w:val="Normal"/>
    <w:next w:val="BodyText"/>
    <w:pPr>
      <w:keepNext/>
      <w:spacing w:after="240"/>
    </w:pPr>
  </w:style>
  <w:style w:type="paragraph" w:styleId="Signature">
    <w:name w:val="Signature"/>
    <w:basedOn w:val="Normal"/>
    <w:next w:val="BodyText"/>
    <w:pPr>
      <w:keepLines/>
      <w:ind w:left="5040"/>
    </w:pPr>
  </w:style>
  <w:style w:type="character" w:styleId="Strong">
    <w:name w:val="Strong"/>
    <w:qFormat/>
    <w:rPr>
      <w:b/>
    </w:rPr>
  </w:style>
  <w:style w:type="paragraph" w:styleId="Subtitle">
    <w:name w:val="Subtitle"/>
    <w:basedOn w:val="Normal"/>
    <w:qFormat/>
    <w:pPr>
      <w:keepNext/>
      <w:keepLines/>
      <w:spacing w:after="240"/>
      <w:jc w:val="center"/>
      <w:outlineLvl w:val="1"/>
    </w:pPr>
  </w:style>
  <w:style w:type="paragraph" w:customStyle="1" w:styleId="SubtitleLeftDbl">
    <w:name w:val="Subtitle Left Dbl"/>
    <w:aliases w:val="sld"/>
    <w:basedOn w:val="Normal"/>
    <w:pPr>
      <w:keepNext/>
      <w:keepLines/>
      <w:spacing w:line="480" w:lineRule="auto"/>
    </w:pPr>
    <w:rPr>
      <w:b/>
    </w:rPr>
  </w:style>
  <w:style w:type="paragraph" w:customStyle="1" w:styleId="SubtitleLeft">
    <w:name w:val="Subtitle Left"/>
    <w:aliases w:val="sl"/>
    <w:basedOn w:val="Normal"/>
    <w:pPr>
      <w:keepNext/>
      <w:keepLines/>
      <w:spacing w:after="240"/>
    </w:pPr>
    <w:rPr>
      <w:b/>
    </w:rPr>
  </w:style>
  <w:style w:type="paragraph" w:customStyle="1" w:styleId="Table">
    <w:name w:val="Table"/>
    <w:basedOn w:val="Normal"/>
  </w:style>
  <w:style w:type="paragraph" w:customStyle="1" w:styleId="TableHeadings">
    <w:name w:val="Table Headings"/>
    <w:basedOn w:val="Table"/>
    <w:rPr>
      <w:b/>
    </w:rPr>
  </w:style>
  <w:style w:type="paragraph" w:styleId="TableofAuthorities">
    <w:name w:val="table of authorities"/>
    <w:basedOn w:val="Normal"/>
    <w:next w:val="BodyText"/>
    <w:pPr>
      <w:ind w:left="240" w:hanging="240"/>
    </w:pPr>
  </w:style>
  <w:style w:type="paragraph" w:styleId="TableofFigures">
    <w:name w:val="table of figures"/>
    <w:basedOn w:val="Normal"/>
    <w:next w:val="BodyText"/>
    <w:pPr>
      <w:ind w:left="480" w:hanging="480"/>
    </w:pPr>
  </w:style>
  <w:style w:type="paragraph" w:customStyle="1" w:styleId="TableSubtotal">
    <w:name w:val="Table Subtotal"/>
    <w:basedOn w:val="Table"/>
    <w:pPr>
      <w:pBdr>
        <w:top w:val="single" w:sz="4" w:space="1" w:color="auto"/>
        <w:bottom w:val="single" w:sz="4" w:space="1" w:color="auto"/>
      </w:pBdr>
    </w:pPr>
  </w:style>
  <w:style w:type="paragraph" w:customStyle="1" w:styleId="TableText">
    <w:name w:val="Table Text"/>
    <w:basedOn w:val="Table"/>
  </w:style>
  <w:style w:type="paragraph" w:customStyle="1" w:styleId="TableTotal">
    <w:name w:val="Table Total"/>
    <w:basedOn w:val="Table"/>
    <w:pPr>
      <w:pBdr>
        <w:bottom w:val="double" w:sz="4" w:space="1" w:color="auto"/>
      </w:pBdr>
    </w:pPr>
    <w:rPr>
      <w:b/>
    </w:rPr>
  </w:style>
  <w:style w:type="paragraph" w:styleId="Title">
    <w:name w:val="Title"/>
    <w:basedOn w:val="Normal"/>
    <w:next w:val="BodyText"/>
    <w:qFormat/>
    <w:pPr>
      <w:keepNext/>
      <w:keepLines/>
      <w:spacing w:after="480"/>
      <w:jc w:val="center"/>
      <w:outlineLvl w:val="0"/>
    </w:pPr>
    <w:rPr>
      <w:b/>
    </w:rPr>
  </w:style>
  <w:style w:type="paragraph" w:customStyle="1" w:styleId="Titlenotoc">
    <w:name w:val="Title (no toc)"/>
    <w:basedOn w:val="Title"/>
    <w:next w:val="BodyText"/>
    <w:pPr>
      <w:outlineLvl w:val="9"/>
    </w:pPr>
  </w:style>
  <w:style w:type="paragraph" w:customStyle="1" w:styleId="TitleAppendix">
    <w:name w:val="Title Appendix"/>
    <w:basedOn w:val="Title"/>
    <w:next w:val="BodyText"/>
  </w:style>
  <w:style w:type="paragraph" w:customStyle="1" w:styleId="TitleCover">
    <w:name w:val="Title Cover"/>
    <w:basedOn w:val="Title"/>
    <w:next w:val="BodyText"/>
    <w:rPr>
      <w:sz w:val="28"/>
    </w:rPr>
  </w:style>
  <w:style w:type="paragraph" w:customStyle="1" w:styleId="TitleDate">
    <w:name w:val="Title Date"/>
    <w:basedOn w:val="Title"/>
    <w:next w:val="BodyText"/>
  </w:style>
  <w:style w:type="paragraph" w:customStyle="1" w:styleId="TitleDocument">
    <w:name w:val="Title Document"/>
    <w:basedOn w:val="Title"/>
    <w:next w:val="BodyText"/>
    <w:rPr>
      <w:caps/>
    </w:rPr>
  </w:style>
  <w:style w:type="paragraph" w:customStyle="1" w:styleId="TitleExhibit">
    <w:name w:val="Title Exhibit"/>
    <w:basedOn w:val="Title"/>
    <w:next w:val="BodyText"/>
    <w:pPr>
      <w:jc w:val="right"/>
    </w:pPr>
    <w:rPr>
      <w:caps/>
    </w:rPr>
  </w:style>
  <w:style w:type="paragraph" w:customStyle="1" w:styleId="TitleIndex">
    <w:name w:val="Title Index"/>
    <w:basedOn w:val="Title"/>
    <w:next w:val="BodyText"/>
  </w:style>
  <w:style w:type="paragraph" w:customStyle="1" w:styleId="TitleSchedule">
    <w:name w:val="Title Schedule"/>
    <w:basedOn w:val="Title"/>
    <w:next w:val="BodyText"/>
    <w:pPr>
      <w:jc w:val="right"/>
    </w:pPr>
    <w:rPr>
      <w:caps/>
    </w:rPr>
  </w:style>
  <w:style w:type="paragraph" w:customStyle="1" w:styleId="TitleTOC">
    <w:name w:val="Title TOC"/>
    <w:basedOn w:val="Title"/>
    <w:next w:val="BodyText"/>
  </w:style>
  <w:style w:type="paragraph" w:customStyle="1" w:styleId="TitleTOE">
    <w:name w:val="Title TOE"/>
    <w:basedOn w:val="Title"/>
    <w:next w:val="BodyText"/>
  </w:style>
  <w:style w:type="paragraph" w:styleId="TOAHeading">
    <w:name w:val="toa heading"/>
    <w:basedOn w:val="Title"/>
    <w:next w:val="BodyText"/>
    <w:rPr>
      <w:rFonts w:ascii="Arial" w:hAnsi="Arial"/>
    </w:rPr>
  </w:style>
  <w:style w:type="paragraph" w:styleId="TOC1">
    <w:name w:val="toc 1"/>
    <w:basedOn w:val="Normal"/>
    <w:next w:val="BodyText"/>
    <w:autoRedefine/>
    <w:pPr>
      <w:tabs>
        <w:tab w:val="right" w:leader="dot" w:pos="9360"/>
      </w:tabs>
      <w:spacing w:before="240" w:after="240"/>
    </w:pPr>
    <w:rPr>
      <w:caps/>
    </w:rPr>
  </w:style>
  <w:style w:type="paragraph" w:styleId="TOC2">
    <w:name w:val="toc 2"/>
    <w:basedOn w:val="Normal"/>
    <w:next w:val="BodyText"/>
    <w:autoRedefine/>
    <w:uiPriority w:val="39"/>
    <w:pPr>
      <w:tabs>
        <w:tab w:val="right" w:leader="dot" w:pos="9360"/>
      </w:tabs>
      <w:ind w:left="360"/>
    </w:pPr>
  </w:style>
  <w:style w:type="paragraph" w:styleId="TOC3">
    <w:name w:val="toc 3"/>
    <w:basedOn w:val="Normal"/>
    <w:next w:val="BodyText"/>
    <w:autoRedefine/>
    <w:uiPriority w:val="39"/>
    <w:pPr>
      <w:tabs>
        <w:tab w:val="right" w:leader="dot" w:pos="9360"/>
      </w:tabs>
      <w:ind w:left="1080"/>
    </w:pPr>
  </w:style>
  <w:style w:type="paragraph" w:styleId="TOC4">
    <w:name w:val="toc 4"/>
    <w:basedOn w:val="Normal"/>
    <w:next w:val="BodyText"/>
    <w:autoRedefine/>
    <w:pPr>
      <w:tabs>
        <w:tab w:val="right" w:leader="dot" w:pos="9360"/>
      </w:tabs>
      <w:ind w:left="1440"/>
    </w:pPr>
  </w:style>
  <w:style w:type="paragraph" w:styleId="TOC5">
    <w:name w:val="toc 5"/>
    <w:basedOn w:val="Normal"/>
    <w:next w:val="BodyText"/>
    <w:autoRedefine/>
    <w:pPr>
      <w:tabs>
        <w:tab w:val="right" w:leader="dot" w:pos="9360"/>
      </w:tabs>
      <w:ind w:left="1800"/>
    </w:pPr>
  </w:style>
  <w:style w:type="paragraph" w:styleId="TOC6">
    <w:name w:val="toc 6"/>
    <w:basedOn w:val="Normal"/>
    <w:next w:val="BodyText"/>
    <w:autoRedefine/>
    <w:pPr>
      <w:tabs>
        <w:tab w:val="right" w:leader="dot" w:pos="9360"/>
      </w:tabs>
      <w:ind w:left="2160"/>
    </w:pPr>
  </w:style>
  <w:style w:type="paragraph" w:styleId="TOC7">
    <w:name w:val="toc 7"/>
    <w:basedOn w:val="Normal"/>
    <w:next w:val="BodyText"/>
    <w:autoRedefine/>
    <w:pPr>
      <w:tabs>
        <w:tab w:val="right" w:leader="dot" w:pos="9360"/>
      </w:tabs>
      <w:ind w:left="2520"/>
    </w:pPr>
  </w:style>
  <w:style w:type="paragraph" w:styleId="TOC8">
    <w:name w:val="toc 8"/>
    <w:basedOn w:val="Normal"/>
    <w:next w:val="BodyText"/>
    <w:autoRedefine/>
    <w:pPr>
      <w:tabs>
        <w:tab w:val="right" w:leader="dot" w:pos="9360"/>
      </w:tabs>
      <w:ind w:left="2880"/>
    </w:pPr>
  </w:style>
  <w:style w:type="paragraph" w:styleId="TOC9">
    <w:name w:val="toc 9"/>
    <w:basedOn w:val="Normal"/>
    <w:next w:val="BodyText"/>
    <w:autoRedefine/>
    <w:pPr>
      <w:tabs>
        <w:tab w:val="right" w:leader="dot" w:pos="9360"/>
      </w:tabs>
      <w:ind w:left="3240"/>
    </w:pPr>
  </w:style>
  <w:style w:type="paragraph" w:customStyle="1" w:styleId="TOCTitle">
    <w:name w:val="TOC Title"/>
    <w:basedOn w:val="Normal"/>
    <w:next w:val="TOC1"/>
    <w:semiHidden/>
    <w:pPr>
      <w:jc w:val="center"/>
    </w:pPr>
    <w:rPr>
      <w:b/>
      <w:caps/>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NormalWeb">
    <w:name w:val="Normal (Web)"/>
    <w:basedOn w:val="Normal"/>
    <w:uiPriority w:val="99"/>
    <w:semiHidden/>
    <w:rPr>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character" w:customStyle="1" w:styleId="DocID">
    <w:name w:val="DocID"/>
    <w:rPr>
      <w:rFonts w:ascii="Times New Roman" w:hAnsi="Times New Roman" w:cs="Times New Roman"/>
      <w:b w:val="0"/>
      <w:i w:val="0"/>
      <w:caps w:val="0"/>
      <w:sz w:val="16"/>
      <w:szCs w:val="28"/>
      <w:u w:val="none"/>
    </w:rPr>
  </w:style>
  <w:style w:type="character" w:customStyle="1" w:styleId="FooterChar">
    <w:name w:val="Footer Char"/>
    <w:link w:val="Footer"/>
    <w:uiPriority w:val="99"/>
    <w:rsid w:val="00F42A7E"/>
    <w:rPr>
      <w:sz w:val="24"/>
    </w:rPr>
  </w:style>
  <w:style w:type="paragraph" w:styleId="CommentSubject">
    <w:name w:val="annotation subject"/>
    <w:basedOn w:val="CommentText"/>
    <w:next w:val="CommentText"/>
    <w:link w:val="CommentSubjectChar"/>
    <w:rsid w:val="00077454"/>
    <w:pPr>
      <w:spacing w:after="0"/>
    </w:pPr>
    <w:rPr>
      <w:b/>
      <w:bCs/>
      <w:sz w:val="20"/>
    </w:rPr>
  </w:style>
  <w:style w:type="character" w:customStyle="1" w:styleId="CommentTextChar">
    <w:name w:val="Comment Text Char"/>
    <w:link w:val="CommentText"/>
    <w:rsid w:val="00077454"/>
    <w:rPr>
      <w:sz w:val="24"/>
    </w:rPr>
  </w:style>
  <w:style w:type="character" w:customStyle="1" w:styleId="CommentSubjectChar">
    <w:name w:val="Comment Subject Char"/>
    <w:link w:val="CommentSubject"/>
    <w:rsid w:val="00077454"/>
    <w:rPr>
      <w:b/>
      <w:bCs/>
      <w:sz w:val="24"/>
    </w:rPr>
  </w:style>
  <w:style w:type="paragraph" w:styleId="BalloonText">
    <w:name w:val="Balloon Text"/>
    <w:basedOn w:val="Normal"/>
    <w:link w:val="BalloonTextChar"/>
    <w:rsid w:val="00077454"/>
    <w:rPr>
      <w:rFonts w:ascii="Tahoma" w:hAnsi="Tahoma" w:cs="Tahoma"/>
      <w:sz w:val="16"/>
      <w:szCs w:val="16"/>
    </w:rPr>
  </w:style>
  <w:style w:type="character" w:customStyle="1" w:styleId="BalloonTextChar">
    <w:name w:val="Balloon Text Char"/>
    <w:link w:val="BalloonText"/>
    <w:rsid w:val="00077454"/>
    <w:rPr>
      <w:rFonts w:ascii="Tahoma" w:hAnsi="Tahoma" w:cs="Tahoma"/>
      <w:sz w:val="16"/>
      <w:szCs w:val="16"/>
    </w:rPr>
  </w:style>
  <w:style w:type="paragraph" w:customStyle="1" w:styleId="GridTable5Dark-Accent11">
    <w:name w:val="Grid Table 5 Dark - Accent 11"/>
    <w:basedOn w:val="Heading1"/>
    <w:next w:val="Normal"/>
    <w:uiPriority w:val="39"/>
    <w:unhideWhenUsed/>
    <w:qFormat/>
    <w:rsid w:val="00CF3DB4"/>
    <w:pPr>
      <w:numPr>
        <w:numId w:val="0"/>
      </w:numPr>
      <w:spacing w:before="240" w:after="0" w:line="259" w:lineRule="auto"/>
      <w:jc w:val="left"/>
      <w:outlineLvl w:val="9"/>
    </w:pPr>
    <w:rPr>
      <w:rFonts w:ascii="Calibri Light" w:hAnsi="Calibri Light"/>
      <w:b w:val="0"/>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Pr>
      <w:sz w:val="24"/>
    </w:rPr>
  </w:style>
  <w:style w:type="paragraph" w:styleId="Heading1">
    <w:name w:val="heading 1"/>
    <w:basedOn w:val="Heading"/>
    <w:next w:val="BodyText"/>
    <w:qFormat/>
    <w:pPr>
      <w:keepNext/>
      <w:keepLines/>
      <w:numPr>
        <w:numId w:val="3"/>
      </w:numPr>
      <w:jc w:val="center"/>
      <w:outlineLvl w:val="0"/>
    </w:pPr>
    <w:rPr>
      <w:b/>
    </w:rPr>
  </w:style>
  <w:style w:type="paragraph" w:styleId="Heading2">
    <w:name w:val="heading 2"/>
    <w:basedOn w:val="Heading"/>
    <w:next w:val="BodyText"/>
    <w:qFormat/>
    <w:pPr>
      <w:numPr>
        <w:ilvl w:val="1"/>
        <w:numId w:val="3"/>
      </w:numPr>
      <w:outlineLvl w:val="1"/>
    </w:pPr>
    <w:rPr>
      <w:b/>
    </w:rPr>
  </w:style>
  <w:style w:type="paragraph" w:styleId="Heading3">
    <w:name w:val="heading 3"/>
    <w:basedOn w:val="Heading"/>
    <w:next w:val="BodyText"/>
    <w:qFormat/>
    <w:rsid w:val="00DB6F26"/>
    <w:pPr>
      <w:numPr>
        <w:ilvl w:val="2"/>
        <w:numId w:val="3"/>
      </w:numPr>
      <w:outlineLvl w:val="2"/>
    </w:pPr>
    <w:rPr>
      <w:b/>
      <w:sz w:val="28"/>
    </w:rPr>
  </w:style>
  <w:style w:type="paragraph" w:styleId="Heading4">
    <w:name w:val="heading 4"/>
    <w:basedOn w:val="Heading"/>
    <w:next w:val="BodyText"/>
    <w:qFormat/>
    <w:pPr>
      <w:numPr>
        <w:ilvl w:val="3"/>
        <w:numId w:val="3"/>
      </w:numPr>
      <w:outlineLvl w:val="3"/>
    </w:pPr>
  </w:style>
  <w:style w:type="paragraph" w:styleId="Heading5">
    <w:name w:val="heading 5"/>
    <w:basedOn w:val="Heading"/>
    <w:next w:val="BodyText"/>
    <w:qFormat/>
    <w:pPr>
      <w:numPr>
        <w:ilvl w:val="4"/>
        <w:numId w:val="3"/>
      </w:numPr>
      <w:outlineLvl w:val="4"/>
    </w:pPr>
  </w:style>
  <w:style w:type="paragraph" w:styleId="Heading6">
    <w:name w:val="heading 6"/>
    <w:basedOn w:val="Heading"/>
    <w:next w:val="BodyText"/>
    <w:qFormat/>
    <w:pPr>
      <w:numPr>
        <w:ilvl w:val="5"/>
        <w:numId w:val="3"/>
      </w:numPr>
      <w:outlineLvl w:val="5"/>
    </w:pPr>
  </w:style>
  <w:style w:type="paragraph" w:styleId="Heading7">
    <w:name w:val="heading 7"/>
    <w:basedOn w:val="Heading"/>
    <w:next w:val="BodyText"/>
    <w:qFormat/>
    <w:pPr>
      <w:numPr>
        <w:ilvl w:val="6"/>
        <w:numId w:val="3"/>
      </w:numPr>
      <w:outlineLvl w:val="6"/>
    </w:pPr>
  </w:style>
  <w:style w:type="paragraph" w:styleId="Heading8">
    <w:name w:val="heading 8"/>
    <w:basedOn w:val="Heading"/>
    <w:next w:val="BodyText"/>
    <w:qFormat/>
    <w:pPr>
      <w:numPr>
        <w:ilvl w:val="7"/>
        <w:numId w:val="3"/>
      </w:numPr>
      <w:outlineLvl w:val="7"/>
    </w:pPr>
  </w:style>
  <w:style w:type="paragraph" w:styleId="Heading9">
    <w:name w:val="heading 9"/>
    <w:basedOn w:val="Heading"/>
    <w:next w:val="BodyText"/>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BodyText"/>
  </w:style>
  <w:style w:type="paragraph" w:customStyle="1" w:styleId="BelowDate">
    <w:name w:val="BelowDate"/>
    <w:basedOn w:val="Normal"/>
    <w:pPr>
      <w:framePr w:hSpace="187" w:wrap="notBeside" w:vAnchor="page" w:hAnchor="text" w:xAlign="center" w:y="3241"/>
      <w:jc w:val="center"/>
    </w:pPr>
  </w:style>
  <w:style w:type="paragraph" w:styleId="BlockText">
    <w:name w:val="Block Text"/>
    <w:basedOn w:val="Normal"/>
    <w:pPr>
      <w:spacing w:after="240"/>
      <w:ind w:left="1440" w:right="1440"/>
    </w:pPr>
  </w:style>
  <w:style w:type="paragraph" w:customStyle="1" w:styleId="BodyTextDblFirst5">
    <w:name w:val="Body Text Dbl First .5"/>
    <w:aliases w:val="btdf"/>
    <w:basedOn w:val="Normal"/>
    <w:pPr>
      <w:spacing w:line="480" w:lineRule="auto"/>
      <w:ind w:firstLine="720"/>
    </w:pPr>
  </w:style>
  <w:style w:type="paragraph" w:customStyle="1" w:styleId="BodyTextDbl">
    <w:name w:val="Body Text Dbl"/>
    <w:aliases w:val="btd"/>
    <w:basedOn w:val="Normal"/>
    <w:pPr>
      <w:spacing w:line="480" w:lineRule="auto"/>
    </w:pPr>
  </w:style>
  <w:style w:type="paragraph" w:customStyle="1" w:styleId="BodyTextFirst5">
    <w:name w:val="Body Text First .5"/>
    <w:aliases w:val="btf"/>
    <w:basedOn w:val="Normal"/>
    <w:pPr>
      <w:spacing w:after="240"/>
      <w:ind w:firstLine="720"/>
    </w:pPr>
  </w:style>
  <w:style w:type="paragraph" w:customStyle="1" w:styleId="BodyTextFJDblFirst5">
    <w:name w:val="Body Text FJ Dbl First .5"/>
    <w:aliases w:val="btjdf"/>
    <w:basedOn w:val="Normal"/>
    <w:pPr>
      <w:spacing w:line="480" w:lineRule="auto"/>
      <w:ind w:firstLine="720"/>
      <w:jc w:val="both"/>
    </w:pPr>
  </w:style>
  <w:style w:type="paragraph" w:customStyle="1" w:styleId="BodyTextFJDbl">
    <w:name w:val="Body Text FJ Dbl"/>
    <w:aliases w:val="btjd"/>
    <w:basedOn w:val="Normal"/>
    <w:pPr>
      <w:spacing w:line="480" w:lineRule="auto"/>
      <w:jc w:val="both"/>
    </w:pPr>
  </w:style>
  <w:style w:type="paragraph" w:customStyle="1" w:styleId="BodyTextFJFirst5">
    <w:name w:val="Body Text FJ First .5"/>
    <w:aliases w:val="btjf"/>
    <w:basedOn w:val="Normal"/>
    <w:pPr>
      <w:spacing w:after="240"/>
      <w:ind w:firstLine="720"/>
      <w:jc w:val="both"/>
    </w:pPr>
  </w:style>
  <w:style w:type="paragraph" w:customStyle="1" w:styleId="BodyTextFJ">
    <w:name w:val="Body Text FJ"/>
    <w:aliases w:val="btj"/>
    <w:basedOn w:val="Normal"/>
    <w:pPr>
      <w:spacing w:after="240"/>
      <w:jc w:val="both"/>
    </w:pPr>
  </w:style>
  <w:style w:type="paragraph" w:styleId="BodyText">
    <w:name w:val="Body Text"/>
    <w:aliases w:val="bt"/>
    <w:basedOn w:val="Normal"/>
    <w:pPr>
      <w:spacing w:after="240"/>
    </w:pPr>
  </w:style>
  <w:style w:type="paragraph" w:styleId="Caption">
    <w:name w:val="caption"/>
    <w:basedOn w:val="Normal"/>
    <w:next w:val="BodyText"/>
    <w:qFormat/>
    <w:pPr>
      <w:spacing w:after="240"/>
    </w:pPr>
    <w:rPr>
      <w:b/>
    </w:rPr>
  </w:style>
  <w:style w:type="paragraph" w:customStyle="1" w:styleId="ccList">
    <w:name w:val="cc List"/>
    <w:basedOn w:val="Normal"/>
    <w:next w:val="BodyText"/>
  </w:style>
  <w:style w:type="paragraph" w:styleId="Closing">
    <w:name w:val="Closing"/>
    <w:basedOn w:val="Normal"/>
    <w:next w:val="Signature"/>
    <w:pPr>
      <w:keepNext/>
      <w:spacing w:after="240"/>
      <w:ind w:left="5040"/>
    </w:pPr>
  </w:style>
  <w:style w:type="character" w:styleId="CommentReference">
    <w:name w:val="annotation reference"/>
    <w:rPr>
      <w:rFonts w:ascii="Times New Roman" w:hAnsi="Times New Roman"/>
      <w:color w:val="FF0000"/>
      <w:sz w:val="16"/>
    </w:rPr>
  </w:style>
  <w:style w:type="paragraph" w:styleId="CommentText">
    <w:name w:val="annotation text"/>
    <w:basedOn w:val="Normal"/>
    <w:link w:val="CommentTextChar"/>
    <w:pPr>
      <w:spacing w:after="240"/>
    </w:pPr>
  </w:style>
  <w:style w:type="paragraph" w:customStyle="1" w:styleId="Company">
    <w:name w:val="Company"/>
    <w:basedOn w:val="Normal"/>
    <w:pPr>
      <w:spacing w:after="240"/>
    </w:pPr>
  </w:style>
  <w:style w:type="paragraph" w:styleId="Date">
    <w:name w:val="Date"/>
    <w:basedOn w:val="Normal"/>
    <w:next w:val="BodyText"/>
    <w:pPr>
      <w:spacing w:after="240"/>
    </w:pPr>
  </w:style>
  <w:style w:type="paragraph" w:styleId="DocumentMap">
    <w:name w:val="Document Map"/>
    <w:basedOn w:val="Normal"/>
    <w:rPr>
      <w:rFonts w:ascii="Tahoma" w:hAnsi="Tahoma"/>
    </w:rPr>
  </w:style>
  <w:style w:type="paragraph" w:customStyle="1" w:styleId="DWListBullet">
    <w:name w:val="DW List Bullet"/>
    <w:basedOn w:val="Normal"/>
    <w:pPr>
      <w:numPr>
        <w:numId w:val="1"/>
      </w:numPr>
      <w:spacing w:after="240"/>
    </w:pPr>
  </w:style>
  <w:style w:type="paragraph" w:customStyle="1" w:styleId="DWListNumber">
    <w:name w:val="DW List Number"/>
    <w:basedOn w:val="Normal"/>
    <w:pPr>
      <w:numPr>
        <w:numId w:val="2"/>
      </w:numPr>
      <w:spacing w:after="240"/>
    </w:pPr>
  </w:style>
  <w:style w:type="character" w:styleId="Emphasis">
    <w:name w:val="Emphasis"/>
    <w:qFormat/>
    <w:rPr>
      <w:i/>
    </w:rPr>
  </w:style>
  <w:style w:type="paragraph" w:customStyle="1" w:styleId="Enclosure">
    <w:name w:val="Enclosure"/>
    <w:basedOn w:val="Normal"/>
    <w:next w:val="BodyText"/>
    <w:pPr>
      <w:spacing w:after="240"/>
    </w:pPr>
  </w:style>
  <w:style w:type="character" w:styleId="EndnoteReference">
    <w:name w:val="endnote reference"/>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680"/>
        <w:tab w:val="right" w:pos="9360"/>
      </w:tabs>
    </w:pPr>
  </w:style>
  <w:style w:type="paragraph" w:customStyle="1" w:styleId="FooterLandscape">
    <w:name w:val="Footer Landscape"/>
    <w:basedOn w:val="Normal"/>
    <w:pPr>
      <w:tabs>
        <w:tab w:val="center" w:pos="6480"/>
        <w:tab w:val="right" w:pos="12960"/>
      </w:tabs>
    </w:pPr>
  </w:style>
  <w:style w:type="character" w:styleId="FootnoteReference">
    <w:name w:val="footnote reference"/>
    <w:rPr>
      <w:rFonts w:ascii="Times New Roman" w:hAnsi="Times New Roman"/>
      <w:sz w:val="24"/>
      <w:vertAlign w:val="superscript"/>
    </w:rPr>
  </w:style>
  <w:style w:type="paragraph" w:styleId="FootnoteText">
    <w:name w:val="footnote text"/>
    <w:basedOn w:val="Normal"/>
    <w:pPr>
      <w:spacing w:after="200"/>
      <w:ind w:left="360" w:hanging="360"/>
    </w:pPr>
    <w:rPr>
      <w:sz w:val="20"/>
    </w:rPr>
  </w:style>
  <w:style w:type="paragraph" w:styleId="Header">
    <w:name w:val="header"/>
    <w:basedOn w:val="Normal"/>
    <w:pPr>
      <w:tabs>
        <w:tab w:val="center" w:pos="4680"/>
        <w:tab w:val="right" w:pos="9360"/>
      </w:tabs>
      <w:spacing w:after="240"/>
    </w:pPr>
  </w:style>
  <w:style w:type="paragraph" w:customStyle="1" w:styleId="HeaderLandscape">
    <w:name w:val="Header Landscape"/>
    <w:basedOn w:val="Normal"/>
    <w:next w:val="BodyText"/>
    <w:pPr>
      <w:tabs>
        <w:tab w:val="center" w:pos="6480"/>
        <w:tab w:val="right" w:pos="12960"/>
      </w:tabs>
      <w:spacing w:after="240"/>
    </w:pPr>
  </w:style>
  <w:style w:type="paragraph" w:customStyle="1" w:styleId="Heading">
    <w:name w:val="Heading"/>
    <w:basedOn w:val="Normal"/>
    <w:pPr>
      <w:spacing w:after="240"/>
    </w:pPr>
  </w:style>
  <w:style w:type="character" w:styleId="Hyperlink">
    <w:name w:val="Hyperlink"/>
    <w:uiPriority w:val="99"/>
    <w:rPr>
      <w:color w:val="0000FF"/>
      <w:u w:val="single"/>
    </w:rPr>
  </w:style>
  <w:style w:type="paragraph" w:customStyle="1" w:styleId="Index">
    <w:name w:val="Index"/>
    <w:basedOn w:val="Normal"/>
  </w:style>
  <w:style w:type="paragraph" w:styleId="Index1">
    <w:name w:val="index 1"/>
    <w:basedOn w:val="Index"/>
    <w:next w:val="BodyText"/>
  </w:style>
  <w:style w:type="paragraph" w:styleId="Index2">
    <w:name w:val="index 2"/>
    <w:basedOn w:val="Index"/>
    <w:next w:val="BodyText"/>
    <w:pPr>
      <w:ind w:left="360"/>
    </w:pPr>
  </w:style>
  <w:style w:type="paragraph" w:styleId="Index3">
    <w:name w:val="index 3"/>
    <w:basedOn w:val="Index"/>
    <w:next w:val="BodyText"/>
    <w:pPr>
      <w:ind w:left="720"/>
    </w:pPr>
  </w:style>
  <w:style w:type="paragraph" w:styleId="Index4">
    <w:name w:val="index 4"/>
    <w:basedOn w:val="Index"/>
    <w:next w:val="BodyText"/>
    <w:pPr>
      <w:ind w:left="1080"/>
    </w:pPr>
  </w:style>
  <w:style w:type="paragraph" w:styleId="Index5">
    <w:name w:val="index 5"/>
    <w:basedOn w:val="Index"/>
    <w:next w:val="BodyText"/>
    <w:pPr>
      <w:ind w:left="1440"/>
    </w:pPr>
  </w:style>
  <w:style w:type="paragraph" w:styleId="Index6">
    <w:name w:val="index 6"/>
    <w:basedOn w:val="Index"/>
    <w:next w:val="BodyText"/>
    <w:pPr>
      <w:ind w:left="1800"/>
    </w:pPr>
  </w:style>
  <w:style w:type="paragraph" w:styleId="Index7">
    <w:name w:val="index 7"/>
    <w:basedOn w:val="Index"/>
    <w:next w:val="BodyText"/>
    <w:pPr>
      <w:ind w:left="2160"/>
    </w:pPr>
  </w:style>
  <w:style w:type="paragraph" w:styleId="Index8">
    <w:name w:val="index 8"/>
    <w:basedOn w:val="Index"/>
    <w:next w:val="BodyText"/>
    <w:pPr>
      <w:ind w:left="2520"/>
    </w:pPr>
  </w:style>
  <w:style w:type="paragraph" w:styleId="Index9">
    <w:name w:val="index 9"/>
    <w:basedOn w:val="Index"/>
    <w:next w:val="BodyText"/>
    <w:pPr>
      <w:ind w:left="2880"/>
    </w:pPr>
  </w:style>
  <w:style w:type="paragraph" w:styleId="IndexHeading">
    <w:name w:val="index heading"/>
    <w:basedOn w:val="Normal"/>
    <w:next w:val="Index1"/>
  </w:style>
  <w:style w:type="paragraph" w:customStyle="1" w:styleId="Initials">
    <w:name w:val="Initials"/>
    <w:basedOn w:val="Normal"/>
    <w:next w:val="BodyText"/>
    <w:pPr>
      <w:spacing w:after="240"/>
    </w:pPr>
  </w:style>
  <w:style w:type="character" w:styleId="LineNumber">
    <w:name w:val="line number"/>
    <w:basedOn w:val="DefaultParagraphFont"/>
  </w:style>
  <w:style w:type="paragraph" w:styleId="List">
    <w:name w:val="List"/>
    <w:basedOn w:val="Normal"/>
    <w:next w:val="BodyText"/>
  </w:style>
  <w:style w:type="paragraph" w:customStyle="1" w:styleId="List1">
    <w:name w:val="List 1"/>
    <w:basedOn w:val="List"/>
    <w:next w:val="BodyText"/>
    <w:pPr>
      <w:ind w:left="720" w:hanging="720"/>
    </w:pPr>
  </w:style>
  <w:style w:type="paragraph" w:customStyle="1" w:styleId="List1d">
    <w:name w:val="List 1.d"/>
    <w:basedOn w:val="List"/>
    <w:next w:val="BodyText"/>
    <w:pPr>
      <w:tabs>
        <w:tab w:val="decimal" w:pos="1080"/>
      </w:tabs>
      <w:ind w:left="1440" w:hanging="1440"/>
    </w:pPr>
  </w:style>
  <w:style w:type="paragraph" w:styleId="List2">
    <w:name w:val="List 2"/>
    <w:basedOn w:val="List"/>
    <w:next w:val="BodyText"/>
    <w:pPr>
      <w:ind w:left="720"/>
    </w:pPr>
  </w:style>
  <w:style w:type="paragraph" w:customStyle="1" w:styleId="List2d">
    <w:name w:val="List 2.d"/>
    <w:basedOn w:val="List"/>
    <w:next w:val="BodyText"/>
    <w:pPr>
      <w:tabs>
        <w:tab w:val="decimal" w:pos="1800"/>
      </w:tabs>
      <w:ind w:left="2160" w:hanging="1440"/>
    </w:pPr>
  </w:style>
  <w:style w:type="paragraph" w:styleId="List3">
    <w:name w:val="List 3"/>
    <w:basedOn w:val="List"/>
    <w:next w:val="BodyText"/>
    <w:pPr>
      <w:ind w:left="1440"/>
    </w:pPr>
  </w:style>
  <w:style w:type="paragraph" w:customStyle="1" w:styleId="List3d">
    <w:name w:val="List 3.d"/>
    <w:basedOn w:val="List"/>
    <w:next w:val="BodyText"/>
    <w:pPr>
      <w:tabs>
        <w:tab w:val="decimal" w:pos="2520"/>
      </w:tabs>
      <w:ind w:left="2880" w:hanging="1440"/>
    </w:pPr>
  </w:style>
  <w:style w:type="paragraph" w:styleId="List4">
    <w:name w:val="List 4"/>
    <w:basedOn w:val="List"/>
    <w:next w:val="BodyText"/>
    <w:pPr>
      <w:ind w:left="2160"/>
    </w:pPr>
  </w:style>
  <w:style w:type="paragraph" w:customStyle="1" w:styleId="List4d">
    <w:name w:val="List 4.d"/>
    <w:basedOn w:val="List"/>
    <w:next w:val="BodyText"/>
    <w:pPr>
      <w:tabs>
        <w:tab w:val="decimal" w:pos="3240"/>
      </w:tabs>
      <w:ind w:left="3600" w:hanging="1440"/>
    </w:pPr>
  </w:style>
  <w:style w:type="paragraph" w:styleId="List5">
    <w:name w:val="List 5"/>
    <w:basedOn w:val="List"/>
    <w:next w:val="BodyText"/>
    <w:pPr>
      <w:ind w:left="2880"/>
    </w:pPr>
  </w:style>
  <w:style w:type="paragraph" w:customStyle="1" w:styleId="List5d">
    <w:name w:val="List 5.d"/>
    <w:basedOn w:val="List"/>
    <w:next w:val="BodyText"/>
    <w:pPr>
      <w:tabs>
        <w:tab w:val="decimal" w:pos="3960"/>
      </w:tabs>
      <w:ind w:left="4320" w:hanging="1440"/>
    </w:pPr>
  </w:style>
  <w:style w:type="paragraph" w:styleId="ListBullet">
    <w:name w:val="List Bullet"/>
    <w:basedOn w:val="Normal"/>
    <w:pPr>
      <w:numPr>
        <w:numId w:val="4"/>
      </w:numPr>
    </w:pPr>
  </w:style>
  <w:style w:type="paragraph" w:customStyle="1" w:styleId="ListBullet1">
    <w:name w:val="List Bullet 1"/>
    <w:basedOn w:val="ListBullet"/>
    <w:pPr>
      <w:numPr>
        <w:numId w:val="5"/>
      </w:numPr>
    </w:pPr>
  </w:style>
  <w:style w:type="paragraph" w:styleId="ListBullet2">
    <w:name w:val="List Bullet 2"/>
    <w:basedOn w:val="ListBullet"/>
    <w:pPr>
      <w:numPr>
        <w:numId w:val="6"/>
      </w:numPr>
    </w:pPr>
  </w:style>
  <w:style w:type="paragraph" w:styleId="ListBullet3">
    <w:name w:val="List Bullet 3"/>
    <w:basedOn w:val="ListBullet"/>
    <w:pPr>
      <w:numPr>
        <w:numId w:val="7"/>
      </w:numPr>
    </w:pPr>
  </w:style>
  <w:style w:type="paragraph" w:styleId="ListBullet4">
    <w:name w:val="List Bullet 4"/>
    <w:basedOn w:val="ListBullet"/>
    <w:pPr>
      <w:numPr>
        <w:numId w:val="8"/>
      </w:numPr>
    </w:pPr>
  </w:style>
  <w:style w:type="paragraph" w:styleId="ListBullet5">
    <w:name w:val="List Bullet 5"/>
    <w:basedOn w:val="ListBullet"/>
    <w:pPr>
      <w:numPr>
        <w:numId w:val="9"/>
      </w:numPr>
    </w:pPr>
  </w:style>
  <w:style w:type="paragraph" w:styleId="ListContinue">
    <w:name w:val="List Continue"/>
    <w:basedOn w:val="Normal"/>
    <w:pPr>
      <w:spacing w:after="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10"/>
      </w:numPr>
    </w:pPr>
  </w:style>
  <w:style w:type="paragraph" w:styleId="ListNumber2">
    <w:name w:val="List Number 2"/>
    <w:basedOn w:val="ListNumber"/>
    <w:pPr>
      <w:tabs>
        <w:tab w:val="num" w:pos="1800"/>
      </w:tabs>
      <w:ind w:left="1440" w:hanging="720"/>
    </w:pPr>
  </w:style>
  <w:style w:type="paragraph" w:styleId="ListNumber3">
    <w:name w:val="List Number 3"/>
    <w:basedOn w:val="ListNumber"/>
    <w:pPr>
      <w:numPr>
        <w:numId w:val="11"/>
      </w:numPr>
    </w:pPr>
  </w:style>
  <w:style w:type="paragraph" w:styleId="ListNumber4">
    <w:name w:val="List Number 4"/>
    <w:basedOn w:val="ListNumber"/>
    <w:pPr>
      <w:numPr>
        <w:numId w:val="12"/>
      </w:numPr>
    </w:pPr>
  </w:style>
  <w:style w:type="paragraph" w:styleId="ListNumber5">
    <w:name w:val="List Number 5"/>
    <w:basedOn w:val="ListNumber"/>
    <w:pPr>
      <w:numPr>
        <w:numId w:val="13"/>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BodyText"/>
    <w:semiHidden/>
  </w:style>
  <w:style w:type="character" w:styleId="PageNumber">
    <w:name w:val="page number"/>
    <w:basedOn w:val="DefaultParagraphFont"/>
  </w:style>
  <w:style w:type="character" w:customStyle="1" w:styleId="ParaNum">
    <w:name w:val="ParaNum"/>
    <w:basedOn w:val="DefaultParagraphFont"/>
  </w:style>
  <w:style w:type="paragraph" w:customStyle="1" w:styleId="Plain">
    <w:name w:val="Plain"/>
    <w:basedOn w:val="Normal"/>
    <w:semiHidden/>
    <w:pPr>
      <w:widowControl w:val="0"/>
      <w:tabs>
        <w:tab w:val="center" w:pos="4680"/>
      </w:tabs>
    </w:pPr>
  </w:style>
  <w:style w:type="paragraph" w:styleId="PlainText">
    <w:name w:val="Plain Text"/>
    <w:basedOn w:val="Normal"/>
    <w:rPr>
      <w:rFonts w:ascii="Courier New" w:hAnsi="Courier New"/>
      <w:sz w:val="20"/>
    </w:rPr>
  </w:style>
  <w:style w:type="paragraph" w:customStyle="1" w:styleId="Privacy">
    <w:name w:val="Privacy"/>
    <w:basedOn w:val="Normal"/>
    <w:next w:val="BodyText"/>
    <w:pPr>
      <w:spacing w:after="240"/>
      <w:jc w:val="center"/>
    </w:pPr>
    <w:rPr>
      <w:b/>
    </w:rPr>
  </w:style>
  <w:style w:type="paragraph" w:customStyle="1" w:styleId="Quote1">
    <w:name w:val="Quote1"/>
    <w:aliases w:val="q"/>
    <w:basedOn w:val="Normal"/>
    <w:next w:val="BodyText"/>
    <w:pPr>
      <w:spacing w:after="240"/>
      <w:ind w:left="1440" w:right="1440"/>
    </w:pPr>
  </w:style>
  <w:style w:type="paragraph" w:customStyle="1" w:styleId="QuoteDoubleSpace">
    <w:name w:val="Quote DoubleSpace"/>
    <w:aliases w:val="qd"/>
    <w:basedOn w:val="Quote1"/>
    <w:next w:val="BodyText"/>
    <w:pPr>
      <w:spacing w:line="480" w:lineRule="auto"/>
    </w:pPr>
  </w:style>
  <w:style w:type="paragraph" w:customStyle="1" w:styleId="ReLine">
    <w:name w:val="Re Line"/>
    <w:basedOn w:val="Normal"/>
    <w:next w:val="BodyText"/>
    <w:pPr>
      <w:spacing w:after="240"/>
      <w:ind w:left="1440" w:hanging="720"/>
    </w:pPr>
  </w:style>
  <w:style w:type="paragraph" w:customStyle="1" w:styleId="RecipientTitle">
    <w:name w:val="RecipientTitle"/>
    <w:basedOn w:val="Normal"/>
  </w:style>
  <w:style w:type="paragraph" w:customStyle="1" w:styleId="Recital">
    <w:name w:val="Recital"/>
    <w:basedOn w:val="Normal"/>
    <w:next w:val="BodyText"/>
    <w:pPr>
      <w:keepNext/>
      <w:keepLines/>
      <w:spacing w:after="240"/>
      <w:jc w:val="center"/>
    </w:pPr>
    <w:rPr>
      <w:caps/>
      <w:u w:val="words"/>
    </w:rPr>
  </w:style>
  <w:style w:type="paragraph" w:styleId="Salutation">
    <w:name w:val="Salutation"/>
    <w:basedOn w:val="Normal"/>
    <w:next w:val="BodyText"/>
    <w:pPr>
      <w:keepNext/>
      <w:spacing w:after="240"/>
    </w:pPr>
  </w:style>
  <w:style w:type="paragraph" w:styleId="Signature">
    <w:name w:val="Signature"/>
    <w:basedOn w:val="Normal"/>
    <w:next w:val="BodyText"/>
    <w:pPr>
      <w:keepLines/>
      <w:ind w:left="5040"/>
    </w:pPr>
  </w:style>
  <w:style w:type="character" w:styleId="Strong">
    <w:name w:val="Strong"/>
    <w:qFormat/>
    <w:rPr>
      <w:b/>
    </w:rPr>
  </w:style>
  <w:style w:type="paragraph" w:styleId="Subtitle">
    <w:name w:val="Subtitle"/>
    <w:basedOn w:val="Normal"/>
    <w:qFormat/>
    <w:pPr>
      <w:keepNext/>
      <w:keepLines/>
      <w:spacing w:after="240"/>
      <w:jc w:val="center"/>
      <w:outlineLvl w:val="1"/>
    </w:pPr>
  </w:style>
  <w:style w:type="paragraph" w:customStyle="1" w:styleId="SubtitleLeftDbl">
    <w:name w:val="Subtitle Left Dbl"/>
    <w:aliases w:val="sld"/>
    <w:basedOn w:val="Normal"/>
    <w:pPr>
      <w:keepNext/>
      <w:keepLines/>
      <w:spacing w:line="480" w:lineRule="auto"/>
    </w:pPr>
    <w:rPr>
      <w:b/>
    </w:rPr>
  </w:style>
  <w:style w:type="paragraph" w:customStyle="1" w:styleId="SubtitleLeft">
    <w:name w:val="Subtitle Left"/>
    <w:aliases w:val="sl"/>
    <w:basedOn w:val="Normal"/>
    <w:pPr>
      <w:keepNext/>
      <w:keepLines/>
      <w:spacing w:after="240"/>
    </w:pPr>
    <w:rPr>
      <w:b/>
    </w:rPr>
  </w:style>
  <w:style w:type="paragraph" w:customStyle="1" w:styleId="Table">
    <w:name w:val="Table"/>
    <w:basedOn w:val="Normal"/>
  </w:style>
  <w:style w:type="paragraph" w:customStyle="1" w:styleId="TableHeadings">
    <w:name w:val="Table Headings"/>
    <w:basedOn w:val="Table"/>
    <w:rPr>
      <w:b/>
    </w:rPr>
  </w:style>
  <w:style w:type="paragraph" w:styleId="TableofAuthorities">
    <w:name w:val="table of authorities"/>
    <w:basedOn w:val="Normal"/>
    <w:next w:val="BodyText"/>
    <w:pPr>
      <w:ind w:left="240" w:hanging="240"/>
    </w:pPr>
  </w:style>
  <w:style w:type="paragraph" w:styleId="TableofFigures">
    <w:name w:val="table of figures"/>
    <w:basedOn w:val="Normal"/>
    <w:next w:val="BodyText"/>
    <w:pPr>
      <w:ind w:left="480" w:hanging="480"/>
    </w:pPr>
  </w:style>
  <w:style w:type="paragraph" w:customStyle="1" w:styleId="TableSubtotal">
    <w:name w:val="Table Subtotal"/>
    <w:basedOn w:val="Table"/>
    <w:pPr>
      <w:pBdr>
        <w:top w:val="single" w:sz="4" w:space="1" w:color="auto"/>
        <w:bottom w:val="single" w:sz="4" w:space="1" w:color="auto"/>
      </w:pBdr>
    </w:pPr>
  </w:style>
  <w:style w:type="paragraph" w:customStyle="1" w:styleId="TableText">
    <w:name w:val="Table Text"/>
    <w:basedOn w:val="Table"/>
  </w:style>
  <w:style w:type="paragraph" w:customStyle="1" w:styleId="TableTotal">
    <w:name w:val="Table Total"/>
    <w:basedOn w:val="Table"/>
    <w:pPr>
      <w:pBdr>
        <w:bottom w:val="double" w:sz="4" w:space="1" w:color="auto"/>
      </w:pBdr>
    </w:pPr>
    <w:rPr>
      <w:b/>
    </w:rPr>
  </w:style>
  <w:style w:type="paragraph" w:styleId="Title">
    <w:name w:val="Title"/>
    <w:basedOn w:val="Normal"/>
    <w:next w:val="BodyText"/>
    <w:qFormat/>
    <w:pPr>
      <w:keepNext/>
      <w:keepLines/>
      <w:spacing w:after="480"/>
      <w:jc w:val="center"/>
      <w:outlineLvl w:val="0"/>
    </w:pPr>
    <w:rPr>
      <w:b/>
    </w:rPr>
  </w:style>
  <w:style w:type="paragraph" w:customStyle="1" w:styleId="Titlenotoc">
    <w:name w:val="Title (no toc)"/>
    <w:basedOn w:val="Title"/>
    <w:next w:val="BodyText"/>
    <w:pPr>
      <w:outlineLvl w:val="9"/>
    </w:pPr>
  </w:style>
  <w:style w:type="paragraph" w:customStyle="1" w:styleId="TitleAppendix">
    <w:name w:val="Title Appendix"/>
    <w:basedOn w:val="Title"/>
    <w:next w:val="BodyText"/>
  </w:style>
  <w:style w:type="paragraph" w:customStyle="1" w:styleId="TitleCover">
    <w:name w:val="Title Cover"/>
    <w:basedOn w:val="Title"/>
    <w:next w:val="BodyText"/>
    <w:rPr>
      <w:sz w:val="28"/>
    </w:rPr>
  </w:style>
  <w:style w:type="paragraph" w:customStyle="1" w:styleId="TitleDate">
    <w:name w:val="Title Date"/>
    <w:basedOn w:val="Title"/>
    <w:next w:val="BodyText"/>
  </w:style>
  <w:style w:type="paragraph" w:customStyle="1" w:styleId="TitleDocument">
    <w:name w:val="Title Document"/>
    <w:basedOn w:val="Title"/>
    <w:next w:val="BodyText"/>
    <w:rPr>
      <w:caps/>
    </w:rPr>
  </w:style>
  <w:style w:type="paragraph" w:customStyle="1" w:styleId="TitleExhibit">
    <w:name w:val="Title Exhibit"/>
    <w:basedOn w:val="Title"/>
    <w:next w:val="BodyText"/>
    <w:pPr>
      <w:jc w:val="right"/>
    </w:pPr>
    <w:rPr>
      <w:caps/>
    </w:rPr>
  </w:style>
  <w:style w:type="paragraph" w:customStyle="1" w:styleId="TitleIndex">
    <w:name w:val="Title Index"/>
    <w:basedOn w:val="Title"/>
    <w:next w:val="BodyText"/>
  </w:style>
  <w:style w:type="paragraph" w:customStyle="1" w:styleId="TitleSchedule">
    <w:name w:val="Title Schedule"/>
    <w:basedOn w:val="Title"/>
    <w:next w:val="BodyText"/>
    <w:pPr>
      <w:jc w:val="right"/>
    </w:pPr>
    <w:rPr>
      <w:caps/>
    </w:rPr>
  </w:style>
  <w:style w:type="paragraph" w:customStyle="1" w:styleId="TitleTOC">
    <w:name w:val="Title TOC"/>
    <w:basedOn w:val="Title"/>
    <w:next w:val="BodyText"/>
  </w:style>
  <w:style w:type="paragraph" w:customStyle="1" w:styleId="TitleTOE">
    <w:name w:val="Title TOE"/>
    <w:basedOn w:val="Title"/>
    <w:next w:val="BodyText"/>
  </w:style>
  <w:style w:type="paragraph" w:styleId="TOAHeading">
    <w:name w:val="toa heading"/>
    <w:basedOn w:val="Title"/>
    <w:next w:val="BodyText"/>
    <w:rPr>
      <w:rFonts w:ascii="Arial" w:hAnsi="Arial"/>
    </w:rPr>
  </w:style>
  <w:style w:type="paragraph" w:styleId="TOC1">
    <w:name w:val="toc 1"/>
    <w:basedOn w:val="Normal"/>
    <w:next w:val="BodyText"/>
    <w:autoRedefine/>
    <w:pPr>
      <w:tabs>
        <w:tab w:val="right" w:leader="dot" w:pos="9360"/>
      </w:tabs>
      <w:spacing w:before="240" w:after="240"/>
    </w:pPr>
    <w:rPr>
      <w:caps/>
    </w:rPr>
  </w:style>
  <w:style w:type="paragraph" w:styleId="TOC2">
    <w:name w:val="toc 2"/>
    <w:basedOn w:val="Normal"/>
    <w:next w:val="BodyText"/>
    <w:autoRedefine/>
    <w:uiPriority w:val="39"/>
    <w:pPr>
      <w:tabs>
        <w:tab w:val="right" w:leader="dot" w:pos="9360"/>
      </w:tabs>
      <w:ind w:left="360"/>
    </w:pPr>
  </w:style>
  <w:style w:type="paragraph" w:styleId="TOC3">
    <w:name w:val="toc 3"/>
    <w:basedOn w:val="Normal"/>
    <w:next w:val="BodyText"/>
    <w:autoRedefine/>
    <w:uiPriority w:val="39"/>
    <w:pPr>
      <w:tabs>
        <w:tab w:val="right" w:leader="dot" w:pos="9360"/>
      </w:tabs>
      <w:ind w:left="1080"/>
    </w:pPr>
  </w:style>
  <w:style w:type="paragraph" w:styleId="TOC4">
    <w:name w:val="toc 4"/>
    <w:basedOn w:val="Normal"/>
    <w:next w:val="BodyText"/>
    <w:autoRedefine/>
    <w:pPr>
      <w:tabs>
        <w:tab w:val="right" w:leader="dot" w:pos="9360"/>
      </w:tabs>
      <w:ind w:left="1440"/>
    </w:pPr>
  </w:style>
  <w:style w:type="paragraph" w:styleId="TOC5">
    <w:name w:val="toc 5"/>
    <w:basedOn w:val="Normal"/>
    <w:next w:val="BodyText"/>
    <w:autoRedefine/>
    <w:pPr>
      <w:tabs>
        <w:tab w:val="right" w:leader="dot" w:pos="9360"/>
      </w:tabs>
      <w:ind w:left="1800"/>
    </w:pPr>
  </w:style>
  <w:style w:type="paragraph" w:styleId="TOC6">
    <w:name w:val="toc 6"/>
    <w:basedOn w:val="Normal"/>
    <w:next w:val="BodyText"/>
    <w:autoRedefine/>
    <w:pPr>
      <w:tabs>
        <w:tab w:val="right" w:leader="dot" w:pos="9360"/>
      </w:tabs>
      <w:ind w:left="2160"/>
    </w:pPr>
  </w:style>
  <w:style w:type="paragraph" w:styleId="TOC7">
    <w:name w:val="toc 7"/>
    <w:basedOn w:val="Normal"/>
    <w:next w:val="BodyText"/>
    <w:autoRedefine/>
    <w:pPr>
      <w:tabs>
        <w:tab w:val="right" w:leader="dot" w:pos="9360"/>
      </w:tabs>
      <w:ind w:left="2520"/>
    </w:pPr>
  </w:style>
  <w:style w:type="paragraph" w:styleId="TOC8">
    <w:name w:val="toc 8"/>
    <w:basedOn w:val="Normal"/>
    <w:next w:val="BodyText"/>
    <w:autoRedefine/>
    <w:pPr>
      <w:tabs>
        <w:tab w:val="right" w:leader="dot" w:pos="9360"/>
      </w:tabs>
      <w:ind w:left="2880"/>
    </w:pPr>
  </w:style>
  <w:style w:type="paragraph" w:styleId="TOC9">
    <w:name w:val="toc 9"/>
    <w:basedOn w:val="Normal"/>
    <w:next w:val="BodyText"/>
    <w:autoRedefine/>
    <w:pPr>
      <w:tabs>
        <w:tab w:val="right" w:leader="dot" w:pos="9360"/>
      </w:tabs>
      <w:ind w:left="3240"/>
    </w:pPr>
  </w:style>
  <w:style w:type="paragraph" w:customStyle="1" w:styleId="TOCTitle">
    <w:name w:val="TOC Title"/>
    <w:basedOn w:val="Normal"/>
    <w:next w:val="TOC1"/>
    <w:semiHidden/>
    <w:pPr>
      <w:jc w:val="center"/>
    </w:pPr>
    <w:rPr>
      <w:b/>
      <w:caps/>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NormalWeb">
    <w:name w:val="Normal (Web)"/>
    <w:basedOn w:val="Normal"/>
    <w:uiPriority w:val="99"/>
    <w:semiHidden/>
    <w:rPr>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character" w:customStyle="1" w:styleId="DocID">
    <w:name w:val="DocID"/>
    <w:rPr>
      <w:rFonts w:ascii="Times New Roman" w:hAnsi="Times New Roman" w:cs="Times New Roman"/>
      <w:b w:val="0"/>
      <w:i w:val="0"/>
      <w:caps w:val="0"/>
      <w:sz w:val="16"/>
      <w:szCs w:val="28"/>
      <w:u w:val="none"/>
    </w:rPr>
  </w:style>
  <w:style w:type="character" w:customStyle="1" w:styleId="FooterChar">
    <w:name w:val="Footer Char"/>
    <w:link w:val="Footer"/>
    <w:uiPriority w:val="99"/>
    <w:rsid w:val="00F42A7E"/>
    <w:rPr>
      <w:sz w:val="24"/>
    </w:rPr>
  </w:style>
  <w:style w:type="paragraph" w:styleId="CommentSubject">
    <w:name w:val="annotation subject"/>
    <w:basedOn w:val="CommentText"/>
    <w:next w:val="CommentText"/>
    <w:link w:val="CommentSubjectChar"/>
    <w:rsid w:val="00077454"/>
    <w:pPr>
      <w:spacing w:after="0"/>
    </w:pPr>
    <w:rPr>
      <w:b/>
      <w:bCs/>
      <w:sz w:val="20"/>
    </w:rPr>
  </w:style>
  <w:style w:type="character" w:customStyle="1" w:styleId="CommentTextChar">
    <w:name w:val="Comment Text Char"/>
    <w:link w:val="CommentText"/>
    <w:rsid w:val="00077454"/>
    <w:rPr>
      <w:sz w:val="24"/>
    </w:rPr>
  </w:style>
  <w:style w:type="character" w:customStyle="1" w:styleId="CommentSubjectChar">
    <w:name w:val="Comment Subject Char"/>
    <w:link w:val="CommentSubject"/>
    <w:rsid w:val="00077454"/>
    <w:rPr>
      <w:b/>
      <w:bCs/>
      <w:sz w:val="24"/>
    </w:rPr>
  </w:style>
  <w:style w:type="paragraph" w:styleId="BalloonText">
    <w:name w:val="Balloon Text"/>
    <w:basedOn w:val="Normal"/>
    <w:link w:val="BalloonTextChar"/>
    <w:rsid w:val="00077454"/>
    <w:rPr>
      <w:rFonts w:ascii="Tahoma" w:hAnsi="Tahoma" w:cs="Tahoma"/>
      <w:sz w:val="16"/>
      <w:szCs w:val="16"/>
    </w:rPr>
  </w:style>
  <w:style w:type="character" w:customStyle="1" w:styleId="BalloonTextChar">
    <w:name w:val="Balloon Text Char"/>
    <w:link w:val="BalloonText"/>
    <w:rsid w:val="00077454"/>
    <w:rPr>
      <w:rFonts w:ascii="Tahoma" w:hAnsi="Tahoma" w:cs="Tahoma"/>
      <w:sz w:val="16"/>
      <w:szCs w:val="16"/>
    </w:rPr>
  </w:style>
  <w:style w:type="paragraph" w:customStyle="1" w:styleId="GridTable5Dark-Accent11">
    <w:name w:val="Grid Table 5 Dark - Accent 11"/>
    <w:basedOn w:val="Heading1"/>
    <w:next w:val="Normal"/>
    <w:uiPriority w:val="39"/>
    <w:unhideWhenUsed/>
    <w:qFormat/>
    <w:rsid w:val="00CF3DB4"/>
    <w:pPr>
      <w:numPr>
        <w:numId w:val="0"/>
      </w:numPr>
      <w:spacing w:before="240" w:after="0" w:line="259" w:lineRule="auto"/>
      <w:jc w:val="left"/>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299">
      <w:bodyDiv w:val="1"/>
      <w:marLeft w:val="0"/>
      <w:marRight w:val="0"/>
      <w:marTop w:val="0"/>
      <w:marBottom w:val="0"/>
      <w:divBdr>
        <w:top w:val="none" w:sz="0" w:space="0" w:color="auto"/>
        <w:left w:val="none" w:sz="0" w:space="0" w:color="auto"/>
        <w:bottom w:val="none" w:sz="0" w:space="0" w:color="auto"/>
        <w:right w:val="none" w:sz="0" w:space="0" w:color="auto"/>
      </w:divBdr>
    </w:div>
    <w:div w:id="346906857">
      <w:bodyDiv w:val="1"/>
      <w:marLeft w:val="0"/>
      <w:marRight w:val="0"/>
      <w:marTop w:val="0"/>
      <w:marBottom w:val="0"/>
      <w:divBdr>
        <w:top w:val="none" w:sz="0" w:space="0" w:color="auto"/>
        <w:left w:val="none" w:sz="0" w:space="0" w:color="auto"/>
        <w:bottom w:val="none" w:sz="0" w:space="0" w:color="auto"/>
        <w:right w:val="none" w:sz="0" w:space="0" w:color="auto"/>
      </w:divBdr>
    </w:div>
    <w:div w:id="534775049">
      <w:bodyDiv w:val="1"/>
      <w:marLeft w:val="0"/>
      <w:marRight w:val="0"/>
      <w:marTop w:val="0"/>
      <w:marBottom w:val="0"/>
      <w:divBdr>
        <w:top w:val="none" w:sz="0" w:space="0" w:color="auto"/>
        <w:left w:val="none" w:sz="0" w:space="0" w:color="auto"/>
        <w:bottom w:val="none" w:sz="0" w:space="0" w:color="auto"/>
        <w:right w:val="none" w:sz="0" w:space="0" w:color="auto"/>
      </w:divBdr>
    </w:div>
    <w:div w:id="785193452">
      <w:bodyDiv w:val="1"/>
      <w:marLeft w:val="0"/>
      <w:marRight w:val="0"/>
      <w:marTop w:val="0"/>
      <w:marBottom w:val="0"/>
      <w:divBdr>
        <w:top w:val="none" w:sz="0" w:space="0" w:color="auto"/>
        <w:left w:val="none" w:sz="0" w:space="0" w:color="auto"/>
        <w:bottom w:val="none" w:sz="0" w:space="0" w:color="auto"/>
        <w:right w:val="none" w:sz="0" w:space="0" w:color="auto"/>
      </w:divBdr>
    </w:div>
    <w:div w:id="789132397">
      <w:bodyDiv w:val="1"/>
      <w:marLeft w:val="0"/>
      <w:marRight w:val="0"/>
      <w:marTop w:val="0"/>
      <w:marBottom w:val="0"/>
      <w:divBdr>
        <w:top w:val="none" w:sz="0" w:space="0" w:color="auto"/>
        <w:left w:val="none" w:sz="0" w:space="0" w:color="auto"/>
        <w:bottom w:val="none" w:sz="0" w:space="0" w:color="auto"/>
        <w:right w:val="none" w:sz="0" w:space="0" w:color="auto"/>
      </w:divBdr>
    </w:div>
    <w:div w:id="943151363">
      <w:bodyDiv w:val="1"/>
      <w:marLeft w:val="0"/>
      <w:marRight w:val="0"/>
      <w:marTop w:val="0"/>
      <w:marBottom w:val="0"/>
      <w:divBdr>
        <w:top w:val="none" w:sz="0" w:space="0" w:color="auto"/>
        <w:left w:val="none" w:sz="0" w:space="0" w:color="auto"/>
        <w:bottom w:val="none" w:sz="0" w:space="0" w:color="auto"/>
        <w:right w:val="none" w:sz="0" w:space="0" w:color="auto"/>
      </w:divBdr>
    </w:div>
    <w:div w:id="972254272">
      <w:bodyDiv w:val="1"/>
      <w:marLeft w:val="0"/>
      <w:marRight w:val="0"/>
      <w:marTop w:val="0"/>
      <w:marBottom w:val="0"/>
      <w:divBdr>
        <w:top w:val="none" w:sz="0" w:space="0" w:color="auto"/>
        <w:left w:val="none" w:sz="0" w:space="0" w:color="auto"/>
        <w:bottom w:val="none" w:sz="0" w:space="0" w:color="auto"/>
        <w:right w:val="none" w:sz="0" w:space="0" w:color="auto"/>
      </w:divBdr>
    </w:div>
    <w:div w:id="983512943">
      <w:bodyDiv w:val="1"/>
      <w:marLeft w:val="0"/>
      <w:marRight w:val="0"/>
      <w:marTop w:val="0"/>
      <w:marBottom w:val="0"/>
      <w:divBdr>
        <w:top w:val="none" w:sz="0" w:space="0" w:color="auto"/>
        <w:left w:val="none" w:sz="0" w:space="0" w:color="auto"/>
        <w:bottom w:val="none" w:sz="0" w:space="0" w:color="auto"/>
        <w:right w:val="none" w:sz="0" w:space="0" w:color="auto"/>
      </w:divBdr>
    </w:div>
    <w:div w:id="1018460531">
      <w:bodyDiv w:val="1"/>
      <w:marLeft w:val="0"/>
      <w:marRight w:val="0"/>
      <w:marTop w:val="0"/>
      <w:marBottom w:val="0"/>
      <w:divBdr>
        <w:top w:val="none" w:sz="0" w:space="0" w:color="auto"/>
        <w:left w:val="none" w:sz="0" w:space="0" w:color="auto"/>
        <w:bottom w:val="none" w:sz="0" w:space="0" w:color="auto"/>
        <w:right w:val="none" w:sz="0" w:space="0" w:color="auto"/>
      </w:divBdr>
    </w:div>
    <w:div w:id="1025014166">
      <w:bodyDiv w:val="1"/>
      <w:marLeft w:val="0"/>
      <w:marRight w:val="0"/>
      <w:marTop w:val="0"/>
      <w:marBottom w:val="0"/>
      <w:divBdr>
        <w:top w:val="none" w:sz="0" w:space="0" w:color="auto"/>
        <w:left w:val="none" w:sz="0" w:space="0" w:color="auto"/>
        <w:bottom w:val="none" w:sz="0" w:space="0" w:color="auto"/>
        <w:right w:val="none" w:sz="0" w:space="0" w:color="auto"/>
      </w:divBdr>
    </w:div>
    <w:div w:id="1072391000">
      <w:bodyDiv w:val="1"/>
      <w:marLeft w:val="0"/>
      <w:marRight w:val="0"/>
      <w:marTop w:val="0"/>
      <w:marBottom w:val="0"/>
      <w:divBdr>
        <w:top w:val="none" w:sz="0" w:space="0" w:color="auto"/>
        <w:left w:val="none" w:sz="0" w:space="0" w:color="auto"/>
        <w:bottom w:val="none" w:sz="0" w:space="0" w:color="auto"/>
        <w:right w:val="none" w:sz="0" w:space="0" w:color="auto"/>
      </w:divBdr>
    </w:div>
    <w:div w:id="1165320761">
      <w:bodyDiv w:val="1"/>
      <w:marLeft w:val="0"/>
      <w:marRight w:val="0"/>
      <w:marTop w:val="0"/>
      <w:marBottom w:val="0"/>
      <w:divBdr>
        <w:top w:val="none" w:sz="0" w:space="0" w:color="auto"/>
        <w:left w:val="none" w:sz="0" w:space="0" w:color="auto"/>
        <w:bottom w:val="none" w:sz="0" w:space="0" w:color="auto"/>
        <w:right w:val="none" w:sz="0" w:space="0" w:color="auto"/>
      </w:divBdr>
    </w:div>
    <w:div w:id="1219898593">
      <w:bodyDiv w:val="1"/>
      <w:marLeft w:val="0"/>
      <w:marRight w:val="0"/>
      <w:marTop w:val="0"/>
      <w:marBottom w:val="0"/>
      <w:divBdr>
        <w:top w:val="none" w:sz="0" w:space="0" w:color="auto"/>
        <w:left w:val="none" w:sz="0" w:space="0" w:color="auto"/>
        <w:bottom w:val="none" w:sz="0" w:space="0" w:color="auto"/>
        <w:right w:val="none" w:sz="0" w:space="0" w:color="auto"/>
      </w:divBdr>
    </w:div>
    <w:div w:id="1223639569">
      <w:bodyDiv w:val="1"/>
      <w:marLeft w:val="0"/>
      <w:marRight w:val="0"/>
      <w:marTop w:val="0"/>
      <w:marBottom w:val="0"/>
      <w:divBdr>
        <w:top w:val="none" w:sz="0" w:space="0" w:color="auto"/>
        <w:left w:val="none" w:sz="0" w:space="0" w:color="auto"/>
        <w:bottom w:val="none" w:sz="0" w:space="0" w:color="auto"/>
        <w:right w:val="none" w:sz="0" w:space="0" w:color="auto"/>
      </w:divBdr>
    </w:div>
    <w:div w:id="1389187280">
      <w:bodyDiv w:val="1"/>
      <w:marLeft w:val="0"/>
      <w:marRight w:val="0"/>
      <w:marTop w:val="0"/>
      <w:marBottom w:val="0"/>
      <w:divBdr>
        <w:top w:val="none" w:sz="0" w:space="0" w:color="auto"/>
        <w:left w:val="none" w:sz="0" w:space="0" w:color="auto"/>
        <w:bottom w:val="none" w:sz="0" w:space="0" w:color="auto"/>
        <w:right w:val="none" w:sz="0" w:space="0" w:color="auto"/>
      </w:divBdr>
    </w:div>
    <w:div w:id="1408191263">
      <w:bodyDiv w:val="1"/>
      <w:marLeft w:val="0"/>
      <w:marRight w:val="0"/>
      <w:marTop w:val="0"/>
      <w:marBottom w:val="0"/>
      <w:divBdr>
        <w:top w:val="none" w:sz="0" w:space="0" w:color="auto"/>
        <w:left w:val="none" w:sz="0" w:space="0" w:color="auto"/>
        <w:bottom w:val="none" w:sz="0" w:space="0" w:color="auto"/>
        <w:right w:val="none" w:sz="0" w:space="0" w:color="auto"/>
      </w:divBdr>
    </w:div>
    <w:div w:id="1438140222">
      <w:bodyDiv w:val="1"/>
      <w:marLeft w:val="0"/>
      <w:marRight w:val="0"/>
      <w:marTop w:val="0"/>
      <w:marBottom w:val="0"/>
      <w:divBdr>
        <w:top w:val="none" w:sz="0" w:space="0" w:color="auto"/>
        <w:left w:val="none" w:sz="0" w:space="0" w:color="auto"/>
        <w:bottom w:val="none" w:sz="0" w:space="0" w:color="auto"/>
        <w:right w:val="none" w:sz="0" w:space="0" w:color="auto"/>
      </w:divBdr>
    </w:div>
    <w:div w:id="1532186448">
      <w:bodyDiv w:val="1"/>
      <w:marLeft w:val="0"/>
      <w:marRight w:val="0"/>
      <w:marTop w:val="0"/>
      <w:marBottom w:val="0"/>
      <w:divBdr>
        <w:top w:val="none" w:sz="0" w:space="0" w:color="auto"/>
        <w:left w:val="none" w:sz="0" w:space="0" w:color="auto"/>
        <w:bottom w:val="none" w:sz="0" w:space="0" w:color="auto"/>
        <w:right w:val="none" w:sz="0" w:space="0" w:color="auto"/>
      </w:divBdr>
    </w:div>
    <w:div w:id="1553729958">
      <w:bodyDiv w:val="1"/>
      <w:marLeft w:val="0"/>
      <w:marRight w:val="0"/>
      <w:marTop w:val="0"/>
      <w:marBottom w:val="0"/>
      <w:divBdr>
        <w:top w:val="none" w:sz="0" w:space="0" w:color="auto"/>
        <w:left w:val="none" w:sz="0" w:space="0" w:color="auto"/>
        <w:bottom w:val="none" w:sz="0" w:space="0" w:color="auto"/>
        <w:right w:val="none" w:sz="0" w:space="0" w:color="auto"/>
      </w:divBdr>
    </w:div>
    <w:div w:id="1580020053">
      <w:bodyDiv w:val="1"/>
      <w:marLeft w:val="0"/>
      <w:marRight w:val="0"/>
      <w:marTop w:val="0"/>
      <w:marBottom w:val="0"/>
      <w:divBdr>
        <w:top w:val="none" w:sz="0" w:space="0" w:color="auto"/>
        <w:left w:val="none" w:sz="0" w:space="0" w:color="auto"/>
        <w:bottom w:val="none" w:sz="0" w:space="0" w:color="auto"/>
        <w:right w:val="none" w:sz="0" w:space="0" w:color="auto"/>
      </w:divBdr>
    </w:div>
    <w:div w:id="1652322571">
      <w:bodyDiv w:val="1"/>
      <w:marLeft w:val="0"/>
      <w:marRight w:val="0"/>
      <w:marTop w:val="0"/>
      <w:marBottom w:val="0"/>
      <w:divBdr>
        <w:top w:val="none" w:sz="0" w:space="0" w:color="auto"/>
        <w:left w:val="none" w:sz="0" w:space="0" w:color="auto"/>
        <w:bottom w:val="none" w:sz="0" w:space="0" w:color="auto"/>
        <w:right w:val="none" w:sz="0" w:space="0" w:color="auto"/>
      </w:divBdr>
    </w:div>
    <w:div w:id="1721057247">
      <w:bodyDiv w:val="1"/>
      <w:marLeft w:val="0"/>
      <w:marRight w:val="0"/>
      <w:marTop w:val="0"/>
      <w:marBottom w:val="0"/>
      <w:divBdr>
        <w:top w:val="none" w:sz="0" w:space="0" w:color="auto"/>
        <w:left w:val="none" w:sz="0" w:space="0" w:color="auto"/>
        <w:bottom w:val="none" w:sz="0" w:space="0" w:color="auto"/>
        <w:right w:val="none" w:sz="0" w:space="0" w:color="auto"/>
      </w:divBdr>
    </w:div>
    <w:div w:id="1887062342">
      <w:bodyDiv w:val="1"/>
      <w:marLeft w:val="0"/>
      <w:marRight w:val="0"/>
      <w:marTop w:val="0"/>
      <w:marBottom w:val="0"/>
      <w:divBdr>
        <w:top w:val="none" w:sz="0" w:space="0" w:color="auto"/>
        <w:left w:val="none" w:sz="0" w:space="0" w:color="auto"/>
        <w:bottom w:val="none" w:sz="0" w:space="0" w:color="auto"/>
        <w:right w:val="none" w:sz="0" w:space="0" w:color="auto"/>
      </w:divBdr>
    </w:div>
    <w:div w:id="21117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litaryconfinement.org/uploads/Istanbul_expert_statement_on_sc.pdf" TargetMode="External"/><Relationship Id="rId2" Type="http://schemas.openxmlformats.org/officeDocument/2006/relationships/hyperlink" Target="http://solitaryconfinement.org/uploads/SpecRapTortureAug2011.pdf" TargetMode="External"/><Relationship Id="rId1" Type="http://schemas.openxmlformats.org/officeDocument/2006/relationships/hyperlink" Target="http://anhri.net/?p=154236&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DE6C0-603F-4580-AB28-425DC67C92FC}"/>
</file>

<file path=customXml/itemProps2.xml><?xml version="1.0" encoding="utf-8"?>
<ds:datastoreItem xmlns:ds="http://schemas.openxmlformats.org/officeDocument/2006/customXml" ds:itemID="{28C41EF0-2853-4F00-8010-CEAD029DDE1D}"/>
</file>

<file path=customXml/itemProps3.xml><?xml version="1.0" encoding="utf-8"?>
<ds:datastoreItem xmlns:ds="http://schemas.openxmlformats.org/officeDocument/2006/customXml" ds:itemID="{8C7D8717-E0C2-4D58-A3F4-7B6600A9E11F}"/>
</file>

<file path=customXml/itemProps4.xml><?xml version="1.0" encoding="utf-8"?>
<ds:datastoreItem xmlns:ds="http://schemas.openxmlformats.org/officeDocument/2006/customXml" ds:itemID="{32DC2738-F656-4AFE-A31A-F6297AA79EDC}"/>
</file>

<file path=docProps/app.xml><?xml version="1.0" encoding="utf-8"?>
<Properties xmlns="http://schemas.openxmlformats.org/officeDocument/2006/extended-properties" xmlns:vt="http://schemas.openxmlformats.org/officeDocument/2006/docPropsVTypes">
  <Template>IBLANK PORTRAIT.DOT</Template>
  <TotalTime>0</TotalTime>
  <Pages>46</Pages>
  <Words>19468</Words>
  <Characters>103956</Characters>
  <Application>Microsoft Office Word</Application>
  <DocSecurity>0</DocSecurity>
  <Lines>866</Lines>
  <Paragraphs>246</Paragraphs>
  <ScaleCrop>false</ScaleCrop>
  <HeadingPairs>
    <vt:vector size="2" baseType="variant">
      <vt:variant>
        <vt:lpstr>Title</vt:lpstr>
      </vt:variant>
      <vt:variant>
        <vt:i4>1</vt:i4>
      </vt:variant>
    </vt:vector>
  </HeadingPairs>
  <TitlesOfParts>
    <vt:vector size="1" baseType="lpstr">
      <vt:lpstr> </vt:lpstr>
    </vt:vector>
  </TitlesOfParts>
  <Company>OHCHR</Company>
  <LinksUpToDate>false</LinksUpToDate>
  <CharactersWithSpaces>123178</CharactersWithSpaces>
  <SharedDoc>false</SharedDoc>
  <HLinks>
    <vt:vector size="138" baseType="variant">
      <vt:variant>
        <vt:i4>2031672</vt:i4>
      </vt:variant>
      <vt:variant>
        <vt:i4>116</vt:i4>
      </vt:variant>
      <vt:variant>
        <vt:i4>0</vt:i4>
      </vt:variant>
      <vt:variant>
        <vt:i4>5</vt:i4>
      </vt:variant>
      <vt:variant>
        <vt:lpwstr/>
      </vt:variant>
      <vt:variant>
        <vt:lpwstr>_Toc475984122</vt:lpwstr>
      </vt:variant>
      <vt:variant>
        <vt:i4>2031672</vt:i4>
      </vt:variant>
      <vt:variant>
        <vt:i4>110</vt:i4>
      </vt:variant>
      <vt:variant>
        <vt:i4>0</vt:i4>
      </vt:variant>
      <vt:variant>
        <vt:i4>5</vt:i4>
      </vt:variant>
      <vt:variant>
        <vt:lpwstr/>
      </vt:variant>
      <vt:variant>
        <vt:lpwstr>_Toc475984121</vt:lpwstr>
      </vt:variant>
      <vt:variant>
        <vt:i4>2031672</vt:i4>
      </vt:variant>
      <vt:variant>
        <vt:i4>104</vt:i4>
      </vt:variant>
      <vt:variant>
        <vt:i4>0</vt:i4>
      </vt:variant>
      <vt:variant>
        <vt:i4>5</vt:i4>
      </vt:variant>
      <vt:variant>
        <vt:lpwstr/>
      </vt:variant>
      <vt:variant>
        <vt:lpwstr>_Toc475984120</vt:lpwstr>
      </vt:variant>
      <vt:variant>
        <vt:i4>1835064</vt:i4>
      </vt:variant>
      <vt:variant>
        <vt:i4>98</vt:i4>
      </vt:variant>
      <vt:variant>
        <vt:i4>0</vt:i4>
      </vt:variant>
      <vt:variant>
        <vt:i4>5</vt:i4>
      </vt:variant>
      <vt:variant>
        <vt:lpwstr/>
      </vt:variant>
      <vt:variant>
        <vt:lpwstr>_Toc475984119</vt:lpwstr>
      </vt:variant>
      <vt:variant>
        <vt:i4>1835064</vt:i4>
      </vt:variant>
      <vt:variant>
        <vt:i4>92</vt:i4>
      </vt:variant>
      <vt:variant>
        <vt:i4>0</vt:i4>
      </vt:variant>
      <vt:variant>
        <vt:i4>5</vt:i4>
      </vt:variant>
      <vt:variant>
        <vt:lpwstr/>
      </vt:variant>
      <vt:variant>
        <vt:lpwstr>_Toc475984118</vt:lpwstr>
      </vt:variant>
      <vt:variant>
        <vt:i4>1835064</vt:i4>
      </vt:variant>
      <vt:variant>
        <vt:i4>86</vt:i4>
      </vt:variant>
      <vt:variant>
        <vt:i4>0</vt:i4>
      </vt:variant>
      <vt:variant>
        <vt:i4>5</vt:i4>
      </vt:variant>
      <vt:variant>
        <vt:lpwstr/>
      </vt:variant>
      <vt:variant>
        <vt:lpwstr>_Toc475984117</vt:lpwstr>
      </vt:variant>
      <vt:variant>
        <vt:i4>1835064</vt:i4>
      </vt:variant>
      <vt:variant>
        <vt:i4>80</vt:i4>
      </vt:variant>
      <vt:variant>
        <vt:i4>0</vt:i4>
      </vt:variant>
      <vt:variant>
        <vt:i4>5</vt:i4>
      </vt:variant>
      <vt:variant>
        <vt:lpwstr/>
      </vt:variant>
      <vt:variant>
        <vt:lpwstr>_Toc475984116</vt:lpwstr>
      </vt:variant>
      <vt:variant>
        <vt:i4>1835064</vt:i4>
      </vt:variant>
      <vt:variant>
        <vt:i4>74</vt:i4>
      </vt:variant>
      <vt:variant>
        <vt:i4>0</vt:i4>
      </vt:variant>
      <vt:variant>
        <vt:i4>5</vt:i4>
      </vt:variant>
      <vt:variant>
        <vt:lpwstr/>
      </vt:variant>
      <vt:variant>
        <vt:lpwstr>_Toc475984115</vt:lpwstr>
      </vt:variant>
      <vt:variant>
        <vt:i4>1835064</vt:i4>
      </vt:variant>
      <vt:variant>
        <vt:i4>68</vt:i4>
      </vt:variant>
      <vt:variant>
        <vt:i4>0</vt:i4>
      </vt:variant>
      <vt:variant>
        <vt:i4>5</vt:i4>
      </vt:variant>
      <vt:variant>
        <vt:lpwstr/>
      </vt:variant>
      <vt:variant>
        <vt:lpwstr>_Toc475984114</vt:lpwstr>
      </vt:variant>
      <vt:variant>
        <vt:i4>1835064</vt:i4>
      </vt:variant>
      <vt:variant>
        <vt:i4>62</vt:i4>
      </vt:variant>
      <vt:variant>
        <vt:i4>0</vt:i4>
      </vt:variant>
      <vt:variant>
        <vt:i4>5</vt:i4>
      </vt:variant>
      <vt:variant>
        <vt:lpwstr/>
      </vt:variant>
      <vt:variant>
        <vt:lpwstr>_Toc475984113</vt:lpwstr>
      </vt:variant>
      <vt:variant>
        <vt:i4>1835064</vt:i4>
      </vt:variant>
      <vt:variant>
        <vt:i4>56</vt:i4>
      </vt:variant>
      <vt:variant>
        <vt:i4>0</vt:i4>
      </vt:variant>
      <vt:variant>
        <vt:i4>5</vt:i4>
      </vt:variant>
      <vt:variant>
        <vt:lpwstr/>
      </vt:variant>
      <vt:variant>
        <vt:lpwstr>_Toc475984112</vt:lpwstr>
      </vt:variant>
      <vt:variant>
        <vt:i4>1835064</vt:i4>
      </vt:variant>
      <vt:variant>
        <vt:i4>50</vt:i4>
      </vt:variant>
      <vt:variant>
        <vt:i4>0</vt:i4>
      </vt:variant>
      <vt:variant>
        <vt:i4>5</vt:i4>
      </vt:variant>
      <vt:variant>
        <vt:lpwstr/>
      </vt:variant>
      <vt:variant>
        <vt:lpwstr>_Toc475984111</vt:lpwstr>
      </vt:variant>
      <vt:variant>
        <vt:i4>1835064</vt:i4>
      </vt:variant>
      <vt:variant>
        <vt:i4>44</vt:i4>
      </vt:variant>
      <vt:variant>
        <vt:i4>0</vt:i4>
      </vt:variant>
      <vt:variant>
        <vt:i4>5</vt:i4>
      </vt:variant>
      <vt:variant>
        <vt:lpwstr/>
      </vt:variant>
      <vt:variant>
        <vt:lpwstr>_Toc475984110</vt:lpwstr>
      </vt:variant>
      <vt:variant>
        <vt:i4>1900600</vt:i4>
      </vt:variant>
      <vt:variant>
        <vt:i4>38</vt:i4>
      </vt:variant>
      <vt:variant>
        <vt:i4>0</vt:i4>
      </vt:variant>
      <vt:variant>
        <vt:i4>5</vt:i4>
      </vt:variant>
      <vt:variant>
        <vt:lpwstr/>
      </vt:variant>
      <vt:variant>
        <vt:lpwstr>_Toc475984109</vt:lpwstr>
      </vt:variant>
      <vt:variant>
        <vt:i4>1900600</vt:i4>
      </vt:variant>
      <vt:variant>
        <vt:i4>32</vt:i4>
      </vt:variant>
      <vt:variant>
        <vt:i4>0</vt:i4>
      </vt:variant>
      <vt:variant>
        <vt:i4>5</vt:i4>
      </vt:variant>
      <vt:variant>
        <vt:lpwstr/>
      </vt:variant>
      <vt:variant>
        <vt:lpwstr>_Toc475984108</vt:lpwstr>
      </vt:variant>
      <vt:variant>
        <vt:i4>1900600</vt:i4>
      </vt:variant>
      <vt:variant>
        <vt:i4>26</vt:i4>
      </vt:variant>
      <vt:variant>
        <vt:i4>0</vt:i4>
      </vt:variant>
      <vt:variant>
        <vt:i4>5</vt:i4>
      </vt:variant>
      <vt:variant>
        <vt:lpwstr/>
      </vt:variant>
      <vt:variant>
        <vt:lpwstr>_Toc475984107</vt:lpwstr>
      </vt:variant>
      <vt:variant>
        <vt:i4>1900600</vt:i4>
      </vt:variant>
      <vt:variant>
        <vt:i4>20</vt:i4>
      </vt:variant>
      <vt:variant>
        <vt:i4>0</vt:i4>
      </vt:variant>
      <vt:variant>
        <vt:i4>5</vt:i4>
      </vt:variant>
      <vt:variant>
        <vt:lpwstr/>
      </vt:variant>
      <vt:variant>
        <vt:lpwstr>_Toc475984106</vt:lpwstr>
      </vt:variant>
      <vt:variant>
        <vt:i4>1900600</vt:i4>
      </vt:variant>
      <vt:variant>
        <vt:i4>14</vt:i4>
      </vt:variant>
      <vt:variant>
        <vt:i4>0</vt:i4>
      </vt:variant>
      <vt:variant>
        <vt:i4>5</vt:i4>
      </vt:variant>
      <vt:variant>
        <vt:lpwstr/>
      </vt:variant>
      <vt:variant>
        <vt:lpwstr>_Toc475984105</vt:lpwstr>
      </vt:variant>
      <vt:variant>
        <vt:i4>1900600</vt:i4>
      </vt:variant>
      <vt:variant>
        <vt:i4>8</vt:i4>
      </vt:variant>
      <vt:variant>
        <vt:i4>0</vt:i4>
      </vt:variant>
      <vt:variant>
        <vt:i4>5</vt:i4>
      </vt:variant>
      <vt:variant>
        <vt:lpwstr/>
      </vt:variant>
      <vt:variant>
        <vt:lpwstr>_Toc475984104</vt:lpwstr>
      </vt:variant>
      <vt:variant>
        <vt:i4>1900600</vt:i4>
      </vt:variant>
      <vt:variant>
        <vt:i4>2</vt:i4>
      </vt:variant>
      <vt:variant>
        <vt:i4>0</vt:i4>
      </vt:variant>
      <vt:variant>
        <vt:i4>5</vt:i4>
      </vt:variant>
      <vt:variant>
        <vt:lpwstr/>
      </vt:variant>
      <vt:variant>
        <vt:lpwstr>_Toc475984103</vt:lpwstr>
      </vt:variant>
      <vt:variant>
        <vt:i4>3276923</vt:i4>
      </vt:variant>
      <vt:variant>
        <vt:i4>6</vt:i4>
      </vt:variant>
      <vt:variant>
        <vt:i4>0</vt:i4>
      </vt:variant>
      <vt:variant>
        <vt:i4>5</vt:i4>
      </vt:variant>
      <vt:variant>
        <vt:lpwstr>http://solitaryconfinement.org/uploads/Istanbul_expert_statement_on_sc.pdf</vt:lpwstr>
      </vt:variant>
      <vt:variant>
        <vt:lpwstr/>
      </vt:variant>
      <vt:variant>
        <vt:i4>5046284</vt:i4>
      </vt:variant>
      <vt:variant>
        <vt:i4>3</vt:i4>
      </vt:variant>
      <vt:variant>
        <vt:i4>0</vt:i4>
      </vt:variant>
      <vt:variant>
        <vt:i4>5</vt:i4>
      </vt:variant>
      <vt:variant>
        <vt:lpwstr>http://solitaryconfinement.org/uploads/SpecRapTortureAug2011.pdf</vt:lpwstr>
      </vt:variant>
      <vt:variant>
        <vt:lpwstr/>
      </vt:variant>
      <vt:variant>
        <vt:i4>3342450</vt:i4>
      </vt:variant>
      <vt:variant>
        <vt:i4>0</vt:i4>
      </vt:variant>
      <vt:variant>
        <vt:i4>0</vt:i4>
      </vt:variant>
      <vt:variant>
        <vt:i4>5</vt:i4>
      </vt:variant>
      <vt:variant>
        <vt:lpwstr>http://anhri.net/?p=154236&amp;lang=en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Stockwood</dc:creator>
  <cp:lastModifiedBy>Darka Topali</cp:lastModifiedBy>
  <cp:revision>2</cp:revision>
  <cp:lastPrinted>1900-12-31T23:00:00Z</cp:lastPrinted>
  <dcterms:created xsi:type="dcterms:W3CDTF">2017-03-20T14:24:00Z</dcterms:created>
  <dcterms:modified xsi:type="dcterms:W3CDTF">2017-03-20T14:24:00Z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umber">
    <vt:lpwstr>-1</vt:lpwstr>
  </property>
  <property fmtid="{D5CDD505-2E9C-101B-9397-08002B2CF9AE}" pid="7" name="CUS_DocIDsSeparator">
    <vt:lpwstr>\</vt:lpwstr>
  </property>
  <property fmtid="{D5CDD505-2E9C-101B-9397-08002B2CF9AE}" pid="8" name="CUS_DocIDbchkDate">
    <vt:lpwstr>-1</vt:lpwstr>
  </property>
  <property fmtid="{D5CDD505-2E9C-101B-9397-08002B2CF9AE}" pid="9" name="CUS_DocIDbchkEuroDate">
    <vt:lpwstr>0</vt:lpwstr>
  </property>
  <property fmtid="{D5CDD505-2E9C-101B-9397-08002B2CF9AE}" pid="10" name="CUS_DocIDbchkTime">
    <vt:lpwstr>-1</vt:lpwstr>
  </property>
  <property fmtid="{D5CDD505-2E9C-101B-9397-08002B2CF9AE}" pid="11" name="CUS_DocIDiPage">
    <vt:lpwstr>0</vt:lpwstr>
  </property>
  <property fmtid="{D5CDD505-2E9C-101B-9397-08002B2CF9AE}" pid="12" name="CUS_DocIDEndSectionNumber">
    <vt:lpwstr>1</vt:lpwstr>
  </property>
  <property fmtid="{D5CDD505-2E9C-101B-9397-08002B2CF9AE}" pid="13" name="CUS_DocIDEndAdjustedPageNumber">
    <vt:lpwstr>3</vt:lpwstr>
  </property>
  <property fmtid="{D5CDD505-2E9C-101B-9397-08002B2CF9AE}" pid="14" name="CUS_DocIDOperation">
    <vt:lpwstr>LAST PAGE ONLY</vt:lpwstr>
  </property>
  <property fmtid="{D5CDD505-2E9C-101B-9397-08002B2CF9AE}" pid="15" name="CUS_DocIDSaveAs">
    <vt:lpwstr>NO</vt:lpwstr>
  </property>
  <property fmtid="{D5CDD505-2E9C-101B-9397-08002B2CF9AE}" pid="16" name="MAIL_MSG_ID1">
    <vt:lpwstr>ABAAVOAfoSrQoyxOUTnle2SCugxQ6HkV58dRR/a6z+5HOuDHNWt3M+5Uy6GQGpdj9LBL</vt:lpwstr>
  </property>
  <property fmtid="{D5CDD505-2E9C-101B-9397-08002B2CF9AE}" pid="17" name="MAIL_MSG_ID2">
    <vt:lpwstr>gXwEIqOPxbHaZpGRQB2vAi+dRR1Tn2qvwPw5dwTTXYPx2TPjz0c5Tt/gp64_x000d_
x50oXkq8dNKM2uOC+njBxt4E0g8+0ZuanU00QQ==</vt:lpwstr>
  </property>
  <property fmtid="{D5CDD505-2E9C-101B-9397-08002B2CF9AE}" pid="18" name="RESPONSE_SENDER_NAME">
    <vt:lpwstr>gAAAdya76B99d4hLGUR1rQ+8TxTv0GGEPdix</vt:lpwstr>
  </property>
  <property fmtid="{D5CDD505-2E9C-101B-9397-08002B2CF9AE}" pid="19" name="EMAIL_OWNER_ADDRESS">
    <vt:lpwstr>ABAAMV6B7YzPbaKOpvhZ65jbgGBppIfyqmJqShYrWALSX1VNsoBJL8BBESHKEDuZi7WL</vt:lpwstr>
  </property>
  <property fmtid="{D5CDD505-2E9C-101B-9397-08002B2CF9AE}" pid="20" name="CUS_DocIDString">
    <vt:lpwstr>4821-3077-3309\1</vt:lpwstr>
  </property>
  <property fmtid="{D5CDD505-2E9C-101B-9397-08002B2CF9AE}" pid="21" name="NDDocNumber">
    <vt:lpwstr>4821-3077-3309</vt:lpwstr>
  </property>
  <property fmtid="{D5CDD505-2E9C-101B-9397-08002B2CF9AE}" pid="22" name="CUS_DocIDVersion">
    <vt:lpwstr>1</vt:lpwstr>
  </property>
  <property fmtid="{D5CDD505-2E9C-101B-9397-08002B2CF9AE}" pid="23" name="ContentTypeId">
    <vt:lpwstr>0x01010022B3C51BB8F9654FB8068485B2E4975B</vt:lpwstr>
  </property>
</Properties>
</file>