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97D" w:rsidRPr="0080497D" w:rsidRDefault="0080497D" w:rsidP="0080497D">
      <w:pPr>
        <w:shd w:val="clear" w:color="auto" w:fill="FFFFFF"/>
        <w:spacing w:after="0" w:line="240" w:lineRule="auto"/>
        <w:jc w:val="both"/>
        <w:rPr>
          <w:rFonts w:eastAsia="Times New Roman" w:cs="Arial"/>
          <w:sz w:val="24"/>
          <w:szCs w:val="24"/>
          <w:lang w:eastAsia="es-CL"/>
        </w:rPr>
      </w:pPr>
    </w:p>
    <w:p w:rsidR="0080497D" w:rsidRPr="0080497D" w:rsidRDefault="0080497D" w:rsidP="0080497D">
      <w:pPr>
        <w:shd w:val="clear" w:color="auto" w:fill="FFFFFF"/>
        <w:spacing w:after="0" w:line="240" w:lineRule="auto"/>
        <w:jc w:val="center"/>
        <w:rPr>
          <w:rFonts w:eastAsia="Times New Roman" w:cs="Arial"/>
          <w:sz w:val="24"/>
          <w:szCs w:val="24"/>
          <w:lang w:eastAsia="es-CL"/>
        </w:rPr>
      </w:pPr>
    </w:p>
    <w:p w:rsidR="0080497D" w:rsidRPr="0080497D" w:rsidRDefault="0080497D" w:rsidP="0080497D">
      <w:pPr>
        <w:spacing w:after="0" w:line="240" w:lineRule="auto"/>
        <w:jc w:val="center"/>
        <w:rPr>
          <w:rFonts w:eastAsia="Times New Roman" w:cs="Arial"/>
          <w:b/>
          <w:bCs/>
          <w:color w:val="000000"/>
          <w:sz w:val="24"/>
          <w:szCs w:val="24"/>
          <w:lang w:eastAsia="es-CL"/>
        </w:rPr>
      </w:pPr>
      <w:r w:rsidRPr="0080497D">
        <w:rPr>
          <w:rFonts w:eastAsia="Times New Roman" w:cs="Arial"/>
          <w:b/>
          <w:bCs/>
          <w:color w:val="000000"/>
          <w:sz w:val="24"/>
          <w:szCs w:val="24"/>
          <w:lang w:eastAsia="es-CL"/>
        </w:rPr>
        <w:t>Datos relevantes para la adopción de la lista de cuestiones previas</w:t>
      </w:r>
    </w:p>
    <w:p w:rsidR="0080497D" w:rsidRPr="0080497D" w:rsidRDefault="0080497D" w:rsidP="0080497D">
      <w:pPr>
        <w:spacing w:after="0" w:line="240" w:lineRule="auto"/>
        <w:jc w:val="center"/>
        <w:rPr>
          <w:rFonts w:eastAsia="Times New Roman" w:cs="Arial"/>
          <w:b/>
          <w:bCs/>
          <w:color w:val="000000"/>
          <w:sz w:val="24"/>
          <w:szCs w:val="24"/>
          <w:lang w:eastAsia="es-CL"/>
        </w:rPr>
      </w:pPr>
      <w:r w:rsidRPr="0080497D">
        <w:rPr>
          <w:rFonts w:eastAsia="Times New Roman" w:cs="Arial"/>
          <w:b/>
          <w:bCs/>
          <w:color w:val="000000"/>
          <w:sz w:val="24"/>
          <w:szCs w:val="24"/>
          <w:lang w:eastAsia="es-CL"/>
        </w:rPr>
        <w:t>al primer informe de Chile</w:t>
      </w:r>
    </w:p>
    <w:p w:rsidR="0080497D" w:rsidRPr="0080497D" w:rsidRDefault="0080497D" w:rsidP="0080497D">
      <w:pPr>
        <w:spacing w:after="0" w:line="240" w:lineRule="auto"/>
        <w:jc w:val="center"/>
        <w:rPr>
          <w:rFonts w:eastAsia="Times New Roman" w:cs="Arial"/>
          <w:b/>
          <w:bCs/>
          <w:color w:val="000000"/>
          <w:sz w:val="24"/>
          <w:szCs w:val="24"/>
          <w:lang w:eastAsia="es-CL"/>
        </w:rPr>
      </w:pPr>
    </w:p>
    <w:p w:rsidR="0080497D" w:rsidRPr="0080497D" w:rsidRDefault="0080497D" w:rsidP="0080497D">
      <w:pPr>
        <w:spacing w:after="0" w:line="240" w:lineRule="auto"/>
        <w:jc w:val="center"/>
        <w:rPr>
          <w:rFonts w:eastAsia="Times New Roman" w:cs="Arial"/>
          <w:b/>
          <w:bCs/>
          <w:color w:val="000000"/>
          <w:sz w:val="24"/>
          <w:szCs w:val="24"/>
          <w:lang w:eastAsia="es-CL"/>
        </w:rPr>
      </w:pPr>
      <w:r w:rsidRPr="0080497D">
        <w:rPr>
          <w:b/>
          <w:sz w:val="24"/>
          <w:szCs w:val="24"/>
        </w:rPr>
        <w:t>15° período de sesiones</w:t>
      </w:r>
      <w:r w:rsidRPr="0080497D">
        <w:rPr>
          <w:rFonts w:eastAsia="Times New Roman" w:cs="Arial"/>
          <w:b/>
          <w:bCs/>
          <w:color w:val="000000"/>
          <w:sz w:val="24"/>
          <w:szCs w:val="24"/>
          <w:lang w:eastAsia="es-CL"/>
        </w:rPr>
        <w:t xml:space="preserve"> del Comité contra las Desapariciones Forzadas</w:t>
      </w:r>
    </w:p>
    <w:p w:rsidR="0080497D" w:rsidRPr="0080497D" w:rsidRDefault="0080497D" w:rsidP="0080497D">
      <w:pPr>
        <w:spacing w:after="0" w:line="240" w:lineRule="auto"/>
        <w:jc w:val="center"/>
        <w:rPr>
          <w:rFonts w:eastAsia="Times New Roman" w:cs="Arial"/>
          <w:bCs/>
          <w:i/>
          <w:color w:val="000000"/>
          <w:sz w:val="24"/>
          <w:szCs w:val="24"/>
          <w:lang w:eastAsia="es-CL"/>
        </w:rPr>
      </w:pPr>
    </w:p>
    <w:p w:rsidR="0080497D" w:rsidRPr="0080497D" w:rsidRDefault="0080497D" w:rsidP="0080497D">
      <w:pPr>
        <w:spacing w:line="240" w:lineRule="auto"/>
        <w:jc w:val="center"/>
        <w:rPr>
          <w:rFonts w:eastAsia="Times New Roman" w:cs="Arial"/>
          <w:bCs/>
          <w:i/>
          <w:color w:val="000000"/>
          <w:sz w:val="24"/>
          <w:szCs w:val="24"/>
          <w:lang w:eastAsia="es-CL"/>
        </w:rPr>
      </w:pPr>
      <w:r w:rsidRPr="0080497D">
        <w:rPr>
          <w:rFonts w:eastAsia="Times New Roman" w:cs="Arial"/>
          <w:bCs/>
          <w:i/>
          <w:color w:val="000000"/>
          <w:sz w:val="24"/>
          <w:szCs w:val="24"/>
          <w:lang w:eastAsia="es-CL"/>
        </w:rPr>
        <w:t>Informe elaborado por el Instituto Nacional de Derechos Humanos</w:t>
      </w:r>
      <w:r w:rsidRPr="0080497D">
        <w:rPr>
          <w:rStyle w:val="Refdenotaalpie"/>
          <w:rFonts w:eastAsia="Times New Roman" w:cs="Arial"/>
          <w:bCs/>
          <w:i/>
          <w:color w:val="000000"/>
          <w:sz w:val="24"/>
          <w:szCs w:val="24"/>
          <w:lang w:eastAsia="es-CL"/>
        </w:rPr>
        <w:footnoteReference w:id="1"/>
      </w:r>
    </w:p>
    <w:p w:rsidR="0080497D" w:rsidRPr="0080497D" w:rsidRDefault="0080497D" w:rsidP="0080497D">
      <w:pPr>
        <w:shd w:val="clear" w:color="auto" w:fill="FFFFFF"/>
        <w:spacing w:after="0" w:line="240" w:lineRule="auto"/>
        <w:jc w:val="both"/>
        <w:rPr>
          <w:rFonts w:eastAsia="Times New Roman" w:cs="Arial"/>
          <w:sz w:val="24"/>
          <w:szCs w:val="24"/>
          <w:lang w:eastAsia="es-CL"/>
        </w:rPr>
      </w:pPr>
    </w:p>
    <w:p w:rsidR="0080497D" w:rsidRPr="0080497D" w:rsidRDefault="0080497D" w:rsidP="0080497D">
      <w:pPr>
        <w:shd w:val="clear" w:color="auto" w:fill="FFFFFF"/>
        <w:spacing w:after="0" w:line="240" w:lineRule="auto"/>
        <w:jc w:val="both"/>
        <w:rPr>
          <w:rFonts w:eastAsia="Times New Roman" w:cs="Arial"/>
          <w:sz w:val="24"/>
          <w:szCs w:val="24"/>
          <w:lang w:eastAsia="es-CL"/>
        </w:rPr>
      </w:pPr>
    </w:p>
    <w:p w:rsidR="0080497D" w:rsidRPr="0080497D" w:rsidRDefault="0080497D" w:rsidP="0080497D">
      <w:pPr>
        <w:shd w:val="clear" w:color="auto" w:fill="FFFFFF"/>
        <w:spacing w:after="0" w:line="240" w:lineRule="auto"/>
        <w:jc w:val="center"/>
        <w:rPr>
          <w:rFonts w:eastAsia="Times New Roman" w:cs="Arial"/>
          <w:sz w:val="24"/>
          <w:szCs w:val="24"/>
          <w:lang w:eastAsia="es-CL"/>
        </w:rPr>
      </w:pPr>
    </w:p>
    <w:p w:rsidR="003F6280" w:rsidRPr="0080497D" w:rsidRDefault="0080497D" w:rsidP="0080497D">
      <w:pPr>
        <w:shd w:val="clear" w:color="auto" w:fill="FFFFFF"/>
        <w:spacing w:after="0" w:line="240" w:lineRule="auto"/>
        <w:jc w:val="center"/>
        <w:rPr>
          <w:rFonts w:eastAsia="Times New Roman" w:cs="Arial"/>
          <w:b/>
          <w:sz w:val="24"/>
          <w:szCs w:val="24"/>
          <w:lang w:eastAsia="es-CL"/>
        </w:rPr>
      </w:pPr>
      <w:r w:rsidRPr="0080497D">
        <w:rPr>
          <w:rFonts w:eastAsia="Times New Roman" w:cs="Arial"/>
          <w:b/>
          <w:sz w:val="24"/>
          <w:szCs w:val="24"/>
          <w:lang w:eastAsia="es-CL"/>
        </w:rPr>
        <w:t xml:space="preserve">ACTUALIZACIÓN </w:t>
      </w:r>
      <w:r>
        <w:rPr>
          <w:rFonts w:eastAsia="Times New Roman" w:cs="Arial"/>
          <w:b/>
          <w:sz w:val="24"/>
          <w:szCs w:val="24"/>
          <w:lang w:eastAsia="es-CL"/>
        </w:rPr>
        <w:t xml:space="preserve">DE </w:t>
      </w:r>
      <w:r w:rsidRPr="0080497D">
        <w:rPr>
          <w:rFonts w:eastAsia="Times New Roman" w:cs="Arial"/>
          <w:b/>
          <w:sz w:val="24"/>
          <w:szCs w:val="24"/>
          <w:lang w:eastAsia="es-CL"/>
        </w:rPr>
        <w:t>CASOS PRESENTADOS</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3F6280" w:rsidRDefault="003F6280" w:rsidP="0080497D">
      <w:pPr>
        <w:shd w:val="clear" w:color="auto" w:fill="FFFFFF"/>
        <w:spacing w:after="0" w:line="240" w:lineRule="auto"/>
        <w:jc w:val="both"/>
        <w:rPr>
          <w:rFonts w:eastAsia="Times New Roman" w:cs="Arial"/>
          <w:sz w:val="24"/>
          <w:szCs w:val="24"/>
          <w:lang w:eastAsia="es-CL"/>
        </w:rPr>
      </w:pPr>
      <w:bookmarkStart w:id="0" w:name="_GoBack"/>
      <w:bookmarkEnd w:id="0"/>
    </w:p>
    <w:p w:rsidR="003F6280" w:rsidRPr="003F6280" w:rsidRDefault="003F6280" w:rsidP="0080497D">
      <w:pPr>
        <w:shd w:val="clear" w:color="auto" w:fill="FFFFFF"/>
        <w:spacing w:after="0" w:line="240" w:lineRule="auto"/>
        <w:jc w:val="both"/>
        <w:rPr>
          <w:rFonts w:eastAsia="Times New Roman" w:cs="Arial"/>
          <w:sz w:val="24"/>
          <w:szCs w:val="24"/>
          <w:lang w:eastAsia="es-CL"/>
        </w:rPr>
      </w:pP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b/>
          <w:bCs/>
          <w:sz w:val="24"/>
          <w:szCs w:val="24"/>
          <w:u w:val="single"/>
          <w:lang w:eastAsia="es-CL"/>
        </w:rPr>
        <w:t>1) Caso José Vergara.</w:t>
      </w: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Se dictó sentencia definitiva con fecha 28 de septiembre de 2018, que condena a Carabineros por el delito de secuestro simple. Sentencia descarta secuestro calificado, así como figura de desaparición forzada de personas solicitada por el INDH como querellante. </w:t>
      </w: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Extracto sentencia: </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b/>
          <w:bCs/>
          <w:i/>
          <w:iCs/>
          <w:sz w:val="24"/>
          <w:szCs w:val="24"/>
          <w:lang w:val="es-ES_tradnl" w:eastAsia="es-CL"/>
        </w:rPr>
        <w:t>"SE DECLARA:</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b/>
          <w:bCs/>
          <w:i/>
          <w:iCs/>
          <w:sz w:val="24"/>
          <w:szCs w:val="24"/>
          <w:lang w:val="es-ES_tradnl" w:eastAsia="es-CL"/>
        </w:rPr>
        <w:t>I.- </w:t>
      </w:r>
      <w:r w:rsidRPr="003F6280">
        <w:rPr>
          <w:rFonts w:eastAsia="Times New Roman" w:cs="Arial"/>
          <w:i/>
          <w:iCs/>
          <w:sz w:val="24"/>
          <w:szCs w:val="24"/>
          <w:lang w:val="es-ES_tradnl" w:eastAsia="es-CL"/>
        </w:rPr>
        <w:t>Que, </w:t>
      </w:r>
      <w:r w:rsidRPr="003F6280">
        <w:rPr>
          <w:rFonts w:eastAsia="Times New Roman" w:cs="Arial"/>
          <w:b/>
          <w:bCs/>
          <w:i/>
          <w:iCs/>
          <w:sz w:val="24"/>
          <w:szCs w:val="24"/>
          <w:lang w:val="es-ES_tradnl" w:eastAsia="es-CL"/>
        </w:rPr>
        <w:t>SE ABSUELVE </w:t>
      </w:r>
      <w:r w:rsidRPr="003F6280">
        <w:rPr>
          <w:rFonts w:eastAsia="Times New Roman" w:cs="Arial"/>
          <w:i/>
          <w:iCs/>
          <w:sz w:val="24"/>
          <w:szCs w:val="24"/>
          <w:lang w:val="es-ES_tradnl" w:eastAsia="es-CL"/>
        </w:rPr>
        <w:t>a </w:t>
      </w:r>
      <w:r w:rsidRPr="003F6280">
        <w:rPr>
          <w:rFonts w:eastAsia="Times New Roman" w:cs="Arial"/>
          <w:b/>
          <w:bCs/>
          <w:i/>
          <w:iCs/>
          <w:sz w:val="24"/>
          <w:szCs w:val="24"/>
          <w:lang w:val="es-ES_tradnl" w:eastAsia="es-CL"/>
        </w:rPr>
        <w:t>CARLOS ALBERTO VALENCIA CASTRO, ANGELO ANTONIO MUÑOZ ROQUE, ABRAHAM RUPERTO CARO PÉREZ </w:t>
      </w:r>
      <w:r w:rsidRPr="003F6280">
        <w:rPr>
          <w:rFonts w:eastAsia="Times New Roman" w:cs="Arial"/>
          <w:i/>
          <w:iCs/>
          <w:sz w:val="24"/>
          <w:szCs w:val="24"/>
          <w:lang w:val="es-ES_tradnl" w:eastAsia="es-CL"/>
        </w:rPr>
        <w:t>y a</w:t>
      </w:r>
      <w:r w:rsidRPr="003F6280">
        <w:rPr>
          <w:rFonts w:eastAsia="Times New Roman" w:cs="Arial"/>
          <w:b/>
          <w:bCs/>
          <w:i/>
          <w:iCs/>
          <w:sz w:val="24"/>
          <w:szCs w:val="24"/>
          <w:lang w:val="es-ES_tradnl" w:eastAsia="es-CL"/>
        </w:rPr>
        <w:t> MANUEL JESÚS CARVAJAL FABRES</w:t>
      </w:r>
      <w:r w:rsidRPr="003F6280">
        <w:rPr>
          <w:rFonts w:eastAsia="Times New Roman" w:cs="Arial"/>
          <w:i/>
          <w:iCs/>
          <w:sz w:val="24"/>
          <w:szCs w:val="24"/>
          <w:lang w:val="es-ES_tradnl" w:eastAsia="es-CL"/>
        </w:rPr>
        <w:t>, ya individualizados, de los cargos dirigidos por el Ministerio Público y querellantes de ser autores del delito de falsificación y uso malicioso de instrumento público, descrito y sancionado en el artículo 193 del Código Penal, eximiendo a los Acusadores del pago de las costas de la causa.</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b/>
          <w:bCs/>
          <w:i/>
          <w:iCs/>
          <w:sz w:val="24"/>
          <w:szCs w:val="24"/>
          <w:lang w:val="es-ES_tradnl" w:eastAsia="es-CL"/>
        </w:rPr>
        <w:t>II.-</w:t>
      </w:r>
      <w:r w:rsidRPr="003F6280">
        <w:rPr>
          <w:rFonts w:eastAsia="Times New Roman" w:cs="Arial"/>
          <w:i/>
          <w:iCs/>
          <w:sz w:val="24"/>
          <w:szCs w:val="24"/>
          <w:lang w:val="es-ES_tradnl" w:eastAsia="es-CL"/>
        </w:rPr>
        <w:t> Que, </w:t>
      </w:r>
      <w:r w:rsidRPr="003F6280">
        <w:rPr>
          <w:rFonts w:eastAsia="Times New Roman" w:cs="Arial"/>
          <w:b/>
          <w:bCs/>
          <w:i/>
          <w:iCs/>
          <w:sz w:val="24"/>
          <w:szCs w:val="24"/>
          <w:lang w:val="es-ES_tradnl" w:eastAsia="es-CL"/>
        </w:rPr>
        <w:t>SE CONDENA</w:t>
      </w:r>
      <w:r w:rsidRPr="003F6280">
        <w:rPr>
          <w:rFonts w:eastAsia="Times New Roman" w:cs="Arial"/>
          <w:i/>
          <w:iCs/>
          <w:sz w:val="24"/>
          <w:szCs w:val="24"/>
          <w:lang w:val="es-ES_tradnl" w:eastAsia="es-CL"/>
        </w:rPr>
        <w:t> a </w:t>
      </w:r>
      <w:r w:rsidRPr="003F6280">
        <w:rPr>
          <w:rFonts w:eastAsia="Times New Roman" w:cs="Arial"/>
          <w:b/>
          <w:bCs/>
          <w:i/>
          <w:iCs/>
          <w:sz w:val="24"/>
          <w:szCs w:val="24"/>
          <w:lang w:val="es-ES_tradnl" w:eastAsia="es-CL"/>
        </w:rPr>
        <w:t>CARLOS ALBERTO VALENCIA CASTRO, ANGELO ANTONIO MUÑOZ ROQUE, ABRAHAM RUPERTO CARO PÉREZ </w:t>
      </w:r>
      <w:r w:rsidRPr="003F6280">
        <w:rPr>
          <w:rFonts w:eastAsia="Times New Roman" w:cs="Arial"/>
          <w:i/>
          <w:iCs/>
          <w:sz w:val="24"/>
          <w:szCs w:val="24"/>
          <w:lang w:val="es-ES_tradnl" w:eastAsia="es-CL"/>
        </w:rPr>
        <w:t>y a</w:t>
      </w:r>
      <w:r w:rsidRPr="003F6280">
        <w:rPr>
          <w:rFonts w:eastAsia="Times New Roman" w:cs="Arial"/>
          <w:b/>
          <w:bCs/>
          <w:i/>
          <w:iCs/>
          <w:sz w:val="24"/>
          <w:szCs w:val="24"/>
          <w:lang w:val="es-ES_tradnl" w:eastAsia="es-CL"/>
        </w:rPr>
        <w:t> MANUEL JESÚS CARVAJAL FABRES</w:t>
      </w:r>
      <w:r w:rsidRPr="003F6280">
        <w:rPr>
          <w:rFonts w:eastAsia="Times New Roman" w:cs="Arial"/>
          <w:i/>
          <w:iCs/>
          <w:sz w:val="24"/>
          <w:szCs w:val="24"/>
          <w:lang w:val="es-ES_tradnl" w:eastAsia="es-CL"/>
        </w:rPr>
        <w:t>, ya individualizados, a cumplir, cada uno, la pena</w:t>
      </w:r>
      <w:r w:rsidRPr="003F6280">
        <w:rPr>
          <w:rFonts w:eastAsia="Times New Roman" w:cs="Arial"/>
          <w:b/>
          <w:bCs/>
          <w:i/>
          <w:iCs/>
          <w:sz w:val="24"/>
          <w:szCs w:val="24"/>
          <w:lang w:val="es-ES_tradnl" w:eastAsia="es-CL"/>
        </w:rPr>
        <w:t> </w:t>
      </w:r>
      <w:r w:rsidRPr="003F6280">
        <w:rPr>
          <w:rFonts w:eastAsia="Times New Roman" w:cs="Arial"/>
          <w:i/>
          <w:iCs/>
          <w:sz w:val="24"/>
          <w:szCs w:val="24"/>
          <w:lang w:val="es-ES_tradnl" w:eastAsia="es-CL"/>
        </w:rPr>
        <w:t>de </w:t>
      </w:r>
      <w:r w:rsidRPr="003F6280">
        <w:rPr>
          <w:rFonts w:eastAsia="Times New Roman" w:cs="Arial"/>
          <w:b/>
          <w:bCs/>
          <w:i/>
          <w:iCs/>
          <w:sz w:val="24"/>
          <w:szCs w:val="24"/>
          <w:lang w:val="es-ES_tradnl" w:eastAsia="es-CL"/>
        </w:rPr>
        <w:t>CUATRO AÑOS </w:t>
      </w:r>
      <w:r w:rsidRPr="003F6280">
        <w:rPr>
          <w:rFonts w:eastAsia="Times New Roman" w:cs="Arial"/>
          <w:i/>
          <w:iCs/>
          <w:sz w:val="24"/>
          <w:szCs w:val="24"/>
          <w:lang w:val="es-ES_tradnl" w:eastAsia="es-CL"/>
        </w:rPr>
        <w:t>de presidio menor en su grado máximo, a las accesorias de inhabilitación absoluta perpetua para derechos políticos y la de inhabilitación absoluta para cargos y oficios públicos durante el tiempo de la condena, como autores del delito consumado de secuestro, previsto y sancionado en el artículo 141, inciso 1°, del Código Penal, cometido en la comuna de Alto Hospicio durante la mañana del 13 de septiembre de 2015, eximiéndolos del pago de las costas del procedimiento.</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b/>
          <w:bCs/>
          <w:i/>
          <w:iCs/>
          <w:sz w:val="24"/>
          <w:szCs w:val="24"/>
          <w:lang w:val="es-ES_tradnl" w:eastAsia="es-CL"/>
        </w:rPr>
        <w:t>III.-</w:t>
      </w:r>
      <w:r w:rsidRPr="003F6280">
        <w:rPr>
          <w:rFonts w:eastAsia="Times New Roman" w:cs="Arial"/>
          <w:i/>
          <w:iCs/>
          <w:sz w:val="24"/>
          <w:szCs w:val="24"/>
          <w:lang w:val="es-ES_tradnl" w:eastAsia="es-CL"/>
        </w:rPr>
        <w:t> Que,</w:t>
      </w:r>
      <w:r w:rsidRPr="003F6280">
        <w:rPr>
          <w:rFonts w:eastAsia="Times New Roman" w:cs="Arial"/>
          <w:b/>
          <w:bCs/>
          <w:i/>
          <w:iCs/>
          <w:sz w:val="24"/>
          <w:szCs w:val="24"/>
          <w:lang w:val="es-ES_tradnl" w:eastAsia="es-CL"/>
        </w:rPr>
        <w:t> </w:t>
      </w:r>
      <w:r w:rsidRPr="003F6280">
        <w:rPr>
          <w:rFonts w:eastAsia="Times New Roman" w:cs="Arial"/>
          <w:i/>
          <w:iCs/>
          <w:sz w:val="24"/>
          <w:szCs w:val="24"/>
          <w:lang w:val="es-ES_tradnl" w:eastAsia="es-CL"/>
        </w:rPr>
        <w:t>de acuerdo a lo razonado en el considerando décimo quinto</w:t>
      </w:r>
      <w:r w:rsidRPr="003F6280">
        <w:rPr>
          <w:rFonts w:eastAsia="Times New Roman" w:cs="Arial"/>
          <w:b/>
          <w:bCs/>
          <w:i/>
          <w:iCs/>
          <w:sz w:val="24"/>
          <w:szCs w:val="24"/>
          <w:lang w:val="es-ES_tradnl" w:eastAsia="es-CL"/>
        </w:rPr>
        <w:t> </w:t>
      </w:r>
      <w:r w:rsidRPr="003F6280">
        <w:rPr>
          <w:rFonts w:eastAsia="Times New Roman" w:cs="Arial"/>
          <w:i/>
          <w:iCs/>
          <w:sz w:val="24"/>
          <w:szCs w:val="24"/>
          <w:lang w:val="es-ES_tradnl" w:eastAsia="es-CL"/>
        </w:rPr>
        <w:t xml:space="preserve">del fallo, se sustituyen las penas privativas de libertad impuestas a Valencia Castro, Muñoz Roque, Caro </w:t>
      </w:r>
      <w:r w:rsidRPr="003F6280">
        <w:rPr>
          <w:rFonts w:eastAsia="Times New Roman" w:cs="Arial"/>
          <w:i/>
          <w:iCs/>
          <w:sz w:val="24"/>
          <w:szCs w:val="24"/>
          <w:lang w:val="es-ES_tradnl" w:eastAsia="es-CL"/>
        </w:rPr>
        <w:lastRenderedPageBreak/>
        <w:t xml:space="preserve">Pérez y Carvajal </w:t>
      </w:r>
      <w:proofErr w:type="spellStart"/>
      <w:r w:rsidRPr="003F6280">
        <w:rPr>
          <w:rFonts w:eastAsia="Times New Roman" w:cs="Arial"/>
          <w:i/>
          <w:iCs/>
          <w:sz w:val="24"/>
          <w:szCs w:val="24"/>
          <w:lang w:val="es-ES_tradnl" w:eastAsia="es-CL"/>
        </w:rPr>
        <w:t>Fabres</w:t>
      </w:r>
      <w:proofErr w:type="spellEnd"/>
      <w:r w:rsidRPr="003F6280">
        <w:rPr>
          <w:rFonts w:eastAsia="Times New Roman" w:cs="Arial"/>
          <w:i/>
          <w:iCs/>
          <w:sz w:val="24"/>
          <w:szCs w:val="24"/>
          <w:lang w:val="es-ES_tradnl" w:eastAsia="es-CL"/>
        </w:rPr>
        <w:t xml:space="preserve"> por la de libertad vigilada intensiva, debiendo quedar sometidos a la sujeción del cumplimiento de un programa de actividades orientados a su reinserción social en el ámbito personal, comunitario y laboral, a través de una intervención individualizada y bajo la aplicación de las condiciones especiales contempladas en el artículo 17 y letra d) del artículo 17 ter de la Ley N°18.216, por el lapso de cuatro años.</w:t>
      </w:r>
    </w:p>
    <w:p w:rsidR="003F6280" w:rsidRPr="003F6280" w:rsidRDefault="003F6280" w:rsidP="0080497D">
      <w:pPr>
        <w:shd w:val="clear" w:color="auto" w:fill="FFFFFF"/>
        <w:spacing w:after="0" w:line="240" w:lineRule="auto"/>
        <w:ind w:firstLine="705"/>
        <w:jc w:val="both"/>
        <w:rPr>
          <w:rFonts w:eastAsia="Times New Roman" w:cs="Arial"/>
          <w:sz w:val="24"/>
          <w:szCs w:val="24"/>
          <w:lang w:eastAsia="es-CL"/>
        </w:rPr>
      </w:pPr>
      <w:r w:rsidRPr="003F6280">
        <w:rPr>
          <w:rFonts w:eastAsia="Times New Roman" w:cs="Arial"/>
          <w:i/>
          <w:iCs/>
          <w:sz w:val="24"/>
          <w:szCs w:val="24"/>
          <w:lang w:val="es-ES_tradnl" w:eastAsia="es-CL"/>
        </w:rPr>
        <w:t xml:space="preserve">El delegado que hubiere sido designado para el control de estas penas, </w:t>
      </w:r>
      <w:proofErr w:type="gramStart"/>
      <w:r w:rsidRPr="003F6280">
        <w:rPr>
          <w:rFonts w:eastAsia="Times New Roman" w:cs="Arial"/>
          <w:i/>
          <w:iCs/>
          <w:sz w:val="24"/>
          <w:szCs w:val="24"/>
          <w:lang w:val="es-ES_tradnl" w:eastAsia="es-CL"/>
        </w:rPr>
        <w:t>deberán</w:t>
      </w:r>
      <w:proofErr w:type="gramEnd"/>
      <w:r w:rsidRPr="003F6280">
        <w:rPr>
          <w:rFonts w:eastAsia="Times New Roman" w:cs="Arial"/>
          <w:i/>
          <w:iCs/>
          <w:sz w:val="24"/>
          <w:szCs w:val="24"/>
          <w:lang w:val="es-ES_tradnl" w:eastAsia="es-CL"/>
        </w:rPr>
        <w:t xml:space="preserve"> proponer al tribunal, en un plazo máximo de cuarenta y cinco días de ejecutoriada esta sentencia, un plan de intervención individual respecto de cada uno de los sentenciados, los que deberán comprender la realización de actividades tendientes a la rehabilitación y reinserción social de aquéllos e indicar con claridad los objetivos perseguidos con las actividades programadas y los resultados esperados.</w:t>
      </w:r>
    </w:p>
    <w:p w:rsidR="003F6280" w:rsidRPr="003F6280" w:rsidRDefault="003F6280" w:rsidP="0080497D">
      <w:pPr>
        <w:shd w:val="clear" w:color="auto" w:fill="FFFFFF"/>
        <w:spacing w:after="0" w:line="240" w:lineRule="auto"/>
        <w:ind w:firstLine="705"/>
        <w:jc w:val="both"/>
        <w:rPr>
          <w:rFonts w:eastAsia="Times New Roman" w:cs="Arial"/>
          <w:sz w:val="24"/>
          <w:szCs w:val="24"/>
          <w:lang w:eastAsia="es-CL"/>
        </w:rPr>
      </w:pPr>
      <w:r w:rsidRPr="003F6280">
        <w:rPr>
          <w:rFonts w:eastAsia="Times New Roman" w:cs="Arial"/>
          <w:i/>
          <w:iCs/>
          <w:sz w:val="24"/>
          <w:szCs w:val="24"/>
          <w:lang w:val="es-ES_tradnl" w:eastAsia="es-CL"/>
        </w:rPr>
        <w:t>Para los efectos de la confección del mencionado plan, los condenados deberán presentarse dentro de los 5 días siguientes a que el fallo quede ejecutoriado, en el Centro de Reinserción Social de la comuna de Iquique, ubicado en calle Sotomayor N°768-A, a menos que propusieren un domicilio en un lugar diferente dentro del referido plazo, lo que deberá ser aprobado en la correspondiente etapa de ejecución.</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i/>
          <w:iCs/>
          <w:sz w:val="24"/>
          <w:szCs w:val="24"/>
          <w:lang w:val="es-ES_tradnl" w:eastAsia="es-CL"/>
        </w:rPr>
        <w:t>En el cumplimiento de las penas sustitutivas les servirá de abono el tiempo que los sentenciados han permanecido privados de libertad en razón de la presente causa</w:t>
      </w:r>
      <w:r w:rsidRPr="003F6280">
        <w:rPr>
          <w:rFonts w:eastAsia="Times New Roman" w:cs="Arial"/>
          <w:b/>
          <w:bCs/>
          <w:i/>
          <w:iCs/>
          <w:sz w:val="24"/>
          <w:szCs w:val="24"/>
          <w:lang w:val="es-ES_tradnl" w:eastAsia="es-CL"/>
        </w:rPr>
        <w:t>, </w:t>
      </w:r>
      <w:r w:rsidRPr="003F6280">
        <w:rPr>
          <w:rFonts w:eastAsia="Times New Roman" w:cs="Arial"/>
          <w:i/>
          <w:iCs/>
          <w:sz w:val="24"/>
          <w:szCs w:val="24"/>
          <w:lang w:val="es-ES_tradnl" w:eastAsia="es-CL"/>
        </w:rPr>
        <w:t>esto es, desde el 3 de octubre de 2015 hasta el 3 de abril de 2018, sin perjuicio del cálculo que con mayores antecedentes realice, en su oportunidad, el señor Juez de Garantía que ejecute la pena</w:t>
      </w:r>
      <w:r w:rsidRPr="003F6280">
        <w:rPr>
          <w:rFonts w:eastAsia="Times New Roman" w:cs="Arial"/>
          <w:b/>
          <w:bCs/>
          <w:i/>
          <w:iCs/>
          <w:sz w:val="24"/>
          <w:szCs w:val="24"/>
          <w:lang w:val="es-ES_tradnl" w:eastAsia="es-CL"/>
        </w:rPr>
        <w:t>.</w:t>
      </w:r>
    </w:p>
    <w:p w:rsidR="003F6280" w:rsidRPr="003F6280" w:rsidRDefault="003F6280" w:rsidP="0080497D">
      <w:pPr>
        <w:shd w:val="clear" w:color="auto" w:fill="FFFFFF"/>
        <w:spacing w:after="0" w:line="240" w:lineRule="auto"/>
        <w:ind w:firstLine="705"/>
        <w:jc w:val="both"/>
        <w:rPr>
          <w:rFonts w:eastAsia="Times New Roman" w:cs="Arial"/>
          <w:sz w:val="24"/>
          <w:szCs w:val="24"/>
          <w:lang w:eastAsia="es-CL"/>
        </w:rPr>
      </w:pPr>
      <w:r w:rsidRPr="003F6280">
        <w:rPr>
          <w:rFonts w:eastAsia="Times New Roman" w:cs="Arial"/>
          <w:i/>
          <w:iCs/>
          <w:sz w:val="24"/>
          <w:szCs w:val="24"/>
          <w:lang w:val="es-ES_tradnl" w:eastAsia="es-CL"/>
        </w:rPr>
        <w:t>En el caso de ser dejada sin efecto la pena sustitutiva impuesta, sea por incumplimiento o quebrantamiento, se estará a lo señalado en el artículo 26 de la ley N°18.216.</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i/>
          <w:iCs/>
          <w:sz w:val="24"/>
          <w:szCs w:val="24"/>
          <w:lang w:val="es-ES_tradnl" w:eastAsia="es-CL"/>
        </w:rPr>
        <w:t>Se deja constancia que los documentos incorporados al juicio por los intervinientes fueron devueltos al término de la audiencia de juicio.</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i/>
          <w:iCs/>
          <w:sz w:val="24"/>
          <w:szCs w:val="24"/>
          <w:lang w:val="es-ES_tradnl" w:eastAsia="es-CL"/>
        </w:rPr>
        <w:t>Ofíciese en su oportunidad a los organismos que correspondan para hacer cumplir lo resuelto, de acuerdo con lo dispuesto en el artículo 468 del Código Procesal Penal.</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i/>
          <w:iCs/>
          <w:sz w:val="24"/>
          <w:szCs w:val="24"/>
          <w:lang w:val="es-ES_tradnl" w:eastAsia="es-CL"/>
        </w:rPr>
        <w:t>Cúmplase por el Servicio de Registro Civil con lo dispuesto en el artículo 38 de la Ley 18.216; y por parte de Gendarmería de Chile, con el artículo 17 de la Ley 19.970.</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i/>
          <w:iCs/>
          <w:sz w:val="24"/>
          <w:szCs w:val="24"/>
          <w:lang w:val="es-ES_tradnl" w:eastAsia="es-CL"/>
        </w:rPr>
        <w:t>Regístrese, notifíquese, remítanse los antecedentes necesarios al Juzgado de Garantía correspondiente para los fines pertinentes y hecho, archívese.</w:t>
      </w:r>
    </w:p>
    <w:p w:rsidR="003F6280" w:rsidRPr="003F6280" w:rsidRDefault="003F6280" w:rsidP="0080497D">
      <w:pPr>
        <w:shd w:val="clear" w:color="auto" w:fill="FFFFFF"/>
        <w:spacing w:after="0" w:line="240" w:lineRule="auto"/>
        <w:ind w:firstLine="708"/>
        <w:jc w:val="both"/>
        <w:rPr>
          <w:rFonts w:eastAsia="Times New Roman" w:cs="Arial"/>
          <w:sz w:val="24"/>
          <w:szCs w:val="24"/>
          <w:lang w:eastAsia="es-CL"/>
        </w:rPr>
      </w:pPr>
      <w:r w:rsidRPr="003F6280">
        <w:rPr>
          <w:rFonts w:eastAsia="Times New Roman" w:cs="Arial"/>
          <w:i/>
          <w:iCs/>
          <w:sz w:val="24"/>
          <w:szCs w:val="24"/>
          <w:lang w:val="es-ES_tradnl" w:eastAsia="es-CL"/>
        </w:rPr>
        <w:t xml:space="preserve">Redactada por el juez don Moisés Pino </w:t>
      </w:r>
      <w:proofErr w:type="spellStart"/>
      <w:r w:rsidRPr="003F6280">
        <w:rPr>
          <w:rFonts w:eastAsia="Times New Roman" w:cs="Arial"/>
          <w:i/>
          <w:iCs/>
          <w:sz w:val="24"/>
          <w:szCs w:val="24"/>
          <w:lang w:val="es-ES_tradnl" w:eastAsia="es-CL"/>
        </w:rPr>
        <w:t>Pino</w:t>
      </w:r>
      <w:proofErr w:type="spellEnd"/>
      <w:r w:rsidRPr="003F6280">
        <w:rPr>
          <w:rFonts w:eastAsia="Times New Roman" w:cs="Arial"/>
          <w:i/>
          <w:iCs/>
          <w:sz w:val="24"/>
          <w:szCs w:val="24"/>
          <w:lang w:val="es-ES_tradnl" w:eastAsia="es-CL"/>
        </w:rPr>
        <w:t>."</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80497D">
        <w:rPr>
          <w:rFonts w:eastAsia="Times New Roman" w:cs="Arial"/>
          <w:sz w:val="24"/>
          <w:szCs w:val="24"/>
          <w:lang w:eastAsia="es-CL"/>
        </w:rPr>
        <w:t>Se adjunta sentencia de la Corte Suprema.</w:t>
      </w:r>
    </w:p>
    <w:p w:rsidR="003F6280" w:rsidRPr="003F6280" w:rsidRDefault="003F6280" w:rsidP="0080497D">
      <w:pPr>
        <w:shd w:val="clear" w:color="auto" w:fill="FFFFFF"/>
        <w:spacing w:after="0" w:line="240" w:lineRule="auto"/>
        <w:jc w:val="both"/>
        <w:rPr>
          <w:rFonts w:eastAsia="Times New Roman" w:cs="Arial"/>
          <w:sz w:val="24"/>
          <w:szCs w:val="24"/>
          <w:lang w:eastAsia="es-CL"/>
        </w:rPr>
      </w:pPr>
    </w:p>
    <w:p w:rsidR="0080497D" w:rsidRDefault="0080497D" w:rsidP="0080497D">
      <w:pPr>
        <w:shd w:val="clear" w:color="auto" w:fill="FFFFFF"/>
        <w:spacing w:after="0" w:line="240" w:lineRule="auto"/>
        <w:jc w:val="both"/>
        <w:rPr>
          <w:rFonts w:eastAsia="Times New Roman" w:cs="Arial"/>
          <w:b/>
          <w:bCs/>
          <w:sz w:val="24"/>
          <w:szCs w:val="24"/>
          <w:u w:val="single"/>
          <w:lang w:eastAsia="es-CL"/>
        </w:rPr>
      </w:pPr>
    </w:p>
    <w:p w:rsidR="0080497D" w:rsidRDefault="0080497D" w:rsidP="0080497D">
      <w:pPr>
        <w:shd w:val="clear" w:color="auto" w:fill="FFFFFF"/>
        <w:spacing w:after="0" w:line="240" w:lineRule="auto"/>
        <w:jc w:val="both"/>
        <w:rPr>
          <w:rFonts w:eastAsia="Times New Roman" w:cs="Arial"/>
          <w:b/>
          <w:bCs/>
          <w:sz w:val="24"/>
          <w:szCs w:val="24"/>
          <w:u w:val="single"/>
          <w:lang w:eastAsia="es-CL"/>
        </w:rPr>
      </w:pPr>
    </w:p>
    <w:p w:rsidR="0080497D" w:rsidRDefault="0080497D" w:rsidP="0080497D">
      <w:pPr>
        <w:shd w:val="clear" w:color="auto" w:fill="FFFFFF"/>
        <w:spacing w:after="0" w:line="240" w:lineRule="auto"/>
        <w:jc w:val="both"/>
        <w:rPr>
          <w:rFonts w:eastAsia="Times New Roman" w:cs="Arial"/>
          <w:b/>
          <w:bCs/>
          <w:sz w:val="24"/>
          <w:szCs w:val="24"/>
          <w:u w:val="single"/>
          <w:lang w:eastAsia="es-CL"/>
        </w:rPr>
      </w:pPr>
    </w:p>
    <w:p w:rsidR="0080497D" w:rsidRDefault="0080497D" w:rsidP="0080497D">
      <w:pPr>
        <w:shd w:val="clear" w:color="auto" w:fill="FFFFFF"/>
        <w:spacing w:after="0" w:line="240" w:lineRule="auto"/>
        <w:jc w:val="both"/>
        <w:rPr>
          <w:rFonts w:eastAsia="Times New Roman" w:cs="Arial"/>
          <w:b/>
          <w:bCs/>
          <w:sz w:val="24"/>
          <w:szCs w:val="24"/>
          <w:u w:val="single"/>
          <w:lang w:eastAsia="es-CL"/>
        </w:rPr>
      </w:pPr>
    </w:p>
    <w:p w:rsidR="0080497D" w:rsidRDefault="0080497D" w:rsidP="0080497D">
      <w:pPr>
        <w:shd w:val="clear" w:color="auto" w:fill="FFFFFF"/>
        <w:spacing w:after="0" w:line="240" w:lineRule="auto"/>
        <w:jc w:val="both"/>
        <w:rPr>
          <w:rFonts w:eastAsia="Times New Roman" w:cs="Arial"/>
          <w:b/>
          <w:bCs/>
          <w:sz w:val="24"/>
          <w:szCs w:val="24"/>
          <w:u w:val="single"/>
          <w:lang w:eastAsia="es-CL"/>
        </w:rPr>
      </w:pP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b/>
          <w:bCs/>
          <w:sz w:val="24"/>
          <w:szCs w:val="24"/>
          <w:u w:val="single"/>
          <w:lang w:eastAsia="es-CL"/>
        </w:rPr>
        <w:lastRenderedPageBreak/>
        <w:t>2) Caso José Huenante. </w:t>
      </w: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Se encuentra actualmente vigente con diversas diligencias de investigación en trámite. Con fecha 12 de junio de 2018, la Corte Suprema en Pleno ordena que toda la investigación sea tramitada por la justicia civil. </w:t>
      </w:r>
    </w:p>
    <w:p w:rsidR="003F6280" w:rsidRPr="003F6280" w:rsidRDefault="003F6280" w:rsidP="0080497D">
      <w:pPr>
        <w:shd w:val="clear" w:color="auto" w:fill="FFFFFF"/>
        <w:spacing w:after="0" w:line="240" w:lineRule="auto"/>
        <w:jc w:val="both"/>
        <w:rPr>
          <w:rFonts w:eastAsia="Times New Roman" w:cs="Arial"/>
          <w:sz w:val="24"/>
          <w:szCs w:val="24"/>
          <w:lang w:eastAsia="es-CL"/>
        </w:rPr>
      </w:pPr>
    </w:p>
    <w:p w:rsidR="003F6280" w:rsidRPr="0080497D"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b/>
          <w:bCs/>
          <w:sz w:val="24"/>
          <w:szCs w:val="24"/>
          <w:u w:val="single"/>
          <w:lang w:eastAsia="es-CL"/>
        </w:rPr>
        <w:t xml:space="preserve">3) Caso Ricardo </w:t>
      </w:r>
      <w:proofErr w:type="spellStart"/>
      <w:r w:rsidRPr="003F6280">
        <w:rPr>
          <w:rFonts w:eastAsia="Times New Roman" w:cs="Arial"/>
          <w:b/>
          <w:bCs/>
          <w:sz w:val="24"/>
          <w:szCs w:val="24"/>
          <w:u w:val="single"/>
          <w:lang w:eastAsia="es-CL"/>
        </w:rPr>
        <w:t>Harex</w:t>
      </w:r>
      <w:proofErr w:type="spellEnd"/>
      <w:r w:rsidRPr="003F6280">
        <w:rPr>
          <w:rFonts w:eastAsia="Times New Roman" w:cs="Arial"/>
          <w:b/>
          <w:bCs/>
          <w:sz w:val="24"/>
          <w:szCs w:val="24"/>
          <w:u w:val="single"/>
          <w:lang w:eastAsia="es-CL"/>
        </w:rPr>
        <w:t>.</w:t>
      </w:r>
      <w:r w:rsidRPr="003F6280">
        <w:rPr>
          <w:rFonts w:eastAsia="Times New Roman" w:cs="Arial"/>
          <w:sz w:val="24"/>
          <w:szCs w:val="24"/>
          <w:lang w:eastAsia="es-CL"/>
        </w:rPr>
        <w:t> </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80497D" w:rsidRDefault="003F6280" w:rsidP="0080497D">
      <w:pPr>
        <w:shd w:val="clear" w:color="auto" w:fill="FFFFFF"/>
        <w:spacing w:after="0" w:line="240" w:lineRule="auto"/>
        <w:jc w:val="both"/>
        <w:rPr>
          <w:rFonts w:eastAsia="Times New Roman" w:cs="Arial"/>
          <w:sz w:val="24"/>
          <w:szCs w:val="24"/>
          <w:lang w:eastAsia="es-CL"/>
        </w:rPr>
      </w:pPr>
      <w:r w:rsidRPr="0080497D">
        <w:rPr>
          <w:rFonts w:eastAsia="Times New Roman" w:cs="Arial"/>
          <w:sz w:val="24"/>
          <w:szCs w:val="24"/>
          <w:lang w:eastAsia="es-CL"/>
        </w:rPr>
        <w:t xml:space="preserve">Se trata de la quinta querella que se presenta en la Corte de Apelaciones de Punta Arenas por el emblemático caso de desaparición del estudiante de 17 años del Liceo San José, Ricardo </w:t>
      </w:r>
      <w:proofErr w:type="spellStart"/>
      <w:r w:rsidRPr="0080497D">
        <w:rPr>
          <w:rFonts w:eastAsia="Times New Roman" w:cs="Arial"/>
          <w:sz w:val="24"/>
          <w:szCs w:val="24"/>
          <w:lang w:eastAsia="es-CL"/>
        </w:rPr>
        <w:t>Harex</w:t>
      </w:r>
      <w:proofErr w:type="spellEnd"/>
      <w:r w:rsidRPr="0080497D">
        <w:rPr>
          <w:rFonts w:eastAsia="Times New Roman" w:cs="Arial"/>
          <w:sz w:val="24"/>
          <w:szCs w:val="24"/>
          <w:lang w:eastAsia="es-CL"/>
        </w:rPr>
        <w:t xml:space="preserve"> González, hecho ocurrido el 19 de octubre de 2001, en esa ciudad.</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80497D" w:rsidRDefault="003F6280" w:rsidP="0080497D">
      <w:pPr>
        <w:shd w:val="clear" w:color="auto" w:fill="FFFFFF"/>
        <w:spacing w:after="0" w:line="240" w:lineRule="auto"/>
        <w:jc w:val="both"/>
        <w:rPr>
          <w:rFonts w:eastAsia="Times New Roman" w:cs="Arial"/>
          <w:sz w:val="24"/>
          <w:szCs w:val="24"/>
          <w:lang w:eastAsia="es-CL"/>
        </w:rPr>
      </w:pPr>
      <w:r w:rsidRPr="0080497D">
        <w:rPr>
          <w:rFonts w:eastAsia="Times New Roman" w:cs="Arial"/>
          <w:sz w:val="24"/>
          <w:szCs w:val="24"/>
          <w:lang w:eastAsia="es-CL"/>
        </w:rPr>
        <w:t xml:space="preserve">La noche del 19 de octubre del 2001 Ricardo </w:t>
      </w:r>
      <w:proofErr w:type="spellStart"/>
      <w:r w:rsidRPr="0080497D">
        <w:rPr>
          <w:rFonts w:eastAsia="Times New Roman" w:cs="Arial"/>
          <w:sz w:val="24"/>
          <w:szCs w:val="24"/>
          <w:lang w:eastAsia="es-CL"/>
        </w:rPr>
        <w:t>Harex</w:t>
      </w:r>
      <w:proofErr w:type="spellEnd"/>
      <w:r w:rsidRPr="0080497D">
        <w:rPr>
          <w:rFonts w:eastAsia="Times New Roman" w:cs="Arial"/>
          <w:sz w:val="24"/>
          <w:szCs w:val="24"/>
          <w:lang w:eastAsia="es-CL"/>
        </w:rPr>
        <w:t xml:space="preserve"> González, desapareció luego de participar de una convivencia, saliendo en dirección desconocida, sin que hasta ahora se conozca su paradero. Es por esto que este es uno de los casos no resueltos más complejos en la austral región.</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80497D" w:rsidRDefault="003F6280" w:rsidP="0080497D">
      <w:pPr>
        <w:shd w:val="clear" w:color="auto" w:fill="FFFFFF"/>
        <w:spacing w:after="0" w:line="240" w:lineRule="auto"/>
        <w:jc w:val="both"/>
        <w:rPr>
          <w:rFonts w:eastAsia="Times New Roman" w:cs="Arial"/>
          <w:sz w:val="24"/>
          <w:szCs w:val="24"/>
          <w:lang w:eastAsia="es-CL"/>
        </w:rPr>
      </w:pPr>
      <w:r w:rsidRPr="0080497D">
        <w:rPr>
          <w:rFonts w:eastAsia="Times New Roman" w:cs="Arial"/>
          <w:sz w:val="24"/>
          <w:szCs w:val="24"/>
          <w:lang w:eastAsia="es-CL"/>
        </w:rPr>
        <w:t>La causa fue asignada en su origen al Segundo Juzgado de Letras del Punta Arenas, que decretó las primeras diligencias, a cargo de Carabineros,</w:t>
      </w:r>
      <w:r w:rsidRPr="0080497D">
        <w:rPr>
          <w:rFonts w:eastAsia="Times New Roman" w:cs="Arial"/>
          <w:sz w:val="24"/>
          <w:szCs w:val="24"/>
          <w:lang w:eastAsia="es-CL"/>
        </w:rPr>
        <w:t xml:space="preserve"> </w:t>
      </w:r>
      <w:r w:rsidRPr="0080497D">
        <w:rPr>
          <w:rFonts w:eastAsia="Times New Roman" w:cs="Arial"/>
          <w:sz w:val="24"/>
          <w:szCs w:val="24"/>
          <w:lang w:eastAsia="es-CL"/>
        </w:rPr>
        <w:t>fundamentalmente a través de la denominada Comisión Civil. Posteriormente, varios jueces siguen investigando el caso, caratulado como “presunta desgracia”.</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80497D" w:rsidRDefault="003F6280" w:rsidP="0080497D">
      <w:pPr>
        <w:shd w:val="clear" w:color="auto" w:fill="FFFFFF"/>
        <w:spacing w:after="0" w:line="240" w:lineRule="auto"/>
        <w:jc w:val="both"/>
        <w:rPr>
          <w:rFonts w:eastAsia="Times New Roman" w:cs="Arial"/>
          <w:sz w:val="24"/>
          <w:szCs w:val="24"/>
          <w:lang w:eastAsia="es-CL"/>
        </w:rPr>
      </w:pPr>
      <w:r w:rsidRPr="0080497D">
        <w:rPr>
          <w:rFonts w:eastAsia="Times New Roman" w:cs="Arial"/>
          <w:sz w:val="24"/>
          <w:szCs w:val="24"/>
          <w:lang w:eastAsia="es-CL"/>
        </w:rPr>
        <w:t>De las diversas líneas investigativas que han surgido llama poderosamente la atención la actuación preliminar y posterior de Carabineros, que no realizó una investigación exhaustiva y técnica sobre la desaparición de Ricardo, evidenciándose con el transcurso del tiempo una serie de errores, omisiones y contradicciones en sus diligencias, que a la fecha carecen de una explicación lógica</w:t>
      </w:r>
    </w:p>
    <w:p w:rsidR="003F6280" w:rsidRPr="0080497D" w:rsidRDefault="003F6280" w:rsidP="0080497D">
      <w:pPr>
        <w:shd w:val="clear" w:color="auto" w:fill="FFFFFF"/>
        <w:spacing w:after="0" w:line="240" w:lineRule="auto"/>
        <w:jc w:val="both"/>
        <w:rPr>
          <w:rFonts w:eastAsia="Times New Roman" w:cs="Arial"/>
          <w:sz w:val="24"/>
          <w:szCs w:val="24"/>
          <w:lang w:eastAsia="es-CL"/>
        </w:rPr>
      </w:pPr>
    </w:p>
    <w:p w:rsidR="003F6280" w:rsidRPr="0080497D" w:rsidRDefault="003F6280" w:rsidP="0080497D">
      <w:pPr>
        <w:shd w:val="clear" w:color="auto" w:fill="FFFFFF"/>
        <w:spacing w:after="0" w:line="240" w:lineRule="auto"/>
        <w:jc w:val="both"/>
        <w:rPr>
          <w:rFonts w:eastAsia="Times New Roman" w:cs="Arial"/>
          <w:sz w:val="24"/>
          <w:szCs w:val="24"/>
          <w:lang w:eastAsia="es-CL"/>
        </w:rPr>
      </w:pPr>
      <w:r w:rsidRPr="0080497D">
        <w:rPr>
          <w:rFonts w:eastAsia="Times New Roman" w:cs="Arial"/>
          <w:sz w:val="24"/>
          <w:szCs w:val="24"/>
          <w:lang w:eastAsia="es-CL"/>
        </w:rPr>
        <w:t>Después de 15 años de ocurrida la desaparición del estudiante, la Corte Suprema ordenó que la Corte de Apelaciones de Punta Arenas nombrara a Marta Jimena Pinto como ministra en visita, quien aún lleva el caso.</w:t>
      </w:r>
    </w:p>
    <w:p w:rsidR="0080497D" w:rsidRPr="003F6280" w:rsidRDefault="0080497D" w:rsidP="0080497D">
      <w:pPr>
        <w:shd w:val="clear" w:color="auto" w:fill="FFFFFF"/>
        <w:spacing w:after="0" w:line="240" w:lineRule="auto"/>
        <w:jc w:val="both"/>
        <w:rPr>
          <w:rFonts w:eastAsia="Times New Roman" w:cs="Arial"/>
          <w:sz w:val="24"/>
          <w:szCs w:val="24"/>
          <w:lang w:eastAsia="es-CL"/>
        </w:rPr>
      </w:pP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 Con fecha y 13 de junio de 2</w:t>
      </w:r>
      <w:r w:rsidRPr="0080497D">
        <w:rPr>
          <w:rFonts w:eastAsia="Times New Roman" w:cs="Arial"/>
          <w:sz w:val="24"/>
          <w:szCs w:val="24"/>
          <w:lang w:eastAsia="es-CL"/>
        </w:rPr>
        <w:t>0</w:t>
      </w:r>
      <w:r w:rsidRPr="003F6280">
        <w:rPr>
          <w:rFonts w:eastAsia="Times New Roman" w:cs="Arial"/>
          <w:sz w:val="24"/>
          <w:szCs w:val="24"/>
          <w:lang w:eastAsia="es-CL"/>
        </w:rPr>
        <w:t>18, el INDH como querellante solicita la realización de las siguientes diligencias dentro del sumario: </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1.      Se tome nuevamente declaración a testigo don MARIO ROJAS RIVERA, administrador del Tiger </w:t>
      </w:r>
      <w:proofErr w:type="spellStart"/>
      <w:r w:rsidRPr="003F6280">
        <w:rPr>
          <w:rFonts w:eastAsia="Times New Roman" w:cs="Arial"/>
          <w:sz w:val="24"/>
          <w:szCs w:val="24"/>
          <w:lang w:eastAsia="es-CL"/>
        </w:rPr>
        <w:t>Market</w:t>
      </w:r>
      <w:proofErr w:type="spellEnd"/>
      <w:r w:rsidRPr="003F6280">
        <w:rPr>
          <w:rFonts w:eastAsia="Times New Roman" w:cs="Arial"/>
          <w:sz w:val="24"/>
          <w:szCs w:val="24"/>
          <w:lang w:eastAsia="es-CL"/>
        </w:rPr>
        <w:t xml:space="preserve"> ubicado en calle Croacia con Diagonal Don Bosco, con la finalidad de que indique mayores antecedentes de los jóvenes que acompañaron al Padre </w:t>
      </w:r>
      <w:proofErr w:type="spellStart"/>
      <w:r w:rsidRPr="003F6280">
        <w:rPr>
          <w:rFonts w:eastAsia="Times New Roman" w:cs="Arial"/>
          <w:sz w:val="24"/>
          <w:szCs w:val="24"/>
          <w:lang w:eastAsia="es-CL"/>
        </w:rPr>
        <w:t>Rimsky</w:t>
      </w:r>
      <w:proofErr w:type="spellEnd"/>
      <w:r w:rsidRPr="003F6280">
        <w:rPr>
          <w:rFonts w:eastAsia="Times New Roman" w:cs="Arial"/>
          <w:sz w:val="24"/>
          <w:szCs w:val="24"/>
          <w:lang w:eastAsia="es-CL"/>
        </w:rPr>
        <w:t xml:space="preserve"> a revisar las cámaras del local y todo otro antecedente relevante para la investigación. Asimismo, que indique el nombre del dueño del local en la fecha en que ocurrieron los hechos.</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2.      Se tome declaración al dueño del local, una vez identificado, a fin de que explique todo cuanto haya sabido del caso en tal calidad, en especial, porqué fue </w:t>
      </w:r>
      <w:r w:rsidRPr="003F6280">
        <w:rPr>
          <w:rFonts w:eastAsia="Times New Roman" w:cs="Arial"/>
          <w:sz w:val="24"/>
          <w:szCs w:val="24"/>
          <w:lang w:eastAsia="es-CL"/>
        </w:rPr>
        <w:lastRenderedPageBreak/>
        <w:t>despedido el trabajador Richard Maldonado Navarro. Asimismo, que explique cómo funcionaban las cámaras de seguridad de su local.</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3.      Se tomen declaraciones a JUAN FRANCISCO ORREGO MONTIEL, JUAN SEBASTIÁN MORANO BUCHNER, NICOLÁS ALEJANDRO BARRÍA NAIPIL, MANUEL JAVIER BARRIENTOS GONZÁLEZ, CRISTIAN MARCELO DÍAZ MUÑOZ, RAFAEL VIDAL CANCINO, RENÉ NOLBERTO VIDAL CANCINO, JAIME ARTEAGA VERA, con la finalidad de recabar nombres de otros eventuales asistentes a la fiesta, verificar si alguno de ellos acompañó al Padre </w:t>
      </w:r>
      <w:proofErr w:type="spellStart"/>
      <w:r w:rsidRPr="003F6280">
        <w:rPr>
          <w:rFonts w:eastAsia="Times New Roman" w:cs="Arial"/>
          <w:sz w:val="24"/>
          <w:szCs w:val="24"/>
          <w:lang w:eastAsia="es-CL"/>
        </w:rPr>
        <w:t>Rimsky</w:t>
      </w:r>
      <w:proofErr w:type="spellEnd"/>
      <w:r w:rsidRPr="003F6280">
        <w:rPr>
          <w:rFonts w:eastAsia="Times New Roman" w:cs="Arial"/>
          <w:sz w:val="24"/>
          <w:szCs w:val="24"/>
          <w:lang w:eastAsia="es-CL"/>
        </w:rPr>
        <w:t xml:space="preserve"> al Tiger </w:t>
      </w:r>
      <w:proofErr w:type="spellStart"/>
      <w:r w:rsidRPr="003F6280">
        <w:rPr>
          <w:rFonts w:eastAsia="Times New Roman" w:cs="Arial"/>
          <w:sz w:val="24"/>
          <w:szCs w:val="24"/>
          <w:lang w:eastAsia="es-CL"/>
        </w:rPr>
        <w:t>Market</w:t>
      </w:r>
      <w:proofErr w:type="spellEnd"/>
      <w:r w:rsidRPr="003F6280">
        <w:rPr>
          <w:rFonts w:eastAsia="Times New Roman" w:cs="Arial"/>
          <w:sz w:val="24"/>
          <w:szCs w:val="24"/>
          <w:lang w:eastAsia="es-CL"/>
        </w:rPr>
        <w:t xml:space="preserve"> a conversar con don Mario Rojas y qué escucharon al respecto, si estuvieron presentes en la revisión de las cámaras de seguridad y todo otro antecedente relevante para esta investigación.</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4.      Se tome declaración al ex carabinero don HÉCTOR ELIAZAR PEÑA MONSALVEZ, a fin de que explique con mayor detalle su función como coordinador del primer grupo investigador de carabineros a raíz de la desaparición de Ricardo </w:t>
      </w:r>
      <w:proofErr w:type="spellStart"/>
      <w:r w:rsidRPr="003F6280">
        <w:rPr>
          <w:rFonts w:eastAsia="Times New Roman" w:cs="Arial"/>
          <w:sz w:val="24"/>
          <w:szCs w:val="24"/>
          <w:lang w:eastAsia="es-CL"/>
        </w:rPr>
        <w:t>Harex</w:t>
      </w:r>
      <w:proofErr w:type="spellEnd"/>
      <w:r w:rsidRPr="003F6280">
        <w:rPr>
          <w:rFonts w:eastAsia="Times New Roman" w:cs="Arial"/>
          <w:sz w:val="24"/>
          <w:szCs w:val="24"/>
          <w:lang w:eastAsia="es-CL"/>
        </w:rPr>
        <w:t xml:space="preserve">, </w:t>
      </w:r>
      <w:proofErr w:type="spellStart"/>
      <w:r w:rsidRPr="003F6280">
        <w:rPr>
          <w:rFonts w:eastAsia="Times New Roman" w:cs="Arial"/>
          <w:sz w:val="24"/>
          <w:szCs w:val="24"/>
          <w:lang w:eastAsia="es-CL"/>
        </w:rPr>
        <w:t>cual</w:t>
      </w:r>
      <w:proofErr w:type="spellEnd"/>
      <w:r w:rsidRPr="003F6280">
        <w:rPr>
          <w:rFonts w:eastAsia="Times New Roman" w:cs="Arial"/>
          <w:sz w:val="24"/>
          <w:szCs w:val="24"/>
          <w:lang w:eastAsia="es-CL"/>
        </w:rPr>
        <w:t xml:space="preserve"> era la vinculación entre el Padre </w:t>
      </w:r>
      <w:proofErr w:type="spellStart"/>
      <w:r w:rsidRPr="003F6280">
        <w:rPr>
          <w:rFonts w:eastAsia="Times New Roman" w:cs="Arial"/>
          <w:sz w:val="24"/>
          <w:szCs w:val="24"/>
          <w:lang w:eastAsia="es-CL"/>
        </w:rPr>
        <w:t>Rimsky</w:t>
      </w:r>
      <w:proofErr w:type="spellEnd"/>
      <w:r w:rsidRPr="003F6280">
        <w:rPr>
          <w:rFonts w:eastAsia="Times New Roman" w:cs="Arial"/>
          <w:sz w:val="24"/>
          <w:szCs w:val="24"/>
          <w:lang w:eastAsia="es-CL"/>
        </w:rPr>
        <w:t xml:space="preserve"> y los altos mandos de carabineros y todo otro antecedente relevante para esta investigación.</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5.      Se tome declaración al ex carabinero don REINALDO HIDALGO ALARCÓN, con la finalidad de que explique con mayor detalle cuál fue su función como oficial investigador del caso, y todo otro antecedente relevante para esta investigación.</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6.      Se confeccione por la PDI un organigrama que dé cuenta de la organización de Carabineros y de la Iglesia Católica a la fecha de la desaparición de Ricardo </w:t>
      </w:r>
      <w:proofErr w:type="spellStart"/>
      <w:r w:rsidRPr="003F6280">
        <w:rPr>
          <w:rFonts w:eastAsia="Times New Roman" w:cs="Arial"/>
          <w:sz w:val="24"/>
          <w:szCs w:val="24"/>
          <w:lang w:eastAsia="es-CL"/>
        </w:rPr>
        <w:t>Harex</w:t>
      </w:r>
      <w:proofErr w:type="spellEnd"/>
      <w:r w:rsidRPr="003F6280">
        <w:rPr>
          <w:rFonts w:eastAsia="Times New Roman" w:cs="Arial"/>
          <w:sz w:val="24"/>
          <w:szCs w:val="24"/>
          <w:lang w:eastAsia="es-CL"/>
        </w:rPr>
        <w:t>, con la finalidad de contar con material que permita conocer claramente dicha organización y posibles nexos entre ellas.</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7.      Se determine por la PDI los nombres de todas las personas que, a la fecha de la desaparición de Ricardo </w:t>
      </w:r>
      <w:proofErr w:type="spellStart"/>
      <w:r w:rsidRPr="003F6280">
        <w:rPr>
          <w:rFonts w:eastAsia="Times New Roman" w:cs="Arial"/>
          <w:sz w:val="24"/>
          <w:szCs w:val="24"/>
          <w:lang w:eastAsia="es-CL"/>
        </w:rPr>
        <w:t>Harex</w:t>
      </w:r>
      <w:proofErr w:type="spellEnd"/>
      <w:r w:rsidRPr="003F6280">
        <w:rPr>
          <w:rFonts w:eastAsia="Times New Roman" w:cs="Arial"/>
          <w:sz w:val="24"/>
          <w:szCs w:val="24"/>
          <w:lang w:eastAsia="es-CL"/>
        </w:rPr>
        <w:t xml:space="preserve"> prestaban servicios en el Quinto Juzgado Militar de Punta Arenas, y se le tomen declaraciones en relación a su conocimiento sobre el expediente de “indagaciones previas” que se habría seguido ante ese juzgado en relación al padre de Ricardo </w:t>
      </w:r>
      <w:proofErr w:type="spellStart"/>
      <w:r w:rsidRPr="003F6280">
        <w:rPr>
          <w:rFonts w:eastAsia="Times New Roman" w:cs="Arial"/>
          <w:sz w:val="24"/>
          <w:szCs w:val="24"/>
          <w:lang w:eastAsia="es-CL"/>
        </w:rPr>
        <w:t>Harex</w:t>
      </w:r>
      <w:proofErr w:type="spellEnd"/>
      <w:r w:rsidRPr="003F6280">
        <w:rPr>
          <w:rFonts w:eastAsia="Times New Roman" w:cs="Arial"/>
          <w:sz w:val="24"/>
          <w:szCs w:val="24"/>
          <w:lang w:eastAsia="es-CL"/>
        </w:rPr>
        <w:t>, y todo otro antecedente relevante para esta investigación.</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8.      Se oficie al Quinto Juzgado Militar de Punta Arenas solicitando copia del expediente de “indagaciones previas” que existiría en dicha institución y que estaría archivado en el Regimiento </w:t>
      </w:r>
      <w:proofErr w:type="spellStart"/>
      <w:r w:rsidRPr="003F6280">
        <w:rPr>
          <w:rFonts w:eastAsia="Times New Roman" w:cs="Arial"/>
          <w:sz w:val="24"/>
          <w:szCs w:val="24"/>
          <w:lang w:eastAsia="es-CL"/>
        </w:rPr>
        <w:t>Pudeto</w:t>
      </w:r>
      <w:proofErr w:type="spellEnd"/>
      <w:r w:rsidRPr="003F6280">
        <w:rPr>
          <w:rFonts w:eastAsia="Times New Roman" w:cs="Arial"/>
          <w:sz w:val="24"/>
          <w:szCs w:val="24"/>
          <w:lang w:eastAsia="es-CL"/>
        </w:rPr>
        <w:t>, de esta ciudad.</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eastAsia="es-CL"/>
        </w:rPr>
        <w:t xml:space="preserve">9.      Se ubique y tome declaración a todas las personas mencionadas en el Oficio N°0032298, de Ejército de Chile, CNI, Brigada </w:t>
      </w:r>
      <w:proofErr w:type="spellStart"/>
      <w:r w:rsidRPr="003F6280">
        <w:rPr>
          <w:rFonts w:eastAsia="Times New Roman" w:cs="Arial"/>
          <w:sz w:val="24"/>
          <w:szCs w:val="24"/>
          <w:lang w:eastAsia="es-CL"/>
        </w:rPr>
        <w:t>Slavic</w:t>
      </w:r>
      <w:proofErr w:type="spellEnd"/>
      <w:r w:rsidRPr="003F6280">
        <w:rPr>
          <w:rFonts w:eastAsia="Times New Roman" w:cs="Arial"/>
          <w:sz w:val="24"/>
          <w:szCs w:val="24"/>
          <w:lang w:eastAsia="es-CL"/>
        </w:rPr>
        <w:t>, acompañado en fotocopia por querellante particular; con la finalidad de que aporten todo antecedente relevante para el esclarecimiento de esta investigación.</w:t>
      </w: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 </w:t>
      </w: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Se solicita, asimismo, que todas aquellas diligencias que S.S.I estime pertinentes para el esclarecimiento de los hechos y en especial aquellas que deban realizarse fuera de la ciudad, sean efectuadas por la BRIGADA INVESTIGADORA DE DERECHOS HUMANOS de la PDI.</w:t>
      </w: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t>El tribunal dio lugar a todas las diligencias solicitadas.</w:t>
      </w:r>
    </w:p>
    <w:p w:rsidR="003F6280" w:rsidRPr="003F6280" w:rsidRDefault="003F6280" w:rsidP="0080497D">
      <w:pPr>
        <w:shd w:val="clear" w:color="auto" w:fill="FFFFFF"/>
        <w:spacing w:after="0" w:line="240" w:lineRule="auto"/>
        <w:jc w:val="both"/>
        <w:rPr>
          <w:rFonts w:eastAsia="Times New Roman" w:cs="Arial"/>
          <w:sz w:val="24"/>
          <w:szCs w:val="24"/>
          <w:lang w:eastAsia="es-CL"/>
        </w:rPr>
      </w:pPr>
    </w:p>
    <w:p w:rsidR="003F6280" w:rsidRPr="003F6280" w:rsidRDefault="003F6280" w:rsidP="0080497D">
      <w:pPr>
        <w:shd w:val="clear" w:color="auto" w:fill="FFFFFF"/>
        <w:spacing w:after="0" w:line="240" w:lineRule="auto"/>
        <w:jc w:val="both"/>
        <w:rPr>
          <w:rFonts w:eastAsia="Times New Roman" w:cs="Arial"/>
          <w:sz w:val="24"/>
          <w:szCs w:val="24"/>
          <w:lang w:eastAsia="es-CL"/>
        </w:rPr>
      </w:pPr>
      <w:r w:rsidRPr="003F6280">
        <w:rPr>
          <w:rFonts w:eastAsia="Times New Roman" w:cs="Arial"/>
          <w:sz w:val="24"/>
          <w:szCs w:val="24"/>
          <w:lang w:eastAsia="es-CL"/>
        </w:rPr>
        <w:lastRenderedPageBreak/>
        <w:t>- Con fecha de 6 de noviembre de 2018, el querellante INDH solicita las siguientes diligencias en el sumario:</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val="es-EC" w:eastAsia="es-CL"/>
        </w:rPr>
        <w:t>1.      </w:t>
      </w:r>
      <w:r w:rsidRPr="003F6280">
        <w:rPr>
          <w:rFonts w:eastAsia="Times New Roman" w:cs="Arial"/>
          <w:sz w:val="24"/>
          <w:szCs w:val="24"/>
          <w:lang w:eastAsia="es-CL"/>
        </w:rPr>
        <w:t>Se tome nueva declaración, en calidad de testigo, a don RICHARD MALDONADO NAVARRO, quien, habiendo prestado declaración ante Comisión Especial Investigativa de la Cámara de Diputados, presidida por don Karim Bianchi, habría entregado nuevos antecedentes que pudiesen resultar relevantes para el esclarecimiento de esta investigación.</w:t>
      </w:r>
    </w:p>
    <w:p w:rsidR="003F6280" w:rsidRPr="003F6280" w:rsidRDefault="003F6280" w:rsidP="0080497D">
      <w:pPr>
        <w:shd w:val="clear" w:color="auto" w:fill="FFFFFF"/>
        <w:spacing w:after="0" w:line="240" w:lineRule="auto"/>
        <w:ind w:left="720"/>
        <w:jc w:val="both"/>
        <w:rPr>
          <w:rFonts w:eastAsia="Times New Roman" w:cs="Arial"/>
          <w:sz w:val="24"/>
          <w:szCs w:val="24"/>
          <w:lang w:eastAsia="es-CL"/>
        </w:rPr>
      </w:pPr>
      <w:r w:rsidRPr="003F6280">
        <w:rPr>
          <w:rFonts w:eastAsia="Times New Roman" w:cs="Arial"/>
          <w:sz w:val="24"/>
          <w:szCs w:val="24"/>
          <w:lang w:val="es-EC" w:eastAsia="es-CL"/>
        </w:rPr>
        <w:t xml:space="preserve">2.      Se tome declaración, en calidad de testigo, al </w:t>
      </w:r>
      <w:proofErr w:type="gramStart"/>
      <w:r w:rsidRPr="003F6280">
        <w:rPr>
          <w:rFonts w:eastAsia="Times New Roman" w:cs="Arial"/>
          <w:sz w:val="24"/>
          <w:szCs w:val="24"/>
          <w:lang w:val="es-EC" w:eastAsia="es-CL"/>
        </w:rPr>
        <w:t>Arzobispo</w:t>
      </w:r>
      <w:proofErr w:type="gramEnd"/>
      <w:r w:rsidRPr="003F6280">
        <w:rPr>
          <w:rFonts w:eastAsia="Times New Roman" w:cs="Arial"/>
          <w:sz w:val="24"/>
          <w:szCs w:val="24"/>
          <w:lang w:val="es-EC" w:eastAsia="es-CL"/>
        </w:rPr>
        <w:t xml:space="preserve"> de Santiago Cardenal RICARDO EZZATI ANDRELLO, quien en su calidad de alta autoridad de la iglesia católica y miembro de la Congregación Salesiana, entregue cualquier antecedente que sea de su conocimiento o tenga en su poder, en relación a los miembros de su congregación, en especial respecto del padre </w:t>
      </w:r>
      <w:proofErr w:type="spellStart"/>
      <w:r w:rsidRPr="003F6280">
        <w:rPr>
          <w:rFonts w:eastAsia="Times New Roman" w:cs="Arial"/>
          <w:sz w:val="24"/>
          <w:szCs w:val="24"/>
          <w:lang w:val="es-EC" w:eastAsia="es-CL"/>
        </w:rPr>
        <w:t>Rimsky</w:t>
      </w:r>
      <w:proofErr w:type="spellEnd"/>
      <w:r w:rsidRPr="003F6280">
        <w:rPr>
          <w:rFonts w:eastAsia="Times New Roman" w:cs="Arial"/>
          <w:sz w:val="24"/>
          <w:szCs w:val="24"/>
          <w:lang w:val="es-EC" w:eastAsia="es-CL"/>
        </w:rPr>
        <w:t xml:space="preserve"> Rojas y su vinculación con el joven Ricardo </w:t>
      </w:r>
      <w:proofErr w:type="spellStart"/>
      <w:r w:rsidRPr="003F6280">
        <w:rPr>
          <w:rFonts w:eastAsia="Times New Roman" w:cs="Arial"/>
          <w:sz w:val="24"/>
          <w:szCs w:val="24"/>
          <w:lang w:val="es-EC" w:eastAsia="es-CL"/>
        </w:rPr>
        <w:t>Harex</w:t>
      </w:r>
      <w:proofErr w:type="spellEnd"/>
      <w:r w:rsidRPr="003F6280">
        <w:rPr>
          <w:rFonts w:eastAsia="Times New Roman" w:cs="Arial"/>
          <w:sz w:val="24"/>
          <w:szCs w:val="24"/>
          <w:lang w:val="es-EC" w:eastAsia="es-CL"/>
        </w:rPr>
        <w:t>.</w:t>
      </w:r>
    </w:p>
    <w:p w:rsidR="003F6280" w:rsidRPr="0080497D" w:rsidRDefault="003F6280" w:rsidP="0080497D">
      <w:pPr>
        <w:spacing w:after="0" w:line="240" w:lineRule="auto"/>
        <w:jc w:val="both"/>
        <w:rPr>
          <w:rFonts w:eastAsia="Times New Roman" w:cs="Arial"/>
          <w:sz w:val="24"/>
          <w:szCs w:val="24"/>
          <w:shd w:val="clear" w:color="auto" w:fill="FFFFFF"/>
          <w:lang w:eastAsia="es-CL"/>
        </w:rPr>
      </w:pPr>
    </w:p>
    <w:p w:rsidR="003F6280" w:rsidRPr="003F6280" w:rsidRDefault="003F6280" w:rsidP="0080497D">
      <w:pPr>
        <w:spacing w:after="0" w:line="240" w:lineRule="auto"/>
        <w:jc w:val="both"/>
        <w:rPr>
          <w:rFonts w:eastAsia="Times New Roman" w:cs="Arial"/>
          <w:sz w:val="24"/>
          <w:szCs w:val="24"/>
          <w:shd w:val="clear" w:color="auto" w:fill="FFFFFF"/>
          <w:lang w:eastAsia="es-CL"/>
        </w:rPr>
      </w:pPr>
      <w:r w:rsidRPr="003F6280">
        <w:rPr>
          <w:rFonts w:eastAsia="Times New Roman" w:cs="Arial"/>
          <w:sz w:val="24"/>
          <w:szCs w:val="24"/>
          <w:shd w:val="clear" w:color="auto" w:fill="FFFFFF"/>
          <w:lang w:eastAsia="es-CL"/>
        </w:rPr>
        <w:t>El pronunciamiento sobre estas diligencias se encuentra pendiente. </w:t>
      </w:r>
    </w:p>
    <w:p w:rsidR="003F6280" w:rsidRPr="003F6280" w:rsidRDefault="003F6280" w:rsidP="0080497D">
      <w:pPr>
        <w:spacing w:after="0" w:line="240" w:lineRule="auto"/>
        <w:jc w:val="both"/>
        <w:rPr>
          <w:rFonts w:eastAsia="Times New Roman" w:cs="Arial"/>
          <w:sz w:val="24"/>
          <w:szCs w:val="24"/>
          <w:shd w:val="clear" w:color="auto" w:fill="FFFFFF"/>
          <w:lang w:eastAsia="es-CL"/>
        </w:rPr>
      </w:pPr>
    </w:p>
    <w:p w:rsidR="003F6280" w:rsidRPr="003F6280" w:rsidRDefault="003F6280" w:rsidP="0080497D">
      <w:pPr>
        <w:spacing w:after="0" w:line="240" w:lineRule="auto"/>
        <w:jc w:val="both"/>
        <w:rPr>
          <w:rFonts w:eastAsia="Times New Roman" w:cs="Arial"/>
          <w:sz w:val="24"/>
          <w:szCs w:val="24"/>
          <w:shd w:val="clear" w:color="auto" w:fill="FFFFFF"/>
          <w:lang w:eastAsia="es-CL"/>
        </w:rPr>
      </w:pPr>
      <w:r w:rsidRPr="003F6280">
        <w:rPr>
          <w:rFonts w:eastAsia="Times New Roman" w:cs="Arial"/>
          <w:sz w:val="24"/>
          <w:szCs w:val="24"/>
          <w:shd w:val="clear" w:color="auto" w:fill="FFFFFF"/>
          <w:lang w:eastAsia="es-CL"/>
        </w:rPr>
        <w:t xml:space="preserve">Se </w:t>
      </w:r>
      <w:r w:rsidR="0080497D" w:rsidRPr="0080497D">
        <w:rPr>
          <w:rFonts w:eastAsia="Times New Roman" w:cs="Arial"/>
          <w:sz w:val="24"/>
          <w:szCs w:val="24"/>
          <w:shd w:val="clear" w:color="auto" w:fill="FFFFFF"/>
          <w:lang w:eastAsia="es-CL"/>
        </w:rPr>
        <w:t xml:space="preserve">adjuntan los </w:t>
      </w:r>
      <w:r w:rsidRPr="003F6280">
        <w:rPr>
          <w:rFonts w:eastAsia="Times New Roman" w:cs="Arial"/>
          <w:sz w:val="24"/>
          <w:szCs w:val="24"/>
          <w:shd w:val="clear" w:color="auto" w:fill="FFFFFF"/>
          <w:lang w:eastAsia="es-CL"/>
        </w:rPr>
        <w:t>escritos de</w:t>
      </w:r>
      <w:r w:rsidR="0080497D" w:rsidRPr="0080497D">
        <w:rPr>
          <w:rFonts w:eastAsia="Times New Roman" w:cs="Arial"/>
          <w:sz w:val="24"/>
          <w:szCs w:val="24"/>
          <w:shd w:val="clear" w:color="auto" w:fill="FFFFFF"/>
          <w:lang w:eastAsia="es-CL"/>
        </w:rPr>
        <w:t xml:space="preserve"> las</w:t>
      </w:r>
      <w:r w:rsidRPr="003F6280">
        <w:rPr>
          <w:rFonts w:eastAsia="Times New Roman" w:cs="Arial"/>
          <w:sz w:val="24"/>
          <w:szCs w:val="24"/>
          <w:shd w:val="clear" w:color="auto" w:fill="FFFFFF"/>
          <w:lang w:eastAsia="es-CL"/>
        </w:rPr>
        <w:t xml:space="preserve"> diligencias. </w:t>
      </w:r>
    </w:p>
    <w:p w:rsidR="003F6280" w:rsidRPr="003F6280" w:rsidRDefault="003F6280" w:rsidP="0080497D">
      <w:pPr>
        <w:spacing w:after="0" w:line="240" w:lineRule="auto"/>
        <w:jc w:val="both"/>
        <w:rPr>
          <w:rFonts w:eastAsia="Times New Roman" w:cs="Arial"/>
          <w:sz w:val="24"/>
          <w:szCs w:val="24"/>
          <w:shd w:val="clear" w:color="auto" w:fill="FFFFFF"/>
          <w:lang w:eastAsia="es-CL"/>
        </w:rPr>
      </w:pPr>
    </w:p>
    <w:p w:rsidR="003F6280" w:rsidRPr="0080497D" w:rsidRDefault="003F6280" w:rsidP="0080497D">
      <w:pPr>
        <w:spacing w:line="240" w:lineRule="auto"/>
        <w:jc w:val="both"/>
        <w:rPr>
          <w:sz w:val="24"/>
          <w:szCs w:val="24"/>
        </w:rPr>
      </w:pPr>
    </w:p>
    <w:sectPr w:rsidR="003F6280" w:rsidRPr="0080497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4DA" w:rsidRDefault="00F444DA" w:rsidP="0080497D">
      <w:pPr>
        <w:spacing w:after="0" w:line="240" w:lineRule="auto"/>
      </w:pPr>
      <w:r>
        <w:separator/>
      </w:r>
    </w:p>
  </w:endnote>
  <w:endnote w:type="continuationSeparator" w:id="0">
    <w:p w:rsidR="00F444DA" w:rsidRDefault="00F444DA" w:rsidP="00804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97D" w:rsidRDefault="0080497D">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rsidR="0080497D" w:rsidRDefault="008049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4DA" w:rsidRDefault="00F444DA" w:rsidP="0080497D">
      <w:pPr>
        <w:spacing w:after="0" w:line="240" w:lineRule="auto"/>
      </w:pPr>
      <w:r>
        <w:separator/>
      </w:r>
    </w:p>
  </w:footnote>
  <w:footnote w:type="continuationSeparator" w:id="0">
    <w:p w:rsidR="00F444DA" w:rsidRDefault="00F444DA" w:rsidP="0080497D">
      <w:pPr>
        <w:spacing w:after="0" w:line="240" w:lineRule="auto"/>
      </w:pPr>
      <w:r>
        <w:continuationSeparator/>
      </w:r>
    </w:p>
  </w:footnote>
  <w:footnote w:id="1">
    <w:p w:rsidR="0080497D" w:rsidRDefault="0080497D" w:rsidP="0080497D">
      <w:pPr>
        <w:pStyle w:val="Textonotapie"/>
      </w:pPr>
      <w:r>
        <w:rPr>
          <w:rStyle w:val="Refdenotaalpie"/>
        </w:rPr>
        <w:footnoteRef/>
      </w:r>
      <w:r>
        <w:t xml:space="preserve"> Aprobado en la sesión </w:t>
      </w:r>
      <w:proofErr w:type="spellStart"/>
      <w:r>
        <w:t>N°</w:t>
      </w:r>
      <w:proofErr w:type="spellEnd"/>
      <w:r>
        <w:t xml:space="preserve"> 437 del Consejo del Instituto Nacional de Derechos Humanos, efectuada el 6 de agosto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97D" w:rsidRDefault="0080497D">
    <w:pPr>
      <w:pStyle w:val="Encabezado"/>
    </w:pPr>
    <w:r w:rsidRPr="0080497D">
      <w:drawing>
        <wp:anchor distT="152400" distB="152400" distL="152400" distR="152400" simplePos="0" relativeHeight="251660288" behindDoc="0" locked="0" layoutInCell="1" allowOverlap="1" wp14:anchorId="5B499B6D" wp14:editId="31DC8BC6">
          <wp:simplePos x="0" y="0"/>
          <wp:positionH relativeFrom="margin">
            <wp:posOffset>3242945</wp:posOffset>
          </wp:positionH>
          <wp:positionV relativeFrom="page">
            <wp:posOffset>496570</wp:posOffset>
          </wp:positionV>
          <wp:extent cx="2339340" cy="642620"/>
          <wp:effectExtent l="0" t="0" r="3810" b="508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a:picLocks noChangeAspect="1"/>
                  </pic:cNvPicPr>
                </pic:nvPicPr>
                <pic:blipFill>
                  <a:blip r:embed="rId1">
                    <a:extLst/>
                  </a:blip>
                  <a:stretch>
                    <a:fillRect/>
                  </a:stretch>
                </pic:blipFill>
                <pic:spPr>
                  <a:xfrm>
                    <a:off x="0" y="0"/>
                    <a:ext cx="2339340" cy="642620"/>
                  </a:xfrm>
                  <a:prstGeom prst="rect">
                    <a:avLst/>
                  </a:prstGeom>
                  <a:ln w="12700" cap="flat">
                    <a:noFill/>
                    <a:miter lim="400000"/>
                  </a:ln>
                  <a:effectLst/>
                </pic:spPr>
              </pic:pic>
            </a:graphicData>
          </a:graphic>
        </wp:anchor>
      </w:drawing>
    </w:r>
    <w:r w:rsidRPr="0080497D">
      <w:drawing>
        <wp:anchor distT="152400" distB="152400" distL="152400" distR="152400" simplePos="0" relativeHeight="251659264" behindDoc="0" locked="0" layoutInCell="1" allowOverlap="1" wp14:anchorId="062E2AC4" wp14:editId="342B51FC">
          <wp:simplePos x="0" y="0"/>
          <wp:positionH relativeFrom="margin">
            <wp:posOffset>-25879</wp:posOffset>
          </wp:positionH>
          <wp:positionV relativeFrom="page">
            <wp:posOffset>420382</wp:posOffset>
          </wp:positionV>
          <wp:extent cx="1795145" cy="676275"/>
          <wp:effectExtent l="0" t="0" r="0" b="9525"/>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df"/>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95145" cy="676275"/>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280"/>
    <w:rsid w:val="003F6280"/>
    <w:rsid w:val="00540675"/>
    <w:rsid w:val="0080497D"/>
    <w:rsid w:val="00F444D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6C454"/>
  <w15:chartTrackingRefBased/>
  <w15:docId w15:val="{AE88B7C3-796A-4E51-B7D8-1091D45A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704214458446694214gmail-msolistparagraph">
    <w:name w:val="m_-704214458446694214gmail-msolistparagraph"/>
    <w:basedOn w:val="Normal"/>
    <w:rsid w:val="003F6280"/>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Encabezado">
    <w:name w:val="header"/>
    <w:basedOn w:val="Normal"/>
    <w:link w:val="EncabezadoCar"/>
    <w:uiPriority w:val="99"/>
    <w:unhideWhenUsed/>
    <w:rsid w:val="008049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497D"/>
  </w:style>
  <w:style w:type="paragraph" w:styleId="Piedepgina">
    <w:name w:val="footer"/>
    <w:basedOn w:val="Normal"/>
    <w:link w:val="PiedepginaCar"/>
    <w:uiPriority w:val="99"/>
    <w:unhideWhenUsed/>
    <w:rsid w:val="008049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497D"/>
  </w:style>
  <w:style w:type="paragraph" w:styleId="Textonotapie">
    <w:name w:val="footnote text"/>
    <w:basedOn w:val="Normal"/>
    <w:link w:val="TextonotapieCar"/>
    <w:uiPriority w:val="99"/>
    <w:semiHidden/>
    <w:unhideWhenUsed/>
    <w:rsid w:val="0080497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0497D"/>
    <w:rPr>
      <w:sz w:val="20"/>
      <w:szCs w:val="20"/>
    </w:rPr>
  </w:style>
  <w:style w:type="character" w:styleId="Refdenotaalpie">
    <w:name w:val="footnote reference"/>
    <w:basedOn w:val="Fuentedeprrafopredeter"/>
    <w:uiPriority w:val="99"/>
    <w:semiHidden/>
    <w:unhideWhenUsed/>
    <w:rsid w:val="008049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825723">
      <w:bodyDiv w:val="1"/>
      <w:marLeft w:val="0"/>
      <w:marRight w:val="0"/>
      <w:marTop w:val="0"/>
      <w:marBottom w:val="0"/>
      <w:divBdr>
        <w:top w:val="none" w:sz="0" w:space="0" w:color="auto"/>
        <w:left w:val="none" w:sz="0" w:space="0" w:color="auto"/>
        <w:bottom w:val="none" w:sz="0" w:space="0" w:color="auto"/>
        <w:right w:val="none" w:sz="0" w:space="0" w:color="auto"/>
      </w:divBdr>
      <w:divsChild>
        <w:div w:id="2070378156">
          <w:marLeft w:val="0"/>
          <w:marRight w:val="0"/>
          <w:marTop w:val="0"/>
          <w:marBottom w:val="0"/>
          <w:divBdr>
            <w:top w:val="none" w:sz="0" w:space="0" w:color="auto"/>
            <w:left w:val="none" w:sz="0" w:space="0" w:color="auto"/>
            <w:bottom w:val="none" w:sz="0" w:space="0" w:color="auto"/>
            <w:right w:val="none" w:sz="0" w:space="0" w:color="auto"/>
          </w:divBdr>
        </w:div>
        <w:div w:id="1087459307">
          <w:marLeft w:val="0"/>
          <w:marRight w:val="0"/>
          <w:marTop w:val="0"/>
          <w:marBottom w:val="0"/>
          <w:divBdr>
            <w:top w:val="none" w:sz="0" w:space="0" w:color="auto"/>
            <w:left w:val="none" w:sz="0" w:space="0" w:color="auto"/>
            <w:bottom w:val="none" w:sz="0" w:space="0" w:color="auto"/>
            <w:right w:val="none" w:sz="0" w:space="0" w:color="auto"/>
          </w:divBdr>
        </w:div>
        <w:div w:id="2022584541">
          <w:marLeft w:val="0"/>
          <w:marRight w:val="0"/>
          <w:marTop w:val="0"/>
          <w:marBottom w:val="0"/>
          <w:divBdr>
            <w:top w:val="none" w:sz="0" w:space="0" w:color="auto"/>
            <w:left w:val="none" w:sz="0" w:space="0" w:color="auto"/>
            <w:bottom w:val="none" w:sz="0" w:space="0" w:color="auto"/>
            <w:right w:val="none" w:sz="0" w:space="0" w:color="auto"/>
          </w:divBdr>
        </w:div>
        <w:div w:id="356808271">
          <w:marLeft w:val="0"/>
          <w:marRight w:val="0"/>
          <w:marTop w:val="0"/>
          <w:marBottom w:val="0"/>
          <w:divBdr>
            <w:top w:val="none" w:sz="0" w:space="0" w:color="auto"/>
            <w:left w:val="none" w:sz="0" w:space="0" w:color="auto"/>
            <w:bottom w:val="none" w:sz="0" w:space="0" w:color="auto"/>
            <w:right w:val="none" w:sz="0" w:space="0" w:color="auto"/>
          </w:divBdr>
        </w:div>
        <w:div w:id="1882938294">
          <w:marLeft w:val="0"/>
          <w:marRight w:val="0"/>
          <w:marTop w:val="0"/>
          <w:marBottom w:val="0"/>
          <w:divBdr>
            <w:top w:val="none" w:sz="0" w:space="0" w:color="auto"/>
            <w:left w:val="none" w:sz="0" w:space="0" w:color="auto"/>
            <w:bottom w:val="none" w:sz="0" w:space="0" w:color="auto"/>
            <w:right w:val="none" w:sz="0" w:space="0" w:color="auto"/>
          </w:divBdr>
        </w:div>
        <w:div w:id="144589059">
          <w:marLeft w:val="0"/>
          <w:marRight w:val="0"/>
          <w:marTop w:val="0"/>
          <w:marBottom w:val="0"/>
          <w:divBdr>
            <w:top w:val="none" w:sz="0" w:space="0" w:color="auto"/>
            <w:left w:val="none" w:sz="0" w:space="0" w:color="auto"/>
            <w:bottom w:val="none" w:sz="0" w:space="0" w:color="auto"/>
            <w:right w:val="none" w:sz="0" w:space="0" w:color="auto"/>
          </w:divBdr>
        </w:div>
        <w:div w:id="796490024">
          <w:marLeft w:val="0"/>
          <w:marRight w:val="0"/>
          <w:marTop w:val="0"/>
          <w:marBottom w:val="0"/>
          <w:divBdr>
            <w:top w:val="none" w:sz="0" w:space="0" w:color="auto"/>
            <w:left w:val="none" w:sz="0" w:space="0" w:color="auto"/>
            <w:bottom w:val="none" w:sz="0" w:space="0" w:color="auto"/>
            <w:right w:val="none" w:sz="0" w:space="0" w:color="auto"/>
          </w:divBdr>
        </w:div>
        <w:div w:id="651831260">
          <w:marLeft w:val="0"/>
          <w:marRight w:val="0"/>
          <w:marTop w:val="0"/>
          <w:marBottom w:val="0"/>
          <w:divBdr>
            <w:top w:val="none" w:sz="0" w:space="0" w:color="auto"/>
            <w:left w:val="none" w:sz="0" w:space="0" w:color="auto"/>
            <w:bottom w:val="none" w:sz="0" w:space="0" w:color="auto"/>
            <w:right w:val="none" w:sz="0" w:space="0" w:color="auto"/>
          </w:divBdr>
        </w:div>
        <w:div w:id="957221424">
          <w:marLeft w:val="0"/>
          <w:marRight w:val="0"/>
          <w:marTop w:val="0"/>
          <w:marBottom w:val="0"/>
          <w:divBdr>
            <w:top w:val="none" w:sz="0" w:space="0" w:color="auto"/>
            <w:left w:val="none" w:sz="0" w:space="0" w:color="auto"/>
            <w:bottom w:val="none" w:sz="0" w:space="0" w:color="auto"/>
            <w:right w:val="none" w:sz="0" w:space="0" w:color="auto"/>
          </w:divBdr>
        </w:div>
        <w:div w:id="1872330442">
          <w:marLeft w:val="0"/>
          <w:marRight w:val="0"/>
          <w:marTop w:val="0"/>
          <w:marBottom w:val="0"/>
          <w:divBdr>
            <w:top w:val="none" w:sz="0" w:space="0" w:color="auto"/>
            <w:left w:val="none" w:sz="0" w:space="0" w:color="auto"/>
            <w:bottom w:val="none" w:sz="0" w:space="0" w:color="auto"/>
            <w:right w:val="none" w:sz="0" w:space="0" w:color="auto"/>
          </w:divBdr>
        </w:div>
        <w:div w:id="949506262">
          <w:marLeft w:val="0"/>
          <w:marRight w:val="0"/>
          <w:marTop w:val="0"/>
          <w:marBottom w:val="0"/>
          <w:divBdr>
            <w:top w:val="none" w:sz="0" w:space="0" w:color="auto"/>
            <w:left w:val="none" w:sz="0" w:space="0" w:color="auto"/>
            <w:bottom w:val="none" w:sz="0" w:space="0" w:color="auto"/>
            <w:right w:val="none" w:sz="0" w:space="0" w:color="auto"/>
          </w:divBdr>
        </w:div>
        <w:div w:id="824051237">
          <w:marLeft w:val="0"/>
          <w:marRight w:val="0"/>
          <w:marTop w:val="0"/>
          <w:marBottom w:val="0"/>
          <w:divBdr>
            <w:top w:val="none" w:sz="0" w:space="0" w:color="auto"/>
            <w:left w:val="none" w:sz="0" w:space="0" w:color="auto"/>
            <w:bottom w:val="none" w:sz="0" w:space="0" w:color="auto"/>
            <w:right w:val="none" w:sz="0" w:space="0" w:color="auto"/>
          </w:divBdr>
        </w:div>
        <w:div w:id="1150054779">
          <w:marLeft w:val="0"/>
          <w:marRight w:val="0"/>
          <w:marTop w:val="0"/>
          <w:marBottom w:val="0"/>
          <w:divBdr>
            <w:top w:val="none" w:sz="0" w:space="0" w:color="auto"/>
            <w:left w:val="none" w:sz="0" w:space="0" w:color="auto"/>
            <w:bottom w:val="none" w:sz="0" w:space="0" w:color="auto"/>
            <w:right w:val="none" w:sz="0" w:space="0" w:color="auto"/>
          </w:divBdr>
        </w:div>
        <w:div w:id="684134632">
          <w:marLeft w:val="0"/>
          <w:marRight w:val="0"/>
          <w:marTop w:val="0"/>
          <w:marBottom w:val="0"/>
          <w:divBdr>
            <w:top w:val="none" w:sz="0" w:space="0" w:color="auto"/>
            <w:left w:val="none" w:sz="0" w:space="0" w:color="auto"/>
            <w:bottom w:val="none" w:sz="0" w:space="0" w:color="auto"/>
            <w:right w:val="none" w:sz="0" w:space="0" w:color="auto"/>
          </w:divBdr>
        </w:div>
        <w:div w:id="713895039">
          <w:marLeft w:val="0"/>
          <w:marRight w:val="0"/>
          <w:marTop w:val="0"/>
          <w:marBottom w:val="0"/>
          <w:divBdr>
            <w:top w:val="none" w:sz="0" w:space="0" w:color="auto"/>
            <w:left w:val="none" w:sz="0" w:space="0" w:color="auto"/>
            <w:bottom w:val="none" w:sz="0" w:space="0" w:color="auto"/>
            <w:right w:val="none" w:sz="0" w:space="0" w:color="auto"/>
          </w:divBdr>
        </w:div>
        <w:div w:id="379406390">
          <w:marLeft w:val="0"/>
          <w:marRight w:val="0"/>
          <w:marTop w:val="0"/>
          <w:marBottom w:val="0"/>
          <w:divBdr>
            <w:top w:val="none" w:sz="0" w:space="0" w:color="auto"/>
            <w:left w:val="none" w:sz="0" w:space="0" w:color="auto"/>
            <w:bottom w:val="none" w:sz="0" w:space="0" w:color="auto"/>
            <w:right w:val="none" w:sz="0" w:space="0" w:color="auto"/>
          </w:divBdr>
        </w:div>
        <w:div w:id="1355304754">
          <w:marLeft w:val="0"/>
          <w:marRight w:val="0"/>
          <w:marTop w:val="0"/>
          <w:marBottom w:val="0"/>
          <w:divBdr>
            <w:top w:val="none" w:sz="0" w:space="0" w:color="auto"/>
            <w:left w:val="none" w:sz="0" w:space="0" w:color="auto"/>
            <w:bottom w:val="none" w:sz="0" w:space="0" w:color="auto"/>
            <w:right w:val="none" w:sz="0" w:space="0" w:color="auto"/>
          </w:divBdr>
        </w:div>
        <w:div w:id="1455901995">
          <w:marLeft w:val="0"/>
          <w:marRight w:val="0"/>
          <w:marTop w:val="0"/>
          <w:marBottom w:val="0"/>
          <w:divBdr>
            <w:top w:val="none" w:sz="0" w:space="0" w:color="auto"/>
            <w:left w:val="none" w:sz="0" w:space="0" w:color="auto"/>
            <w:bottom w:val="none" w:sz="0" w:space="0" w:color="auto"/>
            <w:right w:val="none" w:sz="0" w:space="0" w:color="auto"/>
          </w:divBdr>
        </w:div>
        <w:div w:id="14577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EBF2ED-A3AE-4388-BBF5-0E89A9EEEB78}"/>
</file>

<file path=customXml/itemProps2.xml><?xml version="1.0" encoding="utf-8"?>
<ds:datastoreItem xmlns:ds="http://schemas.openxmlformats.org/officeDocument/2006/customXml" ds:itemID="{53985E6E-16BA-4769-97FD-6D9AE1CC9020}"/>
</file>

<file path=customXml/itemProps3.xml><?xml version="1.0" encoding="utf-8"?>
<ds:datastoreItem xmlns:ds="http://schemas.openxmlformats.org/officeDocument/2006/customXml" ds:itemID="{7E978D38-225D-48F8-9205-17D9EB1D54B9}"/>
</file>

<file path=customXml/itemProps4.xml><?xml version="1.0" encoding="utf-8"?>
<ds:datastoreItem xmlns:ds="http://schemas.openxmlformats.org/officeDocument/2006/customXml" ds:itemID="{5C724300-99AD-46A2-B1FD-5DCC8429378C}"/>
</file>

<file path=docProps/app.xml><?xml version="1.0" encoding="utf-8"?>
<Properties xmlns="http://schemas.openxmlformats.org/officeDocument/2006/extended-properties" xmlns:vt="http://schemas.openxmlformats.org/officeDocument/2006/docPropsVTypes">
  <Template>Normal</Template>
  <TotalTime>19</TotalTime>
  <Pages>5</Pages>
  <Words>1662</Words>
  <Characters>9142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Mariela Infante</cp:lastModifiedBy>
  <cp:revision>1</cp:revision>
  <dcterms:created xsi:type="dcterms:W3CDTF">2018-11-06T19:38:00Z</dcterms:created>
  <dcterms:modified xsi:type="dcterms:W3CDTF">2018-11-06T19:59:00Z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