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26B5C" w14:textId="77777777" w:rsidR="009F0F87" w:rsidRPr="009F0F87" w:rsidRDefault="009F0F87" w:rsidP="009F0F87">
      <w:pPr>
        <w:jc w:val="center"/>
        <w:rPr>
          <w:rFonts w:cstheme="minorHAnsi"/>
          <w:b/>
          <w:bCs/>
          <w:color w:val="70AD47" w:themeColor="accent6"/>
          <w:sz w:val="36"/>
          <w:szCs w:val="36"/>
        </w:rPr>
      </w:pPr>
      <w:proofErr w:type="spellStart"/>
      <w:r w:rsidRPr="009F0F87">
        <w:rPr>
          <w:rFonts w:cstheme="minorHAnsi"/>
          <w:b/>
          <w:bCs/>
          <w:color w:val="70AD47" w:themeColor="accent6"/>
          <w:sz w:val="36"/>
          <w:szCs w:val="36"/>
        </w:rPr>
        <w:t>Elizka</w:t>
      </w:r>
      <w:proofErr w:type="spellEnd"/>
      <w:r w:rsidRPr="009F0F87">
        <w:rPr>
          <w:rFonts w:cstheme="minorHAnsi"/>
          <w:b/>
          <w:bCs/>
          <w:color w:val="70AD47" w:themeColor="accent6"/>
          <w:sz w:val="36"/>
          <w:szCs w:val="36"/>
        </w:rPr>
        <w:t xml:space="preserve"> Relief Foundation’s Report on Egypt (October 2023)</w:t>
      </w:r>
    </w:p>
    <w:p w14:paraId="4C4DA447" w14:textId="77777777" w:rsidR="009F0F87" w:rsidRPr="009F0F87" w:rsidRDefault="009F0F87" w:rsidP="000D1DCF">
      <w:pPr>
        <w:rPr>
          <w:rFonts w:cstheme="minorHAnsi"/>
          <w:sz w:val="24"/>
          <w:szCs w:val="24"/>
        </w:rPr>
      </w:pPr>
      <w:r w:rsidRPr="009F0F87">
        <w:rPr>
          <w:rFonts w:cstheme="minorHAnsi"/>
          <w:b/>
          <w:bCs/>
          <w:sz w:val="24"/>
          <w:szCs w:val="24"/>
        </w:rPr>
        <w:t>Submitted</w:t>
      </w:r>
      <w:r w:rsidRPr="009F0F87">
        <w:rPr>
          <w:rFonts w:cstheme="minorHAnsi"/>
          <w:sz w:val="24"/>
          <w:szCs w:val="24"/>
        </w:rPr>
        <w:t xml:space="preserve"> </w:t>
      </w:r>
      <w:r w:rsidRPr="009F0F87">
        <w:rPr>
          <w:rFonts w:cstheme="minorHAnsi"/>
          <w:b/>
          <w:bCs/>
          <w:sz w:val="24"/>
          <w:szCs w:val="24"/>
        </w:rPr>
        <w:t>to</w:t>
      </w:r>
      <w:r w:rsidRPr="009F0F87">
        <w:rPr>
          <w:rFonts w:cstheme="minorHAnsi"/>
          <w:sz w:val="24"/>
          <w:szCs w:val="24"/>
        </w:rPr>
        <w:t>:</w:t>
      </w:r>
      <w:r w:rsidRPr="009F0F87">
        <w:rPr>
          <w:rFonts w:cstheme="minorHAnsi"/>
          <w:sz w:val="24"/>
          <w:szCs w:val="24"/>
        </w:rPr>
        <w:tab/>
      </w:r>
      <w:r w:rsidRPr="009F0F87">
        <w:rPr>
          <w:rFonts w:cstheme="minorHAnsi"/>
          <w:sz w:val="24"/>
          <w:szCs w:val="24"/>
        </w:rPr>
        <w:tab/>
        <w:t>Committee against Torture (CAT)</w:t>
      </w:r>
    </w:p>
    <w:p w14:paraId="59A41B5F" w14:textId="77777777" w:rsidR="009F0F87" w:rsidRPr="009F0F87" w:rsidRDefault="009F0F87" w:rsidP="000D1DCF">
      <w:pPr>
        <w:rPr>
          <w:rFonts w:cstheme="minorHAnsi"/>
          <w:sz w:val="24"/>
          <w:szCs w:val="24"/>
        </w:rPr>
      </w:pPr>
      <w:r w:rsidRPr="009F0F87">
        <w:rPr>
          <w:rFonts w:cstheme="minorHAnsi"/>
          <w:b/>
          <w:bCs/>
          <w:sz w:val="24"/>
          <w:szCs w:val="24"/>
        </w:rPr>
        <w:t>Submitted</w:t>
      </w:r>
      <w:r w:rsidRPr="009F0F87">
        <w:rPr>
          <w:rFonts w:cstheme="minorHAnsi"/>
          <w:sz w:val="24"/>
          <w:szCs w:val="24"/>
        </w:rPr>
        <w:t xml:space="preserve"> </w:t>
      </w:r>
      <w:r w:rsidRPr="009F0F87">
        <w:rPr>
          <w:rFonts w:cstheme="minorHAnsi"/>
          <w:b/>
          <w:bCs/>
          <w:sz w:val="24"/>
          <w:szCs w:val="24"/>
        </w:rPr>
        <w:t>by</w:t>
      </w:r>
      <w:r w:rsidRPr="009F0F87">
        <w:rPr>
          <w:rFonts w:cstheme="minorHAnsi"/>
          <w:sz w:val="24"/>
          <w:szCs w:val="24"/>
        </w:rPr>
        <w:t xml:space="preserve">: </w:t>
      </w:r>
      <w:r w:rsidRPr="009F0F87">
        <w:rPr>
          <w:rFonts w:cstheme="minorHAnsi"/>
          <w:sz w:val="24"/>
          <w:szCs w:val="24"/>
        </w:rPr>
        <w:tab/>
        <w:t>Elizka Relief Foundation</w:t>
      </w:r>
    </w:p>
    <w:p w14:paraId="07BAF4B7" w14:textId="77777777" w:rsidR="009F0F87" w:rsidRPr="009F0F87" w:rsidRDefault="009F0F87" w:rsidP="000D1DCF">
      <w:pPr>
        <w:rPr>
          <w:rFonts w:cstheme="minorHAnsi"/>
          <w:sz w:val="24"/>
          <w:szCs w:val="24"/>
        </w:rPr>
      </w:pPr>
      <w:r w:rsidRPr="009F0F87">
        <w:rPr>
          <w:rFonts w:cstheme="minorHAnsi"/>
          <w:b/>
          <w:bCs/>
          <w:sz w:val="24"/>
          <w:szCs w:val="24"/>
        </w:rPr>
        <w:t>Submitted</w:t>
      </w:r>
      <w:r w:rsidRPr="009F0F87">
        <w:rPr>
          <w:rFonts w:cstheme="minorHAnsi"/>
          <w:sz w:val="24"/>
          <w:szCs w:val="24"/>
        </w:rPr>
        <w:t xml:space="preserve"> </w:t>
      </w:r>
      <w:r w:rsidRPr="009F0F87">
        <w:rPr>
          <w:rFonts w:cstheme="minorHAnsi"/>
          <w:b/>
          <w:bCs/>
          <w:sz w:val="24"/>
          <w:szCs w:val="24"/>
        </w:rPr>
        <w:t>by</w:t>
      </w:r>
      <w:r w:rsidRPr="009F0F87">
        <w:rPr>
          <w:rFonts w:cstheme="minorHAnsi"/>
          <w:sz w:val="24"/>
          <w:szCs w:val="24"/>
        </w:rPr>
        <w:t xml:space="preserve">: </w:t>
      </w:r>
      <w:r w:rsidRPr="009F0F87">
        <w:rPr>
          <w:rFonts w:cstheme="minorHAnsi"/>
          <w:sz w:val="24"/>
          <w:szCs w:val="24"/>
        </w:rPr>
        <w:tab/>
        <w:t>Arab Republic of Egypt</w:t>
      </w:r>
    </w:p>
    <w:p w14:paraId="2A4AC4DB" w14:textId="77777777" w:rsidR="009F0F87" w:rsidRPr="009F0F87" w:rsidRDefault="009F0F87" w:rsidP="009F0F87">
      <w:pPr>
        <w:jc w:val="both"/>
        <w:rPr>
          <w:rFonts w:cstheme="minorHAnsi"/>
          <w:color w:val="70AD47" w:themeColor="accent6"/>
          <w:sz w:val="24"/>
          <w:szCs w:val="24"/>
        </w:rPr>
      </w:pPr>
      <w:r w:rsidRPr="009F0F87">
        <w:rPr>
          <w:rFonts w:cstheme="minorHAnsi"/>
          <w:b/>
          <w:bCs/>
          <w:color w:val="70AD47" w:themeColor="accent6"/>
          <w:sz w:val="24"/>
          <w:szCs w:val="24"/>
          <w:u w:val="single"/>
        </w:rPr>
        <w:t>Introduction</w:t>
      </w:r>
      <w:r w:rsidRPr="009F0F87">
        <w:rPr>
          <w:rFonts w:cstheme="minorHAnsi"/>
          <w:color w:val="70AD47" w:themeColor="accent6"/>
          <w:sz w:val="24"/>
          <w:szCs w:val="24"/>
        </w:rPr>
        <w:t>:</w:t>
      </w:r>
    </w:p>
    <w:p w14:paraId="116EDE21" w14:textId="77777777" w:rsidR="009F0F87" w:rsidRPr="009F0F87" w:rsidRDefault="009F0F87" w:rsidP="009F0F87">
      <w:pPr>
        <w:ind w:firstLine="720"/>
        <w:jc w:val="both"/>
        <w:rPr>
          <w:rFonts w:cstheme="minorHAnsi"/>
          <w:sz w:val="24"/>
          <w:szCs w:val="24"/>
        </w:rPr>
      </w:pPr>
      <w:r w:rsidRPr="009F0F87">
        <w:rPr>
          <w:rFonts w:cstheme="minorHAnsi"/>
          <w:sz w:val="24"/>
          <w:szCs w:val="24"/>
        </w:rPr>
        <w:t>The Arab Republic of Egypt (“State Party”), ratified the Convention against Torture and Other Cruel, Inhuman or Degrading Treatment or Punishment (“Convention”), on June 25, 1986, and submitted its fifth periodic report on September 13, 2021, pursuant to Article 19 of the Convention, which was due in 2004, to the Committee against Torture (“Committee”), and received a list of issues on 12 May 2023.</w:t>
      </w:r>
    </w:p>
    <w:p w14:paraId="654C3FEC" w14:textId="77777777" w:rsidR="009F0F87" w:rsidRPr="009F0F87" w:rsidRDefault="009F0F87" w:rsidP="009F0F87">
      <w:pPr>
        <w:ind w:firstLine="720"/>
        <w:jc w:val="both"/>
        <w:rPr>
          <w:rFonts w:cstheme="minorHAnsi"/>
          <w:sz w:val="24"/>
          <w:szCs w:val="24"/>
        </w:rPr>
      </w:pPr>
      <w:r w:rsidRPr="009F0F87">
        <w:rPr>
          <w:rFonts w:cstheme="minorHAnsi"/>
          <w:sz w:val="24"/>
          <w:szCs w:val="24"/>
        </w:rPr>
        <w:t xml:space="preserve">We regret the State Party's delay in sending its national report to the Committee, as well as allegations that some law enforcement personnel used torture or cruel, inhuman or degrading treatment or punishment. However, we commend the constitutional and legal framework prohibiting torture in the State Party, which Constitution stipulates that no torture, intimidation, coercion, physical or moral harm may be practiced against any person whose movement is restricted when the authorities have detained or arrested him. </w:t>
      </w:r>
      <w:bookmarkStart w:id="0" w:name="OLE_LINK2"/>
      <w:r w:rsidRPr="009F0F87">
        <w:rPr>
          <w:rFonts w:cstheme="minorHAnsi"/>
          <w:sz w:val="24"/>
          <w:szCs w:val="24"/>
        </w:rPr>
        <w:t xml:space="preserve">The Penal Code </w:t>
      </w:r>
      <w:bookmarkEnd w:id="0"/>
      <w:r w:rsidRPr="009F0F87">
        <w:rPr>
          <w:rFonts w:cstheme="minorHAnsi"/>
          <w:sz w:val="24"/>
          <w:szCs w:val="24"/>
        </w:rPr>
        <w:t xml:space="preserve">prohibits using torture to extract a confession from a detained suspect, and </w:t>
      </w:r>
      <w:bookmarkStart w:id="1" w:name="OLE_LINK3"/>
      <w:r w:rsidRPr="009F0F87">
        <w:rPr>
          <w:rFonts w:cstheme="minorHAnsi"/>
          <w:sz w:val="24"/>
          <w:szCs w:val="24"/>
        </w:rPr>
        <w:t>it also prohibits law enforcement officials or civil service employees from using cruelty or inflicting physical harm under any circumstances</w:t>
      </w:r>
      <w:bookmarkEnd w:id="1"/>
      <w:r w:rsidRPr="009F0F87">
        <w:rPr>
          <w:rFonts w:cstheme="minorHAnsi"/>
          <w:sz w:val="24"/>
          <w:szCs w:val="24"/>
        </w:rPr>
        <w:t>. The legislative, judicial, and executive system of the State Party also includes many laws, decisions, and controls that aim to prevent torture and other forms of cruel, inhuman, or degrading treatment or punishment, prevent them from occurring, and conduct immediate investigations into reports of torture.</w:t>
      </w:r>
    </w:p>
    <w:p w14:paraId="393D39D2" w14:textId="77777777" w:rsidR="009F0F87" w:rsidRPr="009F0F87" w:rsidRDefault="009F0F87" w:rsidP="009F0F87">
      <w:pPr>
        <w:ind w:firstLine="720"/>
        <w:jc w:val="both"/>
        <w:rPr>
          <w:rFonts w:cstheme="minorHAnsi"/>
          <w:sz w:val="24"/>
          <w:szCs w:val="24"/>
        </w:rPr>
      </w:pPr>
      <w:r w:rsidRPr="009F0F87">
        <w:rPr>
          <w:rFonts w:cstheme="minorHAnsi"/>
          <w:sz w:val="24"/>
          <w:szCs w:val="24"/>
        </w:rPr>
        <w:t>In light of the above</w:t>
      </w:r>
      <w:r w:rsidRPr="009F0F87">
        <w:rPr>
          <w:rFonts w:cstheme="minorHAnsi"/>
          <w:color w:val="70AD47" w:themeColor="accent6"/>
          <w:sz w:val="24"/>
          <w:szCs w:val="24"/>
        </w:rPr>
        <w:t xml:space="preserve">, </w:t>
      </w:r>
      <w:r w:rsidRPr="009F0F87">
        <w:rPr>
          <w:rFonts w:cstheme="minorHAnsi"/>
          <w:b/>
          <w:bCs/>
          <w:color w:val="70AD47" w:themeColor="accent6"/>
          <w:sz w:val="24"/>
          <w:szCs w:val="24"/>
        </w:rPr>
        <w:t>Elizka Relief Foundation</w:t>
      </w:r>
      <w:r w:rsidRPr="009F0F87">
        <w:rPr>
          <w:rFonts w:cstheme="minorHAnsi"/>
          <w:color w:val="70AD47" w:themeColor="accent6"/>
          <w:sz w:val="24"/>
          <w:szCs w:val="24"/>
        </w:rPr>
        <w:t xml:space="preserve"> </w:t>
      </w:r>
      <w:r w:rsidRPr="009F0F87">
        <w:rPr>
          <w:rFonts w:cstheme="minorHAnsi"/>
          <w:sz w:val="24"/>
          <w:szCs w:val="24"/>
        </w:rPr>
        <w:t>submits this report to the Committee within the framework of the State Party’s submission thereto during Session No. (78) to highlight specific relevant issues, including measures to prevent torture in places of detention (Article 11), investigating torture practices and the right of torture victims to submit complaints (Articles 12 &amp; 13), and not to invoke any confessions extracted under torture (</w:t>
      </w:r>
      <w:bookmarkStart w:id="2" w:name="OLE_LINK4"/>
      <w:r w:rsidRPr="009F0F87">
        <w:rPr>
          <w:rFonts w:cstheme="minorHAnsi"/>
          <w:sz w:val="24"/>
          <w:szCs w:val="24"/>
        </w:rPr>
        <w:t>Article 15</w:t>
      </w:r>
      <w:bookmarkEnd w:id="2"/>
      <w:r w:rsidRPr="009F0F87">
        <w:rPr>
          <w:rFonts w:cstheme="minorHAnsi"/>
          <w:sz w:val="24"/>
          <w:szCs w:val="24"/>
        </w:rPr>
        <w:t>).</w:t>
      </w:r>
    </w:p>
    <w:p w14:paraId="7CDFF524" w14:textId="77777777" w:rsidR="009F0F87" w:rsidRPr="009F0F87" w:rsidRDefault="009F0F87" w:rsidP="009F0F87">
      <w:pPr>
        <w:jc w:val="both"/>
        <w:rPr>
          <w:rFonts w:cstheme="minorHAnsi"/>
          <w:b/>
          <w:bCs/>
          <w:color w:val="70AD47" w:themeColor="accent6"/>
          <w:sz w:val="24"/>
          <w:szCs w:val="24"/>
          <w:u w:val="single"/>
        </w:rPr>
      </w:pPr>
      <w:r w:rsidRPr="009F0F87">
        <w:rPr>
          <w:rFonts w:cstheme="minorHAnsi"/>
          <w:b/>
          <w:bCs/>
          <w:color w:val="70AD47" w:themeColor="accent6"/>
          <w:sz w:val="24"/>
          <w:szCs w:val="24"/>
          <w:u w:val="single"/>
        </w:rPr>
        <w:t>First: Measures to Prevent Torture in Places of Detention (Article 11)</w:t>
      </w:r>
    </w:p>
    <w:p w14:paraId="36CC6DB3" w14:textId="77777777" w:rsidR="009F0F87" w:rsidRPr="009F0F87" w:rsidRDefault="009F0F87" w:rsidP="009F0F87">
      <w:pPr>
        <w:ind w:firstLine="720"/>
        <w:jc w:val="both"/>
        <w:rPr>
          <w:rFonts w:cstheme="minorHAnsi"/>
          <w:sz w:val="24"/>
          <w:szCs w:val="24"/>
        </w:rPr>
      </w:pPr>
      <w:r w:rsidRPr="009F0F87">
        <w:rPr>
          <w:rFonts w:cstheme="minorHAnsi"/>
          <w:sz w:val="24"/>
          <w:szCs w:val="24"/>
        </w:rPr>
        <w:t xml:space="preserve">The </w:t>
      </w:r>
      <w:r w:rsidRPr="009F0F87">
        <w:rPr>
          <w:rFonts w:cstheme="minorHAnsi"/>
          <w:b/>
          <w:bCs/>
          <w:sz w:val="24"/>
          <w:szCs w:val="24"/>
        </w:rPr>
        <w:t>Egyptian Constitution, in conjunction with the internal legislation of the State Party</w:t>
      </w:r>
      <w:r w:rsidRPr="009F0F87">
        <w:rPr>
          <w:rFonts w:cstheme="minorHAnsi"/>
          <w:sz w:val="24"/>
          <w:szCs w:val="24"/>
        </w:rPr>
        <w:t xml:space="preserve">, reinforces measures aimed at preventing torture in places of detention. </w:t>
      </w:r>
      <w:bookmarkStart w:id="3" w:name="OLE_LINK5"/>
      <w:r w:rsidRPr="009F0F87">
        <w:rPr>
          <w:rFonts w:cstheme="minorHAnsi"/>
          <w:sz w:val="24"/>
          <w:szCs w:val="24"/>
        </w:rPr>
        <w:t>Article 55 of the Egyptian Constitutio</w:t>
      </w:r>
      <w:bookmarkEnd w:id="3"/>
      <w:r w:rsidRPr="009F0F87">
        <w:rPr>
          <w:rFonts w:cstheme="minorHAnsi"/>
          <w:sz w:val="24"/>
          <w:szCs w:val="24"/>
        </w:rPr>
        <w:t xml:space="preserve">n explicitly states, "Every person who is either arrested, detained, or his freedom is </w:t>
      </w:r>
      <w:r w:rsidRPr="009F0F87">
        <w:rPr>
          <w:rFonts w:cstheme="minorHAnsi"/>
          <w:sz w:val="24"/>
          <w:szCs w:val="24"/>
        </w:rPr>
        <w:lastRenderedPageBreak/>
        <w:t>restricted shall be treated in a manner that maintains his dignity. He/she may not be tortured, intimidated, coerced, or physically or morally harmed; and may not be seized or detained except in places designated for that purpose, which shall be adequate on human and health levels. The State shall cater to the needs of people with disabilities. Violating any of the aforementioned is a crime punished by Law. An accused has the right to remain silent. Every statement proved to be made by a detainee under any of the foregoing actions, or threat thereof, shall be disregarded and not be relied upon." Additionally, Article 56 emphasizes that “A prison is a place of correction and rehabilitation. Prisons and places of detention shall be subject to judiciary supervision, where actions inconsistent with human dignity or which endanger human health shall be prohibited. The Law shall regulate the provisions of reform and rehabilitation of convicted persons and facilitate decent lives after their release.”</w:t>
      </w:r>
    </w:p>
    <w:p w14:paraId="5B993D2C" w14:textId="77777777" w:rsidR="009F0F87" w:rsidRPr="009F0F87" w:rsidRDefault="009F0F87" w:rsidP="009F0F87">
      <w:pPr>
        <w:ind w:firstLine="720"/>
        <w:jc w:val="both"/>
        <w:rPr>
          <w:rFonts w:cstheme="minorHAnsi"/>
          <w:sz w:val="24"/>
          <w:szCs w:val="24"/>
        </w:rPr>
      </w:pPr>
      <w:r w:rsidRPr="009F0F87">
        <w:rPr>
          <w:rFonts w:cstheme="minorHAnsi"/>
          <w:sz w:val="24"/>
          <w:szCs w:val="24"/>
        </w:rPr>
        <w:t xml:space="preserve">The legislative, judicial, and executive systems encompass various laws, decisions, procedures, and controls that aim to prevent torture and other forms of inhumane treatment, particularly within places of detention. For instance, </w:t>
      </w:r>
      <w:bookmarkStart w:id="4" w:name="OLE_LINK6"/>
      <w:r w:rsidRPr="009F0F87">
        <w:rPr>
          <w:rFonts w:cstheme="minorHAnsi"/>
          <w:sz w:val="24"/>
          <w:szCs w:val="24"/>
        </w:rPr>
        <w:t xml:space="preserve">Article 1747 of the </w:t>
      </w:r>
      <w:r w:rsidRPr="009F0F87">
        <w:rPr>
          <w:rFonts w:cstheme="minorHAnsi"/>
          <w:b/>
          <w:bCs/>
          <w:sz w:val="24"/>
          <w:szCs w:val="24"/>
        </w:rPr>
        <w:t>judicial instructions governing the work of the Public Prosecution</w:t>
      </w:r>
      <w:r w:rsidRPr="009F0F87">
        <w:rPr>
          <w:rFonts w:cstheme="minorHAnsi"/>
          <w:sz w:val="24"/>
          <w:szCs w:val="24"/>
        </w:rPr>
        <w:t xml:space="preserve"> dictates that the general prosecutors or their representatives must conduct regular and surprise inspections of public prisons within their jurisdiction, </w:t>
      </w:r>
      <w:bookmarkEnd w:id="4"/>
      <w:r w:rsidRPr="009F0F87">
        <w:rPr>
          <w:rFonts w:cstheme="minorHAnsi"/>
          <w:sz w:val="24"/>
          <w:szCs w:val="24"/>
        </w:rPr>
        <w:t>while district prosecution heads or their directors must inspect central prisons under their purview at least once a month. These inspections involve verifying the adherence to prescribed forms, reviewing arrest and detention orders, addressing prisoners' complaints, and obtaining requested data from relevant officers.</w:t>
      </w:r>
      <w:r w:rsidRPr="009F0F87">
        <w:rPr>
          <w:rStyle w:val="FootnoteReference"/>
          <w:rFonts w:cstheme="minorHAnsi"/>
          <w:sz w:val="24"/>
          <w:szCs w:val="24"/>
        </w:rPr>
        <w:footnoteReference w:id="1"/>
      </w:r>
    </w:p>
    <w:p w14:paraId="20CCB653" w14:textId="77777777" w:rsidR="009F0F87" w:rsidRPr="009F0F87" w:rsidRDefault="009F0F87" w:rsidP="009F0F87">
      <w:pPr>
        <w:ind w:firstLine="720"/>
        <w:jc w:val="both"/>
        <w:rPr>
          <w:rFonts w:cstheme="minorHAnsi"/>
          <w:sz w:val="24"/>
          <w:szCs w:val="24"/>
        </w:rPr>
      </w:pPr>
      <w:r w:rsidRPr="009F0F87">
        <w:rPr>
          <w:rFonts w:cstheme="minorHAnsi"/>
          <w:sz w:val="24"/>
          <w:szCs w:val="24"/>
        </w:rPr>
        <w:t>Similarly, Article 1748 outlines the matters to be verified during prison inspections, including the implementation of prosecution orders, investigating judges' decisions, and court rulings. It ensures that no one is unlawfully detained, restricts the employment of prisoners unless permitted by law, mandates the separation and appropriate treatment of different prisoner categories, and enforces the proper use of records as required by law. Any violations are to be duly addressed.</w:t>
      </w:r>
      <w:r w:rsidRPr="009F0F87">
        <w:rPr>
          <w:rStyle w:val="FootnoteReference"/>
          <w:rFonts w:cstheme="minorHAnsi"/>
          <w:sz w:val="24"/>
          <w:szCs w:val="24"/>
        </w:rPr>
        <w:footnoteReference w:id="2"/>
      </w:r>
      <w:r w:rsidRPr="009F0F87">
        <w:rPr>
          <w:rFonts w:cstheme="minorHAnsi"/>
          <w:sz w:val="24"/>
          <w:szCs w:val="24"/>
        </w:rPr>
        <w:t xml:space="preserve"> Moreover, various provisions within the </w:t>
      </w:r>
      <w:r w:rsidRPr="009F0F87">
        <w:rPr>
          <w:rFonts w:cstheme="minorHAnsi"/>
          <w:b/>
          <w:bCs/>
          <w:sz w:val="24"/>
          <w:szCs w:val="24"/>
        </w:rPr>
        <w:t>law regulating prisons, such as Articles 5, 6, 8, 33, 36, 38, 40, 60, and 61</w:t>
      </w:r>
      <w:r w:rsidRPr="009F0F87">
        <w:rPr>
          <w:rFonts w:cstheme="minorHAnsi"/>
          <w:sz w:val="24"/>
          <w:szCs w:val="24"/>
        </w:rPr>
        <w:t xml:space="preserve">, explicitly prohibit all forms of torture and inhumane treatment within places of detention. These provisions also establish a comprehensive system for recording every aspect of a prisoner's journey, from entry into the detention facility until the completion of their sentence. All such records are subject to the control and supervision of the </w:t>
      </w:r>
      <w:r w:rsidRPr="009F0F87">
        <w:rPr>
          <w:rFonts w:cstheme="minorHAnsi"/>
          <w:sz w:val="24"/>
          <w:szCs w:val="24"/>
        </w:rPr>
        <w:lastRenderedPageBreak/>
        <w:t>competent judicial authority responsible for inspecting and monitoring prisons and detention centers, as outlined in the aforementioned regulations governing the Public Prosecution's work.</w:t>
      </w:r>
    </w:p>
    <w:p w14:paraId="687B52DC" w14:textId="77777777" w:rsidR="009F0F87" w:rsidRPr="009F0F87" w:rsidRDefault="009F0F87" w:rsidP="009F0F87">
      <w:pPr>
        <w:ind w:firstLine="720"/>
        <w:jc w:val="both"/>
        <w:rPr>
          <w:rFonts w:cstheme="minorHAnsi"/>
          <w:sz w:val="24"/>
          <w:szCs w:val="24"/>
        </w:rPr>
      </w:pPr>
      <w:r w:rsidRPr="009F0F87">
        <w:rPr>
          <w:rFonts w:cstheme="minorHAnsi"/>
          <w:sz w:val="24"/>
          <w:szCs w:val="24"/>
        </w:rPr>
        <w:t xml:space="preserve">In the same context, </w:t>
      </w:r>
      <w:r w:rsidRPr="009F0F87">
        <w:rPr>
          <w:rFonts w:cstheme="minorHAnsi"/>
          <w:b/>
          <w:bCs/>
          <w:sz w:val="24"/>
          <w:szCs w:val="24"/>
        </w:rPr>
        <w:t>it is important to highlight the efforts made to enhance detention conditions in police stations, prisons, and other detention facilities, as well as to provide detainees with necessary healthcare, including psychological support</w:t>
      </w:r>
      <w:r w:rsidRPr="009F0F87">
        <w:rPr>
          <w:rFonts w:cstheme="minorHAnsi"/>
          <w:sz w:val="24"/>
          <w:szCs w:val="24"/>
        </w:rPr>
        <w:t>. The State Party has taken commendable steps towards improving the circumstances of prisoners and detention centers. One notable development occurred in October 2021, when the "Wadi El-</w:t>
      </w:r>
      <w:proofErr w:type="spellStart"/>
      <w:r w:rsidRPr="009F0F87">
        <w:rPr>
          <w:rFonts w:cstheme="minorHAnsi"/>
          <w:sz w:val="24"/>
          <w:szCs w:val="24"/>
        </w:rPr>
        <w:t>Natroun</w:t>
      </w:r>
      <w:proofErr w:type="spellEnd"/>
      <w:r w:rsidRPr="009F0F87">
        <w:rPr>
          <w:rFonts w:cstheme="minorHAnsi"/>
          <w:sz w:val="24"/>
          <w:szCs w:val="24"/>
        </w:rPr>
        <w:t xml:space="preserve"> Correction and Rehabilitation Center" was inaugurated. This modern facility is equipped with advanced technologies and aims to ensure the dignity of inmates through features such as proper ventilation, natural lighting, and well-designed spaces. It also includes areas for religious practices, classrooms, spaces for recreational activities, and vocational training centers.</w:t>
      </w:r>
      <w:r w:rsidRPr="009F0F87">
        <w:rPr>
          <w:rStyle w:val="FootnoteReference"/>
          <w:rFonts w:cstheme="minorHAnsi"/>
          <w:sz w:val="24"/>
          <w:szCs w:val="24"/>
        </w:rPr>
        <w:footnoteReference w:id="3"/>
      </w:r>
    </w:p>
    <w:p w14:paraId="5E26B16A" w14:textId="77777777" w:rsidR="009F0F87" w:rsidRPr="009F0F87" w:rsidRDefault="009F0F87" w:rsidP="009F0F87">
      <w:pPr>
        <w:ind w:firstLine="720"/>
        <w:jc w:val="both"/>
        <w:rPr>
          <w:rFonts w:cstheme="minorHAnsi"/>
          <w:sz w:val="24"/>
          <w:szCs w:val="24"/>
        </w:rPr>
      </w:pPr>
      <w:r w:rsidRPr="009F0F87">
        <w:rPr>
          <w:rFonts w:cstheme="minorHAnsi"/>
          <w:sz w:val="24"/>
          <w:szCs w:val="24"/>
        </w:rPr>
        <w:t>Furthermore, the State Party has made progress in constructing a new prison complex, resulting in the closure of 12 prisons, which represents 25% of the total public prisons in the country. This new complex features a central hospital equipped with state-of-the-art medical equipment and various medical specialties. Additionally, nurseries for children and areas dedicated to children's entertainment have been established for the benefit of inmates' children. Notably, a court complex has been incorporated within the new prison, consisting of 8 courtrooms. This enhances security measures for prisoners and contributes to the prevention of torture in detention facilities.</w:t>
      </w:r>
      <w:r w:rsidRPr="009F0F87">
        <w:rPr>
          <w:rStyle w:val="FootnoteReference"/>
          <w:rFonts w:cstheme="minorHAnsi"/>
          <w:sz w:val="24"/>
          <w:szCs w:val="24"/>
        </w:rPr>
        <w:footnoteReference w:id="4"/>
      </w:r>
    </w:p>
    <w:p w14:paraId="0D711424" w14:textId="77777777" w:rsidR="009F0F87" w:rsidRPr="009F0F87" w:rsidRDefault="009F0F87" w:rsidP="009F0F87">
      <w:pPr>
        <w:ind w:firstLine="720"/>
        <w:jc w:val="both"/>
        <w:rPr>
          <w:rFonts w:cstheme="minorHAnsi"/>
          <w:sz w:val="24"/>
          <w:szCs w:val="24"/>
        </w:rPr>
      </w:pPr>
      <w:r w:rsidRPr="009F0F87">
        <w:rPr>
          <w:rFonts w:cstheme="minorHAnsi"/>
          <w:sz w:val="24"/>
          <w:szCs w:val="24"/>
        </w:rPr>
        <w:t>Another commendable initiative is the adoption of the National Human Rights Strategy by the State Party. This Strategy demonstrates the authorities' commitment to reducing the number of prisoners through alternative measures, such as conditional release and presidential pardons on national occasions and holidays. In 2021 alone, approximately 11,298 inmates were released, and in 2022, the number of inmates benefiting from presidential pardons reached approximately 20,516. The strategy also emphasizes the importance of providing healthcare services for people with disabilities, including the provision of artificial limbs and equipping prisons with the latest devices suitable for their specific needs.</w:t>
      </w:r>
      <w:r w:rsidRPr="009F0F87">
        <w:rPr>
          <w:rStyle w:val="FootnoteReference"/>
          <w:rFonts w:cstheme="minorHAnsi"/>
          <w:sz w:val="24"/>
          <w:szCs w:val="24"/>
        </w:rPr>
        <w:footnoteReference w:id="5"/>
      </w:r>
    </w:p>
    <w:p w14:paraId="461E5A62" w14:textId="77777777" w:rsidR="009F0F87" w:rsidRPr="009F0F87" w:rsidRDefault="009F0F87" w:rsidP="009F0F87">
      <w:pPr>
        <w:ind w:firstLine="720"/>
        <w:jc w:val="both"/>
        <w:rPr>
          <w:rFonts w:cstheme="minorHAnsi"/>
          <w:sz w:val="24"/>
          <w:szCs w:val="24"/>
        </w:rPr>
      </w:pPr>
      <w:r w:rsidRPr="009F0F87">
        <w:rPr>
          <w:rFonts w:cstheme="minorHAnsi"/>
          <w:sz w:val="24"/>
          <w:szCs w:val="24"/>
        </w:rPr>
        <w:lastRenderedPageBreak/>
        <w:t>Moreover, we commend the State Party for issuing Law No. 14 of 2022, which amends certain provisions of Law No. 396 of 1956 regarding the organization of prisons. This amendment aims to uphold inmates' rights, ensure community protection, promote their rehabilitation and reintegration into society, and support educational opportunities for those interested. The State Party has taken steps to encourage reading and learning among inmates.</w:t>
      </w:r>
      <w:r w:rsidRPr="009F0F87">
        <w:rPr>
          <w:rStyle w:val="FootnoteReference"/>
          <w:rFonts w:cstheme="minorHAnsi"/>
          <w:sz w:val="24"/>
          <w:szCs w:val="24"/>
        </w:rPr>
        <w:footnoteReference w:id="6"/>
      </w:r>
      <w:r w:rsidRPr="009F0F87">
        <w:rPr>
          <w:rFonts w:cstheme="minorHAnsi"/>
          <w:sz w:val="24"/>
          <w:szCs w:val="24"/>
        </w:rPr>
        <w:t xml:space="preserve"> Additionally, human rights curricula are taught to prospective police officers at the police academy, where they engage in simulated scenarios involving various interactions such as detainment, search procedures, and treatment of prisoners. This training also covers modern investigation techniques and strategies for handling peaceful demonstrations, riots, sit-ins, and incidents involving public facilities. The objective is to effectively manage potential instances of violence between inmates or directed toward prison staff.</w:t>
      </w:r>
      <w:r w:rsidRPr="009F0F87">
        <w:rPr>
          <w:rStyle w:val="FootnoteReference"/>
          <w:rFonts w:cstheme="minorHAnsi"/>
          <w:sz w:val="24"/>
          <w:szCs w:val="24"/>
        </w:rPr>
        <w:footnoteReference w:id="7"/>
      </w:r>
    </w:p>
    <w:p w14:paraId="157E2903" w14:textId="77777777" w:rsidR="009F0F87" w:rsidRPr="009F0F87" w:rsidRDefault="009F0F87" w:rsidP="009F0F87">
      <w:pPr>
        <w:jc w:val="both"/>
        <w:rPr>
          <w:rFonts w:cstheme="minorHAnsi"/>
          <w:b/>
          <w:bCs/>
          <w:color w:val="70AD47" w:themeColor="accent6"/>
          <w:sz w:val="24"/>
          <w:szCs w:val="24"/>
        </w:rPr>
      </w:pPr>
      <w:r w:rsidRPr="009F0F87">
        <w:rPr>
          <w:rFonts w:cstheme="minorHAnsi"/>
          <w:b/>
          <w:bCs/>
          <w:color w:val="70AD47" w:themeColor="accent6"/>
          <w:sz w:val="24"/>
          <w:szCs w:val="24"/>
        </w:rPr>
        <w:t xml:space="preserve">  Recommendations:</w:t>
      </w:r>
    </w:p>
    <w:p w14:paraId="23F80F8A" w14:textId="77777777" w:rsidR="009F0F87" w:rsidRPr="009F0F87" w:rsidRDefault="009F0F87" w:rsidP="009F0F87">
      <w:pPr>
        <w:pStyle w:val="ListParagraph"/>
        <w:numPr>
          <w:ilvl w:val="0"/>
          <w:numId w:val="6"/>
        </w:numPr>
        <w:spacing w:after="160" w:line="259" w:lineRule="auto"/>
        <w:jc w:val="both"/>
        <w:rPr>
          <w:rFonts w:cstheme="minorHAnsi"/>
          <w:sz w:val="24"/>
          <w:szCs w:val="24"/>
        </w:rPr>
      </w:pPr>
      <w:r w:rsidRPr="009F0F87">
        <w:rPr>
          <w:rFonts w:cstheme="minorHAnsi"/>
          <w:sz w:val="24"/>
          <w:szCs w:val="24"/>
        </w:rPr>
        <w:t>Examining the enactment of new legislation that would enhance the rights of inmates in the State Party;</w:t>
      </w:r>
    </w:p>
    <w:p w14:paraId="7E78E47D" w14:textId="77777777" w:rsidR="009F0F87" w:rsidRPr="009F0F87" w:rsidRDefault="009F0F87" w:rsidP="009F0F87">
      <w:pPr>
        <w:pStyle w:val="ListParagraph"/>
        <w:numPr>
          <w:ilvl w:val="0"/>
          <w:numId w:val="6"/>
        </w:numPr>
        <w:spacing w:after="160" w:line="259" w:lineRule="auto"/>
        <w:jc w:val="both"/>
        <w:rPr>
          <w:rFonts w:cstheme="minorHAnsi"/>
          <w:sz w:val="24"/>
          <w:szCs w:val="24"/>
        </w:rPr>
      </w:pPr>
      <w:r w:rsidRPr="009F0F87">
        <w:rPr>
          <w:rFonts w:cstheme="minorHAnsi"/>
          <w:sz w:val="24"/>
          <w:szCs w:val="24"/>
        </w:rPr>
        <w:t>Expanding rehabilitation programs and integrating those released into society, through cooperation with civil society organizations and the private sector; to provide all types of necessary support to them;</w:t>
      </w:r>
    </w:p>
    <w:p w14:paraId="7EE29AEC" w14:textId="77777777" w:rsidR="009F0F87" w:rsidRPr="009F0F87" w:rsidRDefault="009F0F87" w:rsidP="009F0F87">
      <w:pPr>
        <w:pStyle w:val="ListParagraph"/>
        <w:numPr>
          <w:ilvl w:val="0"/>
          <w:numId w:val="6"/>
        </w:numPr>
        <w:spacing w:after="160" w:line="259" w:lineRule="auto"/>
        <w:jc w:val="both"/>
        <w:rPr>
          <w:rFonts w:cstheme="minorHAnsi"/>
          <w:sz w:val="24"/>
          <w:szCs w:val="24"/>
        </w:rPr>
      </w:pPr>
      <w:r w:rsidRPr="009F0F87">
        <w:rPr>
          <w:rFonts w:cstheme="minorHAnsi"/>
          <w:sz w:val="24"/>
          <w:szCs w:val="24"/>
        </w:rPr>
        <w:t>Taking further positive measures aimed at preventing any practice that might degrade the dignity of inmates in places of detention in the State Party;</w:t>
      </w:r>
    </w:p>
    <w:p w14:paraId="565E5854" w14:textId="77777777" w:rsidR="009F0F87" w:rsidRPr="009F0F87" w:rsidRDefault="009F0F87" w:rsidP="009F0F87">
      <w:pPr>
        <w:pStyle w:val="ListParagraph"/>
        <w:numPr>
          <w:ilvl w:val="0"/>
          <w:numId w:val="6"/>
        </w:numPr>
        <w:spacing w:after="160" w:line="259" w:lineRule="auto"/>
        <w:jc w:val="both"/>
        <w:rPr>
          <w:rFonts w:cstheme="minorHAnsi"/>
          <w:sz w:val="24"/>
          <w:szCs w:val="24"/>
        </w:rPr>
      </w:pPr>
      <w:r w:rsidRPr="009F0F87">
        <w:rPr>
          <w:rFonts w:cstheme="minorHAnsi"/>
          <w:sz w:val="24"/>
          <w:szCs w:val="24"/>
        </w:rPr>
        <w:t>Providing detention centers in the State Party with a sufficient number of qualified public cadres of social workers and psychologists; To provide the necessary mental health care for inmates.</w:t>
      </w:r>
    </w:p>
    <w:p w14:paraId="7C6F6D72" w14:textId="77777777" w:rsidR="009F0F87" w:rsidRPr="009F0F87" w:rsidRDefault="009F0F87" w:rsidP="009F0F87">
      <w:pPr>
        <w:pStyle w:val="ListParagraph"/>
        <w:numPr>
          <w:ilvl w:val="0"/>
          <w:numId w:val="6"/>
        </w:numPr>
        <w:spacing w:after="160" w:line="259" w:lineRule="auto"/>
        <w:jc w:val="both"/>
        <w:rPr>
          <w:rFonts w:cstheme="minorHAnsi"/>
          <w:sz w:val="24"/>
          <w:szCs w:val="24"/>
        </w:rPr>
      </w:pPr>
      <w:r w:rsidRPr="009F0F87">
        <w:rPr>
          <w:rFonts w:cstheme="minorHAnsi"/>
          <w:sz w:val="24"/>
          <w:szCs w:val="24"/>
        </w:rPr>
        <w:t>Promoting ethics of respect for the law and compliance with international human rights standards by public officials and prison officers, by holding more training courses and workshops related to human rights, promoting the rights of inmates/prisoners, and ensuring that they are not subjected to any type of torture or harsh, inhuman or degrading punishment.</w:t>
      </w:r>
    </w:p>
    <w:p w14:paraId="59C6B3EF" w14:textId="77777777" w:rsidR="009F0F87" w:rsidRPr="009F0F87" w:rsidRDefault="009F0F87" w:rsidP="009F0F87">
      <w:pPr>
        <w:jc w:val="both"/>
        <w:rPr>
          <w:rFonts w:cstheme="minorHAnsi"/>
          <w:b/>
          <w:bCs/>
          <w:color w:val="70AD47" w:themeColor="accent6"/>
          <w:sz w:val="24"/>
          <w:szCs w:val="24"/>
          <w:u w:val="single"/>
        </w:rPr>
      </w:pPr>
      <w:r w:rsidRPr="009F0F87">
        <w:rPr>
          <w:rFonts w:cstheme="minorHAnsi"/>
          <w:b/>
          <w:bCs/>
          <w:color w:val="70AD47" w:themeColor="accent6"/>
          <w:sz w:val="24"/>
          <w:szCs w:val="24"/>
          <w:u w:val="single"/>
        </w:rPr>
        <w:t>Second: Investigation into Torture Practices and the Right of Torture Victims to Submit Complaints (Articles 12 &amp; 13)</w:t>
      </w:r>
    </w:p>
    <w:p w14:paraId="36F1CC0A" w14:textId="77777777" w:rsidR="009F0F87" w:rsidRPr="009F0F87" w:rsidRDefault="009F0F87" w:rsidP="009F0F87">
      <w:pPr>
        <w:ind w:firstLine="720"/>
        <w:jc w:val="both"/>
        <w:rPr>
          <w:rFonts w:cstheme="minorHAnsi"/>
          <w:sz w:val="24"/>
          <w:szCs w:val="24"/>
        </w:rPr>
      </w:pPr>
      <w:r w:rsidRPr="009F0F87">
        <w:rPr>
          <w:rFonts w:cstheme="minorHAnsi"/>
          <w:sz w:val="24"/>
          <w:szCs w:val="24"/>
        </w:rPr>
        <w:lastRenderedPageBreak/>
        <w:t xml:space="preserve">The </w:t>
      </w:r>
      <w:r w:rsidRPr="009F0F87">
        <w:rPr>
          <w:rFonts w:cstheme="minorHAnsi"/>
          <w:b/>
          <w:bCs/>
          <w:sz w:val="24"/>
          <w:szCs w:val="24"/>
        </w:rPr>
        <w:t>Police Authority Law</w:t>
      </w:r>
      <w:r w:rsidRPr="009F0F87">
        <w:rPr>
          <w:rFonts w:cstheme="minorHAnsi"/>
          <w:sz w:val="24"/>
          <w:szCs w:val="24"/>
        </w:rPr>
        <w:t xml:space="preserve"> entrusts the General Directorate of Inspection at the Ministry of Interior with the investigation of disciplinary violations attributed to officers. Similarly, the General Administration of Personnel Affairs conducts investigations into disciplinary violations involving individuals. </w:t>
      </w:r>
      <w:r w:rsidRPr="009F0F87">
        <w:rPr>
          <w:rFonts w:cstheme="minorHAnsi"/>
          <w:b/>
          <w:bCs/>
          <w:sz w:val="24"/>
          <w:szCs w:val="24"/>
        </w:rPr>
        <w:t>According to Articles 53 and 54 of the Police Authority Law</w:t>
      </w:r>
      <w:r w:rsidRPr="009F0F87">
        <w:rPr>
          <w:rFonts w:cstheme="minorHAnsi"/>
          <w:sz w:val="24"/>
          <w:szCs w:val="24"/>
        </w:rPr>
        <w:t xml:space="preserve">, officers are subject to preventive detention during investigation or implementation procedures. If a criminal ruling is issued, the officer is automatically suspended from work for the duration of their imprisonment. In certain circumstances, officers may also be temporarily suspended from duty if it is deemed necessary for the ongoing investigation. It is important to note that officers suspected of engaging in any form of torture are suspended from duty and are not reinstated until they are acquitted, regardless of whether a decision to detain them in custody has been made. The </w:t>
      </w:r>
      <w:r w:rsidRPr="009F0F87">
        <w:rPr>
          <w:rFonts w:cstheme="minorHAnsi"/>
          <w:b/>
          <w:bCs/>
          <w:sz w:val="24"/>
          <w:szCs w:val="24"/>
        </w:rPr>
        <w:t>Code of Criminal Procedure</w:t>
      </w:r>
      <w:r w:rsidRPr="009F0F87">
        <w:rPr>
          <w:rFonts w:cstheme="minorHAnsi"/>
          <w:sz w:val="24"/>
          <w:szCs w:val="24"/>
        </w:rPr>
        <w:t xml:space="preserve"> further empowers the Public Prosecution to investigate disciplinary violations committed by judicial officers and to initiate disciplinary proceedings against them. Article 22 of the Code stipulates that "judicial enforcement officers are under the supervision of the Public Prosecutor in the performance of their duties. The Public Prosecutor may request the competent authority to investigate any violations or negligence in their work and may also request the initiation of disciplinary proceedings. These measures do not preclude the filing of criminal charges.</w:t>
      </w:r>
      <w:r w:rsidRPr="009F0F87">
        <w:rPr>
          <w:rStyle w:val="FootnoteReference"/>
          <w:rFonts w:cstheme="minorHAnsi"/>
          <w:sz w:val="24"/>
          <w:szCs w:val="24"/>
        </w:rPr>
        <w:footnoteReference w:id="8"/>
      </w:r>
    </w:p>
    <w:p w14:paraId="752D6AE7" w14:textId="77777777" w:rsidR="009F0F87" w:rsidRPr="009F0F87" w:rsidRDefault="009F0F87" w:rsidP="009F0F87">
      <w:pPr>
        <w:ind w:firstLine="720"/>
        <w:jc w:val="both"/>
        <w:rPr>
          <w:rFonts w:cstheme="minorHAnsi"/>
          <w:sz w:val="24"/>
          <w:szCs w:val="24"/>
        </w:rPr>
      </w:pPr>
      <w:r w:rsidRPr="009F0F87">
        <w:rPr>
          <w:rFonts w:cstheme="minorHAnsi"/>
          <w:sz w:val="24"/>
          <w:szCs w:val="24"/>
        </w:rPr>
        <w:t xml:space="preserve">In a related context, with regard to investigations into acts of torture or ill-treatment that have been committed by law enforcement officers; </w:t>
      </w:r>
      <w:r w:rsidRPr="009F0F87">
        <w:rPr>
          <w:rFonts w:cstheme="minorHAnsi"/>
          <w:b/>
          <w:bCs/>
          <w:sz w:val="24"/>
          <w:szCs w:val="24"/>
        </w:rPr>
        <w:t>Criminal investigations and trials of police personnel were conducted in the period from 1/1/2010 to 4/10/2019</w:t>
      </w:r>
      <w:r w:rsidRPr="009F0F87">
        <w:rPr>
          <w:rFonts w:cstheme="minorHAnsi"/>
          <w:sz w:val="24"/>
          <w:szCs w:val="24"/>
        </w:rPr>
        <w:t>, with a total of 485 cases, including 41 incidents regarding the practice of torture, 117 incidents regarding the use of cruelty, and 327 incidents regarding ill-treatment and unlawful detention. Investigations and criminal trials in these incidents resulted in the convictions of 120 personnel, and 302 cases were closed, with 63 cases under deliberation. Disciplinary trials of police officers also took place during the same period, whether they were related to their committing practices that did not amount to torture and other forms of ill-treatment, trials related to convictions, or criminal trials, totaling 1,788 trials, resulted in 1,069 disciplinary convictions, and 622 cases were closed, while 97 remained under deliberation.</w:t>
      </w:r>
      <w:r w:rsidRPr="009F0F87">
        <w:rPr>
          <w:rStyle w:val="FootnoteReference"/>
          <w:rFonts w:cstheme="minorHAnsi"/>
          <w:sz w:val="24"/>
          <w:szCs w:val="24"/>
        </w:rPr>
        <w:footnoteReference w:id="9"/>
      </w:r>
    </w:p>
    <w:p w14:paraId="6A6B26DD" w14:textId="77777777" w:rsidR="009F0F87" w:rsidRPr="009F0F87" w:rsidRDefault="009F0F87" w:rsidP="009F0F87">
      <w:pPr>
        <w:ind w:firstLine="720"/>
        <w:jc w:val="both"/>
        <w:rPr>
          <w:rFonts w:cstheme="minorHAnsi"/>
          <w:sz w:val="24"/>
          <w:szCs w:val="24"/>
        </w:rPr>
      </w:pPr>
      <w:bookmarkStart w:id="8" w:name="OLE_LINK9"/>
      <w:r w:rsidRPr="009F0F87">
        <w:rPr>
          <w:rFonts w:cstheme="minorHAnsi"/>
          <w:b/>
          <w:bCs/>
          <w:sz w:val="24"/>
          <w:szCs w:val="24"/>
        </w:rPr>
        <w:t>Regarding the right of torture victims to submit complaints</w:t>
      </w:r>
      <w:r w:rsidRPr="009F0F87">
        <w:rPr>
          <w:rFonts w:cstheme="minorHAnsi"/>
          <w:sz w:val="24"/>
          <w:szCs w:val="24"/>
        </w:rPr>
        <w:t xml:space="preserve">, the Constitution of the State Party, in Article 99, established the jurisdiction of the National Council for Human Rights to inform the Public Prosecution of any violations of these rights. This provision is reiterated in Article 3 of the law that established the National Council for Human Rights, as amended by Law No. 197 of </w:t>
      </w:r>
      <w:r w:rsidRPr="009F0F87">
        <w:rPr>
          <w:rFonts w:cstheme="minorHAnsi"/>
          <w:sz w:val="24"/>
          <w:szCs w:val="24"/>
        </w:rPr>
        <w:lastRenderedPageBreak/>
        <w:t>2017. Additionally, Article 73 of the Prison Organization Law, amended by Law 106 of 2015, grants the National Council for Human Rights the right to visit prisons and receive complaints from prisoners.</w:t>
      </w:r>
      <w:r w:rsidRPr="009F0F87">
        <w:rPr>
          <w:rStyle w:val="FootnoteReference"/>
          <w:rFonts w:cstheme="minorHAnsi"/>
          <w:sz w:val="24"/>
          <w:szCs w:val="24"/>
        </w:rPr>
        <w:footnoteReference w:id="10"/>
      </w:r>
      <w:r w:rsidRPr="009F0F87">
        <w:rPr>
          <w:rFonts w:cstheme="minorHAnsi"/>
          <w:sz w:val="24"/>
          <w:szCs w:val="24"/>
        </w:rPr>
        <w:t xml:space="preserve"> Furthermore, the </w:t>
      </w:r>
      <w:r w:rsidRPr="009F0F87">
        <w:rPr>
          <w:rFonts w:cstheme="minorHAnsi"/>
          <w:b/>
          <w:bCs/>
          <w:sz w:val="24"/>
          <w:szCs w:val="24"/>
        </w:rPr>
        <w:t>Code of Criminal Procedure, in Articles 11 and 12, along with the judicial instructions governing the work of the Public Prosecution in Articles (212-145),</w:t>
      </w:r>
      <w:r w:rsidRPr="009F0F87">
        <w:rPr>
          <w:rFonts w:cstheme="minorHAnsi"/>
          <w:sz w:val="24"/>
          <w:szCs w:val="24"/>
        </w:rPr>
        <w:t xml:space="preserve"> stipulate that every crime classified as a felony must be investigated by the Public Prosecution. This includes crimes committed by police officers during the performance of their duties or incidents occurring in prisons, except for minor offenses. However, if the complaint is lodged against a prison employee, the judicial instructions require members of the Public Prosecution to personally investigate the matter without delay.</w:t>
      </w:r>
      <w:r w:rsidRPr="009F0F87">
        <w:rPr>
          <w:rStyle w:val="FootnoteReference"/>
          <w:rFonts w:cstheme="minorHAnsi"/>
          <w:sz w:val="24"/>
          <w:szCs w:val="24"/>
        </w:rPr>
        <w:footnoteReference w:id="11"/>
      </w:r>
    </w:p>
    <w:p w14:paraId="2BBECB5F" w14:textId="77777777" w:rsidR="009F0F87" w:rsidRPr="009F0F87" w:rsidRDefault="009F0F87" w:rsidP="009F0F87">
      <w:pPr>
        <w:ind w:firstLine="720"/>
        <w:jc w:val="both"/>
        <w:rPr>
          <w:rFonts w:cstheme="minorHAnsi"/>
          <w:sz w:val="24"/>
          <w:szCs w:val="24"/>
        </w:rPr>
      </w:pPr>
      <w:r w:rsidRPr="009F0F87">
        <w:rPr>
          <w:rFonts w:cstheme="minorHAnsi"/>
          <w:sz w:val="24"/>
          <w:szCs w:val="24"/>
        </w:rPr>
        <w:t xml:space="preserve">In order to provide </w:t>
      </w:r>
      <w:r w:rsidRPr="009F0F87">
        <w:rPr>
          <w:rFonts w:cstheme="minorHAnsi"/>
          <w:b/>
          <w:bCs/>
          <w:sz w:val="24"/>
          <w:szCs w:val="24"/>
        </w:rPr>
        <w:t>an independent mechanism for receiving and investigating complaints, the Human Rights Department was established</w:t>
      </w:r>
      <w:r w:rsidRPr="009F0F87">
        <w:rPr>
          <w:rFonts w:cstheme="minorHAnsi"/>
          <w:sz w:val="24"/>
          <w:szCs w:val="24"/>
        </w:rPr>
        <w:t xml:space="preserve"> within the Office of the Attorney General through Resolution No. 2034 of 2017. This department is empowered to receive complaints, reports, and information related to human rights violations, examine and study them, initiate investigations, and take appropriate actions. Complaints that fall within its jurisdiction are referred to the competent prosecution offices for further legal action.</w:t>
      </w:r>
      <w:r w:rsidRPr="009F0F87">
        <w:rPr>
          <w:rStyle w:val="FootnoteReference"/>
          <w:rFonts w:cstheme="minorHAnsi"/>
          <w:sz w:val="24"/>
          <w:szCs w:val="24"/>
        </w:rPr>
        <w:footnoteReference w:id="12"/>
      </w:r>
      <w:r w:rsidRPr="009F0F87">
        <w:rPr>
          <w:rFonts w:cstheme="minorHAnsi"/>
          <w:sz w:val="24"/>
          <w:szCs w:val="24"/>
        </w:rPr>
        <w:t xml:space="preserve"> The Human Rights Department has received a total of 2,249 reports since its establishment until September 2019. These reports include 662 submissions from government agencies, 765 from individuals through social media, 174 from the National Council for Human Rights, 515 from the National Council for Childhood and Motherhood, as well as 61 direct reports and 72 received from prosecution offices. Of these reports, 1,986 cases have been examined and investigated, while 263 cases remain under examination.</w:t>
      </w:r>
      <w:r w:rsidRPr="009F0F87">
        <w:rPr>
          <w:rStyle w:val="FootnoteReference"/>
          <w:rFonts w:cstheme="minorHAnsi"/>
          <w:sz w:val="24"/>
          <w:szCs w:val="24"/>
        </w:rPr>
        <w:footnoteReference w:id="13"/>
      </w:r>
    </w:p>
    <w:p w14:paraId="518CC23E" w14:textId="77777777" w:rsidR="009F0F87" w:rsidRPr="009F0F87" w:rsidRDefault="009F0F87" w:rsidP="009F0F87">
      <w:pPr>
        <w:ind w:firstLine="720"/>
        <w:jc w:val="both"/>
        <w:rPr>
          <w:rFonts w:cstheme="minorHAnsi"/>
          <w:sz w:val="24"/>
          <w:szCs w:val="24"/>
        </w:rPr>
      </w:pPr>
      <w:r w:rsidRPr="009F0F87">
        <w:rPr>
          <w:rFonts w:cstheme="minorHAnsi"/>
          <w:sz w:val="24"/>
          <w:szCs w:val="24"/>
        </w:rPr>
        <w:t xml:space="preserve">Within the realm of complaints, </w:t>
      </w:r>
      <w:r w:rsidRPr="009F0F87">
        <w:rPr>
          <w:rFonts w:cstheme="minorHAnsi"/>
          <w:b/>
          <w:bCs/>
          <w:sz w:val="24"/>
          <w:szCs w:val="24"/>
        </w:rPr>
        <w:t xml:space="preserve">those related to the rights of prisoners constituted the majority, </w:t>
      </w:r>
      <w:r w:rsidRPr="009F0F87">
        <w:rPr>
          <w:rFonts w:cstheme="minorHAnsi"/>
          <w:sz w:val="24"/>
          <w:szCs w:val="24"/>
        </w:rPr>
        <w:t xml:space="preserve">accounting for 80% of the total complaints received by the National Council for Human Rights in the year 2019-2020 under the Civil and Political Rights and Prisoners File. These complaints encompassed various issues such as poor living conditions, healthcare provision, transportation requests, food and clothing concerns, access to education, communication with the outside world through family visits, conditional and health releases, presidential pardons, violations of bodily integrity, solitary confinement, or any act that would prejudice the dignity of the prisoner. The National Council for Human Rights plays a crucial role in conducting periodic </w:t>
      </w:r>
      <w:r w:rsidRPr="009F0F87">
        <w:rPr>
          <w:rFonts w:cstheme="minorHAnsi"/>
          <w:sz w:val="24"/>
          <w:szCs w:val="24"/>
        </w:rPr>
        <w:lastRenderedPageBreak/>
        <w:t>visits to review the situation of prisoners and address their complaints in different detention facilities across the State Party. We appreciate their efforts in publishing detailed data on these complaints and the outcomes of their investigations. It is recommended that the State Party include statistical data related to complaints received from torture victims and the investigation results in their upcoming periodic report to the committee.</w:t>
      </w:r>
      <w:r w:rsidRPr="009F0F87">
        <w:rPr>
          <w:rStyle w:val="FootnoteReference"/>
          <w:rFonts w:cstheme="minorHAnsi"/>
          <w:sz w:val="24"/>
          <w:szCs w:val="24"/>
        </w:rPr>
        <w:footnoteReference w:id="14"/>
      </w:r>
    </w:p>
    <w:bookmarkEnd w:id="8"/>
    <w:p w14:paraId="2004B059" w14:textId="77777777" w:rsidR="009F0F87" w:rsidRPr="009F0F87" w:rsidRDefault="009F0F87" w:rsidP="009F0F87">
      <w:pPr>
        <w:jc w:val="both"/>
        <w:rPr>
          <w:rFonts w:cstheme="minorHAnsi"/>
          <w:color w:val="70AD47" w:themeColor="accent6"/>
          <w:sz w:val="24"/>
          <w:szCs w:val="24"/>
        </w:rPr>
      </w:pPr>
      <w:r w:rsidRPr="009F0F87">
        <w:rPr>
          <w:rFonts w:cstheme="minorHAnsi"/>
          <w:b/>
          <w:bCs/>
          <w:color w:val="70AD47" w:themeColor="accent6"/>
          <w:sz w:val="24"/>
          <w:szCs w:val="24"/>
        </w:rPr>
        <w:t>Recommendations</w:t>
      </w:r>
      <w:r w:rsidRPr="009F0F87">
        <w:rPr>
          <w:rFonts w:cstheme="minorHAnsi"/>
          <w:color w:val="70AD47" w:themeColor="accent6"/>
          <w:sz w:val="24"/>
          <w:szCs w:val="24"/>
        </w:rPr>
        <w:t>:</w:t>
      </w:r>
    </w:p>
    <w:p w14:paraId="6EEE086B" w14:textId="77777777" w:rsidR="009F0F87" w:rsidRPr="009F0F87" w:rsidRDefault="009F0F87" w:rsidP="009F0F87">
      <w:pPr>
        <w:pStyle w:val="ListParagraph"/>
        <w:numPr>
          <w:ilvl w:val="0"/>
          <w:numId w:val="6"/>
        </w:numPr>
        <w:spacing w:after="160" w:line="259" w:lineRule="auto"/>
        <w:jc w:val="both"/>
        <w:rPr>
          <w:rFonts w:cstheme="minorHAnsi"/>
          <w:sz w:val="24"/>
          <w:szCs w:val="24"/>
        </w:rPr>
      </w:pPr>
      <w:r w:rsidRPr="009F0F87">
        <w:rPr>
          <w:rFonts w:cstheme="minorHAnsi"/>
          <w:sz w:val="24"/>
          <w:szCs w:val="24"/>
        </w:rPr>
        <w:t>Developing mechanisms that would provide greater protection for victims of torture and their relatives, as well as witnesses and investigators, from any form of intimidation or retaliation to which they are exposed;</w:t>
      </w:r>
    </w:p>
    <w:p w14:paraId="3CC5D2A7" w14:textId="77777777" w:rsidR="009F0F87" w:rsidRPr="009F0F87" w:rsidRDefault="009F0F87" w:rsidP="009F0F87">
      <w:pPr>
        <w:pStyle w:val="ListParagraph"/>
        <w:numPr>
          <w:ilvl w:val="0"/>
          <w:numId w:val="6"/>
        </w:numPr>
        <w:spacing w:after="160" w:line="259" w:lineRule="auto"/>
        <w:jc w:val="both"/>
        <w:rPr>
          <w:rFonts w:cstheme="minorHAnsi"/>
          <w:sz w:val="24"/>
          <w:szCs w:val="24"/>
        </w:rPr>
      </w:pPr>
      <w:r w:rsidRPr="009F0F87">
        <w:rPr>
          <w:rFonts w:cstheme="minorHAnsi"/>
          <w:sz w:val="24"/>
          <w:szCs w:val="24"/>
        </w:rPr>
        <w:t>Providing regular training courses for security forces; to ensure that they apply non-violent measures before any use of force when controlling demonstrations and that they respect the principles of legality, necessity, proportionality and accountability;</w:t>
      </w:r>
    </w:p>
    <w:p w14:paraId="0C2F2C29" w14:textId="77777777" w:rsidR="009F0F87" w:rsidRPr="009F0F87" w:rsidRDefault="009F0F87" w:rsidP="009F0F87">
      <w:pPr>
        <w:pStyle w:val="ListParagraph"/>
        <w:numPr>
          <w:ilvl w:val="0"/>
          <w:numId w:val="6"/>
        </w:numPr>
        <w:spacing w:after="160" w:line="259" w:lineRule="auto"/>
        <w:jc w:val="both"/>
        <w:rPr>
          <w:rFonts w:cstheme="minorHAnsi"/>
          <w:sz w:val="24"/>
          <w:szCs w:val="24"/>
        </w:rPr>
      </w:pPr>
      <w:r w:rsidRPr="009F0F87">
        <w:rPr>
          <w:rFonts w:cstheme="minorHAnsi"/>
          <w:sz w:val="24"/>
          <w:szCs w:val="24"/>
        </w:rPr>
        <w:t>Responding to allegations of unnecessary use of force against detainees in places of detention in the State Party;</w:t>
      </w:r>
    </w:p>
    <w:p w14:paraId="08BDCC0F" w14:textId="77777777" w:rsidR="009F0F87" w:rsidRPr="009F0F87" w:rsidRDefault="009F0F87" w:rsidP="009F0F87">
      <w:pPr>
        <w:pStyle w:val="ListParagraph"/>
        <w:numPr>
          <w:ilvl w:val="0"/>
          <w:numId w:val="6"/>
        </w:numPr>
        <w:spacing w:after="160" w:line="259" w:lineRule="auto"/>
        <w:jc w:val="both"/>
        <w:rPr>
          <w:rFonts w:cstheme="minorHAnsi"/>
          <w:sz w:val="24"/>
          <w:szCs w:val="24"/>
        </w:rPr>
      </w:pPr>
      <w:r w:rsidRPr="009F0F87">
        <w:rPr>
          <w:rFonts w:cstheme="minorHAnsi"/>
          <w:sz w:val="24"/>
          <w:szCs w:val="24"/>
        </w:rPr>
        <w:t>Consider establishing by competent authorities a dedicated, effective and independent mechanism for confidential complaints that can be submitted to an independent body in all places of detention.</w:t>
      </w:r>
    </w:p>
    <w:p w14:paraId="744A0089" w14:textId="77777777" w:rsidR="009F0F87" w:rsidRPr="009F0F87" w:rsidRDefault="009F0F87" w:rsidP="009F0F87">
      <w:pPr>
        <w:jc w:val="both"/>
        <w:rPr>
          <w:rFonts w:cstheme="minorHAnsi"/>
          <w:b/>
          <w:bCs/>
          <w:color w:val="70AD47" w:themeColor="accent6"/>
          <w:sz w:val="24"/>
          <w:szCs w:val="24"/>
          <w:u w:val="single"/>
        </w:rPr>
      </w:pPr>
      <w:r w:rsidRPr="009F0F87">
        <w:rPr>
          <w:rFonts w:cstheme="minorHAnsi"/>
          <w:b/>
          <w:bCs/>
          <w:color w:val="70AD47" w:themeColor="accent6"/>
          <w:sz w:val="24"/>
          <w:szCs w:val="24"/>
          <w:u w:val="single"/>
        </w:rPr>
        <w:t>Third: Not Invoking Confessions Extracted under Torture (Article 15)</w:t>
      </w:r>
    </w:p>
    <w:p w14:paraId="56038499" w14:textId="77777777" w:rsidR="009F0F87" w:rsidRPr="009F0F87" w:rsidRDefault="009F0F87" w:rsidP="009F0F87">
      <w:pPr>
        <w:ind w:firstLine="720"/>
        <w:jc w:val="both"/>
        <w:rPr>
          <w:rFonts w:cstheme="minorHAnsi"/>
          <w:sz w:val="24"/>
          <w:szCs w:val="24"/>
        </w:rPr>
      </w:pPr>
      <w:r w:rsidRPr="009F0F87">
        <w:rPr>
          <w:rFonts w:cstheme="minorHAnsi"/>
          <w:sz w:val="24"/>
          <w:szCs w:val="24"/>
        </w:rPr>
        <w:t xml:space="preserve">The </w:t>
      </w:r>
      <w:r w:rsidRPr="009F0F87">
        <w:rPr>
          <w:rFonts w:cstheme="minorHAnsi"/>
          <w:b/>
          <w:bCs/>
          <w:sz w:val="24"/>
          <w:szCs w:val="24"/>
        </w:rPr>
        <w:t>Egyptian Constitution, along with the internal legislation of the State Party</w:t>
      </w:r>
      <w:r w:rsidRPr="009F0F87">
        <w:rPr>
          <w:rFonts w:cstheme="minorHAnsi"/>
          <w:sz w:val="24"/>
          <w:szCs w:val="24"/>
        </w:rPr>
        <w:t>, firmly upholds the principle of disregarding statements obtained through torture. Article 55 of the Egyptian Constitution explicitly states that “Every person who is either arrested, detained, or his freedom is restricted shall be treated in a manner that maintains his dignity. He/she may not be tortured, intimidated, coerced, or physically or morally harmed; and may not be seized or detained except in places designated for that purpose, which shall be adequate on human and health levels. The State shall cater to the needs of people with disabilities. Violating any of the aforementioned is a crime punished by Law. An accused has the right to remain silent. Every statement proved to be made by a detainee under any of the foregoing actions, or threat thereof, shall be disregarded and not be relied upon.”</w:t>
      </w:r>
      <w:r w:rsidRPr="009F0F87">
        <w:rPr>
          <w:rStyle w:val="FootnoteReference"/>
          <w:rFonts w:cstheme="minorHAnsi"/>
          <w:sz w:val="24"/>
          <w:szCs w:val="24"/>
        </w:rPr>
        <w:footnoteReference w:id="15"/>
      </w:r>
    </w:p>
    <w:p w14:paraId="6002D319" w14:textId="77777777" w:rsidR="009F0F87" w:rsidRPr="009F0F87" w:rsidRDefault="009F0F87" w:rsidP="009F0F87">
      <w:pPr>
        <w:ind w:firstLine="720"/>
        <w:jc w:val="both"/>
        <w:rPr>
          <w:rFonts w:cstheme="minorHAnsi"/>
          <w:sz w:val="24"/>
          <w:szCs w:val="24"/>
        </w:rPr>
      </w:pPr>
      <w:r w:rsidRPr="009F0F87">
        <w:rPr>
          <w:rFonts w:cstheme="minorHAnsi"/>
          <w:b/>
          <w:bCs/>
          <w:sz w:val="24"/>
          <w:szCs w:val="24"/>
        </w:rPr>
        <w:t>Article 302 of the Code of Procedure</w:t>
      </w:r>
      <w:r w:rsidRPr="009F0F87">
        <w:rPr>
          <w:rFonts w:cstheme="minorHAnsi"/>
          <w:sz w:val="24"/>
          <w:szCs w:val="24"/>
        </w:rPr>
        <w:t xml:space="preserve"> further reinforces this stance, stating that judges must base their rulings on evidence presented during the session. Any statement derived from </w:t>
      </w:r>
      <w:r w:rsidRPr="009F0F87">
        <w:rPr>
          <w:rFonts w:cstheme="minorHAnsi"/>
          <w:sz w:val="24"/>
          <w:szCs w:val="24"/>
        </w:rPr>
        <w:lastRenderedPageBreak/>
        <w:t>an accused person or witness under coercion or threat is considered unreliable and should not be taken into consideration.</w:t>
      </w:r>
      <w:r w:rsidRPr="009F0F87">
        <w:rPr>
          <w:rStyle w:val="FootnoteReference"/>
          <w:rFonts w:cstheme="minorHAnsi"/>
          <w:sz w:val="24"/>
          <w:szCs w:val="24"/>
        </w:rPr>
        <w:footnoteReference w:id="16"/>
      </w:r>
    </w:p>
    <w:p w14:paraId="6769470A" w14:textId="77777777" w:rsidR="009F0F87" w:rsidRPr="009F0F87" w:rsidRDefault="009F0F87" w:rsidP="009F0F87">
      <w:pPr>
        <w:ind w:firstLine="720"/>
        <w:jc w:val="both"/>
        <w:rPr>
          <w:rFonts w:cstheme="minorHAnsi"/>
          <w:sz w:val="24"/>
          <w:szCs w:val="24"/>
        </w:rPr>
      </w:pPr>
      <w:r w:rsidRPr="009F0F87">
        <w:rPr>
          <w:rFonts w:cstheme="minorHAnsi"/>
          <w:sz w:val="24"/>
          <w:szCs w:val="24"/>
        </w:rPr>
        <w:t xml:space="preserve">Additionally, according to statements issued by the government of the State Party, the </w:t>
      </w:r>
      <w:r w:rsidRPr="009F0F87">
        <w:rPr>
          <w:rFonts w:cstheme="minorHAnsi"/>
          <w:b/>
          <w:bCs/>
          <w:sz w:val="24"/>
          <w:szCs w:val="24"/>
        </w:rPr>
        <w:t xml:space="preserve">Court of Cassation has consistently emphasized the principle of disregarding testimonies obtained through coercion or threat, </w:t>
      </w:r>
      <w:r w:rsidRPr="009F0F87">
        <w:rPr>
          <w:rFonts w:cstheme="minorHAnsi"/>
          <w:sz w:val="24"/>
          <w:szCs w:val="24"/>
        </w:rPr>
        <w:t>regardless of the type of evidence, whether verbal or material. Any evidence derived from non-free will, whether due to torture, inhuman treatment, or the mere threat thereof, is deemed invalid. Failure by the court to implement this principle and address the concerns of the defense provides legal justification for appealing the ruling. Successive court rulings also invalidate confessions obtained through coercion, even if the resulting evidence aligns with other legitimate evidence in the case. Procedural legitimacy takes precedence, even if it means a criminal might escape punishment, as the Constitution and the law supersede other considerations. We welcome, with the praise of the State’s inclusion in its national report, some of the judicial applications and documented examples in which the Court of Cassation wasted evidence in criminal cases after it stood on achieving the facts of torture and coercion of the evidence that was derived from it</w:t>
      </w:r>
      <w:r w:rsidRPr="009F0F87">
        <w:rPr>
          <w:rStyle w:val="FootnoteReference"/>
          <w:rFonts w:cstheme="minorHAnsi"/>
          <w:sz w:val="24"/>
          <w:szCs w:val="24"/>
        </w:rPr>
        <w:footnoteReference w:id="17"/>
      </w:r>
      <w:r w:rsidRPr="009F0F87">
        <w:rPr>
          <w:rFonts w:cstheme="minorHAnsi"/>
          <w:sz w:val="24"/>
          <w:szCs w:val="24"/>
        </w:rPr>
        <w:t xml:space="preserve"> </w:t>
      </w:r>
      <w:r w:rsidRPr="009F0F87">
        <w:rPr>
          <w:rFonts w:cstheme="minorHAnsi"/>
          <w:b/>
          <w:bCs/>
          <w:sz w:val="24"/>
          <w:szCs w:val="24"/>
        </w:rPr>
        <w:t>Furthermore, we commend the State Party for including in its national report examples of judicial applications and documented cases where the Court of Cassation discarded evidence tainted by incidents of torture and coercion.</w:t>
      </w:r>
      <w:r w:rsidRPr="009F0F87">
        <w:rPr>
          <w:rStyle w:val="FootnoteReference"/>
          <w:rFonts w:cstheme="minorHAnsi"/>
          <w:b/>
          <w:bCs/>
          <w:sz w:val="24"/>
          <w:szCs w:val="24"/>
        </w:rPr>
        <w:footnoteReference w:id="18"/>
      </w:r>
    </w:p>
    <w:p w14:paraId="4CD7261F" w14:textId="77777777" w:rsidR="009F0F87" w:rsidRPr="009F0F87" w:rsidRDefault="009F0F87" w:rsidP="009F0F87">
      <w:pPr>
        <w:ind w:firstLine="720"/>
        <w:jc w:val="both"/>
        <w:rPr>
          <w:rFonts w:cstheme="minorHAnsi"/>
          <w:b/>
          <w:bCs/>
          <w:color w:val="00B0F0"/>
          <w:sz w:val="24"/>
          <w:szCs w:val="24"/>
        </w:rPr>
      </w:pPr>
      <w:r w:rsidRPr="009F0F87">
        <w:rPr>
          <w:rFonts w:cstheme="minorHAnsi"/>
          <w:sz w:val="24"/>
          <w:szCs w:val="24"/>
        </w:rPr>
        <w:t xml:space="preserve">It is worth noting that the </w:t>
      </w:r>
      <w:r w:rsidRPr="009F0F87">
        <w:rPr>
          <w:rFonts w:cstheme="minorHAnsi"/>
          <w:b/>
          <w:bCs/>
          <w:sz w:val="24"/>
          <w:szCs w:val="24"/>
        </w:rPr>
        <w:t>judicial system of the State Party expressly prohibits psychological stress, torture, and other forms of cruel, inhuman, or degrading treatment or punishment of the accused.</w:t>
      </w:r>
      <w:r w:rsidRPr="009F0F87">
        <w:rPr>
          <w:rFonts w:cstheme="minorHAnsi"/>
          <w:sz w:val="24"/>
          <w:szCs w:val="24"/>
        </w:rPr>
        <w:t xml:space="preserve"> While the Code of Criminal Procedure does not specifically regulate the duration of interrogations, the judiciary of the State Party has established a standard for invalidating confessions if the accused is subjected to prolonged questioning.</w:t>
      </w:r>
      <w:r w:rsidRPr="009F0F87">
        <w:rPr>
          <w:rStyle w:val="FootnoteReference"/>
          <w:rFonts w:cstheme="minorHAnsi"/>
          <w:sz w:val="24"/>
          <w:szCs w:val="24"/>
        </w:rPr>
        <w:footnoteReference w:id="19"/>
      </w:r>
      <w:r w:rsidRPr="009F0F87">
        <w:rPr>
          <w:rFonts w:cstheme="minorHAnsi"/>
          <w:sz w:val="24"/>
          <w:szCs w:val="24"/>
        </w:rPr>
        <w:t xml:space="preserve"> The Court of Cassation has ruled that continuous hours of interrogation resulting in harm, whether physical or psychological, constitute coercion, rendering the interrogation and any resulting confession invalid. </w:t>
      </w:r>
      <w:r w:rsidRPr="009F0F87">
        <w:rPr>
          <w:rStyle w:val="FootnoteReference"/>
          <w:rFonts w:cstheme="minorHAnsi"/>
          <w:sz w:val="24"/>
          <w:szCs w:val="24"/>
        </w:rPr>
        <w:footnoteReference w:id="20"/>
      </w:r>
    </w:p>
    <w:p w14:paraId="74DE44C8" w14:textId="77777777" w:rsidR="009F0F87" w:rsidRPr="009F0F87" w:rsidRDefault="009F0F87" w:rsidP="009F0F87">
      <w:pPr>
        <w:jc w:val="both"/>
        <w:rPr>
          <w:rFonts w:cstheme="minorHAnsi"/>
          <w:color w:val="70AD47" w:themeColor="accent6"/>
          <w:sz w:val="24"/>
          <w:szCs w:val="24"/>
        </w:rPr>
      </w:pPr>
      <w:r w:rsidRPr="009F0F87">
        <w:rPr>
          <w:rFonts w:cstheme="minorHAnsi"/>
          <w:b/>
          <w:bCs/>
          <w:color w:val="70AD47" w:themeColor="accent6"/>
          <w:sz w:val="24"/>
          <w:szCs w:val="24"/>
          <w:u w:val="single"/>
        </w:rPr>
        <w:lastRenderedPageBreak/>
        <w:t>Recommendations</w:t>
      </w:r>
      <w:r w:rsidRPr="009F0F87">
        <w:rPr>
          <w:rFonts w:cstheme="minorHAnsi"/>
          <w:color w:val="70AD47" w:themeColor="accent6"/>
          <w:sz w:val="24"/>
          <w:szCs w:val="24"/>
        </w:rPr>
        <w:t>:</w:t>
      </w:r>
    </w:p>
    <w:p w14:paraId="0E019E7A" w14:textId="77777777" w:rsidR="009F0F87" w:rsidRPr="009F0F87" w:rsidRDefault="009F0F87" w:rsidP="009F0F87">
      <w:pPr>
        <w:pStyle w:val="ListParagraph"/>
        <w:numPr>
          <w:ilvl w:val="0"/>
          <w:numId w:val="6"/>
        </w:numPr>
        <w:spacing w:after="160" w:line="259" w:lineRule="auto"/>
        <w:jc w:val="both"/>
        <w:rPr>
          <w:rFonts w:cstheme="minorHAnsi"/>
          <w:sz w:val="24"/>
          <w:szCs w:val="24"/>
        </w:rPr>
      </w:pPr>
      <w:r w:rsidRPr="009F0F87">
        <w:rPr>
          <w:rFonts w:cstheme="minorHAnsi"/>
          <w:sz w:val="24"/>
          <w:szCs w:val="24"/>
        </w:rPr>
        <w:t>Developing more mechanisms to ensure that evidence obtained under duress, threats or torture is not taken into account in any way and under any circumstances;</w:t>
      </w:r>
    </w:p>
    <w:p w14:paraId="6F295E7F" w14:textId="77777777" w:rsidR="009F0F87" w:rsidRPr="009F0F87" w:rsidRDefault="009F0F87" w:rsidP="009F0F87">
      <w:pPr>
        <w:pStyle w:val="ListParagraph"/>
        <w:numPr>
          <w:ilvl w:val="0"/>
          <w:numId w:val="6"/>
        </w:numPr>
        <w:spacing w:after="160" w:line="259" w:lineRule="auto"/>
        <w:jc w:val="both"/>
        <w:rPr>
          <w:rFonts w:cstheme="minorHAnsi"/>
          <w:sz w:val="24"/>
          <w:szCs w:val="24"/>
        </w:rPr>
      </w:pPr>
      <w:r w:rsidRPr="009F0F87">
        <w:rPr>
          <w:rFonts w:cstheme="minorHAnsi"/>
          <w:sz w:val="24"/>
          <w:szCs w:val="24"/>
        </w:rPr>
        <w:t>Enacting new legislation that would ensure that the principle of non-confessions resulting from torture is fully applied by all judges in all courts of the State Party;</w:t>
      </w:r>
    </w:p>
    <w:p w14:paraId="211B2679" w14:textId="77777777" w:rsidR="009F0F87" w:rsidRPr="009F0F87" w:rsidRDefault="009F0F87" w:rsidP="009F0F87">
      <w:pPr>
        <w:pStyle w:val="ListParagraph"/>
        <w:numPr>
          <w:ilvl w:val="0"/>
          <w:numId w:val="6"/>
        </w:numPr>
        <w:spacing w:after="160" w:line="259" w:lineRule="auto"/>
        <w:jc w:val="both"/>
        <w:rPr>
          <w:rFonts w:cstheme="minorHAnsi"/>
          <w:sz w:val="24"/>
          <w:szCs w:val="24"/>
        </w:rPr>
      </w:pPr>
      <w:r w:rsidRPr="009F0F87">
        <w:rPr>
          <w:rFonts w:cstheme="minorHAnsi"/>
          <w:sz w:val="24"/>
          <w:szCs w:val="24"/>
        </w:rPr>
        <w:t>Providing training courses - regular and periodic - for public officials regarding the promotion and respect of the rights of the accused, investigating legal methods of interrogation, and emphasizing the prohibition/prevention of interrogation under any type of threat, intimidation, intimidation, or under torture, and interrogation in a legal manner away from Coercion or threats.</w:t>
      </w:r>
    </w:p>
    <w:p w14:paraId="299FBF02" w14:textId="77777777" w:rsidR="007F4089" w:rsidRPr="009F0F87" w:rsidRDefault="007F4089" w:rsidP="00BA3716">
      <w:pPr>
        <w:rPr>
          <w:rFonts w:cstheme="minorHAnsi"/>
          <w:sz w:val="32"/>
          <w:szCs w:val="32"/>
        </w:rPr>
      </w:pPr>
    </w:p>
    <w:sectPr w:rsidR="007F4089" w:rsidRPr="009F0F87">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73E19" w14:textId="77777777" w:rsidR="00072B20" w:rsidRDefault="00072B20" w:rsidP="002C5016">
      <w:pPr>
        <w:spacing w:after="0" w:line="240" w:lineRule="auto"/>
      </w:pPr>
      <w:r>
        <w:separator/>
      </w:r>
    </w:p>
  </w:endnote>
  <w:endnote w:type="continuationSeparator" w:id="0">
    <w:p w14:paraId="766D91C8" w14:textId="77777777" w:rsidR="00072B20" w:rsidRDefault="00072B20" w:rsidP="002C50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ubai">
    <w:panose1 w:val="020B0503030403030204"/>
    <w:charset w:val="00"/>
    <w:family w:val="swiss"/>
    <w:pitch w:val="variable"/>
    <w:sig w:usb0="80002067" w:usb1="80000000" w:usb2="00000008" w:usb3="00000000" w:csb0="00000041"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F7B67" w14:textId="77777777" w:rsidR="00072B20" w:rsidRDefault="00072B20" w:rsidP="002C5016">
      <w:pPr>
        <w:spacing w:after="0" w:line="240" w:lineRule="auto"/>
      </w:pPr>
      <w:r>
        <w:separator/>
      </w:r>
    </w:p>
  </w:footnote>
  <w:footnote w:type="continuationSeparator" w:id="0">
    <w:p w14:paraId="042A6F77" w14:textId="77777777" w:rsidR="00072B20" w:rsidRDefault="00072B20" w:rsidP="002C5016">
      <w:pPr>
        <w:spacing w:after="0" w:line="240" w:lineRule="auto"/>
      </w:pPr>
      <w:r>
        <w:continuationSeparator/>
      </w:r>
    </w:p>
  </w:footnote>
  <w:footnote w:id="1">
    <w:p w14:paraId="4E4DB8FA" w14:textId="77777777" w:rsidR="009F0F87" w:rsidRPr="003F5B27" w:rsidRDefault="009F0F87" w:rsidP="003F5B27">
      <w:pPr>
        <w:pStyle w:val="FootnoteText"/>
        <w:rPr>
          <w:rFonts w:asciiTheme="majorBidi" w:hAnsiTheme="majorBidi" w:cstheme="majorBidi"/>
        </w:rPr>
      </w:pPr>
      <w:r w:rsidRPr="003F5B27">
        <w:rPr>
          <w:rStyle w:val="FootnoteReference"/>
          <w:rFonts w:asciiTheme="majorBidi" w:hAnsiTheme="majorBidi" w:cstheme="majorBidi"/>
        </w:rPr>
        <w:footnoteRef/>
      </w:r>
      <w:r w:rsidRPr="003F5B27">
        <w:rPr>
          <w:rFonts w:asciiTheme="majorBidi" w:hAnsiTheme="majorBidi" w:cstheme="majorBidi"/>
        </w:rPr>
        <w:t xml:space="preserve"> Complete judicial instructions - full indexing, academy, to </w:t>
      </w:r>
      <w:bookmarkStart w:id="5" w:name="OLE_LINK31"/>
      <w:r w:rsidRPr="003F5B27">
        <w:rPr>
          <w:rFonts w:asciiTheme="majorBidi" w:hAnsiTheme="majorBidi" w:cstheme="majorBidi"/>
        </w:rPr>
        <w:t>read the aforementioned Articles</w:t>
      </w:r>
      <w:bookmarkEnd w:id="5"/>
      <w:r w:rsidRPr="003F5B27">
        <w:rPr>
          <w:rFonts w:asciiTheme="majorBidi" w:hAnsiTheme="majorBidi" w:cstheme="majorBidi"/>
        </w:rPr>
        <w:t xml:space="preserve">, please refer to the following link. </w:t>
      </w:r>
      <w:hyperlink r:id="rId1" w:history="1">
        <w:r w:rsidRPr="003F5B27">
          <w:rPr>
            <w:rStyle w:val="Hyperlink"/>
            <w:rFonts w:asciiTheme="majorBidi" w:hAnsiTheme="majorBidi" w:cstheme="majorBidi"/>
          </w:rPr>
          <w:t>https://cutt.us/nygsw</w:t>
        </w:r>
      </w:hyperlink>
      <w:r w:rsidRPr="003F5B27">
        <w:rPr>
          <w:rFonts w:asciiTheme="majorBidi" w:hAnsiTheme="majorBidi" w:cstheme="majorBidi"/>
          <w:rtl/>
        </w:rPr>
        <w:t xml:space="preserve"> </w:t>
      </w:r>
    </w:p>
  </w:footnote>
  <w:footnote w:id="2">
    <w:p w14:paraId="16BE4104" w14:textId="77777777" w:rsidR="009F0F87" w:rsidRPr="003F5B27" w:rsidRDefault="009F0F87" w:rsidP="003F5B27">
      <w:pPr>
        <w:pStyle w:val="FootnoteText"/>
        <w:rPr>
          <w:rFonts w:asciiTheme="majorBidi" w:hAnsiTheme="majorBidi" w:cstheme="majorBidi"/>
        </w:rPr>
      </w:pPr>
      <w:r w:rsidRPr="003F5B27">
        <w:rPr>
          <w:rStyle w:val="FootnoteReference"/>
          <w:rFonts w:asciiTheme="majorBidi" w:hAnsiTheme="majorBidi" w:cstheme="majorBidi"/>
        </w:rPr>
        <w:footnoteRef/>
      </w:r>
      <w:r w:rsidRPr="003F5B27">
        <w:rPr>
          <w:rFonts w:asciiTheme="majorBidi" w:hAnsiTheme="majorBidi" w:cstheme="majorBidi"/>
        </w:rPr>
        <w:t xml:space="preserve"> Ibid</w:t>
      </w:r>
    </w:p>
  </w:footnote>
  <w:footnote w:id="3">
    <w:p w14:paraId="1BD0E30A" w14:textId="77777777" w:rsidR="009F0F87" w:rsidRPr="003F5B27" w:rsidRDefault="009F0F87" w:rsidP="003F5B27">
      <w:pPr>
        <w:pStyle w:val="FootnoteText"/>
        <w:rPr>
          <w:rFonts w:asciiTheme="majorBidi" w:hAnsiTheme="majorBidi" w:cstheme="majorBidi"/>
        </w:rPr>
      </w:pPr>
      <w:r w:rsidRPr="003F5B27">
        <w:rPr>
          <w:rStyle w:val="FootnoteReference"/>
          <w:rFonts w:asciiTheme="majorBidi" w:hAnsiTheme="majorBidi" w:cstheme="majorBidi"/>
        </w:rPr>
        <w:footnoteRef/>
      </w:r>
      <w:r w:rsidRPr="003F5B27">
        <w:rPr>
          <w:rFonts w:asciiTheme="majorBidi" w:hAnsiTheme="majorBidi" w:cstheme="majorBidi"/>
        </w:rPr>
        <w:t xml:space="preserve"> Continuous controversy in Egypt after the inauguration of "the World’s Largest Prison", Independent Arabia, November 1, 2021. </w:t>
      </w:r>
      <w:hyperlink r:id="rId2" w:history="1">
        <w:r w:rsidRPr="003F5B27">
          <w:rPr>
            <w:rStyle w:val="Hyperlink"/>
            <w:rFonts w:asciiTheme="majorBidi" w:hAnsiTheme="majorBidi" w:cstheme="majorBidi"/>
          </w:rPr>
          <w:t>https://cutt.us/s7kjl</w:t>
        </w:r>
      </w:hyperlink>
      <w:r w:rsidRPr="003F5B27">
        <w:rPr>
          <w:rFonts w:asciiTheme="majorBidi" w:hAnsiTheme="majorBidi" w:cstheme="majorBidi"/>
        </w:rPr>
        <w:t xml:space="preserve"> </w:t>
      </w:r>
    </w:p>
  </w:footnote>
  <w:footnote w:id="4">
    <w:p w14:paraId="37A2AD08" w14:textId="77777777" w:rsidR="009F0F87" w:rsidRPr="003F5B27" w:rsidRDefault="009F0F87" w:rsidP="003F5B27">
      <w:pPr>
        <w:pStyle w:val="FootnoteText"/>
        <w:rPr>
          <w:rFonts w:asciiTheme="majorBidi" w:hAnsiTheme="majorBidi" w:cstheme="majorBidi"/>
        </w:rPr>
      </w:pPr>
      <w:r w:rsidRPr="003F5B27">
        <w:rPr>
          <w:rStyle w:val="FootnoteReference"/>
          <w:rFonts w:asciiTheme="majorBidi" w:hAnsiTheme="majorBidi" w:cstheme="majorBidi"/>
        </w:rPr>
        <w:footnoteRef/>
      </w:r>
      <w:r w:rsidRPr="003F5B27">
        <w:rPr>
          <w:rFonts w:asciiTheme="majorBidi" w:hAnsiTheme="majorBidi" w:cstheme="majorBidi"/>
        </w:rPr>
        <w:t xml:space="preserve"> Egypt closes public prisons and starts rehabilitation under the title of the Punitive institution, Al-Watan, October 3, 2022. </w:t>
      </w:r>
      <w:hyperlink r:id="rId3" w:history="1">
        <w:r w:rsidRPr="003F5B27">
          <w:rPr>
            <w:rStyle w:val="Hyperlink"/>
            <w:rFonts w:asciiTheme="majorBidi" w:hAnsiTheme="majorBidi" w:cstheme="majorBidi"/>
          </w:rPr>
          <w:t>https://cutt.us/amjn6</w:t>
        </w:r>
      </w:hyperlink>
      <w:r w:rsidRPr="003F5B27">
        <w:rPr>
          <w:rFonts w:asciiTheme="majorBidi" w:hAnsiTheme="majorBidi" w:cstheme="majorBidi"/>
          <w:rtl/>
        </w:rPr>
        <w:t xml:space="preserve"> </w:t>
      </w:r>
    </w:p>
  </w:footnote>
  <w:footnote w:id="5">
    <w:p w14:paraId="76D4E0CC" w14:textId="77777777" w:rsidR="009F0F87" w:rsidRPr="003F5B27" w:rsidRDefault="009F0F87" w:rsidP="003F5B27">
      <w:pPr>
        <w:pStyle w:val="FootnoteText"/>
        <w:rPr>
          <w:rFonts w:asciiTheme="majorBidi" w:hAnsiTheme="majorBidi" w:cstheme="majorBidi"/>
        </w:rPr>
      </w:pPr>
      <w:r w:rsidRPr="003F5B27">
        <w:rPr>
          <w:rStyle w:val="FootnoteReference"/>
          <w:rFonts w:asciiTheme="majorBidi" w:hAnsiTheme="majorBidi" w:cstheme="majorBidi"/>
        </w:rPr>
        <w:footnoteRef/>
      </w:r>
      <w:r w:rsidRPr="003F5B27">
        <w:rPr>
          <w:rFonts w:asciiTheme="majorBidi" w:hAnsiTheme="majorBidi" w:cstheme="majorBidi"/>
        </w:rPr>
        <w:t xml:space="preserve"> </w:t>
      </w:r>
      <w:bookmarkStart w:id="6" w:name="OLE_LINK32"/>
      <w:r w:rsidRPr="003F5B27">
        <w:rPr>
          <w:rFonts w:asciiTheme="majorBidi" w:hAnsiTheme="majorBidi" w:cstheme="majorBidi"/>
        </w:rPr>
        <w:t>Punitive institutions in Egypt: The achievements, challenges and prospects, Strategic Forum for Public Policies and Development Studies</w:t>
      </w:r>
      <w:bookmarkEnd w:id="6"/>
      <w:r w:rsidRPr="003F5B27">
        <w:rPr>
          <w:rFonts w:asciiTheme="majorBidi" w:hAnsiTheme="majorBidi" w:cstheme="majorBidi"/>
        </w:rPr>
        <w:t xml:space="preserve">, January 3, 2023. </w:t>
      </w:r>
      <w:hyperlink r:id="rId4" w:history="1">
        <w:r w:rsidRPr="003F5B27">
          <w:rPr>
            <w:rStyle w:val="Hyperlink"/>
            <w:rFonts w:asciiTheme="majorBidi" w:hAnsiTheme="majorBidi" w:cstheme="majorBidi"/>
          </w:rPr>
          <w:t>https://cutt.us/kiias</w:t>
        </w:r>
      </w:hyperlink>
      <w:r w:rsidRPr="003F5B27">
        <w:rPr>
          <w:rFonts w:asciiTheme="majorBidi" w:hAnsiTheme="majorBidi" w:cstheme="majorBidi"/>
        </w:rPr>
        <w:t xml:space="preserve"> </w:t>
      </w:r>
    </w:p>
  </w:footnote>
  <w:footnote w:id="6">
    <w:p w14:paraId="5FC0EA98" w14:textId="77777777" w:rsidR="009F0F87" w:rsidRPr="003F5B27" w:rsidRDefault="009F0F87" w:rsidP="003F5B27">
      <w:pPr>
        <w:pStyle w:val="FootnoteText"/>
        <w:rPr>
          <w:rFonts w:asciiTheme="majorBidi" w:hAnsiTheme="majorBidi" w:cstheme="majorBidi"/>
        </w:rPr>
      </w:pPr>
      <w:r w:rsidRPr="003F5B27">
        <w:rPr>
          <w:rStyle w:val="FootnoteReference"/>
          <w:rFonts w:asciiTheme="majorBidi" w:hAnsiTheme="majorBidi" w:cstheme="majorBidi"/>
        </w:rPr>
        <w:footnoteRef/>
      </w:r>
      <w:r w:rsidRPr="003F5B27">
        <w:rPr>
          <w:rFonts w:asciiTheme="majorBidi" w:hAnsiTheme="majorBidi" w:cstheme="majorBidi"/>
        </w:rPr>
        <w:t xml:space="preserve"> Law No. 14 of 2022, amending some provisions of Law No. 396 of 1956, regarding the regulation of prisons, available through the following link. </w:t>
      </w:r>
      <w:hyperlink r:id="rId5" w:history="1">
        <w:r w:rsidRPr="003F5B27">
          <w:rPr>
            <w:rStyle w:val="Hyperlink"/>
            <w:rFonts w:asciiTheme="majorBidi" w:hAnsiTheme="majorBidi" w:cstheme="majorBidi"/>
          </w:rPr>
          <w:t>https://cutt.us/jim5u</w:t>
        </w:r>
      </w:hyperlink>
      <w:r w:rsidRPr="003F5B27">
        <w:rPr>
          <w:rFonts w:asciiTheme="majorBidi" w:hAnsiTheme="majorBidi" w:cstheme="majorBidi"/>
        </w:rPr>
        <w:t xml:space="preserve"> </w:t>
      </w:r>
    </w:p>
  </w:footnote>
  <w:footnote w:id="7">
    <w:p w14:paraId="06F4A60F" w14:textId="77777777" w:rsidR="009F0F87" w:rsidRPr="003F5B27" w:rsidRDefault="009F0F87" w:rsidP="003F5B27">
      <w:pPr>
        <w:pStyle w:val="FootnoteText"/>
        <w:rPr>
          <w:rFonts w:asciiTheme="majorBidi" w:hAnsiTheme="majorBidi" w:cstheme="majorBidi"/>
        </w:rPr>
      </w:pPr>
      <w:r w:rsidRPr="003F5B27">
        <w:rPr>
          <w:rStyle w:val="FootnoteReference"/>
          <w:rFonts w:asciiTheme="majorBidi" w:hAnsiTheme="majorBidi" w:cstheme="majorBidi"/>
        </w:rPr>
        <w:footnoteRef/>
      </w:r>
      <w:r w:rsidRPr="003F5B27">
        <w:rPr>
          <w:rFonts w:asciiTheme="majorBidi" w:hAnsiTheme="majorBidi" w:cstheme="majorBidi"/>
        </w:rPr>
        <w:t xml:space="preserve"> Punitive institutions in Egypt: The achievements, challenges and prospects, Strategic Forum for Public Policies and Development Studies, January 3, 2023. </w:t>
      </w:r>
      <w:hyperlink r:id="rId6" w:history="1">
        <w:r w:rsidRPr="003F5B27">
          <w:rPr>
            <w:rStyle w:val="Hyperlink"/>
            <w:rFonts w:asciiTheme="majorBidi" w:hAnsiTheme="majorBidi" w:cstheme="majorBidi"/>
          </w:rPr>
          <w:t>https://cutt.us/kiias</w:t>
        </w:r>
      </w:hyperlink>
      <w:r w:rsidRPr="003F5B27">
        <w:rPr>
          <w:rFonts w:asciiTheme="majorBidi" w:hAnsiTheme="majorBidi" w:cstheme="majorBidi"/>
        </w:rPr>
        <w:t xml:space="preserve"> </w:t>
      </w:r>
    </w:p>
  </w:footnote>
  <w:footnote w:id="8">
    <w:p w14:paraId="729342F2" w14:textId="77777777" w:rsidR="009F0F87" w:rsidRPr="003F5B27" w:rsidRDefault="009F0F87" w:rsidP="003F5B27">
      <w:pPr>
        <w:pStyle w:val="FootnoteText"/>
        <w:rPr>
          <w:rFonts w:asciiTheme="majorBidi" w:hAnsiTheme="majorBidi" w:cstheme="majorBidi"/>
        </w:rPr>
      </w:pPr>
      <w:r w:rsidRPr="003F5B27">
        <w:rPr>
          <w:rStyle w:val="FootnoteReference"/>
          <w:rFonts w:asciiTheme="majorBidi" w:hAnsiTheme="majorBidi" w:cstheme="majorBidi"/>
        </w:rPr>
        <w:footnoteRef/>
      </w:r>
      <w:r w:rsidRPr="003F5B27">
        <w:rPr>
          <w:rFonts w:asciiTheme="majorBidi" w:hAnsiTheme="majorBidi" w:cstheme="majorBidi"/>
        </w:rPr>
        <w:t xml:space="preserve"> Criminal Procedure Law No. 150 of 1950, </w:t>
      </w:r>
      <w:bookmarkStart w:id="7" w:name="OLE_LINK35"/>
      <w:r w:rsidRPr="003F5B27">
        <w:rPr>
          <w:rFonts w:asciiTheme="majorBidi" w:hAnsiTheme="majorBidi" w:cstheme="majorBidi"/>
        </w:rPr>
        <w:t>Manshurat</w:t>
      </w:r>
      <w:bookmarkEnd w:id="7"/>
      <w:r w:rsidRPr="003F5B27">
        <w:rPr>
          <w:rFonts w:asciiTheme="majorBidi" w:hAnsiTheme="majorBidi" w:cstheme="majorBidi"/>
        </w:rPr>
        <w:t xml:space="preserve">, September 5, 2020, available at </w:t>
      </w:r>
      <w:hyperlink r:id="rId7" w:history="1">
        <w:r w:rsidRPr="003F5B27">
          <w:rPr>
            <w:rStyle w:val="Hyperlink"/>
            <w:rFonts w:asciiTheme="majorBidi" w:hAnsiTheme="majorBidi" w:cstheme="majorBidi"/>
          </w:rPr>
          <w:t>https://cutt.us/xzgzo</w:t>
        </w:r>
      </w:hyperlink>
      <w:r w:rsidRPr="003F5B27">
        <w:rPr>
          <w:rFonts w:asciiTheme="majorBidi" w:hAnsiTheme="majorBidi" w:cstheme="majorBidi"/>
        </w:rPr>
        <w:t xml:space="preserve"> </w:t>
      </w:r>
    </w:p>
  </w:footnote>
  <w:footnote w:id="9">
    <w:p w14:paraId="167C3248" w14:textId="77777777" w:rsidR="009F0F87" w:rsidRPr="003F5B27" w:rsidRDefault="009F0F87" w:rsidP="003F5B27">
      <w:pPr>
        <w:pStyle w:val="FootnoteText"/>
        <w:rPr>
          <w:rFonts w:asciiTheme="majorBidi" w:hAnsiTheme="majorBidi" w:cstheme="majorBidi"/>
        </w:rPr>
      </w:pPr>
      <w:r w:rsidRPr="003F5B27">
        <w:rPr>
          <w:rStyle w:val="FootnoteReference"/>
          <w:rFonts w:asciiTheme="majorBidi" w:hAnsiTheme="majorBidi" w:cstheme="majorBidi"/>
        </w:rPr>
        <w:footnoteRef/>
      </w:r>
      <w:r w:rsidRPr="003F5B27">
        <w:rPr>
          <w:rFonts w:asciiTheme="majorBidi" w:hAnsiTheme="majorBidi" w:cstheme="majorBidi"/>
        </w:rPr>
        <w:t xml:space="preserve"> Egypt, UN Treaty Body Database, Convention against Torture and Other Cruel Inhuman or Degrading Treatment or Punishment, State party's report CAT/C/EGY/5, Available at: </w:t>
      </w:r>
      <w:hyperlink r:id="rId8" w:history="1">
        <w:r w:rsidRPr="003F5B27">
          <w:rPr>
            <w:rStyle w:val="Hyperlink"/>
            <w:rFonts w:asciiTheme="majorBidi" w:hAnsiTheme="majorBidi" w:cstheme="majorBidi"/>
          </w:rPr>
          <w:t>https://cutt.us/ltKqK</w:t>
        </w:r>
      </w:hyperlink>
    </w:p>
  </w:footnote>
  <w:footnote w:id="10">
    <w:p w14:paraId="35A1AB14" w14:textId="77777777" w:rsidR="009F0F87" w:rsidRPr="003F5B27" w:rsidRDefault="009F0F87" w:rsidP="003F5B27">
      <w:pPr>
        <w:pStyle w:val="FootnoteText"/>
        <w:rPr>
          <w:rFonts w:asciiTheme="majorBidi" w:hAnsiTheme="majorBidi" w:cstheme="majorBidi"/>
        </w:rPr>
      </w:pPr>
      <w:r w:rsidRPr="003F5B27">
        <w:rPr>
          <w:rStyle w:val="FootnoteReference"/>
          <w:rFonts w:asciiTheme="majorBidi" w:hAnsiTheme="majorBidi" w:cstheme="majorBidi"/>
        </w:rPr>
        <w:footnoteRef/>
      </w:r>
      <w:r w:rsidRPr="003F5B27">
        <w:rPr>
          <w:rFonts w:asciiTheme="majorBidi" w:hAnsiTheme="majorBidi" w:cstheme="majorBidi"/>
        </w:rPr>
        <w:t xml:space="preserve"> </w:t>
      </w:r>
      <w:bookmarkStart w:id="9" w:name="OLE_LINK39"/>
      <w:r w:rsidRPr="003F5B27">
        <w:rPr>
          <w:rFonts w:asciiTheme="majorBidi" w:hAnsiTheme="majorBidi" w:cstheme="majorBidi"/>
          <w:lang w:bidi="ar-EG"/>
        </w:rPr>
        <w:t>Ibid</w:t>
      </w:r>
      <w:bookmarkEnd w:id="9"/>
    </w:p>
  </w:footnote>
  <w:footnote w:id="11">
    <w:p w14:paraId="162CFD94" w14:textId="77777777" w:rsidR="009F0F87" w:rsidRPr="003F5B27" w:rsidRDefault="009F0F87" w:rsidP="003F5B27">
      <w:pPr>
        <w:pStyle w:val="FootnoteText"/>
        <w:rPr>
          <w:rFonts w:asciiTheme="majorBidi" w:hAnsiTheme="majorBidi" w:cstheme="majorBidi"/>
        </w:rPr>
      </w:pPr>
      <w:r w:rsidRPr="003F5B27">
        <w:rPr>
          <w:rStyle w:val="FootnoteReference"/>
          <w:rFonts w:asciiTheme="majorBidi" w:hAnsiTheme="majorBidi" w:cstheme="majorBidi"/>
        </w:rPr>
        <w:footnoteRef/>
      </w:r>
      <w:r w:rsidRPr="003F5B27">
        <w:rPr>
          <w:rFonts w:asciiTheme="majorBidi" w:hAnsiTheme="majorBidi" w:cstheme="majorBidi"/>
        </w:rPr>
        <w:t xml:space="preserve"> Complete judicial instructions - full indexing, academy, see the aforementioned articles at </w:t>
      </w:r>
      <w:hyperlink r:id="rId9" w:history="1">
        <w:r w:rsidRPr="003F5B27">
          <w:rPr>
            <w:rStyle w:val="Hyperlink"/>
            <w:rFonts w:asciiTheme="majorBidi" w:hAnsiTheme="majorBidi" w:cstheme="majorBidi"/>
          </w:rPr>
          <w:t>https://cutt.us/nygsw</w:t>
        </w:r>
      </w:hyperlink>
      <w:r w:rsidRPr="003F5B27">
        <w:rPr>
          <w:rFonts w:asciiTheme="majorBidi" w:hAnsiTheme="majorBidi" w:cstheme="majorBidi"/>
        </w:rPr>
        <w:t xml:space="preserve"> </w:t>
      </w:r>
    </w:p>
  </w:footnote>
  <w:footnote w:id="12">
    <w:p w14:paraId="5708CC0A" w14:textId="77777777" w:rsidR="009F0F87" w:rsidRPr="003F5B27" w:rsidRDefault="009F0F87" w:rsidP="003F5B27">
      <w:pPr>
        <w:pStyle w:val="FootnoteText"/>
        <w:rPr>
          <w:rFonts w:asciiTheme="majorBidi" w:hAnsiTheme="majorBidi" w:cstheme="majorBidi"/>
        </w:rPr>
      </w:pPr>
      <w:r w:rsidRPr="003F5B27">
        <w:rPr>
          <w:rStyle w:val="FootnoteReference"/>
          <w:rFonts w:asciiTheme="majorBidi" w:hAnsiTheme="majorBidi" w:cstheme="majorBidi"/>
        </w:rPr>
        <w:footnoteRef/>
      </w:r>
      <w:r w:rsidRPr="003F5B27">
        <w:rPr>
          <w:rFonts w:asciiTheme="majorBidi" w:hAnsiTheme="majorBidi" w:cstheme="majorBidi"/>
        </w:rPr>
        <w:t xml:space="preserve"> Human Rights Administration at the Office of the Public Prosecutor, the Egyptian Center For Legal Consultancy, January 22, 2022. </w:t>
      </w:r>
      <w:hyperlink r:id="rId10" w:history="1">
        <w:r w:rsidRPr="003F5B27">
          <w:rPr>
            <w:rStyle w:val="Hyperlink"/>
            <w:rFonts w:asciiTheme="majorBidi" w:hAnsiTheme="majorBidi" w:cstheme="majorBidi"/>
          </w:rPr>
          <w:t>https://cutt.us/mzxqs</w:t>
        </w:r>
      </w:hyperlink>
      <w:r w:rsidRPr="003F5B27">
        <w:rPr>
          <w:rFonts w:asciiTheme="majorBidi" w:hAnsiTheme="majorBidi" w:cstheme="majorBidi"/>
        </w:rPr>
        <w:t xml:space="preserve"> </w:t>
      </w:r>
    </w:p>
  </w:footnote>
  <w:footnote w:id="13">
    <w:p w14:paraId="07887B18" w14:textId="77777777" w:rsidR="009F0F87" w:rsidRPr="003F5B27" w:rsidRDefault="009F0F87" w:rsidP="003F5B27">
      <w:pPr>
        <w:pStyle w:val="FootnoteText"/>
        <w:rPr>
          <w:rFonts w:asciiTheme="majorBidi" w:hAnsiTheme="majorBidi" w:cstheme="majorBidi"/>
        </w:rPr>
      </w:pPr>
      <w:r w:rsidRPr="003F5B27">
        <w:rPr>
          <w:rStyle w:val="FootnoteReference"/>
          <w:rFonts w:asciiTheme="majorBidi" w:hAnsiTheme="majorBidi" w:cstheme="majorBidi"/>
        </w:rPr>
        <w:footnoteRef/>
      </w:r>
      <w:r w:rsidRPr="003F5B27">
        <w:rPr>
          <w:rFonts w:asciiTheme="majorBidi" w:hAnsiTheme="majorBidi" w:cstheme="majorBidi"/>
        </w:rPr>
        <w:t xml:space="preserve"> Egypt, UN Treaty Body Database, Convention against Torture and Other Cruel Inhuman or Degrading Treatment or Punishment, State party's report CAT/C/EGY/5, , Available at: </w:t>
      </w:r>
      <w:hyperlink r:id="rId11" w:history="1">
        <w:r w:rsidRPr="003F5B27">
          <w:rPr>
            <w:rStyle w:val="Hyperlink"/>
            <w:rFonts w:asciiTheme="majorBidi" w:hAnsiTheme="majorBidi" w:cstheme="majorBidi"/>
          </w:rPr>
          <w:t>https://cutt.us/ltKqK</w:t>
        </w:r>
      </w:hyperlink>
    </w:p>
  </w:footnote>
  <w:footnote w:id="14">
    <w:p w14:paraId="19E70AEF" w14:textId="77777777" w:rsidR="009F0F87" w:rsidRPr="003F5B27" w:rsidRDefault="009F0F87" w:rsidP="003F5B27">
      <w:pPr>
        <w:pStyle w:val="FootnoteText"/>
        <w:rPr>
          <w:rFonts w:asciiTheme="majorBidi" w:hAnsiTheme="majorBidi" w:cstheme="majorBidi"/>
        </w:rPr>
      </w:pPr>
      <w:r w:rsidRPr="003F5B27">
        <w:rPr>
          <w:rStyle w:val="FootnoteReference"/>
          <w:rFonts w:asciiTheme="majorBidi" w:hAnsiTheme="majorBidi" w:cstheme="majorBidi"/>
        </w:rPr>
        <w:footnoteRef/>
      </w:r>
      <w:r w:rsidRPr="003F5B27">
        <w:rPr>
          <w:rFonts w:asciiTheme="majorBidi" w:hAnsiTheme="majorBidi" w:cstheme="majorBidi"/>
        </w:rPr>
        <w:t xml:space="preserve"> </w:t>
      </w:r>
      <w:r>
        <w:rPr>
          <w:rFonts w:asciiTheme="majorBidi" w:hAnsiTheme="majorBidi" w:cstheme="majorBidi"/>
        </w:rPr>
        <w:t>15</w:t>
      </w:r>
      <w:r w:rsidRPr="003F5B27">
        <w:rPr>
          <w:rFonts w:asciiTheme="majorBidi" w:hAnsiTheme="majorBidi" w:cstheme="majorBidi"/>
          <w:vertAlign w:val="superscript"/>
        </w:rPr>
        <w:t>th</w:t>
      </w:r>
      <w:r w:rsidRPr="003F5B27">
        <w:rPr>
          <w:rFonts w:asciiTheme="majorBidi" w:hAnsiTheme="majorBidi" w:cstheme="majorBidi"/>
        </w:rPr>
        <w:t xml:space="preserve"> annual report 2019/2020, the National Council for Human Right, available </w:t>
      </w:r>
      <w:r>
        <w:rPr>
          <w:rFonts w:asciiTheme="majorBidi" w:hAnsiTheme="majorBidi" w:cstheme="majorBidi"/>
        </w:rPr>
        <w:t>at</w:t>
      </w:r>
      <w:r w:rsidRPr="003F5B27">
        <w:rPr>
          <w:rFonts w:asciiTheme="majorBidi" w:hAnsiTheme="majorBidi" w:cstheme="majorBidi"/>
        </w:rPr>
        <w:t xml:space="preserve"> </w:t>
      </w:r>
      <w:hyperlink r:id="rId12" w:history="1">
        <w:r w:rsidRPr="00D56A44">
          <w:rPr>
            <w:rStyle w:val="Hyperlink"/>
            <w:rFonts w:asciiTheme="majorBidi" w:hAnsiTheme="majorBidi" w:cstheme="majorBidi"/>
          </w:rPr>
          <w:t>https://cutt.us/wqixe</w:t>
        </w:r>
      </w:hyperlink>
      <w:r>
        <w:rPr>
          <w:rFonts w:asciiTheme="majorBidi" w:hAnsiTheme="majorBidi" w:cstheme="majorBidi"/>
        </w:rPr>
        <w:t xml:space="preserve"> </w:t>
      </w:r>
    </w:p>
  </w:footnote>
  <w:footnote w:id="15">
    <w:p w14:paraId="4F9B23AD" w14:textId="77777777" w:rsidR="009F0F87" w:rsidRPr="003F5B27" w:rsidRDefault="009F0F87" w:rsidP="003F5B27">
      <w:pPr>
        <w:pStyle w:val="FootnoteText"/>
        <w:rPr>
          <w:rFonts w:asciiTheme="majorBidi" w:hAnsiTheme="majorBidi" w:cstheme="majorBidi"/>
        </w:rPr>
      </w:pPr>
      <w:r w:rsidRPr="003F5B27">
        <w:rPr>
          <w:rStyle w:val="FootnoteReference"/>
          <w:rFonts w:asciiTheme="majorBidi" w:hAnsiTheme="majorBidi" w:cstheme="majorBidi"/>
        </w:rPr>
        <w:footnoteRef/>
      </w:r>
      <w:r w:rsidRPr="003F5B27">
        <w:rPr>
          <w:rFonts w:asciiTheme="majorBidi" w:hAnsiTheme="majorBidi" w:cstheme="majorBidi"/>
        </w:rPr>
        <w:t xml:space="preserve"> </w:t>
      </w:r>
      <w:r>
        <w:rPr>
          <w:rFonts w:asciiTheme="majorBidi" w:hAnsiTheme="majorBidi" w:cstheme="majorBidi"/>
        </w:rPr>
        <w:t xml:space="preserve">Amended </w:t>
      </w:r>
      <w:r w:rsidRPr="003F5B27">
        <w:rPr>
          <w:rFonts w:asciiTheme="majorBidi" w:hAnsiTheme="majorBidi" w:cstheme="majorBidi"/>
        </w:rPr>
        <w:t xml:space="preserve">Egyptian </w:t>
      </w:r>
      <w:r>
        <w:rPr>
          <w:rFonts w:asciiTheme="majorBidi" w:hAnsiTheme="majorBidi" w:cstheme="majorBidi"/>
        </w:rPr>
        <w:t>Constitution</w:t>
      </w:r>
      <w:r w:rsidRPr="003F5B27">
        <w:rPr>
          <w:rFonts w:asciiTheme="majorBidi" w:hAnsiTheme="majorBidi" w:cstheme="majorBidi"/>
        </w:rPr>
        <w:t xml:space="preserve"> 2019, </w:t>
      </w:r>
      <w:bookmarkStart w:id="10" w:name="OLE_LINK36"/>
      <w:bookmarkStart w:id="11" w:name="OLE_LINK37"/>
      <w:r>
        <w:rPr>
          <w:rFonts w:asciiTheme="majorBidi" w:hAnsiTheme="majorBidi" w:cstheme="majorBidi"/>
        </w:rPr>
        <w:t>Manshurat</w:t>
      </w:r>
      <w:bookmarkEnd w:id="10"/>
      <w:r w:rsidRPr="003F5B27">
        <w:rPr>
          <w:rFonts w:asciiTheme="majorBidi" w:hAnsiTheme="majorBidi" w:cstheme="majorBidi"/>
        </w:rPr>
        <w:t xml:space="preserve">, </w:t>
      </w:r>
      <w:r>
        <w:rPr>
          <w:rFonts w:asciiTheme="majorBidi" w:hAnsiTheme="majorBidi" w:cstheme="majorBidi"/>
        </w:rPr>
        <w:t>Constitution</w:t>
      </w:r>
      <w:r w:rsidRPr="003F5B27">
        <w:rPr>
          <w:rFonts w:asciiTheme="majorBidi" w:hAnsiTheme="majorBidi" w:cstheme="majorBidi"/>
        </w:rPr>
        <w:t xml:space="preserve"> articles </w:t>
      </w:r>
      <w:r>
        <w:rPr>
          <w:rFonts w:asciiTheme="majorBidi" w:hAnsiTheme="majorBidi" w:cstheme="majorBidi"/>
        </w:rPr>
        <w:t>are available at</w:t>
      </w:r>
      <w:r w:rsidRPr="003F5B27">
        <w:rPr>
          <w:rFonts w:asciiTheme="majorBidi" w:hAnsiTheme="majorBidi" w:cstheme="majorBidi"/>
        </w:rPr>
        <w:t xml:space="preserve"> </w:t>
      </w:r>
      <w:bookmarkEnd w:id="11"/>
      <w:r>
        <w:rPr>
          <w:rFonts w:asciiTheme="majorBidi" w:hAnsiTheme="majorBidi" w:cstheme="majorBidi"/>
        </w:rPr>
        <w:fldChar w:fldCharType="begin"/>
      </w:r>
      <w:r>
        <w:rPr>
          <w:rFonts w:asciiTheme="majorBidi" w:hAnsiTheme="majorBidi" w:cstheme="majorBidi"/>
        </w:rPr>
        <w:instrText xml:space="preserve"> HYPERLINK "</w:instrText>
      </w:r>
      <w:r w:rsidRPr="003F5B27">
        <w:rPr>
          <w:rFonts w:asciiTheme="majorBidi" w:hAnsiTheme="majorBidi" w:cstheme="majorBidi"/>
        </w:rPr>
        <w:instrText>https://manshurat.org/node/14675</w:instrText>
      </w:r>
      <w:r>
        <w:rPr>
          <w:rFonts w:asciiTheme="majorBidi" w:hAnsiTheme="majorBidi" w:cstheme="majorBidi"/>
        </w:rPr>
        <w:instrText xml:space="preserve">" </w:instrText>
      </w:r>
      <w:r>
        <w:rPr>
          <w:rFonts w:asciiTheme="majorBidi" w:hAnsiTheme="majorBidi" w:cstheme="majorBidi"/>
        </w:rPr>
      </w:r>
      <w:r>
        <w:rPr>
          <w:rFonts w:asciiTheme="majorBidi" w:hAnsiTheme="majorBidi" w:cstheme="majorBidi"/>
        </w:rPr>
        <w:fldChar w:fldCharType="separate"/>
      </w:r>
      <w:r w:rsidRPr="00D56A44">
        <w:rPr>
          <w:rStyle w:val="Hyperlink"/>
          <w:rFonts w:asciiTheme="majorBidi" w:hAnsiTheme="majorBidi" w:cstheme="majorBidi"/>
        </w:rPr>
        <w:t>https://manshurat.org/node/14675</w:t>
      </w:r>
      <w:r>
        <w:rPr>
          <w:rFonts w:asciiTheme="majorBidi" w:hAnsiTheme="majorBidi" w:cstheme="majorBidi"/>
        </w:rPr>
        <w:fldChar w:fldCharType="end"/>
      </w:r>
      <w:r>
        <w:rPr>
          <w:rFonts w:asciiTheme="majorBidi" w:hAnsiTheme="majorBidi" w:cstheme="majorBidi"/>
        </w:rPr>
        <w:t xml:space="preserve"> </w:t>
      </w:r>
    </w:p>
  </w:footnote>
  <w:footnote w:id="16">
    <w:p w14:paraId="0DB48E2D" w14:textId="77777777" w:rsidR="009F0F87" w:rsidRPr="003F5B27" w:rsidRDefault="009F0F87" w:rsidP="003F5B27">
      <w:pPr>
        <w:pStyle w:val="FootnoteText"/>
        <w:rPr>
          <w:rFonts w:asciiTheme="majorBidi" w:hAnsiTheme="majorBidi" w:cstheme="majorBidi"/>
        </w:rPr>
      </w:pPr>
      <w:r w:rsidRPr="003F5B27">
        <w:rPr>
          <w:rStyle w:val="FootnoteReference"/>
          <w:rFonts w:asciiTheme="majorBidi" w:hAnsiTheme="majorBidi" w:cstheme="majorBidi"/>
        </w:rPr>
        <w:footnoteRef/>
      </w:r>
      <w:r w:rsidRPr="003F5B27">
        <w:rPr>
          <w:rFonts w:asciiTheme="majorBidi" w:hAnsiTheme="majorBidi" w:cstheme="majorBidi"/>
        </w:rPr>
        <w:t xml:space="preserve"> </w:t>
      </w:r>
      <w:r w:rsidRPr="0025158F">
        <w:rPr>
          <w:rFonts w:asciiTheme="majorBidi" w:hAnsiTheme="majorBidi" w:cstheme="majorBidi"/>
        </w:rPr>
        <w:t xml:space="preserve">Criminal Procedure Law No. 150 of 1950, </w:t>
      </w:r>
      <w:r>
        <w:rPr>
          <w:rFonts w:asciiTheme="majorBidi" w:hAnsiTheme="majorBidi" w:cstheme="majorBidi"/>
        </w:rPr>
        <w:t>Manshurat</w:t>
      </w:r>
      <w:r w:rsidRPr="003F5B27">
        <w:rPr>
          <w:rFonts w:asciiTheme="majorBidi" w:hAnsiTheme="majorBidi" w:cstheme="majorBidi"/>
        </w:rPr>
        <w:t xml:space="preserve">, </w:t>
      </w:r>
      <w:r>
        <w:rPr>
          <w:rFonts w:asciiTheme="majorBidi" w:hAnsiTheme="majorBidi" w:cstheme="majorBidi"/>
        </w:rPr>
        <w:t>Constitution</w:t>
      </w:r>
      <w:r w:rsidRPr="003F5B27">
        <w:rPr>
          <w:rFonts w:asciiTheme="majorBidi" w:hAnsiTheme="majorBidi" w:cstheme="majorBidi"/>
        </w:rPr>
        <w:t xml:space="preserve"> articles </w:t>
      </w:r>
      <w:r>
        <w:rPr>
          <w:rFonts w:asciiTheme="majorBidi" w:hAnsiTheme="majorBidi" w:cstheme="majorBidi"/>
        </w:rPr>
        <w:t>are available at</w:t>
      </w:r>
      <w:r w:rsidRPr="003F5B27">
        <w:rPr>
          <w:rFonts w:asciiTheme="majorBidi" w:hAnsiTheme="majorBidi" w:cstheme="majorBidi"/>
        </w:rPr>
        <w:t xml:space="preserve"> </w:t>
      </w:r>
      <w:hyperlink r:id="rId13" w:history="1">
        <w:r w:rsidRPr="00D56A44">
          <w:rPr>
            <w:rStyle w:val="Hyperlink"/>
            <w:rFonts w:asciiTheme="majorBidi" w:hAnsiTheme="majorBidi" w:cstheme="majorBidi"/>
          </w:rPr>
          <w:t>https://manshurat.org/node/14676</w:t>
        </w:r>
      </w:hyperlink>
      <w:r>
        <w:rPr>
          <w:rFonts w:asciiTheme="majorBidi" w:hAnsiTheme="majorBidi" w:cstheme="majorBidi"/>
        </w:rPr>
        <w:t xml:space="preserve"> </w:t>
      </w:r>
    </w:p>
  </w:footnote>
  <w:footnote w:id="17">
    <w:p w14:paraId="62BEFE28" w14:textId="77777777" w:rsidR="009F0F87" w:rsidRPr="003F5B27" w:rsidRDefault="009F0F87" w:rsidP="003F5B27">
      <w:pPr>
        <w:pStyle w:val="FootnoteText"/>
        <w:rPr>
          <w:rFonts w:asciiTheme="majorBidi" w:hAnsiTheme="majorBidi" w:cstheme="majorBidi"/>
        </w:rPr>
      </w:pPr>
      <w:r w:rsidRPr="003F5B27">
        <w:rPr>
          <w:rStyle w:val="FootnoteReference"/>
          <w:rFonts w:asciiTheme="majorBidi" w:hAnsiTheme="majorBidi" w:cstheme="majorBidi"/>
        </w:rPr>
        <w:footnoteRef/>
      </w:r>
      <w:r w:rsidRPr="003F5B27">
        <w:rPr>
          <w:rFonts w:asciiTheme="majorBidi" w:hAnsiTheme="majorBidi" w:cstheme="majorBidi"/>
        </w:rPr>
        <w:t xml:space="preserve"> </w:t>
      </w:r>
      <w:r w:rsidRPr="001A7863">
        <w:rPr>
          <w:rFonts w:ascii="Dubai" w:hAnsi="Dubai" w:cs="Dubai"/>
        </w:rPr>
        <w:t xml:space="preserve">Egypt, UN Treaty Body Database, Convention against Torture and Other Cruel Inhuman or Degrading Treatment or Punishment, State party's report CAT/C/EGY/5, Available at: </w:t>
      </w:r>
      <w:hyperlink r:id="rId14" w:history="1">
        <w:r w:rsidRPr="001A7863">
          <w:rPr>
            <w:rStyle w:val="Hyperlink"/>
            <w:rFonts w:ascii="Dubai" w:hAnsi="Dubai" w:cs="Dubai"/>
          </w:rPr>
          <w:t>https://cutt.us/ltKqK</w:t>
        </w:r>
      </w:hyperlink>
      <w:r>
        <w:rPr>
          <w:rStyle w:val="Hyperlink"/>
          <w:rFonts w:ascii="Dubai" w:hAnsi="Dubai" w:cs="Dubai"/>
        </w:rPr>
        <w:t xml:space="preserve"> </w:t>
      </w:r>
    </w:p>
  </w:footnote>
  <w:footnote w:id="18">
    <w:p w14:paraId="54292C02" w14:textId="77777777" w:rsidR="009F0F87" w:rsidRPr="003F5B27" w:rsidRDefault="009F0F87" w:rsidP="003F5B27">
      <w:pPr>
        <w:pStyle w:val="FootnoteText"/>
        <w:rPr>
          <w:rFonts w:asciiTheme="majorBidi" w:hAnsiTheme="majorBidi" w:cstheme="majorBidi"/>
        </w:rPr>
      </w:pPr>
      <w:r w:rsidRPr="003F5B27">
        <w:rPr>
          <w:rStyle w:val="FootnoteReference"/>
          <w:rFonts w:asciiTheme="majorBidi" w:hAnsiTheme="majorBidi" w:cstheme="majorBidi"/>
        </w:rPr>
        <w:footnoteRef/>
      </w:r>
      <w:r w:rsidRPr="003F5B27">
        <w:rPr>
          <w:rFonts w:asciiTheme="majorBidi" w:hAnsiTheme="majorBidi" w:cstheme="majorBidi"/>
        </w:rPr>
        <w:t xml:space="preserve"> </w:t>
      </w:r>
      <w:r w:rsidRPr="000F477A">
        <w:rPr>
          <w:rFonts w:asciiTheme="majorBidi" w:hAnsiTheme="majorBidi" w:cstheme="majorBidi"/>
        </w:rPr>
        <w:t xml:space="preserve">National </w:t>
      </w:r>
      <w:r>
        <w:rPr>
          <w:rFonts w:asciiTheme="majorBidi" w:hAnsiTheme="majorBidi" w:cstheme="majorBidi"/>
        </w:rPr>
        <w:t>Report</w:t>
      </w:r>
      <w:r w:rsidRPr="000F477A">
        <w:rPr>
          <w:rFonts w:asciiTheme="majorBidi" w:hAnsiTheme="majorBidi" w:cstheme="majorBidi"/>
        </w:rPr>
        <w:t xml:space="preserve"> of the State Party (Egypt), a database of </w:t>
      </w:r>
      <w:bookmarkStart w:id="12" w:name="OLE_LINK38"/>
      <w:r>
        <w:rPr>
          <w:rFonts w:asciiTheme="majorBidi" w:hAnsiTheme="majorBidi" w:cstheme="majorBidi"/>
        </w:rPr>
        <w:t>treaty</w:t>
      </w:r>
      <w:r w:rsidRPr="000F477A">
        <w:rPr>
          <w:rFonts w:asciiTheme="majorBidi" w:hAnsiTheme="majorBidi" w:cstheme="majorBidi"/>
        </w:rPr>
        <w:t xml:space="preserve"> bodies</w:t>
      </w:r>
      <w:bookmarkEnd w:id="12"/>
      <w:r w:rsidRPr="000F477A">
        <w:rPr>
          <w:rFonts w:asciiTheme="majorBidi" w:hAnsiTheme="majorBidi" w:cstheme="majorBidi"/>
        </w:rPr>
        <w:t xml:space="preserve">, the quoted paragraph (122) </w:t>
      </w:r>
      <w:r>
        <w:rPr>
          <w:rFonts w:asciiTheme="majorBidi" w:hAnsiTheme="majorBidi" w:cstheme="majorBidi"/>
        </w:rPr>
        <w:t>and</w:t>
      </w:r>
      <w:r w:rsidRPr="000F477A">
        <w:rPr>
          <w:rFonts w:asciiTheme="majorBidi" w:hAnsiTheme="majorBidi" w:cstheme="majorBidi"/>
        </w:rPr>
        <w:t xml:space="preserve"> </w:t>
      </w:r>
      <w:bookmarkStart w:id="13" w:name="OLE_LINK40"/>
      <w:r w:rsidRPr="000F477A">
        <w:rPr>
          <w:rFonts w:asciiTheme="majorBidi" w:hAnsiTheme="majorBidi" w:cstheme="majorBidi"/>
        </w:rPr>
        <w:t xml:space="preserve">judicial precedents </w:t>
      </w:r>
      <w:bookmarkEnd w:id="13"/>
      <w:r w:rsidRPr="000F477A">
        <w:rPr>
          <w:rFonts w:asciiTheme="majorBidi" w:hAnsiTheme="majorBidi" w:cstheme="majorBidi"/>
        </w:rPr>
        <w:t xml:space="preserve">referred to above (p. 33), </w:t>
      </w:r>
      <w:r>
        <w:rPr>
          <w:rFonts w:asciiTheme="majorBidi" w:hAnsiTheme="majorBidi" w:cstheme="majorBidi"/>
        </w:rPr>
        <w:t>are available at</w:t>
      </w:r>
      <w:r w:rsidRPr="000F477A">
        <w:rPr>
          <w:rFonts w:asciiTheme="majorBidi" w:hAnsiTheme="majorBidi" w:cstheme="majorBidi"/>
        </w:rPr>
        <w:t xml:space="preserve"> </w:t>
      </w:r>
      <w:hyperlink r:id="rId15" w:history="1">
        <w:r w:rsidRPr="00D56A44">
          <w:rPr>
            <w:rStyle w:val="Hyperlink"/>
            <w:rFonts w:asciiTheme="majorBidi" w:hAnsiTheme="majorBidi" w:cstheme="majorBidi"/>
          </w:rPr>
          <w:t>https://cutt.us/Ltkqk</w:t>
        </w:r>
      </w:hyperlink>
      <w:r>
        <w:rPr>
          <w:rFonts w:asciiTheme="majorBidi" w:hAnsiTheme="majorBidi" w:cstheme="majorBidi"/>
        </w:rPr>
        <w:t xml:space="preserve"> </w:t>
      </w:r>
    </w:p>
  </w:footnote>
  <w:footnote w:id="19">
    <w:p w14:paraId="4A8A1CA5" w14:textId="77777777" w:rsidR="009F0F87" w:rsidRPr="003F5B27" w:rsidRDefault="009F0F87" w:rsidP="003F5B27">
      <w:pPr>
        <w:pStyle w:val="FootnoteText"/>
        <w:rPr>
          <w:rFonts w:asciiTheme="majorBidi" w:hAnsiTheme="majorBidi" w:cstheme="majorBidi"/>
        </w:rPr>
      </w:pPr>
      <w:r w:rsidRPr="003F5B27">
        <w:rPr>
          <w:rStyle w:val="FootnoteReference"/>
          <w:rFonts w:asciiTheme="majorBidi" w:hAnsiTheme="majorBidi" w:cstheme="majorBidi"/>
        </w:rPr>
        <w:footnoteRef/>
      </w:r>
      <w:r w:rsidRPr="003F5B27">
        <w:rPr>
          <w:rFonts w:asciiTheme="majorBidi" w:hAnsiTheme="majorBidi" w:cstheme="majorBidi"/>
        </w:rPr>
        <w:t xml:space="preserve"> </w:t>
      </w:r>
      <w:r w:rsidRPr="00BB7664">
        <w:rPr>
          <w:rFonts w:asciiTheme="majorBidi" w:hAnsiTheme="majorBidi" w:cstheme="majorBidi"/>
        </w:rPr>
        <w:t xml:space="preserve">Role of the Public Prosecution in protecting human rights in Egypt, human rights studies, available </w:t>
      </w:r>
      <w:r>
        <w:rPr>
          <w:rFonts w:asciiTheme="majorBidi" w:hAnsiTheme="majorBidi" w:cstheme="majorBidi"/>
        </w:rPr>
        <w:t>at</w:t>
      </w:r>
      <w:r w:rsidRPr="00BB7664">
        <w:rPr>
          <w:rFonts w:asciiTheme="majorBidi" w:hAnsiTheme="majorBidi" w:cstheme="majorBidi"/>
        </w:rPr>
        <w:t xml:space="preserve"> </w:t>
      </w:r>
      <w:hyperlink r:id="rId16" w:history="1">
        <w:r w:rsidRPr="00D56A44">
          <w:rPr>
            <w:rStyle w:val="Hyperlink"/>
            <w:rFonts w:asciiTheme="majorBidi" w:hAnsiTheme="majorBidi" w:cstheme="majorBidi"/>
          </w:rPr>
          <w:t>https://cutt.us/dzrfr</w:t>
        </w:r>
      </w:hyperlink>
      <w:r>
        <w:rPr>
          <w:rFonts w:asciiTheme="majorBidi" w:hAnsiTheme="majorBidi" w:cstheme="majorBidi"/>
        </w:rPr>
        <w:t xml:space="preserve"> </w:t>
      </w:r>
    </w:p>
  </w:footnote>
  <w:footnote w:id="20">
    <w:p w14:paraId="2F79D091" w14:textId="77777777" w:rsidR="009F0F87" w:rsidRPr="003F5B27" w:rsidRDefault="009F0F87" w:rsidP="003F5B27">
      <w:pPr>
        <w:pStyle w:val="FootnoteText"/>
        <w:rPr>
          <w:rFonts w:asciiTheme="majorBidi" w:hAnsiTheme="majorBidi" w:cstheme="majorBidi"/>
        </w:rPr>
      </w:pPr>
      <w:r w:rsidRPr="003F5B27">
        <w:rPr>
          <w:rStyle w:val="FootnoteReference"/>
          <w:rFonts w:asciiTheme="majorBidi" w:hAnsiTheme="majorBidi" w:cstheme="majorBidi"/>
        </w:rPr>
        <w:footnoteRef/>
      </w:r>
      <w:r w:rsidRPr="003F5B27">
        <w:rPr>
          <w:rFonts w:asciiTheme="majorBidi" w:hAnsiTheme="majorBidi" w:cstheme="majorBidi"/>
        </w:rPr>
        <w:t xml:space="preserve"> </w:t>
      </w:r>
      <w:r>
        <w:rPr>
          <w:rFonts w:asciiTheme="majorBidi" w:hAnsiTheme="majorBidi" w:cstheme="majorBidi"/>
          <w:lang w:bidi="ar-EG"/>
        </w:rPr>
        <w:t>Ibid</w:t>
      </w:r>
      <w:r w:rsidRPr="00BB7664">
        <w:rPr>
          <w:rFonts w:asciiTheme="majorBidi" w:hAnsiTheme="majorBidi" w:cstheme="majorBidi"/>
        </w:rPr>
        <w:t xml:space="preserve">, </w:t>
      </w:r>
      <w:r w:rsidRPr="000F477A">
        <w:rPr>
          <w:rFonts w:asciiTheme="majorBidi" w:hAnsiTheme="majorBidi" w:cstheme="majorBidi"/>
        </w:rPr>
        <w:t>judicial precedents</w:t>
      </w:r>
      <w:r w:rsidRPr="00BB7664">
        <w:rPr>
          <w:rFonts w:asciiTheme="majorBidi" w:hAnsiTheme="majorBidi" w:cstheme="majorBidi"/>
        </w:rPr>
        <w:t>: [Cassation 19/2/1986, Cassation Provisions set, Appeal No. 5583 of 55 judicial; Dispinful 23/1994, Appeal No. 3006 of 62 Judicial].</w:t>
      </w:r>
      <w:r>
        <w:rPr>
          <w:rFonts w:asciiTheme="majorBidi" w:hAnsiTheme="majorBidi" w:cstheme="majorBidi"/>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8"/>
      <w:gridCol w:w="5712"/>
    </w:tblGrid>
    <w:tr w:rsidR="00DA2028" w14:paraId="0FD9A0C3" w14:textId="77777777" w:rsidTr="000A1657">
      <w:tc>
        <w:tcPr>
          <w:tcW w:w="2500" w:type="pct"/>
        </w:tcPr>
        <w:p w14:paraId="6990FBF6" w14:textId="77777777" w:rsidR="00DA2028" w:rsidRDefault="004E3F47" w:rsidP="00DA2028">
          <w:pPr>
            <w:pStyle w:val="Header"/>
          </w:pPr>
          <w:r w:rsidRPr="00956EDF">
            <w:rPr>
              <w:rFonts w:ascii="Simplified Arabic" w:hAnsi="Simplified Arabic" w:cs="Simplified Arabic"/>
              <w:noProof/>
              <w:sz w:val="28"/>
              <w:szCs w:val="28"/>
              <w:rtl/>
            </w:rPr>
            <w:drawing>
              <wp:anchor distT="0" distB="0" distL="114300" distR="114300" simplePos="0" relativeHeight="251660288" behindDoc="0" locked="0" layoutInCell="1" allowOverlap="1" wp14:anchorId="6746FB94" wp14:editId="292E3E19">
                <wp:simplePos x="0" y="0"/>
                <wp:positionH relativeFrom="column">
                  <wp:posOffset>0</wp:posOffset>
                </wp:positionH>
                <wp:positionV relativeFrom="paragraph">
                  <wp:posOffset>167640</wp:posOffset>
                </wp:positionV>
                <wp:extent cx="922020" cy="92202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r="81466"/>
                        <a:stretch/>
                      </pic:blipFill>
                      <pic:spPr bwMode="auto">
                        <a:xfrm>
                          <a:off x="0" y="0"/>
                          <a:ext cx="922020" cy="9220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500" w:type="pct"/>
        </w:tcPr>
        <w:p w14:paraId="7A1EEF92" w14:textId="77777777" w:rsidR="00DA2028" w:rsidRDefault="004E3F47" w:rsidP="00DA2028">
          <w:pPr>
            <w:pStyle w:val="Header"/>
          </w:pPr>
          <w:r w:rsidRPr="00956EDF">
            <w:rPr>
              <w:rFonts w:ascii="Simplified Arabic" w:hAnsi="Simplified Arabic" w:cs="Simplified Arabic"/>
              <w:noProof/>
              <w:sz w:val="28"/>
              <w:szCs w:val="28"/>
              <w:rtl/>
            </w:rPr>
            <w:drawing>
              <wp:anchor distT="0" distB="0" distL="114300" distR="114300" simplePos="0" relativeHeight="251659264" behindDoc="0" locked="0" layoutInCell="1" allowOverlap="1" wp14:anchorId="6E111D0C" wp14:editId="219438A4">
                <wp:simplePos x="0" y="0"/>
                <wp:positionH relativeFrom="margin">
                  <wp:posOffset>-68580</wp:posOffset>
                </wp:positionH>
                <wp:positionV relativeFrom="paragraph">
                  <wp:posOffset>220980</wp:posOffset>
                </wp:positionV>
                <wp:extent cx="3489960" cy="77978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l="17108"/>
                        <a:stretch/>
                      </pic:blipFill>
                      <pic:spPr bwMode="auto">
                        <a:xfrm>
                          <a:off x="0" y="0"/>
                          <a:ext cx="3489960" cy="779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2AF921E6" w14:textId="77777777" w:rsidR="00DA2028" w:rsidRPr="00DA2028" w:rsidRDefault="00DA2028" w:rsidP="00DA20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72BC1"/>
    <w:multiLevelType w:val="hybridMultilevel"/>
    <w:tmpl w:val="01E2A46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795726"/>
    <w:multiLevelType w:val="hybridMultilevel"/>
    <w:tmpl w:val="C6122468"/>
    <w:lvl w:ilvl="0" w:tplc="20A6D1F4">
      <w:start w:val="1"/>
      <w:numFmt w:val="lowerLetter"/>
      <w:lvlText w:val="%1."/>
      <w:lvlJc w:val="left"/>
      <w:pPr>
        <w:ind w:left="720" w:hanging="360"/>
      </w:pPr>
      <w:rPr>
        <w:b/>
        <w:bCs/>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FC7EF8"/>
    <w:multiLevelType w:val="hybridMultilevel"/>
    <w:tmpl w:val="ECBCA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4540CC7"/>
    <w:multiLevelType w:val="hybridMultilevel"/>
    <w:tmpl w:val="7B9481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D103506"/>
    <w:multiLevelType w:val="hybridMultilevel"/>
    <w:tmpl w:val="B6B0119A"/>
    <w:lvl w:ilvl="0" w:tplc="7E002D6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E44677"/>
    <w:multiLevelType w:val="hybridMultilevel"/>
    <w:tmpl w:val="730E5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0278371">
    <w:abstractNumId w:val="0"/>
  </w:num>
  <w:num w:numId="2" w16cid:durableId="2037801953">
    <w:abstractNumId w:val="3"/>
  </w:num>
  <w:num w:numId="3" w16cid:durableId="1167944640">
    <w:abstractNumId w:val="2"/>
  </w:num>
  <w:num w:numId="4" w16cid:durableId="1684280920">
    <w:abstractNumId w:val="1"/>
  </w:num>
  <w:num w:numId="5" w16cid:durableId="1054818591">
    <w:abstractNumId w:val="5"/>
  </w:num>
  <w:num w:numId="6" w16cid:durableId="12517392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0F87"/>
    <w:rsid w:val="0003009E"/>
    <w:rsid w:val="00072B20"/>
    <w:rsid w:val="000C6778"/>
    <w:rsid w:val="00130716"/>
    <w:rsid w:val="00130877"/>
    <w:rsid w:val="001B2D66"/>
    <w:rsid w:val="001D199E"/>
    <w:rsid w:val="001E58B3"/>
    <w:rsid w:val="001F32C8"/>
    <w:rsid w:val="00231D55"/>
    <w:rsid w:val="002361A8"/>
    <w:rsid w:val="00241CBD"/>
    <w:rsid w:val="002C5016"/>
    <w:rsid w:val="00303623"/>
    <w:rsid w:val="00342653"/>
    <w:rsid w:val="00362A51"/>
    <w:rsid w:val="004120E1"/>
    <w:rsid w:val="004B2A93"/>
    <w:rsid w:val="004E3F47"/>
    <w:rsid w:val="00502CBB"/>
    <w:rsid w:val="0051530A"/>
    <w:rsid w:val="005825D0"/>
    <w:rsid w:val="005911A5"/>
    <w:rsid w:val="00632313"/>
    <w:rsid w:val="006705F1"/>
    <w:rsid w:val="007044CA"/>
    <w:rsid w:val="007D2875"/>
    <w:rsid w:val="007F3023"/>
    <w:rsid w:val="007F4089"/>
    <w:rsid w:val="00893E7C"/>
    <w:rsid w:val="008B082D"/>
    <w:rsid w:val="009F0F87"/>
    <w:rsid w:val="00A26EAB"/>
    <w:rsid w:val="00A5122E"/>
    <w:rsid w:val="00B03A62"/>
    <w:rsid w:val="00B06133"/>
    <w:rsid w:val="00BA3716"/>
    <w:rsid w:val="00BD0244"/>
    <w:rsid w:val="00BE44E0"/>
    <w:rsid w:val="00BE76B3"/>
    <w:rsid w:val="00C01235"/>
    <w:rsid w:val="00C0749E"/>
    <w:rsid w:val="00C12CA6"/>
    <w:rsid w:val="00C22F29"/>
    <w:rsid w:val="00CB3471"/>
    <w:rsid w:val="00CF0577"/>
    <w:rsid w:val="00D04D29"/>
    <w:rsid w:val="00D958DC"/>
    <w:rsid w:val="00DA2028"/>
    <w:rsid w:val="00DC32B9"/>
    <w:rsid w:val="00E320B5"/>
    <w:rsid w:val="00E577A1"/>
    <w:rsid w:val="00E7399F"/>
    <w:rsid w:val="00E95269"/>
    <w:rsid w:val="00EA526C"/>
    <w:rsid w:val="00F24856"/>
    <w:rsid w:val="00F9178B"/>
    <w:rsid w:val="00FC021A"/>
    <w:rsid w:val="00FD47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06800"/>
  <w15:chartTrackingRefBased/>
  <w15:docId w15:val="{33762D11-59AC-4873-8D54-A79C39F19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B2D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2D66"/>
    <w:rPr>
      <w:color w:val="0563C1" w:themeColor="hyperlink"/>
      <w:u w:val="single"/>
    </w:rPr>
  </w:style>
  <w:style w:type="character" w:customStyle="1" w:styleId="UnresolvedMention1">
    <w:name w:val="Unresolved Mention1"/>
    <w:basedOn w:val="DefaultParagraphFont"/>
    <w:uiPriority w:val="99"/>
    <w:semiHidden/>
    <w:unhideWhenUsed/>
    <w:rsid w:val="001B2D66"/>
    <w:rPr>
      <w:color w:val="605E5C"/>
      <w:shd w:val="clear" w:color="auto" w:fill="E1DFDD"/>
    </w:rPr>
  </w:style>
  <w:style w:type="paragraph" w:styleId="FootnoteText">
    <w:name w:val="footnote text"/>
    <w:aliases w:val="5_G"/>
    <w:basedOn w:val="Normal"/>
    <w:link w:val="FootnoteTextChar"/>
    <w:uiPriority w:val="99"/>
    <w:unhideWhenUsed/>
    <w:qFormat/>
    <w:rsid w:val="002C5016"/>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2C5016"/>
    <w:rPr>
      <w:sz w:val="20"/>
      <w:szCs w:val="20"/>
    </w:rPr>
  </w:style>
  <w:style w:type="character" w:styleId="FootnoteReference">
    <w:name w:val="footnote reference"/>
    <w:aliases w:val="4_G,4_GA"/>
    <w:basedOn w:val="DefaultParagraphFont"/>
    <w:uiPriority w:val="99"/>
    <w:unhideWhenUsed/>
    <w:qFormat/>
    <w:rsid w:val="002C5016"/>
    <w:rPr>
      <w:vertAlign w:val="superscript"/>
    </w:rPr>
  </w:style>
  <w:style w:type="paragraph" w:styleId="Header">
    <w:name w:val="header"/>
    <w:basedOn w:val="Normal"/>
    <w:link w:val="HeaderChar"/>
    <w:uiPriority w:val="99"/>
    <w:unhideWhenUsed/>
    <w:rsid w:val="00DA20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2028"/>
  </w:style>
  <w:style w:type="paragraph" w:styleId="Footer">
    <w:name w:val="footer"/>
    <w:basedOn w:val="Normal"/>
    <w:link w:val="FooterChar"/>
    <w:uiPriority w:val="99"/>
    <w:unhideWhenUsed/>
    <w:rsid w:val="00DA20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2028"/>
  </w:style>
  <w:style w:type="character" w:customStyle="1" w:styleId="Hyperlink1">
    <w:name w:val="Hyperlink1"/>
    <w:basedOn w:val="DefaultParagraphFont"/>
    <w:uiPriority w:val="99"/>
    <w:unhideWhenUsed/>
    <w:rsid w:val="00BD0244"/>
    <w:rPr>
      <w:color w:val="0563C1"/>
      <w:u w:val="single"/>
    </w:rPr>
  </w:style>
  <w:style w:type="paragraph" w:styleId="ListParagraph">
    <w:name w:val="List Paragraph"/>
    <w:basedOn w:val="Normal"/>
    <w:uiPriority w:val="34"/>
    <w:qFormat/>
    <w:rsid w:val="00BD0244"/>
    <w:pPr>
      <w:spacing w:after="200" w:line="276" w:lineRule="auto"/>
      <w:ind w:left="720"/>
      <w:contextualSpacing/>
    </w:pPr>
  </w:style>
  <w:style w:type="paragraph" w:styleId="NormalWeb">
    <w:name w:val="Normal (Web)"/>
    <w:basedOn w:val="Normal"/>
    <w:uiPriority w:val="99"/>
    <w:unhideWhenUsed/>
    <w:rsid w:val="00D958D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3079420">
      <w:bodyDiv w:val="1"/>
      <w:marLeft w:val="0"/>
      <w:marRight w:val="0"/>
      <w:marTop w:val="0"/>
      <w:marBottom w:val="0"/>
      <w:divBdr>
        <w:top w:val="none" w:sz="0" w:space="0" w:color="auto"/>
        <w:left w:val="none" w:sz="0" w:space="0" w:color="auto"/>
        <w:bottom w:val="none" w:sz="0" w:space="0" w:color="auto"/>
        <w:right w:val="none" w:sz="0" w:space="0" w:color="auto"/>
      </w:divBdr>
    </w:div>
    <w:div w:id="1569807891">
      <w:bodyDiv w:val="1"/>
      <w:marLeft w:val="0"/>
      <w:marRight w:val="0"/>
      <w:marTop w:val="0"/>
      <w:marBottom w:val="0"/>
      <w:divBdr>
        <w:top w:val="none" w:sz="0" w:space="0" w:color="auto"/>
        <w:left w:val="none" w:sz="0" w:space="0" w:color="auto"/>
        <w:bottom w:val="none" w:sz="0" w:space="0" w:color="auto"/>
        <w:right w:val="none" w:sz="0" w:space="0" w:color="auto"/>
      </w:divBdr>
    </w:div>
    <w:div w:id="2121101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cutt.us/ltKqK" TargetMode="External"/><Relationship Id="rId13" Type="http://schemas.openxmlformats.org/officeDocument/2006/relationships/hyperlink" Target="https://manshurat.org/node/14676" TargetMode="External"/><Relationship Id="rId3" Type="http://schemas.openxmlformats.org/officeDocument/2006/relationships/hyperlink" Target="https://cutt.us/amjn6" TargetMode="External"/><Relationship Id="rId7" Type="http://schemas.openxmlformats.org/officeDocument/2006/relationships/hyperlink" Target="https://cutt.us/xzgzo" TargetMode="External"/><Relationship Id="rId12" Type="http://schemas.openxmlformats.org/officeDocument/2006/relationships/hyperlink" Target="https://cutt.us/wqixe" TargetMode="External"/><Relationship Id="rId2" Type="http://schemas.openxmlformats.org/officeDocument/2006/relationships/hyperlink" Target="https://cutt.us/s7kjl" TargetMode="External"/><Relationship Id="rId16" Type="http://schemas.openxmlformats.org/officeDocument/2006/relationships/hyperlink" Target="https://cutt.us/dzrfr" TargetMode="External"/><Relationship Id="rId1" Type="http://schemas.openxmlformats.org/officeDocument/2006/relationships/hyperlink" Target="https://cutt.us/nygsw" TargetMode="External"/><Relationship Id="rId6" Type="http://schemas.openxmlformats.org/officeDocument/2006/relationships/hyperlink" Target="https://cutt.us/kiias" TargetMode="External"/><Relationship Id="rId11" Type="http://schemas.openxmlformats.org/officeDocument/2006/relationships/hyperlink" Target="https://cutt.us/ltKqK" TargetMode="External"/><Relationship Id="rId5" Type="http://schemas.openxmlformats.org/officeDocument/2006/relationships/hyperlink" Target="https://cutt.us/jim5u" TargetMode="External"/><Relationship Id="rId15" Type="http://schemas.openxmlformats.org/officeDocument/2006/relationships/hyperlink" Target="https://cutt.us/Ltkqk" TargetMode="External"/><Relationship Id="rId10" Type="http://schemas.openxmlformats.org/officeDocument/2006/relationships/hyperlink" Target="https://cutt.us/mzxqs" TargetMode="External"/><Relationship Id="rId4" Type="http://schemas.openxmlformats.org/officeDocument/2006/relationships/hyperlink" Target="https://cutt.us/kiias" TargetMode="External"/><Relationship Id="rId9" Type="http://schemas.openxmlformats.org/officeDocument/2006/relationships/hyperlink" Target="https://cutt.us/nygsw" TargetMode="External"/><Relationship Id="rId14" Type="http://schemas.openxmlformats.org/officeDocument/2006/relationships/hyperlink" Target="https://cutt.us/ltKq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Maat%20Templates\templates_Reports\elizk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678F9-CC0F-4131-BFEE-6BC30B58E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elizka.dotx</Template>
  <TotalTime>1</TotalTime>
  <Pages>9</Pages>
  <Words>3075</Words>
  <Characters>17534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Youssef Hamdan</cp:lastModifiedBy>
  <cp:revision>2</cp:revision>
  <dcterms:created xsi:type="dcterms:W3CDTF">2023-10-17T17:57:00Z</dcterms:created>
  <dcterms:modified xsi:type="dcterms:W3CDTF">2023-10-17T17:57:00Z</dcterms:modified>
</cp:coreProperties>
</file>