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A3D7F" w14:textId="760D96D1" w:rsidR="00C05DB6" w:rsidRDefault="00E8736D" w:rsidP="002852EE">
      <w:pPr>
        <w:jc w:val="both"/>
        <w:rPr>
          <w:rFonts w:ascii="Calibri" w:hAnsi="Calibri" w:cs="Calibri"/>
          <w:b/>
          <w:bCs/>
          <w:color w:val="4C94D8" w:themeColor="text2" w:themeTint="80"/>
          <w:lang w:val="fr-FR"/>
        </w:rPr>
      </w:pPr>
      <w:r>
        <w:rPr>
          <w:rFonts w:ascii="Calibri" w:hAnsi="Calibri" w:cs="Calibri"/>
          <w:b/>
          <w:bCs/>
          <w:color w:val="4C94D8" w:themeColor="text2" w:themeTint="80"/>
          <w:lang w:val="fr-FR"/>
        </w:rPr>
        <w:t>E</w:t>
      </w:r>
      <w:r w:rsidR="00A016D5" w:rsidRPr="00A016D5">
        <w:rPr>
          <w:rFonts w:ascii="Calibri" w:hAnsi="Calibri" w:cs="Calibri"/>
          <w:b/>
          <w:bCs/>
          <w:color w:val="4C94D8" w:themeColor="text2" w:themeTint="80"/>
          <w:lang w:val="fr-FR"/>
        </w:rPr>
        <w:t xml:space="preserve">léments complémentaires du gouvernement luxembourgeois </w:t>
      </w:r>
      <w:proofErr w:type="gramStart"/>
      <w:r w:rsidR="00A016D5" w:rsidRPr="00A016D5">
        <w:rPr>
          <w:rFonts w:ascii="Calibri" w:hAnsi="Calibri" w:cs="Calibri"/>
          <w:b/>
          <w:bCs/>
          <w:color w:val="4C94D8" w:themeColor="text2" w:themeTint="80"/>
          <w:lang w:val="fr-FR"/>
        </w:rPr>
        <w:t>suite à</w:t>
      </w:r>
      <w:proofErr w:type="gramEnd"/>
      <w:r w:rsidR="00A016D5" w:rsidRPr="00A016D5">
        <w:rPr>
          <w:rFonts w:ascii="Calibri" w:hAnsi="Calibri" w:cs="Calibri"/>
          <w:b/>
          <w:bCs/>
          <w:color w:val="4C94D8" w:themeColor="text2" w:themeTint="80"/>
          <w:lang w:val="fr-FR"/>
        </w:rPr>
        <w:t xml:space="preserve"> l’audition du 7 février 2025 concernant le 8</w:t>
      </w:r>
      <w:r w:rsidR="00A016D5" w:rsidRPr="00A016D5">
        <w:rPr>
          <w:rFonts w:ascii="Calibri" w:hAnsi="Calibri" w:cs="Calibri"/>
          <w:b/>
          <w:bCs/>
          <w:color w:val="4C94D8" w:themeColor="text2" w:themeTint="80"/>
          <w:vertAlign w:val="superscript"/>
          <w:lang w:val="fr-FR"/>
        </w:rPr>
        <w:t>ième</w:t>
      </w:r>
      <w:r w:rsidR="00A016D5" w:rsidRPr="00A016D5">
        <w:rPr>
          <w:rFonts w:ascii="Calibri" w:hAnsi="Calibri" w:cs="Calibri"/>
          <w:b/>
          <w:bCs/>
          <w:color w:val="4C94D8" w:themeColor="text2" w:themeTint="80"/>
          <w:lang w:val="fr-FR"/>
        </w:rPr>
        <w:t xml:space="preserve"> rapport CEDAW </w:t>
      </w:r>
    </w:p>
    <w:p w14:paraId="7E5F8514" w14:textId="0622DC6C" w:rsidR="00FD1F44" w:rsidRDefault="00823ABA" w:rsidP="002852EE">
      <w:pPr>
        <w:jc w:val="both"/>
        <w:rPr>
          <w:sz w:val="18"/>
          <w:szCs w:val="18"/>
          <w:lang w:val="fr-FR"/>
        </w:rPr>
      </w:pPr>
      <w:r>
        <w:rPr>
          <w:noProof/>
          <w:sz w:val="18"/>
          <w:szCs w:val="18"/>
          <w:lang w:val="fr-FR"/>
        </w:rPr>
        <mc:AlternateContent>
          <mc:Choice Requires="wps">
            <w:drawing>
              <wp:anchor distT="0" distB="0" distL="114300" distR="114300" simplePos="0" relativeHeight="251659264" behindDoc="0" locked="0" layoutInCell="1" allowOverlap="1" wp14:anchorId="026ECAE5" wp14:editId="5A05CCDB">
                <wp:simplePos x="0" y="0"/>
                <wp:positionH relativeFrom="margin">
                  <wp:align>left</wp:align>
                </wp:positionH>
                <wp:positionV relativeFrom="paragraph">
                  <wp:posOffset>93615</wp:posOffset>
                </wp:positionV>
                <wp:extent cx="5728570" cy="33402"/>
                <wp:effectExtent l="0" t="0" r="24765" b="24130"/>
                <wp:wrapNone/>
                <wp:docPr id="1481771014" name="Straight Connector 2"/>
                <wp:cNvGraphicFramePr/>
                <a:graphic xmlns:a="http://schemas.openxmlformats.org/drawingml/2006/main">
                  <a:graphicData uri="http://schemas.microsoft.com/office/word/2010/wordprocessingShape">
                    <wps:wsp>
                      <wps:cNvCnPr/>
                      <wps:spPr>
                        <a:xfrm flipV="1">
                          <a:off x="0" y="0"/>
                          <a:ext cx="5728570" cy="3340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12320" id="Straight Connector 2" o:spid="_x0000_s1026" style="position:absolute;flip:y;z-index:251659264;visibility:visible;mso-wrap-style:square;mso-wrap-distance-left:9pt;mso-wrap-distance-top:0;mso-wrap-distance-right:9pt;mso-wrap-distance-bottom:0;mso-position-horizontal:left;mso-position-horizontal-relative:margin;mso-position-vertical:absolute;mso-position-vertical-relative:text" from="0,7.35pt" to="451.0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" strokecolor="black [3213]" strokeweight=".5pt">
                <v:stroke joinstyle="miter"/>
                <w10:wrap anchorx="margin"/>
              </v:line>
            </w:pict>
          </mc:Fallback>
        </mc:AlternateContent>
      </w:r>
      <w:r w:rsidR="00FD1F44" w:rsidRPr="00FD1F44">
        <w:rPr>
          <w:sz w:val="18"/>
          <w:szCs w:val="18"/>
          <w:lang w:val="fr-FR"/>
        </w:rPr>
        <w:t>10 février 2025</w:t>
      </w:r>
    </w:p>
    <w:p w14:paraId="0214E504" w14:textId="77777777" w:rsidR="00154338" w:rsidRDefault="00154338" w:rsidP="002852EE">
      <w:pPr>
        <w:jc w:val="both"/>
        <w:rPr>
          <w:lang w:val="fr-FR"/>
        </w:rPr>
      </w:pPr>
    </w:p>
    <w:p w14:paraId="4A3E5290" w14:textId="65FE9740" w:rsidR="004C1692" w:rsidRDefault="004C1692" w:rsidP="002852EE">
      <w:pPr>
        <w:jc w:val="both"/>
        <w:rPr>
          <w:b/>
          <w:bCs/>
          <w:lang w:val="fr-FR"/>
        </w:rPr>
      </w:pPr>
      <w:proofErr w:type="gramStart"/>
      <w:r>
        <w:rPr>
          <w:b/>
          <w:bCs/>
          <w:lang w:val="fr-FR"/>
        </w:rPr>
        <w:t>Réforme mineurs</w:t>
      </w:r>
      <w:proofErr w:type="gramEnd"/>
    </w:p>
    <w:p w14:paraId="21343CF3" w14:textId="000850A7" w:rsidR="004C1692" w:rsidRPr="004C1692" w:rsidRDefault="004C1692" w:rsidP="002852EE">
      <w:pPr>
        <w:jc w:val="both"/>
        <w:rPr>
          <w:lang w:val="fr-FR"/>
        </w:rPr>
      </w:pPr>
      <w:r w:rsidRPr="004C1692">
        <w:rPr>
          <w:lang w:val="fr-FR"/>
        </w:rPr>
        <w:t xml:space="preserve">En droit luxembourgeois, </w:t>
      </w:r>
      <w:r w:rsidR="002852EE">
        <w:rPr>
          <w:lang w:val="fr-FR"/>
        </w:rPr>
        <w:t xml:space="preserve">tous </w:t>
      </w:r>
      <w:r w:rsidRPr="004C1692">
        <w:rPr>
          <w:lang w:val="fr-FR"/>
        </w:rPr>
        <w:t xml:space="preserve">les mineurs sont soumis au régime unique de la loi modifiée du 10 août 1992 relative à la protection de la jeunesse. </w:t>
      </w:r>
      <w:r w:rsidR="002852EE">
        <w:rPr>
          <w:lang w:val="fr-FR"/>
        </w:rPr>
        <w:t>U</w:t>
      </w:r>
      <w:r w:rsidRPr="004C1692">
        <w:rPr>
          <w:lang w:val="fr-FR"/>
        </w:rPr>
        <w:t>ne privation de liberté n’est appliquée qu’en dernier recours. En cas de privation de liberté d’une mineure enceinte ou allaitante, le juge de la jeunesse peut prononcer des mesures de protection adaptées.</w:t>
      </w:r>
    </w:p>
    <w:p w14:paraId="7D6ABCD9" w14:textId="68A3DA03" w:rsidR="004C1692" w:rsidRDefault="004C1692" w:rsidP="002852EE">
      <w:pPr>
        <w:jc w:val="both"/>
        <w:rPr>
          <w:lang w:val="fr-FR"/>
        </w:rPr>
      </w:pPr>
      <w:r w:rsidRPr="004C1692">
        <w:rPr>
          <w:lang w:val="fr-FR"/>
        </w:rPr>
        <w:t>Une réforme de ce système est en train d’être opérée</w:t>
      </w:r>
      <w:r w:rsidR="002852EE">
        <w:rPr>
          <w:lang w:val="fr-FR"/>
        </w:rPr>
        <w:t> :</w:t>
      </w:r>
      <w:r w:rsidRPr="004C1692">
        <w:rPr>
          <w:lang w:val="fr-FR"/>
        </w:rPr>
        <w:t xml:space="preserve"> un droit pénal pour mineurs autonome sera instauré. Dans ce cadre, le principe de ne prévoir une privation de liberté qu’en dernier ressort sera maintenu et la situation </w:t>
      </w:r>
      <w:r w:rsidR="00B72147" w:rsidRPr="004C1692">
        <w:rPr>
          <w:lang w:val="fr-FR"/>
        </w:rPr>
        <w:t>particulière</w:t>
      </w:r>
      <w:r w:rsidRPr="004C1692">
        <w:rPr>
          <w:lang w:val="fr-FR"/>
        </w:rPr>
        <w:t xml:space="preserve"> des filles enceintes et allaitantes sera prise en compte par le règlement des régimes internes.</w:t>
      </w:r>
    </w:p>
    <w:p w14:paraId="3AD07836" w14:textId="67224A6E" w:rsidR="00B72147" w:rsidRDefault="00B72147" w:rsidP="002852EE">
      <w:pPr>
        <w:jc w:val="both"/>
        <w:rPr>
          <w:b/>
          <w:bCs/>
          <w:lang w:val="fr-FR"/>
        </w:rPr>
      </w:pPr>
      <w:r w:rsidRPr="00B72147">
        <w:rPr>
          <w:b/>
          <w:bCs/>
          <w:lang w:val="fr-FR"/>
        </w:rPr>
        <w:t>Stérilisation forcée</w:t>
      </w:r>
    </w:p>
    <w:p w14:paraId="1701F801" w14:textId="32D9149C" w:rsidR="00B72147" w:rsidRPr="00B72147" w:rsidRDefault="00B72147" w:rsidP="002852EE">
      <w:pPr>
        <w:jc w:val="both"/>
        <w:rPr>
          <w:lang w:val="fr-FR"/>
        </w:rPr>
      </w:pPr>
      <w:r w:rsidRPr="00B72147">
        <w:rPr>
          <w:lang w:val="fr-FR"/>
        </w:rPr>
        <w:t>Le Luxembourg a ratifié la Convention des Nations unies relative aux droits des personnes handicapées (CRDPH). Il a établi son consentement à être lié juridiquement au niveau international par la CRDPH et son protocole facultatif s’engageant</w:t>
      </w:r>
      <w:r>
        <w:rPr>
          <w:lang w:val="fr-FR"/>
        </w:rPr>
        <w:t xml:space="preserve"> </w:t>
      </w:r>
      <w:r w:rsidRPr="00B72147">
        <w:rPr>
          <w:lang w:val="fr-FR"/>
        </w:rPr>
        <w:t>à mettre en œuvre les dispositions de la Convention notamment par son Plan d’action national de mise en œuvre.</w:t>
      </w:r>
    </w:p>
    <w:p w14:paraId="41940CE3" w14:textId="77777777" w:rsidR="00B72147" w:rsidRPr="00B72147" w:rsidRDefault="00B72147" w:rsidP="002852EE">
      <w:pPr>
        <w:jc w:val="both"/>
        <w:rPr>
          <w:lang w:val="fr-FR"/>
        </w:rPr>
      </w:pPr>
      <w:r w:rsidRPr="00B72147">
        <w:rPr>
          <w:lang w:val="fr-FR"/>
        </w:rPr>
        <w:t xml:space="preserve">L’article 17 de la CRDPH vise la protection de l’intégrité de la personne </w:t>
      </w:r>
    </w:p>
    <w:p w14:paraId="67BF4817" w14:textId="4CF88567" w:rsidR="00B72147" w:rsidRPr="00B72147" w:rsidRDefault="00B72147" w:rsidP="002852EE">
      <w:pPr>
        <w:jc w:val="both"/>
        <w:rPr>
          <w:lang w:val="fr-FR"/>
        </w:rPr>
      </w:pPr>
      <w:r>
        <w:rPr>
          <w:lang w:val="fr-FR"/>
        </w:rPr>
        <w:t>L</w:t>
      </w:r>
      <w:r w:rsidRPr="00B72147">
        <w:rPr>
          <w:lang w:val="fr-FR"/>
        </w:rPr>
        <w:t xml:space="preserve">a politique du Luxembourg s'oppose </w:t>
      </w:r>
      <w:r w:rsidR="002852EE">
        <w:rPr>
          <w:lang w:val="fr-FR"/>
        </w:rPr>
        <w:t xml:space="preserve">par conséquent </w:t>
      </w:r>
      <w:r w:rsidRPr="00B72147">
        <w:rPr>
          <w:lang w:val="fr-FR"/>
        </w:rPr>
        <w:t>aux mesures de stérilisation forcée des femmes en situation de handicap.</w:t>
      </w:r>
    </w:p>
    <w:p w14:paraId="529A6724" w14:textId="4E61A6AB" w:rsidR="00B72147" w:rsidRDefault="00B875F5" w:rsidP="002852EE">
      <w:pPr>
        <w:jc w:val="both"/>
        <w:rPr>
          <w:lang w:val="fr-FR"/>
        </w:rPr>
      </w:pPr>
      <w:r>
        <w:rPr>
          <w:lang w:val="fr-FR"/>
        </w:rPr>
        <w:t>L</w:t>
      </w:r>
      <w:r w:rsidR="00B72147" w:rsidRPr="00B72147">
        <w:rPr>
          <w:lang w:val="fr-FR"/>
        </w:rPr>
        <w:t>’article 80 du Code pénal crée une nouvelle circonstance aggravante, susceptible de s’appliquer à toute infraction pénale : le fait de commettre une infraction en raison d’un élément visé à l’article 454 du Code pénal, parmi lesquels le sexe, l’orientation sexuelle, le handicap, etc. Une personne pourra être condamnée au double du maximum de la peine privative de liberté et de l’amende, dans le respect des limites légales.</w:t>
      </w:r>
    </w:p>
    <w:p w14:paraId="2D17014E" w14:textId="36049F29" w:rsidR="00F31E95" w:rsidRPr="00F31E95" w:rsidRDefault="00F31E95" w:rsidP="002852EE">
      <w:pPr>
        <w:jc w:val="both"/>
        <w:rPr>
          <w:b/>
          <w:bCs/>
          <w:lang w:val="fr-FR"/>
        </w:rPr>
      </w:pPr>
      <w:r w:rsidRPr="00F31E95">
        <w:rPr>
          <w:b/>
          <w:bCs/>
          <w:lang w:val="fr-FR"/>
        </w:rPr>
        <w:t>Apatrides</w:t>
      </w:r>
    </w:p>
    <w:p w14:paraId="0DDD9589" w14:textId="1343DEE4" w:rsidR="00F31E95" w:rsidRPr="00F31E95" w:rsidRDefault="00F31E95" w:rsidP="002852EE">
      <w:pPr>
        <w:jc w:val="both"/>
        <w:rPr>
          <w:lang w:val="fr-FR"/>
        </w:rPr>
      </w:pPr>
      <w:r w:rsidRPr="00F31E95">
        <w:rPr>
          <w:lang w:val="fr-FR"/>
        </w:rPr>
        <w:t>Il ressort de l’article 69, paragraphe (3), de la loi du 29 août 2008 que lorsqu’un bénéficiaire d’une protection internationale introduit une demande de regroupement familial dans un délai de six mois suivant l’octroi de cette protection, il n’est pas tenu de remplir les conditions du premier paragraphe de l’article 69</w:t>
      </w:r>
      <w:r w:rsidR="002852EE">
        <w:rPr>
          <w:lang w:val="fr-FR"/>
        </w:rPr>
        <w:t>, à savoir</w:t>
      </w:r>
      <w:r w:rsidRPr="00F31E95">
        <w:rPr>
          <w:lang w:val="fr-FR"/>
        </w:rPr>
        <w:t xml:space="preserve"> :</w:t>
      </w:r>
    </w:p>
    <w:p w14:paraId="08BE525C" w14:textId="77777777" w:rsidR="00F31E95" w:rsidRPr="00F31E95" w:rsidRDefault="00F31E95" w:rsidP="002852EE">
      <w:pPr>
        <w:jc w:val="both"/>
        <w:rPr>
          <w:lang w:val="fr-FR"/>
        </w:rPr>
      </w:pPr>
      <w:r w:rsidRPr="00F31E95">
        <w:rPr>
          <w:lang w:val="fr-FR"/>
        </w:rPr>
        <w:t>(i)</w:t>
      </w:r>
      <w:r w:rsidRPr="00F31E95">
        <w:rPr>
          <w:lang w:val="fr-FR"/>
        </w:rPr>
        <w:tab/>
        <w:t>apporter la preuve qu’il dispose de ressources stables, régulières et suffisantes pour subvenir à ses propres besoins ainsi qu’à ceux des membres de sa famille à charge, sans recourir au système d’aide sociale ;</w:t>
      </w:r>
    </w:p>
    <w:p w14:paraId="086A3FA2" w14:textId="77777777" w:rsidR="00F31E95" w:rsidRPr="00F31E95" w:rsidRDefault="00F31E95" w:rsidP="002852EE">
      <w:pPr>
        <w:jc w:val="both"/>
        <w:rPr>
          <w:lang w:val="fr-FR"/>
        </w:rPr>
      </w:pPr>
      <w:r w:rsidRPr="00F31E95">
        <w:rPr>
          <w:lang w:val="fr-FR"/>
        </w:rPr>
        <w:t>(ii)</w:t>
      </w:r>
      <w:r w:rsidRPr="00F31E95">
        <w:rPr>
          <w:lang w:val="fr-FR"/>
        </w:rPr>
        <w:tab/>
        <w:t>disposer d’un logement approprié pour accueillir le membre de sa famille ; et</w:t>
      </w:r>
    </w:p>
    <w:p w14:paraId="6F17E3C5" w14:textId="77777777" w:rsidR="00F31E95" w:rsidRPr="00F31E95" w:rsidRDefault="00F31E95" w:rsidP="002852EE">
      <w:pPr>
        <w:jc w:val="both"/>
        <w:rPr>
          <w:lang w:val="fr-FR"/>
        </w:rPr>
      </w:pPr>
      <w:r w:rsidRPr="00F31E95">
        <w:rPr>
          <w:lang w:val="fr-FR"/>
        </w:rPr>
        <w:t>(iii)</w:t>
      </w:r>
      <w:r w:rsidRPr="00F31E95">
        <w:rPr>
          <w:lang w:val="fr-FR"/>
        </w:rPr>
        <w:tab/>
        <w:t>bénéficier d’une couverture d’assurance maladie pour lui-même et pour les membres de sa famille.</w:t>
      </w:r>
    </w:p>
    <w:p w14:paraId="0289E612" w14:textId="74AA76C2" w:rsidR="00F31E95" w:rsidRPr="00F31E95" w:rsidRDefault="00F31E95" w:rsidP="002852EE">
      <w:pPr>
        <w:jc w:val="both"/>
        <w:rPr>
          <w:lang w:val="fr-FR"/>
        </w:rPr>
      </w:pPr>
      <w:r>
        <w:rPr>
          <w:lang w:val="fr-FR"/>
        </w:rPr>
        <w:t>Si</w:t>
      </w:r>
      <w:r w:rsidRPr="00F31E95">
        <w:rPr>
          <w:lang w:val="fr-FR"/>
        </w:rPr>
        <w:t xml:space="preserve"> la demande est introduite après ce délai de six mois, le demandeur doit satisfaire cumulativement aux conditions prévues au premier paragraphe de l’article 69 précité.</w:t>
      </w:r>
    </w:p>
    <w:p w14:paraId="7F4BEA6C" w14:textId="2DCA9277" w:rsidR="00F31E95" w:rsidRPr="00F31E95" w:rsidRDefault="00B875F5" w:rsidP="002852EE">
      <w:pPr>
        <w:jc w:val="both"/>
        <w:rPr>
          <w:lang w:val="fr-FR"/>
        </w:rPr>
      </w:pPr>
      <w:r>
        <w:rPr>
          <w:lang w:val="fr-FR"/>
        </w:rPr>
        <w:lastRenderedPageBreak/>
        <w:t>L</w:t>
      </w:r>
      <w:r w:rsidR="00F31E95" w:rsidRPr="00F31E95">
        <w:rPr>
          <w:lang w:val="fr-FR"/>
        </w:rPr>
        <w:t>e délai de six mois</w:t>
      </w:r>
      <w:r w:rsidR="002852EE">
        <w:rPr>
          <w:lang w:val="fr-FR"/>
        </w:rPr>
        <w:t>,</w:t>
      </w:r>
      <w:r w:rsidR="00F31E95" w:rsidRPr="00F31E95">
        <w:rPr>
          <w:lang w:val="fr-FR"/>
        </w:rPr>
        <w:t xml:space="preserve"> prévu par la loi du 29 août 2008 sur la libre circulation des personnes et l’immigration, applicable aux bénéficiaires d’une protection internationale, excède le délai de trois mois</w:t>
      </w:r>
      <w:r w:rsidR="002852EE">
        <w:rPr>
          <w:lang w:val="fr-FR"/>
        </w:rPr>
        <w:t>,</w:t>
      </w:r>
      <w:r w:rsidR="00F31E95" w:rsidRPr="00F31E95">
        <w:rPr>
          <w:lang w:val="fr-FR"/>
        </w:rPr>
        <w:t xml:space="preserve"> prévu par l’article 12 de la directive 2003/86/CE du Conseil du 22 septembre 2003 relative au droit au regroupement familial et instaure donc un régime plus favorable que celui prévu par ladite directive. En effet, par une loi du 16 juin 2021 portant modification de la loi modifiée du 29 août 2008 sur la libre circulation des personnes et l’immigration, le délai de 3 mois, jugé trop court, a été porté à 6 mois. Environ 90% des demandes de regroupement familial des bénéficiaires d’une protection internationale sont introduites endéans le délai de 6 mois.</w:t>
      </w:r>
    </w:p>
    <w:p w14:paraId="1E6D1FAF" w14:textId="73B23173" w:rsidR="00F31E95" w:rsidRPr="00F31E95" w:rsidRDefault="002852EE" w:rsidP="002852EE">
      <w:pPr>
        <w:jc w:val="both"/>
        <w:rPr>
          <w:lang w:val="fr-FR"/>
        </w:rPr>
      </w:pPr>
      <w:r>
        <w:rPr>
          <w:lang w:val="fr-FR"/>
        </w:rPr>
        <w:t>L</w:t>
      </w:r>
      <w:r w:rsidR="00F31E95" w:rsidRPr="00F31E95">
        <w:rPr>
          <w:lang w:val="fr-FR"/>
        </w:rPr>
        <w:t>es personnes ne disposant pas de ressources suffisantes, y compris les réfugiés, ont droit à l’assistance judiciaire, tant lors de la procédure administrative relative à leur demande que lors d’un éventuel recours en justice.</w:t>
      </w:r>
    </w:p>
    <w:p w14:paraId="338E2016" w14:textId="161FF773" w:rsidR="00F31E95" w:rsidRDefault="002852EE" w:rsidP="002852EE">
      <w:pPr>
        <w:jc w:val="both"/>
        <w:rPr>
          <w:lang w:val="fr-FR"/>
        </w:rPr>
      </w:pPr>
      <w:r>
        <w:rPr>
          <w:lang w:val="fr-FR"/>
        </w:rPr>
        <w:t>Dès lors</w:t>
      </w:r>
      <w:r w:rsidR="00F31E95" w:rsidRPr="00F31E95">
        <w:rPr>
          <w:lang w:val="fr-FR"/>
        </w:rPr>
        <w:t>, le délai de six mois ne saurait être considéré comme une restriction au regroupement familial des réfugiés.</w:t>
      </w:r>
    </w:p>
    <w:p w14:paraId="082B493E" w14:textId="6364B531" w:rsidR="00F31E95" w:rsidRPr="00F31E95" w:rsidRDefault="00F31E95" w:rsidP="002852EE">
      <w:pPr>
        <w:jc w:val="both"/>
        <w:rPr>
          <w:lang w:val="fr-FR"/>
        </w:rPr>
      </w:pPr>
      <w:r w:rsidRPr="00F31E95">
        <w:rPr>
          <w:lang w:val="fr-FR"/>
        </w:rPr>
        <w:t xml:space="preserve">Lorsque le statut d’apatride est reconnu à </w:t>
      </w:r>
      <w:r w:rsidR="002852EE" w:rsidRPr="00F31E95">
        <w:rPr>
          <w:lang w:val="fr-FR"/>
        </w:rPr>
        <w:t>une personne résidante</w:t>
      </w:r>
      <w:r w:rsidRPr="00F31E95">
        <w:rPr>
          <w:lang w:val="fr-FR"/>
        </w:rPr>
        <w:t>, un titre de voyage pour apatrides est octroyé. Lorsque la personne apatride est bénéficiaire du statut de réfugié, un titre de voyage pour réfugiés lui est octroyé, lui permettant d’établir son identité et d’obtenir des aides financières.</w:t>
      </w:r>
    </w:p>
    <w:p w14:paraId="7FA58A90" w14:textId="1BD3D940" w:rsidR="00F31E95" w:rsidRPr="00F31E95" w:rsidRDefault="00707A38" w:rsidP="002852EE">
      <w:pPr>
        <w:jc w:val="both"/>
        <w:rPr>
          <w:lang w:val="fr-FR"/>
        </w:rPr>
      </w:pPr>
      <w:r>
        <w:rPr>
          <w:lang w:val="fr-FR"/>
        </w:rPr>
        <w:t>U</w:t>
      </w:r>
      <w:r w:rsidR="00F31E95" w:rsidRPr="00F31E95">
        <w:rPr>
          <w:lang w:val="fr-FR"/>
        </w:rPr>
        <w:t xml:space="preserve">niquement une personne en possession d’un titre de séjour valable, en tant que bénéficiaire d’une protection internationale ou autre, peut déposer une demande de regroupement familial. </w:t>
      </w:r>
    </w:p>
    <w:p w14:paraId="60AB2670" w14:textId="2987FE68" w:rsidR="00F31E95" w:rsidRDefault="002852EE" w:rsidP="002852EE">
      <w:pPr>
        <w:jc w:val="both"/>
        <w:rPr>
          <w:lang w:val="fr-FR"/>
        </w:rPr>
      </w:pPr>
      <w:r>
        <w:rPr>
          <w:lang w:val="fr-FR"/>
        </w:rPr>
        <w:t>Si l</w:t>
      </w:r>
      <w:r w:rsidR="00F31E95" w:rsidRPr="00F31E95">
        <w:rPr>
          <w:lang w:val="fr-FR"/>
        </w:rPr>
        <w:t xml:space="preserve">es membres de famille sollicitant le regroupement familial démontrent leur lien familial avec le regroupant et que le regroupant apatride remplit les conditions légales pour le regroupement, la demande de regroupement familial peut être traitée et une autorisation de séjour à titre de membre de famille peut être accordée. </w:t>
      </w:r>
      <w:r w:rsidR="00F31E95">
        <w:rPr>
          <w:lang w:val="fr-FR"/>
        </w:rPr>
        <w:t>L</w:t>
      </w:r>
      <w:r w:rsidR="00F31E95" w:rsidRPr="00F31E95">
        <w:rPr>
          <w:lang w:val="fr-FR"/>
        </w:rPr>
        <w:t xml:space="preserve">’article 73, paragraphe (3), de la loi modifiée du 29 août 2008 sur la libre circulation des personnes et l’immigration que « lorsque le bénéficiaire d’une protection internationale ne peut fournir les pièces justificatives officielles attentant les liens familiaux, il peut prouver l’existence de ces liens par tout moyen de preuve. La seule absence de pièces justificatives ne peut motiver une décision de rejet de la demande de regroupement familial ». A défaut de passeport, un laissez-passer pour voyager au </w:t>
      </w:r>
      <w:r w:rsidR="00CB1D4A">
        <w:rPr>
          <w:lang w:val="fr-FR"/>
        </w:rPr>
        <w:t>Luxembourg est délivré</w:t>
      </w:r>
      <w:r w:rsidR="00F31E95" w:rsidRPr="00F31E95">
        <w:rPr>
          <w:lang w:val="fr-FR"/>
        </w:rPr>
        <w:t>.</w:t>
      </w:r>
    </w:p>
    <w:p w14:paraId="43D97830" w14:textId="3D82C841" w:rsidR="00F31E95" w:rsidRPr="00F31E95" w:rsidRDefault="00C42296" w:rsidP="002852EE">
      <w:pPr>
        <w:jc w:val="both"/>
        <w:rPr>
          <w:lang w:val="fr-FR"/>
        </w:rPr>
      </w:pPr>
      <w:r>
        <w:rPr>
          <w:lang w:val="fr-FR"/>
        </w:rPr>
        <w:t>Selon l</w:t>
      </w:r>
      <w:r w:rsidR="00F31E95" w:rsidRPr="00F31E95">
        <w:rPr>
          <w:lang w:val="fr-FR"/>
        </w:rPr>
        <w:t>’amendement de la Constitution en 2023, Obtient la nationalité, en vertu de l’article 3 de la loi modifiée du 8 mars 2017 sur la nationalité ayant pour but de prévenir l’apatridie :</w:t>
      </w:r>
    </w:p>
    <w:p w14:paraId="08E49964" w14:textId="77777777" w:rsidR="00F31E95" w:rsidRPr="00F31E95" w:rsidRDefault="00F31E95" w:rsidP="002852EE">
      <w:pPr>
        <w:jc w:val="both"/>
        <w:rPr>
          <w:lang w:val="fr-FR"/>
        </w:rPr>
      </w:pPr>
      <w:r w:rsidRPr="00F31E95">
        <w:rPr>
          <w:lang w:val="fr-FR"/>
        </w:rPr>
        <w:t>1° le mineur ayant fait l’objet d’une adoption par un Luxembourgeois ;</w:t>
      </w:r>
    </w:p>
    <w:p w14:paraId="44DD3D89" w14:textId="77777777" w:rsidR="00F31E95" w:rsidRPr="00F31E95" w:rsidRDefault="00F31E95" w:rsidP="002852EE">
      <w:pPr>
        <w:jc w:val="both"/>
        <w:rPr>
          <w:lang w:val="fr-FR"/>
        </w:rPr>
      </w:pPr>
      <w:r w:rsidRPr="00F31E95">
        <w:rPr>
          <w:lang w:val="fr-FR"/>
        </w:rPr>
        <w:t>2° le mineur dont l’adoptant obtient la qualité de Luxembourgeois par naturalisation, option ou recouvrement ;</w:t>
      </w:r>
    </w:p>
    <w:p w14:paraId="768E910D" w14:textId="5F9812A8" w:rsidR="00F31E95" w:rsidRPr="00F31E95" w:rsidRDefault="00F31E95" w:rsidP="002852EE">
      <w:pPr>
        <w:jc w:val="both"/>
        <w:rPr>
          <w:lang w:val="fr-FR"/>
        </w:rPr>
      </w:pPr>
      <w:r w:rsidRPr="00F31E95">
        <w:rPr>
          <w:lang w:val="fr-FR"/>
        </w:rPr>
        <w:t>3° le mineur qui a fait l’objet d’une adoption par un apatride ayant une résidence habituelle au Luxembourg et s’y trouvant en séjour régulier ;</w:t>
      </w:r>
    </w:p>
    <w:p w14:paraId="565F8938" w14:textId="681743FC" w:rsidR="00F31E95" w:rsidRPr="00F31E95" w:rsidRDefault="00F31E95" w:rsidP="002852EE">
      <w:pPr>
        <w:jc w:val="both"/>
        <w:rPr>
          <w:lang w:val="fr-FR"/>
        </w:rPr>
      </w:pPr>
      <w:r w:rsidRPr="00F31E95">
        <w:rPr>
          <w:lang w:val="fr-FR"/>
        </w:rPr>
        <w:t xml:space="preserve">4° le mineur ayant fait l’objet d’une adoption par des personnes de nationalité étrangère qui ont une résidence habituelle au Luxembourg et qui s’y trouvent en séjour régulier, à condition qu’il ait perdu sa nationalité par l’effet de l’adoption et que l’application d’aucune loi étrangère ne lui permette d’obtenir la nationalité de l’un ou l’autre de ses adoptants ou que l’attribution de ces mêmes nationalités ne soit possible qu’en cas de résidence dans les pays concernés ; </w:t>
      </w:r>
      <w:proofErr w:type="gramStart"/>
      <w:r w:rsidRPr="00F31E95">
        <w:rPr>
          <w:lang w:val="fr-FR"/>
        </w:rPr>
        <w:t>ou</w:t>
      </w:r>
      <w:proofErr w:type="gramEnd"/>
    </w:p>
    <w:p w14:paraId="2D76C216" w14:textId="2845FD2F" w:rsidR="00F31E95" w:rsidRPr="00F31E95" w:rsidRDefault="00F31E95" w:rsidP="002852EE">
      <w:pPr>
        <w:jc w:val="both"/>
        <w:rPr>
          <w:lang w:val="fr-FR"/>
        </w:rPr>
      </w:pPr>
      <w:r w:rsidRPr="00F31E95">
        <w:rPr>
          <w:lang w:val="fr-FR"/>
        </w:rPr>
        <w:t>5° le mineur dont le parent obtient la qualité de Luxembourgeois en application des points 1° à 4°.</w:t>
      </w:r>
    </w:p>
    <w:p w14:paraId="3C61DEC4" w14:textId="7337D917" w:rsidR="00F31E95" w:rsidRPr="00F31E95" w:rsidRDefault="00F31E95" w:rsidP="002852EE">
      <w:pPr>
        <w:jc w:val="both"/>
        <w:rPr>
          <w:lang w:val="fr-FR"/>
        </w:rPr>
      </w:pPr>
      <w:r w:rsidRPr="00F31E95">
        <w:rPr>
          <w:lang w:val="fr-FR"/>
        </w:rPr>
        <w:lastRenderedPageBreak/>
        <w:t>Le mineur apatride, qui fait l’objet d’une adoption plénière ou simple par une personne de nationalité luxembourgeoise, obtient la nationalité luxembourgeoise automatiquement.</w:t>
      </w:r>
    </w:p>
    <w:p w14:paraId="624C0E3C" w14:textId="61379AF2" w:rsidR="00D10EE0" w:rsidRDefault="00D10EE0" w:rsidP="002852EE">
      <w:pPr>
        <w:jc w:val="both"/>
        <w:rPr>
          <w:b/>
          <w:bCs/>
          <w:lang w:val="fr-FR"/>
        </w:rPr>
      </w:pPr>
      <w:r w:rsidRPr="00D10EE0">
        <w:rPr>
          <w:b/>
          <w:bCs/>
          <w:lang w:val="fr-FR"/>
        </w:rPr>
        <w:t>Harcèlement sexuel</w:t>
      </w:r>
    </w:p>
    <w:p w14:paraId="3BA95708" w14:textId="6812E47F" w:rsidR="00D10EE0" w:rsidRPr="00D10EE0" w:rsidRDefault="00D10EE0" w:rsidP="002852EE">
      <w:pPr>
        <w:spacing w:line="276" w:lineRule="auto"/>
        <w:jc w:val="both"/>
        <w:rPr>
          <w:rFonts w:ascii="Calibri" w:hAnsi="Calibri" w:cs="Calibri"/>
          <w:lang w:val="fr-FR"/>
        </w:rPr>
      </w:pPr>
      <w:r w:rsidRPr="00D10EE0">
        <w:rPr>
          <w:rFonts w:ascii="Calibri" w:hAnsi="Calibri" w:cs="Calibri"/>
          <w:lang w:val="fr-FR"/>
        </w:rPr>
        <w:t xml:space="preserve">Le harcèlement sexuel, est un comportement qui peut tomber sous la qualification d’atteinte à l’intégrité sexuelle, définie comme l’accomplissement d’un acte à caractère sexuel sur une personne qui n’y consent pas, tel que prévu par l’article 372 du Code pénal. </w:t>
      </w:r>
    </w:p>
    <w:p w14:paraId="75AC6233" w14:textId="20D298D8" w:rsidR="00A016D5" w:rsidRPr="00A016D5" w:rsidRDefault="00483A88" w:rsidP="002852EE">
      <w:pPr>
        <w:jc w:val="both"/>
        <w:rPr>
          <w:b/>
          <w:bCs/>
          <w:lang w:val="fr-FR"/>
        </w:rPr>
      </w:pPr>
      <w:r>
        <w:rPr>
          <w:b/>
          <w:bCs/>
          <w:lang w:val="fr-FR"/>
        </w:rPr>
        <w:t>E</w:t>
      </w:r>
      <w:r w:rsidR="00A016D5" w:rsidRPr="00A016D5">
        <w:rPr>
          <w:b/>
          <w:bCs/>
          <w:lang w:val="fr-FR"/>
        </w:rPr>
        <w:t>tablissements financiers</w:t>
      </w:r>
    </w:p>
    <w:p w14:paraId="784ED665" w14:textId="1C970F25" w:rsidR="00A016D5" w:rsidRPr="00A016D5" w:rsidRDefault="00A016D5" w:rsidP="00B875F5">
      <w:pPr>
        <w:jc w:val="both"/>
        <w:rPr>
          <w:lang w:val="fr-FR"/>
        </w:rPr>
      </w:pPr>
      <w:r w:rsidRPr="00A016D5">
        <w:rPr>
          <w:lang w:val="fr-FR"/>
        </w:rPr>
        <w:t>Les établissements financiers sont soumis à des obligations strictes en matière de lutte contre la traite des êtres humains et la contrebande, principalement dans le cadre de la lutte contre le blanchiment de capitaux et le financement du terrorisme. La loi modifiée du 12 novembre 2004 constitue le fondement légal de ces obligations</w:t>
      </w:r>
      <w:r w:rsidR="00B875F5">
        <w:rPr>
          <w:lang w:val="fr-FR"/>
        </w:rPr>
        <w:t xml:space="preserve"> et </w:t>
      </w:r>
      <w:r w:rsidRPr="00A016D5">
        <w:rPr>
          <w:lang w:val="fr-FR"/>
        </w:rPr>
        <w:t>impose aux établissements financiers la mise en place de mesures de vigilance à l’égard de leur clientèle</w:t>
      </w:r>
      <w:r w:rsidR="00B875F5">
        <w:rPr>
          <w:lang w:val="fr-FR"/>
        </w:rPr>
        <w:t>,</w:t>
      </w:r>
      <w:r w:rsidRPr="00A016D5">
        <w:rPr>
          <w:lang w:val="fr-FR"/>
        </w:rPr>
        <w:t xml:space="preserve"> notamment :  </w:t>
      </w:r>
    </w:p>
    <w:p w14:paraId="0383D0A1" w14:textId="77777777" w:rsidR="00A016D5" w:rsidRPr="00A016D5" w:rsidRDefault="00A016D5" w:rsidP="002852EE">
      <w:pPr>
        <w:jc w:val="both"/>
        <w:rPr>
          <w:lang w:val="fr-FR"/>
        </w:rPr>
      </w:pPr>
      <w:r w:rsidRPr="00A016D5">
        <w:rPr>
          <w:lang w:val="fr-FR"/>
        </w:rPr>
        <w:t>-          identification et vérification de l’identité des clients,</w:t>
      </w:r>
    </w:p>
    <w:p w14:paraId="72E76310" w14:textId="77777777" w:rsidR="00A016D5" w:rsidRPr="00A016D5" w:rsidRDefault="00A016D5" w:rsidP="002852EE">
      <w:pPr>
        <w:jc w:val="both"/>
        <w:rPr>
          <w:lang w:val="fr-FR"/>
        </w:rPr>
      </w:pPr>
      <w:r w:rsidRPr="00A016D5">
        <w:rPr>
          <w:lang w:val="fr-FR"/>
        </w:rPr>
        <w:t xml:space="preserve">-          obtention d’informations sur l’origine des fonds, </w:t>
      </w:r>
    </w:p>
    <w:p w14:paraId="1F4B6E46" w14:textId="6FEF2DC3" w:rsidR="00A016D5" w:rsidRPr="00A016D5" w:rsidRDefault="00A016D5" w:rsidP="002852EE">
      <w:pPr>
        <w:jc w:val="both"/>
        <w:rPr>
          <w:lang w:val="fr-FR"/>
        </w:rPr>
      </w:pPr>
      <w:r w:rsidRPr="00A016D5">
        <w:rPr>
          <w:lang w:val="fr-FR"/>
        </w:rPr>
        <w:t xml:space="preserve">-          surveillance continue de la relation d’affaires. </w:t>
      </w:r>
    </w:p>
    <w:p w14:paraId="3D249372" w14:textId="0DEC7E05" w:rsidR="00A016D5" w:rsidRDefault="00A016D5" w:rsidP="002852EE">
      <w:pPr>
        <w:jc w:val="both"/>
        <w:rPr>
          <w:lang w:val="fr-FR"/>
        </w:rPr>
      </w:pPr>
      <w:r w:rsidRPr="00A016D5">
        <w:rPr>
          <w:lang w:val="fr-FR"/>
        </w:rPr>
        <w:t xml:space="preserve">Si un </w:t>
      </w:r>
      <w:r w:rsidR="002852EE" w:rsidRPr="00A016D5">
        <w:rPr>
          <w:lang w:val="fr-FR"/>
        </w:rPr>
        <w:t>établissement financier</w:t>
      </w:r>
      <w:r w:rsidRPr="00A016D5">
        <w:rPr>
          <w:lang w:val="fr-FR"/>
        </w:rPr>
        <w:t xml:space="preserve"> soupçonne que des fonds proviennent de la traite des êtres humains, de la contrebande ou d'autres activités criminelles, elle est tenue de le déclarer sans délai à la Cellule de Renseignement Financier (CRF).</w:t>
      </w:r>
    </w:p>
    <w:p w14:paraId="2F53FF44" w14:textId="20EBB29E" w:rsidR="00716193" w:rsidRPr="00D10415" w:rsidRDefault="00D10415" w:rsidP="002852EE">
      <w:pPr>
        <w:jc w:val="both"/>
        <w:rPr>
          <w:b/>
          <w:bCs/>
          <w:lang w:val="fr-FR"/>
        </w:rPr>
      </w:pPr>
      <w:r w:rsidRPr="00D10415">
        <w:rPr>
          <w:b/>
          <w:bCs/>
          <w:lang w:val="fr-FR"/>
        </w:rPr>
        <w:t>Constitution</w:t>
      </w:r>
    </w:p>
    <w:p w14:paraId="1D1B0169" w14:textId="5B5889F8" w:rsidR="00D10415" w:rsidRPr="00D10415" w:rsidRDefault="004C1692" w:rsidP="002852EE">
      <w:pPr>
        <w:jc w:val="both"/>
        <w:rPr>
          <w:lang w:val="fr-FR"/>
        </w:rPr>
      </w:pPr>
      <w:r>
        <w:rPr>
          <w:lang w:val="fr-FR"/>
        </w:rPr>
        <w:t>T</w:t>
      </w:r>
      <w:r w:rsidR="00D10415" w:rsidRPr="00D10415">
        <w:rPr>
          <w:lang w:val="fr-FR"/>
        </w:rPr>
        <w:t xml:space="preserve">out résidant étranger, quel que soit son pays d'origine, peut, dès son arrivée au Luxembourg, voter et être élu au niveau local, y compris occuper des fonctions de maire dans une commune. </w:t>
      </w:r>
    </w:p>
    <w:p w14:paraId="3011DCCE" w14:textId="5494BDC9" w:rsidR="00D10415" w:rsidRPr="00D10415" w:rsidRDefault="00D10415" w:rsidP="002852EE">
      <w:pPr>
        <w:jc w:val="both"/>
        <w:rPr>
          <w:lang w:val="fr-FR"/>
        </w:rPr>
      </w:pPr>
      <w:r w:rsidRPr="00D10415">
        <w:rPr>
          <w:lang w:val="fr-FR"/>
        </w:rPr>
        <w:t xml:space="preserve">L’apparente discrimination ou inégalité liée à l'article 15 est atténuée par l'article 16 de la Constitution, qui précise que "tout non-Luxembourgeois se trouvant sur le territoire du Grand-Duché de Luxembourg jouit de la protection accordée aux personnes et aux biens, sauf les exceptions prévues par la loi". </w:t>
      </w:r>
      <w:r w:rsidR="00C17B27">
        <w:rPr>
          <w:lang w:val="fr-FR"/>
        </w:rPr>
        <w:t>L</w:t>
      </w:r>
      <w:r w:rsidRPr="00D10415">
        <w:rPr>
          <w:lang w:val="fr-FR"/>
        </w:rPr>
        <w:t xml:space="preserve">es non-nationaux bénéficient </w:t>
      </w:r>
      <w:r w:rsidR="002852EE">
        <w:rPr>
          <w:lang w:val="fr-FR"/>
        </w:rPr>
        <w:t xml:space="preserve">donc </w:t>
      </w:r>
      <w:r w:rsidRPr="00D10415">
        <w:rPr>
          <w:lang w:val="fr-FR"/>
        </w:rPr>
        <w:t xml:space="preserve">d'une protection juridique équivalente à celle des citoyens luxembourgeois, sauf dans les cas où des exceptions sont explicitement prévues par la législation. </w:t>
      </w:r>
    </w:p>
    <w:p w14:paraId="08E9F11A" w14:textId="6941ABD2" w:rsidR="00D10415" w:rsidRPr="00D10415" w:rsidRDefault="00C17B27" w:rsidP="002852EE">
      <w:pPr>
        <w:jc w:val="both"/>
        <w:rPr>
          <w:lang w:val="fr-FR"/>
        </w:rPr>
      </w:pPr>
      <w:r>
        <w:rPr>
          <w:lang w:val="fr-FR"/>
        </w:rPr>
        <w:t>Le</w:t>
      </w:r>
      <w:r w:rsidR="00D10415" w:rsidRPr="00D10415">
        <w:rPr>
          <w:lang w:val="fr-FR"/>
        </w:rPr>
        <w:t xml:space="preserve"> principe d'égalité devant la loi doit être interprété en tenant compte des différentes catégories de droits et protections selon la nationalité.</w:t>
      </w:r>
    </w:p>
    <w:p w14:paraId="11D31E82" w14:textId="48951211" w:rsidR="00D10415" w:rsidRPr="00D10415" w:rsidRDefault="00C17B27" w:rsidP="002852EE">
      <w:pPr>
        <w:jc w:val="both"/>
        <w:rPr>
          <w:lang w:val="fr-FR"/>
        </w:rPr>
      </w:pPr>
      <w:r>
        <w:rPr>
          <w:lang w:val="fr-FR"/>
        </w:rPr>
        <w:t xml:space="preserve">Les </w:t>
      </w:r>
      <w:r w:rsidR="00D10415" w:rsidRPr="00D10415">
        <w:rPr>
          <w:lang w:val="fr-FR"/>
        </w:rPr>
        <w:t xml:space="preserve">nombreuses conventions internationales relatives aux droits </w:t>
      </w:r>
      <w:r w:rsidR="002852EE">
        <w:rPr>
          <w:lang w:val="fr-FR"/>
        </w:rPr>
        <w:t>humains</w:t>
      </w:r>
      <w:r>
        <w:rPr>
          <w:lang w:val="fr-FR"/>
        </w:rPr>
        <w:t xml:space="preserve"> auxquelles le Luxembourg a adhéré </w:t>
      </w:r>
      <w:r w:rsidR="00D10415" w:rsidRPr="00D10415">
        <w:rPr>
          <w:lang w:val="fr-FR"/>
        </w:rPr>
        <w:t>ont une valeur supranationale dans l'ordonnancement juridique du pays et se superposent à la Constitution</w:t>
      </w:r>
      <w:r>
        <w:rPr>
          <w:lang w:val="fr-FR"/>
        </w:rPr>
        <w:t xml:space="preserve">, </w:t>
      </w:r>
      <w:r w:rsidRPr="00D10415">
        <w:rPr>
          <w:lang w:val="fr-FR"/>
        </w:rPr>
        <w:t>renforç</w:t>
      </w:r>
      <w:r>
        <w:rPr>
          <w:lang w:val="fr-FR"/>
        </w:rPr>
        <w:t>ant</w:t>
      </w:r>
      <w:r w:rsidR="00D10415" w:rsidRPr="00D10415">
        <w:rPr>
          <w:lang w:val="fr-FR"/>
        </w:rPr>
        <w:t xml:space="preserve"> le cadre juridique </w:t>
      </w:r>
      <w:r w:rsidR="00B875F5">
        <w:rPr>
          <w:lang w:val="fr-FR"/>
        </w:rPr>
        <w:t xml:space="preserve">luxembourgeois </w:t>
      </w:r>
      <w:r w:rsidR="00D10415" w:rsidRPr="00D10415">
        <w:rPr>
          <w:lang w:val="fr-FR"/>
        </w:rPr>
        <w:t>tout en garantissant des droits et des protections supplémentaires pour les individus présents sur son territoire.</w:t>
      </w:r>
    </w:p>
    <w:p w14:paraId="654AAEA7" w14:textId="19E2EFDE" w:rsidR="00D10415" w:rsidRPr="00D10415" w:rsidRDefault="00B875F5" w:rsidP="002852EE">
      <w:pPr>
        <w:jc w:val="both"/>
        <w:rPr>
          <w:lang w:val="fr-FR"/>
        </w:rPr>
      </w:pPr>
      <w:r>
        <w:rPr>
          <w:lang w:val="fr-FR"/>
        </w:rPr>
        <w:t>Enfin,</w:t>
      </w:r>
      <w:r w:rsidR="00D10415" w:rsidRPr="00D10415">
        <w:rPr>
          <w:lang w:val="fr-FR"/>
        </w:rPr>
        <w:t xml:space="preserve"> lors de la révision constitutionnelle de 2023, le constituant a instauré une « clause transversale » dans la Constitution à l’article 37</w:t>
      </w:r>
      <w:r w:rsidR="00543C22">
        <w:rPr>
          <w:lang w:val="fr-FR"/>
        </w:rPr>
        <w:t xml:space="preserve"> </w:t>
      </w:r>
      <w:r w:rsidR="00D10415" w:rsidRPr="00D10415">
        <w:rPr>
          <w:lang w:val="fr-FR"/>
        </w:rPr>
        <w:t xml:space="preserve">: </w:t>
      </w:r>
    </w:p>
    <w:p w14:paraId="7D1B3466" w14:textId="77777777" w:rsidR="00D10415" w:rsidRPr="00D10415" w:rsidRDefault="00D10415" w:rsidP="002852EE">
      <w:pPr>
        <w:jc w:val="both"/>
        <w:rPr>
          <w:lang w:val="fr-FR"/>
        </w:rPr>
      </w:pPr>
      <w:r w:rsidRPr="00D10415">
        <w:rPr>
          <w:lang w:val="fr-FR"/>
        </w:rPr>
        <w:t xml:space="preserve">« Toute limitation de l’exercice des libertés publiques doit être prévue par la loi et respecter leur contenu essentiel. Dans le respect du principe de proportionnalité, des limitations ne peuvent être apportées que si elles sont nécessaires dans une société démocratique et répondent </w:t>
      </w:r>
      <w:r w:rsidRPr="00D10415">
        <w:rPr>
          <w:lang w:val="fr-FR"/>
        </w:rPr>
        <w:lastRenderedPageBreak/>
        <w:t>effectivement à des objectifs d’intérêt général ou au besoin de protection des droits et libertés d’autrui. »</w:t>
      </w:r>
    </w:p>
    <w:p w14:paraId="0BB89B87" w14:textId="06155D1B" w:rsidR="00D10415" w:rsidRDefault="00D10415" w:rsidP="002852EE">
      <w:pPr>
        <w:jc w:val="both"/>
        <w:rPr>
          <w:lang w:val="fr-FR"/>
        </w:rPr>
      </w:pPr>
      <w:r w:rsidRPr="00D10415">
        <w:rPr>
          <w:lang w:val="fr-FR"/>
        </w:rPr>
        <w:t>Cette clause permet une limitation des droits garantis à la triple condition uniquement de la légalité, de la légitimité et de la proportionnalité de la limitation.</w:t>
      </w:r>
    </w:p>
    <w:p w14:paraId="275658FD" w14:textId="68F54065" w:rsidR="00D10415" w:rsidRDefault="00357713" w:rsidP="002852EE">
      <w:pPr>
        <w:jc w:val="both"/>
        <w:rPr>
          <w:b/>
          <w:bCs/>
          <w:lang w:val="fr-FR"/>
        </w:rPr>
      </w:pPr>
      <w:r w:rsidRPr="00357713">
        <w:rPr>
          <w:b/>
          <w:bCs/>
          <w:lang w:val="fr-FR"/>
        </w:rPr>
        <w:t>Femmes diplomat</w:t>
      </w:r>
      <w:r w:rsidR="00B64EE7">
        <w:rPr>
          <w:b/>
          <w:bCs/>
          <w:lang w:val="fr-FR"/>
        </w:rPr>
        <w:t>es</w:t>
      </w:r>
    </w:p>
    <w:p w14:paraId="1766CAA9" w14:textId="666A2F60" w:rsidR="00357713" w:rsidRPr="00357713" w:rsidRDefault="00357713" w:rsidP="002852EE">
      <w:pPr>
        <w:jc w:val="both"/>
        <w:rPr>
          <w:lang w:val="fr-FR"/>
        </w:rPr>
      </w:pPr>
      <w:r>
        <w:rPr>
          <w:lang w:val="fr-FR"/>
        </w:rPr>
        <w:t xml:space="preserve">Le </w:t>
      </w:r>
      <w:r w:rsidRPr="00357713">
        <w:rPr>
          <w:lang w:val="fr-FR"/>
        </w:rPr>
        <w:t>corps diplomatique</w:t>
      </w:r>
      <w:r>
        <w:rPr>
          <w:lang w:val="fr-FR"/>
        </w:rPr>
        <w:t xml:space="preserve"> </w:t>
      </w:r>
      <w:r w:rsidR="00B875F5">
        <w:rPr>
          <w:lang w:val="fr-FR"/>
        </w:rPr>
        <w:t>a</w:t>
      </w:r>
      <w:r>
        <w:rPr>
          <w:lang w:val="fr-FR"/>
        </w:rPr>
        <w:t xml:space="preserve"> </w:t>
      </w:r>
      <w:r w:rsidRPr="00357713">
        <w:rPr>
          <w:lang w:val="fr-FR"/>
        </w:rPr>
        <w:t>158</w:t>
      </w:r>
      <w:r w:rsidR="00B875F5">
        <w:rPr>
          <w:lang w:val="fr-FR"/>
        </w:rPr>
        <w:t xml:space="preserve"> agents</w:t>
      </w:r>
      <w:r w:rsidRPr="00357713">
        <w:rPr>
          <w:lang w:val="fr-FR"/>
        </w:rPr>
        <w:t>, dont 67 femmes (42,2%)</w:t>
      </w:r>
      <w:r>
        <w:rPr>
          <w:lang w:val="fr-FR"/>
        </w:rPr>
        <w:t xml:space="preserve"> et </w:t>
      </w:r>
      <w:r w:rsidRPr="00357713">
        <w:rPr>
          <w:lang w:val="fr-FR"/>
        </w:rPr>
        <w:t>91 hommes (57,6%)</w:t>
      </w:r>
      <w:r w:rsidR="00734B35">
        <w:rPr>
          <w:lang w:val="fr-FR"/>
        </w:rPr>
        <w:t>. Pour l</w:t>
      </w:r>
      <w:r>
        <w:rPr>
          <w:lang w:val="fr-FR"/>
        </w:rPr>
        <w:t xml:space="preserve">es </w:t>
      </w:r>
      <w:r w:rsidRPr="00357713">
        <w:rPr>
          <w:lang w:val="fr-FR"/>
        </w:rPr>
        <w:t xml:space="preserve">positions </w:t>
      </w:r>
      <w:r w:rsidR="00AD5D3E">
        <w:rPr>
          <w:lang w:val="fr-FR"/>
        </w:rPr>
        <w:t xml:space="preserve">les </w:t>
      </w:r>
      <w:r w:rsidRPr="00357713">
        <w:rPr>
          <w:lang w:val="fr-FR"/>
        </w:rPr>
        <w:t>plus élevées</w:t>
      </w:r>
      <w:r w:rsidR="00734B35">
        <w:rPr>
          <w:lang w:val="fr-FR"/>
        </w:rPr>
        <w:t> :</w:t>
      </w:r>
      <w:r w:rsidRPr="00357713">
        <w:rPr>
          <w:lang w:val="fr-FR"/>
        </w:rPr>
        <w:t xml:space="preserve"> 14</w:t>
      </w:r>
      <w:r>
        <w:rPr>
          <w:lang w:val="fr-FR"/>
        </w:rPr>
        <w:t xml:space="preserve"> des </w:t>
      </w:r>
      <w:r w:rsidRPr="00357713">
        <w:rPr>
          <w:lang w:val="fr-FR"/>
        </w:rPr>
        <w:t xml:space="preserve">48 </w:t>
      </w:r>
      <w:r w:rsidR="00AD5D3E">
        <w:rPr>
          <w:lang w:val="fr-FR"/>
        </w:rPr>
        <w:t>agents</w:t>
      </w:r>
      <w:r w:rsidRPr="00357713">
        <w:rPr>
          <w:lang w:val="fr-FR"/>
        </w:rPr>
        <w:t xml:space="preserve"> sont des femmes (29,2%)</w:t>
      </w:r>
      <w:r>
        <w:rPr>
          <w:lang w:val="fr-FR"/>
        </w:rPr>
        <w:t>.</w:t>
      </w:r>
    </w:p>
    <w:sectPr w:rsidR="00357713" w:rsidRPr="003577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45628"/>
    <w:multiLevelType w:val="hybridMultilevel"/>
    <w:tmpl w:val="38DA8720"/>
    <w:lvl w:ilvl="0" w:tplc="416E7094">
      <w:start w:val="1"/>
      <w:numFmt w:val="lowerRoman"/>
      <w:lvlText w:val="(%1)"/>
      <w:lvlJc w:val="left"/>
      <w:pPr>
        <w:ind w:left="1287" w:hanging="720"/>
      </w:pPr>
      <w:rPr>
        <w:rFonts w:asciiTheme="minorHAnsi" w:eastAsiaTheme="minorHAnsi" w:hAnsiTheme="minorHAnsi" w:cstheme="minorBid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B8D6B43"/>
    <w:multiLevelType w:val="hybridMultilevel"/>
    <w:tmpl w:val="4434FBB8"/>
    <w:lvl w:ilvl="0" w:tplc="DD34C4E0">
      <w:start w:val="5"/>
      <w:numFmt w:val="bullet"/>
      <w:lvlText w:val="-"/>
      <w:lvlJc w:val="left"/>
      <w:pPr>
        <w:ind w:left="720" w:hanging="360"/>
      </w:pPr>
      <w:rPr>
        <w:rFonts w:ascii="Aptos" w:eastAsia="Aptos" w:hAnsi="Apto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EF6316F"/>
    <w:multiLevelType w:val="hybridMultilevel"/>
    <w:tmpl w:val="3498FF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478444">
    <w:abstractNumId w:val="2"/>
  </w:num>
  <w:num w:numId="2" w16cid:durableId="532352035">
    <w:abstractNumId w:val="1"/>
  </w:num>
  <w:num w:numId="3" w16cid:durableId="820927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6D5"/>
    <w:rsid w:val="001038C2"/>
    <w:rsid w:val="00154338"/>
    <w:rsid w:val="002451D0"/>
    <w:rsid w:val="002852EE"/>
    <w:rsid w:val="00302618"/>
    <w:rsid w:val="00357713"/>
    <w:rsid w:val="00357E87"/>
    <w:rsid w:val="00381D22"/>
    <w:rsid w:val="00483A88"/>
    <w:rsid w:val="004C1692"/>
    <w:rsid w:val="00543C22"/>
    <w:rsid w:val="00624916"/>
    <w:rsid w:val="006865D6"/>
    <w:rsid w:val="006F0762"/>
    <w:rsid w:val="00707A38"/>
    <w:rsid w:val="00716193"/>
    <w:rsid w:val="00734B35"/>
    <w:rsid w:val="00776F69"/>
    <w:rsid w:val="00796016"/>
    <w:rsid w:val="007B6B02"/>
    <w:rsid w:val="007C0221"/>
    <w:rsid w:val="00823ABA"/>
    <w:rsid w:val="00917696"/>
    <w:rsid w:val="00A016D5"/>
    <w:rsid w:val="00AD5D3E"/>
    <w:rsid w:val="00AF7682"/>
    <w:rsid w:val="00B64EE7"/>
    <w:rsid w:val="00B72147"/>
    <w:rsid w:val="00B875F5"/>
    <w:rsid w:val="00BD0893"/>
    <w:rsid w:val="00C05DB6"/>
    <w:rsid w:val="00C17B27"/>
    <w:rsid w:val="00C42296"/>
    <w:rsid w:val="00CA7AB0"/>
    <w:rsid w:val="00CB1D4A"/>
    <w:rsid w:val="00CD162B"/>
    <w:rsid w:val="00CE4639"/>
    <w:rsid w:val="00CF6259"/>
    <w:rsid w:val="00D10415"/>
    <w:rsid w:val="00D10EE0"/>
    <w:rsid w:val="00D23C9C"/>
    <w:rsid w:val="00D46088"/>
    <w:rsid w:val="00D936E7"/>
    <w:rsid w:val="00DB632D"/>
    <w:rsid w:val="00DE1382"/>
    <w:rsid w:val="00E8736D"/>
    <w:rsid w:val="00F31E95"/>
    <w:rsid w:val="00FD1F44"/>
    <w:rsid w:val="00FF6F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0040F"/>
  <w15:chartTrackingRefBased/>
  <w15:docId w15:val="{25527F52-644D-487E-903F-0FDEAB35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16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6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6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6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6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6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6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6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6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6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6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6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6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6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6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6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6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6D5"/>
    <w:rPr>
      <w:rFonts w:eastAsiaTheme="majorEastAsia" w:cstheme="majorBidi"/>
      <w:color w:val="272727" w:themeColor="text1" w:themeTint="D8"/>
    </w:rPr>
  </w:style>
  <w:style w:type="paragraph" w:styleId="Title">
    <w:name w:val="Title"/>
    <w:basedOn w:val="Normal"/>
    <w:next w:val="Normal"/>
    <w:link w:val="TitleChar"/>
    <w:uiPriority w:val="10"/>
    <w:qFormat/>
    <w:rsid w:val="00A016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6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6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6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6D5"/>
    <w:pPr>
      <w:spacing w:before="160"/>
      <w:jc w:val="center"/>
    </w:pPr>
    <w:rPr>
      <w:i/>
      <w:iCs/>
      <w:color w:val="404040" w:themeColor="text1" w:themeTint="BF"/>
    </w:rPr>
  </w:style>
  <w:style w:type="character" w:customStyle="1" w:styleId="QuoteChar">
    <w:name w:val="Quote Char"/>
    <w:basedOn w:val="DefaultParagraphFont"/>
    <w:link w:val="Quote"/>
    <w:uiPriority w:val="29"/>
    <w:rsid w:val="00A016D5"/>
    <w:rPr>
      <w:i/>
      <w:iCs/>
      <w:color w:val="404040" w:themeColor="text1" w:themeTint="BF"/>
    </w:rPr>
  </w:style>
  <w:style w:type="paragraph" w:styleId="ListParagraph">
    <w:name w:val="List Paragraph"/>
    <w:basedOn w:val="Normal"/>
    <w:uiPriority w:val="34"/>
    <w:qFormat/>
    <w:rsid w:val="00A016D5"/>
    <w:pPr>
      <w:ind w:left="720"/>
      <w:contextualSpacing/>
    </w:pPr>
  </w:style>
  <w:style w:type="character" w:styleId="IntenseEmphasis">
    <w:name w:val="Intense Emphasis"/>
    <w:basedOn w:val="DefaultParagraphFont"/>
    <w:uiPriority w:val="21"/>
    <w:qFormat/>
    <w:rsid w:val="00A016D5"/>
    <w:rPr>
      <w:i/>
      <w:iCs/>
      <w:color w:val="0F4761" w:themeColor="accent1" w:themeShade="BF"/>
    </w:rPr>
  </w:style>
  <w:style w:type="paragraph" w:styleId="IntenseQuote">
    <w:name w:val="Intense Quote"/>
    <w:basedOn w:val="Normal"/>
    <w:next w:val="Normal"/>
    <w:link w:val="IntenseQuoteChar"/>
    <w:uiPriority w:val="30"/>
    <w:qFormat/>
    <w:rsid w:val="00A016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6D5"/>
    <w:rPr>
      <w:i/>
      <w:iCs/>
      <w:color w:val="0F4761" w:themeColor="accent1" w:themeShade="BF"/>
    </w:rPr>
  </w:style>
  <w:style w:type="character" w:styleId="IntenseReference">
    <w:name w:val="Intense Reference"/>
    <w:basedOn w:val="DefaultParagraphFont"/>
    <w:uiPriority w:val="32"/>
    <w:qFormat/>
    <w:rsid w:val="00A016D5"/>
    <w:rPr>
      <w:b/>
      <w:bCs/>
      <w:smallCaps/>
      <w:color w:val="0F4761" w:themeColor="accent1" w:themeShade="BF"/>
      <w:spacing w:val="5"/>
    </w:rPr>
  </w:style>
  <w:style w:type="character" w:styleId="CommentReference">
    <w:name w:val="annotation reference"/>
    <w:basedOn w:val="DefaultParagraphFont"/>
    <w:uiPriority w:val="99"/>
    <w:semiHidden/>
    <w:unhideWhenUsed/>
    <w:rsid w:val="00D10415"/>
    <w:rPr>
      <w:sz w:val="16"/>
      <w:szCs w:val="16"/>
    </w:rPr>
  </w:style>
  <w:style w:type="paragraph" w:styleId="CommentText">
    <w:name w:val="annotation text"/>
    <w:basedOn w:val="Normal"/>
    <w:link w:val="CommentTextChar"/>
    <w:uiPriority w:val="99"/>
    <w:unhideWhenUsed/>
    <w:rsid w:val="00D10415"/>
    <w:pPr>
      <w:spacing w:line="240" w:lineRule="auto"/>
    </w:pPr>
    <w:rPr>
      <w:sz w:val="20"/>
      <w:szCs w:val="20"/>
    </w:rPr>
  </w:style>
  <w:style w:type="character" w:customStyle="1" w:styleId="CommentTextChar">
    <w:name w:val="Comment Text Char"/>
    <w:basedOn w:val="DefaultParagraphFont"/>
    <w:link w:val="CommentText"/>
    <w:uiPriority w:val="99"/>
    <w:rsid w:val="00D10415"/>
    <w:rPr>
      <w:sz w:val="20"/>
      <w:szCs w:val="20"/>
    </w:rPr>
  </w:style>
  <w:style w:type="paragraph" w:styleId="CommentSubject">
    <w:name w:val="annotation subject"/>
    <w:basedOn w:val="CommentText"/>
    <w:next w:val="CommentText"/>
    <w:link w:val="CommentSubjectChar"/>
    <w:uiPriority w:val="99"/>
    <w:semiHidden/>
    <w:unhideWhenUsed/>
    <w:rsid w:val="00D10415"/>
    <w:rPr>
      <w:b/>
      <w:bCs/>
    </w:rPr>
  </w:style>
  <w:style w:type="character" w:customStyle="1" w:styleId="CommentSubjectChar">
    <w:name w:val="Comment Subject Char"/>
    <w:basedOn w:val="CommentTextChar"/>
    <w:link w:val="CommentSubject"/>
    <w:uiPriority w:val="99"/>
    <w:semiHidden/>
    <w:rsid w:val="00D10415"/>
    <w:rPr>
      <w:b/>
      <w:bCs/>
      <w:sz w:val="20"/>
      <w:szCs w:val="20"/>
    </w:rPr>
  </w:style>
  <w:style w:type="paragraph" w:styleId="Revision">
    <w:name w:val="Revision"/>
    <w:hidden/>
    <w:uiPriority w:val="99"/>
    <w:semiHidden/>
    <w:rsid w:val="002852E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2025-02-10T18:40:29+00:00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06F49A-F80F-4D44-BCE3-0FED04C80778}"/>
</file>

<file path=customXml/itemProps2.xml><?xml version="1.0" encoding="utf-8"?>
<ds:datastoreItem xmlns:ds="http://schemas.openxmlformats.org/officeDocument/2006/customXml" ds:itemID="{5612D0EF-FC21-4841-BD9D-29C3EF3E00A1}"/>
</file>

<file path=customXml/itemProps3.xml><?xml version="1.0" encoding="utf-8"?>
<ds:datastoreItem xmlns:ds="http://schemas.openxmlformats.org/officeDocument/2006/customXml" ds:itemID="{E2E244F3-9FBF-41B4-9E26-09B7BA99A90C}"/>
</file>

<file path=docProps/app.xml><?xml version="1.0" encoding="utf-8"?>
<Properties xmlns="http://schemas.openxmlformats.org/officeDocument/2006/extended-properties" xmlns:vt="http://schemas.openxmlformats.org/officeDocument/2006/docPropsVTypes">
  <Template>Normal.dotm</Template>
  <TotalTime>0</TotalTime>
  <Pages>4</Pages>
  <Words>1466</Words>
  <Characters>8360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Hirsch</dc:creator>
  <cp:keywords/>
  <dc:description/>
  <cp:lastModifiedBy>Luc Dockendorf</cp:lastModifiedBy>
  <cp:revision>3</cp:revision>
  <dcterms:created xsi:type="dcterms:W3CDTF">2025-02-10T16:33:00Z</dcterms:created>
  <dcterms:modified xsi:type="dcterms:W3CDTF">2025-02-10T16:33:00Z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