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re1"/>
        <w:bidi w:val="0"/>
        <w:spacing w:before="240" w:after="120"/>
        <w:jc w:val="center"/>
        <w:rPr>
          <w:rStyle w:val="Accentuationforte"/>
          <w:rFonts w:ascii="Arial" w:hAnsi="Arial"/>
          <w:sz w:val="24"/>
          <w:szCs w:val="24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624330" cy="134556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sdetexte"/>
        <w:bidi w:val="0"/>
        <w:jc w:val="both"/>
        <w:rPr>
          <w:rStyle w:val="Accentuationforte"/>
          <w:rFonts w:ascii="Arial" w:hAnsi="Arial"/>
          <w:sz w:val="24"/>
          <w:szCs w:val="24"/>
        </w:rPr>
      </w:pPr>
      <w:r>
        <w:rPr/>
      </w:r>
    </w:p>
    <w:p>
      <w:pPr>
        <w:pStyle w:val="Corpsdetexte"/>
        <w:bidi w:val="0"/>
        <w:jc w:val="center"/>
        <w:rPr>
          <w:rStyle w:val="Accentuationforte"/>
          <w:rFonts w:ascii="Arial" w:hAnsi="Arial"/>
          <w:sz w:val="24"/>
          <w:szCs w:val="24"/>
        </w:rPr>
      </w:pPr>
      <w:r>
        <w:rPr/>
      </w:r>
    </w:p>
    <w:p>
      <w:pPr>
        <w:pStyle w:val="Corpsdetexte"/>
        <w:bidi w:val="0"/>
        <w:jc w:val="both"/>
        <w:rPr>
          <w:rStyle w:val="Accentuationforte"/>
          <w:rFonts w:ascii="Arial" w:hAnsi="Arial"/>
          <w:b w:val="false"/>
          <w:bCs w:val="false"/>
          <w:sz w:val="24"/>
          <w:szCs w:val="24"/>
        </w:rPr>
      </w:pPr>
      <w:r>
        <w:rPr/>
      </w:r>
    </w:p>
    <w:p>
      <w:pPr>
        <w:pStyle w:val="Corpsdetexte"/>
        <w:bidi w:val="0"/>
        <w:jc w:val="both"/>
        <w:rPr>
          <w:rStyle w:val="Accentuationforte"/>
          <w:rFonts w:ascii="Arial" w:hAnsi="Arial"/>
          <w:b w:val="false"/>
          <w:bCs w:val="false"/>
          <w:sz w:val="24"/>
          <w:szCs w:val="24"/>
        </w:rPr>
      </w:pPr>
      <w:r>
        <w:rPr/>
      </w:r>
    </w:p>
    <w:p>
      <w:pPr>
        <w:pStyle w:val="Corpsdetexte"/>
        <w:bidi w:val="0"/>
        <w:jc w:val="both"/>
        <w:rPr>
          <w:rStyle w:val="Accentuationforte"/>
          <w:rFonts w:ascii="Arial" w:hAnsi="Arial"/>
          <w:b w:val="false"/>
          <w:bCs w:val="false"/>
          <w:sz w:val="24"/>
          <w:szCs w:val="24"/>
        </w:rPr>
      </w:pPr>
      <w:r>
        <w:rPr/>
      </w:r>
    </w:p>
    <w:p>
      <w:pPr>
        <w:pStyle w:val="Corpsdetexte"/>
        <w:bidi w:val="0"/>
        <w:jc w:val="center"/>
        <w:rPr/>
      </w:pP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CERD – Convención Internacional sobre la Eliminación de Todas las Formas de Discriminación Racial 117.º período de sesiones (13 de abril de 2026 – 1 de mayo de 2026)</w:t>
      </w:r>
    </w:p>
    <w:p>
      <w:pPr>
        <w:pStyle w:val="Titre1"/>
        <w:bidi w:val="0"/>
        <w:jc w:val="center"/>
        <w:rPr/>
      </w:pPr>
      <w:r>
        <w:rPr>
          <w:rStyle w:val="Accentuationforte"/>
          <w:rFonts w:ascii="Arial" w:hAnsi="Arial"/>
          <w:b/>
          <w:bCs/>
          <w:sz w:val="24"/>
          <w:szCs w:val="24"/>
        </w:rPr>
        <w:t>Aplicación de la Convención contra la Discriminación Racial en Cuba en contexto de restricciones estructurales internacionales</w:t>
      </w:r>
    </w:p>
    <w:p>
      <w:pPr>
        <w:pStyle w:val="Titre2"/>
        <w:bidi w:val="0"/>
        <w:jc w:val="both"/>
        <w:rPr>
          <w:rStyle w:val="Accentuationforte"/>
          <w:rFonts w:ascii="Arial" w:hAnsi="Arial"/>
          <w:b/>
          <w:bCs/>
          <w:sz w:val="24"/>
          <w:szCs w:val="24"/>
        </w:rPr>
      </w:pPr>
      <w:r>
        <w:rPr/>
      </w:r>
    </w:p>
    <w:p>
      <w:pPr>
        <w:pStyle w:val="Corpsdetexte"/>
        <w:bidi w:val="0"/>
        <w:jc w:val="both"/>
        <w:rPr/>
      </w:pP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La Convención contra la discriminación racial establece obligaciones claras, pero su cumplimiento efectivo depende también de condiciones materiales y del entorno internacional. El caso de Cuba ilustra la necesidad de Interpretaciones integrales del derecho internacional,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 de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r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esponsabilidad compartida entre Estados, y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la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p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articipación activa de la sociedad civil global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con el fin de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 avanzar hacia una eliminación real de la discriminación racial.</w:t>
      </w:r>
    </w:p>
    <w:p>
      <w:pPr>
        <w:pStyle w:val="Corpsdetexte"/>
        <w:bidi w:val="0"/>
        <w:jc w:val="both"/>
        <w:rPr>
          <w:rStyle w:val="Accentuationforte"/>
          <w:rFonts w:ascii="Arial" w:hAnsi="Arial"/>
          <w:b w:val="false"/>
          <w:bCs w:val="false"/>
          <w:sz w:val="24"/>
          <w:szCs w:val="24"/>
        </w:rPr>
      </w:pPr>
      <w:r>
        <w:rPr/>
      </w:r>
    </w:p>
    <w:p>
      <w:pPr>
        <w:pStyle w:val="Corpsdetexte"/>
        <w:bidi w:val="0"/>
        <w:jc w:val="both"/>
        <w:rPr/>
      </w:pPr>
      <w:r>
        <w:rPr>
          <w:rFonts w:ascii="Arial" w:hAnsi="Arial"/>
          <w:b w:val="false"/>
          <w:bCs w:val="false"/>
          <w:sz w:val="24"/>
          <w:szCs w:val="24"/>
        </w:rPr>
        <w:t xml:space="preserve">La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Convención</w:t>
      </w:r>
      <w:r>
        <w:rPr>
          <w:rFonts w:ascii="Arial" w:hAnsi="Arial"/>
          <w:b w:val="false"/>
          <w:bCs w:val="false"/>
          <w:sz w:val="24"/>
          <w:szCs w:val="24"/>
        </w:rPr>
        <w:t xml:space="preserve"> obliga a los Estados no solo a abstenerse de discriminar, sino a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adoptar medidas positivas en contextos complejos</w:t>
      </w:r>
      <w:r>
        <w:rPr>
          <w:rFonts w:ascii="Arial" w:hAnsi="Arial"/>
          <w:b w:val="false"/>
          <w:bCs w:val="false"/>
          <w:sz w:val="24"/>
          <w:szCs w:val="24"/>
        </w:rPr>
        <w:t xml:space="preserve">.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A nuestro parecer, el cumplimiento por parte del Estado de cuba de sus obligaciones bajo el CERD, deberian analizarse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en el contexto de r</w:t>
      </w:r>
      <w:r>
        <w:rPr>
          <w:rFonts w:ascii="Arial" w:hAnsi="Arial"/>
          <w:b w:val="false"/>
          <w:bCs w:val="false"/>
          <w:sz w:val="24"/>
          <w:szCs w:val="24"/>
        </w:rPr>
        <w:t xml:space="preserve">estricciones económicas externas prolongadas (incluyendo el embargo </w:t>
      </w:r>
      <w:r>
        <w:rPr>
          <w:rFonts w:ascii="Arial" w:hAnsi="Arial"/>
          <w:b w:val="false"/>
          <w:bCs w:val="false"/>
          <w:sz w:val="24"/>
          <w:szCs w:val="24"/>
        </w:rPr>
        <w:t>estadounidense</w:t>
      </w:r>
      <w:r>
        <w:rPr>
          <w:rFonts w:ascii="Arial" w:hAnsi="Arial"/>
          <w:b w:val="false"/>
          <w:bCs w:val="false"/>
          <w:sz w:val="24"/>
          <w:szCs w:val="24"/>
        </w:rPr>
        <w:t xml:space="preserve">) </w:t>
      </w:r>
      <w:r>
        <w:rPr>
          <w:rFonts w:ascii="Arial" w:hAnsi="Arial"/>
          <w:b w:val="false"/>
          <w:bCs w:val="false"/>
          <w:sz w:val="24"/>
          <w:szCs w:val="24"/>
        </w:rPr>
        <w:t>y su efecto en la pro</w:t>
      </w:r>
      <w:r>
        <w:rPr>
          <w:rFonts w:ascii="Arial" w:hAnsi="Arial"/>
          <w:b w:val="false"/>
          <w:bCs w:val="false"/>
          <w:sz w:val="24"/>
          <w:szCs w:val="24"/>
        </w:rPr>
        <w:t>d</w:t>
      </w:r>
      <w:r>
        <w:rPr>
          <w:rFonts w:ascii="Arial" w:hAnsi="Arial"/>
          <w:b w:val="false"/>
          <w:bCs w:val="false"/>
          <w:sz w:val="24"/>
          <w:szCs w:val="24"/>
        </w:rPr>
        <w:t xml:space="preserve">ucción de </w:t>
      </w:r>
      <w:r>
        <w:rPr>
          <w:rFonts w:ascii="Arial" w:hAnsi="Arial"/>
          <w:b w:val="false"/>
          <w:bCs w:val="false"/>
          <w:sz w:val="24"/>
          <w:szCs w:val="24"/>
        </w:rPr>
        <w:t>l</w:t>
      </w:r>
      <w:r>
        <w:rPr>
          <w:rFonts w:ascii="Arial" w:hAnsi="Arial"/>
          <w:b w:val="false"/>
          <w:bCs w:val="false"/>
          <w:sz w:val="24"/>
          <w:szCs w:val="24"/>
        </w:rPr>
        <w:t>imitaciones estructurales que afectan la capacidad estatal para garantizar derechos económicos y sociales.</w:t>
      </w:r>
    </w:p>
    <w:p>
      <w:pPr>
        <w:pStyle w:val="Titre2"/>
        <w:bidi w:val="0"/>
        <w:jc w:val="both"/>
        <w:rPr/>
      </w:pPr>
      <w:r>
        <w:rPr>
          <w:rFonts w:ascii="Arial" w:hAnsi="Arial"/>
          <w:b w:val="false"/>
          <w:bCs w:val="false"/>
          <w:sz w:val="24"/>
          <w:szCs w:val="24"/>
        </w:rPr>
        <w:t xml:space="preserve">Pensamos que </w:t>
      </w:r>
      <w:r>
        <w:rPr>
          <w:rFonts w:ascii="Arial" w:hAnsi="Arial"/>
          <w:b w:val="false"/>
          <w:bCs w:val="false"/>
          <w:sz w:val="24"/>
          <w:szCs w:val="24"/>
        </w:rPr>
        <w:t xml:space="preserve">esto plantea una tensión entre </w:t>
      </w:r>
      <w:r>
        <w:rPr>
          <w:rFonts w:ascii="Arial" w:hAnsi="Arial"/>
          <w:b w:val="false"/>
          <w:bCs w:val="false"/>
          <w:sz w:val="24"/>
          <w:szCs w:val="24"/>
        </w:rPr>
        <w:t xml:space="preserve">las </w:t>
      </w:r>
      <w:r>
        <w:rPr>
          <w:rFonts w:ascii="Arial" w:hAnsi="Arial"/>
          <w:b w:val="false"/>
          <w:bCs w:val="false"/>
          <w:sz w:val="24"/>
          <w:szCs w:val="24"/>
        </w:rPr>
        <w:t>o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bligaciones del Estado</w:t>
      </w:r>
      <w:r>
        <w:rPr>
          <w:rFonts w:ascii="Arial" w:hAnsi="Arial"/>
          <w:b w:val="false"/>
          <w:bCs w:val="false"/>
          <w:sz w:val="24"/>
          <w:szCs w:val="24"/>
        </w:rPr>
        <w:t xml:space="preserve"> y </w:t>
      </w:r>
      <w:r>
        <w:rPr>
          <w:rFonts w:ascii="Arial" w:hAnsi="Arial"/>
          <w:b w:val="false"/>
          <w:bCs w:val="false"/>
          <w:sz w:val="24"/>
          <w:szCs w:val="24"/>
        </w:rPr>
        <w:t xml:space="preserve">las </w:t>
      </w:r>
      <w:r>
        <w:rPr>
          <w:rFonts w:ascii="Arial" w:hAnsi="Arial"/>
          <w:b w:val="false"/>
          <w:bCs w:val="false"/>
          <w:sz w:val="24"/>
          <w:szCs w:val="24"/>
        </w:rPr>
        <w:t>c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ondiciones materiales para cumplirlas. </w:t>
      </w:r>
      <w:r>
        <w:rPr>
          <w:rFonts w:ascii="Arial" w:hAnsi="Arial"/>
          <w:b w:val="false"/>
          <w:bCs w:val="false"/>
          <w:sz w:val="24"/>
          <w:szCs w:val="24"/>
        </w:rPr>
        <w:t xml:space="preserve">La Convención exige resultados (eliminación de la discriminación), pero también reconoce implícitamente que los Estados deben contar con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medios adecuados</w:t>
      </w:r>
      <w:r>
        <w:rPr>
          <w:rFonts w:ascii="Arial" w:hAnsi="Arial"/>
          <w:b w:val="false"/>
          <w:bCs w:val="false"/>
          <w:sz w:val="24"/>
          <w:szCs w:val="24"/>
        </w:rPr>
        <w:t xml:space="preserve"> para implementar políticas públicas eficaces.</w:t>
      </w:r>
    </w:p>
    <w:p>
      <w:pPr>
        <w:pStyle w:val="Corpsdetexte"/>
        <w:bidi w:val="0"/>
        <w:jc w:val="both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Corpsdetexte"/>
        <w:bidi w:val="0"/>
        <w:jc w:val="both"/>
        <w:rPr/>
      </w:pPr>
      <w:r>
        <w:rPr>
          <w:rFonts w:ascii="Arial" w:hAnsi="Arial"/>
          <w:b w:val="false"/>
          <w:bCs w:val="false"/>
          <w:sz w:val="24"/>
          <w:szCs w:val="24"/>
        </w:rPr>
        <w:t xml:space="preserve">En el caso cubano, </w:t>
      </w:r>
      <w:r>
        <w:rPr>
          <w:rFonts w:ascii="Arial" w:hAnsi="Arial"/>
          <w:b w:val="false"/>
          <w:bCs w:val="false"/>
          <w:sz w:val="24"/>
          <w:szCs w:val="24"/>
        </w:rPr>
        <w:t>e</w:t>
      </w:r>
      <w:r>
        <w:rPr>
          <w:rFonts w:ascii="Arial" w:hAnsi="Arial"/>
          <w:b w:val="false"/>
          <w:bCs w:val="false"/>
          <w:sz w:val="24"/>
          <w:szCs w:val="24"/>
        </w:rPr>
        <w:t xml:space="preserve">xisten limitaciones materiales que pueden afectar la implementación de políticas antidiscriminatorias (educación, vivienda, empleo). Sin embargo, el marco internacional también enfatiza la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cooperación internacional</w:t>
      </w:r>
      <w:r>
        <w:rPr>
          <w:rFonts w:ascii="Arial" w:hAnsi="Arial"/>
          <w:b w:val="false"/>
          <w:bCs w:val="false"/>
          <w:sz w:val="24"/>
          <w:szCs w:val="24"/>
        </w:rPr>
        <w:t xml:space="preserve"> como principio fundamental para lograr los derechos humanos. Esto abre espacio para un enfoque que no solo evalúe al Estado, sino también el entorno internacional que condiciona su actuación.</w:t>
      </w:r>
    </w:p>
    <w:p>
      <w:pPr>
        <w:pStyle w:val="Titre2"/>
        <w:bidi w:val="0"/>
        <w:jc w:val="both"/>
        <w:rPr/>
      </w:pP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Desde la sociedad civil, solo podemos reafirmar lo que el Estado evaluado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expone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 en su informe a este comité, en parrafo 121: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  <w:lang w:val="es-ES_tradnl"/>
        </w:rPr>
        <w:t>“</w:t>
      </w:r>
      <w:r>
        <w:rPr>
          <w:rFonts w:ascii="Arial" w:hAnsi="Arial"/>
          <w:b w:val="false"/>
          <w:bCs w:val="false"/>
          <w:sz w:val="24"/>
          <w:szCs w:val="24"/>
          <w:lang w:val="es-ES_tradnl"/>
        </w:rPr>
        <w:t xml:space="preserve">El bloqueo económico, comercial y financiero impuesto por el gobierno de los Estados Unidos constituye una violación masiva, flagrante y sistemática de los derechos humanos de los cubanos. Es el principal freno al desarrollo económico y social del país y a la implementación de la Agenda 2030. Sus propósitos declarados de provocar hambre y desesperación en el pueblo cubano, son ilegítimos, inhumanos, ilegales y violatorios de la Carta de las Naciones Unidas y el Derecho Internacional.” </w:t>
      </w:r>
    </w:p>
    <w:p>
      <w:pPr>
        <w:pStyle w:val="Titre2"/>
        <w:bidi w:val="0"/>
        <w:jc w:val="both"/>
        <w:rPr/>
      </w:pPr>
      <w:r>
        <w:rPr>
          <w:rStyle w:val="Accentuationforte"/>
          <w:rFonts w:ascii="Arial" w:hAnsi="Arial"/>
          <w:b w:val="false"/>
          <w:bCs w:val="false"/>
          <w:sz w:val="24"/>
          <w:szCs w:val="24"/>
          <w:lang w:val="es-ES_tradnl"/>
        </w:rPr>
        <w:t>Nuestra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  <w:lang w:val="es-ES_tradnl"/>
        </w:rPr>
        <w:t xml:space="preserve"> organización participó en la Conferencia Internacional “Por el  Equilibrio del Mundo” en su edición de 2023, celebrada en Cuba, y prevé participar en su próxima edición en 2027. Durante la edición de 2023, se constató la resiliencia del 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  <w:lang w:val="es-ES_tradnl"/>
        </w:rPr>
        <w:t>P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  <w:lang w:val="es-ES_tradnl"/>
        </w:rPr>
        <w:t>ueblo cubano frente a las actuales restricciones externas. No obstante, se expresa preocupación ante la posibilidad de un deterioro en la capacidad de acción del Estado para dar cumplimiento a sus obligaciones internacionales, en caso de persistir las actuales condiciones del entorno internacional. En atención a lo anterior, se formulan las siguientes recomendaciones.</w:t>
      </w:r>
    </w:p>
    <w:p>
      <w:pPr>
        <w:pStyle w:val="SingleTxtG"/>
        <w:bidi w:val="0"/>
        <w:rPr>
          <w:lang w:val="es-ES_tradnl"/>
        </w:rPr>
      </w:pPr>
      <w:r>
        <w:rPr/>
      </w:r>
    </w:p>
    <w:p>
      <w:pPr>
        <w:pStyle w:val="Titre2"/>
        <w:bidi w:val="0"/>
        <w:jc w:val="both"/>
        <w:rPr/>
      </w:pPr>
      <w:r>
        <w:rPr>
          <w:rStyle w:val="Accentuationforte"/>
          <w:rFonts w:ascii="Arial" w:hAnsi="Arial"/>
          <w:b/>
          <w:bCs/>
          <w:sz w:val="24"/>
          <w:szCs w:val="24"/>
        </w:rPr>
        <w:t>Recomendaciones</w:t>
      </w:r>
    </w:p>
    <w:p>
      <w:pPr>
        <w:pStyle w:val="Titre3"/>
        <w:bidi w:val="0"/>
        <w:jc w:val="both"/>
        <w:rPr/>
      </w:pP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 xml:space="preserve">1. Al Comité </w:t>
      </w:r>
    </w:p>
    <w:p>
      <w:pPr>
        <w:pStyle w:val="Corpsdetexte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left="709" w:hanging="283"/>
        <w:jc w:val="both"/>
        <w:rPr/>
      </w:pP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A</w:t>
      </w: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nalizar el impacto de las restricciones económicas externas</w:t>
      </w:r>
      <w:r>
        <w:rPr>
          <w:rFonts w:ascii="Arial" w:hAnsi="Arial"/>
          <w:b w:val="false"/>
          <w:bCs w:val="false"/>
          <w:sz w:val="24"/>
          <w:szCs w:val="24"/>
        </w:rPr>
        <w:t xml:space="preserve"> en la capacidad de Cuba para cumplir la Convención.</w:t>
      </w:r>
    </w:p>
    <w:p>
      <w:pPr>
        <w:pStyle w:val="Corpsdetexte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left="709" w:hanging="283"/>
        <w:jc w:val="both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>Reconocer la importancia de la cooperación internacional como condición para el cumplimiento efectivo de los tratados.</w:t>
      </w:r>
    </w:p>
    <w:p>
      <w:pPr>
        <w:pStyle w:val="Titre3"/>
        <w:bidi w:val="0"/>
        <w:jc w:val="both"/>
        <w:rPr/>
      </w:pP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2. A otros Estados</w:t>
      </w:r>
    </w:p>
    <w:p>
      <w:pPr>
        <w:pStyle w:val="Corpsdetexte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left="709" w:hanging="283"/>
        <w:jc w:val="both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>Reafirmar el principio de cooperación internacional en derechos humanos.</w:t>
      </w:r>
    </w:p>
    <w:p>
      <w:pPr>
        <w:pStyle w:val="Corpsdetexte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left="709" w:hanging="283"/>
        <w:jc w:val="both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>Mantener relaciones de solidaridad económica y energética que contribuyan a la estabilidad social y al cumplimiento de derechos.</w:t>
      </w:r>
    </w:p>
    <w:p>
      <w:pPr>
        <w:pStyle w:val="Titre3"/>
        <w:bidi w:val="0"/>
        <w:jc w:val="both"/>
        <w:rPr/>
      </w:pP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3. A la sociedad civil internacional</w:t>
      </w:r>
    </w:p>
    <w:p>
      <w:pPr>
        <w:pStyle w:val="Corpsdetexte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left="709" w:hanging="283"/>
        <w:jc w:val="both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Fortalecer redes de solidaridad entre </w:t>
      </w:r>
      <w:r>
        <w:rPr>
          <w:rFonts w:ascii="Arial" w:hAnsi="Arial"/>
          <w:b w:val="false"/>
          <w:bCs w:val="false"/>
          <w:sz w:val="24"/>
          <w:szCs w:val="24"/>
        </w:rPr>
        <w:t>P</w:t>
      </w:r>
      <w:r>
        <w:rPr>
          <w:rFonts w:ascii="Arial" w:hAnsi="Arial"/>
          <w:b w:val="false"/>
          <w:bCs w:val="false"/>
          <w:sz w:val="24"/>
          <w:szCs w:val="24"/>
        </w:rPr>
        <w:t>ueblos frente a contextos donde los Estados enfrentan limitaciones estructurales.</w:t>
      </w:r>
    </w:p>
    <w:p>
      <w:pPr>
        <w:pStyle w:val="Titre3"/>
        <w:bidi w:val="0"/>
        <w:jc w:val="both"/>
        <w:rPr/>
      </w:pPr>
      <w:r>
        <w:rPr>
          <w:rStyle w:val="Accentuationforte"/>
          <w:rFonts w:ascii="Arial" w:hAnsi="Arial"/>
          <w:b w:val="false"/>
          <w:bCs w:val="false"/>
          <w:sz w:val="24"/>
          <w:szCs w:val="24"/>
        </w:rPr>
        <w:t>4. Al Estado cubano</w:t>
      </w:r>
    </w:p>
    <w:p>
      <w:pPr>
        <w:pStyle w:val="Corpsdetexte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ind w:left="709" w:hanging="283"/>
        <w:jc w:val="both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Inspirarse en la evolución histórica del derecho internacional, donde declaraciones (como la de 1963 contra la discriminación racial) precedieron a tratados vinculantes. </w:t>
      </w:r>
    </w:p>
    <w:p>
      <w:pPr>
        <w:pStyle w:val="Corpsdetexte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before="0" w:after="140"/>
        <w:ind w:left="709" w:hanging="283"/>
        <w:jc w:val="both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>Promover activamente en foros internacionales el desarrollo de nuevos instrumentos jurídicos, por ejemplo impulsando que la Declaración sobre los Derechos de los Pueblos Indígenas evolucione hacia una convención vinculante.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pStyle w:val="Titre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itre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itre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4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A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s-AR" w:eastAsia="zh-CN" w:bidi="hi-IN"/>
    </w:rPr>
  </w:style>
  <w:style w:type="paragraph" w:styleId="Titre1">
    <w:name w:val="Heading 1"/>
    <w:basedOn w:val="Titre"/>
    <w:next w:val="Corpsdetexte"/>
    <w:qFormat/>
    <w:pPr>
      <w:spacing w:before="240" w:after="120"/>
      <w:outlineLvl w:val="0"/>
    </w:pPr>
    <w:rPr>
      <w:rFonts w:ascii="Liberation Serif" w:hAnsi="Liberation Serif" w:eastAsia="NSimSun" w:cs="Arial"/>
      <w:b/>
      <w:bCs/>
      <w:sz w:val="48"/>
      <w:szCs w:val="48"/>
    </w:rPr>
  </w:style>
  <w:style w:type="paragraph" w:styleId="Titre2">
    <w:name w:val="Heading 2"/>
    <w:basedOn w:val="Titre"/>
    <w:next w:val="Corpsdetexte"/>
    <w:qFormat/>
    <w:pPr>
      <w:spacing w:before="200" w:after="120"/>
      <w:outlineLvl w:val="1"/>
    </w:pPr>
    <w:rPr>
      <w:rFonts w:ascii="Liberation Serif" w:hAnsi="Liberation Serif" w:eastAsia="NSimSun" w:cs="Arial"/>
      <w:b/>
      <w:bCs/>
      <w:sz w:val="36"/>
      <w:szCs w:val="36"/>
    </w:rPr>
  </w:style>
  <w:style w:type="paragraph" w:styleId="Titre3">
    <w:name w:val="Heading 3"/>
    <w:basedOn w:val="Titre"/>
    <w:next w:val="Corpsdetexte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Accentuationforte">
    <w:name w:val="Strong"/>
    <w:qFormat/>
    <w:rPr>
      <w:b/>
      <w:bCs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character" w:styleId="LienInternet">
    <w:name w:val="Hyperlink"/>
    <w:rPr>
      <w:color w:val="000080"/>
      <w:u w:val="single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gnehorizontale">
    <w:name w:val="Ligne horizontale"/>
    <w:basedOn w:val="Normal"/>
    <w:next w:val="Corpsdetexte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ingleTxtG">
    <w:name w:val="_ Single Txt_G"/>
    <w:basedOn w:val="Normal"/>
    <w:qFormat/>
    <w:pPr>
      <w:tabs>
        <w:tab w:val="clear" w:pos="709"/>
        <w:tab w:val="left" w:pos="2835" w:leader="none"/>
        <w:tab w:val="left" w:pos="3402" w:leader="none"/>
        <w:tab w:val="left" w:pos="3969" w:leader="none"/>
      </w:tabs>
      <w:spacing w:before="0" w:after="120"/>
      <w:ind w:left="1134" w:right="1134" w:hanging="0"/>
      <w:jc w:val="both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1233</TotalTime>
  <Application>LibreOffice/7.5.3.2$Windows_X86_64 LibreOffice_project/9f56dff12ba03b9acd7730a5a481eea045e468f3</Application>
  <AppVersion>15.0000</AppVersion>
  <Pages>2</Pages>
  <Words>616</Words>
  <Characters>3661</Characters>
  <CharactersWithSpaces>4257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2026-03-17T17:30:37Z</dcterms:created>
  <dc:creator/>
  <dc:description/>
  <dc:language>fr-CH</dc:language>
  <cp:lastModifiedBy/>
  <dcterms:modified xsi:type="dcterms:W3CDTF">2026-03-18T14:04:41Z</dcterms:modified>
  <cp:revision>10</cp:revision>
  <dc:subject/>
  <dc:title/>
</cp:coreProperties>
</file>