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FDD" w:rsidRDefault="00261192">
      <w:pPr>
        <w:keepNext/>
        <w:spacing w:before="120"/>
        <w:jc w:val="center"/>
        <w:rPr>
          <w:rFonts w:ascii="Arial" w:hAnsi="Arial" w:cs="Arial"/>
          <w:b/>
          <w:sz w:val="32"/>
          <w:szCs w:val="32"/>
        </w:rPr>
      </w:pPr>
      <w:r>
        <w:rPr>
          <w:rFonts w:ascii="Arial" w:hAnsi="Arial" w:cs="Arial"/>
          <w:b/>
          <w:sz w:val="32"/>
          <w:szCs w:val="32"/>
        </w:rPr>
        <w:t>Request for statistical information</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This paper respon</w:t>
      </w:r>
      <w:r w:rsidR="001B57E3">
        <w:rPr>
          <w:rFonts w:ascii="Arial" w:eastAsia="Times New Roman" w:hAnsi="Arial"/>
          <w:kern w:val="32"/>
          <w:sz w:val="23"/>
          <w:szCs w:val="20"/>
          <w:lang w:eastAsia="en-GB"/>
        </w:rPr>
        <w:t>d</w:t>
      </w:r>
      <w:r>
        <w:rPr>
          <w:rFonts w:ascii="Arial" w:eastAsia="Times New Roman" w:hAnsi="Arial"/>
          <w:kern w:val="32"/>
          <w:sz w:val="23"/>
          <w:szCs w:val="20"/>
          <w:lang w:eastAsia="en-GB"/>
        </w:rPr>
        <w:t>s to the request of the United Nations Human Rights C</w:t>
      </w:r>
      <w:r w:rsidR="00D92CCB">
        <w:rPr>
          <w:rFonts w:ascii="Arial" w:eastAsia="Times New Roman" w:hAnsi="Arial"/>
          <w:kern w:val="32"/>
          <w:sz w:val="23"/>
          <w:szCs w:val="20"/>
          <w:lang w:eastAsia="en-GB"/>
        </w:rPr>
        <w:t>ommittee, received on Wednesday</w:t>
      </w:r>
      <w:r>
        <w:rPr>
          <w:rFonts w:ascii="Arial" w:eastAsia="Times New Roman" w:hAnsi="Arial"/>
          <w:kern w:val="32"/>
          <w:sz w:val="23"/>
          <w:szCs w:val="20"/>
          <w:lang w:eastAsia="en-GB"/>
        </w:rPr>
        <w:t xml:space="preserve"> 16 March 2016, for further statistical information following the examination of New Zealand's Sixth Periodic Report under the International Covenant on Civl and Political Rights.</w:t>
      </w:r>
    </w:p>
    <w:p w:rsidR="00962FDD" w:rsidRDefault="00261192">
      <w:pPr>
        <w:keepNext/>
        <w:pBdr>
          <w:bottom w:val="single" w:sz="4" w:space="1" w:color="auto"/>
        </w:pBdr>
        <w:spacing w:before="230"/>
        <w:jc w:val="both"/>
        <w:rPr>
          <w:rFonts w:ascii="Arial" w:hAnsi="Arial" w:cs="Arial"/>
          <w:b/>
          <w:sz w:val="28"/>
          <w:szCs w:val="28"/>
        </w:rPr>
      </w:pPr>
      <w:r>
        <w:rPr>
          <w:rFonts w:ascii="Arial" w:hAnsi="Arial" w:cs="Arial"/>
          <w:b/>
          <w:sz w:val="28"/>
          <w:szCs w:val="28"/>
        </w:rPr>
        <w:t>Family violence</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the following information on family violence:</w:t>
      </w:r>
    </w:p>
    <w:p w:rsidR="00962FDD" w:rsidRDefault="00261192">
      <w:pPr>
        <w:pStyle w:val="ListParagraph"/>
        <w:numPr>
          <w:ilvl w:val="0"/>
          <w:numId w:val="2"/>
        </w:numPr>
        <w:spacing w:before="230" w:after="0"/>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 xml:space="preserve">Updated data (2014 and 2015) disaggregated by age, sex, disability, geographic location, ethnic origin and socioeconomic background on the number of cases of gender-based violence, family violence, spousal rape, </w:t>
      </w:r>
    </w:p>
    <w:p w:rsidR="00962FDD" w:rsidRDefault="00261192">
      <w:pPr>
        <w:pStyle w:val="ListParagraph"/>
        <w:numPr>
          <w:ilvl w:val="0"/>
          <w:numId w:val="2"/>
        </w:numPr>
        <w:spacing w:before="230" w:after="0"/>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 xml:space="preserve"> Updated data (2014 and 2015) on the number of prosecutions and convictions regarding gender-based violence, family violence, and spousal rape, and</w:t>
      </w:r>
    </w:p>
    <w:p w:rsidR="00962FDD" w:rsidRDefault="00261192">
      <w:pPr>
        <w:pStyle w:val="ListParagraph"/>
        <w:numPr>
          <w:ilvl w:val="0"/>
          <w:numId w:val="2"/>
        </w:numPr>
        <w:spacing w:before="230" w:after="0"/>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Updated data disaggregated by age, sex, disability, geographic location, ethnic origin and socioeconomic background on domestic violence deaths.</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relevant information is summarised below.  Further detail can be found in the attached spreadsheet entitled “Family-Related Violence</w:t>
      </w:r>
      <w:r w:rsidR="00D53F01">
        <w:rPr>
          <w:rFonts w:ascii="Arial" w:eastAsia="Times New Roman" w:hAnsi="Arial"/>
          <w:kern w:val="32"/>
          <w:sz w:val="23"/>
          <w:szCs w:val="20"/>
          <w:lang w:eastAsia="en-GB"/>
        </w:rPr>
        <w:t>”</w:t>
      </w:r>
      <w:r>
        <w:rPr>
          <w:rFonts w:ascii="Arial" w:eastAsia="Times New Roman" w:hAnsi="Arial"/>
          <w:kern w:val="32"/>
          <w:sz w:val="23"/>
          <w:szCs w:val="20"/>
          <w:lang w:eastAsia="en-GB"/>
        </w:rPr>
        <w:t xml:space="preserve">.  The New Zealand Goverment does not hold the information </w:t>
      </w:r>
      <w:r w:rsidR="001B57E3">
        <w:rPr>
          <w:rFonts w:ascii="Arial" w:eastAsia="Times New Roman" w:hAnsi="Arial"/>
          <w:kern w:val="32"/>
          <w:sz w:val="23"/>
          <w:szCs w:val="20"/>
          <w:lang w:eastAsia="en-GB"/>
        </w:rPr>
        <w:t>disaggregated</w:t>
      </w:r>
      <w:r>
        <w:rPr>
          <w:rFonts w:ascii="Arial" w:eastAsia="Times New Roman" w:hAnsi="Arial"/>
          <w:kern w:val="32"/>
          <w:sz w:val="23"/>
          <w:szCs w:val="20"/>
          <w:lang w:eastAsia="en-GB"/>
        </w:rPr>
        <w:t xml:space="preserve"> by disability and socioeconomic background.</w:t>
      </w:r>
    </w:p>
    <w:p w:rsidR="00962FDD" w:rsidRDefault="00261192">
      <w:pPr>
        <w:pStyle w:val="Heading2"/>
        <w:keepNext/>
        <w:jc w:val="both"/>
        <w:rPr>
          <w:rFonts w:ascii="Arial" w:hAnsi="Arial" w:cs="Arial"/>
          <w:b w:val="0"/>
          <w:i/>
          <w:sz w:val="24"/>
          <w:szCs w:val="24"/>
        </w:rPr>
      </w:pPr>
      <w:r>
        <w:rPr>
          <w:rFonts w:ascii="Arial" w:hAnsi="Arial" w:cs="Arial"/>
          <w:b w:val="0"/>
          <w:i/>
          <w:sz w:val="24"/>
          <w:szCs w:val="24"/>
        </w:rPr>
        <w:t>Cases and convictions for male assaults female offences</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In 2014/15, there were 3,142 cases for adults aged 17 plus where a male assaults female offence was the most serious offence in the case.  Sixty-nine percent of those cases resulted in a conviction.  The number of cases for male assaults female offences has declined markedly since 2008/09 when there were 5,032 </w:t>
      </w:r>
      <w:r w:rsidRPr="00962FDD">
        <w:rPr>
          <w:rFonts w:ascii="Arial" w:eastAsia="Times New Roman" w:hAnsi="Arial"/>
          <w:kern w:val="32"/>
          <w:sz w:val="23"/>
          <w:szCs w:val="23"/>
          <w:lang w:eastAsia="en-GB"/>
        </w:rPr>
        <w:t>cases</w:t>
      </w:r>
      <w:r w:rsidRPr="00962FDD">
        <w:rPr>
          <w:rFonts w:ascii="Arial" w:hAnsi="Arial" w:cs="Arial"/>
          <w:sz w:val="23"/>
          <w:szCs w:val="23"/>
        </w:rPr>
        <w:t xml:space="preserve"> (a 38% reduction).  The percentage of cases resulting in a conviction varied from 66% to 73% between 2008/09 and 2014/15.</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A total of </w:t>
      </w:r>
      <w:r w:rsidRPr="00962FDD">
        <w:rPr>
          <w:rFonts w:ascii="Arial" w:eastAsia="Times New Roman" w:hAnsi="Arial"/>
          <w:kern w:val="32"/>
          <w:sz w:val="23"/>
          <w:szCs w:val="23"/>
          <w:lang w:eastAsia="en-GB"/>
        </w:rPr>
        <w:t>455 (15%) of all male assaults female cases in 2014/15 were withdrawn, this accounts for alm</w:t>
      </w:r>
      <w:r w:rsidRPr="00962FDD">
        <w:rPr>
          <w:rFonts w:ascii="Arial" w:hAnsi="Arial" w:cs="Arial"/>
          <w:sz w:val="23"/>
          <w:szCs w:val="23"/>
        </w:rPr>
        <w:t>ost half of all male assaults female cases which did not result in a conviction.</w:t>
      </w:r>
    </w:p>
    <w:p w:rsidR="00962FDD" w:rsidRDefault="00962FDD">
      <w:pPr>
        <w:pStyle w:val="ListParagraph"/>
        <w:numPr>
          <w:ilvl w:val="0"/>
          <w:numId w:val="1"/>
        </w:numPr>
        <w:spacing w:before="230" w:after="0"/>
        <w:ind w:left="624" w:hanging="624"/>
        <w:contextualSpacing w:val="0"/>
        <w:jc w:val="both"/>
        <w:rPr>
          <w:rFonts w:ascii="Arial" w:hAnsi="Arial" w:cs="Arial"/>
          <w:sz w:val="24"/>
          <w:szCs w:val="24"/>
        </w:rPr>
      </w:pPr>
      <w:r w:rsidRPr="00962FDD">
        <w:rPr>
          <w:rFonts w:ascii="Arial" w:hAnsi="Arial" w:cs="Arial"/>
          <w:sz w:val="23"/>
          <w:szCs w:val="23"/>
        </w:rPr>
        <w:t xml:space="preserve">In 2014/15, Māori accounted for 49% of the total number of male assaults female cases, </w:t>
      </w:r>
      <w:r w:rsidRPr="00962FDD">
        <w:rPr>
          <w:rFonts w:ascii="Arial" w:eastAsia="Times New Roman" w:hAnsi="Arial"/>
          <w:kern w:val="32"/>
          <w:sz w:val="23"/>
          <w:szCs w:val="23"/>
          <w:lang w:eastAsia="en-GB"/>
        </w:rPr>
        <w:t>while</w:t>
      </w:r>
      <w:r w:rsidRPr="00962FDD">
        <w:rPr>
          <w:rFonts w:ascii="Arial" w:hAnsi="Arial" w:cs="Arial"/>
          <w:sz w:val="23"/>
          <w:szCs w:val="23"/>
        </w:rPr>
        <w:t xml:space="preserve"> adults of Pasifika and European/Other ethnicities accounted for 13% and 37% respectively of cases.</w:t>
      </w:r>
      <w:r w:rsidR="00261192">
        <w:rPr>
          <w:rFonts w:ascii="Arial" w:hAnsi="Arial" w:cs="Arial"/>
          <w:sz w:val="24"/>
          <w:szCs w:val="24"/>
        </w:rPr>
        <w:t xml:space="preserve">  </w:t>
      </w:r>
    </w:p>
    <w:p w:rsidR="00962FDD" w:rsidRDefault="00261192">
      <w:pPr>
        <w:pStyle w:val="Heading2"/>
        <w:keepNext/>
        <w:jc w:val="both"/>
        <w:rPr>
          <w:rFonts w:ascii="Arial" w:hAnsi="Arial" w:cs="Arial"/>
          <w:b w:val="0"/>
          <w:i/>
          <w:sz w:val="24"/>
          <w:szCs w:val="24"/>
        </w:rPr>
      </w:pPr>
      <w:r>
        <w:rPr>
          <w:rFonts w:ascii="Arial" w:hAnsi="Arial" w:cs="Arial"/>
          <w:b w:val="0"/>
          <w:i/>
          <w:sz w:val="24"/>
          <w:szCs w:val="24"/>
        </w:rPr>
        <w:t>Cases and convictions for spousal rape and attempted spousal rape offences</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In 2014/15, there were 6 cases for adults aged 17 plus for spousal rape, and 3 cases for attempted spousal rape offences.  Fifty percent of spousal rape cases resulted in a conviction while no attempted spousal rape cases were convicted.</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lastRenderedPageBreak/>
        <w:t xml:space="preserve">Since 2008/09, of the 45 cases for spousal rape, 29% resulted in a conviction, while only 1 (7%) of the 14 cases for attempted spousal rape cases were convicted.  </w:t>
      </w:r>
    </w:p>
    <w:p w:rsidR="00962FDD" w:rsidRPr="00962FDD" w:rsidRDefault="00962FDD">
      <w:pPr>
        <w:pStyle w:val="ListParagraph"/>
        <w:numPr>
          <w:ilvl w:val="0"/>
          <w:numId w:val="1"/>
        </w:numPr>
        <w:spacing w:before="230" w:after="0"/>
        <w:ind w:left="624" w:hanging="624"/>
        <w:contextualSpacing w:val="0"/>
        <w:jc w:val="both"/>
        <w:rPr>
          <w:sz w:val="23"/>
          <w:szCs w:val="23"/>
        </w:rPr>
      </w:pPr>
      <w:r w:rsidRPr="00962FDD">
        <w:rPr>
          <w:rFonts w:ascii="Arial" w:hAnsi="Arial" w:cs="Arial"/>
          <w:sz w:val="23"/>
          <w:szCs w:val="23"/>
        </w:rPr>
        <w:t>Seven out of the 45 cases (16%) for spousal rape since 2008/09 were withdrawn, while 6 out of 14 cases (43%) for attempted spousal rape cases were withdrawn.</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From 2008/09 to 2014/15, Māori accounted for 10 out of 45 spousal rape cases (22%), while Pasifika and European/Other adults accounted for 8 and 26 cases respectively.   </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Over the same seven-year period, 4 out of 14 attempted spousal rape cases (29%) were Māori, while adults of  Pasifika and European/Other ethnicities accounted for 2 and 7 cases respectively.</w:t>
      </w:r>
    </w:p>
    <w:p w:rsidR="00962FDD" w:rsidRPr="00962FDD" w:rsidRDefault="00962FDD" w:rsidP="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The alleged offender was female in only 1 spousal rape and 1 attempted spousal rape case from 2008/09 to 2014/15.</w:t>
      </w:r>
    </w:p>
    <w:p w:rsidR="00962FDD" w:rsidRDefault="00261192">
      <w:pPr>
        <w:pStyle w:val="Heading2"/>
        <w:keepNext/>
        <w:jc w:val="both"/>
        <w:rPr>
          <w:rFonts w:ascii="Arial" w:hAnsi="Arial" w:cs="Arial"/>
          <w:b w:val="0"/>
          <w:i/>
          <w:sz w:val="24"/>
          <w:szCs w:val="24"/>
        </w:rPr>
      </w:pPr>
      <w:r>
        <w:rPr>
          <w:rFonts w:ascii="Arial" w:hAnsi="Arial" w:cs="Arial"/>
          <w:b w:val="0"/>
          <w:i/>
          <w:sz w:val="24"/>
          <w:szCs w:val="24"/>
        </w:rPr>
        <w:t>Homicide Victims</w:t>
      </w:r>
    </w:p>
    <w:p w:rsidR="00962FDD"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hAnsi="Arial" w:cs="Arial"/>
          <w:sz w:val="24"/>
          <w:szCs w:val="24"/>
        </w:rPr>
        <w:t>The data presented in the ‘Homicide Victims’ worksheet attached shows that, in the 12 months ending June 2015, there were 17 reported victims of homicide offences, where the offender was a family member.  Six victims were male and 11 were female.  Homicide offences include murder, attempted murder, and manslaughter.</w:t>
      </w:r>
    </w:p>
    <w:p w:rsidR="00962FDD"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hAnsi="Arial" w:cs="Arial"/>
          <w:sz w:val="24"/>
          <w:szCs w:val="24"/>
        </w:rPr>
        <w:t xml:space="preserve">Seven of the alleged offenders were partners of the victim, while 4 alleged offenders were parents and children of the victims respectively.  A further 2 victims were family members not further defined. </w:t>
      </w:r>
    </w:p>
    <w:p w:rsidR="00962FDD"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hAnsi="Arial" w:cs="Arial"/>
          <w:sz w:val="24"/>
          <w:szCs w:val="24"/>
        </w:rPr>
        <w:t xml:space="preserve">For all homicide victims in 2014/15, where the offender was a family member, 2 were Māori, 4 European, 7 of </w:t>
      </w:r>
      <w:proofErr w:type="gramStart"/>
      <w:r>
        <w:rPr>
          <w:rFonts w:ascii="Arial" w:hAnsi="Arial" w:cs="Arial"/>
          <w:sz w:val="24"/>
          <w:szCs w:val="24"/>
        </w:rPr>
        <w:t>Other</w:t>
      </w:r>
      <w:proofErr w:type="gramEnd"/>
      <w:r>
        <w:rPr>
          <w:rFonts w:ascii="Arial" w:hAnsi="Arial" w:cs="Arial"/>
          <w:sz w:val="24"/>
          <w:szCs w:val="24"/>
        </w:rPr>
        <w:t xml:space="preserve"> ethnicities,</w:t>
      </w:r>
      <w:r>
        <w:rPr>
          <w:rStyle w:val="FootnoteReference"/>
          <w:rFonts w:ascii="Arial" w:hAnsi="Arial" w:cs="Arial"/>
          <w:sz w:val="24"/>
          <w:szCs w:val="24"/>
        </w:rPr>
        <w:footnoteReference w:id="1"/>
      </w:r>
      <w:r>
        <w:rPr>
          <w:rFonts w:ascii="Arial" w:hAnsi="Arial" w:cs="Arial"/>
          <w:sz w:val="24"/>
          <w:szCs w:val="24"/>
        </w:rPr>
        <w:t xml:space="preserve"> and 4 of Unknown ethnicity. </w:t>
      </w:r>
    </w:p>
    <w:p w:rsidR="00261192"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hAnsi="Arial" w:cs="Arial"/>
          <w:sz w:val="24"/>
          <w:szCs w:val="24"/>
        </w:rPr>
        <w:t xml:space="preserve">Four of the victims were aged 20-24, three were aged 45-49, three were aged 0-4, and two were aged 35-39.   The remainder were scattered across various age groups.  </w:t>
      </w:r>
    </w:p>
    <w:p w:rsidR="00C05C99" w:rsidRDefault="00C53C71">
      <w:pPr>
        <w:pStyle w:val="ListParagraph"/>
        <w:keepNext/>
        <w:numPr>
          <w:ilvl w:val="0"/>
          <w:numId w:val="1"/>
        </w:numPr>
        <w:spacing w:before="230" w:after="0"/>
        <w:ind w:left="624" w:hanging="624"/>
        <w:contextualSpacing w:val="0"/>
        <w:jc w:val="both"/>
        <w:rPr>
          <w:rFonts w:ascii="Arial" w:hAnsi="Arial" w:cs="Arial"/>
          <w:sz w:val="24"/>
          <w:szCs w:val="24"/>
        </w:rPr>
      </w:pPr>
      <w:r w:rsidRPr="00C05C99">
        <w:rPr>
          <w:rFonts w:ascii="Arial" w:hAnsi="Arial" w:cs="Arial"/>
          <w:sz w:val="24"/>
          <w:szCs w:val="24"/>
        </w:rPr>
        <w:t xml:space="preserve">New Zealand Police is divided into 12 districts, 9 in the North Island and 3 in the South Island. Seen in the map below. </w:t>
      </w:r>
      <w:r w:rsidR="00261192" w:rsidRPr="00C53C71">
        <w:rPr>
          <w:rFonts w:ascii="Arial" w:hAnsi="Arial" w:cs="Arial"/>
          <w:sz w:val="24"/>
          <w:szCs w:val="24"/>
        </w:rPr>
        <w:t>The</w:t>
      </w:r>
      <w:r w:rsidR="00261192">
        <w:rPr>
          <w:rFonts w:ascii="Arial" w:hAnsi="Arial" w:cs="Arial"/>
          <w:sz w:val="24"/>
          <w:szCs w:val="24"/>
        </w:rPr>
        <w:t xml:space="preserve"> </w:t>
      </w:r>
      <w:r>
        <w:rPr>
          <w:rFonts w:ascii="Arial" w:hAnsi="Arial" w:cs="Arial"/>
          <w:sz w:val="24"/>
          <w:szCs w:val="24"/>
        </w:rPr>
        <w:t>number of</w:t>
      </w:r>
      <w:r w:rsidR="00261192">
        <w:rPr>
          <w:rFonts w:ascii="Arial" w:hAnsi="Arial" w:cs="Arial"/>
          <w:sz w:val="24"/>
          <w:szCs w:val="24"/>
        </w:rPr>
        <w:t xml:space="preserve"> </w:t>
      </w:r>
      <w:r>
        <w:rPr>
          <w:rFonts w:ascii="Arial" w:hAnsi="Arial" w:cs="Arial"/>
          <w:sz w:val="24"/>
          <w:szCs w:val="24"/>
        </w:rPr>
        <w:t xml:space="preserve">homicide </w:t>
      </w:r>
      <w:r w:rsidR="00261192">
        <w:rPr>
          <w:rFonts w:ascii="Arial" w:hAnsi="Arial" w:cs="Arial"/>
          <w:sz w:val="24"/>
          <w:szCs w:val="24"/>
        </w:rPr>
        <w:t xml:space="preserve">victims </w:t>
      </w:r>
      <w:r>
        <w:rPr>
          <w:rFonts w:ascii="Arial" w:hAnsi="Arial" w:cs="Arial"/>
          <w:sz w:val="24"/>
          <w:szCs w:val="24"/>
        </w:rPr>
        <w:t>per District is set out below.</w:t>
      </w:r>
      <w:r w:rsidR="00261192">
        <w:rPr>
          <w:rFonts w:ascii="Arial" w:hAnsi="Arial" w:cs="Arial"/>
          <w:sz w:val="24"/>
          <w:szCs w:val="24"/>
        </w:rPr>
        <w:t xml:space="preserve"> </w:t>
      </w:r>
    </w:p>
    <w:p w:rsidR="00C53C71" w:rsidRDefault="00C53C71">
      <w:pPr>
        <w:pStyle w:val="ListParagraph"/>
        <w:numPr>
          <w:ilvl w:val="0"/>
          <w:numId w:val="1"/>
        </w:numPr>
        <w:spacing w:before="230" w:after="0"/>
        <w:ind w:left="624" w:hanging="624"/>
        <w:contextualSpacing w:val="0"/>
        <w:jc w:val="both"/>
        <w:rPr>
          <w:rFonts w:ascii="Arial" w:hAnsi="Arial" w:cs="Arial"/>
          <w:sz w:val="24"/>
          <w:szCs w:val="24"/>
        </w:rPr>
        <w:sectPr w:rsidR="00C53C71" w:rsidSect="00962FDD">
          <w:headerReference w:type="default" r:id="rId7"/>
          <w:pgSz w:w="11906" w:h="16838"/>
          <w:pgMar w:top="1440" w:right="1440" w:bottom="993" w:left="1440" w:header="708" w:footer="708" w:gutter="0"/>
          <w:cols w:space="708"/>
          <w:docGrid w:linePitch="360"/>
        </w:sectPr>
      </w:pPr>
    </w:p>
    <w:p w:rsidR="00C05C99" w:rsidRDefault="00C05C99" w:rsidP="00C05C99">
      <w:pPr>
        <w:pStyle w:val="ListParagraph"/>
        <w:spacing w:after="0"/>
        <w:ind w:left="624"/>
        <w:contextualSpacing w:val="0"/>
        <w:jc w:val="both"/>
        <w:rPr>
          <w:rFonts w:ascii="Arial" w:hAnsi="Arial" w:cs="Arial"/>
          <w:sz w:val="24"/>
          <w:szCs w:val="24"/>
        </w:rPr>
      </w:pPr>
      <w:r>
        <w:rPr>
          <w:noProof/>
          <w:lang w:eastAsia="en-NZ"/>
        </w:rPr>
        <w:lastRenderedPageBreak/>
        <w:drawing>
          <wp:inline distT="0" distB="0" distL="0" distR="0">
            <wp:extent cx="2231781" cy="3113147"/>
            <wp:effectExtent l="19050" t="0" r="0" b="0"/>
            <wp:docPr id="1" name="Picture 1" descr="\\corp.justice.govt.nz\Private\Wellington Justice Centre\Just15\AGNSARA\Desktop\map-of-police-districts-430x6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justice.govt.nz\Private\Wellington Justice Centre\Just15\AGNSARA\Desktop\map-of-police-districts-430x600.gif"/>
                    <pic:cNvPicPr>
                      <a:picLocks noChangeAspect="1" noChangeArrowheads="1"/>
                    </pic:cNvPicPr>
                  </pic:nvPicPr>
                  <pic:blipFill>
                    <a:blip r:embed="rId8" cstate="print"/>
                    <a:srcRect/>
                    <a:stretch>
                      <a:fillRect/>
                    </a:stretch>
                  </pic:blipFill>
                  <pic:spPr bwMode="auto">
                    <a:xfrm>
                      <a:off x="0" y="0"/>
                      <a:ext cx="2231452" cy="3112687"/>
                    </a:xfrm>
                    <a:prstGeom prst="rect">
                      <a:avLst/>
                    </a:prstGeom>
                    <a:noFill/>
                    <a:ln w="9525">
                      <a:noFill/>
                      <a:miter lim="800000"/>
                      <a:headEnd/>
                      <a:tailEnd/>
                    </a:ln>
                  </pic:spPr>
                </pic:pic>
              </a:graphicData>
            </a:graphic>
          </wp:inline>
        </w:drawing>
      </w:r>
    </w:p>
    <w:tbl>
      <w:tblPr>
        <w:tblW w:w="42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2708"/>
        <w:gridCol w:w="1559"/>
      </w:tblGrid>
      <w:tr w:rsidR="00C05C99" w:rsidRPr="00C53C71" w:rsidTr="00C05C99">
        <w:trPr>
          <w:trHeight w:val="720"/>
        </w:trPr>
        <w:tc>
          <w:tcPr>
            <w:tcW w:w="2708" w:type="dxa"/>
            <w:tcBorders>
              <w:top w:val="nil"/>
              <w:left w:val="nil"/>
              <w:bottom w:val="single" w:sz="4" w:space="0" w:color="auto"/>
              <w:right w:val="nil"/>
            </w:tcBorders>
            <w:shd w:val="clear" w:color="auto" w:fill="FFFFFF" w:themeFill="background1"/>
            <w:vAlign w:val="bottom"/>
            <w:hideMark/>
          </w:tcPr>
          <w:p w:rsidR="00C53C71" w:rsidRPr="00C53C71" w:rsidRDefault="00C53C71" w:rsidP="00C53C71">
            <w:pPr>
              <w:spacing w:after="0" w:line="240" w:lineRule="auto"/>
              <w:rPr>
                <w:rFonts w:eastAsia="Times New Roman" w:cs="Arial"/>
                <w:b/>
                <w:bCs/>
                <w:color w:val="000000"/>
                <w:lang w:eastAsia="en-NZ"/>
              </w:rPr>
            </w:pPr>
            <w:r w:rsidRPr="00C53C71">
              <w:rPr>
                <w:rFonts w:eastAsia="Times New Roman" w:cs="Arial"/>
                <w:b/>
                <w:bCs/>
                <w:color w:val="000000"/>
                <w:lang w:eastAsia="en-NZ"/>
              </w:rPr>
              <w:t>Police District</w:t>
            </w:r>
          </w:p>
        </w:tc>
        <w:tc>
          <w:tcPr>
            <w:tcW w:w="1559" w:type="dxa"/>
            <w:tcBorders>
              <w:top w:val="nil"/>
              <w:left w:val="nil"/>
              <w:bottom w:val="single" w:sz="4" w:space="0" w:color="auto"/>
              <w:right w:val="nil"/>
            </w:tcBorders>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b/>
                <w:bCs/>
                <w:color w:val="000000"/>
                <w:lang w:eastAsia="en-NZ"/>
              </w:rPr>
            </w:pPr>
            <w:r w:rsidRPr="00C53C71">
              <w:rPr>
                <w:rFonts w:eastAsia="Times New Roman" w:cs="Arial"/>
                <w:b/>
                <w:bCs/>
                <w:color w:val="000000"/>
                <w:lang w:eastAsia="en-NZ"/>
              </w:rPr>
              <w:t>Number of victims</w:t>
            </w:r>
          </w:p>
        </w:tc>
      </w:tr>
      <w:tr w:rsidR="00C53C71" w:rsidRPr="00C53C71" w:rsidTr="00C05C99">
        <w:trPr>
          <w:trHeight w:val="300"/>
        </w:trPr>
        <w:tc>
          <w:tcPr>
            <w:tcW w:w="2708" w:type="dxa"/>
            <w:tcBorders>
              <w:top w:val="single" w:sz="4" w:space="0" w:color="auto"/>
            </w:tcBorders>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Northland District</w:t>
            </w:r>
          </w:p>
        </w:tc>
        <w:tc>
          <w:tcPr>
            <w:tcW w:w="1559" w:type="dxa"/>
            <w:tcBorders>
              <w:top w:val="single" w:sz="4" w:space="0" w:color="auto"/>
            </w:tcBorders>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Waitemata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1</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Auckland City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3</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Counties/</w:t>
            </w:r>
            <w:proofErr w:type="spellStart"/>
            <w:r w:rsidRPr="00C53C71">
              <w:rPr>
                <w:rFonts w:eastAsia="Times New Roman" w:cs="Arial"/>
                <w:color w:val="000000"/>
                <w:lang w:eastAsia="en-NZ"/>
              </w:rPr>
              <w:t>Manukau</w:t>
            </w:r>
            <w:proofErr w:type="spellEnd"/>
            <w:r w:rsidRPr="00C53C71">
              <w:rPr>
                <w:rFonts w:eastAsia="Times New Roman" w:cs="Arial"/>
                <w:color w:val="000000"/>
                <w:lang w:eastAsia="en-NZ"/>
              </w:rPr>
              <w:t xml:space="preserve">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3</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Waikato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1</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Bay Of Plenty District</w:t>
            </w:r>
          </w:p>
        </w:tc>
        <w:tc>
          <w:tcPr>
            <w:tcW w:w="1559"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Eastern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2</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Central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5</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Wellington District</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color w:val="000000"/>
                <w:lang w:eastAsia="en-NZ"/>
              </w:rPr>
            </w:pPr>
            <w:r w:rsidRPr="00C53C71">
              <w:rPr>
                <w:rFonts w:eastAsia="Times New Roman" w:cs="Arial"/>
                <w:color w:val="000000"/>
                <w:lang w:eastAsia="en-NZ"/>
              </w:rPr>
              <w:t>2</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Tasman District</w:t>
            </w:r>
          </w:p>
        </w:tc>
        <w:tc>
          <w:tcPr>
            <w:tcW w:w="1559"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Canterbury District</w:t>
            </w:r>
          </w:p>
        </w:tc>
        <w:tc>
          <w:tcPr>
            <w:tcW w:w="1559"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Southern District</w:t>
            </w:r>
          </w:p>
        </w:tc>
        <w:tc>
          <w:tcPr>
            <w:tcW w:w="1559" w:type="dxa"/>
            <w:shd w:val="clear" w:color="auto" w:fill="FFFFFF" w:themeFill="background1"/>
            <w:noWrap/>
            <w:vAlign w:val="bottom"/>
            <w:hideMark/>
          </w:tcPr>
          <w:p w:rsidR="00C53C71" w:rsidRPr="00C53C71" w:rsidRDefault="00C53C71" w:rsidP="00C53C71">
            <w:pPr>
              <w:spacing w:after="0" w:line="240" w:lineRule="auto"/>
              <w:rPr>
                <w:rFonts w:eastAsia="Times New Roman" w:cs="Arial"/>
                <w:color w:val="000000"/>
                <w:lang w:eastAsia="en-NZ"/>
              </w:rPr>
            </w:pPr>
            <w:r w:rsidRPr="00C53C71">
              <w:rPr>
                <w:rFonts w:eastAsia="Times New Roman" w:cs="Arial"/>
                <w:color w:val="000000"/>
                <w:lang w:eastAsia="en-NZ"/>
              </w:rPr>
              <w:t> </w:t>
            </w:r>
          </w:p>
        </w:tc>
      </w:tr>
      <w:tr w:rsidR="00C53C71" w:rsidRPr="00C53C71" w:rsidTr="00C05C99">
        <w:trPr>
          <w:trHeight w:val="300"/>
        </w:trPr>
        <w:tc>
          <w:tcPr>
            <w:tcW w:w="2708" w:type="dxa"/>
            <w:shd w:val="clear" w:color="auto" w:fill="FFFFFF" w:themeFill="background1"/>
            <w:noWrap/>
            <w:vAlign w:val="bottom"/>
            <w:hideMark/>
          </w:tcPr>
          <w:p w:rsidR="00C53C71" w:rsidRPr="00C53C71" w:rsidRDefault="00C53C71" w:rsidP="00C53C71">
            <w:pPr>
              <w:spacing w:after="0" w:line="240" w:lineRule="auto"/>
              <w:rPr>
                <w:rFonts w:eastAsia="Times New Roman" w:cs="Arial"/>
                <w:b/>
                <w:bCs/>
                <w:color w:val="000000"/>
                <w:lang w:eastAsia="en-NZ"/>
              </w:rPr>
            </w:pPr>
            <w:r w:rsidRPr="00C53C71">
              <w:rPr>
                <w:rFonts w:eastAsia="Times New Roman" w:cs="Arial"/>
                <w:b/>
                <w:bCs/>
                <w:color w:val="000000"/>
                <w:lang w:eastAsia="en-NZ"/>
              </w:rPr>
              <w:t>Total</w:t>
            </w:r>
          </w:p>
        </w:tc>
        <w:tc>
          <w:tcPr>
            <w:tcW w:w="1559" w:type="dxa"/>
            <w:shd w:val="clear" w:color="auto" w:fill="FFFFFF" w:themeFill="background1"/>
            <w:noWrap/>
            <w:vAlign w:val="bottom"/>
            <w:hideMark/>
          </w:tcPr>
          <w:p w:rsidR="00C53C71" w:rsidRPr="00C53C71" w:rsidRDefault="00C53C71" w:rsidP="00C53C71">
            <w:pPr>
              <w:spacing w:after="0" w:line="240" w:lineRule="auto"/>
              <w:jc w:val="right"/>
              <w:rPr>
                <w:rFonts w:eastAsia="Times New Roman" w:cs="Arial"/>
                <w:b/>
                <w:bCs/>
                <w:color w:val="000000"/>
                <w:lang w:eastAsia="en-NZ"/>
              </w:rPr>
            </w:pPr>
            <w:r w:rsidRPr="00C53C71">
              <w:rPr>
                <w:rFonts w:eastAsia="Times New Roman" w:cs="Arial"/>
                <w:b/>
                <w:bCs/>
                <w:color w:val="000000"/>
                <w:lang w:eastAsia="en-NZ"/>
              </w:rPr>
              <w:t>17</w:t>
            </w:r>
          </w:p>
        </w:tc>
      </w:tr>
    </w:tbl>
    <w:p w:rsidR="00C53C71" w:rsidRDefault="00C53C71" w:rsidP="00C53C71">
      <w:pPr>
        <w:spacing w:after="0" w:line="240" w:lineRule="auto"/>
        <w:rPr>
          <w:rFonts w:eastAsia="Times New Roman" w:cs="Arial"/>
          <w:color w:val="000000"/>
          <w:lang w:eastAsia="en-NZ"/>
        </w:rPr>
        <w:sectPr w:rsidR="00C53C71" w:rsidSect="00C53C71">
          <w:type w:val="continuous"/>
          <w:pgSz w:w="11906" w:h="16838"/>
          <w:pgMar w:top="1440" w:right="1440" w:bottom="993" w:left="1440" w:header="708" w:footer="708" w:gutter="0"/>
          <w:cols w:num="2" w:space="708"/>
          <w:docGrid w:linePitch="360"/>
        </w:sectPr>
      </w:pPr>
    </w:p>
    <w:tbl>
      <w:tblPr>
        <w:tblW w:w="5540" w:type="dxa"/>
        <w:tblInd w:w="94" w:type="dxa"/>
        <w:tblLook w:val="04A0"/>
      </w:tblPr>
      <w:tblGrid>
        <w:gridCol w:w="3580"/>
        <w:gridCol w:w="1960"/>
      </w:tblGrid>
      <w:tr w:rsidR="00C53C71" w:rsidRPr="00C53C71" w:rsidTr="00C53C71">
        <w:trPr>
          <w:trHeight w:val="300"/>
        </w:trPr>
        <w:tc>
          <w:tcPr>
            <w:tcW w:w="3580" w:type="dxa"/>
            <w:tcBorders>
              <w:top w:val="nil"/>
              <w:left w:val="nil"/>
              <w:bottom w:val="nil"/>
              <w:right w:val="nil"/>
            </w:tcBorders>
            <w:shd w:val="clear" w:color="auto" w:fill="auto"/>
            <w:noWrap/>
            <w:vAlign w:val="bottom"/>
            <w:hideMark/>
          </w:tcPr>
          <w:p w:rsidR="00C53C71" w:rsidRPr="00C53C71" w:rsidRDefault="00C53C71" w:rsidP="00C53C71">
            <w:pPr>
              <w:spacing w:after="0" w:line="240" w:lineRule="auto"/>
              <w:rPr>
                <w:rFonts w:eastAsia="Times New Roman" w:cs="Arial"/>
                <w:color w:val="000000"/>
                <w:lang w:eastAsia="en-NZ"/>
              </w:rPr>
            </w:pPr>
          </w:p>
        </w:tc>
        <w:tc>
          <w:tcPr>
            <w:tcW w:w="1960" w:type="dxa"/>
            <w:tcBorders>
              <w:top w:val="nil"/>
              <w:left w:val="nil"/>
              <w:bottom w:val="nil"/>
              <w:right w:val="nil"/>
            </w:tcBorders>
            <w:shd w:val="clear" w:color="auto" w:fill="auto"/>
            <w:noWrap/>
            <w:vAlign w:val="bottom"/>
            <w:hideMark/>
          </w:tcPr>
          <w:p w:rsidR="00C53C71" w:rsidRPr="00C53C71" w:rsidRDefault="00C53C71" w:rsidP="00C53C71">
            <w:pPr>
              <w:spacing w:after="0" w:line="240" w:lineRule="auto"/>
              <w:rPr>
                <w:rFonts w:eastAsia="Times New Roman" w:cs="Arial"/>
                <w:color w:val="000000"/>
                <w:lang w:eastAsia="en-NZ"/>
              </w:rPr>
            </w:pPr>
          </w:p>
        </w:tc>
      </w:tr>
    </w:tbl>
    <w:p w:rsidR="00C05C99" w:rsidRDefault="00C05C99">
      <w:pPr>
        <w:spacing w:before="230" w:after="0"/>
        <w:jc w:val="both"/>
        <w:rPr>
          <w:rFonts w:ascii="Arial" w:hAnsi="Arial" w:cs="Arial"/>
          <w:sz w:val="24"/>
          <w:szCs w:val="24"/>
        </w:rPr>
      </w:pPr>
    </w:p>
    <w:p w:rsidR="00962FDD"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hAnsi="Arial" w:cs="Arial"/>
          <w:sz w:val="24"/>
          <w:szCs w:val="24"/>
        </w:rPr>
        <w:t>Comparable data on victims of crime is not available prior to July 2014.</w:t>
      </w:r>
    </w:p>
    <w:p w:rsidR="00962FDD" w:rsidRDefault="00261192">
      <w:pPr>
        <w:keepNext/>
        <w:pBdr>
          <w:bottom w:val="single" w:sz="4" w:space="1" w:color="auto"/>
        </w:pBdr>
        <w:spacing w:before="230"/>
        <w:jc w:val="both"/>
        <w:rPr>
          <w:rFonts w:ascii="Arial" w:hAnsi="Arial" w:cs="Arial"/>
          <w:b/>
          <w:sz w:val="28"/>
          <w:szCs w:val="28"/>
        </w:rPr>
      </w:pPr>
      <w:r>
        <w:rPr>
          <w:rFonts w:ascii="Arial" w:hAnsi="Arial" w:cs="Arial"/>
          <w:b/>
          <w:sz w:val="28"/>
          <w:szCs w:val="28"/>
        </w:rPr>
        <w:t>Child Abuse</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“Updated data on the number of prosecutions and convictions regarding child abuse”.</w:t>
      </w:r>
    </w:p>
    <w:p w:rsidR="00962FDD" w:rsidRDefault="00261192">
      <w:pPr>
        <w:pStyle w:val="ListParagraph"/>
        <w:numPr>
          <w:ilvl w:val="0"/>
          <w:numId w:val="1"/>
        </w:numPr>
        <w:spacing w:before="230" w:after="0"/>
        <w:ind w:left="624" w:hanging="624"/>
        <w:contextualSpacing w:val="0"/>
        <w:jc w:val="both"/>
        <w:rPr>
          <w:rFonts w:ascii="Arial" w:hAnsi="Arial" w:cs="Arial"/>
          <w:sz w:val="24"/>
          <w:szCs w:val="24"/>
        </w:rPr>
      </w:pPr>
      <w:r>
        <w:rPr>
          <w:rFonts w:ascii="Arial" w:eastAsia="Times New Roman" w:hAnsi="Arial"/>
          <w:kern w:val="32"/>
          <w:sz w:val="23"/>
          <w:szCs w:val="20"/>
          <w:lang w:eastAsia="en-GB"/>
        </w:rPr>
        <w:t xml:space="preserve">The relevant information is provided below.  </w:t>
      </w:r>
      <w:r>
        <w:rPr>
          <w:rFonts w:ascii="Arial" w:hAnsi="Arial" w:cs="Arial"/>
          <w:sz w:val="24"/>
          <w:szCs w:val="24"/>
        </w:rPr>
        <w:t xml:space="preserve">Further information on convictions and prosecutions </w:t>
      </w:r>
      <w:r>
        <w:rPr>
          <w:rFonts w:ascii="Arial" w:eastAsia="Times New Roman" w:hAnsi="Arial"/>
          <w:kern w:val="32"/>
          <w:sz w:val="23"/>
          <w:szCs w:val="20"/>
          <w:lang w:eastAsia="en-GB"/>
        </w:rPr>
        <w:t>can</w:t>
      </w:r>
      <w:r>
        <w:rPr>
          <w:rFonts w:ascii="Arial" w:hAnsi="Arial" w:cs="Arial"/>
          <w:sz w:val="24"/>
          <w:szCs w:val="24"/>
        </w:rPr>
        <w:t xml:space="preserve"> be found in the attached spreadsheet entitled “Victims of Assault Aged Under 20”.</w:t>
      </w:r>
    </w:p>
    <w:p w:rsidR="00962FDD" w:rsidRDefault="00261192">
      <w:pPr>
        <w:keepNext/>
        <w:tabs>
          <w:tab w:val="left" w:pos="3374"/>
        </w:tabs>
        <w:spacing w:before="240"/>
        <w:jc w:val="both"/>
        <w:rPr>
          <w:rFonts w:ascii="Arial" w:hAnsi="Arial" w:cs="Arial"/>
          <w:i/>
          <w:sz w:val="24"/>
          <w:szCs w:val="24"/>
        </w:rPr>
      </w:pPr>
      <w:r>
        <w:rPr>
          <w:rFonts w:ascii="Arial" w:hAnsi="Arial" w:cs="Arial"/>
          <w:i/>
          <w:sz w:val="24"/>
          <w:szCs w:val="24"/>
        </w:rPr>
        <w:t>Assault-related offences</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Assault-related offences are defined as homicides (murder, attempted murder, </w:t>
      </w:r>
      <w:r w:rsidRPr="00962FDD">
        <w:rPr>
          <w:rFonts w:ascii="Arial" w:eastAsia="Times New Roman" w:hAnsi="Arial"/>
          <w:kern w:val="32"/>
          <w:sz w:val="23"/>
          <w:szCs w:val="23"/>
          <w:lang w:eastAsia="en-GB"/>
        </w:rPr>
        <w:t>and</w:t>
      </w:r>
      <w:r w:rsidRPr="00962FDD">
        <w:rPr>
          <w:rFonts w:ascii="Arial" w:hAnsi="Arial" w:cs="Arial"/>
          <w:sz w:val="23"/>
          <w:szCs w:val="23"/>
        </w:rPr>
        <w:t xml:space="preserve"> manslaughter), sexual assault, abduction and kidnapping, and other assault offences. </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In the 12 months ending June 2015, out of a total of 10,382 unique children and young people (aged 0-19 years) who were victims of assault-related offences, 4,546 (44%) resulted in State action within 30 days of the offence being reported or otherwise becoming known to police.</w:t>
      </w:r>
    </w:p>
    <w:p w:rsidR="00962FDD" w:rsidRPr="00962FDD" w:rsidRDefault="00962FDD" w:rsidP="00C05C99">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Third-two percent of these state actions were Court action and 12% were </w:t>
      </w:r>
      <w:r w:rsidR="00C05C99">
        <w:rPr>
          <w:rFonts w:ascii="Arial" w:hAnsi="Arial" w:cs="Arial"/>
          <w:sz w:val="23"/>
          <w:szCs w:val="23"/>
        </w:rPr>
        <w:t>n</w:t>
      </w:r>
      <w:r w:rsidRPr="00962FDD">
        <w:rPr>
          <w:rFonts w:ascii="Arial" w:hAnsi="Arial" w:cs="Arial"/>
          <w:sz w:val="23"/>
          <w:szCs w:val="23"/>
        </w:rPr>
        <w:t xml:space="preserve">on-Court action.  The relevant authorities took no further action in 23% of the remaining offences and 33% investigations have not been finalised. </w:t>
      </w:r>
    </w:p>
    <w:p w:rsidR="00962FDD" w:rsidRDefault="00261192">
      <w:pPr>
        <w:keepNext/>
        <w:tabs>
          <w:tab w:val="left" w:pos="3374"/>
        </w:tabs>
        <w:spacing w:before="240"/>
        <w:jc w:val="both"/>
        <w:rPr>
          <w:rFonts w:ascii="Arial" w:hAnsi="Arial" w:cs="Arial"/>
          <w:i/>
          <w:sz w:val="24"/>
          <w:szCs w:val="24"/>
        </w:rPr>
      </w:pPr>
      <w:r>
        <w:rPr>
          <w:rFonts w:ascii="Arial" w:hAnsi="Arial" w:cs="Arial"/>
          <w:i/>
          <w:sz w:val="24"/>
          <w:szCs w:val="24"/>
        </w:rPr>
        <w:t>Age of victims</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Fifty percent of children and young people who were victims of assault-related offences were </w:t>
      </w:r>
      <w:r w:rsidRPr="00962FDD">
        <w:rPr>
          <w:rFonts w:ascii="Arial" w:eastAsia="Times New Roman" w:hAnsi="Arial"/>
          <w:kern w:val="32"/>
          <w:sz w:val="23"/>
          <w:szCs w:val="23"/>
          <w:lang w:eastAsia="en-GB"/>
        </w:rPr>
        <w:t>aged</w:t>
      </w:r>
      <w:r w:rsidRPr="00962FDD">
        <w:rPr>
          <w:rFonts w:ascii="Arial" w:hAnsi="Arial" w:cs="Arial"/>
          <w:sz w:val="23"/>
          <w:szCs w:val="23"/>
        </w:rPr>
        <w:t xml:space="preserve"> 15 to 19.  Thirty percent of victims were aged 10 to 14, while 12% were aged 5 to 9. </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Almost 80% of children and young people were victims of assaults, with most of the remainder </w:t>
      </w:r>
      <w:r w:rsidRPr="00962FDD">
        <w:rPr>
          <w:rFonts w:ascii="Arial" w:eastAsia="Times New Roman" w:hAnsi="Arial"/>
          <w:kern w:val="32"/>
          <w:sz w:val="23"/>
          <w:szCs w:val="23"/>
          <w:lang w:eastAsia="en-GB"/>
        </w:rPr>
        <w:t>being</w:t>
      </w:r>
      <w:r w:rsidRPr="00962FDD">
        <w:rPr>
          <w:rFonts w:ascii="Arial" w:hAnsi="Arial" w:cs="Arial"/>
          <w:sz w:val="23"/>
          <w:szCs w:val="23"/>
        </w:rPr>
        <w:t xml:space="preserve"> victims of sexual assault. </w:t>
      </w:r>
    </w:p>
    <w:p w:rsidR="00962FDD" w:rsidRDefault="00261192">
      <w:pPr>
        <w:keepNext/>
        <w:tabs>
          <w:tab w:val="left" w:pos="3374"/>
        </w:tabs>
        <w:spacing w:before="240"/>
        <w:jc w:val="both"/>
        <w:rPr>
          <w:rFonts w:ascii="Arial" w:hAnsi="Arial" w:cs="Arial"/>
          <w:i/>
          <w:sz w:val="24"/>
          <w:szCs w:val="24"/>
        </w:rPr>
      </w:pPr>
      <w:r>
        <w:rPr>
          <w:rFonts w:ascii="Arial" w:hAnsi="Arial" w:cs="Arial"/>
          <w:i/>
          <w:sz w:val="24"/>
          <w:szCs w:val="24"/>
        </w:rPr>
        <w:t>Relationship of offender to victim</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Forty-one percent of the alleged offenders of assault-related offences on children and young people aged under 20 were known to the victim, compared with 5% of offenders who were strangers.  Over half of alleged offenders were either not identified or not stated or inadequately described by the victims.  </w:t>
      </w:r>
    </w:p>
    <w:p w:rsidR="00962FDD" w:rsidRPr="00962FDD" w:rsidRDefault="00962FDD">
      <w:pPr>
        <w:pStyle w:val="ListParagraph"/>
        <w:numPr>
          <w:ilvl w:val="0"/>
          <w:numId w:val="1"/>
        </w:numPr>
        <w:spacing w:before="230" w:after="0"/>
        <w:ind w:left="624" w:hanging="624"/>
        <w:contextualSpacing w:val="0"/>
        <w:jc w:val="both"/>
        <w:rPr>
          <w:rFonts w:ascii="Arial" w:hAnsi="Arial" w:cs="Arial"/>
          <w:sz w:val="23"/>
          <w:szCs w:val="23"/>
        </w:rPr>
      </w:pPr>
      <w:r w:rsidRPr="00962FDD">
        <w:rPr>
          <w:rFonts w:ascii="Arial" w:hAnsi="Arial" w:cs="Arial"/>
          <w:sz w:val="23"/>
          <w:szCs w:val="23"/>
        </w:rPr>
        <w:t xml:space="preserve">Twenty-seven percent of alleged offenders were family members, with just over half of these </w:t>
      </w:r>
      <w:r w:rsidRPr="00962FDD">
        <w:rPr>
          <w:rFonts w:ascii="Arial" w:eastAsia="Times New Roman" w:hAnsi="Arial"/>
          <w:kern w:val="32"/>
          <w:sz w:val="23"/>
          <w:szCs w:val="23"/>
          <w:lang w:eastAsia="en-GB"/>
        </w:rPr>
        <w:t>being</w:t>
      </w:r>
      <w:r w:rsidRPr="00962FDD">
        <w:rPr>
          <w:rFonts w:ascii="Arial" w:hAnsi="Arial" w:cs="Arial"/>
          <w:sz w:val="23"/>
          <w:szCs w:val="23"/>
        </w:rPr>
        <w:t xml:space="preserve"> parents. </w:t>
      </w:r>
    </w:p>
    <w:p w:rsidR="00962FDD" w:rsidRDefault="00261192">
      <w:pPr>
        <w:keepNext/>
        <w:tabs>
          <w:tab w:val="left" w:pos="3374"/>
        </w:tabs>
        <w:spacing w:before="240"/>
        <w:jc w:val="both"/>
        <w:rPr>
          <w:rFonts w:ascii="Arial" w:hAnsi="Arial" w:cs="Arial"/>
          <w:sz w:val="24"/>
          <w:szCs w:val="24"/>
        </w:rPr>
      </w:pPr>
      <w:r>
        <w:rPr>
          <w:rFonts w:ascii="Arial" w:hAnsi="Arial" w:cs="Arial"/>
          <w:i/>
          <w:sz w:val="24"/>
          <w:szCs w:val="24"/>
        </w:rPr>
        <w:t>Findings of abuse and neglect</w:t>
      </w:r>
      <w:r>
        <w:rPr>
          <w:rFonts w:ascii="Arial" w:hAnsi="Arial" w:cs="Arial"/>
          <w:sz w:val="24"/>
          <w:szCs w:val="24"/>
        </w:rPr>
        <w:t xml:space="preserve"> </w:t>
      </w:r>
    </w:p>
    <w:p w:rsidR="00962FDD" w:rsidRDefault="00261192">
      <w:pPr>
        <w:pStyle w:val="ListParagraph"/>
        <w:numPr>
          <w:ilvl w:val="0"/>
          <w:numId w:val="1"/>
        </w:numPr>
        <w:spacing w:before="230" w:after="24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Information on substantiated findings of abuse and neglect is provided in the graphs below.  Note that ‘substantiated findings’ includes findings of emotional, physical and sexual abuse or neglect. This is a count of distinct children and young people.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14"/>
        <w:gridCol w:w="7301"/>
      </w:tblGrid>
      <w:tr w:rsidR="00962FDD">
        <w:tc>
          <w:tcPr>
            <w:tcW w:w="1214" w:type="dxa"/>
          </w:tcPr>
          <w:p w:rsidR="00962FDD" w:rsidRDefault="00261192">
            <w:pPr>
              <w:jc w:val="center"/>
              <w:rPr>
                <w:b/>
                <w:sz w:val="23"/>
                <w:szCs w:val="23"/>
              </w:rPr>
            </w:pPr>
            <w:r>
              <w:rPr>
                <w:b/>
                <w:sz w:val="23"/>
                <w:szCs w:val="23"/>
              </w:rPr>
              <w:t>Graph 1</w:t>
            </w:r>
          </w:p>
        </w:tc>
        <w:tc>
          <w:tcPr>
            <w:tcW w:w="7301" w:type="dxa"/>
          </w:tcPr>
          <w:p w:rsidR="00962FDD" w:rsidRDefault="00261192">
            <w:pPr>
              <w:keepNext/>
              <w:rPr>
                <w:b/>
                <w:sz w:val="23"/>
                <w:szCs w:val="23"/>
              </w:rPr>
            </w:pPr>
            <w:r>
              <w:rPr>
                <w:b/>
                <w:noProof/>
                <w:sz w:val="23"/>
                <w:szCs w:val="23"/>
                <w:lang w:eastAsia="en-NZ"/>
              </w:rPr>
              <w:drawing>
                <wp:inline distT="0" distB="0" distL="0" distR="0">
                  <wp:extent cx="4224726" cy="2352675"/>
                  <wp:effectExtent l="0" t="0" r="4445" b="0"/>
                  <wp:docPr id="102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224726" cy="2352675"/>
                          </a:xfrm>
                          <a:prstGeom prst="rect">
                            <a:avLst/>
                          </a:prstGeom>
                        </pic:spPr>
                      </pic:pic>
                    </a:graphicData>
                  </a:graphic>
                </wp:inline>
              </w:drawing>
            </w:r>
          </w:p>
        </w:tc>
      </w:tr>
    </w:tbl>
    <w:p w:rsidR="00962FDD" w:rsidRDefault="00261192">
      <w:pPr>
        <w:jc w:val="both"/>
        <w:rPr>
          <w:rFonts w:ascii="Arial" w:hAnsi="Arial" w:cs="Arial"/>
        </w:rPr>
      </w:pPr>
      <w:r>
        <w:rPr>
          <w:rFonts w:ascii="Arial" w:hAnsi="Arial" w:cs="Arial"/>
        </w:rPr>
        <w:t>After rising significantly before 2010, rates of substantiated emotional abuse and neglect findings stabilised and have substantially declined in 2014-15 (Graph 1). The number of substantiated findings is driven by both the underlying level of abuse in society and how the care and protection system responds. The recent declines may be due to a reduction in the rate of child maltreatment (due to improving socio-economic conditions, improving family functioning and reporting) and changes in reporting.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14"/>
        <w:gridCol w:w="7301"/>
      </w:tblGrid>
      <w:tr w:rsidR="00962FDD">
        <w:tc>
          <w:tcPr>
            <w:tcW w:w="1214" w:type="dxa"/>
          </w:tcPr>
          <w:p w:rsidR="00962FDD" w:rsidRDefault="00261192">
            <w:pPr>
              <w:rPr>
                <w:b/>
                <w:sz w:val="23"/>
                <w:szCs w:val="23"/>
              </w:rPr>
            </w:pPr>
            <w:r>
              <w:rPr>
                <w:b/>
                <w:sz w:val="23"/>
                <w:szCs w:val="23"/>
              </w:rPr>
              <w:t>Graph 2</w:t>
            </w:r>
          </w:p>
        </w:tc>
        <w:tc>
          <w:tcPr>
            <w:tcW w:w="7301" w:type="dxa"/>
          </w:tcPr>
          <w:p w:rsidR="00962FDD" w:rsidRDefault="00261192">
            <w:pPr>
              <w:rPr>
                <w:b/>
                <w:sz w:val="23"/>
                <w:szCs w:val="23"/>
              </w:rPr>
            </w:pPr>
            <w:r>
              <w:rPr>
                <w:b/>
                <w:noProof/>
                <w:sz w:val="23"/>
                <w:szCs w:val="23"/>
                <w:lang w:eastAsia="en-NZ"/>
              </w:rPr>
              <w:drawing>
                <wp:inline distT="0" distB="0" distL="0" distR="0">
                  <wp:extent cx="4229100" cy="2382882"/>
                  <wp:effectExtent l="0" t="0" r="0" b="0"/>
                  <wp:docPr id="102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10"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229100" cy="2382882"/>
                          </a:xfrm>
                          <a:prstGeom prst="rect">
                            <a:avLst/>
                          </a:prstGeom>
                        </pic:spPr>
                      </pic:pic>
                    </a:graphicData>
                  </a:graphic>
                </wp:inline>
              </w:drawing>
            </w:r>
          </w:p>
        </w:tc>
      </w:tr>
    </w:tbl>
    <w:p w:rsidR="00962FDD" w:rsidRDefault="00261192">
      <w:pPr>
        <w:jc w:val="both"/>
        <w:rPr>
          <w:rFonts w:ascii="Arial Mäori" w:hAnsi="Arial Mäori"/>
          <w:i/>
          <w:sz w:val="23"/>
          <w:szCs w:val="23"/>
        </w:rPr>
      </w:pPr>
      <w:r>
        <w:rPr>
          <w:rFonts w:ascii="Arial" w:hAnsi="Arial" w:cs="Arial"/>
        </w:rPr>
        <w:t>Younger age groups are at greater risk of abuse and neglect.  The 0-1 age group has not been included because this group includes mothers with unborn children (Graph 2).</w:t>
      </w:r>
    </w:p>
    <w:p w:rsidR="00962FDD" w:rsidRDefault="00261192">
      <w:pPr>
        <w:keepNext/>
        <w:pBdr>
          <w:bottom w:val="single" w:sz="4" w:space="1" w:color="auto"/>
        </w:pBdr>
        <w:spacing w:before="230"/>
        <w:jc w:val="both"/>
        <w:rPr>
          <w:rFonts w:ascii="Arial" w:hAnsi="Arial" w:cs="Arial"/>
          <w:b/>
          <w:sz w:val="28"/>
          <w:szCs w:val="28"/>
        </w:rPr>
      </w:pPr>
      <w:r>
        <w:rPr>
          <w:rFonts w:ascii="Arial" w:hAnsi="Arial" w:cs="Arial"/>
          <w:b/>
          <w:sz w:val="28"/>
          <w:szCs w:val="28"/>
        </w:rPr>
        <w:t>Bullying and cyber-bullying</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“Updated data on the number of reported cases of bullying in schools and cyber-bullying”.</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Government does not regularly collect information on reported cases of bullying in schools or cyber-bullying</w:t>
      </w:r>
      <w:r w:rsidR="00E8710C">
        <w:rPr>
          <w:rFonts w:ascii="Arial" w:eastAsia="Times New Roman" w:hAnsi="Arial"/>
          <w:kern w:val="32"/>
          <w:sz w:val="23"/>
          <w:szCs w:val="20"/>
          <w:lang w:eastAsia="en-GB"/>
        </w:rPr>
        <w:t xml:space="preserve"> because schools are self-</w:t>
      </w:r>
      <w:r w:rsidR="00484769">
        <w:rPr>
          <w:rFonts w:ascii="Arial" w:eastAsia="Times New Roman" w:hAnsi="Arial"/>
          <w:kern w:val="32"/>
          <w:sz w:val="23"/>
          <w:szCs w:val="20"/>
          <w:lang w:eastAsia="en-GB"/>
        </w:rPr>
        <w:t>managing</w:t>
      </w:r>
      <w:r>
        <w:rPr>
          <w:rFonts w:ascii="Arial" w:eastAsia="Times New Roman" w:hAnsi="Arial"/>
          <w:kern w:val="32"/>
          <w:sz w:val="23"/>
          <w:szCs w:val="20"/>
          <w:lang w:eastAsia="en-GB"/>
        </w:rPr>
        <w:t>.   However, information collected from previous surveys is provided below.</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 xml:space="preserve">The University of Auckland conducted the New Zealand Youth 2000 surveys of secondary schools (roughly ages </w:t>
      </w:r>
      <w:r w:rsidR="00D53F01">
        <w:rPr>
          <w:rFonts w:ascii="Arial" w:eastAsia="Times New Roman" w:hAnsi="Arial"/>
          <w:kern w:val="32"/>
          <w:sz w:val="23"/>
          <w:szCs w:val="20"/>
          <w:lang w:eastAsia="en-GB"/>
        </w:rPr>
        <w:t>1</w:t>
      </w:r>
      <w:r>
        <w:rPr>
          <w:rFonts w:ascii="Arial" w:eastAsia="Times New Roman" w:hAnsi="Arial"/>
          <w:kern w:val="32"/>
          <w:sz w:val="23"/>
          <w:szCs w:val="20"/>
          <w:lang w:eastAsia="en-GB"/>
        </w:rPr>
        <w:t xml:space="preserve">3-17) in 2001, 2007 and 2012. Results </w:t>
      </w:r>
      <w:r w:rsidR="00D92CCB">
        <w:rPr>
          <w:rFonts w:ascii="Arial" w:eastAsia="Times New Roman" w:hAnsi="Arial"/>
          <w:kern w:val="32"/>
          <w:sz w:val="23"/>
          <w:szCs w:val="20"/>
          <w:lang w:eastAsia="en-GB"/>
        </w:rPr>
        <w:t xml:space="preserve">appear to </w:t>
      </w:r>
      <w:r>
        <w:rPr>
          <w:rFonts w:ascii="Arial" w:eastAsia="Times New Roman" w:hAnsi="Arial"/>
          <w:kern w:val="32"/>
          <w:sz w:val="23"/>
          <w:szCs w:val="20"/>
          <w:lang w:eastAsia="en-GB"/>
        </w:rPr>
        <w:t>suggest that rates of bullying have</w:t>
      </w:r>
      <w:r w:rsidR="00D92CCB" w:rsidRPr="00D92CCB">
        <w:rPr>
          <w:rFonts w:ascii="Arial" w:eastAsia="Times New Roman" w:hAnsi="Arial"/>
          <w:kern w:val="32"/>
          <w:sz w:val="23"/>
          <w:szCs w:val="20"/>
          <w:lang w:eastAsia="en-GB"/>
        </w:rPr>
        <w:t xml:space="preserve"> </w:t>
      </w:r>
      <w:r w:rsidR="00D92CCB">
        <w:rPr>
          <w:rFonts w:ascii="Arial" w:eastAsia="Times New Roman" w:hAnsi="Arial"/>
          <w:kern w:val="32"/>
          <w:sz w:val="23"/>
          <w:szCs w:val="20"/>
          <w:lang w:eastAsia="en-GB"/>
        </w:rPr>
        <w:t>decreased,</w:t>
      </w:r>
      <w:r>
        <w:rPr>
          <w:rFonts w:ascii="Arial" w:eastAsia="Times New Roman" w:hAnsi="Arial"/>
          <w:kern w:val="32"/>
          <w:sz w:val="23"/>
          <w:szCs w:val="20"/>
          <w:lang w:eastAsia="en-GB"/>
        </w:rPr>
        <w:t xml:space="preserve"> </w:t>
      </w:r>
      <w:r w:rsidR="00D92CCB">
        <w:rPr>
          <w:rFonts w:ascii="Arial" w:eastAsia="Times New Roman" w:hAnsi="Arial"/>
          <w:kern w:val="32"/>
          <w:sz w:val="23"/>
          <w:szCs w:val="20"/>
          <w:lang w:eastAsia="en-GB"/>
        </w:rPr>
        <w:t xml:space="preserve">albeit only </w:t>
      </w:r>
      <w:r>
        <w:rPr>
          <w:rFonts w:ascii="Arial" w:eastAsia="Times New Roman" w:hAnsi="Arial"/>
          <w:kern w:val="32"/>
          <w:sz w:val="23"/>
          <w:szCs w:val="20"/>
          <w:lang w:eastAsia="en-GB"/>
        </w:rPr>
        <w:t>slightly</w:t>
      </w:r>
      <w:r w:rsidR="00D92CCB">
        <w:rPr>
          <w:rFonts w:ascii="Arial" w:eastAsia="Times New Roman" w:hAnsi="Arial"/>
          <w:kern w:val="32"/>
          <w:sz w:val="23"/>
          <w:szCs w:val="20"/>
          <w:lang w:eastAsia="en-GB"/>
        </w:rPr>
        <w:t>,</w:t>
      </w:r>
      <w:r>
        <w:rPr>
          <w:rFonts w:ascii="Arial" w:eastAsia="Times New Roman" w:hAnsi="Arial"/>
          <w:kern w:val="32"/>
          <w:sz w:val="23"/>
          <w:szCs w:val="20"/>
          <w:lang w:eastAsia="en-GB"/>
        </w:rPr>
        <w:t xml:space="preserve"> over time. Nine percent of male students reported they had been bullied at least weekly </w:t>
      </w:r>
      <w:r w:rsidR="00A970C2">
        <w:rPr>
          <w:rFonts w:ascii="Arial" w:eastAsia="Times New Roman" w:hAnsi="Arial"/>
          <w:kern w:val="32"/>
          <w:sz w:val="23"/>
          <w:szCs w:val="20"/>
          <w:lang w:eastAsia="en-GB"/>
        </w:rPr>
        <w:t>in 2001, compared to 5%</w:t>
      </w:r>
      <w:r>
        <w:rPr>
          <w:rFonts w:ascii="Arial" w:eastAsia="Times New Roman" w:hAnsi="Arial"/>
          <w:kern w:val="32"/>
          <w:sz w:val="23"/>
          <w:szCs w:val="20"/>
          <w:lang w:eastAsia="en-GB"/>
        </w:rPr>
        <w:t xml:space="preserve"> in 2007 and 2012.  The number of female students who reported frequent bullying has remained stable at around 5% over the 3 surveys.  </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In 2012, some students received nasty or threatening messages on their mobile phone (12%) and/or on the internet (9%) and received unwanted sexual material (e.g. pornographic images, videos or words) on their mobile phone (8%) and/or on the internet (6%).  This information cannot be directly compared to the surveys from previous years due to differences in the way the data was collected.</w:t>
      </w:r>
    </w:p>
    <w:p w:rsidR="00962FDD" w:rsidRDefault="00261192">
      <w:pPr>
        <w:keepNext/>
        <w:pBdr>
          <w:bottom w:val="single" w:sz="4" w:space="1" w:color="auto"/>
        </w:pBdr>
        <w:spacing w:before="230"/>
        <w:jc w:val="both"/>
        <w:rPr>
          <w:rFonts w:ascii="Arial" w:hAnsi="Arial" w:cs="Arial"/>
          <w:b/>
          <w:sz w:val="28"/>
          <w:szCs w:val="28"/>
        </w:rPr>
      </w:pPr>
      <w:r>
        <w:rPr>
          <w:rFonts w:ascii="Arial" w:hAnsi="Arial" w:cs="Arial"/>
          <w:b/>
          <w:sz w:val="28"/>
          <w:szCs w:val="28"/>
        </w:rPr>
        <w:t>Māori representation on the Judiciary</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“Updated data on the number of Māori judges at each level”.</w:t>
      </w:r>
    </w:p>
    <w:p w:rsidR="00962FDD" w:rsidRDefault="00261192">
      <w:pPr>
        <w:pStyle w:val="ListParagraph"/>
        <w:numPr>
          <w:ilvl w:val="0"/>
          <w:numId w:val="1"/>
        </w:numPr>
        <w:spacing w:before="230" w:after="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In the Higher Courts there are two Judges who identify as Māori from 53 Judges.  In the District Courts, 18 out of 163 Judges identify either as Māori or as Māori and another ethnicity. There are is also one Samoan Judge, one Indian Judge, one Chinese Judge, and one Judge who identifies as Iraqi and British.</w:t>
      </w:r>
    </w:p>
    <w:p w:rsidR="00962FDD" w:rsidRDefault="00261192">
      <w:pPr>
        <w:keepNext/>
        <w:pBdr>
          <w:bottom w:val="single" w:sz="4" w:space="1" w:color="auto"/>
        </w:pBdr>
        <w:spacing w:before="230"/>
        <w:jc w:val="both"/>
        <w:rPr>
          <w:rFonts w:ascii="Arial" w:hAnsi="Arial" w:cs="Arial"/>
          <w:b/>
          <w:sz w:val="28"/>
          <w:szCs w:val="28"/>
        </w:rPr>
      </w:pPr>
      <w:r>
        <w:rPr>
          <w:rFonts w:ascii="Arial" w:hAnsi="Arial" w:cs="Arial"/>
          <w:b/>
          <w:sz w:val="28"/>
          <w:szCs w:val="28"/>
        </w:rPr>
        <w:t>Māori representation in the Police force</w:t>
      </w:r>
    </w:p>
    <w:p w:rsidR="00962FDD" w:rsidRDefault="00261192">
      <w:pPr>
        <w:pStyle w:val="ListParagraph"/>
        <w:numPr>
          <w:ilvl w:val="0"/>
          <w:numId w:val="1"/>
        </w:numPr>
        <w:spacing w:before="230" w:after="24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“Updated data on the number of Māori police officers in each rank”.</w:t>
      </w:r>
    </w:p>
    <w:p w:rsidR="00962FDD" w:rsidRDefault="00261192">
      <w:pPr>
        <w:pStyle w:val="ListParagraph"/>
        <w:numPr>
          <w:ilvl w:val="0"/>
          <w:numId w:val="1"/>
        </w:numPr>
        <w:spacing w:before="230" w:after="24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relevant data is displayed below.</w:t>
      </w:r>
    </w:p>
    <w:p w:rsidR="00962FDD" w:rsidRDefault="00261192">
      <w:pPr>
        <w:keepNext/>
        <w:spacing w:after="0"/>
        <w:rPr>
          <w:rFonts w:ascii="Arial Mäori" w:hAnsi="Arial Mäori"/>
          <w:b/>
          <w:sz w:val="23"/>
          <w:szCs w:val="23"/>
        </w:rPr>
      </w:pPr>
      <w:r>
        <w:rPr>
          <w:rFonts w:ascii="Arial Mäori" w:hAnsi="Arial Mäori"/>
          <w:b/>
          <w:sz w:val="23"/>
          <w:szCs w:val="23"/>
        </w:rPr>
        <w:t>Māori Officers by Rank</w:t>
      </w:r>
    </w:p>
    <w:tbl>
      <w:tblPr>
        <w:tblW w:w="8539" w:type="dxa"/>
        <w:tblLook w:val="04A0"/>
      </w:tblPr>
      <w:tblGrid>
        <w:gridCol w:w="2518"/>
        <w:gridCol w:w="3121"/>
        <w:gridCol w:w="2900"/>
      </w:tblGrid>
      <w:tr w:rsidR="00962FDD">
        <w:trPr>
          <w:trHeight w:val="277"/>
        </w:trPr>
        <w:tc>
          <w:tcPr>
            <w:tcW w:w="25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2FDD" w:rsidRDefault="00261192">
            <w:pPr>
              <w:keepNext/>
              <w:spacing w:after="0" w:line="240" w:lineRule="auto"/>
              <w:jc w:val="both"/>
              <w:rPr>
                <w:rFonts w:ascii="Arial Mäori" w:eastAsia="Times New Roman" w:hAnsi="Arial Mäori" w:cs="Arial"/>
                <w:b/>
                <w:bCs/>
                <w:sz w:val="23"/>
                <w:szCs w:val="23"/>
                <w:lang w:eastAsia="en-NZ"/>
              </w:rPr>
            </w:pPr>
            <w:r>
              <w:rPr>
                <w:rFonts w:ascii="Arial Mäori" w:eastAsia="Times New Roman" w:hAnsi="Arial Mäori" w:cs="Arial"/>
                <w:b/>
                <w:bCs/>
                <w:sz w:val="23"/>
                <w:szCs w:val="23"/>
                <w:lang w:eastAsia="en-NZ"/>
              </w:rPr>
              <w:t>Constabulary Group</w:t>
            </w:r>
          </w:p>
        </w:tc>
        <w:tc>
          <w:tcPr>
            <w:tcW w:w="3121" w:type="dxa"/>
            <w:tcBorders>
              <w:top w:val="single" w:sz="4" w:space="0" w:color="auto"/>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b/>
                <w:bCs/>
                <w:sz w:val="23"/>
                <w:szCs w:val="23"/>
                <w:lang w:eastAsia="en-NZ"/>
              </w:rPr>
            </w:pPr>
            <w:r>
              <w:rPr>
                <w:rFonts w:ascii="Arial" w:eastAsia="Times New Roman" w:hAnsi="Arial" w:cs="Arial"/>
                <w:b/>
                <w:bCs/>
                <w:sz w:val="23"/>
                <w:szCs w:val="23"/>
                <w:lang w:eastAsia="en-NZ"/>
              </w:rPr>
              <w:t>Total number of Māori Officers</w:t>
            </w:r>
          </w:p>
        </w:tc>
        <w:tc>
          <w:tcPr>
            <w:tcW w:w="2900" w:type="dxa"/>
            <w:tcBorders>
              <w:top w:val="single" w:sz="4" w:space="0" w:color="auto"/>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b/>
                <w:bCs/>
                <w:sz w:val="23"/>
                <w:szCs w:val="23"/>
                <w:lang w:eastAsia="en-NZ"/>
              </w:rPr>
            </w:pPr>
            <w:r>
              <w:rPr>
                <w:rFonts w:ascii="Arial" w:eastAsia="Times New Roman" w:hAnsi="Arial" w:cs="Arial"/>
                <w:b/>
                <w:bCs/>
                <w:sz w:val="23"/>
                <w:szCs w:val="23"/>
                <w:lang w:eastAsia="en-NZ"/>
              </w:rPr>
              <w:t>Total number of all Officers</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Authorised Officer</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12</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312</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Traffic Officer</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1</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6</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Constable</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743</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6479</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Sergeant</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118</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1433</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Senior Sergeant</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42</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474</w:t>
            </w:r>
          </w:p>
        </w:tc>
      </w:tr>
      <w:tr w:rsidR="00962FDD">
        <w:trPr>
          <w:trHeight w:val="264"/>
        </w:trPr>
        <w:tc>
          <w:tcPr>
            <w:tcW w:w="2518" w:type="dxa"/>
            <w:tcBorders>
              <w:top w:val="nil"/>
              <w:left w:val="single" w:sz="4" w:space="0" w:color="auto"/>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Commissioned Officer</w:t>
            </w:r>
          </w:p>
        </w:tc>
        <w:tc>
          <w:tcPr>
            <w:tcW w:w="3121"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33</w:t>
            </w:r>
          </w:p>
        </w:tc>
        <w:tc>
          <w:tcPr>
            <w:tcW w:w="2900" w:type="dxa"/>
            <w:tcBorders>
              <w:top w:val="nil"/>
              <w:left w:val="nil"/>
              <w:bottom w:val="single" w:sz="4" w:space="0" w:color="auto"/>
              <w:right w:val="single" w:sz="4" w:space="0" w:color="auto"/>
            </w:tcBorders>
            <w:shd w:val="clear" w:color="auto" w:fill="auto"/>
            <w:noWrap/>
            <w:vAlign w:val="bottom"/>
            <w:hideMark/>
          </w:tcPr>
          <w:p w:rsidR="00962FDD" w:rsidRDefault="00261192">
            <w:pPr>
              <w:spacing w:after="0" w:line="240" w:lineRule="auto"/>
              <w:jc w:val="right"/>
              <w:rPr>
                <w:rFonts w:ascii="Arial" w:eastAsia="Times New Roman" w:hAnsi="Arial" w:cs="Arial"/>
                <w:sz w:val="23"/>
                <w:szCs w:val="23"/>
                <w:lang w:eastAsia="en-NZ"/>
              </w:rPr>
            </w:pPr>
            <w:r>
              <w:rPr>
                <w:rFonts w:ascii="Arial" w:eastAsia="Times New Roman" w:hAnsi="Arial" w:cs="Arial"/>
                <w:sz w:val="23"/>
                <w:szCs w:val="23"/>
                <w:lang w:eastAsia="en-NZ"/>
              </w:rPr>
              <w:t>329</w:t>
            </w:r>
          </w:p>
        </w:tc>
      </w:tr>
    </w:tbl>
    <w:p w:rsidR="00962FDD" w:rsidRDefault="00261192" w:rsidP="00A970C2">
      <w:pPr>
        <w:keepNext/>
        <w:pBdr>
          <w:bottom w:val="single" w:sz="4" w:space="1" w:color="auto"/>
        </w:pBdr>
        <w:spacing w:before="240"/>
        <w:jc w:val="both"/>
        <w:rPr>
          <w:rFonts w:ascii="Arial" w:hAnsi="Arial" w:cs="Arial"/>
          <w:b/>
          <w:sz w:val="28"/>
          <w:szCs w:val="28"/>
        </w:rPr>
      </w:pPr>
      <w:r>
        <w:rPr>
          <w:rFonts w:ascii="Arial" w:hAnsi="Arial" w:cs="Arial"/>
          <w:b/>
          <w:sz w:val="28"/>
          <w:szCs w:val="28"/>
        </w:rPr>
        <w:t>Numbers of Māori in Prisons</w:t>
      </w:r>
    </w:p>
    <w:p w:rsidR="00962FDD" w:rsidRDefault="00261192" w:rsidP="00A970C2">
      <w:pPr>
        <w:pStyle w:val="ListParagraph"/>
        <w:numPr>
          <w:ilvl w:val="0"/>
          <w:numId w:val="1"/>
        </w:numPr>
        <w:spacing w:before="230" w:after="24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The Committee has requested “Updated data on the number of Māori women and men in prison, disaggregated by age”.</w:t>
      </w:r>
    </w:p>
    <w:p w:rsidR="0064189F" w:rsidRDefault="0064189F" w:rsidP="00A970C2">
      <w:pPr>
        <w:pStyle w:val="ListParagraph"/>
        <w:numPr>
          <w:ilvl w:val="0"/>
          <w:numId w:val="1"/>
        </w:numPr>
        <w:spacing w:before="230" w:after="240"/>
        <w:ind w:left="624" w:hanging="624"/>
        <w:contextualSpacing w:val="0"/>
        <w:jc w:val="both"/>
        <w:rPr>
          <w:rFonts w:ascii="Arial" w:eastAsia="Times New Roman" w:hAnsi="Arial"/>
          <w:kern w:val="32"/>
          <w:sz w:val="23"/>
          <w:szCs w:val="20"/>
          <w:lang w:eastAsia="en-GB"/>
        </w:rPr>
      </w:pPr>
      <w:r>
        <w:rPr>
          <w:rFonts w:ascii="Arial" w:eastAsia="Times New Roman" w:hAnsi="Arial"/>
          <w:kern w:val="32"/>
          <w:sz w:val="23"/>
          <w:szCs w:val="20"/>
          <w:lang w:eastAsia="en-GB"/>
        </w:rPr>
        <w:t>This information is provided below.  The numbers of non-Māori women and men in prison, disaggregated by age is also provided.</w:t>
      </w:r>
    </w:p>
    <w:p w:rsidR="00A970C2" w:rsidRPr="00A970C2" w:rsidRDefault="00A970C2" w:rsidP="00A970C2">
      <w:pPr>
        <w:keepNext/>
        <w:spacing w:after="0"/>
        <w:rPr>
          <w:rFonts w:ascii="Arial" w:eastAsia="Times New Roman" w:hAnsi="Arial"/>
          <w:b/>
          <w:kern w:val="32"/>
          <w:sz w:val="23"/>
          <w:szCs w:val="20"/>
          <w:lang w:eastAsia="en-GB"/>
        </w:rPr>
      </w:pPr>
      <w:r w:rsidRPr="00A970C2">
        <w:rPr>
          <w:rFonts w:ascii="Arial Mäori" w:hAnsi="Arial Mäori"/>
          <w:b/>
          <w:sz w:val="23"/>
          <w:szCs w:val="23"/>
        </w:rPr>
        <w:t>Numbers</w:t>
      </w:r>
      <w:r>
        <w:rPr>
          <w:rFonts w:ascii="Arial" w:eastAsia="Times New Roman" w:hAnsi="Arial"/>
          <w:b/>
          <w:kern w:val="32"/>
          <w:sz w:val="23"/>
          <w:szCs w:val="20"/>
          <w:lang w:eastAsia="en-GB"/>
        </w:rPr>
        <w:t xml:space="preserve"> of Māori in Prisons</w:t>
      </w:r>
    </w:p>
    <w:tbl>
      <w:tblPr>
        <w:tblStyle w:val="TableGrid"/>
        <w:tblW w:w="10031" w:type="dxa"/>
        <w:tblLook w:val="04A0"/>
      </w:tblPr>
      <w:tblGrid>
        <w:gridCol w:w="1480"/>
        <w:gridCol w:w="1124"/>
        <w:gridCol w:w="1190"/>
        <w:gridCol w:w="1134"/>
        <w:gridCol w:w="1380"/>
        <w:gridCol w:w="1030"/>
        <w:gridCol w:w="1417"/>
        <w:gridCol w:w="1276"/>
      </w:tblGrid>
      <w:tr w:rsidR="00C05C99" w:rsidTr="0064189F">
        <w:trPr>
          <w:trHeight w:val="315"/>
        </w:trPr>
        <w:tc>
          <w:tcPr>
            <w:tcW w:w="1480" w:type="dxa"/>
            <w:noWrap/>
            <w:vAlign w:val="bottom"/>
            <w:hideMark/>
          </w:tcPr>
          <w:p w:rsidR="00C05C99" w:rsidRPr="00C05C99" w:rsidRDefault="00A970C2" w:rsidP="00C05C99">
            <w:pPr>
              <w:keepNext/>
              <w:spacing w:after="0" w:line="240" w:lineRule="auto"/>
              <w:jc w:val="right"/>
              <w:rPr>
                <w:rFonts w:ascii="Arial Mäori" w:eastAsia="Times New Roman" w:hAnsi="Arial Mäori" w:cs="Arial"/>
                <w:b/>
                <w:bCs/>
                <w:sz w:val="23"/>
                <w:szCs w:val="23"/>
                <w:lang w:eastAsia="en-NZ"/>
              </w:rPr>
            </w:pPr>
            <w:r>
              <w:rPr>
                <w:rFonts w:ascii="Arial Mäori" w:eastAsia="Times New Roman" w:hAnsi="Arial Mäori" w:cs="Arial"/>
                <w:b/>
                <w:bCs/>
                <w:sz w:val="23"/>
                <w:szCs w:val="23"/>
                <w:lang w:eastAsia="en-NZ"/>
              </w:rPr>
              <w:t>Māori</w:t>
            </w:r>
            <w:r w:rsidR="00C05C99" w:rsidRPr="00C05C99">
              <w:rPr>
                <w:rFonts w:ascii="Arial Mäori" w:eastAsia="Times New Roman" w:hAnsi="Arial Mäori" w:cs="Arial"/>
                <w:b/>
                <w:bCs/>
                <w:sz w:val="23"/>
                <w:szCs w:val="23"/>
                <w:lang w:eastAsia="en-NZ"/>
              </w:rPr>
              <w:t xml:space="preserve"> </w:t>
            </w:r>
          </w:p>
        </w:tc>
        <w:tc>
          <w:tcPr>
            <w:tcW w:w="1124"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Remand</w:t>
            </w:r>
          </w:p>
        </w:tc>
        <w:tc>
          <w:tcPr>
            <w:tcW w:w="1190"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 </w:t>
            </w:r>
          </w:p>
        </w:tc>
        <w:tc>
          <w:tcPr>
            <w:tcW w:w="1134"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Total Remand</w:t>
            </w:r>
          </w:p>
        </w:tc>
        <w:tc>
          <w:tcPr>
            <w:tcW w:w="1380"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Sentenced</w:t>
            </w:r>
          </w:p>
        </w:tc>
        <w:tc>
          <w:tcPr>
            <w:tcW w:w="1030"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 </w:t>
            </w:r>
          </w:p>
        </w:tc>
        <w:tc>
          <w:tcPr>
            <w:tcW w:w="1417"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Total Sentenced</w:t>
            </w:r>
          </w:p>
        </w:tc>
        <w:tc>
          <w:tcPr>
            <w:tcW w:w="1276" w:type="dxa"/>
            <w:noWrap/>
            <w:vAlign w:val="bottom"/>
            <w:hideMark/>
          </w:tcPr>
          <w:p w:rsidR="00C05C99" w:rsidRPr="00C05C99" w:rsidRDefault="00C05C99" w:rsidP="00C05C99">
            <w:pPr>
              <w:spacing w:after="0"/>
              <w:jc w:val="right"/>
              <w:rPr>
                <w:rFonts w:ascii="Arial Mäori" w:eastAsia="Times New Roman" w:hAnsi="Arial Mäori" w:cs="Arial"/>
                <w:b/>
                <w:bCs/>
                <w:sz w:val="23"/>
                <w:szCs w:val="23"/>
                <w:lang w:eastAsia="en-NZ"/>
              </w:rPr>
            </w:pPr>
            <w:r w:rsidRPr="00C05C99">
              <w:rPr>
                <w:rFonts w:ascii="Arial Mäori" w:eastAsia="Times New Roman" w:hAnsi="Arial Mäori" w:cs="Arial"/>
                <w:b/>
                <w:bCs/>
                <w:sz w:val="23"/>
                <w:szCs w:val="23"/>
                <w:lang w:eastAsia="en-NZ"/>
              </w:rPr>
              <w:t>Grand Total</w:t>
            </w:r>
          </w:p>
        </w:tc>
      </w:tr>
      <w:tr w:rsidR="00C05C99" w:rsidTr="0064189F">
        <w:trPr>
          <w:trHeight w:val="315"/>
        </w:trPr>
        <w:tc>
          <w:tcPr>
            <w:tcW w:w="1480"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Age Group</w:t>
            </w:r>
          </w:p>
        </w:tc>
        <w:tc>
          <w:tcPr>
            <w:tcW w:w="1124"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Men</w:t>
            </w:r>
          </w:p>
        </w:tc>
        <w:tc>
          <w:tcPr>
            <w:tcW w:w="1190"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Women</w:t>
            </w:r>
          </w:p>
        </w:tc>
        <w:tc>
          <w:tcPr>
            <w:tcW w:w="1134"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 </w:t>
            </w:r>
          </w:p>
        </w:tc>
        <w:tc>
          <w:tcPr>
            <w:tcW w:w="1380"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Men</w:t>
            </w:r>
          </w:p>
        </w:tc>
        <w:tc>
          <w:tcPr>
            <w:tcW w:w="1030"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Women</w:t>
            </w:r>
          </w:p>
        </w:tc>
        <w:tc>
          <w:tcPr>
            <w:tcW w:w="1417"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 </w:t>
            </w:r>
          </w:p>
        </w:tc>
        <w:tc>
          <w:tcPr>
            <w:tcW w:w="1276" w:type="dxa"/>
            <w:noWrap/>
            <w:vAlign w:val="bottom"/>
            <w:hideMark/>
          </w:tcPr>
          <w:p w:rsidR="00C05C99" w:rsidRDefault="00C05C99" w:rsidP="00C05C99">
            <w:pPr>
              <w:spacing w:after="0"/>
              <w:jc w:val="right"/>
              <w:rPr>
                <w:rFonts w:ascii="Calibri" w:hAnsi="Calibri"/>
                <w:b/>
                <w:bCs/>
                <w:color w:val="000000"/>
                <w:lang w:eastAsia="en-NZ"/>
              </w:rPr>
            </w:pPr>
            <w:r>
              <w:rPr>
                <w:b/>
                <w:bCs/>
                <w:color w:val="000000"/>
                <w:lang w:eastAsia="en-NZ"/>
              </w:rPr>
              <w:t> </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Under 20</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79</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9</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88</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109</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8</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117</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205</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20-24</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260</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16</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276</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501</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38</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539</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815</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25-29</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275</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31</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306</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601</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43</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644</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950</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30-34</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196</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21</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217</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508</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39</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547</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764</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35-39</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146</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11</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157</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390</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43</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433</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590</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40-44</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148</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152</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311</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19</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330</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482</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45-49</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85</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89</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298</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24</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322</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411</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50-54</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48</w:t>
            </w:r>
          </w:p>
        </w:tc>
        <w:tc>
          <w:tcPr>
            <w:tcW w:w="119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49</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207</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16</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223</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272</w:t>
            </w:r>
          </w:p>
        </w:tc>
      </w:tr>
      <w:tr w:rsidR="00C05C99" w:rsidTr="0064189F">
        <w:trPr>
          <w:trHeight w:val="300"/>
        </w:trPr>
        <w:tc>
          <w:tcPr>
            <w:tcW w:w="14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55 and over</w:t>
            </w:r>
          </w:p>
        </w:tc>
        <w:tc>
          <w:tcPr>
            <w:tcW w:w="112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34</w:t>
            </w:r>
          </w:p>
        </w:tc>
        <w:tc>
          <w:tcPr>
            <w:tcW w:w="1190" w:type="dxa"/>
            <w:noWrap/>
            <w:vAlign w:val="bottom"/>
            <w:hideMark/>
          </w:tcPr>
          <w:p w:rsidR="00C05C99" w:rsidRPr="00C05C99" w:rsidRDefault="00C05C99" w:rsidP="00A970C2">
            <w:pPr>
              <w:spacing w:after="0"/>
              <w:jc w:val="right"/>
              <w:rPr>
                <w:rFonts w:ascii="Calibri" w:hAnsi="Calibri"/>
                <w:lang w:eastAsia="en-NZ"/>
              </w:rPr>
            </w:pPr>
            <w:r w:rsidRPr="00C05C99">
              <w:rPr>
                <w:lang w:eastAsia="en-NZ"/>
              </w:rPr>
              <w:t> </w:t>
            </w:r>
            <w:r>
              <w:rPr>
                <w:lang w:eastAsia="en-NZ"/>
              </w:rPr>
              <w:t>0</w:t>
            </w:r>
          </w:p>
        </w:tc>
        <w:tc>
          <w:tcPr>
            <w:tcW w:w="1134"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34</w:t>
            </w:r>
          </w:p>
        </w:tc>
        <w:tc>
          <w:tcPr>
            <w:tcW w:w="138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212</w:t>
            </w:r>
          </w:p>
        </w:tc>
        <w:tc>
          <w:tcPr>
            <w:tcW w:w="1030"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14</w:t>
            </w:r>
          </w:p>
        </w:tc>
        <w:tc>
          <w:tcPr>
            <w:tcW w:w="1417"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226</w:t>
            </w:r>
          </w:p>
        </w:tc>
        <w:tc>
          <w:tcPr>
            <w:tcW w:w="1276" w:type="dxa"/>
            <w:noWrap/>
            <w:vAlign w:val="bottom"/>
            <w:hideMark/>
          </w:tcPr>
          <w:p w:rsidR="00C05C99" w:rsidRDefault="00C05C99" w:rsidP="00A970C2">
            <w:pPr>
              <w:spacing w:after="0"/>
              <w:jc w:val="right"/>
              <w:rPr>
                <w:rFonts w:ascii="Calibri" w:hAnsi="Calibri"/>
                <w:color w:val="000000"/>
                <w:lang w:eastAsia="en-NZ"/>
              </w:rPr>
            </w:pPr>
            <w:r>
              <w:rPr>
                <w:color w:val="000000"/>
                <w:lang w:eastAsia="en-NZ"/>
              </w:rPr>
              <w:t>260</w:t>
            </w:r>
          </w:p>
        </w:tc>
      </w:tr>
      <w:tr w:rsidR="00C05C99" w:rsidTr="0064189F">
        <w:trPr>
          <w:trHeight w:val="300"/>
        </w:trPr>
        <w:tc>
          <w:tcPr>
            <w:tcW w:w="1480"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Total</w:t>
            </w:r>
          </w:p>
        </w:tc>
        <w:tc>
          <w:tcPr>
            <w:tcW w:w="1124"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1271</w:t>
            </w:r>
          </w:p>
        </w:tc>
        <w:tc>
          <w:tcPr>
            <w:tcW w:w="1190"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97</w:t>
            </w:r>
          </w:p>
        </w:tc>
        <w:tc>
          <w:tcPr>
            <w:tcW w:w="1134"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1368</w:t>
            </w:r>
          </w:p>
        </w:tc>
        <w:tc>
          <w:tcPr>
            <w:tcW w:w="1380"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3137</w:t>
            </w:r>
          </w:p>
        </w:tc>
        <w:tc>
          <w:tcPr>
            <w:tcW w:w="1030"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244</w:t>
            </w:r>
          </w:p>
        </w:tc>
        <w:tc>
          <w:tcPr>
            <w:tcW w:w="1417"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3381</w:t>
            </w:r>
          </w:p>
        </w:tc>
        <w:tc>
          <w:tcPr>
            <w:tcW w:w="1276" w:type="dxa"/>
            <w:noWrap/>
            <w:vAlign w:val="bottom"/>
            <w:hideMark/>
          </w:tcPr>
          <w:p w:rsidR="00C05C99" w:rsidRPr="00C05C99" w:rsidRDefault="00C05C99" w:rsidP="00A970C2">
            <w:pPr>
              <w:spacing w:after="0"/>
              <w:jc w:val="right"/>
              <w:rPr>
                <w:rFonts w:ascii="Calibri" w:hAnsi="Calibri"/>
                <w:b/>
                <w:bCs/>
                <w:lang w:eastAsia="en-NZ"/>
              </w:rPr>
            </w:pPr>
            <w:r w:rsidRPr="00C05C99">
              <w:rPr>
                <w:b/>
                <w:bCs/>
                <w:lang w:eastAsia="en-NZ"/>
              </w:rPr>
              <w:t>4749</w:t>
            </w:r>
          </w:p>
        </w:tc>
      </w:tr>
    </w:tbl>
    <w:p w:rsidR="00C05C99" w:rsidRPr="00A970C2" w:rsidRDefault="00D92CCB" w:rsidP="00A970C2">
      <w:pPr>
        <w:keepNext/>
        <w:spacing w:before="240" w:after="0"/>
        <w:rPr>
          <w:rFonts w:ascii="Arial" w:eastAsia="Times New Roman" w:hAnsi="Arial"/>
          <w:b/>
          <w:kern w:val="32"/>
          <w:sz w:val="23"/>
          <w:szCs w:val="20"/>
          <w:lang w:eastAsia="en-GB"/>
        </w:rPr>
      </w:pPr>
      <w:r>
        <w:rPr>
          <w:rFonts w:ascii="Arial" w:eastAsia="Times New Roman" w:hAnsi="Arial"/>
          <w:b/>
          <w:kern w:val="32"/>
          <w:sz w:val="23"/>
          <w:szCs w:val="20"/>
          <w:lang w:eastAsia="en-GB"/>
        </w:rPr>
        <w:t>Numbers of n</w:t>
      </w:r>
      <w:r w:rsidR="00A970C2" w:rsidRPr="00A970C2">
        <w:rPr>
          <w:rFonts w:ascii="Arial" w:eastAsia="Times New Roman" w:hAnsi="Arial"/>
          <w:b/>
          <w:kern w:val="32"/>
          <w:sz w:val="23"/>
          <w:szCs w:val="20"/>
          <w:lang w:eastAsia="en-GB"/>
        </w:rPr>
        <w:t>on-</w:t>
      </w:r>
      <w:r w:rsidR="00A970C2">
        <w:rPr>
          <w:rFonts w:ascii="Arial" w:eastAsia="Times New Roman" w:hAnsi="Arial"/>
          <w:b/>
          <w:kern w:val="32"/>
          <w:sz w:val="23"/>
          <w:szCs w:val="20"/>
          <w:lang w:eastAsia="en-GB"/>
        </w:rPr>
        <w:t>Māori</w:t>
      </w:r>
      <w:r w:rsidR="00A970C2" w:rsidRPr="00A970C2">
        <w:rPr>
          <w:rFonts w:ascii="Arial" w:eastAsia="Times New Roman" w:hAnsi="Arial"/>
          <w:b/>
          <w:kern w:val="32"/>
          <w:sz w:val="23"/>
          <w:szCs w:val="20"/>
          <w:lang w:eastAsia="en-GB"/>
        </w:rPr>
        <w:t xml:space="preserve"> in Prisons</w:t>
      </w:r>
    </w:p>
    <w:tbl>
      <w:tblPr>
        <w:tblStyle w:val="TableGrid"/>
        <w:tblW w:w="10031" w:type="dxa"/>
        <w:tblLook w:val="04A0"/>
      </w:tblPr>
      <w:tblGrid>
        <w:gridCol w:w="1480"/>
        <w:gridCol w:w="1180"/>
        <w:gridCol w:w="1134"/>
        <w:gridCol w:w="1134"/>
        <w:gridCol w:w="1417"/>
        <w:gridCol w:w="1047"/>
        <w:gridCol w:w="1380"/>
        <w:gridCol w:w="1259"/>
      </w:tblGrid>
      <w:tr w:rsidR="00C05C99" w:rsidTr="0064189F">
        <w:trPr>
          <w:trHeight w:val="315"/>
        </w:trPr>
        <w:tc>
          <w:tcPr>
            <w:tcW w:w="14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Non-</w:t>
            </w:r>
            <w:r w:rsidR="00A970C2">
              <w:rPr>
                <w:rFonts w:ascii="Arial Mäori" w:eastAsia="Times New Roman" w:hAnsi="Arial Mäori" w:cs="Arial"/>
                <w:b/>
                <w:bCs/>
                <w:sz w:val="23"/>
                <w:szCs w:val="23"/>
                <w:lang w:eastAsia="en-NZ"/>
              </w:rPr>
              <w:t>Māori</w:t>
            </w:r>
          </w:p>
        </w:tc>
        <w:tc>
          <w:tcPr>
            <w:tcW w:w="11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Remand</w:t>
            </w:r>
          </w:p>
        </w:tc>
        <w:tc>
          <w:tcPr>
            <w:tcW w:w="1134"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 </w:t>
            </w:r>
          </w:p>
        </w:tc>
        <w:tc>
          <w:tcPr>
            <w:tcW w:w="1134"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Total Remand</w:t>
            </w:r>
          </w:p>
        </w:tc>
        <w:tc>
          <w:tcPr>
            <w:tcW w:w="1417"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Sentenced</w:t>
            </w:r>
          </w:p>
        </w:tc>
        <w:tc>
          <w:tcPr>
            <w:tcW w:w="1047"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 </w:t>
            </w:r>
          </w:p>
        </w:tc>
        <w:tc>
          <w:tcPr>
            <w:tcW w:w="13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Total Sentenced</w:t>
            </w:r>
          </w:p>
        </w:tc>
        <w:tc>
          <w:tcPr>
            <w:tcW w:w="1259"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Grand Total</w:t>
            </w:r>
          </w:p>
        </w:tc>
      </w:tr>
      <w:tr w:rsidR="00C05C99" w:rsidTr="0064189F">
        <w:trPr>
          <w:trHeight w:val="315"/>
        </w:trPr>
        <w:tc>
          <w:tcPr>
            <w:tcW w:w="14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Age Group</w:t>
            </w:r>
          </w:p>
        </w:tc>
        <w:tc>
          <w:tcPr>
            <w:tcW w:w="11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Men</w:t>
            </w:r>
          </w:p>
        </w:tc>
        <w:tc>
          <w:tcPr>
            <w:tcW w:w="1134"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Women</w:t>
            </w:r>
          </w:p>
        </w:tc>
        <w:tc>
          <w:tcPr>
            <w:tcW w:w="1134"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 </w:t>
            </w:r>
          </w:p>
        </w:tc>
        <w:tc>
          <w:tcPr>
            <w:tcW w:w="1417"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Men</w:t>
            </w:r>
          </w:p>
        </w:tc>
        <w:tc>
          <w:tcPr>
            <w:tcW w:w="1047"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Women</w:t>
            </w:r>
          </w:p>
        </w:tc>
        <w:tc>
          <w:tcPr>
            <w:tcW w:w="1380"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 </w:t>
            </w:r>
          </w:p>
        </w:tc>
        <w:tc>
          <w:tcPr>
            <w:tcW w:w="1259" w:type="dxa"/>
            <w:noWrap/>
            <w:hideMark/>
          </w:tcPr>
          <w:p w:rsidR="00C05C99" w:rsidRPr="00A970C2" w:rsidRDefault="00C05C99" w:rsidP="00A970C2">
            <w:pPr>
              <w:keepNext/>
              <w:spacing w:after="0" w:line="240" w:lineRule="auto"/>
              <w:jc w:val="right"/>
              <w:rPr>
                <w:rFonts w:ascii="Arial Mäori" w:eastAsia="Times New Roman" w:hAnsi="Arial Mäori" w:cs="Arial"/>
                <w:b/>
                <w:bCs/>
                <w:sz w:val="23"/>
                <w:szCs w:val="23"/>
                <w:lang w:eastAsia="en-NZ"/>
              </w:rPr>
            </w:pPr>
            <w:r w:rsidRPr="00A970C2">
              <w:rPr>
                <w:rFonts w:ascii="Arial Mäori" w:eastAsia="Times New Roman" w:hAnsi="Arial Mäori" w:cs="Arial"/>
                <w:b/>
                <w:bCs/>
                <w:sz w:val="23"/>
                <w:szCs w:val="23"/>
                <w:lang w:eastAsia="en-NZ"/>
              </w:rPr>
              <w:t> </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Under 20</w:t>
            </w:r>
          </w:p>
        </w:tc>
        <w:tc>
          <w:tcPr>
            <w:tcW w:w="1180" w:type="dxa"/>
            <w:noWrap/>
            <w:hideMark/>
          </w:tcPr>
          <w:p w:rsidR="00C05C99" w:rsidRDefault="00C05C99" w:rsidP="00A970C2">
            <w:pPr>
              <w:keepNext/>
              <w:spacing w:after="0"/>
              <w:jc w:val="right"/>
              <w:rPr>
                <w:color w:val="000000"/>
                <w:lang w:eastAsia="en-NZ"/>
              </w:rPr>
            </w:pPr>
            <w:r>
              <w:rPr>
                <w:color w:val="000000"/>
                <w:lang w:eastAsia="en-NZ"/>
              </w:rPr>
              <w:t>69</w:t>
            </w:r>
          </w:p>
        </w:tc>
        <w:tc>
          <w:tcPr>
            <w:tcW w:w="1134" w:type="dxa"/>
            <w:noWrap/>
            <w:hideMark/>
          </w:tcPr>
          <w:p w:rsidR="00C05C99" w:rsidRDefault="00C05C99" w:rsidP="00A970C2">
            <w:pPr>
              <w:keepNext/>
              <w:spacing w:after="0"/>
              <w:jc w:val="right"/>
              <w:rPr>
                <w:color w:val="000000"/>
                <w:lang w:eastAsia="en-NZ"/>
              </w:rPr>
            </w:pPr>
            <w:r>
              <w:rPr>
                <w:color w:val="000000"/>
                <w:lang w:eastAsia="en-NZ"/>
              </w:rPr>
              <w:t>5</w:t>
            </w:r>
          </w:p>
        </w:tc>
        <w:tc>
          <w:tcPr>
            <w:tcW w:w="1134" w:type="dxa"/>
            <w:noWrap/>
            <w:hideMark/>
          </w:tcPr>
          <w:p w:rsidR="00C05C99" w:rsidRDefault="00C05C99" w:rsidP="00A970C2">
            <w:pPr>
              <w:keepNext/>
              <w:spacing w:after="0"/>
              <w:jc w:val="right"/>
              <w:rPr>
                <w:color w:val="000000"/>
                <w:lang w:eastAsia="en-NZ"/>
              </w:rPr>
            </w:pPr>
            <w:r>
              <w:rPr>
                <w:color w:val="000000"/>
                <w:lang w:eastAsia="en-NZ"/>
              </w:rPr>
              <w:t>74</w:t>
            </w:r>
          </w:p>
        </w:tc>
        <w:tc>
          <w:tcPr>
            <w:tcW w:w="1417" w:type="dxa"/>
            <w:noWrap/>
            <w:hideMark/>
          </w:tcPr>
          <w:p w:rsidR="00C05C99" w:rsidRDefault="00C05C99" w:rsidP="00A970C2">
            <w:pPr>
              <w:keepNext/>
              <w:spacing w:after="0"/>
              <w:jc w:val="right"/>
              <w:rPr>
                <w:color w:val="000000"/>
                <w:lang w:eastAsia="en-NZ"/>
              </w:rPr>
            </w:pPr>
            <w:r>
              <w:rPr>
                <w:color w:val="000000"/>
                <w:lang w:eastAsia="en-NZ"/>
              </w:rPr>
              <w:t>59</w:t>
            </w:r>
          </w:p>
        </w:tc>
        <w:tc>
          <w:tcPr>
            <w:tcW w:w="1047" w:type="dxa"/>
            <w:noWrap/>
            <w:hideMark/>
          </w:tcPr>
          <w:p w:rsidR="00C05C99" w:rsidRDefault="00C05C99" w:rsidP="00A970C2">
            <w:pPr>
              <w:keepNext/>
              <w:spacing w:after="0"/>
              <w:jc w:val="right"/>
              <w:rPr>
                <w:color w:val="000000"/>
                <w:lang w:eastAsia="en-NZ"/>
              </w:rPr>
            </w:pPr>
            <w:r>
              <w:rPr>
                <w:color w:val="000000"/>
                <w:lang w:eastAsia="en-NZ"/>
              </w:rPr>
              <w:t>3</w:t>
            </w:r>
          </w:p>
        </w:tc>
        <w:tc>
          <w:tcPr>
            <w:tcW w:w="1380" w:type="dxa"/>
            <w:noWrap/>
            <w:hideMark/>
          </w:tcPr>
          <w:p w:rsidR="00C05C99" w:rsidRDefault="00C05C99" w:rsidP="00A970C2">
            <w:pPr>
              <w:keepNext/>
              <w:spacing w:after="0"/>
              <w:jc w:val="right"/>
              <w:rPr>
                <w:color w:val="000000"/>
                <w:lang w:eastAsia="en-NZ"/>
              </w:rPr>
            </w:pPr>
            <w:r>
              <w:rPr>
                <w:color w:val="000000"/>
                <w:lang w:eastAsia="en-NZ"/>
              </w:rPr>
              <w:t>62</w:t>
            </w:r>
          </w:p>
        </w:tc>
        <w:tc>
          <w:tcPr>
            <w:tcW w:w="1259" w:type="dxa"/>
            <w:noWrap/>
            <w:hideMark/>
          </w:tcPr>
          <w:p w:rsidR="00C05C99" w:rsidRDefault="00C05C99" w:rsidP="00A970C2">
            <w:pPr>
              <w:keepNext/>
              <w:spacing w:after="0"/>
              <w:jc w:val="right"/>
              <w:rPr>
                <w:color w:val="000000"/>
                <w:lang w:eastAsia="en-NZ"/>
              </w:rPr>
            </w:pPr>
            <w:r>
              <w:rPr>
                <w:color w:val="000000"/>
                <w:lang w:eastAsia="en-NZ"/>
              </w:rPr>
              <w:t>136</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20-24</w:t>
            </w:r>
          </w:p>
        </w:tc>
        <w:tc>
          <w:tcPr>
            <w:tcW w:w="1180" w:type="dxa"/>
            <w:noWrap/>
            <w:hideMark/>
          </w:tcPr>
          <w:p w:rsidR="00C05C99" w:rsidRDefault="00C05C99" w:rsidP="00A970C2">
            <w:pPr>
              <w:keepNext/>
              <w:spacing w:after="0"/>
              <w:jc w:val="right"/>
              <w:rPr>
                <w:color w:val="000000"/>
                <w:lang w:eastAsia="en-NZ"/>
              </w:rPr>
            </w:pPr>
            <w:r>
              <w:rPr>
                <w:color w:val="000000"/>
                <w:lang w:eastAsia="en-NZ"/>
              </w:rPr>
              <w:t>194</w:t>
            </w:r>
          </w:p>
        </w:tc>
        <w:tc>
          <w:tcPr>
            <w:tcW w:w="1134" w:type="dxa"/>
            <w:noWrap/>
            <w:hideMark/>
          </w:tcPr>
          <w:p w:rsidR="00C05C99" w:rsidRDefault="00C05C99" w:rsidP="00A970C2">
            <w:pPr>
              <w:keepNext/>
              <w:spacing w:after="0"/>
              <w:jc w:val="right"/>
              <w:rPr>
                <w:color w:val="000000"/>
                <w:lang w:eastAsia="en-NZ"/>
              </w:rPr>
            </w:pPr>
            <w:r>
              <w:rPr>
                <w:color w:val="000000"/>
                <w:lang w:eastAsia="en-NZ"/>
              </w:rPr>
              <w:t>10</w:t>
            </w:r>
          </w:p>
        </w:tc>
        <w:tc>
          <w:tcPr>
            <w:tcW w:w="1134" w:type="dxa"/>
            <w:noWrap/>
            <w:hideMark/>
          </w:tcPr>
          <w:p w:rsidR="00C05C99" w:rsidRDefault="00C05C99" w:rsidP="00A970C2">
            <w:pPr>
              <w:keepNext/>
              <w:spacing w:after="0"/>
              <w:jc w:val="right"/>
              <w:rPr>
                <w:color w:val="000000"/>
                <w:lang w:eastAsia="en-NZ"/>
              </w:rPr>
            </w:pPr>
            <w:r>
              <w:rPr>
                <w:color w:val="000000"/>
                <w:lang w:eastAsia="en-NZ"/>
              </w:rPr>
              <w:t>204</w:t>
            </w:r>
          </w:p>
        </w:tc>
        <w:tc>
          <w:tcPr>
            <w:tcW w:w="1417" w:type="dxa"/>
            <w:noWrap/>
            <w:hideMark/>
          </w:tcPr>
          <w:p w:rsidR="00C05C99" w:rsidRDefault="00C05C99" w:rsidP="00A970C2">
            <w:pPr>
              <w:keepNext/>
              <w:spacing w:after="0"/>
              <w:jc w:val="right"/>
              <w:rPr>
                <w:color w:val="000000"/>
                <w:lang w:eastAsia="en-NZ"/>
              </w:rPr>
            </w:pPr>
            <w:r>
              <w:rPr>
                <w:color w:val="000000"/>
                <w:lang w:eastAsia="en-NZ"/>
              </w:rPr>
              <w:t>375</w:t>
            </w:r>
          </w:p>
        </w:tc>
        <w:tc>
          <w:tcPr>
            <w:tcW w:w="1047" w:type="dxa"/>
            <w:noWrap/>
            <w:hideMark/>
          </w:tcPr>
          <w:p w:rsidR="00C05C99" w:rsidRDefault="00C05C99" w:rsidP="00A970C2">
            <w:pPr>
              <w:keepNext/>
              <w:spacing w:after="0"/>
              <w:jc w:val="right"/>
              <w:rPr>
                <w:color w:val="000000"/>
                <w:lang w:eastAsia="en-NZ"/>
              </w:rPr>
            </w:pPr>
            <w:r>
              <w:rPr>
                <w:color w:val="000000"/>
                <w:lang w:eastAsia="en-NZ"/>
              </w:rPr>
              <w:t>29</w:t>
            </w:r>
          </w:p>
        </w:tc>
        <w:tc>
          <w:tcPr>
            <w:tcW w:w="1380" w:type="dxa"/>
            <w:noWrap/>
            <w:hideMark/>
          </w:tcPr>
          <w:p w:rsidR="00C05C99" w:rsidRDefault="00C05C99" w:rsidP="00A970C2">
            <w:pPr>
              <w:keepNext/>
              <w:spacing w:after="0"/>
              <w:jc w:val="right"/>
              <w:rPr>
                <w:color w:val="000000"/>
                <w:lang w:eastAsia="en-NZ"/>
              </w:rPr>
            </w:pPr>
            <w:r>
              <w:rPr>
                <w:color w:val="000000"/>
                <w:lang w:eastAsia="en-NZ"/>
              </w:rPr>
              <w:t>404</w:t>
            </w:r>
          </w:p>
        </w:tc>
        <w:tc>
          <w:tcPr>
            <w:tcW w:w="1259" w:type="dxa"/>
            <w:noWrap/>
            <w:hideMark/>
          </w:tcPr>
          <w:p w:rsidR="00C05C99" w:rsidRDefault="00C05C99" w:rsidP="00A970C2">
            <w:pPr>
              <w:keepNext/>
              <w:spacing w:after="0"/>
              <w:jc w:val="right"/>
              <w:rPr>
                <w:color w:val="000000"/>
                <w:lang w:eastAsia="en-NZ"/>
              </w:rPr>
            </w:pPr>
            <w:r>
              <w:rPr>
                <w:color w:val="000000"/>
                <w:lang w:eastAsia="en-NZ"/>
              </w:rPr>
              <w:t>608</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25-29</w:t>
            </w:r>
          </w:p>
        </w:tc>
        <w:tc>
          <w:tcPr>
            <w:tcW w:w="1180" w:type="dxa"/>
            <w:noWrap/>
            <w:hideMark/>
          </w:tcPr>
          <w:p w:rsidR="00C05C99" w:rsidRDefault="00C05C99" w:rsidP="00A970C2">
            <w:pPr>
              <w:keepNext/>
              <w:spacing w:after="0"/>
              <w:jc w:val="right"/>
              <w:rPr>
                <w:color w:val="000000"/>
                <w:lang w:eastAsia="en-NZ"/>
              </w:rPr>
            </w:pPr>
            <w:r>
              <w:rPr>
                <w:color w:val="000000"/>
                <w:lang w:eastAsia="en-NZ"/>
              </w:rPr>
              <w:t>203</w:t>
            </w:r>
          </w:p>
        </w:tc>
        <w:tc>
          <w:tcPr>
            <w:tcW w:w="1134" w:type="dxa"/>
            <w:noWrap/>
            <w:hideMark/>
          </w:tcPr>
          <w:p w:rsidR="00C05C99" w:rsidRDefault="00C05C99" w:rsidP="00A970C2">
            <w:pPr>
              <w:keepNext/>
              <w:spacing w:after="0"/>
              <w:jc w:val="right"/>
              <w:rPr>
                <w:color w:val="000000"/>
                <w:lang w:eastAsia="en-NZ"/>
              </w:rPr>
            </w:pPr>
            <w:r>
              <w:rPr>
                <w:color w:val="000000"/>
                <w:lang w:eastAsia="en-NZ"/>
              </w:rPr>
              <w:t>24</w:t>
            </w:r>
          </w:p>
        </w:tc>
        <w:tc>
          <w:tcPr>
            <w:tcW w:w="1134" w:type="dxa"/>
            <w:noWrap/>
            <w:hideMark/>
          </w:tcPr>
          <w:p w:rsidR="00C05C99" w:rsidRDefault="00C05C99" w:rsidP="00A970C2">
            <w:pPr>
              <w:keepNext/>
              <w:spacing w:after="0"/>
              <w:jc w:val="right"/>
              <w:rPr>
                <w:color w:val="000000"/>
                <w:lang w:eastAsia="en-NZ"/>
              </w:rPr>
            </w:pPr>
            <w:r>
              <w:rPr>
                <w:color w:val="000000"/>
                <w:lang w:eastAsia="en-NZ"/>
              </w:rPr>
              <w:t>227</w:t>
            </w:r>
          </w:p>
        </w:tc>
        <w:tc>
          <w:tcPr>
            <w:tcW w:w="1417" w:type="dxa"/>
            <w:noWrap/>
            <w:hideMark/>
          </w:tcPr>
          <w:p w:rsidR="00C05C99" w:rsidRDefault="00C05C99" w:rsidP="00A970C2">
            <w:pPr>
              <w:keepNext/>
              <w:spacing w:after="0"/>
              <w:jc w:val="right"/>
              <w:rPr>
                <w:color w:val="000000"/>
                <w:lang w:eastAsia="en-NZ"/>
              </w:rPr>
            </w:pPr>
            <w:r>
              <w:rPr>
                <w:color w:val="000000"/>
                <w:lang w:eastAsia="en-NZ"/>
              </w:rPr>
              <w:t>533</w:t>
            </w:r>
          </w:p>
        </w:tc>
        <w:tc>
          <w:tcPr>
            <w:tcW w:w="1047" w:type="dxa"/>
            <w:noWrap/>
            <w:hideMark/>
          </w:tcPr>
          <w:p w:rsidR="00C05C99" w:rsidRDefault="00C05C99" w:rsidP="00A970C2">
            <w:pPr>
              <w:keepNext/>
              <w:spacing w:after="0"/>
              <w:jc w:val="right"/>
              <w:rPr>
                <w:color w:val="000000"/>
                <w:lang w:eastAsia="en-NZ"/>
              </w:rPr>
            </w:pPr>
            <w:r>
              <w:rPr>
                <w:color w:val="000000"/>
                <w:lang w:eastAsia="en-NZ"/>
              </w:rPr>
              <w:t>28</w:t>
            </w:r>
          </w:p>
        </w:tc>
        <w:tc>
          <w:tcPr>
            <w:tcW w:w="1380" w:type="dxa"/>
            <w:noWrap/>
            <w:hideMark/>
          </w:tcPr>
          <w:p w:rsidR="00C05C99" w:rsidRDefault="00C05C99" w:rsidP="00A970C2">
            <w:pPr>
              <w:keepNext/>
              <w:spacing w:after="0"/>
              <w:jc w:val="right"/>
              <w:rPr>
                <w:color w:val="000000"/>
                <w:lang w:eastAsia="en-NZ"/>
              </w:rPr>
            </w:pPr>
            <w:r>
              <w:rPr>
                <w:color w:val="000000"/>
                <w:lang w:eastAsia="en-NZ"/>
              </w:rPr>
              <w:t>561</w:t>
            </w:r>
          </w:p>
        </w:tc>
        <w:tc>
          <w:tcPr>
            <w:tcW w:w="1259" w:type="dxa"/>
            <w:noWrap/>
            <w:hideMark/>
          </w:tcPr>
          <w:p w:rsidR="00C05C99" w:rsidRDefault="00C05C99" w:rsidP="00A970C2">
            <w:pPr>
              <w:keepNext/>
              <w:spacing w:after="0"/>
              <w:jc w:val="right"/>
              <w:rPr>
                <w:color w:val="000000"/>
                <w:lang w:eastAsia="en-NZ"/>
              </w:rPr>
            </w:pPr>
            <w:r>
              <w:rPr>
                <w:color w:val="000000"/>
                <w:lang w:eastAsia="en-NZ"/>
              </w:rPr>
              <w:t>788</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30-34</w:t>
            </w:r>
          </w:p>
        </w:tc>
        <w:tc>
          <w:tcPr>
            <w:tcW w:w="1180" w:type="dxa"/>
            <w:noWrap/>
            <w:hideMark/>
          </w:tcPr>
          <w:p w:rsidR="00C05C99" w:rsidRDefault="00C05C99" w:rsidP="00A970C2">
            <w:pPr>
              <w:keepNext/>
              <w:spacing w:after="0"/>
              <w:jc w:val="right"/>
              <w:rPr>
                <w:color w:val="000000"/>
                <w:lang w:eastAsia="en-NZ"/>
              </w:rPr>
            </w:pPr>
            <w:r>
              <w:rPr>
                <w:color w:val="000000"/>
                <w:lang w:eastAsia="en-NZ"/>
              </w:rPr>
              <w:t>187</w:t>
            </w:r>
          </w:p>
        </w:tc>
        <w:tc>
          <w:tcPr>
            <w:tcW w:w="1134" w:type="dxa"/>
            <w:noWrap/>
            <w:hideMark/>
          </w:tcPr>
          <w:p w:rsidR="00C05C99" w:rsidRDefault="00C05C99" w:rsidP="00A970C2">
            <w:pPr>
              <w:keepNext/>
              <w:spacing w:after="0"/>
              <w:jc w:val="right"/>
              <w:rPr>
                <w:color w:val="000000"/>
                <w:lang w:eastAsia="en-NZ"/>
              </w:rPr>
            </w:pPr>
            <w:r>
              <w:rPr>
                <w:color w:val="000000"/>
                <w:lang w:eastAsia="en-NZ"/>
              </w:rPr>
              <w:t>9</w:t>
            </w:r>
          </w:p>
        </w:tc>
        <w:tc>
          <w:tcPr>
            <w:tcW w:w="1134" w:type="dxa"/>
            <w:noWrap/>
            <w:hideMark/>
          </w:tcPr>
          <w:p w:rsidR="00C05C99" w:rsidRDefault="00C05C99" w:rsidP="00A970C2">
            <w:pPr>
              <w:keepNext/>
              <w:spacing w:after="0"/>
              <w:jc w:val="right"/>
              <w:rPr>
                <w:color w:val="000000"/>
                <w:lang w:eastAsia="en-NZ"/>
              </w:rPr>
            </w:pPr>
            <w:r>
              <w:rPr>
                <w:color w:val="000000"/>
                <w:lang w:eastAsia="en-NZ"/>
              </w:rPr>
              <w:t>196</w:t>
            </w:r>
          </w:p>
        </w:tc>
        <w:tc>
          <w:tcPr>
            <w:tcW w:w="1417" w:type="dxa"/>
            <w:noWrap/>
            <w:hideMark/>
          </w:tcPr>
          <w:p w:rsidR="00C05C99" w:rsidRDefault="00C05C99" w:rsidP="00A970C2">
            <w:pPr>
              <w:keepNext/>
              <w:spacing w:after="0"/>
              <w:jc w:val="right"/>
              <w:rPr>
                <w:color w:val="000000"/>
                <w:lang w:eastAsia="en-NZ"/>
              </w:rPr>
            </w:pPr>
            <w:r>
              <w:rPr>
                <w:color w:val="000000"/>
                <w:lang w:eastAsia="en-NZ"/>
              </w:rPr>
              <w:t>417</w:t>
            </w:r>
          </w:p>
        </w:tc>
        <w:tc>
          <w:tcPr>
            <w:tcW w:w="1047" w:type="dxa"/>
            <w:noWrap/>
            <w:hideMark/>
          </w:tcPr>
          <w:p w:rsidR="00C05C99" w:rsidRDefault="00C05C99" w:rsidP="00A970C2">
            <w:pPr>
              <w:keepNext/>
              <w:spacing w:after="0"/>
              <w:jc w:val="right"/>
              <w:rPr>
                <w:color w:val="000000"/>
                <w:lang w:eastAsia="en-NZ"/>
              </w:rPr>
            </w:pPr>
            <w:r>
              <w:rPr>
                <w:color w:val="000000"/>
                <w:lang w:eastAsia="en-NZ"/>
              </w:rPr>
              <w:t>23</w:t>
            </w:r>
          </w:p>
        </w:tc>
        <w:tc>
          <w:tcPr>
            <w:tcW w:w="1380" w:type="dxa"/>
            <w:noWrap/>
            <w:hideMark/>
          </w:tcPr>
          <w:p w:rsidR="00C05C99" w:rsidRDefault="00C05C99" w:rsidP="00A970C2">
            <w:pPr>
              <w:keepNext/>
              <w:spacing w:after="0"/>
              <w:jc w:val="right"/>
              <w:rPr>
                <w:color w:val="000000"/>
                <w:lang w:eastAsia="en-NZ"/>
              </w:rPr>
            </w:pPr>
            <w:r>
              <w:rPr>
                <w:color w:val="000000"/>
                <w:lang w:eastAsia="en-NZ"/>
              </w:rPr>
              <w:t>440</w:t>
            </w:r>
          </w:p>
        </w:tc>
        <w:tc>
          <w:tcPr>
            <w:tcW w:w="1259" w:type="dxa"/>
            <w:noWrap/>
            <w:hideMark/>
          </w:tcPr>
          <w:p w:rsidR="00C05C99" w:rsidRDefault="00C05C99" w:rsidP="00A970C2">
            <w:pPr>
              <w:keepNext/>
              <w:spacing w:after="0"/>
              <w:jc w:val="right"/>
              <w:rPr>
                <w:color w:val="000000"/>
                <w:lang w:eastAsia="en-NZ"/>
              </w:rPr>
            </w:pPr>
            <w:r>
              <w:rPr>
                <w:color w:val="000000"/>
                <w:lang w:eastAsia="en-NZ"/>
              </w:rPr>
              <w:t>636</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35-39</w:t>
            </w:r>
          </w:p>
        </w:tc>
        <w:tc>
          <w:tcPr>
            <w:tcW w:w="1180" w:type="dxa"/>
            <w:noWrap/>
            <w:hideMark/>
          </w:tcPr>
          <w:p w:rsidR="00C05C99" w:rsidRDefault="00C05C99" w:rsidP="00A970C2">
            <w:pPr>
              <w:keepNext/>
              <w:spacing w:after="0"/>
              <w:jc w:val="right"/>
              <w:rPr>
                <w:color w:val="000000"/>
                <w:lang w:eastAsia="en-NZ"/>
              </w:rPr>
            </w:pPr>
            <w:r>
              <w:rPr>
                <w:color w:val="000000"/>
                <w:lang w:eastAsia="en-NZ"/>
              </w:rPr>
              <w:t>123</w:t>
            </w:r>
          </w:p>
        </w:tc>
        <w:tc>
          <w:tcPr>
            <w:tcW w:w="1134" w:type="dxa"/>
            <w:noWrap/>
            <w:hideMark/>
          </w:tcPr>
          <w:p w:rsidR="00C05C99" w:rsidRDefault="00C05C99" w:rsidP="00A970C2">
            <w:pPr>
              <w:keepNext/>
              <w:spacing w:after="0"/>
              <w:jc w:val="right"/>
              <w:rPr>
                <w:color w:val="000000"/>
                <w:lang w:eastAsia="en-NZ"/>
              </w:rPr>
            </w:pPr>
            <w:r>
              <w:rPr>
                <w:color w:val="000000"/>
                <w:lang w:eastAsia="en-NZ"/>
              </w:rPr>
              <w:t>8</w:t>
            </w:r>
          </w:p>
        </w:tc>
        <w:tc>
          <w:tcPr>
            <w:tcW w:w="1134" w:type="dxa"/>
            <w:noWrap/>
            <w:hideMark/>
          </w:tcPr>
          <w:p w:rsidR="00C05C99" w:rsidRDefault="00C05C99" w:rsidP="00A970C2">
            <w:pPr>
              <w:keepNext/>
              <w:spacing w:after="0"/>
              <w:jc w:val="right"/>
              <w:rPr>
                <w:color w:val="000000"/>
                <w:lang w:eastAsia="en-NZ"/>
              </w:rPr>
            </w:pPr>
            <w:r>
              <w:rPr>
                <w:color w:val="000000"/>
                <w:lang w:eastAsia="en-NZ"/>
              </w:rPr>
              <w:t>131</w:t>
            </w:r>
          </w:p>
        </w:tc>
        <w:tc>
          <w:tcPr>
            <w:tcW w:w="1417" w:type="dxa"/>
            <w:noWrap/>
            <w:hideMark/>
          </w:tcPr>
          <w:p w:rsidR="00C05C99" w:rsidRDefault="00C05C99" w:rsidP="00A970C2">
            <w:pPr>
              <w:keepNext/>
              <w:spacing w:after="0"/>
              <w:jc w:val="right"/>
              <w:rPr>
                <w:color w:val="000000"/>
                <w:lang w:eastAsia="en-NZ"/>
              </w:rPr>
            </w:pPr>
            <w:r>
              <w:rPr>
                <w:color w:val="000000"/>
                <w:lang w:eastAsia="en-NZ"/>
              </w:rPr>
              <w:t>371</w:t>
            </w:r>
          </w:p>
        </w:tc>
        <w:tc>
          <w:tcPr>
            <w:tcW w:w="1047" w:type="dxa"/>
            <w:noWrap/>
            <w:hideMark/>
          </w:tcPr>
          <w:p w:rsidR="00C05C99" w:rsidRDefault="00C05C99" w:rsidP="00A970C2">
            <w:pPr>
              <w:keepNext/>
              <w:spacing w:after="0"/>
              <w:jc w:val="right"/>
              <w:rPr>
                <w:color w:val="000000"/>
                <w:lang w:eastAsia="en-NZ"/>
              </w:rPr>
            </w:pPr>
            <w:r>
              <w:rPr>
                <w:color w:val="000000"/>
                <w:lang w:eastAsia="en-NZ"/>
              </w:rPr>
              <w:t>19</w:t>
            </w:r>
          </w:p>
        </w:tc>
        <w:tc>
          <w:tcPr>
            <w:tcW w:w="1380" w:type="dxa"/>
            <w:noWrap/>
            <w:hideMark/>
          </w:tcPr>
          <w:p w:rsidR="00C05C99" w:rsidRDefault="00C05C99" w:rsidP="00A970C2">
            <w:pPr>
              <w:keepNext/>
              <w:spacing w:after="0"/>
              <w:jc w:val="right"/>
              <w:rPr>
                <w:color w:val="000000"/>
                <w:lang w:eastAsia="en-NZ"/>
              </w:rPr>
            </w:pPr>
            <w:r>
              <w:rPr>
                <w:color w:val="000000"/>
                <w:lang w:eastAsia="en-NZ"/>
              </w:rPr>
              <w:t>390</w:t>
            </w:r>
          </w:p>
        </w:tc>
        <w:tc>
          <w:tcPr>
            <w:tcW w:w="1259" w:type="dxa"/>
            <w:noWrap/>
            <w:hideMark/>
          </w:tcPr>
          <w:p w:rsidR="00C05C99" w:rsidRDefault="00C05C99" w:rsidP="00A970C2">
            <w:pPr>
              <w:keepNext/>
              <w:spacing w:after="0"/>
              <w:jc w:val="right"/>
              <w:rPr>
                <w:color w:val="000000"/>
                <w:lang w:eastAsia="en-NZ"/>
              </w:rPr>
            </w:pPr>
            <w:r>
              <w:rPr>
                <w:color w:val="000000"/>
                <w:lang w:eastAsia="en-NZ"/>
              </w:rPr>
              <w:t>521</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40-44</w:t>
            </w:r>
          </w:p>
        </w:tc>
        <w:tc>
          <w:tcPr>
            <w:tcW w:w="1180" w:type="dxa"/>
            <w:noWrap/>
            <w:hideMark/>
          </w:tcPr>
          <w:p w:rsidR="00C05C99" w:rsidRDefault="00C05C99" w:rsidP="00A970C2">
            <w:pPr>
              <w:keepNext/>
              <w:spacing w:after="0"/>
              <w:jc w:val="right"/>
              <w:rPr>
                <w:color w:val="000000"/>
                <w:lang w:eastAsia="en-NZ"/>
              </w:rPr>
            </w:pPr>
            <w:r>
              <w:rPr>
                <w:color w:val="000000"/>
                <w:lang w:eastAsia="en-NZ"/>
              </w:rPr>
              <w:t>107</w:t>
            </w:r>
          </w:p>
        </w:tc>
        <w:tc>
          <w:tcPr>
            <w:tcW w:w="1134" w:type="dxa"/>
            <w:noWrap/>
            <w:hideMark/>
          </w:tcPr>
          <w:p w:rsidR="00C05C99" w:rsidRDefault="00C05C99" w:rsidP="00A970C2">
            <w:pPr>
              <w:keepNext/>
              <w:spacing w:after="0"/>
              <w:jc w:val="right"/>
              <w:rPr>
                <w:color w:val="000000"/>
                <w:lang w:eastAsia="en-NZ"/>
              </w:rPr>
            </w:pPr>
            <w:r>
              <w:rPr>
                <w:color w:val="000000"/>
                <w:lang w:eastAsia="en-NZ"/>
              </w:rPr>
              <w:t>8</w:t>
            </w:r>
          </w:p>
        </w:tc>
        <w:tc>
          <w:tcPr>
            <w:tcW w:w="1134" w:type="dxa"/>
            <w:noWrap/>
            <w:hideMark/>
          </w:tcPr>
          <w:p w:rsidR="00C05C99" w:rsidRDefault="00C05C99" w:rsidP="00A970C2">
            <w:pPr>
              <w:keepNext/>
              <w:spacing w:after="0"/>
              <w:jc w:val="right"/>
              <w:rPr>
                <w:color w:val="000000"/>
                <w:lang w:eastAsia="en-NZ"/>
              </w:rPr>
            </w:pPr>
            <w:r>
              <w:rPr>
                <w:color w:val="000000"/>
                <w:lang w:eastAsia="en-NZ"/>
              </w:rPr>
              <w:t>115</w:t>
            </w:r>
          </w:p>
        </w:tc>
        <w:tc>
          <w:tcPr>
            <w:tcW w:w="1417" w:type="dxa"/>
            <w:noWrap/>
            <w:hideMark/>
          </w:tcPr>
          <w:p w:rsidR="00C05C99" w:rsidRDefault="00C05C99" w:rsidP="00A970C2">
            <w:pPr>
              <w:keepNext/>
              <w:spacing w:after="0"/>
              <w:jc w:val="right"/>
              <w:rPr>
                <w:color w:val="000000"/>
                <w:lang w:eastAsia="en-NZ"/>
              </w:rPr>
            </w:pPr>
            <w:r>
              <w:rPr>
                <w:color w:val="000000"/>
                <w:lang w:eastAsia="en-NZ"/>
              </w:rPr>
              <w:t>352</w:t>
            </w:r>
          </w:p>
        </w:tc>
        <w:tc>
          <w:tcPr>
            <w:tcW w:w="1047" w:type="dxa"/>
            <w:noWrap/>
            <w:hideMark/>
          </w:tcPr>
          <w:p w:rsidR="00C05C99" w:rsidRDefault="00C05C99" w:rsidP="00A970C2">
            <w:pPr>
              <w:keepNext/>
              <w:spacing w:after="0"/>
              <w:jc w:val="right"/>
              <w:rPr>
                <w:color w:val="000000"/>
                <w:lang w:eastAsia="en-NZ"/>
              </w:rPr>
            </w:pPr>
            <w:r>
              <w:rPr>
                <w:color w:val="000000"/>
                <w:lang w:eastAsia="en-NZ"/>
              </w:rPr>
              <w:t>25</w:t>
            </w:r>
          </w:p>
        </w:tc>
        <w:tc>
          <w:tcPr>
            <w:tcW w:w="1380" w:type="dxa"/>
            <w:noWrap/>
            <w:hideMark/>
          </w:tcPr>
          <w:p w:rsidR="00C05C99" w:rsidRDefault="00C05C99" w:rsidP="00A970C2">
            <w:pPr>
              <w:keepNext/>
              <w:spacing w:after="0"/>
              <w:jc w:val="right"/>
              <w:rPr>
                <w:color w:val="000000"/>
                <w:lang w:eastAsia="en-NZ"/>
              </w:rPr>
            </w:pPr>
            <w:r>
              <w:rPr>
                <w:color w:val="000000"/>
                <w:lang w:eastAsia="en-NZ"/>
              </w:rPr>
              <w:t>377</w:t>
            </w:r>
          </w:p>
        </w:tc>
        <w:tc>
          <w:tcPr>
            <w:tcW w:w="1259" w:type="dxa"/>
            <w:noWrap/>
            <w:hideMark/>
          </w:tcPr>
          <w:p w:rsidR="00C05C99" w:rsidRDefault="00C05C99" w:rsidP="00A970C2">
            <w:pPr>
              <w:keepNext/>
              <w:spacing w:after="0"/>
              <w:jc w:val="right"/>
              <w:rPr>
                <w:color w:val="000000"/>
                <w:lang w:eastAsia="en-NZ"/>
              </w:rPr>
            </w:pPr>
            <w:r>
              <w:rPr>
                <w:color w:val="000000"/>
                <w:lang w:eastAsia="en-NZ"/>
              </w:rPr>
              <w:t>492</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45-49</w:t>
            </w:r>
          </w:p>
        </w:tc>
        <w:tc>
          <w:tcPr>
            <w:tcW w:w="1180" w:type="dxa"/>
            <w:noWrap/>
            <w:hideMark/>
          </w:tcPr>
          <w:p w:rsidR="00C05C99" w:rsidRDefault="00C05C99" w:rsidP="00A970C2">
            <w:pPr>
              <w:keepNext/>
              <w:spacing w:after="0"/>
              <w:jc w:val="right"/>
              <w:rPr>
                <w:color w:val="000000"/>
                <w:lang w:eastAsia="en-NZ"/>
              </w:rPr>
            </w:pPr>
            <w:r>
              <w:rPr>
                <w:color w:val="000000"/>
                <w:lang w:eastAsia="en-NZ"/>
              </w:rPr>
              <w:t>73</w:t>
            </w:r>
          </w:p>
        </w:tc>
        <w:tc>
          <w:tcPr>
            <w:tcW w:w="1134" w:type="dxa"/>
            <w:noWrap/>
            <w:hideMark/>
          </w:tcPr>
          <w:p w:rsidR="00C05C99" w:rsidRDefault="00C05C99" w:rsidP="00A970C2">
            <w:pPr>
              <w:keepNext/>
              <w:spacing w:after="0"/>
              <w:jc w:val="right"/>
              <w:rPr>
                <w:color w:val="000000"/>
                <w:lang w:eastAsia="en-NZ"/>
              </w:rPr>
            </w:pPr>
            <w:r>
              <w:rPr>
                <w:color w:val="000000"/>
                <w:lang w:eastAsia="en-NZ"/>
              </w:rPr>
              <w:t>4</w:t>
            </w:r>
          </w:p>
        </w:tc>
        <w:tc>
          <w:tcPr>
            <w:tcW w:w="1134" w:type="dxa"/>
            <w:noWrap/>
            <w:hideMark/>
          </w:tcPr>
          <w:p w:rsidR="00C05C99" w:rsidRDefault="00C05C99" w:rsidP="00A970C2">
            <w:pPr>
              <w:keepNext/>
              <w:spacing w:after="0"/>
              <w:jc w:val="right"/>
              <w:rPr>
                <w:color w:val="000000"/>
                <w:lang w:eastAsia="en-NZ"/>
              </w:rPr>
            </w:pPr>
            <w:r>
              <w:rPr>
                <w:color w:val="000000"/>
                <w:lang w:eastAsia="en-NZ"/>
              </w:rPr>
              <w:t>77</w:t>
            </w:r>
          </w:p>
        </w:tc>
        <w:tc>
          <w:tcPr>
            <w:tcW w:w="1417" w:type="dxa"/>
            <w:noWrap/>
            <w:hideMark/>
          </w:tcPr>
          <w:p w:rsidR="00C05C99" w:rsidRDefault="00C05C99" w:rsidP="00A970C2">
            <w:pPr>
              <w:keepNext/>
              <w:spacing w:after="0"/>
              <w:jc w:val="right"/>
              <w:rPr>
                <w:color w:val="000000"/>
                <w:lang w:eastAsia="en-NZ"/>
              </w:rPr>
            </w:pPr>
            <w:r>
              <w:rPr>
                <w:color w:val="000000"/>
                <w:lang w:eastAsia="en-NZ"/>
              </w:rPr>
              <w:t>338</w:t>
            </w:r>
          </w:p>
        </w:tc>
        <w:tc>
          <w:tcPr>
            <w:tcW w:w="1047" w:type="dxa"/>
            <w:noWrap/>
            <w:hideMark/>
          </w:tcPr>
          <w:p w:rsidR="00C05C99" w:rsidRDefault="00C05C99" w:rsidP="00A970C2">
            <w:pPr>
              <w:keepNext/>
              <w:spacing w:after="0"/>
              <w:jc w:val="right"/>
              <w:rPr>
                <w:color w:val="000000"/>
                <w:lang w:eastAsia="en-NZ"/>
              </w:rPr>
            </w:pPr>
            <w:r>
              <w:rPr>
                <w:color w:val="000000"/>
                <w:lang w:eastAsia="en-NZ"/>
              </w:rPr>
              <w:t>31</w:t>
            </w:r>
          </w:p>
        </w:tc>
        <w:tc>
          <w:tcPr>
            <w:tcW w:w="1380" w:type="dxa"/>
            <w:noWrap/>
            <w:hideMark/>
          </w:tcPr>
          <w:p w:rsidR="00C05C99" w:rsidRDefault="00C05C99" w:rsidP="00A970C2">
            <w:pPr>
              <w:keepNext/>
              <w:spacing w:after="0"/>
              <w:jc w:val="right"/>
              <w:rPr>
                <w:color w:val="000000"/>
                <w:lang w:eastAsia="en-NZ"/>
              </w:rPr>
            </w:pPr>
            <w:r>
              <w:rPr>
                <w:color w:val="000000"/>
                <w:lang w:eastAsia="en-NZ"/>
              </w:rPr>
              <w:t>369</w:t>
            </w:r>
          </w:p>
        </w:tc>
        <w:tc>
          <w:tcPr>
            <w:tcW w:w="1259" w:type="dxa"/>
            <w:noWrap/>
            <w:hideMark/>
          </w:tcPr>
          <w:p w:rsidR="00C05C99" w:rsidRDefault="00C05C99" w:rsidP="00A970C2">
            <w:pPr>
              <w:keepNext/>
              <w:spacing w:after="0"/>
              <w:jc w:val="right"/>
              <w:rPr>
                <w:color w:val="000000"/>
                <w:lang w:eastAsia="en-NZ"/>
              </w:rPr>
            </w:pPr>
            <w:r>
              <w:rPr>
                <w:color w:val="000000"/>
                <w:lang w:eastAsia="en-NZ"/>
              </w:rPr>
              <w:t>446</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50-54</w:t>
            </w:r>
          </w:p>
        </w:tc>
        <w:tc>
          <w:tcPr>
            <w:tcW w:w="1180" w:type="dxa"/>
            <w:noWrap/>
            <w:hideMark/>
          </w:tcPr>
          <w:p w:rsidR="00C05C99" w:rsidRDefault="00C05C99" w:rsidP="00A970C2">
            <w:pPr>
              <w:keepNext/>
              <w:spacing w:after="0"/>
              <w:jc w:val="right"/>
              <w:rPr>
                <w:color w:val="000000"/>
                <w:lang w:eastAsia="en-NZ"/>
              </w:rPr>
            </w:pPr>
            <w:r>
              <w:rPr>
                <w:color w:val="000000"/>
                <w:lang w:eastAsia="en-NZ"/>
              </w:rPr>
              <w:t>42</w:t>
            </w:r>
          </w:p>
        </w:tc>
        <w:tc>
          <w:tcPr>
            <w:tcW w:w="1134" w:type="dxa"/>
            <w:noWrap/>
            <w:hideMark/>
          </w:tcPr>
          <w:p w:rsidR="00C05C99" w:rsidRDefault="00C05C99" w:rsidP="00A970C2">
            <w:pPr>
              <w:keepNext/>
              <w:spacing w:after="0"/>
              <w:jc w:val="right"/>
              <w:rPr>
                <w:color w:val="000000"/>
                <w:lang w:eastAsia="en-NZ"/>
              </w:rPr>
            </w:pPr>
            <w:r>
              <w:rPr>
                <w:color w:val="000000"/>
                <w:lang w:eastAsia="en-NZ"/>
              </w:rPr>
              <w:t>6</w:t>
            </w:r>
          </w:p>
        </w:tc>
        <w:tc>
          <w:tcPr>
            <w:tcW w:w="1134" w:type="dxa"/>
            <w:noWrap/>
            <w:hideMark/>
          </w:tcPr>
          <w:p w:rsidR="00C05C99" w:rsidRDefault="00C05C99" w:rsidP="00A970C2">
            <w:pPr>
              <w:keepNext/>
              <w:spacing w:after="0"/>
              <w:jc w:val="right"/>
              <w:rPr>
                <w:color w:val="000000"/>
                <w:lang w:eastAsia="en-NZ"/>
              </w:rPr>
            </w:pPr>
            <w:r>
              <w:rPr>
                <w:color w:val="000000"/>
                <w:lang w:eastAsia="en-NZ"/>
              </w:rPr>
              <w:t>48</w:t>
            </w:r>
          </w:p>
        </w:tc>
        <w:tc>
          <w:tcPr>
            <w:tcW w:w="1417" w:type="dxa"/>
            <w:noWrap/>
            <w:hideMark/>
          </w:tcPr>
          <w:p w:rsidR="00C05C99" w:rsidRDefault="00C05C99" w:rsidP="00A970C2">
            <w:pPr>
              <w:keepNext/>
              <w:spacing w:after="0"/>
              <w:jc w:val="right"/>
              <w:rPr>
                <w:color w:val="000000"/>
                <w:lang w:eastAsia="en-NZ"/>
              </w:rPr>
            </w:pPr>
            <w:r>
              <w:rPr>
                <w:color w:val="000000"/>
                <w:lang w:eastAsia="en-NZ"/>
              </w:rPr>
              <w:t>242</w:t>
            </w:r>
          </w:p>
        </w:tc>
        <w:tc>
          <w:tcPr>
            <w:tcW w:w="1047" w:type="dxa"/>
            <w:noWrap/>
            <w:hideMark/>
          </w:tcPr>
          <w:p w:rsidR="00C05C99" w:rsidRDefault="00C05C99" w:rsidP="00A970C2">
            <w:pPr>
              <w:keepNext/>
              <w:spacing w:after="0"/>
              <w:jc w:val="right"/>
              <w:rPr>
                <w:color w:val="000000"/>
                <w:lang w:eastAsia="en-NZ"/>
              </w:rPr>
            </w:pPr>
            <w:r>
              <w:rPr>
                <w:color w:val="000000"/>
                <w:lang w:eastAsia="en-NZ"/>
              </w:rPr>
              <w:t>13</w:t>
            </w:r>
          </w:p>
        </w:tc>
        <w:tc>
          <w:tcPr>
            <w:tcW w:w="1380" w:type="dxa"/>
            <w:noWrap/>
            <w:hideMark/>
          </w:tcPr>
          <w:p w:rsidR="00C05C99" w:rsidRDefault="00C05C99" w:rsidP="00A970C2">
            <w:pPr>
              <w:keepNext/>
              <w:spacing w:after="0"/>
              <w:jc w:val="right"/>
              <w:rPr>
                <w:color w:val="000000"/>
                <w:lang w:eastAsia="en-NZ"/>
              </w:rPr>
            </w:pPr>
            <w:r>
              <w:rPr>
                <w:color w:val="000000"/>
                <w:lang w:eastAsia="en-NZ"/>
              </w:rPr>
              <w:t>255</w:t>
            </w:r>
          </w:p>
        </w:tc>
        <w:tc>
          <w:tcPr>
            <w:tcW w:w="1259" w:type="dxa"/>
            <w:noWrap/>
            <w:hideMark/>
          </w:tcPr>
          <w:p w:rsidR="00C05C99" w:rsidRDefault="00C05C99" w:rsidP="00A970C2">
            <w:pPr>
              <w:keepNext/>
              <w:spacing w:after="0"/>
              <w:jc w:val="right"/>
              <w:rPr>
                <w:color w:val="000000"/>
                <w:lang w:eastAsia="en-NZ"/>
              </w:rPr>
            </w:pPr>
            <w:r>
              <w:rPr>
                <w:color w:val="000000"/>
                <w:lang w:eastAsia="en-NZ"/>
              </w:rPr>
              <w:t>303</w:t>
            </w:r>
          </w:p>
        </w:tc>
      </w:tr>
      <w:tr w:rsidR="00C05C99" w:rsidTr="0064189F">
        <w:trPr>
          <w:trHeight w:val="300"/>
        </w:trPr>
        <w:tc>
          <w:tcPr>
            <w:tcW w:w="1480" w:type="dxa"/>
            <w:noWrap/>
            <w:hideMark/>
          </w:tcPr>
          <w:p w:rsidR="00C05C99" w:rsidRDefault="00C05C99" w:rsidP="00A970C2">
            <w:pPr>
              <w:keepNext/>
              <w:spacing w:after="0"/>
              <w:jc w:val="right"/>
              <w:rPr>
                <w:color w:val="000000"/>
                <w:lang w:eastAsia="en-NZ"/>
              </w:rPr>
            </w:pPr>
            <w:r>
              <w:rPr>
                <w:color w:val="000000"/>
                <w:lang w:eastAsia="en-NZ"/>
              </w:rPr>
              <w:t>55 and over</w:t>
            </w:r>
          </w:p>
        </w:tc>
        <w:tc>
          <w:tcPr>
            <w:tcW w:w="1180" w:type="dxa"/>
            <w:noWrap/>
            <w:hideMark/>
          </w:tcPr>
          <w:p w:rsidR="00C05C99" w:rsidRDefault="00C05C99" w:rsidP="00A970C2">
            <w:pPr>
              <w:keepNext/>
              <w:spacing w:after="0"/>
              <w:jc w:val="right"/>
              <w:rPr>
                <w:color w:val="000000"/>
                <w:lang w:eastAsia="en-NZ"/>
              </w:rPr>
            </w:pPr>
            <w:r>
              <w:rPr>
                <w:color w:val="000000"/>
                <w:lang w:eastAsia="en-NZ"/>
              </w:rPr>
              <w:t>50</w:t>
            </w:r>
          </w:p>
        </w:tc>
        <w:tc>
          <w:tcPr>
            <w:tcW w:w="1134" w:type="dxa"/>
            <w:noWrap/>
            <w:hideMark/>
          </w:tcPr>
          <w:p w:rsidR="00C05C99" w:rsidRDefault="00C05C99" w:rsidP="00A970C2">
            <w:pPr>
              <w:keepNext/>
              <w:spacing w:after="0"/>
              <w:jc w:val="right"/>
              <w:rPr>
                <w:color w:val="000000"/>
                <w:lang w:eastAsia="en-NZ"/>
              </w:rPr>
            </w:pPr>
            <w:r>
              <w:rPr>
                <w:color w:val="000000"/>
                <w:lang w:eastAsia="en-NZ"/>
              </w:rPr>
              <w:t>3</w:t>
            </w:r>
          </w:p>
        </w:tc>
        <w:tc>
          <w:tcPr>
            <w:tcW w:w="1134" w:type="dxa"/>
            <w:noWrap/>
            <w:hideMark/>
          </w:tcPr>
          <w:p w:rsidR="00C05C99" w:rsidRDefault="00C05C99" w:rsidP="00A970C2">
            <w:pPr>
              <w:keepNext/>
              <w:spacing w:after="0"/>
              <w:jc w:val="right"/>
              <w:rPr>
                <w:color w:val="000000"/>
                <w:lang w:eastAsia="en-NZ"/>
              </w:rPr>
            </w:pPr>
            <w:r>
              <w:rPr>
                <w:color w:val="000000"/>
                <w:lang w:eastAsia="en-NZ"/>
              </w:rPr>
              <w:t>53</w:t>
            </w:r>
          </w:p>
        </w:tc>
        <w:tc>
          <w:tcPr>
            <w:tcW w:w="1417" w:type="dxa"/>
            <w:noWrap/>
            <w:hideMark/>
          </w:tcPr>
          <w:p w:rsidR="00C05C99" w:rsidRDefault="00C05C99" w:rsidP="00A970C2">
            <w:pPr>
              <w:keepNext/>
              <w:spacing w:after="0"/>
              <w:jc w:val="right"/>
              <w:rPr>
                <w:color w:val="000000"/>
                <w:lang w:eastAsia="en-NZ"/>
              </w:rPr>
            </w:pPr>
            <w:r>
              <w:rPr>
                <w:color w:val="000000"/>
                <w:lang w:eastAsia="en-NZ"/>
              </w:rPr>
              <w:t>523</w:t>
            </w:r>
          </w:p>
        </w:tc>
        <w:tc>
          <w:tcPr>
            <w:tcW w:w="1047" w:type="dxa"/>
            <w:noWrap/>
            <w:hideMark/>
          </w:tcPr>
          <w:p w:rsidR="00C05C99" w:rsidRDefault="00C05C99" w:rsidP="00A970C2">
            <w:pPr>
              <w:keepNext/>
              <w:spacing w:after="0"/>
              <w:jc w:val="right"/>
              <w:rPr>
                <w:color w:val="000000"/>
                <w:lang w:eastAsia="en-NZ"/>
              </w:rPr>
            </w:pPr>
            <w:r>
              <w:rPr>
                <w:color w:val="000000"/>
                <w:lang w:eastAsia="en-NZ"/>
              </w:rPr>
              <w:t>22</w:t>
            </w:r>
          </w:p>
        </w:tc>
        <w:tc>
          <w:tcPr>
            <w:tcW w:w="1380" w:type="dxa"/>
            <w:noWrap/>
            <w:hideMark/>
          </w:tcPr>
          <w:p w:rsidR="00C05C99" w:rsidRDefault="00C05C99" w:rsidP="00A970C2">
            <w:pPr>
              <w:keepNext/>
              <w:spacing w:after="0"/>
              <w:jc w:val="right"/>
              <w:rPr>
                <w:color w:val="000000"/>
                <w:lang w:eastAsia="en-NZ"/>
              </w:rPr>
            </w:pPr>
            <w:r>
              <w:rPr>
                <w:color w:val="000000"/>
                <w:lang w:eastAsia="en-NZ"/>
              </w:rPr>
              <w:t>545</w:t>
            </w:r>
          </w:p>
        </w:tc>
        <w:tc>
          <w:tcPr>
            <w:tcW w:w="1259" w:type="dxa"/>
            <w:noWrap/>
            <w:hideMark/>
          </w:tcPr>
          <w:p w:rsidR="00C05C99" w:rsidRDefault="00C05C99" w:rsidP="00A970C2">
            <w:pPr>
              <w:keepNext/>
              <w:spacing w:after="0"/>
              <w:jc w:val="right"/>
              <w:rPr>
                <w:color w:val="000000"/>
                <w:lang w:eastAsia="en-NZ"/>
              </w:rPr>
            </w:pPr>
            <w:r>
              <w:rPr>
                <w:color w:val="000000"/>
                <w:lang w:eastAsia="en-NZ"/>
              </w:rPr>
              <w:t>598</w:t>
            </w:r>
          </w:p>
        </w:tc>
      </w:tr>
      <w:tr w:rsidR="00C05C99" w:rsidTr="0064189F">
        <w:trPr>
          <w:trHeight w:val="300"/>
        </w:trPr>
        <w:tc>
          <w:tcPr>
            <w:tcW w:w="1480" w:type="dxa"/>
            <w:noWrap/>
            <w:hideMark/>
          </w:tcPr>
          <w:p w:rsidR="00C05C99" w:rsidRPr="00A970C2" w:rsidRDefault="00C05C99" w:rsidP="00A970C2">
            <w:pPr>
              <w:keepNext/>
              <w:spacing w:after="0"/>
              <w:jc w:val="right"/>
              <w:rPr>
                <w:b/>
                <w:bCs/>
                <w:lang w:eastAsia="en-NZ"/>
              </w:rPr>
            </w:pPr>
            <w:r w:rsidRPr="00A970C2">
              <w:rPr>
                <w:b/>
                <w:bCs/>
                <w:lang w:eastAsia="en-NZ"/>
              </w:rPr>
              <w:t>Total</w:t>
            </w:r>
          </w:p>
        </w:tc>
        <w:tc>
          <w:tcPr>
            <w:tcW w:w="1180" w:type="dxa"/>
            <w:noWrap/>
            <w:hideMark/>
          </w:tcPr>
          <w:p w:rsidR="00C05C99" w:rsidRPr="00A970C2" w:rsidRDefault="00C05C99" w:rsidP="00A970C2">
            <w:pPr>
              <w:keepNext/>
              <w:spacing w:after="0"/>
              <w:jc w:val="right"/>
              <w:rPr>
                <w:b/>
                <w:bCs/>
                <w:lang w:eastAsia="en-NZ"/>
              </w:rPr>
            </w:pPr>
            <w:r w:rsidRPr="00A970C2">
              <w:rPr>
                <w:b/>
                <w:bCs/>
                <w:lang w:eastAsia="en-NZ"/>
              </w:rPr>
              <w:t>1048</w:t>
            </w:r>
          </w:p>
        </w:tc>
        <w:tc>
          <w:tcPr>
            <w:tcW w:w="1134" w:type="dxa"/>
            <w:noWrap/>
            <w:hideMark/>
          </w:tcPr>
          <w:p w:rsidR="00C05C99" w:rsidRPr="00A970C2" w:rsidRDefault="00C05C99" w:rsidP="00A970C2">
            <w:pPr>
              <w:keepNext/>
              <w:spacing w:after="0"/>
              <w:jc w:val="right"/>
              <w:rPr>
                <w:b/>
                <w:bCs/>
                <w:lang w:eastAsia="en-NZ"/>
              </w:rPr>
            </w:pPr>
            <w:r w:rsidRPr="00A970C2">
              <w:rPr>
                <w:b/>
                <w:bCs/>
                <w:lang w:eastAsia="en-NZ"/>
              </w:rPr>
              <w:t>77</w:t>
            </w:r>
          </w:p>
        </w:tc>
        <w:tc>
          <w:tcPr>
            <w:tcW w:w="1134" w:type="dxa"/>
            <w:noWrap/>
            <w:hideMark/>
          </w:tcPr>
          <w:p w:rsidR="00C05C99" w:rsidRPr="00A970C2" w:rsidRDefault="00C05C99" w:rsidP="00A970C2">
            <w:pPr>
              <w:keepNext/>
              <w:spacing w:after="0"/>
              <w:jc w:val="right"/>
              <w:rPr>
                <w:b/>
                <w:bCs/>
                <w:lang w:eastAsia="en-NZ"/>
              </w:rPr>
            </w:pPr>
            <w:r w:rsidRPr="00A970C2">
              <w:rPr>
                <w:b/>
                <w:bCs/>
                <w:lang w:eastAsia="en-NZ"/>
              </w:rPr>
              <w:t>1125</w:t>
            </w:r>
          </w:p>
        </w:tc>
        <w:tc>
          <w:tcPr>
            <w:tcW w:w="1417" w:type="dxa"/>
            <w:noWrap/>
            <w:hideMark/>
          </w:tcPr>
          <w:p w:rsidR="00C05C99" w:rsidRPr="00A970C2" w:rsidRDefault="00C05C99" w:rsidP="00A970C2">
            <w:pPr>
              <w:keepNext/>
              <w:spacing w:after="0"/>
              <w:jc w:val="right"/>
              <w:rPr>
                <w:b/>
                <w:bCs/>
                <w:lang w:eastAsia="en-NZ"/>
              </w:rPr>
            </w:pPr>
            <w:r w:rsidRPr="00A970C2">
              <w:rPr>
                <w:b/>
                <w:bCs/>
                <w:lang w:eastAsia="en-NZ"/>
              </w:rPr>
              <w:t>3210</w:t>
            </w:r>
          </w:p>
        </w:tc>
        <w:tc>
          <w:tcPr>
            <w:tcW w:w="1047" w:type="dxa"/>
            <w:noWrap/>
            <w:hideMark/>
          </w:tcPr>
          <w:p w:rsidR="00C05C99" w:rsidRPr="00A970C2" w:rsidRDefault="00C05C99" w:rsidP="00A970C2">
            <w:pPr>
              <w:keepNext/>
              <w:spacing w:after="0"/>
              <w:jc w:val="right"/>
              <w:rPr>
                <w:b/>
                <w:bCs/>
                <w:lang w:eastAsia="en-NZ"/>
              </w:rPr>
            </w:pPr>
            <w:r w:rsidRPr="00A970C2">
              <w:rPr>
                <w:b/>
                <w:bCs/>
                <w:lang w:eastAsia="en-NZ"/>
              </w:rPr>
              <w:t>193</w:t>
            </w:r>
          </w:p>
        </w:tc>
        <w:tc>
          <w:tcPr>
            <w:tcW w:w="1380" w:type="dxa"/>
            <w:noWrap/>
            <w:hideMark/>
          </w:tcPr>
          <w:p w:rsidR="00C05C99" w:rsidRPr="00A970C2" w:rsidRDefault="00C05C99" w:rsidP="00A970C2">
            <w:pPr>
              <w:keepNext/>
              <w:spacing w:after="0"/>
              <w:jc w:val="right"/>
              <w:rPr>
                <w:b/>
                <w:bCs/>
                <w:lang w:eastAsia="en-NZ"/>
              </w:rPr>
            </w:pPr>
            <w:r w:rsidRPr="00A970C2">
              <w:rPr>
                <w:b/>
                <w:bCs/>
                <w:lang w:eastAsia="en-NZ"/>
              </w:rPr>
              <w:t>3403</w:t>
            </w:r>
          </w:p>
        </w:tc>
        <w:tc>
          <w:tcPr>
            <w:tcW w:w="1259" w:type="dxa"/>
            <w:noWrap/>
            <w:hideMark/>
          </w:tcPr>
          <w:p w:rsidR="00C05C99" w:rsidRPr="00A970C2" w:rsidRDefault="00C05C99" w:rsidP="00A970C2">
            <w:pPr>
              <w:keepNext/>
              <w:spacing w:after="0"/>
              <w:jc w:val="right"/>
              <w:rPr>
                <w:b/>
                <w:bCs/>
                <w:lang w:eastAsia="en-NZ"/>
              </w:rPr>
            </w:pPr>
            <w:r w:rsidRPr="00A970C2">
              <w:rPr>
                <w:b/>
                <w:bCs/>
                <w:lang w:eastAsia="en-NZ"/>
              </w:rPr>
              <w:t>4528</w:t>
            </w:r>
          </w:p>
        </w:tc>
      </w:tr>
    </w:tbl>
    <w:p w:rsidR="00C05C99" w:rsidRDefault="00C05C99">
      <w:pPr>
        <w:spacing w:before="230" w:after="0"/>
        <w:jc w:val="both"/>
        <w:rPr>
          <w:rFonts w:ascii="Arial" w:eastAsia="Times New Roman" w:hAnsi="Arial"/>
          <w:kern w:val="32"/>
          <w:sz w:val="23"/>
          <w:szCs w:val="20"/>
          <w:highlight w:val="yellow"/>
          <w:lang w:eastAsia="en-GB"/>
        </w:rPr>
      </w:pPr>
    </w:p>
    <w:p w:rsidR="00C05C99" w:rsidRDefault="00C05C99">
      <w:pPr>
        <w:spacing w:before="230" w:after="0"/>
        <w:jc w:val="both"/>
        <w:rPr>
          <w:rFonts w:ascii="Arial" w:eastAsia="Times New Roman" w:hAnsi="Arial"/>
          <w:kern w:val="32"/>
          <w:sz w:val="23"/>
          <w:szCs w:val="20"/>
          <w:highlight w:val="yellow"/>
          <w:lang w:eastAsia="en-GB"/>
        </w:rPr>
      </w:pPr>
    </w:p>
    <w:p w:rsidR="00C05C99" w:rsidRDefault="00C05C99" w:rsidP="00C05C99">
      <w:pPr>
        <w:rPr>
          <w:rFonts w:ascii="Arial" w:eastAsiaTheme="minorHAnsi" w:hAnsi="Arial" w:cs="Arial"/>
          <w:color w:val="1F497D"/>
          <w:sz w:val="20"/>
          <w:szCs w:val="20"/>
        </w:rPr>
      </w:pPr>
    </w:p>
    <w:p w:rsidR="00C05C99" w:rsidRDefault="00C05C99">
      <w:pPr>
        <w:spacing w:before="230" w:after="0"/>
        <w:jc w:val="both"/>
        <w:rPr>
          <w:rFonts w:ascii="Arial" w:eastAsia="Times New Roman" w:hAnsi="Arial"/>
          <w:kern w:val="32"/>
          <w:sz w:val="23"/>
          <w:szCs w:val="20"/>
          <w:highlight w:val="yellow"/>
          <w:lang w:eastAsia="en-GB"/>
        </w:rPr>
      </w:pPr>
    </w:p>
    <w:sectPr w:rsidR="00C05C99" w:rsidSect="00A970C2">
      <w:type w:val="continuous"/>
      <w:pgSz w:w="11906" w:h="16838"/>
      <w:pgMar w:top="1440"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F01" w:rsidRDefault="00D53F01" w:rsidP="00962FDD">
      <w:pPr>
        <w:spacing w:after="0" w:line="240" w:lineRule="auto"/>
      </w:pPr>
      <w:r>
        <w:separator/>
      </w:r>
    </w:p>
  </w:endnote>
  <w:endnote w:type="continuationSeparator" w:id="0">
    <w:p w:rsidR="00D53F01" w:rsidRDefault="00D53F01" w:rsidP="00962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äori">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F01" w:rsidRDefault="00D53F01" w:rsidP="00962FDD">
      <w:pPr>
        <w:spacing w:after="0" w:line="240" w:lineRule="auto"/>
      </w:pPr>
      <w:r>
        <w:separator/>
      </w:r>
    </w:p>
  </w:footnote>
  <w:footnote w:type="continuationSeparator" w:id="0">
    <w:p w:rsidR="00D53F01" w:rsidRDefault="00D53F01" w:rsidP="00962FDD">
      <w:pPr>
        <w:spacing w:after="0" w:line="240" w:lineRule="auto"/>
      </w:pPr>
      <w:r>
        <w:continuationSeparator/>
      </w:r>
    </w:p>
  </w:footnote>
  <w:footnote w:id="1">
    <w:p w:rsidR="00D53F01" w:rsidRDefault="00D53F01">
      <w:pPr>
        <w:pStyle w:val="FootnoteText"/>
        <w:rPr>
          <w:rFonts w:ascii="Arial" w:hAnsi="Arial" w:cs="Arial"/>
        </w:rPr>
      </w:pPr>
      <w:r>
        <w:rPr>
          <w:rStyle w:val="FootnoteReference"/>
          <w:rFonts w:ascii="Arial" w:hAnsi="Arial" w:cs="Arial"/>
        </w:rPr>
        <w:footnoteRef/>
      </w:r>
      <w:r>
        <w:rPr>
          <w:rFonts w:ascii="Arial" w:hAnsi="Arial" w:cs="Arial"/>
        </w:rPr>
        <w:t xml:space="preserve"> Other includes Asian, Indian, African, Latin American and Middle Eastern.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01" w:rsidRDefault="00D53F01">
    <w:pPr>
      <w:pStyle w:val="Header"/>
      <w:jc w:val="right"/>
    </w:pPr>
    <w:r>
      <w:t>Written Responses to Human Rights Committee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DF0A17B8"/>
    <w:lvl w:ilvl="0" w:tplc="14090001">
      <w:start w:val="1"/>
      <w:numFmt w:val="bullet"/>
      <w:lvlText w:val=""/>
      <w:lvlJc w:val="left"/>
      <w:pPr>
        <w:ind w:left="984" w:hanging="360"/>
      </w:pPr>
      <w:rPr>
        <w:rFonts w:ascii="Symbol" w:hAnsi="Symbol" w:hint="default"/>
        <w:b w:val="0"/>
        <w:sz w:val="23"/>
        <w:szCs w:val="23"/>
      </w:rPr>
    </w:lvl>
    <w:lvl w:ilvl="1" w:tplc="14090019" w:tentative="1">
      <w:start w:val="1"/>
      <w:numFmt w:val="lowerLetter"/>
      <w:lvlText w:val="%2."/>
      <w:lvlJc w:val="left"/>
      <w:pPr>
        <w:ind w:left="1704" w:hanging="360"/>
      </w:pPr>
    </w:lvl>
    <w:lvl w:ilvl="2" w:tplc="1409001B" w:tentative="1">
      <w:start w:val="1"/>
      <w:numFmt w:val="lowerRoman"/>
      <w:lvlText w:val="%3."/>
      <w:lvlJc w:val="right"/>
      <w:pPr>
        <w:ind w:left="2424" w:hanging="180"/>
      </w:pPr>
    </w:lvl>
    <w:lvl w:ilvl="3" w:tplc="1409000F" w:tentative="1">
      <w:start w:val="1"/>
      <w:numFmt w:val="decimal"/>
      <w:lvlText w:val="%4."/>
      <w:lvlJc w:val="left"/>
      <w:pPr>
        <w:ind w:left="3144" w:hanging="360"/>
      </w:pPr>
    </w:lvl>
    <w:lvl w:ilvl="4" w:tplc="14090019" w:tentative="1">
      <w:start w:val="1"/>
      <w:numFmt w:val="lowerLetter"/>
      <w:lvlText w:val="%5."/>
      <w:lvlJc w:val="left"/>
      <w:pPr>
        <w:ind w:left="3864" w:hanging="360"/>
      </w:pPr>
    </w:lvl>
    <w:lvl w:ilvl="5" w:tplc="1409001B" w:tentative="1">
      <w:start w:val="1"/>
      <w:numFmt w:val="lowerRoman"/>
      <w:lvlText w:val="%6."/>
      <w:lvlJc w:val="right"/>
      <w:pPr>
        <w:ind w:left="4584" w:hanging="180"/>
      </w:pPr>
    </w:lvl>
    <w:lvl w:ilvl="6" w:tplc="1409000F" w:tentative="1">
      <w:start w:val="1"/>
      <w:numFmt w:val="decimal"/>
      <w:lvlText w:val="%7."/>
      <w:lvlJc w:val="left"/>
      <w:pPr>
        <w:ind w:left="5304" w:hanging="360"/>
      </w:pPr>
    </w:lvl>
    <w:lvl w:ilvl="7" w:tplc="14090019" w:tentative="1">
      <w:start w:val="1"/>
      <w:numFmt w:val="lowerLetter"/>
      <w:lvlText w:val="%8."/>
      <w:lvlJc w:val="left"/>
      <w:pPr>
        <w:ind w:left="6024" w:hanging="360"/>
      </w:pPr>
    </w:lvl>
    <w:lvl w:ilvl="8" w:tplc="1409001B" w:tentative="1">
      <w:start w:val="1"/>
      <w:numFmt w:val="lowerRoman"/>
      <w:lvlText w:val="%9."/>
      <w:lvlJc w:val="right"/>
      <w:pPr>
        <w:ind w:left="6744" w:hanging="180"/>
      </w:pPr>
    </w:lvl>
  </w:abstractNum>
  <w:abstractNum w:abstractNumId="1">
    <w:nsid w:val="3A520AFB"/>
    <w:multiLevelType w:val="hybridMultilevel"/>
    <w:tmpl w:val="8FF2E060"/>
    <w:lvl w:ilvl="0" w:tplc="82A0DAF4">
      <w:start w:val="1"/>
      <w:numFmt w:val="decimal"/>
      <w:lvlText w:val="%1."/>
      <w:lvlJc w:val="left"/>
      <w:pPr>
        <w:ind w:left="360" w:hanging="360"/>
      </w:pPr>
      <w:rPr>
        <w:b w:val="0"/>
        <w:sz w:val="23"/>
        <w:szCs w:val="23"/>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62FDD"/>
    <w:rsid w:val="001B57E3"/>
    <w:rsid w:val="00261192"/>
    <w:rsid w:val="002F6D05"/>
    <w:rsid w:val="00484769"/>
    <w:rsid w:val="0064189F"/>
    <w:rsid w:val="007D408F"/>
    <w:rsid w:val="00962FDD"/>
    <w:rsid w:val="00A970C2"/>
    <w:rsid w:val="00C05C99"/>
    <w:rsid w:val="00C53C71"/>
    <w:rsid w:val="00D53F01"/>
    <w:rsid w:val="00D6249E"/>
    <w:rsid w:val="00D92CCB"/>
    <w:rsid w:val="00E8710C"/>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FDD"/>
    <w:pPr>
      <w:spacing w:after="200" w:line="276" w:lineRule="auto"/>
    </w:pPr>
    <w:rPr>
      <w:sz w:val="22"/>
      <w:szCs w:val="22"/>
      <w:lang w:eastAsia="en-US"/>
    </w:rPr>
  </w:style>
  <w:style w:type="paragraph" w:styleId="Heading2">
    <w:name w:val="heading 2"/>
    <w:basedOn w:val="Normal"/>
    <w:next w:val="Normal"/>
    <w:link w:val="Heading2Char"/>
    <w:uiPriority w:val="9"/>
    <w:qFormat/>
    <w:rsid w:val="00962FDD"/>
    <w:p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62FDD"/>
    <w:rPr>
      <w:sz w:val="20"/>
      <w:szCs w:val="20"/>
    </w:rPr>
  </w:style>
  <w:style w:type="character" w:customStyle="1" w:styleId="FootnoteTextChar">
    <w:name w:val="Footnote Text Char"/>
    <w:basedOn w:val="DefaultParagraphFont"/>
    <w:link w:val="FootnoteText"/>
    <w:uiPriority w:val="99"/>
    <w:rsid w:val="00962FDD"/>
    <w:rPr>
      <w:lang w:eastAsia="en-US"/>
    </w:rPr>
  </w:style>
  <w:style w:type="character" w:styleId="FootnoteReference">
    <w:name w:val="footnote reference"/>
    <w:basedOn w:val="DefaultParagraphFont"/>
    <w:uiPriority w:val="99"/>
    <w:rsid w:val="00962FDD"/>
    <w:rPr>
      <w:vertAlign w:val="superscript"/>
    </w:rPr>
  </w:style>
  <w:style w:type="paragraph" w:styleId="NormalWeb">
    <w:name w:val="Normal (Web)"/>
    <w:basedOn w:val="Normal"/>
    <w:uiPriority w:val="99"/>
    <w:rsid w:val="00962FDD"/>
    <w:pPr>
      <w:spacing w:before="100" w:beforeAutospacing="1" w:after="100" w:afterAutospacing="1" w:line="240" w:lineRule="auto"/>
    </w:pPr>
    <w:rPr>
      <w:rFonts w:ascii="Times New Roman" w:eastAsia="Times New Roman" w:hAnsi="Times New Roman"/>
      <w:sz w:val="24"/>
      <w:szCs w:val="24"/>
      <w:lang w:eastAsia="en-NZ"/>
    </w:rPr>
  </w:style>
  <w:style w:type="character" w:customStyle="1" w:styleId="Heading2Char">
    <w:name w:val="Heading 2 Char"/>
    <w:basedOn w:val="DefaultParagraphFont"/>
    <w:link w:val="Heading2"/>
    <w:uiPriority w:val="9"/>
    <w:rsid w:val="00962FDD"/>
    <w:rPr>
      <w:b/>
      <w:sz w:val="22"/>
      <w:szCs w:val="22"/>
      <w:lang w:eastAsia="en-US"/>
    </w:rPr>
  </w:style>
  <w:style w:type="paragraph" w:styleId="Header">
    <w:name w:val="header"/>
    <w:basedOn w:val="Normal"/>
    <w:link w:val="HeaderChar"/>
    <w:uiPriority w:val="99"/>
    <w:rsid w:val="00962FDD"/>
    <w:pPr>
      <w:tabs>
        <w:tab w:val="center" w:pos="4513"/>
        <w:tab w:val="right" w:pos="9026"/>
      </w:tabs>
    </w:pPr>
  </w:style>
  <w:style w:type="character" w:customStyle="1" w:styleId="HeaderChar">
    <w:name w:val="Header Char"/>
    <w:basedOn w:val="DefaultParagraphFont"/>
    <w:link w:val="Header"/>
    <w:uiPriority w:val="99"/>
    <w:rsid w:val="00962FDD"/>
    <w:rPr>
      <w:sz w:val="22"/>
      <w:szCs w:val="22"/>
      <w:lang w:eastAsia="en-US"/>
    </w:rPr>
  </w:style>
  <w:style w:type="paragraph" w:styleId="Footer">
    <w:name w:val="footer"/>
    <w:basedOn w:val="Normal"/>
    <w:link w:val="FooterChar"/>
    <w:uiPriority w:val="99"/>
    <w:rsid w:val="00962FDD"/>
    <w:pPr>
      <w:tabs>
        <w:tab w:val="center" w:pos="4513"/>
        <w:tab w:val="right" w:pos="9026"/>
      </w:tabs>
    </w:pPr>
  </w:style>
  <w:style w:type="character" w:customStyle="1" w:styleId="FooterChar">
    <w:name w:val="Footer Char"/>
    <w:basedOn w:val="DefaultParagraphFont"/>
    <w:link w:val="Footer"/>
    <w:uiPriority w:val="99"/>
    <w:rsid w:val="00962FDD"/>
    <w:rPr>
      <w:sz w:val="22"/>
      <w:szCs w:val="22"/>
      <w:lang w:eastAsia="en-US"/>
    </w:rPr>
  </w:style>
  <w:style w:type="paragraph" w:styleId="PlainText">
    <w:name w:val="Plain Text"/>
    <w:basedOn w:val="Normal"/>
    <w:link w:val="PlainTextChar"/>
    <w:uiPriority w:val="99"/>
    <w:rsid w:val="00962FDD"/>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962FDD"/>
    <w:rPr>
      <w:rFonts w:eastAsiaTheme="minorHAnsi" w:cstheme="minorBidi"/>
      <w:sz w:val="22"/>
      <w:szCs w:val="21"/>
      <w:lang w:eastAsia="en-US"/>
    </w:rPr>
  </w:style>
  <w:style w:type="paragraph" w:styleId="ListParagraph">
    <w:name w:val="List Paragraph"/>
    <w:basedOn w:val="Normal"/>
    <w:uiPriority w:val="34"/>
    <w:qFormat/>
    <w:rsid w:val="00962FDD"/>
    <w:pPr>
      <w:ind w:left="720"/>
      <w:contextualSpacing/>
    </w:pPr>
  </w:style>
  <w:style w:type="table" w:styleId="TableGrid">
    <w:name w:val="Table Grid"/>
    <w:basedOn w:val="TableNormal"/>
    <w:uiPriority w:val="59"/>
    <w:rsid w:val="00962FDD"/>
    <w:rPr>
      <w:rFonts w:ascii="Arial" w:eastAsiaTheme="minorHAnsi" w:hAnsi="Arial"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962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62FDD"/>
    <w:rPr>
      <w:rFonts w:ascii="Tahoma" w:hAnsi="Tahoma" w:cs="Tahoma"/>
      <w:sz w:val="16"/>
      <w:szCs w:val="16"/>
      <w:lang w:eastAsia="en-US"/>
    </w:rPr>
  </w:style>
  <w:style w:type="paragraph" w:styleId="CommentText">
    <w:name w:val="annotation text"/>
    <w:basedOn w:val="Normal"/>
    <w:link w:val="CommentTextChar"/>
    <w:uiPriority w:val="99"/>
    <w:semiHidden/>
    <w:unhideWhenUsed/>
    <w:rsid w:val="00962FDD"/>
    <w:pPr>
      <w:spacing w:line="240" w:lineRule="auto"/>
    </w:pPr>
    <w:rPr>
      <w:sz w:val="20"/>
      <w:szCs w:val="20"/>
    </w:rPr>
  </w:style>
  <w:style w:type="character" w:customStyle="1" w:styleId="CommentTextChar">
    <w:name w:val="Comment Text Char"/>
    <w:basedOn w:val="DefaultParagraphFont"/>
    <w:link w:val="CommentText"/>
    <w:uiPriority w:val="99"/>
    <w:semiHidden/>
    <w:rsid w:val="00962FDD"/>
    <w:rPr>
      <w:lang w:eastAsia="en-US"/>
    </w:rPr>
  </w:style>
  <w:style w:type="character" w:styleId="CommentReference">
    <w:name w:val="annotation reference"/>
    <w:basedOn w:val="DefaultParagraphFont"/>
    <w:uiPriority w:val="99"/>
    <w:semiHidden/>
    <w:unhideWhenUsed/>
    <w:rsid w:val="00962FDD"/>
    <w:rPr>
      <w:sz w:val="16"/>
      <w:szCs w:val="16"/>
    </w:rPr>
  </w:style>
</w:styles>
</file>

<file path=word/webSettings.xml><?xml version="1.0" encoding="utf-8"?>
<w:webSettings xmlns:r="http://schemas.openxmlformats.org/officeDocument/2006/relationships" xmlns:w="http://schemas.openxmlformats.org/wordprocessingml/2006/main">
  <w:divs>
    <w:div w:id="597979894">
      <w:bodyDiv w:val="1"/>
      <w:marLeft w:val="0"/>
      <w:marRight w:val="0"/>
      <w:marTop w:val="0"/>
      <w:marBottom w:val="0"/>
      <w:divBdr>
        <w:top w:val="none" w:sz="0" w:space="0" w:color="auto"/>
        <w:left w:val="none" w:sz="0" w:space="0" w:color="auto"/>
        <w:bottom w:val="none" w:sz="0" w:space="0" w:color="auto"/>
        <w:right w:val="none" w:sz="0" w:space="0" w:color="auto"/>
      </w:divBdr>
    </w:div>
    <w:div w:id="863788053">
      <w:bodyDiv w:val="1"/>
      <w:marLeft w:val="0"/>
      <w:marRight w:val="0"/>
      <w:marTop w:val="0"/>
      <w:marBottom w:val="0"/>
      <w:divBdr>
        <w:top w:val="none" w:sz="0" w:space="0" w:color="auto"/>
        <w:left w:val="none" w:sz="0" w:space="0" w:color="auto"/>
        <w:bottom w:val="none" w:sz="0" w:space="0" w:color="auto"/>
        <w:right w:val="none" w:sz="0" w:space="0" w:color="auto"/>
      </w:divBdr>
    </w:div>
    <w:div w:id="933824394">
      <w:bodyDiv w:val="1"/>
      <w:marLeft w:val="0"/>
      <w:marRight w:val="0"/>
      <w:marTop w:val="0"/>
      <w:marBottom w:val="0"/>
      <w:divBdr>
        <w:top w:val="none" w:sz="0" w:space="0" w:color="auto"/>
        <w:left w:val="none" w:sz="0" w:space="0" w:color="auto"/>
        <w:bottom w:val="none" w:sz="0" w:space="0" w:color="auto"/>
        <w:right w:val="none" w:sz="0" w:space="0" w:color="auto"/>
      </w:divBdr>
    </w:div>
    <w:div w:id="1167355656">
      <w:bodyDiv w:val="1"/>
      <w:marLeft w:val="0"/>
      <w:marRight w:val="0"/>
      <w:marTop w:val="0"/>
      <w:marBottom w:val="0"/>
      <w:divBdr>
        <w:top w:val="none" w:sz="0" w:space="0" w:color="auto"/>
        <w:left w:val="none" w:sz="0" w:space="0" w:color="auto"/>
        <w:bottom w:val="none" w:sz="0" w:space="0" w:color="auto"/>
        <w:right w:val="none" w:sz="0" w:space="0" w:color="auto"/>
      </w:divBdr>
    </w:div>
    <w:div w:id="1444113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D719F4-E5C9-4BEE-9BFB-66C07B7C17AD}"/>
</file>

<file path=customXml/itemProps2.xml><?xml version="1.0" encoding="utf-8"?>
<ds:datastoreItem xmlns:ds="http://schemas.openxmlformats.org/officeDocument/2006/customXml" ds:itemID="{BE1C4998-A7E7-496C-9619-818523A47CF5}"/>
</file>

<file path=customXml/itemProps3.xml><?xml version="1.0" encoding="utf-8"?>
<ds:datastoreItem xmlns:ds="http://schemas.openxmlformats.org/officeDocument/2006/customXml" ds:itemID="{AA6FEC49-3AF2-4267-8DAE-8611352EDDD0}"/>
</file>

<file path=docProps/app.xml><?xml version="1.0" encoding="utf-8"?>
<Properties xmlns="http://schemas.openxmlformats.org/officeDocument/2006/extended-properties" xmlns:vt="http://schemas.openxmlformats.org/officeDocument/2006/docPropsVTypes">
  <Template>Normal</Template>
  <TotalTime>131</TotalTime>
  <Pages>7</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10634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Robert</dc:creator>
  <cp:lastModifiedBy>Broom, Fergus</cp:lastModifiedBy>
  <cp:revision>9</cp:revision>
  <cp:lastPrinted>2016-03-16T05:03:00Z</cp:lastPrinted>
  <dcterms:created xsi:type="dcterms:W3CDTF">2016-03-17T20:59:00Z</dcterms:created>
  <dcterms:modified xsi:type="dcterms:W3CDTF">2016-03-18T01:07:00Z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4" name="ContentTypeId">
    <vt:lpwstr>0x0101001095AF07E9D52746B60E2F270CE938D2</vt:lpwstr>
  </property>
</Properties>
</file>