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6C1" w:rsidRPr="00EA76C1" w:rsidRDefault="00EA76C1" w:rsidP="00EA76C1">
      <w:pPr>
        <w:pStyle w:val="Title"/>
        <w:jc w:val="center"/>
        <w:rPr>
          <w:sz w:val="40"/>
          <w:szCs w:val="36"/>
        </w:rPr>
      </w:pPr>
      <w:r w:rsidRPr="00EA76C1">
        <w:rPr>
          <w:sz w:val="40"/>
          <w:szCs w:val="36"/>
        </w:rPr>
        <w:t xml:space="preserve">Maat for Peace’s Report </w:t>
      </w:r>
      <w:r w:rsidRPr="00EA76C1">
        <w:rPr>
          <w:sz w:val="40"/>
          <w:szCs w:val="36"/>
        </w:rPr>
        <w:t xml:space="preserve">to </w:t>
      </w:r>
      <w:r w:rsidRPr="00EA76C1">
        <w:rPr>
          <w:sz w:val="40"/>
          <w:szCs w:val="36"/>
        </w:rPr>
        <w:t xml:space="preserve">CMW </w:t>
      </w:r>
      <w:r w:rsidRPr="00EA76C1">
        <w:rPr>
          <w:sz w:val="40"/>
          <w:szCs w:val="36"/>
        </w:rPr>
        <w:t>regarding the list of issues of Egypt</w:t>
      </w:r>
      <w:r>
        <w:rPr>
          <w:sz w:val="40"/>
          <w:szCs w:val="36"/>
        </w:rPr>
        <w:t xml:space="preserve"> </w:t>
      </w:r>
      <w:r w:rsidRPr="00EA76C1">
        <w:rPr>
          <w:sz w:val="40"/>
          <w:szCs w:val="36"/>
        </w:rPr>
        <w:t>(May 2024)</w:t>
      </w:r>
    </w:p>
    <w:p w:rsidR="00EA76C1" w:rsidRPr="00EA76C1" w:rsidRDefault="00EA76C1" w:rsidP="001D2B80">
      <w:pPr>
        <w:spacing w:before="120" w:after="120"/>
        <w:jc w:val="both"/>
        <w:rPr>
          <w:rFonts w:asciiTheme="majorBidi" w:hAnsiTheme="majorBidi" w:cstheme="majorBidi"/>
          <w:sz w:val="24"/>
          <w:szCs w:val="24"/>
        </w:rPr>
      </w:pPr>
      <w:r w:rsidRPr="00EA76C1">
        <w:rPr>
          <w:rFonts w:asciiTheme="majorBidi" w:hAnsiTheme="majorBidi" w:cstheme="majorBidi"/>
          <w:b/>
          <w:bCs/>
          <w:sz w:val="24"/>
          <w:szCs w:val="24"/>
        </w:rPr>
        <w:t>Maat for Peace, Development, and Human Rights</w:t>
      </w:r>
      <w:r w:rsidRPr="00EA76C1">
        <w:rPr>
          <w:rFonts w:asciiTheme="majorBidi" w:hAnsiTheme="majorBidi" w:cstheme="majorBidi"/>
          <w:sz w:val="24"/>
          <w:szCs w:val="24"/>
        </w:rPr>
        <w:t xml:space="preserve"> hereby submits this report to Committee on Rights of Migrant Workers and Members of their Families. It is noteworthy that Egypt was the first country to ratify Convention on Rights of Migrant Workers and Members of their Families on February 19, 1993. The ratification was subsequently published in the Official Gazette on August 5, 1993. Prior to the preparation of this report, Maat conducted a thorough review of Egypt's combined report on the second, third, and fourth periodic reports concerning Convention on Protection of the Rights of All Migrant Workers and Members of their Families. Egypt submitted this report to the Committee on January 1, 2024. Notably, this report was initially due to be submitted in May 2018. Maat hopes that Egypt will expedite the submission of reports to United Nations Treaty Bodies.</w:t>
      </w:r>
    </w:p>
    <w:p w:rsidR="00EA76C1" w:rsidRPr="00EA76C1" w:rsidRDefault="00EA76C1" w:rsidP="001D2B80">
      <w:pPr>
        <w:spacing w:before="120" w:after="120"/>
        <w:ind w:firstLine="720"/>
        <w:jc w:val="both"/>
        <w:rPr>
          <w:rFonts w:asciiTheme="majorBidi" w:hAnsiTheme="majorBidi" w:cstheme="majorBidi"/>
          <w:sz w:val="24"/>
          <w:szCs w:val="24"/>
        </w:rPr>
      </w:pPr>
      <w:r w:rsidRPr="00EA76C1">
        <w:rPr>
          <w:rFonts w:asciiTheme="majorBidi" w:hAnsiTheme="majorBidi" w:cstheme="majorBidi"/>
          <w:sz w:val="24"/>
          <w:szCs w:val="24"/>
        </w:rPr>
        <w:t>Maat recognizes that the issue of migrant workers and their family members has become a significant topic of societal debate. This is largely due to the substantial increase in the number of migrants resulting from armed conflicts and wars in neighboring countries. While acknowledging the government's vision that regional instability and subsequent displacement pose fundamental challenges that create societal pressures, Maat firmly believes that these challenges should not deter Egyptian government from fulfilling its obligations under the Convention.</w:t>
      </w:r>
    </w:p>
    <w:p w:rsidR="00EA76C1" w:rsidRPr="00EA76C1" w:rsidRDefault="00EA76C1" w:rsidP="001D2B80">
      <w:pPr>
        <w:spacing w:before="120" w:after="120"/>
        <w:ind w:firstLine="720"/>
        <w:jc w:val="both"/>
        <w:rPr>
          <w:rFonts w:asciiTheme="majorBidi" w:hAnsiTheme="majorBidi" w:cstheme="majorBidi"/>
          <w:sz w:val="24"/>
          <w:szCs w:val="24"/>
        </w:rPr>
      </w:pPr>
      <w:r w:rsidRPr="00EA76C1">
        <w:rPr>
          <w:rFonts w:asciiTheme="majorBidi" w:hAnsiTheme="majorBidi" w:cstheme="majorBidi"/>
          <w:sz w:val="24"/>
          <w:szCs w:val="24"/>
        </w:rPr>
        <w:t>Egypt assumes the roles of a country of origin, destination, and transit, which further underscores the significance of this report. Maat commends Egyptian government for its extensive efforts to integrate migrants and their family members into Egyptian society. These efforts include providing them with medical care and granting them access to the presidential initiative "100 Million SIHA." Additionally, government ensures that certain nationalities receive education in government schools on an equal basis with citizens. These actions align with the United Nations Cooperation Framework for Sustainable Development 2023-2027, signed on May 11, 2023, between the Egyptian government and the United Nations. The framework aims to assist migrants in a manner that upholds the general principles of sustainable development goals, particularly the principle of leaving no one behind. Furthermore, Egypt launched the Joint Platform for Migrants and Refugees in November 2021. This platform brings together Egypt, UN agencies, development partners, civil organizations, and other stakeholders to enhance efforts in assisting migrants, refugees, and their host communities in Egypt.</w:t>
      </w:r>
    </w:p>
    <w:p w:rsidR="00EA76C1" w:rsidRPr="00EA76C1" w:rsidRDefault="00EA76C1" w:rsidP="001D2B80">
      <w:pPr>
        <w:spacing w:before="120" w:after="120"/>
        <w:ind w:firstLine="720"/>
        <w:jc w:val="both"/>
        <w:rPr>
          <w:rFonts w:asciiTheme="majorBidi" w:hAnsiTheme="majorBidi" w:cstheme="majorBidi"/>
          <w:sz w:val="24"/>
          <w:szCs w:val="24"/>
        </w:rPr>
      </w:pPr>
      <w:r w:rsidRPr="00EA76C1">
        <w:rPr>
          <w:rFonts w:asciiTheme="majorBidi" w:hAnsiTheme="majorBidi" w:cstheme="majorBidi"/>
          <w:sz w:val="24"/>
          <w:szCs w:val="24"/>
        </w:rPr>
        <w:t xml:space="preserve">Nevertheless, Maat retains concerns regarding the official data that acknowledges the lack of accurate statistics and regular data on migration flows to Egypt. Maat believes that this information holds utmost importance as it enables an understanding of the situation of migrant workers within the country and facilitates an evaluation of Convention's implementation. According to Central Agency for Public Mobilization and Statistics, the main challenges impeding the regular flow of data on migrants include </w:t>
      </w:r>
      <w:r w:rsidRPr="00EA76C1">
        <w:rPr>
          <w:rFonts w:asciiTheme="majorBidi" w:hAnsiTheme="majorBidi" w:cstheme="majorBidi"/>
          <w:sz w:val="24"/>
          <w:szCs w:val="24"/>
        </w:rPr>
        <w:lastRenderedPageBreak/>
        <w:t>insufficient cooperation between institutions involved in data collection, limited interest, and high costs. The most recent attempt to collect data in this context dates back to the 2013 Egypt Household Migration Survey.</w:t>
      </w:r>
    </w:p>
    <w:p w:rsidR="00EA76C1" w:rsidRPr="00EA76C1" w:rsidRDefault="00EA76C1" w:rsidP="00B86BB6">
      <w:pPr>
        <w:spacing w:before="120" w:after="120"/>
        <w:ind w:firstLine="720"/>
        <w:jc w:val="both"/>
        <w:rPr>
          <w:rFonts w:asciiTheme="majorBidi" w:hAnsiTheme="majorBidi" w:cstheme="majorBidi"/>
          <w:sz w:val="24"/>
          <w:szCs w:val="24"/>
        </w:rPr>
      </w:pPr>
      <w:r w:rsidRPr="00EA76C1">
        <w:rPr>
          <w:rFonts w:asciiTheme="majorBidi" w:hAnsiTheme="majorBidi" w:cstheme="majorBidi"/>
          <w:sz w:val="24"/>
          <w:szCs w:val="24"/>
        </w:rPr>
        <w:t>Maat also acknowledges the decree issued by the Prime Minister to establish a national committee, led by the Ministry of Foreign Affairs, to oversee the implementation of the Global Compact for Migration in collaboration with all relevant parties. While Maat appreciates this decree,</w:t>
      </w:r>
      <w:r w:rsidR="00B86BB6">
        <w:rPr>
          <w:rFonts w:asciiTheme="majorBidi" w:hAnsiTheme="majorBidi" w:cstheme="majorBidi"/>
          <w:sz w:val="24"/>
          <w:szCs w:val="24"/>
        </w:rPr>
        <w:t xml:space="preserve"> Maat</w:t>
      </w:r>
      <w:bookmarkStart w:id="0" w:name="_GoBack"/>
      <w:bookmarkEnd w:id="0"/>
      <w:r w:rsidRPr="00EA76C1">
        <w:rPr>
          <w:rFonts w:asciiTheme="majorBidi" w:hAnsiTheme="majorBidi" w:cstheme="majorBidi"/>
          <w:sz w:val="24"/>
          <w:szCs w:val="24"/>
        </w:rPr>
        <w:t xml:space="preserve"> notes that it lacks the participation of other stakeholders, such as specialized national councils and civil society, in implementing the Convention. According to data from the International Organization for Migration, the current number of migrants in Egypt stands at nine million, with Sudanese, Syrian, Libyan, and Yemeni nationals comprising 80% of this migrant population.</w:t>
      </w:r>
      <w:r w:rsidRPr="00EA76C1">
        <w:rPr>
          <w:rStyle w:val="FootnoteReference"/>
          <w:rFonts w:asciiTheme="majorBidi" w:hAnsiTheme="majorBidi" w:cstheme="majorBidi"/>
          <w:sz w:val="24"/>
          <w:szCs w:val="24"/>
        </w:rPr>
        <w:footnoteReference w:id="1"/>
      </w:r>
      <w:r w:rsidRPr="00EA76C1">
        <w:rPr>
          <w:rFonts w:asciiTheme="majorBidi" w:hAnsiTheme="majorBidi" w:cstheme="majorBidi"/>
          <w:sz w:val="24"/>
          <w:szCs w:val="24"/>
        </w:rPr>
        <w:t xml:space="preserve"> These statistics align closely with Egyptian data, which indicates the presence of nine million foreigners, including both legal and illegal migrants as well as refugees.</w:t>
      </w:r>
      <w:r w:rsidRPr="00EA76C1">
        <w:rPr>
          <w:rStyle w:val="FootnoteReference"/>
          <w:rFonts w:asciiTheme="majorBidi" w:hAnsiTheme="majorBidi" w:cstheme="majorBidi"/>
          <w:sz w:val="24"/>
          <w:szCs w:val="24"/>
        </w:rPr>
        <w:footnoteReference w:id="2"/>
      </w:r>
      <w:r w:rsidRPr="00EA76C1">
        <w:rPr>
          <w:rFonts w:asciiTheme="majorBidi" w:hAnsiTheme="majorBidi" w:cstheme="majorBidi"/>
          <w:sz w:val="24"/>
          <w:szCs w:val="24"/>
        </w:rPr>
        <w:t xml:space="preserve"> This report primarily focuses on Egypt's progress in implementing Convention for Protection of Rights of Migrant Workers and Members of Their Families (hereinafter referred to as “Convention”), as well as the challenges that Maat believes still hinder the optimal implementation of Convention.</w:t>
      </w:r>
    </w:p>
    <w:p w:rsidR="00EA76C1" w:rsidRPr="00EA76C1" w:rsidRDefault="00EA76C1" w:rsidP="001D2B80">
      <w:pPr>
        <w:spacing w:before="120" w:after="120"/>
        <w:jc w:val="both"/>
        <w:rPr>
          <w:rFonts w:asciiTheme="majorBidi" w:hAnsiTheme="majorBidi" w:cstheme="majorBidi"/>
          <w:b/>
          <w:bCs/>
          <w:color w:val="002060"/>
          <w:sz w:val="24"/>
          <w:szCs w:val="24"/>
        </w:rPr>
      </w:pPr>
      <w:r w:rsidRPr="00EA76C1">
        <w:rPr>
          <w:rFonts w:asciiTheme="majorBidi" w:hAnsiTheme="majorBidi" w:cstheme="majorBidi"/>
          <w:b/>
          <w:bCs/>
          <w:color w:val="002060"/>
          <w:sz w:val="24"/>
          <w:szCs w:val="24"/>
        </w:rPr>
        <w:t>First: General Principles</w:t>
      </w:r>
    </w:p>
    <w:p w:rsidR="00EA76C1" w:rsidRPr="00EA76C1" w:rsidRDefault="00EA76C1" w:rsidP="001D2B80">
      <w:pPr>
        <w:spacing w:before="120" w:after="120"/>
        <w:ind w:firstLine="720"/>
        <w:jc w:val="both"/>
        <w:rPr>
          <w:rFonts w:asciiTheme="majorBidi" w:hAnsiTheme="majorBidi" w:cstheme="majorBidi"/>
          <w:sz w:val="24"/>
          <w:szCs w:val="24"/>
        </w:rPr>
      </w:pPr>
      <w:r w:rsidRPr="00EA76C1">
        <w:rPr>
          <w:rFonts w:asciiTheme="majorBidi" w:hAnsiTheme="majorBidi" w:cstheme="majorBidi"/>
          <w:sz w:val="24"/>
          <w:szCs w:val="24"/>
        </w:rPr>
        <w:t>This section addresses the general principles outlined in Convention, which are vital components and encompass the principles of non-discrimination, effective remedies, and imperative nature of implementing Convention.</w:t>
      </w:r>
    </w:p>
    <w:p w:rsidR="00EA76C1" w:rsidRPr="00EA76C1" w:rsidRDefault="00EA76C1" w:rsidP="00EA76C1">
      <w:pPr>
        <w:pStyle w:val="ListParagraph"/>
        <w:numPr>
          <w:ilvl w:val="0"/>
          <w:numId w:val="19"/>
        </w:numPr>
        <w:spacing w:before="120" w:after="120" w:line="240" w:lineRule="auto"/>
        <w:contextualSpacing w:val="0"/>
        <w:jc w:val="both"/>
        <w:rPr>
          <w:rFonts w:asciiTheme="majorBidi" w:hAnsiTheme="majorBidi" w:cstheme="majorBidi"/>
          <w:b/>
          <w:bCs/>
          <w:color w:val="002060"/>
          <w:sz w:val="24"/>
          <w:szCs w:val="24"/>
        </w:rPr>
      </w:pPr>
      <w:r w:rsidRPr="00EA76C1">
        <w:rPr>
          <w:rFonts w:asciiTheme="majorBidi" w:hAnsiTheme="majorBidi" w:cstheme="majorBidi"/>
          <w:b/>
          <w:bCs/>
          <w:color w:val="002060"/>
          <w:sz w:val="24"/>
          <w:szCs w:val="24"/>
        </w:rPr>
        <w:t>Non-discrimination against Migrants (Article 1, paragraph 1, and Article 7)</w:t>
      </w:r>
    </w:p>
    <w:p w:rsidR="00EA76C1" w:rsidRPr="00EA76C1" w:rsidRDefault="00EA76C1" w:rsidP="001D2B80">
      <w:pPr>
        <w:spacing w:before="120" w:after="120"/>
        <w:jc w:val="both"/>
        <w:rPr>
          <w:rFonts w:asciiTheme="majorBidi" w:hAnsiTheme="majorBidi" w:cstheme="majorBidi"/>
          <w:sz w:val="24"/>
          <w:szCs w:val="24"/>
        </w:rPr>
      </w:pPr>
      <w:r w:rsidRPr="00EA76C1">
        <w:rPr>
          <w:rFonts w:asciiTheme="majorBidi" w:hAnsiTheme="majorBidi" w:cstheme="majorBidi"/>
          <w:sz w:val="24"/>
          <w:szCs w:val="24"/>
        </w:rPr>
        <w:t>Maat has reviewed Egypt's responses in its comprehensive report regarding implementation of first paragraph of Article 1 and Article 7 of Convention, which pertain to the principle of non-discrimination against migrants. In this context, Maat acknowledges the steps taken by the Egyptian government, particularly in the healthcare sector. For instance, the executive regulations of Law No. 2 of 2018 concerning comprehensive health insurance allow the provision of services to foreigners residing or arriving in the Arab Republic of Egypt under the regulations and requirements set by the Comprehensive Health Insurance Authority, while adhering to the principle of. However, Maat notes that foreigners often fail to access these services due to a lack of awareness regarding Egyptian legislation and laws. Egypt also extends healthcare services to migrants, including them in the presidential initiative "100 Million SIHA."</w:t>
      </w:r>
      <w:r w:rsidRPr="00EA76C1">
        <w:rPr>
          <w:rStyle w:val="FootnoteReference"/>
          <w:rFonts w:asciiTheme="majorBidi" w:hAnsiTheme="majorBidi" w:cstheme="majorBidi"/>
          <w:sz w:val="24"/>
          <w:szCs w:val="24"/>
        </w:rPr>
        <w:footnoteReference w:id="3"/>
      </w:r>
      <w:r w:rsidRPr="00EA76C1">
        <w:rPr>
          <w:rFonts w:asciiTheme="majorBidi" w:hAnsiTheme="majorBidi" w:cstheme="majorBidi"/>
          <w:sz w:val="24"/>
          <w:szCs w:val="24"/>
        </w:rPr>
        <w:t xml:space="preserve"> Despite the introduction of various mechanisms to facilitate the integration of migrants and refugees into the healthcare system, a significant number of them, especially those living in vulnerable situations, hesitate to seek healthcare and primarily rely on assistance provided by United Nations agencies and other international organizations. In the field of education, Maat highlights the decisions issued by Ministry of Education and Higher Education in November 2023, which allow children of Syrian nationality to enroll in government schools.</w:t>
      </w:r>
      <w:r w:rsidRPr="00EA76C1">
        <w:rPr>
          <w:rStyle w:val="FootnoteReference"/>
          <w:rFonts w:asciiTheme="majorBidi" w:hAnsiTheme="majorBidi" w:cstheme="majorBidi"/>
          <w:sz w:val="24"/>
          <w:szCs w:val="24"/>
        </w:rPr>
        <w:footnoteReference w:id="4"/>
      </w:r>
    </w:p>
    <w:p w:rsidR="00EA76C1" w:rsidRPr="00EA76C1" w:rsidRDefault="00EA76C1" w:rsidP="001D2B80">
      <w:pPr>
        <w:spacing w:before="120" w:after="120"/>
        <w:ind w:firstLine="720"/>
        <w:jc w:val="both"/>
        <w:rPr>
          <w:rFonts w:asciiTheme="majorBidi" w:hAnsiTheme="majorBidi" w:cstheme="majorBidi"/>
          <w:sz w:val="24"/>
          <w:szCs w:val="24"/>
        </w:rPr>
      </w:pPr>
      <w:r w:rsidRPr="00EA76C1">
        <w:rPr>
          <w:rFonts w:asciiTheme="majorBidi" w:hAnsiTheme="majorBidi" w:cstheme="majorBidi"/>
          <w:sz w:val="24"/>
          <w:szCs w:val="24"/>
        </w:rPr>
        <w:t>However, Maat remains concerned about the delay in establishing Anti-Discrimination Commission, which represents a constitutional obligation under Article 53 of the 2014 Egyptian Constitution, amended in 2019. The establishment of the Commission also aligns with the outcomes of the National Dialogue,</w:t>
      </w:r>
      <w:r w:rsidRPr="00EA76C1">
        <w:rPr>
          <w:rStyle w:val="FootnoteReference"/>
          <w:rFonts w:asciiTheme="majorBidi" w:hAnsiTheme="majorBidi" w:cstheme="majorBidi"/>
          <w:sz w:val="24"/>
          <w:szCs w:val="24"/>
        </w:rPr>
        <w:footnoteReference w:id="5"/>
      </w:r>
      <w:r w:rsidRPr="00EA76C1">
        <w:rPr>
          <w:rFonts w:asciiTheme="majorBidi" w:hAnsiTheme="majorBidi" w:cstheme="majorBidi"/>
          <w:sz w:val="24"/>
          <w:szCs w:val="24"/>
        </w:rPr>
        <w:t xml:space="preserve"> made public in August 2023, which emphasized the necessity of establishing the Commission. The fifth paragraph of the National Dialogue outcomes underlined the significance of implementing the constitutional provision within Article 53, which pertains to enacting a law regulating the establishment and management of the Commission for the Prevention of Discrimination. The outcomes emphasized the urgency of establishing Commission under constitutional mandate.</w:t>
      </w:r>
    </w:p>
    <w:p w:rsidR="00EA76C1" w:rsidRPr="00EA76C1" w:rsidRDefault="00EA76C1" w:rsidP="00EA76C1">
      <w:pPr>
        <w:pStyle w:val="ListParagraph"/>
        <w:numPr>
          <w:ilvl w:val="0"/>
          <w:numId w:val="19"/>
        </w:numPr>
        <w:spacing w:before="120" w:after="120" w:line="240" w:lineRule="auto"/>
        <w:contextualSpacing w:val="0"/>
        <w:jc w:val="both"/>
        <w:rPr>
          <w:rFonts w:asciiTheme="majorBidi" w:hAnsiTheme="majorBidi" w:cstheme="majorBidi"/>
          <w:b/>
          <w:bCs/>
          <w:color w:val="002060"/>
          <w:sz w:val="24"/>
          <w:szCs w:val="24"/>
        </w:rPr>
      </w:pPr>
      <w:r w:rsidRPr="00EA76C1">
        <w:rPr>
          <w:rFonts w:asciiTheme="majorBidi" w:hAnsiTheme="majorBidi" w:cstheme="majorBidi"/>
          <w:b/>
          <w:bCs/>
          <w:color w:val="002060"/>
          <w:sz w:val="24"/>
          <w:szCs w:val="24"/>
        </w:rPr>
        <w:t>Effective Remedies (Article 83)</w:t>
      </w:r>
    </w:p>
    <w:p w:rsidR="00EA76C1" w:rsidRPr="00EA76C1" w:rsidRDefault="00EA76C1" w:rsidP="001D2B80">
      <w:pPr>
        <w:spacing w:before="120" w:after="120"/>
        <w:jc w:val="both"/>
        <w:rPr>
          <w:rFonts w:asciiTheme="majorBidi" w:hAnsiTheme="majorBidi" w:cstheme="majorBidi"/>
          <w:sz w:val="24"/>
          <w:szCs w:val="24"/>
        </w:rPr>
      </w:pPr>
      <w:r w:rsidRPr="00EA76C1">
        <w:rPr>
          <w:rFonts w:asciiTheme="majorBidi" w:hAnsiTheme="majorBidi" w:cstheme="majorBidi"/>
          <w:sz w:val="24"/>
          <w:szCs w:val="24"/>
        </w:rPr>
        <w:t>Maat has been informed about recent developments and measures taken to ensure effective remedies under Article 83 of Convention. One notable incident occurred in June 2019 when the Public Prosecution referred two defendants to criminal trial for bullying a child from South Sudan. The defendants were charged with insulting the victim, attacking him in a manner that violated his honor and dignity, and perpetuating discrimination based on his origin. Additionally, they violated the victim's privacy by publishing a video clip of the attack without his consent. Misdemeanor Court sentenced the defendants to two years in prison and imposed a fine of one hundred thousand pounds.</w:t>
      </w:r>
    </w:p>
    <w:p w:rsidR="00EA76C1" w:rsidRPr="00EA76C1" w:rsidRDefault="00EA76C1" w:rsidP="001D2B80">
      <w:pPr>
        <w:spacing w:before="120" w:after="120"/>
        <w:ind w:firstLine="720"/>
        <w:jc w:val="both"/>
        <w:rPr>
          <w:rFonts w:asciiTheme="majorBidi" w:hAnsiTheme="majorBidi" w:cstheme="majorBidi"/>
          <w:sz w:val="24"/>
          <w:szCs w:val="24"/>
        </w:rPr>
      </w:pPr>
      <w:r w:rsidRPr="00EA76C1">
        <w:rPr>
          <w:rFonts w:asciiTheme="majorBidi" w:hAnsiTheme="majorBidi" w:cstheme="majorBidi"/>
          <w:sz w:val="24"/>
          <w:szCs w:val="24"/>
        </w:rPr>
        <w:t>In another recent incident, specifically in April 2024, Egyptian security forces arrested the perpetrator of the rape of a Sudanese child in Kilo four and a half of Nasr City. The perpetrator had kidnapped a girl who was under 15 months old from her home and committed the heinous act in a nearby location. The Egyptian Public Prosecution has referred the perpetrator for criminal trial.</w:t>
      </w:r>
      <w:r w:rsidRPr="00EA76C1">
        <w:rPr>
          <w:rStyle w:val="FootnoteReference"/>
          <w:rFonts w:asciiTheme="majorBidi" w:hAnsiTheme="majorBidi" w:cstheme="majorBidi"/>
          <w:sz w:val="24"/>
          <w:szCs w:val="24"/>
        </w:rPr>
        <w:footnoteReference w:id="6"/>
      </w:r>
      <w:r w:rsidRPr="00EA76C1">
        <w:rPr>
          <w:rFonts w:asciiTheme="majorBidi" w:hAnsiTheme="majorBidi" w:cstheme="majorBidi"/>
          <w:sz w:val="24"/>
          <w:szCs w:val="24"/>
        </w:rPr>
        <w:t xml:space="preserve"> It is worth mentioning that some reports indicate the hesitancy of migrant and foreign workers in Egypt to seek justice due to their limited knowledge of the legal mechanisms and available administrative remedies.</w:t>
      </w:r>
    </w:p>
    <w:p w:rsidR="00EA76C1" w:rsidRPr="00EA76C1" w:rsidRDefault="00EA76C1" w:rsidP="00EA76C1">
      <w:pPr>
        <w:pStyle w:val="ListParagraph"/>
        <w:numPr>
          <w:ilvl w:val="0"/>
          <w:numId w:val="19"/>
        </w:numPr>
        <w:spacing w:before="120" w:after="120" w:line="240" w:lineRule="auto"/>
        <w:contextualSpacing w:val="0"/>
        <w:jc w:val="both"/>
        <w:rPr>
          <w:rFonts w:asciiTheme="majorBidi" w:hAnsiTheme="majorBidi" w:cstheme="majorBidi"/>
          <w:b/>
          <w:bCs/>
          <w:color w:val="002060"/>
          <w:sz w:val="24"/>
          <w:szCs w:val="24"/>
        </w:rPr>
      </w:pPr>
      <w:r w:rsidRPr="00EA76C1">
        <w:rPr>
          <w:rFonts w:asciiTheme="majorBidi" w:hAnsiTheme="majorBidi" w:cstheme="majorBidi"/>
          <w:b/>
          <w:bCs/>
          <w:color w:val="002060"/>
          <w:sz w:val="24"/>
          <w:szCs w:val="24"/>
        </w:rPr>
        <w:t>Duty to Implement Convention</w:t>
      </w:r>
    </w:p>
    <w:p w:rsidR="00EA76C1" w:rsidRPr="00EA76C1" w:rsidRDefault="00EA76C1" w:rsidP="001D2B80">
      <w:pPr>
        <w:spacing w:before="120" w:after="120"/>
        <w:jc w:val="both"/>
        <w:rPr>
          <w:rFonts w:asciiTheme="majorBidi" w:hAnsiTheme="majorBidi" w:cstheme="majorBidi"/>
          <w:sz w:val="24"/>
          <w:szCs w:val="24"/>
        </w:rPr>
      </w:pPr>
      <w:r w:rsidRPr="00EA76C1">
        <w:rPr>
          <w:rFonts w:asciiTheme="majorBidi" w:hAnsiTheme="majorBidi" w:cstheme="majorBidi"/>
          <w:sz w:val="24"/>
          <w:szCs w:val="24"/>
        </w:rPr>
        <w:t>Egypt holds the distinction of being the first member state of the United Nations to ratify the International Convention on the Protection of the Rights of All Migrant Workers and Members of Their Families in February 1993.</w:t>
      </w:r>
      <w:r w:rsidRPr="00EA76C1">
        <w:rPr>
          <w:rStyle w:val="FootnoteReference"/>
          <w:rFonts w:asciiTheme="majorBidi" w:hAnsiTheme="majorBidi" w:cstheme="majorBidi"/>
          <w:sz w:val="24"/>
          <w:szCs w:val="24"/>
        </w:rPr>
        <w:footnoteReference w:id="7"/>
      </w:r>
      <w:r w:rsidRPr="00EA76C1">
        <w:rPr>
          <w:rFonts w:asciiTheme="majorBidi" w:hAnsiTheme="majorBidi" w:cstheme="majorBidi"/>
          <w:sz w:val="24"/>
          <w:szCs w:val="24"/>
        </w:rPr>
        <w:t xml:space="preserve"> Looking at the amended Egyptian Constitution of 2019, we find that it grants ratified international human rights Conventions a special status, endowing them with the force of domestic law. Article 93 stipulates that "the state shall abide by the ratified international human rights Conventions, covenants, and conventions, which shall acquire the force of law after being published under established procedures." This necessitates the legislative authority to consider and adhere to international human rights conventions when approving or discussing any legislation, ensuring that its provisions do not conflict with the Convention's provisions. Maat has examined other judicial precedents, including those of the Supreme Constitutional Court in Case No. 131 of the 39th Constitutional Judicial Year in 2019 and Case No. 114 of the 29th Constitutional Judicial Year in 2017. These precedents highlight that the enactment of laws by the legislative authority that contravenes Egypt's obligations under international human rights Conventions is in direct violation of the Constitution and constitutes a breach of constitutional obligations.</w:t>
      </w:r>
    </w:p>
    <w:p w:rsidR="00EA76C1" w:rsidRPr="00EA76C1" w:rsidRDefault="00EA76C1" w:rsidP="001D2B80">
      <w:pPr>
        <w:spacing w:before="120" w:after="120"/>
        <w:jc w:val="both"/>
        <w:rPr>
          <w:rFonts w:asciiTheme="majorBidi" w:hAnsiTheme="majorBidi" w:cstheme="majorBidi"/>
          <w:b/>
          <w:bCs/>
          <w:color w:val="002060"/>
          <w:sz w:val="24"/>
          <w:szCs w:val="24"/>
        </w:rPr>
      </w:pPr>
      <w:r w:rsidRPr="00EA76C1">
        <w:rPr>
          <w:rFonts w:asciiTheme="majorBidi" w:hAnsiTheme="majorBidi" w:cstheme="majorBidi"/>
          <w:b/>
          <w:bCs/>
          <w:color w:val="002060"/>
          <w:sz w:val="24"/>
          <w:szCs w:val="24"/>
        </w:rPr>
        <w:t>Second: Implementing Part Three of Convention on the Human Rights of all Migrant Workers and Members of Their Families</w:t>
      </w:r>
    </w:p>
    <w:p w:rsidR="00EA76C1" w:rsidRPr="00EA76C1" w:rsidRDefault="00EA76C1" w:rsidP="00EA76C1">
      <w:pPr>
        <w:pStyle w:val="ListParagraph"/>
        <w:numPr>
          <w:ilvl w:val="0"/>
          <w:numId w:val="20"/>
        </w:numPr>
        <w:spacing w:before="120" w:after="120" w:line="240" w:lineRule="auto"/>
        <w:contextualSpacing w:val="0"/>
        <w:jc w:val="both"/>
        <w:rPr>
          <w:rFonts w:asciiTheme="majorBidi" w:hAnsiTheme="majorBidi" w:cstheme="majorBidi"/>
          <w:b/>
          <w:bCs/>
          <w:color w:val="17365D" w:themeColor="text2" w:themeShade="BF"/>
          <w:sz w:val="24"/>
          <w:szCs w:val="24"/>
        </w:rPr>
      </w:pPr>
      <w:r w:rsidRPr="00EA76C1">
        <w:rPr>
          <w:rFonts w:asciiTheme="majorBidi" w:hAnsiTheme="majorBidi" w:cstheme="majorBidi"/>
          <w:b/>
          <w:bCs/>
          <w:color w:val="17365D" w:themeColor="text2" w:themeShade="BF"/>
          <w:sz w:val="24"/>
          <w:szCs w:val="24"/>
        </w:rPr>
        <w:t>Right of Migrant Worker to Be Free to Leave any State, Including Their State of Origin, and to Return to it (Article 8)</w:t>
      </w:r>
    </w:p>
    <w:p w:rsidR="00EA76C1" w:rsidRPr="00EA76C1" w:rsidRDefault="00EA76C1" w:rsidP="001D2B80">
      <w:pPr>
        <w:spacing w:before="120" w:after="120"/>
        <w:jc w:val="both"/>
        <w:rPr>
          <w:rFonts w:asciiTheme="majorBidi" w:hAnsiTheme="majorBidi" w:cstheme="majorBidi"/>
          <w:sz w:val="24"/>
          <w:szCs w:val="24"/>
        </w:rPr>
      </w:pPr>
      <w:r w:rsidRPr="00EA76C1">
        <w:rPr>
          <w:rFonts w:asciiTheme="majorBidi" w:hAnsiTheme="majorBidi" w:cstheme="majorBidi"/>
          <w:sz w:val="24"/>
          <w:szCs w:val="24"/>
        </w:rPr>
        <w:t>Maat has reviewed the measures outlined in the comprehensive report of the Egyptian state, particularly concerning Article 62 of the Constitution, which addresses freedom of movement, residence, and migration. The article stipulates that no citizen may be deported from the country's territory or prevented from returning to it. Moreover, no citizen may be restricted from leaving the country, subjected to house arrest, or prohibited from residing in a specific place except by a justified judicial order and for a specific period.</w:t>
      </w:r>
    </w:p>
    <w:p w:rsidR="00EA76C1" w:rsidRPr="00EA76C1" w:rsidRDefault="00EA76C1" w:rsidP="001D2B80">
      <w:pPr>
        <w:spacing w:before="120" w:after="120"/>
        <w:ind w:firstLine="720"/>
        <w:jc w:val="both"/>
        <w:rPr>
          <w:rFonts w:asciiTheme="majorBidi" w:hAnsiTheme="majorBidi" w:cstheme="majorBidi"/>
          <w:sz w:val="24"/>
          <w:szCs w:val="24"/>
        </w:rPr>
      </w:pPr>
      <w:r w:rsidRPr="00EA76C1">
        <w:rPr>
          <w:rFonts w:asciiTheme="majorBidi" w:hAnsiTheme="majorBidi" w:cstheme="majorBidi"/>
          <w:sz w:val="24"/>
          <w:szCs w:val="24"/>
        </w:rPr>
        <w:t>Law No. 89 of 1960, which governs the entry, residence, and exit of foreigners in the Arab Republic of Egypt, also regulates the conditions and procedures for foreign residence. The deportation of foreigners with special residency is contingent upon their presence posing a threat to the security or safety of the state, whether within its borders or abroad, as well as its national economy, public health, public morals, or public tranquility.</w:t>
      </w:r>
      <w:r w:rsidRPr="00EA76C1">
        <w:rPr>
          <w:rStyle w:val="FootnoteReference"/>
          <w:rFonts w:asciiTheme="majorBidi" w:hAnsiTheme="majorBidi" w:cstheme="majorBidi"/>
          <w:sz w:val="24"/>
          <w:szCs w:val="24"/>
        </w:rPr>
        <w:footnoteReference w:id="8"/>
      </w:r>
      <w:r w:rsidRPr="00EA76C1">
        <w:rPr>
          <w:rFonts w:asciiTheme="majorBidi" w:hAnsiTheme="majorBidi" w:cstheme="majorBidi"/>
          <w:sz w:val="24"/>
          <w:szCs w:val="24"/>
        </w:rPr>
        <w:t xml:space="preserve"> The process of issuing deportation decisions involves several steps. Each case is examined individually to determine the objective and legal grounds that warrant deportation. The person in question is then summoned, questioned, and allowed to provide necessary clarifications in the presence of a lawyer, an embassy representative, and a translator. Ultimately, the deportation decision is issued by the Minister of the Interior, subject to the approval of a committee composed of representatives from relevant government agencies. In all cases, this decision can be appealed, and its cancellation can be sought before the Council of State. It is also possible to request an urgent suspension of its implementation. Concerning the implementation of the second paragraph of Article 8 of the Convention, Maat has not observed any obstacles preventing Egyptian migrant workers who travel abroad for work from returning to their home country.</w:t>
      </w:r>
    </w:p>
    <w:p w:rsidR="00EA76C1" w:rsidRPr="00EA76C1" w:rsidRDefault="00EA76C1" w:rsidP="00EA76C1">
      <w:pPr>
        <w:pStyle w:val="ListParagraph"/>
        <w:numPr>
          <w:ilvl w:val="0"/>
          <w:numId w:val="20"/>
        </w:numPr>
        <w:spacing w:before="120" w:after="120" w:line="240" w:lineRule="auto"/>
        <w:contextualSpacing w:val="0"/>
        <w:jc w:val="both"/>
        <w:rPr>
          <w:rFonts w:asciiTheme="majorBidi" w:hAnsiTheme="majorBidi" w:cstheme="majorBidi"/>
          <w:b/>
          <w:bCs/>
          <w:color w:val="002060"/>
          <w:sz w:val="24"/>
          <w:szCs w:val="24"/>
        </w:rPr>
      </w:pPr>
      <w:r w:rsidRPr="00EA76C1">
        <w:rPr>
          <w:rFonts w:asciiTheme="majorBidi" w:hAnsiTheme="majorBidi" w:cstheme="majorBidi"/>
          <w:b/>
          <w:bCs/>
          <w:color w:val="002060"/>
          <w:sz w:val="24"/>
          <w:szCs w:val="24"/>
        </w:rPr>
        <w:t>Prohibition of Slavery and Forced Labor (Article 11)</w:t>
      </w:r>
    </w:p>
    <w:p w:rsidR="00EA76C1" w:rsidRPr="00EA76C1" w:rsidRDefault="00EA76C1" w:rsidP="001D2B80">
      <w:pPr>
        <w:spacing w:before="120" w:after="120"/>
        <w:jc w:val="both"/>
        <w:rPr>
          <w:rFonts w:asciiTheme="majorBidi" w:hAnsiTheme="majorBidi" w:cstheme="majorBidi"/>
          <w:sz w:val="24"/>
          <w:szCs w:val="24"/>
        </w:rPr>
      </w:pPr>
      <w:r w:rsidRPr="00EA76C1">
        <w:rPr>
          <w:rFonts w:asciiTheme="majorBidi" w:hAnsiTheme="majorBidi" w:cstheme="majorBidi"/>
          <w:sz w:val="24"/>
          <w:szCs w:val="24"/>
        </w:rPr>
        <w:t>Maat highlights that forced labor is a criminal offense as per Article 117 of the Penal Code. Article 291 of the Penal Code further stipulates that "anyone who sells a child shall be punished with aggravated imprisonment for a minimum of five years and a fine ranging from fifty thousand to two hundred thousand pounds." This applies to individuals involved in the sale, purchase, offering for sale, delivery, receipt, or transportation of a child as a slave, as well as those who sexually or commercially exploit them, subject them to forced labor, or employ them for other illegal purposes. Even if the crime occurs outside the country, anyone who facilitates such acts or incites them shall be subject to the same penalty. Maat expresses the hope that the government will include in its periodic report to the committee the recent measures taken by Egypt, rather than referring to the initial report submitted earlier, which may not be up to date due to additional practices that have occurred since then. It is important to note that domestic workers, including female migrant workers, are not covered by the protection provided under the Labor Law, unlike other foreign workers.</w:t>
      </w:r>
    </w:p>
    <w:p w:rsidR="00EA76C1" w:rsidRPr="00EA76C1" w:rsidRDefault="00EA76C1" w:rsidP="00EA76C1">
      <w:pPr>
        <w:pStyle w:val="ListParagraph"/>
        <w:numPr>
          <w:ilvl w:val="0"/>
          <w:numId w:val="20"/>
        </w:numPr>
        <w:spacing w:before="120" w:after="120" w:line="240" w:lineRule="auto"/>
        <w:contextualSpacing w:val="0"/>
        <w:jc w:val="both"/>
        <w:rPr>
          <w:rFonts w:asciiTheme="majorBidi" w:hAnsiTheme="majorBidi" w:cstheme="majorBidi"/>
          <w:b/>
          <w:bCs/>
          <w:color w:val="002060"/>
          <w:sz w:val="24"/>
          <w:szCs w:val="24"/>
        </w:rPr>
      </w:pPr>
      <w:r w:rsidRPr="00EA76C1">
        <w:rPr>
          <w:rFonts w:asciiTheme="majorBidi" w:hAnsiTheme="majorBidi" w:cstheme="majorBidi"/>
          <w:b/>
          <w:bCs/>
          <w:color w:val="002060"/>
          <w:sz w:val="24"/>
          <w:szCs w:val="24"/>
        </w:rPr>
        <w:t>Prohibition of Arbitrary Deprivation of Property (Article 15)</w:t>
      </w:r>
    </w:p>
    <w:p w:rsidR="00EA76C1" w:rsidRPr="00EA76C1" w:rsidRDefault="00EA76C1" w:rsidP="001D2B80">
      <w:pPr>
        <w:spacing w:before="120" w:after="120"/>
        <w:jc w:val="both"/>
        <w:rPr>
          <w:rFonts w:asciiTheme="majorBidi" w:hAnsiTheme="majorBidi" w:cstheme="majorBidi"/>
          <w:sz w:val="24"/>
          <w:szCs w:val="24"/>
        </w:rPr>
      </w:pPr>
      <w:r w:rsidRPr="00EA76C1">
        <w:rPr>
          <w:rFonts w:asciiTheme="majorBidi" w:hAnsiTheme="majorBidi" w:cstheme="majorBidi"/>
          <w:sz w:val="24"/>
          <w:szCs w:val="24"/>
        </w:rPr>
        <w:t>Maat has reviewed the developments outlined in the comprehensive report submitted by Egypt to the committee, which includes Egyptian legislation safeguarding the right to private property. In a related context, Maat acknowledges the recent decisions made by the Egyptian government allowing foreigners, including migrant workers and their families, to own real estate in Egypt. On July 5, 2023, the Egyptian Council of Ministers approved a legislative amendment to Article 2 of Law No. 230 of 1996, which regulates non-Egyptians' ownership of built real estate and vacant lands. This amendment allows foreigners to own more than two properties in different cities, provided they are granted temporary residency in return. The legislative amendment permits foreigners to own real estate, including residential properties, subject to the condition that the payment is made in foreign currency, which can only be transferred from abroad to one of the state's banks. Maat has examined official reports that indicate these measures were implemented to boost foreign currency reserves and promote foreign investment.</w:t>
      </w:r>
    </w:p>
    <w:p w:rsidR="00EA76C1" w:rsidRPr="00EA76C1" w:rsidRDefault="00EA76C1" w:rsidP="00EA76C1">
      <w:pPr>
        <w:pStyle w:val="ListParagraph"/>
        <w:numPr>
          <w:ilvl w:val="0"/>
          <w:numId w:val="20"/>
        </w:numPr>
        <w:spacing w:before="120" w:after="120" w:line="240" w:lineRule="auto"/>
        <w:contextualSpacing w:val="0"/>
        <w:jc w:val="both"/>
        <w:rPr>
          <w:rFonts w:asciiTheme="majorBidi" w:hAnsiTheme="majorBidi" w:cstheme="majorBidi"/>
          <w:b/>
          <w:bCs/>
          <w:color w:val="002060"/>
          <w:sz w:val="24"/>
          <w:szCs w:val="24"/>
        </w:rPr>
      </w:pPr>
      <w:r w:rsidRPr="00EA76C1">
        <w:rPr>
          <w:rFonts w:asciiTheme="majorBidi" w:hAnsiTheme="majorBidi" w:cstheme="majorBidi"/>
          <w:b/>
          <w:bCs/>
          <w:color w:val="002060"/>
          <w:sz w:val="24"/>
          <w:szCs w:val="24"/>
        </w:rPr>
        <w:t>Right to Equality in Work and Pay (Article 25)</w:t>
      </w:r>
    </w:p>
    <w:p w:rsidR="00EA76C1" w:rsidRPr="00EA76C1" w:rsidRDefault="00EA76C1" w:rsidP="001D2B80">
      <w:pPr>
        <w:spacing w:before="120" w:after="120"/>
        <w:jc w:val="both"/>
        <w:rPr>
          <w:rFonts w:asciiTheme="majorBidi" w:hAnsiTheme="majorBidi" w:cstheme="majorBidi"/>
          <w:sz w:val="24"/>
          <w:szCs w:val="24"/>
        </w:rPr>
      </w:pPr>
      <w:r w:rsidRPr="00EA76C1">
        <w:rPr>
          <w:rFonts w:asciiTheme="majorBidi" w:hAnsiTheme="majorBidi" w:cstheme="majorBidi"/>
          <w:sz w:val="24"/>
          <w:szCs w:val="24"/>
        </w:rPr>
        <w:t>Maat acknowledges that the Civil Service Law No. 81 of 2016 outlines regulations pertaining to working hours, rest periods, paid vacations, occupational health and safety standards, as well as the protection of women, children, and individuals with disabilities in the workplace. These provisions are applicable to all workers, regardless of their nationality.</w:t>
      </w:r>
      <w:r w:rsidRPr="00EA76C1">
        <w:rPr>
          <w:rStyle w:val="FootnoteReference"/>
          <w:rFonts w:asciiTheme="majorBidi" w:hAnsiTheme="majorBidi" w:cstheme="majorBidi"/>
          <w:sz w:val="24"/>
          <w:szCs w:val="24"/>
        </w:rPr>
        <w:footnoteReference w:id="9"/>
      </w:r>
      <w:r w:rsidRPr="00EA76C1">
        <w:rPr>
          <w:rFonts w:asciiTheme="majorBidi" w:hAnsiTheme="majorBidi" w:cstheme="majorBidi"/>
          <w:sz w:val="24"/>
          <w:szCs w:val="24"/>
        </w:rPr>
        <w:t xml:space="preserve"> Reliable reports based on embassy data reveal that employment opportunities are a significant factor motivating migrant workers from countries such as Bangladesh, Eritrea, Ethiopia, the Philippines, Sudan, and South Sudan to remain in Egypt. However, research conducted by the International Organization for Migration suggests that sectors employing migrant workers are particularly susceptible to wage violations and arbitrary increases in working hours. This is especially concerning considering that migrant workers constitute 19% of the overall labor force in Egypt, and unemployed migrants account for 45% of total migrant population. The remaining migrant workers are engaged in precarious employment, though they are not officially classified as unemployed.</w:t>
      </w:r>
      <w:r w:rsidRPr="00EA76C1">
        <w:rPr>
          <w:rStyle w:val="FootnoteReference"/>
          <w:rFonts w:asciiTheme="majorBidi" w:hAnsiTheme="majorBidi" w:cstheme="majorBidi"/>
          <w:sz w:val="24"/>
          <w:szCs w:val="24"/>
        </w:rPr>
        <w:footnoteReference w:id="10"/>
      </w:r>
      <w:r w:rsidRPr="00EA76C1">
        <w:rPr>
          <w:rFonts w:asciiTheme="majorBidi" w:hAnsiTheme="majorBidi" w:cstheme="majorBidi"/>
          <w:sz w:val="24"/>
          <w:szCs w:val="24"/>
        </w:rPr>
        <w:t xml:space="preserve"> It is important to note that migrant domestic workers are excluded from the protections afforded by the Labor Code. Although the National Human Rights Strategy aimed to introduce a draft law to regulate the conditions of domestic workers, the legislation is still under discussion. Maat also highlights the presence of a significant number of migrant workers in the informal sector, which comprises 50% of the country's gross domestic product.</w:t>
      </w:r>
      <w:r w:rsidRPr="00EA76C1">
        <w:rPr>
          <w:rStyle w:val="FootnoteReference"/>
          <w:rFonts w:asciiTheme="majorBidi" w:hAnsiTheme="majorBidi" w:cstheme="majorBidi"/>
          <w:sz w:val="24"/>
          <w:szCs w:val="24"/>
        </w:rPr>
        <w:footnoteReference w:id="11"/>
      </w:r>
      <w:r w:rsidRPr="00EA76C1">
        <w:rPr>
          <w:rFonts w:asciiTheme="majorBidi" w:hAnsiTheme="majorBidi" w:cstheme="majorBidi"/>
          <w:sz w:val="24"/>
          <w:szCs w:val="24"/>
        </w:rPr>
        <w:t xml:space="preserve"> This informal employment status exposes these workers to arbitrary practices by employers, as they operate outside the purview of the Ministry of Labor. Reliable estimates indicate that 60.4% of informal workers are migrant workers employed in the informal economy. In a related context, Maat acknowledges the Ministry of Labor's efforts to establish vocational training centers aimed at enhancing the skills of migrant workers and facilitating their employment. However, reliable reports indicate that the enrollment of migrants in technical and vocational education and training programs remains limited, as the majority of students prefer to attend public secondary schools to qualify for university admission.</w:t>
      </w:r>
      <w:r w:rsidRPr="00EA76C1">
        <w:rPr>
          <w:rStyle w:val="FootnoteReference"/>
          <w:rFonts w:asciiTheme="majorBidi" w:hAnsiTheme="majorBidi" w:cstheme="majorBidi"/>
          <w:sz w:val="24"/>
          <w:szCs w:val="24"/>
        </w:rPr>
        <w:footnoteReference w:id="12"/>
      </w:r>
    </w:p>
    <w:p w:rsidR="00EA76C1" w:rsidRPr="00EA76C1" w:rsidRDefault="00EA76C1" w:rsidP="00EA76C1">
      <w:pPr>
        <w:pStyle w:val="ListParagraph"/>
        <w:numPr>
          <w:ilvl w:val="0"/>
          <w:numId w:val="20"/>
        </w:numPr>
        <w:spacing w:before="120" w:after="120" w:line="240" w:lineRule="auto"/>
        <w:contextualSpacing w:val="0"/>
        <w:jc w:val="both"/>
        <w:rPr>
          <w:rFonts w:asciiTheme="majorBidi" w:hAnsiTheme="majorBidi" w:cstheme="majorBidi"/>
          <w:b/>
          <w:bCs/>
          <w:color w:val="002060"/>
          <w:sz w:val="24"/>
          <w:szCs w:val="24"/>
        </w:rPr>
      </w:pPr>
      <w:r w:rsidRPr="00EA76C1">
        <w:rPr>
          <w:rFonts w:asciiTheme="majorBidi" w:hAnsiTheme="majorBidi" w:cstheme="majorBidi"/>
          <w:b/>
          <w:bCs/>
          <w:color w:val="002060"/>
          <w:sz w:val="24"/>
          <w:szCs w:val="24"/>
        </w:rPr>
        <w:t>Right to Participate in Trade Unions (Article 26)</w:t>
      </w:r>
    </w:p>
    <w:p w:rsidR="00EA76C1" w:rsidRPr="00EA76C1" w:rsidRDefault="00EA76C1" w:rsidP="001D2B80">
      <w:pPr>
        <w:spacing w:before="120" w:after="120"/>
        <w:jc w:val="both"/>
        <w:rPr>
          <w:rFonts w:asciiTheme="majorBidi" w:hAnsiTheme="majorBidi" w:cstheme="majorBidi"/>
          <w:sz w:val="24"/>
          <w:szCs w:val="24"/>
        </w:rPr>
      </w:pPr>
      <w:r w:rsidRPr="00EA76C1">
        <w:rPr>
          <w:rFonts w:asciiTheme="majorBidi" w:hAnsiTheme="majorBidi" w:cstheme="majorBidi"/>
          <w:sz w:val="24"/>
          <w:szCs w:val="24"/>
        </w:rPr>
        <w:t>Maat highlights the guarantees provided by the Law on the Practice of Private Work No. 149 of 2019, which grant foreign communities in Egypt the right to form associations and trade unions. These communities also have the right to participate in public affairs in their countries of origin, including voting and running for elections, as stated in Article Six of the Law on the Practice of Private Work. The establishment of associations dedicated to the interests of foreign community members is subject to the condition of reciprocity, and the licensing process is regulated by executive regulations of law.</w:t>
      </w:r>
      <w:r w:rsidRPr="00EA76C1">
        <w:rPr>
          <w:rStyle w:val="FootnoteReference"/>
          <w:rFonts w:asciiTheme="majorBidi" w:hAnsiTheme="majorBidi" w:cstheme="majorBidi"/>
          <w:sz w:val="24"/>
          <w:szCs w:val="24"/>
        </w:rPr>
        <w:footnoteReference w:id="13"/>
      </w:r>
    </w:p>
    <w:p w:rsidR="00EA76C1" w:rsidRPr="00EA76C1" w:rsidRDefault="00EA76C1" w:rsidP="001D2B80">
      <w:pPr>
        <w:spacing w:before="120" w:after="120"/>
        <w:ind w:firstLine="720"/>
        <w:jc w:val="both"/>
        <w:rPr>
          <w:rFonts w:asciiTheme="majorBidi" w:hAnsiTheme="majorBidi" w:cstheme="majorBidi"/>
          <w:sz w:val="24"/>
          <w:szCs w:val="24"/>
        </w:rPr>
      </w:pPr>
      <w:r w:rsidRPr="00EA76C1">
        <w:rPr>
          <w:rFonts w:asciiTheme="majorBidi" w:hAnsiTheme="majorBidi" w:cstheme="majorBidi"/>
          <w:sz w:val="24"/>
          <w:szCs w:val="24"/>
        </w:rPr>
        <w:t>Furthermore, according to Law on Practice of Private Work, non-Egyptians holding permanent or temporary legal residency in Egypt are eligible to become members of private associations or serve on their boards of directors,</w:t>
      </w:r>
      <w:r w:rsidRPr="00EA76C1">
        <w:rPr>
          <w:rStyle w:val="FootnoteReference"/>
          <w:rFonts w:asciiTheme="majorBidi" w:hAnsiTheme="majorBidi" w:cstheme="majorBidi"/>
          <w:sz w:val="24"/>
          <w:szCs w:val="24"/>
        </w:rPr>
        <w:footnoteReference w:id="14"/>
      </w:r>
      <w:r w:rsidRPr="00EA76C1">
        <w:rPr>
          <w:rFonts w:asciiTheme="majorBidi" w:hAnsiTheme="majorBidi" w:cstheme="majorBidi"/>
          <w:sz w:val="24"/>
          <w:szCs w:val="24"/>
        </w:rPr>
        <w:t xml:space="preserve"> provided that their representation does not exceed 25% of the total membership.</w:t>
      </w:r>
      <w:r w:rsidRPr="00EA76C1">
        <w:rPr>
          <w:rStyle w:val="FootnoteReference"/>
          <w:rFonts w:asciiTheme="majorBidi" w:hAnsiTheme="majorBidi" w:cstheme="majorBidi"/>
          <w:sz w:val="24"/>
          <w:szCs w:val="24"/>
        </w:rPr>
        <w:footnoteReference w:id="15"/>
      </w:r>
      <w:r w:rsidRPr="00EA76C1">
        <w:rPr>
          <w:rFonts w:asciiTheme="majorBidi" w:hAnsiTheme="majorBidi" w:cstheme="majorBidi"/>
          <w:sz w:val="24"/>
          <w:szCs w:val="24"/>
        </w:rPr>
        <w:t xml:space="preserve"> Additionally, Article 4 of the Law on Trade Union Organizations and the Protection of the Right to Organize Union No. 213 of 2017 and its amendments stipulate that worker have the right to form union organizations without discrimination. They also possess the freedom to join or withdraw from these organizations. Egypt allows all residents within its borders to participate in the management of public affairs in their countries of origin. However, Maat highlights that foreign worker encounter obstacles when it comes to accessing the same level of union protection available to citizens. This is particularly evident in their lack of representation on union committees and practical boards of directors. For instance, Article 41 of the law imposes certain conditions and procedures for nomination and election to the board of directors of a labor union organization, which often proves difficult for migrant workers to meet. Despite the advantages outlined in Law No. 213 of 2017, certain provisions infringe upon the right to union work and the promotion of union freedoms, including those affecting migrant workers. Article 41, for example, imposes seven conditions on individuals seeking membership in the board of directors of a labor union organization, thereby violating the inherent right of General Assembly to establish regulations and choose its representatives. This restriction also undermines the rights of election and nomination that should be available to all union members and aligns poorly with the standards established by the International Labor Organization regarding the right of trade union members to elect and be nominated.</w:t>
      </w:r>
    </w:p>
    <w:p w:rsidR="00EA76C1" w:rsidRPr="00EA76C1" w:rsidRDefault="00EA76C1" w:rsidP="00EA76C1">
      <w:pPr>
        <w:pStyle w:val="ListParagraph"/>
        <w:numPr>
          <w:ilvl w:val="0"/>
          <w:numId w:val="20"/>
        </w:numPr>
        <w:spacing w:before="120" w:after="120" w:line="240" w:lineRule="auto"/>
        <w:contextualSpacing w:val="0"/>
        <w:jc w:val="both"/>
        <w:rPr>
          <w:rFonts w:asciiTheme="majorBidi" w:hAnsiTheme="majorBidi" w:cstheme="majorBidi"/>
          <w:b/>
          <w:bCs/>
          <w:color w:val="002060"/>
          <w:sz w:val="24"/>
          <w:szCs w:val="24"/>
        </w:rPr>
      </w:pPr>
      <w:r w:rsidRPr="00EA76C1">
        <w:rPr>
          <w:rFonts w:asciiTheme="majorBidi" w:hAnsiTheme="majorBidi" w:cstheme="majorBidi"/>
          <w:b/>
          <w:bCs/>
          <w:color w:val="002060"/>
          <w:sz w:val="24"/>
          <w:szCs w:val="24"/>
        </w:rPr>
        <w:t>Right to Social Security (Article 27)</w:t>
      </w:r>
    </w:p>
    <w:p w:rsidR="00EA76C1" w:rsidRPr="00EA76C1" w:rsidRDefault="00EA76C1" w:rsidP="001D2B80">
      <w:pPr>
        <w:spacing w:before="120" w:after="120"/>
        <w:jc w:val="both"/>
        <w:rPr>
          <w:rFonts w:asciiTheme="majorBidi" w:hAnsiTheme="majorBidi" w:cstheme="majorBidi"/>
          <w:sz w:val="24"/>
          <w:szCs w:val="24"/>
        </w:rPr>
      </w:pPr>
      <w:r w:rsidRPr="00EA76C1">
        <w:rPr>
          <w:rFonts w:asciiTheme="majorBidi" w:hAnsiTheme="majorBidi" w:cstheme="majorBidi"/>
          <w:sz w:val="24"/>
          <w:szCs w:val="24"/>
        </w:rPr>
        <w:t>Maat acknowledges that the amended Egyptian Constitution of 2019 guarantees all citizens the right to social security under Article 17. However, the Constitution fails to explicitly address the principle of equal treatment based on nationality concerning social security, which contradicts the provisions of Article 27 of Convention. Nonetheless, Maat appreciates the recent legislation enacted by the Egyptian government, namely Law No. 148 of 2019 concerning social insurance and pensions, as it expands the participation of migrant workers in the social security system.</w:t>
      </w:r>
      <w:r w:rsidRPr="00EA76C1">
        <w:rPr>
          <w:rStyle w:val="FootnoteReference"/>
          <w:rFonts w:asciiTheme="majorBidi" w:hAnsiTheme="majorBidi" w:cstheme="majorBidi"/>
          <w:sz w:val="24"/>
          <w:szCs w:val="24"/>
        </w:rPr>
        <w:footnoteReference w:id="16"/>
      </w:r>
      <w:r w:rsidRPr="00EA76C1">
        <w:rPr>
          <w:rFonts w:asciiTheme="majorBidi" w:hAnsiTheme="majorBidi" w:cstheme="majorBidi"/>
          <w:sz w:val="24"/>
          <w:szCs w:val="24"/>
        </w:rPr>
        <w:t xml:space="preserve"> The law recognizes social security and insurance coverage for all foreign workers who have entered into regular employment contracts or are protected by labor laws. However, Maat expresses concerns regarding the exclusion of female migrant domestic workers from social security and protection, as they are not covered by the provisions of the Labor Code.</w:t>
      </w:r>
    </w:p>
    <w:p w:rsidR="00EA76C1" w:rsidRPr="00EA76C1" w:rsidRDefault="00EA76C1" w:rsidP="00EA76C1">
      <w:pPr>
        <w:pStyle w:val="ListParagraph"/>
        <w:numPr>
          <w:ilvl w:val="0"/>
          <w:numId w:val="20"/>
        </w:numPr>
        <w:spacing w:before="120" w:after="120" w:line="240" w:lineRule="auto"/>
        <w:contextualSpacing w:val="0"/>
        <w:jc w:val="both"/>
        <w:rPr>
          <w:rFonts w:asciiTheme="majorBidi" w:hAnsiTheme="majorBidi" w:cstheme="majorBidi"/>
          <w:b/>
          <w:bCs/>
          <w:color w:val="002060"/>
          <w:sz w:val="24"/>
          <w:szCs w:val="24"/>
        </w:rPr>
      </w:pPr>
      <w:r w:rsidRPr="00EA76C1">
        <w:rPr>
          <w:rFonts w:asciiTheme="majorBidi" w:hAnsiTheme="majorBidi" w:cstheme="majorBidi"/>
          <w:b/>
          <w:bCs/>
          <w:color w:val="002060"/>
          <w:sz w:val="24"/>
          <w:szCs w:val="24"/>
        </w:rPr>
        <w:t>Right to Transfer Income and Savings (Article 47)</w:t>
      </w:r>
    </w:p>
    <w:p w:rsidR="00EA76C1" w:rsidRPr="00EA76C1" w:rsidRDefault="00EA76C1" w:rsidP="001D2B80">
      <w:pPr>
        <w:spacing w:before="120" w:after="120"/>
        <w:jc w:val="both"/>
        <w:rPr>
          <w:rFonts w:asciiTheme="majorBidi" w:hAnsiTheme="majorBidi" w:cstheme="majorBidi"/>
          <w:sz w:val="24"/>
          <w:szCs w:val="24"/>
        </w:rPr>
      </w:pPr>
      <w:r w:rsidRPr="00EA76C1">
        <w:rPr>
          <w:rFonts w:asciiTheme="majorBidi" w:hAnsiTheme="majorBidi" w:cstheme="majorBidi"/>
          <w:sz w:val="24"/>
          <w:szCs w:val="24"/>
        </w:rPr>
        <w:t>Maat has examined the measures outlined in the comprehensive report submitted to Egypt regarding the implementation of this article. The regulations concerning foreign exchange dealings are covered by Articles 207 and 215 of Law No. 194 of 2020, which pertains to the issuance of the Central Bank and Banking System Law. Article 209 of the mentioned law grants authorization to companies to offer money transfer services, while Article 212 allows every individual or legal entity to retain their foreign currency and conduct any foreign exchange transactions, including domestic and international transfers. Banks are authorized to carry out all foreign exchange operations, including accepting deposits, dealing, and facilitating internal and external transfers, as stipulated in Article 215.</w:t>
      </w:r>
      <w:r w:rsidRPr="00EA76C1">
        <w:rPr>
          <w:rStyle w:val="FootnoteReference"/>
          <w:rFonts w:asciiTheme="majorBidi" w:hAnsiTheme="majorBidi" w:cstheme="majorBidi"/>
          <w:sz w:val="24"/>
          <w:szCs w:val="24"/>
        </w:rPr>
        <w:footnoteReference w:id="17"/>
      </w:r>
    </w:p>
    <w:p w:rsidR="00EA76C1" w:rsidRPr="00EA76C1" w:rsidRDefault="00EA76C1" w:rsidP="001D2B80">
      <w:pPr>
        <w:spacing w:before="120" w:after="120"/>
        <w:ind w:firstLine="720"/>
        <w:jc w:val="both"/>
        <w:rPr>
          <w:rFonts w:asciiTheme="majorBidi" w:hAnsiTheme="majorBidi" w:cstheme="majorBidi"/>
          <w:sz w:val="24"/>
          <w:szCs w:val="24"/>
        </w:rPr>
      </w:pPr>
      <w:r w:rsidRPr="00EA76C1">
        <w:rPr>
          <w:rFonts w:asciiTheme="majorBidi" w:hAnsiTheme="majorBidi" w:cstheme="majorBidi"/>
          <w:sz w:val="24"/>
          <w:szCs w:val="24"/>
        </w:rPr>
        <w:t>Maat has also reviewed reports indicating ongoing negotiations between the Central Bank of Egypt and Arab countries that host Egyptian migrants. These negotiations aim to facilitate financial transfers to customer accounts in Egypt through the use of the "</w:t>
      </w:r>
      <w:proofErr w:type="spellStart"/>
      <w:r w:rsidRPr="00EA76C1">
        <w:rPr>
          <w:rFonts w:asciiTheme="majorBidi" w:hAnsiTheme="majorBidi" w:cstheme="majorBidi"/>
          <w:sz w:val="24"/>
          <w:szCs w:val="24"/>
        </w:rPr>
        <w:t>InstaPay</w:t>
      </w:r>
      <w:proofErr w:type="spellEnd"/>
      <w:r w:rsidRPr="00EA76C1">
        <w:rPr>
          <w:rFonts w:asciiTheme="majorBidi" w:hAnsiTheme="majorBidi" w:cstheme="majorBidi"/>
          <w:sz w:val="24"/>
          <w:szCs w:val="24"/>
        </w:rPr>
        <w:t>" application. Such initiatives represent a significant step towards enhancing the transfer of funds for Egyptians working abroad.</w:t>
      </w:r>
      <w:r w:rsidRPr="00EA76C1">
        <w:rPr>
          <w:rStyle w:val="FootnoteReference"/>
          <w:rFonts w:asciiTheme="majorBidi" w:hAnsiTheme="majorBidi" w:cstheme="majorBidi"/>
          <w:sz w:val="24"/>
          <w:szCs w:val="24"/>
        </w:rPr>
        <w:footnoteReference w:id="18"/>
      </w:r>
      <w:r w:rsidRPr="00EA76C1">
        <w:rPr>
          <w:rFonts w:asciiTheme="majorBidi" w:hAnsiTheme="majorBidi" w:cstheme="majorBidi"/>
          <w:sz w:val="24"/>
          <w:szCs w:val="24"/>
        </w:rPr>
        <w:t xml:space="preserve"> Egypt is the largest source country of migrant workers globally, and facilitating the process of transferring savings positively contributes to the national economy. However, during the first half of the fiscal year 2022/2023, remittances from Egyptians abroad experienced a 23% decrease due to the unemployment crisis and the instability of the exchange rate, which was characterized by the existence of two separate rates in the official and parallel markets. This situation was later rectified, and the exchange rate was unified in recent times. As a result, Egyptian migrant workers have returned to utilizing official and legitimate channels to transfer their earnings to their families. Maat expresses the hope that the Egyptian government will learn from past crises to prevent their recurrence in the future.</w:t>
      </w:r>
    </w:p>
    <w:p w:rsidR="00EA76C1" w:rsidRPr="00EA76C1" w:rsidRDefault="00EA76C1" w:rsidP="001D2B80">
      <w:pPr>
        <w:spacing w:before="120" w:after="120"/>
        <w:jc w:val="both"/>
        <w:rPr>
          <w:rFonts w:asciiTheme="majorBidi" w:hAnsiTheme="majorBidi" w:cstheme="majorBidi"/>
          <w:b/>
          <w:bCs/>
          <w:color w:val="002060"/>
          <w:sz w:val="24"/>
          <w:szCs w:val="24"/>
        </w:rPr>
      </w:pPr>
      <w:r w:rsidRPr="00EA76C1">
        <w:rPr>
          <w:rFonts w:asciiTheme="majorBidi" w:hAnsiTheme="majorBidi" w:cstheme="majorBidi"/>
          <w:b/>
          <w:bCs/>
          <w:color w:val="002060"/>
          <w:sz w:val="24"/>
          <w:szCs w:val="24"/>
        </w:rPr>
        <w:t>Third: Provisions Applicable to Certain Categories of Migrant Workers and Members of Their Families</w:t>
      </w:r>
    </w:p>
    <w:p w:rsidR="00EA76C1" w:rsidRPr="00EA76C1" w:rsidRDefault="00EA76C1" w:rsidP="00EA76C1">
      <w:pPr>
        <w:pStyle w:val="ListParagraph"/>
        <w:numPr>
          <w:ilvl w:val="0"/>
          <w:numId w:val="21"/>
        </w:numPr>
        <w:spacing w:before="120" w:after="120" w:line="240" w:lineRule="auto"/>
        <w:contextualSpacing w:val="0"/>
        <w:jc w:val="both"/>
        <w:rPr>
          <w:rFonts w:asciiTheme="majorBidi" w:hAnsiTheme="majorBidi" w:cstheme="majorBidi"/>
          <w:b/>
          <w:bCs/>
          <w:color w:val="17365D" w:themeColor="text2" w:themeShade="BF"/>
          <w:sz w:val="24"/>
          <w:szCs w:val="24"/>
        </w:rPr>
      </w:pPr>
      <w:r w:rsidRPr="00EA76C1">
        <w:rPr>
          <w:rFonts w:asciiTheme="majorBidi" w:hAnsiTheme="majorBidi" w:cstheme="majorBidi"/>
          <w:b/>
          <w:bCs/>
          <w:color w:val="17365D" w:themeColor="text2" w:themeShade="BF"/>
          <w:sz w:val="24"/>
          <w:szCs w:val="24"/>
        </w:rPr>
        <w:t>Seasonal Workers (Article 59)</w:t>
      </w:r>
    </w:p>
    <w:p w:rsidR="00EA76C1" w:rsidRPr="00EA76C1" w:rsidRDefault="00EA76C1" w:rsidP="001D2B80">
      <w:pPr>
        <w:spacing w:before="120" w:after="120"/>
        <w:jc w:val="both"/>
        <w:rPr>
          <w:rFonts w:asciiTheme="majorBidi" w:hAnsiTheme="majorBidi" w:cstheme="majorBidi"/>
          <w:sz w:val="24"/>
          <w:szCs w:val="24"/>
        </w:rPr>
      </w:pPr>
      <w:r w:rsidRPr="00EA76C1">
        <w:rPr>
          <w:rFonts w:asciiTheme="majorBidi" w:hAnsiTheme="majorBidi" w:cstheme="majorBidi"/>
          <w:sz w:val="24"/>
          <w:szCs w:val="24"/>
        </w:rPr>
        <w:t>Maat acknowledges and commends the bilateral Conventions signed by Egypt with various countries. Notably, the Convention between Egypt and Greece, signed in November 2023, allows the employment of five thousand seasonal agricultural workers in Greece during the initial pilot year. These bilateral Conventions are instrumental in safeguarding the rights of specific categories of migrant workers. In a related context, Maat highlights the efforts undertaken by the Egyptian government, such as signing Conventions with the German government to enhance vocational education and establishing the Egyptian-German Center for Jobs, Migration, and Reintegration. These initiatives aim to provide regular migration channels for Egyptian youth and equip relevant national authorities with modern technical tools for border control. Additionally, a declaration of principles was signed in 2021 between Egypt and the Netherlands to support cooperation in the field of migration, and there is already existing collaboration with the Italian government in vocational training, which helps enhance the skills of vulnerable migrant groups.</w:t>
      </w:r>
    </w:p>
    <w:p w:rsidR="00EA76C1" w:rsidRPr="00EA76C1" w:rsidRDefault="00EA76C1" w:rsidP="001D2B80">
      <w:pPr>
        <w:spacing w:before="120" w:after="120"/>
        <w:ind w:firstLine="720"/>
        <w:jc w:val="both"/>
        <w:rPr>
          <w:rFonts w:asciiTheme="majorBidi" w:hAnsiTheme="majorBidi" w:cstheme="majorBidi"/>
          <w:sz w:val="24"/>
          <w:szCs w:val="24"/>
        </w:rPr>
      </w:pPr>
      <w:r w:rsidRPr="00EA76C1">
        <w:rPr>
          <w:rFonts w:asciiTheme="majorBidi" w:hAnsiTheme="majorBidi" w:cstheme="majorBidi"/>
          <w:sz w:val="24"/>
          <w:szCs w:val="24"/>
        </w:rPr>
        <w:t>However, Maat observes a lack of training courses specifically designated for Egyptians heading abroad to work under bilateral Conventions with other countries. This deficiency exposes some Egyptian migrant workers to vulnerable situations. For instance, an employment Convention between the governments of Jordan and Egypt does not permit Egyptian citizens to leave Jordan without their employer's consent, even if the employer has been prosecuted for human trafficking.</w:t>
      </w:r>
    </w:p>
    <w:p w:rsidR="00EA76C1" w:rsidRPr="00EA76C1" w:rsidRDefault="00EA76C1" w:rsidP="009E268B">
      <w:pPr>
        <w:spacing w:before="120" w:after="120"/>
        <w:jc w:val="both"/>
        <w:rPr>
          <w:rFonts w:asciiTheme="majorBidi" w:hAnsiTheme="majorBidi" w:cstheme="majorBidi"/>
          <w:b/>
          <w:bCs/>
          <w:color w:val="0070C0"/>
          <w:sz w:val="24"/>
          <w:szCs w:val="24"/>
        </w:rPr>
      </w:pPr>
      <w:r w:rsidRPr="00EA76C1">
        <w:rPr>
          <w:rFonts w:asciiTheme="majorBidi" w:hAnsiTheme="majorBidi" w:cstheme="majorBidi"/>
          <w:b/>
          <w:bCs/>
          <w:color w:val="0070C0"/>
          <w:sz w:val="24"/>
          <w:szCs w:val="24"/>
        </w:rPr>
        <w:t>Key Questions:</w:t>
      </w:r>
    </w:p>
    <w:p w:rsidR="00EA76C1" w:rsidRPr="00EA76C1" w:rsidRDefault="00EA76C1" w:rsidP="009E268B">
      <w:pPr>
        <w:spacing w:before="120" w:after="120"/>
        <w:jc w:val="both"/>
        <w:rPr>
          <w:rFonts w:asciiTheme="majorBidi" w:hAnsiTheme="majorBidi" w:cstheme="majorBidi"/>
          <w:color w:val="0070C0"/>
          <w:sz w:val="24"/>
          <w:szCs w:val="24"/>
        </w:rPr>
      </w:pPr>
      <w:r w:rsidRPr="00EA76C1">
        <w:rPr>
          <w:rFonts w:asciiTheme="majorBidi" w:hAnsiTheme="majorBidi" w:cstheme="majorBidi"/>
          <w:color w:val="0070C0"/>
          <w:sz w:val="24"/>
          <w:szCs w:val="24"/>
        </w:rPr>
        <w:t>Maat respectfully urges the Committee to seek clarification from the State regarding the following inquiries:</w:t>
      </w:r>
    </w:p>
    <w:p w:rsidR="00EA76C1" w:rsidRPr="00EA76C1" w:rsidRDefault="00EA76C1" w:rsidP="00EA76C1">
      <w:pPr>
        <w:pStyle w:val="ListParagraph"/>
        <w:numPr>
          <w:ilvl w:val="0"/>
          <w:numId w:val="22"/>
        </w:numPr>
        <w:spacing w:before="120" w:after="120" w:line="240" w:lineRule="auto"/>
        <w:jc w:val="both"/>
        <w:rPr>
          <w:rFonts w:asciiTheme="majorBidi" w:hAnsiTheme="majorBidi" w:cstheme="majorBidi"/>
          <w:sz w:val="24"/>
          <w:szCs w:val="24"/>
        </w:rPr>
      </w:pPr>
      <w:r w:rsidRPr="00EA76C1">
        <w:rPr>
          <w:rFonts w:asciiTheme="majorBidi" w:hAnsiTheme="majorBidi" w:cstheme="majorBidi"/>
          <w:sz w:val="24"/>
          <w:szCs w:val="24"/>
        </w:rPr>
        <w:t>What recent or upcoming government initiatives aim to establish an Anti-Discrimination Commission, in line with constitutional obligation outlined in Article 53 of Egyptian Constitution (amended in 2019)?</w:t>
      </w:r>
    </w:p>
    <w:p w:rsidR="00EA76C1" w:rsidRPr="00EA76C1" w:rsidRDefault="00EA76C1" w:rsidP="00EA76C1">
      <w:pPr>
        <w:pStyle w:val="ListParagraph"/>
        <w:numPr>
          <w:ilvl w:val="0"/>
          <w:numId w:val="22"/>
        </w:numPr>
        <w:spacing w:before="120" w:after="120" w:line="240" w:lineRule="auto"/>
        <w:jc w:val="both"/>
        <w:rPr>
          <w:rFonts w:asciiTheme="majorBidi" w:hAnsiTheme="majorBidi" w:cstheme="majorBidi"/>
          <w:sz w:val="24"/>
          <w:szCs w:val="24"/>
        </w:rPr>
      </w:pPr>
      <w:r w:rsidRPr="00EA76C1">
        <w:rPr>
          <w:rFonts w:asciiTheme="majorBidi" w:hAnsiTheme="majorBidi" w:cstheme="majorBidi"/>
          <w:sz w:val="24"/>
          <w:szCs w:val="24"/>
        </w:rPr>
        <w:t>Please provide information about approved programs designed to enhance capacity of healthcare workers in accordance with the provisions of Convention on Rights of Migrant Workers, ensuring comprehensive implementation of Convention.</w:t>
      </w:r>
    </w:p>
    <w:p w:rsidR="00EA76C1" w:rsidRPr="00EA76C1" w:rsidRDefault="00EA76C1" w:rsidP="00EA76C1">
      <w:pPr>
        <w:pStyle w:val="ListParagraph"/>
        <w:numPr>
          <w:ilvl w:val="0"/>
          <w:numId w:val="22"/>
        </w:numPr>
        <w:spacing w:before="120" w:after="120" w:line="240" w:lineRule="auto"/>
        <w:jc w:val="both"/>
        <w:rPr>
          <w:rFonts w:asciiTheme="majorBidi" w:hAnsiTheme="majorBidi" w:cstheme="majorBidi"/>
          <w:sz w:val="24"/>
          <w:szCs w:val="24"/>
        </w:rPr>
      </w:pPr>
      <w:r w:rsidRPr="00EA76C1">
        <w:rPr>
          <w:rFonts w:asciiTheme="majorBidi" w:hAnsiTheme="majorBidi" w:cstheme="majorBidi"/>
          <w:sz w:val="24"/>
          <w:szCs w:val="24"/>
        </w:rPr>
        <w:t>What recent actions have the legislative body taken to enact a law that addresses the conditions of domestic workers and provides adequate protection, particularly for female migrant workers, as part of National Human Rights Strategy?</w:t>
      </w:r>
    </w:p>
    <w:p w:rsidR="00EA76C1" w:rsidRPr="00EA76C1" w:rsidRDefault="00EA76C1" w:rsidP="00EA76C1">
      <w:pPr>
        <w:pStyle w:val="ListParagraph"/>
        <w:numPr>
          <w:ilvl w:val="0"/>
          <w:numId w:val="22"/>
        </w:numPr>
        <w:spacing w:before="120" w:after="120" w:line="240" w:lineRule="auto"/>
        <w:jc w:val="both"/>
        <w:rPr>
          <w:rFonts w:asciiTheme="majorBidi" w:hAnsiTheme="majorBidi" w:cstheme="majorBidi"/>
          <w:sz w:val="24"/>
          <w:szCs w:val="24"/>
        </w:rPr>
      </w:pPr>
      <w:r w:rsidRPr="00EA76C1">
        <w:rPr>
          <w:rFonts w:asciiTheme="majorBidi" w:hAnsiTheme="majorBidi" w:cstheme="majorBidi"/>
          <w:sz w:val="24"/>
          <w:szCs w:val="24"/>
        </w:rPr>
        <w:t>Are there any government plans to establish a transparent mechanism for monitoring and gathering evidence related to migrant flows in Egypt, and to facilitate cooperation between relevant institutions?</w:t>
      </w:r>
    </w:p>
    <w:p w:rsidR="00EA76C1" w:rsidRPr="00EA76C1" w:rsidRDefault="00EA76C1" w:rsidP="00EA76C1">
      <w:pPr>
        <w:pStyle w:val="ListParagraph"/>
        <w:numPr>
          <w:ilvl w:val="0"/>
          <w:numId w:val="22"/>
        </w:numPr>
        <w:spacing w:before="120" w:after="120" w:line="240" w:lineRule="auto"/>
        <w:jc w:val="both"/>
        <w:rPr>
          <w:rFonts w:asciiTheme="majorBidi" w:hAnsiTheme="majorBidi" w:cstheme="majorBidi"/>
          <w:sz w:val="24"/>
          <w:szCs w:val="24"/>
        </w:rPr>
      </w:pPr>
      <w:r w:rsidRPr="00EA76C1">
        <w:rPr>
          <w:rFonts w:asciiTheme="majorBidi" w:hAnsiTheme="majorBidi" w:cstheme="majorBidi"/>
          <w:sz w:val="24"/>
          <w:szCs w:val="24"/>
        </w:rPr>
        <w:t>How will migrant workers' access to courts be ensured, and what measures are being taken to enhance their understanding of legal mechanisms for securing their rights?</w:t>
      </w:r>
    </w:p>
    <w:p w:rsidR="00EA76C1" w:rsidRPr="00EA76C1" w:rsidRDefault="00EA76C1" w:rsidP="00EA76C1">
      <w:pPr>
        <w:pStyle w:val="ListParagraph"/>
        <w:numPr>
          <w:ilvl w:val="0"/>
          <w:numId w:val="22"/>
        </w:numPr>
        <w:spacing w:before="120" w:after="120" w:line="240" w:lineRule="auto"/>
        <w:jc w:val="both"/>
        <w:rPr>
          <w:rFonts w:asciiTheme="majorBidi" w:hAnsiTheme="majorBidi" w:cstheme="majorBidi"/>
          <w:sz w:val="24"/>
          <w:szCs w:val="24"/>
        </w:rPr>
      </w:pPr>
      <w:r w:rsidRPr="00EA76C1">
        <w:rPr>
          <w:rFonts w:asciiTheme="majorBidi" w:hAnsiTheme="majorBidi" w:cstheme="majorBidi"/>
          <w:sz w:val="24"/>
          <w:szCs w:val="24"/>
        </w:rPr>
        <w:t>Can you clarify whether there is an intention to include female migrant workers in the current draft labor law being discussed by House of Representatives?</w:t>
      </w:r>
    </w:p>
    <w:p w:rsidR="00EA76C1" w:rsidRPr="00EA76C1" w:rsidRDefault="00EA76C1" w:rsidP="00EA76C1">
      <w:pPr>
        <w:pStyle w:val="ListParagraph"/>
        <w:numPr>
          <w:ilvl w:val="0"/>
          <w:numId w:val="22"/>
        </w:numPr>
        <w:spacing w:before="120" w:after="120" w:line="240" w:lineRule="auto"/>
        <w:jc w:val="both"/>
        <w:rPr>
          <w:rFonts w:asciiTheme="majorBidi" w:hAnsiTheme="majorBidi" w:cstheme="majorBidi"/>
          <w:sz w:val="24"/>
          <w:szCs w:val="24"/>
        </w:rPr>
      </w:pPr>
      <w:r w:rsidRPr="00EA76C1">
        <w:rPr>
          <w:rFonts w:asciiTheme="majorBidi" w:hAnsiTheme="majorBidi" w:cstheme="majorBidi"/>
          <w:sz w:val="24"/>
          <w:szCs w:val="24"/>
        </w:rPr>
        <w:t>Have training courses been organized for Egyptian migrant workers who are preparing to work abroad based on bilateral agreements?</w:t>
      </w:r>
    </w:p>
    <w:p w:rsidR="00EA76C1" w:rsidRPr="00EA76C1" w:rsidRDefault="00EA76C1" w:rsidP="00EA76C1">
      <w:pPr>
        <w:pStyle w:val="ListParagraph"/>
        <w:numPr>
          <w:ilvl w:val="0"/>
          <w:numId w:val="22"/>
        </w:numPr>
        <w:spacing w:before="120" w:after="120" w:line="240" w:lineRule="auto"/>
        <w:jc w:val="both"/>
        <w:rPr>
          <w:rFonts w:asciiTheme="majorBidi" w:hAnsiTheme="majorBidi" w:cstheme="majorBidi"/>
          <w:sz w:val="24"/>
          <w:szCs w:val="24"/>
        </w:rPr>
      </w:pPr>
      <w:r w:rsidRPr="00EA76C1">
        <w:rPr>
          <w:rFonts w:asciiTheme="majorBidi" w:hAnsiTheme="majorBidi" w:cstheme="majorBidi"/>
          <w:sz w:val="24"/>
          <w:szCs w:val="24"/>
        </w:rPr>
        <w:t>Are there any training courses or capacity-building programs in place for officials working in the field of migration, specifically police officers, border officials, and local officials who interact with migrant workers?</w:t>
      </w:r>
    </w:p>
    <w:p w:rsidR="00EA76C1" w:rsidRPr="00EA76C1" w:rsidRDefault="00EA76C1" w:rsidP="009E268B">
      <w:pPr>
        <w:spacing w:before="120" w:after="120"/>
        <w:jc w:val="both"/>
        <w:rPr>
          <w:rFonts w:asciiTheme="majorBidi" w:hAnsiTheme="majorBidi" w:cstheme="majorBidi"/>
          <w:sz w:val="24"/>
          <w:szCs w:val="24"/>
        </w:rPr>
      </w:pPr>
    </w:p>
    <w:p w:rsidR="00C41B4E" w:rsidRPr="00EA76C1" w:rsidRDefault="00C41B4E" w:rsidP="00295CF7">
      <w:pPr>
        <w:bidi/>
        <w:rPr>
          <w:sz w:val="24"/>
          <w:szCs w:val="24"/>
          <w:rtl/>
          <w:lang w:bidi="ar-EG"/>
        </w:rPr>
      </w:pPr>
    </w:p>
    <w:sectPr w:rsidR="00C41B4E" w:rsidRPr="00EA76C1"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A3E" w:rsidRDefault="00381A3E" w:rsidP="00CF1B4C">
      <w:pPr>
        <w:spacing w:after="0" w:line="240" w:lineRule="auto"/>
      </w:pPr>
      <w:r>
        <w:separator/>
      </w:r>
    </w:p>
  </w:endnote>
  <w:endnote w:type="continuationSeparator" w:id="0">
    <w:p w:rsidR="00381A3E" w:rsidRDefault="00381A3E"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7605283"/>
      <w:docPartObj>
        <w:docPartGallery w:val="Page Numbers (Bottom of Page)"/>
        <w:docPartUnique/>
      </w:docPartObj>
    </w:sdtPr>
    <w:sdtEndPr>
      <w:rPr>
        <w:noProof/>
      </w:rPr>
    </w:sdtEndPr>
    <w:sdtContent>
      <w:p w:rsidR="005E0A46" w:rsidRDefault="006B714E">
        <w:pPr>
          <w:pStyle w:val="Footer"/>
          <w:jc w:val="center"/>
        </w:pPr>
        <w:r w:rsidRPr="006B714E">
          <w:rPr>
            <w:b/>
            <w:bCs/>
            <w:noProof/>
          </w:rPr>
          <w:drawing>
            <wp:anchor distT="0" distB="0" distL="114300" distR="114300" simplePos="0" relativeHeight="251661312" behindDoc="1" locked="0" layoutInCell="1" allowOverlap="1" wp14:anchorId="34EFABE8" wp14:editId="69A2A418">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B86BB6">
          <w:rPr>
            <w:b/>
            <w:bCs/>
            <w:noProof/>
          </w:rPr>
          <w:t>1</w:t>
        </w:r>
        <w:r w:rsidR="005E0A46" w:rsidRPr="006B714E">
          <w:rPr>
            <w:b/>
            <w:bCs/>
            <w:noProof/>
          </w:rPr>
          <w:fldChar w:fldCharType="end"/>
        </w:r>
      </w:p>
    </w:sdtContent>
  </w:sdt>
  <w:p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rsidTr="0036671B">
      <w:trPr>
        <w:jc w:val="center"/>
      </w:trPr>
      <w:tc>
        <w:tcPr>
          <w:tcW w:w="646" w:type="pct"/>
          <w:vMerge w:val="restart"/>
          <w:vAlign w:val="center"/>
        </w:tcPr>
        <w:p w:rsidR="006B714E" w:rsidRDefault="006B714E" w:rsidP="006B714E">
          <w:pPr>
            <w:spacing w:after="60" w:line="240" w:lineRule="auto"/>
            <w:jc w:val="center"/>
            <w:rPr>
              <w:noProof/>
              <w:rtl/>
            </w:rPr>
          </w:pPr>
          <w:r>
            <w:rPr>
              <w:rFonts w:hint="cs"/>
              <w:noProof/>
            </w:rPr>
            <w:drawing>
              <wp:inline distT="0" distB="0" distL="0" distR="0" wp14:anchorId="1117817C" wp14:editId="4DCF30C3">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rsidR="006B714E" w:rsidRDefault="006B714E" w:rsidP="006B714E">
          <w:pPr>
            <w:spacing w:after="60" w:line="240" w:lineRule="auto"/>
            <w:rPr>
              <w:rFonts w:ascii="Times New Roman" w:hAnsi="Times New Roman" w:cs="Times New Roman"/>
              <w:b/>
              <w:bCs/>
              <w:color w:val="000066"/>
              <w:sz w:val="20"/>
              <w:szCs w:val="20"/>
            </w:rPr>
          </w:pPr>
        </w:p>
        <w:p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rsidTr="0036671B">
      <w:trPr>
        <w:jc w:val="center"/>
      </w:trPr>
      <w:tc>
        <w:tcPr>
          <w:tcW w:w="646" w:type="pct"/>
          <w:vMerge/>
        </w:tcPr>
        <w:p w:rsidR="006B714E" w:rsidRDefault="006B714E" w:rsidP="006B714E">
          <w:pPr>
            <w:spacing w:after="0"/>
            <w:jc w:val="center"/>
            <w:rPr>
              <w:b/>
              <w:bCs/>
              <w:noProof/>
              <w:lang w:bidi="ar-EG"/>
            </w:rPr>
          </w:pPr>
        </w:p>
      </w:tc>
      <w:tc>
        <w:tcPr>
          <w:tcW w:w="278" w:type="pct"/>
          <w:vMerge w:val="restart"/>
          <w:vAlign w:val="center"/>
        </w:tcPr>
        <w:p w:rsidR="006B714E" w:rsidRPr="000F15D5" w:rsidRDefault="006B714E" w:rsidP="006B714E">
          <w:pPr>
            <w:spacing w:after="0"/>
            <w:jc w:val="center"/>
            <w:rPr>
              <w:b/>
              <w:bCs/>
              <w:lang w:bidi="ar-EG"/>
            </w:rPr>
          </w:pPr>
          <w:r>
            <w:rPr>
              <w:b/>
              <w:bCs/>
              <w:noProof/>
            </w:rPr>
            <w:drawing>
              <wp:inline distT="0" distB="0" distL="0" distR="0" wp14:anchorId="208E83F4" wp14:editId="1668FCB0">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rsidTr="0036671B">
      <w:trPr>
        <w:jc w:val="center"/>
      </w:trPr>
      <w:tc>
        <w:tcPr>
          <w:tcW w:w="646" w:type="pct"/>
          <w:vMerge/>
        </w:tcPr>
        <w:p w:rsidR="006B714E" w:rsidRDefault="006B714E" w:rsidP="006B714E">
          <w:pPr>
            <w:spacing w:after="0"/>
            <w:jc w:val="center"/>
            <w:rPr>
              <w:lang w:bidi="ar-EG"/>
            </w:rPr>
          </w:pPr>
        </w:p>
      </w:tc>
      <w:tc>
        <w:tcPr>
          <w:tcW w:w="278" w:type="pct"/>
          <w:vMerge/>
          <w:vAlign w:val="center"/>
        </w:tcPr>
        <w:p w:rsidR="006B714E" w:rsidRDefault="006B714E" w:rsidP="006B714E">
          <w:pPr>
            <w:spacing w:after="0"/>
            <w:jc w:val="center"/>
            <w:rPr>
              <w:lang w:bidi="ar-EG"/>
            </w:rPr>
          </w:pPr>
        </w:p>
      </w:tc>
      <w:tc>
        <w:tcPr>
          <w:tcW w:w="4076" w:type="pct"/>
          <w:gridSpan w:val="5"/>
          <w:vAlign w:val="center"/>
        </w:tcPr>
        <w:p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w:t>
          </w:r>
          <w:proofErr w:type="spellStart"/>
          <w:r w:rsidRPr="000F15D5">
            <w:rPr>
              <w:rFonts w:asciiTheme="majorBidi" w:hAnsiTheme="majorBidi" w:cstheme="majorBidi"/>
              <w:color w:val="000000"/>
              <w:sz w:val="18"/>
              <w:szCs w:val="18"/>
              <w:shd w:val="clear" w:color="auto" w:fill="FFFFFF"/>
            </w:rPr>
            <w:t>Corniche</w:t>
          </w:r>
          <w:proofErr w:type="spellEnd"/>
          <w:r w:rsidRPr="000F15D5">
            <w:rPr>
              <w:rFonts w:asciiTheme="majorBidi" w:hAnsiTheme="majorBidi" w:cstheme="majorBidi"/>
              <w:color w:val="000000"/>
              <w:sz w:val="18"/>
              <w:szCs w:val="18"/>
              <w:shd w:val="clear" w:color="auto" w:fill="FFFFFF"/>
            </w:rPr>
            <w:t xml:space="preserv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rsidTr="0036671B">
      <w:trPr>
        <w:jc w:val="center"/>
      </w:trPr>
      <w:tc>
        <w:tcPr>
          <w:tcW w:w="646" w:type="pct"/>
          <w:vMerge/>
        </w:tcPr>
        <w:p w:rsidR="006B714E" w:rsidRDefault="006B714E" w:rsidP="006B714E">
          <w:pPr>
            <w:spacing w:after="0"/>
            <w:jc w:val="center"/>
            <w:rPr>
              <w:noProof/>
              <w:lang w:bidi="ar-EG"/>
            </w:rPr>
          </w:pPr>
        </w:p>
      </w:tc>
      <w:tc>
        <w:tcPr>
          <w:tcW w:w="278" w:type="pct"/>
          <w:vAlign w:val="center"/>
        </w:tcPr>
        <w:p w:rsidR="006B714E" w:rsidRDefault="006B714E" w:rsidP="006B714E">
          <w:pPr>
            <w:spacing w:after="0"/>
            <w:jc w:val="center"/>
            <w:rPr>
              <w:lang w:bidi="ar-EG"/>
            </w:rPr>
          </w:pPr>
          <w:r>
            <w:rPr>
              <w:noProof/>
            </w:rPr>
            <w:drawing>
              <wp:inline distT="0" distB="0" distL="0" distR="0" wp14:anchorId="54B2A5A2" wp14:editId="64890C72">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rsidR="006B714E" w:rsidRPr="00A20672" w:rsidRDefault="006B714E" w:rsidP="006B714E">
          <w:pPr>
            <w:spacing w:after="0"/>
            <w:rPr>
              <w:b/>
              <w:bCs/>
              <w:sz w:val="18"/>
              <w:szCs w:val="18"/>
              <w:lang w:bidi="ar-EG"/>
            </w:rPr>
          </w:pPr>
          <w:r>
            <w:rPr>
              <w:b/>
              <w:bCs/>
              <w:noProof/>
              <w:sz w:val="18"/>
              <w:szCs w:val="18"/>
            </w:rPr>
            <w:drawing>
              <wp:inline distT="0" distB="0" distL="0" distR="0" wp14:anchorId="78AF4E06" wp14:editId="7851297F">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rsidTr="0036671B">
      <w:trPr>
        <w:jc w:val="center"/>
      </w:trPr>
      <w:tc>
        <w:tcPr>
          <w:tcW w:w="646" w:type="pct"/>
          <w:vMerge/>
        </w:tcPr>
        <w:p w:rsidR="006B714E" w:rsidRDefault="006B714E" w:rsidP="006B714E">
          <w:pPr>
            <w:spacing w:after="0"/>
            <w:jc w:val="center"/>
            <w:rPr>
              <w:noProof/>
              <w:lang w:bidi="ar-EG"/>
            </w:rPr>
          </w:pPr>
        </w:p>
      </w:tc>
      <w:tc>
        <w:tcPr>
          <w:tcW w:w="278" w:type="pct"/>
          <w:vAlign w:val="center"/>
        </w:tcPr>
        <w:p w:rsidR="006B714E" w:rsidRDefault="006B714E" w:rsidP="006B714E">
          <w:pPr>
            <w:spacing w:after="0"/>
            <w:jc w:val="center"/>
            <w:rPr>
              <w:noProof/>
              <w:lang w:bidi="ar-EG"/>
            </w:rPr>
          </w:pPr>
          <w:r>
            <w:rPr>
              <w:noProof/>
            </w:rPr>
            <w:drawing>
              <wp:inline distT="0" distB="0" distL="0" distR="0" wp14:anchorId="5CB1EDF0" wp14:editId="3101F352">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32E0502E" wp14:editId="6270C1CF">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1AC81EE2" wp14:editId="0A55812C">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A3E" w:rsidRDefault="00381A3E" w:rsidP="00CF1B4C">
      <w:pPr>
        <w:spacing w:after="0" w:line="240" w:lineRule="auto"/>
      </w:pPr>
      <w:r>
        <w:separator/>
      </w:r>
    </w:p>
  </w:footnote>
  <w:footnote w:type="continuationSeparator" w:id="0">
    <w:p w:rsidR="00381A3E" w:rsidRDefault="00381A3E" w:rsidP="00CF1B4C">
      <w:pPr>
        <w:spacing w:after="0" w:line="240" w:lineRule="auto"/>
      </w:pPr>
      <w:r>
        <w:continuationSeparator/>
      </w:r>
    </w:p>
  </w:footnote>
  <w:footnote w:id="1">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w:t>
      </w:r>
      <w:r w:rsidRPr="001D2B80">
        <w:rPr>
          <w:rFonts w:asciiTheme="majorBidi" w:hAnsiTheme="majorBidi" w:cstheme="majorBidi"/>
          <w:sz w:val="16"/>
          <w:szCs w:val="16"/>
          <w:lang w:bidi="ar-EG"/>
        </w:rPr>
        <w:t>Numbers of migrants in Egypt, International Organization for Migration, p. 2 -</w:t>
      </w:r>
      <w:hyperlink r:id="rId1" w:history="1">
        <w:r w:rsidRPr="001D2B80">
          <w:rPr>
            <w:rStyle w:val="Hyperlink"/>
            <w:rFonts w:asciiTheme="majorBidi" w:hAnsiTheme="majorBidi" w:cstheme="majorBidi"/>
            <w:sz w:val="16"/>
            <w:szCs w:val="16"/>
            <w:lang w:bidi="ar-EG"/>
          </w:rPr>
          <w:t>https://egypt.iom.int/sites/g/files/tmzbdl1021/files/documents/migration-stock-in-egypt-june-2022_v4_arb.pdf</w:t>
        </w:r>
      </w:hyperlink>
      <w:r w:rsidRPr="001D2B80">
        <w:rPr>
          <w:rFonts w:asciiTheme="majorBidi" w:hAnsiTheme="majorBidi" w:cstheme="majorBidi"/>
          <w:sz w:val="16"/>
          <w:szCs w:val="16"/>
          <w:lang w:bidi="ar-EG"/>
        </w:rPr>
        <w:t xml:space="preserve"> </w:t>
      </w:r>
    </w:p>
  </w:footnote>
  <w:footnote w:id="2">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w:t>
      </w:r>
      <w:r w:rsidRPr="001D2B80">
        <w:rPr>
          <w:rFonts w:asciiTheme="majorBidi" w:hAnsiTheme="majorBidi" w:cstheme="majorBidi"/>
          <w:sz w:val="16"/>
          <w:szCs w:val="16"/>
          <w:lang w:bidi="ar-EG"/>
        </w:rPr>
        <w:t xml:space="preserve">Note: Convention on Rights of Migrant Workers does not cover refugees and stateless persons, and number of refugees registered with United Nations High Commissioner for Refugees is estimated at approximately 600,000 refugees. </w:t>
      </w:r>
    </w:p>
  </w:footnote>
  <w:footnote w:id="3">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100 Million SIHA”; WHO, UNHCR and IOM Organize Screening for Hepatitis C to Increase Refugees' Awareness, </w:t>
      </w:r>
      <w:hyperlink r:id="rId2" w:history="1">
        <w:r w:rsidRPr="001D2B80">
          <w:rPr>
            <w:rStyle w:val="Hyperlink"/>
            <w:rFonts w:asciiTheme="majorBidi" w:hAnsiTheme="majorBidi" w:cstheme="majorBidi"/>
            <w:sz w:val="16"/>
            <w:szCs w:val="16"/>
          </w:rPr>
          <w:t>https://egypt.iom.int/news/100-million-siha-who-unhcr-and-iom-organize-screening-hepatitis-c-increase-refugees-awareness</w:t>
        </w:r>
      </w:hyperlink>
    </w:p>
  </w:footnote>
  <w:footnote w:id="4">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Fragile Protection and Missing Justice: Human Rights Challenges in Arab Countries 2023, EGYPT, </w:t>
      </w:r>
      <w:hyperlink r:id="rId3" w:history="1">
        <w:r w:rsidRPr="001D2B80">
          <w:rPr>
            <w:rStyle w:val="Hyperlink"/>
            <w:rFonts w:asciiTheme="majorBidi" w:hAnsiTheme="majorBidi" w:cstheme="majorBidi"/>
            <w:sz w:val="16"/>
            <w:szCs w:val="16"/>
          </w:rPr>
          <w:t>https://maatpeace.org/wp-content/uploads/2024/03/Fragile-protection-and-missing-justice.pdf</w:t>
        </w:r>
      </w:hyperlink>
    </w:p>
  </w:footnote>
  <w:footnote w:id="5">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What is Egypt's National dialogue?</w:t>
      </w:r>
      <w:r w:rsidRPr="001D2B80">
        <w:rPr>
          <w:rFonts w:asciiTheme="majorBidi" w:hAnsiTheme="majorBidi" w:cstheme="majorBidi"/>
          <w:sz w:val="16"/>
          <w:szCs w:val="16"/>
          <w:lang w:bidi="ar-EG"/>
        </w:rPr>
        <w:t xml:space="preserve"> </w:t>
      </w:r>
      <w:hyperlink r:id="rId4" w:history="1">
        <w:r w:rsidRPr="001D2B80">
          <w:rPr>
            <w:rStyle w:val="Hyperlink"/>
            <w:rFonts w:asciiTheme="majorBidi" w:hAnsiTheme="majorBidi" w:cstheme="majorBidi"/>
            <w:sz w:val="16"/>
            <w:szCs w:val="16"/>
            <w:lang w:bidi="ar-EG"/>
          </w:rPr>
          <w:t>https://hrightsstudies.sis.gov.eg/national-dialogue/what-is-egypts-national-dialogue/</w:t>
        </w:r>
      </w:hyperlink>
    </w:p>
  </w:footnote>
  <w:footnote w:id="6">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Egypt: Murder and sexual assault of a Sudanese baby “a transnational crime,” BBC Arabic, </w:t>
      </w:r>
      <w:hyperlink r:id="rId5" w:history="1">
        <w:r w:rsidRPr="001D2B80">
          <w:rPr>
            <w:rStyle w:val="Hyperlink"/>
            <w:rFonts w:asciiTheme="majorBidi" w:hAnsiTheme="majorBidi" w:cstheme="majorBidi"/>
            <w:sz w:val="16"/>
            <w:szCs w:val="16"/>
          </w:rPr>
          <w:t>https://www.bbc.com/arabic/articles/c87zyv28n65o</w:t>
        </w:r>
      </w:hyperlink>
      <w:r w:rsidRPr="001D2B80">
        <w:rPr>
          <w:rFonts w:asciiTheme="majorBidi" w:hAnsiTheme="majorBidi" w:cstheme="majorBidi"/>
          <w:sz w:val="16"/>
          <w:szCs w:val="16"/>
        </w:rPr>
        <w:t xml:space="preserve"> </w:t>
      </w:r>
    </w:p>
  </w:footnote>
  <w:footnote w:id="7">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CONSIDERATION OF REPORTS SUBMITTED BY STATES PARTIESUNDER ARTICLE 74 OF THE CONVENTION, </w:t>
      </w:r>
      <w:hyperlink r:id="rId6" w:history="1">
        <w:r w:rsidRPr="001D2B80">
          <w:rPr>
            <w:rStyle w:val="Hyperlink"/>
            <w:rFonts w:asciiTheme="majorBidi" w:hAnsiTheme="majorBidi" w:cstheme="majorBidi"/>
            <w:sz w:val="16"/>
            <w:szCs w:val="16"/>
          </w:rPr>
          <w:t>https://tinyurl.com/3v285xv2</w:t>
        </w:r>
      </w:hyperlink>
    </w:p>
  </w:footnote>
  <w:footnote w:id="8">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Entry and Residence of Foreigners Law No. 89 of 1960, legal publications, at </w:t>
      </w:r>
      <w:hyperlink r:id="rId7" w:history="1">
        <w:r w:rsidRPr="001D2B80">
          <w:rPr>
            <w:rStyle w:val="Hyperlink"/>
            <w:rFonts w:asciiTheme="majorBidi" w:hAnsiTheme="majorBidi" w:cstheme="majorBidi"/>
            <w:sz w:val="16"/>
            <w:szCs w:val="16"/>
          </w:rPr>
          <w:t>https://manshurat.org/node/7355</w:t>
        </w:r>
      </w:hyperlink>
      <w:r w:rsidRPr="001D2B80">
        <w:rPr>
          <w:rFonts w:asciiTheme="majorBidi" w:hAnsiTheme="majorBidi" w:cstheme="majorBidi"/>
          <w:sz w:val="16"/>
          <w:szCs w:val="16"/>
        </w:rPr>
        <w:t xml:space="preserve"> </w:t>
      </w:r>
    </w:p>
  </w:footnote>
  <w:footnote w:id="9">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Civil Service Law No. 81 of 2016, legal publications, at </w:t>
      </w:r>
      <w:hyperlink r:id="rId8" w:history="1">
        <w:r w:rsidRPr="001D2B80">
          <w:rPr>
            <w:rStyle w:val="Hyperlink"/>
            <w:rFonts w:asciiTheme="majorBidi" w:hAnsiTheme="majorBidi" w:cstheme="majorBidi"/>
            <w:sz w:val="16"/>
            <w:szCs w:val="16"/>
          </w:rPr>
          <w:t>https://manshurat.org/node/13128</w:t>
        </w:r>
      </w:hyperlink>
      <w:r w:rsidRPr="001D2B80">
        <w:rPr>
          <w:rFonts w:asciiTheme="majorBidi" w:hAnsiTheme="majorBidi" w:cstheme="majorBidi"/>
          <w:sz w:val="16"/>
          <w:szCs w:val="16"/>
        </w:rPr>
        <w:t xml:space="preserve"> </w:t>
      </w:r>
    </w:p>
  </w:footnote>
  <w:footnote w:id="10">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Ibid, P4, </w:t>
      </w:r>
      <w:hyperlink r:id="rId9" w:history="1">
        <w:r w:rsidRPr="001D2B80">
          <w:rPr>
            <w:rStyle w:val="Hyperlink"/>
            <w:rFonts w:asciiTheme="majorBidi" w:hAnsiTheme="majorBidi" w:cstheme="majorBidi"/>
            <w:sz w:val="16"/>
            <w:szCs w:val="16"/>
          </w:rPr>
          <w:t>https://egypt.iom.int/sites/g/files/tmzbdl1021/files/documents/migration</w:t>
        </w:r>
      </w:hyperlink>
      <w:r w:rsidRPr="001D2B80">
        <w:rPr>
          <w:rFonts w:asciiTheme="majorBidi" w:hAnsiTheme="majorBidi" w:cstheme="majorBidi"/>
          <w:sz w:val="16"/>
          <w:szCs w:val="16"/>
        </w:rPr>
        <w:t xml:space="preserve"> </w:t>
      </w:r>
    </w:p>
  </w:footnote>
  <w:footnote w:id="11">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Informal economy... repercussions and implications, international politics, at </w:t>
      </w:r>
      <w:hyperlink r:id="rId10" w:history="1">
        <w:r w:rsidRPr="001D2B80">
          <w:rPr>
            <w:rStyle w:val="Hyperlink"/>
            <w:rFonts w:asciiTheme="majorBidi" w:hAnsiTheme="majorBidi" w:cstheme="majorBidi"/>
            <w:sz w:val="16"/>
            <w:szCs w:val="16"/>
          </w:rPr>
          <w:t>https://www.siyassa.org.eg/News/19646.aspx</w:t>
        </w:r>
      </w:hyperlink>
      <w:r w:rsidRPr="001D2B80">
        <w:rPr>
          <w:rFonts w:asciiTheme="majorBidi" w:hAnsiTheme="majorBidi" w:cstheme="majorBidi"/>
          <w:sz w:val="16"/>
          <w:szCs w:val="16"/>
        </w:rPr>
        <w:t xml:space="preserve"> </w:t>
      </w:r>
    </w:p>
  </w:footnote>
  <w:footnote w:id="12">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Joint Platform for Migrants and Refugees in Egypt, page 9, </w:t>
      </w:r>
      <w:hyperlink r:id="rId11" w:history="1">
        <w:r w:rsidRPr="001D2B80">
          <w:rPr>
            <w:rStyle w:val="Hyperlink"/>
            <w:rFonts w:asciiTheme="majorBidi" w:hAnsiTheme="majorBidi" w:cstheme="majorBidi"/>
            <w:sz w:val="16"/>
            <w:szCs w:val="16"/>
          </w:rPr>
          <w:t>https://tinyurl.com/2p9r3ecz</w:t>
        </w:r>
      </w:hyperlink>
    </w:p>
  </w:footnote>
  <w:footnote w:id="13">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Law on Practice of Private Work No. 149 of 2019, Article Six, at </w:t>
      </w:r>
      <w:hyperlink r:id="rId12" w:history="1">
        <w:r w:rsidRPr="001D2B80">
          <w:rPr>
            <w:rStyle w:val="Hyperlink"/>
            <w:rFonts w:asciiTheme="majorBidi" w:hAnsiTheme="majorBidi" w:cstheme="majorBidi"/>
            <w:sz w:val="16"/>
            <w:szCs w:val="16"/>
          </w:rPr>
          <w:t>https://manshurat.org/node/61248</w:t>
        </w:r>
      </w:hyperlink>
      <w:r w:rsidRPr="001D2B80">
        <w:rPr>
          <w:rFonts w:asciiTheme="majorBidi" w:hAnsiTheme="majorBidi" w:cstheme="majorBidi"/>
          <w:sz w:val="16"/>
          <w:szCs w:val="16"/>
        </w:rPr>
        <w:t xml:space="preserve"> </w:t>
      </w:r>
    </w:p>
  </w:footnote>
  <w:footnote w:id="14">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Civil Work in Egypt, International Consulting Group for Consulting, at </w:t>
      </w:r>
      <w:hyperlink r:id="rId13" w:history="1">
        <w:r w:rsidRPr="001D2B80">
          <w:rPr>
            <w:rStyle w:val="Hyperlink"/>
            <w:rFonts w:asciiTheme="majorBidi" w:hAnsiTheme="majorBidi" w:cstheme="majorBidi"/>
            <w:sz w:val="16"/>
            <w:szCs w:val="16"/>
          </w:rPr>
          <w:t>https://tinyurl.com/5x23mtst</w:t>
        </w:r>
      </w:hyperlink>
      <w:r w:rsidRPr="001D2B80">
        <w:rPr>
          <w:rFonts w:asciiTheme="majorBidi" w:hAnsiTheme="majorBidi" w:cstheme="majorBidi"/>
          <w:sz w:val="16"/>
          <w:szCs w:val="16"/>
        </w:rPr>
        <w:t xml:space="preserve"> </w:t>
      </w:r>
    </w:p>
  </w:footnote>
  <w:footnote w:id="15">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REFUGEES AND THE EGYPTIAN LABOUR MARKET</w:t>
      </w:r>
      <w:r w:rsidRPr="001D2B80">
        <w:rPr>
          <w:rFonts w:asciiTheme="majorBidi" w:hAnsiTheme="majorBidi" w:cstheme="majorBidi"/>
          <w:sz w:val="16"/>
          <w:szCs w:val="16"/>
          <w:rtl/>
          <w:lang w:bidi="ar-EG"/>
        </w:rPr>
        <w:t xml:space="preserve"> </w:t>
      </w:r>
      <w:r w:rsidRPr="001D2B80">
        <w:rPr>
          <w:rFonts w:asciiTheme="majorBidi" w:hAnsiTheme="majorBidi" w:cstheme="majorBidi"/>
          <w:sz w:val="16"/>
          <w:szCs w:val="16"/>
          <w:lang w:bidi="ar-EG"/>
        </w:rPr>
        <w:t xml:space="preserve">, PAGE 13, </w:t>
      </w:r>
      <w:hyperlink r:id="rId14" w:history="1">
        <w:r w:rsidRPr="001D2B80">
          <w:rPr>
            <w:rStyle w:val="Hyperlink"/>
            <w:rFonts w:asciiTheme="majorBidi" w:hAnsiTheme="majorBidi" w:cstheme="majorBidi"/>
            <w:sz w:val="16"/>
            <w:szCs w:val="16"/>
            <w:lang w:bidi="ar-EG"/>
          </w:rPr>
          <w:t>https://webapps.ilo.org/wcmsp5/groups/public/---</w:t>
        </w:r>
        <w:proofErr w:type="spellStart"/>
        <w:r w:rsidRPr="001D2B80">
          <w:rPr>
            <w:rStyle w:val="Hyperlink"/>
            <w:rFonts w:asciiTheme="majorBidi" w:hAnsiTheme="majorBidi" w:cstheme="majorBidi"/>
            <w:sz w:val="16"/>
            <w:szCs w:val="16"/>
            <w:lang w:bidi="ar-EG"/>
          </w:rPr>
          <w:t>dgreports</w:t>
        </w:r>
        <w:proofErr w:type="spellEnd"/>
        <w:r w:rsidRPr="001D2B80">
          <w:rPr>
            <w:rStyle w:val="Hyperlink"/>
            <w:rFonts w:asciiTheme="majorBidi" w:hAnsiTheme="majorBidi" w:cstheme="majorBidi"/>
            <w:sz w:val="16"/>
            <w:szCs w:val="16"/>
            <w:lang w:bidi="ar-EG"/>
          </w:rPr>
          <w:t>/---</w:t>
        </w:r>
        <w:proofErr w:type="spellStart"/>
        <w:r w:rsidRPr="001D2B80">
          <w:rPr>
            <w:rStyle w:val="Hyperlink"/>
            <w:rFonts w:asciiTheme="majorBidi" w:hAnsiTheme="majorBidi" w:cstheme="majorBidi"/>
            <w:sz w:val="16"/>
            <w:szCs w:val="16"/>
            <w:lang w:bidi="ar-EG"/>
          </w:rPr>
          <w:t>ddg_p</w:t>
        </w:r>
        <w:proofErr w:type="spellEnd"/>
        <w:r w:rsidRPr="001D2B80">
          <w:rPr>
            <w:rStyle w:val="Hyperlink"/>
            <w:rFonts w:asciiTheme="majorBidi" w:hAnsiTheme="majorBidi" w:cstheme="majorBidi"/>
            <w:sz w:val="16"/>
            <w:szCs w:val="16"/>
            <w:lang w:bidi="ar-EG"/>
          </w:rPr>
          <w:t>/documents/publication/wcms_824113.pdf</w:t>
        </w:r>
      </w:hyperlink>
    </w:p>
  </w:footnote>
  <w:footnote w:id="16">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Expanding social protection for migrant workers in the Arab region, ILO, at </w:t>
      </w:r>
      <w:hyperlink r:id="rId15" w:history="1">
        <w:r w:rsidRPr="001D2B80">
          <w:rPr>
            <w:rStyle w:val="Hyperlink"/>
            <w:rFonts w:asciiTheme="majorBidi" w:hAnsiTheme="majorBidi" w:cstheme="majorBidi"/>
            <w:sz w:val="16"/>
            <w:szCs w:val="16"/>
            <w:lang w:bidi="ar-EG"/>
          </w:rPr>
          <w:t>https://webapps.ilo.org/wcmsp5/groups/public/---</w:t>
        </w:r>
        <w:proofErr w:type="spellStart"/>
        <w:r w:rsidRPr="001D2B80">
          <w:rPr>
            <w:rStyle w:val="Hyperlink"/>
            <w:rFonts w:asciiTheme="majorBidi" w:hAnsiTheme="majorBidi" w:cstheme="majorBidi"/>
            <w:sz w:val="16"/>
            <w:szCs w:val="16"/>
            <w:lang w:bidi="ar-EG"/>
          </w:rPr>
          <w:t>arabstates</w:t>
        </w:r>
        <w:proofErr w:type="spellEnd"/>
        <w:r w:rsidRPr="001D2B80">
          <w:rPr>
            <w:rStyle w:val="Hyperlink"/>
            <w:rFonts w:asciiTheme="majorBidi" w:hAnsiTheme="majorBidi" w:cstheme="majorBidi"/>
            <w:sz w:val="16"/>
            <w:szCs w:val="16"/>
            <w:lang w:bidi="ar-EG"/>
          </w:rPr>
          <w:t>/---</w:t>
        </w:r>
        <w:proofErr w:type="spellStart"/>
        <w:r w:rsidRPr="001D2B80">
          <w:rPr>
            <w:rStyle w:val="Hyperlink"/>
            <w:rFonts w:asciiTheme="majorBidi" w:hAnsiTheme="majorBidi" w:cstheme="majorBidi"/>
            <w:sz w:val="16"/>
            <w:szCs w:val="16"/>
            <w:lang w:bidi="ar-EG"/>
          </w:rPr>
          <w:t>ro-beirut</w:t>
        </w:r>
        <w:proofErr w:type="spellEnd"/>
        <w:r w:rsidRPr="001D2B80">
          <w:rPr>
            <w:rStyle w:val="Hyperlink"/>
            <w:rFonts w:asciiTheme="majorBidi" w:hAnsiTheme="majorBidi" w:cstheme="majorBidi"/>
            <w:sz w:val="16"/>
            <w:szCs w:val="16"/>
            <w:lang w:bidi="ar-EG"/>
          </w:rPr>
          <w:t>/documents/publication/wcms_884552.pdf</w:t>
        </w:r>
      </w:hyperlink>
    </w:p>
  </w:footnote>
  <w:footnote w:id="17">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Issuance of Central Bank and Banking Sector Law, legal publications, at: </w:t>
      </w:r>
      <w:hyperlink r:id="rId16" w:history="1">
        <w:r w:rsidRPr="001D2B80">
          <w:rPr>
            <w:rStyle w:val="Hyperlink"/>
            <w:rFonts w:asciiTheme="majorBidi" w:hAnsiTheme="majorBidi" w:cstheme="majorBidi"/>
            <w:sz w:val="16"/>
            <w:szCs w:val="16"/>
          </w:rPr>
          <w:t>https://manshurat.org/node/68148</w:t>
        </w:r>
      </w:hyperlink>
      <w:r w:rsidRPr="001D2B80">
        <w:rPr>
          <w:rFonts w:asciiTheme="majorBidi" w:hAnsiTheme="majorBidi" w:cstheme="majorBidi"/>
          <w:sz w:val="16"/>
          <w:szCs w:val="16"/>
        </w:rPr>
        <w:t xml:space="preserve"> </w:t>
      </w:r>
    </w:p>
  </w:footnote>
  <w:footnote w:id="18">
    <w:p w:rsidR="00EA76C1" w:rsidRPr="001D2B80" w:rsidRDefault="00EA76C1" w:rsidP="001D2B80">
      <w:pPr>
        <w:pStyle w:val="FootnoteText"/>
        <w:rPr>
          <w:rFonts w:asciiTheme="majorBidi" w:hAnsiTheme="majorBidi" w:cstheme="majorBidi"/>
          <w:sz w:val="16"/>
          <w:szCs w:val="16"/>
        </w:rPr>
      </w:pPr>
      <w:r w:rsidRPr="001D2B80">
        <w:rPr>
          <w:rStyle w:val="FootnoteReference"/>
          <w:rFonts w:asciiTheme="majorBidi" w:hAnsiTheme="majorBidi" w:cstheme="majorBidi"/>
          <w:sz w:val="16"/>
          <w:szCs w:val="16"/>
        </w:rPr>
        <w:footnoteRef/>
      </w:r>
      <w:r w:rsidRPr="001D2B80">
        <w:rPr>
          <w:rFonts w:asciiTheme="majorBidi" w:hAnsiTheme="majorBidi" w:cstheme="majorBidi"/>
          <w:sz w:val="16"/>
          <w:szCs w:val="16"/>
        </w:rPr>
        <w:t xml:space="preserve"> IOM Egypt Country Strategy 2021-2025, </w:t>
      </w:r>
      <w:hyperlink r:id="rId17" w:history="1">
        <w:r w:rsidRPr="001D2B80">
          <w:rPr>
            <w:rStyle w:val="Hyperlink"/>
            <w:rFonts w:asciiTheme="majorBidi" w:hAnsiTheme="majorBidi" w:cstheme="majorBidi"/>
            <w:sz w:val="16"/>
            <w:szCs w:val="16"/>
          </w:rPr>
          <w:t>https://egypt.iom.int/sites/g/files/tmzbdl1021/files/documents/iom-country-strategy_final.pdf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2CC" w:rsidRDefault="00EB74DC">
    <w:r>
      <w:rPr>
        <w:rFonts w:hint="cs"/>
        <w:noProof/>
      </w:rPr>
      <w:drawing>
        <wp:inline distT="0" distB="0" distL="0" distR="0" wp14:anchorId="45A1211B" wp14:editId="517FF53B">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rsidTr="00295CF7">
      <w:tc>
        <w:tcPr>
          <w:tcW w:w="2500" w:type="pct"/>
        </w:tcPr>
        <w:p w:rsidR="006B714E" w:rsidRDefault="006B714E" w:rsidP="006B714E">
          <w:pPr>
            <w:pStyle w:val="Header"/>
          </w:pPr>
          <w:r>
            <w:rPr>
              <w:rFonts w:hint="cs"/>
              <w:noProof/>
            </w:rPr>
            <w:drawing>
              <wp:inline distT="0" distB="0" distL="0" distR="0" wp14:anchorId="1F7E0B21" wp14:editId="417DC5BB">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rsidR="006B714E" w:rsidRDefault="006B714E" w:rsidP="006B714E">
          <w:pPr>
            <w:pStyle w:val="Header"/>
          </w:pPr>
        </w:p>
      </w:tc>
    </w:tr>
  </w:tbl>
  <w:p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9DF5B81"/>
    <w:multiLevelType w:val="hybridMultilevel"/>
    <w:tmpl w:val="732E0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6AD13A2"/>
    <w:multiLevelType w:val="hybridMultilevel"/>
    <w:tmpl w:val="7B34D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356A4F"/>
    <w:multiLevelType w:val="hybridMultilevel"/>
    <w:tmpl w:val="881C3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D202B88"/>
    <w:multiLevelType w:val="hybridMultilevel"/>
    <w:tmpl w:val="B8FC4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21"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
  </w:num>
  <w:num w:numId="3">
    <w:abstractNumId w:val="15"/>
  </w:num>
  <w:num w:numId="4">
    <w:abstractNumId w:val="11"/>
  </w:num>
  <w:num w:numId="5">
    <w:abstractNumId w:val="13"/>
  </w:num>
  <w:num w:numId="6">
    <w:abstractNumId w:val="1"/>
  </w:num>
  <w:num w:numId="7">
    <w:abstractNumId w:val="17"/>
  </w:num>
  <w:num w:numId="8">
    <w:abstractNumId w:val="9"/>
  </w:num>
  <w:num w:numId="9">
    <w:abstractNumId w:val="7"/>
  </w:num>
  <w:num w:numId="10">
    <w:abstractNumId w:val="16"/>
  </w:num>
  <w:num w:numId="11">
    <w:abstractNumId w:val="12"/>
  </w:num>
  <w:num w:numId="12">
    <w:abstractNumId w:val="18"/>
  </w:num>
  <w:num w:numId="13">
    <w:abstractNumId w:val="20"/>
  </w:num>
  <w:num w:numId="14">
    <w:abstractNumId w:val="0"/>
  </w:num>
  <w:num w:numId="15">
    <w:abstractNumId w:val="10"/>
  </w:num>
  <w:num w:numId="16">
    <w:abstractNumId w:val="5"/>
  </w:num>
  <w:num w:numId="17">
    <w:abstractNumId w:val="4"/>
  </w:num>
  <w:num w:numId="18">
    <w:abstractNumId w:val="6"/>
  </w:num>
  <w:num w:numId="19">
    <w:abstractNumId w:val="8"/>
  </w:num>
  <w:num w:numId="20">
    <w:abstractNumId w:val="19"/>
  </w:num>
  <w:num w:numId="21">
    <w:abstractNumId w:val="14"/>
  </w:num>
  <w:num w:numId="2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6C1"/>
    <w:rsid w:val="0000141C"/>
    <w:rsid w:val="00003699"/>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6C1D"/>
    <w:rsid w:val="002E6C2C"/>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81A3E"/>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50B80"/>
    <w:rsid w:val="00751DA8"/>
    <w:rsid w:val="00753D7F"/>
    <w:rsid w:val="0075721F"/>
    <w:rsid w:val="007623A8"/>
    <w:rsid w:val="007659D7"/>
    <w:rsid w:val="00767BF5"/>
    <w:rsid w:val="007907E1"/>
    <w:rsid w:val="00790FBB"/>
    <w:rsid w:val="00791830"/>
    <w:rsid w:val="00794563"/>
    <w:rsid w:val="00794FBB"/>
    <w:rsid w:val="007958DC"/>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E5CDE"/>
    <w:rsid w:val="00AF277A"/>
    <w:rsid w:val="00AF4E1E"/>
    <w:rsid w:val="00AF559A"/>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86BB6"/>
    <w:rsid w:val="00B92084"/>
    <w:rsid w:val="00B970B5"/>
    <w:rsid w:val="00BA585A"/>
    <w:rsid w:val="00BB2CA9"/>
    <w:rsid w:val="00BB62BD"/>
    <w:rsid w:val="00BC230B"/>
    <w:rsid w:val="00BC4344"/>
    <w:rsid w:val="00BC6824"/>
    <w:rsid w:val="00BE49DB"/>
    <w:rsid w:val="00BF3FD5"/>
    <w:rsid w:val="00BF7B35"/>
    <w:rsid w:val="00C068AC"/>
    <w:rsid w:val="00C16612"/>
    <w:rsid w:val="00C20FDD"/>
    <w:rsid w:val="00C217FB"/>
    <w:rsid w:val="00C24862"/>
    <w:rsid w:val="00C26282"/>
    <w:rsid w:val="00C27A60"/>
    <w:rsid w:val="00C304E4"/>
    <w:rsid w:val="00C41B4E"/>
    <w:rsid w:val="00C4477C"/>
    <w:rsid w:val="00C45534"/>
    <w:rsid w:val="00C55701"/>
    <w:rsid w:val="00C56603"/>
    <w:rsid w:val="00C61BEC"/>
    <w:rsid w:val="00C73853"/>
    <w:rsid w:val="00C74890"/>
    <w:rsid w:val="00C76D0E"/>
    <w:rsid w:val="00C83345"/>
    <w:rsid w:val="00C84439"/>
    <w:rsid w:val="00C90633"/>
    <w:rsid w:val="00C91E5F"/>
    <w:rsid w:val="00C95822"/>
    <w:rsid w:val="00C95B56"/>
    <w:rsid w:val="00C95F75"/>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A76C1"/>
    <w:rsid w:val="00EB1383"/>
    <w:rsid w:val="00EB4D86"/>
    <w:rsid w:val="00EB57DD"/>
    <w:rsid w:val="00EB74DC"/>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72B"/>
    <w:rsid w:val="00FC5962"/>
    <w:rsid w:val="00FE3675"/>
    <w:rsid w:val="00FE5F5D"/>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8A615"/>
  <w15:docId w15:val="{D72E8A96-E9D1-4A57-91C3-D0724712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UnresolvedMention">
    <w:name w:val="Unresolved Mention"/>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manshurat.org/node/13128" TargetMode="External"/><Relationship Id="rId13" Type="http://schemas.openxmlformats.org/officeDocument/2006/relationships/hyperlink" Target="https://tinyurl.com/5x23mtst" TargetMode="External"/><Relationship Id="rId3" Type="http://schemas.openxmlformats.org/officeDocument/2006/relationships/hyperlink" Target="https://maatpeace.org/wp-content/uploads/2024/03/Fragile-protection-and-missing-justice.pdf" TargetMode="External"/><Relationship Id="rId7" Type="http://schemas.openxmlformats.org/officeDocument/2006/relationships/hyperlink" Target="https://manshurat.org/node/7355" TargetMode="External"/><Relationship Id="rId12" Type="http://schemas.openxmlformats.org/officeDocument/2006/relationships/hyperlink" Target="https://manshurat.org/node/61248" TargetMode="External"/><Relationship Id="rId17" Type="http://schemas.openxmlformats.org/officeDocument/2006/relationships/hyperlink" Target="https://egypt.iom.int/sites/g/files/tmzbdl1021/files/documents/iom-country-strategy_final.pdf" TargetMode="External"/><Relationship Id="rId2" Type="http://schemas.openxmlformats.org/officeDocument/2006/relationships/hyperlink" Target="https://egypt.iom.int/news/100-million-siha-who-unhcr-and-iom-organize-screening-hepatitis-c-increase-refugees-awareness" TargetMode="External"/><Relationship Id="rId16" Type="http://schemas.openxmlformats.org/officeDocument/2006/relationships/hyperlink" Target="https://manshurat.org/node/68148" TargetMode="External"/><Relationship Id="rId1" Type="http://schemas.openxmlformats.org/officeDocument/2006/relationships/hyperlink" Target="https://egypt.iom.int/sites/g/files/tmzbdl1021/files/documents/migration-stock-in-egypt-june-2022_v4_arb.pdf" TargetMode="External"/><Relationship Id="rId6" Type="http://schemas.openxmlformats.org/officeDocument/2006/relationships/hyperlink" Target="https://tinyurl.com/3v285xv2" TargetMode="External"/><Relationship Id="rId11" Type="http://schemas.openxmlformats.org/officeDocument/2006/relationships/hyperlink" Target="https://tinyurl.com/2p9r3ecz" TargetMode="External"/><Relationship Id="rId5" Type="http://schemas.openxmlformats.org/officeDocument/2006/relationships/hyperlink" Target="https://www.bbc.com/arabic/articles/c87zyv28n65o" TargetMode="External"/><Relationship Id="rId15" Type="http://schemas.openxmlformats.org/officeDocument/2006/relationships/hyperlink" Target="https://webapps.ilo.org/wcmsp5/groups/public/---arabstates/---ro-beirut/documents/publication/wcms_884552.pdf" TargetMode="External"/><Relationship Id="rId10" Type="http://schemas.openxmlformats.org/officeDocument/2006/relationships/hyperlink" Target="https://www.siyassa.org.eg/News/19646.aspx" TargetMode="External"/><Relationship Id="rId4" Type="http://schemas.openxmlformats.org/officeDocument/2006/relationships/hyperlink" Target="https://hrightsstudies.sis.gov.eg/national-dialogue/what-is-egypts-national-dialogue/" TargetMode="External"/><Relationship Id="rId9" Type="http://schemas.openxmlformats.org/officeDocument/2006/relationships/hyperlink" Target="https://egypt.iom.int/sites/g/files/tmzbdl1021/files/documents/migration" TargetMode="External"/><Relationship Id="rId14" Type="http://schemas.openxmlformats.org/officeDocument/2006/relationships/hyperlink" Target="https://webapps.ilo.org/wcmsp5/groups/public/---dgreports/---ddg_p/documents/publication/wcms_82411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0" ma:contentTypeDescription="Create a new document." ma:contentTypeScope="" ma:versionID="2637ccb1bb05592be5f0fd9e6afc9636">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6ff72a1e1412fb1c7958af630265a777"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CFCA1D-CD98-4BF0-92CB-C997FBE200D5}">
  <ds:schemaRefs>
    <ds:schemaRef ds:uri="http://schemas.openxmlformats.org/officeDocument/2006/bibliography"/>
  </ds:schemaRefs>
</ds:datastoreItem>
</file>

<file path=customXml/itemProps2.xml><?xml version="1.0" encoding="utf-8"?>
<ds:datastoreItem xmlns:ds="http://schemas.openxmlformats.org/officeDocument/2006/customXml" ds:itemID="{0E30368E-501E-4E73-B23A-6B917D0AB038}"/>
</file>

<file path=customXml/itemProps3.xml><?xml version="1.0" encoding="utf-8"?>
<ds:datastoreItem xmlns:ds="http://schemas.openxmlformats.org/officeDocument/2006/customXml" ds:itemID="{A664789F-E324-4890-BD6B-182FF145835B}"/>
</file>

<file path=docProps/app.xml><?xml version="1.0" encoding="utf-8"?>
<Properties xmlns="http://schemas.openxmlformats.org/officeDocument/2006/extended-properties" xmlns:vt="http://schemas.openxmlformats.org/officeDocument/2006/docPropsVTypes">
  <Template>Maat</Template>
  <TotalTime>3</TotalTime>
  <Pages>8</Pages>
  <Words>3847</Words>
  <Characters>21930</Characters>
  <Application>Microsoft Office Word</Application>
  <DocSecurity>0</DocSecurity>
  <Lines>182</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25726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Marina</cp:lastModifiedBy>
  <cp:revision>2</cp:revision>
  <dcterms:created xsi:type="dcterms:W3CDTF">2024-05-08T07:57:00Z</dcterms:created>
  <dcterms:modified xsi:type="dcterms:W3CDTF">2024-05-08T08:00:00Z</dcterms:modified>
  <cp:category/>
</cp:coreProperties>
</file>