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2AC" w:rsidRDefault="006C12AC">
      <w:pPr>
        <w:pStyle w:val="SzvegtrzsA"/>
        <w:widowControl w:val="0"/>
        <w:spacing w:line="240" w:lineRule="auto"/>
        <w:rPr>
          <w:rStyle w:val="Egyiksem"/>
          <w:rFonts w:ascii="Times New Roman" w:eastAsia="Times New Roman" w:hAnsi="Times New Roman" w:cs="Times New Roman"/>
          <w:b/>
          <w:bCs/>
          <w:sz w:val="24"/>
          <w:szCs w:val="24"/>
        </w:rPr>
      </w:pPr>
    </w:p>
    <w:p w:rsidR="006C12AC" w:rsidRDefault="006C12AC">
      <w:pPr>
        <w:pStyle w:val="SzvegtrzsA"/>
        <w:spacing w:line="240" w:lineRule="auto"/>
        <w:jc w:val="center"/>
        <w:rPr>
          <w:rStyle w:val="Egyiksem"/>
          <w:rFonts w:ascii="Times New Roman" w:eastAsia="Times New Roman" w:hAnsi="Times New Roman" w:cs="Times New Roman"/>
          <w:b/>
          <w:bCs/>
          <w:sz w:val="24"/>
          <w:szCs w:val="24"/>
        </w:rPr>
      </w:pPr>
    </w:p>
    <w:p w:rsidR="006C12AC" w:rsidRDefault="006C12AC">
      <w:pPr>
        <w:pStyle w:val="SzvegtrzsA"/>
        <w:spacing w:line="240" w:lineRule="auto"/>
        <w:jc w:val="both"/>
        <w:rPr>
          <w:rStyle w:val="Egyiksem"/>
          <w:rFonts w:ascii="Times New Roman" w:eastAsia="Times New Roman" w:hAnsi="Times New Roman" w:cs="Times New Roman"/>
          <w:b/>
          <w:bCs/>
          <w:sz w:val="24"/>
          <w:szCs w:val="24"/>
        </w:rPr>
      </w:pPr>
    </w:p>
    <w:p w:rsidR="006C12AC" w:rsidRDefault="001E6068">
      <w:pPr>
        <w:pStyle w:val="SzvegtrzsA"/>
        <w:spacing w:line="240" w:lineRule="auto"/>
        <w:jc w:val="both"/>
        <w:rPr>
          <w:rStyle w:val="Egyiksem"/>
          <w:rFonts w:ascii="Times New Roman" w:eastAsia="Times New Roman" w:hAnsi="Times New Roman" w:cs="Times New Roman"/>
          <w:b/>
          <w:bCs/>
          <w:sz w:val="28"/>
          <w:szCs w:val="28"/>
        </w:rPr>
      </w:pPr>
      <w:r>
        <w:rPr>
          <w:rStyle w:val="Egyiksem"/>
          <w:rFonts w:ascii="Times New Roman" w:hAnsi="Times New Roman"/>
          <w:b/>
          <w:bCs/>
          <w:sz w:val="28"/>
          <w:szCs w:val="28"/>
          <w:lang w:val="en-US"/>
        </w:rPr>
        <w:t xml:space="preserve">Submission of </w:t>
      </w:r>
      <w:bookmarkStart w:id="0" w:name="_GoBack"/>
      <w:r>
        <w:rPr>
          <w:rStyle w:val="Egyiksem"/>
          <w:rFonts w:ascii="Times New Roman" w:hAnsi="Times New Roman"/>
          <w:b/>
          <w:bCs/>
          <w:sz w:val="28"/>
          <w:szCs w:val="28"/>
          <w:lang w:val="en-US"/>
        </w:rPr>
        <w:t>NANE Women</w:t>
      </w:r>
      <w:r>
        <w:rPr>
          <w:rStyle w:val="Egyiksem"/>
          <w:rFonts w:ascii="Times New Roman" w:hAnsi="Times New Roman"/>
          <w:b/>
          <w:bCs/>
          <w:sz w:val="28"/>
          <w:szCs w:val="28"/>
          <w:lang w:val="en-US"/>
        </w:rPr>
        <w:t>’</w:t>
      </w:r>
      <w:r>
        <w:rPr>
          <w:rStyle w:val="Egyiksem"/>
          <w:rFonts w:ascii="Times New Roman" w:hAnsi="Times New Roman"/>
          <w:b/>
          <w:bCs/>
          <w:sz w:val="28"/>
          <w:szCs w:val="28"/>
          <w:lang w:val="en-US"/>
        </w:rPr>
        <w:t>s Rights Association, PATENT (People Opposing Patriarchy) Association and Hungarian Women</w:t>
      </w:r>
      <w:r>
        <w:rPr>
          <w:rStyle w:val="Egyiksem"/>
          <w:rFonts w:ascii="Times New Roman" w:hAnsi="Times New Roman"/>
          <w:b/>
          <w:bCs/>
          <w:sz w:val="28"/>
          <w:szCs w:val="28"/>
          <w:lang w:val="en-US"/>
        </w:rPr>
        <w:t>’</w:t>
      </w:r>
      <w:r>
        <w:rPr>
          <w:rStyle w:val="Egyiksem"/>
          <w:rFonts w:ascii="Times New Roman" w:hAnsi="Times New Roman"/>
          <w:b/>
          <w:bCs/>
          <w:sz w:val="28"/>
          <w:szCs w:val="28"/>
          <w:lang w:val="en-US"/>
        </w:rPr>
        <w:t>s Lobby</w:t>
      </w:r>
      <w:bookmarkEnd w:id="0"/>
      <w:r>
        <w:rPr>
          <w:rStyle w:val="Egyiksem"/>
          <w:rFonts w:ascii="Times New Roman" w:hAnsi="Times New Roman"/>
          <w:b/>
          <w:bCs/>
          <w:sz w:val="28"/>
          <w:szCs w:val="28"/>
          <w:lang w:val="en-US"/>
        </w:rPr>
        <w:t xml:space="preserve"> to the Pre-sessional Working Group for the 80th session of UN CEDAW Committee (1-5 March 2021) as regards to the implementation </w:t>
      </w:r>
      <w:r>
        <w:rPr>
          <w:rStyle w:val="Egyiksem"/>
          <w:rFonts w:ascii="Times New Roman" w:hAnsi="Times New Roman"/>
          <w:b/>
          <w:bCs/>
          <w:sz w:val="28"/>
          <w:szCs w:val="28"/>
          <w:lang w:val="en-US"/>
        </w:rPr>
        <w:t>of the CEDAW Convention by Hungary</w:t>
      </w:r>
    </w:p>
    <w:p w:rsidR="006C12AC" w:rsidRDefault="006C12AC">
      <w:pPr>
        <w:pStyle w:val="SzvegtrzsA"/>
        <w:spacing w:line="240" w:lineRule="auto"/>
        <w:rPr>
          <w:rStyle w:val="Egyiksem"/>
          <w:rFonts w:ascii="Times New Roman" w:eastAsia="Times New Roman" w:hAnsi="Times New Roman" w:cs="Times New Roman"/>
          <w:sz w:val="28"/>
          <w:szCs w:val="28"/>
        </w:rPr>
      </w:pPr>
    </w:p>
    <w:p w:rsidR="006C12AC" w:rsidRDefault="006C12AC">
      <w:pPr>
        <w:pStyle w:val="SzvegtrzsA"/>
        <w:spacing w:line="240" w:lineRule="auto"/>
        <w:rPr>
          <w:rStyle w:val="Egyiksem"/>
          <w:rFonts w:ascii="Times New Roman" w:eastAsia="Times New Roman" w:hAnsi="Times New Roman" w:cs="Times New Roman"/>
          <w:sz w:val="28"/>
          <w:szCs w:val="28"/>
        </w:rPr>
      </w:pPr>
    </w:p>
    <w:p w:rsidR="006C12AC" w:rsidRDefault="001E6068">
      <w:pPr>
        <w:pStyle w:val="SzvegtrzsA"/>
        <w:spacing w:line="240" w:lineRule="auto"/>
        <w:jc w:val="center"/>
        <w:rPr>
          <w:rStyle w:val="Egyiksem"/>
          <w:rFonts w:ascii="Times New Roman" w:eastAsia="Times New Roman" w:hAnsi="Times New Roman" w:cs="Times New Roman"/>
          <w:sz w:val="28"/>
          <w:szCs w:val="28"/>
        </w:rPr>
      </w:pPr>
      <w:r>
        <w:rPr>
          <w:rStyle w:val="Egyiksem"/>
          <w:rFonts w:ascii="Times New Roman" w:hAnsi="Times New Roman"/>
          <w:sz w:val="28"/>
          <w:szCs w:val="28"/>
          <w:lang w:val="en-US"/>
        </w:rPr>
        <w:t>1 February 2021</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 xml:space="preserve">Article 2, 3 - State policies and institutional mechanisms for the advancement of women </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Since the last reporting process and review of Hungary by the CEDAW Committee (2013) there have been some chan</w:t>
      </w:r>
      <w:r>
        <w:rPr>
          <w:rStyle w:val="Egyiksem"/>
          <w:rFonts w:ascii="Times New Roman" w:hAnsi="Times New Roman"/>
          <w:sz w:val="24"/>
          <w:szCs w:val="24"/>
          <w:lang w:val="en-US"/>
        </w:rPr>
        <w:t>ges in the state policies and institutional mechanisms for the advancement of women. As the ninth periodic CEDAW report of Hungary (hereafter: state report)</w:t>
      </w:r>
      <w:r>
        <w:rPr>
          <w:rStyle w:val="Egyiksem"/>
          <w:rFonts w:ascii="Times New Roman" w:eastAsia="Times New Roman" w:hAnsi="Times New Roman" w:cs="Times New Roman"/>
          <w:sz w:val="24"/>
          <w:szCs w:val="24"/>
          <w:vertAlign w:val="superscript"/>
        </w:rPr>
        <w:footnoteReference w:id="2"/>
      </w:r>
      <w:r>
        <w:rPr>
          <w:rStyle w:val="Egyiksem"/>
          <w:rFonts w:ascii="Times New Roman" w:hAnsi="Times New Roman"/>
          <w:sz w:val="24"/>
          <w:szCs w:val="24"/>
          <w:lang w:val="en-US"/>
        </w:rPr>
        <w:t xml:space="preserve"> also shows, women</w:t>
      </w:r>
      <w:r>
        <w:rPr>
          <w:rStyle w:val="Egyiksem"/>
          <w:rFonts w:ascii="Times New Roman" w:hAnsi="Times New Roman"/>
          <w:sz w:val="24"/>
          <w:szCs w:val="24"/>
          <w:lang w:val="en-US"/>
        </w:rPr>
        <w:t>’</w:t>
      </w:r>
      <w:r>
        <w:rPr>
          <w:rStyle w:val="Egyiksem"/>
          <w:rFonts w:ascii="Times New Roman" w:hAnsi="Times New Roman"/>
          <w:sz w:val="24"/>
          <w:szCs w:val="24"/>
          <w:lang w:val="en-US"/>
        </w:rPr>
        <w:t>s issues have been and are subordinated to and interpreted in a family policy fr</w:t>
      </w:r>
      <w:r>
        <w:rPr>
          <w:rStyle w:val="Egyiksem"/>
          <w:rFonts w:ascii="Times New Roman" w:hAnsi="Times New Roman"/>
          <w:sz w:val="24"/>
          <w:szCs w:val="24"/>
          <w:lang w:val="en-US"/>
        </w:rPr>
        <w:t xml:space="preserve">amework/approach. That is, an approach has been adapted whereby on communicative, policy and administrative levels alike, the interests of women have been interpreted as the interests of women </w:t>
      </w:r>
      <w:r>
        <w:rPr>
          <w:rStyle w:val="Egyiksem"/>
          <w:rFonts w:ascii="Times New Roman" w:hAnsi="Times New Roman"/>
          <w:i/>
          <w:iCs/>
          <w:sz w:val="24"/>
          <w:szCs w:val="24"/>
          <w:lang w:val="en-US"/>
        </w:rPr>
        <w:t xml:space="preserve">for the purposes of establishing a family, </w:t>
      </w:r>
      <w:r>
        <w:rPr>
          <w:rStyle w:val="Egyiksem"/>
          <w:rFonts w:ascii="Times New Roman" w:hAnsi="Times New Roman"/>
          <w:sz w:val="24"/>
          <w:szCs w:val="24"/>
          <w:lang w:val="en-US"/>
        </w:rPr>
        <w:t>and the interests of</w:t>
      </w:r>
      <w:r>
        <w:rPr>
          <w:rStyle w:val="Egyiksem"/>
          <w:rFonts w:ascii="Times New Roman" w:hAnsi="Times New Roman"/>
          <w:sz w:val="24"/>
          <w:szCs w:val="24"/>
          <w:lang w:val="en-US"/>
        </w:rPr>
        <w:t xml:space="preserve"> women have been conflated with the interest of the state to bind families together (via incentivising marriage, joint loans, and childbirth). The importance of advancing women</w:t>
      </w:r>
      <w:r>
        <w:rPr>
          <w:rStyle w:val="Egyiksem"/>
          <w:rFonts w:ascii="Times New Roman" w:hAnsi="Times New Roman"/>
          <w:sz w:val="24"/>
          <w:szCs w:val="24"/>
          <w:lang w:val="en-US"/>
        </w:rPr>
        <w:t>’</w:t>
      </w:r>
      <w:r>
        <w:rPr>
          <w:rStyle w:val="Egyiksem"/>
          <w:rFonts w:ascii="Times New Roman" w:hAnsi="Times New Roman"/>
          <w:sz w:val="24"/>
          <w:szCs w:val="24"/>
          <w:lang w:val="en-US"/>
        </w:rPr>
        <w:t>s position has been consistently interpreted as the importance of strengthening</w:t>
      </w:r>
      <w:r>
        <w:rPr>
          <w:rStyle w:val="Egyiksem"/>
          <w:rFonts w:ascii="Times New Roman" w:hAnsi="Times New Roman"/>
          <w:sz w:val="24"/>
          <w:szCs w:val="24"/>
          <w:lang w:val="en-US"/>
        </w:rPr>
        <w:t xml:space="preserve"> women</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image and standing </w:t>
      </w:r>
      <w:r>
        <w:rPr>
          <w:rStyle w:val="Egyiksem"/>
          <w:rFonts w:ascii="Times New Roman" w:hAnsi="Times New Roman"/>
          <w:i/>
          <w:iCs/>
          <w:sz w:val="24"/>
          <w:szCs w:val="24"/>
          <w:lang w:val="en-US"/>
        </w:rPr>
        <w:t xml:space="preserve">as mothers </w:t>
      </w:r>
      <w:r>
        <w:rPr>
          <w:rStyle w:val="Egyiksem"/>
          <w:rFonts w:ascii="Times New Roman" w:hAnsi="Times New Roman"/>
          <w:sz w:val="24"/>
          <w:szCs w:val="24"/>
        </w:rPr>
        <w:t xml:space="preserve">or </w:t>
      </w:r>
      <w:r>
        <w:rPr>
          <w:rStyle w:val="Egyiksem"/>
          <w:rFonts w:ascii="Times New Roman" w:hAnsi="Times New Roman"/>
          <w:i/>
          <w:iCs/>
          <w:sz w:val="24"/>
          <w:szCs w:val="24"/>
          <w:lang w:val="en-US"/>
        </w:rPr>
        <w:t>would-be mothers</w:t>
      </w:r>
      <w:r>
        <w:rPr>
          <w:rStyle w:val="Egyiksem"/>
          <w:rFonts w:ascii="Times New Roman" w:hAnsi="Times New Roman"/>
          <w:sz w:val="24"/>
          <w:szCs w:val="24"/>
          <w:lang w:val="en-US"/>
        </w:rPr>
        <w:t>, and the importance of improving women</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lives and position (insofar as these are in accordance with family values) was argued for by referencing the fact that </w:t>
      </w:r>
      <w:r>
        <w:rPr>
          <w:rStyle w:val="Egyiksem"/>
          <w:rFonts w:ascii="Times New Roman" w:hAnsi="Times New Roman"/>
          <w:sz w:val="24"/>
          <w:szCs w:val="24"/>
          <w:lang w:val="en-US"/>
        </w:rPr>
        <w:t>“</w:t>
      </w:r>
      <w:r>
        <w:rPr>
          <w:rStyle w:val="Egyiksem"/>
          <w:rFonts w:ascii="Times New Roman" w:hAnsi="Times New Roman"/>
          <w:sz w:val="24"/>
          <w:szCs w:val="24"/>
          <w:lang w:val="en-US"/>
        </w:rPr>
        <w:t>we all have women in our families: o</w:t>
      </w:r>
      <w:r>
        <w:rPr>
          <w:rStyle w:val="Egyiksem"/>
          <w:rFonts w:ascii="Times New Roman" w:hAnsi="Times New Roman"/>
          <w:sz w:val="24"/>
          <w:szCs w:val="24"/>
          <w:lang w:val="en-US"/>
        </w:rPr>
        <w:t>ur wifes, mothers, daughters and sisters</w:t>
      </w:r>
      <w:r>
        <w:rPr>
          <w:rStyle w:val="Egyiksem"/>
          <w:rFonts w:ascii="Times New Roman" w:hAnsi="Times New Roman"/>
          <w:sz w:val="24"/>
          <w:szCs w:val="24"/>
          <w:lang w:val="en-US"/>
        </w:rPr>
        <w:t>”</w:t>
      </w:r>
      <w:r>
        <w:rPr>
          <w:rStyle w:val="Egyiksem"/>
          <w:rFonts w:ascii="Times New Roman" w:hAnsi="Times New Roman"/>
          <w:sz w:val="24"/>
          <w:szCs w:val="24"/>
        </w:rPr>
        <w:t xml:space="preserve">. </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the government structure, the Ministry of National Resources (later renamed the Ministry of Human Capacities) has been responsible for the subject. Within this body, under the State Secretary for Family and Yo</w:t>
      </w:r>
      <w:r>
        <w:rPr>
          <w:rStyle w:val="Egyiksem"/>
          <w:rFonts w:ascii="Times New Roman" w:hAnsi="Times New Roman"/>
          <w:sz w:val="24"/>
          <w:szCs w:val="24"/>
          <w:lang w:val="en-US"/>
        </w:rPr>
        <w:t>uth Affairs, and the Deputy State Secretary for Family and Demographic Policy (later only for family policy by its name) a department was responsible for women</w:t>
      </w:r>
      <w:r>
        <w:rPr>
          <w:rStyle w:val="Egyiksem"/>
          <w:rFonts w:ascii="Times New Roman" w:hAnsi="Times New Roman"/>
          <w:sz w:val="24"/>
          <w:szCs w:val="24"/>
          <w:lang w:val="en-US"/>
        </w:rPr>
        <w:t>’</w:t>
      </w:r>
      <w:r>
        <w:rPr>
          <w:rStyle w:val="Egyiksem"/>
          <w:rFonts w:ascii="Times New Roman" w:hAnsi="Times New Roman"/>
          <w:sz w:val="24"/>
          <w:szCs w:val="24"/>
          <w:lang w:val="en-US"/>
        </w:rPr>
        <w:t>s policy, including tasks related to the implementation of CEDAW. This Department was not tasked</w:t>
      </w:r>
      <w:r>
        <w:rPr>
          <w:rStyle w:val="Egyiksem"/>
          <w:rFonts w:ascii="Times New Roman" w:hAnsi="Times New Roman"/>
          <w:sz w:val="24"/>
          <w:szCs w:val="24"/>
          <w:lang w:val="en-US"/>
        </w:rPr>
        <w:t xml:space="preserve"> solely with carrying this issue; they were also responsible for other themes, mostly affairs related to family policy.</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October 2020 a new post, the minister without a portfolio responsible for families was created. The respective regulation says that t</w:t>
      </w:r>
      <w:r>
        <w:rPr>
          <w:rStyle w:val="Egyiksem"/>
          <w:rFonts w:ascii="Times New Roman" w:hAnsi="Times New Roman"/>
          <w:sz w:val="24"/>
          <w:szCs w:val="24"/>
          <w:lang w:val="en-US"/>
        </w:rPr>
        <w:t xml:space="preserve">he minister </w:t>
      </w:r>
      <w:r>
        <w:rPr>
          <w:rStyle w:val="Egyiksem"/>
          <w:rFonts w:ascii="Times New Roman" w:hAnsi="Times New Roman"/>
          <w:sz w:val="24"/>
          <w:szCs w:val="24"/>
          <w:lang w:val="en-US"/>
        </w:rPr>
        <w:t>“</w:t>
      </w:r>
      <w:r>
        <w:rPr>
          <w:rStyle w:val="Egyiksem"/>
          <w:rFonts w:ascii="Times New Roman" w:hAnsi="Times New Roman"/>
          <w:sz w:val="24"/>
          <w:szCs w:val="24"/>
          <w:lang w:val="en-US"/>
        </w:rPr>
        <w:t>in the framework of his/her responsibility for family policies [</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 coordinates the tasks in relation to strengthening equality between women </w:t>
      </w:r>
      <w:r>
        <w:rPr>
          <w:rStyle w:val="Egyiksem"/>
          <w:rFonts w:ascii="Times New Roman" w:hAnsi="Times New Roman"/>
          <w:sz w:val="24"/>
          <w:szCs w:val="24"/>
          <w:lang w:val="en-US"/>
        </w:rPr>
        <w:lastRenderedPageBreak/>
        <w:t>and men, and monitors implementation of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w:t>
      </w:r>
      <w:r>
        <w:rPr>
          <w:rStyle w:val="Egyiksem"/>
          <w:rFonts w:ascii="Times New Roman" w:hAnsi="Times New Roman"/>
          <w:sz w:val="24"/>
          <w:szCs w:val="24"/>
          <w:lang w:val="en-US"/>
        </w:rPr>
        <w:t>”</w:t>
      </w:r>
      <w:r>
        <w:rPr>
          <w:rStyle w:val="Egyiksem"/>
          <w:rFonts w:ascii="Times New Roman" w:eastAsia="Times New Roman" w:hAnsi="Times New Roman" w:cs="Times New Roman"/>
          <w:sz w:val="24"/>
          <w:szCs w:val="24"/>
          <w:vertAlign w:val="superscript"/>
        </w:rPr>
        <w:footnoteReference w:id="3"/>
      </w:r>
      <w:r>
        <w:rPr>
          <w:rStyle w:val="Egyiksem"/>
          <w:rFonts w:ascii="Times New Roman" w:hAnsi="Times New Roman"/>
          <w:sz w:val="24"/>
          <w:szCs w:val="24"/>
          <w:lang w:val="en-US"/>
        </w:rPr>
        <w:t xml:space="preserve"> (among other tasks). There is no mention of C</w:t>
      </w:r>
      <w:r>
        <w:rPr>
          <w:rStyle w:val="Egyiksem"/>
          <w:rFonts w:ascii="Times New Roman" w:hAnsi="Times New Roman"/>
          <w:sz w:val="24"/>
          <w:szCs w:val="24"/>
          <w:lang w:val="en-US"/>
        </w:rPr>
        <w:t>EDAW-related tasks in the respective regulation. At the same time, tasks in relation to women</w:t>
      </w:r>
      <w:r>
        <w:rPr>
          <w:rStyle w:val="Egyiksem"/>
          <w:rFonts w:ascii="Times New Roman" w:hAnsi="Times New Roman"/>
          <w:sz w:val="24"/>
          <w:szCs w:val="24"/>
          <w:lang w:val="en-US"/>
        </w:rPr>
        <w:t>’</w:t>
      </w:r>
      <w:r>
        <w:rPr>
          <w:rStyle w:val="Egyiksem"/>
          <w:rFonts w:ascii="Times New Roman" w:hAnsi="Times New Roman"/>
          <w:sz w:val="24"/>
          <w:szCs w:val="24"/>
          <w:lang w:val="en-US"/>
        </w:rPr>
        <w:t>s policy and implementation of CEDAW have been deleted from the Regulation of Organisation and Operation of the Ministry of Human Capacities.</w:t>
      </w:r>
      <w:r>
        <w:rPr>
          <w:rStyle w:val="Egyiksem"/>
          <w:rFonts w:ascii="Times New Roman" w:eastAsia="Times New Roman" w:hAnsi="Times New Roman" w:cs="Times New Roman"/>
          <w:sz w:val="24"/>
          <w:szCs w:val="24"/>
          <w:vertAlign w:val="superscript"/>
        </w:rPr>
        <w:footnoteReference w:id="4"/>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As of 1 January 20</w:t>
      </w:r>
      <w:r>
        <w:rPr>
          <w:rStyle w:val="Egyiksem"/>
          <w:rFonts w:ascii="Times New Roman" w:hAnsi="Times New Roman"/>
          <w:sz w:val="24"/>
          <w:szCs w:val="24"/>
          <w:lang w:val="en-US"/>
        </w:rPr>
        <w:t>21, the Equal Treatment Authority ceased to exist, and its tasks were delegated to the Commissioner for Fundamental Rights (Ombudsperson).</w:t>
      </w:r>
      <w:r>
        <w:rPr>
          <w:rStyle w:val="Egyiksem"/>
          <w:rFonts w:ascii="Times New Roman" w:eastAsia="Times New Roman" w:hAnsi="Times New Roman" w:cs="Times New Roman"/>
          <w:sz w:val="24"/>
          <w:szCs w:val="24"/>
          <w:vertAlign w:val="superscript"/>
        </w:rPr>
        <w:footnoteReference w:id="5"/>
      </w:r>
      <w:r>
        <w:rPr>
          <w:rStyle w:val="Egyiksem"/>
          <w:rFonts w:ascii="Times New Roman" w:hAnsi="Times New Roman"/>
          <w:sz w:val="24"/>
          <w:szCs w:val="24"/>
          <w:lang w:val="en-US"/>
        </w:rPr>
        <w:t xml:space="preserve"> Decision-makers justified the change with the narrative that this serves a more effective enforcement of the equal t</w:t>
      </w:r>
      <w:r>
        <w:rPr>
          <w:rStyle w:val="Egyiksem"/>
          <w:rFonts w:ascii="Times New Roman" w:hAnsi="Times New Roman"/>
          <w:sz w:val="24"/>
          <w:szCs w:val="24"/>
          <w:lang w:val="en-US"/>
        </w:rPr>
        <w:t xml:space="preserve">reatment principle. However, the transformation has raised several concerns, ranging from the lack of stakeholder consultation prior to the decision, through attaching a quasi-judicial function to a body to which such a function is alien, to </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the </w:t>
      </w:r>
      <w:r>
        <w:rPr>
          <w:rStyle w:val="Egyiksem"/>
          <w:rFonts w:ascii="Times New Roman" w:hAnsi="Times New Roman"/>
          <w:sz w:val="24"/>
          <w:szCs w:val="24"/>
          <w:lang w:val="en-US"/>
        </w:rPr>
        <w:t>‘</w:t>
      </w:r>
      <w:r>
        <w:rPr>
          <w:rStyle w:val="Egyiksem"/>
          <w:rFonts w:ascii="Times New Roman" w:hAnsi="Times New Roman"/>
          <w:sz w:val="24"/>
          <w:szCs w:val="24"/>
          <w:lang w:val="en-US"/>
        </w:rPr>
        <w:t>downgrad</w:t>
      </w:r>
      <w:r>
        <w:rPr>
          <w:rStyle w:val="Egyiksem"/>
          <w:rFonts w:ascii="Times New Roman" w:hAnsi="Times New Roman"/>
          <w:sz w:val="24"/>
          <w:szCs w:val="24"/>
          <w:lang w:val="en-US"/>
        </w:rPr>
        <w:t>ing</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of the issue of non-discrimination</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by placing the theme of equal treatment onto a body with a wider issue scope.</w:t>
      </w:r>
      <w:r>
        <w:rPr>
          <w:rStyle w:val="Egyiksem"/>
          <w:rFonts w:ascii="Times New Roman" w:eastAsia="Times New Roman" w:hAnsi="Times New Roman" w:cs="Times New Roman"/>
          <w:sz w:val="24"/>
          <w:szCs w:val="24"/>
          <w:vertAlign w:val="superscript"/>
        </w:rPr>
        <w:footnoteReference w:id="6"/>
      </w:r>
      <w:r>
        <w:rPr>
          <w:rStyle w:val="Egyiksem"/>
          <w:rFonts w:ascii="Times New Roman" w:hAnsi="Times New Roman"/>
          <w:sz w:val="24"/>
          <w:szCs w:val="24"/>
          <w:lang w:val="en-US"/>
        </w:rPr>
        <w:t xml:space="preserve"> Furthermore, we have no information of any related impact assessment of this change in regard to addressing discrimination against women</w:t>
      </w:r>
      <w:r>
        <w:rPr>
          <w:rStyle w:val="Egyiksem"/>
          <w:rFonts w:ascii="Times New Roman" w:hAnsi="Times New Roman"/>
          <w:sz w:val="24"/>
          <w:szCs w:val="24"/>
          <w:lang w:val="en-US"/>
        </w:rPr>
        <w:t xml:space="preserve">. </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the Parliamentary structure, under the Committee on Culture, there is the Subcommittee for Women</w:t>
      </w:r>
      <w:r>
        <w:rPr>
          <w:rStyle w:val="Egyiksem"/>
          <w:rFonts w:ascii="Times New Roman" w:hAnsi="Times New Roman"/>
          <w:sz w:val="24"/>
          <w:szCs w:val="24"/>
          <w:lang w:val="en-US"/>
        </w:rPr>
        <w:t>’</w:t>
      </w:r>
      <w:r>
        <w:rPr>
          <w:rStyle w:val="Egyiksem"/>
          <w:rFonts w:ascii="Times New Roman" w:hAnsi="Times New Roman"/>
          <w:sz w:val="24"/>
          <w:szCs w:val="24"/>
          <w:lang w:val="en-US"/>
        </w:rPr>
        <w:t>s Dignity, with three members, all from the governing parties. In the current Parliamentary cycle, since 2018, no sub-committee meetings have been conve</w:t>
      </w:r>
      <w:r>
        <w:rPr>
          <w:rStyle w:val="Egyiksem"/>
          <w:rFonts w:ascii="Times New Roman" w:hAnsi="Times New Roman"/>
          <w:sz w:val="24"/>
          <w:szCs w:val="24"/>
          <w:lang w:val="en-US"/>
        </w:rPr>
        <w:t>ned.</w:t>
      </w:r>
      <w:r>
        <w:rPr>
          <w:rStyle w:val="Egyiksem"/>
          <w:rFonts w:ascii="Times New Roman" w:eastAsia="Times New Roman" w:hAnsi="Times New Roman" w:cs="Times New Roman"/>
          <w:sz w:val="24"/>
          <w:szCs w:val="24"/>
          <w:vertAlign w:val="superscript"/>
        </w:rPr>
        <w:footnoteReference w:id="7"/>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The National Strategy for Gender Equality - Guidelines and Objectives (2010-2021) is still in force.</w:t>
      </w:r>
      <w:r>
        <w:rPr>
          <w:rStyle w:val="Egyiksem"/>
          <w:rFonts w:ascii="Times New Roman" w:eastAsia="Times New Roman" w:hAnsi="Times New Roman" w:cs="Times New Roman"/>
          <w:sz w:val="24"/>
          <w:szCs w:val="24"/>
          <w:vertAlign w:val="superscript"/>
        </w:rPr>
        <w:footnoteReference w:id="8"/>
      </w:r>
      <w:r>
        <w:rPr>
          <w:rStyle w:val="Egyiksem"/>
          <w:rFonts w:ascii="Times New Roman" w:hAnsi="Times New Roman"/>
          <w:sz w:val="24"/>
          <w:szCs w:val="24"/>
          <w:lang w:val="en-US"/>
        </w:rPr>
        <w:t xml:space="preserve"> Although the government communicated even in the previous CEDAW review round that a new strategy would be created, such a document was not adopted </w:t>
      </w:r>
      <w:r>
        <w:rPr>
          <w:rStyle w:val="Egyiksem"/>
          <w:rFonts w:ascii="Times New Roman" w:hAnsi="Times New Roman"/>
          <w:sz w:val="24"/>
          <w:szCs w:val="24"/>
          <w:lang w:val="en-US"/>
        </w:rPr>
        <w:t>until the end of 2020. At the same time, no related action plan has been developed to the National Strategy since the first - and last - action plan for 2010-2011.</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order to absorb European Union funding, in October 2020 a government decision was issued</w:t>
      </w:r>
      <w:r>
        <w:rPr>
          <w:rStyle w:val="Egyiksem"/>
          <w:rFonts w:ascii="Times New Roman" w:hAnsi="Times New Roman"/>
          <w:sz w:val="24"/>
          <w:szCs w:val="24"/>
          <w:lang w:val="en-US"/>
        </w:rPr>
        <w:t xml:space="preserve"> </w:t>
      </w:r>
      <w:r>
        <w:rPr>
          <w:rStyle w:val="Egyiksem"/>
          <w:rFonts w:ascii="Times New Roman" w:hAnsi="Times New Roman"/>
          <w:i/>
          <w:iCs/>
          <w:sz w:val="24"/>
          <w:szCs w:val="24"/>
          <w:lang w:val="en-US"/>
        </w:rPr>
        <w:t xml:space="preserve">on the adoption of the Action Plan on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strengthening the role of women in the family and in the society</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(2021-2030), and of the first Plan of Measures for 2021-2022 for its implementation</w:t>
      </w:r>
      <w:r>
        <w:rPr>
          <w:rStyle w:val="Egyiksem"/>
          <w:rFonts w:ascii="Times New Roman" w:hAnsi="Times New Roman"/>
          <w:sz w:val="24"/>
          <w:szCs w:val="24"/>
        </w:rPr>
        <w:t>.</w:t>
      </w:r>
      <w:r>
        <w:rPr>
          <w:rStyle w:val="Egyiksem"/>
          <w:rFonts w:ascii="Times New Roman" w:eastAsia="Times New Roman" w:hAnsi="Times New Roman" w:cs="Times New Roman"/>
          <w:sz w:val="24"/>
          <w:szCs w:val="24"/>
          <w:vertAlign w:val="superscript"/>
        </w:rPr>
        <w:footnoteReference w:id="9"/>
      </w:r>
      <w:r>
        <w:rPr>
          <w:rStyle w:val="Egyiksem"/>
          <w:rFonts w:ascii="Times New Roman" w:hAnsi="Times New Roman"/>
          <w:sz w:val="24"/>
          <w:szCs w:val="24"/>
          <w:lang w:val="en-US"/>
        </w:rPr>
        <w:t xml:space="preserve"> Relevant stakeholders (e.g. women</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rights organisations) as </w:t>
      </w:r>
      <w:r>
        <w:rPr>
          <w:rStyle w:val="Egyiksem"/>
          <w:rFonts w:ascii="Times New Roman" w:hAnsi="Times New Roman"/>
          <w:sz w:val="24"/>
          <w:szCs w:val="24"/>
          <w:lang w:val="en-US"/>
        </w:rPr>
        <w:t>being members of the government-led Thematic Working Group on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were notified of the process to establish said Action Plan in the last minute, and were allowed to make comments if submitted within an unreasonably short time, only to be largely</w:t>
      </w:r>
      <w:r>
        <w:rPr>
          <w:rStyle w:val="Egyiksem"/>
          <w:rFonts w:ascii="Times New Roman" w:hAnsi="Times New Roman"/>
          <w:sz w:val="24"/>
          <w:szCs w:val="24"/>
          <w:lang w:val="en-US"/>
        </w:rPr>
        <w:t xml:space="preserve"> ignored in the process of finalising the decree</w:t>
      </w:r>
      <w:r>
        <w:rPr>
          <w:rStyle w:val="Egyiksem"/>
          <w:rFonts w:ascii="Times New Roman" w:hAnsi="Times New Roman"/>
          <w:sz w:val="24"/>
          <w:szCs w:val="24"/>
          <w:lang w:val="en-US"/>
        </w:rPr>
        <w:t>’</w:t>
      </w:r>
      <w:r>
        <w:rPr>
          <w:rStyle w:val="Egyiksem"/>
          <w:rFonts w:ascii="Times New Roman" w:hAnsi="Times New Roman"/>
          <w:sz w:val="24"/>
          <w:szCs w:val="24"/>
          <w:lang w:val="en-US"/>
        </w:rPr>
        <w:t>s text and its constitutive elements.</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The government decision contains the Plan of Measures in the Annex, but not the Action Plan itself. The latter has not appeared in any other legal norms, it is not publi</w:t>
      </w:r>
      <w:r>
        <w:rPr>
          <w:rStyle w:val="Egyiksem"/>
          <w:rFonts w:ascii="Times New Roman" w:hAnsi="Times New Roman"/>
          <w:sz w:val="24"/>
          <w:szCs w:val="24"/>
          <w:lang w:val="en-US"/>
        </w:rPr>
        <w:t>cly available, therefore its content is not known. The focus of the Plan of Measures and related stakeholder-communication about the strategy suggests that it does not follow a comprehensive approach that covers all relevant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policy fields. F</w:t>
      </w:r>
      <w:r>
        <w:rPr>
          <w:rStyle w:val="Egyiksem"/>
          <w:rFonts w:ascii="Times New Roman" w:hAnsi="Times New Roman"/>
          <w:sz w:val="24"/>
          <w:szCs w:val="24"/>
          <w:lang w:val="en-US"/>
        </w:rPr>
        <w:t>or example, the issue of violence against women is not addressed at all among the measures, despite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organisations drawing attention to its pressing absence from the draft. Some comments on part of the ministry at the respective working group</w:t>
      </w:r>
      <w:r>
        <w:rPr>
          <w:rStyle w:val="Egyiksem"/>
          <w:rFonts w:ascii="Times New Roman" w:hAnsi="Times New Roman"/>
          <w:sz w:val="24"/>
          <w:szCs w:val="24"/>
          <w:lang w:val="en-US"/>
        </w:rPr>
        <w:t xml:space="preserve"> meeting indicated that violence is not featured (in a decree on improving women</w:t>
      </w:r>
      <w:r>
        <w:rPr>
          <w:rStyle w:val="Egyiksem"/>
          <w:rFonts w:ascii="Times New Roman" w:hAnsi="Times New Roman"/>
          <w:sz w:val="24"/>
          <w:szCs w:val="24"/>
          <w:lang w:val="en-US"/>
        </w:rPr>
        <w:t>’</w:t>
      </w:r>
      <w:r>
        <w:rPr>
          <w:rStyle w:val="Egyiksem"/>
          <w:rFonts w:ascii="Times New Roman" w:hAnsi="Times New Roman"/>
          <w:sz w:val="24"/>
          <w:szCs w:val="24"/>
          <w:lang w:val="en-US"/>
        </w:rPr>
        <w:t>s position in the family and society) because it is a marginal matter and thus ought to be treated separately, not integrated as a matter of general or mainstream policy.</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Hungary is among the countries whose backlash against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and gender equality has been widely visible and reported on. In the past several years the government - similarly to a few other countries - has become vocal, at national but also at EU/i</w:t>
      </w:r>
      <w:r>
        <w:rPr>
          <w:rStyle w:val="Egyiksem"/>
          <w:rFonts w:ascii="Times New Roman" w:hAnsi="Times New Roman"/>
          <w:sz w:val="24"/>
          <w:szCs w:val="24"/>
          <w:lang w:val="en-US"/>
        </w:rPr>
        <w:t xml:space="preserve">nternational level, in opposing the adoption of international norms or documents that refer to the concept of/term </w:t>
      </w:r>
      <w:r>
        <w:rPr>
          <w:rStyle w:val="Egyiksem"/>
          <w:rFonts w:ascii="Times New Roman" w:hAnsi="Times New Roman"/>
          <w:sz w:val="24"/>
          <w:szCs w:val="24"/>
          <w:lang w:val="en-US"/>
        </w:rPr>
        <w:t>‘</w:t>
      </w:r>
      <w:r>
        <w:rPr>
          <w:rStyle w:val="Egyiksem"/>
          <w:rFonts w:ascii="Times New Roman" w:hAnsi="Times New Roman"/>
          <w:sz w:val="24"/>
          <w:szCs w:val="24"/>
          <w:lang w:val="de-DE"/>
        </w:rPr>
        <w:t>gender</w:t>
      </w:r>
      <w:r>
        <w:rPr>
          <w:rStyle w:val="Egyiksem"/>
          <w:rFonts w:ascii="Times New Roman" w:hAnsi="Times New Roman"/>
          <w:sz w:val="24"/>
          <w:szCs w:val="24"/>
          <w:lang w:val="en-US"/>
        </w:rPr>
        <w:t xml:space="preserve">’ – </w:t>
      </w:r>
      <w:r>
        <w:rPr>
          <w:rStyle w:val="Egyiksem"/>
          <w:rFonts w:ascii="Times New Roman" w:hAnsi="Times New Roman"/>
          <w:sz w:val="24"/>
          <w:szCs w:val="24"/>
          <w:lang w:val="en-US"/>
        </w:rPr>
        <w:t>regardless of how the particular document defines the term, i.e. regardless of whether it employs its original meaning of differen</w:t>
      </w:r>
      <w:r>
        <w:rPr>
          <w:rStyle w:val="Egyiksem"/>
          <w:rFonts w:ascii="Times New Roman" w:hAnsi="Times New Roman"/>
          <w:sz w:val="24"/>
          <w:szCs w:val="24"/>
          <w:lang w:val="en-US"/>
        </w:rPr>
        <w:t xml:space="preserve">tial social norms and roles of women and men rather than referring to identity/internal sense of self </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and using this excuse to block initiatives in advancing women</w:t>
      </w:r>
      <w:r>
        <w:rPr>
          <w:rStyle w:val="Egyiksem"/>
          <w:rFonts w:ascii="Times New Roman" w:hAnsi="Times New Roman"/>
          <w:sz w:val="24"/>
          <w:szCs w:val="24"/>
          <w:lang w:val="en-US"/>
        </w:rPr>
        <w:t>’</w:t>
      </w:r>
      <w:r>
        <w:rPr>
          <w:rStyle w:val="Egyiksem"/>
          <w:rFonts w:ascii="Times New Roman" w:hAnsi="Times New Roman"/>
          <w:sz w:val="24"/>
          <w:szCs w:val="24"/>
          <w:lang w:val="en-US"/>
        </w:rPr>
        <w:t>s equality and rights.</w:t>
      </w:r>
      <w:r>
        <w:rPr>
          <w:rStyle w:val="Egyiksem"/>
          <w:rFonts w:ascii="Times New Roman" w:eastAsia="Times New Roman" w:hAnsi="Times New Roman" w:cs="Times New Roman"/>
          <w:sz w:val="24"/>
          <w:szCs w:val="24"/>
          <w:vertAlign w:val="superscript"/>
        </w:rPr>
        <w:footnoteReference w:id="10"/>
      </w:r>
      <w:r>
        <w:rPr>
          <w:rStyle w:val="Egyiksem"/>
          <w:rFonts w:ascii="Times New Roman" w:hAnsi="Times New Roman"/>
          <w:sz w:val="24"/>
          <w:szCs w:val="24"/>
        </w:rPr>
        <w:t xml:space="preserve"> </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 xml:space="preserve">Which ministry/minister has a </w:t>
      </w:r>
      <w:r>
        <w:rPr>
          <w:rStyle w:val="Egyiksem"/>
          <w:rFonts w:ascii="Times New Roman" w:hAnsi="Times New Roman"/>
          <w:i/>
          <w:iCs/>
          <w:sz w:val="24"/>
          <w:szCs w:val="24"/>
          <w:lang w:val="en-US"/>
        </w:rPr>
        <w:t>responsibility for coordinating and implementing the tasks stemming from the CEDAW Convention, and for the promotion of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rights, in their entirety, even beyond the family context?</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 of human and financial resources are available for the oper</w:t>
      </w:r>
      <w:r>
        <w:rPr>
          <w:rStyle w:val="Egyiksem"/>
          <w:rFonts w:ascii="Times New Roman" w:hAnsi="Times New Roman"/>
          <w:i/>
          <w:iCs/>
          <w:sz w:val="24"/>
          <w:szCs w:val="24"/>
          <w:lang w:val="en-US"/>
        </w:rPr>
        <w:t>ation of the national machinery for the advancement of women? What kind of related trainings have been and are provided to the staff?</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In terms of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rights and addressing discrimination against women, what will be the added value of terminating the Eq</w:t>
      </w:r>
      <w:r>
        <w:rPr>
          <w:rStyle w:val="Egyiksem"/>
          <w:rFonts w:ascii="Times New Roman" w:hAnsi="Times New Roman"/>
          <w:i/>
          <w:iCs/>
          <w:sz w:val="24"/>
          <w:szCs w:val="24"/>
          <w:lang w:val="en-US"/>
        </w:rPr>
        <w:t>ual Treatment Authority and delegating its tasks to the Commissioner for Fundamental Rights? How is this added value guaranteed, what kind of human, financial and technical resources have been provided and measures taken, and which ones are available for t</w:t>
      </w:r>
      <w:r>
        <w:rPr>
          <w:rStyle w:val="Egyiksem"/>
          <w:rFonts w:ascii="Times New Roman" w:hAnsi="Times New Roman"/>
          <w:i/>
          <w:iCs/>
          <w:sz w:val="24"/>
          <w:szCs w:val="24"/>
          <w:lang w:val="en-US"/>
        </w:rPr>
        <w:t>he effective transformation and operation of the institution?</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is the content of the new Plan of Action for strengthening the role of women? Is that available to the public? How is/will a comprehensive policy framework be guaranteed, covering all impor</w:t>
      </w:r>
      <w:r>
        <w:rPr>
          <w:rStyle w:val="Egyiksem"/>
          <w:rFonts w:ascii="Times New Roman" w:hAnsi="Times New Roman"/>
          <w:i/>
          <w:iCs/>
          <w:sz w:val="24"/>
          <w:szCs w:val="24"/>
          <w:lang w:val="en-US"/>
        </w:rPr>
        <w:t>tant fields and issues of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rights (including the policy fields addressed by CEDAW and its Concluding Observations), and targeting all women irrespective of their family status and position?</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Have there been any review of family policies aiming to ens</w:t>
      </w:r>
      <w:r>
        <w:rPr>
          <w:rStyle w:val="Egyiksem"/>
          <w:rFonts w:ascii="Times New Roman" w:hAnsi="Times New Roman"/>
          <w:i/>
          <w:iCs/>
          <w:sz w:val="24"/>
          <w:szCs w:val="24"/>
          <w:lang w:val="en-US"/>
        </w:rPr>
        <w:t xml:space="preserve">ure that these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do not restrict the full enjoyment by women of their right to non-discrimination and equality</w:t>
      </w:r>
      <w:r>
        <w:rPr>
          <w:rStyle w:val="Egyiksem"/>
          <w:rFonts w:ascii="Times New Roman" w:hAnsi="Times New Roman"/>
          <w:i/>
          <w:iCs/>
          <w:sz w:val="24"/>
          <w:szCs w:val="24"/>
          <w:lang w:val="en-US"/>
        </w:rPr>
        <w:t>”</w:t>
      </w:r>
      <w:r>
        <w:rPr>
          <w:rStyle w:val="Egyiksem"/>
          <w:rFonts w:ascii="Times New Roman" w:hAnsi="Times New Roman"/>
          <w:i/>
          <w:iCs/>
          <w:sz w:val="24"/>
          <w:szCs w:val="24"/>
          <w:lang w:val="zh-TW" w:eastAsia="zh-TW"/>
        </w:rPr>
        <w:t>?</w:t>
      </w:r>
      <w:r>
        <w:rPr>
          <w:rStyle w:val="Egyiksem"/>
          <w:rFonts w:ascii="Times New Roman" w:eastAsia="Times New Roman" w:hAnsi="Times New Roman" w:cs="Times New Roman"/>
          <w:i/>
          <w:iCs/>
          <w:sz w:val="24"/>
          <w:szCs w:val="24"/>
          <w:vertAlign w:val="superscript"/>
        </w:rPr>
        <w:footnoteReference w:id="11"/>
      </w:r>
      <w:r>
        <w:rPr>
          <w:rStyle w:val="Egyiksem"/>
          <w:rFonts w:ascii="Times New Roman" w:hAnsi="Times New Roman"/>
          <w:i/>
          <w:iCs/>
          <w:sz w:val="24"/>
          <w:szCs w:val="24"/>
          <w:lang w:val="en-US"/>
        </w:rPr>
        <w:t xml:space="preserve"> If yes, what have been the respective measures taken?</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Is there an impact assessment scheme of current and proposed laws in place to assess poli</w:t>
      </w:r>
      <w:r>
        <w:rPr>
          <w:rStyle w:val="Egyiksem"/>
          <w:rFonts w:ascii="Times New Roman" w:hAnsi="Times New Roman"/>
          <w:i/>
          <w:iCs/>
          <w:sz w:val="24"/>
          <w:szCs w:val="24"/>
          <w:lang w:val="en-US"/>
        </w:rPr>
        <w:t>cies</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effects on women and on equality between the sexes, to ensure that new laws respect the Convention?</w:t>
      </w:r>
      <w:r>
        <w:rPr>
          <w:rStyle w:val="Egyiksem"/>
          <w:rFonts w:ascii="Times New Roman" w:eastAsia="Times New Roman" w:hAnsi="Times New Roman" w:cs="Times New Roman"/>
          <w:i/>
          <w:iCs/>
          <w:sz w:val="24"/>
          <w:szCs w:val="24"/>
          <w:vertAlign w:val="superscript"/>
        </w:rPr>
        <w:footnoteReference w:id="12"/>
      </w:r>
      <w:r>
        <w:rPr>
          <w:rStyle w:val="Egyiksem"/>
          <w:rFonts w:ascii="Times New Roman" w:hAnsi="Times New Roman"/>
          <w:i/>
          <w:iCs/>
          <w:sz w:val="24"/>
          <w:szCs w:val="24"/>
          <w:lang w:val="en-US"/>
        </w:rPr>
        <w:t xml:space="preserve"> If yes, where can these assessments be accessed?</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 of policies and measures are avaliable for adressing the situation of women affected by or</w:t>
      </w:r>
      <w:r>
        <w:rPr>
          <w:rStyle w:val="Egyiksem"/>
          <w:rFonts w:ascii="Times New Roman" w:hAnsi="Times New Roman"/>
          <w:i/>
          <w:iCs/>
          <w:sz w:val="24"/>
          <w:szCs w:val="24"/>
          <w:lang w:val="en-US"/>
        </w:rPr>
        <w:t xml:space="preserve"> vulnerable to multiple, or intersecting forms of discrimination - such as Romani women, women with disabilities, lesbian women, migrant women, etc.? </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tangible steps have been taken by the state to disseminate the Convention, its Optional Protocol and</w:t>
      </w:r>
      <w:r>
        <w:rPr>
          <w:rStyle w:val="Egyiksem"/>
          <w:rFonts w:ascii="Times New Roman" w:hAnsi="Times New Roman"/>
          <w:i/>
          <w:iCs/>
          <w:sz w:val="24"/>
          <w:szCs w:val="24"/>
          <w:lang w:val="en-US"/>
        </w:rPr>
        <w:t xml:space="preserve"> the Committee</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 xml:space="preserve">s general recommendations and to raise awareness among women about their rights and the legal remedies available? </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kinds of data are available about the knowledge of the Convention, of the rights of women and of legal mechanisms in plac</w:t>
      </w:r>
      <w:r>
        <w:rPr>
          <w:rStyle w:val="Egyiksem"/>
          <w:rFonts w:ascii="Times New Roman" w:hAnsi="Times New Roman"/>
          <w:i/>
          <w:iCs/>
          <w:sz w:val="24"/>
          <w:szCs w:val="24"/>
          <w:lang w:val="en-US"/>
        </w:rPr>
        <w:t xml:space="preserve">e? </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Do you have any information about how the Convention is applied or invoked in court practice? If yes, where can this information be accessed?</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steps have been taken to ensure that the Convention, the Optional Protocol and the Committee</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general re</w:t>
      </w:r>
      <w:r>
        <w:rPr>
          <w:rStyle w:val="Egyiksem"/>
          <w:rFonts w:ascii="Times New Roman" w:hAnsi="Times New Roman"/>
          <w:i/>
          <w:iCs/>
          <w:sz w:val="24"/>
          <w:szCs w:val="24"/>
          <w:lang w:val="en-US"/>
        </w:rPr>
        <w:t>commendations are made an integral part of initial and further legal education and training, including for judges and prosecutors, and for public administration personnel?</w:t>
      </w:r>
    </w:p>
    <w:p w:rsidR="006C12AC" w:rsidRDefault="001E6068">
      <w:pPr>
        <w:pStyle w:val="SzvegtrzsA"/>
        <w:numPr>
          <w:ilvl w:val="0"/>
          <w:numId w:val="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In what ways, if any, have you ensured that within governmental bodies and instituti</w:t>
      </w:r>
      <w:r>
        <w:rPr>
          <w:rStyle w:val="Egyiksem"/>
          <w:rFonts w:ascii="Times New Roman" w:hAnsi="Times New Roman"/>
          <w:i/>
          <w:iCs/>
          <w:sz w:val="24"/>
          <w:szCs w:val="24"/>
          <w:lang w:val="en-US"/>
        </w:rPr>
        <w:t>ons, the principles of the Convention are internally followed and upheld?</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5 - Elimination of prejudices, stereotyped roles and discriminatory practices</w:t>
      </w:r>
    </w:p>
    <w:p w:rsidR="006C12AC" w:rsidRDefault="006C12AC">
      <w:pPr>
        <w:pStyle w:val="SzvegtrzsA"/>
        <w:spacing w:line="240" w:lineRule="auto"/>
        <w:rPr>
          <w:rStyle w:val="Egyiksem"/>
          <w:rFonts w:ascii="Times New Roman" w:eastAsia="Times New Roman" w:hAnsi="Times New Roman" w:cs="Times New Roman"/>
          <w:b/>
          <w:bCs/>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The previous Concluding Observations of CEDAW Committee for Hungary raised concerns about the </w:t>
      </w:r>
      <w:r>
        <w:rPr>
          <w:rStyle w:val="Egyiksem"/>
          <w:rFonts w:ascii="Times New Roman" w:hAnsi="Times New Roman"/>
          <w:sz w:val="24"/>
          <w:szCs w:val="24"/>
          <w:lang w:val="en-US"/>
        </w:rPr>
        <w:t>“</w:t>
      </w:r>
      <w:r>
        <w:rPr>
          <w:rStyle w:val="Egyiksem"/>
          <w:rFonts w:ascii="Times New Roman" w:hAnsi="Times New Roman"/>
          <w:sz w:val="24"/>
          <w:szCs w:val="24"/>
          <w:lang w:val="en-US"/>
        </w:rPr>
        <w:t>persistence of stereotyped division of gender roles in family and society and the support of such roles throughout the State party</w:t>
      </w:r>
      <w:r>
        <w:rPr>
          <w:rStyle w:val="Egyiksem"/>
          <w:rFonts w:ascii="Times New Roman" w:hAnsi="Times New Roman"/>
          <w:sz w:val="24"/>
          <w:szCs w:val="24"/>
          <w:lang w:val="en-US"/>
        </w:rPr>
        <w:t>’</w:t>
      </w:r>
      <w:r>
        <w:rPr>
          <w:rStyle w:val="Egyiksem"/>
          <w:rFonts w:ascii="Times New Roman" w:hAnsi="Times New Roman"/>
          <w:sz w:val="24"/>
          <w:szCs w:val="24"/>
          <w:lang w:val="en-US"/>
        </w:rPr>
        <w:t>s policies and priorities</w:t>
      </w:r>
      <w:r>
        <w:rPr>
          <w:rStyle w:val="Egyiksem"/>
          <w:rFonts w:ascii="Times New Roman" w:hAnsi="Times New Roman"/>
          <w:sz w:val="24"/>
          <w:szCs w:val="24"/>
          <w:lang w:val="en-US"/>
        </w:rPr>
        <w:t>”</w:t>
      </w:r>
      <w:r>
        <w:rPr>
          <w:rStyle w:val="Egyiksem"/>
          <w:rFonts w:ascii="Times New Roman" w:hAnsi="Times New Roman"/>
          <w:sz w:val="24"/>
          <w:szCs w:val="24"/>
        </w:rPr>
        <w:t>.</w:t>
      </w:r>
      <w:r>
        <w:rPr>
          <w:rStyle w:val="Egyiksem"/>
          <w:rFonts w:ascii="Times New Roman" w:eastAsia="Times New Roman" w:hAnsi="Times New Roman" w:cs="Times New Roman"/>
          <w:sz w:val="24"/>
          <w:szCs w:val="24"/>
          <w:vertAlign w:val="superscript"/>
        </w:rPr>
        <w:footnoteReference w:id="13"/>
      </w:r>
      <w:r>
        <w:rPr>
          <w:rStyle w:val="Egyiksem"/>
          <w:rFonts w:ascii="Times New Roman" w:hAnsi="Times New Roman"/>
          <w:sz w:val="24"/>
          <w:szCs w:val="24"/>
          <w:lang w:val="en-US"/>
        </w:rPr>
        <w:t xml:space="preserve"> T</w:t>
      </w:r>
      <w:r>
        <w:rPr>
          <w:rStyle w:val="Egyiksem"/>
          <w:rFonts w:ascii="Times New Roman" w:hAnsi="Times New Roman"/>
          <w:sz w:val="24"/>
          <w:szCs w:val="24"/>
          <w:lang w:val="en-US"/>
        </w:rPr>
        <w:t>he Committee was also concerned about statements by male politicians in Parliamentary debates that discriminated against women and reinforced gender stereotypes.</w:t>
      </w:r>
      <w:r>
        <w:rPr>
          <w:rStyle w:val="Egyiksem"/>
          <w:rFonts w:ascii="Times New Roman" w:eastAsia="Times New Roman" w:hAnsi="Times New Roman" w:cs="Times New Roman"/>
          <w:sz w:val="24"/>
          <w:szCs w:val="24"/>
          <w:vertAlign w:val="superscript"/>
        </w:rPr>
        <w:footnoteReference w:id="14"/>
      </w:r>
      <w:r>
        <w:rPr>
          <w:rStyle w:val="Egyiksem"/>
          <w:rFonts w:ascii="Times New Roman" w:hAnsi="Times New Roman"/>
          <w:sz w:val="24"/>
          <w:szCs w:val="24"/>
          <w:lang w:val="en-US"/>
        </w:rPr>
        <w:t xml:space="preserve"> Since then, no respective positive measures have been introduced, rather the opposite. In add</w:t>
      </w:r>
      <w:r>
        <w:rPr>
          <w:rStyle w:val="Egyiksem"/>
          <w:rFonts w:ascii="Times New Roman" w:hAnsi="Times New Roman"/>
          <w:sz w:val="24"/>
          <w:szCs w:val="24"/>
          <w:lang w:val="en-US"/>
        </w:rPr>
        <w:t>ition to strengthening the leading family mainstreaming approach in legal and policy framework as well as compulsory school curricula, state stakeholders even at the highest level - in or outside the Parliament - have used a rhetoric and made statements or</w:t>
      </w:r>
      <w:r>
        <w:rPr>
          <w:rStyle w:val="Egyiksem"/>
          <w:rFonts w:ascii="Times New Roman" w:hAnsi="Times New Roman"/>
          <w:sz w:val="24"/>
          <w:szCs w:val="24"/>
          <w:lang w:val="en-US"/>
        </w:rPr>
        <w:t xml:space="preserve"> comments in the past several years that discriminated against women, were sexist and/or misogynistic, either targeting certain female politicians, or the role and place of women in general.</w:t>
      </w:r>
      <w:r>
        <w:rPr>
          <w:rStyle w:val="Egyiksem"/>
          <w:rFonts w:ascii="Times New Roman" w:eastAsia="Times New Roman" w:hAnsi="Times New Roman" w:cs="Times New Roman"/>
          <w:sz w:val="24"/>
          <w:szCs w:val="24"/>
          <w:vertAlign w:val="superscript"/>
        </w:rPr>
        <w:footnoteReference w:id="15"/>
      </w:r>
      <w:r>
        <w:rPr>
          <w:rStyle w:val="Egyiksem"/>
          <w:rFonts w:ascii="Times New Roman" w:hAnsi="Times New Roman"/>
          <w:sz w:val="24"/>
          <w:szCs w:val="24"/>
        </w:rPr>
        <w:t xml:space="preserve"> </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4"/>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steps or measures have been taken or</w:t>
      </w:r>
      <w:r>
        <w:rPr>
          <w:rStyle w:val="Egyiksem"/>
          <w:rFonts w:ascii="Times New Roman" w:hAnsi="Times New Roman"/>
          <w:i/>
          <w:iCs/>
          <w:sz w:val="24"/>
          <w:szCs w:val="24"/>
          <w:lang w:val="en-US"/>
        </w:rPr>
        <w:t xml:space="preserve"> are planned by the state to counterweigh the detrimental effect of public speech that reinforces stereotyped roles for women and men and discriminate against women? </w:t>
      </w:r>
    </w:p>
    <w:p w:rsidR="006C12AC" w:rsidRDefault="001E6068">
      <w:pPr>
        <w:pStyle w:val="SzvegtrzsA"/>
        <w:numPr>
          <w:ilvl w:val="0"/>
          <w:numId w:val="4"/>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are the consequences of the use of such stereotyped and discriminatory language?</w:t>
      </w:r>
    </w:p>
    <w:p w:rsidR="006C12AC" w:rsidRDefault="001E6068">
      <w:pPr>
        <w:pStyle w:val="SzvegtrzsA"/>
        <w:numPr>
          <w:ilvl w:val="0"/>
          <w:numId w:val="4"/>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How</w:t>
      </w:r>
      <w:r>
        <w:rPr>
          <w:rStyle w:val="Egyiksem"/>
          <w:rFonts w:ascii="Times New Roman" w:hAnsi="Times New Roman"/>
          <w:i/>
          <w:iCs/>
          <w:sz w:val="24"/>
          <w:szCs w:val="24"/>
          <w:lang w:val="en-US"/>
        </w:rPr>
        <w:t xml:space="preserve"> is sexist hate speech addressed by the legislative and policy framework or by other measures? </w:t>
      </w:r>
    </w:p>
    <w:p w:rsidR="006C12AC" w:rsidRDefault="006C12AC">
      <w:pPr>
        <w:pStyle w:val="SzvegtrzsA"/>
        <w:spacing w:line="240" w:lineRule="auto"/>
        <w:rPr>
          <w:rStyle w:val="Egyiksem"/>
          <w:rFonts w:ascii="Times New Roman" w:eastAsia="Times New Roman" w:hAnsi="Times New Roman" w:cs="Times New Roman"/>
          <w:i/>
          <w:iCs/>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6, General Recommendation 19. - Elimination of violence against women</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Hungary has signed the Council of Europe</w:t>
      </w:r>
      <w:r>
        <w:rPr>
          <w:rStyle w:val="Egyiksem"/>
          <w:rFonts w:ascii="Times New Roman" w:hAnsi="Times New Roman"/>
          <w:sz w:val="24"/>
          <w:szCs w:val="24"/>
          <w:lang w:val="en-US"/>
        </w:rPr>
        <w:t>’</w:t>
      </w:r>
      <w:r>
        <w:rPr>
          <w:rStyle w:val="Egyiksem"/>
          <w:rFonts w:ascii="Times New Roman" w:hAnsi="Times New Roman"/>
          <w:sz w:val="24"/>
          <w:szCs w:val="24"/>
          <w:lang w:val="en-US"/>
        </w:rPr>
        <w:t>s Covention on preventing and combating</w:t>
      </w:r>
      <w:r>
        <w:rPr>
          <w:rStyle w:val="Egyiksem"/>
          <w:rFonts w:ascii="Times New Roman" w:hAnsi="Times New Roman"/>
          <w:sz w:val="24"/>
          <w:szCs w:val="24"/>
          <w:lang w:val="en-US"/>
        </w:rPr>
        <w:t xml:space="preserve"> violence against women and domestic violence (the Istanbul Convention) in 2014, but has not ratified it yet. The international attacks and misinformation campaigns against the Convention have been present in Hungary, openly represented by the government a</w:t>
      </w:r>
      <w:r>
        <w:rPr>
          <w:rStyle w:val="Egyiksem"/>
          <w:rFonts w:ascii="Times New Roman" w:hAnsi="Times New Roman"/>
          <w:sz w:val="24"/>
          <w:szCs w:val="24"/>
          <w:lang w:val="en-US"/>
        </w:rPr>
        <w:t>s well since 2019. The main arguments the government is using for opposing the Convention targets its gender- and migration-related content - based on a deliberate misinterpretation and distortion of the Convention</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content and aims, using it as a </w:t>
      </w:r>
      <w:r>
        <w:rPr>
          <w:rStyle w:val="Egyiksem"/>
          <w:rFonts w:ascii="Times New Roman" w:hAnsi="Times New Roman"/>
          <w:sz w:val="24"/>
          <w:szCs w:val="24"/>
          <w:lang w:val="en-US"/>
        </w:rPr>
        <w:t>bogeyman in public discourse.</w:t>
      </w:r>
      <w:r>
        <w:rPr>
          <w:rStyle w:val="Egyiksem"/>
          <w:rFonts w:ascii="Times New Roman" w:eastAsia="Times New Roman" w:hAnsi="Times New Roman" w:cs="Times New Roman"/>
          <w:sz w:val="24"/>
          <w:szCs w:val="24"/>
          <w:vertAlign w:val="superscript"/>
        </w:rPr>
        <w:footnoteReference w:id="16"/>
      </w:r>
      <w:r>
        <w:rPr>
          <w:rStyle w:val="Egyiksem"/>
          <w:rFonts w:ascii="Times New Roman" w:hAnsi="Times New Roman"/>
          <w:sz w:val="24"/>
          <w:szCs w:val="24"/>
        </w:rPr>
        <w:t xml:space="preserve"> </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On 5 May 2020, the Parliament (National Assembly) adopted a political declaration </w:t>
      </w:r>
      <w:r>
        <w:rPr>
          <w:rStyle w:val="Egyiksem"/>
          <w:rFonts w:ascii="Times New Roman" w:hAnsi="Times New Roman"/>
          <w:sz w:val="24"/>
          <w:szCs w:val="24"/>
          <w:lang w:val="en-US"/>
        </w:rPr>
        <w:t>“</w:t>
      </w:r>
      <w:r>
        <w:rPr>
          <w:rStyle w:val="Egyiksem"/>
          <w:rFonts w:ascii="Times New Roman" w:hAnsi="Times New Roman"/>
          <w:sz w:val="24"/>
          <w:szCs w:val="24"/>
          <w:lang w:val="en-US"/>
        </w:rPr>
        <w:t>on the importance of protecting children and women, as well as on the rejection of accession to the Istanbul Convention</w:t>
      </w:r>
      <w:r>
        <w:rPr>
          <w:rStyle w:val="Egyiksem"/>
          <w:rFonts w:ascii="Times New Roman" w:hAnsi="Times New Roman"/>
          <w:sz w:val="24"/>
          <w:szCs w:val="24"/>
          <w:lang w:val="en-US"/>
        </w:rPr>
        <w:t>”</w:t>
      </w:r>
      <w:r>
        <w:rPr>
          <w:rStyle w:val="Egyiksem"/>
          <w:rFonts w:ascii="Times New Roman" w:hAnsi="Times New Roman"/>
          <w:sz w:val="24"/>
          <w:szCs w:val="24"/>
        </w:rPr>
        <w:t>.</w:t>
      </w:r>
      <w:r>
        <w:rPr>
          <w:rStyle w:val="Egyiksem"/>
          <w:rFonts w:ascii="Times New Roman" w:eastAsia="Times New Roman" w:hAnsi="Times New Roman" w:cs="Times New Roman"/>
          <w:sz w:val="24"/>
          <w:szCs w:val="24"/>
          <w:vertAlign w:val="superscript"/>
        </w:rPr>
        <w:footnoteReference w:id="17"/>
      </w:r>
      <w:r>
        <w:rPr>
          <w:rStyle w:val="Egyiksem"/>
          <w:rFonts w:ascii="Times New Roman" w:hAnsi="Times New Roman"/>
          <w:sz w:val="24"/>
          <w:szCs w:val="24"/>
          <w:lang w:val="en-US"/>
        </w:rPr>
        <w:t xml:space="preserve"> In the document, t</w:t>
      </w:r>
      <w:r>
        <w:rPr>
          <w:rStyle w:val="Egyiksem"/>
          <w:rFonts w:ascii="Times New Roman" w:hAnsi="Times New Roman"/>
          <w:sz w:val="24"/>
          <w:szCs w:val="24"/>
          <w:lang w:val="en-US"/>
        </w:rPr>
        <w:t>he National Assembly rejects that the Istanbul Convention has a binding effect on Hungary and the European Union, and calls on the Government to act accordingly. The proposal went through only within one day of the whole parliamentary process, from submiss</w:t>
      </w:r>
      <w:r>
        <w:rPr>
          <w:rStyle w:val="Egyiksem"/>
          <w:rFonts w:ascii="Times New Roman" w:hAnsi="Times New Roman"/>
          <w:sz w:val="24"/>
          <w:szCs w:val="24"/>
          <w:lang w:val="en-US"/>
        </w:rPr>
        <w:t>ion to voting. It took place during the lockdown period ordered because of the coronavirus pandemic, so no protests could be organized in response.</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At the same time, an international coalition - including Hungarian members - is campaigning against the EU</w:t>
      </w:r>
      <w:r>
        <w:rPr>
          <w:rStyle w:val="Egyiksem"/>
          <w:rFonts w:ascii="Times New Roman" w:hAnsi="Times New Roman"/>
          <w:sz w:val="24"/>
          <w:szCs w:val="24"/>
          <w:lang w:val="en-US"/>
        </w:rPr>
        <w:t>’</w:t>
      </w:r>
      <w:r>
        <w:rPr>
          <w:rStyle w:val="Egyiksem"/>
          <w:rFonts w:ascii="Times New Roman" w:hAnsi="Times New Roman"/>
          <w:sz w:val="24"/>
          <w:szCs w:val="24"/>
          <w:lang w:val="en-US"/>
        </w:rPr>
        <w:t>s</w:t>
      </w:r>
      <w:r>
        <w:rPr>
          <w:rStyle w:val="Egyiksem"/>
          <w:rFonts w:ascii="Times New Roman" w:hAnsi="Times New Roman"/>
          <w:sz w:val="24"/>
          <w:szCs w:val="24"/>
          <w:lang w:val="en-US"/>
        </w:rPr>
        <w:t xml:space="preserve"> accession to the Istanbul Convention. They started a petition, and operate an 18-language website for this purpose.</w:t>
      </w:r>
      <w:r>
        <w:rPr>
          <w:rStyle w:val="Egyiksem"/>
          <w:rFonts w:ascii="Times New Roman" w:eastAsia="Times New Roman" w:hAnsi="Times New Roman" w:cs="Times New Roman"/>
          <w:sz w:val="24"/>
          <w:szCs w:val="24"/>
          <w:vertAlign w:val="superscript"/>
        </w:rPr>
        <w:footnoteReference w:id="18"/>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The government consistently argues that Hungary provides even better protection for victims than the Convention does. However, the day-to-</w:t>
      </w:r>
      <w:r>
        <w:rPr>
          <w:rStyle w:val="Egyiksem"/>
          <w:rFonts w:ascii="Times New Roman" w:hAnsi="Times New Roman"/>
          <w:sz w:val="24"/>
          <w:szCs w:val="24"/>
          <w:lang w:val="en-US"/>
        </w:rPr>
        <w:t>day experience and joint assessment of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NGOs shows that neither the legislative and policy framework, nor the institutional responses and levels of service-provision are in compliance with the Convention and other international standards, inc</w:t>
      </w:r>
      <w:r>
        <w:rPr>
          <w:rStyle w:val="Egyiksem"/>
          <w:rFonts w:ascii="Times New Roman" w:hAnsi="Times New Roman"/>
          <w:sz w:val="24"/>
          <w:szCs w:val="24"/>
          <w:lang w:val="en-US"/>
        </w:rPr>
        <w:t>luding recommendations of CEDAW.</w:t>
      </w:r>
      <w:r>
        <w:rPr>
          <w:rStyle w:val="Egyiksem"/>
          <w:rFonts w:ascii="Times New Roman" w:eastAsia="Times New Roman" w:hAnsi="Times New Roman" w:cs="Times New Roman"/>
          <w:sz w:val="24"/>
          <w:szCs w:val="24"/>
          <w:vertAlign w:val="superscript"/>
        </w:rPr>
        <w:footnoteReference w:id="19"/>
      </w:r>
      <w:r>
        <w:rPr>
          <w:rStyle w:val="Egyiksem"/>
          <w:rFonts w:ascii="Times New Roman" w:hAnsi="Times New Roman"/>
          <w:sz w:val="24"/>
          <w:szCs w:val="24"/>
          <w:lang w:val="en-US"/>
        </w:rPr>
        <w:t xml:space="preserve"> The main problems include legislative gaps in adequately addressing violence against women </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the law, for example, does not provide protection against all intimate partners, and still considers the use of force as a prereq</w:t>
      </w:r>
      <w:r>
        <w:rPr>
          <w:rStyle w:val="Egyiksem"/>
          <w:rFonts w:ascii="Times New Roman" w:hAnsi="Times New Roman"/>
          <w:sz w:val="24"/>
          <w:szCs w:val="24"/>
          <w:lang w:val="en-US"/>
        </w:rPr>
        <w:t>uisite to identifying sexual assaults as rape, and requires the victim</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active role in prosecution for most crimes. Furthermore, no (comprehensive) state policy is in place to address violence against women or its specific forms. </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Next to these inadequaci</w:t>
      </w:r>
      <w:r>
        <w:rPr>
          <w:rStyle w:val="Egyiksem"/>
          <w:rFonts w:ascii="Times New Roman" w:hAnsi="Times New Roman"/>
          <w:sz w:val="24"/>
          <w:szCs w:val="24"/>
          <w:lang w:val="en-US"/>
        </w:rPr>
        <w:t xml:space="preserve">es, even the laws that are in place and might be useful are not implemented in legal practice. The lack of adequate training and thus competence of different professionals and the lack of adequate protocols for properly handling cases constitute problems, </w:t>
      </w:r>
      <w:r>
        <w:rPr>
          <w:rStyle w:val="Egyiksem"/>
          <w:rFonts w:ascii="Times New Roman" w:hAnsi="Times New Roman"/>
          <w:sz w:val="24"/>
          <w:szCs w:val="24"/>
          <w:lang w:val="en-US"/>
        </w:rPr>
        <w:t xml:space="preserve">with existing victim-blaming attitudes in professionals just as in society more broadly. Not taking into consideration the history of violence in child custody and visitation cases, and ordering mediation in cases of domestic violence are pressing issues. </w:t>
      </w:r>
      <w:r>
        <w:rPr>
          <w:rStyle w:val="Egyiksem"/>
          <w:rFonts w:ascii="Times New Roman" w:hAnsi="Times New Roman"/>
          <w:sz w:val="24"/>
          <w:szCs w:val="24"/>
          <w:lang w:val="en-US"/>
        </w:rPr>
        <w:t>Furthermore, the lack of adequate specialized services for the victims of violence against women still constitutes a problem; especially concerning victims of rape and sexual violence. The government now makes proud statements on improving victim service i</w:t>
      </w:r>
      <w:r>
        <w:rPr>
          <w:rStyle w:val="Egyiksem"/>
          <w:rFonts w:ascii="Times New Roman" w:hAnsi="Times New Roman"/>
          <w:sz w:val="24"/>
          <w:szCs w:val="24"/>
          <w:lang w:val="en-US"/>
        </w:rPr>
        <w:t>nfrastructure, but these improvements seem rather elusive when victims report remaining without adequate support services (e.g. being told that there are no shelter spaces unless they can evidence imminent danger of life-threatening attack by their abuser)</w:t>
      </w:r>
      <w:r>
        <w:rPr>
          <w:rStyle w:val="Egyiksem"/>
          <w:rFonts w:ascii="Times New Roman" w:hAnsi="Times New Roman"/>
          <w:sz w:val="24"/>
          <w:szCs w:val="24"/>
          <w:lang w:val="en-US"/>
        </w:rPr>
        <w:t>.</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2019 and 2020 several cases of domestic violence, including the killing of children - enabled by professional negligence or misconduct by respective authorities - gained public attention and outrage. Upon this, the Minister/Ministry of Justice started</w:t>
      </w:r>
      <w:r>
        <w:rPr>
          <w:rStyle w:val="Egyiksem"/>
          <w:rFonts w:ascii="Times New Roman" w:hAnsi="Times New Roman"/>
          <w:sz w:val="24"/>
          <w:szCs w:val="24"/>
          <w:lang w:val="en-US"/>
        </w:rPr>
        <w:t xml:space="preserve"> a process and conciliation to address the problem. Relevant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organizations were invited to the table, as were so-called fathers</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rights groups. So far, the expertise and experience of women</w:t>
      </w:r>
      <w:r>
        <w:rPr>
          <w:rStyle w:val="Egyiksem"/>
          <w:rFonts w:ascii="Times New Roman" w:hAnsi="Times New Roman"/>
          <w:sz w:val="24"/>
          <w:szCs w:val="24"/>
          <w:lang w:val="en-US"/>
        </w:rPr>
        <w:t>’</w:t>
      </w:r>
      <w:r>
        <w:rPr>
          <w:rStyle w:val="Egyiksem"/>
          <w:rFonts w:ascii="Times New Roman" w:hAnsi="Times New Roman"/>
          <w:sz w:val="24"/>
          <w:szCs w:val="24"/>
          <w:lang w:val="en-US"/>
        </w:rPr>
        <w:t>s rights NGOs have not been utilized in this proces</w:t>
      </w:r>
      <w:r>
        <w:rPr>
          <w:rStyle w:val="Egyiksem"/>
          <w:rFonts w:ascii="Times New Roman" w:hAnsi="Times New Roman"/>
          <w:sz w:val="24"/>
          <w:szCs w:val="24"/>
          <w:lang w:val="en-US"/>
        </w:rPr>
        <w:t xml:space="preserve">s, despite the various meticulous proposals submitted on their part. </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No up-to-date representative survey is available on violence against women and girls or on its specific forms in Hungary. Furthermore, there are gaps in administrative data collection i</w:t>
      </w:r>
      <w:r>
        <w:rPr>
          <w:rStyle w:val="Egyiksem"/>
          <w:rFonts w:ascii="Times New Roman" w:hAnsi="Times New Roman"/>
          <w:sz w:val="24"/>
          <w:szCs w:val="24"/>
          <w:lang w:val="en-US"/>
        </w:rPr>
        <w:t>n the field, including in public access to relevant data.</w:t>
      </w:r>
      <w:r>
        <w:rPr>
          <w:rStyle w:val="Egyiksem"/>
          <w:rFonts w:ascii="Times New Roman" w:eastAsia="Times New Roman" w:hAnsi="Times New Roman" w:cs="Times New Roman"/>
          <w:sz w:val="24"/>
          <w:szCs w:val="24"/>
          <w:vertAlign w:val="superscript"/>
        </w:rPr>
        <w:footnoteReference w:id="20"/>
      </w:r>
      <w:r>
        <w:rPr>
          <w:rStyle w:val="Egyiksem"/>
          <w:rFonts w:ascii="Times New Roman" w:hAnsi="Times New Roman"/>
          <w:sz w:val="24"/>
          <w:szCs w:val="24"/>
          <w:lang w:val="en-US"/>
        </w:rPr>
        <w:t xml:space="preserve"> This means, for instance, that the ratio of unreported and reported cases is not measured (to improve the rates of reporting); the points at which cases fall out of the judicial process are not ide</w:t>
      </w:r>
      <w:r>
        <w:rPr>
          <w:rStyle w:val="Egyiksem"/>
          <w:rFonts w:ascii="Times New Roman" w:hAnsi="Times New Roman"/>
          <w:sz w:val="24"/>
          <w:szCs w:val="24"/>
          <w:lang w:val="en-US"/>
        </w:rPr>
        <w:t>ntified (a prerequisite to improving prosecution rates); there is no sex-segregated data on crime perpetrators and victims; there is no data on how many victims have been accorded special status as per the European Victim Directive, and on which of the lis</w:t>
      </w:r>
      <w:r>
        <w:rPr>
          <w:rStyle w:val="Egyiksem"/>
          <w:rFonts w:ascii="Times New Roman" w:hAnsi="Times New Roman"/>
          <w:sz w:val="24"/>
          <w:szCs w:val="24"/>
          <w:lang w:val="en-US"/>
        </w:rPr>
        <w:t>ted measures have been taken in what number of cases to guarantee special victims</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rights in the process. The victim support centres the government points to as evidence for providing improved infrastructure to victims of violence against women currently c</w:t>
      </w:r>
      <w:r>
        <w:rPr>
          <w:rStyle w:val="Egyiksem"/>
          <w:rFonts w:ascii="Times New Roman" w:hAnsi="Times New Roman"/>
          <w:sz w:val="24"/>
          <w:szCs w:val="24"/>
          <w:lang w:val="en-US"/>
        </w:rPr>
        <w:t>ollect no data on the type of cases and the sex of victims they assist. That is, they reference total numbers as if these were all cases of such violence, even though the centres are designed for victims of any crime, and their employees receive no special</w:t>
      </w:r>
      <w:r>
        <w:rPr>
          <w:rStyle w:val="Egyiksem"/>
          <w:rFonts w:ascii="Times New Roman" w:hAnsi="Times New Roman"/>
          <w:sz w:val="24"/>
          <w:szCs w:val="24"/>
          <w:lang w:val="en-US"/>
        </w:rPr>
        <w:t xml:space="preserve"> training on assisting special victims of this particular kind. They have recently noticed this gap and made promises to start collecting data on the type of victims assisted.</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Despite the above, Hungary will not take part in the current EU-wide representat</w:t>
      </w:r>
      <w:r>
        <w:rPr>
          <w:rStyle w:val="Egyiksem"/>
          <w:rFonts w:ascii="Times New Roman" w:hAnsi="Times New Roman"/>
          <w:sz w:val="24"/>
          <w:szCs w:val="24"/>
          <w:lang w:val="en-US"/>
        </w:rPr>
        <w:t>ive survey on gender-based violence, coordinated by EUROSTAT. (The predecessor of this survey conducted by the Fundamental Rights Agency of the European Union (FRA) had huge gap-filling importance in Hungary in the last decade by providing representative d</w:t>
      </w:r>
      <w:r>
        <w:rPr>
          <w:rStyle w:val="Egyiksem"/>
          <w:rFonts w:ascii="Times New Roman" w:hAnsi="Times New Roman"/>
          <w:sz w:val="24"/>
          <w:szCs w:val="24"/>
          <w:lang w:val="en-US"/>
        </w:rPr>
        <w:t>ata both on the prevalence of violence and on the victims</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attitudes and experiences in seeking help.)</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6C12AC">
      <w:pPr>
        <w:pStyle w:val="SzvegtrzsA"/>
        <w:spacing w:line="240" w:lineRule="auto"/>
        <w:rPr>
          <w:rStyle w:val="Egyiksem"/>
          <w:rFonts w:ascii="Times New Roman" w:eastAsia="Times New Roman" w:hAnsi="Times New Roman" w:cs="Times New Roman"/>
          <w:i/>
          <w:iCs/>
          <w:sz w:val="24"/>
          <w:szCs w:val="24"/>
        </w:rPr>
      </w:pP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is the reason of rejecting the ratification of the Istanbul Convention?</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Who are the members of the Family Law Experts Working</w:t>
      </w:r>
      <w:r>
        <w:rPr>
          <w:rStyle w:val="Egyiksem"/>
          <w:rFonts w:ascii="Times New Roman" w:hAnsi="Times New Roman"/>
          <w:i/>
          <w:iCs/>
          <w:sz w:val="24"/>
          <w:szCs w:val="24"/>
          <w:lang w:val="en-US"/>
        </w:rPr>
        <w:t xml:space="preserve"> Group of the Ministry of Justice and what is the justification that no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rights NGO is included?</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are the special legal measures introduced to enhance the situation of victims of violence against women in 2020 dedicated to victims</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support?</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Do t</w:t>
      </w:r>
      <w:r>
        <w:rPr>
          <w:rStyle w:val="Egyiksem"/>
          <w:rFonts w:ascii="Times New Roman" w:hAnsi="Times New Roman"/>
          <w:i/>
          <w:iCs/>
          <w:sz w:val="24"/>
          <w:szCs w:val="24"/>
          <w:lang w:val="en-US"/>
        </w:rPr>
        <w:t>he personnel of the Victim Support Centers receive any systematic trainings on the phenomenon of violence against women? If yes, who provides it?</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 of legal measures are available for victims of economic and psychological forms of intimate partners</w:t>
      </w:r>
      <w:r>
        <w:rPr>
          <w:rStyle w:val="Egyiksem"/>
          <w:rFonts w:ascii="Times New Roman" w:hAnsi="Times New Roman"/>
          <w:i/>
          <w:iCs/>
          <w:sz w:val="24"/>
          <w:szCs w:val="24"/>
          <w:lang w:val="en-US"/>
        </w:rPr>
        <w:t>hip violence and coercive control?</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Have there been any steps made to amend the legislation on preventive restraining order in order to extend the duration of restraining orders and cover all types of partnerships?</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The Criminal Code still rules sexual crime</w:t>
      </w:r>
      <w:r>
        <w:rPr>
          <w:rStyle w:val="Egyiksem"/>
          <w:rFonts w:ascii="Times New Roman" w:hAnsi="Times New Roman"/>
          <w:i/>
          <w:iCs/>
          <w:sz w:val="24"/>
          <w:szCs w:val="24"/>
          <w:lang w:val="en-US"/>
        </w:rPr>
        <w:t xml:space="preserve">s under the Chapter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Crimes against sexual freedom and sexual morale</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 Why do you consider sexual morale to be protected by the state?</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Are there appropriate and easily accessible health-care services for women victims of violence available? Are immediate m</w:t>
      </w:r>
      <w:r>
        <w:rPr>
          <w:rStyle w:val="Egyiksem"/>
          <w:rFonts w:ascii="Times New Roman" w:hAnsi="Times New Roman"/>
          <w:i/>
          <w:iCs/>
          <w:sz w:val="24"/>
          <w:szCs w:val="24"/>
          <w:lang w:val="en-US"/>
        </w:rPr>
        <w:t>edical and forensic examinations granted to victims of IPV automatically and free of charge?</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Have there any efforts been made to criminalize rape upon the lack of consent, instead of the use of force? What kind of awareness raising campaigns have been intr</w:t>
      </w:r>
      <w:r>
        <w:rPr>
          <w:rStyle w:val="Egyiksem"/>
          <w:rFonts w:ascii="Times New Roman" w:hAnsi="Times New Roman"/>
          <w:i/>
          <w:iCs/>
          <w:sz w:val="24"/>
          <w:szCs w:val="24"/>
          <w:lang w:val="en-US"/>
        </w:rPr>
        <w:t>oduced to combat myths and victim blaming attitudes against the victims of sexual violence?</w:t>
      </w:r>
    </w:p>
    <w:p w:rsidR="006C12AC" w:rsidRDefault="001E6068">
      <w:pPr>
        <w:pStyle w:val="SzvegtrzsA"/>
        <w:numPr>
          <w:ilvl w:val="0"/>
          <w:numId w:val="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How many shelters are available to victims of violence against women? How is their quality control is ensured? Do the shelter personnel receive regular and holistic</w:t>
      </w:r>
      <w:r>
        <w:rPr>
          <w:rStyle w:val="Egyiksem"/>
          <w:rFonts w:ascii="Times New Roman" w:hAnsi="Times New Roman"/>
          <w:i/>
          <w:iCs/>
          <w:sz w:val="24"/>
          <w:szCs w:val="24"/>
          <w:lang w:val="en-US"/>
        </w:rPr>
        <w:t xml:space="preserve"> human rights based trainings on VAW? How do victims assisted to get to shelters?</w:t>
      </w:r>
    </w:p>
    <w:p w:rsidR="006C12AC" w:rsidRDefault="001E6068">
      <w:pPr>
        <w:pStyle w:val="SzvegtrzsA"/>
        <w:numPr>
          <w:ilvl w:val="0"/>
          <w:numId w:val="8"/>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Are there plans in place to improve data-collection on domestic and sexual violence against women and girls? If so, what particular measurements will be implemented? How will current data-collection be improved in standard data collection fields (such as c</w:t>
      </w:r>
      <w:r>
        <w:rPr>
          <w:rStyle w:val="Egyiksem"/>
          <w:rFonts w:ascii="Times New Roman" w:hAnsi="Times New Roman"/>
          <w:i/>
          <w:iCs/>
          <w:sz w:val="24"/>
          <w:szCs w:val="24"/>
          <w:lang w:val="en-US"/>
        </w:rPr>
        <w:t xml:space="preserve">rime and police data) and where will they be made available? </w:t>
      </w:r>
    </w:p>
    <w:p w:rsidR="006C12AC" w:rsidRDefault="001E6068">
      <w:pPr>
        <w:pStyle w:val="SzvegtrzsA"/>
        <w:numPr>
          <w:ilvl w:val="0"/>
          <w:numId w:val="8"/>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How will current data-collection be improved in the victim service sector, when will that data be available, and how will it be accessible? (Especially concerning cases of intimate partner and s</w:t>
      </w:r>
      <w:r>
        <w:rPr>
          <w:rStyle w:val="Egyiksem"/>
          <w:rFonts w:ascii="Times New Roman" w:hAnsi="Times New Roman"/>
          <w:i/>
          <w:iCs/>
          <w:sz w:val="24"/>
          <w:szCs w:val="24"/>
          <w:lang w:val="en-US"/>
        </w:rPr>
        <w:t>exual violence against women in victim support centres and shelter spaces.)</w:t>
      </w:r>
      <w:r>
        <w:rPr>
          <w:rStyle w:val="Egyiksem"/>
          <w:rFonts w:ascii="Times New Roman" w:eastAsia="Times New Roman" w:hAnsi="Times New Roman" w:cs="Times New Roman"/>
          <w:i/>
          <w:iCs/>
          <w:sz w:val="24"/>
          <w:szCs w:val="24"/>
          <w:vertAlign w:val="superscript"/>
        </w:rPr>
        <w:footnoteReference w:id="21"/>
      </w:r>
    </w:p>
    <w:p w:rsidR="006C12AC" w:rsidRDefault="006C12AC">
      <w:pPr>
        <w:pStyle w:val="SzvegtrzsA"/>
        <w:spacing w:line="240" w:lineRule="auto"/>
        <w:ind w:left="720"/>
        <w:rPr>
          <w:rStyle w:val="Egyiksem"/>
          <w:rFonts w:ascii="Times New Roman" w:eastAsia="Times New Roman" w:hAnsi="Times New Roman" w:cs="Times New Roman"/>
          <w:i/>
          <w:iCs/>
          <w:sz w:val="24"/>
          <w:szCs w:val="24"/>
        </w:rPr>
      </w:pP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7 - Participation of women in political and public life</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Since the previous CEDAW review process, two national and two local elections took place in Hungary (2014 and 20</w:t>
      </w:r>
      <w:r>
        <w:rPr>
          <w:rStyle w:val="Egyiksem"/>
          <w:rFonts w:ascii="Times New Roman" w:hAnsi="Times New Roman"/>
          <w:sz w:val="24"/>
          <w:szCs w:val="24"/>
          <w:lang w:val="en-US"/>
        </w:rPr>
        <w:t>18, and 2014 and 2019 respectively). These elections did not bring any significant positive changes in the political participation/representation of women. According to the ranking of the Interparliamentary Union, Hungary is currently at the 156th place ou</w:t>
      </w:r>
      <w:r>
        <w:rPr>
          <w:rStyle w:val="Egyiksem"/>
          <w:rFonts w:ascii="Times New Roman" w:hAnsi="Times New Roman"/>
          <w:sz w:val="24"/>
          <w:szCs w:val="24"/>
          <w:lang w:val="en-US"/>
        </w:rPr>
        <w:t>t of 188 regarding the percentage of women in national parliaments.</w:t>
      </w:r>
      <w:r>
        <w:rPr>
          <w:rStyle w:val="Egyiksem"/>
          <w:rFonts w:ascii="Times New Roman" w:eastAsia="Times New Roman" w:hAnsi="Times New Roman" w:cs="Times New Roman"/>
          <w:sz w:val="24"/>
          <w:szCs w:val="24"/>
          <w:vertAlign w:val="superscript"/>
        </w:rPr>
        <w:footnoteReference w:id="22"/>
      </w:r>
      <w:r>
        <w:rPr>
          <w:rStyle w:val="Egyiksem"/>
          <w:rFonts w:ascii="Times New Roman" w:hAnsi="Times New Roman"/>
          <w:sz w:val="24"/>
          <w:szCs w:val="24"/>
          <w:lang w:val="en-US"/>
        </w:rPr>
        <w:t xml:space="preserve"> At the moment there are 3 female ministers in a 15-person cabinet.</w:t>
      </w:r>
      <w:r>
        <w:rPr>
          <w:rStyle w:val="Egyiksem"/>
          <w:rFonts w:ascii="Times New Roman" w:eastAsia="Times New Roman" w:hAnsi="Times New Roman" w:cs="Times New Roman"/>
          <w:sz w:val="24"/>
          <w:szCs w:val="24"/>
          <w:vertAlign w:val="superscript"/>
        </w:rPr>
        <w:footnoteReference w:id="23"/>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10"/>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 xml:space="preserve">What kind of tangible, result-oriented legislative or other measures - including temporary </w:t>
      </w:r>
      <w:r>
        <w:rPr>
          <w:rStyle w:val="Egyiksem"/>
          <w:rFonts w:ascii="Times New Roman" w:hAnsi="Times New Roman"/>
          <w:i/>
          <w:iCs/>
          <w:sz w:val="24"/>
          <w:szCs w:val="24"/>
          <w:lang w:val="en-US"/>
        </w:rPr>
        <w:t>special measures such as quotas - have been taken and/or are planned by the State to promote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participation as candidates in elections?</w:t>
      </w:r>
      <w:r>
        <w:rPr>
          <w:rStyle w:val="Egyiksem"/>
          <w:rFonts w:ascii="Times New Roman" w:eastAsia="Times New Roman" w:hAnsi="Times New Roman" w:cs="Times New Roman"/>
          <w:i/>
          <w:iCs/>
          <w:sz w:val="24"/>
          <w:szCs w:val="24"/>
          <w:vertAlign w:val="superscript"/>
        </w:rPr>
        <w:footnoteReference w:id="24"/>
      </w:r>
      <w:r>
        <w:rPr>
          <w:rStyle w:val="EgyiksemA"/>
          <w:rFonts w:ascii="Times New Roman" w:hAnsi="Times New Roman"/>
          <w:i/>
          <w:iCs/>
          <w:sz w:val="24"/>
          <w:szCs w:val="24"/>
        </w:rPr>
        <w:t xml:space="preserve"> </w:t>
      </w:r>
    </w:p>
    <w:p w:rsidR="006C12AC" w:rsidRDefault="001E6068">
      <w:pPr>
        <w:pStyle w:val="SzvegtrzsA"/>
        <w:numPr>
          <w:ilvl w:val="0"/>
          <w:numId w:val="10"/>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In what ways, if any, have the State ensured that within governmental and state bodies and institutions, the pr</w:t>
      </w:r>
      <w:r>
        <w:rPr>
          <w:rStyle w:val="Egyiksem"/>
          <w:rFonts w:ascii="Times New Roman" w:hAnsi="Times New Roman"/>
          <w:i/>
          <w:iCs/>
          <w:sz w:val="24"/>
          <w:szCs w:val="24"/>
          <w:lang w:val="en-US"/>
        </w:rPr>
        <w:t xml:space="preserve">inciples of the Convention are internally followed and upheld </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that women experience no discrimination,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equality is improved,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equal participation is enabled and their contributions valued?</w:t>
      </w:r>
    </w:p>
    <w:p w:rsidR="006C12AC" w:rsidRDefault="001E6068">
      <w:pPr>
        <w:pStyle w:val="SzvegtrzsA"/>
        <w:numPr>
          <w:ilvl w:val="0"/>
          <w:numId w:val="10"/>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comparative statistics are available on the r</w:t>
      </w:r>
      <w:r>
        <w:rPr>
          <w:rStyle w:val="Egyiksem"/>
          <w:rFonts w:ascii="Times New Roman" w:hAnsi="Times New Roman"/>
          <w:i/>
          <w:iCs/>
          <w:sz w:val="24"/>
          <w:szCs w:val="24"/>
          <w:lang w:val="en-US"/>
        </w:rPr>
        <w:t>atios, positions and remunerations of male and female employees in governmental and state bodies and institutions?</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10 - Elimination of discrimination in education</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color w:val="222222"/>
          <w:sz w:val="24"/>
          <w:szCs w:val="24"/>
          <w:u w:color="222222"/>
        </w:rPr>
      </w:pPr>
      <w:r>
        <w:rPr>
          <w:rStyle w:val="Egyiksem"/>
          <w:rFonts w:ascii="Times New Roman" w:hAnsi="Times New Roman"/>
          <w:color w:val="222222"/>
          <w:sz w:val="24"/>
          <w:szCs w:val="24"/>
          <w:u w:color="222222"/>
          <w:lang w:val="en-US"/>
        </w:rPr>
        <w:t xml:space="preserve">In the National Core Curriculum in force (from February 2020), equality between women and men/girls and boys, or the elimination of discrimination against women and girls does not appear at all among the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Tasks and values of public education</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 xml:space="preserve">, nor in the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Field of development - aims of education</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 xml:space="preserve">. At the same time,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Morality education</w:t>
      </w:r>
      <w:r>
        <w:rPr>
          <w:rStyle w:val="Egyiksem"/>
          <w:rFonts w:ascii="Times New Roman" w:hAnsi="Times New Roman"/>
          <w:color w:val="222222"/>
          <w:sz w:val="24"/>
          <w:szCs w:val="24"/>
          <w:u w:color="222222"/>
          <w:lang w:val="en-US"/>
        </w:rPr>
        <w:t xml:space="preserve">” </w:t>
      </w:r>
      <w:r>
        <w:rPr>
          <w:rStyle w:val="Egyiksem"/>
          <w:rFonts w:ascii="Times New Roman" w:hAnsi="Times New Roman"/>
          <w:color w:val="222222"/>
          <w:sz w:val="24"/>
          <w:szCs w:val="24"/>
          <w:u w:color="222222"/>
          <w:lang w:val="en-US"/>
        </w:rPr>
        <w:t xml:space="preserve">and the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Preparation for family life</w:t>
      </w:r>
      <w:r>
        <w:rPr>
          <w:rStyle w:val="Egyiksem"/>
          <w:rFonts w:ascii="Times New Roman" w:hAnsi="Times New Roman"/>
          <w:color w:val="222222"/>
          <w:sz w:val="24"/>
          <w:szCs w:val="24"/>
          <w:u w:color="222222"/>
          <w:lang w:val="en-US"/>
        </w:rPr>
        <w:t xml:space="preserve">” </w:t>
      </w:r>
      <w:r>
        <w:rPr>
          <w:rStyle w:val="Egyiksem"/>
          <w:rFonts w:ascii="Times New Roman" w:hAnsi="Times New Roman"/>
          <w:color w:val="222222"/>
          <w:sz w:val="24"/>
          <w:szCs w:val="24"/>
          <w:u w:color="222222"/>
          <w:lang w:val="en-US"/>
        </w:rPr>
        <w:t xml:space="preserve">are included in the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Fields of development - aims of education</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rPr>
        <w:t>.</w:t>
      </w:r>
      <w:r>
        <w:rPr>
          <w:rStyle w:val="Egyiksem"/>
          <w:rFonts w:ascii="Times New Roman" w:eastAsia="Times New Roman" w:hAnsi="Times New Roman" w:cs="Times New Roman"/>
          <w:color w:val="222222"/>
          <w:sz w:val="24"/>
          <w:szCs w:val="24"/>
          <w:u w:color="222222"/>
          <w:vertAlign w:val="superscript"/>
        </w:rPr>
        <w:footnoteReference w:id="25"/>
      </w:r>
      <w:r>
        <w:rPr>
          <w:rStyle w:val="Egyiksem"/>
          <w:rFonts w:ascii="Times New Roman" w:hAnsi="Times New Roman"/>
          <w:color w:val="222222"/>
          <w:sz w:val="24"/>
          <w:szCs w:val="24"/>
          <w:u w:color="222222"/>
          <w:lang w:val="en-US"/>
        </w:rPr>
        <w:t xml:space="preserve"> Furthermore, later in the document as regards the theme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 xml:space="preserve">Homeland and </w:t>
      </w:r>
      <w:r>
        <w:rPr>
          <w:rStyle w:val="Egyiksem"/>
          <w:rFonts w:ascii="Times New Roman" w:hAnsi="Times New Roman"/>
          <w:color w:val="222222"/>
          <w:sz w:val="24"/>
          <w:szCs w:val="24"/>
          <w:u w:color="222222"/>
          <w:lang w:val="en-US"/>
        </w:rPr>
        <w:t>folklore knowledge</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 xml:space="preserve">, the following aim is listed for the pupils: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en-US"/>
        </w:rPr>
        <w:t>to be equipped with patterns for the preparation for the traditional male and female roles, in order to be able to acquire the basics of the traditional family model."</w:t>
      </w:r>
      <w:r>
        <w:rPr>
          <w:rStyle w:val="Egyiksem"/>
          <w:rFonts w:ascii="Times New Roman" w:eastAsia="Times New Roman" w:hAnsi="Times New Roman" w:cs="Times New Roman"/>
          <w:color w:val="222222"/>
          <w:sz w:val="24"/>
          <w:szCs w:val="24"/>
          <w:u w:color="222222"/>
          <w:vertAlign w:val="superscript"/>
        </w:rPr>
        <w:footnoteReference w:id="26"/>
      </w:r>
      <w:r>
        <w:rPr>
          <w:rStyle w:val="Egyiksem"/>
          <w:rFonts w:ascii="Times New Roman" w:hAnsi="Times New Roman"/>
          <w:color w:val="222222"/>
          <w:sz w:val="24"/>
          <w:szCs w:val="24"/>
          <w:u w:color="222222"/>
        </w:rPr>
        <w:t xml:space="preserve"> </w:t>
      </w:r>
    </w:p>
    <w:p w:rsidR="006C12AC" w:rsidRDefault="001E6068">
      <w:pPr>
        <w:pStyle w:val="SzvegtrzsA"/>
        <w:spacing w:line="240" w:lineRule="auto"/>
        <w:jc w:val="both"/>
        <w:rPr>
          <w:rStyle w:val="Egyiksem"/>
          <w:rFonts w:ascii="Times New Roman" w:eastAsia="Times New Roman" w:hAnsi="Times New Roman" w:cs="Times New Roman"/>
          <w:color w:val="222222"/>
          <w:sz w:val="24"/>
          <w:szCs w:val="24"/>
          <w:u w:color="222222"/>
        </w:rPr>
      </w:pPr>
      <w:r>
        <w:rPr>
          <w:rStyle w:val="Egyiksem"/>
          <w:rFonts w:ascii="Times New Roman" w:hAnsi="Times New Roman"/>
          <w:color w:val="222222"/>
          <w:sz w:val="24"/>
          <w:szCs w:val="24"/>
          <w:u w:color="222222"/>
          <w:lang w:val="en-US"/>
        </w:rPr>
        <w:t xml:space="preserve">(In the previous </w:t>
      </w:r>
      <w:r>
        <w:rPr>
          <w:rStyle w:val="Egyiksem"/>
          <w:rFonts w:ascii="Times New Roman" w:hAnsi="Times New Roman"/>
          <w:color w:val="222222"/>
          <w:sz w:val="24"/>
          <w:szCs w:val="24"/>
          <w:u w:color="222222"/>
          <w:lang w:val="en-US"/>
        </w:rPr>
        <w:t>regulation on the National Core Curriculum, there was at least a short reference among the social and citizenship key competences: "It is important to have knowledge about the basic concepts related to [...] equality between the sexes...")</w:t>
      </w:r>
    </w:p>
    <w:p w:rsidR="006C12AC" w:rsidRDefault="001E6068">
      <w:pPr>
        <w:pStyle w:val="SzvegtrzsA"/>
        <w:spacing w:line="240" w:lineRule="auto"/>
        <w:jc w:val="both"/>
        <w:rPr>
          <w:rStyle w:val="Egyiksem"/>
          <w:rFonts w:ascii="Times New Roman" w:eastAsia="Times New Roman" w:hAnsi="Times New Roman" w:cs="Times New Roman"/>
          <w:color w:val="222222"/>
          <w:sz w:val="24"/>
          <w:szCs w:val="24"/>
          <w:u w:color="222222"/>
        </w:rPr>
      </w:pPr>
      <w:r>
        <w:rPr>
          <w:rStyle w:val="Egyiksem"/>
          <w:rFonts w:ascii="Times New Roman" w:hAnsi="Times New Roman"/>
          <w:color w:val="222222"/>
          <w:sz w:val="24"/>
          <w:szCs w:val="24"/>
          <w:u w:color="222222"/>
          <w:lang w:val="en-US"/>
        </w:rPr>
        <w:t>Various school t</w:t>
      </w:r>
      <w:r>
        <w:rPr>
          <w:rStyle w:val="Egyiksem"/>
          <w:rFonts w:ascii="Times New Roman" w:hAnsi="Times New Roman"/>
          <w:color w:val="222222"/>
          <w:sz w:val="24"/>
          <w:szCs w:val="24"/>
          <w:u w:color="222222"/>
          <w:lang w:val="en-US"/>
        </w:rPr>
        <w:t>extbooks still contain sexist contents that reinforce gender stereotypes and expectations (including references to girls</w:t>
      </w:r>
      <w:r>
        <w:rPr>
          <w:rStyle w:val="Egyiksem"/>
          <w:rFonts w:ascii="Times New Roman" w:hAnsi="Times New Roman"/>
          <w:color w:val="222222"/>
          <w:sz w:val="24"/>
          <w:szCs w:val="24"/>
          <w:u w:color="222222"/>
          <w:lang w:val="en-US"/>
        </w:rPr>
        <w:t xml:space="preserve">’ </w:t>
      </w:r>
      <w:r>
        <w:rPr>
          <w:rStyle w:val="Egyiksem"/>
          <w:rFonts w:ascii="Times New Roman" w:hAnsi="Times New Roman"/>
          <w:color w:val="222222"/>
          <w:sz w:val="24"/>
          <w:szCs w:val="24"/>
          <w:u w:color="222222"/>
          <w:lang w:val="en-US"/>
        </w:rPr>
        <w:t xml:space="preserve">lesser intellectual capacities, and different </w:t>
      </w:r>
      <w:r>
        <w:rPr>
          <w:rStyle w:val="Egyiksem"/>
          <w:rFonts w:ascii="Times New Roman" w:hAnsi="Times New Roman"/>
          <w:color w:val="222222"/>
          <w:sz w:val="24"/>
          <w:szCs w:val="24"/>
          <w:u w:color="222222"/>
          <w:lang w:val="en-US"/>
        </w:rPr>
        <w:t>“</w:t>
      </w:r>
      <w:r>
        <w:rPr>
          <w:rStyle w:val="Egyiksem"/>
          <w:rFonts w:ascii="Times New Roman" w:hAnsi="Times New Roman"/>
          <w:color w:val="222222"/>
          <w:sz w:val="24"/>
          <w:szCs w:val="24"/>
          <w:u w:color="222222"/>
          <w:lang w:val="it-IT"/>
        </w:rPr>
        <w:t>natural</w:t>
      </w:r>
      <w:r>
        <w:rPr>
          <w:rStyle w:val="Egyiksem"/>
          <w:rFonts w:ascii="Times New Roman" w:hAnsi="Times New Roman"/>
          <w:color w:val="222222"/>
          <w:sz w:val="24"/>
          <w:szCs w:val="24"/>
          <w:u w:color="222222"/>
          <w:lang w:val="en-US"/>
        </w:rPr>
        <w:t xml:space="preserve">” </w:t>
      </w:r>
      <w:r>
        <w:rPr>
          <w:rStyle w:val="Egyiksem"/>
          <w:rFonts w:ascii="Times New Roman" w:hAnsi="Times New Roman"/>
          <w:color w:val="222222"/>
          <w:sz w:val="24"/>
          <w:szCs w:val="24"/>
          <w:u w:color="222222"/>
          <w:lang w:val="en-US"/>
        </w:rPr>
        <w:t>subjects of interest and roles for boys and girls).</w:t>
      </w:r>
      <w:r>
        <w:rPr>
          <w:rStyle w:val="Egyiksem"/>
          <w:rFonts w:ascii="Times New Roman" w:eastAsia="Times New Roman" w:hAnsi="Times New Roman" w:cs="Times New Roman"/>
          <w:color w:val="222222"/>
          <w:sz w:val="24"/>
          <w:szCs w:val="24"/>
          <w:u w:color="222222"/>
          <w:vertAlign w:val="superscript"/>
        </w:rPr>
        <w:footnoteReference w:id="27"/>
      </w:r>
      <w:r>
        <w:rPr>
          <w:rStyle w:val="Egyiksem"/>
          <w:rFonts w:ascii="Times New Roman" w:hAnsi="Times New Roman"/>
          <w:color w:val="222222"/>
          <w:sz w:val="24"/>
          <w:szCs w:val="24"/>
          <w:u w:color="222222"/>
        </w:rPr>
        <w:t xml:space="preserve"> </w:t>
      </w:r>
    </w:p>
    <w:p w:rsidR="006C12AC" w:rsidRDefault="006C12AC">
      <w:pPr>
        <w:pStyle w:val="SzvegtrzsA"/>
        <w:spacing w:line="240" w:lineRule="auto"/>
        <w:jc w:val="both"/>
        <w:rPr>
          <w:rStyle w:val="Egyiksem"/>
          <w:rFonts w:ascii="Times New Roman" w:eastAsia="Times New Roman" w:hAnsi="Times New Roman" w:cs="Times New Roman"/>
          <w:color w:val="222222"/>
          <w:sz w:val="24"/>
          <w:szCs w:val="24"/>
          <w:u w:color="222222"/>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i/>
          <w:iCs/>
          <w:color w:val="222222"/>
          <w:sz w:val="24"/>
          <w:szCs w:val="24"/>
          <w:u w:color="222222"/>
          <w:lang w:val="en-US"/>
        </w:rPr>
        <w:t>Suggested questions:</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What kind of measures and steps have been taken or are planned to adequately include non-discrimination, equality between boys and girls/women and men and the promotion of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 xml:space="preserve">s rights in educational policies, including in the National Core Curriculum? </w:t>
      </w:r>
    </w:p>
    <w:p w:rsidR="006C12AC" w:rsidRDefault="001E6068">
      <w:pPr>
        <w:pStyle w:val="SzvegtrzsA"/>
        <w:numPr>
          <w:ilvl w:val="0"/>
          <w:numId w:val="12"/>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 xml:space="preserve">In what way does the state-ordained school curriculum, especially the curriculum on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educating for family life</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 xml:space="preserve">and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morality studies</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 serve the eradication of sexist prejudices, stereotyped roles, discriminatory practices and how does it serve violence-p</w:t>
      </w:r>
      <w:r>
        <w:rPr>
          <w:rStyle w:val="Egyiksem"/>
          <w:rFonts w:ascii="Times New Roman" w:hAnsi="Times New Roman"/>
          <w:i/>
          <w:iCs/>
          <w:sz w:val="24"/>
          <w:szCs w:val="24"/>
          <w:lang w:val="en-US"/>
        </w:rPr>
        <w:t>revention (intimate partner violence and sexual violence)?</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Is compliance with international norms, such as Article 5 and 10 of the CEDAW Convention, guaranteed in the respective legislative and policy framework, and if yes, how?</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Please provide information on how the above mentioned themes are taken into account in the schoolbook review and licencing process. What are the consequences of non-compliance; are there any examples of prohibiting the use of textbooks with content violati</w:t>
      </w:r>
      <w:r>
        <w:rPr>
          <w:rStyle w:val="Egyiksem"/>
          <w:rFonts w:ascii="Times New Roman" w:hAnsi="Times New Roman"/>
          <w:i/>
          <w:iCs/>
          <w:sz w:val="24"/>
          <w:szCs w:val="24"/>
          <w:lang w:val="en-US"/>
        </w:rPr>
        <w:t xml:space="preserve">ng the law grounding on the CEDAW Convention? </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How - in what length and based on what curricula - are discrimination against women and the promotion of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rights addressed in basic and continuing education for teachers and other educational staff?</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Wha</w:t>
      </w:r>
      <w:r>
        <w:rPr>
          <w:rStyle w:val="Egyiksem"/>
          <w:rFonts w:ascii="Times New Roman" w:hAnsi="Times New Roman"/>
          <w:i/>
          <w:iCs/>
          <w:sz w:val="24"/>
          <w:szCs w:val="24"/>
          <w:lang w:val="en-US"/>
        </w:rPr>
        <w:t>t protocols and processes are in place, if any, to ensure that school employees do not engage in discriminatory treatment based on sexist stereotypes and prejudices, and that misconduct and abuse of power (including sexual abuse) in educational institution</w:t>
      </w:r>
      <w:r>
        <w:rPr>
          <w:rStyle w:val="Egyiksem"/>
          <w:rFonts w:ascii="Times New Roman" w:hAnsi="Times New Roman"/>
          <w:i/>
          <w:iCs/>
          <w:sz w:val="24"/>
          <w:szCs w:val="24"/>
          <w:lang w:val="en-US"/>
        </w:rPr>
        <w:t>s is uncovered and adequately managed (including disciplinary action and exclusion from practicing the profession in the case of sexual misconduct and abuse)?</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Is there any plan to implement state-wide sexuality and relationship education, especially educat</w:t>
      </w:r>
      <w:r>
        <w:rPr>
          <w:rStyle w:val="Egyiksem"/>
          <w:rFonts w:ascii="Times New Roman" w:hAnsi="Times New Roman"/>
          <w:i/>
          <w:iCs/>
          <w:sz w:val="24"/>
          <w:szCs w:val="24"/>
          <w:lang w:val="en-US"/>
        </w:rPr>
        <w:t>ion geared towards violence-prevention? If yes, how will it be ensured that such curriculum rests upon the principles of the Convention? In what ways are teachers prepared to provide adequate sexuality education and violence-prevention?</w:t>
      </w:r>
    </w:p>
    <w:p w:rsidR="006C12AC" w:rsidRDefault="001E6068">
      <w:pPr>
        <w:pStyle w:val="SzvegtrzsA"/>
        <w:numPr>
          <w:ilvl w:val="0"/>
          <w:numId w:val="12"/>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 xml:space="preserve">Are there plans in </w:t>
      </w:r>
      <w:r>
        <w:rPr>
          <w:rStyle w:val="Egyiksem"/>
          <w:rFonts w:ascii="Times New Roman" w:hAnsi="Times New Roman"/>
          <w:i/>
          <w:iCs/>
          <w:sz w:val="24"/>
          <w:szCs w:val="24"/>
          <w:lang w:val="en-US"/>
        </w:rPr>
        <w:t>place to collect data on bullying, especially sexist and sexualised bullying, in schools? If so, when can such data be expected and how will it be accessible?</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11 - Elimination of discrimination against women in employment</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Amnesty International r</w:t>
      </w:r>
      <w:r>
        <w:rPr>
          <w:rStyle w:val="Egyiksem"/>
          <w:rFonts w:ascii="Times New Roman" w:hAnsi="Times New Roman"/>
          <w:sz w:val="24"/>
          <w:szCs w:val="24"/>
          <w:lang w:val="en-US"/>
        </w:rPr>
        <w:t xml:space="preserve">eleased a report in 2020 that concluded: </w:t>
      </w:r>
      <w:r>
        <w:rPr>
          <w:rStyle w:val="Egyiksem"/>
          <w:rFonts w:ascii="Times New Roman" w:hAnsi="Times New Roman"/>
          <w:sz w:val="24"/>
          <w:szCs w:val="24"/>
          <w:lang w:val="en-US"/>
        </w:rPr>
        <w:t>“</w:t>
      </w:r>
      <w:r>
        <w:rPr>
          <w:rStyle w:val="Egyiksem"/>
          <w:rFonts w:ascii="Times New Roman" w:hAnsi="Times New Roman"/>
          <w:sz w:val="24"/>
          <w:szCs w:val="24"/>
          <w:lang w:val="en-US"/>
        </w:rPr>
        <w:t>many of the measures introduced by the government in recent years have had a particular and disproportionate impact on women employees, especially those who have a low socio-economic status and/or who come from dis</w:t>
      </w:r>
      <w:r>
        <w:rPr>
          <w:rStyle w:val="Egyiksem"/>
          <w:rFonts w:ascii="Times New Roman" w:hAnsi="Times New Roman"/>
          <w:sz w:val="24"/>
          <w:szCs w:val="24"/>
          <w:lang w:val="en-US"/>
        </w:rPr>
        <w:t>advantaged backgrounds. Moreover, there are several legal and practical barriers to access to justice that hinder victims of gender-based discrimination to seek effective remedies.</w:t>
      </w:r>
      <w:r>
        <w:rPr>
          <w:rStyle w:val="Egyiksem"/>
          <w:rFonts w:ascii="Times New Roman" w:hAnsi="Times New Roman"/>
          <w:sz w:val="24"/>
          <w:szCs w:val="24"/>
          <w:lang w:val="en-US"/>
        </w:rPr>
        <w:t>”</w:t>
      </w:r>
      <w:r>
        <w:rPr>
          <w:rStyle w:val="Egyiksem"/>
          <w:rFonts w:ascii="Times New Roman" w:eastAsia="Times New Roman" w:hAnsi="Times New Roman" w:cs="Times New Roman"/>
          <w:sz w:val="24"/>
          <w:szCs w:val="24"/>
          <w:vertAlign w:val="superscript"/>
        </w:rPr>
        <w:footnoteReference w:id="28"/>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The report argues that </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one of the key reasons for widespread </w:t>
      </w:r>
      <w:r>
        <w:rPr>
          <w:rStyle w:val="Egyiksem"/>
          <w:rFonts w:ascii="Times New Roman" w:hAnsi="Times New Roman"/>
          <w:sz w:val="24"/>
          <w:szCs w:val="24"/>
          <w:lang w:val="en-US"/>
        </w:rPr>
        <w:t>discrimination against women employees in the labour market is the incomplete transposition of these relevant international and regional human rights obligations into domestic law.</w:t>
      </w:r>
      <w:r>
        <w:rPr>
          <w:rStyle w:val="Egyiksem"/>
          <w:rFonts w:ascii="Times New Roman" w:hAnsi="Times New Roman"/>
          <w:sz w:val="24"/>
          <w:szCs w:val="24"/>
          <w:lang w:val="en-US"/>
        </w:rPr>
        <w:t>”</w:t>
      </w:r>
      <w:r>
        <w:rPr>
          <w:rStyle w:val="Egyiksem"/>
          <w:rFonts w:ascii="Times New Roman" w:eastAsia="Times New Roman" w:hAnsi="Times New Roman" w:cs="Times New Roman"/>
          <w:sz w:val="24"/>
          <w:szCs w:val="24"/>
          <w:vertAlign w:val="superscript"/>
        </w:rPr>
        <w:footnoteReference w:id="29"/>
      </w:r>
      <w:r>
        <w:rPr>
          <w:rStyle w:val="Egyiksem"/>
          <w:rFonts w:ascii="Times New Roman" w:hAnsi="Times New Roman"/>
          <w:sz w:val="24"/>
          <w:szCs w:val="24"/>
          <w:lang w:val="en-US"/>
        </w:rPr>
        <w:t xml:space="preserve"> The report also concluded that </w:t>
      </w:r>
      <w:r>
        <w:rPr>
          <w:rStyle w:val="Egyiksem"/>
          <w:rFonts w:ascii="Times New Roman" w:hAnsi="Times New Roman"/>
          <w:sz w:val="24"/>
          <w:szCs w:val="24"/>
          <w:lang w:val="en-US"/>
        </w:rPr>
        <w:t>“</w:t>
      </w:r>
      <w:r>
        <w:rPr>
          <w:rStyle w:val="Egyiksem"/>
          <w:rFonts w:ascii="Times New Roman" w:hAnsi="Times New Roman"/>
          <w:sz w:val="24"/>
          <w:szCs w:val="24"/>
          <w:lang w:val="en-US"/>
        </w:rPr>
        <w:t>Gender-based discrimination against pregn</w:t>
      </w:r>
      <w:r>
        <w:rPr>
          <w:rStyle w:val="Egyiksem"/>
          <w:rFonts w:ascii="Times New Roman" w:hAnsi="Times New Roman"/>
          <w:sz w:val="24"/>
          <w:szCs w:val="24"/>
          <w:lang w:val="en-US"/>
        </w:rPr>
        <w:t>ant women and women with young children in employment is widespread across the different sectors in Hungary.</w:t>
      </w:r>
      <w:r>
        <w:rPr>
          <w:rStyle w:val="Egyiksem"/>
          <w:rFonts w:ascii="Times New Roman" w:hAnsi="Times New Roman"/>
          <w:sz w:val="24"/>
          <w:szCs w:val="24"/>
          <w:lang w:val="en-US"/>
        </w:rPr>
        <w:t>”</w:t>
      </w:r>
      <w:r>
        <w:rPr>
          <w:rStyle w:val="Egyiksem"/>
          <w:rFonts w:ascii="Times New Roman" w:eastAsia="Times New Roman" w:hAnsi="Times New Roman" w:cs="Times New Roman"/>
          <w:sz w:val="24"/>
          <w:szCs w:val="24"/>
          <w:vertAlign w:val="superscript"/>
        </w:rPr>
        <w:footnoteReference w:id="30"/>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Similarly, a global survey conducted in 27 countries in 2020 and considered representative in Hungary revealed that 61% of Hungarian respondents </w:t>
      </w:r>
      <w:r>
        <w:rPr>
          <w:rStyle w:val="Egyiksem"/>
          <w:rFonts w:ascii="Times New Roman" w:hAnsi="Times New Roman"/>
          <w:sz w:val="24"/>
          <w:szCs w:val="24"/>
          <w:lang w:val="en-US"/>
        </w:rPr>
        <w:t>disagree with the statement that workplaces in Hungary treat women and men equally.</w:t>
      </w:r>
      <w:r>
        <w:rPr>
          <w:rStyle w:val="Egyiksem"/>
          <w:rFonts w:ascii="Times New Roman" w:eastAsia="Times New Roman" w:hAnsi="Times New Roman" w:cs="Times New Roman"/>
          <w:sz w:val="24"/>
          <w:szCs w:val="24"/>
          <w:vertAlign w:val="superscript"/>
        </w:rPr>
        <w:footnoteReference w:id="31"/>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14"/>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 xml:space="preserve">What kind of legislative and other measures have been introduced by the State to eliminate discrimination against women in the workplace? </w:t>
      </w:r>
    </w:p>
    <w:p w:rsidR="006C12AC" w:rsidRDefault="001E6068">
      <w:pPr>
        <w:pStyle w:val="SzvegtrzsA"/>
        <w:numPr>
          <w:ilvl w:val="0"/>
          <w:numId w:val="14"/>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What steps</w:t>
      </w:r>
      <w:r>
        <w:rPr>
          <w:rStyle w:val="Egyiksem"/>
          <w:rFonts w:ascii="Times New Roman" w:hAnsi="Times New Roman"/>
          <w:i/>
          <w:iCs/>
          <w:sz w:val="24"/>
          <w:szCs w:val="24"/>
          <w:lang w:val="en-US"/>
        </w:rPr>
        <w:t xml:space="preserve"> have been taken against the wage gap between women and men? </w:t>
      </w:r>
    </w:p>
    <w:p w:rsidR="006C12AC" w:rsidRDefault="001E6068">
      <w:pPr>
        <w:pStyle w:val="SzvegtrzsA"/>
        <w:numPr>
          <w:ilvl w:val="0"/>
          <w:numId w:val="14"/>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Were there any measures taken to improve the salaries and working conditions of state employees in the care, educational and bureaucratic support sectors where women are over-represented? If so,</w:t>
      </w:r>
      <w:r>
        <w:rPr>
          <w:rStyle w:val="Egyiksem"/>
          <w:rFonts w:ascii="Times New Roman" w:hAnsi="Times New Roman"/>
          <w:i/>
          <w:iCs/>
          <w:sz w:val="24"/>
          <w:szCs w:val="24"/>
          <w:lang w:val="en-US"/>
        </w:rPr>
        <w:t xml:space="preserve"> what?</w:t>
      </w:r>
    </w:p>
    <w:p w:rsidR="006C12AC" w:rsidRDefault="001E6068">
      <w:pPr>
        <w:pStyle w:val="SzvegtrzsA"/>
        <w:numPr>
          <w:ilvl w:val="0"/>
          <w:numId w:val="14"/>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 xml:space="preserve">What measures have been introduced to inform women about their rights as regards to employment relationships, and about available legal remedies? </w:t>
      </w:r>
    </w:p>
    <w:p w:rsidR="006C12AC" w:rsidRDefault="001E6068">
      <w:pPr>
        <w:pStyle w:val="SzvegtrzsA"/>
        <w:numPr>
          <w:ilvl w:val="0"/>
          <w:numId w:val="14"/>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What measures have been taken to improve the detection and remedying of workplace sexual harassment? H</w:t>
      </w:r>
      <w:r>
        <w:rPr>
          <w:rStyle w:val="Egyiksem"/>
          <w:rFonts w:ascii="Times New Roman" w:hAnsi="Times New Roman"/>
          <w:i/>
          <w:iCs/>
          <w:sz w:val="24"/>
          <w:szCs w:val="24"/>
          <w:lang w:val="en-US"/>
        </w:rPr>
        <w:t>ow many cases are reported each year, with what outcome? Is there representative data available on workplace sexual harassment, and what is the ratio of underreporting?</w:t>
      </w:r>
    </w:p>
    <w:p w:rsidR="006C12AC" w:rsidRDefault="006C12AC">
      <w:pPr>
        <w:pStyle w:val="SzvegtrzsA"/>
        <w:spacing w:line="240" w:lineRule="auto"/>
        <w:jc w:val="both"/>
        <w:rPr>
          <w:rStyle w:val="Egyiksem"/>
          <w:rFonts w:ascii="Times New Roman" w:eastAsia="Times New Roman" w:hAnsi="Times New Roman" w:cs="Times New Roman"/>
          <w:i/>
          <w:iCs/>
          <w:sz w:val="24"/>
          <w:szCs w:val="24"/>
        </w:rPr>
      </w:pP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12 - Elimination of discrimination against women in health care and family pl</w:t>
      </w:r>
      <w:r>
        <w:rPr>
          <w:rStyle w:val="Egyiksem"/>
          <w:rFonts w:ascii="Times New Roman" w:hAnsi="Times New Roman"/>
          <w:b/>
          <w:bCs/>
          <w:sz w:val="24"/>
          <w:szCs w:val="24"/>
          <w:lang w:val="en-US"/>
        </w:rPr>
        <w:t>anning</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2014 the legal conditions for sterilization became more stringent: sterilization for family planning (non-medical reasons) allowed only to a person who is over 40 years old or already has 3 biological children.</w:t>
      </w:r>
      <w:r>
        <w:rPr>
          <w:rStyle w:val="Egyiksem"/>
          <w:rFonts w:ascii="Times New Roman" w:eastAsia="Times New Roman" w:hAnsi="Times New Roman" w:cs="Times New Roman"/>
          <w:sz w:val="24"/>
          <w:szCs w:val="24"/>
          <w:vertAlign w:val="superscript"/>
        </w:rPr>
        <w:footnoteReference w:id="32"/>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Still no contraceptive is </w:t>
      </w:r>
      <w:r>
        <w:rPr>
          <w:rStyle w:val="Egyiksem"/>
          <w:rFonts w:ascii="Times New Roman" w:hAnsi="Times New Roman"/>
          <w:sz w:val="24"/>
          <w:szCs w:val="24"/>
          <w:lang w:val="en-US"/>
        </w:rPr>
        <w:t>subsidized by the state in Hungary. In addition, in 2015 the European Commission made a decision that the emergency contraception ellaOne can be available over-the-counter in the EU</w:t>
      </w:r>
      <w:r>
        <w:rPr>
          <w:rStyle w:val="Egyiksem"/>
          <w:rFonts w:ascii="Times New Roman" w:eastAsia="Times New Roman" w:hAnsi="Times New Roman" w:cs="Times New Roman"/>
          <w:sz w:val="24"/>
          <w:szCs w:val="24"/>
          <w:vertAlign w:val="superscript"/>
        </w:rPr>
        <w:footnoteReference w:id="33"/>
      </w:r>
      <w:r>
        <w:rPr>
          <w:rStyle w:val="Egyiksem"/>
          <w:rFonts w:ascii="Times New Roman" w:hAnsi="Times New Roman"/>
          <w:sz w:val="24"/>
          <w:szCs w:val="24"/>
          <w:lang w:val="en-US"/>
        </w:rPr>
        <w:t xml:space="preserve">, while Hungary remained the only EU member state that kept the pill upon </w:t>
      </w:r>
      <w:r>
        <w:rPr>
          <w:rStyle w:val="Egyiksem"/>
          <w:rFonts w:ascii="Times New Roman" w:hAnsi="Times New Roman"/>
          <w:sz w:val="24"/>
          <w:szCs w:val="24"/>
          <w:lang w:val="en-US"/>
        </w:rPr>
        <w:t xml:space="preserve">prescription. </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Only surgical abortion is available in Hungary, and not a medical one. Although in 2012 the EU-wide registered abortion pill Medabon received a marketing authorization in Hungary, the respective ministry decided that supply, production and </w:t>
      </w:r>
      <w:r>
        <w:rPr>
          <w:rStyle w:val="Egyiksem"/>
          <w:rFonts w:ascii="Times New Roman" w:hAnsi="Times New Roman"/>
          <w:sz w:val="24"/>
          <w:szCs w:val="24"/>
          <w:lang w:val="en-US"/>
        </w:rPr>
        <w:t>needless to say, state-subsidy will not be taking place.</w:t>
      </w:r>
      <w:r>
        <w:rPr>
          <w:rStyle w:val="Egyiksem"/>
          <w:rFonts w:ascii="Times New Roman" w:eastAsia="Times New Roman" w:hAnsi="Times New Roman" w:cs="Times New Roman"/>
          <w:sz w:val="24"/>
          <w:szCs w:val="24"/>
          <w:vertAlign w:val="superscript"/>
        </w:rPr>
        <w:footnoteReference w:id="34"/>
      </w:r>
      <w:r>
        <w:rPr>
          <w:rStyle w:val="Egyiksem"/>
          <w:rFonts w:ascii="Times New Roman" w:hAnsi="Times New Roman"/>
          <w:sz w:val="24"/>
          <w:szCs w:val="24"/>
          <w:lang w:val="en-US"/>
        </w:rPr>
        <w:t xml:space="preserve"> Currently, surgical abortion is available on the condition of attending two compulsory counselling sessions, the first aiming at dissuading the woman from terminating her pregnancy. Research showed </w:t>
      </w:r>
      <w:r>
        <w:rPr>
          <w:rStyle w:val="Egyiksem"/>
          <w:rFonts w:ascii="Times New Roman" w:hAnsi="Times New Roman"/>
          <w:sz w:val="24"/>
          <w:szCs w:val="24"/>
          <w:lang w:val="en-US"/>
        </w:rPr>
        <w:t>that these sessions provide selective information on the risks of abortion vis-a-vis carrying the pregnancy to term, and employ guilting strategies that violate women</w:t>
      </w:r>
      <w:r>
        <w:rPr>
          <w:rStyle w:val="Egyiksem"/>
          <w:rFonts w:ascii="Times New Roman" w:hAnsi="Times New Roman"/>
          <w:sz w:val="24"/>
          <w:szCs w:val="24"/>
          <w:lang w:val="en-US"/>
        </w:rPr>
        <w:t>’</w:t>
      </w:r>
      <w:r>
        <w:rPr>
          <w:rStyle w:val="Egyiksem"/>
          <w:rFonts w:ascii="Times New Roman" w:hAnsi="Times New Roman"/>
          <w:sz w:val="24"/>
          <w:szCs w:val="24"/>
          <w:lang w:val="it-IT"/>
        </w:rPr>
        <w:t>s dignity.</w:t>
      </w:r>
      <w:r>
        <w:rPr>
          <w:rStyle w:val="Egyiksem"/>
          <w:rFonts w:ascii="Times New Roman" w:eastAsia="Times New Roman" w:hAnsi="Times New Roman" w:cs="Times New Roman"/>
          <w:sz w:val="24"/>
          <w:szCs w:val="24"/>
          <w:vertAlign w:val="superscript"/>
        </w:rPr>
        <w:footnoteReference w:id="35"/>
      </w:r>
      <w:r>
        <w:rPr>
          <w:rStyle w:val="Egyiksem"/>
          <w:rFonts w:ascii="Times New Roman" w:hAnsi="Times New Roman"/>
          <w:sz w:val="24"/>
          <w:szCs w:val="24"/>
          <w:lang w:val="en-US"/>
        </w:rPr>
        <w:t xml:space="preserve"> The curriculum of healthcare and public service employees (state nurses) that</w:t>
      </w:r>
      <w:r>
        <w:rPr>
          <w:rStyle w:val="Egyiksem"/>
          <w:rFonts w:ascii="Times New Roman" w:hAnsi="Times New Roman"/>
          <w:sz w:val="24"/>
          <w:szCs w:val="24"/>
          <w:lang w:val="en-US"/>
        </w:rPr>
        <w:t xml:space="preserve"> go on to provide counselling is becoming increasingly pseudo-scientific (e.g. refer to </w:t>
      </w:r>
      <w:r>
        <w:rPr>
          <w:rStyle w:val="Egyiksem"/>
          <w:rFonts w:ascii="Times New Roman" w:hAnsi="Times New Roman"/>
          <w:sz w:val="24"/>
          <w:szCs w:val="24"/>
          <w:lang w:val="en-US"/>
        </w:rPr>
        <w:t>“</w:t>
      </w:r>
      <w:r>
        <w:rPr>
          <w:rStyle w:val="Egyiksem"/>
          <w:rFonts w:ascii="Times New Roman" w:hAnsi="Times New Roman"/>
          <w:sz w:val="24"/>
          <w:szCs w:val="24"/>
          <w:lang w:val="en-US"/>
        </w:rPr>
        <w:t>dormant motherly feelings</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to be woken up in women seeking termination). Furthermore, some religious organisations now also have permission to provide counselling reco</w:t>
      </w:r>
      <w:r>
        <w:rPr>
          <w:rStyle w:val="Egyiksem"/>
          <w:rFonts w:ascii="Times New Roman" w:hAnsi="Times New Roman"/>
          <w:sz w:val="24"/>
          <w:szCs w:val="24"/>
          <w:lang w:val="en-US"/>
        </w:rPr>
        <w:t xml:space="preserve">gnised by the state. </w:t>
      </w:r>
    </w:p>
    <w:p w:rsidR="006C12AC" w:rsidRDefault="001E6068">
      <w:pPr>
        <w:pStyle w:val="SzvegtrzsA"/>
        <w:tabs>
          <w:tab w:val="left" w:pos="284"/>
        </w:tabs>
        <w:spacing w:line="240" w:lineRule="auto"/>
        <w:jc w:val="both"/>
        <w:rPr>
          <w:rStyle w:val="Egyiksem"/>
          <w:rFonts w:ascii="Times New Roman" w:eastAsia="Times New Roman" w:hAnsi="Times New Roman" w:cs="Times New Roman"/>
          <w:sz w:val="24"/>
          <w:szCs w:val="24"/>
        </w:rPr>
      </w:pPr>
      <w:r>
        <w:rPr>
          <w:rStyle w:val="Egyiksem"/>
          <w:rFonts w:ascii="Times New Roman" w:eastAsia="Times New Roman" w:hAnsi="Times New Roman" w:cs="Times New Roman"/>
          <w:sz w:val="24"/>
          <w:szCs w:val="24"/>
          <w:lang w:val="en-US"/>
        </w:rPr>
        <w:tab/>
        <w:t>In 2017, media reported that two church run hospitals in Budapest received large state funding on the condition that they will not perform abortions in the new obstetrics and gynaecology unit that will be established from the funding</w:t>
      </w:r>
      <w:r>
        <w:rPr>
          <w:rStyle w:val="Egyiksem"/>
          <w:rFonts w:ascii="Times New Roman" w:eastAsia="Times New Roman" w:hAnsi="Times New Roman" w:cs="Times New Roman"/>
          <w:sz w:val="24"/>
          <w:szCs w:val="24"/>
          <w:lang w:val="en-US"/>
        </w:rPr>
        <w:t>, based on the cooperation of the two hospitals.</w:t>
      </w:r>
      <w:r>
        <w:rPr>
          <w:rStyle w:val="Egyiksem"/>
          <w:rFonts w:ascii="Times New Roman" w:eastAsia="Times New Roman" w:hAnsi="Times New Roman" w:cs="Times New Roman"/>
          <w:sz w:val="24"/>
          <w:szCs w:val="24"/>
          <w:vertAlign w:val="superscript"/>
        </w:rPr>
        <w:footnoteReference w:id="36"/>
      </w:r>
      <w:r>
        <w:rPr>
          <w:rStyle w:val="Egyiksem"/>
          <w:rFonts w:ascii="Times New Roman" w:hAnsi="Times New Roman"/>
          <w:sz w:val="24"/>
          <w:szCs w:val="24"/>
          <w:lang w:val="en-US"/>
        </w:rPr>
        <w:t xml:space="preserve"> Another article also revealed that a training course promoted/announced by the Catholic Charity and funded by the Ministry of Human Capacities set the condition for attendance that the participant will not </w:t>
      </w:r>
      <w:r>
        <w:rPr>
          <w:rStyle w:val="Egyiksem"/>
          <w:rFonts w:ascii="Times New Roman" w:hAnsi="Times New Roman"/>
          <w:sz w:val="24"/>
          <w:szCs w:val="24"/>
          <w:lang w:val="en-US"/>
        </w:rPr>
        <w:t>use contraception pills and methods as well as artificial insemination at least until 31 December 2019.</w:t>
      </w:r>
      <w:r>
        <w:rPr>
          <w:rStyle w:val="Egyiksem"/>
          <w:rFonts w:ascii="Times New Roman" w:eastAsia="Times New Roman" w:hAnsi="Times New Roman" w:cs="Times New Roman"/>
          <w:sz w:val="24"/>
          <w:szCs w:val="24"/>
          <w:vertAlign w:val="superscript"/>
        </w:rPr>
        <w:footnoteReference w:id="37"/>
      </w:r>
      <w:r>
        <w:rPr>
          <w:rStyle w:val="Egyiksem"/>
          <w:rFonts w:ascii="Times New Roman" w:hAnsi="Times New Roman"/>
          <w:sz w:val="24"/>
          <w:szCs w:val="24"/>
        </w:rPr>
        <w:t xml:space="preserve">   </w:t>
      </w:r>
    </w:p>
    <w:p w:rsidR="006C12AC" w:rsidRDefault="001E6068">
      <w:pPr>
        <w:pStyle w:val="SzvegtrzsA"/>
        <w:tabs>
          <w:tab w:val="left" w:pos="284"/>
        </w:tabs>
        <w:spacing w:line="240" w:lineRule="auto"/>
        <w:jc w:val="both"/>
        <w:rPr>
          <w:rStyle w:val="Egyiksem"/>
          <w:rFonts w:ascii="Times New Roman" w:eastAsia="Times New Roman" w:hAnsi="Times New Roman" w:cs="Times New Roman"/>
          <w:sz w:val="24"/>
          <w:szCs w:val="24"/>
        </w:rPr>
      </w:pPr>
      <w:r>
        <w:rPr>
          <w:rStyle w:val="Egyiksem"/>
          <w:rFonts w:ascii="Times New Roman" w:eastAsia="Times New Roman" w:hAnsi="Times New Roman" w:cs="Times New Roman"/>
          <w:sz w:val="24"/>
          <w:szCs w:val="24"/>
          <w:lang w:val="en-US"/>
        </w:rPr>
        <w:tab/>
        <w:t>Though no public statement is available on measures taken to this effect, women also report that gaining access to emergency contraception is becom</w:t>
      </w:r>
      <w:r>
        <w:rPr>
          <w:rStyle w:val="Egyiksem"/>
          <w:rFonts w:ascii="Times New Roman" w:eastAsia="Times New Roman" w:hAnsi="Times New Roman" w:cs="Times New Roman"/>
          <w:sz w:val="24"/>
          <w:szCs w:val="24"/>
          <w:lang w:val="en-US"/>
        </w:rPr>
        <w:t>ing increasingly complicated: even less hospitals are allowed to prescribe it, and the prescription is not instantly available. Emergency contraception is also extremely expensive and there is no state support available.</w:t>
      </w:r>
    </w:p>
    <w:p w:rsidR="006C12AC" w:rsidRDefault="001E6068">
      <w:pPr>
        <w:pStyle w:val="SzvegtrzsA"/>
        <w:tabs>
          <w:tab w:val="left" w:pos="284"/>
        </w:tabs>
        <w:spacing w:line="240" w:lineRule="auto"/>
        <w:jc w:val="both"/>
        <w:rPr>
          <w:rStyle w:val="Egyiksem"/>
          <w:rFonts w:ascii="Times New Roman" w:eastAsia="Times New Roman" w:hAnsi="Times New Roman" w:cs="Times New Roman"/>
          <w:sz w:val="24"/>
          <w:szCs w:val="24"/>
        </w:rPr>
      </w:pPr>
      <w:r>
        <w:rPr>
          <w:rStyle w:val="Egyiksem"/>
          <w:rFonts w:ascii="Times New Roman" w:eastAsia="Times New Roman" w:hAnsi="Times New Roman" w:cs="Times New Roman"/>
          <w:sz w:val="24"/>
          <w:szCs w:val="24"/>
          <w:lang w:val="en-US"/>
        </w:rPr>
        <w:tab/>
        <w:t>Notwithstanding the declared aim o</w:t>
      </w:r>
      <w:r>
        <w:rPr>
          <w:rStyle w:val="Egyiksem"/>
          <w:rFonts w:ascii="Times New Roman" w:eastAsia="Times New Roman" w:hAnsi="Times New Roman" w:cs="Times New Roman"/>
          <w:sz w:val="24"/>
          <w:szCs w:val="24"/>
          <w:lang w:val="en-US"/>
        </w:rPr>
        <w:t>f making women mothers, the rates of obstetric violence during birthing is rampant, obstetric and gynecological training is outdated and does not prepare doctors for respecting women</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bodily autonomy, and there are no significant advancements to enabling </w:t>
      </w:r>
      <w:r>
        <w:rPr>
          <w:rStyle w:val="Egyiksem"/>
          <w:rFonts w:ascii="Times New Roman" w:hAnsi="Times New Roman"/>
          <w:sz w:val="24"/>
          <w:szCs w:val="24"/>
          <w:lang w:val="en-US"/>
        </w:rPr>
        <w:t>women</w:t>
      </w:r>
      <w:r>
        <w:rPr>
          <w:rStyle w:val="Egyiksem"/>
          <w:rFonts w:ascii="Times New Roman" w:hAnsi="Times New Roman"/>
          <w:sz w:val="24"/>
          <w:szCs w:val="24"/>
          <w:lang w:val="en-US"/>
        </w:rPr>
        <w:t>’</w:t>
      </w:r>
      <w:r>
        <w:rPr>
          <w:rStyle w:val="Egyiksem"/>
          <w:rFonts w:ascii="Times New Roman" w:hAnsi="Times New Roman"/>
          <w:sz w:val="24"/>
          <w:szCs w:val="24"/>
          <w:lang w:val="en-US"/>
        </w:rPr>
        <w:t>s exercise of autonomy in deciding about their birthing experience (e.g. choosing home birth or other, alternative treatment during birthing).</w:t>
      </w:r>
      <w:r>
        <w:rPr>
          <w:rStyle w:val="Egyiksem"/>
          <w:rFonts w:ascii="Times New Roman" w:eastAsia="Times New Roman" w:hAnsi="Times New Roman" w:cs="Times New Roman"/>
          <w:sz w:val="24"/>
          <w:szCs w:val="24"/>
          <w:vertAlign w:val="superscript"/>
        </w:rPr>
        <w:footnoteReference w:id="38"/>
      </w:r>
      <w:r>
        <w:rPr>
          <w:rStyle w:val="Egyiksem"/>
          <w:rFonts w:ascii="Times New Roman" w:hAnsi="Times New Roman"/>
          <w:sz w:val="24"/>
          <w:szCs w:val="24"/>
          <w:lang w:val="en-US"/>
        </w:rPr>
        <w:t xml:space="preserve"> There is also evidence of discrimination of Roma mothers.</w:t>
      </w:r>
      <w:r>
        <w:rPr>
          <w:rStyle w:val="Egyiksem"/>
          <w:rFonts w:ascii="Times New Roman" w:eastAsia="Times New Roman" w:hAnsi="Times New Roman" w:cs="Times New Roman"/>
          <w:sz w:val="24"/>
          <w:szCs w:val="24"/>
          <w:vertAlign w:val="superscript"/>
        </w:rPr>
        <w:footnoteReference w:id="39"/>
      </w:r>
      <w:r>
        <w:rPr>
          <w:rStyle w:val="Egyiksem"/>
          <w:rFonts w:ascii="Times New Roman" w:hAnsi="Times New Roman"/>
          <w:sz w:val="24"/>
          <w:szCs w:val="24"/>
        </w:rPr>
        <w:t xml:space="preserve"> </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October 2020 the Hungarian Government toge</w:t>
      </w:r>
      <w:r>
        <w:rPr>
          <w:rStyle w:val="Egyiksem"/>
          <w:rFonts w:ascii="Times New Roman" w:hAnsi="Times New Roman"/>
          <w:sz w:val="24"/>
          <w:szCs w:val="24"/>
          <w:lang w:val="en-US"/>
        </w:rPr>
        <w:t>ther with five others co-sponsored a virtual gathering for signing the Geneva Consensus Declaration On Promoting Women</w:t>
      </w:r>
      <w:r>
        <w:rPr>
          <w:rStyle w:val="Egyiksem"/>
          <w:rFonts w:ascii="Times New Roman" w:hAnsi="Times New Roman"/>
          <w:sz w:val="24"/>
          <w:szCs w:val="24"/>
          <w:lang w:val="en-US"/>
        </w:rPr>
        <w:t>’</w:t>
      </w:r>
      <w:r>
        <w:rPr>
          <w:rStyle w:val="Egyiksem"/>
          <w:rFonts w:ascii="Times New Roman" w:hAnsi="Times New Roman"/>
          <w:sz w:val="24"/>
          <w:szCs w:val="24"/>
          <w:lang w:val="en-US"/>
        </w:rPr>
        <w:t>s Health and Strengthening the Family. The declaration was signed by 32 countries first hand.</w:t>
      </w:r>
      <w:r>
        <w:rPr>
          <w:rStyle w:val="Egyiksem"/>
          <w:rFonts w:ascii="Times New Roman" w:eastAsia="Times New Roman" w:hAnsi="Times New Roman" w:cs="Times New Roman"/>
          <w:sz w:val="24"/>
          <w:szCs w:val="24"/>
          <w:vertAlign w:val="superscript"/>
        </w:rPr>
        <w:footnoteReference w:id="40"/>
      </w:r>
      <w:r>
        <w:rPr>
          <w:rStyle w:val="Egyiksem"/>
          <w:rFonts w:ascii="Times New Roman" w:hAnsi="Times New Roman"/>
          <w:sz w:val="24"/>
          <w:szCs w:val="24"/>
          <w:lang w:val="en-US"/>
        </w:rPr>
        <w:t xml:space="preserve"> The document stated that </w:t>
      </w:r>
      <w:r>
        <w:rPr>
          <w:rStyle w:val="Egyiksem"/>
          <w:rFonts w:ascii="Times New Roman" w:hAnsi="Times New Roman"/>
          <w:sz w:val="24"/>
          <w:szCs w:val="24"/>
          <w:lang w:val="en-US"/>
        </w:rPr>
        <w:t>“</w:t>
      </w:r>
      <w:r>
        <w:rPr>
          <w:rStyle w:val="Egyiksem"/>
          <w:rFonts w:ascii="Times New Roman" w:hAnsi="Times New Roman"/>
          <w:sz w:val="24"/>
          <w:szCs w:val="24"/>
          <w:lang w:val="en-US"/>
        </w:rPr>
        <w:t>there is no inte</w:t>
      </w:r>
      <w:r>
        <w:rPr>
          <w:rStyle w:val="Egyiksem"/>
          <w:rFonts w:ascii="Times New Roman" w:hAnsi="Times New Roman"/>
          <w:sz w:val="24"/>
          <w:szCs w:val="24"/>
          <w:lang w:val="en-US"/>
        </w:rPr>
        <w:t>rnational right to abortion, nor any international obligation on the part of States to finance or facilitate abortion, consistent with the long-standing international consensus that each nation has the sovereign right to implement programs and activities c</w:t>
      </w:r>
      <w:r>
        <w:rPr>
          <w:rStyle w:val="Egyiksem"/>
          <w:rFonts w:ascii="Times New Roman" w:hAnsi="Times New Roman"/>
          <w:sz w:val="24"/>
          <w:szCs w:val="24"/>
          <w:lang w:val="en-US"/>
        </w:rPr>
        <w:t>onsistent with their laws and policies</w:t>
      </w:r>
      <w:r>
        <w:rPr>
          <w:rStyle w:val="Egyiksem"/>
          <w:rFonts w:ascii="Times New Roman" w:hAnsi="Times New Roman"/>
          <w:sz w:val="24"/>
          <w:szCs w:val="24"/>
          <w:lang w:val="en-US"/>
        </w:rPr>
        <w:t>”</w:t>
      </w:r>
      <w:r>
        <w:rPr>
          <w:rStyle w:val="Egyiksem"/>
          <w:rFonts w:ascii="Times New Roman" w:hAnsi="Times New Roman"/>
          <w:sz w:val="24"/>
          <w:szCs w:val="24"/>
        </w:rPr>
        <w:t>.</w:t>
      </w:r>
      <w:r>
        <w:rPr>
          <w:rStyle w:val="Egyiksem"/>
          <w:rFonts w:ascii="Times New Roman" w:eastAsia="Times New Roman" w:hAnsi="Times New Roman" w:cs="Times New Roman"/>
          <w:sz w:val="24"/>
          <w:szCs w:val="24"/>
          <w:vertAlign w:val="superscript"/>
        </w:rPr>
        <w:footnoteReference w:id="41"/>
      </w:r>
      <w:r>
        <w:rPr>
          <w:rStyle w:val="Egyiksem"/>
          <w:rFonts w:ascii="Times New Roman" w:hAnsi="Times New Roman"/>
          <w:sz w:val="24"/>
          <w:szCs w:val="24"/>
          <w:lang w:val="en-US"/>
        </w:rPr>
        <w:t xml:space="preserve"> The signature raises questions whether the government plans to introduce restrictions on abortion. </w:t>
      </w: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Hungary has hosted three so-called Demographic Summits to date, where politicians gathered to share strategies on </w:t>
      </w:r>
      <w:r>
        <w:rPr>
          <w:rStyle w:val="Egyiksem"/>
          <w:rFonts w:ascii="Times New Roman" w:hAnsi="Times New Roman"/>
          <w:sz w:val="24"/>
          <w:szCs w:val="24"/>
          <w:lang w:val="en-US"/>
        </w:rPr>
        <w:t xml:space="preserve">raising birth rates in response to decreasing and aging populations. </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steps have been taken by the State to improve the quality of and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 xml:space="preserve">s access to sexual and reproductive health services, including those related to </w:t>
      </w:r>
      <w:r>
        <w:rPr>
          <w:rStyle w:val="Egyiksem"/>
          <w:rFonts w:ascii="Times New Roman" w:hAnsi="Times New Roman"/>
          <w:i/>
          <w:iCs/>
          <w:sz w:val="24"/>
          <w:szCs w:val="24"/>
          <w:lang w:val="en-US"/>
        </w:rPr>
        <w:t>birthing, especially for women belonging to disadvantaged groups?</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Has there been any legislative measures in place or planned to restrict regulation on abortion and contraceptives? Are there any other measures in place or planned hindering access to aborti</w:t>
      </w:r>
      <w:r>
        <w:rPr>
          <w:rStyle w:val="Egyiksem"/>
          <w:rFonts w:ascii="Times New Roman" w:hAnsi="Times New Roman"/>
          <w:i/>
          <w:iCs/>
          <w:sz w:val="24"/>
          <w:szCs w:val="24"/>
          <w:lang w:val="en-US"/>
        </w:rPr>
        <w:t xml:space="preserve">on and contraceptives? </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 of measures are in place or planned to provide adequate access to affordable contraceptives, including emergency contraception, available to all women (e.g. by providing state subsidy)?</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Has there been any steps taken to en</w:t>
      </w:r>
      <w:r>
        <w:rPr>
          <w:rStyle w:val="Egyiksem"/>
          <w:rFonts w:ascii="Times New Roman" w:hAnsi="Times New Roman"/>
          <w:i/>
          <w:iCs/>
          <w:sz w:val="24"/>
          <w:szCs w:val="24"/>
          <w:lang w:val="en-US"/>
        </w:rPr>
        <w:t>sure that in case of abortion women are not subjected to mandatory counselling and a medically unnecessary waiting period?</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What kind of measures are in place or planned to provide adequate and respectful care during birthing (e.g. respecting women</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s bodily</w:t>
      </w:r>
      <w:r>
        <w:rPr>
          <w:rStyle w:val="Egyiksem"/>
          <w:rFonts w:ascii="Times New Roman" w:hAnsi="Times New Roman"/>
          <w:i/>
          <w:iCs/>
          <w:sz w:val="24"/>
          <w:szCs w:val="24"/>
          <w:lang w:val="en-US"/>
        </w:rPr>
        <w:t xml:space="preserve"> autonomy, avoiding unnecessary medical intervention (e.g. episiotomies), the provision of the </w:t>
      </w:r>
      <w:r>
        <w:rPr>
          <w:rStyle w:val="Egyiksem"/>
          <w:rFonts w:ascii="Times New Roman" w:hAnsi="Times New Roman"/>
          <w:i/>
          <w:iCs/>
          <w:sz w:val="24"/>
          <w:szCs w:val="24"/>
          <w:lang w:val="en-US"/>
        </w:rPr>
        <w:t>‘</w:t>
      </w:r>
      <w:r>
        <w:rPr>
          <w:rStyle w:val="Egyiksem"/>
          <w:rFonts w:ascii="Times New Roman" w:hAnsi="Times New Roman"/>
          <w:i/>
          <w:iCs/>
          <w:sz w:val="24"/>
          <w:szCs w:val="24"/>
          <w:lang w:val="en-US"/>
        </w:rPr>
        <w:t>golden hour</w:t>
      </w:r>
      <w:r>
        <w:rPr>
          <w:rStyle w:val="Egyiksem"/>
          <w:rFonts w:ascii="Times New Roman" w:hAnsi="Times New Roman"/>
          <w:i/>
          <w:iCs/>
          <w:sz w:val="24"/>
          <w:szCs w:val="24"/>
          <w:lang w:val="en-US"/>
        </w:rPr>
        <w:t xml:space="preserve">’ </w:t>
      </w:r>
      <w:r>
        <w:rPr>
          <w:rStyle w:val="Egyiksem"/>
          <w:rFonts w:ascii="Times New Roman" w:hAnsi="Times New Roman"/>
          <w:i/>
          <w:iCs/>
          <w:sz w:val="24"/>
          <w:szCs w:val="24"/>
          <w:lang w:val="en-US"/>
        </w:rPr>
        <w:t>between mother and child)?</w:t>
      </w:r>
    </w:p>
    <w:p w:rsidR="006C12AC" w:rsidRDefault="001E6068">
      <w:pPr>
        <w:pStyle w:val="SzvegtrzsA"/>
        <w:numPr>
          <w:ilvl w:val="0"/>
          <w:numId w:val="16"/>
        </w:numPr>
        <w:spacing w:line="240" w:lineRule="auto"/>
        <w:rPr>
          <w:rFonts w:ascii="Times New Roman" w:hAnsi="Times New Roman"/>
          <w:i/>
          <w:iCs/>
          <w:sz w:val="24"/>
          <w:szCs w:val="24"/>
          <w:lang w:val="en-US"/>
        </w:rPr>
      </w:pPr>
      <w:r>
        <w:rPr>
          <w:rStyle w:val="Egyiksem"/>
          <w:rFonts w:ascii="Times New Roman" w:hAnsi="Times New Roman"/>
          <w:i/>
          <w:iCs/>
          <w:sz w:val="24"/>
          <w:szCs w:val="24"/>
          <w:lang w:val="en-US"/>
        </w:rPr>
        <w:t>Please provide information on how comprehensive education on sexual and reproductive health and rights is included in sc</w:t>
      </w:r>
      <w:r>
        <w:rPr>
          <w:rStyle w:val="Egyiksem"/>
          <w:rFonts w:ascii="Times New Roman" w:hAnsi="Times New Roman"/>
          <w:i/>
          <w:iCs/>
          <w:sz w:val="24"/>
          <w:szCs w:val="24"/>
          <w:lang w:val="en-US"/>
        </w:rPr>
        <w:t>hool curricula. What kind of training is provided for teachers to address this topic?</w:t>
      </w:r>
      <w:r>
        <w:rPr>
          <w:rStyle w:val="Egyiksem"/>
          <w:rFonts w:ascii="Times New Roman" w:eastAsia="Times New Roman" w:hAnsi="Times New Roman" w:cs="Times New Roman"/>
          <w:i/>
          <w:iCs/>
          <w:sz w:val="24"/>
          <w:szCs w:val="24"/>
          <w:vertAlign w:val="superscript"/>
        </w:rPr>
        <w:footnoteReference w:id="42"/>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rPr>
          <w:rStyle w:val="Egyiksem"/>
          <w:rFonts w:ascii="Times New Roman" w:eastAsia="Times New Roman" w:hAnsi="Times New Roman" w:cs="Times New Roman"/>
          <w:b/>
          <w:bCs/>
          <w:sz w:val="24"/>
          <w:szCs w:val="24"/>
        </w:rPr>
      </w:pPr>
      <w:r>
        <w:rPr>
          <w:rStyle w:val="Egyiksem"/>
          <w:rFonts w:ascii="Times New Roman" w:hAnsi="Times New Roman"/>
          <w:b/>
          <w:bCs/>
          <w:sz w:val="24"/>
          <w:szCs w:val="24"/>
          <w:lang w:val="en-US"/>
        </w:rPr>
        <w:t>Article 16 - Elimination of discrimination against women in marriage and family relations</w:t>
      </w:r>
    </w:p>
    <w:p w:rsidR="006C12AC" w:rsidRDefault="006C12AC">
      <w:pPr>
        <w:pStyle w:val="SzvegtrzsA"/>
        <w:spacing w:line="240" w:lineRule="auto"/>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In 2020, the regulation for adoption was restricted significantly. From one </w:t>
      </w:r>
      <w:r>
        <w:rPr>
          <w:rStyle w:val="Egyiksem"/>
          <w:rFonts w:ascii="Times New Roman" w:hAnsi="Times New Roman"/>
          <w:sz w:val="24"/>
          <w:szCs w:val="24"/>
          <w:lang w:val="en-US"/>
        </w:rPr>
        <w:t xml:space="preserve">hand, in opposition to the previous regulation, now priority is given to married couples. In case no married couples can be found in the scope of its territory, then in the whole country, the relevant authority may consider adoption by single persons, but </w:t>
      </w:r>
      <w:r>
        <w:rPr>
          <w:rStyle w:val="Egyiksem"/>
          <w:rFonts w:ascii="Times New Roman" w:hAnsi="Times New Roman"/>
          <w:sz w:val="24"/>
          <w:szCs w:val="24"/>
          <w:lang w:val="en-US"/>
        </w:rPr>
        <w:t xml:space="preserve">only if it is </w:t>
      </w:r>
      <w:r>
        <w:rPr>
          <w:rStyle w:val="Egyiksem"/>
          <w:rFonts w:ascii="Times New Roman" w:hAnsi="Times New Roman"/>
          <w:sz w:val="24"/>
          <w:szCs w:val="24"/>
          <w:lang w:val="en-US"/>
        </w:rPr>
        <w:t>“</w:t>
      </w:r>
      <w:r>
        <w:rPr>
          <w:rStyle w:val="Egyiksem"/>
          <w:rFonts w:ascii="Times New Roman" w:hAnsi="Times New Roman"/>
          <w:sz w:val="24"/>
          <w:szCs w:val="24"/>
          <w:lang w:val="en-US"/>
        </w:rPr>
        <w:t>in the interest of the child</w:t>
      </w:r>
      <w:r>
        <w:rPr>
          <w:rStyle w:val="Egyiksem"/>
          <w:rFonts w:ascii="Times New Roman" w:hAnsi="Times New Roman"/>
          <w:sz w:val="24"/>
          <w:szCs w:val="24"/>
          <w:lang w:val="en-US"/>
        </w:rPr>
        <w:t>”</w:t>
      </w:r>
      <w:r>
        <w:rPr>
          <w:rStyle w:val="Egyiksem"/>
          <w:rFonts w:ascii="Times New Roman" w:hAnsi="Times New Roman"/>
          <w:sz w:val="24"/>
          <w:szCs w:val="24"/>
        </w:rPr>
        <w:t>.</w:t>
      </w:r>
      <w:r>
        <w:rPr>
          <w:rStyle w:val="Egyiksem"/>
          <w:rFonts w:ascii="Times New Roman" w:eastAsia="Times New Roman" w:hAnsi="Times New Roman" w:cs="Times New Roman"/>
          <w:sz w:val="24"/>
          <w:szCs w:val="24"/>
          <w:vertAlign w:val="superscript"/>
        </w:rPr>
        <w:footnoteReference w:id="43"/>
      </w:r>
      <w:r>
        <w:rPr>
          <w:rStyle w:val="Egyiksem"/>
          <w:rFonts w:ascii="Times New Roman" w:hAnsi="Times New Roman"/>
          <w:sz w:val="24"/>
          <w:szCs w:val="24"/>
        </w:rPr>
        <w:t xml:space="preserve"> </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addition, the Civil Code was modified in December 2020 (entering into force 1 March 2021), to further restrict the rules for adoption for non-married persons. As a main rule, a child can be adopted only by</w:t>
      </w:r>
      <w:r>
        <w:rPr>
          <w:rStyle w:val="Egyiksem"/>
          <w:rFonts w:ascii="Times New Roman" w:hAnsi="Times New Roman"/>
          <w:sz w:val="24"/>
          <w:szCs w:val="24"/>
          <w:lang w:val="en-US"/>
        </w:rPr>
        <w:t xml:space="preserve"> spouses. Exceptions to this rule is when relatives and the parent</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s spouses will adopt; in addition in exceptional cases, with special equitable circumstances </w:t>
      </w:r>
      <w:r>
        <w:rPr>
          <w:rStyle w:val="Egyiksem"/>
          <w:rFonts w:ascii="Times New Roman" w:hAnsi="Times New Roman"/>
          <w:sz w:val="24"/>
          <w:szCs w:val="24"/>
          <w:lang w:val="en-US"/>
        </w:rPr>
        <w:t xml:space="preserve">– </w:t>
      </w:r>
      <w:r>
        <w:rPr>
          <w:rStyle w:val="Egyiksem"/>
          <w:rFonts w:ascii="Times New Roman" w:hAnsi="Times New Roman"/>
          <w:sz w:val="24"/>
          <w:szCs w:val="24"/>
          <w:lang w:val="en-US"/>
        </w:rPr>
        <w:t>eligibility of single persons for adoption can be established.</w:t>
      </w:r>
      <w:r>
        <w:rPr>
          <w:rStyle w:val="Egyiksem"/>
          <w:rFonts w:ascii="Times New Roman" w:eastAsia="Times New Roman" w:hAnsi="Times New Roman" w:cs="Times New Roman"/>
          <w:sz w:val="24"/>
          <w:szCs w:val="24"/>
          <w:vertAlign w:val="superscript"/>
        </w:rPr>
        <w:footnoteReference w:id="44"/>
      </w:r>
      <w:r>
        <w:rPr>
          <w:rStyle w:val="Egyiksem"/>
          <w:rFonts w:ascii="Times New Roman" w:hAnsi="Times New Roman"/>
          <w:sz w:val="24"/>
          <w:szCs w:val="24"/>
          <w:lang w:val="en-US"/>
        </w:rPr>
        <w:t xml:space="preserve"> In these cases the minister re</w:t>
      </w:r>
      <w:r>
        <w:rPr>
          <w:rStyle w:val="Egyiksem"/>
          <w:rFonts w:ascii="Times New Roman" w:hAnsi="Times New Roman"/>
          <w:sz w:val="24"/>
          <w:szCs w:val="24"/>
          <w:lang w:val="en-US"/>
        </w:rPr>
        <w:t>sponsible for families will personally give such permission. These new regulations negatively affect single women as well as women living in intimate partnership other than marriage who intend to adopt a child.</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The government introduced several measures in family policy with the aim of incentivising marriage, joint loans tying spouses together, and of encouraging decision to have children. The related package is called the Family Protection Action Plan. In this f</w:t>
      </w:r>
      <w:r>
        <w:rPr>
          <w:rStyle w:val="Egyiksem"/>
          <w:rFonts w:ascii="Times New Roman" w:hAnsi="Times New Roman"/>
          <w:sz w:val="24"/>
          <w:szCs w:val="24"/>
          <w:lang w:val="en-US"/>
        </w:rPr>
        <w:t xml:space="preserve">ramework, in 2019, a seven-point program was announced, as </w:t>
      </w:r>
      <w:r>
        <w:rPr>
          <w:rStyle w:val="Egyiksem"/>
          <w:rFonts w:ascii="Times New Roman" w:hAnsi="Times New Roman"/>
          <w:sz w:val="24"/>
          <w:szCs w:val="24"/>
          <w:lang w:val="en-US"/>
        </w:rPr>
        <w:t>“</w:t>
      </w:r>
      <w:r>
        <w:rPr>
          <w:rStyle w:val="Egyiksem"/>
          <w:rFonts w:ascii="Times New Roman" w:hAnsi="Times New Roman"/>
          <w:sz w:val="24"/>
          <w:szCs w:val="24"/>
        </w:rPr>
        <w:t>Hungary</w:t>
      </w:r>
      <w:r>
        <w:rPr>
          <w:rStyle w:val="Egyiksem"/>
          <w:rFonts w:ascii="Times New Roman" w:hAnsi="Times New Roman"/>
          <w:sz w:val="24"/>
          <w:szCs w:val="24"/>
          <w:lang w:val="en-US"/>
        </w:rPr>
        <w:t>’</w:t>
      </w:r>
      <w:r>
        <w:rPr>
          <w:rStyle w:val="Egyiksem"/>
          <w:rFonts w:ascii="Times New Roman" w:hAnsi="Times New Roman"/>
          <w:sz w:val="24"/>
          <w:szCs w:val="24"/>
          <w:lang w:val="en-US"/>
        </w:rPr>
        <w:t>s response to demographic decline</w:t>
      </w:r>
      <w:r>
        <w:rPr>
          <w:rStyle w:val="Egyiksem"/>
          <w:rFonts w:ascii="Times New Roman" w:hAnsi="Times New Roman"/>
          <w:sz w:val="24"/>
          <w:szCs w:val="24"/>
          <w:lang w:val="en-US"/>
        </w:rPr>
        <w:t>”</w:t>
      </w:r>
      <w:r>
        <w:rPr>
          <w:rStyle w:val="Egyiksem"/>
          <w:rFonts w:ascii="Times New Roman" w:hAnsi="Times New Roman"/>
          <w:sz w:val="24"/>
          <w:szCs w:val="24"/>
          <w:lang w:val="en-US"/>
        </w:rPr>
        <w:t xml:space="preserve">, that contained the following measures: </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preferential loan to women under 40 for their first marriage;</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extension of loan program supporting home purchase</w:t>
      </w:r>
      <w:r>
        <w:rPr>
          <w:rStyle w:val="Egyiksem"/>
          <w:rFonts w:ascii="Times New Roman" w:hAnsi="Times New Roman"/>
          <w:sz w:val="24"/>
          <w:szCs w:val="24"/>
          <w:lang w:val="en-US"/>
        </w:rPr>
        <w:t xml:space="preserve"> (CSOK) - allowing purchase of resale homes;</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car purchase subsidy for large families;</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loan repayment up to 1 million forints of the mortgage loan for families with two or more children;</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a lifetime exemption from personal income tax for women raising at lea</w:t>
      </w:r>
      <w:r>
        <w:rPr>
          <w:rStyle w:val="Egyiksem"/>
          <w:rFonts w:ascii="Times New Roman" w:hAnsi="Times New Roman"/>
          <w:sz w:val="24"/>
          <w:szCs w:val="24"/>
          <w:lang w:val="en-US"/>
        </w:rPr>
        <w:t xml:space="preserve">st four children; </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pledged (but thus far, unrealised) establishment of 21,000 new cr</w:t>
      </w:r>
      <w:r>
        <w:rPr>
          <w:rStyle w:val="Egyiksem"/>
          <w:rFonts w:ascii="Times New Roman" w:hAnsi="Times New Roman"/>
          <w:sz w:val="24"/>
          <w:szCs w:val="24"/>
          <w:lang w:val="en-US"/>
        </w:rPr>
        <w:t>è</w:t>
      </w:r>
      <w:r>
        <w:rPr>
          <w:rStyle w:val="Egyiksem"/>
          <w:rFonts w:ascii="Times New Roman" w:hAnsi="Times New Roman"/>
          <w:sz w:val="24"/>
          <w:szCs w:val="24"/>
          <w:lang w:val="en-US"/>
        </w:rPr>
        <w:t>ches places over three years;</w:t>
      </w:r>
    </w:p>
    <w:p w:rsidR="006C12AC" w:rsidRDefault="001E6068">
      <w:pPr>
        <w:pStyle w:val="SzvegtrzsA"/>
        <w:numPr>
          <w:ilvl w:val="0"/>
          <w:numId w:val="18"/>
        </w:numPr>
        <w:spacing w:line="240" w:lineRule="auto"/>
        <w:jc w:val="both"/>
        <w:rPr>
          <w:rFonts w:ascii="Times New Roman" w:hAnsi="Times New Roman"/>
          <w:sz w:val="24"/>
          <w:szCs w:val="24"/>
          <w:lang w:val="en-US"/>
        </w:rPr>
      </w:pPr>
      <w:r>
        <w:rPr>
          <w:rStyle w:val="Egyiksem"/>
          <w:rFonts w:ascii="Times New Roman" w:hAnsi="Times New Roman"/>
          <w:sz w:val="24"/>
          <w:szCs w:val="24"/>
          <w:lang w:val="en-US"/>
        </w:rPr>
        <w:t>subsidized parental leave for grandparents looking after young children.</w:t>
      </w:r>
      <w:r>
        <w:rPr>
          <w:rStyle w:val="Egyiksem"/>
          <w:rFonts w:ascii="Times New Roman" w:eastAsia="Times New Roman" w:hAnsi="Times New Roman" w:cs="Times New Roman"/>
          <w:sz w:val="24"/>
          <w:szCs w:val="24"/>
          <w:vertAlign w:val="superscript"/>
        </w:rPr>
        <w:footnoteReference w:id="45"/>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In 2020, further measures were announced, that reduced VAT for pur</w:t>
      </w:r>
      <w:r>
        <w:rPr>
          <w:rStyle w:val="Egyiksem"/>
          <w:rFonts w:ascii="Times New Roman" w:hAnsi="Times New Roman"/>
          <w:sz w:val="24"/>
          <w:szCs w:val="24"/>
          <w:lang w:val="en-US"/>
        </w:rPr>
        <w:t>chasing new homes, and provide levy exemption for CSOK-based home purchase.</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General critical assessment of this set of measures that it primarily supports families with higher incomes and higher societal status. In contrast: the amount of the universally a</w:t>
      </w:r>
      <w:r>
        <w:rPr>
          <w:rStyle w:val="Egyiksem"/>
          <w:rFonts w:ascii="Times New Roman" w:hAnsi="Times New Roman"/>
          <w:sz w:val="24"/>
          <w:szCs w:val="24"/>
          <w:lang w:val="en-US"/>
        </w:rPr>
        <w:t>vailable family allowance (benefits) - that is 12,200 Hungarian Forint (cca. 34 Euros) in a basic case for one child - has not changed since the year of 2009. This is not remotely enough for even 1 week of covering basic costs for a child.</w:t>
      </w:r>
    </w:p>
    <w:p w:rsidR="006C12AC" w:rsidRDefault="001E6068">
      <w:pPr>
        <w:pStyle w:val="SzvegtrzsA"/>
        <w:spacing w:line="240" w:lineRule="auto"/>
        <w:ind w:firstLine="720"/>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 xml:space="preserve">There is also a </w:t>
      </w:r>
      <w:r>
        <w:rPr>
          <w:rStyle w:val="Egyiksem"/>
          <w:rFonts w:ascii="Times New Roman" w:hAnsi="Times New Roman"/>
          <w:sz w:val="24"/>
          <w:szCs w:val="24"/>
          <w:lang w:val="en-US"/>
        </w:rPr>
        <w:t>specific point of concern in the Family Protection Action Plan package for women victims of intimate partner violence: in the lack of specific risk assessment and risk-mitigating measures taking violence into account. Resorting to these loans often force w</w:t>
      </w:r>
      <w:r>
        <w:rPr>
          <w:rStyle w:val="Egyiksem"/>
          <w:rFonts w:ascii="Times New Roman" w:hAnsi="Times New Roman"/>
          <w:sz w:val="24"/>
          <w:szCs w:val="24"/>
          <w:lang w:val="en-US"/>
        </w:rPr>
        <w:t xml:space="preserve">omen to stay in such relationships due to the possible negative consequences of not meeting the conditions later on. This constitutes significant concern in and of itself, but considering the fact that measures for economic empowerment of women victims of </w:t>
      </w:r>
      <w:r>
        <w:rPr>
          <w:rStyle w:val="Egyiksem"/>
          <w:rFonts w:ascii="Times New Roman" w:hAnsi="Times New Roman"/>
          <w:sz w:val="24"/>
          <w:szCs w:val="24"/>
          <w:lang w:val="en-US"/>
        </w:rPr>
        <w:t>domestic violence are missing in general, and considering the detrimental economic effect of any divorce on women, let alone on in the context of abuse, it is even more serious. Single female-headed households with one or more children are severely financi</w:t>
      </w:r>
      <w:r>
        <w:rPr>
          <w:rStyle w:val="Egyiksem"/>
          <w:rFonts w:ascii="Times New Roman" w:hAnsi="Times New Roman"/>
          <w:sz w:val="24"/>
          <w:szCs w:val="24"/>
          <w:lang w:val="en-US"/>
        </w:rPr>
        <w:t xml:space="preserve">ally disadvantaged in Hungary, and no measures have been taken to support such families (indeed, the state considers only a mother, a father and a child/children to constitute a family). </w:t>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sz w:val="24"/>
          <w:szCs w:val="24"/>
        </w:rPr>
      </w:pPr>
      <w:r>
        <w:rPr>
          <w:rStyle w:val="Egyiksem"/>
          <w:rFonts w:ascii="Times New Roman" w:hAnsi="Times New Roman"/>
          <w:sz w:val="24"/>
          <w:szCs w:val="24"/>
          <w:lang w:val="en-US"/>
        </w:rPr>
        <w:t>According to the law, a child who has reached 16 years of age can g</w:t>
      </w:r>
      <w:r>
        <w:rPr>
          <w:rStyle w:val="Egyiksem"/>
          <w:rFonts w:ascii="Times New Roman" w:hAnsi="Times New Roman"/>
          <w:sz w:val="24"/>
          <w:szCs w:val="24"/>
          <w:lang w:val="en-US"/>
        </w:rPr>
        <w:t>et married with the permission of the guardianship authority.</w:t>
      </w:r>
      <w:r>
        <w:rPr>
          <w:rStyle w:val="Egyiksem"/>
          <w:rFonts w:ascii="Times New Roman" w:eastAsia="Times New Roman" w:hAnsi="Times New Roman" w:cs="Times New Roman"/>
          <w:sz w:val="24"/>
          <w:szCs w:val="24"/>
          <w:vertAlign w:val="superscript"/>
        </w:rPr>
        <w:footnoteReference w:id="46"/>
      </w: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6C12AC">
      <w:pPr>
        <w:pStyle w:val="SzvegtrzsA"/>
        <w:spacing w:line="240" w:lineRule="auto"/>
        <w:jc w:val="both"/>
        <w:rPr>
          <w:rStyle w:val="Egyiksem"/>
          <w:rFonts w:ascii="Times New Roman" w:eastAsia="Times New Roman" w:hAnsi="Times New Roman" w:cs="Times New Roman"/>
          <w:sz w:val="24"/>
          <w:szCs w:val="24"/>
        </w:rPr>
      </w:pPr>
    </w:p>
    <w:p w:rsidR="006C12AC" w:rsidRDefault="001E6068">
      <w:pPr>
        <w:pStyle w:val="SzvegtrzsA"/>
        <w:spacing w:line="240" w:lineRule="auto"/>
        <w:jc w:val="both"/>
        <w:rPr>
          <w:rStyle w:val="Egyiksem"/>
          <w:rFonts w:ascii="Times New Roman" w:eastAsia="Times New Roman" w:hAnsi="Times New Roman" w:cs="Times New Roman"/>
          <w:i/>
          <w:iCs/>
          <w:sz w:val="24"/>
          <w:szCs w:val="24"/>
        </w:rPr>
      </w:pPr>
      <w:r>
        <w:rPr>
          <w:rStyle w:val="Egyiksem"/>
          <w:rFonts w:ascii="Times New Roman" w:hAnsi="Times New Roman"/>
          <w:i/>
          <w:iCs/>
          <w:sz w:val="24"/>
          <w:szCs w:val="24"/>
          <w:lang w:val="en-US"/>
        </w:rPr>
        <w:t>Suggested questions:</w:t>
      </w:r>
    </w:p>
    <w:p w:rsidR="006C12AC" w:rsidRDefault="001E6068">
      <w:pPr>
        <w:pStyle w:val="SzvegtrzsA"/>
        <w:numPr>
          <w:ilvl w:val="0"/>
          <w:numId w:val="20"/>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 xml:space="preserve">What kind of support framework and measures are available for families - including women with lower income and societal status? What kind of measures and programs are </w:t>
      </w:r>
      <w:r>
        <w:rPr>
          <w:rStyle w:val="Egyiksem"/>
          <w:rFonts w:ascii="Times New Roman" w:hAnsi="Times New Roman"/>
          <w:i/>
          <w:iCs/>
          <w:sz w:val="24"/>
          <w:szCs w:val="24"/>
          <w:lang w:val="en-US"/>
        </w:rPr>
        <w:t>available to improve the situation of women living in poverty?</w:t>
      </w:r>
    </w:p>
    <w:p w:rsidR="006C12AC" w:rsidRDefault="001E6068">
      <w:pPr>
        <w:pStyle w:val="SzvegtrzsA"/>
        <w:numPr>
          <w:ilvl w:val="0"/>
          <w:numId w:val="20"/>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What steps are planned to improve the lives of children living with single mothers, and of unmarried/divorced mothers?</w:t>
      </w:r>
    </w:p>
    <w:p w:rsidR="006C12AC" w:rsidRDefault="001E6068">
      <w:pPr>
        <w:pStyle w:val="SzvegtrzsA"/>
        <w:numPr>
          <w:ilvl w:val="0"/>
          <w:numId w:val="20"/>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Are there any measures in place to manage any risks for women victims of d</w:t>
      </w:r>
      <w:r>
        <w:rPr>
          <w:rStyle w:val="Egyiksem"/>
          <w:rFonts w:ascii="Times New Roman" w:hAnsi="Times New Roman"/>
          <w:i/>
          <w:iCs/>
          <w:sz w:val="24"/>
          <w:szCs w:val="24"/>
          <w:lang w:val="en-US"/>
        </w:rPr>
        <w:t>omestic violence that prevents them from leaving an abusive relationship due to making use of measures provided in the Family Protection Action Plan?</w:t>
      </w:r>
    </w:p>
    <w:p w:rsidR="006C12AC" w:rsidRDefault="001E6068">
      <w:pPr>
        <w:pStyle w:val="SzvegtrzsA"/>
        <w:numPr>
          <w:ilvl w:val="0"/>
          <w:numId w:val="20"/>
        </w:numPr>
        <w:spacing w:line="240" w:lineRule="auto"/>
        <w:jc w:val="both"/>
        <w:rPr>
          <w:rFonts w:ascii="Times New Roman" w:hAnsi="Times New Roman"/>
          <w:i/>
          <w:iCs/>
          <w:sz w:val="24"/>
          <w:szCs w:val="24"/>
          <w:lang w:val="en-US"/>
        </w:rPr>
      </w:pPr>
      <w:r>
        <w:rPr>
          <w:rStyle w:val="Egyiksem"/>
          <w:rFonts w:ascii="Times New Roman" w:hAnsi="Times New Roman"/>
          <w:i/>
          <w:iCs/>
          <w:sz w:val="24"/>
          <w:szCs w:val="24"/>
          <w:lang w:val="en-US"/>
        </w:rPr>
        <w:t>Does the State party plan to increase the legal age of marriage to 18 years?</w:t>
      </w:r>
    </w:p>
    <w:sectPr w:rsidR="006C12AC">
      <w:foot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E6068">
      <w:r>
        <w:separator/>
      </w:r>
    </w:p>
  </w:endnote>
  <w:endnote w:type="continuationSeparator" w:id="0">
    <w:p w:rsidR="00000000" w:rsidRDefault="001E6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2AC" w:rsidRDefault="001E6068">
    <w:pPr>
      <w:pStyle w:val="SzvegtrzsA"/>
      <w:jc w:val="center"/>
    </w:pPr>
    <w:r>
      <w:rPr>
        <w:rStyle w:val="EgyiksemA"/>
      </w:rPr>
      <w:fldChar w:fldCharType="begin"/>
    </w:r>
    <w:r>
      <w:rPr>
        <w:rStyle w:val="EgyiksemA"/>
      </w:rPr>
      <w:instrText xml:space="preserve"> PAGE </w:instrText>
    </w:r>
    <w:r>
      <w:rPr>
        <w:rStyle w:val="EgyiksemA"/>
      </w:rPr>
      <w:fldChar w:fldCharType="separate"/>
    </w:r>
    <w:r>
      <w:rPr>
        <w:rStyle w:val="EgyiksemA"/>
        <w:noProof/>
      </w:rPr>
      <w:t>2</w:t>
    </w:r>
    <w:r>
      <w:rPr>
        <w:rStyle w:val="Egyikse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2AC" w:rsidRDefault="001E6068">
      <w:r>
        <w:separator/>
      </w:r>
    </w:p>
  </w:footnote>
  <w:footnote w:type="continuationSeparator" w:id="0">
    <w:p w:rsidR="006C12AC" w:rsidRDefault="001E6068">
      <w:r>
        <w:continuationSeparator/>
      </w:r>
    </w:p>
  </w:footnote>
  <w:footnote w:type="continuationNotice" w:id="1">
    <w:p w:rsidR="006C12AC" w:rsidRDefault="006C12AC"/>
  </w:footnote>
  <w:footnote w:id="2">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Ninth periodic report submitted by Hungary under article 18 of the Convention, due in 2017</w:t>
      </w:r>
    </w:p>
  </w:footnote>
  <w:footnote w:id="3">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Government Decree No. 94/2018. (V. 22.), 143/B.-C. </w:t>
      </w:r>
      <w:r>
        <w:rPr>
          <w:rStyle w:val="Egyiksem"/>
          <w:rFonts w:ascii="Times New Roman" w:hAnsi="Times New Roman"/>
          <w:sz w:val="20"/>
          <w:szCs w:val="20"/>
          <w:lang w:val="en-US"/>
        </w:rPr>
        <w:t xml:space="preserve">§ </w:t>
      </w:r>
      <w:r>
        <w:rPr>
          <w:rStyle w:val="Egyiksem"/>
          <w:rFonts w:ascii="Times New Roman" w:hAnsi="Times New Roman"/>
          <w:sz w:val="20"/>
          <w:szCs w:val="20"/>
          <w:lang w:val="en-US"/>
        </w:rPr>
        <w:t xml:space="preserve">Available in Hungarian at: </w:t>
      </w:r>
      <w:hyperlink r:id="rId1" w:history="1">
        <w:r>
          <w:rPr>
            <w:rStyle w:val="Hyperlink0"/>
            <w:rFonts w:eastAsia="Arial Unicode MS"/>
          </w:rPr>
          <w:t>http://njt.hu/cgi_bin/njt_doc.cgi?docid=208417.391857</w:t>
        </w:r>
      </w:hyperlink>
    </w:p>
  </w:footnote>
  <w:footnote w:id="4">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it-IT"/>
        </w:rPr>
        <w:t xml:space="preserve"> EMMI ordinance No. 16/2018. (VII. 26.) </w:t>
      </w:r>
    </w:p>
  </w:footnote>
  <w:footnote w:id="5">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Act No. CXXVII. of 2020</w:t>
      </w:r>
    </w:p>
  </w:footnote>
  <w:footnote w:id="6">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2" w:history="1">
        <w:r>
          <w:rPr>
            <w:rStyle w:val="Hyperlink0"/>
            <w:rFonts w:eastAsia="Arial Unicode MS"/>
          </w:rPr>
          <w:t>https://www.equalitylaw.eu/downloads/5304-hungary-draft-bill-submitted-on-abol</w:t>
        </w:r>
        <w:r>
          <w:rPr>
            <w:rStyle w:val="Hyperlink0"/>
            <w:rFonts w:eastAsia="Arial Unicode MS"/>
          </w:rPr>
          <w:t>ishing-the-equal-treatment-authority-and-transferring-its-tasks-to-the-ombudsman-105-kb</w:t>
        </w:r>
      </w:hyperlink>
    </w:p>
  </w:footnote>
  <w:footnote w:id="7">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hyperlink r:id="rId3" w:history="1">
        <w:r>
          <w:rPr>
            <w:rStyle w:val="Hyperlink0"/>
            <w:rFonts w:eastAsia="Arial Unicode MS"/>
          </w:rPr>
          <w:t>https://www.parlament.hu/web/kulturali</w:t>
        </w:r>
        <w:r>
          <w:rPr>
            <w:rStyle w:val="Hyperlink0"/>
            <w:rFonts w:eastAsia="Arial Unicode MS"/>
          </w:rPr>
          <w:t>s-bizottsag/albizottsagok?p_p_id=hu_parlament_cms_pair_portlet_PairProxy_INSTANCE_9xd2Wc9jP4z8&amp;p_p_lifecycle=1&amp;p_p_state=normal&amp;p_p_mode=view&amp;p_auth=muJtymia&amp;_hu_parlament_cms_pair_portlet_PairProxy_INSTANCE_9xd2Wc9jP4z8_pairAction=%2Finternet%2Fcplsql%2Fo</w:t>
        </w:r>
        <w:r>
          <w:rPr>
            <w:rStyle w:val="Hyperlink0"/>
            <w:rFonts w:eastAsia="Arial Unicode MS"/>
          </w:rPr>
          <w:t>gy_biz.biz_adat_uj%3FP_Ckl%3D41%26P_Biz%3DA491</w:t>
        </w:r>
      </w:hyperlink>
    </w:p>
  </w:footnote>
  <w:footnote w:id="8">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Government Decision No. 1004/2010. (I. 21.) Available in Hungarian at: </w:t>
      </w:r>
      <w:hyperlink r:id="rId4" w:history="1">
        <w:r>
          <w:rPr>
            <w:rStyle w:val="Hyperlink0"/>
            <w:rFonts w:eastAsia="Arial Unicode MS"/>
          </w:rPr>
          <w:t>http://njt.hu/cgi_bin/njt_doc.cgi?docid=134035.194182</w:t>
        </w:r>
      </w:hyperlink>
    </w:p>
  </w:footnote>
  <w:footnote w:id="9">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Governme</w:t>
      </w:r>
      <w:r>
        <w:rPr>
          <w:rStyle w:val="Egyiksem"/>
          <w:rFonts w:ascii="Times New Roman" w:hAnsi="Times New Roman"/>
          <w:sz w:val="20"/>
          <w:szCs w:val="20"/>
          <w:lang w:val="en-US"/>
        </w:rPr>
        <w:t xml:space="preserve">nt Decision No. 1685/2020. (X. 22.) Available in Hungarian at: </w:t>
      </w:r>
      <w:hyperlink r:id="rId5" w:history="1">
        <w:r>
          <w:rPr>
            <w:rStyle w:val="Hyperlink0"/>
            <w:rFonts w:eastAsia="Arial Unicode MS"/>
          </w:rPr>
          <w:t>http://njt.hu/cgi_bin/njt_doc.cgi?docid=222314.390502</w:t>
        </w:r>
      </w:hyperlink>
    </w:p>
  </w:footnote>
  <w:footnote w:id="10">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hyperlink r:id="rId6" w:history="1">
        <w:r>
          <w:rPr>
            <w:rStyle w:val="Hyperlink0"/>
            <w:rFonts w:eastAsia="Arial Unicode MS"/>
          </w:rPr>
          <w:t>https://insighthungary.444.hu/2020/12/14/conservative-backlash-against-womens-rights-in-hungary</w:t>
        </w:r>
      </w:hyperlink>
    </w:p>
  </w:footnote>
  <w:footnote w:id="11">
    <w:p w:rsidR="006C12AC" w:rsidRDefault="001E6068">
      <w:pPr>
        <w:pStyle w:val="SzvegtrzsA"/>
        <w:spacing w:line="240" w:lineRule="auto"/>
      </w:pPr>
      <w:r>
        <w:rPr>
          <w:rStyle w:val="Egyiksem"/>
          <w:rFonts w:ascii="Times New Roman" w:eastAsia="Times New Roman" w:hAnsi="Times New Roman" w:cs="Times New Roman"/>
          <w:i/>
          <w:iCs/>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Committee on the Elimination of Discrimination againstWomen: Concluding observations on the combined seventh and ei</w:t>
      </w:r>
      <w:r>
        <w:rPr>
          <w:rStyle w:val="Egyiksem"/>
          <w:rFonts w:ascii="Times New Roman" w:hAnsi="Times New Roman"/>
          <w:sz w:val="20"/>
          <w:szCs w:val="20"/>
          <w:lang w:val="en-US"/>
        </w:rPr>
        <w:t>ghth periodic reports of Hungary, adopted by the Committee at its fifty-fourth session (11 February</w:t>
      </w:r>
      <w:r>
        <w:rPr>
          <w:rStyle w:val="Egyiksem"/>
          <w:rFonts w:ascii="Times New Roman" w:hAnsi="Times New Roman"/>
          <w:sz w:val="20"/>
          <w:szCs w:val="20"/>
          <w:lang w:val="en-US"/>
        </w:rPr>
        <w:t>–</w:t>
      </w:r>
      <w:r>
        <w:rPr>
          <w:rStyle w:val="Egyiksem"/>
          <w:rFonts w:ascii="Times New Roman" w:hAnsi="Times New Roman"/>
          <w:sz w:val="20"/>
          <w:szCs w:val="20"/>
          <w:lang w:val="en-US"/>
        </w:rPr>
        <w:t>1 March 2013), CEDAW/C/HUN/CO/7-8), para. 9 (a)</w:t>
      </w:r>
    </w:p>
  </w:footnote>
  <w:footnote w:id="12">
    <w:p w:rsidR="006C12AC" w:rsidRDefault="001E6068">
      <w:pPr>
        <w:pStyle w:val="SzvegtrzsA"/>
        <w:spacing w:line="240" w:lineRule="auto"/>
      </w:pPr>
      <w:r>
        <w:rPr>
          <w:rStyle w:val="Egyiksem"/>
          <w:rFonts w:ascii="Times New Roman" w:eastAsia="Times New Roman" w:hAnsi="Times New Roman" w:cs="Times New Roman"/>
          <w:i/>
          <w:iCs/>
          <w:sz w:val="24"/>
          <w:szCs w:val="24"/>
          <w:vertAlign w:val="superscript"/>
        </w:rPr>
        <w:footnoteRef/>
      </w:r>
      <w:r>
        <w:rPr>
          <w:rStyle w:val="Egyiksem"/>
          <w:rFonts w:ascii="Times New Roman" w:hAnsi="Times New Roman"/>
          <w:sz w:val="20"/>
          <w:szCs w:val="20"/>
          <w:lang w:val="en-US"/>
        </w:rPr>
        <w:t xml:space="preserve"> See CEDAW Concluding Observations (2013), para. 9 (c)</w:t>
      </w:r>
    </w:p>
  </w:footnote>
  <w:footnote w:id="13">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See CEDAW Concluding Observations (2013), para. 18</w:t>
      </w:r>
    </w:p>
  </w:footnote>
  <w:footnote w:id="14">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See CEDAW Concluding Observations (2013), para. 24</w:t>
      </w:r>
    </w:p>
  </w:footnote>
  <w:footnote w:id="15">
    <w:p w:rsidR="006C12AC" w:rsidRDefault="001E6068">
      <w:pPr>
        <w:pStyle w:val="SzvegtrzsA"/>
        <w:spacing w:line="240" w:lineRule="auto"/>
        <w:rPr>
          <w:rStyle w:val="Egyiksem"/>
          <w:rFonts w:ascii="Times New Roman" w:eastAsia="Times New Roman" w:hAnsi="Times New Roman" w:cs="Times New Roman"/>
          <w:sz w:val="20"/>
          <w:szCs w:val="20"/>
        </w:rPr>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See for example several comments by the Prime Minister or by the Speaker of the Parliament quoted in this article:  </w:t>
      </w:r>
      <w:hyperlink r:id="rId7" w:history="1">
        <w:r>
          <w:rPr>
            <w:rStyle w:val="Hyperlink0"/>
            <w:rFonts w:eastAsia="Arial Unicode MS"/>
          </w:rPr>
          <w:t>https://insighthungary.444.hu/2020/12/14/conservative-backlash-against-womens-rights-in-hungary</w:t>
        </w:r>
      </w:hyperlink>
    </w:p>
    <w:p w:rsidR="006C12AC" w:rsidRDefault="001E6068">
      <w:pPr>
        <w:pStyle w:val="SzvegtrzsA"/>
        <w:spacing w:line="240" w:lineRule="auto"/>
      </w:pPr>
      <w:r>
        <w:rPr>
          <w:rStyle w:val="Egyiksem"/>
          <w:rFonts w:ascii="Times New Roman" w:hAnsi="Times New Roman"/>
          <w:sz w:val="20"/>
          <w:szCs w:val="20"/>
          <w:lang w:val="en-US"/>
        </w:rPr>
        <w:t xml:space="preserve">In addition, the minister without portfolio </w:t>
      </w:r>
      <w:r>
        <w:rPr>
          <w:rStyle w:val="Egyiksem"/>
          <w:rFonts w:ascii="Times New Roman" w:hAnsi="Times New Roman"/>
          <w:sz w:val="20"/>
          <w:szCs w:val="20"/>
          <w:lang w:val="en-US"/>
        </w:rPr>
        <w:t>responsible for families - also tasked with women</w:t>
      </w:r>
      <w:r>
        <w:rPr>
          <w:rStyle w:val="Egyiksem"/>
          <w:rFonts w:ascii="Times New Roman" w:hAnsi="Times New Roman"/>
          <w:sz w:val="20"/>
          <w:szCs w:val="20"/>
          <w:lang w:val="en-US"/>
        </w:rPr>
        <w:t>’</w:t>
      </w:r>
      <w:r>
        <w:rPr>
          <w:rStyle w:val="Egyiksem"/>
          <w:rFonts w:ascii="Times New Roman" w:hAnsi="Times New Roman"/>
          <w:sz w:val="20"/>
          <w:szCs w:val="20"/>
          <w:lang w:val="en-US"/>
        </w:rPr>
        <w:t>s issues - featured in a video on how a woman can be successful. Among the things not to do, she advised not to believe that women should compete continuously with men, or should at least be in the same pos</w:t>
      </w:r>
      <w:r>
        <w:rPr>
          <w:rStyle w:val="Egyiksem"/>
          <w:rFonts w:ascii="Times New Roman" w:hAnsi="Times New Roman"/>
          <w:sz w:val="20"/>
          <w:szCs w:val="20"/>
          <w:lang w:val="en-US"/>
        </w:rPr>
        <w:t xml:space="preserve">ition with the same salary as the others.  </w:t>
      </w:r>
      <w:hyperlink r:id="rId8" w:history="1">
        <w:r>
          <w:rPr>
            <w:rStyle w:val="Hyperlink0"/>
            <w:rFonts w:eastAsia="Arial Unicode MS"/>
          </w:rPr>
          <w:t>https://www.youtube.com/watch?v=IANg9226Aro&amp;feature=emb_logo</w:t>
        </w:r>
      </w:hyperlink>
      <w:r>
        <w:rPr>
          <w:rStyle w:val="Egyiksem"/>
          <w:rFonts w:ascii="Times New Roman" w:hAnsi="Times New Roman"/>
          <w:sz w:val="20"/>
          <w:szCs w:val="20"/>
        </w:rPr>
        <w:t xml:space="preserve"> </w:t>
      </w:r>
    </w:p>
  </w:footnote>
  <w:footnote w:id="16">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9" w:history="1">
        <w:r>
          <w:rPr>
            <w:rStyle w:val="Hyperlink0"/>
            <w:rFonts w:eastAsia="Arial Unicode MS"/>
          </w:rPr>
          <w:t>http://abouthungary.hu/blog/yes-to-protection-of-women-no-to-gender-ideology-and-illegal-migration/</w:t>
        </w:r>
      </w:hyperlink>
    </w:p>
  </w:footnote>
  <w:footnote w:id="17">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See the proposal</w:t>
      </w:r>
      <w:r>
        <w:rPr>
          <w:rStyle w:val="Egyiksem"/>
          <w:rFonts w:ascii="Times New Roman" w:hAnsi="Times New Roman"/>
          <w:sz w:val="20"/>
          <w:szCs w:val="20"/>
          <w:lang w:val="en-US"/>
        </w:rPr>
        <w:t>’</w:t>
      </w:r>
      <w:r>
        <w:rPr>
          <w:rStyle w:val="Egyiksem"/>
          <w:rFonts w:ascii="Times New Roman" w:hAnsi="Times New Roman"/>
          <w:sz w:val="20"/>
          <w:szCs w:val="20"/>
          <w:lang w:val="en-US"/>
        </w:rPr>
        <w:t xml:space="preserve">s text in Hungarian: </w:t>
      </w:r>
      <w:hyperlink r:id="rId10" w:history="1">
        <w:r>
          <w:rPr>
            <w:rStyle w:val="Hyperlink1"/>
            <w:rFonts w:eastAsia="Arial Unicode MS"/>
          </w:rPr>
          <w:t>https://www.pa</w:t>
        </w:r>
        <w:r>
          <w:rPr>
            <w:rStyle w:val="Hyperlink1"/>
            <w:rFonts w:eastAsia="Arial Unicode MS"/>
          </w:rPr>
          <w:t>rlament.hu/irom41/10393/10393.pdf</w:t>
        </w:r>
      </w:hyperlink>
    </w:p>
  </w:footnote>
  <w:footnote w:id="18">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11" w:history="1">
        <w:r>
          <w:rPr>
            <w:rStyle w:val="Hyperlink2"/>
            <w:rFonts w:eastAsia="Arial Unicode MS"/>
          </w:rPr>
          <w:t>https://stopgenderconvention.org/en/</w:t>
        </w:r>
      </w:hyperlink>
    </w:p>
  </w:footnote>
  <w:footnote w:id="19">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See in details for example the submission of The Advocates for Human Rights to the Pre-sessional Working Group for the 80th se</w:t>
      </w:r>
      <w:r>
        <w:rPr>
          <w:rStyle w:val="Egyiksem"/>
          <w:rFonts w:ascii="Times New Roman" w:hAnsi="Times New Roman"/>
          <w:sz w:val="20"/>
          <w:szCs w:val="20"/>
          <w:lang w:val="en-US"/>
        </w:rPr>
        <w:t>ssion of the UN CEDAW Committee (2021)</w:t>
      </w:r>
    </w:p>
  </w:footnote>
  <w:footnote w:id="20">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12" w:history="1">
        <w:r>
          <w:rPr>
            <w:rStyle w:val="Hyperlink0"/>
            <w:rFonts w:eastAsia="Arial Unicode MS"/>
          </w:rPr>
          <w:t>https://eige.europa.eu/sites/default/files/documents/2017.7328_en_03_hungary.pdf</w:t>
        </w:r>
      </w:hyperlink>
    </w:p>
  </w:footnote>
  <w:footnote w:id="21">
    <w:p w:rsidR="006C12AC" w:rsidRDefault="001E6068">
      <w:pPr>
        <w:pStyle w:val="SzvegtrzsA"/>
        <w:spacing w:line="240" w:lineRule="auto"/>
      </w:pPr>
      <w:r>
        <w:rPr>
          <w:rStyle w:val="Egyiksem"/>
          <w:rFonts w:ascii="Times New Roman" w:eastAsia="Times New Roman" w:hAnsi="Times New Roman" w:cs="Times New Roman"/>
          <w:i/>
          <w:iCs/>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 See more information and more suggested questions as regards to this policy area in the submission of The Advocates for Human Rights to the Pre-sessional Working Group for the 80th session of the UN CEDAW Committee (2021)</w:t>
      </w:r>
    </w:p>
  </w:footnote>
  <w:footnote w:id="22">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hyperlink r:id="rId13" w:history="1">
        <w:r>
          <w:rPr>
            <w:rStyle w:val="Hyperlink0"/>
            <w:rFonts w:eastAsia="Arial Unicode MS"/>
          </w:rPr>
          <w:t>https://data.ipu.org/women-ranking?month=1&amp;year=2021</w:t>
        </w:r>
      </w:hyperlink>
    </w:p>
  </w:footnote>
  <w:footnote w:id="23">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14" w:history="1">
        <w:r>
          <w:rPr>
            <w:rStyle w:val="Hyperlink1"/>
            <w:rFonts w:eastAsia="Arial Unicode MS"/>
          </w:rPr>
          <w:t>https://kormany.hu/a-kormany-tagjai</w:t>
        </w:r>
      </w:hyperlink>
    </w:p>
  </w:footnote>
  <w:footnote w:id="24">
    <w:p w:rsidR="006C12AC" w:rsidRDefault="001E6068">
      <w:pPr>
        <w:pStyle w:val="SzvegtrzsA"/>
        <w:spacing w:line="240" w:lineRule="auto"/>
      </w:pPr>
      <w:r>
        <w:rPr>
          <w:rStyle w:val="Egyiksem"/>
          <w:rFonts w:ascii="Times New Roman" w:eastAsia="Times New Roman" w:hAnsi="Times New Roman" w:cs="Times New Roman"/>
          <w:i/>
          <w:iCs/>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See CEDAW Concluding Observations (2013), paras 17. a) and 25. a)</w:t>
      </w:r>
    </w:p>
  </w:footnote>
  <w:footnote w:id="25">
    <w:p w:rsidR="006C12AC" w:rsidRDefault="001E6068">
      <w:pPr>
        <w:pStyle w:val="SzvegtrzsA"/>
        <w:spacing w:line="240" w:lineRule="auto"/>
      </w:pPr>
      <w:r>
        <w:rPr>
          <w:rStyle w:val="Egyiksem"/>
          <w:rFonts w:ascii="Times New Roman" w:eastAsia="Times New Roman" w:hAnsi="Times New Roman" w:cs="Times New Roman"/>
          <w:color w:val="222222"/>
          <w:sz w:val="24"/>
          <w:szCs w:val="24"/>
          <w:u w:color="222222"/>
          <w:vertAlign w:val="superscript"/>
        </w:rPr>
        <w:footnoteRef/>
      </w:r>
      <w:r>
        <w:rPr>
          <w:rStyle w:val="Egyiksem"/>
          <w:rFonts w:ascii="Times New Roman" w:hAnsi="Times New Roman"/>
          <w:sz w:val="20"/>
          <w:szCs w:val="20"/>
          <w:lang w:val="en-US"/>
        </w:rPr>
        <w:t xml:space="preserve"> See Gov</w:t>
      </w:r>
      <w:r>
        <w:rPr>
          <w:rStyle w:val="Egyiksem"/>
          <w:rFonts w:ascii="Times New Roman" w:hAnsi="Times New Roman"/>
          <w:sz w:val="20"/>
          <w:szCs w:val="20"/>
          <w:lang w:val="en-US"/>
        </w:rPr>
        <w:t>ernment Decree No. 110/2012. (VI. 4.) on issuing, introduction and application of the National Core Curriculum, Annex - I.1</w:t>
      </w:r>
    </w:p>
  </w:footnote>
  <w:footnote w:id="26">
    <w:p w:rsidR="006C12AC" w:rsidRDefault="001E6068">
      <w:pPr>
        <w:pStyle w:val="SzvegtrzsA"/>
        <w:spacing w:line="240" w:lineRule="auto"/>
      </w:pPr>
      <w:r>
        <w:rPr>
          <w:rStyle w:val="Egyiksem"/>
          <w:rFonts w:ascii="Times New Roman" w:eastAsia="Times New Roman" w:hAnsi="Times New Roman" w:cs="Times New Roman"/>
          <w:color w:val="222222"/>
          <w:sz w:val="24"/>
          <w:szCs w:val="24"/>
          <w:u w:color="222222"/>
          <w:vertAlign w:val="superscript"/>
        </w:rPr>
        <w:footnoteRef/>
      </w:r>
      <w:r>
        <w:rPr>
          <w:rStyle w:val="Egyiksem"/>
          <w:rFonts w:ascii="Times New Roman" w:hAnsi="Times New Roman"/>
          <w:sz w:val="20"/>
          <w:szCs w:val="20"/>
        </w:rPr>
        <w:t xml:space="preserve"> </w:t>
      </w:r>
      <w:r>
        <w:rPr>
          <w:rStyle w:val="Egyiksem"/>
          <w:rFonts w:ascii="Times New Roman" w:hAnsi="Times New Roman"/>
          <w:i/>
          <w:iCs/>
          <w:sz w:val="20"/>
          <w:szCs w:val="20"/>
          <w:lang w:val="pt-PT"/>
        </w:rPr>
        <w:t>Ibid.</w:t>
      </w:r>
      <w:r>
        <w:rPr>
          <w:rStyle w:val="Egyiksem"/>
          <w:rFonts w:ascii="Times New Roman" w:hAnsi="Times New Roman"/>
          <w:sz w:val="20"/>
          <w:szCs w:val="20"/>
          <w:lang w:val="it-IT"/>
        </w:rPr>
        <w:t xml:space="preserve">, Annex - II.3.4.3. </w:t>
      </w:r>
    </w:p>
  </w:footnote>
  <w:footnote w:id="27">
    <w:p w:rsidR="006C12AC" w:rsidRDefault="001E6068">
      <w:pPr>
        <w:pStyle w:val="SzvegtrzsA"/>
        <w:spacing w:line="240" w:lineRule="auto"/>
      </w:pPr>
      <w:r>
        <w:rPr>
          <w:rStyle w:val="Egyiksem"/>
          <w:rFonts w:ascii="Times New Roman" w:eastAsia="Times New Roman" w:hAnsi="Times New Roman" w:cs="Times New Roman"/>
          <w:color w:val="222222"/>
          <w:sz w:val="24"/>
          <w:szCs w:val="24"/>
          <w:u w:color="222222"/>
          <w:vertAlign w:val="superscript"/>
        </w:rPr>
        <w:footnoteRef/>
      </w:r>
      <w:r>
        <w:rPr>
          <w:rStyle w:val="Egyiksem"/>
          <w:rFonts w:ascii="Times New Roman" w:hAnsi="Times New Roman"/>
          <w:sz w:val="20"/>
          <w:szCs w:val="20"/>
          <w:lang w:val="en-US"/>
        </w:rPr>
        <w:t xml:space="preserve"> See some examples in this article: </w:t>
      </w:r>
      <w:hyperlink r:id="rId15" w:history="1">
        <w:r>
          <w:rPr>
            <w:rStyle w:val="Hyperlink0"/>
            <w:rFonts w:eastAsia="Arial Unicode MS"/>
          </w:rPr>
          <w:t>http://politicalcritique.org/cee/hungary/2017/sexism-and-racism-the-new-hungarian-schoolbooks-teac</w:t>
        </w:r>
        <w:r>
          <w:rPr>
            <w:rStyle w:val="Hyperlink0"/>
            <w:rFonts w:eastAsia="Arial Unicode MS"/>
          </w:rPr>
          <w:t>h-everything-you-dont-want-your-child-to-learn/</w:t>
        </w:r>
      </w:hyperlink>
    </w:p>
  </w:footnote>
  <w:footnote w:id="28">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No Working Around It - Gender-Based Discrimination in Hungarian Workplaces. Amnesty International, 2020. p. 51. Available at: </w:t>
      </w:r>
      <w:hyperlink r:id="rId16" w:history="1">
        <w:r>
          <w:rPr>
            <w:rStyle w:val="Hyperlink0"/>
            <w:rFonts w:eastAsia="Arial Unicode MS"/>
          </w:rPr>
          <w:t>https://www.amnesty.org/download/Documents/EUR2723782020ENGLISH.PDF</w:t>
        </w:r>
      </w:hyperlink>
      <w:r>
        <w:rPr>
          <w:rStyle w:val="Egyiksem"/>
          <w:rFonts w:ascii="Times New Roman" w:hAnsi="Times New Roman"/>
          <w:sz w:val="20"/>
          <w:szCs w:val="20"/>
        </w:rPr>
        <w:t xml:space="preserve"> </w:t>
      </w:r>
    </w:p>
  </w:footnote>
  <w:footnote w:id="29">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r>
        <w:rPr>
          <w:rStyle w:val="Egyiksem"/>
          <w:rFonts w:ascii="Times New Roman" w:hAnsi="Times New Roman"/>
          <w:i/>
          <w:iCs/>
          <w:sz w:val="20"/>
          <w:szCs w:val="20"/>
          <w:lang w:val="pt-PT"/>
        </w:rPr>
        <w:t>Ibid.</w:t>
      </w:r>
      <w:r>
        <w:rPr>
          <w:rStyle w:val="Egyiksem"/>
          <w:rFonts w:ascii="Times New Roman" w:hAnsi="Times New Roman"/>
          <w:sz w:val="20"/>
          <w:szCs w:val="20"/>
        </w:rPr>
        <w:t>, p. 6.</w:t>
      </w:r>
    </w:p>
  </w:footnote>
  <w:footnote w:id="30">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i/>
          <w:iCs/>
          <w:sz w:val="20"/>
          <w:szCs w:val="20"/>
          <w:lang w:val="pt-PT"/>
        </w:rPr>
        <w:t>Ibid.,</w:t>
      </w:r>
      <w:r>
        <w:rPr>
          <w:rStyle w:val="Egyiksem"/>
          <w:rFonts w:ascii="Times New Roman" w:hAnsi="Times New Roman"/>
          <w:sz w:val="20"/>
          <w:szCs w:val="20"/>
        </w:rPr>
        <w:t xml:space="preserve"> p. 51.</w:t>
      </w:r>
    </w:p>
  </w:footnote>
  <w:footnote w:id="31">
    <w:p w:rsidR="006C12AC" w:rsidRDefault="001E6068">
      <w:pPr>
        <w:pStyle w:val="SzvegtrzsA"/>
        <w:spacing w:line="240" w:lineRule="auto"/>
        <w:rPr>
          <w:rStyle w:val="Egyiksem"/>
          <w:rFonts w:ascii="Times New Roman" w:eastAsia="Times New Roman" w:hAnsi="Times New Roman" w:cs="Times New Roman"/>
          <w:sz w:val="20"/>
          <w:szCs w:val="20"/>
        </w:rPr>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Global views on acceptable behavior and equality in the workplace - International Women</w:t>
      </w:r>
      <w:r>
        <w:rPr>
          <w:rStyle w:val="Egyiksem"/>
          <w:rFonts w:ascii="Times New Roman" w:hAnsi="Times New Roman"/>
          <w:sz w:val="20"/>
          <w:szCs w:val="20"/>
          <w:lang w:val="en-US"/>
        </w:rPr>
        <w:t>’</w:t>
      </w:r>
      <w:r>
        <w:rPr>
          <w:rStyle w:val="Egyiksem"/>
          <w:rFonts w:ascii="Times New Roman" w:hAnsi="Times New Roman"/>
          <w:sz w:val="20"/>
          <w:szCs w:val="20"/>
          <w:lang w:val="en-US"/>
        </w:rPr>
        <w:t>s Day 2020. Ipsos, The Global Institute for Women</w:t>
      </w:r>
      <w:r>
        <w:rPr>
          <w:rStyle w:val="Egyiksem"/>
          <w:rFonts w:ascii="Times New Roman" w:hAnsi="Times New Roman"/>
          <w:sz w:val="20"/>
          <w:szCs w:val="20"/>
          <w:lang w:val="en-US"/>
        </w:rPr>
        <w:t>’</w:t>
      </w:r>
      <w:r>
        <w:rPr>
          <w:rStyle w:val="Egyiksem"/>
          <w:rFonts w:ascii="Times New Roman" w:hAnsi="Times New Roman"/>
          <w:sz w:val="20"/>
          <w:szCs w:val="20"/>
          <w:lang w:val="en-US"/>
        </w:rPr>
        <w:t>s Leaders</w:t>
      </w:r>
      <w:r>
        <w:rPr>
          <w:rStyle w:val="Egyiksem"/>
          <w:rFonts w:ascii="Times New Roman" w:hAnsi="Times New Roman"/>
          <w:sz w:val="20"/>
          <w:szCs w:val="20"/>
          <w:lang w:val="en-US"/>
        </w:rPr>
        <w:t>hip, King</w:t>
      </w:r>
      <w:r>
        <w:rPr>
          <w:rStyle w:val="Egyiksem"/>
          <w:rFonts w:ascii="Times New Roman" w:hAnsi="Times New Roman"/>
          <w:sz w:val="20"/>
          <w:szCs w:val="20"/>
          <w:lang w:val="en-US"/>
        </w:rPr>
        <w:t>’</w:t>
      </w:r>
      <w:r>
        <w:rPr>
          <w:rStyle w:val="Egyiksem"/>
          <w:rFonts w:ascii="Times New Roman" w:hAnsi="Times New Roman"/>
          <w:sz w:val="20"/>
          <w:szCs w:val="20"/>
          <w:lang w:val="en-US"/>
        </w:rPr>
        <w:t xml:space="preserve">s College London. p. 36. Available at: </w:t>
      </w:r>
    </w:p>
    <w:p w:rsidR="006C12AC" w:rsidRDefault="001E6068">
      <w:pPr>
        <w:pStyle w:val="SzvegtrzsA"/>
        <w:spacing w:line="240" w:lineRule="auto"/>
      </w:pPr>
      <w:hyperlink r:id="rId17" w:history="1">
        <w:r>
          <w:rPr>
            <w:rStyle w:val="Hyperlink0"/>
            <w:rFonts w:eastAsia="Arial Unicode MS"/>
          </w:rPr>
          <w:t>https://www.ipsos.com/sites/default/files/ct/news/documents/2020-03/international-womens-day-global-views-on-gender-equality-and-acceptable-behavior-in-the-workplace-us.pdf</w:t>
        </w:r>
      </w:hyperlink>
    </w:p>
  </w:footnote>
  <w:footnote w:id="32">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Act CLIV of 1997 on health care, 187. </w:t>
      </w:r>
      <w:r>
        <w:rPr>
          <w:rStyle w:val="Egyiksem"/>
          <w:rFonts w:ascii="Times New Roman" w:hAnsi="Times New Roman"/>
          <w:sz w:val="20"/>
          <w:szCs w:val="20"/>
          <w:lang w:val="en-US"/>
        </w:rPr>
        <w:t xml:space="preserve">§ </w:t>
      </w:r>
      <w:r>
        <w:rPr>
          <w:rStyle w:val="Egyiksem"/>
          <w:rFonts w:ascii="Times New Roman" w:hAnsi="Times New Roman"/>
          <w:sz w:val="20"/>
          <w:szCs w:val="20"/>
        </w:rPr>
        <w:t xml:space="preserve">(1) a) </w:t>
      </w:r>
    </w:p>
  </w:footnote>
  <w:footnote w:id="33">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18" w:history="1">
        <w:r>
          <w:rPr>
            <w:rStyle w:val="Hyperlink0"/>
            <w:rFonts w:eastAsia="Arial Unicode MS"/>
          </w:rPr>
          <w:t>https://www.ec-ec.org/european-commission-decision-grants-120-million-women-direct-access-to-ellaone/</w:t>
        </w:r>
      </w:hyperlink>
    </w:p>
  </w:footnote>
  <w:footnote w:id="34">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de-DE"/>
        </w:rPr>
        <w:t xml:space="preserve"> See in Hungarian: </w:t>
      </w:r>
      <w:hyperlink r:id="rId19" w:history="1">
        <w:r>
          <w:rPr>
            <w:rStyle w:val="Hyperlink1"/>
            <w:rFonts w:eastAsia="Arial Unicode MS"/>
          </w:rPr>
          <w:t>http://abortusz.info/tenyek-az-abortuszrol/item/252-abortusztabletta-1</w:t>
        </w:r>
      </w:hyperlink>
    </w:p>
  </w:footnote>
  <w:footnote w:id="35">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hyperlink r:id="rId20" w:history="1">
        <w:r>
          <w:rPr>
            <w:rStyle w:val="Hyperlink0"/>
            <w:rFonts w:eastAsia="Arial Unicode MS"/>
          </w:rPr>
          <w:t>http://abortusz.info/kutatas/2014/item/downloa</w:t>
        </w:r>
        <w:r>
          <w:rPr>
            <w:rStyle w:val="Hyperlink0"/>
            <w:rFonts w:eastAsia="Arial Unicode MS"/>
          </w:rPr>
          <w:t>d/12_5e43f66859209e6bfe84185a8cd22234</w:t>
        </w:r>
      </w:hyperlink>
      <w:r>
        <w:rPr>
          <w:rStyle w:val="Egyiksem"/>
          <w:rFonts w:ascii="Times New Roman" w:hAnsi="Times New Roman"/>
          <w:sz w:val="20"/>
          <w:szCs w:val="20"/>
        </w:rPr>
        <w:t xml:space="preserve"> </w:t>
      </w:r>
    </w:p>
  </w:footnote>
  <w:footnote w:id="36">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de-DE"/>
        </w:rPr>
        <w:t xml:space="preserve"> See in Hungarian: </w:t>
      </w:r>
      <w:hyperlink r:id="rId21" w:history="1">
        <w:r>
          <w:rPr>
            <w:rStyle w:val="Hyperlink3"/>
            <w:rFonts w:eastAsia="Arial Unicode MS"/>
          </w:rPr>
          <w:t>https://444.hu/2017/02/09/ket-korhaz-a-kormanytol-kapott-penzert-cserebe-va</w:t>
        </w:r>
        <w:r>
          <w:rPr>
            <w:rStyle w:val="Hyperlink3"/>
            <w:rFonts w:eastAsia="Arial Unicode MS"/>
          </w:rPr>
          <w:t>llalta-hogy-nem-vegez-abortuszt</w:t>
        </w:r>
      </w:hyperlink>
    </w:p>
  </w:footnote>
  <w:footnote w:id="37">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Calibri" w:hAnsi="Calibri"/>
          <w:sz w:val="20"/>
          <w:szCs w:val="20"/>
        </w:rPr>
        <w:t xml:space="preserve"> </w:t>
      </w:r>
      <w:r>
        <w:rPr>
          <w:rStyle w:val="Egyiksem"/>
          <w:rFonts w:ascii="Times New Roman" w:hAnsi="Times New Roman"/>
          <w:sz w:val="20"/>
          <w:szCs w:val="20"/>
          <w:lang w:val="de-DE"/>
        </w:rPr>
        <w:t xml:space="preserve">See in Hungarian: </w:t>
      </w:r>
      <w:hyperlink r:id="rId22" w:history="1">
        <w:r>
          <w:rPr>
            <w:rStyle w:val="Hyperlink3"/>
            <w:rFonts w:eastAsia="Arial Unicode MS"/>
          </w:rPr>
          <w:t>https://rontgen.444.hu/2019/03/18/meregdraga-tanfolyamon-stromankent-h</w:t>
        </w:r>
        <w:r>
          <w:rPr>
            <w:rStyle w:val="Hyperlink3"/>
            <w:rFonts w:eastAsia="Arial Unicode MS"/>
          </w:rPr>
          <w:t>asznalja-az-emmi-a-katolikus-szeretetszolgalatot</w:t>
        </w:r>
      </w:hyperlink>
    </w:p>
  </w:footnote>
  <w:footnote w:id="38">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hyperlink r:id="rId23" w:history="1">
        <w:r>
          <w:rPr>
            <w:rStyle w:val="Hyperlink0"/>
            <w:rFonts w:eastAsia="Arial Unicode MS"/>
          </w:rPr>
          <w:t>http://www.youngfeminist.eu/2016/08/stop-bawling-obstetric-violence-in-hungary/</w:t>
        </w:r>
      </w:hyperlink>
      <w:r>
        <w:rPr>
          <w:rStyle w:val="Egyiksem"/>
          <w:rFonts w:ascii="Times New Roman" w:hAnsi="Times New Roman"/>
          <w:sz w:val="20"/>
          <w:szCs w:val="20"/>
        </w:rPr>
        <w:t xml:space="preserve"> </w:t>
      </w:r>
    </w:p>
  </w:footnote>
  <w:footnote w:id="39">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de-DE"/>
        </w:rPr>
        <w:t xml:space="preserve">See in Hungarian:  </w:t>
      </w:r>
      <w:hyperlink r:id="rId24" w:history="1">
        <w:r>
          <w:rPr>
            <w:rStyle w:val="Hyperlink1"/>
            <w:rFonts w:eastAsia="Arial Unicode MS"/>
          </w:rPr>
          <w:t>https://www.life.hu/eletmod/20160419-romanok-helyzete-es-lehetosegei-a-magyar-szuleszeti-ellatasban-szuleteshaz-egyes</w:t>
        </w:r>
        <w:r>
          <w:rPr>
            <w:rStyle w:val="Hyperlink1"/>
            <w:rFonts w:eastAsia="Arial Unicode MS"/>
          </w:rPr>
          <w:t>ulet.html</w:t>
        </w:r>
      </w:hyperlink>
      <w:r>
        <w:rPr>
          <w:rStyle w:val="Egyiksem"/>
          <w:rFonts w:ascii="Times New Roman" w:hAnsi="Times New Roman"/>
          <w:sz w:val="20"/>
          <w:szCs w:val="20"/>
        </w:rPr>
        <w:t xml:space="preserve">  </w:t>
      </w:r>
    </w:p>
  </w:footnote>
  <w:footnote w:id="40">
    <w:p w:rsidR="006C12AC" w:rsidRDefault="001E6068">
      <w:pPr>
        <w:pStyle w:val="SzvegtrzsA"/>
        <w:spacing w:line="240" w:lineRule="auto"/>
        <w:rPr>
          <w:rStyle w:val="Egyiksem"/>
          <w:rFonts w:ascii="Times New Roman" w:eastAsia="Times New Roman" w:hAnsi="Times New Roman" w:cs="Times New Roman"/>
          <w:sz w:val="20"/>
          <w:szCs w:val="20"/>
        </w:rPr>
      </w:pPr>
      <w:r>
        <w:rPr>
          <w:rStyle w:val="Egyiksem"/>
          <w:rFonts w:ascii="Times New Roman" w:eastAsia="Times New Roman" w:hAnsi="Times New Roman" w:cs="Times New Roman"/>
          <w:sz w:val="24"/>
          <w:szCs w:val="24"/>
          <w:vertAlign w:val="superscript"/>
        </w:rPr>
        <w:footnoteRef/>
      </w:r>
    </w:p>
    <w:p w:rsidR="006C12AC" w:rsidRDefault="001E6068">
      <w:pPr>
        <w:pStyle w:val="SzvegtrzsA"/>
        <w:spacing w:line="240" w:lineRule="auto"/>
      </w:pPr>
      <w:hyperlink r:id="rId25" w:history="1">
        <w:r>
          <w:rPr>
            <w:rStyle w:val="Hyperlink0"/>
            <w:rFonts w:eastAsia="Arial Unicode MS"/>
          </w:rPr>
          <w:t>https://www.hhs.gov/about/news/2020/10/22/trump-administration-marks-signing-geneva-consensus-declaration.html</w:t>
        </w:r>
      </w:hyperlink>
    </w:p>
  </w:footnote>
  <w:footnote w:id="41">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r>
        <w:rPr>
          <w:rStyle w:val="Egyiksem"/>
          <w:rFonts w:ascii="Times New Roman" w:hAnsi="Times New Roman"/>
          <w:i/>
          <w:iCs/>
          <w:sz w:val="20"/>
          <w:szCs w:val="20"/>
          <w:lang w:val="pt-PT"/>
        </w:rPr>
        <w:t>Ibid.</w:t>
      </w:r>
    </w:p>
  </w:footnote>
  <w:footnote w:id="42">
    <w:p w:rsidR="006C12AC" w:rsidRDefault="001E6068">
      <w:pPr>
        <w:pStyle w:val="SzvegtrzsA"/>
        <w:spacing w:line="240" w:lineRule="auto"/>
      </w:pPr>
      <w:r>
        <w:rPr>
          <w:rStyle w:val="Egyiksem"/>
          <w:rFonts w:ascii="Times New Roman" w:eastAsia="Times New Roman" w:hAnsi="Times New Roman" w:cs="Times New Roman"/>
          <w:i/>
          <w:iCs/>
          <w:sz w:val="24"/>
          <w:szCs w:val="24"/>
          <w:vertAlign w:val="superscript"/>
        </w:rPr>
        <w:footnoteRef/>
      </w:r>
      <w:r>
        <w:rPr>
          <w:rStyle w:val="Egyiksem"/>
          <w:rFonts w:ascii="Times New Roman" w:hAnsi="Times New Roman"/>
          <w:sz w:val="20"/>
          <w:szCs w:val="20"/>
          <w:lang w:val="en-US"/>
        </w:rPr>
        <w:t xml:space="preserve"> See CEDAW Concluding Observations (2013), para 31.</w:t>
      </w:r>
    </w:p>
  </w:footnote>
  <w:footnote w:id="43">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sz w:val="20"/>
          <w:szCs w:val="20"/>
        </w:rPr>
        <w:t xml:space="preserve"> </w:t>
      </w:r>
      <w:r>
        <w:rPr>
          <w:rStyle w:val="Egyiksem"/>
          <w:rFonts w:ascii="Times New Roman" w:hAnsi="Times New Roman"/>
          <w:sz w:val="20"/>
          <w:szCs w:val="20"/>
          <w:lang w:val="en-US"/>
        </w:rPr>
        <w:t xml:space="preserve">NM Decree No. 15/1998. (IV. 30.), 147. </w:t>
      </w:r>
      <w:r>
        <w:rPr>
          <w:rStyle w:val="Egyiksem"/>
          <w:rFonts w:ascii="Times New Roman" w:hAnsi="Times New Roman"/>
          <w:sz w:val="20"/>
          <w:szCs w:val="20"/>
          <w:lang w:val="en-US"/>
        </w:rPr>
        <w:t xml:space="preserve">§ </w:t>
      </w:r>
      <w:r>
        <w:rPr>
          <w:rStyle w:val="Egyiksem"/>
          <w:rFonts w:ascii="Times New Roman" w:hAnsi="Times New Roman"/>
          <w:sz w:val="20"/>
          <w:szCs w:val="20"/>
          <w:lang w:val="pt-PT"/>
        </w:rPr>
        <w:t>paras 2-3.</w:t>
      </w:r>
    </w:p>
  </w:footnote>
  <w:footnote w:id="44">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Act V. of 2013 on Civil Code, 4:121. </w:t>
      </w:r>
      <w:r>
        <w:rPr>
          <w:rStyle w:val="Egyiksem"/>
          <w:rFonts w:ascii="Times New Roman" w:hAnsi="Times New Roman"/>
          <w:sz w:val="20"/>
          <w:szCs w:val="20"/>
          <w:lang w:val="en-US"/>
        </w:rPr>
        <w:t>§</w:t>
      </w:r>
    </w:p>
  </w:footnote>
  <w:footnote w:id="45">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rPr>
        <w:t xml:space="preserve"> </w:t>
      </w:r>
      <w:hyperlink r:id="rId26" w:history="1">
        <w:r>
          <w:rPr>
            <w:rStyle w:val="Hyperlink0"/>
            <w:rFonts w:eastAsia="Arial Unicode MS"/>
          </w:rPr>
          <w:t>http://abouthungary.hu/blog/hungarys-family-protection-action-plan-its-coming-july/</w:t>
        </w:r>
      </w:hyperlink>
    </w:p>
  </w:footnote>
  <w:footnote w:id="46">
    <w:p w:rsidR="006C12AC" w:rsidRDefault="001E6068">
      <w:pPr>
        <w:pStyle w:val="SzvegtrzsA"/>
        <w:spacing w:line="240" w:lineRule="auto"/>
      </w:pPr>
      <w:r>
        <w:rPr>
          <w:rStyle w:val="Egyiksem"/>
          <w:rFonts w:ascii="Times New Roman" w:eastAsia="Times New Roman" w:hAnsi="Times New Roman" w:cs="Times New Roman"/>
          <w:sz w:val="24"/>
          <w:szCs w:val="24"/>
          <w:vertAlign w:val="superscript"/>
        </w:rPr>
        <w:footnoteRef/>
      </w:r>
      <w:r>
        <w:rPr>
          <w:rStyle w:val="Egyiksem"/>
          <w:rFonts w:ascii="Times New Roman" w:hAnsi="Times New Roman"/>
          <w:sz w:val="20"/>
          <w:szCs w:val="20"/>
          <w:lang w:val="en-US"/>
        </w:rPr>
        <w:t xml:space="preserve"> Government Regulation No. 149/1997. (IX. 10.) 34-36. </w:t>
      </w:r>
      <w:r>
        <w:rPr>
          <w:rStyle w:val="Egyiksem"/>
          <w:rFonts w:ascii="Times New Roman" w:hAnsi="Times New Roman"/>
          <w:sz w:val="20"/>
          <w:szCs w:val="20"/>
          <w:lang w:val="en-US"/>
        </w:rPr>
        <w:t>§</w:t>
      </w:r>
      <w:r>
        <w:rPr>
          <w:rStyle w:val="Egyiksem"/>
          <w:rFonts w:ascii="Times New Roman" w:hAnsi="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2AC" w:rsidRDefault="001E6068">
    <w:pPr>
      <w:pStyle w:val="SzvegtrzsA"/>
      <w:widowControl w:val="0"/>
      <w:spacing w:line="240" w:lineRule="auto"/>
    </w:pPr>
    <w:r>
      <w:rPr>
        <w:rStyle w:val="EgyiksemA"/>
        <w:noProof/>
      </w:rPr>
      <w:drawing>
        <wp:inline distT="0" distB="0" distL="0" distR="0">
          <wp:extent cx="1114425" cy="942975"/>
          <wp:effectExtent l="0" t="0" r="0" b="0"/>
          <wp:docPr id="1073741825" name="officeArt object" descr="image3.png"/>
          <wp:cNvGraphicFramePr/>
          <a:graphic xmlns:a="http://schemas.openxmlformats.org/drawingml/2006/main">
            <a:graphicData uri="http://schemas.openxmlformats.org/drawingml/2006/picture">
              <pic:pic xmlns:pic="http://schemas.openxmlformats.org/drawingml/2006/picture">
                <pic:nvPicPr>
                  <pic:cNvPr id="1073741825" name="image3.png" descr="image3.png"/>
                  <pic:cNvPicPr>
                    <a:picLocks noChangeAspect="1"/>
                  </pic:cNvPicPr>
                </pic:nvPicPr>
                <pic:blipFill>
                  <a:blip r:embed="rId1">
                    <a:extLst/>
                  </a:blip>
                  <a:srcRect l="22119" t="9160" r="22406" b="15267"/>
                  <a:stretch>
                    <a:fillRect/>
                  </a:stretch>
                </pic:blipFill>
                <pic:spPr>
                  <a:xfrm>
                    <a:off x="0" y="0"/>
                    <a:ext cx="1114425" cy="942975"/>
                  </a:xfrm>
                  <a:prstGeom prst="rect">
                    <a:avLst/>
                  </a:prstGeom>
                  <a:ln w="12700" cap="flat">
                    <a:noFill/>
                    <a:miter lim="400000"/>
                  </a:ln>
                  <a:effectLst/>
                </pic:spPr>
              </pic:pic>
            </a:graphicData>
          </a:graphic>
        </wp:inline>
      </w:drawing>
    </w:r>
    <w:r>
      <w:rPr>
        <w:rStyle w:val="EgyiksemA"/>
      </w:rPr>
      <w:tab/>
      <w:t xml:space="preserve">         </w:t>
    </w:r>
    <w:r>
      <w:rPr>
        <w:rStyle w:val="EgyiksemA"/>
        <w:noProof/>
      </w:rPr>
      <w:drawing>
        <wp:inline distT="0" distB="0" distL="0" distR="0">
          <wp:extent cx="2066925" cy="647702"/>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2">
                    <a:extLst/>
                  </a:blip>
                  <a:srcRect t="15306" b="15306"/>
                  <a:stretch>
                    <a:fillRect/>
                  </a:stretch>
                </pic:blipFill>
                <pic:spPr>
                  <a:xfrm>
                    <a:off x="0" y="0"/>
                    <a:ext cx="2066925" cy="647702"/>
                  </a:xfrm>
                  <a:prstGeom prst="rect">
                    <a:avLst/>
                  </a:prstGeom>
                  <a:ln w="12700" cap="flat">
                    <a:noFill/>
                    <a:miter lim="400000"/>
                  </a:ln>
                  <a:effectLst/>
                </pic:spPr>
              </pic:pic>
            </a:graphicData>
          </a:graphic>
        </wp:inline>
      </w:drawing>
    </w:r>
    <w:r>
      <w:rPr>
        <w:rStyle w:val="EgyiksemA"/>
      </w:rPr>
      <w:t xml:space="preserve">        </w:t>
    </w:r>
    <w:r>
      <w:rPr>
        <w:rStyle w:val="EgyiksemA"/>
        <w:noProof/>
      </w:rPr>
      <w:drawing>
        <wp:inline distT="0" distB="0" distL="0" distR="0">
          <wp:extent cx="1743076" cy="542926"/>
          <wp:effectExtent l="0" t="0" r="0" b="0"/>
          <wp:docPr id="1073741827" name="officeArt object" descr="image2.png"/>
          <wp:cNvGraphicFramePr/>
          <a:graphic xmlns:a="http://schemas.openxmlformats.org/drawingml/2006/main">
            <a:graphicData uri="http://schemas.openxmlformats.org/drawingml/2006/picture">
              <pic:pic xmlns:pic="http://schemas.openxmlformats.org/drawingml/2006/picture">
                <pic:nvPicPr>
                  <pic:cNvPr id="1073741827" name="image2.png" descr="image2.png"/>
                  <pic:cNvPicPr>
                    <a:picLocks noChangeAspect="1"/>
                  </pic:cNvPicPr>
                </pic:nvPicPr>
                <pic:blipFill>
                  <a:blip r:embed="rId3">
                    <a:extLst/>
                  </a:blip>
                  <a:srcRect l="22485" t="22869" r="9610" b="26008"/>
                  <a:stretch>
                    <a:fillRect/>
                  </a:stretch>
                </pic:blipFill>
                <pic:spPr>
                  <a:xfrm>
                    <a:off x="0" y="0"/>
                    <a:ext cx="1743076" cy="542926"/>
                  </a:xfrm>
                  <a:prstGeom prst="rect">
                    <a:avLst/>
                  </a:prstGeom>
                  <a:ln w="12700" cap="flat">
                    <a:noFill/>
                    <a:miter lim="400000"/>
                  </a:ln>
                  <a:effectLst/>
                </pic:spPr>
              </pic:pic>
            </a:graphicData>
          </a:graphic>
        </wp:inline>
      </w:drawing>
    </w:r>
    <w:r>
      <w:rPr>
        <w:rStyle w:val="EgyiksemA"/>
      </w:rPr>
      <w:t xml:space="preserve">      </w:t>
    </w:r>
    <w:r>
      <w:rPr>
        <w:rStyle w:val="EgyiksemA"/>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3572F"/>
    <w:multiLevelType w:val="hybridMultilevel"/>
    <w:tmpl w:val="26107FFE"/>
    <w:numStyleLink w:val="Importlt2stlus"/>
  </w:abstractNum>
  <w:abstractNum w:abstractNumId="1" w15:restartNumberingAfterBreak="0">
    <w:nsid w:val="0E1A2B62"/>
    <w:multiLevelType w:val="hybridMultilevel"/>
    <w:tmpl w:val="AFAAB626"/>
    <w:numStyleLink w:val="Importlt8stlus"/>
  </w:abstractNum>
  <w:abstractNum w:abstractNumId="2" w15:restartNumberingAfterBreak="0">
    <w:nsid w:val="2AAD74AA"/>
    <w:multiLevelType w:val="hybridMultilevel"/>
    <w:tmpl w:val="D8EA20EC"/>
    <w:numStyleLink w:val="Importlt1stlus"/>
  </w:abstractNum>
  <w:abstractNum w:abstractNumId="3" w15:restartNumberingAfterBreak="0">
    <w:nsid w:val="2C847C04"/>
    <w:multiLevelType w:val="hybridMultilevel"/>
    <w:tmpl w:val="F176CB3E"/>
    <w:numStyleLink w:val="Importlt5stlus"/>
  </w:abstractNum>
  <w:abstractNum w:abstractNumId="4" w15:restartNumberingAfterBreak="0">
    <w:nsid w:val="30B07CE0"/>
    <w:multiLevelType w:val="hybridMultilevel"/>
    <w:tmpl w:val="BD8084F8"/>
    <w:styleLink w:val="Importlt10stlus"/>
    <w:lvl w:ilvl="0" w:tplc="92927F48">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84F2DB14">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1F94D9FC">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22825B08">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CD4A199E">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168A27D4">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708C428E">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C340F352">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57781966">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1AD73D3"/>
    <w:multiLevelType w:val="hybridMultilevel"/>
    <w:tmpl w:val="6936BB6C"/>
    <w:styleLink w:val="Importlt3stlus"/>
    <w:lvl w:ilvl="0" w:tplc="AEB03CA6">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0E0A0F9C">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45645C50">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F424BE3A">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3842AE8A">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7730FC36">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6F907514">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06FC6D24">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646C09D4">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396FE3"/>
    <w:multiLevelType w:val="hybridMultilevel"/>
    <w:tmpl w:val="85A6A73C"/>
    <w:numStyleLink w:val="Importlt4stlus"/>
  </w:abstractNum>
  <w:abstractNum w:abstractNumId="7" w15:restartNumberingAfterBreak="0">
    <w:nsid w:val="3B68368C"/>
    <w:multiLevelType w:val="hybridMultilevel"/>
    <w:tmpl w:val="6936BB6C"/>
    <w:numStyleLink w:val="Importlt3stlus"/>
  </w:abstractNum>
  <w:abstractNum w:abstractNumId="8" w15:restartNumberingAfterBreak="0">
    <w:nsid w:val="48E53511"/>
    <w:multiLevelType w:val="hybridMultilevel"/>
    <w:tmpl w:val="CA0818D6"/>
    <w:numStyleLink w:val="Importlt7stlus"/>
  </w:abstractNum>
  <w:abstractNum w:abstractNumId="9" w15:restartNumberingAfterBreak="0">
    <w:nsid w:val="494B75D7"/>
    <w:multiLevelType w:val="hybridMultilevel"/>
    <w:tmpl w:val="F176CB3E"/>
    <w:styleLink w:val="Importlt5stlus"/>
    <w:lvl w:ilvl="0" w:tplc="81A66110">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0004D276">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9D80C834">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1BD88322">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5270F9E4">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228A5218">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E03C08FC">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F72E4036">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BDC24432">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9B0175B"/>
    <w:multiLevelType w:val="hybridMultilevel"/>
    <w:tmpl w:val="85A6A73C"/>
    <w:styleLink w:val="Importlt4stlus"/>
    <w:lvl w:ilvl="0" w:tplc="23CA5394">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AAD40FCA">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2E40CBEA">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686EE220">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7B4C91FE">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526453D4">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7F740C12">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5440A6D2">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37F63F1A">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B7F0058"/>
    <w:multiLevelType w:val="hybridMultilevel"/>
    <w:tmpl w:val="317239DC"/>
    <w:numStyleLink w:val="Importlt6stlus"/>
  </w:abstractNum>
  <w:abstractNum w:abstractNumId="12" w15:restartNumberingAfterBreak="0">
    <w:nsid w:val="4BFE0EA2"/>
    <w:multiLevelType w:val="hybridMultilevel"/>
    <w:tmpl w:val="42D45486"/>
    <w:styleLink w:val="Importlt9stlus"/>
    <w:lvl w:ilvl="0" w:tplc="2070B58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8961CFA">
      <w:start w:val="1"/>
      <w:numFmt w:val="bullet"/>
      <w:lvlText w:val="○"/>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E26BBF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2FCF5D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8C243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A5ECD76">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6580CA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BCE36A0">
      <w:start w:val="1"/>
      <w:numFmt w:val="bullet"/>
      <w:lvlText w:val="○"/>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1347E5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D417FE4"/>
    <w:multiLevelType w:val="hybridMultilevel"/>
    <w:tmpl w:val="26107FFE"/>
    <w:styleLink w:val="Importlt2stlus"/>
    <w:lvl w:ilvl="0" w:tplc="91BED26A">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A4829896">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29608F1E">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ECF86730">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2FB0B782">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8BD88A28">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8A86B4B4">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0180FB26">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A3289D98">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1446062"/>
    <w:multiLevelType w:val="hybridMultilevel"/>
    <w:tmpl w:val="CA0818D6"/>
    <w:styleLink w:val="Importlt7stlus"/>
    <w:lvl w:ilvl="0" w:tplc="3104F41A">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4DC4C0F0">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2CF882E8">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968296CA">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2C0EA10C">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C778CD94">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5CF0E62C">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E3A4A3E8">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A54A9560">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0183C40"/>
    <w:multiLevelType w:val="hybridMultilevel"/>
    <w:tmpl w:val="317239DC"/>
    <w:styleLink w:val="Importlt6stlus"/>
    <w:lvl w:ilvl="0" w:tplc="FE48C8CA">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9AAE882E">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C5CA65B8">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BECC4A86">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5C50F5EE">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51383356">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AFBC720C">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CA48AEBE">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21B2F368">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C6947E1"/>
    <w:multiLevelType w:val="hybridMultilevel"/>
    <w:tmpl w:val="AFAAB626"/>
    <w:styleLink w:val="Importlt8stlus"/>
    <w:lvl w:ilvl="0" w:tplc="4F2A609E">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2042EAFE">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D0284918">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80AEF792">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5ADAD9CE">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59F68DAE">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C3DC62D0">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4A7861A8">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F5FEB874">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CEF60B4"/>
    <w:multiLevelType w:val="hybridMultilevel"/>
    <w:tmpl w:val="BD8084F8"/>
    <w:numStyleLink w:val="Importlt10stlus"/>
  </w:abstractNum>
  <w:abstractNum w:abstractNumId="18" w15:restartNumberingAfterBreak="0">
    <w:nsid w:val="71DE1B11"/>
    <w:multiLevelType w:val="hybridMultilevel"/>
    <w:tmpl w:val="42D45486"/>
    <w:numStyleLink w:val="Importlt9stlus"/>
  </w:abstractNum>
  <w:abstractNum w:abstractNumId="19" w15:restartNumberingAfterBreak="0">
    <w:nsid w:val="73F561CB"/>
    <w:multiLevelType w:val="hybridMultilevel"/>
    <w:tmpl w:val="D8EA20EC"/>
    <w:styleLink w:val="Importlt1stlus"/>
    <w:lvl w:ilvl="0" w:tplc="491AF0F2">
      <w:start w:val="1"/>
      <w:numFmt w:val="bullet"/>
      <w:lvlText w:val="-"/>
      <w:lvlJc w:val="left"/>
      <w:pPr>
        <w:ind w:left="7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1" w:tplc="01DA680A">
      <w:start w:val="1"/>
      <w:numFmt w:val="bullet"/>
      <w:lvlText w:val="-"/>
      <w:lvlJc w:val="left"/>
      <w:pPr>
        <w:ind w:left="14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2" w:tplc="A8987128">
      <w:start w:val="1"/>
      <w:numFmt w:val="bullet"/>
      <w:lvlText w:val="-"/>
      <w:lvlJc w:val="left"/>
      <w:pPr>
        <w:ind w:left="21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3" w:tplc="7EBECC60">
      <w:start w:val="1"/>
      <w:numFmt w:val="bullet"/>
      <w:lvlText w:val="-"/>
      <w:lvlJc w:val="left"/>
      <w:pPr>
        <w:ind w:left="28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4" w:tplc="2B18AA6C">
      <w:start w:val="1"/>
      <w:numFmt w:val="bullet"/>
      <w:lvlText w:val="-"/>
      <w:lvlJc w:val="left"/>
      <w:pPr>
        <w:ind w:left="360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5" w:tplc="8B2A65BC">
      <w:start w:val="1"/>
      <w:numFmt w:val="bullet"/>
      <w:lvlText w:val="-"/>
      <w:lvlJc w:val="left"/>
      <w:pPr>
        <w:ind w:left="432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6" w:tplc="4844E7A8">
      <w:start w:val="1"/>
      <w:numFmt w:val="bullet"/>
      <w:lvlText w:val="-"/>
      <w:lvlJc w:val="left"/>
      <w:pPr>
        <w:ind w:left="504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7" w:tplc="CEEA679A">
      <w:start w:val="1"/>
      <w:numFmt w:val="bullet"/>
      <w:lvlText w:val="-"/>
      <w:lvlJc w:val="left"/>
      <w:pPr>
        <w:ind w:left="576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lvl w:ilvl="8" w:tplc="1564FFEE">
      <w:start w:val="1"/>
      <w:numFmt w:val="bullet"/>
      <w:lvlText w:val="-"/>
      <w:lvlJc w:val="left"/>
      <w:pPr>
        <w:ind w:left="6480" w:hanging="360"/>
      </w:pPr>
      <w:rPr>
        <w:rFonts w:ascii="Times New Roman" w:eastAsia="Times New Roman" w:hAnsi="Times New Roman" w:cs="Times New Roman"/>
        <w:b w:val="0"/>
        <w:bCs w:val="0"/>
        <w:i/>
        <w:iCs/>
        <w:caps w:val="0"/>
        <w:smallCaps w:val="0"/>
        <w:strike w:val="0"/>
        <w:dstrike w:val="0"/>
        <w:outline w:val="0"/>
        <w:emboss w:val="0"/>
        <w:imprint w:val="0"/>
        <w:spacing w:val="0"/>
        <w:w w:val="100"/>
        <w:kern w:val="0"/>
        <w:position w:val="0"/>
        <w:highlight w:val="none"/>
        <w:vertAlign w:val="baseline"/>
      </w:rPr>
    </w:lvl>
  </w:abstractNum>
  <w:num w:numId="1">
    <w:abstractNumId w:val="19"/>
  </w:num>
  <w:num w:numId="2">
    <w:abstractNumId w:val="2"/>
  </w:num>
  <w:num w:numId="3">
    <w:abstractNumId w:val="13"/>
  </w:num>
  <w:num w:numId="4">
    <w:abstractNumId w:val="0"/>
  </w:num>
  <w:num w:numId="5">
    <w:abstractNumId w:val="5"/>
  </w:num>
  <w:num w:numId="6">
    <w:abstractNumId w:val="7"/>
  </w:num>
  <w:num w:numId="7">
    <w:abstractNumId w:val="10"/>
  </w:num>
  <w:num w:numId="8">
    <w:abstractNumId w:val="6"/>
  </w:num>
  <w:num w:numId="9">
    <w:abstractNumId w:val="9"/>
  </w:num>
  <w:num w:numId="10">
    <w:abstractNumId w:val="3"/>
  </w:num>
  <w:num w:numId="11">
    <w:abstractNumId w:val="15"/>
  </w:num>
  <w:num w:numId="12">
    <w:abstractNumId w:val="11"/>
  </w:num>
  <w:num w:numId="13">
    <w:abstractNumId w:val="14"/>
  </w:num>
  <w:num w:numId="14">
    <w:abstractNumId w:val="8"/>
  </w:num>
  <w:num w:numId="15">
    <w:abstractNumId w:val="16"/>
  </w:num>
  <w:num w:numId="16">
    <w:abstractNumId w:val="1"/>
  </w:num>
  <w:num w:numId="17">
    <w:abstractNumId w:val="12"/>
  </w:num>
  <w:num w:numId="18">
    <w:abstractNumId w:val="18"/>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2AC"/>
    <w:rsid w:val="001E6068"/>
    <w:rsid w:val="006C1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066A30-0DB3-4FC9-81F7-FC341E58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ejlcslblc">
    <w:name w:val="Fejléc és lábléc"/>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SzvegtrzsA">
    <w:name w:val="Szövegtörzs A"/>
    <w:pPr>
      <w:spacing w:line="276" w:lineRule="auto"/>
    </w:pPr>
    <w:rPr>
      <w:rFonts w:ascii="Arial" w:hAnsi="Arial" w:cs="Arial Unicode MS"/>
      <w:color w:val="000000"/>
      <w:sz w:val="22"/>
      <w:szCs w:val="22"/>
      <w:u w:color="000000"/>
      <w14:textOutline w14:w="12700" w14:cap="flat" w14:cmpd="sng" w14:algn="ctr">
        <w14:noFill/>
        <w14:prstDash w14:val="solid"/>
        <w14:miter w14:lim="400000"/>
      </w14:textOutline>
    </w:rPr>
  </w:style>
  <w:style w:type="character" w:customStyle="1" w:styleId="Egyiksem">
    <w:name w:val="Egyik sem"/>
  </w:style>
  <w:style w:type="character" w:customStyle="1" w:styleId="EgyiksemA">
    <w:name w:val="Egyik sem A"/>
    <w:basedOn w:val="Egyiksem"/>
  </w:style>
  <w:style w:type="character" w:customStyle="1" w:styleId="Hyperlink0">
    <w:name w:val="Hyperlink.0"/>
    <w:basedOn w:val="Egyiksem"/>
    <w:rPr>
      <w:rFonts w:ascii="Times New Roman" w:eastAsia="Times New Roman" w:hAnsi="Times New Roman" w:cs="Times New Roman"/>
      <w:outline w:val="0"/>
      <w:color w:val="1155CC"/>
      <w:sz w:val="20"/>
      <w:szCs w:val="20"/>
      <w:u w:val="single" w:color="1155CC"/>
      <w:lang w:val="en-US"/>
    </w:rPr>
  </w:style>
  <w:style w:type="numbering" w:customStyle="1" w:styleId="Importlt1stlus">
    <w:name w:val="Importált 1 stílus"/>
    <w:pPr>
      <w:numPr>
        <w:numId w:val="1"/>
      </w:numPr>
    </w:pPr>
  </w:style>
  <w:style w:type="numbering" w:customStyle="1" w:styleId="Importlt2stlus">
    <w:name w:val="Importált 2 stílus"/>
    <w:pPr>
      <w:numPr>
        <w:numId w:val="3"/>
      </w:numPr>
    </w:pPr>
  </w:style>
  <w:style w:type="character" w:customStyle="1" w:styleId="Hyperlink1">
    <w:name w:val="Hyperlink.1"/>
    <w:basedOn w:val="Egyiksem"/>
    <w:rPr>
      <w:rFonts w:ascii="Times New Roman" w:eastAsia="Times New Roman" w:hAnsi="Times New Roman" w:cs="Times New Roman"/>
      <w:outline w:val="0"/>
      <w:color w:val="1155CC"/>
      <w:sz w:val="20"/>
      <w:szCs w:val="20"/>
      <w:u w:val="single" w:color="1155CC"/>
    </w:rPr>
  </w:style>
  <w:style w:type="character" w:customStyle="1" w:styleId="Hyperlink2">
    <w:name w:val="Hyperlink.2"/>
    <w:basedOn w:val="Egyiksem"/>
    <w:rPr>
      <w:rFonts w:ascii="Times New Roman" w:eastAsia="Times New Roman" w:hAnsi="Times New Roman" w:cs="Times New Roman"/>
      <w:outline w:val="0"/>
      <w:color w:val="1155CC"/>
      <w:sz w:val="20"/>
      <w:szCs w:val="20"/>
      <w:u w:val="single" w:color="1155CC"/>
      <w:lang w:val="nl-NL"/>
    </w:rPr>
  </w:style>
  <w:style w:type="numbering" w:customStyle="1" w:styleId="Importlt3stlus">
    <w:name w:val="Importált 3 stílus"/>
    <w:pPr>
      <w:numPr>
        <w:numId w:val="5"/>
      </w:numPr>
    </w:pPr>
  </w:style>
  <w:style w:type="numbering" w:customStyle="1" w:styleId="Importlt4stlus">
    <w:name w:val="Importált 4 stílus"/>
    <w:pPr>
      <w:numPr>
        <w:numId w:val="7"/>
      </w:numPr>
    </w:pPr>
  </w:style>
  <w:style w:type="numbering" w:customStyle="1" w:styleId="Importlt5stlus">
    <w:name w:val="Importált 5 stílus"/>
    <w:pPr>
      <w:numPr>
        <w:numId w:val="9"/>
      </w:numPr>
    </w:pPr>
  </w:style>
  <w:style w:type="numbering" w:customStyle="1" w:styleId="Importlt6stlus">
    <w:name w:val="Importált 6 stílus"/>
    <w:pPr>
      <w:numPr>
        <w:numId w:val="11"/>
      </w:numPr>
    </w:pPr>
  </w:style>
  <w:style w:type="numbering" w:customStyle="1" w:styleId="Importlt7stlus">
    <w:name w:val="Importált 7 stílus"/>
    <w:pPr>
      <w:numPr>
        <w:numId w:val="13"/>
      </w:numPr>
    </w:pPr>
  </w:style>
  <w:style w:type="character" w:customStyle="1" w:styleId="Hyperlink3">
    <w:name w:val="Hyperlink.3"/>
    <w:basedOn w:val="Egyiksem"/>
    <w:rPr>
      <w:rFonts w:ascii="Times New Roman" w:eastAsia="Times New Roman" w:hAnsi="Times New Roman" w:cs="Times New Roman"/>
      <w:outline w:val="0"/>
      <w:color w:val="0000FF"/>
      <w:sz w:val="20"/>
      <w:szCs w:val="20"/>
      <w:u w:val="single" w:color="0000FF"/>
    </w:rPr>
  </w:style>
  <w:style w:type="numbering" w:customStyle="1" w:styleId="Importlt8stlus">
    <w:name w:val="Importált 8 stílus"/>
    <w:pPr>
      <w:numPr>
        <w:numId w:val="15"/>
      </w:numPr>
    </w:pPr>
  </w:style>
  <w:style w:type="numbering" w:customStyle="1" w:styleId="Importlt9stlus">
    <w:name w:val="Importált 9 stílus"/>
    <w:pPr>
      <w:numPr>
        <w:numId w:val="17"/>
      </w:numPr>
    </w:pPr>
  </w:style>
  <w:style w:type="numbering" w:customStyle="1" w:styleId="Importlt10stlus">
    <w:name w:val="Importált 10 stílus"/>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IANg9226Aro&amp;feature=emb_logo" TargetMode="External"/><Relationship Id="rId13" Type="http://schemas.openxmlformats.org/officeDocument/2006/relationships/hyperlink" Target="https://data.ipu.org/women-ranking?month=1&amp;year=2021" TargetMode="External"/><Relationship Id="rId18" Type="http://schemas.openxmlformats.org/officeDocument/2006/relationships/hyperlink" Target="https://www.ec-ec.org/european-commission-decision-grants-120-million-women-direct-access-to-ellaone/" TargetMode="External"/><Relationship Id="rId26" Type="http://schemas.openxmlformats.org/officeDocument/2006/relationships/hyperlink" Target="http://abouthungary.hu/blog/hungarys-family-protection-action-plan-its-coming-july/" TargetMode="External"/><Relationship Id="rId3" Type="http://schemas.openxmlformats.org/officeDocument/2006/relationships/hyperlink" Target="https://www.parlament.hu/web/kulturalis-bizottsag/albizottsagok?p_p_id=hu_parlament_cms_pair_portlet_PairProxy_INSTANCE_9xd2Wc9jP4z8&amp;p_p_lifecycle=1&amp;p_p_state=normal&amp;p_p_mode=view&amp;p_auth=muJtymia&amp;_hu_parlament_cms_pair_portlet_PairProxy_INSTANCE_9xd2Wc9jP4z8_pairAction=%25252Finternet%25252Fcplsql%25252Fogy_biz.biz_adat_uj%25253FP_Ckl%25253D41%252526P_Biz%25253DA491" TargetMode="External"/><Relationship Id="rId21" Type="http://schemas.openxmlformats.org/officeDocument/2006/relationships/hyperlink" Target="https://444.hu/2017/02/09/ket-korhaz-a-kormanytol-kapott-penzert-cserebe-vallalta-hogy-nem-vegez-abortuszt" TargetMode="External"/><Relationship Id="rId7" Type="http://schemas.openxmlformats.org/officeDocument/2006/relationships/hyperlink" Target="https://insighthungary.444.hu/2020/12/14/conservative-backlash-against-womens-rights-in-hungary" TargetMode="External"/><Relationship Id="rId12" Type="http://schemas.openxmlformats.org/officeDocument/2006/relationships/hyperlink" Target="https://eige.europa.eu/sites/default/files/documents/2017.7328_en_03_hungary.pdf" TargetMode="External"/><Relationship Id="rId17" Type="http://schemas.openxmlformats.org/officeDocument/2006/relationships/hyperlink" Target="https://www.ipsos.com/sites/default/files/ct/news/documents/2020-03/international-womens-day-global-views-on-gender-equality-and-acceptable-behavior-in-the-workplace-us.pdf" TargetMode="External"/><Relationship Id="rId25" Type="http://schemas.openxmlformats.org/officeDocument/2006/relationships/hyperlink" Target="https://www.hhs.gov/about/news/2020/10/22/trump-administration-marks-signing-geneva-consensus-declaration.html" TargetMode="External"/><Relationship Id="rId2" Type="http://schemas.openxmlformats.org/officeDocument/2006/relationships/hyperlink" Target="https://www.equalitylaw.eu/downloads/5304-hungary-draft-bill-submitted-on-abolishing-the-equal-treatment-authority-and-transferring-its-tasks-to-the-ombudsman-105-kb" TargetMode="External"/><Relationship Id="rId16" Type="http://schemas.openxmlformats.org/officeDocument/2006/relationships/hyperlink" Target="https://www.amnesty.org/download/Documents/EUR2723782020ENGLISH.PDF" TargetMode="External"/><Relationship Id="rId20" Type="http://schemas.openxmlformats.org/officeDocument/2006/relationships/hyperlink" Target="http://abortusz.info/kutatas/2014/item/download/12_5e43f66859209e6bfe84185a8cd22234" TargetMode="External"/><Relationship Id="rId1" Type="http://schemas.openxmlformats.org/officeDocument/2006/relationships/hyperlink" Target="http://njt.hu/cgi_bin/njt_doc.cgi?docid=208417.391857" TargetMode="External"/><Relationship Id="rId6" Type="http://schemas.openxmlformats.org/officeDocument/2006/relationships/hyperlink" Target="https://insighthungary.444.hu/2020/12/14/conservative-backlash-against-womens-rights-in-hungary" TargetMode="External"/><Relationship Id="rId11" Type="http://schemas.openxmlformats.org/officeDocument/2006/relationships/hyperlink" Target="https://stopgenderconvention.org/en/" TargetMode="External"/><Relationship Id="rId24" Type="http://schemas.openxmlformats.org/officeDocument/2006/relationships/hyperlink" Target="https://www.life.hu/eletmod/20160419-romanok-helyzete-es-lehetosegei-a-magyar-szuleszeti-ellatasban-szuleteshaz-egyesulet.html" TargetMode="External"/><Relationship Id="rId5" Type="http://schemas.openxmlformats.org/officeDocument/2006/relationships/hyperlink" Target="http://njt.hu/cgi_bin/njt_doc.cgi?docid=222314.390502" TargetMode="External"/><Relationship Id="rId15" Type="http://schemas.openxmlformats.org/officeDocument/2006/relationships/hyperlink" Target="http://politicalcritique.org/cee/hungary/2017/sexism-and-racism-the-new-hungarian-schoolbooks-teach-everything-you-dont-want-your-child-to-learn/" TargetMode="External"/><Relationship Id="rId23" Type="http://schemas.openxmlformats.org/officeDocument/2006/relationships/hyperlink" Target="http://www.youngfeminist.eu/2016/08/stop-bawling-obstetric-violence-in-hungary/" TargetMode="External"/><Relationship Id="rId10" Type="http://schemas.openxmlformats.org/officeDocument/2006/relationships/hyperlink" Target="https://www.parlament.hu/irom41/10393/10393.pdf" TargetMode="External"/><Relationship Id="rId19" Type="http://schemas.openxmlformats.org/officeDocument/2006/relationships/hyperlink" Target="http://abortusz.info/tenyek-az-abortuszrol/item/252-abortusztabletta-1" TargetMode="External"/><Relationship Id="rId4" Type="http://schemas.openxmlformats.org/officeDocument/2006/relationships/hyperlink" Target="http://njt.hu/cgi_bin/njt_doc.cgi?docid=134035.194182" TargetMode="External"/><Relationship Id="rId9" Type="http://schemas.openxmlformats.org/officeDocument/2006/relationships/hyperlink" Target="http://abouthungary.hu/blog/yes-to-protection-of-women-no-to-gender-ideology-and-illegal-migration/" TargetMode="External"/><Relationship Id="rId14" Type="http://schemas.openxmlformats.org/officeDocument/2006/relationships/hyperlink" Target="https://kormany.hu/a-kormany-tagjai" TargetMode="External"/><Relationship Id="rId22" Type="http://schemas.openxmlformats.org/officeDocument/2006/relationships/hyperlink" Target="https://rontgen.444.hu/2019/03/18/meregdraga-tanfolyamon-stromankent-hasznalja-az-emmi-a-katolikus-szeretetszolgalato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A72E07-CFCA-4174-B77A-3C339AF4AA16}"/>
</file>

<file path=customXml/itemProps2.xml><?xml version="1.0" encoding="utf-8"?>
<ds:datastoreItem xmlns:ds="http://schemas.openxmlformats.org/officeDocument/2006/customXml" ds:itemID="{98DA6986-8F7C-4E76-9FBA-E7E951A77487}"/>
</file>

<file path=customXml/itemProps3.xml><?xml version="1.0" encoding="utf-8"?>
<ds:datastoreItem xmlns:ds="http://schemas.openxmlformats.org/officeDocument/2006/customXml" ds:itemID="{4E268919-BE52-4738-A1F8-3AEDB54690F4}"/>
</file>

<file path=docProps/app.xml><?xml version="1.0" encoding="utf-8"?>
<Properties xmlns="http://schemas.openxmlformats.org/officeDocument/2006/extended-properties" xmlns:vt="http://schemas.openxmlformats.org/officeDocument/2006/docPropsVTypes">
  <Template>Normal.dotm</Template>
  <TotalTime>2</TotalTime>
  <Pages>13</Pages>
  <Words>5348</Words>
  <Characters>30486</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2021-03-10T16:53:00Z</dcterms:created>
  <dcterms:modified xsi:type="dcterms:W3CDTF">2021-03-10T16:53:00Z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