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0DD78298" w:rsidR="00AB49B3" w:rsidRPr="00420E49" w:rsidRDefault="00436450" w:rsidP="00EA2D9A">
      <w:pPr>
        <w:pStyle w:val="Ttulo1"/>
        <w:jc w:val="center"/>
      </w:pPr>
      <w:sdt>
        <w:sdtPr>
          <w:tag w:val="goog_rdk_0"/>
          <w:id w:val="-644507110"/>
          <w:showingPlcHdr/>
        </w:sdtPr>
        <w:sdtContent>
          <w:r w:rsidR="00182D7B">
            <w:t xml:space="preserve">    </w:t>
          </w:r>
          <w:bookmarkStart w:id="0" w:name="_Toc173415414"/>
          <w:r w:rsidR="00182D7B">
            <w:t xml:space="preserve"> </w:t>
          </w:r>
        </w:sdtContent>
      </w:sdt>
      <w:r w:rsidRPr="00420E49">
        <w:t>INFORME ALTERNATIVO PARA EL COMITÉ DE DERECHOS DEL NIÑO</w:t>
      </w:r>
      <w:bookmarkEnd w:id="0"/>
    </w:p>
    <w:p w14:paraId="00000002" w14:textId="77777777" w:rsidR="00AB49B3" w:rsidRPr="00420E49" w:rsidRDefault="00436450" w:rsidP="00EA2D9A">
      <w:pPr>
        <w:pStyle w:val="Ttulo1"/>
        <w:jc w:val="center"/>
      </w:pPr>
      <w:bookmarkStart w:id="1" w:name="_Toc173415415"/>
      <w:r w:rsidRPr="00420E49">
        <w:t>PERÚ</w:t>
      </w:r>
      <w:bookmarkEnd w:id="1"/>
    </w:p>
    <w:p w14:paraId="00000003" w14:textId="77777777" w:rsidR="00AB49B3" w:rsidRPr="00420E49" w:rsidRDefault="00436450" w:rsidP="00EA2D9A">
      <w:pPr>
        <w:pStyle w:val="Ttulo1"/>
        <w:jc w:val="center"/>
      </w:pPr>
      <w:bookmarkStart w:id="2" w:name="_Toc173415416"/>
      <w:r w:rsidRPr="00420E49">
        <w:t>JULIO 2024</w:t>
      </w:r>
      <w:bookmarkEnd w:id="2"/>
    </w:p>
    <w:p w14:paraId="00000004" w14:textId="77777777" w:rsidR="00AB49B3" w:rsidRPr="00420E49" w:rsidRDefault="00436450" w:rsidP="00637001">
      <w:pPr>
        <w:jc w:val="both"/>
        <w:rPr>
          <w:b/>
        </w:rPr>
      </w:pPr>
      <w:bookmarkStart w:id="3" w:name="_heading=h.3znysh7" w:colFirst="0" w:colLast="0"/>
      <w:bookmarkEnd w:id="3"/>
      <w:r w:rsidRPr="00420E49">
        <w:br w:type="page"/>
      </w:r>
    </w:p>
    <w:sdt>
      <w:sdtPr>
        <w:rPr>
          <w:lang w:val="es-ES"/>
        </w:rPr>
        <w:id w:val="-1637793670"/>
        <w:docPartObj>
          <w:docPartGallery w:val="Table of Contents"/>
          <w:docPartUnique/>
        </w:docPartObj>
      </w:sdtPr>
      <w:sdtEndPr>
        <w:rPr>
          <w:rFonts w:ascii="Calibri" w:eastAsia="Calibri" w:hAnsi="Calibri" w:cs="Calibri"/>
          <w:b/>
          <w:bCs/>
          <w:color w:val="auto"/>
          <w:sz w:val="22"/>
          <w:szCs w:val="22"/>
        </w:rPr>
      </w:sdtEndPr>
      <w:sdtContent>
        <w:p w14:paraId="67D26086" w14:textId="7FBB4AC8" w:rsidR="00BD1D3E" w:rsidRPr="00BD1D3E" w:rsidRDefault="00BD1D3E">
          <w:pPr>
            <w:pStyle w:val="TtuloTDC"/>
            <w:rPr>
              <w:color w:val="auto"/>
            </w:rPr>
          </w:pPr>
          <w:r w:rsidRPr="00BD1D3E">
            <w:rPr>
              <w:color w:val="auto"/>
              <w:lang w:val="es-ES"/>
            </w:rPr>
            <w:t>Contenido</w:t>
          </w:r>
        </w:p>
        <w:bookmarkStart w:id="4" w:name="_GoBack"/>
        <w:bookmarkEnd w:id="4"/>
        <w:p w14:paraId="086A97EE" w14:textId="2DD7E0E7" w:rsidR="0093015A" w:rsidRDefault="00BD1D3E">
          <w:pPr>
            <w:pStyle w:val="TDC1"/>
            <w:tabs>
              <w:tab w:val="right" w:leader="dot" w:pos="8828"/>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173415414" w:history="1">
            <w:r w:rsidR="0093015A" w:rsidRPr="00332AEB">
              <w:rPr>
                <w:rStyle w:val="Hipervnculo"/>
                <w:noProof/>
              </w:rPr>
              <w:t xml:space="preserve"> INFORME ALTERNATIVO PARA EL COMITÉ DE DERECHOS DEL NIÑO</w:t>
            </w:r>
            <w:r w:rsidR="0093015A">
              <w:rPr>
                <w:noProof/>
                <w:webHidden/>
              </w:rPr>
              <w:tab/>
            </w:r>
            <w:r w:rsidR="0093015A">
              <w:rPr>
                <w:noProof/>
                <w:webHidden/>
              </w:rPr>
              <w:fldChar w:fldCharType="begin"/>
            </w:r>
            <w:r w:rsidR="0093015A">
              <w:rPr>
                <w:noProof/>
                <w:webHidden/>
              </w:rPr>
              <w:instrText xml:space="preserve"> PAGEREF _Toc173415414 \h </w:instrText>
            </w:r>
            <w:r w:rsidR="0093015A">
              <w:rPr>
                <w:noProof/>
                <w:webHidden/>
              </w:rPr>
            </w:r>
            <w:r w:rsidR="0093015A">
              <w:rPr>
                <w:noProof/>
                <w:webHidden/>
              </w:rPr>
              <w:fldChar w:fldCharType="separate"/>
            </w:r>
            <w:r w:rsidR="0093015A">
              <w:rPr>
                <w:noProof/>
                <w:webHidden/>
              </w:rPr>
              <w:t>1</w:t>
            </w:r>
            <w:r w:rsidR="0093015A">
              <w:rPr>
                <w:noProof/>
                <w:webHidden/>
              </w:rPr>
              <w:fldChar w:fldCharType="end"/>
            </w:r>
          </w:hyperlink>
        </w:p>
        <w:p w14:paraId="7C532ED1" w14:textId="5C4465AA" w:rsidR="0093015A" w:rsidRDefault="0093015A">
          <w:pPr>
            <w:pStyle w:val="TDC1"/>
            <w:tabs>
              <w:tab w:val="right" w:leader="dot" w:pos="8828"/>
            </w:tabs>
            <w:rPr>
              <w:rFonts w:asciiTheme="minorHAnsi" w:eastAsiaTheme="minorEastAsia" w:hAnsiTheme="minorHAnsi" w:cstheme="minorBidi"/>
              <w:noProof/>
              <w:lang w:val="en-US"/>
            </w:rPr>
          </w:pPr>
          <w:hyperlink w:anchor="_Toc173415415" w:history="1">
            <w:r w:rsidRPr="00332AEB">
              <w:rPr>
                <w:rStyle w:val="Hipervnculo"/>
                <w:noProof/>
              </w:rPr>
              <w:t>PERÚ</w:t>
            </w:r>
            <w:r>
              <w:rPr>
                <w:noProof/>
                <w:webHidden/>
              </w:rPr>
              <w:tab/>
            </w:r>
            <w:r>
              <w:rPr>
                <w:noProof/>
                <w:webHidden/>
              </w:rPr>
              <w:fldChar w:fldCharType="begin"/>
            </w:r>
            <w:r>
              <w:rPr>
                <w:noProof/>
                <w:webHidden/>
              </w:rPr>
              <w:instrText xml:space="preserve"> PAGEREF _Toc173415415 \h </w:instrText>
            </w:r>
            <w:r>
              <w:rPr>
                <w:noProof/>
                <w:webHidden/>
              </w:rPr>
            </w:r>
            <w:r>
              <w:rPr>
                <w:noProof/>
                <w:webHidden/>
              </w:rPr>
              <w:fldChar w:fldCharType="separate"/>
            </w:r>
            <w:r>
              <w:rPr>
                <w:noProof/>
                <w:webHidden/>
              </w:rPr>
              <w:t>1</w:t>
            </w:r>
            <w:r>
              <w:rPr>
                <w:noProof/>
                <w:webHidden/>
              </w:rPr>
              <w:fldChar w:fldCharType="end"/>
            </w:r>
          </w:hyperlink>
        </w:p>
        <w:p w14:paraId="1E381252" w14:textId="7E6D5599" w:rsidR="0093015A" w:rsidRDefault="0093015A">
          <w:pPr>
            <w:pStyle w:val="TDC1"/>
            <w:tabs>
              <w:tab w:val="right" w:leader="dot" w:pos="8828"/>
            </w:tabs>
            <w:rPr>
              <w:rFonts w:asciiTheme="minorHAnsi" w:eastAsiaTheme="minorEastAsia" w:hAnsiTheme="minorHAnsi" w:cstheme="minorBidi"/>
              <w:noProof/>
              <w:lang w:val="en-US"/>
            </w:rPr>
          </w:pPr>
          <w:hyperlink w:anchor="_Toc173415416" w:history="1">
            <w:r w:rsidRPr="00332AEB">
              <w:rPr>
                <w:rStyle w:val="Hipervnculo"/>
                <w:noProof/>
              </w:rPr>
              <w:t>JULIO 2024</w:t>
            </w:r>
            <w:r>
              <w:rPr>
                <w:noProof/>
                <w:webHidden/>
              </w:rPr>
              <w:tab/>
            </w:r>
            <w:r>
              <w:rPr>
                <w:noProof/>
                <w:webHidden/>
              </w:rPr>
              <w:fldChar w:fldCharType="begin"/>
            </w:r>
            <w:r>
              <w:rPr>
                <w:noProof/>
                <w:webHidden/>
              </w:rPr>
              <w:instrText xml:space="preserve"> PAGEREF _Toc173415416 \h </w:instrText>
            </w:r>
            <w:r>
              <w:rPr>
                <w:noProof/>
                <w:webHidden/>
              </w:rPr>
            </w:r>
            <w:r>
              <w:rPr>
                <w:noProof/>
                <w:webHidden/>
              </w:rPr>
              <w:fldChar w:fldCharType="separate"/>
            </w:r>
            <w:r>
              <w:rPr>
                <w:noProof/>
                <w:webHidden/>
              </w:rPr>
              <w:t>1</w:t>
            </w:r>
            <w:r>
              <w:rPr>
                <w:noProof/>
                <w:webHidden/>
              </w:rPr>
              <w:fldChar w:fldCharType="end"/>
            </w:r>
          </w:hyperlink>
        </w:p>
        <w:p w14:paraId="68239A25" w14:textId="17DCF644" w:rsidR="0093015A" w:rsidRDefault="0093015A">
          <w:pPr>
            <w:pStyle w:val="TDC2"/>
            <w:tabs>
              <w:tab w:val="right" w:leader="dot" w:pos="8828"/>
            </w:tabs>
            <w:rPr>
              <w:rFonts w:asciiTheme="minorHAnsi" w:eastAsiaTheme="minorEastAsia" w:hAnsiTheme="minorHAnsi" w:cstheme="minorBidi"/>
              <w:noProof/>
              <w:lang w:val="en-US"/>
            </w:rPr>
          </w:pPr>
          <w:hyperlink w:anchor="_Toc173415417" w:history="1">
            <w:r w:rsidRPr="00332AEB">
              <w:rPr>
                <w:rStyle w:val="Hipervnculo"/>
                <w:b/>
                <w:noProof/>
              </w:rPr>
              <w:t>INTRODUCCIÓN</w:t>
            </w:r>
            <w:r>
              <w:rPr>
                <w:noProof/>
                <w:webHidden/>
              </w:rPr>
              <w:tab/>
            </w:r>
            <w:r>
              <w:rPr>
                <w:noProof/>
                <w:webHidden/>
              </w:rPr>
              <w:fldChar w:fldCharType="begin"/>
            </w:r>
            <w:r>
              <w:rPr>
                <w:noProof/>
                <w:webHidden/>
              </w:rPr>
              <w:instrText xml:space="preserve"> PAGEREF _Toc173415417 \h </w:instrText>
            </w:r>
            <w:r>
              <w:rPr>
                <w:noProof/>
                <w:webHidden/>
              </w:rPr>
            </w:r>
            <w:r>
              <w:rPr>
                <w:noProof/>
                <w:webHidden/>
              </w:rPr>
              <w:fldChar w:fldCharType="separate"/>
            </w:r>
            <w:r>
              <w:rPr>
                <w:noProof/>
                <w:webHidden/>
              </w:rPr>
              <w:t>3</w:t>
            </w:r>
            <w:r>
              <w:rPr>
                <w:noProof/>
                <w:webHidden/>
              </w:rPr>
              <w:fldChar w:fldCharType="end"/>
            </w:r>
          </w:hyperlink>
        </w:p>
        <w:p w14:paraId="38DD6CC9" w14:textId="478A8879" w:rsidR="0093015A" w:rsidRDefault="0093015A">
          <w:pPr>
            <w:pStyle w:val="TDC2"/>
            <w:tabs>
              <w:tab w:val="right" w:leader="dot" w:pos="8828"/>
            </w:tabs>
            <w:rPr>
              <w:rFonts w:asciiTheme="minorHAnsi" w:eastAsiaTheme="minorEastAsia" w:hAnsiTheme="minorHAnsi" w:cstheme="minorBidi"/>
              <w:noProof/>
              <w:lang w:val="en-US"/>
            </w:rPr>
          </w:pPr>
          <w:hyperlink w:anchor="_Toc173415418" w:history="1">
            <w:r w:rsidRPr="00332AEB">
              <w:rPr>
                <w:rStyle w:val="Hipervnculo"/>
                <w:b/>
                <w:noProof/>
              </w:rPr>
              <w:t>MEDIDAS GENERALES DE IMPLEMENTACIÓN (ARTÍCULOS 1, 4, 42 Y 44(6))</w:t>
            </w:r>
            <w:r>
              <w:rPr>
                <w:noProof/>
                <w:webHidden/>
              </w:rPr>
              <w:tab/>
            </w:r>
            <w:r>
              <w:rPr>
                <w:noProof/>
                <w:webHidden/>
              </w:rPr>
              <w:fldChar w:fldCharType="begin"/>
            </w:r>
            <w:r>
              <w:rPr>
                <w:noProof/>
                <w:webHidden/>
              </w:rPr>
              <w:instrText xml:space="preserve"> PAGEREF _Toc173415418 \h </w:instrText>
            </w:r>
            <w:r>
              <w:rPr>
                <w:noProof/>
                <w:webHidden/>
              </w:rPr>
            </w:r>
            <w:r>
              <w:rPr>
                <w:noProof/>
                <w:webHidden/>
              </w:rPr>
              <w:fldChar w:fldCharType="separate"/>
            </w:r>
            <w:r>
              <w:rPr>
                <w:noProof/>
                <w:webHidden/>
              </w:rPr>
              <w:t>4</w:t>
            </w:r>
            <w:r>
              <w:rPr>
                <w:noProof/>
                <w:webHidden/>
              </w:rPr>
              <w:fldChar w:fldCharType="end"/>
            </w:r>
          </w:hyperlink>
        </w:p>
        <w:p w14:paraId="21A331B7" w14:textId="784648C2" w:rsidR="0093015A" w:rsidRDefault="0093015A">
          <w:pPr>
            <w:pStyle w:val="TDC3"/>
            <w:tabs>
              <w:tab w:val="right" w:leader="dot" w:pos="8828"/>
            </w:tabs>
            <w:rPr>
              <w:rFonts w:asciiTheme="minorHAnsi" w:eastAsiaTheme="minorEastAsia" w:hAnsiTheme="minorHAnsi" w:cstheme="minorBidi"/>
              <w:noProof/>
              <w:lang w:val="en-US"/>
            </w:rPr>
          </w:pPr>
          <w:hyperlink w:anchor="_Toc173415419" w:history="1">
            <w:r w:rsidRPr="00332AEB">
              <w:rPr>
                <w:rStyle w:val="Hipervnculo"/>
                <w:noProof/>
              </w:rPr>
              <w:t>LEGISLACIÓN</w:t>
            </w:r>
            <w:r>
              <w:rPr>
                <w:noProof/>
                <w:webHidden/>
              </w:rPr>
              <w:tab/>
            </w:r>
            <w:r>
              <w:rPr>
                <w:noProof/>
                <w:webHidden/>
              </w:rPr>
              <w:fldChar w:fldCharType="begin"/>
            </w:r>
            <w:r>
              <w:rPr>
                <w:noProof/>
                <w:webHidden/>
              </w:rPr>
              <w:instrText xml:space="preserve"> PAGEREF _Toc173415419 \h </w:instrText>
            </w:r>
            <w:r>
              <w:rPr>
                <w:noProof/>
                <w:webHidden/>
              </w:rPr>
            </w:r>
            <w:r>
              <w:rPr>
                <w:noProof/>
                <w:webHidden/>
              </w:rPr>
              <w:fldChar w:fldCharType="separate"/>
            </w:r>
            <w:r>
              <w:rPr>
                <w:noProof/>
                <w:webHidden/>
              </w:rPr>
              <w:t>4</w:t>
            </w:r>
            <w:r>
              <w:rPr>
                <w:noProof/>
                <w:webHidden/>
              </w:rPr>
              <w:fldChar w:fldCharType="end"/>
            </w:r>
          </w:hyperlink>
        </w:p>
        <w:p w14:paraId="0CB6F307" w14:textId="1FF23CD2" w:rsidR="0093015A" w:rsidRDefault="0093015A">
          <w:pPr>
            <w:pStyle w:val="TDC2"/>
            <w:tabs>
              <w:tab w:val="right" w:leader="dot" w:pos="8828"/>
            </w:tabs>
            <w:rPr>
              <w:rFonts w:asciiTheme="minorHAnsi" w:eastAsiaTheme="minorEastAsia" w:hAnsiTheme="minorHAnsi" w:cstheme="minorBidi"/>
              <w:noProof/>
              <w:lang w:val="en-US"/>
            </w:rPr>
          </w:pPr>
          <w:hyperlink w:anchor="_Toc173415420" w:history="1">
            <w:r w:rsidRPr="00332AEB">
              <w:rPr>
                <w:rStyle w:val="Hipervnculo"/>
                <w:b/>
                <w:noProof/>
              </w:rPr>
              <w:t>DERECHOS CIVILES Y POLÍTICOS</w:t>
            </w:r>
            <w:r>
              <w:rPr>
                <w:noProof/>
                <w:webHidden/>
              </w:rPr>
              <w:tab/>
            </w:r>
            <w:r>
              <w:rPr>
                <w:noProof/>
                <w:webHidden/>
              </w:rPr>
              <w:fldChar w:fldCharType="begin"/>
            </w:r>
            <w:r>
              <w:rPr>
                <w:noProof/>
                <w:webHidden/>
              </w:rPr>
              <w:instrText xml:space="preserve"> PAGEREF _Toc173415420 \h </w:instrText>
            </w:r>
            <w:r>
              <w:rPr>
                <w:noProof/>
                <w:webHidden/>
              </w:rPr>
            </w:r>
            <w:r>
              <w:rPr>
                <w:noProof/>
                <w:webHidden/>
              </w:rPr>
              <w:fldChar w:fldCharType="separate"/>
            </w:r>
            <w:r>
              <w:rPr>
                <w:noProof/>
                <w:webHidden/>
              </w:rPr>
              <w:t>5</w:t>
            </w:r>
            <w:r>
              <w:rPr>
                <w:noProof/>
                <w:webHidden/>
              </w:rPr>
              <w:fldChar w:fldCharType="end"/>
            </w:r>
          </w:hyperlink>
        </w:p>
        <w:p w14:paraId="61961A33" w14:textId="64FC6182" w:rsidR="0093015A" w:rsidRDefault="0093015A">
          <w:pPr>
            <w:pStyle w:val="TDC3"/>
            <w:tabs>
              <w:tab w:val="right" w:leader="dot" w:pos="8828"/>
            </w:tabs>
            <w:rPr>
              <w:rFonts w:asciiTheme="minorHAnsi" w:eastAsiaTheme="minorEastAsia" w:hAnsiTheme="minorHAnsi" w:cstheme="minorBidi"/>
              <w:noProof/>
              <w:lang w:val="en-US"/>
            </w:rPr>
          </w:pPr>
          <w:hyperlink w:anchor="_Toc173415421" w:history="1">
            <w:r w:rsidRPr="00332AEB">
              <w:rPr>
                <w:rStyle w:val="Hipervnculo"/>
                <w:noProof/>
              </w:rPr>
              <w:t>ACCESO A LA INFORMACIÓN ADECUADA (ARTÍCULOS 13-17)</w:t>
            </w:r>
            <w:r>
              <w:rPr>
                <w:noProof/>
                <w:webHidden/>
              </w:rPr>
              <w:tab/>
            </w:r>
            <w:r>
              <w:rPr>
                <w:noProof/>
                <w:webHidden/>
              </w:rPr>
              <w:fldChar w:fldCharType="begin"/>
            </w:r>
            <w:r>
              <w:rPr>
                <w:noProof/>
                <w:webHidden/>
              </w:rPr>
              <w:instrText xml:space="preserve"> PAGEREF _Toc173415421 \h </w:instrText>
            </w:r>
            <w:r>
              <w:rPr>
                <w:noProof/>
                <w:webHidden/>
              </w:rPr>
            </w:r>
            <w:r>
              <w:rPr>
                <w:noProof/>
                <w:webHidden/>
              </w:rPr>
              <w:fldChar w:fldCharType="separate"/>
            </w:r>
            <w:r>
              <w:rPr>
                <w:noProof/>
                <w:webHidden/>
              </w:rPr>
              <w:t>5</w:t>
            </w:r>
            <w:r>
              <w:rPr>
                <w:noProof/>
                <w:webHidden/>
              </w:rPr>
              <w:fldChar w:fldCharType="end"/>
            </w:r>
          </w:hyperlink>
        </w:p>
        <w:p w14:paraId="5677FB61" w14:textId="00901190" w:rsidR="0093015A" w:rsidRDefault="0093015A">
          <w:pPr>
            <w:pStyle w:val="TDC2"/>
            <w:tabs>
              <w:tab w:val="right" w:leader="dot" w:pos="8828"/>
            </w:tabs>
            <w:rPr>
              <w:rFonts w:asciiTheme="minorHAnsi" w:eastAsiaTheme="minorEastAsia" w:hAnsiTheme="minorHAnsi" w:cstheme="minorBidi"/>
              <w:noProof/>
              <w:lang w:val="en-US"/>
            </w:rPr>
          </w:pPr>
          <w:hyperlink w:anchor="_Toc173415422" w:history="1">
            <w:r w:rsidRPr="00332AEB">
              <w:rPr>
                <w:rStyle w:val="Hipervnculo"/>
                <w:b/>
                <w:noProof/>
              </w:rPr>
              <w:t>VIOLENCIA CONTRA NNA (ARTS. 19, 24 (PÁRR. 3), 28 (PÁRR. 2), 34, 37 A) Y 39)</w:t>
            </w:r>
            <w:r>
              <w:rPr>
                <w:noProof/>
                <w:webHidden/>
              </w:rPr>
              <w:tab/>
            </w:r>
            <w:r>
              <w:rPr>
                <w:noProof/>
                <w:webHidden/>
              </w:rPr>
              <w:fldChar w:fldCharType="begin"/>
            </w:r>
            <w:r>
              <w:rPr>
                <w:noProof/>
                <w:webHidden/>
              </w:rPr>
              <w:instrText xml:space="preserve"> PAGEREF _Toc173415422 \h </w:instrText>
            </w:r>
            <w:r>
              <w:rPr>
                <w:noProof/>
                <w:webHidden/>
              </w:rPr>
            </w:r>
            <w:r>
              <w:rPr>
                <w:noProof/>
                <w:webHidden/>
              </w:rPr>
              <w:fldChar w:fldCharType="separate"/>
            </w:r>
            <w:r>
              <w:rPr>
                <w:noProof/>
                <w:webHidden/>
              </w:rPr>
              <w:t>6</w:t>
            </w:r>
            <w:r>
              <w:rPr>
                <w:noProof/>
                <w:webHidden/>
              </w:rPr>
              <w:fldChar w:fldCharType="end"/>
            </w:r>
          </w:hyperlink>
        </w:p>
        <w:p w14:paraId="53F3A4CF" w14:textId="26D17457" w:rsidR="0093015A" w:rsidRDefault="0093015A">
          <w:pPr>
            <w:pStyle w:val="TDC3"/>
            <w:tabs>
              <w:tab w:val="right" w:leader="dot" w:pos="8828"/>
            </w:tabs>
            <w:rPr>
              <w:rFonts w:asciiTheme="minorHAnsi" w:eastAsiaTheme="minorEastAsia" w:hAnsiTheme="minorHAnsi" w:cstheme="minorBidi"/>
              <w:noProof/>
              <w:lang w:val="en-US"/>
            </w:rPr>
          </w:pPr>
          <w:hyperlink w:anchor="_Toc173415423" w:history="1">
            <w:r w:rsidRPr="00332AEB">
              <w:rPr>
                <w:rStyle w:val="Hipervnculo"/>
                <w:noProof/>
              </w:rPr>
              <w:t>ABUSO, NEGLIGENCIA Y EXPLOTACIÓN Y ABUSO SEXUAL</w:t>
            </w:r>
            <w:r>
              <w:rPr>
                <w:noProof/>
                <w:webHidden/>
              </w:rPr>
              <w:tab/>
            </w:r>
            <w:r>
              <w:rPr>
                <w:noProof/>
                <w:webHidden/>
              </w:rPr>
              <w:fldChar w:fldCharType="begin"/>
            </w:r>
            <w:r>
              <w:rPr>
                <w:noProof/>
                <w:webHidden/>
              </w:rPr>
              <w:instrText xml:space="preserve"> PAGEREF _Toc173415423 \h </w:instrText>
            </w:r>
            <w:r>
              <w:rPr>
                <w:noProof/>
                <w:webHidden/>
              </w:rPr>
            </w:r>
            <w:r>
              <w:rPr>
                <w:noProof/>
                <w:webHidden/>
              </w:rPr>
              <w:fldChar w:fldCharType="separate"/>
            </w:r>
            <w:r>
              <w:rPr>
                <w:noProof/>
                <w:webHidden/>
              </w:rPr>
              <w:t>6</w:t>
            </w:r>
            <w:r>
              <w:rPr>
                <w:noProof/>
                <w:webHidden/>
              </w:rPr>
              <w:fldChar w:fldCharType="end"/>
            </w:r>
          </w:hyperlink>
        </w:p>
        <w:p w14:paraId="45067A9B" w14:textId="032E9D8A" w:rsidR="0093015A" w:rsidRDefault="0093015A">
          <w:pPr>
            <w:pStyle w:val="TDC3"/>
            <w:tabs>
              <w:tab w:val="right" w:leader="dot" w:pos="8828"/>
            </w:tabs>
            <w:rPr>
              <w:rFonts w:asciiTheme="minorHAnsi" w:eastAsiaTheme="minorEastAsia" w:hAnsiTheme="minorHAnsi" w:cstheme="minorBidi"/>
              <w:noProof/>
              <w:lang w:val="en-US"/>
            </w:rPr>
          </w:pPr>
          <w:hyperlink w:anchor="_Toc173415424" w:history="1">
            <w:r w:rsidRPr="00332AEB">
              <w:rPr>
                <w:rStyle w:val="Hipervnculo"/>
                <w:noProof/>
              </w:rPr>
              <w:t>VIOLENCIA CONTRA LAS NIÑECES Y ADOLESCENCIAS LBTI</w:t>
            </w:r>
            <w:r>
              <w:rPr>
                <w:noProof/>
                <w:webHidden/>
              </w:rPr>
              <w:tab/>
            </w:r>
            <w:r>
              <w:rPr>
                <w:noProof/>
                <w:webHidden/>
              </w:rPr>
              <w:fldChar w:fldCharType="begin"/>
            </w:r>
            <w:r>
              <w:rPr>
                <w:noProof/>
                <w:webHidden/>
              </w:rPr>
              <w:instrText xml:space="preserve"> PAGEREF _Toc173415424 \h </w:instrText>
            </w:r>
            <w:r>
              <w:rPr>
                <w:noProof/>
                <w:webHidden/>
              </w:rPr>
            </w:r>
            <w:r>
              <w:rPr>
                <w:noProof/>
                <w:webHidden/>
              </w:rPr>
              <w:fldChar w:fldCharType="separate"/>
            </w:r>
            <w:r>
              <w:rPr>
                <w:noProof/>
                <w:webHidden/>
              </w:rPr>
              <w:t>10</w:t>
            </w:r>
            <w:r>
              <w:rPr>
                <w:noProof/>
                <w:webHidden/>
              </w:rPr>
              <w:fldChar w:fldCharType="end"/>
            </w:r>
          </w:hyperlink>
        </w:p>
        <w:p w14:paraId="249A6B3F" w14:textId="7B834967" w:rsidR="0093015A" w:rsidRDefault="0093015A">
          <w:pPr>
            <w:pStyle w:val="TDC3"/>
            <w:tabs>
              <w:tab w:val="right" w:leader="dot" w:pos="8828"/>
            </w:tabs>
            <w:rPr>
              <w:rFonts w:asciiTheme="minorHAnsi" w:eastAsiaTheme="minorEastAsia" w:hAnsiTheme="minorHAnsi" w:cstheme="minorBidi"/>
              <w:noProof/>
              <w:lang w:val="en-US"/>
            </w:rPr>
          </w:pPr>
          <w:hyperlink w:anchor="_Toc173415425" w:history="1">
            <w:r w:rsidRPr="00332AEB">
              <w:rPr>
                <w:rStyle w:val="Hipervnculo"/>
                <w:noProof/>
              </w:rPr>
              <w:t>PRÁCTICAS NOCIVAS</w:t>
            </w:r>
            <w:r>
              <w:rPr>
                <w:noProof/>
                <w:webHidden/>
              </w:rPr>
              <w:tab/>
            </w:r>
            <w:r>
              <w:rPr>
                <w:noProof/>
                <w:webHidden/>
              </w:rPr>
              <w:fldChar w:fldCharType="begin"/>
            </w:r>
            <w:r>
              <w:rPr>
                <w:noProof/>
                <w:webHidden/>
              </w:rPr>
              <w:instrText xml:space="preserve"> PAGEREF _Toc173415425 \h </w:instrText>
            </w:r>
            <w:r>
              <w:rPr>
                <w:noProof/>
                <w:webHidden/>
              </w:rPr>
            </w:r>
            <w:r>
              <w:rPr>
                <w:noProof/>
                <w:webHidden/>
              </w:rPr>
              <w:fldChar w:fldCharType="separate"/>
            </w:r>
            <w:r>
              <w:rPr>
                <w:noProof/>
                <w:webHidden/>
              </w:rPr>
              <w:t>11</w:t>
            </w:r>
            <w:r>
              <w:rPr>
                <w:noProof/>
                <w:webHidden/>
              </w:rPr>
              <w:fldChar w:fldCharType="end"/>
            </w:r>
          </w:hyperlink>
        </w:p>
        <w:p w14:paraId="531108AE" w14:textId="00889B6F" w:rsidR="0093015A" w:rsidRDefault="0093015A">
          <w:pPr>
            <w:pStyle w:val="TDC3"/>
            <w:tabs>
              <w:tab w:val="right" w:leader="dot" w:pos="8828"/>
            </w:tabs>
            <w:rPr>
              <w:rFonts w:asciiTheme="minorHAnsi" w:eastAsiaTheme="minorEastAsia" w:hAnsiTheme="minorHAnsi" w:cstheme="minorBidi"/>
              <w:noProof/>
              <w:lang w:val="en-US"/>
            </w:rPr>
          </w:pPr>
          <w:hyperlink w:anchor="_Toc173415426" w:history="1">
            <w:r w:rsidRPr="00332AEB">
              <w:rPr>
                <w:rStyle w:val="Hipervnculo"/>
                <w:noProof/>
              </w:rPr>
              <w:t>TORTURA Y TRATOS O PENAS CRUELES, INHUMANOS O DEGRADANTES: EMBARAZO INFANTIL FORZADO</w:t>
            </w:r>
            <w:r>
              <w:rPr>
                <w:noProof/>
                <w:webHidden/>
              </w:rPr>
              <w:tab/>
            </w:r>
            <w:r>
              <w:rPr>
                <w:noProof/>
                <w:webHidden/>
              </w:rPr>
              <w:fldChar w:fldCharType="begin"/>
            </w:r>
            <w:r>
              <w:rPr>
                <w:noProof/>
                <w:webHidden/>
              </w:rPr>
              <w:instrText xml:space="preserve"> PAGEREF _Toc173415426 \h </w:instrText>
            </w:r>
            <w:r>
              <w:rPr>
                <w:noProof/>
                <w:webHidden/>
              </w:rPr>
            </w:r>
            <w:r>
              <w:rPr>
                <w:noProof/>
                <w:webHidden/>
              </w:rPr>
              <w:fldChar w:fldCharType="separate"/>
            </w:r>
            <w:r>
              <w:rPr>
                <w:noProof/>
                <w:webHidden/>
              </w:rPr>
              <w:t>12</w:t>
            </w:r>
            <w:r>
              <w:rPr>
                <w:noProof/>
                <w:webHidden/>
              </w:rPr>
              <w:fldChar w:fldCharType="end"/>
            </w:r>
          </w:hyperlink>
        </w:p>
        <w:p w14:paraId="4F86EF46" w14:textId="273DB898" w:rsidR="0093015A" w:rsidRDefault="0093015A">
          <w:pPr>
            <w:pStyle w:val="TDC2"/>
            <w:tabs>
              <w:tab w:val="right" w:leader="dot" w:pos="8828"/>
            </w:tabs>
            <w:rPr>
              <w:rFonts w:asciiTheme="minorHAnsi" w:eastAsiaTheme="minorEastAsia" w:hAnsiTheme="minorHAnsi" w:cstheme="minorBidi"/>
              <w:noProof/>
              <w:lang w:val="en-US"/>
            </w:rPr>
          </w:pPr>
          <w:hyperlink w:anchor="_Toc173415427" w:history="1">
            <w:r w:rsidRPr="00332AEB">
              <w:rPr>
                <w:rStyle w:val="Hipervnculo"/>
                <w:b/>
                <w:noProof/>
              </w:rPr>
              <w:t>ENTORNO FAMILIAR Y MODALIDADES ALTERNATIVAS DE CUIDADO (ARTS. 5, 9 A 11, 18 (PÁRR. 1 Y 2), 20, 21, 25 Y 27 (PÁRR. 4)</w:t>
            </w:r>
            <w:r>
              <w:rPr>
                <w:noProof/>
                <w:webHidden/>
              </w:rPr>
              <w:tab/>
            </w:r>
            <w:r>
              <w:rPr>
                <w:noProof/>
                <w:webHidden/>
              </w:rPr>
              <w:fldChar w:fldCharType="begin"/>
            </w:r>
            <w:r>
              <w:rPr>
                <w:noProof/>
                <w:webHidden/>
              </w:rPr>
              <w:instrText xml:space="preserve"> PAGEREF _Toc173415427 \h </w:instrText>
            </w:r>
            <w:r>
              <w:rPr>
                <w:noProof/>
                <w:webHidden/>
              </w:rPr>
            </w:r>
            <w:r>
              <w:rPr>
                <w:noProof/>
                <w:webHidden/>
              </w:rPr>
              <w:fldChar w:fldCharType="separate"/>
            </w:r>
            <w:r>
              <w:rPr>
                <w:noProof/>
                <w:webHidden/>
              </w:rPr>
              <w:t>15</w:t>
            </w:r>
            <w:r>
              <w:rPr>
                <w:noProof/>
                <w:webHidden/>
              </w:rPr>
              <w:fldChar w:fldCharType="end"/>
            </w:r>
          </w:hyperlink>
        </w:p>
        <w:p w14:paraId="06963822" w14:textId="036E8E6A" w:rsidR="0093015A" w:rsidRDefault="0093015A">
          <w:pPr>
            <w:pStyle w:val="TDC3"/>
            <w:tabs>
              <w:tab w:val="right" w:leader="dot" w:pos="8828"/>
            </w:tabs>
            <w:rPr>
              <w:rFonts w:asciiTheme="minorHAnsi" w:eastAsiaTheme="minorEastAsia" w:hAnsiTheme="minorHAnsi" w:cstheme="minorBidi"/>
              <w:noProof/>
              <w:lang w:val="en-US"/>
            </w:rPr>
          </w:pPr>
          <w:hyperlink w:anchor="_Toc173415428" w:history="1">
            <w:r w:rsidRPr="00332AEB">
              <w:rPr>
                <w:rStyle w:val="Hipervnculo"/>
                <w:noProof/>
              </w:rPr>
              <w:t>NIÑECES PRIVADAS DE UN ENTORNO FAMILIAR Y ADOPCIÓN</w:t>
            </w:r>
            <w:r>
              <w:rPr>
                <w:noProof/>
                <w:webHidden/>
              </w:rPr>
              <w:tab/>
            </w:r>
            <w:r>
              <w:rPr>
                <w:noProof/>
                <w:webHidden/>
              </w:rPr>
              <w:fldChar w:fldCharType="begin"/>
            </w:r>
            <w:r>
              <w:rPr>
                <w:noProof/>
                <w:webHidden/>
              </w:rPr>
              <w:instrText xml:space="preserve"> PAGEREF _Toc173415428 \h </w:instrText>
            </w:r>
            <w:r>
              <w:rPr>
                <w:noProof/>
                <w:webHidden/>
              </w:rPr>
            </w:r>
            <w:r>
              <w:rPr>
                <w:noProof/>
                <w:webHidden/>
              </w:rPr>
              <w:fldChar w:fldCharType="separate"/>
            </w:r>
            <w:r>
              <w:rPr>
                <w:noProof/>
                <w:webHidden/>
              </w:rPr>
              <w:t>15</w:t>
            </w:r>
            <w:r>
              <w:rPr>
                <w:noProof/>
                <w:webHidden/>
              </w:rPr>
              <w:fldChar w:fldCharType="end"/>
            </w:r>
          </w:hyperlink>
        </w:p>
        <w:p w14:paraId="4BF432D0" w14:textId="78243DBD" w:rsidR="0093015A" w:rsidRDefault="0093015A">
          <w:pPr>
            <w:pStyle w:val="TDC2"/>
            <w:tabs>
              <w:tab w:val="right" w:leader="dot" w:pos="8828"/>
            </w:tabs>
            <w:rPr>
              <w:rFonts w:asciiTheme="minorHAnsi" w:eastAsiaTheme="minorEastAsia" w:hAnsiTheme="minorHAnsi" w:cstheme="minorBidi"/>
              <w:noProof/>
              <w:lang w:val="en-US"/>
            </w:rPr>
          </w:pPr>
          <w:hyperlink w:anchor="_Toc173415429" w:history="1">
            <w:r w:rsidRPr="00332AEB">
              <w:rPr>
                <w:rStyle w:val="Hipervnculo"/>
                <w:b/>
                <w:noProof/>
              </w:rPr>
              <w:t>SALUD (ARTS. 6, 24 Y 33)</w:t>
            </w:r>
            <w:r>
              <w:rPr>
                <w:noProof/>
                <w:webHidden/>
              </w:rPr>
              <w:tab/>
            </w:r>
            <w:r>
              <w:rPr>
                <w:noProof/>
                <w:webHidden/>
              </w:rPr>
              <w:fldChar w:fldCharType="begin"/>
            </w:r>
            <w:r>
              <w:rPr>
                <w:noProof/>
                <w:webHidden/>
              </w:rPr>
              <w:instrText xml:space="preserve"> PAGEREF _Toc173415429 \h </w:instrText>
            </w:r>
            <w:r>
              <w:rPr>
                <w:noProof/>
                <w:webHidden/>
              </w:rPr>
            </w:r>
            <w:r>
              <w:rPr>
                <w:noProof/>
                <w:webHidden/>
              </w:rPr>
              <w:fldChar w:fldCharType="separate"/>
            </w:r>
            <w:r>
              <w:rPr>
                <w:noProof/>
                <w:webHidden/>
              </w:rPr>
              <w:t>16</w:t>
            </w:r>
            <w:r>
              <w:rPr>
                <w:noProof/>
                <w:webHidden/>
              </w:rPr>
              <w:fldChar w:fldCharType="end"/>
            </w:r>
          </w:hyperlink>
        </w:p>
        <w:p w14:paraId="724E33D2" w14:textId="3C87E4EB" w:rsidR="0093015A" w:rsidRDefault="0093015A">
          <w:pPr>
            <w:pStyle w:val="TDC3"/>
            <w:tabs>
              <w:tab w:val="right" w:leader="dot" w:pos="8828"/>
            </w:tabs>
            <w:rPr>
              <w:rFonts w:asciiTheme="minorHAnsi" w:eastAsiaTheme="minorEastAsia" w:hAnsiTheme="minorHAnsi" w:cstheme="minorBidi"/>
              <w:noProof/>
              <w:lang w:val="en-US"/>
            </w:rPr>
          </w:pPr>
          <w:hyperlink w:anchor="_Toc173415430" w:history="1">
            <w:r w:rsidRPr="00332AEB">
              <w:rPr>
                <w:rStyle w:val="Hipervnculo"/>
                <w:noProof/>
              </w:rPr>
              <w:t>SALUD ADOLESCENTE: EMBARAZO ADOLESCENTE</w:t>
            </w:r>
            <w:r>
              <w:rPr>
                <w:noProof/>
                <w:webHidden/>
              </w:rPr>
              <w:tab/>
            </w:r>
            <w:r>
              <w:rPr>
                <w:noProof/>
                <w:webHidden/>
              </w:rPr>
              <w:fldChar w:fldCharType="begin"/>
            </w:r>
            <w:r>
              <w:rPr>
                <w:noProof/>
                <w:webHidden/>
              </w:rPr>
              <w:instrText xml:space="preserve"> PAGEREF _Toc173415430 \h </w:instrText>
            </w:r>
            <w:r>
              <w:rPr>
                <w:noProof/>
                <w:webHidden/>
              </w:rPr>
            </w:r>
            <w:r>
              <w:rPr>
                <w:noProof/>
                <w:webHidden/>
              </w:rPr>
              <w:fldChar w:fldCharType="separate"/>
            </w:r>
            <w:r>
              <w:rPr>
                <w:noProof/>
                <w:webHidden/>
              </w:rPr>
              <w:t>16</w:t>
            </w:r>
            <w:r>
              <w:rPr>
                <w:noProof/>
                <w:webHidden/>
              </w:rPr>
              <w:fldChar w:fldCharType="end"/>
            </w:r>
          </w:hyperlink>
        </w:p>
        <w:p w14:paraId="3D26EC76" w14:textId="2314F7F1" w:rsidR="0093015A" w:rsidRDefault="0093015A">
          <w:pPr>
            <w:pStyle w:val="TDC2"/>
            <w:tabs>
              <w:tab w:val="right" w:leader="dot" w:pos="8828"/>
            </w:tabs>
            <w:rPr>
              <w:rFonts w:asciiTheme="minorHAnsi" w:eastAsiaTheme="minorEastAsia" w:hAnsiTheme="minorHAnsi" w:cstheme="minorBidi"/>
              <w:noProof/>
              <w:lang w:val="en-US"/>
            </w:rPr>
          </w:pPr>
          <w:hyperlink w:anchor="_Toc173415431" w:history="1">
            <w:r w:rsidRPr="00332AEB">
              <w:rPr>
                <w:rStyle w:val="Hipervnculo"/>
                <w:b/>
                <w:noProof/>
              </w:rPr>
              <w:t>EDUCACIÓN</w:t>
            </w:r>
            <w:r>
              <w:rPr>
                <w:noProof/>
                <w:webHidden/>
              </w:rPr>
              <w:tab/>
            </w:r>
            <w:r>
              <w:rPr>
                <w:noProof/>
                <w:webHidden/>
              </w:rPr>
              <w:fldChar w:fldCharType="begin"/>
            </w:r>
            <w:r>
              <w:rPr>
                <w:noProof/>
                <w:webHidden/>
              </w:rPr>
              <w:instrText xml:space="preserve"> PAGEREF _Toc173415431 \h </w:instrText>
            </w:r>
            <w:r>
              <w:rPr>
                <w:noProof/>
                <w:webHidden/>
              </w:rPr>
            </w:r>
            <w:r>
              <w:rPr>
                <w:noProof/>
                <w:webHidden/>
              </w:rPr>
              <w:fldChar w:fldCharType="separate"/>
            </w:r>
            <w:r>
              <w:rPr>
                <w:noProof/>
                <w:webHidden/>
              </w:rPr>
              <w:t>18</w:t>
            </w:r>
            <w:r>
              <w:rPr>
                <w:noProof/>
                <w:webHidden/>
              </w:rPr>
              <w:fldChar w:fldCharType="end"/>
            </w:r>
          </w:hyperlink>
        </w:p>
        <w:p w14:paraId="194A375F" w14:textId="211746B9" w:rsidR="0093015A" w:rsidRDefault="0093015A">
          <w:pPr>
            <w:pStyle w:val="TDC2"/>
            <w:tabs>
              <w:tab w:val="right" w:leader="dot" w:pos="8828"/>
            </w:tabs>
            <w:rPr>
              <w:rFonts w:asciiTheme="minorHAnsi" w:eastAsiaTheme="minorEastAsia" w:hAnsiTheme="minorHAnsi" w:cstheme="minorBidi"/>
              <w:noProof/>
              <w:lang w:val="en-US"/>
            </w:rPr>
          </w:pPr>
          <w:hyperlink w:anchor="_Toc173415432" w:history="1">
            <w:r w:rsidRPr="00332AEB">
              <w:rPr>
                <w:rStyle w:val="Hipervnculo"/>
                <w:b/>
                <w:noProof/>
              </w:rPr>
              <w:t>RECOMENDACIONES AL ESTADO PERUANO:</w:t>
            </w:r>
            <w:r>
              <w:rPr>
                <w:noProof/>
                <w:webHidden/>
              </w:rPr>
              <w:tab/>
            </w:r>
            <w:r>
              <w:rPr>
                <w:noProof/>
                <w:webHidden/>
              </w:rPr>
              <w:fldChar w:fldCharType="begin"/>
            </w:r>
            <w:r>
              <w:rPr>
                <w:noProof/>
                <w:webHidden/>
              </w:rPr>
              <w:instrText xml:space="preserve"> PAGEREF _Toc173415432 \h </w:instrText>
            </w:r>
            <w:r>
              <w:rPr>
                <w:noProof/>
                <w:webHidden/>
              </w:rPr>
            </w:r>
            <w:r>
              <w:rPr>
                <w:noProof/>
                <w:webHidden/>
              </w:rPr>
              <w:fldChar w:fldCharType="separate"/>
            </w:r>
            <w:r>
              <w:rPr>
                <w:noProof/>
                <w:webHidden/>
              </w:rPr>
              <w:t>20</w:t>
            </w:r>
            <w:r>
              <w:rPr>
                <w:noProof/>
                <w:webHidden/>
              </w:rPr>
              <w:fldChar w:fldCharType="end"/>
            </w:r>
          </w:hyperlink>
        </w:p>
        <w:p w14:paraId="0CCDE66D" w14:textId="38E370C9" w:rsidR="00BD1D3E" w:rsidRDefault="00BD1D3E">
          <w:r>
            <w:rPr>
              <w:b/>
              <w:bCs/>
              <w:lang w:val="es-ES"/>
            </w:rPr>
            <w:fldChar w:fldCharType="end"/>
          </w:r>
        </w:p>
      </w:sdtContent>
    </w:sdt>
    <w:p w14:paraId="2EBC21FE" w14:textId="77777777" w:rsidR="00BD1D3E" w:rsidRDefault="00BD1D3E" w:rsidP="00637001">
      <w:pPr>
        <w:jc w:val="both"/>
      </w:pPr>
    </w:p>
    <w:p w14:paraId="0000001E" w14:textId="741041E0" w:rsidR="00AB49B3" w:rsidRPr="00420E49" w:rsidRDefault="00436450" w:rsidP="00637001">
      <w:pPr>
        <w:jc w:val="both"/>
        <w:rPr>
          <w:b/>
        </w:rPr>
      </w:pPr>
      <w:r w:rsidRPr="00420E49">
        <w:br w:type="page"/>
      </w:r>
    </w:p>
    <w:bookmarkStart w:id="5" w:name="_Toc173415417"/>
    <w:p w14:paraId="00000020" w14:textId="77777777" w:rsidR="00AB49B3" w:rsidRPr="00420E49" w:rsidRDefault="00436450" w:rsidP="00EA2D9A">
      <w:pPr>
        <w:pStyle w:val="Ttulo2"/>
        <w:rPr>
          <w:b/>
          <w:color w:val="auto"/>
        </w:rPr>
      </w:pPr>
      <w:sdt>
        <w:sdtPr>
          <w:rPr>
            <w:b/>
            <w:color w:val="auto"/>
          </w:rPr>
          <w:tag w:val="goog_rdk_1"/>
          <w:id w:val="1680847122"/>
        </w:sdtPr>
        <w:sdtContent/>
      </w:sdt>
      <w:r w:rsidRPr="00420E49">
        <w:rPr>
          <w:b/>
          <w:color w:val="auto"/>
        </w:rPr>
        <w:t>INTRODUCCIÓN</w:t>
      </w:r>
      <w:bookmarkEnd w:id="5"/>
      <w:r w:rsidRPr="00420E49">
        <w:rPr>
          <w:b/>
          <w:color w:val="auto"/>
        </w:rPr>
        <w:t xml:space="preserve"> </w:t>
      </w:r>
    </w:p>
    <w:p w14:paraId="00000021" w14:textId="41A58393" w:rsidR="00AB49B3" w:rsidRPr="00420E49" w:rsidRDefault="00436450" w:rsidP="00637001">
      <w:pPr>
        <w:jc w:val="both"/>
      </w:pPr>
      <w:r w:rsidRPr="00420E49">
        <w:rPr>
          <w:i/>
        </w:rPr>
        <w:t>En nombre de una coalición de organizaciones feministas</w:t>
      </w:r>
      <w:r w:rsidRPr="00420E49">
        <w:t xml:space="preserve"> integradas por la Articulación de lesbianas feministas de Lima</w:t>
      </w:r>
      <w:r w:rsidR="00EA2D9A" w:rsidRPr="00420E49">
        <w:rPr>
          <w:rStyle w:val="Refdenotaalpie"/>
        </w:rPr>
        <w:footnoteReference w:id="1"/>
      </w:r>
      <w:r w:rsidRPr="00420E49">
        <w:t>, Centro de la Mujer Peruana Flora Tristán</w:t>
      </w:r>
      <w:r w:rsidR="00EA2D9A" w:rsidRPr="00420E49">
        <w:rPr>
          <w:rStyle w:val="Refdenotaalpie"/>
        </w:rPr>
        <w:footnoteReference w:id="2"/>
      </w:r>
      <w:r w:rsidRPr="00420E49">
        <w:t>, el Comité de América latina y el caribe para la defensa de los derechos de las mujeres – CLADEM</w:t>
      </w:r>
      <w:r w:rsidR="00EA2D9A" w:rsidRPr="00420E49">
        <w:rPr>
          <w:rStyle w:val="Refdenotaalpie"/>
        </w:rPr>
        <w:footnoteReference w:id="3"/>
      </w:r>
      <w:r w:rsidRPr="00420E49">
        <w:t>, el Estudio para la defensa de los derechos de la mujer – DEMUS</w:t>
      </w:r>
      <w:r w:rsidR="00EA2D9A" w:rsidRPr="00420E49">
        <w:rPr>
          <w:rStyle w:val="Refdenotaalpie"/>
        </w:rPr>
        <w:footnoteReference w:id="4"/>
      </w:r>
      <w:r w:rsidRPr="00420E49">
        <w:t xml:space="preserve"> y el Movimiento Manuela Ramos</w:t>
      </w:r>
      <w:r w:rsidR="00EA2D9A" w:rsidRPr="00420E49">
        <w:rPr>
          <w:rStyle w:val="Refdenotaalpie"/>
        </w:rPr>
        <w:footnoteReference w:id="5"/>
      </w:r>
      <w:r w:rsidRPr="00420E49">
        <w:t xml:space="preserve">, </w:t>
      </w:r>
      <w:r w:rsidRPr="00420E49">
        <w:rPr>
          <w:i/>
        </w:rPr>
        <w:t>presentamos este informe alternativo al Comité de los Derechos del Niño de las Naciones Unidas. Nuestro objetivo es complementar el informe oficial del Estado y ofrecer una visión más completa de la situación de los derechos de la</w:t>
      </w:r>
      <w:r w:rsidRPr="00420E49">
        <w:t xml:space="preserve">s niñeces y adolescencias. </w:t>
      </w:r>
    </w:p>
    <w:p w14:paraId="00000022" w14:textId="0E2859A7" w:rsidR="00AB49B3" w:rsidRPr="00420E49" w:rsidRDefault="00436450" w:rsidP="00637001">
      <w:pPr>
        <w:jc w:val="both"/>
      </w:pPr>
      <w:r w:rsidRPr="00420E49">
        <w:t xml:space="preserve">Las organizaciones integramos la red CLADEM en Perú y enteradas del proceso de examinación al Estado peruano definimos elaborar un informe alternativo priorizando </w:t>
      </w:r>
      <w:r w:rsidR="0019735E">
        <w:t>grupos de derechos</w:t>
      </w:r>
      <w:r w:rsidRPr="00420E49">
        <w:t xml:space="preserve"> y </w:t>
      </w:r>
      <w:r w:rsidR="0019735E">
        <w:t xml:space="preserve">estableciendo </w:t>
      </w:r>
      <w:r w:rsidRPr="00420E49">
        <w:t>un cronograma para la recopilación de datos, provenientes de la labor cotidiana de las organizaciones y de aliadas en diferentes zonas del país, así como el análisis crítico de los mismos y la redacción del informe y recomendaciones. Nuestra coalición destaca áreas críticas como la educación, la salud, la protección contra la violencia y la participación activa de las niñeces y adolescencias en la toma de decisiones.</w:t>
      </w:r>
    </w:p>
    <w:p w14:paraId="00000023" w14:textId="77777777" w:rsidR="00AB49B3" w:rsidRPr="00420E49" w:rsidRDefault="00436450" w:rsidP="00637001">
      <w:pPr>
        <w:pBdr>
          <w:top w:val="nil"/>
          <w:left w:val="nil"/>
          <w:bottom w:val="nil"/>
          <w:right w:val="nil"/>
          <w:between w:val="nil"/>
        </w:pBdr>
        <w:spacing w:line="240" w:lineRule="auto"/>
        <w:jc w:val="both"/>
        <w:rPr>
          <w:i/>
        </w:rPr>
      </w:pPr>
      <w:r w:rsidRPr="00420E49">
        <w:rPr>
          <w:i/>
        </w:rPr>
        <w:t xml:space="preserve">En estas páginas, abordaremos los avances, retrocesos y desafíos que enfrentan las niñas, niños </w:t>
      </w:r>
      <w:r w:rsidRPr="00420E49">
        <w:t>y adolescentes</w:t>
      </w:r>
      <w:r w:rsidRPr="00420E49">
        <w:rPr>
          <w:vertAlign w:val="superscript"/>
        </w:rPr>
        <w:footnoteReference w:id="6"/>
      </w:r>
      <w:r w:rsidRPr="00420E49">
        <w:t xml:space="preserve"> en nuestro país, en especial en un contexto de debilitamiento democrático y recrudecimiento de la violencia. </w:t>
      </w:r>
    </w:p>
    <w:p w14:paraId="00000024" w14:textId="77777777" w:rsidR="00AB49B3" w:rsidRPr="00420E49" w:rsidRDefault="00436450" w:rsidP="00637001">
      <w:pPr>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420E49">
        <w:rPr>
          <w:i/>
        </w:rPr>
        <w:t>Esperamos que este informe contribuya al diálogo constructivo con el Comité y a la búsqueda conjunta de soluciones para garantizar l</w:t>
      </w:r>
      <w:r w:rsidRPr="00420E49">
        <w:t>os derechos fundamentales de las niñas, niños y adolescentes</w:t>
      </w:r>
      <w:r w:rsidRPr="00420E49">
        <w:rPr>
          <w:rFonts w:ascii="Times New Roman" w:eastAsia="Times New Roman" w:hAnsi="Times New Roman" w:cs="Times New Roman"/>
          <w:i/>
          <w:sz w:val="24"/>
          <w:szCs w:val="24"/>
        </w:rPr>
        <w:t>.</w:t>
      </w:r>
    </w:p>
    <w:p w14:paraId="00000025" w14:textId="77777777" w:rsidR="00AB49B3" w:rsidRPr="00420E49" w:rsidRDefault="00436450" w:rsidP="00637001">
      <w:pPr>
        <w:jc w:val="both"/>
      </w:pPr>
      <w:r w:rsidRPr="00420E49">
        <w:br w:type="page"/>
      </w:r>
    </w:p>
    <w:p w14:paraId="00000026" w14:textId="2887F9E9" w:rsidR="00AB49B3" w:rsidRPr="00BD1D3E" w:rsidRDefault="00BD1D3E" w:rsidP="00EA2D9A">
      <w:pPr>
        <w:pStyle w:val="Ttulo2"/>
        <w:rPr>
          <w:b/>
          <w:color w:val="auto"/>
        </w:rPr>
      </w:pPr>
      <w:bookmarkStart w:id="6" w:name="_Toc173415418"/>
      <w:r w:rsidRPr="00BD1D3E">
        <w:rPr>
          <w:b/>
          <w:color w:val="auto"/>
        </w:rPr>
        <w:lastRenderedPageBreak/>
        <w:t>MEDIDAS GENERALES DE IMPLEMENTACIÓN (ARTÍCULOS 1, 4, 42 Y 44(6))</w:t>
      </w:r>
      <w:bookmarkEnd w:id="6"/>
    </w:p>
    <w:p w14:paraId="00000027" w14:textId="77777777" w:rsidR="00AB49B3" w:rsidRPr="00420E49" w:rsidRDefault="00436450" w:rsidP="00EA2D9A">
      <w:pPr>
        <w:pStyle w:val="Ttulo3"/>
        <w:rPr>
          <w:color w:val="auto"/>
        </w:rPr>
      </w:pPr>
      <w:bookmarkStart w:id="7" w:name="_Toc173415419"/>
      <w:r w:rsidRPr="00420E49">
        <w:rPr>
          <w:color w:val="auto"/>
        </w:rPr>
        <w:t>LEGISLACIÓN</w:t>
      </w:r>
      <w:bookmarkEnd w:id="7"/>
    </w:p>
    <w:p w14:paraId="00000028" w14:textId="77777777" w:rsidR="00AB49B3" w:rsidRPr="00420E49" w:rsidRDefault="00436450" w:rsidP="00637001">
      <w:pPr>
        <w:jc w:val="both"/>
      </w:pPr>
      <w:r w:rsidRPr="00420E49">
        <w:t xml:space="preserve">Existen normativas aprobadas que afectan en la efectividad de los derechos reconocidos  en la Convención, como son la </w:t>
      </w:r>
      <w:r w:rsidRPr="00420E49">
        <w:rPr>
          <w:u w:val="single"/>
        </w:rPr>
        <w:t>Ley 32003</w:t>
      </w:r>
      <w:r w:rsidRPr="00420E49">
        <w:t>, Ley que modifica la Ley 28983, Ley de igualdad entre mujeres y hombres, para precisar el uso del lenguaje inclusivo: Invisibilizando a las mujeres  y diversidades eliminando el uso del lenguaje inclusivo en documentos estatales y textos escolares</w:t>
      </w:r>
      <w:r w:rsidRPr="00420E49">
        <w:rPr>
          <w:vertAlign w:val="superscript"/>
        </w:rPr>
        <w:footnoteReference w:id="7"/>
      </w:r>
      <w:r w:rsidRPr="00420E49">
        <w:t xml:space="preserve">, ello afecta los derechos de las niñeces en tanto se tiende a invisibilizar a la diversidad, afecta la igualdad y no discriminación reconocida por la Convención pues su eliminación dificulta la construcción de una sociedad más justa y respetuosa. </w:t>
      </w:r>
    </w:p>
    <w:p w14:paraId="00000029" w14:textId="77777777" w:rsidR="00AB49B3" w:rsidRPr="00420E49" w:rsidRDefault="00436450" w:rsidP="00637001">
      <w:pPr>
        <w:jc w:val="both"/>
      </w:pPr>
      <w:r w:rsidRPr="00420E49">
        <w:t xml:space="preserve">Ley N°31498 – </w:t>
      </w:r>
      <w:r w:rsidRPr="00420E49">
        <w:rPr>
          <w:i/>
        </w:rPr>
        <w:t>Ley que impulsa la calidad de los materiales y recursos educativos en el Perú</w:t>
      </w:r>
      <w:r w:rsidRPr="00420E49">
        <w:t xml:space="preserve">, impulsada por un sector político conservador y antiderechos que tiene como propósito brindar a los padres y madres de familia la capacidad de intervenir de manera directa en la elaboración, aprobación y distribución del material educativo. Si bien es importante la participación de madres y padres en la educación de las NNA, tal como se plantea en la referida ley se busca que su intervención tenga el carácter de censura y se restrinja la diversidad de ideas y perspectivas en el aprendizaje, afectando la libertad de expresión y el acceso a información variada. Es importante el equilibrio entre la participación de madres y padres y la autonomía de las niñeces y adolescencias considerando siempre el interés superior de las niñeces y su derecho a una educación de calidad.  </w:t>
      </w:r>
    </w:p>
    <w:p w14:paraId="0000002A" w14:textId="77777777" w:rsidR="00AB49B3" w:rsidRPr="00420E49" w:rsidRDefault="00436450" w:rsidP="00637001">
      <w:pPr>
        <w:spacing w:after="200" w:line="276" w:lineRule="auto"/>
        <w:jc w:val="both"/>
        <w:rPr>
          <w:u w:val="single"/>
        </w:rPr>
      </w:pPr>
      <w:r w:rsidRPr="00420E49">
        <w:t xml:space="preserve">Asimismo, existe el riesgo de incrementar esta situación con proyectos de ley que han sido aprobados en Comisiones del Congreso de la República y están pendiente de su debate en el pleno de dicho estamento: </w:t>
      </w:r>
    </w:p>
    <w:p w14:paraId="0000002B" w14:textId="77777777" w:rsidR="00AB49B3" w:rsidRPr="00420E49" w:rsidRDefault="00436450" w:rsidP="00637001">
      <w:pPr>
        <w:numPr>
          <w:ilvl w:val="0"/>
          <w:numId w:val="16"/>
        </w:numPr>
        <w:pBdr>
          <w:top w:val="nil"/>
          <w:left w:val="nil"/>
          <w:bottom w:val="nil"/>
          <w:right w:val="nil"/>
          <w:between w:val="nil"/>
        </w:pBdr>
        <w:spacing w:after="0" w:line="276" w:lineRule="auto"/>
        <w:jc w:val="both"/>
      </w:pPr>
      <w:r w:rsidRPr="00420E49">
        <w:rPr>
          <w:u w:val="single"/>
        </w:rPr>
        <w:t>Proyecto de Ley 7579</w:t>
      </w:r>
      <w:r w:rsidRPr="00420E49">
        <w:t>, que propone la Ley que reconoce el derecho de los padres de familia a elegir la Educación Sexual que reciben sus hijos: Permite a padres, madres y tutores legales exonerar a sus hijos e hijas de cursos que tengan relación con la educación sexual integral (ESI), lo que pondría en riesgo el acceso de niñas, niños y adolescentes a una educación de calidad, equitativa, laica y basada en la ciencia. (Comisión de Mujer y Familia)</w:t>
      </w:r>
      <w:r w:rsidRPr="00420E49">
        <w:rPr>
          <w:vertAlign w:val="superscript"/>
        </w:rPr>
        <w:footnoteReference w:id="8"/>
      </w:r>
    </w:p>
    <w:p w14:paraId="0000002C" w14:textId="77777777" w:rsidR="00AB49B3" w:rsidRPr="00420E49" w:rsidRDefault="00436450" w:rsidP="00637001">
      <w:pPr>
        <w:numPr>
          <w:ilvl w:val="0"/>
          <w:numId w:val="16"/>
        </w:numPr>
        <w:pBdr>
          <w:top w:val="nil"/>
          <w:left w:val="nil"/>
          <w:bottom w:val="nil"/>
          <w:right w:val="nil"/>
          <w:between w:val="nil"/>
        </w:pBdr>
        <w:spacing w:after="0" w:line="276" w:lineRule="auto"/>
        <w:jc w:val="both"/>
      </w:pPr>
      <w:r w:rsidRPr="00420E49">
        <w:rPr>
          <w:u w:val="single"/>
        </w:rPr>
        <w:t>Proyecto de Ley 7146</w:t>
      </w:r>
      <w:r w:rsidRPr="00420E49">
        <w:t xml:space="preserve"> que propone la Ley que reconoce y promueve la implementación de la escuela de padres en las instituciones Educativas Públicas y Privadas de la Educación Básica Regular (EBR) y de la Educación Básica Especial (EBE): Busca prohibir que las escuelas de padres (y madres) puedan capacitarse con organizaciones especializadas en derechos si es que estas reciben recursos económicos de fuentes cooperantes o de cualquier otra índole, tanto de recursos nacionales como internacionales. (Comisión de Mujer y Familia)</w:t>
      </w:r>
      <w:r w:rsidRPr="00420E49">
        <w:rPr>
          <w:vertAlign w:val="superscript"/>
        </w:rPr>
        <w:footnoteReference w:id="9"/>
      </w:r>
    </w:p>
    <w:p w14:paraId="0000002D" w14:textId="77777777" w:rsidR="00AB49B3" w:rsidRPr="00420E49" w:rsidRDefault="00436450" w:rsidP="00637001">
      <w:pPr>
        <w:numPr>
          <w:ilvl w:val="0"/>
          <w:numId w:val="16"/>
        </w:numPr>
        <w:pBdr>
          <w:top w:val="nil"/>
          <w:left w:val="nil"/>
          <w:bottom w:val="nil"/>
          <w:right w:val="nil"/>
          <w:between w:val="nil"/>
        </w:pBdr>
        <w:spacing w:after="200" w:line="276" w:lineRule="auto"/>
        <w:jc w:val="both"/>
      </w:pPr>
      <w:r w:rsidRPr="00420E49">
        <w:rPr>
          <w:u w:val="single"/>
        </w:rPr>
        <w:lastRenderedPageBreak/>
        <w:t>Proyecto de Ley 1229</w:t>
      </w:r>
      <w:r w:rsidRPr="00420E49">
        <w:t>, que propone la Ley que declara de interés nacional y necesidad pública la modificación de la denominación del Ministerio de la Mujer y Poblaciones Vulnerables por el de Ministerio de la Familia y Poblaciones Vulnerables: Pretende regresar a un único concepto de familia y dejar de lado el derecho de las mujeres - en todo su ciclo de vida - a vivir vidas libres de violencia, invisibilizando las violencias sistemáticas y estructurales que enfrentan las mujeres, incluyendo a las niñas que afrontan violencias en el ámbito privado y público. (Comisión de Descentralización, Regionalización, Gobiernos Locales y Modernización de la Gestión del Estado)</w:t>
      </w:r>
      <w:r w:rsidRPr="00420E49">
        <w:rPr>
          <w:vertAlign w:val="superscript"/>
        </w:rPr>
        <w:footnoteReference w:id="10"/>
      </w:r>
    </w:p>
    <w:p w14:paraId="0000002F" w14:textId="5258A132" w:rsidR="00AB49B3" w:rsidRPr="00420E49" w:rsidRDefault="00420E49" w:rsidP="00EA2D9A">
      <w:pPr>
        <w:pStyle w:val="Ttulo2"/>
        <w:rPr>
          <w:b/>
          <w:color w:val="auto"/>
        </w:rPr>
      </w:pPr>
      <w:bookmarkStart w:id="8" w:name="_Toc173415420"/>
      <w:r w:rsidRPr="00420E49">
        <w:rPr>
          <w:b/>
          <w:color w:val="auto"/>
        </w:rPr>
        <w:t>DERECHOS CIVILES Y POLÍTICOS</w:t>
      </w:r>
      <w:bookmarkEnd w:id="8"/>
    </w:p>
    <w:p w14:paraId="00000030" w14:textId="77777777" w:rsidR="00AB49B3" w:rsidRPr="00420E49" w:rsidRDefault="00436450" w:rsidP="00EA2D9A">
      <w:pPr>
        <w:pStyle w:val="Ttulo3"/>
        <w:rPr>
          <w:color w:val="auto"/>
        </w:rPr>
      </w:pPr>
      <w:bookmarkStart w:id="9" w:name="_Toc173415421"/>
      <w:r w:rsidRPr="00420E49">
        <w:rPr>
          <w:color w:val="auto"/>
        </w:rPr>
        <w:t>ACCESO A LA INFORMACIÓN ADECUADA (ARTÍCULOS 13-17)</w:t>
      </w:r>
      <w:bookmarkEnd w:id="9"/>
    </w:p>
    <w:p w14:paraId="00000031" w14:textId="77777777" w:rsidR="00AB49B3" w:rsidRPr="00420E49" w:rsidRDefault="00AB49B3" w:rsidP="00637001">
      <w:pPr>
        <w:jc w:val="both"/>
      </w:pPr>
    </w:p>
    <w:p w14:paraId="00000032" w14:textId="77777777" w:rsidR="00AB49B3" w:rsidRPr="00420E49" w:rsidRDefault="00436450" w:rsidP="00637001">
      <w:pPr>
        <w:jc w:val="both"/>
        <w:rPr>
          <w:b/>
        </w:rPr>
      </w:pPr>
      <w:r w:rsidRPr="00420E49">
        <w:t xml:space="preserve">La Educación Sexual Integral (ESI) no ha sido implementada de manera efectiva en el Perú, debido al fuerte cuestionamiento desde el sector fundamentalista y conservador político y social. Esta situación afecta gravemente las funciones del Ministerio de Educación (MINEDU), que debiera </w:t>
      </w:r>
      <w:r w:rsidRPr="00420E49">
        <w:rPr>
          <w:b/>
        </w:rPr>
        <w:t>garantizar el derecho de acceso a información adecuada en la formación integral de las niñeces y adolescencias, especialmente para apropiación de sus cuerpos, comprensión de la sexualidad y la prevención de la violencia sexual.</w:t>
      </w:r>
    </w:p>
    <w:p w14:paraId="00000033" w14:textId="77777777" w:rsidR="00AB49B3" w:rsidRPr="00420E49" w:rsidRDefault="00436450" w:rsidP="00637001">
      <w:pPr>
        <w:jc w:val="both"/>
      </w:pPr>
      <w:r w:rsidRPr="00420E49">
        <w:t xml:space="preserve">Esta realidad se evidencia en datos proporcionados por la Policía Nacional del Perú que, en el año 2022, registró </w:t>
      </w:r>
      <w:r w:rsidRPr="00420E49">
        <w:rPr>
          <w:u w:val="single"/>
        </w:rPr>
        <w:t>6,207 denuncias por violación sexual</w:t>
      </w:r>
      <w:r w:rsidRPr="00420E49">
        <w:rPr>
          <w:b/>
          <w:u w:val="single"/>
        </w:rPr>
        <w:t xml:space="preserve"> </w:t>
      </w:r>
      <w:r w:rsidRPr="00420E49">
        <w:rPr>
          <w:u w:val="single"/>
        </w:rPr>
        <w:t>contra niñas y adolescentes menores de edad</w:t>
      </w:r>
      <w:r w:rsidRPr="00420E49">
        <w:rPr>
          <w:vertAlign w:val="superscript"/>
        </w:rPr>
        <w:footnoteReference w:id="11"/>
      </w:r>
      <w:r w:rsidRPr="00420E49">
        <w:rPr>
          <w:u w:val="single"/>
        </w:rPr>
        <w:t>, lo que representa el 60% de total anual (10,320)</w:t>
      </w:r>
      <w:r w:rsidRPr="00420E49">
        <w:t>. Además, entre los años 2017 y 2022 los Centro Emergencia Mujer</w:t>
      </w:r>
      <w:r w:rsidRPr="00420E49">
        <w:rPr>
          <w:vertAlign w:val="superscript"/>
        </w:rPr>
        <w:footnoteReference w:id="12"/>
      </w:r>
      <w:r w:rsidRPr="00420E49">
        <w:t xml:space="preserve"> (CEM) reportaron un total de 32,131 violaciones sexuales contra niñas, niños y adolescentes</w:t>
      </w:r>
      <w:r w:rsidRPr="00420E49">
        <w:rPr>
          <w:vertAlign w:val="superscript"/>
        </w:rPr>
        <w:footnoteReference w:id="13"/>
      </w:r>
      <w:r w:rsidRPr="00420E49">
        <w:t>.</w:t>
      </w:r>
    </w:p>
    <w:p w14:paraId="00000034" w14:textId="77777777" w:rsidR="00AB49B3" w:rsidRPr="00420E49" w:rsidRDefault="00436450" w:rsidP="00637001">
      <w:pPr>
        <w:jc w:val="both"/>
      </w:pPr>
      <w:r w:rsidRPr="00420E49">
        <w:t xml:space="preserve">Frente a este panorama, en el año 2022, en una consulta nacional a 11,506 niñas, niños y adolescentes sobre la agenda prioritaria que debería ser atendido por las autoridades, 7 de cada 10 participantes (66%) señaló como prioridad </w:t>
      </w:r>
      <w:r w:rsidRPr="00420E49">
        <w:rPr>
          <w:u w:val="single"/>
        </w:rPr>
        <w:t>que deben ser protegidos de todo tipo de violencia</w:t>
      </w:r>
      <w:r w:rsidRPr="00420E49">
        <w:t xml:space="preserve">, explotación, trabajo infantil y </w:t>
      </w:r>
      <w:r w:rsidRPr="00420E49">
        <w:rPr>
          <w:u w:val="single"/>
        </w:rPr>
        <w:t>acoso sexual</w:t>
      </w:r>
      <w:r w:rsidRPr="00420E49">
        <w:t xml:space="preserve">; y el 52% priorizó </w:t>
      </w:r>
      <w:r w:rsidRPr="00420E49">
        <w:rPr>
          <w:u w:val="single"/>
        </w:rPr>
        <w:t>recibir información para prevenir embarazos en la adolescencia</w:t>
      </w:r>
      <w:r w:rsidRPr="00420E49">
        <w:rPr>
          <w:vertAlign w:val="superscript"/>
        </w:rPr>
        <w:footnoteReference w:id="14"/>
      </w:r>
      <w:r w:rsidRPr="00420E49">
        <w:t>.</w:t>
      </w:r>
    </w:p>
    <w:p w14:paraId="00000035" w14:textId="77777777" w:rsidR="00AB49B3" w:rsidRPr="00420E49" w:rsidRDefault="00436450" w:rsidP="00637001">
      <w:pPr>
        <w:jc w:val="both"/>
      </w:pPr>
      <w:r w:rsidRPr="00420E49">
        <w:lastRenderedPageBreak/>
        <w:t xml:space="preserve">Una grave consecuencia de este control de la información a la que acceden las niñeces y adolescentes se manifestó a nivel legislativo, donde se aprobó la Ley Nro. 31498, </w:t>
      </w:r>
      <w:r w:rsidRPr="00420E49">
        <w:rPr>
          <w:i/>
        </w:rPr>
        <w:t>Ley que impulsa la calidad de los materiales y recursos educativos en el Perú</w:t>
      </w:r>
      <w:r w:rsidRPr="00420E49">
        <w:rPr>
          <w:i/>
          <w:vertAlign w:val="superscript"/>
        </w:rPr>
        <w:footnoteReference w:id="15"/>
      </w:r>
      <w:r w:rsidRPr="00420E49">
        <w:rPr>
          <w:i/>
        </w:rPr>
        <w:t xml:space="preserve"> </w:t>
      </w:r>
      <w:r w:rsidRPr="00420E49">
        <w:t>y su reglamento</w:t>
      </w:r>
      <w:r w:rsidRPr="00420E49">
        <w:rPr>
          <w:vertAlign w:val="superscript"/>
        </w:rPr>
        <w:footnoteReference w:id="16"/>
      </w:r>
      <w:r w:rsidRPr="00420E49">
        <w:t xml:space="preserve">. Esta norma señala que las organizaciones de padres de familia participan en la </w:t>
      </w:r>
      <w:r w:rsidRPr="00420E49">
        <w:rPr>
          <w:i/>
        </w:rPr>
        <w:t>definición y contenido de los materiales, textos y recursos educativos</w:t>
      </w:r>
      <w:r w:rsidRPr="00420E49">
        <w:t xml:space="preserve"> (art.4.1); y prohíbe al funcionariado del sector educación aprobar o publicar materiales educativos en cuya elaboración no hayan participado los padres de familia (art.5.1).</w:t>
      </w:r>
    </w:p>
    <w:p w14:paraId="00000036" w14:textId="77777777" w:rsidR="00AB49B3" w:rsidRPr="00420E49" w:rsidRDefault="00436450" w:rsidP="00637001">
      <w:pPr>
        <w:jc w:val="both"/>
      </w:pPr>
      <w:r w:rsidRPr="00420E49">
        <w:t xml:space="preserve">Una evidencia de esta injerencia y limitación se hace evidente en las conclusiones del último Informe de la Ley de Igualdad de Oportunidades entre Mujeres y Hombres (LIO,2022), señala sobre la ESI, de manera muy general, que </w:t>
      </w:r>
      <w:r w:rsidRPr="00420E49">
        <w:rPr>
          <w:u w:val="single"/>
        </w:rPr>
        <w:t>“se advierten esfuerzos del MINEDU en la creación de materiales educativos”</w:t>
      </w:r>
      <w:r w:rsidRPr="00420E49">
        <w:t>; sin embargo, no indica el nivel de implementación, número de colegios, materiales difundidos, entre otros</w:t>
      </w:r>
      <w:r w:rsidRPr="00420E49">
        <w:rPr>
          <w:vertAlign w:val="superscript"/>
        </w:rPr>
        <w:footnoteReference w:id="17"/>
      </w:r>
      <w:r w:rsidRPr="00420E49">
        <w:t xml:space="preserve">. Por lo que es evidente las graves limitaciones del Ministerio de Educación para garantizar el acceso a la ESI acorde con las edades del estudiantado en nuestro país. </w:t>
      </w:r>
    </w:p>
    <w:p w14:paraId="00000037" w14:textId="77777777" w:rsidR="00AB49B3" w:rsidRPr="00420E49" w:rsidRDefault="00AB49B3" w:rsidP="00637001">
      <w:pPr>
        <w:jc w:val="both"/>
      </w:pPr>
    </w:p>
    <w:p w14:paraId="00000038" w14:textId="2A2B8189" w:rsidR="00AB49B3" w:rsidRPr="00420E49" w:rsidRDefault="00420E49" w:rsidP="00EA2D9A">
      <w:pPr>
        <w:pStyle w:val="Ttulo2"/>
        <w:rPr>
          <w:b/>
          <w:color w:val="auto"/>
        </w:rPr>
      </w:pPr>
      <w:bookmarkStart w:id="10" w:name="_Toc173415422"/>
      <w:r w:rsidRPr="00420E49">
        <w:rPr>
          <w:b/>
          <w:color w:val="auto"/>
        </w:rPr>
        <w:t>VIOLENCIA CONTRA NNA (ARTS. 19, 24 (PÁRR. 3), 28 (PÁRR. 2), 34, 37 A) Y 39)</w:t>
      </w:r>
      <w:bookmarkEnd w:id="10"/>
    </w:p>
    <w:p w14:paraId="00000039" w14:textId="77777777" w:rsidR="00AB49B3" w:rsidRPr="00420E49" w:rsidRDefault="00AB49B3" w:rsidP="00637001">
      <w:pPr>
        <w:jc w:val="both"/>
      </w:pPr>
    </w:p>
    <w:p w14:paraId="0000003A" w14:textId="77777777" w:rsidR="00AB49B3" w:rsidRPr="00420E49" w:rsidRDefault="00436450" w:rsidP="00EA2D9A">
      <w:pPr>
        <w:pStyle w:val="Ttulo3"/>
        <w:rPr>
          <w:color w:val="auto"/>
        </w:rPr>
      </w:pPr>
      <w:bookmarkStart w:id="11" w:name="_Toc173415423"/>
      <w:r w:rsidRPr="00420E49">
        <w:rPr>
          <w:color w:val="auto"/>
        </w:rPr>
        <w:t>ABUSO, NEGLIGENCIA Y EXPLOTACIÓN Y ABUSO SEXUAL</w:t>
      </w:r>
      <w:bookmarkEnd w:id="11"/>
    </w:p>
    <w:p w14:paraId="0000003B" w14:textId="77777777" w:rsidR="00AB49B3" w:rsidRPr="00420E49" w:rsidRDefault="00AB49B3" w:rsidP="00637001">
      <w:pPr>
        <w:jc w:val="both"/>
      </w:pPr>
    </w:p>
    <w:p w14:paraId="0000003C" w14:textId="77777777" w:rsidR="00AB49B3" w:rsidRPr="00420E49" w:rsidRDefault="00436450" w:rsidP="00637001">
      <w:pPr>
        <w:spacing w:after="200"/>
        <w:jc w:val="both"/>
      </w:pPr>
      <w:r w:rsidRPr="00420E49">
        <w:t xml:space="preserve">A pesar de algunos esfuerzos declarados por el gobierno, la violencia sexual contra niñas, niños y adolescentes en Perú es un problema recurrente y en aumento, lo que indica la necesidad de una revisión profunda y de la implementación de medidas más efectivas. Algunas cifras a destacar sobre esta problemática son: </w:t>
      </w:r>
    </w:p>
    <w:p w14:paraId="0000003D" w14:textId="77777777" w:rsidR="00AB49B3" w:rsidRPr="00420E49" w:rsidRDefault="00436450" w:rsidP="00637001">
      <w:pPr>
        <w:numPr>
          <w:ilvl w:val="0"/>
          <w:numId w:val="1"/>
        </w:numPr>
        <w:pBdr>
          <w:top w:val="nil"/>
          <w:left w:val="nil"/>
          <w:bottom w:val="nil"/>
          <w:right w:val="nil"/>
          <w:between w:val="nil"/>
        </w:pBdr>
        <w:spacing w:after="0"/>
        <w:jc w:val="both"/>
      </w:pPr>
      <w:r w:rsidRPr="00420E49">
        <w:t>De enero a mayo de 2024, se registraron 12,436 casos de violencia sexual, una cifra alarmante que supera los registros de años anteriores durante el mismo período: 11,730 en 2023, 10,785 en 2022 y 8,356 en 2021</w:t>
      </w:r>
      <w:r w:rsidRPr="00420E49">
        <w:rPr>
          <w:vertAlign w:val="superscript"/>
        </w:rPr>
        <w:footnoteReference w:id="18"/>
      </w:r>
      <w:r w:rsidRPr="00420E49">
        <w:t xml:space="preserve">. </w:t>
      </w:r>
    </w:p>
    <w:p w14:paraId="0000003E" w14:textId="77777777" w:rsidR="00AB49B3" w:rsidRPr="00420E49" w:rsidRDefault="00436450" w:rsidP="00637001">
      <w:pPr>
        <w:numPr>
          <w:ilvl w:val="0"/>
          <w:numId w:val="1"/>
        </w:numPr>
        <w:pBdr>
          <w:top w:val="nil"/>
          <w:left w:val="nil"/>
          <w:bottom w:val="nil"/>
          <w:right w:val="nil"/>
          <w:between w:val="nil"/>
        </w:pBdr>
        <w:spacing w:after="0"/>
        <w:jc w:val="both"/>
      </w:pPr>
      <w:r w:rsidRPr="00420E49">
        <w:t xml:space="preserve">De las cifras de este año, la mayoría (87.13%) son mujeres; y, el 68.45% son niñas, niños y adolescentes entre 0 y 17 años. En este periodo, se registraron 5,128 casos de violación sexual, 94.8% son mujeres; y, el 63.67% son niñas, niños y adolescentes. Entre enero y mayo de 2023, 5,001 casos, el 95.5% mujeres; y, el 65.93% niñas, niños y adolescentes entre 0 y </w:t>
      </w:r>
      <w:r w:rsidRPr="00420E49">
        <w:lastRenderedPageBreak/>
        <w:t>17 años; en el año 2022, 4,789 casos, el 67.93% niñas, niños y adolescentes entre 0 y 17 años; en 2021,  3,874 casos, el 67.06% niñas, niños y adolescentes entre 0 y 17 años</w:t>
      </w:r>
      <w:r w:rsidRPr="00420E49">
        <w:rPr>
          <w:vertAlign w:val="superscript"/>
        </w:rPr>
        <w:footnoteReference w:id="19"/>
      </w:r>
      <w:r w:rsidRPr="00420E49">
        <w:t xml:space="preserve">. </w:t>
      </w:r>
    </w:p>
    <w:p w14:paraId="0000003F" w14:textId="77777777" w:rsidR="00AB49B3" w:rsidRPr="00420E49" w:rsidRDefault="00436450" w:rsidP="00637001">
      <w:pPr>
        <w:numPr>
          <w:ilvl w:val="0"/>
          <w:numId w:val="1"/>
        </w:numPr>
        <w:pBdr>
          <w:top w:val="nil"/>
          <w:left w:val="nil"/>
          <w:bottom w:val="nil"/>
          <w:right w:val="nil"/>
          <w:between w:val="nil"/>
        </w:pBdr>
        <w:spacing w:after="0"/>
        <w:jc w:val="both"/>
      </w:pPr>
      <w:r w:rsidRPr="00420E49">
        <w:t xml:space="preserve">El Ministerio Público registró durante el año </w:t>
      </w:r>
      <w:r w:rsidRPr="00420E49">
        <w:rPr>
          <w:b/>
        </w:rPr>
        <w:t>2023</w:t>
      </w:r>
      <w:r w:rsidRPr="00420E49">
        <w:t>, 8,614 delitos de violación sexual de menores de edad y entre enero y abril de 2024, 2,535 casos por este mismo delito</w:t>
      </w:r>
      <w:r w:rsidRPr="00420E49">
        <w:rPr>
          <w:vertAlign w:val="superscript"/>
        </w:rPr>
        <w:footnoteReference w:id="20"/>
      </w:r>
      <w:r w:rsidRPr="00420E49">
        <w:t xml:space="preserve">. </w:t>
      </w:r>
    </w:p>
    <w:p w14:paraId="00000040" w14:textId="77777777" w:rsidR="00AB49B3" w:rsidRPr="00420E49" w:rsidRDefault="00436450" w:rsidP="00637001">
      <w:pPr>
        <w:numPr>
          <w:ilvl w:val="0"/>
          <w:numId w:val="1"/>
        </w:numPr>
        <w:pBdr>
          <w:top w:val="nil"/>
          <w:left w:val="nil"/>
          <w:bottom w:val="nil"/>
          <w:right w:val="nil"/>
          <w:between w:val="nil"/>
        </w:pBdr>
        <w:spacing w:after="0"/>
        <w:jc w:val="both"/>
      </w:pPr>
      <w:r w:rsidRPr="00420E49">
        <w:t xml:space="preserve">Durante el 2023, los CEM atendieron un total de 153 casos de </w:t>
      </w:r>
      <w:r w:rsidRPr="00420E49">
        <w:rPr>
          <w:b/>
        </w:rPr>
        <w:t>trata de personas con fines de explotación sexual</w:t>
      </w:r>
      <w:r w:rsidRPr="00420E49">
        <w:t xml:space="preserve"> a nivel nacional, de los cuales 75 (49%) corresponde a niñas y adolescentes de 0 a 17 años.</w:t>
      </w:r>
      <w:r w:rsidRPr="00420E49">
        <w:rPr>
          <w:vertAlign w:val="superscript"/>
        </w:rPr>
        <w:footnoteReference w:id="21"/>
      </w:r>
      <w:r w:rsidRPr="00420E49">
        <w:t xml:space="preserve"> En los casos presentados a nivel nacional por </w:t>
      </w:r>
      <w:r w:rsidRPr="00420E49">
        <w:rPr>
          <w:b/>
        </w:rPr>
        <w:t>acoso sexual en espacios públicos,</w:t>
      </w:r>
      <w:r w:rsidRPr="00420E49">
        <w:t xml:space="preserve"> 208 fueron presentados por la población de 0 a 17 años (59.8%), 136</w:t>
      </w:r>
      <w:r w:rsidRPr="00420E49">
        <w:rPr>
          <w:vertAlign w:val="superscript"/>
        </w:rPr>
        <w:footnoteReference w:id="22"/>
      </w:r>
      <w:r w:rsidRPr="00420E49">
        <w:t>.</w:t>
      </w:r>
    </w:p>
    <w:p w14:paraId="00000041" w14:textId="77777777" w:rsidR="00AB49B3" w:rsidRPr="00420E49" w:rsidRDefault="00436450" w:rsidP="00637001">
      <w:pPr>
        <w:numPr>
          <w:ilvl w:val="0"/>
          <w:numId w:val="1"/>
        </w:numPr>
        <w:pBdr>
          <w:top w:val="nil"/>
          <w:left w:val="nil"/>
          <w:bottom w:val="nil"/>
          <w:right w:val="nil"/>
          <w:between w:val="nil"/>
        </w:pBdr>
        <w:spacing w:after="0"/>
        <w:jc w:val="both"/>
      </w:pPr>
      <w:r w:rsidRPr="00420E49">
        <w:t xml:space="preserve">Otro aspecto importante es la </w:t>
      </w:r>
      <w:r w:rsidRPr="00420E49">
        <w:rPr>
          <w:b/>
        </w:rPr>
        <w:t>violencia en relación de pareja</w:t>
      </w:r>
      <w:r w:rsidRPr="00420E49">
        <w:t xml:space="preserve"> que incluye a las adolescentes, así, la violencia sexual contra la mujer ejercida alguna vez por parte del esposo o compañero de mujeres entre 15 y 19 años es del 2,2%</w:t>
      </w:r>
      <w:r w:rsidRPr="00420E49">
        <w:rPr>
          <w:vertAlign w:val="superscript"/>
        </w:rPr>
        <w:footnoteReference w:id="23"/>
      </w:r>
      <w:r w:rsidRPr="00420E49">
        <w:t>.</w:t>
      </w:r>
    </w:p>
    <w:p w14:paraId="00000042" w14:textId="77777777" w:rsidR="00AB49B3" w:rsidRPr="00420E49" w:rsidRDefault="00436450" w:rsidP="00637001">
      <w:pPr>
        <w:numPr>
          <w:ilvl w:val="0"/>
          <w:numId w:val="1"/>
        </w:numPr>
        <w:pBdr>
          <w:top w:val="nil"/>
          <w:left w:val="nil"/>
          <w:bottom w:val="nil"/>
          <w:right w:val="nil"/>
          <w:between w:val="nil"/>
        </w:pBdr>
        <w:spacing w:after="0"/>
        <w:jc w:val="both"/>
      </w:pPr>
      <w:r w:rsidRPr="00420E49">
        <w:t xml:space="preserve">Entre enero y abril de 2024, en el Servicio de Atención Urgente del MIMP se han atendido 2,819 casos por </w:t>
      </w:r>
      <w:r w:rsidRPr="00420E49">
        <w:rPr>
          <w:b/>
        </w:rPr>
        <w:t>violencia familiar, sexual y otras situaciones de alto riesgo.</w:t>
      </w:r>
      <w:r w:rsidRPr="00420E49">
        <w:t xml:space="preserve"> De esta cifra, el 11,5% (324 casos) corresponde a   niños y niñas de 0-5 años; 17,6% (497) contra niños y niñas de 6-11 años; y el 23,4% (659) es contra adolescentes de 12 a 17 años</w:t>
      </w:r>
      <w:r w:rsidRPr="00420E49">
        <w:rPr>
          <w:vertAlign w:val="superscript"/>
        </w:rPr>
        <w:footnoteReference w:id="24"/>
      </w:r>
      <w:r w:rsidRPr="00420E49">
        <w:t>.</w:t>
      </w:r>
    </w:p>
    <w:p w14:paraId="00000043" w14:textId="77777777" w:rsidR="00AB49B3" w:rsidRPr="00420E49" w:rsidRDefault="00436450" w:rsidP="00637001">
      <w:pPr>
        <w:numPr>
          <w:ilvl w:val="0"/>
          <w:numId w:val="1"/>
        </w:numPr>
        <w:pBdr>
          <w:top w:val="nil"/>
          <w:left w:val="nil"/>
          <w:bottom w:val="nil"/>
          <w:right w:val="nil"/>
          <w:between w:val="nil"/>
        </w:pBdr>
        <w:spacing w:after="200"/>
        <w:jc w:val="both"/>
      </w:pPr>
      <w:r w:rsidRPr="00420E49">
        <w:t xml:space="preserve">De enero a mayo del presente año, se han registrado un </w:t>
      </w:r>
      <w:r w:rsidRPr="00420E49">
        <w:rPr>
          <w:b/>
        </w:rPr>
        <w:t>total de 2,695 reportes de desaparición de niñas, adolescentes y mujeres</w:t>
      </w:r>
      <w:r w:rsidRPr="00420E49">
        <w:t>, lo que representa un aumento del 10% en comparación con el periodo comprendido entre enero y mayo de 2023, cuando se reportaron 2,445 alertas</w:t>
      </w:r>
      <w:r w:rsidRPr="00420E49">
        <w:rPr>
          <w:vertAlign w:val="superscript"/>
        </w:rPr>
        <w:footnoteReference w:id="25"/>
      </w:r>
      <w:r w:rsidRPr="00420E49">
        <w:t xml:space="preserve">. Estos datos reflejan una tendencia preocupante de crecimiento. </w:t>
      </w:r>
    </w:p>
    <w:p w14:paraId="00000044" w14:textId="77777777" w:rsidR="00AB49B3" w:rsidRPr="00420E49" w:rsidRDefault="00436450" w:rsidP="00637001">
      <w:pPr>
        <w:spacing w:after="200"/>
        <w:jc w:val="both"/>
      </w:pPr>
      <w:r w:rsidRPr="00420E49">
        <w:t>Respecto al abordaje de los altos niveles de violencia sexual y violaciones de que son víctimas los niños —especialmente las niñas— incluso dentro del sistema escolar, se han dado grandes retrocesos estructurales y normativos respecto a la garantía del derecho a educación, afectando la educación sexual Integral y por consiguiente el acceso a educación desde el respeto, en igualdad de condiciones y basada en la ciencia.</w:t>
      </w:r>
    </w:p>
    <w:p w14:paraId="00000045" w14:textId="77777777" w:rsidR="00AB49B3" w:rsidRPr="00420E49" w:rsidRDefault="00436450" w:rsidP="00637001">
      <w:pPr>
        <w:jc w:val="both"/>
      </w:pPr>
      <w:r w:rsidRPr="00420E49">
        <w:t xml:space="preserve">Una grave problemática es la violencia contra las niñeces y adolescencias que ocurre en los hogares y en espacios educativos, donde el Estado tiene particular responsabilidad. En este sentido, </w:t>
      </w:r>
      <w:r w:rsidRPr="00420E49">
        <w:rPr>
          <w:b/>
        </w:rPr>
        <w:t xml:space="preserve">el 14,6% </w:t>
      </w:r>
      <w:r w:rsidRPr="00420E49">
        <w:rPr>
          <w:b/>
        </w:rPr>
        <w:lastRenderedPageBreak/>
        <w:t xml:space="preserve">(1,095) de los colegios supervisados en el 2024 por la Defensoría del Pueblo </w:t>
      </w:r>
      <w:r w:rsidRPr="00420E49">
        <w:t xml:space="preserve">reportó casos de docentes o personal educativo denunciado por violencia contra estudiantes. De dicho universo, </w:t>
      </w:r>
      <w:r w:rsidRPr="00420E49">
        <w:rPr>
          <w:b/>
        </w:rPr>
        <w:t>más del 32% de las denuncias fue de índole sexual, sin embargo, solo se separó a 375 personas</w:t>
      </w:r>
      <w:r w:rsidRPr="00420E49">
        <w:rPr>
          <w:b/>
          <w:vertAlign w:val="superscript"/>
        </w:rPr>
        <w:footnoteReference w:id="26"/>
      </w:r>
      <w:r w:rsidRPr="00420E49">
        <w:t>.</w:t>
      </w:r>
    </w:p>
    <w:p w14:paraId="00000046" w14:textId="77777777" w:rsidR="00AB49B3" w:rsidRPr="00420E49" w:rsidRDefault="00436450" w:rsidP="00637001">
      <w:pPr>
        <w:jc w:val="both"/>
      </w:pPr>
      <w:r w:rsidRPr="00420E49">
        <w:t>La falta de atención integral y desarticulación se evidencia en esta misma investigación, pues se señala que 504 instituciones educativas reportaron estudiantes víctimas de violencia sexual, de este universo, el 86,7% no realizaba trabajo conjunto con la Unidad de Protección Especial (UPE); el 29% no coordinaba con el Centro Emergencia Mujer (CEM) y el 20.8 % tampoco establecía coordinaciones con la Defensoría Municipal del Niño y Adolescente (DEMUNA)</w:t>
      </w:r>
      <w:r w:rsidRPr="00420E49">
        <w:rPr>
          <w:vertAlign w:val="superscript"/>
        </w:rPr>
        <w:footnoteReference w:id="27"/>
      </w:r>
      <w:r w:rsidRPr="00420E49">
        <w:t xml:space="preserve">. </w:t>
      </w:r>
    </w:p>
    <w:p w14:paraId="00000047" w14:textId="77777777" w:rsidR="00AB49B3" w:rsidRPr="00420E49" w:rsidRDefault="00436450" w:rsidP="00637001">
      <w:pPr>
        <w:jc w:val="both"/>
      </w:pPr>
      <w:r w:rsidRPr="00420E49">
        <w:t>Un ejemplo de la inacción del Estado frente a la violencia contra las niñeces y adolescencias se visibiliza en el Informe de la Contraloría General de la República, sobre la “Promoción, prevención, atención y seguimiento de los casos generados por violencia escolar a las y los estudiantes de las instituciones educativas de la UGEL N~06”</w:t>
      </w:r>
      <w:r w:rsidRPr="00420E49">
        <w:rPr>
          <w:vertAlign w:val="superscript"/>
        </w:rPr>
        <w:footnoteReference w:id="28"/>
      </w:r>
      <w:r w:rsidRPr="00420E49">
        <w:t xml:space="preserve">. </w:t>
      </w:r>
    </w:p>
    <w:p w14:paraId="00000048" w14:textId="77777777" w:rsidR="00AB49B3" w:rsidRPr="00420E49" w:rsidRDefault="00436450" w:rsidP="00637001">
      <w:pPr>
        <w:jc w:val="both"/>
      </w:pPr>
      <w:r w:rsidRPr="00420E49">
        <w:t>En este informe La Contraloría concluye que,</w:t>
      </w:r>
      <w:r w:rsidRPr="00420E49">
        <w:rPr>
          <w:b/>
        </w:rPr>
        <w:t xml:space="preserve"> durante el año 2022, la UGEL N°06 incumplió con promover la tutoría, orientación educativa y talleres sobre habilidades socioemocionales a la comunidad educativa; no se implementó programas educativos para prevenir la violencia sexual hacia las niñeces de 17 instituciones educativas focalizada</w:t>
      </w:r>
      <w:r w:rsidRPr="00420E49">
        <w:t>s; así como el seguimiento de 54 instituciones educativas focalizadas para atención y seguimiento de casos de violencia reportados en el SiseVe durante el año 2022, generando mayor vulnerabilidad en las y los estudiantes.</w:t>
      </w:r>
    </w:p>
    <w:p w14:paraId="00000049" w14:textId="77777777" w:rsidR="00AB49B3" w:rsidRPr="00420E49" w:rsidRDefault="00436450" w:rsidP="00637001">
      <w:pPr>
        <w:jc w:val="both"/>
      </w:pPr>
      <w:r w:rsidRPr="00420E49">
        <w:t xml:space="preserve">Otra muestra de esta grave problemática y la respuesta del Estado es el </w:t>
      </w:r>
      <w:r w:rsidRPr="00420E49">
        <w:rPr>
          <w:b/>
        </w:rPr>
        <w:t>caso emblemático de la violencia sexual ocurrida en la provincia de Condorcanqui, región Amazonas</w:t>
      </w:r>
      <w:r w:rsidRPr="00420E49">
        <w:t xml:space="preserve">. Donde la presidenta del Consejo de Mujeres Awajún Wampis Umukai YAWI-COMUAWUY, Rosemary Pioc Tenazoa, presentó un documento de su organización, que registra </w:t>
      </w:r>
      <w:r w:rsidRPr="00420E49">
        <w:rPr>
          <w:b/>
        </w:rPr>
        <w:t>por lo menos 524 casos de violencia sexual cometidos por docentes contra escolares, entre los años 2010 y mayo de 2024</w:t>
      </w:r>
      <w:r w:rsidRPr="00420E49">
        <w:rPr>
          <w:vertAlign w:val="superscript"/>
        </w:rPr>
        <w:footnoteReference w:id="29"/>
      </w:r>
      <w:r w:rsidRPr="00420E49">
        <w:t>. Incluso se han identificado casos en los que los agresores han transmitido el virus de inmunodeficiencia humana (VIH) a las víctimas en localidades como El Cenepa y Nieva.</w:t>
      </w:r>
    </w:p>
    <w:p w14:paraId="0000004A" w14:textId="77777777" w:rsidR="00AB49B3" w:rsidRPr="00420E49" w:rsidRDefault="00436450" w:rsidP="00637001">
      <w:pPr>
        <w:jc w:val="both"/>
      </w:pPr>
      <w:r w:rsidRPr="00420E49">
        <w:t xml:space="preserve">El Ministerio de Educación informó que, de las denuncias presentadas en la UGEL de Condorcanqui entre 2010 y el 2024, </w:t>
      </w:r>
      <w:r w:rsidRPr="00420E49">
        <w:rPr>
          <w:b/>
        </w:rPr>
        <w:t>sólo 112 fueron retirados y 4 cesados temporalmente.</w:t>
      </w:r>
      <w:r w:rsidRPr="00420E49">
        <w:t xml:space="preserve"> Sin embargo, en junio de 2020, la UGEL sufrió un incendio que provocó la pérdida de cerca de 600 expedientes</w:t>
      </w:r>
      <w:r w:rsidRPr="00420E49">
        <w:rPr>
          <w:vertAlign w:val="superscript"/>
        </w:rPr>
        <w:footnoteReference w:id="30"/>
      </w:r>
      <w:r w:rsidRPr="00420E49">
        <w:t xml:space="preserve"> de las </w:t>
      </w:r>
      <w:r w:rsidRPr="00420E49">
        <w:lastRenderedPageBreak/>
        <w:t>demás denuncias</w:t>
      </w:r>
      <w:r w:rsidRPr="00420E49">
        <w:rPr>
          <w:vertAlign w:val="superscript"/>
        </w:rPr>
        <w:footnoteReference w:id="31"/>
      </w:r>
      <w:r w:rsidRPr="00420E49">
        <w:t>. No obstante, esta situación de violencia sexual ha sido previamente advertida en informes del Congreso de la República</w:t>
      </w:r>
      <w:r w:rsidRPr="00420E49">
        <w:rPr>
          <w:vertAlign w:val="superscript"/>
        </w:rPr>
        <w:footnoteReference w:id="32"/>
      </w:r>
      <w:r w:rsidRPr="00420E49">
        <w:t xml:space="preserve"> y de la Defensoría del Pueblo</w:t>
      </w:r>
      <w:r w:rsidRPr="00420E49">
        <w:rPr>
          <w:vertAlign w:val="superscript"/>
        </w:rPr>
        <w:footnoteReference w:id="33"/>
      </w:r>
      <w:r w:rsidRPr="00420E49">
        <w:t>.</w:t>
      </w:r>
    </w:p>
    <w:p w14:paraId="0000004B" w14:textId="77777777" w:rsidR="00AB49B3" w:rsidRPr="00420E49" w:rsidRDefault="00436450" w:rsidP="00637001">
      <w:pPr>
        <w:jc w:val="both"/>
      </w:pPr>
      <w:r w:rsidRPr="00420E49">
        <w:t xml:space="preserve">La situación se agrava por la </w:t>
      </w:r>
      <w:r w:rsidRPr="00420E49">
        <w:rPr>
          <w:b/>
        </w:rPr>
        <w:t>falta de comprensión, reproducción de estereotipos de género, prejuicios culturales y tolerancia de esta grave problemática que configuran delitos, por las propias autoridades</w:t>
      </w:r>
      <w:r w:rsidRPr="00420E49">
        <w:t xml:space="preserve"> llamadas a la acción pública. Así lo demuestran las declaraciones del ministro de Educación</w:t>
      </w:r>
      <w:r w:rsidRPr="00420E49">
        <w:rPr>
          <w:vertAlign w:val="superscript"/>
        </w:rPr>
        <w:footnoteReference w:id="34"/>
      </w:r>
      <w:r w:rsidRPr="00420E49">
        <w:t>, y de la ministra de la Mujer y Poblaciones Vulnerables</w:t>
      </w:r>
      <w:r w:rsidRPr="00420E49">
        <w:rPr>
          <w:vertAlign w:val="superscript"/>
        </w:rPr>
        <w:footnoteReference w:id="35"/>
      </w:r>
      <w:r w:rsidRPr="00420E49">
        <w:t>., quienes al tomar conocimiento de los hechos coincidieron en señalar públicamente que estos casos podrían ser parte de las prácticas culturales de la zona</w:t>
      </w:r>
      <w:r w:rsidRPr="00420E49">
        <w:rPr>
          <w:vertAlign w:val="superscript"/>
        </w:rPr>
        <w:footnoteReference w:id="36"/>
      </w:r>
      <w:r w:rsidRPr="00420E49">
        <w:t>, cuando en realidad se tratan de graves delitos que afectan a toda la sociedad.</w:t>
      </w:r>
    </w:p>
    <w:p w14:paraId="0000004C" w14:textId="77777777" w:rsidR="00AB49B3" w:rsidRPr="00420E49" w:rsidRDefault="00436450" w:rsidP="00637001">
      <w:pPr>
        <w:spacing w:after="200"/>
        <w:jc w:val="both"/>
      </w:pPr>
      <w:r w:rsidRPr="00420E49">
        <w:t>Respecto a las campañas implementadas por el Estado, “Conéctate sin riesgos” y “También es mi problema”, estas se centran en la visibilización del problema, sin priorizar adecuadamente la prevención del mismo. En relación a la campaña “Conéctate sin riesgos”, a pesar de haber sido lanzada en 2021, las redes sociales y la página oficial del Ministerio de la Mujer y Poblaciones Vulnerables no proporcionan información detallada sobre sus resultados, ofreciendo únicamente datos generales sobre las acciones realizadas. Si bien esta campaña es importante para identificar, acompañar e implementar acciones de protección para la adolescencia, el aumento de las cifras de violencia sexual contra niñas, niños y adolescentes, además de la falta de transparencia en los resultados, es motivo de gran preocupación.</w:t>
      </w:r>
    </w:p>
    <w:p w14:paraId="0000004D" w14:textId="77777777" w:rsidR="00AB49B3" w:rsidRPr="00420E49" w:rsidRDefault="00436450" w:rsidP="00637001">
      <w:pPr>
        <w:spacing w:after="200"/>
        <w:jc w:val="both"/>
      </w:pPr>
      <w:r w:rsidRPr="00420E49">
        <w:t xml:space="preserve">En el caso de la campaña “También es mi problema”, se observa una falta similar de transparencia en los resultados. No obstante, se destaca un avance significativo: la modificación del numeral 4 del artículo 261° del Nuevo Código Procesal Penal, que ahora establece que “los delitos de competencia del Sistema Nacional Especializado de Justicia para la Protección y Sanción de la Violencia contra las Mujeres e Integrantes del Grupo Familiar (SNEJ), señalados en el artículo 3 del Decreto Legislativo </w:t>
      </w:r>
      <w:r w:rsidRPr="00420E49">
        <w:lastRenderedPageBreak/>
        <w:t>N° 1368, y los delitos contra la dignidad humana, no caducan hasta la efectiva detención de los requisitoriados”.</w:t>
      </w:r>
    </w:p>
    <w:p w14:paraId="0000004E" w14:textId="77777777" w:rsidR="00AB49B3" w:rsidRPr="00420E49" w:rsidRDefault="00436450" w:rsidP="00420E49">
      <w:pPr>
        <w:pStyle w:val="Ttulo3"/>
        <w:rPr>
          <w:color w:val="auto"/>
        </w:rPr>
      </w:pPr>
      <w:bookmarkStart w:id="12" w:name="_Toc173415424"/>
      <w:r w:rsidRPr="00420E49">
        <w:rPr>
          <w:color w:val="auto"/>
        </w:rPr>
        <w:t>VIOLENCIA CONTRA LAS NIÑECES Y ADOLESCENCIAS LBTI</w:t>
      </w:r>
      <w:bookmarkEnd w:id="12"/>
    </w:p>
    <w:p w14:paraId="0000004F" w14:textId="77777777" w:rsidR="00AB49B3" w:rsidRPr="00420E49" w:rsidRDefault="00AB49B3" w:rsidP="00637001">
      <w:pPr>
        <w:spacing w:after="0" w:line="240" w:lineRule="auto"/>
        <w:jc w:val="both"/>
      </w:pPr>
    </w:p>
    <w:p w14:paraId="00000050" w14:textId="77777777" w:rsidR="00AB49B3" w:rsidRPr="00420E49" w:rsidRDefault="00436450" w:rsidP="00637001">
      <w:pPr>
        <w:spacing w:after="0" w:line="240" w:lineRule="auto"/>
        <w:jc w:val="both"/>
      </w:pPr>
      <w:r w:rsidRPr="00420E49">
        <w:t>La vulneración de derechos contra lesbianas y bisexuales no es exclusiva de las adultas o jóvenes: quienes se reconocen como disidentes de la heteronormatividad, desde niñas manifiestan que debieron enfrentar estigma, prejuicios, discriminación o violencias a temprana edad, y, principalmente por parte de sus familiares u otras personas de sus entornos inmediatos.</w:t>
      </w:r>
    </w:p>
    <w:p w14:paraId="00000051" w14:textId="77777777" w:rsidR="00AB49B3" w:rsidRPr="00420E49" w:rsidRDefault="00AB49B3" w:rsidP="00637001">
      <w:pPr>
        <w:spacing w:after="0" w:line="240" w:lineRule="auto"/>
        <w:jc w:val="both"/>
      </w:pPr>
    </w:p>
    <w:p w14:paraId="00000052" w14:textId="77777777" w:rsidR="00AB49B3" w:rsidRPr="00420E49" w:rsidRDefault="00436450" w:rsidP="00637001">
      <w:pPr>
        <w:spacing w:after="0" w:line="240" w:lineRule="auto"/>
        <w:jc w:val="both"/>
      </w:pPr>
      <w:r w:rsidRPr="00420E49">
        <w:t>Aunque en Perú no hay datos representativos sobre esta situación, entre enero a junio de 2024 los CEM han reportado la atención de 84 casos de violencia contra personas LGBTI, de ellas 15.7% (14 casos) son contra NNA entre 0 a 17 años, en 2023 de 216 casos, 16.2% (35 casos) fueron contra NNA de 0 a 17 años</w:t>
      </w:r>
      <w:r w:rsidRPr="00420E49">
        <w:rPr>
          <w:vertAlign w:val="superscript"/>
        </w:rPr>
        <w:footnoteReference w:id="37"/>
      </w:r>
      <w:r w:rsidRPr="00420E49">
        <w:t>. Diversos reportes de la sociedad civil en el país han manifestado su preocupación por diversas formas de violencias que se cometen en contra de niñas y adolescentes lesbianas y bisexuales, entre ellas abusos y violaciones sexuales con el fin de castigarlas por no acatar el papel “designado para las mujeres”. Circunstancias similares viven los hombres trans, personas de género no binario y otras de la diversidad sexual y de género.</w:t>
      </w:r>
    </w:p>
    <w:p w14:paraId="00000053" w14:textId="77777777" w:rsidR="00AB49B3" w:rsidRPr="00420E49" w:rsidRDefault="00AB49B3" w:rsidP="00637001">
      <w:pPr>
        <w:spacing w:after="0" w:line="240" w:lineRule="auto"/>
        <w:jc w:val="both"/>
      </w:pPr>
    </w:p>
    <w:p w14:paraId="00000054" w14:textId="77777777" w:rsidR="00AB49B3" w:rsidRPr="00420E49" w:rsidRDefault="00436450" w:rsidP="00637001">
      <w:pPr>
        <w:spacing w:after="0" w:line="240" w:lineRule="auto"/>
        <w:jc w:val="both"/>
      </w:pPr>
      <w:r w:rsidRPr="00420E49">
        <w:t xml:space="preserve">En abril del 2021, en el Día Internacional de la Visibilidad Lésbica, la Comisión Interamericana de Derechos Humanos (CIDH) hizo un llamado a los Estados de la región a proteger, con la debida diligencia, la vida, salud, integridad personal y demás derechos de las mujeres lesbianas y quienes son percibidas como tales, ante las noticias de abusos verbales sistemáticos, situaciones de hacinamiento, aislamiento por largos periodos de tiempo, privación de comida, obligación de desnudarse y portar vestimentas consideradas deseables, violaciones sexuales y aplicación de </w:t>
      </w:r>
      <w:r w:rsidRPr="00420E49">
        <w:rPr>
          <w:i/>
        </w:rPr>
        <w:t>electroshock</w:t>
      </w:r>
      <w:r w:rsidRPr="00420E49">
        <w:t>, entre otros actos contrarios a los derechos humanos.</w:t>
      </w:r>
      <w:r w:rsidRPr="00420E49">
        <w:rPr>
          <w:vertAlign w:val="superscript"/>
        </w:rPr>
        <w:footnoteReference w:id="38"/>
      </w:r>
    </w:p>
    <w:p w14:paraId="00000055" w14:textId="77777777" w:rsidR="00AB49B3" w:rsidRPr="00420E49" w:rsidRDefault="00AB49B3" w:rsidP="00637001">
      <w:pPr>
        <w:spacing w:after="0" w:line="240" w:lineRule="auto"/>
        <w:jc w:val="both"/>
      </w:pPr>
    </w:p>
    <w:p w14:paraId="00000056" w14:textId="77777777" w:rsidR="00AB49B3" w:rsidRPr="00420E49" w:rsidRDefault="00436450" w:rsidP="00637001">
      <w:pPr>
        <w:spacing w:after="0" w:line="240" w:lineRule="auto"/>
        <w:jc w:val="both"/>
      </w:pPr>
      <w:r w:rsidRPr="00420E49">
        <w:t>El año anterior, en 2020, la misma instancia había hecho otro llamado a los miembros de la Organización de Estados Americanos (OEA) para garantizar los derechos de las personas lesbianas, gays, bisexuales, trans e intersexo (LGBTI)</w:t>
      </w:r>
      <w:r w:rsidRPr="00420E49">
        <w:rPr>
          <w:vertAlign w:val="superscript"/>
        </w:rPr>
        <w:footnoteReference w:id="39"/>
      </w:r>
      <w:r w:rsidRPr="00420E49">
        <w:t>. Citó que las medidas de distanciamiento físico ejecutadas para contener la pandemia por el COVID-19 implicaron que las niñas, los niños y adolescentes (NNA) permanecieran en sus hogares por periodos prolongados, y, en el caso de quienes eran LGBTI, estaban en condiciones particulares de vulnerabilidad habida cuenta del rechazo de sus familias y comunidad por su orientación sexual o identidad de género. La exhortación no era gratuita: diferentes agrupaciones de la región, entre ellas la Articulación de Lesbianas Feministas de Lima, habían alertado sobre los peligros que enfrentaban las NNA lesbianas y bisexuales por convivir con sus violadores y abusadores en espacios confinados durante meses.</w:t>
      </w:r>
    </w:p>
    <w:p w14:paraId="00000057" w14:textId="77777777" w:rsidR="00AB49B3" w:rsidRPr="00420E49" w:rsidRDefault="00AB49B3" w:rsidP="00637001">
      <w:pPr>
        <w:tabs>
          <w:tab w:val="left" w:pos="1628"/>
        </w:tabs>
        <w:spacing w:after="0" w:line="240" w:lineRule="auto"/>
        <w:jc w:val="both"/>
      </w:pPr>
    </w:p>
    <w:p w14:paraId="00000058" w14:textId="77777777" w:rsidR="00AB49B3" w:rsidRPr="00420E49" w:rsidRDefault="00436450" w:rsidP="00637001">
      <w:pPr>
        <w:tabs>
          <w:tab w:val="left" w:pos="1628"/>
        </w:tabs>
        <w:spacing w:after="0" w:line="240" w:lineRule="auto"/>
        <w:jc w:val="both"/>
      </w:pPr>
      <w:r w:rsidRPr="00420E49">
        <w:t xml:space="preserve">Por otro lado, es bien conocido que las lesbianas y bisexuales no suelen denunciar a sus familiares o personas cercanas por vulnerar sus derechos, pues no reconocen las violencias como tales: los mandatos sociales las hacen sentirse avergonzadas y culpables, mantienen en el imaginario que la </w:t>
      </w:r>
      <w:r w:rsidRPr="00420E49">
        <w:lastRenderedPageBreak/>
        <w:t>familia y otros agentes tienen el derecho a agredirlas.</w:t>
      </w:r>
      <w:r w:rsidRPr="00420E49">
        <w:rPr>
          <w:vertAlign w:val="superscript"/>
        </w:rPr>
        <w:footnoteReference w:id="40"/>
      </w:r>
      <w:r w:rsidRPr="00420E49">
        <w:t xml:space="preserve"> Por ende, las denuncias hechas por adolescentes o niñas son menos probables, ya sea por su edad, su situación de dependencia económica o su sentimiento de culpabilidad. En ese sentido, el Estado peruano es el primer responsable de impulsar investigaciones y data sobre las violencias ejercidas en el ámbito familiar contra las niñas y adolescentes lesbianas, bisexuales y de la disidencia sexual con el fin de que todos esos estudios se conviertan luego en políticas públicas que contribuyan a erradicar progresivamente esta situación de violencia.</w:t>
      </w:r>
    </w:p>
    <w:p w14:paraId="00000059" w14:textId="77777777" w:rsidR="00AB49B3" w:rsidRPr="00420E49" w:rsidRDefault="00AB49B3" w:rsidP="00637001">
      <w:pPr>
        <w:tabs>
          <w:tab w:val="left" w:pos="1628"/>
        </w:tabs>
        <w:spacing w:after="0" w:line="240" w:lineRule="auto"/>
        <w:jc w:val="both"/>
      </w:pPr>
    </w:p>
    <w:p w14:paraId="0000005A" w14:textId="77777777" w:rsidR="00AB49B3" w:rsidRPr="00420E49" w:rsidRDefault="00436450" w:rsidP="00637001">
      <w:pPr>
        <w:tabs>
          <w:tab w:val="left" w:pos="1628"/>
        </w:tabs>
        <w:spacing w:after="0" w:line="240" w:lineRule="auto"/>
        <w:jc w:val="both"/>
      </w:pPr>
      <w:r w:rsidRPr="00420E49">
        <w:t>En este punto, es importante recordar que la violencia contra las lesbianas debe entenderse en un contexto de violencia, donde la motivación de las personas agresoras es resultado de un fenómeno social, complejo y de múltiples variables, más que de un acto individual. Por ello, las violencias experimentadas tienen un impacto simbólico en la sociedad por sus altos niveles de complicidad, silenciamiento, impunidad y ocultamiento. La inoperancia del sistema estatal para atender los casos de violencia contra las lesbianas alimenta y refuerza en el imaginario que los actos de violencia son permitidos y necesarios.</w:t>
      </w:r>
      <w:r w:rsidRPr="00420E49">
        <w:rPr>
          <w:vertAlign w:val="superscript"/>
        </w:rPr>
        <w:footnoteReference w:id="41"/>
      </w:r>
    </w:p>
    <w:p w14:paraId="0000005B" w14:textId="77777777" w:rsidR="00AB49B3" w:rsidRPr="00420E49" w:rsidRDefault="00AB49B3" w:rsidP="00637001">
      <w:pPr>
        <w:spacing w:after="200"/>
        <w:jc w:val="both"/>
      </w:pPr>
    </w:p>
    <w:p w14:paraId="0000005C" w14:textId="77777777" w:rsidR="00AB49B3" w:rsidRPr="00420E49" w:rsidRDefault="00436450" w:rsidP="00420E49">
      <w:pPr>
        <w:pStyle w:val="Ttulo3"/>
        <w:rPr>
          <w:color w:val="auto"/>
        </w:rPr>
      </w:pPr>
      <w:bookmarkStart w:id="13" w:name="_Toc173415425"/>
      <w:r w:rsidRPr="00420E49">
        <w:rPr>
          <w:color w:val="auto"/>
        </w:rPr>
        <w:t>PRÁCTICAS NOCIVAS</w:t>
      </w:r>
      <w:bookmarkEnd w:id="13"/>
    </w:p>
    <w:p w14:paraId="0000005D" w14:textId="77777777" w:rsidR="00AB49B3" w:rsidRPr="00420E49" w:rsidRDefault="00AB49B3" w:rsidP="00637001">
      <w:pPr>
        <w:jc w:val="both"/>
        <w:rPr>
          <w:b/>
        </w:rPr>
      </w:pPr>
    </w:p>
    <w:p w14:paraId="0000005E" w14:textId="77777777" w:rsidR="00AB49B3" w:rsidRPr="00420E49" w:rsidRDefault="00436450" w:rsidP="00637001">
      <w:pPr>
        <w:jc w:val="both"/>
      </w:pPr>
      <w:r w:rsidRPr="00420E49">
        <w:t>En el Perú existen altos índices de violencia contra las niñeces y las adolescencias, problemática que no es abordada de manera integral -desde la prevención con ESI, educación con enfoque de género que transformé prejuicios y fomente la igualdad- sino que es naturalizada por el Estado y la sociedad. Así, el 58.5% de la población tolera la violencia hacia niñas, niños y adolescentes</w:t>
      </w:r>
      <w:r w:rsidRPr="00420E49">
        <w:rPr>
          <w:vertAlign w:val="superscript"/>
        </w:rPr>
        <w:footnoteReference w:id="42"/>
      </w:r>
      <w:r w:rsidRPr="00420E49">
        <w:t>; y el 46% de las personas creen que los únicos que deben pegarles a sus hijos/as son los padres</w:t>
      </w:r>
      <w:r w:rsidRPr="00420E49">
        <w:rPr>
          <w:vertAlign w:val="superscript"/>
        </w:rPr>
        <w:footnoteReference w:id="43"/>
      </w:r>
      <w:r w:rsidRPr="00420E49">
        <w:t>.</w:t>
      </w:r>
    </w:p>
    <w:p w14:paraId="0000005F" w14:textId="77777777" w:rsidR="00AB49B3" w:rsidRPr="00420E49" w:rsidRDefault="00436450" w:rsidP="00637001">
      <w:pPr>
        <w:jc w:val="both"/>
      </w:pPr>
      <w:r w:rsidRPr="00420E49">
        <w:t xml:space="preserve">Entre 2017 y 2022 hubo 74,413 casos reportados de violencia sexual contra niñas, niños y adolescentes, lo que deja un promedio de </w:t>
      </w:r>
      <w:r w:rsidRPr="00420E49">
        <w:rPr>
          <w:b/>
        </w:rPr>
        <w:t>34 casos al día</w:t>
      </w:r>
      <w:r w:rsidRPr="00420E49">
        <w:t>. De estos, 92% corresponde a niñas y adolescentes mujeres, y 8% a niños y adolescentes hombres. Además, el 74% de agresores son muy cercanos o conocidos</w:t>
      </w:r>
      <w:r w:rsidRPr="00420E49">
        <w:rPr>
          <w:vertAlign w:val="superscript"/>
        </w:rPr>
        <w:footnoteReference w:id="44"/>
      </w:r>
      <w:r w:rsidRPr="00420E49">
        <w:t xml:space="preserve">. Entre el 2017 y 2022 los CEM registraron 754 casos de </w:t>
      </w:r>
      <w:r w:rsidRPr="00420E49">
        <w:rPr>
          <w:u w:val="single"/>
        </w:rPr>
        <w:t>violencia sexual contra menores de edad extranjeras/os</w:t>
      </w:r>
      <w:r w:rsidRPr="00420E49">
        <w:t>. El 90% de estos casos corresponde a mujeres y el 60% eran adolescentes</w:t>
      </w:r>
      <w:r w:rsidRPr="00420E49">
        <w:rPr>
          <w:vertAlign w:val="superscript"/>
        </w:rPr>
        <w:footnoteReference w:id="45"/>
      </w:r>
      <w:r w:rsidRPr="00420E49">
        <w:t xml:space="preserve">. Un panorama más detallado de cifras de violencia sexual en algunas regiones del país en el anexo 1. </w:t>
      </w:r>
    </w:p>
    <w:p w14:paraId="00000060" w14:textId="77777777" w:rsidR="00AB49B3" w:rsidRPr="00420E49" w:rsidRDefault="00436450" w:rsidP="00637001">
      <w:pPr>
        <w:jc w:val="both"/>
      </w:pPr>
      <w:r w:rsidRPr="00420E49">
        <w:t xml:space="preserve">Una muestra clara de esta naturalización social en los medios de comunicación, y falta de protección, fue el caso de niñas que desfilaron en lencería en un programa de señal abierta y en </w:t>
      </w:r>
      <w:r w:rsidRPr="00420E49">
        <w:lastRenderedPageBreak/>
        <w:t>horario familiar. El programa fue sancionado con una multa de 20 UIT, y finalmente retirado de la programación</w:t>
      </w:r>
      <w:r w:rsidRPr="00420E49">
        <w:rPr>
          <w:vertAlign w:val="superscript"/>
        </w:rPr>
        <w:footnoteReference w:id="46"/>
      </w:r>
      <w:r w:rsidRPr="00420E49">
        <w:t xml:space="preserve">. </w:t>
      </w:r>
    </w:p>
    <w:p w14:paraId="00000062" w14:textId="2D8B75BA" w:rsidR="00AB49B3" w:rsidRPr="00420E49" w:rsidRDefault="00436450" w:rsidP="00420E49">
      <w:pPr>
        <w:pStyle w:val="Ttulo3"/>
        <w:rPr>
          <w:color w:val="auto"/>
        </w:rPr>
      </w:pPr>
      <w:bookmarkStart w:id="14" w:name="_Toc173415426"/>
      <w:r w:rsidRPr="00420E49">
        <w:rPr>
          <w:color w:val="auto"/>
        </w:rPr>
        <w:t>TORTURA Y TRATOS O PENAS CRUELES, INHUMANOS O DEGRADANTES:</w:t>
      </w:r>
      <w:r w:rsidR="00420E49" w:rsidRPr="00420E49">
        <w:rPr>
          <w:color w:val="auto"/>
        </w:rPr>
        <w:t xml:space="preserve"> </w:t>
      </w:r>
      <w:r w:rsidRPr="00420E49">
        <w:rPr>
          <w:color w:val="auto"/>
        </w:rPr>
        <w:t>EMBARAZO INFANTIL FORZADO</w:t>
      </w:r>
      <w:bookmarkEnd w:id="14"/>
    </w:p>
    <w:p w14:paraId="00000063" w14:textId="77777777" w:rsidR="00AB49B3" w:rsidRPr="00420E49" w:rsidRDefault="00436450" w:rsidP="00637001">
      <w:pPr>
        <w:jc w:val="both"/>
      </w:pPr>
      <w:r w:rsidRPr="00420E49">
        <w:t xml:space="preserve">El artículo 6° de la Convención refiere el derecho que tienen niños, niñas y adolescentes a la vida y su desarrollo y el artículo 24° el derecho a disfrutar del más alto nivel posible de salud y a tener acceso a servicios médicos. La Convención de la Tortura y otros tratos o penas crueles, inhumanos o degradantes y del Pacto Internacional de Derechos Civiles y Políticos también han hecho referencia a esta situación. </w:t>
      </w:r>
    </w:p>
    <w:p w14:paraId="00000064" w14:textId="77777777" w:rsidR="00AB49B3" w:rsidRPr="00420E49" w:rsidRDefault="00436450" w:rsidP="00637001">
      <w:pPr>
        <w:jc w:val="both"/>
      </w:pPr>
      <w:r w:rsidRPr="00420E49">
        <w:t>Esta situación refleja un contexto de alta prevalencia de la violencia y falta de políticas públicas y estrategias centradas en la prevención de la violencia sexual contra NNA. Lo que contraviene una serie de derechos y principios fundamentales, como el Principio del Interés del Niño y los derechos contemplados en la Convención y otros tratados internacionales.</w:t>
      </w:r>
    </w:p>
    <w:p w14:paraId="00000065" w14:textId="77777777" w:rsidR="00AB49B3" w:rsidRPr="00420E49" w:rsidRDefault="00436450" w:rsidP="00637001">
      <w:pPr>
        <w:jc w:val="both"/>
        <w:rPr>
          <w:b/>
        </w:rPr>
      </w:pPr>
      <w:r w:rsidRPr="00420E49">
        <w:t xml:space="preserve">El contexto referido a la violencia sexual contra las niñas y adolescentes se agudiza con los embarazos forzados como consecuencia de esta violencia. </w:t>
      </w:r>
    </w:p>
    <w:p w14:paraId="00000066" w14:textId="77777777" w:rsidR="00AB49B3" w:rsidRPr="00420E49" w:rsidRDefault="00436450" w:rsidP="00637001">
      <w:pPr>
        <w:jc w:val="both"/>
      </w:pPr>
      <w:r w:rsidRPr="00420E49">
        <w:t xml:space="preserve"> Durante los años 2021 y 2022, las cifras más altas de embarazo en niñas menores de 12 años se registraron en la selva, en regiones como Ucayali, San Martín y Loreto</w:t>
      </w:r>
      <w:r w:rsidRPr="00420E49">
        <w:rPr>
          <w:vertAlign w:val="superscript"/>
        </w:rPr>
        <w:footnoteReference w:id="47"/>
      </w:r>
      <w:r w:rsidRPr="00420E49">
        <w:t xml:space="preserve">.  El Ministerio de Salud entre el 2020 - 2023 ha reportado 5 532 partos en niñas y adolescentes entre 11 – 14 años y 34 partos de niñas menores de 10 años, las cuales han sido obligadas a llevar embarazos infantiles forzados (Anexo 2). Denominamos embarazo infantil forzado a la situación en donde </w:t>
      </w:r>
      <w:r w:rsidRPr="00420E49">
        <w:rPr>
          <w:i/>
        </w:rPr>
        <w:t>“(…) una niña queda embarazada sin haberlo buscado o deseado y se le niega, dificulta, demora u obstaculiza la interrupción del embarazo”</w:t>
      </w:r>
      <w:r w:rsidRPr="00420E49">
        <w:t xml:space="preserve"> (Chiarotti, 2016). </w:t>
      </w:r>
    </w:p>
    <w:p w14:paraId="00000067" w14:textId="5DF4B224" w:rsidR="00AB49B3" w:rsidRPr="00420E49" w:rsidRDefault="00436450" w:rsidP="00637001">
      <w:pPr>
        <w:jc w:val="both"/>
        <w:rPr>
          <w:b/>
        </w:rPr>
      </w:pPr>
      <w:r w:rsidRPr="00420E49">
        <w:t xml:space="preserve">Según el Sistema de Registro de Certificado de Nacido Vivo del </w:t>
      </w:r>
      <w:r w:rsidR="00637001" w:rsidRPr="00420E49">
        <w:t>MINSA</w:t>
      </w:r>
      <w:r w:rsidRPr="00420E49">
        <w:rPr>
          <w:vertAlign w:val="superscript"/>
        </w:rPr>
        <w:footnoteReference w:id="48"/>
      </w:r>
      <w:r w:rsidRPr="00420E49">
        <w:t xml:space="preserve">, entre enero y junio del 2024, se registraron 399 nacimientos a nivel nacional, cuyas madres tenían el rango de edad de 0 a 14 años, todos estos partos son producto de violación sexual a niñas que además se vieron obligadas a llevar embarazos forzados. De acuerdo con el MINSA, en el año 2020 se registraron </w:t>
      </w:r>
      <w:r w:rsidRPr="00420E49">
        <w:rPr>
          <w:b/>
        </w:rPr>
        <w:t>3,696 casos de embarazo en niñas de entre 12 a 14 años.</w:t>
      </w:r>
      <w:r w:rsidRPr="00420E49">
        <w:t xml:space="preserve"> En el 2021 se registró 4,553 casos incrementándose en 23% con respecto al año 2020; y en el 2022 se registraron 4 231 casos.  Lo que resulta más alarmante son las cifras de </w:t>
      </w:r>
      <w:r w:rsidRPr="00420E49">
        <w:rPr>
          <w:b/>
        </w:rPr>
        <w:t>embarazo en niñas de 6 a 11 años, con un total de 245 casos reportados entre el año 2020 al 2022</w:t>
      </w:r>
      <w:r w:rsidRPr="00420E49">
        <w:rPr>
          <w:b/>
          <w:vertAlign w:val="superscript"/>
        </w:rPr>
        <w:footnoteReference w:id="49"/>
      </w:r>
      <w:r w:rsidRPr="00420E49">
        <w:rPr>
          <w:b/>
        </w:rPr>
        <w:t>.</w:t>
      </w:r>
    </w:p>
    <w:p w14:paraId="00000068" w14:textId="77777777" w:rsidR="00AB49B3" w:rsidRPr="00420E49" w:rsidRDefault="00436450" w:rsidP="00637001">
      <w:pPr>
        <w:jc w:val="both"/>
      </w:pPr>
      <w:r w:rsidRPr="00420E49">
        <w:t xml:space="preserve">Esta afectación a la salud sexual y reproductiva en el caso de las niñas y las adolescentes se agudiza por factores como la limitación al acceso al aborto terapéutico; a la educación sexual integral como </w:t>
      </w:r>
      <w:r w:rsidRPr="00420E49">
        <w:lastRenderedPageBreak/>
        <w:t>forma de prevención; a falta de debida diligencia reforzada del Estado; y a la impunidad que rodea en los casos de violencia sexual.</w:t>
      </w:r>
    </w:p>
    <w:p w14:paraId="00000069" w14:textId="77777777" w:rsidR="00AB49B3" w:rsidRPr="00420E49" w:rsidRDefault="00436450" w:rsidP="00637001">
      <w:pPr>
        <w:spacing w:after="200"/>
        <w:jc w:val="both"/>
      </w:pPr>
      <w:r w:rsidRPr="00420E49">
        <w:t>Respecto al nivel de atención, por ejemplo, todas las víctimas de violencia sexual tienen el derecho de recibir un “Kit de violencia contra la mujer - violencia sexual”</w:t>
      </w:r>
      <w:r w:rsidRPr="00420E49">
        <w:rPr>
          <w:vertAlign w:val="superscript"/>
        </w:rPr>
        <w:footnoteReference w:id="50"/>
      </w:r>
      <w:r w:rsidRPr="00420E49">
        <w:t xml:space="preserve"> entregado en los centros de salud, el cual contiene diversos recursos, entre los que se encuentra el Anticonceptivo Oral de Emergencia (AOE) para prevenir embarazos forzados. </w:t>
      </w:r>
    </w:p>
    <w:p w14:paraId="0000006A" w14:textId="77777777" w:rsidR="00AB49B3" w:rsidRPr="00420E49" w:rsidRDefault="00436450" w:rsidP="00637001">
      <w:pPr>
        <w:spacing w:after="200"/>
        <w:jc w:val="both"/>
      </w:pPr>
      <w:r w:rsidRPr="00420E49">
        <w:t>Sobre la implementación de la Norma Técnica de Salud para el Cuidado Integral de las Mujeres e Integrantes del Grupo Familiar Afectados por Violencia Sexual, aprobada en 2020, de los 5,128 casos de violación sexual reportados, sólo accedieron al kit de emergencia 1,298 víctimas (25.3%)</w:t>
      </w:r>
      <w:r w:rsidRPr="00420E49">
        <w:rPr>
          <w:vertAlign w:val="superscript"/>
        </w:rPr>
        <w:footnoteReference w:id="51"/>
      </w:r>
      <w:r w:rsidRPr="00420E49">
        <w:t xml:space="preserve">. El resultado directo de esta poca aplicación de la norma y falta de entrega de kits de emergencia, tiene como resultado directo la afectación de salud de las víctimas, siendo al menos 3,265 de ellas niñas, niños y adolescentes menores de 17 años.  </w:t>
      </w:r>
    </w:p>
    <w:p w14:paraId="0000006B" w14:textId="77777777" w:rsidR="00AB49B3" w:rsidRPr="00420E49" w:rsidRDefault="00436450" w:rsidP="00637001">
      <w:pPr>
        <w:jc w:val="both"/>
      </w:pPr>
      <w:r w:rsidRPr="00420E49">
        <w:t>Los motivos son diversos, entre estos se tiene el desabastecimiento, la desinformación, la falta de debida diligencia y articulación entre las instituciones encargadas de la atención y otras brechas. Se encuentra pendiente la aprobación de un proyecto de ley que fortalece la entrega del kit estableciendo sanciones penales para los funcionarios que incumplan con dicha obligación y otras medidas adicionales</w:t>
      </w:r>
      <w:r w:rsidRPr="00420E49">
        <w:rPr>
          <w:vertAlign w:val="superscript"/>
        </w:rPr>
        <w:footnoteReference w:id="52"/>
      </w:r>
      <w:r w:rsidRPr="00420E49">
        <w:t>.</w:t>
      </w:r>
    </w:p>
    <w:p w14:paraId="0000006C" w14:textId="77777777" w:rsidR="00AB49B3" w:rsidRPr="00420E49" w:rsidRDefault="00436450" w:rsidP="00637001">
      <w:pPr>
        <w:jc w:val="both"/>
      </w:pPr>
      <w:r w:rsidRPr="00420E49">
        <w:t xml:space="preserve">Desde 1924, en el Perú está despenalizado el aborto terapéutico; sin embargo, no se contempla la despenalización del aborto en casos de violación sexual a niñas y adolescentes víctimas. Esta situación, recrudece la discriminación que sufren las niñas y adolescentes, así como pone sobre la palestra a las instituciones y el rol que asumen. De acuerdo al marco legal vigente, la actividad sexual con una persona menor de edad que se encuentra debajo de la edad del consentimiento (14 años para el Perú) es considerado abuso sexual y es sancionado penalmente. </w:t>
      </w:r>
    </w:p>
    <w:p w14:paraId="0000006D" w14:textId="77777777" w:rsidR="00AB49B3" w:rsidRPr="00420E49" w:rsidRDefault="00436450" w:rsidP="00637001">
      <w:pPr>
        <w:jc w:val="both"/>
      </w:pPr>
      <w:r w:rsidRPr="00420E49">
        <w:t>A pesar que el Comité en sus últimas recomendaciones al estado peruano</w:t>
      </w:r>
      <w:r w:rsidRPr="00420E49">
        <w:rPr>
          <w:vertAlign w:val="superscript"/>
        </w:rPr>
        <w:footnoteReference w:id="53"/>
      </w:r>
      <w:r w:rsidRPr="00420E49">
        <w:t xml:space="preserve"> requirió despenalizar el aborto en todas las circunstancias, garantizando que niñas y adolescentes pudiesen acceder a los servicios de aborto sin peligro y la atención postaborto, </w:t>
      </w:r>
      <w:r w:rsidRPr="00420E49">
        <w:rPr>
          <w:u w:val="single"/>
        </w:rPr>
        <w:t>por lo menos en casos de violación, incesto y graves malformaciones del feto</w:t>
      </w:r>
      <w:r w:rsidRPr="00420E49">
        <w:t xml:space="preserve"> a la fecha esto no ha sido implementado. </w:t>
      </w:r>
    </w:p>
    <w:p w14:paraId="0000006E" w14:textId="77777777" w:rsidR="00AB49B3" w:rsidRPr="00420E49" w:rsidRDefault="00436450" w:rsidP="00637001">
      <w:pPr>
        <w:jc w:val="both"/>
      </w:pPr>
      <w:r w:rsidRPr="00420E49">
        <w:t xml:space="preserve">De la misma forma, el Comité recomendó el acceso al aborto para los casos de riesgo para la vida y la salud de la madre. No obstante, a pesar de la implementación de la “Guía Técnica Nacional para   la estandarización del procedimiento de la Atención Integral de la gestante en la Interrupción Voluntaria por Indicación Terapéutica del Embarazo menor de 22 semanas con consentimiento </w:t>
      </w:r>
      <w:r w:rsidRPr="00420E49">
        <w:lastRenderedPageBreak/>
        <w:t xml:space="preserve">informado” en el 2014, a la fecha se continúan presentando barreras para su acceso, las cuales tienen transversalizadas estereotipos de género. Del registro que maneja el Ministerio de Salud, solo se habrían llevado a cabo 82 abortos terapéuticos de niñas y adolescentes entre 0 – 17 años (Anexo 2). </w:t>
      </w:r>
    </w:p>
    <w:p w14:paraId="0000006F" w14:textId="77777777" w:rsidR="00AB49B3" w:rsidRPr="00420E49" w:rsidRDefault="00436450" w:rsidP="00637001">
      <w:pPr>
        <w:jc w:val="both"/>
      </w:pPr>
      <w:r w:rsidRPr="00420E49">
        <w:t>En efecto, se debe considerar la judicialización de la “</w:t>
      </w:r>
      <w:r w:rsidRPr="00420E49">
        <w:rPr>
          <w:i/>
        </w:rPr>
        <w:t>Guía Técnica Nacional para la estandarización del procedimiento de la Atención Integral de la gestante en la Interrupción Voluntaria por Indicación Terapéutica del embarazo menor de 22 semanas</w:t>
      </w:r>
      <w:r w:rsidRPr="00420E49">
        <w:t xml:space="preserve">”, cuyo objetivo era que se declare la inconstitucionalidad de la disposición legal.  La Corte Suprema de Justicia declaró infundada la acción popular, </w:t>
      </w:r>
      <w:r w:rsidRPr="00420E49">
        <w:rPr>
          <w:b/>
        </w:rPr>
        <w:t>confirmando la constitucionalidad de la guía y ordenó al Ministerio de Salud la ampliación y adecuación de este instrumento para una atención adecuada de niñas y adolescentes, que se encuentra pendiente a la fecha</w:t>
      </w:r>
      <w:r w:rsidRPr="00420E49">
        <w:rPr>
          <w:vertAlign w:val="superscript"/>
        </w:rPr>
        <w:footnoteReference w:id="54"/>
      </w:r>
      <w:r w:rsidRPr="00420E49">
        <w:t>.</w:t>
      </w:r>
    </w:p>
    <w:p w14:paraId="00000070" w14:textId="77777777" w:rsidR="00AB49B3" w:rsidRPr="00420E49" w:rsidRDefault="00436450" w:rsidP="00637001">
      <w:pPr>
        <w:jc w:val="both"/>
      </w:pPr>
      <w:r w:rsidRPr="00420E49">
        <w:t>Se observa un abandono por parte de las autoridades, lo cual ocurre en gran medida en varias regiones del país (ANEXO 3). La ausencia y desprotección estatal exponen a las sobrevivientes de violencia a revictimización y desamparo sistemático.</w:t>
      </w:r>
    </w:p>
    <w:p w14:paraId="00000071" w14:textId="77777777" w:rsidR="00AB49B3" w:rsidRPr="00420E49" w:rsidRDefault="00436450" w:rsidP="00637001">
      <w:pPr>
        <w:jc w:val="both"/>
      </w:pPr>
      <w:r w:rsidRPr="00420E49">
        <w:t>En este panorama, el caso “Camila” es un referente importante, en el que el Perú fue encontrado responsable internacionalmente por el Comité de Derechos del Niño, al haber violado los derechos a la salud y a la vida de una niña indígena y rural de 13 años, víctima de violación sexual, al no proporcionarle información ni acceso al aborto legal y seguro</w:t>
      </w:r>
      <w:r w:rsidRPr="00420E49">
        <w:rPr>
          <w:vertAlign w:val="superscript"/>
        </w:rPr>
        <w:footnoteReference w:id="55"/>
      </w:r>
      <w:r w:rsidRPr="00420E49">
        <w:t>.</w:t>
      </w:r>
    </w:p>
    <w:p w14:paraId="00000072" w14:textId="77777777" w:rsidR="00AB49B3" w:rsidRPr="00420E49" w:rsidRDefault="00436450" w:rsidP="00637001">
      <w:pPr>
        <w:jc w:val="both"/>
      </w:pPr>
      <w:r w:rsidRPr="00420E49">
        <w:t>No obstante, aún existen serias dificultades en el acceso oportuno a información, evaluación y aplicación del aborto terapéutico en niñas y adolescentes. Un caso ilustrativo es el ocurrido con “Mila” de 11 años, quien quedó embarazada producto de la violación sexual de su padrastro en la región de Loreto; sin embargo, se le negó el acceso al aborto terapéutico cuando ella tenía 17 semanas. Por ello, luego de pronunciamientos de diversas instancias nacionales e internacionales</w:t>
      </w:r>
      <w:r w:rsidRPr="00420E49">
        <w:rPr>
          <w:vertAlign w:val="superscript"/>
        </w:rPr>
        <w:footnoteReference w:id="56"/>
      </w:r>
      <w:r w:rsidRPr="00420E49">
        <w:t>, fue trasladada a Lima, donde finalmente pudo acceder a este procedimiento</w:t>
      </w:r>
      <w:r w:rsidRPr="00420E49">
        <w:rPr>
          <w:vertAlign w:val="superscript"/>
        </w:rPr>
        <w:footnoteReference w:id="57"/>
      </w:r>
      <w:r w:rsidRPr="00420E49">
        <w:t>. Otro de ellos ocurrió en la región de Cusco</w:t>
      </w:r>
      <w:r w:rsidRPr="00420E49">
        <w:rPr>
          <w:vertAlign w:val="superscript"/>
        </w:rPr>
        <w:footnoteReference w:id="58"/>
      </w:r>
      <w:r w:rsidRPr="00420E49">
        <w:t>, donde el Poder Judicial tuvo que intervenir en la autorización del acceso al aborto terapéutico de una niña de 10 años, víctima de violación sexual</w:t>
      </w:r>
      <w:r w:rsidRPr="00420E49">
        <w:rPr>
          <w:vertAlign w:val="superscript"/>
        </w:rPr>
        <w:footnoteReference w:id="59"/>
      </w:r>
      <w:r w:rsidRPr="00420E49">
        <w:t xml:space="preserve"> y otros casos en los que </w:t>
      </w:r>
      <w:r w:rsidRPr="00420E49">
        <w:lastRenderedPageBreak/>
        <w:t>producto de la presión social, menores lograron acceder al aborto terapéutico, como sucedió con dos niñas de 10 y 12 años en Cusco</w:t>
      </w:r>
      <w:r w:rsidRPr="00420E49">
        <w:rPr>
          <w:vertAlign w:val="superscript"/>
        </w:rPr>
        <w:footnoteReference w:id="60"/>
      </w:r>
      <w:r w:rsidRPr="00420E49">
        <w:t>.</w:t>
      </w:r>
    </w:p>
    <w:p w14:paraId="00000073" w14:textId="77777777" w:rsidR="00AB49B3" w:rsidRPr="00420E49" w:rsidRDefault="00436450" w:rsidP="00637001">
      <w:pPr>
        <w:jc w:val="both"/>
      </w:pPr>
      <w:r w:rsidRPr="00420E49">
        <w:t>Finalmente, cabe señalar que el contexto político respecto a la despenalización del aborto, la aplicación del aborto terapéutico y otros temas afines es cada vez más restringido. Se han presentado retrocesos normativos como la ley que atenta contra la educación sexual integral</w:t>
      </w:r>
      <w:r w:rsidRPr="00420E49">
        <w:rPr>
          <w:vertAlign w:val="superscript"/>
        </w:rPr>
        <w:footnoteReference w:id="61"/>
      </w:r>
      <w:r w:rsidRPr="00420E49">
        <w:t>, ley que reconoce derechos del concebido</w:t>
      </w:r>
      <w:r w:rsidRPr="00420E49">
        <w:rPr>
          <w:vertAlign w:val="superscript"/>
        </w:rPr>
        <w:footnoteReference w:id="62"/>
      </w:r>
      <w:r w:rsidRPr="00420E49">
        <w:t>, y otras propuestas normativas que representan grandes peligros para la protección y promoción de los derechos sexuales y reproductivos de niñas, niños y adolescentes.</w:t>
      </w:r>
    </w:p>
    <w:p w14:paraId="00000074" w14:textId="4E340C07" w:rsidR="00AB49B3" w:rsidRPr="00420E49" w:rsidRDefault="00420E49" w:rsidP="00420E49">
      <w:pPr>
        <w:pStyle w:val="Ttulo2"/>
        <w:rPr>
          <w:b/>
          <w:color w:val="auto"/>
        </w:rPr>
      </w:pPr>
      <w:bookmarkStart w:id="15" w:name="_Toc173415427"/>
      <w:r w:rsidRPr="00420E49">
        <w:rPr>
          <w:b/>
          <w:color w:val="auto"/>
        </w:rPr>
        <w:t>ENTORNO FAMILIAR Y MODALIDADES ALTERNATIVAS DE CUIDADO (ARTS. 5, 9 A 11, 18 (PÁRR. 1 Y 2), 20, 21, 25 Y 27 (PÁRR. 4)</w:t>
      </w:r>
      <w:bookmarkEnd w:id="15"/>
    </w:p>
    <w:p w14:paraId="00000075" w14:textId="77777777" w:rsidR="00AB49B3" w:rsidRPr="00420E49" w:rsidRDefault="00AB49B3" w:rsidP="00637001">
      <w:pPr>
        <w:jc w:val="both"/>
      </w:pPr>
    </w:p>
    <w:p w14:paraId="00000076" w14:textId="77777777" w:rsidR="00AB49B3" w:rsidRPr="00420E49" w:rsidRDefault="00436450" w:rsidP="00420E49">
      <w:pPr>
        <w:pStyle w:val="Ttulo3"/>
        <w:rPr>
          <w:color w:val="auto"/>
        </w:rPr>
      </w:pPr>
      <w:bookmarkStart w:id="16" w:name="_Toc173415428"/>
      <w:r w:rsidRPr="00420E49">
        <w:rPr>
          <w:color w:val="auto"/>
        </w:rPr>
        <w:t>NIÑECES PRIVADAS DE UN ENTORNO FAMILIAR Y ADOPCIÓN</w:t>
      </w:r>
      <w:bookmarkEnd w:id="16"/>
    </w:p>
    <w:p w14:paraId="00000077" w14:textId="77777777" w:rsidR="00AB49B3" w:rsidRPr="00420E49" w:rsidRDefault="00436450" w:rsidP="00637001">
      <w:pPr>
        <w:jc w:val="both"/>
      </w:pPr>
      <w:r w:rsidRPr="00420E49">
        <w:t>Sobre las medidas adoptadas para cerciorarse de que las decisiones de acogimiento de NNA en hogares de acogida o su ingreso en instituciones sean objeto de una revisión periódica, y de que se vigile la calidad de la atención brindada a los NNA en esos entornos, salieron a la luz casos que evidencian que estas no son suficientes para garantizar la salud, integridad e indemnidad de niñas, niños y adolescentes y que no se cuenta con filtros adecuados para la selección del personal responsable.</w:t>
      </w:r>
    </w:p>
    <w:p w14:paraId="00000078" w14:textId="77777777" w:rsidR="00AB49B3" w:rsidRPr="00420E49" w:rsidRDefault="00436450" w:rsidP="00637001">
      <w:pPr>
        <w:spacing w:after="200"/>
        <w:jc w:val="both"/>
      </w:pPr>
      <w:r w:rsidRPr="00420E49">
        <w:t>Funcionarios públicos en altos cargos han sido denunciados por graves delitos contra niñas y adolescentes bajo su cuidado. Como casos relevantes, se encuentran la denuncia contra un psicólogo acusado de abusar sexualmente de una niña de 13 años que se encontraba bajo su tutela en la Unidad de Protección Especial (UPE) de Ucayali, la niña estaba siendo atendida en dicha unidad, adscrita al Ministerio de la Mujer.</w:t>
      </w:r>
      <w:r w:rsidRPr="00420E49">
        <w:rPr>
          <w:vertAlign w:val="superscript"/>
        </w:rPr>
        <w:footnoteReference w:id="63"/>
      </w:r>
      <w:r w:rsidRPr="00420E49">
        <w:t>, el psicólogo denunciado no solo se encontraba inhabilitado para ejercer su profesión, sino que, además, podría haber sido contratado con un certificado falso.</w:t>
      </w:r>
      <w:r w:rsidRPr="00420E49">
        <w:rPr>
          <w:vertAlign w:val="superscript"/>
        </w:rPr>
        <w:footnoteReference w:id="64"/>
      </w:r>
      <w:r w:rsidRPr="00420E49">
        <w:t>. Sumado a esto, en la misma región se ha ordenado la prisión preventiva del ex coordinador de una aldea del INABIF, tras haber sido denunciado por tocamientos indebidos contra niñas y adolescentes residentes del centro.</w:t>
      </w:r>
      <w:r w:rsidRPr="00420E49">
        <w:rPr>
          <w:vertAlign w:val="superscript"/>
        </w:rPr>
        <w:footnoteReference w:id="65"/>
      </w:r>
      <w:r w:rsidRPr="00420E49">
        <w:t>. Ambos casos evidencian graves falencias en la selección del personal que trabaja y atiende a niñas y niños privados de un entorno familiar.</w:t>
      </w:r>
    </w:p>
    <w:p w14:paraId="00000079" w14:textId="6C746F49" w:rsidR="00AB49B3" w:rsidRPr="00420E49" w:rsidRDefault="00420E49" w:rsidP="00420E49">
      <w:pPr>
        <w:pStyle w:val="Ttulo2"/>
        <w:rPr>
          <w:b/>
          <w:color w:val="auto"/>
        </w:rPr>
      </w:pPr>
      <w:bookmarkStart w:id="17" w:name="_Toc173415429"/>
      <w:r w:rsidRPr="00420E49">
        <w:rPr>
          <w:b/>
          <w:color w:val="auto"/>
        </w:rPr>
        <w:lastRenderedPageBreak/>
        <w:t>SALUD (ARTS. 6, 24 Y 33)</w:t>
      </w:r>
      <w:bookmarkEnd w:id="17"/>
      <w:r w:rsidRPr="00420E49">
        <w:rPr>
          <w:b/>
          <w:color w:val="auto"/>
        </w:rPr>
        <w:t xml:space="preserve">  </w:t>
      </w:r>
    </w:p>
    <w:p w14:paraId="0000007A" w14:textId="77777777" w:rsidR="00AB49B3" w:rsidRPr="00420E49" w:rsidRDefault="00AB49B3" w:rsidP="00637001">
      <w:pPr>
        <w:tabs>
          <w:tab w:val="left" w:pos="1628"/>
        </w:tabs>
        <w:spacing w:after="0" w:line="240" w:lineRule="auto"/>
        <w:jc w:val="both"/>
        <w:rPr>
          <w:b/>
        </w:rPr>
      </w:pPr>
    </w:p>
    <w:p w14:paraId="0000007B" w14:textId="77777777" w:rsidR="00AB49B3" w:rsidRPr="00420E49" w:rsidRDefault="00436450" w:rsidP="00420E49">
      <w:pPr>
        <w:pStyle w:val="Ttulo3"/>
        <w:rPr>
          <w:color w:val="auto"/>
        </w:rPr>
      </w:pPr>
      <w:bookmarkStart w:id="18" w:name="_Toc173415430"/>
      <w:r w:rsidRPr="00420E49">
        <w:rPr>
          <w:color w:val="auto"/>
        </w:rPr>
        <w:t>SALUD ADOLESCENTE: EMBARAZO ADOLESCENTE</w:t>
      </w:r>
      <w:bookmarkEnd w:id="18"/>
    </w:p>
    <w:p w14:paraId="0000007C" w14:textId="77777777" w:rsidR="00AB49B3" w:rsidRPr="00420E49" w:rsidRDefault="00436450" w:rsidP="00637001">
      <w:pPr>
        <w:pBdr>
          <w:top w:val="nil"/>
          <w:left w:val="nil"/>
          <w:bottom w:val="nil"/>
          <w:right w:val="nil"/>
          <w:between w:val="nil"/>
        </w:pBdr>
        <w:jc w:val="both"/>
      </w:pPr>
      <w:r w:rsidRPr="00420E49">
        <w:t xml:space="preserve">En el Perú, el embarazo adolescente sigue siendo un problema de salud pública que afecta directamente a las adolescencias, viéndose principalmente vulnerables, las adolescentes mujeres. </w:t>
      </w:r>
    </w:p>
    <w:p w14:paraId="0000007D" w14:textId="77777777" w:rsidR="00AB49B3" w:rsidRPr="00420E49" w:rsidRDefault="00436450" w:rsidP="00637001">
      <w:pPr>
        <w:pBdr>
          <w:top w:val="nil"/>
          <w:left w:val="nil"/>
          <w:bottom w:val="nil"/>
          <w:right w:val="nil"/>
          <w:between w:val="nil"/>
        </w:pBdr>
        <w:jc w:val="both"/>
      </w:pPr>
      <w:r w:rsidRPr="00420E49">
        <w:t>Según la Encuesta Demográfica y de Salud Familiar - ENDES</w:t>
      </w:r>
      <w:r w:rsidRPr="00420E49">
        <w:rPr>
          <w:vertAlign w:val="superscript"/>
        </w:rPr>
        <w:footnoteReference w:id="66"/>
      </w:r>
      <w:r w:rsidRPr="00420E49">
        <w:t xml:space="preserve"> en el 2023 del total de adolescente de 15 a 19 años de edad, el 8,2% estuvieron alguna vez embarazadas, de las cuales el 6,7% ya eran madres y 1,5% estaban gestando por primera vez. En este mismo grupo, la ENDES nos señala que el mayor porcentaje de adolescentes alguna vez embarazadas se encuentran en el área rural; y, según región natural, el mayor porcentaje de adolescentes que estaban embarazadas con un primer hijo se presentan en las residentes en la selva. Esta realidad es preocupante ya que detrás de una adolescente embarazada encontramos múltiples causas como la falta de educación sexual integral, la violencia de género y abuso sexual, el acceso limitado a servicios diferenciados en salud sexual, contexto de pobreza, entre otros. </w:t>
      </w:r>
    </w:p>
    <w:p w14:paraId="0000007E" w14:textId="77777777" w:rsidR="00AB49B3" w:rsidRPr="00420E49" w:rsidRDefault="00436450" w:rsidP="00637001">
      <w:pPr>
        <w:jc w:val="both"/>
      </w:pPr>
      <w:r w:rsidRPr="00420E49">
        <w:t xml:space="preserve">Entre los años 2020 y 2022, los establecimientos de salud a nivel nacional han reportado </w:t>
      </w:r>
      <w:r w:rsidRPr="00420E49">
        <w:rPr>
          <w:b/>
        </w:rPr>
        <w:t xml:space="preserve">12,589 niñas y adolescentes en situación de embarazo. </w:t>
      </w:r>
      <w:r w:rsidRPr="00420E49">
        <w:t>Durante el año 2022, el 9.2% de adolescentes entre 15 y 19 años ya son madres o están embarazadas por primera vez. Esta cifra se incrementa en regiones como Amazonas (21.8%), Ucayali (21.7%), Loreto (18.1%), Huancavelica (16.9%) y Cajamarca (15.2%)</w:t>
      </w:r>
      <w:r w:rsidRPr="00420E49">
        <w:rPr>
          <w:vertAlign w:val="superscript"/>
        </w:rPr>
        <w:footnoteReference w:id="67"/>
      </w:r>
      <w:r w:rsidRPr="00420E49">
        <w:t>.</w:t>
      </w:r>
    </w:p>
    <w:p w14:paraId="0000007F" w14:textId="77777777" w:rsidR="00AB49B3" w:rsidRPr="00420E49" w:rsidRDefault="00436450" w:rsidP="00637001">
      <w:pPr>
        <w:shd w:val="clear" w:color="auto" w:fill="FFFFFF"/>
        <w:jc w:val="both"/>
      </w:pPr>
      <w:r w:rsidRPr="00420E49">
        <w:t>Respecto a la cantidad de partos registrados en Perú en el 2023, el MINSA</w:t>
      </w:r>
      <w:r w:rsidRPr="00420E49">
        <w:rPr>
          <w:vertAlign w:val="superscript"/>
        </w:rPr>
        <w:footnoteReference w:id="68"/>
      </w:r>
      <w:r w:rsidRPr="00420E49">
        <w:rPr>
          <w:vertAlign w:val="superscript"/>
        </w:rPr>
        <w:t xml:space="preserve"> </w:t>
      </w:r>
      <w:r w:rsidRPr="00420E49">
        <w:t>registró un total de 41 431 partos en adolescentes de entre 15 a 19 años. Una de las regiones con mayores registros fue Lima con un total 6 916 partos en adolescentes de este rango de edad. Sin embargo, la incidencia de la cantidad de partos en adolescentes respecto a la población de mujeres adolescentes, es menor a comparación de otras regiones. Según el UNFPA 2023</w:t>
      </w:r>
      <w:r w:rsidRPr="00420E49">
        <w:rPr>
          <w:vertAlign w:val="superscript"/>
        </w:rPr>
        <w:footnoteReference w:id="69"/>
      </w:r>
      <w:r w:rsidRPr="00420E49">
        <w:t xml:space="preserve">, las regiones de la selva y la sierra registran las tasas más altas de fecundidad adolescente, mientras que las regiones costeras tienen tasas más bajas.  </w:t>
      </w:r>
    </w:p>
    <w:p w14:paraId="00000080" w14:textId="77777777" w:rsidR="00AB49B3" w:rsidRPr="00420E49" w:rsidRDefault="00436450" w:rsidP="00637001">
      <w:pPr>
        <w:pBdr>
          <w:top w:val="nil"/>
          <w:left w:val="nil"/>
          <w:bottom w:val="nil"/>
          <w:right w:val="nil"/>
          <w:between w:val="nil"/>
        </w:pBdr>
        <w:jc w:val="both"/>
      </w:pPr>
      <w:r w:rsidRPr="00420E49">
        <w:t xml:space="preserve">Estas diferencias evidencian también las brechas que impiden a las adolescentes alcanzar un bienestar pleno. La falta de acceso a material educativo con información segura, las limitaciones para recibir atención en salud sexual y reproductiva, la escasa información y dificultades para el acceso en los establecimientos de salud sobre el protocolo de aborto terapéutico, son situaciones que ponen en riesgo y vulneran los derechos sexuales y reproductivos de las adolescentes, situación que se ve agravada y acentuada en las regiones en donde hay mayor olvido del Estado, y no se logra atender las necesidades de esta población. </w:t>
      </w:r>
    </w:p>
    <w:p w14:paraId="00000081" w14:textId="77777777" w:rsidR="00AB49B3" w:rsidRPr="00420E49" w:rsidRDefault="00436450" w:rsidP="00637001">
      <w:pPr>
        <w:pBdr>
          <w:top w:val="nil"/>
          <w:left w:val="nil"/>
          <w:bottom w:val="nil"/>
          <w:right w:val="nil"/>
          <w:between w:val="nil"/>
        </w:pBdr>
        <w:jc w:val="both"/>
      </w:pPr>
      <w:r w:rsidRPr="00420E49">
        <w:t xml:space="preserve">Estas brechas amplían su impacto ante las desigualdades de género que viven las mujeres, y limitan su desarrollo. Muestra de ello son los estereotipos de género ligados a la maternidad y los roles de </w:t>
      </w:r>
      <w:r w:rsidRPr="00420E49">
        <w:lastRenderedPageBreak/>
        <w:t>cuidado, los cuales se atribuyen a las mujeres desde que son niñas y van incrementando a medida que van creciendo. La “Encuesta sobre representaciones del trabajo de cuidado en el Perú”</w:t>
      </w:r>
      <w:r w:rsidRPr="00420E49">
        <w:rPr>
          <w:vertAlign w:val="superscript"/>
        </w:rPr>
        <w:footnoteReference w:id="70"/>
      </w:r>
      <w:r w:rsidRPr="00420E49">
        <w:t xml:space="preserve"> 2023 corrobora esta situación. Uno de sus resultados más destacados fue que </w:t>
      </w:r>
      <w:r w:rsidRPr="00420E49">
        <w:rPr>
          <w:i/>
        </w:rPr>
        <w:t>“7 de cada 10 personas señala que en su hogar una mujer es la principal responsable de las actividades de cuidado”</w:t>
      </w:r>
      <w:r w:rsidRPr="00420E49">
        <w:t xml:space="preserve">. Otro resultado importante fue que aún persiste la idea de que las mujeres serían mejores que sus pares hombres en el cuidado de personas con discapacidad (67%) y adultos mayores (56%). Sobre el cuidado de niñas y niños, el 48% de personas encuestadas está de acuerdo con que a las madres les corresponde esta labor. </w:t>
      </w:r>
    </w:p>
    <w:p w14:paraId="00000082" w14:textId="77777777" w:rsidR="00AB49B3" w:rsidRPr="00420E49" w:rsidRDefault="00436450" w:rsidP="00637001">
      <w:pPr>
        <w:pBdr>
          <w:top w:val="nil"/>
          <w:left w:val="nil"/>
          <w:bottom w:val="nil"/>
          <w:right w:val="nil"/>
          <w:between w:val="nil"/>
        </w:pBdr>
        <w:jc w:val="both"/>
      </w:pPr>
      <w:r w:rsidRPr="00420E49">
        <w:t>Una adolescente en situación de embarazo deberá enfrentar estas brechas y desigualdades que únicamente agudizará su situación de vulnerabilidad como, por ejemplo, la pérdida de oportunidades de una educación de calidad y la deserción escolar.  Asimismo, estarán expuestas a una serie de situaciones donde estaría en riesgo su salud integral como: la muerte materna; mayor riesgo de enfermedades producto del embarazo y el parto; adolescentes y niñas obligadas a continuar con un embarazo forzado a causa de una violación sexual. También se refuerza la dependencia económica hacia la pareja, lo cual también las expone a situaciones de violencia futura por parte de esta.</w:t>
      </w:r>
    </w:p>
    <w:p w14:paraId="00000083" w14:textId="77777777" w:rsidR="00AB49B3" w:rsidRPr="00420E49" w:rsidRDefault="00436450" w:rsidP="00637001">
      <w:pPr>
        <w:pBdr>
          <w:top w:val="nil"/>
          <w:left w:val="nil"/>
          <w:bottom w:val="nil"/>
          <w:right w:val="nil"/>
          <w:between w:val="nil"/>
        </w:pBdr>
        <w:jc w:val="both"/>
      </w:pPr>
      <w:r w:rsidRPr="00420E49">
        <w:t xml:space="preserve">Este panorama exige una mayor acción del Estado para garantizar los derechos de las adolescencias. Sin embargo, a nivel nacional se están emitiendo normativas, y presentando propuestas legislativas, que implican una serie de retrocesos y barreras a la implementación de políticas que garantizan los derechos sexuales y reproductivos de las y los adolescentes. Muestra de ello es la Ley N°31498 – </w:t>
      </w:r>
      <w:r w:rsidRPr="00420E49">
        <w:rPr>
          <w:i/>
        </w:rPr>
        <w:t>Ley que impulsa la calidad de los materiales y recursos educativos en el Perú</w:t>
      </w:r>
      <w:r w:rsidRPr="00420E49">
        <w:t xml:space="preserve">, impulsado por un sector político conservador y antiderechos que tiene como propósito brindar a los padres y madres de familia la capacidad de intervenir de manera directa a la elaboración, aprobación y distribución del material educativo, el cual le permite a estos grupos limitar la información que se brinda a los y las adolescentes sobre la Educación Sexual Integral. </w:t>
      </w:r>
    </w:p>
    <w:p w14:paraId="00000084" w14:textId="77777777" w:rsidR="00AB49B3" w:rsidRPr="00420E49" w:rsidRDefault="00436450" w:rsidP="00637001">
      <w:pPr>
        <w:pBdr>
          <w:top w:val="nil"/>
          <w:left w:val="nil"/>
          <w:bottom w:val="nil"/>
          <w:right w:val="nil"/>
          <w:between w:val="nil"/>
        </w:pBdr>
        <w:jc w:val="both"/>
      </w:pPr>
      <w:r w:rsidRPr="00420E49">
        <w:t xml:space="preserve">Esta situación alerta sobre limitaciones en el acceso a servicios de educación y salud sexual, lo cual implica mayor exposición a un embarazo adolescente, riesgo a su salud y la vulneración de sus derechos. Esto ha sido advertido por el Comité, el cual señaló en la Observación General N°20 </w:t>
      </w:r>
      <w:r w:rsidRPr="00420E49">
        <w:rPr>
          <w:i/>
        </w:rPr>
        <w:t>“(…) La falta de acceso a esos servicios contribuye a que las adolescentes sean el colectivo de mujeres con mayor riesgo de morir o de sufrir lesiones graves o permanentes durante el embarazo y el parto. Todos los adolescentes deben poder acceder a servicios, información y educación en materia de salud sexual y reproductiva (…)”</w:t>
      </w:r>
      <w:r w:rsidRPr="00420E49">
        <w:rPr>
          <w:i/>
          <w:vertAlign w:val="superscript"/>
        </w:rPr>
        <w:footnoteReference w:id="71"/>
      </w:r>
      <w:r w:rsidRPr="00420E49">
        <w:rPr>
          <w:i/>
        </w:rPr>
        <w:t xml:space="preserve">. </w:t>
      </w:r>
    </w:p>
    <w:p w14:paraId="00000085" w14:textId="77777777" w:rsidR="00AB49B3" w:rsidRPr="00420E49" w:rsidRDefault="00436450" w:rsidP="00637001">
      <w:pPr>
        <w:pBdr>
          <w:top w:val="nil"/>
          <w:left w:val="nil"/>
          <w:bottom w:val="nil"/>
          <w:right w:val="nil"/>
          <w:between w:val="nil"/>
        </w:pBdr>
        <w:jc w:val="both"/>
      </w:pPr>
      <w:r w:rsidRPr="00420E49">
        <w:t>Las normas vigentes en Perú, como la referida Ley N°31498, y las propuestas legislativas (aún no archivadas) que siguen este mismo tenor, no se alinean a las recomendaciones realizadas desde este y otros organismos de derechos humanos. Esto refleja la falta de garantías de derechos y la desigualdad a la que aún están expuestas las adolescencias en el país.</w:t>
      </w:r>
    </w:p>
    <w:p w14:paraId="00000086" w14:textId="120D5B77" w:rsidR="00AB49B3" w:rsidRPr="00420E49" w:rsidRDefault="00420E49" w:rsidP="00420E49">
      <w:pPr>
        <w:pStyle w:val="Ttulo2"/>
        <w:rPr>
          <w:b/>
          <w:color w:val="auto"/>
        </w:rPr>
      </w:pPr>
      <w:bookmarkStart w:id="19" w:name="_Toc173415431"/>
      <w:r w:rsidRPr="00420E49">
        <w:rPr>
          <w:b/>
          <w:color w:val="auto"/>
        </w:rPr>
        <w:lastRenderedPageBreak/>
        <w:t>EDUCACIÓN</w:t>
      </w:r>
      <w:bookmarkEnd w:id="19"/>
    </w:p>
    <w:p w14:paraId="00000087" w14:textId="77777777" w:rsidR="00AB49B3" w:rsidRPr="00420E49" w:rsidRDefault="00AB49B3" w:rsidP="00637001">
      <w:pPr>
        <w:spacing w:after="0" w:line="240" w:lineRule="auto"/>
        <w:jc w:val="both"/>
      </w:pPr>
    </w:p>
    <w:p w14:paraId="00000088" w14:textId="77777777" w:rsidR="00AB49B3" w:rsidRPr="00420E49" w:rsidRDefault="00436450" w:rsidP="00637001">
      <w:pPr>
        <w:spacing w:after="0" w:line="240" w:lineRule="auto"/>
        <w:jc w:val="both"/>
      </w:pPr>
      <w:r w:rsidRPr="00420E49">
        <w:t>En abril pasado, la Comisión Interamericana de Derechos Humanos (CIDH), en el Día de la Visibilidad Lésbica, instó a los Estados de la región a promover una educación sexual integral (ESI) apropiada a la edad, que aborde aspectos básicos de la sexualidad humana y los impactos de las relaciones de poder históricamente desiguales que afectan a las mujeres en toda su diversidad, entre ellas, a las personas que se identifican o son percibidas como lesbianas.</w:t>
      </w:r>
      <w:r w:rsidRPr="00420E49">
        <w:rPr>
          <w:vertAlign w:val="superscript"/>
        </w:rPr>
        <w:footnoteReference w:id="72"/>
      </w:r>
    </w:p>
    <w:p w14:paraId="00000089" w14:textId="77777777" w:rsidR="00AB49B3" w:rsidRPr="00420E49" w:rsidRDefault="00AB49B3" w:rsidP="00637001">
      <w:pPr>
        <w:spacing w:after="0" w:line="240" w:lineRule="auto"/>
        <w:jc w:val="both"/>
      </w:pPr>
    </w:p>
    <w:p w14:paraId="0000008A" w14:textId="77777777" w:rsidR="00AB49B3" w:rsidRPr="00420E49" w:rsidRDefault="00436450" w:rsidP="00637001">
      <w:pPr>
        <w:spacing w:after="0" w:line="240" w:lineRule="auto"/>
        <w:jc w:val="both"/>
      </w:pPr>
      <w:r w:rsidRPr="00420E49">
        <w:t>Días antes de esa exhortación, el Congreso peruano había eliminado el uso del lenguaje inclusivo de textos escolares y documentos públicos: se modificó el numeral 3 del artículo 4 de la Ley de Igualdad de Oportunidades entre Mujeres y Hombres, que ahora indica que “el uso del lenguaje inclusivo no implica el desdoblamiento del lenguaje para referirse a mujeres y hombres”.</w:t>
      </w:r>
      <w:r w:rsidRPr="00420E49">
        <w:rPr>
          <w:vertAlign w:val="superscript"/>
        </w:rPr>
        <w:footnoteReference w:id="73"/>
      </w:r>
      <w:r w:rsidRPr="00420E49">
        <w:t xml:space="preserve"> La norma ha sido una respuesta más de los detractores del enfoque de género y ha propiciado un retroceso en la promoción de la igualdad de género en el ámbito gubernamental. Fue promulgada por insistencia del Parlamento, aun cuando el Ejecutivo la observó.</w:t>
      </w:r>
    </w:p>
    <w:p w14:paraId="0000008B" w14:textId="77777777" w:rsidR="00AB49B3" w:rsidRPr="00420E49" w:rsidRDefault="00AB49B3" w:rsidP="00637001">
      <w:pPr>
        <w:spacing w:after="0" w:line="240" w:lineRule="auto"/>
        <w:jc w:val="both"/>
      </w:pPr>
    </w:p>
    <w:p w14:paraId="0000008C" w14:textId="77777777" w:rsidR="00AB49B3" w:rsidRPr="00420E49" w:rsidRDefault="00436450" w:rsidP="00637001">
      <w:pPr>
        <w:spacing w:after="0" w:line="240" w:lineRule="auto"/>
        <w:jc w:val="both"/>
      </w:pPr>
      <w:r w:rsidRPr="00420E49">
        <w:t>Por otra parte, en setiembre del 2023 se promulgó la Ley N.° 31498,</w:t>
      </w:r>
      <w:r w:rsidRPr="00420E49">
        <w:rPr>
          <w:vertAlign w:val="superscript"/>
        </w:rPr>
        <w:footnoteReference w:id="74"/>
      </w:r>
      <w:r w:rsidRPr="00420E49">
        <w:t xml:space="preserve"> que, en la práctica, da a los padres de familia la potestad de revisar y eliminar contenidos de los materiales educativos que estén referidos a ESI, interculturalidad, enfoque de género, entre otros aspectos. </w:t>
      </w:r>
    </w:p>
    <w:p w14:paraId="0000008D" w14:textId="77777777" w:rsidR="00AB49B3" w:rsidRPr="00420E49" w:rsidRDefault="00AB49B3" w:rsidP="00637001">
      <w:pPr>
        <w:spacing w:after="0" w:line="240" w:lineRule="auto"/>
        <w:jc w:val="both"/>
      </w:pPr>
    </w:p>
    <w:p w14:paraId="0000008E" w14:textId="77777777" w:rsidR="00AB49B3" w:rsidRPr="00420E49" w:rsidRDefault="00436450" w:rsidP="00637001">
      <w:pPr>
        <w:spacing w:after="0" w:line="240" w:lineRule="auto"/>
        <w:jc w:val="both"/>
        <w:rPr>
          <w:i/>
        </w:rPr>
      </w:pPr>
      <w:r w:rsidRPr="00420E49">
        <w:t xml:space="preserve">Iniciativas como estas propiciadas por legisladoras y legisladores conservadores, así como otras impulsadas por el Ejecutivo, perpetúan la invisibilidad histórica de las niñas y adolescentes, en especial de las lesbianas y bisexuales, y dificultan la erradicación de estereotipos de género y prejuicios contra la diversidad sexual. Todo ello sin contar el daño que ocasionan en otros grupos como los conformados por hombres trans y personas de género no binario. Asimismo, contraviene la recomendación N°18 del Comité, la cual indica como parte de sus recomendaciones a los Estados </w:t>
      </w:r>
      <w:r w:rsidRPr="00420E49">
        <w:rPr>
          <w:i/>
        </w:rPr>
        <w:t>“(…) Que garanticen que las escuelas proporcionen información apropiada para cada edad sobre la salud y los derechos sexuales y reproductivos (…)”</w:t>
      </w:r>
      <w:r w:rsidRPr="00420E49">
        <w:rPr>
          <w:i/>
          <w:vertAlign w:val="superscript"/>
        </w:rPr>
        <w:footnoteReference w:id="75"/>
      </w:r>
      <w:r w:rsidRPr="00420E49">
        <w:rPr>
          <w:i/>
        </w:rPr>
        <w:t xml:space="preserve">. </w:t>
      </w:r>
    </w:p>
    <w:p w14:paraId="0000008F" w14:textId="77777777" w:rsidR="00AB49B3" w:rsidRPr="00420E49" w:rsidRDefault="00AB49B3" w:rsidP="00637001">
      <w:pPr>
        <w:spacing w:after="0" w:line="240" w:lineRule="auto"/>
        <w:jc w:val="both"/>
        <w:rPr>
          <w:i/>
        </w:rPr>
      </w:pPr>
    </w:p>
    <w:p w14:paraId="00000090" w14:textId="77777777" w:rsidR="00AB49B3" w:rsidRPr="00420E49" w:rsidRDefault="00436450" w:rsidP="00637001">
      <w:pPr>
        <w:pBdr>
          <w:top w:val="nil"/>
          <w:left w:val="nil"/>
          <w:bottom w:val="nil"/>
          <w:right w:val="nil"/>
          <w:between w:val="nil"/>
        </w:pBdr>
        <w:jc w:val="both"/>
      </w:pPr>
      <w:r w:rsidRPr="00420E49">
        <w:t>También es necesario recordar este Comité en el caso Camila dictaminó</w:t>
      </w:r>
      <w:r w:rsidRPr="00420E49">
        <w:rPr>
          <w:vertAlign w:val="superscript"/>
        </w:rPr>
        <w:footnoteReference w:id="76"/>
      </w:r>
      <w:r w:rsidRPr="00420E49">
        <w:t xml:space="preserve"> que el Estado Peruano debe proporcionar una educación adecuada en materia de salud sexual y reproductiva, y accesible a todos los niños y niñas, así como también asegurar la disponibilidad y el acceso efectivo de los niños y las niñas a la información y los servicios de salud sexual y reproductiva. </w:t>
      </w:r>
    </w:p>
    <w:p w14:paraId="00000091" w14:textId="77777777" w:rsidR="00AB49B3" w:rsidRPr="00420E49" w:rsidRDefault="00436450" w:rsidP="00637001">
      <w:pPr>
        <w:jc w:val="both"/>
      </w:pPr>
      <w:r w:rsidRPr="00420E49">
        <w:t xml:space="preserve">El contexto nacional en el que el Congreso de la República limita gravemente la implementación de la Educación Sexual Integral (ESI), se expresa a través de leyes que someten la aprobación de </w:t>
      </w:r>
      <w:r w:rsidRPr="00420E49">
        <w:lastRenderedPageBreak/>
        <w:t xml:space="preserve">materiales educativos a la opinión de los padres de familia (Ley Nro. 31498, </w:t>
      </w:r>
      <w:r w:rsidRPr="00420E49">
        <w:rPr>
          <w:i/>
        </w:rPr>
        <w:t>Ley que impulsa la calidad de los materiales y recursos educativos en el Perú</w:t>
      </w:r>
      <w:r w:rsidRPr="00420E49">
        <w:rPr>
          <w:i/>
          <w:vertAlign w:val="superscript"/>
        </w:rPr>
        <w:footnoteReference w:id="77"/>
      </w:r>
      <w:r w:rsidRPr="00420E49">
        <w:rPr>
          <w:i/>
        </w:rPr>
        <w:t xml:space="preserve"> </w:t>
      </w:r>
      <w:r w:rsidRPr="00420E49">
        <w:t>y su reglamento</w:t>
      </w:r>
      <w:r w:rsidRPr="00420E49">
        <w:rPr>
          <w:vertAlign w:val="superscript"/>
        </w:rPr>
        <w:footnoteReference w:id="78"/>
      </w:r>
      <w:r w:rsidRPr="00420E49">
        <w:t xml:space="preserve">). </w:t>
      </w:r>
    </w:p>
    <w:p w14:paraId="00000092" w14:textId="77777777" w:rsidR="00AB49B3" w:rsidRPr="00420E49" w:rsidRDefault="00436450" w:rsidP="00637001">
      <w:pPr>
        <w:jc w:val="both"/>
      </w:pPr>
      <w:r w:rsidRPr="00420E49">
        <w:t xml:space="preserve">Esta apuesta conservadora se mantiene vigente, una muestra de ello es el reciente proyecto de ley Nro. 7579/2023-CR, </w:t>
      </w:r>
      <w:r w:rsidRPr="00420E49">
        <w:rPr>
          <w:i/>
        </w:rPr>
        <w:t>Ley que reconoce el derecho de los padres de familia a elegir la educación sexual que reciben sus hijos</w:t>
      </w:r>
      <w:r w:rsidRPr="00420E49">
        <w:t>, presentado por la actual presidenta de la Comisión de la Mujer y Familia del Congreso, María de los Milagros Jackeline Jáuregui Martínez de Aguayo, el 15 de abril de 2024</w:t>
      </w:r>
      <w:r w:rsidRPr="00420E49">
        <w:rPr>
          <w:vertAlign w:val="superscript"/>
        </w:rPr>
        <w:footnoteReference w:id="79"/>
      </w:r>
      <w:r w:rsidRPr="00420E49">
        <w:t>. Esta propuesta propone la exoneración de los cursos que contengan ESI, colocando a las niñeces y adolescentes en situación de ignorancia, vulnerabilidad y mayor riesgo de violencia sexual.</w:t>
      </w:r>
    </w:p>
    <w:p w14:paraId="00000093" w14:textId="77777777" w:rsidR="00AB49B3" w:rsidRPr="00420E49" w:rsidRDefault="00436450" w:rsidP="00637001">
      <w:pPr>
        <w:jc w:val="both"/>
      </w:pPr>
      <w:r w:rsidRPr="00420E49">
        <w:t xml:space="preserve">Este tipo de control impacta en la implementación de la ESI en las escuelas. El Ministerio de Educación filtró 1,466 textos y </w:t>
      </w:r>
      <w:r w:rsidRPr="00420E49">
        <w:rPr>
          <w:u w:val="single"/>
        </w:rPr>
        <w:t xml:space="preserve">propuso la </w:t>
      </w:r>
      <w:r w:rsidRPr="00420E49">
        <w:rPr>
          <w:b/>
          <w:u w:val="single"/>
        </w:rPr>
        <w:t>exclusión de 22 materiales educativos de educación básica</w:t>
      </w:r>
      <w:r w:rsidRPr="00420E49">
        <w:rPr>
          <w:u w:val="single"/>
        </w:rPr>
        <w:t>, para el desarrollo del año escolar 2024</w:t>
      </w:r>
      <w:r w:rsidRPr="00420E49">
        <w:t xml:space="preserve">. El Viceministerio de Gestión Pedagógica, por solicitud del Despacho Ministerial, realizó una revisión ex post del contenido de los materiales educativos propuestos, enfocada en 6 términos: </w:t>
      </w:r>
      <w:r w:rsidRPr="00420E49">
        <w:rPr>
          <w:i/>
        </w:rPr>
        <w:t>ideología de género</w:t>
      </w:r>
      <w:r w:rsidRPr="00420E49">
        <w:t xml:space="preserve">, conflicto armado, </w:t>
      </w:r>
      <w:r w:rsidRPr="00420E49">
        <w:rPr>
          <w:i/>
        </w:rPr>
        <w:t>aborto</w:t>
      </w:r>
      <w:r w:rsidRPr="00420E49">
        <w:t xml:space="preserve">, conflicto social, dictadura y </w:t>
      </w:r>
      <w:r w:rsidRPr="00420E49">
        <w:rPr>
          <w:i/>
        </w:rPr>
        <w:t>educación sexual integral</w:t>
      </w:r>
      <w:r w:rsidRPr="00420E49">
        <w:rPr>
          <w:i/>
          <w:vertAlign w:val="superscript"/>
        </w:rPr>
        <w:footnoteReference w:id="80"/>
      </w:r>
      <w:r w:rsidRPr="00420E49">
        <w:rPr>
          <w:i/>
        </w:rPr>
        <w:t>.</w:t>
      </w:r>
    </w:p>
    <w:p w14:paraId="00000094" w14:textId="77777777" w:rsidR="00AB49B3" w:rsidRPr="00420E49" w:rsidRDefault="00436450" w:rsidP="00637001">
      <w:pPr>
        <w:jc w:val="both"/>
      </w:pPr>
      <w:r w:rsidRPr="00420E49">
        <w:t>Esta censura de materiales educativos afecta gravemente el derecho de acceso a información adecuada en la formación integral la de las niñeces. En el caso de la eliminación de materiales vinculados a la educación sexual integral, esta situación limita gravemente el conocimiento, acorde con su edad, de información útil sobre sexualidad, salud sexual y reproductiva, el desarrollo de capacidades para identificar situaciones de violencia sexual, entre otros aspectos fundamentales.</w:t>
      </w:r>
    </w:p>
    <w:p w14:paraId="00000095" w14:textId="77777777" w:rsidR="00AB49B3" w:rsidRPr="00420E49" w:rsidRDefault="00436450" w:rsidP="00637001">
      <w:pPr>
        <w:jc w:val="both"/>
      </w:pPr>
      <w:r w:rsidRPr="00420E49">
        <w:t>Los argumentos para proponer la exclusión de materiales son imprecisos, generales o ambiguos. Una de las razones señalada en el documento es que se hace referencia al enfoque de género, cuando en el Currículo Nacional de Educación Básica dice “enfoque de igualdad de género”; esta es la única razón de la eliminación de los materiales que hacen esta alusión.</w:t>
      </w:r>
    </w:p>
    <w:p w14:paraId="00000096" w14:textId="0E73719A" w:rsidR="00AB49B3" w:rsidRPr="00420E49" w:rsidRDefault="00436450" w:rsidP="00637001">
      <w:pPr>
        <w:jc w:val="both"/>
      </w:pPr>
      <w:r w:rsidRPr="00420E49">
        <w:t>Por ejemplo, uno de los materiales excluidos ha sido el título: ¿Es amor lo que siento?: Guía de prevención de la violencia de género para adolescentes</w:t>
      </w:r>
      <w:r w:rsidRPr="00420E49">
        <w:rPr>
          <w:vertAlign w:val="superscript"/>
        </w:rPr>
        <w:footnoteReference w:id="81"/>
      </w:r>
      <w:r w:rsidRPr="00420E49">
        <w:t xml:space="preserve">. El argumento del </w:t>
      </w:r>
      <w:r w:rsidR="00637001" w:rsidRPr="00420E49">
        <w:t>MINEDU</w:t>
      </w:r>
      <w:r w:rsidRPr="00420E49">
        <w:t xml:space="preserve"> ha sido que “existen ciertas imágenes que muestran agresión explícita”</w:t>
      </w:r>
      <w:r w:rsidRPr="00420E49">
        <w:rPr>
          <w:vertAlign w:val="superscript"/>
        </w:rPr>
        <w:footnoteReference w:id="82"/>
      </w:r>
      <w:r w:rsidRPr="00420E49">
        <w:t>. Sin embargo, cuando se revisa el material, son ilustraciones que ejemplifican formas de violencia sexual específicas y cotidianas que afectan a las adolescentes como son los tocamientos</w:t>
      </w:r>
      <w:r w:rsidRPr="00420E49">
        <w:rPr>
          <w:vertAlign w:val="superscript"/>
        </w:rPr>
        <w:footnoteReference w:id="83"/>
      </w:r>
      <w:r w:rsidRPr="00420E49">
        <w:t xml:space="preserve">; además, estos dibujos están acompañados de textos que permiten la reflexión sobre la protección de sus cuerpos, los conceptos del consentimiento o el ciclo de la violencia. </w:t>
      </w:r>
      <w:r w:rsidRPr="00420E49">
        <w:br w:type="page"/>
      </w:r>
    </w:p>
    <w:p w14:paraId="00000097" w14:textId="39103F70" w:rsidR="00AB49B3" w:rsidRPr="00420E49" w:rsidRDefault="00420E49" w:rsidP="00420E49">
      <w:pPr>
        <w:pStyle w:val="Ttulo2"/>
        <w:rPr>
          <w:b/>
          <w:color w:val="auto"/>
        </w:rPr>
      </w:pPr>
      <w:bookmarkStart w:id="20" w:name="_Toc173415432"/>
      <w:r w:rsidRPr="00420E49">
        <w:rPr>
          <w:b/>
          <w:color w:val="auto"/>
        </w:rPr>
        <w:lastRenderedPageBreak/>
        <w:t>RECOMENDACIONES AL ESTADO PERUANO:</w:t>
      </w:r>
      <w:bookmarkEnd w:id="20"/>
    </w:p>
    <w:p w14:paraId="00000098" w14:textId="77777777" w:rsidR="00AB49B3" w:rsidRPr="00420E49" w:rsidRDefault="00436450" w:rsidP="00637001">
      <w:pPr>
        <w:numPr>
          <w:ilvl w:val="0"/>
          <w:numId w:val="12"/>
        </w:numPr>
        <w:spacing w:after="200" w:line="276" w:lineRule="auto"/>
        <w:jc w:val="both"/>
      </w:pPr>
      <w:r w:rsidRPr="00420E49">
        <w:t xml:space="preserve">Derogación de las Leyes N°32003 Ley que modifica la Ley 28983, Ley de igualdad entre mujeres y hombres, para precisar el uso del lenguaje inclusivo y la Ley N° 31498 Ley que impulsa la calidad de los materiales y recursos educativos en el Perú y su reglamento. </w:t>
      </w:r>
    </w:p>
    <w:p w14:paraId="00000099" w14:textId="77777777" w:rsidR="00AB49B3" w:rsidRPr="00420E49" w:rsidRDefault="00436450" w:rsidP="00637001">
      <w:pPr>
        <w:numPr>
          <w:ilvl w:val="0"/>
          <w:numId w:val="12"/>
        </w:numPr>
        <w:spacing w:after="200" w:line="276" w:lineRule="auto"/>
        <w:jc w:val="both"/>
      </w:pPr>
      <w:r w:rsidRPr="00420E49">
        <w:rPr>
          <w:b/>
        </w:rPr>
        <w:t xml:space="preserve">Fortalecimiento y Transparencia en Campañas de Prevención: </w:t>
      </w:r>
      <w:r w:rsidRPr="00420E49">
        <w:t>Revisar las campañas propuestas y en ejecución para enfocarse más en la prevención que en la visibilización, y publicar resultados detallados, asegurando la transparencia mediante la publicación regular de informes detallados sobre el impacto y los resultados de las campañas.</w:t>
      </w:r>
    </w:p>
    <w:p w14:paraId="0000009A" w14:textId="77777777" w:rsidR="00AB49B3" w:rsidRPr="00420E49" w:rsidRDefault="00436450" w:rsidP="00637001">
      <w:pPr>
        <w:numPr>
          <w:ilvl w:val="0"/>
          <w:numId w:val="12"/>
        </w:numPr>
        <w:spacing w:after="200" w:line="276" w:lineRule="auto"/>
        <w:jc w:val="both"/>
      </w:pPr>
      <w:r w:rsidRPr="00420E49">
        <w:rPr>
          <w:b/>
        </w:rPr>
        <w:t xml:space="preserve">Mejora del Sistema de Justicia: </w:t>
      </w:r>
      <w:r w:rsidRPr="00420E49">
        <w:t>Asegurar que el Sistema Nacional Especializado de Justicia funcione adecuadamente en todas las regiones del país e incrementar la capacitación y los recursos para las unidades especializadas en la investigación y tratamiento de casos de violencia sexual.</w:t>
      </w:r>
    </w:p>
    <w:p w14:paraId="0000009B" w14:textId="77777777" w:rsidR="00AB49B3" w:rsidRPr="00420E49" w:rsidRDefault="00436450" w:rsidP="00637001">
      <w:pPr>
        <w:numPr>
          <w:ilvl w:val="0"/>
          <w:numId w:val="12"/>
        </w:numPr>
        <w:spacing w:after="200" w:line="276" w:lineRule="auto"/>
        <w:jc w:val="both"/>
      </w:pPr>
      <w:r w:rsidRPr="00420E49">
        <w:rPr>
          <w:b/>
        </w:rPr>
        <w:t xml:space="preserve">Educación y Concientización: </w:t>
      </w:r>
      <w:r w:rsidRPr="00420E49">
        <w:t>Integrar programas de ESI en todos los niveles educativos, asegurando su relevancia cultural y accesibilidad y proveer formación regular a los docentes sobre la identificación y prevención de la violencia sexual en el entorno escolar. Oponerse a leyes que invisibilizan a las mujeres y diversidades y restringen el acceso a la ESI, y garantizar el acceso a información y educación de calidad para niñas, niños y adolescentes, eliminando la censura en los textos escolares.</w:t>
      </w:r>
    </w:p>
    <w:p w14:paraId="0000009C" w14:textId="77777777" w:rsidR="00AB49B3" w:rsidRPr="00420E49" w:rsidRDefault="00436450" w:rsidP="00637001">
      <w:pPr>
        <w:numPr>
          <w:ilvl w:val="0"/>
          <w:numId w:val="12"/>
        </w:numPr>
        <w:spacing w:after="200" w:line="276" w:lineRule="auto"/>
        <w:jc w:val="both"/>
      </w:pPr>
      <w:r w:rsidRPr="00420E49">
        <w:rPr>
          <w:b/>
        </w:rPr>
        <w:t xml:space="preserve">Apoyo y Asistencia a las Víctimas: </w:t>
      </w:r>
      <w:r w:rsidRPr="00420E49">
        <w:t>Garantizar atención integral a las víctimas de violencia sexual, con la entrega oportuna de kits de emergencia. Garantizar apoyo continuo a las víctimas para su recuperación y reintegración.</w:t>
      </w:r>
    </w:p>
    <w:p w14:paraId="0000009D" w14:textId="70742442" w:rsidR="00AB49B3" w:rsidRPr="00420E49" w:rsidRDefault="00436450" w:rsidP="00420E49">
      <w:pPr>
        <w:pStyle w:val="Prrafodelista"/>
        <w:numPr>
          <w:ilvl w:val="0"/>
          <w:numId w:val="12"/>
        </w:numPr>
        <w:spacing w:after="200" w:line="276" w:lineRule="auto"/>
        <w:jc w:val="both"/>
      </w:pPr>
      <w:r w:rsidRPr="00420E49">
        <w:rPr>
          <w:b/>
        </w:rPr>
        <w:t>Participación Comunitaria:</w:t>
      </w:r>
      <w:r w:rsidRPr="00420E49">
        <w:t xml:space="preserve"> Promover la participación activa en la prevención y respuesta a la violencia sexual mediante talleres y actividades comunitarias. Capacitar a líderes y lideresas locales para que actúen como referentes y apoyos en la lucha contra la violencia.</w:t>
      </w:r>
    </w:p>
    <w:p w14:paraId="0000009E" w14:textId="77777777" w:rsidR="00AB49B3" w:rsidRPr="00420E49" w:rsidRDefault="00436450" w:rsidP="00637001">
      <w:pPr>
        <w:numPr>
          <w:ilvl w:val="0"/>
          <w:numId w:val="14"/>
        </w:numPr>
        <w:pBdr>
          <w:top w:val="nil"/>
          <w:left w:val="nil"/>
          <w:bottom w:val="nil"/>
          <w:right w:val="nil"/>
          <w:between w:val="nil"/>
        </w:pBdr>
        <w:spacing w:after="200" w:line="276" w:lineRule="auto"/>
        <w:jc w:val="both"/>
      </w:pPr>
      <w:r w:rsidRPr="00420E49">
        <w:rPr>
          <w:b/>
        </w:rPr>
        <w:t>Revisión y Mejora de Procesos de Selección de Personal</w:t>
      </w:r>
      <w:r w:rsidRPr="00420E49">
        <w:t>: Implementar filtros más rigurosos y efectivos en la selección de personal que trabaje con NNA en hogares de acogida e instituciones. Esto incluye verificar exhaustivamente antecedentes penales, profesionales y éticos de cada candidato, así como garantizar la veracidad de los certificados presentados.</w:t>
      </w:r>
    </w:p>
    <w:p w14:paraId="0000009F" w14:textId="77777777" w:rsidR="00AB49B3" w:rsidRPr="00420E49" w:rsidRDefault="00436450" w:rsidP="00637001">
      <w:pPr>
        <w:numPr>
          <w:ilvl w:val="0"/>
          <w:numId w:val="14"/>
        </w:numPr>
        <w:spacing w:after="200" w:line="276" w:lineRule="auto"/>
        <w:jc w:val="both"/>
      </w:pPr>
      <w:r w:rsidRPr="00420E49">
        <w:t xml:space="preserve">Establecer </w:t>
      </w:r>
      <w:r w:rsidRPr="00420E49">
        <w:rPr>
          <w:b/>
        </w:rPr>
        <w:t>programas de capacitación periódica en derechos humanos, ética profesional y prevención de abusos para todo el personal que trabaje con NNA</w:t>
      </w:r>
      <w:r w:rsidRPr="00420E49">
        <w:t>. Además, asegurar una supervisión constante de las actividades y la calidad de atención brindada en estos entornos.</w:t>
      </w:r>
    </w:p>
    <w:p w14:paraId="000000A0" w14:textId="77777777" w:rsidR="00AB49B3" w:rsidRPr="00420E49" w:rsidRDefault="00436450" w:rsidP="00637001">
      <w:pPr>
        <w:numPr>
          <w:ilvl w:val="0"/>
          <w:numId w:val="14"/>
        </w:numPr>
        <w:spacing w:after="200" w:line="276" w:lineRule="auto"/>
        <w:jc w:val="both"/>
      </w:pPr>
      <w:r w:rsidRPr="00420E49">
        <w:rPr>
          <w:b/>
        </w:rPr>
        <w:t>Fortalecimiento de Denuncias y Protección a Víctimas</w:t>
      </w:r>
      <w:r w:rsidRPr="00420E49">
        <w:t>: Mejorar los mecanismos de denuncia y protección para las víctimas de abuso y sus familias, asegurando que las denuncias sean tomadas con seriedad, investigadas a fondo y que se proteja la integridad física y psicológica de los denunciantes.</w:t>
      </w:r>
    </w:p>
    <w:p w14:paraId="000000A1" w14:textId="77777777" w:rsidR="00AB49B3" w:rsidRPr="00420E49" w:rsidRDefault="00436450" w:rsidP="00637001">
      <w:pPr>
        <w:numPr>
          <w:ilvl w:val="0"/>
          <w:numId w:val="14"/>
        </w:numPr>
        <w:spacing w:after="200" w:line="276" w:lineRule="auto"/>
        <w:jc w:val="both"/>
      </w:pPr>
      <w:r w:rsidRPr="00420E49">
        <w:rPr>
          <w:b/>
        </w:rPr>
        <w:lastRenderedPageBreak/>
        <w:t xml:space="preserve">Garantizar el cumplimiento de normativa de protección para NNA víctimas de violencia sexual en el ámbito educativo. </w:t>
      </w:r>
      <w:r w:rsidRPr="00420E49">
        <w:t xml:space="preserve">Impidiendo que docentes denunciados por violencia sexual continúen laborando con NNA, facilitando se cubran dichas plazas para la continuidad del servicio y evitando que los docentes denunciados sean trasladados a otras jurisdicciones en función de docencia. Esto en especial en el ámbito rural con limitaciones de profesionales y medios de comunicación. </w:t>
      </w:r>
    </w:p>
    <w:p w14:paraId="000000A2" w14:textId="77777777" w:rsidR="00AB49B3" w:rsidRPr="00420E49" w:rsidRDefault="00436450" w:rsidP="00637001">
      <w:pPr>
        <w:numPr>
          <w:ilvl w:val="0"/>
          <w:numId w:val="14"/>
        </w:numPr>
        <w:spacing w:after="200" w:line="276" w:lineRule="auto"/>
        <w:jc w:val="both"/>
      </w:pPr>
      <w:r w:rsidRPr="00420E49">
        <w:rPr>
          <w:b/>
        </w:rPr>
        <w:t>Garantizar servicios de salud sexual y salud mental con perspectiva de diversidad y derechos humanos</w:t>
      </w:r>
      <w:r w:rsidRPr="00420E49">
        <w:t xml:space="preserve"> que permitan responder a las necesidades de las infancias y adolescencias LBTI.</w:t>
      </w:r>
    </w:p>
    <w:p w14:paraId="000000A3" w14:textId="77777777" w:rsidR="00AB49B3" w:rsidRPr="00420E49" w:rsidRDefault="00436450" w:rsidP="00637001">
      <w:pPr>
        <w:numPr>
          <w:ilvl w:val="0"/>
          <w:numId w:val="14"/>
        </w:numPr>
        <w:spacing w:after="240" w:line="276" w:lineRule="auto"/>
        <w:jc w:val="both"/>
      </w:pPr>
      <w:r w:rsidRPr="00420E49">
        <w:rPr>
          <w:b/>
        </w:rPr>
        <w:t>Garantizar la difusión y fortalecer capacidades de servidores del estado de los protocolos de actuación conjunta en casos de violencia sexua</w:t>
      </w:r>
      <w:r w:rsidRPr="00420E49">
        <w:t>l, los principales estándares internacionales alrededor de la violencia sexual, las normas vigentes y otros instrumentos, en el marco de su deber de debida diligencia. Esto incluye dotar a los servicios de financiamiento, capacidades, recursos e infraestructura adecuados para la atención de la violencia sexual.</w:t>
      </w:r>
    </w:p>
    <w:p w14:paraId="000000A4" w14:textId="3DAA2810" w:rsidR="00AB49B3" w:rsidRPr="00420E49" w:rsidRDefault="00436450" w:rsidP="00637001">
      <w:pPr>
        <w:numPr>
          <w:ilvl w:val="0"/>
          <w:numId w:val="14"/>
        </w:numPr>
        <w:spacing w:after="240" w:line="276" w:lineRule="auto"/>
        <w:jc w:val="both"/>
      </w:pPr>
      <w:r w:rsidRPr="00420E49">
        <w:rPr>
          <w:b/>
        </w:rPr>
        <w:t xml:space="preserve">Despenalizar el aborto </w:t>
      </w:r>
      <w:r w:rsidRPr="00420E49">
        <w:t xml:space="preserve">por lo menos en casos de violación sexual e incesto cumpliendo con las reiteradas recomendaciones hechas con anterioridad por el </w:t>
      </w:r>
      <w:r w:rsidR="00637001" w:rsidRPr="00420E49">
        <w:t>Comité, teniendo</w:t>
      </w:r>
      <w:r w:rsidRPr="00420E49">
        <w:t xml:space="preserve"> en cuenta la afectación desproporcionada a niñas y adolescentes.</w:t>
      </w:r>
    </w:p>
    <w:p w14:paraId="000000A5" w14:textId="77777777" w:rsidR="00AB49B3" w:rsidRPr="00420E49" w:rsidRDefault="00436450" w:rsidP="00637001">
      <w:pPr>
        <w:numPr>
          <w:ilvl w:val="0"/>
          <w:numId w:val="14"/>
        </w:numPr>
        <w:spacing w:before="240" w:after="240" w:line="276" w:lineRule="auto"/>
        <w:jc w:val="both"/>
      </w:pPr>
      <w:r w:rsidRPr="00420E49">
        <w:rPr>
          <w:b/>
        </w:rPr>
        <w:t xml:space="preserve">Eliminar las barreras prácticas para la aplicación del aborto terapéutico </w:t>
      </w:r>
      <w:r w:rsidRPr="00420E49">
        <w:t>a niñas y adolescentes en todas las circunstancias, capacitando a las y los trabajadores de la salud al respecto.</w:t>
      </w:r>
    </w:p>
    <w:p w14:paraId="000000A6" w14:textId="77777777" w:rsidR="00AB49B3" w:rsidRPr="00420E49" w:rsidRDefault="00AB49B3" w:rsidP="00637001">
      <w:pPr>
        <w:spacing w:after="200" w:line="276" w:lineRule="auto"/>
        <w:ind w:left="283"/>
        <w:jc w:val="both"/>
      </w:pPr>
    </w:p>
    <w:p w14:paraId="000000A7" w14:textId="7FDF2E74" w:rsidR="00437380" w:rsidRDefault="00437380">
      <w:pPr>
        <w:rPr>
          <w:b/>
        </w:rPr>
      </w:pPr>
      <w:r>
        <w:rPr>
          <w:b/>
        </w:rPr>
        <w:br w:type="page"/>
      </w:r>
    </w:p>
    <w:p w14:paraId="4371082D" w14:textId="3BC8A050" w:rsidR="00437380" w:rsidRPr="00437380" w:rsidRDefault="00437380" w:rsidP="00437380">
      <w:pPr>
        <w:pStyle w:val="Sinespaciado"/>
        <w:rPr>
          <w:rFonts w:asciiTheme="minorHAnsi" w:eastAsiaTheme="minorEastAsia" w:hAnsiTheme="minorHAnsi" w:cstheme="minorBidi"/>
          <w:noProof/>
          <w:lang w:val="es-ES"/>
        </w:rPr>
      </w:pPr>
      <w:hyperlink w:anchor="_Toc173414059" w:history="1">
        <w:r w:rsidRPr="00437380">
          <w:rPr>
            <w:rStyle w:val="Hipervnculo"/>
            <w:noProof/>
            <w:color w:val="auto"/>
            <w:u w:val="none"/>
          </w:rPr>
          <w:t>ANEXO 1: Data regional de violación sexual</w:t>
        </w:r>
      </w:hyperlink>
    </w:p>
    <w:p w14:paraId="62539098" w14:textId="416559F4" w:rsidR="00437380" w:rsidRPr="00437380" w:rsidRDefault="00437380" w:rsidP="00437380">
      <w:pPr>
        <w:pStyle w:val="Sinespaciado"/>
        <w:rPr>
          <w:rFonts w:asciiTheme="minorHAnsi" w:eastAsiaTheme="minorEastAsia" w:hAnsiTheme="minorHAnsi" w:cstheme="minorBidi"/>
          <w:noProof/>
          <w:lang w:val="es-ES"/>
        </w:rPr>
      </w:pPr>
      <w:hyperlink w:anchor="_Toc173414060" w:history="1">
        <w:r w:rsidRPr="00437380">
          <w:rPr>
            <w:rStyle w:val="Hipervnculo"/>
            <w:noProof/>
            <w:color w:val="auto"/>
            <w:u w:val="none"/>
          </w:rPr>
          <w:t>ANEXO 2: Datos nacionales sobre violencia sexual y embarazos forzados</w:t>
        </w:r>
        <w:r w:rsidRPr="00437380">
          <w:rPr>
            <w:noProof/>
            <w:webHidden/>
          </w:rPr>
          <w:tab/>
        </w:r>
        <w:r w:rsidRPr="00437380">
          <w:rPr>
            <w:noProof/>
            <w:webHidden/>
          </w:rPr>
          <w:fldChar w:fldCharType="begin"/>
        </w:r>
        <w:r w:rsidRPr="00437380">
          <w:rPr>
            <w:noProof/>
            <w:webHidden/>
          </w:rPr>
          <w:instrText xml:space="preserve"> PAGEREF _Toc173414060 \h </w:instrText>
        </w:r>
        <w:r w:rsidRPr="00437380">
          <w:rPr>
            <w:noProof/>
            <w:webHidden/>
          </w:rPr>
        </w:r>
        <w:r w:rsidRPr="00437380">
          <w:rPr>
            <w:noProof/>
            <w:webHidden/>
          </w:rPr>
          <w:fldChar w:fldCharType="separate"/>
        </w:r>
        <w:r w:rsidRPr="00437380">
          <w:rPr>
            <w:noProof/>
            <w:webHidden/>
          </w:rPr>
          <w:fldChar w:fldCharType="end"/>
        </w:r>
      </w:hyperlink>
    </w:p>
    <w:p w14:paraId="3ADF06CA" w14:textId="7BA9D205" w:rsidR="00437380" w:rsidRPr="00437380" w:rsidRDefault="00437380" w:rsidP="00437380">
      <w:pPr>
        <w:pStyle w:val="Sinespaciado"/>
        <w:rPr>
          <w:rFonts w:asciiTheme="minorHAnsi" w:eastAsiaTheme="minorEastAsia" w:hAnsiTheme="minorHAnsi" w:cstheme="minorBidi"/>
          <w:noProof/>
          <w:lang w:val="es-ES"/>
        </w:rPr>
      </w:pPr>
      <w:hyperlink w:anchor="_Toc173414061" w:history="1">
        <w:r w:rsidRPr="00437380">
          <w:rPr>
            <w:rStyle w:val="Hipervnculo"/>
            <w:noProof/>
            <w:color w:val="auto"/>
            <w:u w:val="none"/>
          </w:rPr>
          <w:t>ANEXO 3:  Data regional de embarazos en niñas menores de catorce años y adolescentes</w:t>
        </w:r>
      </w:hyperlink>
    </w:p>
    <w:p w14:paraId="1914389F" w14:textId="4866937C" w:rsidR="00437380" w:rsidRPr="00437380" w:rsidRDefault="00437380" w:rsidP="00437380">
      <w:pPr>
        <w:pStyle w:val="Sinespaciado"/>
        <w:rPr>
          <w:rFonts w:asciiTheme="minorHAnsi" w:eastAsiaTheme="minorEastAsia" w:hAnsiTheme="minorHAnsi" w:cstheme="minorBidi"/>
          <w:noProof/>
          <w:lang w:val="en-US"/>
        </w:rPr>
      </w:pPr>
      <w:hyperlink w:anchor="_Toc173414062" w:history="1">
        <w:r w:rsidRPr="00437380">
          <w:rPr>
            <w:rStyle w:val="Hipervnculo"/>
            <w:noProof/>
            <w:color w:val="auto"/>
            <w:u w:val="none"/>
          </w:rPr>
          <w:t>ANEXO 4 Referencias</w:t>
        </w:r>
        <w:r>
          <w:rPr>
            <w:rStyle w:val="Hipervnculo"/>
            <w:noProof/>
            <w:color w:val="auto"/>
            <w:u w:val="none"/>
          </w:rPr>
          <w:t xml:space="preserve"> bibliográficas</w:t>
        </w:r>
        <w:r w:rsidRPr="00437380">
          <w:rPr>
            <w:noProof/>
            <w:webHidden/>
          </w:rPr>
          <w:tab/>
        </w:r>
        <w:r w:rsidRPr="00437380">
          <w:rPr>
            <w:noProof/>
            <w:webHidden/>
          </w:rPr>
          <w:fldChar w:fldCharType="begin"/>
        </w:r>
        <w:r w:rsidRPr="00437380">
          <w:rPr>
            <w:noProof/>
            <w:webHidden/>
          </w:rPr>
          <w:instrText xml:space="preserve"> PAGEREF _Toc173414062 \h </w:instrText>
        </w:r>
        <w:r w:rsidRPr="00437380">
          <w:rPr>
            <w:noProof/>
            <w:webHidden/>
          </w:rPr>
        </w:r>
        <w:r w:rsidRPr="00437380">
          <w:rPr>
            <w:noProof/>
            <w:webHidden/>
          </w:rPr>
          <w:fldChar w:fldCharType="separate"/>
        </w:r>
        <w:r w:rsidRPr="00437380">
          <w:rPr>
            <w:noProof/>
            <w:webHidden/>
          </w:rPr>
          <w:fldChar w:fldCharType="end"/>
        </w:r>
      </w:hyperlink>
    </w:p>
    <w:p w14:paraId="000001BB" w14:textId="136CF729" w:rsidR="00AB49B3" w:rsidRPr="00420E49" w:rsidRDefault="00AB49B3" w:rsidP="00637001">
      <w:pPr>
        <w:jc w:val="both"/>
      </w:pPr>
    </w:p>
    <w:sectPr w:rsidR="00AB49B3" w:rsidRPr="00420E49">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4DF2C4" w14:textId="77777777" w:rsidR="00EF4985" w:rsidRDefault="00EF4985">
      <w:pPr>
        <w:spacing w:after="0" w:line="240" w:lineRule="auto"/>
      </w:pPr>
      <w:r>
        <w:separator/>
      </w:r>
    </w:p>
  </w:endnote>
  <w:endnote w:type="continuationSeparator" w:id="0">
    <w:p w14:paraId="5553EA37" w14:textId="77777777" w:rsidR="00EF4985" w:rsidRDefault="00EF4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Minion Pro">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Nunito">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45" w14:textId="0F7B7FA9" w:rsidR="00436450" w:rsidRDefault="00436450">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3015A">
      <w:rPr>
        <w:noProof/>
        <w:color w:val="000000"/>
      </w:rPr>
      <w:t>22</w:t>
    </w:r>
    <w:r>
      <w:rPr>
        <w:color w:val="000000"/>
      </w:rPr>
      <w:fldChar w:fldCharType="end"/>
    </w:r>
  </w:p>
  <w:p w14:paraId="00000246" w14:textId="77777777" w:rsidR="00436450" w:rsidRDefault="00436450">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D699D0" w14:textId="77777777" w:rsidR="00EF4985" w:rsidRDefault="00EF4985">
      <w:pPr>
        <w:spacing w:after="0" w:line="240" w:lineRule="auto"/>
      </w:pPr>
      <w:r>
        <w:separator/>
      </w:r>
    </w:p>
  </w:footnote>
  <w:footnote w:type="continuationSeparator" w:id="0">
    <w:p w14:paraId="5EE94BFA" w14:textId="77777777" w:rsidR="00EF4985" w:rsidRDefault="00EF4985">
      <w:pPr>
        <w:spacing w:after="0" w:line="240" w:lineRule="auto"/>
      </w:pPr>
      <w:r>
        <w:continuationSeparator/>
      </w:r>
    </w:p>
  </w:footnote>
  <w:footnote w:id="1">
    <w:p w14:paraId="61D26ED3" w14:textId="2D23090A" w:rsidR="00EA2D9A" w:rsidRPr="00EA2D9A" w:rsidRDefault="00EA2D9A" w:rsidP="00EA2D9A">
      <w:pPr>
        <w:pStyle w:val="Textonotapie"/>
        <w:rPr>
          <w:lang w:val="es-ES"/>
        </w:rPr>
      </w:pPr>
      <w:r>
        <w:rPr>
          <w:rStyle w:val="Refdenotaalpie"/>
        </w:rPr>
        <w:footnoteRef/>
      </w:r>
      <w:r>
        <w:t xml:space="preserve"> </w:t>
      </w:r>
      <w:hyperlink r:id="rId1" w:history="1">
        <w:r>
          <w:rPr>
            <w:rStyle w:val="Hipervnculo"/>
            <w:color w:val="1155CC"/>
          </w:rPr>
          <w:t>https://www.facebook.com/p/Articulaci%C3%B3n-de-Lesbianas-Feministas-de-Lima-100064601953339/</w:t>
        </w:r>
      </w:hyperlink>
    </w:p>
  </w:footnote>
  <w:footnote w:id="2">
    <w:p w14:paraId="74BE9359" w14:textId="0585C29D" w:rsidR="00EA2D9A" w:rsidRPr="00EA2D9A" w:rsidRDefault="00EA2D9A" w:rsidP="00EA2D9A">
      <w:pPr>
        <w:pStyle w:val="Textonotapie"/>
        <w:rPr>
          <w:lang w:val="es-ES"/>
        </w:rPr>
      </w:pPr>
      <w:r>
        <w:rPr>
          <w:rStyle w:val="Refdenotaalpie"/>
        </w:rPr>
        <w:footnoteRef/>
      </w:r>
      <w:r>
        <w:t xml:space="preserve"> </w:t>
      </w:r>
      <w:hyperlink r:id="rId2" w:history="1">
        <w:r>
          <w:rPr>
            <w:rStyle w:val="Hipervnculo"/>
            <w:color w:val="1155CC"/>
          </w:rPr>
          <w:t>https://www.flora.org.pe/</w:t>
        </w:r>
      </w:hyperlink>
    </w:p>
  </w:footnote>
  <w:footnote w:id="3">
    <w:p w14:paraId="4C3C8525" w14:textId="01602C17" w:rsidR="00EA2D9A" w:rsidRPr="00EA2D9A" w:rsidRDefault="00EA2D9A">
      <w:pPr>
        <w:pStyle w:val="Textonotapie"/>
        <w:rPr>
          <w:lang w:val="es-ES"/>
        </w:rPr>
      </w:pPr>
      <w:r>
        <w:rPr>
          <w:rStyle w:val="Refdenotaalpie"/>
        </w:rPr>
        <w:footnoteRef/>
      </w:r>
      <w:r>
        <w:t xml:space="preserve"> </w:t>
      </w:r>
      <w:hyperlink r:id="rId3" w:history="1">
        <w:r>
          <w:rPr>
            <w:rStyle w:val="Hipervnculo"/>
            <w:color w:val="1155CC"/>
          </w:rPr>
          <w:t>https://cladem.org/nosotras-donde-estamos/peru</w:t>
        </w:r>
      </w:hyperlink>
    </w:p>
  </w:footnote>
  <w:footnote w:id="4">
    <w:p w14:paraId="459AEB2E" w14:textId="482E3FD1" w:rsidR="00EA2D9A" w:rsidRPr="00EA2D9A" w:rsidRDefault="00EA2D9A">
      <w:pPr>
        <w:pStyle w:val="Textonotapie"/>
        <w:rPr>
          <w:lang w:val="es-ES"/>
        </w:rPr>
      </w:pPr>
      <w:r>
        <w:rPr>
          <w:rStyle w:val="Refdenotaalpie"/>
        </w:rPr>
        <w:footnoteRef/>
      </w:r>
      <w:r>
        <w:t xml:space="preserve"> </w:t>
      </w:r>
      <w:hyperlink r:id="rId4" w:history="1">
        <w:r>
          <w:rPr>
            <w:rStyle w:val="Hipervnculo"/>
            <w:color w:val="1155CC"/>
          </w:rPr>
          <w:t>https://www.demus.org.pe/</w:t>
        </w:r>
      </w:hyperlink>
    </w:p>
  </w:footnote>
  <w:footnote w:id="5">
    <w:p w14:paraId="05B57D0A" w14:textId="1560A55B" w:rsidR="00EA2D9A" w:rsidRPr="00EA2D9A" w:rsidRDefault="00EA2D9A" w:rsidP="00EA2D9A">
      <w:pPr>
        <w:pStyle w:val="Textonotapie"/>
        <w:rPr>
          <w:lang w:val="es-ES"/>
        </w:rPr>
      </w:pPr>
      <w:r>
        <w:rPr>
          <w:rStyle w:val="Refdenotaalpie"/>
        </w:rPr>
        <w:footnoteRef/>
      </w:r>
      <w:r>
        <w:t xml:space="preserve"> </w:t>
      </w:r>
      <w:hyperlink r:id="rId5" w:history="1">
        <w:r>
          <w:rPr>
            <w:rStyle w:val="Hipervnculo"/>
            <w:color w:val="1155CC"/>
          </w:rPr>
          <w:t>https://www.manuela.org.pe/</w:t>
        </w:r>
      </w:hyperlink>
    </w:p>
  </w:footnote>
  <w:footnote w:id="6">
    <w:p w14:paraId="000001BC" w14:textId="77777777" w:rsidR="00436450" w:rsidRDefault="0043645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En adelante NNA. </w:t>
      </w:r>
    </w:p>
  </w:footnote>
  <w:footnote w:id="7">
    <w:p w14:paraId="000001BD" w14:textId="77777777" w:rsidR="00436450" w:rsidRDefault="00436450">
      <w:pPr>
        <w:spacing w:line="240" w:lineRule="auto"/>
        <w:rPr>
          <w:rFonts w:ascii="Arial Narrow" w:eastAsia="Arial Narrow" w:hAnsi="Arial Narrow" w:cs="Arial Narrow"/>
          <w:sz w:val="18"/>
          <w:szCs w:val="18"/>
        </w:rPr>
      </w:pPr>
      <w:r>
        <w:rPr>
          <w:vertAlign w:val="superscript"/>
        </w:rPr>
        <w:footnoteRef/>
      </w:r>
      <w:r>
        <w:rPr>
          <w:rFonts w:ascii="Arial Narrow" w:eastAsia="Arial Narrow" w:hAnsi="Arial Narrow" w:cs="Arial Narrow"/>
          <w:sz w:val="18"/>
          <w:szCs w:val="18"/>
        </w:rPr>
        <w:t xml:space="preserve"> Ley 32003, Ley que modifica la Ley 28983, Ley de igualdad entre mujeres y hombres, para precisar el uso del lenguaje inclusivo. </w:t>
      </w:r>
    </w:p>
  </w:footnote>
  <w:footnote w:id="8">
    <w:p w14:paraId="000001BE" w14:textId="77777777" w:rsidR="00436450" w:rsidRDefault="00436450">
      <w:pPr>
        <w:spacing w:line="240" w:lineRule="auto"/>
        <w:jc w:val="both"/>
        <w:rPr>
          <w:rFonts w:ascii="Arial Narrow" w:eastAsia="Arial Narrow" w:hAnsi="Arial Narrow" w:cs="Arial Narrow"/>
          <w:sz w:val="18"/>
          <w:szCs w:val="18"/>
        </w:rPr>
      </w:pPr>
      <w:r>
        <w:rPr>
          <w:vertAlign w:val="superscript"/>
        </w:rPr>
        <w:footnoteRef/>
      </w:r>
      <w:r>
        <w:rPr>
          <w:rFonts w:ascii="Arial Narrow" w:eastAsia="Arial Narrow" w:hAnsi="Arial Narrow" w:cs="Arial Narrow"/>
          <w:sz w:val="18"/>
          <w:szCs w:val="18"/>
        </w:rPr>
        <w:t xml:space="preserve">Congreso de la República. Comisión de Mujer y Familia. Proyecto de Ley 7579. Disponible en </w:t>
      </w:r>
      <w:hyperlink r:id="rId6" w:anchor="/expediente/2021/7579">
        <w:r>
          <w:rPr>
            <w:rFonts w:ascii="Arial Narrow" w:eastAsia="Arial Narrow" w:hAnsi="Arial Narrow" w:cs="Arial Narrow"/>
            <w:color w:val="1155CC"/>
            <w:sz w:val="18"/>
            <w:szCs w:val="18"/>
            <w:u w:val="single"/>
          </w:rPr>
          <w:t>https://wb2server.congreso.gob.pe/spley-portal/#/expediente/2021/7579</w:t>
        </w:r>
      </w:hyperlink>
      <w:r>
        <w:rPr>
          <w:rFonts w:ascii="Arial Narrow" w:eastAsia="Arial Narrow" w:hAnsi="Arial Narrow" w:cs="Arial Narrow"/>
          <w:sz w:val="18"/>
          <w:szCs w:val="18"/>
        </w:rPr>
        <w:t xml:space="preserve"> </w:t>
      </w:r>
    </w:p>
  </w:footnote>
  <w:footnote w:id="9">
    <w:p w14:paraId="000001BF" w14:textId="77777777" w:rsidR="00436450" w:rsidRDefault="00436450">
      <w:pPr>
        <w:spacing w:line="240" w:lineRule="auto"/>
        <w:jc w:val="both"/>
        <w:rPr>
          <w:rFonts w:ascii="Arial Narrow" w:eastAsia="Arial Narrow" w:hAnsi="Arial Narrow" w:cs="Arial Narrow"/>
          <w:sz w:val="18"/>
          <w:szCs w:val="18"/>
        </w:rPr>
      </w:pPr>
      <w:r>
        <w:rPr>
          <w:vertAlign w:val="superscript"/>
        </w:rPr>
        <w:footnoteRef/>
      </w:r>
      <w:r>
        <w:rPr>
          <w:rFonts w:ascii="Arial Narrow" w:eastAsia="Arial Narrow" w:hAnsi="Arial Narrow" w:cs="Arial Narrow"/>
          <w:sz w:val="18"/>
          <w:szCs w:val="18"/>
        </w:rPr>
        <w:t xml:space="preserve">Congreso de la República. Comisión de Mujer y Familia. Proyecto de Ley 7146. Disponible en </w:t>
      </w:r>
      <w:hyperlink r:id="rId7" w:anchor="/expediente/2021/7146">
        <w:r>
          <w:rPr>
            <w:rFonts w:ascii="Arial Narrow" w:eastAsia="Arial Narrow" w:hAnsi="Arial Narrow" w:cs="Arial Narrow"/>
            <w:color w:val="1155CC"/>
            <w:sz w:val="18"/>
            <w:szCs w:val="18"/>
            <w:u w:val="single"/>
          </w:rPr>
          <w:t>https://wb2server.congreso.gob.pe/spley-portal/#/expediente/2021/7146</w:t>
        </w:r>
      </w:hyperlink>
      <w:r>
        <w:rPr>
          <w:rFonts w:ascii="Arial Narrow" w:eastAsia="Arial Narrow" w:hAnsi="Arial Narrow" w:cs="Arial Narrow"/>
          <w:sz w:val="18"/>
          <w:szCs w:val="18"/>
        </w:rPr>
        <w:t xml:space="preserve"> </w:t>
      </w:r>
    </w:p>
  </w:footnote>
  <w:footnote w:id="10">
    <w:p w14:paraId="000001C0" w14:textId="77777777" w:rsidR="00436450" w:rsidRDefault="00436450">
      <w:pPr>
        <w:spacing w:line="240" w:lineRule="auto"/>
        <w:jc w:val="both"/>
        <w:rPr>
          <w:rFonts w:ascii="Arial Narrow" w:eastAsia="Arial Narrow" w:hAnsi="Arial Narrow" w:cs="Arial Narrow"/>
          <w:sz w:val="18"/>
          <w:szCs w:val="18"/>
        </w:rPr>
      </w:pPr>
      <w:r>
        <w:rPr>
          <w:vertAlign w:val="superscript"/>
        </w:rPr>
        <w:footnoteRef/>
      </w:r>
      <w:r>
        <w:rPr>
          <w:rFonts w:ascii="Arial Narrow" w:eastAsia="Arial Narrow" w:hAnsi="Arial Narrow" w:cs="Arial Narrow"/>
          <w:sz w:val="18"/>
          <w:szCs w:val="18"/>
        </w:rPr>
        <w:t xml:space="preserve"> Congreso de la República. Comisión de Descentralización, Regionalización, Gobiernos Locales y Modernización de la Gestión del Estado. Proyecto de Ley 1229. Disponible en </w:t>
      </w:r>
      <w:hyperlink r:id="rId8" w:anchor="/expediente/2021/7146">
        <w:r>
          <w:rPr>
            <w:rFonts w:ascii="Arial Narrow" w:eastAsia="Arial Narrow" w:hAnsi="Arial Narrow" w:cs="Arial Narrow"/>
            <w:color w:val="1155CC"/>
            <w:sz w:val="18"/>
            <w:szCs w:val="18"/>
            <w:u w:val="single"/>
          </w:rPr>
          <w:t>https://wb2server.congreso.gob.pe/spley-portal/#/expediente/2021/7146</w:t>
        </w:r>
      </w:hyperlink>
      <w:r>
        <w:rPr>
          <w:rFonts w:ascii="Arial Narrow" w:eastAsia="Arial Narrow" w:hAnsi="Arial Narrow" w:cs="Arial Narrow"/>
          <w:sz w:val="18"/>
          <w:szCs w:val="18"/>
        </w:rPr>
        <w:t xml:space="preserve"> </w:t>
      </w:r>
    </w:p>
  </w:footnote>
  <w:footnote w:id="11">
    <w:p w14:paraId="000001C1" w14:textId="77777777" w:rsidR="00436450" w:rsidRDefault="00436450">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División de Estadística de la Dirección de Tecnologías de la Información y Comunicaciones</w:t>
      </w:r>
    </w:p>
    <w:p w14:paraId="000001C2"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DIRTIC - PNP - Anuario estadístico policial 2022: </w:t>
      </w:r>
      <w:hyperlink r:id="rId9">
        <w:r>
          <w:rPr>
            <w:rFonts w:ascii="Arial Narrow" w:eastAsia="Arial Narrow" w:hAnsi="Arial Narrow" w:cs="Arial Narrow"/>
            <w:color w:val="0563C1"/>
            <w:sz w:val="18"/>
            <w:szCs w:val="18"/>
            <w:u w:val="single"/>
          </w:rPr>
          <w:t>https://www.policia.gob.pe/estadisticopnp/documentos/anuario-2022/anuario-estadistico-policial-2022.pdf</w:t>
        </w:r>
      </w:hyperlink>
      <w:r>
        <w:rPr>
          <w:rFonts w:ascii="Arial Narrow" w:eastAsia="Arial Narrow" w:hAnsi="Arial Narrow" w:cs="Arial Narrow"/>
          <w:color w:val="000000"/>
          <w:sz w:val="18"/>
          <w:szCs w:val="18"/>
        </w:rPr>
        <w:t xml:space="preserve"> </w:t>
      </w:r>
    </w:p>
  </w:footnote>
  <w:footnote w:id="12">
    <w:p w14:paraId="00000247" w14:textId="77777777" w:rsidR="00436450" w:rsidRDefault="00436450">
      <w:pPr>
        <w:spacing w:after="0" w:line="240" w:lineRule="auto"/>
        <w:jc w:val="both"/>
        <w:rPr>
          <w:sz w:val="20"/>
          <w:szCs w:val="20"/>
        </w:rPr>
      </w:pPr>
      <w:r>
        <w:rPr>
          <w:vertAlign w:val="superscript"/>
        </w:rPr>
        <w:footnoteRef/>
      </w:r>
      <w:r>
        <w:rPr>
          <w:sz w:val="20"/>
          <w:szCs w:val="20"/>
        </w:rPr>
        <w:t xml:space="preserve"> </w:t>
      </w:r>
      <w:r>
        <w:rPr>
          <w:rFonts w:ascii="Arial Narrow" w:eastAsia="Arial Narrow" w:hAnsi="Arial Narrow" w:cs="Arial Narrow"/>
          <w:sz w:val="18"/>
          <w:szCs w:val="18"/>
        </w:rPr>
        <w:t xml:space="preserve">Centro Emergencia Mujer - CEM. Son servicios públicos especializados y gratuitos, de atención integral y multidisciplinaria, para víctimas de violencia contra las mujeres y los integrantes del grupo familiar y personas afectadas por violencia sexual. Permite acceder a asesoría legal, contención emocional y apoyo social a nivel nacional. Visto en </w:t>
      </w:r>
      <w:hyperlink r:id="rId10">
        <w:r>
          <w:rPr>
            <w:rFonts w:ascii="Arial Narrow" w:eastAsia="Arial Narrow" w:hAnsi="Arial Narrow" w:cs="Arial Narrow"/>
            <w:color w:val="1155CC"/>
            <w:sz w:val="18"/>
            <w:szCs w:val="18"/>
            <w:u w:val="single"/>
          </w:rPr>
          <w:t>https://www.gob.pe/479-servicios-para-atender-casos-de-violencia-contra-las-mujeres-e-integrantes-del-grupo-familiar</w:t>
        </w:r>
      </w:hyperlink>
      <w:r>
        <w:rPr>
          <w:rFonts w:ascii="Arial Narrow" w:eastAsia="Arial Narrow" w:hAnsi="Arial Narrow" w:cs="Arial Narrow"/>
          <w:sz w:val="18"/>
          <w:szCs w:val="18"/>
        </w:rPr>
        <w:t xml:space="preserve"> </w:t>
      </w:r>
    </w:p>
  </w:footnote>
  <w:footnote w:id="13">
    <w:p w14:paraId="000001C3" w14:textId="77777777" w:rsidR="00436450" w:rsidRPr="00637001"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lang w:val="en-US"/>
        </w:rPr>
      </w:pPr>
      <w:r>
        <w:rPr>
          <w:vertAlign w:val="superscript"/>
        </w:rPr>
        <w:footnoteRef/>
      </w:r>
      <w:r w:rsidRPr="00637001">
        <w:rPr>
          <w:rFonts w:ascii="Arial Narrow" w:eastAsia="Arial Narrow" w:hAnsi="Arial Narrow" w:cs="Arial Narrow"/>
          <w:color w:val="000000"/>
          <w:sz w:val="18"/>
          <w:szCs w:val="18"/>
          <w:lang w:val="en-US"/>
        </w:rPr>
        <w:t xml:space="preserve"> UNICEF PERÚ: </w:t>
      </w:r>
      <w:hyperlink r:id="rId11" w:anchor="estadisticas">
        <w:r w:rsidRPr="00637001">
          <w:rPr>
            <w:rFonts w:ascii="Arial Narrow" w:eastAsia="Arial Narrow" w:hAnsi="Arial Narrow" w:cs="Arial Narrow"/>
            <w:color w:val="0563C1"/>
            <w:sz w:val="18"/>
            <w:szCs w:val="18"/>
            <w:u w:val="single"/>
            <w:lang w:val="en-US"/>
          </w:rPr>
          <w:t>https://www.unicef.org/peru/quitemonoslavenda#estadisticas</w:t>
        </w:r>
      </w:hyperlink>
      <w:r w:rsidRPr="00637001">
        <w:rPr>
          <w:rFonts w:ascii="Arial Narrow" w:eastAsia="Arial Narrow" w:hAnsi="Arial Narrow" w:cs="Arial Narrow"/>
          <w:color w:val="000000"/>
          <w:sz w:val="18"/>
          <w:szCs w:val="18"/>
          <w:lang w:val="en-US"/>
        </w:rPr>
        <w:t xml:space="preserve"> </w:t>
      </w:r>
    </w:p>
  </w:footnote>
  <w:footnote w:id="14">
    <w:p w14:paraId="000001C4" w14:textId="77777777" w:rsidR="00436450" w:rsidRDefault="00436450">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Colectivo Interinstitucional por los Derechos de la Niñez y Adolescencia y la Mesa de Concertación para la Lucha contra la Pobreza. Primer Reporte de Seguimiento Concertado a la Agenda Nacional del a Niñez y Adolescencia 2021 – 2026. Protejamos los derechos de la nin1ez y adolescencia frene al impacto del Nin1o Global y fenómenos naturales. Lima: MCLCP, 2023, página 13. Disponible en: </w:t>
      </w:r>
      <w:hyperlink r:id="rId12">
        <w:r>
          <w:rPr>
            <w:rFonts w:ascii="Arial Narrow" w:eastAsia="Arial Narrow" w:hAnsi="Arial Narrow" w:cs="Arial Narrow"/>
            <w:color w:val="0563C1"/>
            <w:sz w:val="18"/>
            <w:szCs w:val="18"/>
            <w:u w:val="single"/>
          </w:rPr>
          <w:t>https://www.mesadeconcertacion.org.pe/storage/documentos/2024-01-22/primer-reporte-seguimiento-agenda-nna.pdf</w:t>
        </w:r>
      </w:hyperlink>
      <w:r>
        <w:rPr>
          <w:rFonts w:ascii="Arial Narrow" w:eastAsia="Arial Narrow" w:hAnsi="Arial Narrow" w:cs="Arial Narrow"/>
          <w:color w:val="000000"/>
          <w:sz w:val="18"/>
          <w:szCs w:val="18"/>
        </w:rPr>
        <w:t xml:space="preserve"> </w:t>
      </w:r>
    </w:p>
  </w:footnote>
  <w:footnote w:id="15">
    <w:p w14:paraId="000001C5" w14:textId="77777777" w:rsidR="00436450" w:rsidRDefault="00436450">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Publicada en el diario oficial El Peruano, el 23 de junio de 2022.</w:t>
      </w:r>
    </w:p>
  </w:footnote>
  <w:footnote w:id="16">
    <w:p w14:paraId="000001C6" w14:textId="77777777" w:rsidR="00436450" w:rsidRDefault="00436450">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Publicada en el diario oficial El Peruano, el 30 de setiembre de 2023.</w:t>
      </w:r>
    </w:p>
  </w:footnote>
  <w:footnote w:id="17">
    <w:p w14:paraId="000001C7" w14:textId="77777777" w:rsidR="00436450" w:rsidRDefault="00436450">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Ministerio de la Mujer y Poblaciones Vulnerables. XVI Informe Anual de Avances en el cumplimiento de la Ley Nro. 28983 de Igualdad de Oportunidades entre Mujeres y Hombres. 2022. Lima: MIMP, 2023, página 191. </w:t>
      </w:r>
      <w:hyperlink r:id="rId13">
        <w:r>
          <w:rPr>
            <w:rFonts w:ascii="Arial Narrow" w:eastAsia="Arial Narrow" w:hAnsi="Arial Narrow" w:cs="Arial Narrow"/>
            <w:color w:val="0563C1"/>
            <w:sz w:val="18"/>
            <w:szCs w:val="18"/>
            <w:u w:val="single"/>
          </w:rPr>
          <w:t>https://www.gob.pe/institucion/mimp/informes-publicaciones/4953974-xvi-informe-de-avances-en-el-cumplimiento-de-la-ley-de-igualdad-de-oportunidades-entre-mujeres-y-hombres-periodo-2022</w:t>
        </w:r>
      </w:hyperlink>
      <w:r>
        <w:rPr>
          <w:rFonts w:ascii="Arial Narrow" w:eastAsia="Arial Narrow" w:hAnsi="Arial Narrow" w:cs="Arial Narrow"/>
          <w:color w:val="000000"/>
          <w:sz w:val="18"/>
          <w:szCs w:val="18"/>
        </w:rPr>
        <w:t xml:space="preserve"> </w:t>
      </w:r>
    </w:p>
  </w:footnote>
  <w:footnote w:id="18">
    <w:p w14:paraId="000001C8" w14:textId="77777777" w:rsidR="00436450" w:rsidRDefault="00436450">
      <w:pPr>
        <w:spacing w:line="240" w:lineRule="auto"/>
        <w:jc w:val="both"/>
        <w:rPr>
          <w:rFonts w:ascii="Arial Narrow" w:eastAsia="Arial Narrow" w:hAnsi="Arial Narrow" w:cs="Arial Narrow"/>
          <w:sz w:val="18"/>
          <w:szCs w:val="18"/>
        </w:rPr>
      </w:pPr>
      <w:r>
        <w:rPr>
          <w:vertAlign w:val="superscript"/>
        </w:rPr>
        <w:footnoteRef/>
      </w:r>
      <w:r>
        <w:rPr>
          <w:rFonts w:ascii="Arial Narrow" w:eastAsia="Arial Narrow" w:hAnsi="Arial Narrow" w:cs="Arial Narrow"/>
          <w:sz w:val="18"/>
          <w:szCs w:val="18"/>
        </w:rPr>
        <w:t xml:space="preserve"> Programa Nacional Aurora, Portal Estadístico del Ministerio de la Mujer y Poblaciones Vulnerables - MIMP.  Reporte Estadístico de casos atendidos en los Centros de Emergencia Mujer - 2024 </w:t>
      </w:r>
    </w:p>
  </w:footnote>
  <w:footnote w:id="19">
    <w:p w14:paraId="000001C9" w14:textId="77777777" w:rsidR="00436450" w:rsidRDefault="00436450">
      <w:pPr>
        <w:spacing w:line="240" w:lineRule="auto"/>
        <w:rPr>
          <w:rFonts w:ascii="Arial Narrow" w:eastAsia="Arial Narrow" w:hAnsi="Arial Narrow" w:cs="Arial Narrow"/>
          <w:sz w:val="18"/>
          <w:szCs w:val="18"/>
        </w:rPr>
      </w:pPr>
      <w:r>
        <w:rPr>
          <w:vertAlign w:val="superscript"/>
        </w:rPr>
        <w:footnoteRef/>
      </w:r>
      <w:r>
        <w:rPr>
          <w:rFonts w:ascii="Arial Narrow" w:eastAsia="Arial Narrow" w:hAnsi="Arial Narrow" w:cs="Arial Narrow"/>
          <w:sz w:val="18"/>
          <w:szCs w:val="18"/>
        </w:rPr>
        <w:t xml:space="preserve">   Programa Nacional Aurora, Portal Estadístico del Ministerio de la Mujer y Poblaciones Vulnerables - MIMP.  Reporte Estadístico de casos atendidos en los Centros de Emergencia Mujer - 2024</w:t>
      </w:r>
    </w:p>
  </w:footnote>
  <w:footnote w:id="20">
    <w:p w14:paraId="000001CA"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Portar estadístico del Ministerio Público: </w:t>
      </w:r>
      <w:hyperlink r:id="rId14">
        <w:r>
          <w:rPr>
            <w:rFonts w:ascii="Arial Narrow" w:eastAsia="Arial Narrow" w:hAnsi="Arial Narrow" w:cs="Arial Narrow"/>
            <w:color w:val="0563C1"/>
            <w:sz w:val="18"/>
            <w:szCs w:val="18"/>
            <w:u w:val="single"/>
          </w:rPr>
          <w:t>https://cfe.mpfn.gob.pe/gis_mp/web/index.php/indicador/delitos-penales</w:t>
        </w:r>
      </w:hyperlink>
      <w:r>
        <w:rPr>
          <w:rFonts w:ascii="Arial Narrow" w:eastAsia="Arial Narrow" w:hAnsi="Arial Narrow" w:cs="Arial Narrow"/>
          <w:color w:val="000000"/>
          <w:sz w:val="18"/>
          <w:szCs w:val="18"/>
        </w:rPr>
        <w:t xml:space="preserve"> </w:t>
      </w:r>
    </w:p>
  </w:footnote>
  <w:footnote w:id="21">
    <w:p w14:paraId="000001CB" w14:textId="77777777" w:rsidR="00436450" w:rsidRDefault="00436450">
      <w:pPr>
        <w:jc w:val="both"/>
        <w:rPr>
          <w:rFonts w:ascii="Arial Narrow" w:eastAsia="Arial Narrow" w:hAnsi="Arial Narrow" w:cs="Arial Narrow"/>
          <w:sz w:val="18"/>
          <w:szCs w:val="18"/>
        </w:rPr>
      </w:pPr>
      <w:r>
        <w:rPr>
          <w:vertAlign w:val="superscript"/>
        </w:rPr>
        <w:footnoteRef/>
      </w:r>
      <w:r>
        <w:rPr>
          <w:rFonts w:ascii="Arial Narrow" w:eastAsia="Arial Narrow" w:hAnsi="Arial Narrow" w:cs="Arial Narrow"/>
          <w:sz w:val="18"/>
          <w:szCs w:val="18"/>
        </w:rPr>
        <w:t xml:space="preserve"> </w:t>
      </w:r>
      <w:hyperlink r:id="rId15">
        <w:r>
          <w:rPr>
            <w:rFonts w:ascii="Arial Narrow" w:eastAsia="Arial Narrow" w:hAnsi="Arial Narrow" w:cs="Arial Narrow"/>
            <w:color w:val="0563C1"/>
            <w:sz w:val="18"/>
            <w:szCs w:val="18"/>
            <w:u w:val="single"/>
          </w:rPr>
          <w:t>https://portalestadistico.aurora.gob.pe/formas-de-la-violencia-2023/</w:t>
        </w:r>
      </w:hyperlink>
    </w:p>
  </w:footnote>
  <w:footnote w:id="22">
    <w:p w14:paraId="000001CC" w14:textId="77777777" w:rsidR="00436450" w:rsidRDefault="00436450">
      <w:pPr>
        <w:jc w:val="both"/>
        <w:rPr>
          <w:rFonts w:ascii="Arial Narrow" w:eastAsia="Arial Narrow" w:hAnsi="Arial Narrow" w:cs="Arial Narrow"/>
          <w:sz w:val="18"/>
          <w:szCs w:val="18"/>
        </w:rPr>
      </w:pPr>
      <w:r>
        <w:rPr>
          <w:vertAlign w:val="superscript"/>
        </w:rPr>
        <w:footnoteRef/>
      </w:r>
      <w:r>
        <w:rPr>
          <w:rFonts w:ascii="Arial Narrow" w:eastAsia="Arial Narrow" w:hAnsi="Arial Narrow" w:cs="Arial Narrow"/>
          <w:sz w:val="18"/>
          <w:szCs w:val="18"/>
        </w:rPr>
        <w:t xml:space="preserve"> Primer Reporte de Seguimiento Concertado a la Agenda Nacional de la Niñez y Adolescencia 2021-2026 del Colectivo Interinstitucional por los derechos de la niñez y adolescencia: </w:t>
      </w:r>
      <w:hyperlink r:id="rId16">
        <w:r>
          <w:rPr>
            <w:rFonts w:ascii="Arial Narrow" w:eastAsia="Arial Narrow" w:hAnsi="Arial Narrow" w:cs="Arial Narrow"/>
            <w:color w:val="0563C1"/>
            <w:sz w:val="18"/>
            <w:szCs w:val="18"/>
            <w:u w:val="single"/>
          </w:rPr>
          <w:t>https://www.mesadeconcertacion.org.pe/storage/documentos/2024-01-22/primer-reporte-seguimiento-agenda-nna.pdf</w:t>
        </w:r>
      </w:hyperlink>
      <w:r>
        <w:rPr>
          <w:rFonts w:ascii="Arial Narrow" w:eastAsia="Arial Narrow" w:hAnsi="Arial Narrow" w:cs="Arial Narrow"/>
          <w:sz w:val="18"/>
          <w:szCs w:val="18"/>
        </w:rPr>
        <w:t xml:space="preserve">  Aurora: Portal Estadístico del Programa Aurora </w:t>
      </w:r>
      <w:hyperlink r:id="rId17">
        <w:r>
          <w:rPr>
            <w:rFonts w:ascii="Arial Narrow" w:eastAsia="Arial Narrow" w:hAnsi="Arial Narrow" w:cs="Arial Narrow"/>
            <w:color w:val="0563C1"/>
            <w:sz w:val="18"/>
            <w:szCs w:val="18"/>
            <w:u w:val="single"/>
          </w:rPr>
          <w:t>https://portalestadistico.aurora.gob.pe/</w:t>
        </w:r>
      </w:hyperlink>
      <w:r>
        <w:rPr>
          <w:rFonts w:ascii="Arial Narrow" w:eastAsia="Arial Narrow" w:hAnsi="Arial Narrow" w:cs="Arial Narrow"/>
          <w:sz w:val="18"/>
          <w:szCs w:val="18"/>
        </w:rPr>
        <w:t xml:space="preserve"> </w:t>
      </w:r>
    </w:p>
  </w:footnote>
  <w:footnote w:id="23">
    <w:p w14:paraId="000001CD"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INEI: Indicadores de género / brechas de género </w:t>
      </w:r>
      <w:hyperlink r:id="rId18">
        <w:r>
          <w:rPr>
            <w:rFonts w:ascii="Arial Narrow" w:eastAsia="Arial Narrow" w:hAnsi="Arial Narrow" w:cs="Arial Narrow"/>
            <w:color w:val="0563C1"/>
            <w:sz w:val="18"/>
            <w:szCs w:val="18"/>
            <w:u w:val="single"/>
          </w:rPr>
          <w:t>https://m.inei.gob.pe/estadisticas/indice-tematico/brechas-de-genero-7913/</w:t>
        </w:r>
      </w:hyperlink>
      <w:r>
        <w:rPr>
          <w:rFonts w:ascii="Arial Narrow" w:eastAsia="Arial Narrow" w:hAnsi="Arial Narrow" w:cs="Arial Narrow"/>
          <w:color w:val="000000"/>
          <w:sz w:val="18"/>
          <w:szCs w:val="18"/>
        </w:rPr>
        <w:t xml:space="preserve">  (PERÚ: Violencia sexual contra la mujer ejercida alguna vez por parte del esposo o compañero, según característica seleccionada).</w:t>
      </w:r>
    </w:p>
  </w:footnote>
  <w:footnote w:id="24">
    <w:p w14:paraId="000001CE"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Servicio de Atención Urgente del MIMP: </w:t>
      </w:r>
      <w:hyperlink r:id="rId19">
        <w:r>
          <w:rPr>
            <w:rFonts w:ascii="Arial Narrow" w:eastAsia="Arial Narrow" w:hAnsi="Arial Narrow" w:cs="Arial Narrow"/>
            <w:color w:val="0563C1"/>
            <w:sz w:val="18"/>
            <w:szCs w:val="18"/>
            <w:u w:val="single"/>
          </w:rPr>
          <w:t>https://www.mimp.gob.pe/omep/estadisticas-atencion-a-la-violencia.php</w:t>
        </w:r>
      </w:hyperlink>
      <w:r>
        <w:rPr>
          <w:rFonts w:ascii="Arial Narrow" w:eastAsia="Arial Narrow" w:hAnsi="Arial Narrow" w:cs="Arial Narrow"/>
          <w:color w:val="000000"/>
          <w:sz w:val="18"/>
          <w:szCs w:val="18"/>
        </w:rPr>
        <w:t xml:space="preserve"> </w:t>
      </w:r>
    </w:p>
  </w:footnote>
  <w:footnote w:id="25">
    <w:p w14:paraId="000001CF" w14:textId="77777777" w:rsidR="00436450" w:rsidRDefault="00436450">
      <w:pPr>
        <w:spacing w:line="240" w:lineRule="auto"/>
        <w:jc w:val="both"/>
        <w:rPr>
          <w:rFonts w:ascii="Arial Narrow" w:eastAsia="Arial Narrow" w:hAnsi="Arial Narrow" w:cs="Arial Narrow"/>
          <w:sz w:val="18"/>
          <w:szCs w:val="18"/>
        </w:rPr>
      </w:pPr>
      <w:r>
        <w:rPr>
          <w:vertAlign w:val="superscript"/>
        </w:rPr>
        <w:footnoteRef/>
      </w:r>
      <w:r>
        <w:rPr>
          <w:rFonts w:ascii="Arial Narrow" w:eastAsia="Arial Narrow" w:hAnsi="Arial Narrow" w:cs="Arial Narrow"/>
          <w:sz w:val="18"/>
          <w:szCs w:val="18"/>
        </w:rPr>
        <w:t xml:space="preserve">Defensoría del Pueblo. Reporte ¿Qué pasó con ellas? mayo de 2024. Disponible en </w:t>
      </w:r>
      <w:hyperlink r:id="rId20">
        <w:r>
          <w:rPr>
            <w:rFonts w:ascii="Arial Narrow" w:eastAsia="Arial Narrow" w:hAnsi="Arial Narrow" w:cs="Arial Narrow"/>
            <w:color w:val="1155CC"/>
            <w:sz w:val="18"/>
            <w:szCs w:val="18"/>
            <w:u w:val="single"/>
          </w:rPr>
          <w:t>https://www.defensoria.gob.pe/wp-content/uploads/2024/06/Reporte-Igualdad-y-No-Violencia-52.pdf</w:t>
        </w:r>
      </w:hyperlink>
      <w:r>
        <w:rPr>
          <w:rFonts w:ascii="Arial Narrow" w:eastAsia="Arial Narrow" w:hAnsi="Arial Narrow" w:cs="Arial Narrow"/>
          <w:sz w:val="18"/>
          <w:szCs w:val="18"/>
        </w:rPr>
        <w:t xml:space="preserve"> </w:t>
      </w:r>
      <w:hyperlink r:id="rId21">
        <w:r>
          <w:rPr>
            <w:rFonts w:ascii="Arial Narrow" w:eastAsia="Arial Narrow" w:hAnsi="Arial Narrow" w:cs="Arial Narrow"/>
            <w:color w:val="1155CC"/>
            <w:sz w:val="18"/>
            <w:szCs w:val="18"/>
            <w:u w:val="single"/>
          </w:rPr>
          <w:t>https://www.defensoria.gob.pe/defensoria-del-pueblo-al-cierre-de-mayo-cifra-de-mujeres-desaparecidas-supera-a-la-reportada-en-igual-periodo-de-2023/</w:t>
        </w:r>
      </w:hyperlink>
      <w:r>
        <w:rPr>
          <w:rFonts w:ascii="Arial Narrow" w:eastAsia="Arial Narrow" w:hAnsi="Arial Narrow" w:cs="Arial Narrow"/>
          <w:sz w:val="18"/>
          <w:szCs w:val="18"/>
        </w:rPr>
        <w:t xml:space="preserve"> </w:t>
      </w:r>
    </w:p>
  </w:footnote>
  <w:footnote w:id="26">
    <w:p w14:paraId="000001D0" w14:textId="77777777" w:rsidR="00436450" w:rsidRDefault="00436450">
      <w:pPr>
        <w:pBdr>
          <w:top w:val="nil"/>
          <w:left w:val="nil"/>
          <w:bottom w:val="nil"/>
          <w:right w:val="nil"/>
          <w:between w:val="nil"/>
        </w:pBdr>
        <w:spacing w:after="0" w:line="240" w:lineRule="auto"/>
        <w:rPr>
          <w:rFonts w:ascii="Arial" w:eastAsia="Arial" w:hAnsi="Arial" w:cs="Arial"/>
          <w:color w:val="000000"/>
          <w:sz w:val="18"/>
          <w:szCs w:val="18"/>
        </w:rPr>
      </w:pPr>
      <w:r>
        <w:rPr>
          <w:vertAlign w:val="superscript"/>
        </w:rPr>
        <w:footnoteRef/>
      </w:r>
      <w:r>
        <w:rPr>
          <w:rFonts w:ascii="Arial Narrow" w:eastAsia="Arial Narrow" w:hAnsi="Arial Narrow" w:cs="Arial Narrow"/>
          <w:color w:val="000000"/>
          <w:sz w:val="18"/>
          <w:szCs w:val="18"/>
        </w:rPr>
        <w:t xml:space="preserve"> Nota de Prensa 30 de abril de 2024. </w:t>
      </w:r>
      <w:hyperlink r:id="rId22">
        <w:r>
          <w:rPr>
            <w:rFonts w:ascii="Arial Narrow" w:eastAsia="Arial Narrow" w:hAnsi="Arial Narrow" w:cs="Arial Narrow"/>
            <w:color w:val="0563C1"/>
            <w:sz w:val="18"/>
            <w:szCs w:val="18"/>
            <w:u w:val="single"/>
          </w:rPr>
          <w:t>https://www.defensoria.gob.pe/defensoria-del-pueblo-exhorta-al-ejecutivo-a-implementar-trabajo-conjunto-contra-la-desercion-y-la-anemia-escolar/</w:t>
        </w:r>
      </w:hyperlink>
      <w:r>
        <w:rPr>
          <w:rFonts w:ascii="Arial" w:eastAsia="Arial" w:hAnsi="Arial" w:cs="Arial"/>
          <w:color w:val="000000"/>
          <w:sz w:val="18"/>
          <w:szCs w:val="18"/>
        </w:rPr>
        <w:t xml:space="preserve"> </w:t>
      </w:r>
    </w:p>
  </w:footnote>
  <w:footnote w:id="27">
    <w:p w14:paraId="000001D1"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Nota de Prensa 30 de abril de 2024. </w:t>
      </w:r>
      <w:hyperlink r:id="rId23">
        <w:r>
          <w:rPr>
            <w:rFonts w:ascii="Arial Narrow" w:eastAsia="Arial Narrow" w:hAnsi="Arial Narrow" w:cs="Arial Narrow"/>
            <w:color w:val="0563C1"/>
            <w:sz w:val="18"/>
            <w:szCs w:val="18"/>
            <w:u w:val="single"/>
          </w:rPr>
          <w:t>https://www.defensoria.gob.pe/defensoria-del-pueblo-exhorta-al-ejecutivo-a-implementar-trabajo-conjunto-contra-la-desercion-y-la-anemia-escolar/</w:t>
        </w:r>
      </w:hyperlink>
    </w:p>
  </w:footnote>
  <w:footnote w:id="28">
    <w:p w14:paraId="000001D2"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Controlaría General de la República. Informe de Auditoría Nro. 001-2024-2-0979-AC, de febrero de 2024. </w:t>
      </w:r>
      <w:hyperlink r:id="rId24">
        <w:r>
          <w:rPr>
            <w:rFonts w:ascii="Arial Narrow" w:eastAsia="Arial Narrow" w:hAnsi="Arial Narrow" w:cs="Arial Narrow"/>
            <w:color w:val="0563C1"/>
            <w:sz w:val="18"/>
            <w:szCs w:val="18"/>
            <w:u w:val="single"/>
          </w:rPr>
          <w:t>https://apps8.contraloria.gob.pe/SPIC/srvDownload/ViewPDF?CRES_CODIGO=2024CPO097900001&amp;TIPOARCHIVO=ADJUNTO</w:t>
        </w:r>
      </w:hyperlink>
      <w:r>
        <w:rPr>
          <w:rFonts w:ascii="Arial Narrow" w:eastAsia="Arial Narrow" w:hAnsi="Arial Narrow" w:cs="Arial Narrow"/>
          <w:color w:val="000000"/>
          <w:sz w:val="18"/>
          <w:szCs w:val="18"/>
        </w:rPr>
        <w:t xml:space="preserve"> </w:t>
      </w:r>
    </w:p>
  </w:footnote>
  <w:footnote w:id="29">
    <w:p w14:paraId="000001D3"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w:t>
      </w:r>
      <w:hyperlink r:id="rId25">
        <w:r>
          <w:rPr>
            <w:rFonts w:ascii="Arial Narrow" w:eastAsia="Arial Narrow" w:hAnsi="Arial Narrow" w:cs="Arial Narrow"/>
            <w:color w:val="0563C1"/>
            <w:sz w:val="18"/>
            <w:szCs w:val="18"/>
            <w:u w:val="single"/>
          </w:rPr>
          <w:t>https://www.infobae.com/peru/2024/06/09/medio-millar-de-profesores-abusaron-sexualmente-de-ninos-en-amazonas-y-reportan-contagios-de-vih/?outputType=amp-type</w:t>
        </w:r>
      </w:hyperlink>
      <w:r>
        <w:rPr>
          <w:rFonts w:ascii="Arial Narrow" w:eastAsia="Arial Narrow" w:hAnsi="Arial Narrow" w:cs="Arial Narrow"/>
          <w:color w:val="000000"/>
          <w:sz w:val="18"/>
          <w:szCs w:val="18"/>
        </w:rPr>
        <w:t xml:space="preserve"> </w:t>
      </w:r>
    </w:p>
  </w:footnote>
  <w:footnote w:id="30">
    <w:p w14:paraId="000001D4"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w:t>
      </w:r>
      <w:hyperlink r:id="rId26">
        <w:r>
          <w:rPr>
            <w:rFonts w:ascii="Arial Narrow" w:eastAsia="Arial Narrow" w:hAnsi="Arial Narrow" w:cs="Arial Narrow"/>
            <w:color w:val="0563C1"/>
            <w:sz w:val="18"/>
            <w:szCs w:val="18"/>
            <w:u w:val="single"/>
          </w:rPr>
          <w:t>https://www.servindi.org/actualidad-noticias/07/07/2022/impunidad-en-condorcanqui-queman-600-denuncias-de-abuso-sexual</w:t>
        </w:r>
      </w:hyperlink>
      <w:r>
        <w:rPr>
          <w:rFonts w:ascii="Arial Narrow" w:eastAsia="Arial Narrow" w:hAnsi="Arial Narrow" w:cs="Arial Narrow"/>
          <w:color w:val="000000"/>
          <w:sz w:val="18"/>
          <w:szCs w:val="18"/>
        </w:rPr>
        <w:t xml:space="preserve"> </w:t>
      </w:r>
    </w:p>
  </w:footnote>
  <w:footnote w:id="31">
    <w:p w14:paraId="000001D5"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w:t>
      </w:r>
      <w:hyperlink r:id="rId27">
        <w:r>
          <w:rPr>
            <w:rFonts w:ascii="Arial Narrow" w:eastAsia="Arial Narrow" w:hAnsi="Arial Narrow" w:cs="Arial Narrow"/>
            <w:color w:val="0563C1"/>
            <w:sz w:val="18"/>
            <w:szCs w:val="18"/>
            <w:u w:val="single"/>
          </w:rPr>
          <w:t>https://www.gob.pe/institucion/minedu/noticias/970367-comunicado-n-006-2024-minedu</w:t>
        </w:r>
      </w:hyperlink>
      <w:r>
        <w:rPr>
          <w:rFonts w:ascii="Arial Narrow" w:eastAsia="Arial Narrow" w:hAnsi="Arial Narrow" w:cs="Arial Narrow"/>
          <w:color w:val="000000"/>
          <w:sz w:val="18"/>
          <w:szCs w:val="18"/>
        </w:rPr>
        <w:t xml:space="preserve"> </w:t>
      </w:r>
    </w:p>
  </w:footnote>
  <w:footnote w:id="32">
    <w:p w14:paraId="000001D6"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Informe Final de la Comisión Investigadora de abusos sexual contra menores de edad en organizaciones, aprobado entre 12 y 22 de julio de 2019 </w:t>
      </w:r>
      <w:hyperlink r:id="rId28">
        <w:r>
          <w:rPr>
            <w:rFonts w:ascii="Arial Narrow" w:eastAsia="Arial Narrow" w:hAnsi="Arial Narrow" w:cs="Arial Narrow"/>
            <w:color w:val="0563C1"/>
            <w:sz w:val="18"/>
            <w:szCs w:val="18"/>
            <w:u w:val="single"/>
          </w:rPr>
          <w:t>https://www.leyes.congreso.gob.pe/Documentos/2016_2021/Informes/Comisiones_Investigadoras/OFICIO-935-2019-CIM-CR.pdf</w:t>
        </w:r>
      </w:hyperlink>
      <w:r>
        <w:rPr>
          <w:rFonts w:ascii="Arial Narrow" w:eastAsia="Arial Narrow" w:hAnsi="Arial Narrow" w:cs="Arial Narrow"/>
          <w:color w:val="000000"/>
          <w:sz w:val="18"/>
          <w:szCs w:val="18"/>
        </w:rPr>
        <w:t xml:space="preserve"> Contenido del informe: </w:t>
      </w:r>
      <w:hyperlink r:id="rId29">
        <w:r>
          <w:rPr>
            <w:rFonts w:ascii="Arial Narrow" w:eastAsia="Arial Narrow" w:hAnsi="Arial Narrow" w:cs="Arial Narrow"/>
            <w:color w:val="0563C1"/>
            <w:sz w:val="18"/>
            <w:szCs w:val="18"/>
            <w:u w:val="single"/>
          </w:rPr>
          <w:t>https://www2.congreso.gob.pe/sicr/tradocestproc/Expvirt_2011.nsf/b8a7d82f30bfaf7305256f260056634d/460089736bc0b50b052583590072b442?OpenDocument</w:t>
        </w:r>
      </w:hyperlink>
      <w:r>
        <w:rPr>
          <w:rFonts w:ascii="Arial Narrow" w:eastAsia="Arial Narrow" w:hAnsi="Arial Narrow" w:cs="Arial Narrow"/>
          <w:color w:val="000000"/>
          <w:sz w:val="18"/>
          <w:szCs w:val="18"/>
        </w:rPr>
        <w:t xml:space="preserve"> </w:t>
      </w:r>
    </w:p>
  </w:footnote>
  <w:footnote w:id="33">
    <w:p w14:paraId="000001D7" w14:textId="77777777" w:rsidR="00436450" w:rsidRDefault="00436450">
      <w:pPr>
        <w:pBdr>
          <w:top w:val="nil"/>
          <w:left w:val="nil"/>
          <w:bottom w:val="nil"/>
          <w:right w:val="nil"/>
          <w:between w:val="nil"/>
        </w:pBdr>
        <w:spacing w:after="0" w:line="240" w:lineRule="auto"/>
        <w:rPr>
          <w:rFonts w:ascii="Arial" w:eastAsia="Arial" w:hAnsi="Arial" w:cs="Arial"/>
          <w:color w:val="000000"/>
          <w:sz w:val="18"/>
          <w:szCs w:val="18"/>
        </w:rPr>
      </w:pPr>
      <w:r>
        <w:rPr>
          <w:vertAlign w:val="superscript"/>
        </w:rPr>
        <w:footnoteRef/>
      </w:r>
      <w:r>
        <w:rPr>
          <w:rFonts w:ascii="Arial Narrow" w:eastAsia="Arial Narrow" w:hAnsi="Arial Narrow" w:cs="Arial Narrow"/>
          <w:color w:val="000000"/>
          <w:sz w:val="18"/>
          <w:szCs w:val="18"/>
        </w:rPr>
        <w:t xml:space="preserve"> El 7 de setiembre de 2022, señaló que en los últimos 5 años se habían registrado 400 denuncias de violencia sexual, en su mayoría contra niñas, niños y adolescentes de comunidades indígenas: </w:t>
      </w:r>
      <w:hyperlink r:id="rId30">
        <w:r>
          <w:rPr>
            <w:rFonts w:ascii="Arial Narrow" w:eastAsia="Arial Narrow" w:hAnsi="Arial Narrow" w:cs="Arial Narrow"/>
            <w:color w:val="0563C1"/>
            <w:sz w:val="18"/>
            <w:szCs w:val="18"/>
            <w:u w:val="single"/>
          </w:rPr>
          <w:t>https://www.defensoria.gob.pe/actividades/supervisamos-atencion-de-la-violencia-sexual-que-afecta-a-pueblos-indigenas-en-la-sede-fiscal-de-condorcanqui-amazonas/</w:t>
        </w:r>
      </w:hyperlink>
      <w:r>
        <w:rPr>
          <w:rFonts w:ascii="Arial Narrow" w:eastAsia="Arial Narrow" w:hAnsi="Arial Narrow" w:cs="Arial Narrow"/>
          <w:color w:val="000000"/>
          <w:sz w:val="18"/>
          <w:szCs w:val="18"/>
        </w:rPr>
        <w:t xml:space="preserve"> </w:t>
      </w:r>
    </w:p>
  </w:footnote>
  <w:footnote w:id="34">
    <w:p w14:paraId="000001D8" w14:textId="77777777" w:rsidR="00436450" w:rsidRDefault="00436450">
      <w:pPr>
        <w:pStyle w:val="Ttulo1"/>
        <w:spacing w:before="0" w:after="0"/>
        <w:jc w:val="both"/>
        <w:rPr>
          <w:rFonts w:ascii="Arial Narrow" w:eastAsia="Arial Narrow" w:hAnsi="Arial Narrow" w:cs="Arial Narrow"/>
          <w:b w:val="0"/>
          <w:sz w:val="18"/>
          <w:szCs w:val="18"/>
        </w:rPr>
      </w:pPr>
      <w:r w:rsidRPr="00420E49">
        <w:rPr>
          <w:b w:val="0"/>
          <w:sz w:val="22"/>
          <w:vertAlign w:val="superscript"/>
        </w:rPr>
        <w:footnoteRef/>
      </w:r>
      <w:r w:rsidRPr="00420E49">
        <w:rPr>
          <w:rFonts w:ascii="Arial Narrow" w:eastAsia="Arial Narrow" w:hAnsi="Arial Narrow" w:cs="Arial Narrow"/>
          <w:b w:val="0"/>
          <w:sz w:val="4"/>
          <w:szCs w:val="18"/>
          <w:vertAlign w:val="superscript"/>
        </w:rPr>
        <w:t xml:space="preserve"> </w:t>
      </w:r>
      <w:r>
        <w:rPr>
          <w:rFonts w:ascii="Arial Narrow" w:eastAsia="Arial Narrow" w:hAnsi="Arial Narrow" w:cs="Arial Narrow"/>
          <w:b w:val="0"/>
          <w:sz w:val="18"/>
          <w:szCs w:val="18"/>
        </w:rPr>
        <w:t>El Comercio Perú. ¿Práctica cultural o delito? Lo que está detrás de que los ministros minimicen las violaciones a niñas awajún.</w:t>
      </w:r>
      <w:r>
        <w:rPr>
          <w:rFonts w:ascii="Arial Narrow" w:eastAsia="Arial Narrow" w:hAnsi="Arial Narrow" w:cs="Arial Narrow"/>
          <w:sz w:val="18"/>
          <w:szCs w:val="18"/>
        </w:rPr>
        <w:t xml:space="preserve"> </w:t>
      </w:r>
      <w:r>
        <w:rPr>
          <w:rFonts w:ascii="Arial Narrow" w:eastAsia="Arial Narrow" w:hAnsi="Arial Narrow" w:cs="Arial Narrow"/>
          <w:b w:val="0"/>
          <w:sz w:val="18"/>
          <w:szCs w:val="18"/>
        </w:rPr>
        <w:t xml:space="preserve">Disponible en: </w:t>
      </w:r>
      <w:hyperlink r:id="rId31">
        <w:r>
          <w:rPr>
            <w:rFonts w:ascii="Arial Narrow" w:eastAsia="Arial Narrow" w:hAnsi="Arial Narrow" w:cs="Arial Narrow"/>
            <w:b w:val="0"/>
            <w:color w:val="0563C1"/>
            <w:sz w:val="18"/>
            <w:szCs w:val="18"/>
            <w:u w:val="single"/>
          </w:rPr>
          <w:t>https://elcomercio.pe/peru/practica-cultural-o-delito-lo-que-esta-detras-de-que-los-ministros-minimicen-las-violaciones-a-ninas-awajun-minedu-morgan-quero-noticia/</w:t>
        </w:r>
      </w:hyperlink>
    </w:p>
  </w:footnote>
  <w:footnote w:id="35">
    <w:p w14:paraId="000001D9" w14:textId="77777777" w:rsidR="00436450" w:rsidRDefault="00436450">
      <w:pPr>
        <w:pStyle w:val="Ttulo1"/>
        <w:spacing w:before="0" w:after="0"/>
        <w:jc w:val="both"/>
        <w:rPr>
          <w:rFonts w:ascii="Arial Narrow" w:eastAsia="Arial Narrow" w:hAnsi="Arial Narrow" w:cs="Arial Narrow"/>
          <w:b w:val="0"/>
          <w:sz w:val="18"/>
          <w:szCs w:val="18"/>
        </w:rPr>
      </w:pPr>
      <w:r w:rsidRPr="00420E49">
        <w:rPr>
          <w:b w:val="0"/>
          <w:sz w:val="18"/>
          <w:vertAlign w:val="superscript"/>
        </w:rPr>
        <w:footnoteRef/>
      </w:r>
      <w:r>
        <w:rPr>
          <w:rFonts w:ascii="Arial Narrow" w:eastAsia="Arial Narrow" w:hAnsi="Arial Narrow" w:cs="Arial Narrow"/>
          <w:b w:val="0"/>
          <w:sz w:val="18"/>
          <w:szCs w:val="18"/>
        </w:rPr>
        <w:t xml:space="preserve"> RPP. Ministra de la Mujer calificó de "prácticas culturales que debemos desterrar" agresiones sexuales contra niñas Awajún. Disponible en: </w:t>
      </w:r>
      <w:hyperlink r:id="rId32">
        <w:r>
          <w:rPr>
            <w:rFonts w:ascii="Arial Narrow" w:eastAsia="Arial Narrow" w:hAnsi="Arial Narrow" w:cs="Arial Narrow"/>
            <w:b w:val="0"/>
            <w:color w:val="0563C1"/>
            <w:sz w:val="18"/>
            <w:szCs w:val="18"/>
            <w:u w:val="single"/>
          </w:rPr>
          <w:t>https://rpp.pe/politica/gobierno/ministra-de-la-mujer-califico-de-practicas-culturales-que-debemos-desterrar-agresiones-sexuales-contra-ninas-awajun-noticia-1562369</w:t>
        </w:r>
      </w:hyperlink>
      <w:r>
        <w:rPr>
          <w:rFonts w:ascii="Arial Narrow" w:eastAsia="Arial Narrow" w:hAnsi="Arial Narrow" w:cs="Arial Narrow"/>
          <w:b w:val="0"/>
          <w:sz w:val="18"/>
          <w:szCs w:val="18"/>
        </w:rPr>
        <w:t xml:space="preserve"> </w:t>
      </w:r>
    </w:p>
  </w:footnote>
  <w:footnote w:id="36">
    <w:p w14:paraId="000001DA"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w:t>
      </w:r>
      <w:hyperlink r:id="rId33">
        <w:r>
          <w:rPr>
            <w:rFonts w:ascii="Arial Narrow" w:eastAsia="Arial Narrow" w:hAnsi="Arial Narrow" w:cs="Arial Narrow"/>
            <w:color w:val="0563C1"/>
            <w:sz w:val="18"/>
            <w:szCs w:val="18"/>
            <w:u w:val="single"/>
          </w:rPr>
          <w:t>https://www.infobae.com/peru/2024/06/11/comision-del-minedu-investigara-presuntos-casos-de-violencia-sexual-contra-escolares-awajun-por-parte-de-docentes-en-amazonas/</w:t>
        </w:r>
      </w:hyperlink>
      <w:r>
        <w:rPr>
          <w:rFonts w:ascii="Arial Narrow" w:eastAsia="Arial Narrow" w:hAnsi="Arial Narrow" w:cs="Arial Narrow"/>
          <w:color w:val="000000"/>
          <w:sz w:val="18"/>
          <w:szCs w:val="18"/>
        </w:rPr>
        <w:t xml:space="preserve">  </w:t>
      </w:r>
      <w:hyperlink r:id="rId34">
        <w:r>
          <w:rPr>
            <w:rFonts w:ascii="Arial Narrow" w:eastAsia="Arial Narrow" w:hAnsi="Arial Narrow" w:cs="Arial Narrow"/>
            <w:color w:val="0563C1"/>
            <w:sz w:val="18"/>
            <w:szCs w:val="18"/>
            <w:u w:val="single"/>
          </w:rPr>
          <w:t>https://www.infobae.com/peru/2024/06/12/amazonas-incendio-elimino-expedientes-de-agresiones-sexuales-de-profesores-a-ninos-algunos-afectados-de-vih/</w:t>
        </w:r>
      </w:hyperlink>
      <w:r>
        <w:rPr>
          <w:rFonts w:ascii="Arial Narrow" w:eastAsia="Arial Narrow" w:hAnsi="Arial Narrow" w:cs="Arial Narrow"/>
          <w:color w:val="000000"/>
          <w:sz w:val="18"/>
          <w:szCs w:val="18"/>
        </w:rPr>
        <w:t xml:space="preserve"> </w:t>
      </w:r>
    </w:p>
  </w:footnote>
  <w:footnote w:id="37">
    <w:p w14:paraId="00000248" w14:textId="77777777" w:rsidR="00436450" w:rsidRDefault="00436450">
      <w:pPr>
        <w:spacing w:after="0" w:line="240" w:lineRule="auto"/>
        <w:rPr>
          <w:sz w:val="20"/>
          <w:szCs w:val="20"/>
        </w:rPr>
      </w:pPr>
      <w:r>
        <w:rPr>
          <w:vertAlign w:val="superscript"/>
        </w:rPr>
        <w:footnoteRef/>
      </w:r>
      <w:r>
        <w:rPr>
          <w:sz w:val="20"/>
          <w:szCs w:val="20"/>
        </w:rPr>
        <w:t xml:space="preserve"> Portal Estadístico programa AURORA. Datos por tipo de población.  </w:t>
      </w:r>
      <w:hyperlink r:id="rId35">
        <w:r>
          <w:rPr>
            <w:color w:val="1155CC"/>
            <w:sz w:val="20"/>
            <w:szCs w:val="20"/>
            <w:u w:val="single"/>
          </w:rPr>
          <w:t>https://portalestadistico.aurora.gob.pe/tipos-de-poblacion-2023/</w:t>
        </w:r>
      </w:hyperlink>
      <w:r>
        <w:rPr>
          <w:sz w:val="20"/>
          <w:szCs w:val="20"/>
        </w:rPr>
        <w:t xml:space="preserve"> </w:t>
      </w:r>
    </w:p>
  </w:footnote>
  <w:footnote w:id="38">
    <w:p w14:paraId="000001DB" w14:textId="77777777" w:rsidR="00436450" w:rsidRDefault="0043645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Comunicado de prensa n.° 102/21 de la Comisión Interamericana de Derechos Humanas (CIDH) del 26 de abril del 2021.</w:t>
      </w:r>
    </w:p>
  </w:footnote>
  <w:footnote w:id="39">
    <w:p w14:paraId="000001DC" w14:textId="77777777" w:rsidR="00436450" w:rsidRDefault="0043645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Comunicado de prensa n.° 081/20 de la Comisión Interamericana de Derechos Humanas (CIDH) del 20 de abril del 2020.</w:t>
      </w:r>
    </w:p>
  </w:footnote>
  <w:footnote w:id="40">
    <w:p w14:paraId="000001DD" w14:textId="77777777" w:rsidR="00436450" w:rsidRDefault="0043645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Saldaña, Marivel; Dador, Jennie. </w:t>
      </w:r>
      <w:r>
        <w:rPr>
          <w:i/>
          <w:color w:val="000000"/>
          <w:sz w:val="20"/>
          <w:szCs w:val="20"/>
        </w:rPr>
        <w:t>Políticas Públicas: Análisis para la Igualdad de Género respecto al Ejercicio de los Derechos de las Mujeres Lesbianas</w:t>
      </w:r>
      <w:r>
        <w:rPr>
          <w:color w:val="000000"/>
          <w:sz w:val="20"/>
          <w:szCs w:val="20"/>
        </w:rPr>
        <w:t>. 2019. Documento inédito.</w:t>
      </w:r>
    </w:p>
  </w:footnote>
  <w:footnote w:id="41">
    <w:p w14:paraId="000001DE" w14:textId="77777777" w:rsidR="00436450" w:rsidRDefault="0043645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Ídem.</w:t>
      </w:r>
    </w:p>
  </w:footnote>
  <w:footnote w:id="42">
    <w:p w14:paraId="000001DF" w14:textId="77777777" w:rsidR="00436450" w:rsidRDefault="00436450">
      <w:pPr>
        <w:pBdr>
          <w:top w:val="nil"/>
          <w:left w:val="nil"/>
          <w:bottom w:val="nil"/>
          <w:right w:val="nil"/>
          <w:between w:val="nil"/>
        </w:pBdr>
        <w:spacing w:after="0" w:line="240" w:lineRule="auto"/>
        <w:rPr>
          <w:rFonts w:ascii="Arial" w:eastAsia="Arial" w:hAnsi="Arial" w:cs="Arial"/>
          <w:color w:val="000000"/>
          <w:sz w:val="18"/>
          <w:szCs w:val="18"/>
        </w:rPr>
      </w:pPr>
      <w:r>
        <w:rPr>
          <w:vertAlign w:val="superscript"/>
        </w:rPr>
        <w:footnoteRef/>
      </w:r>
      <w:r>
        <w:rPr>
          <w:rFonts w:ascii="Arial" w:eastAsia="Arial" w:hAnsi="Arial" w:cs="Arial"/>
          <w:color w:val="000000"/>
          <w:sz w:val="18"/>
          <w:szCs w:val="18"/>
        </w:rPr>
        <w:t xml:space="preserve"> INEI. Encuesta Demográfica y de Salud Familiar, ENDES 2021. Mayo 2022.</w:t>
      </w:r>
    </w:p>
  </w:footnote>
  <w:footnote w:id="43">
    <w:p w14:paraId="000001E0" w14:textId="77777777" w:rsidR="00436450" w:rsidRDefault="00436450">
      <w:pPr>
        <w:pBdr>
          <w:top w:val="nil"/>
          <w:left w:val="nil"/>
          <w:bottom w:val="nil"/>
          <w:right w:val="nil"/>
          <w:between w:val="nil"/>
        </w:pBdr>
        <w:spacing w:after="0" w:line="240" w:lineRule="auto"/>
        <w:rPr>
          <w:rFonts w:ascii="Arial" w:eastAsia="Arial" w:hAnsi="Arial" w:cs="Arial"/>
          <w:color w:val="000000"/>
          <w:sz w:val="18"/>
          <w:szCs w:val="18"/>
        </w:rPr>
      </w:pPr>
      <w:r>
        <w:rPr>
          <w:vertAlign w:val="superscript"/>
        </w:rPr>
        <w:footnoteRef/>
      </w:r>
      <w:r>
        <w:rPr>
          <w:rFonts w:ascii="Arial" w:eastAsia="Arial" w:hAnsi="Arial" w:cs="Arial"/>
          <w:color w:val="000000"/>
          <w:sz w:val="18"/>
          <w:szCs w:val="18"/>
        </w:rPr>
        <w:t xml:space="preserve"> INEI. Encuesta Nacional sobre Relaciones Sociales, ENARES 2019.</w:t>
      </w:r>
    </w:p>
  </w:footnote>
  <w:footnote w:id="44">
    <w:p w14:paraId="000001E1" w14:textId="77777777" w:rsidR="00436450" w:rsidRPr="00637001"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lang w:val="en-US"/>
        </w:rPr>
      </w:pPr>
      <w:r>
        <w:rPr>
          <w:vertAlign w:val="superscript"/>
        </w:rPr>
        <w:footnoteRef/>
      </w:r>
      <w:r w:rsidRPr="00637001">
        <w:rPr>
          <w:rFonts w:ascii="Arial" w:eastAsia="Arial" w:hAnsi="Arial" w:cs="Arial"/>
          <w:color w:val="000000"/>
          <w:sz w:val="18"/>
          <w:szCs w:val="18"/>
          <w:lang w:val="en-US"/>
        </w:rPr>
        <w:t xml:space="preserve"> </w:t>
      </w:r>
      <w:r w:rsidRPr="00637001">
        <w:rPr>
          <w:rFonts w:ascii="Arial Narrow" w:eastAsia="Arial Narrow" w:hAnsi="Arial Narrow" w:cs="Arial Narrow"/>
          <w:color w:val="000000"/>
          <w:sz w:val="18"/>
          <w:szCs w:val="18"/>
          <w:lang w:val="en-US"/>
        </w:rPr>
        <w:t xml:space="preserve">UNICEF PERÚ: </w:t>
      </w:r>
      <w:hyperlink r:id="rId36" w:anchor="estadisticas">
        <w:r w:rsidRPr="00637001">
          <w:rPr>
            <w:rFonts w:ascii="Arial Narrow" w:eastAsia="Arial Narrow" w:hAnsi="Arial Narrow" w:cs="Arial Narrow"/>
            <w:color w:val="0563C1"/>
            <w:sz w:val="18"/>
            <w:szCs w:val="18"/>
            <w:u w:val="single"/>
            <w:lang w:val="en-US"/>
          </w:rPr>
          <w:t>https://www.unicef.org/peru/quitemonoslavenda#estadisticas</w:t>
        </w:r>
      </w:hyperlink>
      <w:r w:rsidRPr="00637001">
        <w:rPr>
          <w:rFonts w:ascii="Arial Narrow" w:eastAsia="Arial Narrow" w:hAnsi="Arial Narrow" w:cs="Arial Narrow"/>
          <w:color w:val="000000"/>
          <w:sz w:val="18"/>
          <w:szCs w:val="18"/>
          <w:lang w:val="en-US"/>
        </w:rPr>
        <w:t xml:space="preserve"> </w:t>
      </w:r>
    </w:p>
  </w:footnote>
  <w:footnote w:id="45">
    <w:p w14:paraId="000001E2" w14:textId="77777777" w:rsidR="00436450" w:rsidRPr="00637001"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lang w:val="en-US"/>
        </w:rPr>
      </w:pPr>
      <w:r>
        <w:rPr>
          <w:vertAlign w:val="superscript"/>
        </w:rPr>
        <w:footnoteRef/>
      </w:r>
      <w:r w:rsidRPr="00637001">
        <w:rPr>
          <w:rFonts w:ascii="Arial Narrow" w:eastAsia="Arial Narrow" w:hAnsi="Arial Narrow" w:cs="Arial Narrow"/>
          <w:color w:val="000000"/>
          <w:sz w:val="18"/>
          <w:szCs w:val="18"/>
          <w:lang w:val="en-US"/>
        </w:rPr>
        <w:t xml:space="preserve"> UNICEF PERÚ: </w:t>
      </w:r>
      <w:hyperlink r:id="rId37" w:anchor="estadisticas">
        <w:r w:rsidRPr="00637001">
          <w:rPr>
            <w:rFonts w:ascii="Arial Narrow" w:eastAsia="Arial Narrow" w:hAnsi="Arial Narrow" w:cs="Arial Narrow"/>
            <w:color w:val="0563C1"/>
            <w:sz w:val="18"/>
            <w:szCs w:val="18"/>
            <w:u w:val="single"/>
            <w:lang w:val="en-US"/>
          </w:rPr>
          <w:t>https://www.unicef.org/peru/quitemonoslavenda#estadisticas</w:t>
        </w:r>
      </w:hyperlink>
      <w:r w:rsidRPr="00637001">
        <w:rPr>
          <w:rFonts w:ascii="Arial Narrow" w:eastAsia="Arial Narrow" w:hAnsi="Arial Narrow" w:cs="Arial Narrow"/>
          <w:color w:val="000000"/>
          <w:sz w:val="18"/>
          <w:szCs w:val="18"/>
          <w:lang w:val="en-US"/>
        </w:rPr>
        <w:t xml:space="preserve"> </w:t>
      </w:r>
    </w:p>
  </w:footnote>
  <w:footnote w:id="46">
    <w:p w14:paraId="000001E3"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La Comisión de Ética de la Sociedad Nacional de Radio y Televisión declaró la queja fundada y sancionó al programa “Emprendedor. Ponte las pilas” de América Tv. </w:t>
      </w:r>
      <w:hyperlink r:id="rId38">
        <w:r>
          <w:rPr>
            <w:rFonts w:ascii="Arial Narrow" w:eastAsia="Arial Narrow" w:hAnsi="Arial Narrow" w:cs="Arial Narrow"/>
            <w:color w:val="0563C1"/>
            <w:sz w:val="18"/>
            <w:szCs w:val="18"/>
            <w:u w:val="single"/>
          </w:rPr>
          <w:t>https://www.concortv.gob.pe/snrtv-sanciona-a-america-por-difundir-imagen-de-ninas-en-ropa-interior-durante-el-programa-emprendedor-ponte-las-pilas/</w:t>
        </w:r>
      </w:hyperlink>
      <w:r>
        <w:rPr>
          <w:rFonts w:ascii="Arial Narrow" w:eastAsia="Arial Narrow" w:hAnsi="Arial Narrow" w:cs="Arial Narrow"/>
          <w:color w:val="000000"/>
          <w:sz w:val="18"/>
          <w:szCs w:val="18"/>
        </w:rPr>
        <w:t xml:space="preserve"> </w:t>
      </w:r>
    </w:p>
  </w:footnote>
  <w:footnote w:id="47">
    <w:p w14:paraId="000001E4"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Boletín del Observatorio Nacional - junio 2023: </w:t>
      </w:r>
      <w:hyperlink r:id="rId39">
        <w:r>
          <w:rPr>
            <w:rFonts w:ascii="Arial Narrow" w:eastAsia="Arial Narrow" w:hAnsi="Arial Narrow" w:cs="Arial Narrow"/>
            <w:color w:val="0563C1"/>
            <w:sz w:val="18"/>
            <w:szCs w:val="18"/>
            <w:u w:val="single"/>
          </w:rPr>
          <w:t>https://cdn.www.gob.pe/uploads/document/file/5866289/5198071-boletin-observatorio-nacional-edicion-1-junio-2023.pdf?v=1708032043</w:t>
        </w:r>
      </w:hyperlink>
      <w:r>
        <w:rPr>
          <w:rFonts w:ascii="Arial Narrow" w:eastAsia="Arial Narrow" w:hAnsi="Arial Narrow" w:cs="Arial Narrow"/>
          <w:color w:val="000000"/>
          <w:sz w:val="18"/>
          <w:szCs w:val="18"/>
        </w:rPr>
        <w:t xml:space="preserve"> </w:t>
      </w:r>
    </w:p>
  </w:footnote>
  <w:footnote w:id="48">
    <w:p w14:paraId="000001E5" w14:textId="77777777" w:rsidR="00436450" w:rsidRDefault="00436450">
      <w:pPr>
        <w:spacing w:line="240" w:lineRule="auto"/>
        <w:rPr>
          <w:rFonts w:ascii="Arial Narrow" w:eastAsia="Arial Narrow" w:hAnsi="Arial Narrow" w:cs="Arial Narrow"/>
          <w:sz w:val="18"/>
          <w:szCs w:val="18"/>
        </w:rPr>
      </w:pPr>
      <w:r>
        <w:rPr>
          <w:vertAlign w:val="superscript"/>
        </w:rPr>
        <w:footnoteRef/>
      </w:r>
      <w:r>
        <w:rPr>
          <w:rFonts w:ascii="Arial Narrow" w:eastAsia="Arial Narrow" w:hAnsi="Arial Narrow" w:cs="Arial Narrow"/>
          <w:sz w:val="18"/>
          <w:szCs w:val="18"/>
        </w:rPr>
        <w:t xml:space="preserve"> Ministerio de Salud. Sistema de Registro del Certificado de Nacido Vivo en Línea.</w:t>
      </w:r>
    </w:p>
  </w:footnote>
  <w:footnote w:id="49">
    <w:p w14:paraId="000001E6" w14:textId="77777777" w:rsidR="00436450" w:rsidRDefault="00436450">
      <w:pPr>
        <w:pBdr>
          <w:top w:val="nil"/>
          <w:left w:val="nil"/>
          <w:bottom w:val="nil"/>
          <w:right w:val="nil"/>
          <w:between w:val="nil"/>
        </w:pBdr>
        <w:spacing w:after="0" w:line="240" w:lineRule="auto"/>
        <w:rPr>
          <w:rFonts w:ascii="Arial" w:eastAsia="Arial" w:hAnsi="Arial" w:cs="Arial"/>
          <w:color w:val="000000"/>
          <w:sz w:val="18"/>
          <w:szCs w:val="18"/>
        </w:rPr>
      </w:pPr>
      <w:r>
        <w:rPr>
          <w:vertAlign w:val="superscript"/>
        </w:rPr>
        <w:footnoteRef/>
      </w:r>
      <w:r>
        <w:rPr>
          <w:rFonts w:ascii="Arial Narrow" w:eastAsia="Arial Narrow" w:hAnsi="Arial Narrow" w:cs="Arial Narrow"/>
          <w:color w:val="000000"/>
          <w:sz w:val="18"/>
          <w:szCs w:val="18"/>
        </w:rPr>
        <w:t xml:space="preserve"> Boletín del Observatorio Nacional - JUNIO 2023: </w:t>
      </w:r>
      <w:hyperlink r:id="rId40">
        <w:r>
          <w:rPr>
            <w:rFonts w:ascii="Arial Narrow" w:eastAsia="Arial Narrow" w:hAnsi="Arial Narrow" w:cs="Arial Narrow"/>
            <w:color w:val="0563C1"/>
            <w:sz w:val="18"/>
            <w:szCs w:val="18"/>
            <w:u w:val="single"/>
          </w:rPr>
          <w:t>https://cdn.www.gob.pe/uploads/document/file/5866289/5198071-boletin-observatorio-nacional-edicion-1-junio-2023.pdf?v=1708032043</w:t>
        </w:r>
      </w:hyperlink>
      <w:r>
        <w:rPr>
          <w:rFonts w:ascii="Arial" w:eastAsia="Arial" w:hAnsi="Arial" w:cs="Arial"/>
          <w:color w:val="000000"/>
          <w:sz w:val="18"/>
          <w:szCs w:val="18"/>
        </w:rPr>
        <w:t xml:space="preserve"> </w:t>
      </w:r>
    </w:p>
  </w:footnote>
  <w:footnote w:id="50">
    <w:p w14:paraId="000001E7" w14:textId="77777777" w:rsidR="00436450" w:rsidRDefault="0043645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Aprobado mediante Directiva Sanitaria N° 083-MINSA/2019/DGIESP “Directiva Sanitaria para el uso del Kit para la Atención de Casos de Violencia Sexual” (Resolución Ministerial N°227-2019/MINSA). Disponible en: </w:t>
      </w:r>
      <w:hyperlink r:id="rId41">
        <w:r>
          <w:rPr>
            <w:color w:val="0563C1"/>
            <w:sz w:val="20"/>
            <w:szCs w:val="20"/>
            <w:u w:val="single"/>
          </w:rPr>
          <w:t>https://bvs.minsa.gob.pe/local/MINSA/5191.pdf</w:t>
        </w:r>
      </w:hyperlink>
      <w:r>
        <w:rPr>
          <w:color w:val="0462C1"/>
          <w:sz w:val="20"/>
          <w:szCs w:val="20"/>
        </w:rPr>
        <w:t xml:space="preserve">  </w:t>
      </w:r>
      <w:r>
        <w:rPr>
          <w:color w:val="000000"/>
          <w:sz w:val="20"/>
          <w:szCs w:val="20"/>
        </w:rPr>
        <w:t xml:space="preserve"> </w:t>
      </w:r>
    </w:p>
  </w:footnote>
  <w:footnote w:id="51">
    <w:p w14:paraId="000001E8" w14:textId="77777777" w:rsidR="00436450" w:rsidRDefault="00436450">
      <w:pPr>
        <w:spacing w:line="240" w:lineRule="auto"/>
        <w:rPr>
          <w:sz w:val="20"/>
          <w:szCs w:val="20"/>
        </w:rPr>
      </w:pPr>
      <w:r>
        <w:rPr>
          <w:vertAlign w:val="superscript"/>
        </w:rPr>
        <w:footnoteRef/>
      </w:r>
      <w:r>
        <w:rPr>
          <w:sz w:val="18"/>
          <w:szCs w:val="18"/>
        </w:rPr>
        <w:t xml:space="preserve"> </w:t>
      </w:r>
      <w:r>
        <w:rPr>
          <w:rFonts w:ascii="Nunito" w:eastAsia="Nunito" w:hAnsi="Nunito" w:cs="Nunito"/>
          <w:sz w:val="12"/>
          <w:szCs w:val="12"/>
        </w:rPr>
        <w:t xml:space="preserve"> </w:t>
      </w:r>
      <w:r>
        <w:rPr>
          <w:rFonts w:ascii="Nunito" w:eastAsia="Nunito" w:hAnsi="Nunito" w:cs="Nunito"/>
          <w:sz w:val="14"/>
          <w:szCs w:val="14"/>
        </w:rPr>
        <w:t>Programa Nacional Aurora, Portal Estadístico del Ministerio de la Mujer y Poblaciones Vulnerables - MIMP.  Violación sexual enero-mayo 2024 (preliminar)</w:t>
      </w:r>
    </w:p>
  </w:footnote>
  <w:footnote w:id="52">
    <w:p w14:paraId="000001E9" w14:textId="77777777" w:rsidR="00436450" w:rsidRDefault="0043645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PL N° </w:t>
      </w:r>
      <w:hyperlink r:id="rId42" w:anchor="/expediente/2021/1765">
        <w:r>
          <w:rPr>
            <w:color w:val="007BFF"/>
            <w:sz w:val="20"/>
            <w:szCs w:val="20"/>
            <w:u w:val="single"/>
          </w:rPr>
          <w:t xml:space="preserve">01765/2021-CR </w:t>
        </w:r>
      </w:hyperlink>
      <w:r>
        <w:rPr>
          <w:color w:val="000000"/>
          <w:sz w:val="20"/>
          <w:szCs w:val="20"/>
        </w:rPr>
        <w:t xml:space="preserve">“LEY QUE GARANTIZA LA ENTREGA DEL KIT DE EMERGENCIA A LAS VÍCTIMAS DE VIOLACIÓN SEXUAL”. </w:t>
      </w:r>
    </w:p>
  </w:footnote>
  <w:footnote w:id="53">
    <w:p w14:paraId="000001EA" w14:textId="77777777" w:rsidR="00436450" w:rsidRDefault="00436450">
      <w:pPr>
        <w:rPr>
          <w:sz w:val="20"/>
          <w:szCs w:val="20"/>
        </w:rPr>
      </w:pPr>
      <w:r>
        <w:rPr>
          <w:vertAlign w:val="superscript"/>
        </w:rPr>
        <w:footnoteRef/>
      </w:r>
      <w:r>
        <w:rPr>
          <w:sz w:val="20"/>
          <w:szCs w:val="20"/>
        </w:rPr>
        <w:t xml:space="preserve"> Comité de los Derechos del Niño, Observaciones finales sobre los informes periódicos cuarto y quinto</w:t>
      </w:r>
    </w:p>
    <w:p w14:paraId="000001EB" w14:textId="77777777" w:rsidR="00436450" w:rsidRDefault="00436450">
      <w:pPr>
        <w:pBdr>
          <w:top w:val="nil"/>
          <w:left w:val="nil"/>
          <w:bottom w:val="nil"/>
          <w:right w:val="nil"/>
          <w:between w:val="nil"/>
        </w:pBdr>
        <w:spacing w:after="0" w:line="240" w:lineRule="auto"/>
        <w:jc w:val="both"/>
        <w:rPr>
          <w:color w:val="000000"/>
          <w:sz w:val="20"/>
          <w:szCs w:val="20"/>
        </w:rPr>
      </w:pPr>
      <w:r>
        <w:rPr>
          <w:color w:val="000000"/>
          <w:sz w:val="20"/>
          <w:szCs w:val="20"/>
        </w:rPr>
        <w:t>combinados del Perú.</w:t>
      </w:r>
    </w:p>
  </w:footnote>
  <w:footnote w:id="54">
    <w:p w14:paraId="000001EC" w14:textId="77777777" w:rsidR="00436450" w:rsidRDefault="00436450">
      <w:pPr>
        <w:jc w:val="both"/>
        <w:rPr>
          <w:rFonts w:ascii="Arial Narrow" w:eastAsia="Arial Narrow" w:hAnsi="Arial Narrow" w:cs="Arial Narrow"/>
          <w:sz w:val="18"/>
          <w:szCs w:val="18"/>
        </w:rPr>
      </w:pPr>
      <w:r>
        <w:rPr>
          <w:vertAlign w:val="superscript"/>
        </w:rPr>
        <w:footnoteRef/>
      </w:r>
      <w:r>
        <w:rPr>
          <w:rFonts w:ascii="Arial Narrow" w:eastAsia="Arial Narrow" w:hAnsi="Arial Narrow" w:cs="Arial Narrow"/>
          <w:sz w:val="18"/>
          <w:szCs w:val="18"/>
        </w:rPr>
        <w:t xml:space="preserve"> El 7 de marzo de 2023, la Sala de Derecho Constitucional y Social Permanente de la Corte Suprema de Justicia declaró Infundada la demanda de acción popular interpuesta por la Asociación de Estudios Jurídicos Santo Tomás Moro contra la Guía del aborto terapéutico. Por ello, dispuso que el Ministerio de Salud debe proceder a la ampliación y corrección del Protocolo de aborto terapéutico en relación con considerar los siguientes aspectos: (i) La opinión de niñas y adolescentes en estado de gestación; (ii) Incluir el principio la objeción de conciencia del personal de salud; y (iii) La corrección del término incapaz por personas con capacidad restringida conforme a la normativa actual.</w:t>
      </w:r>
    </w:p>
  </w:footnote>
  <w:footnote w:id="55">
    <w:p w14:paraId="000001ED"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w:t>
      </w:r>
      <w:hyperlink r:id="rId43">
        <w:r>
          <w:rPr>
            <w:rFonts w:ascii="Arial Narrow" w:eastAsia="Arial Narrow" w:hAnsi="Arial Narrow" w:cs="Arial Narrow"/>
            <w:color w:val="0563C1"/>
            <w:sz w:val="18"/>
            <w:szCs w:val="18"/>
            <w:u w:val="single"/>
          </w:rPr>
          <w:t>https://www.ohchr.org/es/press-releases/2023/06/peru-violated-child-rape-victims-rights-failing-guarantee-access-abortion</w:t>
        </w:r>
      </w:hyperlink>
      <w:r>
        <w:rPr>
          <w:rFonts w:ascii="Arial Narrow" w:eastAsia="Arial Narrow" w:hAnsi="Arial Narrow" w:cs="Arial Narrow"/>
          <w:color w:val="000000"/>
          <w:sz w:val="18"/>
          <w:szCs w:val="18"/>
        </w:rPr>
        <w:t xml:space="preserve"> </w:t>
      </w:r>
    </w:p>
  </w:footnote>
  <w:footnote w:id="56">
    <w:p w14:paraId="000001EE"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w:t>
      </w:r>
      <w:hyperlink r:id="rId44">
        <w:r>
          <w:rPr>
            <w:rFonts w:ascii="Arial Narrow" w:eastAsia="Arial Narrow" w:hAnsi="Arial Narrow" w:cs="Arial Narrow"/>
            <w:color w:val="0563C1"/>
            <w:sz w:val="18"/>
            <w:szCs w:val="18"/>
            <w:u w:val="single"/>
          </w:rPr>
          <w:t>https://www.unicef.org/peru/comunicados-prensa/pronunciamiento-caso-mila-violencia</w:t>
        </w:r>
      </w:hyperlink>
      <w:r>
        <w:rPr>
          <w:rFonts w:ascii="Arial Narrow" w:eastAsia="Arial Narrow" w:hAnsi="Arial Narrow" w:cs="Arial Narrow"/>
          <w:color w:val="000000"/>
          <w:sz w:val="18"/>
          <w:szCs w:val="18"/>
        </w:rPr>
        <w:t xml:space="preserve"> </w:t>
      </w:r>
    </w:p>
  </w:footnote>
  <w:footnote w:id="57">
    <w:p w14:paraId="000001EF"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w:t>
      </w:r>
      <w:hyperlink r:id="rId45">
        <w:r>
          <w:rPr>
            <w:rFonts w:ascii="Arial Narrow" w:eastAsia="Arial Narrow" w:hAnsi="Arial Narrow" w:cs="Arial Narrow"/>
            <w:color w:val="0563C1"/>
            <w:sz w:val="18"/>
            <w:szCs w:val="18"/>
            <w:u w:val="single"/>
          </w:rPr>
          <w:t>https://www.dw.com/es/perú-permite-el-aborto-terapéutico-a-niña-de-11-años/a-66519051</w:t>
        </w:r>
      </w:hyperlink>
      <w:r>
        <w:rPr>
          <w:rFonts w:ascii="Arial Narrow" w:eastAsia="Arial Narrow" w:hAnsi="Arial Narrow" w:cs="Arial Narrow"/>
          <w:color w:val="000000"/>
          <w:sz w:val="18"/>
          <w:szCs w:val="18"/>
        </w:rPr>
        <w:t xml:space="preserve"> </w:t>
      </w:r>
    </w:p>
  </w:footnote>
  <w:footnote w:id="58">
    <w:p w14:paraId="000001F0" w14:textId="77777777" w:rsidR="00436450" w:rsidRDefault="00436450">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En Cusco piden con urgencia aborto terapéutico para niña de 10 años con 20 semanas de embarazo. La menor tiene un embarazo de alto riesgo y la junta médica ya dictaminó que sí procede la interrupción de la gestación; sin embargo, como la menor no tiene padres ni tutores legales deben esperar a que el Poder Judicial apruebe el procedimiento. </w:t>
      </w:r>
      <w:hyperlink r:id="rId46">
        <w:r>
          <w:rPr>
            <w:rFonts w:ascii="Arial Narrow" w:eastAsia="Arial Narrow" w:hAnsi="Arial Narrow" w:cs="Arial Narrow"/>
            <w:color w:val="0563C1"/>
            <w:sz w:val="18"/>
            <w:szCs w:val="18"/>
            <w:u w:val="single"/>
          </w:rPr>
          <w:t>https://www.infobae.com/peru/2023/10/05/cusco-piden-con-urgencia-aborto-terapeutico-para-nina-de-10-anos-con-20-semanas-de-embarazo/</w:t>
        </w:r>
      </w:hyperlink>
      <w:r>
        <w:rPr>
          <w:rFonts w:ascii="Arial Narrow" w:eastAsia="Arial Narrow" w:hAnsi="Arial Narrow" w:cs="Arial Narrow"/>
          <w:color w:val="000000"/>
          <w:sz w:val="18"/>
          <w:szCs w:val="18"/>
        </w:rPr>
        <w:t xml:space="preserve"> </w:t>
      </w:r>
    </w:p>
  </w:footnote>
  <w:footnote w:id="59">
    <w:p w14:paraId="000001F1"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w:t>
      </w:r>
      <w:hyperlink r:id="rId47" w:anchor=":~:text=Ante%20el%20requerimiento%2C%20el%20Poder,trav%C3%A9s%20de%20las%20redes%20sociales">
        <w:r>
          <w:rPr>
            <w:rFonts w:ascii="Arial Narrow" w:eastAsia="Arial Narrow" w:hAnsi="Arial Narrow" w:cs="Arial Narrow"/>
            <w:color w:val="0563C1"/>
            <w:sz w:val="18"/>
            <w:szCs w:val="18"/>
            <w:u w:val="single"/>
          </w:rPr>
          <w:t>https://www.infobae.com/peru/2023/10/06/poder-judicial-autoriza-que-nina-de-10-anos-con-embarazo-de-20-semanas-acceda-al-aborto-terapeutico-en-cusco/#:~:text=Ante%20el%20requerimiento%2C%20el%20Poder,través%20de%20las%20redes%20sociales</w:t>
        </w:r>
      </w:hyperlink>
      <w:r>
        <w:rPr>
          <w:rFonts w:ascii="Arial Narrow" w:eastAsia="Arial Narrow" w:hAnsi="Arial Narrow" w:cs="Arial Narrow"/>
          <w:color w:val="000000"/>
          <w:sz w:val="18"/>
          <w:szCs w:val="18"/>
        </w:rPr>
        <w:t xml:space="preserve">. </w:t>
      </w:r>
    </w:p>
  </w:footnote>
  <w:footnote w:id="60">
    <w:p w14:paraId="000001F2" w14:textId="77777777" w:rsidR="00436450" w:rsidRDefault="00436450">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INFOBAE. Cusco: Junta médica aprueba aborto terapéutico para niña de 12 años víctima de violación. Disponible en: </w:t>
      </w:r>
      <w:hyperlink r:id="rId48">
        <w:r>
          <w:rPr>
            <w:rFonts w:ascii="Arial Narrow" w:eastAsia="Arial Narrow" w:hAnsi="Arial Narrow" w:cs="Arial Narrow"/>
            <w:color w:val="0563C1"/>
            <w:sz w:val="18"/>
            <w:szCs w:val="18"/>
            <w:u w:val="single"/>
          </w:rPr>
          <w:t>https://www.infobae.com/peru/2023/10/12/cusco-junta-medica-aprueba-aborto-terapeutico-para-nina-de-12-anos-victima-de-violacion/</w:t>
        </w:r>
      </w:hyperlink>
      <w:r>
        <w:rPr>
          <w:rFonts w:ascii="Arial Narrow" w:eastAsia="Arial Narrow" w:hAnsi="Arial Narrow" w:cs="Arial Narrow"/>
          <w:color w:val="000000"/>
          <w:sz w:val="18"/>
          <w:szCs w:val="18"/>
        </w:rPr>
        <w:t xml:space="preserve"> </w:t>
      </w:r>
    </w:p>
    <w:p w14:paraId="000001F3" w14:textId="77777777" w:rsidR="00436450" w:rsidRDefault="00436450">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INFOBAE. Realizan aborto terapéutico a niña de 10 años con embarazo de 20 semanas producto de abuso sexual en el Cusco. Disponible en: </w:t>
      </w:r>
      <w:hyperlink r:id="rId49">
        <w:r>
          <w:rPr>
            <w:rFonts w:ascii="Arial Narrow" w:eastAsia="Arial Narrow" w:hAnsi="Arial Narrow" w:cs="Arial Narrow"/>
            <w:color w:val="0563C1"/>
            <w:sz w:val="18"/>
            <w:szCs w:val="18"/>
            <w:u w:val="single"/>
          </w:rPr>
          <w:t>https://www.infobae.com/peru/2023/10/07/realizan-aborto-terapeutico-a-nina-de-10-anos-con-embarazo-de-20-semanas-producto-de-abuso-sexual-en-el-cusco/</w:t>
        </w:r>
      </w:hyperlink>
      <w:r>
        <w:rPr>
          <w:rFonts w:ascii="Arial Narrow" w:eastAsia="Arial Narrow" w:hAnsi="Arial Narrow" w:cs="Arial Narrow"/>
          <w:color w:val="000000"/>
          <w:sz w:val="18"/>
          <w:szCs w:val="18"/>
        </w:rPr>
        <w:t xml:space="preserve"> </w:t>
      </w:r>
    </w:p>
  </w:footnote>
  <w:footnote w:id="61">
    <w:p w14:paraId="000001F4"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Ley N°31498, “Ley que impulsa la calidad de los materiales y recursos educativos en el Perú.</w:t>
      </w:r>
    </w:p>
  </w:footnote>
  <w:footnote w:id="62">
    <w:p w14:paraId="000001F5"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Ley N°31935 “Ley que reconoce derechos al concebido”.</w:t>
      </w:r>
    </w:p>
  </w:footnote>
  <w:footnote w:id="63">
    <w:p w14:paraId="000001F6" w14:textId="77777777" w:rsidR="00436450" w:rsidRDefault="00436450">
      <w:pPr>
        <w:spacing w:line="240" w:lineRule="auto"/>
        <w:rPr>
          <w:rFonts w:ascii="Arial Narrow" w:eastAsia="Arial Narrow" w:hAnsi="Arial Narrow" w:cs="Arial Narrow"/>
          <w:sz w:val="18"/>
          <w:szCs w:val="18"/>
        </w:rPr>
      </w:pPr>
      <w:r>
        <w:rPr>
          <w:vertAlign w:val="superscript"/>
        </w:rPr>
        <w:footnoteRef/>
      </w:r>
      <w:r>
        <w:rPr>
          <w:rFonts w:ascii="Arial Narrow" w:eastAsia="Arial Narrow" w:hAnsi="Arial Narrow" w:cs="Arial Narrow"/>
          <w:b/>
          <w:sz w:val="18"/>
          <w:szCs w:val="18"/>
        </w:rPr>
        <w:t>.</w:t>
      </w:r>
      <w:hyperlink r:id="rId50">
        <w:r>
          <w:rPr>
            <w:rFonts w:ascii="Arial Narrow" w:eastAsia="Arial Narrow" w:hAnsi="Arial Narrow" w:cs="Arial Narrow"/>
            <w:color w:val="1155CC"/>
            <w:sz w:val="18"/>
            <w:szCs w:val="18"/>
            <w:u w:val="single"/>
          </w:rPr>
          <w:t>https://www.tvperu.gob.pe/noticias/nacionales/pj-ordena-busqueda-y-captura-de-psicologo-acusado-de-abuso-sexual-contra-adolescente-en-ucayali</w:t>
        </w:r>
      </w:hyperlink>
      <w:r>
        <w:rPr>
          <w:rFonts w:ascii="Arial Narrow" w:eastAsia="Arial Narrow" w:hAnsi="Arial Narrow" w:cs="Arial Narrow"/>
          <w:sz w:val="18"/>
          <w:szCs w:val="18"/>
        </w:rPr>
        <w:t xml:space="preserve"> </w:t>
      </w:r>
    </w:p>
  </w:footnote>
  <w:footnote w:id="64">
    <w:p w14:paraId="000001F7" w14:textId="77777777" w:rsidR="00436450" w:rsidRDefault="00436450">
      <w:pPr>
        <w:spacing w:line="240" w:lineRule="auto"/>
        <w:rPr>
          <w:sz w:val="16"/>
          <w:szCs w:val="16"/>
        </w:rPr>
      </w:pPr>
      <w:r>
        <w:rPr>
          <w:vertAlign w:val="superscript"/>
        </w:rPr>
        <w:footnoteRef/>
      </w:r>
      <w:r>
        <w:rPr>
          <w:rFonts w:ascii="Arial Narrow" w:eastAsia="Arial Narrow" w:hAnsi="Arial Narrow" w:cs="Arial Narrow"/>
          <w:b/>
          <w:sz w:val="18"/>
          <w:szCs w:val="18"/>
        </w:rPr>
        <w:t>.</w:t>
      </w:r>
      <w:hyperlink r:id="rId51">
        <w:r>
          <w:rPr>
            <w:rFonts w:ascii="Arial Narrow" w:eastAsia="Arial Narrow" w:hAnsi="Arial Narrow" w:cs="Arial Narrow"/>
            <w:color w:val="1155CC"/>
            <w:sz w:val="18"/>
            <w:szCs w:val="18"/>
            <w:u w:val="single"/>
          </w:rPr>
          <w:t>https://www.infobae.com/peru/2023/10/28/psicologo-del-mimp-denunciado-por-violacion-ahora-profugo-fue-contratado-con-posible-certificado-falso/</w:t>
        </w:r>
      </w:hyperlink>
      <w:r>
        <w:rPr>
          <w:rFonts w:ascii="Nunito" w:eastAsia="Nunito" w:hAnsi="Nunito" w:cs="Nunito"/>
          <w:sz w:val="14"/>
          <w:szCs w:val="14"/>
        </w:rPr>
        <w:t xml:space="preserve">  </w:t>
      </w:r>
    </w:p>
  </w:footnote>
  <w:footnote w:id="65">
    <w:p w14:paraId="000001F8" w14:textId="77777777" w:rsidR="00436450" w:rsidRDefault="00436450">
      <w:pPr>
        <w:spacing w:line="240" w:lineRule="auto"/>
        <w:rPr>
          <w:rFonts w:ascii="Arial Narrow" w:eastAsia="Arial Narrow" w:hAnsi="Arial Narrow" w:cs="Arial Narrow"/>
          <w:sz w:val="18"/>
          <w:szCs w:val="18"/>
        </w:rPr>
      </w:pPr>
      <w:r>
        <w:rPr>
          <w:vertAlign w:val="superscript"/>
        </w:rPr>
        <w:footnoteRef/>
      </w:r>
      <w:r>
        <w:rPr>
          <w:rFonts w:ascii="Arial Narrow" w:eastAsia="Arial Narrow" w:hAnsi="Arial Narrow" w:cs="Arial Narrow"/>
          <w:sz w:val="18"/>
          <w:szCs w:val="18"/>
        </w:rPr>
        <w:t xml:space="preserve"> </w:t>
      </w:r>
      <w:hyperlink r:id="rId52">
        <w:r>
          <w:rPr>
            <w:rFonts w:ascii="Arial Narrow" w:eastAsia="Arial Narrow" w:hAnsi="Arial Narrow" w:cs="Arial Narrow"/>
            <w:color w:val="1155CC"/>
            <w:sz w:val="18"/>
            <w:szCs w:val="18"/>
            <w:u w:val="single"/>
          </w:rPr>
          <w:t>https://www.tvperu.gob.pe/noticias/nacionales/ucayali-dictan-9-meses-de-prision-preventiva-para-excoordinador-de-aldea-de-inabif</w:t>
        </w:r>
      </w:hyperlink>
      <w:r>
        <w:rPr>
          <w:rFonts w:ascii="Arial Narrow" w:eastAsia="Arial Narrow" w:hAnsi="Arial Narrow" w:cs="Arial Narrow"/>
          <w:sz w:val="18"/>
          <w:szCs w:val="18"/>
        </w:rPr>
        <w:t xml:space="preserve"> </w:t>
      </w:r>
    </w:p>
  </w:footnote>
  <w:footnote w:id="66">
    <w:p w14:paraId="000001F9" w14:textId="77777777" w:rsidR="00436450" w:rsidRDefault="00436450">
      <w:pPr>
        <w:jc w:val="both"/>
        <w:rPr>
          <w:rFonts w:ascii="Arial Narrow" w:eastAsia="Arial Narrow" w:hAnsi="Arial Narrow" w:cs="Arial Narrow"/>
          <w:sz w:val="18"/>
          <w:szCs w:val="18"/>
        </w:rPr>
      </w:pPr>
      <w:r>
        <w:rPr>
          <w:vertAlign w:val="superscript"/>
        </w:rPr>
        <w:footnoteRef/>
      </w:r>
      <w:r>
        <w:rPr>
          <w:rFonts w:ascii="Arial Narrow" w:eastAsia="Arial Narrow" w:hAnsi="Arial Narrow" w:cs="Arial Narrow"/>
          <w:sz w:val="18"/>
          <w:szCs w:val="18"/>
        </w:rPr>
        <w:t xml:space="preserve"> Instituto Nacional de Estadística e Informática. Encuesta Demográfica y de Salud Familiar - ENDES 2023</w:t>
      </w:r>
    </w:p>
  </w:footnote>
  <w:footnote w:id="67">
    <w:p w14:paraId="000001FA"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w:t>
      </w:r>
      <w:hyperlink r:id="rId53">
        <w:r>
          <w:rPr>
            <w:rFonts w:ascii="Arial Narrow" w:eastAsia="Arial Narrow" w:hAnsi="Arial Narrow" w:cs="Arial Narrow"/>
            <w:color w:val="0563C1"/>
            <w:sz w:val="18"/>
            <w:szCs w:val="18"/>
            <w:u w:val="single"/>
          </w:rPr>
          <w:t>https://m.inei.gob.pe/estadisticas/indice-tematico/brechas-de-genero-7913/</w:t>
        </w:r>
      </w:hyperlink>
      <w:r>
        <w:rPr>
          <w:rFonts w:ascii="Arial Narrow" w:eastAsia="Arial Narrow" w:hAnsi="Arial Narrow" w:cs="Arial Narrow"/>
          <w:color w:val="000000"/>
          <w:sz w:val="18"/>
          <w:szCs w:val="18"/>
        </w:rPr>
        <w:t xml:space="preserve"> </w:t>
      </w:r>
    </w:p>
  </w:footnote>
  <w:footnote w:id="68">
    <w:p w14:paraId="000001FB" w14:textId="77777777" w:rsidR="00436450" w:rsidRDefault="00436450">
      <w:pPr>
        <w:pBdr>
          <w:top w:val="nil"/>
          <w:left w:val="nil"/>
          <w:bottom w:val="nil"/>
          <w:right w:val="nil"/>
          <w:between w:val="nil"/>
        </w:pBdr>
        <w:jc w:val="both"/>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Sistema de Registro del Certificado de Nacido Vivo – MINSA. Consultado el 20 de junio de 2024.</w:t>
      </w:r>
    </w:p>
  </w:footnote>
  <w:footnote w:id="69">
    <w:p w14:paraId="000001FC" w14:textId="77777777" w:rsidR="00436450" w:rsidRDefault="00436450">
      <w:pPr>
        <w:pBdr>
          <w:top w:val="nil"/>
          <w:left w:val="nil"/>
          <w:bottom w:val="nil"/>
          <w:right w:val="nil"/>
          <w:between w:val="nil"/>
        </w:pBdr>
        <w:jc w:val="both"/>
        <w:rPr>
          <w:color w:val="000000"/>
          <w:sz w:val="20"/>
          <w:szCs w:val="20"/>
        </w:rPr>
      </w:pPr>
      <w:r>
        <w:rPr>
          <w:vertAlign w:val="superscript"/>
        </w:rPr>
        <w:footnoteRef/>
      </w:r>
      <w:r>
        <w:rPr>
          <w:rFonts w:ascii="Arial Narrow" w:eastAsia="Arial Narrow" w:hAnsi="Arial Narrow" w:cs="Arial Narrow"/>
          <w:color w:val="000000"/>
          <w:sz w:val="18"/>
          <w:szCs w:val="18"/>
        </w:rPr>
        <w:t xml:space="preserve"> “Perú: Maternidad en niñas entre 10 y 14 años creció 40% entre 2020 y 2022”–UNFPA 20 de setiembre 2023.</w:t>
      </w:r>
    </w:p>
  </w:footnote>
  <w:footnote w:id="70">
    <w:p w14:paraId="000001FD" w14:textId="77777777" w:rsidR="00436450" w:rsidRDefault="00436450">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Encuesta sobre Representaciones del Trabajo de Cuidado en Perú - Instituto de Estudios Peruanos (IEP); Oxfam y el Centro de la Mujer Peruana Flora Tristán. 2023.</w:t>
      </w:r>
    </w:p>
  </w:footnote>
  <w:footnote w:id="71">
    <w:p w14:paraId="000001FE" w14:textId="77777777" w:rsidR="00436450" w:rsidRDefault="0043645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Observación general N°20 (2016) sobre la efectividad de los derechos del niño durante la adolescencia, párr. 59.</w:t>
      </w:r>
    </w:p>
  </w:footnote>
  <w:footnote w:id="72">
    <w:p w14:paraId="000001FF" w14:textId="77777777" w:rsidR="00436450" w:rsidRDefault="0043645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Comunicado de prensa n.° 080/24 de la Comisión Interamericana de Derechos Humanas (CIDH) del 27 de abril del 2024. </w:t>
      </w:r>
    </w:p>
  </w:footnote>
  <w:footnote w:id="73">
    <w:p w14:paraId="00000200" w14:textId="77777777" w:rsidR="00436450" w:rsidRDefault="0043645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Ley N.° 32003, que modifica la Ley de Igualdad de Oportunidades entre Mujeres y Hombres (Ley N.° 28983).</w:t>
      </w:r>
    </w:p>
  </w:footnote>
  <w:footnote w:id="74">
    <w:p w14:paraId="00000201" w14:textId="77777777" w:rsidR="00436450" w:rsidRDefault="0043645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Ley N.° 31498, Ley que impulsa la calidad de los materiales y recursos educativos.</w:t>
      </w:r>
    </w:p>
  </w:footnote>
  <w:footnote w:id="75">
    <w:p w14:paraId="00000202" w14:textId="5A9491F9" w:rsidR="00436450" w:rsidRDefault="0043645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Recomendación general núm. 31 del Comité para la Eliminación de la Discriminación contra la Mujer/observación general núm. 18 del Comité de los Derechos del Niño (2019), párr. 69 inc. d).</w:t>
      </w:r>
    </w:p>
  </w:footnote>
  <w:footnote w:id="76">
    <w:p w14:paraId="00000203" w14:textId="77777777" w:rsidR="00436450" w:rsidRDefault="0043645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Dictamen CRC/C/93/D/136/2021.</w:t>
      </w:r>
    </w:p>
  </w:footnote>
  <w:footnote w:id="77">
    <w:p w14:paraId="00000204" w14:textId="77777777" w:rsidR="00436450" w:rsidRDefault="00436450">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Publicada en el diario oficial El Peruano, el 23 de junio de 2022.</w:t>
      </w:r>
    </w:p>
  </w:footnote>
  <w:footnote w:id="78">
    <w:p w14:paraId="00000205" w14:textId="77777777" w:rsidR="00436450" w:rsidRDefault="00436450">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Publicada en el diario oficial El Peruano, el 30 de setiembre de 2023.</w:t>
      </w:r>
    </w:p>
  </w:footnote>
  <w:footnote w:id="79">
    <w:p w14:paraId="00000206"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w:t>
      </w:r>
      <w:hyperlink r:id="rId54">
        <w:r>
          <w:rPr>
            <w:rFonts w:ascii="Arial Narrow" w:eastAsia="Arial Narrow" w:hAnsi="Arial Narrow" w:cs="Arial Narrow"/>
            <w:color w:val="0563C1"/>
            <w:sz w:val="18"/>
            <w:szCs w:val="18"/>
            <w:u w:val="single"/>
          </w:rPr>
          <w:t>https://wb2server.congreso.gob.pe/spley-portal-service/archivo/MTc2NTEz/pdf</w:t>
        </w:r>
      </w:hyperlink>
      <w:r>
        <w:rPr>
          <w:rFonts w:ascii="Arial Narrow" w:eastAsia="Arial Narrow" w:hAnsi="Arial Narrow" w:cs="Arial Narrow"/>
          <w:color w:val="000000"/>
          <w:sz w:val="18"/>
          <w:szCs w:val="18"/>
        </w:rPr>
        <w:t xml:space="preserve"> </w:t>
      </w:r>
    </w:p>
  </w:footnote>
  <w:footnote w:id="80">
    <w:p w14:paraId="00000207"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Ministerio de Educación. Informe N</w:t>
      </w:r>
      <w:r>
        <w:rPr>
          <w:rFonts w:ascii="Symbol" w:eastAsia="Symbol" w:hAnsi="Symbol" w:cs="Symbol"/>
          <w:color w:val="000000"/>
          <w:sz w:val="18"/>
          <w:szCs w:val="18"/>
        </w:rPr>
        <w:t></w:t>
      </w:r>
      <w:r>
        <w:rPr>
          <w:rFonts w:ascii="Arial Narrow" w:eastAsia="Arial Narrow" w:hAnsi="Arial Narrow" w:cs="Arial Narrow"/>
          <w:color w:val="000000"/>
          <w:sz w:val="18"/>
          <w:szCs w:val="18"/>
        </w:rPr>
        <w:t xml:space="preserve"> 00200-MINEDU/VMGP-DIGEBR, de fecha 1 de abril de 2024.</w:t>
      </w:r>
    </w:p>
  </w:footnote>
  <w:footnote w:id="81">
    <w:p w14:paraId="00000208"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w:t>
      </w:r>
      <w:hyperlink r:id="rId55">
        <w:r>
          <w:rPr>
            <w:rFonts w:ascii="Arial Narrow" w:eastAsia="Arial Narrow" w:hAnsi="Arial Narrow" w:cs="Arial Narrow"/>
            <w:color w:val="0563C1"/>
            <w:sz w:val="18"/>
            <w:szCs w:val="18"/>
            <w:u w:val="single"/>
          </w:rPr>
          <w:t>https://repositorio.minedu.gob.pe/handle/20.500.12799/7881</w:t>
        </w:r>
      </w:hyperlink>
      <w:r>
        <w:rPr>
          <w:rFonts w:ascii="Arial Narrow" w:eastAsia="Arial Narrow" w:hAnsi="Arial Narrow" w:cs="Arial Narrow"/>
          <w:color w:val="000000"/>
          <w:sz w:val="18"/>
          <w:szCs w:val="18"/>
        </w:rPr>
        <w:t xml:space="preserve"> (consulta: 12/06/24).</w:t>
      </w:r>
    </w:p>
  </w:footnote>
  <w:footnote w:id="82">
    <w:p w14:paraId="00000209" w14:textId="77777777" w:rsidR="00436450" w:rsidRDefault="00436450">
      <w:pPr>
        <w:pBdr>
          <w:top w:val="nil"/>
          <w:left w:val="nil"/>
          <w:bottom w:val="nil"/>
          <w:right w:val="nil"/>
          <w:between w:val="nil"/>
        </w:pBdr>
        <w:spacing w:after="0" w:line="240" w:lineRule="auto"/>
        <w:rPr>
          <w:rFonts w:ascii="Arial Narrow" w:eastAsia="Arial Narrow" w:hAnsi="Arial Narrow" w:cs="Arial Narrow"/>
          <w:color w:val="000000"/>
          <w:sz w:val="18"/>
          <w:szCs w:val="18"/>
        </w:rPr>
      </w:pPr>
      <w:r>
        <w:rPr>
          <w:vertAlign w:val="superscript"/>
        </w:rPr>
        <w:footnoteRef/>
      </w:r>
      <w:r>
        <w:rPr>
          <w:rFonts w:ascii="Arial Narrow" w:eastAsia="Arial Narrow" w:hAnsi="Arial Narrow" w:cs="Arial Narrow"/>
          <w:color w:val="000000"/>
          <w:sz w:val="18"/>
          <w:szCs w:val="18"/>
        </w:rPr>
        <w:t xml:space="preserve"> Ministerio de Educación. Óp. Cit. Página 21.</w:t>
      </w:r>
    </w:p>
  </w:footnote>
  <w:footnote w:id="83">
    <w:p w14:paraId="0000020A" w14:textId="77777777" w:rsidR="00436450" w:rsidRDefault="00436450">
      <w:pPr>
        <w:pBdr>
          <w:top w:val="nil"/>
          <w:left w:val="nil"/>
          <w:bottom w:val="nil"/>
          <w:right w:val="nil"/>
          <w:between w:val="nil"/>
        </w:pBdr>
        <w:spacing w:after="0" w:line="240" w:lineRule="auto"/>
        <w:jc w:val="both"/>
        <w:rPr>
          <w:rFonts w:ascii="Arial" w:eastAsia="Arial" w:hAnsi="Arial" w:cs="Arial"/>
          <w:color w:val="000000"/>
          <w:sz w:val="18"/>
          <w:szCs w:val="18"/>
        </w:rPr>
      </w:pPr>
      <w:r>
        <w:rPr>
          <w:vertAlign w:val="superscript"/>
        </w:rPr>
        <w:footnoteRef/>
      </w:r>
      <w:r>
        <w:rPr>
          <w:rFonts w:ascii="Arial Narrow" w:eastAsia="Arial Narrow" w:hAnsi="Arial Narrow" w:cs="Arial Narrow"/>
          <w:color w:val="000000"/>
          <w:sz w:val="18"/>
          <w:szCs w:val="18"/>
        </w:rPr>
        <w:t xml:space="preserve"> El Ministerio Público, durante el año 2023, registró 8,969 casos que configuraban delito de tocamientos, actos de connotación sexual o actos libidinosos en agravio de personas menores de edad; y entre enero y abril de 2024, por estos mismos delitos se identificaron 2,561 casos. Disponible en: Portar estadístico del Ministerio Público: </w:t>
      </w:r>
      <w:hyperlink r:id="rId56">
        <w:r>
          <w:rPr>
            <w:rFonts w:ascii="Arial Narrow" w:eastAsia="Arial Narrow" w:hAnsi="Arial Narrow" w:cs="Arial Narrow"/>
            <w:color w:val="0563C1"/>
            <w:sz w:val="18"/>
            <w:szCs w:val="18"/>
            <w:u w:val="single"/>
          </w:rPr>
          <w:t>https://cfe.mpfn.gob.pe/gis_mp/web/index.php/indicador/delitos-penales</w:t>
        </w:r>
      </w:hyperlink>
      <w:r>
        <w:rPr>
          <w:rFonts w:ascii="Arial Narrow" w:eastAsia="Arial Narrow" w:hAnsi="Arial Narrow" w:cs="Arial Narrow"/>
          <w:color w:val="000000"/>
          <w:sz w:val="18"/>
          <w:szCs w:val="18"/>
        </w:rPr>
        <w:t xml:space="preserve"> (consulta 12/06/2024).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A485B"/>
    <w:multiLevelType w:val="multilevel"/>
    <w:tmpl w:val="31AE2D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6008CF"/>
    <w:multiLevelType w:val="hybridMultilevel"/>
    <w:tmpl w:val="3B5A78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E6F6D0E"/>
    <w:multiLevelType w:val="multilevel"/>
    <w:tmpl w:val="0C0EF6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6BF63CC"/>
    <w:multiLevelType w:val="multilevel"/>
    <w:tmpl w:val="B45847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892460E"/>
    <w:multiLevelType w:val="hybridMultilevel"/>
    <w:tmpl w:val="715433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1EC1253"/>
    <w:multiLevelType w:val="hybridMultilevel"/>
    <w:tmpl w:val="5748D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FA789A"/>
    <w:multiLevelType w:val="hybridMultilevel"/>
    <w:tmpl w:val="EDD495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94169EC"/>
    <w:multiLevelType w:val="hybridMultilevel"/>
    <w:tmpl w:val="9522E7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96A01A8"/>
    <w:multiLevelType w:val="multilevel"/>
    <w:tmpl w:val="7B3C11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B395D53"/>
    <w:multiLevelType w:val="hybridMultilevel"/>
    <w:tmpl w:val="035632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BCE2737"/>
    <w:multiLevelType w:val="hybridMultilevel"/>
    <w:tmpl w:val="4BB00F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BB66D8B"/>
    <w:multiLevelType w:val="hybridMultilevel"/>
    <w:tmpl w:val="807451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F55580B"/>
    <w:multiLevelType w:val="multilevel"/>
    <w:tmpl w:val="CC4C31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11D331D"/>
    <w:multiLevelType w:val="multilevel"/>
    <w:tmpl w:val="356CCA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127439D"/>
    <w:multiLevelType w:val="hybridMultilevel"/>
    <w:tmpl w:val="215E8C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9FE521A"/>
    <w:multiLevelType w:val="hybridMultilevel"/>
    <w:tmpl w:val="E2661A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D450AD9"/>
    <w:multiLevelType w:val="hybridMultilevel"/>
    <w:tmpl w:val="9DCE92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E1E0F85"/>
    <w:multiLevelType w:val="multilevel"/>
    <w:tmpl w:val="46C2F8D0"/>
    <w:lvl w:ilvl="0">
      <w:start w:val="7"/>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D8B591A"/>
    <w:multiLevelType w:val="multilevel"/>
    <w:tmpl w:val="0D9A4B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E75790E"/>
    <w:multiLevelType w:val="hybridMultilevel"/>
    <w:tmpl w:val="B128CE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0143589"/>
    <w:multiLevelType w:val="multilevel"/>
    <w:tmpl w:val="F426F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2B05086"/>
    <w:multiLevelType w:val="multilevel"/>
    <w:tmpl w:val="F3F46B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4FD05D2"/>
    <w:multiLevelType w:val="multilevel"/>
    <w:tmpl w:val="D940FB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63F4CB9"/>
    <w:multiLevelType w:val="multilevel"/>
    <w:tmpl w:val="1B90C8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7F14888"/>
    <w:multiLevelType w:val="hybridMultilevel"/>
    <w:tmpl w:val="87D46D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E557309"/>
    <w:multiLevelType w:val="multilevel"/>
    <w:tmpl w:val="C1BA8E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F6D7798"/>
    <w:multiLevelType w:val="hybridMultilevel"/>
    <w:tmpl w:val="9DF423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25D2BDD"/>
    <w:multiLevelType w:val="multilevel"/>
    <w:tmpl w:val="EDAA50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27718F2"/>
    <w:multiLevelType w:val="hybridMultilevel"/>
    <w:tmpl w:val="6B8A2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95C0CE2"/>
    <w:multiLevelType w:val="multilevel"/>
    <w:tmpl w:val="B4BAD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9A162B5"/>
    <w:multiLevelType w:val="multilevel"/>
    <w:tmpl w:val="0AA01C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F332B7C"/>
    <w:multiLevelType w:val="hybridMultilevel"/>
    <w:tmpl w:val="D07CBB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F4976DC"/>
    <w:multiLevelType w:val="multilevel"/>
    <w:tmpl w:val="5CEE78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1"/>
  </w:num>
  <w:num w:numId="2">
    <w:abstractNumId w:val="27"/>
  </w:num>
  <w:num w:numId="3">
    <w:abstractNumId w:val="2"/>
  </w:num>
  <w:num w:numId="4">
    <w:abstractNumId w:val="18"/>
  </w:num>
  <w:num w:numId="5">
    <w:abstractNumId w:val="30"/>
  </w:num>
  <w:num w:numId="6">
    <w:abstractNumId w:val="13"/>
  </w:num>
  <w:num w:numId="7">
    <w:abstractNumId w:val="12"/>
  </w:num>
  <w:num w:numId="8">
    <w:abstractNumId w:val="0"/>
  </w:num>
  <w:num w:numId="9">
    <w:abstractNumId w:val="20"/>
  </w:num>
  <w:num w:numId="10">
    <w:abstractNumId w:val="23"/>
  </w:num>
  <w:num w:numId="11">
    <w:abstractNumId w:val="25"/>
  </w:num>
  <w:num w:numId="12">
    <w:abstractNumId w:val="22"/>
  </w:num>
  <w:num w:numId="13">
    <w:abstractNumId w:val="3"/>
  </w:num>
  <w:num w:numId="14">
    <w:abstractNumId w:val="17"/>
  </w:num>
  <w:num w:numId="15">
    <w:abstractNumId w:val="32"/>
  </w:num>
  <w:num w:numId="16">
    <w:abstractNumId w:val="8"/>
  </w:num>
  <w:num w:numId="17">
    <w:abstractNumId w:val="29"/>
  </w:num>
  <w:num w:numId="18">
    <w:abstractNumId w:val="28"/>
  </w:num>
  <w:num w:numId="19">
    <w:abstractNumId w:val="11"/>
  </w:num>
  <w:num w:numId="20">
    <w:abstractNumId w:val="6"/>
  </w:num>
  <w:num w:numId="21">
    <w:abstractNumId w:val="1"/>
  </w:num>
  <w:num w:numId="22">
    <w:abstractNumId w:val="31"/>
  </w:num>
  <w:num w:numId="23">
    <w:abstractNumId w:val="9"/>
  </w:num>
  <w:num w:numId="24">
    <w:abstractNumId w:val="16"/>
  </w:num>
  <w:num w:numId="25">
    <w:abstractNumId w:val="15"/>
  </w:num>
  <w:num w:numId="26">
    <w:abstractNumId w:val="26"/>
  </w:num>
  <w:num w:numId="27">
    <w:abstractNumId w:val="19"/>
  </w:num>
  <w:num w:numId="28">
    <w:abstractNumId w:val="4"/>
  </w:num>
  <w:num w:numId="29">
    <w:abstractNumId w:val="24"/>
  </w:num>
  <w:num w:numId="30">
    <w:abstractNumId w:val="7"/>
  </w:num>
  <w:num w:numId="31">
    <w:abstractNumId w:val="10"/>
  </w:num>
  <w:num w:numId="32">
    <w:abstractNumId w:val="14"/>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9B3"/>
    <w:rsid w:val="00182D7B"/>
    <w:rsid w:val="00186EC5"/>
    <w:rsid w:val="0019735E"/>
    <w:rsid w:val="001A6A26"/>
    <w:rsid w:val="00420E49"/>
    <w:rsid w:val="00436450"/>
    <w:rsid w:val="00437380"/>
    <w:rsid w:val="006229AE"/>
    <w:rsid w:val="00637001"/>
    <w:rsid w:val="00826C19"/>
    <w:rsid w:val="0093015A"/>
    <w:rsid w:val="00AB49B3"/>
    <w:rsid w:val="00BD1D3E"/>
    <w:rsid w:val="00CB7DC2"/>
    <w:rsid w:val="00EA2D9A"/>
    <w:rsid w:val="00EF4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F462D"/>
  <w15:docId w15:val="{2EC10AF6-E0C6-48FB-9A0C-0B10F38F0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1DB0"/>
  </w:style>
  <w:style w:type="paragraph" w:styleId="Ttulo1">
    <w:name w:val="heading 1"/>
    <w:basedOn w:val="Normal"/>
    <w:link w:val="Ttulo1Car"/>
    <w:uiPriority w:val="9"/>
    <w:qFormat/>
    <w:rsid w:val="00391DB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PE"/>
    </w:rPr>
  </w:style>
  <w:style w:type="paragraph" w:styleId="Ttulo2">
    <w:name w:val="heading 2"/>
    <w:basedOn w:val="Normal"/>
    <w:next w:val="Normal"/>
    <w:link w:val="Ttulo2Car"/>
    <w:uiPriority w:val="9"/>
    <w:unhideWhenUsed/>
    <w:qFormat/>
    <w:rsid w:val="00391D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391D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basedOn w:val="Fuentedeprrafopredeter"/>
    <w:link w:val="Ttulo1"/>
    <w:uiPriority w:val="9"/>
    <w:rsid w:val="00391DB0"/>
    <w:rPr>
      <w:rFonts w:ascii="Times New Roman" w:eastAsia="Times New Roman" w:hAnsi="Times New Roman" w:cs="Times New Roman"/>
      <w:b/>
      <w:bCs/>
      <w:kern w:val="36"/>
      <w:sz w:val="48"/>
      <w:szCs w:val="48"/>
      <w:lang w:val="es-PE" w:eastAsia="es-PE"/>
    </w:rPr>
  </w:style>
  <w:style w:type="character" w:customStyle="1" w:styleId="Ttulo2Car">
    <w:name w:val="Título 2 Car"/>
    <w:basedOn w:val="Fuentedeprrafopredeter"/>
    <w:link w:val="Ttulo2"/>
    <w:uiPriority w:val="9"/>
    <w:rsid w:val="00391DB0"/>
    <w:rPr>
      <w:rFonts w:asciiTheme="majorHAnsi" w:eastAsiaTheme="majorEastAsia" w:hAnsiTheme="majorHAnsi" w:cstheme="majorBidi"/>
      <w:color w:val="2E74B5" w:themeColor="accent1" w:themeShade="BF"/>
      <w:sz w:val="26"/>
      <w:szCs w:val="26"/>
      <w:lang w:val="es-PE"/>
    </w:rPr>
  </w:style>
  <w:style w:type="character" w:customStyle="1" w:styleId="Ttulo3Car">
    <w:name w:val="Título 3 Car"/>
    <w:basedOn w:val="Fuentedeprrafopredeter"/>
    <w:link w:val="Ttulo3"/>
    <w:uiPriority w:val="9"/>
    <w:rsid w:val="00391DB0"/>
    <w:rPr>
      <w:rFonts w:asciiTheme="majorHAnsi" w:eastAsiaTheme="majorEastAsia" w:hAnsiTheme="majorHAnsi" w:cstheme="majorBidi"/>
      <w:color w:val="1F4D78" w:themeColor="accent1" w:themeShade="7F"/>
      <w:sz w:val="24"/>
      <w:szCs w:val="24"/>
      <w:lang w:val="es-PE"/>
    </w:rPr>
  </w:style>
  <w:style w:type="table" w:styleId="Tablaconcuadrcula">
    <w:name w:val="Table Grid"/>
    <w:basedOn w:val="Tablanormal"/>
    <w:uiPriority w:val="39"/>
    <w:rsid w:val="00391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391DB0"/>
    <w:pPr>
      <w:spacing w:after="0" w:line="240" w:lineRule="auto"/>
    </w:pPr>
    <w:rPr>
      <w:kern w:val="2"/>
      <w:sz w:val="20"/>
      <w:szCs w:val="20"/>
    </w:rPr>
  </w:style>
  <w:style w:type="character" w:customStyle="1" w:styleId="TextonotapieCar">
    <w:name w:val="Texto nota pie Car"/>
    <w:basedOn w:val="Fuentedeprrafopredeter"/>
    <w:link w:val="Textonotapie"/>
    <w:uiPriority w:val="99"/>
    <w:semiHidden/>
    <w:rsid w:val="00391DB0"/>
    <w:rPr>
      <w:kern w:val="2"/>
      <w:sz w:val="20"/>
      <w:szCs w:val="20"/>
      <w:lang w:val="es-PE"/>
    </w:rPr>
  </w:style>
  <w:style w:type="character" w:styleId="Refdenotaalpie">
    <w:name w:val="footnote reference"/>
    <w:basedOn w:val="Fuentedeprrafopredeter"/>
    <w:uiPriority w:val="99"/>
    <w:semiHidden/>
    <w:unhideWhenUsed/>
    <w:rsid w:val="00391DB0"/>
    <w:rPr>
      <w:vertAlign w:val="superscript"/>
    </w:rPr>
  </w:style>
  <w:style w:type="paragraph" w:styleId="Prrafodelista">
    <w:name w:val="List Paragraph"/>
    <w:basedOn w:val="Normal"/>
    <w:uiPriority w:val="34"/>
    <w:qFormat/>
    <w:rsid w:val="00391DB0"/>
    <w:pPr>
      <w:ind w:left="720"/>
      <w:contextualSpacing/>
    </w:pPr>
    <w:rPr>
      <w:lang w:val="es-ES"/>
    </w:rPr>
  </w:style>
  <w:style w:type="character" w:styleId="Hipervnculo">
    <w:name w:val="Hyperlink"/>
    <w:basedOn w:val="Fuentedeprrafopredeter"/>
    <w:uiPriority w:val="99"/>
    <w:unhideWhenUsed/>
    <w:rsid w:val="00391DB0"/>
    <w:rPr>
      <w:color w:val="0563C1" w:themeColor="hyperlink"/>
      <w:u w:val="single"/>
    </w:rPr>
  </w:style>
  <w:style w:type="character" w:customStyle="1" w:styleId="ellipsis">
    <w:name w:val="ellipsis"/>
    <w:basedOn w:val="Fuentedeprrafopredeter"/>
    <w:rsid w:val="00391DB0"/>
  </w:style>
  <w:style w:type="character" w:styleId="nfasis">
    <w:name w:val="Emphasis"/>
    <w:basedOn w:val="Fuentedeprrafopredeter"/>
    <w:uiPriority w:val="20"/>
    <w:qFormat/>
    <w:rsid w:val="00391DB0"/>
    <w:rPr>
      <w:i/>
      <w:iCs/>
    </w:rPr>
  </w:style>
  <w:style w:type="paragraph" w:styleId="Textodeglobo">
    <w:name w:val="Balloon Text"/>
    <w:basedOn w:val="Normal"/>
    <w:link w:val="TextodegloboCar"/>
    <w:uiPriority w:val="99"/>
    <w:semiHidden/>
    <w:unhideWhenUsed/>
    <w:rsid w:val="00391DB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91DB0"/>
    <w:rPr>
      <w:rFonts w:ascii="Segoe UI" w:hAnsi="Segoe UI" w:cs="Segoe UI"/>
      <w:sz w:val="18"/>
      <w:szCs w:val="18"/>
      <w:lang w:val="es-PE"/>
    </w:rPr>
  </w:style>
  <w:style w:type="character" w:styleId="Refdecomentario">
    <w:name w:val="annotation reference"/>
    <w:basedOn w:val="Fuentedeprrafopredeter"/>
    <w:uiPriority w:val="99"/>
    <w:semiHidden/>
    <w:unhideWhenUsed/>
    <w:rsid w:val="00391DB0"/>
    <w:rPr>
      <w:sz w:val="16"/>
      <w:szCs w:val="16"/>
    </w:rPr>
  </w:style>
  <w:style w:type="paragraph" w:styleId="Textocomentario">
    <w:name w:val="annotation text"/>
    <w:basedOn w:val="Normal"/>
    <w:link w:val="TextocomentarioCar"/>
    <w:uiPriority w:val="99"/>
    <w:semiHidden/>
    <w:unhideWhenUsed/>
    <w:rsid w:val="00391DB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91DB0"/>
    <w:rPr>
      <w:sz w:val="20"/>
      <w:szCs w:val="20"/>
      <w:lang w:val="es-PE"/>
    </w:rPr>
  </w:style>
  <w:style w:type="paragraph" w:styleId="Asuntodelcomentario">
    <w:name w:val="annotation subject"/>
    <w:basedOn w:val="Textocomentario"/>
    <w:next w:val="Textocomentario"/>
    <w:link w:val="AsuntodelcomentarioCar"/>
    <w:uiPriority w:val="99"/>
    <w:semiHidden/>
    <w:unhideWhenUsed/>
    <w:rsid w:val="00391DB0"/>
    <w:rPr>
      <w:b/>
      <w:bCs/>
    </w:rPr>
  </w:style>
  <w:style w:type="character" w:customStyle="1" w:styleId="AsuntodelcomentarioCar">
    <w:name w:val="Asunto del comentario Car"/>
    <w:basedOn w:val="TextocomentarioCar"/>
    <w:link w:val="Asuntodelcomentario"/>
    <w:uiPriority w:val="99"/>
    <w:semiHidden/>
    <w:rsid w:val="00391DB0"/>
    <w:rPr>
      <w:b/>
      <w:bCs/>
      <w:sz w:val="20"/>
      <w:szCs w:val="20"/>
      <w:lang w:val="es-PE"/>
    </w:rPr>
  </w:style>
  <w:style w:type="paragraph" w:customStyle="1" w:styleId="Pa20">
    <w:name w:val="Pa20"/>
    <w:basedOn w:val="Normal"/>
    <w:next w:val="Normal"/>
    <w:uiPriority w:val="99"/>
    <w:rsid w:val="00391DB0"/>
    <w:pPr>
      <w:autoSpaceDE w:val="0"/>
      <w:autoSpaceDN w:val="0"/>
      <w:adjustRightInd w:val="0"/>
      <w:spacing w:after="0" w:line="221" w:lineRule="atLeast"/>
    </w:pPr>
    <w:rPr>
      <w:rFonts w:ascii="Minion Pro" w:hAnsi="Minion Pro"/>
      <w:sz w:val="24"/>
      <w:szCs w:val="24"/>
      <w:lang w:val="en-US"/>
    </w:rPr>
  </w:style>
  <w:style w:type="paragraph" w:styleId="NormalWeb">
    <w:name w:val="Normal (Web)"/>
    <w:basedOn w:val="Normal"/>
    <w:uiPriority w:val="99"/>
    <w:semiHidden/>
    <w:unhideWhenUsed/>
    <w:rsid w:val="00391DB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Textoennegrita">
    <w:name w:val="Strong"/>
    <w:basedOn w:val="Fuentedeprrafopredeter"/>
    <w:uiPriority w:val="22"/>
    <w:qFormat/>
    <w:rsid w:val="00391DB0"/>
    <w:rPr>
      <w:b/>
      <w:bCs/>
    </w:rPr>
  </w:style>
  <w:style w:type="paragraph" w:styleId="Encabezado">
    <w:name w:val="header"/>
    <w:basedOn w:val="Normal"/>
    <w:link w:val="EncabezadoCar"/>
    <w:uiPriority w:val="99"/>
    <w:unhideWhenUsed/>
    <w:rsid w:val="00391DB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91DB0"/>
    <w:rPr>
      <w:lang w:val="es-PE"/>
    </w:rPr>
  </w:style>
  <w:style w:type="paragraph" w:styleId="Piedepgina">
    <w:name w:val="footer"/>
    <w:basedOn w:val="Normal"/>
    <w:link w:val="PiedepginaCar"/>
    <w:uiPriority w:val="99"/>
    <w:unhideWhenUsed/>
    <w:rsid w:val="00391DB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91DB0"/>
    <w:rPr>
      <w:lang w:val="es-PE"/>
    </w:rPr>
  </w:style>
  <w:style w:type="paragraph" w:styleId="TtuloTDC">
    <w:name w:val="TOC Heading"/>
    <w:basedOn w:val="Ttulo1"/>
    <w:next w:val="Normal"/>
    <w:uiPriority w:val="39"/>
    <w:unhideWhenUsed/>
    <w:qFormat/>
    <w:rsid w:val="00391DB0"/>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DC2">
    <w:name w:val="toc 2"/>
    <w:basedOn w:val="Normal"/>
    <w:next w:val="Normal"/>
    <w:autoRedefine/>
    <w:uiPriority w:val="39"/>
    <w:unhideWhenUsed/>
    <w:rsid w:val="00391DB0"/>
    <w:pPr>
      <w:spacing w:after="100"/>
      <w:ind w:left="220"/>
    </w:pPr>
  </w:style>
  <w:style w:type="paragraph" w:styleId="TDC3">
    <w:name w:val="toc 3"/>
    <w:basedOn w:val="Normal"/>
    <w:next w:val="Normal"/>
    <w:autoRedefine/>
    <w:uiPriority w:val="39"/>
    <w:unhideWhenUsed/>
    <w:rsid w:val="00391DB0"/>
    <w:pPr>
      <w:spacing w:after="100"/>
      <w:ind w:left="440"/>
    </w:pPr>
  </w:style>
  <w:style w:type="paragraph" w:styleId="TDC1">
    <w:name w:val="toc 1"/>
    <w:basedOn w:val="Normal"/>
    <w:next w:val="Normal"/>
    <w:autoRedefine/>
    <w:uiPriority w:val="39"/>
    <w:unhideWhenUsed/>
    <w:rsid w:val="00391DB0"/>
    <w:pPr>
      <w:spacing w:after="100"/>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pPr>
      <w:spacing w:after="0" w:line="240" w:lineRule="auto"/>
    </w:pPr>
    <w:tblPr>
      <w:tblStyleRowBandSize w:val="1"/>
      <w:tblStyleColBandSize w:val="1"/>
      <w:tblCellMar>
        <w:top w:w="0" w:type="dxa"/>
        <w:left w:w="108" w:type="dxa"/>
        <w:bottom w:w="0" w:type="dxa"/>
        <w:right w:w="108" w:type="dxa"/>
      </w:tblCellMar>
    </w:tblPr>
  </w:style>
  <w:style w:type="paragraph" w:styleId="Sinespaciado">
    <w:name w:val="No Spacing"/>
    <w:uiPriority w:val="1"/>
    <w:qFormat/>
    <w:rsid w:val="004373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gob.pe/institucion/mimp/informes-publicaciones/4953974-xvi-informe-de-avances-en-el-cumplimiento-de-la-ley-de-igualdad-de-oportunidades-entre-mujeres-y-hombres-periodo-2022" TargetMode="External"/><Relationship Id="rId18" Type="http://schemas.openxmlformats.org/officeDocument/2006/relationships/hyperlink" Target="https://m.inei.gob.pe/estadisticas/indice-tematico/brechas-de-genero-7913/" TargetMode="External"/><Relationship Id="rId26" Type="http://schemas.openxmlformats.org/officeDocument/2006/relationships/hyperlink" Target="https://www.servindi.org/actualidad-noticias/07/07/2022/impunidad-en-condorcanqui-queman-600-denuncias-de-abuso-sexual" TargetMode="External"/><Relationship Id="rId39" Type="http://schemas.openxmlformats.org/officeDocument/2006/relationships/hyperlink" Target="https://cdn.www.gob.pe/uploads/document/file/5866289/5198071-boletin-observatorio-nacional-edicion-1-junio-2023.pdf?v=1708032043" TargetMode="External"/><Relationship Id="rId21" Type="http://schemas.openxmlformats.org/officeDocument/2006/relationships/hyperlink" Target="https://www.defensoria.gob.pe/defensoria-del-pueblo-al-cierre-de-mayo-cifra-de-mujeres-desaparecidas-supera-a-la-reportada-en-igual-periodo-de-2023/" TargetMode="External"/><Relationship Id="rId34" Type="http://schemas.openxmlformats.org/officeDocument/2006/relationships/hyperlink" Target="https://www.infobae.com/peru/2024/06/12/amazonas-incendio-elimino-expedientes-de-agresiones-sexuales-de-profesores-a-ninos-algunos-afectados-de-vih/" TargetMode="External"/><Relationship Id="rId42" Type="http://schemas.openxmlformats.org/officeDocument/2006/relationships/hyperlink" Target="https://wb2server.congreso.gob.pe/spley-portal/" TargetMode="External"/><Relationship Id="rId47" Type="http://schemas.openxmlformats.org/officeDocument/2006/relationships/hyperlink" Target="https://www.infobae.com/peru/2023/10/06/poder-judicial-autoriza-que-nina-de-10-anos-con-embarazo-de-20-semanas-acceda-al-aborto-terapeutico-en-cusco/" TargetMode="External"/><Relationship Id="rId50" Type="http://schemas.openxmlformats.org/officeDocument/2006/relationships/hyperlink" Target="https://www.tvperu.gob.pe/noticias/nacionales/pj-ordena-busqueda-y-captura-de-psicologo-acusado-de-abuso-sexual-contra-adolescente-en-ucayali" TargetMode="External"/><Relationship Id="rId55" Type="http://schemas.openxmlformats.org/officeDocument/2006/relationships/hyperlink" Target="https://repositorio.minedu.gob.pe/handle/20.500.12799/7881" TargetMode="External"/><Relationship Id="rId7" Type="http://schemas.openxmlformats.org/officeDocument/2006/relationships/hyperlink" Target="https://wb2server.congreso.gob.pe/spley-portal/" TargetMode="External"/><Relationship Id="rId12" Type="http://schemas.openxmlformats.org/officeDocument/2006/relationships/hyperlink" Target="https://www.mesadeconcertacion.org.pe/storage/documentos/2024-01-22/primer-reporte-seguimiento-agenda-nna.pdf" TargetMode="External"/><Relationship Id="rId17" Type="http://schemas.openxmlformats.org/officeDocument/2006/relationships/hyperlink" Target="https://portalestadistico.aurora.gob.pe/" TargetMode="External"/><Relationship Id="rId25" Type="http://schemas.openxmlformats.org/officeDocument/2006/relationships/hyperlink" Target="https://www.infobae.com/peru/2024/06/09/medio-millar-de-profesores-abusaron-sexualmente-de-ninos-en-amazonas-y-reportan-contagios-de-vih/?outputType=amp-type" TargetMode="External"/><Relationship Id="rId33" Type="http://schemas.openxmlformats.org/officeDocument/2006/relationships/hyperlink" Target="https://www.infobae.com/peru/2024/06/11/comision-del-minedu-investigara-presuntos-casos-de-violencia-sexual-contra-escolares-awajun-por-parte-de-docentes-en-amazonas/" TargetMode="External"/><Relationship Id="rId38" Type="http://schemas.openxmlformats.org/officeDocument/2006/relationships/hyperlink" Target="https://www.concortv.gob.pe/snrtv-sanciona-a-america-por-difundir-imagen-de-ninas-en-ropa-interior-durante-el-programa-emprendedor-ponte-las-pilas/" TargetMode="External"/><Relationship Id="rId46" Type="http://schemas.openxmlformats.org/officeDocument/2006/relationships/hyperlink" Target="https://www.infobae.com/peru/2023/10/05/cusco-piden-con-urgencia-aborto-terapeutico-para-nina-de-10-anos-con-20-semanas-de-embarazo/" TargetMode="External"/><Relationship Id="rId2" Type="http://schemas.openxmlformats.org/officeDocument/2006/relationships/hyperlink" Target="https://www.flora.org.pe/" TargetMode="External"/><Relationship Id="rId16" Type="http://schemas.openxmlformats.org/officeDocument/2006/relationships/hyperlink" Target="https://www.mesadeconcertacion.org.pe/storage/documentos/2024-01-22/primer-reporte-seguimiento-agenda-nna.pdf" TargetMode="External"/><Relationship Id="rId20" Type="http://schemas.openxmlformats.org/officeDocument/2006/relationships/hyperlink" Target="https://www.defensoria.gob.pe/wp-content/uploads/2024/06/Reporte-Igualdad-y-No-Violencia-52.pdf" TargetMode="External"/><Relationship Id="rId29" Type="http://schemas.openxmlformats.org/officeDocument/2006/relationships/hyperlink" Target="https://www2.congreso.gob.pe/sicr/tradocestproc/Expvirt_2011.nsf/b8a7d82f30bfaf7305256f260056634d/460089736bc0b50b052583590072b442?OpenDocument" TargetMode="External"/><Relationship Id="rId41" Type="http://schemas.openxmlformats.org/officeDocument/2006/relationships/hyperlink" Target="https://bvs.minsa.gob.pe/local/MINSA/5191.pdf" TargetMode="External"/><Relationship Id="rId54" Type="http://schemas.openxmlformats.org/officeDocument/2006/relationships/hyperlink" Target="https://wb2server.congreso.gob.pe/spley-portal-service/archivo/MTc2NTEz/pdf" TargetMode="External"/><Relationship Id="rId1" Type="http://schemas.openxmlformats.org/officeDocument/2006/relationships/hyperlink" Target="https://www.facebook.com/p/Articulaci%C3%B3n-de-Lesbianas-Feministas-de-Lima-100064601953339/" TargetMode="External"/><Relationship Id="rId6" Type="http://schemas.openxmlformats.org/officeDocument/2006/relationships/hyperlink" Target="https://wb2server.congreso.gob.pe/spley-portal/" TargetMode="External"/><Relationship Id="rId11" Type="http://schemas.openxmlformats.org/officeDocument/2006/relationships/hyperlink" Target="https://www.unicef.org/peru/quitemonoslavenda" TargetMode="External"/><Relationship Id="rId24" Type="http://schemas.openxmlformats.org/officeDocument/2006/relationships/hyperlink" Target="https://apps8.contraloria.gob.pe/SPIC/srvDownload/ViewPDF?CRES_CODIGO=2024CPO097900001&amp;TIPOARCHIVO=ADJUNTO" TargetMode="External"/><Relationship Id="rId32" Type="http://schemas.openxmlformats.org/officeDocument/2006/relationships/hyperlink" Target="https://rpp.pe/politica/gobierno/ministra-de-la-mujer-califico-de-practicas-culturales-que-debemos-desterrar-agresiones-sexuales-contra-ninas-awajun-noticia-1562369" TargetMode="External"/><Relationship Id="rId37" Type="http://schemas.openxmlformats.org/officeDocument/2006/relationships/hyperlink" Target="https://www.unicef.org/peru/quitemonoslavenda" TargetMode="External"/><Relationship Id="rId40" Type="http://schemas.openxmlformats.org/officeDocument/2006/relationships/hyperlink" Target="https://cdn.www.gob.pe/uploads/document/file/5866289/5198071-boletin-observatorio-nacional-edicion-1-junio-2023.pdf?v=1708032043" TargetMode="External"/><Relationship Id="rId45" Type="http://schemas.openxmlformats.org/officeDocument/2006/relationships/hyperlink" Target="https://www.dw.com/es/per%C3%BA-permite-el-aborto-terap%C3%A9utico-a-ni%C3%B1a-de-11-a%C3%B1os/a-66519051" TargetMode="External"/><Relationship Id="rId53" Type="http://schemas.openxmlformats.org/officeDocument/2006/relationships/hyperlink" Target="https://m.inei.gob.pe/estadisticas/indice-tematico/brechas-de-genero-7913/" TargetMode="External"/><Relationship Id="rId5" Type="http://schemas.openxmlformats.org/officeDocument/2006/relationships/hyperlink" Target="https://www.manuela.org.pe/" TargetMode="External"/><Relationship Id="rId15" Type="http://schemas.openxmlformats.org/officeDocument/2006/relationships/hyperlink" Target="https://portalestadistico.aurora.gob.pe/formas-de-la-violencia-2023/" TargetMode="External"/><Relationship Id="rId23" Type="http://schemas.openxmlformats.org/officeDocument/2006/relationships/hyperlink" Target="https://www.defensoria.gob.pe/defensoria-del-pueblo-exhorta-al-ejecutivo-a-implementar-trabajo-conjunto-contra-la-desercion-y-la-anemia-escolar/" TargetMode="External"/><Relationship Id="rId28" Type="http://schemas.openxmlformats.org/officeDocument/2006/relationships/hyperlink" Target="https://www.leyes.congreso.gob.pe/Documentos/2016_2021/Informes/Comisiones_Investigadoras/OFICIO-935-2019-CIM-CR.pdf" TargetMode="External"/><Relationship Id="rId36" Type="http://schemas.openxmlformats.org/officeDocument/2006/relationships/hyperlink" Target="https://www.unicef.org/peru/quitemonoslavenda" TargetMode="External"/><Relationship Id="rId49" Type="http://schemas.openxmlformats.org/officeDocument/2006/relationships/hyperlink" Target="https://www.infobae.com/peru/2023/10/07/realizan-aborto-terapeutico-a-nina-de-10-anos-con-embarazo-de-20-semanas-producto-de-abuso-sexual-en-el-cusco/" TargetMode="External"/><Relationship Id="rId10" Type="http://schemas.openxmlformats.org/officeDocument/2006/relationships/hyperlink" Target="https://www.gob.pe/479-servicios-para-atender-casos-de-violencia-contra-las-mujeres-e-integrantes-del-grupo-familiar" TargetMode="External"/><Relationship Id="rId19" Type="http://schemas.openxmlformats.org/officeDocument/2006/relationships/hyperlink" Target="https://www.mimp.gob.pe/omep/estadisticas-atencion-a-la-violencia.php" TargetMode="External"/><Relationship Id="rId31" Type="http://schemas.openxmlformats.org/officeDocument/2006/relationships/hyperlink" Target="https://elcomercio.pe/peru/practica-cultural-o-delito-lo-que-esta-detras-de-que-los-ministros-minimicen-las-violaciones-a-ninas-awajun-minedu-morgan-quero-noticia/" TargetMode="External"/><Relationship Id="rId44" Type="http://schemas.openxmlformats.org/officeDocument/2006/relationships/hyperlink" Target="https://www.unicef.org/peru/comunicados-prensa/pronunciamiento-caso-mila-violencia" TargetMode="External"/><Relationship Id="rId52" Type="http://schemas.openxmlformats.org/officeDocument/2006/relationships/hyperlink" Target="https://www.tvperu.gob.pe/noticias/nacionales/ucayali-dictan-9-meses-de-prision-preventiva-para-excoordinador-de-aldea-de-inabif" TargetMode="External"/><Relationship Id="rId4" Type="http://schemas.openxmlformats.org/officeDocument/2006/relationships/hyperlink" Target="https://www.demus.org.pe/" TargetMode="External"/><Relationship Id="rId9" Type="http://schemas.openxmlformats.org/officeDocument/2006/relationships/hyperlink" Target="https://www.policia.gob.pe/estadisticopnp/documentos/anuario-2022/anuario-estadistico-policial-2022.pdf" TargetMode="External"/><Relationship Id="rId14" Type="http://schemas.openxmlformats.org/officeDocument/2006/relationships/hyperlink" Target="https://cfe.mpfn.gob.pe/gis_mp/web/index.php/indicador/delitos-penales" TargetMode="External"/><Relationship Id="rId22" Type="http://schemas.openxmlformats.org/officeDocument/2006/relationships/hyperlink" Target="https://www.defensoria.gob.pe/defensoria-del-pueblo-exhorta-al-ejecutivo-a-implementar-trabajo-conjunto-contra-la-desercion-y-la-anemia-escolar/" TargetMode="External"/><Relationship Id="rId27" Type="http://schemas.openxmlformats.org/officeDocument/2006/relationships/hyperlink" Target="https://www.gob.pe/institucion/minedu/noticias/970367-comunicado-n-006-2024-minedu" TargetMode="External"/><Relationship Id="rId30" Type="http://schemas.openxmlformats.org/officeDocument/2006/relationships/hyperlink" Target="https://www.defensoria.gob.pe/actividades/supervisamos-atencion-de-la-violencia-sexual-que-afecta-a-pueblos-indigenas-en-la-sede-fiscal-de-condorcanqui-amazonas/" TargetMode="External"/><Relationship Id="rId35" Type="http://schemas.openxmlformats.org/officeDocument/2006/relationships/hyperlink" Target="https://portalestadistico.aurora.gob.pe/tipos-de-poblacion-2023/" TargetMode="External"/><Relationship Id="rId43" Type="http://schemas.openxmlformats.org/officeDocument/2006/relationships/hyperlink" Target="https://www.ohchr.org/es/press-releases/2023/06/peru-violated-child-rape-victims-rights-failing-guarantee-access-abortion" TargetMode="External"/><Relationship Id="rId48" Type="http://schemas.openxmlformats.org/officeDocument/2006/relationships/hyperlink" Target="https://www.infobae.com/peru/2023/10/12/cusco-junta-medica-aprueba-aborto-terapeutico-para-nina-de-12-anos-victima-de-violacion/" TargetMode="External"/><Relationship Id="rId56" Type="http://schemas.openxmlformats.org/officeDocument/2006/relationships/hyperlink" Target="https://cfe.mpfn.gob.pe/gis_mp/web/index.php/indicador/delitos-penales" TargetMode="External"/><Relationship Id="rId8" Type="http://schemas.openxmlformats.org/officeDocument/2006/relationships/hyperlink" Target="https://wb2server.congreso.gob.pe/spley-portal/" TargetMode="External"/><Relationship Id="rId51" Type="http://schemas.openxmlformats.org/officeDocument/2006/relationships/hyperlink" Target="https://www.infobae.com/peru/2023/10/28/psicologo-del-mimp-denunciado-por-violacion-ahora-profugo-fue-contratado-con-posible-certificado-falso/" TargetMode="External"/><Relationship Id="rId3" Type="http://schemas.openxmlformats.org/officeDocument/2006/relationships/hyperlink" Target="https://cladem.org/nosotras-donde-estamos/per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1E7xmz3j1fHmeu0lnOkYlKIsqQ==">CgMxLjAaJwoBMBIiCiAIBCocCgtBQUFCU1UyZVZsaxAIGgtBQUFCU1UyZVZsaxonCgExEiIKIAgEKhwKC0FBQUJTVTJlVmxnEAgaC0FBQUJTVTJlVmxnIrcMCgtBQUFCU1UyZVZsaxKNDAoLQUFBQlNVMmVWbGsSC0FBQUJTVTJlVmxrGssDCgl0ZXh0L2h0bWwSvQNVbmEgcG9ydGFkYS48YnI+VW4gw61uZGljZSBiYXNhZG8gZW4gbGFzIGRpcmVjdHJpY2VzIG9maWNpYWxlcyBwYXJhIGxhIHByZXNlbnRhY2nDs24gZGUgaW5mb3JtZXMgZGUgbG9zIEVzdGFkb3MgKGdydXBvcyBkZSBkZXJlY2hvcywgdsOpYXNlIGVsIHJlY3VhZHJvIGluZm9ybWF0aXZvKS48YnI+TGEgbGlzdGEgZGUgYXV0b3JlcyB5IGNvbGFib3JhZG9yZXMuPGJyPlVuYSBub3RhIGV4cGxpY2F0aXZhIHNvYnJlIGxhIG1ldG9kb2xvZ8OtYSBzZWd1aWRhIHBhcmEgbGEgcmVkYWNjacOzbiBkZWwgaW5mb3JtZS48YnI+VW4gcmVzdW1lbiBkZSBzdXMgcmVjb21lbmRhY2lvbmVzIGNsYXZlIGFsIGZpbmFsIGRlIGNhZGEgZ3J1cG8uPGJyPkxhIG1hcmNhIGRlIGFndWEgJnF1b3Q7Q09ORklERU5USUFMJnF1b3Q7LCBzaSBlcyBuZWNlc2FyaW8uPGJyPk7Dum1lcm9zIGRlIHDDoWdpbmEuIrADCgp0ZXh0L3BsYWluEqEDVW5hIHBvcnRhZGEuClVuIMOtbmRpY2UgYmFzYWRvIGVuIGxhcyBkaXJlY3RyaWNlcyBvZmljaWFsZXMgcGFyYSBsYSBwcmVzZW50YWNpw7NuIGRlIGluZm9ybWVzIGRlIGxvcyBFc3RhZG9zIChncnVwb3MgZGUgZGVyZWNob3MsIHbDqWFzZSBlbCByZWN1YWRybyBpbmZvcm1hdGl2bykuCkxhIGxpc3RhIGRlIGF1dG9yZXMgeSBjb2xhYm9yYWRvcmVzLgpVbmEgbm90YSBleHBsaWNhdGl2YSBzb2JyZSBsYSBtZXRvZG9sb2fDrWEgc2VndWlkYSBwYXJhIGxhIHJlZGFjY2nDs24gZGVsIGluZm9ybWUuClVuIHJlc3VtZW4gZGUgc3VzIHJlY29tZW5kYWNpb25lcyBjbGF2ZSBhbCBmaW5hbCBkZSBjYWRhIGdydXBvLgpMYSBtYXJjYSBkZSBhZ3VhICJDT05GSURFTlRJQUwiLCBzaSBlcyBuZWNlc2FyaW8uCk7Dum1lcm9zIGRlIHDDoWdpbmEuKkMKCkRFUkVDSE9fRlQaNS8vc3NsLmdzdGF0aWMuY29tL2RvY3MvY29tbW9uL2JsdWVfc2lsaG91ZXR0ZTk2LTAucG5nMODki8mOMjjg5IvJjjJyRQoKREVSRUNIT19GVBo3CjUvL3NzbC5nc3RhdGljLmNvbS9kb2NzL2NvbW1vbi9ibHVlX3NpbGhvdWV0dGU5Ni0wLnBuZ3gAiAEBmgEGCAAQABgAqgHAAxK9A1VuYSBwb3J0YWRhLjxicj5VbiDDrW5kaWNlIGJhc2FkbyBlbiBsYXMgZGlyZWN0cmljZXMgb2ZpY2lhbGVzIHBhcmEgbGEgcHJlc2VudGFjacOzbiBkZSBpbmZvcm1lcyBkZSBsb3MgRXN0YWRvcyAoZ3J1cG9zIGRlIGRlcmVjaG9zLCB2w6lhc2UgZWwgcmVjdWFkcm8gaW5mb3JtYXRpdm8pLjxicj5MYSBsaXN0YSBkZSBhdXRvcmVzIHkgY29sYWJvcmFkb3Jlcy48YnI+VW5hIG5vdGEgZXhwbGljYXRpdmEgc29icmUgbGEgbWV0b2RvbG9nw61hIHNlZ3VpZGEgcGFyYSBsYSByZWRhY2Npw7NuIGRlbCBpbmZvcm1lLjxicj5VbiByZXN1bWVuIGRlIHN1cyByZWNvbWVuZGFjaW9uZXMgY2xhdmUgYWwgZmluYWwgZGUgY2FkYSBncnVwby48YnI+TGEgbWFyY2EgZGUgYWd1YSAmcXVvdDtDT05GSURFTlRJQUwmcXVvdDssIHNpIGVzIG5lY2VzYXJpby48YnI+TsO6bWVyb3MgZGUgcMOhZ2luYS6wAQC4AQEY4OSLyY4yIODki8mOMjAAQghraXguY210MCKICQoLQUFBQlNVMmVWbGcS3ggKC0FBQUJTVTJlVmxnEgtBQUFCU1UyZVZsZxqzAgoJdGV4dC9odG1sEqUCSW50cm9kdWNjacOzbiA8YnI+TGEgaW50cm9kdWNjacOzbiBkZWJlIHNlciBicmV2ZSBlIGluY2x1aXIgaW5mb3JtYWNpw7NuIHNvYnJlIGxhIG1ldG9kb2xvZ8OtYSBlbXBsZWFkYSB5IHVuYSBsaXN0YSBkZSBsYXMgT05HIHF1ZSBwYXJ0aWNpcGFyb24gbyBjb2xhYm9yYXJvbiBlbiBlbCBpbmZvcm1lLiBQdWVkZSBwcmVzZW50YXIgdW4gcGFub3JhbWEgZ2VuZXJhbCBkZWwgRXN0YWRvLCBlbiBwYXJ0aWN1bGFyIHNpIGluY2lkZSBlbiBsYSBhcGxpY2FjacOzbiBkZSBsb3MgcHJvdG9jb2xvcyBmYWN1bHRhdGl2b3MisQIKCnRleHQvcGxhaW4SogJJbnRyb2R1Y2Npw7NuIApMYSBpbnRyb2R1Y2Npw7NuIGRlYmUgc2VyIGJyZXZlIGUgaW5jbHVpciBpbmZvcm1hY2nDs24gc29icmUgbGEgbWV0b2RvbG9nw61hIGVtcGxlYWRhIHkgdW5hIGxpc3RhIGRlIGxhcyBPTkcgcXVlIHBhcnRpY2lwYXJvbiBvIGNvbGFib3Jhcm9uIGVuIGVsIGluZm9ybWUuIFB1ZWRlIHByZXNlbnRhciB1biBwYW5vcmFtYSBnZW5lcmFsIGRlbCBFc3RhZG8sIGVuIHBhcnRpY3VsYXIgc2kgaW5jaWRlIGVuIGxhIGFwbGljYWNpw7NuIGRlIGxvcyBwcm90b2NvbG9zIGZhY3VsdGF0aXZvcypDCgpERVJFQ0hPX0ZUGjUvL3NzbC5nc3RhdGljLmNvbS9kb2NzL2NvbW1vbi9ibHVlX3NpbGhvdWV0dGU5Ni0wLnBuZzCAt4fFjjI4gLeHxY4yckUKCkRFUkVDSE9fRlQaNwo1Ly9zc2wuZ3N0YXRpYy5jb20vZG9jcy9jb21tb24vYmx1ZV9zaWxob3VldHRlOTYtMC5wbmd4AIgBAZoBBggAEAAYAKoBqAISpQJJbnRyb2R1Y2Npw7NuIDxicj5MYSBpbnRyb2R1Y2Npw7NuIGRlYmUgc2VyIGJyZXZlIGUgaW5jbHVpciBpbmZvcm1hY2nDs24gc29icmUgbGEgbWV0b2RvbG9nw61hIGVtcGxlYWRhIHkgdW5hIGxpc3RhIGRlIGxhcyBPTkcgcXVlIHBhcnRpY2lwYXJvbiBvIGNvbGFib3Jhcm9uIGVuIGVsIGluZm9ybWUuIFB1ZWRlIHByZXNlbnRhciB1biBwYW5vcmFtYSBnZW5lcmFsIGRlbCBFc3RhZG8sIGVuIHBhcnRpY3VsYXIgc2kgaW5jaWRlIGVuIGxhIGFwbGljYWNpw7NuIGRlIGxvcyBwcm90b2NvbG9zIGZhY3VsdGF0aXZvc7ABALgBARiAt4fFjjIggLeHxY4yMABCCGtpeC5jbXQxMghoLmdqZGd4czIJaC4zMGowemxsMgloLjFmb2I5dGUyCWguM3pueXNoNzIJaC4yZXQ5MnAwMghoLnR5amN3dDIJaC4zZHk2dmttMgloLjF0M2g1c2YyCWguNGQzNG9nODIJaC4yczhleW8xMgloLjE3ZHA4dnUyCWguM3JkY3JqbjIJaC4yNmluMXJnMghoLmxueGJ6OTIJaC4zNW5rdW4yMgloLjFrc3Y0dXYyCWguNDRzaW5pbzIJaC4yanhzeHFoMghoLnozMzd5YTIJaC4zajJxcW0zMgloLjF5ODEwdHcyCWguNGk3b2pocDIJaC4yeGN5dHBpMgloLjFjaTkzeGI4AHIhMWZlWUx6dUFJcUtCVWZLcUJRVksxd1ZEMzh1SzIxa2l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7E24E98-0100-4CBF-891D-D5AE3F331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22</Pages>
  <Words>7413</Words>
  <Characters>42258</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DERECHO_FT</dc:creator>
  <cp:lastModifiedBy>DERECHO_FT</cp:lastModifiedBy>
  <cp:revision>15</cp:revision>
  <dcterms:created xsi:type="dcterms:W3CDTF">2024-08-01T18:50:00Z</dcterms:created>
  <dcterms:modified xsi:type="dcterms:W3CDTF">2024-08-01T19:36:00Z</dcterms:modified>
</cp:coreProperties>
</file>