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BA6" w:rsidRDefault="00AF7BA6" w:rsidP="00A878AE">
      <w:pPr>
        <w:pStyle w:val="Heading1"/>
      </w:pPr>
      <w:bookmarkStart w:id="0" w:name="_Toc387320811"/>
      <w:bookmarkStart w:id="1" w:name="_GoBack"/>
      <w:bookmarkEnd w:id="1"/>
      <w:r>
        <w:rPr>
          <w:rFonts w:ascii="Arial Narrow" w:hAnsi="Arial Narrow"/>
          <w:noProof/>
          <w:sz w:val="26"/>
          <w:lang w:val="en-GB" w:eastAsia="en-GB"/>
        </w:rPr>
        <w:drawing>
          <wp:inline distT="0" distB="0" distL="0" distR="0">
            <wp:extent cx="4210050" cy="914400"/>
            <wp:effectExtent l="0" t="0" r="0" b="0"/>
            <wp:docPr id="1" name="Picture 1" descr="blockstogetherLogoBL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ckstogetherLogoBLM[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0050" cy="914400"/>
                    </a:xfrm>
                    <a:prstGeom prst="rect">
                      <a:avLst/>
                    </a:prstGeom>
                    <a:noFill/>
                    <a:ln>
                      <a:noFill/>
                    </a:ln>
                  </pic:spPr>
                </pic:pic>
              </a:graphicData>
            </a:graphic>
          </wp:inline>
        </w:drawing>
      </w:r>
    </w:p>
    <w:p w:rsidR="00AF7BA6" w:rsidRDefault="00AF7BA6" w:rsidP="00A878AE">
      <w:pPr>
        <w:pStyle w:val="Heading1"/>
      </w:pPr>
      <w:r>
        <w:t>_________________________________________________________________________________________________</w:t>
      </w:r>
    </w:p>
    <w:p w:rsidR="00F52857" w:rsidRPr="000326E2" w:rsidRDefault="00F52857" w:rsidP="00A878AE">
      <w:pPr>
        <w:pStyle w:val="Heading1"/>
      </w:pPr>
      <w:r w:rsidRPr="000326E2">
        <w:t>The Interaction of CPS’ Space Utilization Formula and Facilities Assessments with Long-Term Planning: The Consolidation of Two Elementary Schools</w:t>
      </w:r>
      <w:bookmarkEnd w:id="0"/>
    </w:p>
    <w:p w:rsidR="00F52857" w:rsidRDefault="00980032" w:rsidP="00F52857">
      <w:pPr>
        <w:keepNext/>
        <w:keepLines/>
        <w:spacing w:before="80" w:after="0" w:line="240" w:lineRule="auto"/>
        <w:outlineLvl w:val="2"/>
        <w:rPr>
          <w:rFonts w:eastAsiaTheme="majorEastAsia" w:cstheme="majorBidi"/>
          <w:color w:val="943634" w:themeColor="accent2" w:themeShade="BF"/>
          <w:sz w:val="24"/>
          <w:szCs w:val="32"/>
        </w:rPr>
      </w:pPr>
      <w:proofErr w:type="gramStart"/>
      <w:r>
        <w:rPr>
          <w:rFonts w:eastAsiaTheme="majorEastAsia" w:cstheme="majorBidi"/>
          <w:color w:val="943634" w:themeColor="accent2" w:themeShade="BF"/>
          <w:sz w:val="24"/>
          <w:szCs w:val="32"/>
        </w:rPr>
        <w:t>By :</w:t>
      </w:r>
      <w:proofErr w:type="gramEnd"/>
      <w:r>
        <w:rPr>
          <w:rFonts w:eastAsiaTheme="majorEastAsia" w:cstheme="majorBidi"/>
          <w:color w:val="943634" w:themeColor="accent2" w:themeShade="BF"/>
          <w:sz w:val="24"/>
          <w:szCs w:val="32"/>
        </w:rPr>
        <w:t xml:space="preserve"> Cecile Carroll, Co-Director of Blocks Together, Chicago</w:t>
      </w:r>
    </w:p>
    <w:p w:rsidR="00980032" w:rsidRDefault="00980032" w:rsidP="00980032">
      <w:pPr>
        <w:spacing w:after="0"/>
        <w:rPr>
          <w:rFonts w:eastAsiaTheme="majorEastAsia" w:cstheme="majorBidi"/>
          <w:color w:val="943634" w:themeColor="accent2" w:themeShade="BF"/>
          <w:sz w:val="24"/>
          <w:szCs w:val="32"/>
        </w:rPr>
      </w:pPr>
    </w:p>
    <w:p w:rsidR="00980032" w:rsidRPr="00A878AE" w:rsidRDefault="00980032" w:rsidP="00980032">
      <w:pPr>
        <w:spacing w:after="0"/>
        <w:ind w:firstLine="720"/>
        <w:rPr>
          <w:rFonts w:eastAsiaTheme="minorEastAsia"/>
          <w:color w:val="000000"/>
          <w:sz w:val="24"/>
          <w:szCs w:val="24"/>
        </w:rPr>
      </w:pPr>
      <w:r w:rsidRPr="00A878AE">
        <w:rPr>
          <w:rFonts w:eastAsiaTheme="majorEastAsia" w:cstheme="majorBidi"/>
          <w:sz w:val="24"/>
          <w:szCs w:val="24"/>
        </w:rPr>
        <w:t xml:space="preserve">In 2013 the City of Chicago closed the largest amount of schools in the history of the United States, all in low income communities of color. The defense of Chicago Public Schools officials and the mayor of the city was these schools were underutilized and underperforming. However this was not true in all cases. </w:t>
      </w:r>
      <w:r w:rsidR="00F52857" w:rsidRPr="00A878AE">
        <w:rPr>
          <w:rFonts w:eastAsiaTheme="minorEastAsia"/>
          <w:color w:val="000000"/>
          <w:sz w:val="24"/>
          <w:szCs w:val="24"/>
        </w:rPr>
        <w:t xml:space="preserve">The 2013 </w:t>
      </w:r>
      <w:r w:rsidRPr="00A878AE">
        <w:rPr>
          <w:rFonts w:eastAsiaTheme="minorEastAsia"/>
          <w:color w:val="000000"/>
          <w:sz w:val="24"/>
          <w:szCs w:val="24"/>
        </w:rPr>
        <w:t>closure of Ryerson Elementary school in the low income African American community of West Humboldt Park is an example of how the City of Chicago violated human rights of the children of that community</w:t>
      </w:r>
      <w:r w:rsidR="00AF7BA6">
        <w:rPr>
          <w:rFonts w:eastAsiaTheme="minorEastAsia"/>
          <w:color w:val="000000"/>
          <w:sz w:val="24"/>
          <w:szCs w:val="24"/>
        </w:rPr>
        <w:t xml:space="preserve"> by knowingly compromising a quality education program for those students</w:t>
      </w:r>
      <w:r w:rsidRPr="00A878AE">
        <w:rPr>
          <w:rFonts w:eastAsiaTheme="minorEastAsia"/>
          <w:color w:val="000000"/>
          <w:sz w:val="24"/>
          <w:szCs w:val="24"/>
        </w:rPr>
        <w:t xml:space="preserve">. </w:t>
      </w:r>
    </w:p>
    <w:p w:rsidR="00E42DB5" w:rsidRPr="00A878AE" w:rsidRDefault="00980032" w:rsidP="00980032">
      <w:pPr>
        <w:spacing w:after="0"/>
        <w:ind w:firstLine="360"/>
        <w:rPr>
          <w:rFonts w:eastAsiaTheme="minorEastAsia"/>
          <w:color w:val="000000"/>
          <w:sz w:val="24"/>
          <w:szCs w:val="24"/>
        </w:rPr>
      </w:pPr>
      <w:r w:rsidRPr="00A878AE">
        <w:rPr>
          <w:rFonts w:eastAsiaTheme="minorEastAsia"/>
          <w:color w:val="000000"/>
          <w:sz w:val="24"/>
          <w:szCs w:val="24"/>
        </w:rPr>
        <w:t xml:space="preserve">The </w:t>
      </w:r>
      <w:r w:rsidR="00F52857" w:rsidRPr="00A878AE">
        <w:rPr>
          <w:rFonts w:eastAsiaTheme="minorEastAsia"/>
          <w:color w:val="000000"/>
          <w:sz w:val="24"/>
          <w:szCs w:val="24"/>
        </w:rPr>
        <w:t>consolidation of Laura Ward Elementary School with the former Ryerson Elementary School into the “old” Ryerson facility minimized the facility space capacity available in the West Humboldt Park community for high-quality elementary schools, and resulted in a now overcrowded elementary school. </w:t>
      </w:r>
      <w:r w:rsidR="00F52857" w:rsidRPr="00A878AE">
        <w:rPr>
          <w:rFonts w:eastAsiaTheme="minorEastAsia"/>
          <w:sz w:val="24"/>
          <w:szCs w:val="24"/>
        </w:rPr>
        <w:t>According to CPS’ own academic accountability rating system</w:t>
      </w:r>
      <w:r w:rsidR="00F52857" w:rsidRPr="00A878AE">
        <w:rPr>
          <w:rFonts w:eastAsiaTheme="minorEastAsia"/>
          <w:sz w:val="24"/>
          <w:szCs w:val="24"/>
          <w:vertAlign w:val="superscript"/>
        </w:rPr>
        <w:footnoteReference w:id="1"/>
      </w:r>
      <w:r w:rsidR="00E42DB5" w:rsidRPr="00A878AE">
        <w:rPr>
          <w:rFonts w:eastAsiaTheme="minorEastAsia"/>
          <w:sz w:val="24"/>
          <w:szCs w:val="24"/>
        </w:rPr>
        <w:t xml:space="preserve"> which rates schools based on academic performance and other school climate and culture factors from level to 3 with three being the lowest</w:t>
      </w:r>
      <w:r w:rsidR="00F52857" w:rsidRPr="00A878AE">
        <w:rPr>
          <w:rFonts w:eastAsiaTheme="minorEastAsia"/>
          <w:color w:val="000000"/>
          <w:sz w:val="24"/>
          <w:szCs w:val="24"/>
        </w:rPr>
        <w:t xml:space="preserve">, the closed Ryerson Elementary School was a Level 2 School and was not on probation. Prior to the 2011-2012 school </w:t>
      </w:r>
      <w:proofErr w:type="gramStart"/>
      <w:r w:rsidR="00F52857" w:rsidRPr="00A878AE">
        <w:rPr>
          <w:rFonts w:eastAsiaTheme="minorEastAsia"/>
          <w:color w:val="000000"/>
          <w:sz w:val="24"/>
          <w:szCs w:val="24"/>
        </w:rPr>
        <w:t>year</w:t>
      </w:r>
      <w:proofErr w:type="gramEnd"/>
      <w:r w:rsidR="00F52857" w:rsidRPr="00A878AE">
        <w:rPr>
          <w:rFonts w:eastAsiaTheme="minorEastAsia"/>
          <w:color w:val="000000"/>
          <w:sz w:val="24"/>
          <w:szCs w:val="24"/>
        </w:rPr>
        <w:t>, Ryerson had been a Level 1 school</w:t>
      </w:r>
      <w:r w:rsidR="00E42DB5" w:rsidRPr="00A878AE">
        <w:rPr>
          <w:rFonts w:eastAsiaTheme="minorEastAsia"/>
          <w:color w:val="000000"/>
          <w:sz w:val="24"/>
          <w:szCs w:val="24"/>
        </w:rPr>
        <w:t xml:space="preserve"> and had noted significant staff changes that affected scores negatively the particular academic year that was used to determine closures</w:t>
      </w:r>
      <w:r w:rsidR="00F52857" w:rsidRPr="00A878AE">
        <w:rPr>
          <w:rFonts w:eastAsiaTheme="minorEastAsia"/>
          <w:color w:val="000000"/>
          <w:sz w:val="24"/>
          <w:szCs w:val="24"/>
        </w:rPr>
        <w:t xml:space="preserve">. </w:t>
      </w:r>
      <w:r w:rsidR="00E42DB5" w:rsidRPr="00A878AE">
        <w:rPr>
          <w:rFonts w:eastAsiaTheme="minorEastAsia"/>
          <w:color w:val="000000"/>
          <w:sz w:val="24"/>
          <w:szCs w:val="24"/>
        </w:rPr>
        <w:t xml:space="preserve">The high performance of the school was remarkable as the school population was 92.7% low income students. </w:t>
      </w:r>
    </w:p>
    <w:p w:rsidR="00F52857" w:rsidRPr="00A878AE" w:rsidRDefault="00F52857" w:rsidP="00980032">
      <w:pPr>
        <w:spacing w:after="0"/>
        <w:ind w:firstLine="360"/>
        <w:rPr>
          <w:rFonts w:eastAsiaTheme="minorEastAsia"/>
          <w:color w:val="000000"/>
          <w:sz w:val="24"/>
          <w:szCs w:val="24"/>
        </w:rPr>
      </w:pPr>
      <w:r w:rsidRPr="00A878AE">
        <w:rPr>
          <w:rFonts w:eastAsiaTheme="minorEastAsia"/>
          <w:color w:val="000000"/>
          <w:sz w:val="24"/>
          <w:szCs w:val="24"/>
        </w:rPr>
        <w:t>The school received </w:t>
      </w:r>
      <w:r w:rsidRPr="00A878AE">
        <w:rPr>
          <w:rFonts w:eastAsiaTheme="minorEastAsia"/>
          <w:sz w:val="24"/>
          <w:szCs w:val="24"/>
        </w:rPr>
        <w:t>citywide attention</w:t>
      </w:r>
      <w:r w:rsidRPr="00A878AE">
        <w:rPr>
          <w:rFonts w:eastAsiaTheme="minorEastAsia"/>
          <w:color w:val="000000"/>
          <w:sz w:val="24"/>
          <w:szCs w:val="24"/>
        </w:rPr>
        <w:t> for its 6-8th grade single-sex classrooms’ pilot program that demonstrated strong academic gains for the participating students</w:t>
      </w:r>
      <w:r w:rsidRPr="00A878AE">
        <w:rPr>
          <w:rFonts w:eastAsiaTheme="minorEastAsia"/>
          <w:color w:val="000000"/>
          <w:sz w:val="24"/>
          <w:szCs w:val="24"/>
          <w:vertAlign w:val="superscript"/>
        </w:rPr>
        <w:footnoteReference w:id="2"/>
      </w:r>
      <w:r w:rsidRPr="00A878AE">
        <w:rPr>
          <w:rFonts w:eastAsiaTheme="minorEastAsia"/>
          <w:color w:val="000000"/>
          <w:sz w:val="24"/>
          <w:szCs w:val="24"/>
        </w:rPr>
        <w:t xml:space="preserve">. It was the first school to pilot The Longer School Day before CPS implemented Mayor Emmanuel‘s mandate for the program district-wide. The former Ryerson </w:t>
      </w:r>
      <w:r w:rsidR="006B10D9" w:rsidRPr="00A878AE">
        <w:rPr>
          <w:rFonts w:eastAsiaTheme="minorEastAsia"/>
          <w:color w:val="000000"/>
          <w:sz w:val="24"/>
          <w:szCs w:val="24"/>
        </w:rPr>
        <w:t xml:space="preserve">Elementary </w:t>
      </w:r>
      <w:r w:rsidRPr="00A878AE">
        <w:rPr>
          <w:rFonts w:eastAsiaTheme="minorEastAsia"/>
          <w:color w:val="000000"/>
          <w:sz w:val="24"/>
          <w:szCs w:val="24"/>
        </w:rPr>
        <w:t>School creatively utilized some of its classrooms for important programs:  a neighborhood health clinic; a Health and Fitness Center sponsored and funded by the Chicago Bulls N</w:t>
      </w:r>
      <w:r w:rsidR="006B10D9" w:rsidRPr="00A878AE">
        <w:rPr>
          <w:rFonts w:eastAsiaTheme="minorEastAsia"/>
          <w:color w:val="000000"/>
          <w:sz w:val="24"/>
          <w:szCs w:val="24"/>
        </w:rPr>
        <w:t xml:space="preserve">ational </w:t>
      </w:r>
      <w:r w:rsidRPr="00A878AE">
        <w:rPr>
          <w:rFonts w:eastAsiaTheme="minorEastAsia"/>
          <w:color w:val="000000"/>
          <w:sz w:val="24"/>
          <w:szCs w:val="24"/>
        </w:rPr>
        <w:t>B</w:t>
      </w:r>
      <w:r w:rsidR="006B10D9" w:rsidRPr="00A878AE">
        <w:rPr>
          <w:rFonts w:eastAsiaTheme="minorEastAsia"/>
          <w:color w:val="000000"/>
          <w:sz w:val="24"/>
          <w:szCs w:val="24"/>
        </w:rPr>
        <w:t xml:space="preserve">asketball </w:t>
      </w:r>
      <w:r w:rsidRPr="00A878AE">
        <w:rPr>
          <w:rFonts w:eastAsiaTheme="minorEastAsia"/>
          <w:color w:val="000000"/>
          <w:sz w:val="24"/>
          <w:szCs w:val="24"/>
        </w:rPr>
        <w:t>A</w:t>
      </w:r>
      <w:r w:rsidR="006B10D9" w:rsidRPr="00A878AE">
        <w:rPr>
          <w:rFonts w:eastAsiaTheme="minorEastAsia"/>
          <w:color w:val="000000"/>
          <w:sz w:val="24"/>
          <w:szCs w:val="24"/>
        </w:rPr>
        <w:t>ssociation</w:t>
      </w:r>
      <w:r w:rsidRPr="00A878AE">
        <w:rPr>
          <w:rFonts w:eastAsiaTheme="minorEastAsia"/>
          <w:color w:val="000000"/>
          <w:sz w:val="24"/>
          <w:szCs w:val="24"/>
        </w:rPr>
        <w:t xml:space="preserve"> organization; a state-of-the-art Library and Media Center donated by </w:t>
      </w:r>
      <w:r w:rsidR="006B10D9" w:rsidRPr="00A878AE">
        <w:rPr>
          <w:rFonts w:eastAsiaTheme="minorEastAsia"/>
          <w:color w:val="000000"/>
          <w:sz w:val="24"/>
          <w:szCs w:val="24"/>
        </w:rPr>
        <w:t xml:space="preserve">the national retail chain </w:t>
      </w:r>
      <w:proofErr w:type="gramStart"/>
      <w:r w:rsidRPr="00A878AE">
        <w:rPr>
          <w:rFonts w:eastAsiaTheme="minorEastAsia"/>
          <w:color w:val="000000"/>
          <w:sz w:val="24"/>
          <w:szCs w:val="24"/>
        </w:rPr>
        <w:t>Target</w:t>
      </w:r>
      <w:r w:rsidR="006B10D9" w:rsidRPr="00A878AE">
        <w:rPr>
          <w:rFonts w:eastAsiaTheme="minorEastAsia"/>
          <w:color w:val="000000"/>
          <w:sz w:val="24"/>
          <w:szCs w:val="24"/>
        </w:rPr>
        <w:t xml:space="preserve"> </w:t>
      </w:r>
      <w:r w:rsidRPr="00A878AE">
        <w:rPr>
          <w:rFonts w:eastAsiaTheme="minorEastAsia"/>
          <w:color w:val="000000"/>
          <w:sz w:val="24"/>
          <w:szCs w:val="24"/>
        </w:rPr>
        <w:t>;</w:t>
      </w:r>
      <w:proofErr w:type="gramEnd"/>
      <w:r w:rsidRPr="00A878AE">
        <w:rPr>
          <w:rFonts w:eastAsiaTheme="minorEastAsia"/>
          <w:color w:val="000000"/>
          <w:sz w:val="24"/>
          <w:szCs w:val="24"/>
        </w:rPr>
        <w:t xml:space="preserve"> and “Recess Rooms” equipped with computers which also served as Community Resource Rooms.  The Recess Rooms initiative was a positive response to parents’ safety concerns since the outdoor school grounds had often been frequented by </w:t>
      </w:r>
      <w:r w:rsidR="006B10D9" w:rsidRPr="00A878AE">
        <w:rPr>
          <w:rFonts w:eastAsiaTheme="minorEastAsia"/>
          <w:color w:val="000000"/>
          <w:sz w:val="24"/>
          <w:szCs w:val="24"/>
        </w:rPr>
        <w:t>criminal activity</w:t>
      </w:r>
      <w:r w:rsidRPr="00A878AE">
        <w:rPr>
          <w:rFonts w:eastAsiaTheme="minorEastAsia"/>
          <w:color w:val="000000"/>
          <w:sz w:val="24"/>
          <w:szCs w:val="24"/>
        </w:rPr>
        <w:t xml:space="preserve">. </w:t>
      </w:r>
    </w:p>
    <w:p w:rsidR="006B10D9" w:rsidRPr="00A878AE" w:rsidRDefault="00F52857" w:rsidP="00E42DB5">
      <w:pPr>
        <w:spacing w:after="0"/>
        <w:ind w:firstLine="360"/>
        <w:rPr>
          <w:rFonts w:eastAsiaTheme="minorEastAsia"/>
          <w:color w:val="000000"/>
          <w:sz w:val="24"/>
          <w:szCs w:val="24"/>
        </w:rPr>
      </w:pPr>
      <w:r w:rsidRPr="00A878AE">
        <w:rPr>
          <w:rFonts w:eastAsiaTheme="minorEastAsia"/>
          <w:color w:val="000000"/>
          <w:sz w:val="24"/>
          <w:szCs w:val="24"/>
        </w:rPr>
        <w:lastRenderedPageBreak/>
        <w:t>In the 2012</w:t>
      </w:r>
      <w:r w:rsidR="006B10D9" w:rsidRPr="00A878AE">
        <w:rPr>
          <w:rFonts w:eastAsiaTheme="minorEastAsia"/>
          <w:color w:val="000000"/>
          <w:sz w:val="24"/>
          <w:szCs w:val="24"/>
        </w:rPr>
        <w:t>-2013</w:t>
      </w:r>
      <w:r w:rsidRPr="00A878AE">
        <w:rPr>
          <w:rFonts w:eastAsiaTheme="minorEastAsia"/>
          <w:color w:val="000000"/>
          <w:sz w:val="24"/>
          <w:szCs w:val="24"/>
        </w:rPr>
        <w:t xml:space="preserve"> School Year, the year in which the school board voted to close the school, the former Ryerson’s enrollment was 398</w:t>
      </w:r>
      <w:r w:rsidR="006B10D9" w:rsidRPr="00A878AE">
        <w:rPr>
          <w:rFonts w:eastAsiaTheme="minorEastAsia"/>
          <w:color w:val="000000"/>
          <w:sz w:val="24"/>
          <w:szCs w:val="24"/>
        </w:rPr>
        <w:t xml:space="preserve"> </w:t>
      </w:r>
      <w:proofErr w:type="gramStart"/>
      <w:r w:rsidR="006B10D9" w:rsidRPr="00A878AE">
        <w:rPr>
          <w:rFonts w:eastAsiaTheme="minorEastAsia"/>
          <w:color w:val="000000"/>
          <w:sz w:val="24"/>
          <w:szCs w:val="24"/>
        </w:rPr>
        <w:t>students,</w:t>
      </w:r>
      <w:proofErr w:type="gramEnd"/>
      <w:r w:rsidR="006B10D9" w:rsidRPr="00A878AE">
        <w:rPr>
          <w:rFonts w:eastAsiaTheme="minorEastAsia"/>
          <w:color w:val="000000"/>
          <w:sz w:val="24"/>
          <w:szCs w:val="24"/>
        </w:rPr>
        <w:t xml:space="preserve"> CPS</w:t>
      </w:r>
      <w:r w:rsidRPr="00A878AE">
        <w:rPr>
          <w:rFonts w:eastAsiaTheme="minorEastAsia"/>
          <w:color w:val="000000"/>
          <w:sz w:val="24"/>
          <w:szCs w:val="24"/>
        </w:rPr>
        <w:t xml:space="preserve"> calculated that the school had a capacity of 690 </w:t>
      </w:r>
      <w:r w:rsidR="006B10D9" w:rsidRPr="00A878AE">
        <w:rPr>
          <w:rFonts w:eastAsiaTheme="minorEastAsia"/>
          <w:color w:val="000000"/>
          <w:sz w:val="24"/>
          <w:szCs w:val="24"/>
        </w:rPr>
        <w:t xml:space="preserve">giving the school a utilization rate of </w:t>
      </w:r>
      <w:r w:rsidRPr="00A878AE">
        <w:rPr>
          <w:rFonts w:eastAsiaTheme="minorEastAsia"/>
          <w:color w:val="000000"/>
          <w:sz w:val="24"/>
          <w:szCs w:val="24"/>
        </w:rPr>
        <w:t>58%</w:t>
      </w:r>
      <w:bookmarkStart w:id="2" w:name="_Ref391733050"/>
      <w:r w:rsidR="006B10D9" w:rsidRPr="00A878AE">
        <w:rPr>
          <w:rStyle w:val="FootnoteReference"/>
          <w:rFonts w:eastAsiaTheme="minorEastAsia"/>
          <w:color w:val="000000"/>
          <w:sz w:val="24"/>
          <w:szCs w:val="24"/>
        </w:rPr>
        <w:footnoteReference w:id="3"/>
      </w:r>
      <w:bookmarkEnd w:id="2"/>
      <w:r w:rsidRPr="00A878AE">
        <w:rPr>
          <w:rFonts w:eastAsiaTheme="minorEastAsia"/>
          <w:color w:val="000000"/>
          <w:sz w:val="24"/>
          <w:szCs w:val="24"/>
        </w:rPr>
        <w:t xml:space="preserve">. </w:t>
      </w:r>
      <w:r w:rsidR="006B10D9" w:rsidRPr="00A878AE">
        <w:rPr>
          <w:rFonts w:eastAsiaTheme="minorEastAsia"/>
          <w:color w:val="000000"/>
          <w:sz w:val="24"/>
          <w:szCs w:val="24"/>
        </w:rPr>
        <w:t>CPS uses a blunt formula calculation in order to determine the utilization rate of school to determine if a school is under-utilized, efficiently utilized, or overcrowded. This calculation uses 30 students per 75% of total classrooms, leaving 25% of the other classrooms to be used for programs such as computer labs, science labs, etc</w:t>
      </w:r>
      <w:proofErr w:type="gramStart"/>
      <w:r w:rsidR="006B10D9" w:rsidRPr="00A878AE">
        <w:rPr>
          <w:rFonts w:eastAsiaTheme="minorEastAsia"/>
          <w:color w:val="000000"/>
          <w:sz w:val="24"/>
          <w:szCs w:val="24"/>
        </w:rPr>
        <w:t>. ,</w:t>
      </w:r>
      <w:proofErr w:type="gramEnd"/>
      <w:r w:rsidR="006B10D9" w:rsidRPr="00A878AE">
        <w:rPr>
          <w:rFonts w:eastAsiaTheme="minorEastAsia"/>
          <w:color w:val="000000"/>
          <w:sz w:val="24"/>
          <w:szCs w:val="24"/>
        </w:rPr>
        <w:t xml:space="preserve"> and special learning spaces (some that are legally mandated to have isolation). </w:t>
      </w:r>
    </w:p>
    <w:p w:rsidR="006B10D9" w:rsidRPr="00A878AE" w:rsidRDefault="006B10D9" w:rsidP="00E42DB5">
      <w:pPr>
        <w:spacing w:after="0"/>
        <w:ind w:firstLine="360"/>
        <w:rPr>
          <w:rFonts w:eastAsiaTheme="minorEastAsia"/>
          <w:color w:val="000000"/>
          <w:sz w:val="24"/>
          <w:szCs w:val="24"/>
        </w:rPr>
      </w:pPr>
    </w:p>
    <w:p w:rsidR="0093713B" w:rsidRPr="00A878AE" w:rsidRDefault="00F52857" w:rsidP="00E42DB5">
      <w:pPr>
        <w:spacing w:after="0"/>
        <w:ind w:firstLine="360"/>
        <w:rPr>
          <w:rFonts w:eastAsiaTheme="minorEastAsia"/>
          <w:color w:val="000000"/>
          <w:sz w:val="24"/>
          <w:szCs w:val="24"/>
        </w:rPr>
      </w:pPr>
      <w:r w:rsidRPr="00A878AE">
        <w:rPr>
          <w:rFonts w:eastAsiaTheme="minorEastAsia"/>
          <w:color w:val="000000"/>
          <w:sz w:val="24"/>
          <w:szCs w:val="24"/>
        </w:rPr>
        <w:t xml:space="preserve">When </w:t>
      </w:r>
      <w:r w:rsidR="006B10D9" w:rsidRPr="00A878AE">
        <w:rPr>
          <w:rFonts w:eastAsiaTheme="minorEastAsia"/>
          <w:color w:val="000000"/>
          <w:sz w:val="24"/>
          <w:szCs w:val="24"/>
        </w:rPr>
        <w:t xml:space="preserve">Ryerson </w:t>
      </w:r>
      <w:r w:rsidRPr="00A878AE">
        <w:rPr>
          <w:rFonts w:eastAsiaTheme="minorEastAsia"/>
          <w:color w:val="000000"/>
          <w:sz w:val="24"/>
          <w:szCs w:val="24"/>
        </w:rPr>
        <w:t xml:space="preserve">parents took it upon themselves to count their available classrooms and special education rooms </w:t>
      </w:r>
      <w:r w:rsidR="006B10D9" w:rsidRPr="00A878AE">
        <w:rPr>
          <w:rFonts w:eastAsiaTheme="minorEastAsia"/>
          <w:color w:val="000000"/>
          <w:sz w:val="24"/>
          <w:szCs w:val="24"/>
        </w:rPr>
        <w:t>their utilization rate was 77% efficient</w:t>
      </w:r>
      <w:r w:rsidRPr="00A878AE">
        <w:rPr>
          <w:rFonts w:eastAsiaTheme="minorEastAsia"/>
          <w:color w:val="000000"/>
          <w:sz w:val="24"/>
          <w:szCs w:val="24"/>
        </w:rPr>
        <w:t xml:space="preserve">. </w:t>
      </w:r>
      <w:r w:rsidR="006B10D9" w:rsidRPr="00A878AE">
        <w:rPr>
          <w:rFonts w:eastAsiaTheme="minorEastAsia"/>
          <w:color w:val="000000"/>
          <w:sz w:val="24"/>
          <w:szCs w:val="24"/>
        </w:rPr>
        <w:t xml:space="preserve">The difference in utilization is that Ryerson parents counted that the school programming was using more </w:t>
      </w:r>
      <w:r w:rsidR="0093713B" w:rsidRPr="00A878AE">
        <w:rPr>
          <w:rFonts w:eastAsiaTheme="minorEastAsia"/>
          <w:color w:val="000000"/>
          <w:sz w:val="24"/>
          <w:szCs w:val="24"/>
        </w:rPr>
        <w:t xml:space="preserve">than 25% of program space. </w:t>
      </w:r>
    </w:p>
    <w:p w:rsidR="0093713B" w:rsidRPr="00A878AE" w:rsidRDefault="0093713B" w:rsidP="0093713B">
      <w:pPr>
        <w:pStyle w:val="ListParagraph"/>
        <w:numPr>
          <w:ilvl w:val="0"/>
          <w:numId w:val="2"/>
        </w:numPr>
        <w:spacing w:after="0"/>
        <w:rPr>
          <w:rFonts w:eastAsiaTheme="minorEastAsia"/>
          <w:color w:val="000000"/>
          <w:sz w:val="24"/>
          <w:szCs w:val="24"/>
        </w:rPr>
      </w:pPr>
      <w:r w:rsidRPr="00A878AE">
        <w:rPr>
          <w:rFonts w:eastAsiaTheme="minorEastAsia"/>
          <w:color w:val="000000"/>
          <w:sz w:val="24"/>
          <w:szCs w:val="24"/>
        </w:rPr>
        <w:t xml:space="preserve">Two Classrooms converted for a Library by Target </w:t>
      </w:r>
    </w:p>
    <w:p w:rsidR="0093713B" w:rsidRPr="00A878AE" w:rsidRDefault="0093713B" w:rsidP="0093713B">
      <w:pPr>
        <w:pStyle w:val="ListParagraph"/>
        <w:numPr>
          <w:ilvl w:val="0"/>
          <w:numId w:val="2"/>
        </w:numPr>
        <w:spacing w:after="0"/>
        <w:rPr>
          <w:rFonts w:eastAsiaTheme="minorEastAsia"/>
          <w:color w:val="000000"/>
          <w:sz w:val="24"/>
          <w:szCs w:val="24"/>
        </w:rPr>
      </w:pPr>
      <w:r w:rsidRPr="00A878AE">
        <w:rPr>
          <w:rFonts w:eastAsiaTheme="minorEastAsia"/>
          <w:color w:val="000000"/>
          <w:sz w:val="24"/>
          <w:szCs w:val="24"/>
        </w:rPr>
        <w:t>One Classroom used for a Health Clinic operated by Erie House Clinic</w:t>
      </w:r>
    </w:p>
    <w:p w:rsidR="0093713B" w:rsidRPr="00A878AE" w:rsidRDefault="0093713B" w:rsidP="0093713B">
      <w:pPr>
        <w:pStyle w:val="ListParagraph"/>
        <w:numPr>
          <w:ilvl w:val="0"/>
          <w:numId w:val="2"/>
        </w:numPr>
        <w:spacing w:after="0"/>
        <w:rPr>
          <w:rFonts w:eastAsiaTheme="minorEastAsia"/>
          <w:color w:val="000000"/>
          <w:sz w:val="24"/>
          <w:szCs w:val="24"/>
        </w:rPr>
      </w:pPr>
      <w:r w:rsidRPr="00A878AE">
        <w:rPr>
          <w:rFonts w:eastAsiaTheme="minorEastAsia"/>
          <w:color w:val="000000"/>
          <w:sz w:val="24"/>
          <w:szCs w:val="24"/>
        </w:rPr>
        <w:t>Two Classrooms used for recess and community partners</w:t>
      </w:r>
    </w:p>
    <w:p w:rsidR="0093713B" w:rsidRPr="00A878AE" w:rsidRDefault="0093713B" w:rsidP="0093713B">
      <w:pPr>
        <w:pStyle w:val="ListParagraph"/>
        <w:numPr>
          <w:ilvl w:val="0"/>
          <w:numId w:val="2"/>
        </w:numPr>
        <w:spacing w:after="0"/>
        <w:rPr>
          <w:rFonts w:eastAsiaTheme="minorEastAsia"/>
          <w:color w:val="000000"/>
          <w:sz w:val="24"/>
          <w:szCs w:val="24"/>
        </w:rPr>
      </w:pPr>
      <w:r w:rsidRPr="00A878AE">
        <w:rPr>
          <w:rFonts w:eastAsiaTheme="minorEastAsia"/>
          <w:color w:val="000000"/>
          <w:sz w:val="24"/>
          <w:szCs w:val="24"/>
        </w:rPr>
        <w:t>One Classroom used as a fitness center for students, parents, and staff donate by Chicago Bulls</w:t>
      </w:r>
    </w:p>
    <w:p w:rsidR="0093713B" w:rsidRPr="00A878AE" w:rsidRDefault="0093713B" w:rsidP="0093713B">
      <w:pPr>
        <w:pStyle w:val="ListParagraph"/>
        <w:numPr>
          <w:ilvl w:val="0"/>
          <w:numId w:val="2"/>
        </w:numPr>
        <w:spacing w:after="0"/>
        <w:rPr>
          <w:rFonts w:eastAsiaTheme="minorEastAsia"/>
          <w:color w:val="000000"/>
          <w:sz w:val="24"/>
          <w:szCs w:val="24"/>
        </w:rPr>
      </w:pPr>
      <w:r w:rsidRPr="00A878AE">
        <w:rPr>
          <w:rFonts w:eastAsiaTheme="minorEastAsia"/>
          <w:color w:val="000000"/>
          <w:sz w:val="24"/>
          <w:szCs w:val="24"/>
        </w:rPr>
        <w:t>Two Classrooms used for computer lab/ Reading Lab</w:t>
      </w:r>
    </w:p>
    <w:p w:rsidR="0093713B" w:rsidRPr="00A878AE" w:rsidRDefault="0093713B" w:rsidP="0093713B">
      <w:pPr>
        <w:pStyle w:val="ListParagraph"/>
        <w:numPr>
          <w:ilvl w:val="0"/>
          <w:numId w:val="2"/>
        </w:numPr>
        <w:spacing w:after="0"/>
        <w:rPr>
          <w:rFonts w:eastAsiaTheme="minorEastAsia"/>
          <w:color w:val="000000"/>
          <w:sz w:val="24"/>
          <w:szCs w:val="24"/>
        </w:rPr>
      </w:pPr>
      <w:r w:rsidRPr="00A878AE">
        <w:rPr>
          <w:rFonts w:eastAsiaTheme="minorEastAsia"/>
          <w:color w:val="000000"/>
          <w:sz w:val="24"/>
          <w:szCs w:val="24"/>
        </w:rPr>
        <w:t>One Classroom used for science lab</w:t>
      </w:r>
    </w:p>
    <w:p w:rsidR="0093713B" w:rsidRPr="00A878AE" w:rsidRDefault="0093713B" w:rsidP="0093713B">
      <w:pPr>
        <w:pStyle w:val="ListParagraph"/>
        <w:numPr>
          <w:ilvl w:val="0"/>
          <w:numId w:val="2"/>
        </w:numPr>
        <w:spacing w:after="0"/>
        <w:rPr>
          <w:rFonts w:eastAsiaTheme="minorEastAsia"/>
          <w:color w:val="000000"/>
          <w:sz w:val="24"/>
          <w:szCs w:val="24"/>
        </w:rPr>
      </w:pPr>
      <w:r w:rsidRPr="00A878AE">
        <w:rPr>
          <w:rFonts w:eastAsiaTheme="minorEastAsia"/>
          <w:color w:val="000000"/>
          <w:sz w:val="24"/>
          <w:szCs w:val="24"/>
        </w:rPr>
        <w:t>One Classroom for Art classroom</w:t>
      </w:r>
    </w:p>
    <w:p w:rsidR="0093713B" w:rsidRPr="00A878AE" w:rsidRDefault="0093713B" w:rsidP="0093713B">
      <w:pPr>
        <w:pStyle w:val="ListParagraph"/>
        <w:numPr>
          <w:ilvl w:val="0"/>
          <w:numId w:val="2"/>
        </w:numPr>
        <w:spacing w:after="0"/>
        <w:rPr>
          <w:rFonts w:eastAsiaTheme="minorEastAsia"/>
          <w:color w:val="000000"/>
          <w:sz w:val="24"/>
          <w:szCs w:val="24"/>
        </w:rPr>
      </w:pPr>
      <w:r w:rsidRPr="00A878AE">
        <w:rPr>
          <w:rFonts w:eastAsiaTheme="minorEastAsia"/>
          <w:color w:val="000000"/>
          <w:sz w:val="24"/>
          <w:szCs w:val="24"/>
        </w:rPr>
        <w:t>One  Parent room</w:t>
      </w:r>
    </w:p>
    <w:p w:rsidR="0093713B" w:rsidRPr="00A878AE" w:rsidRDefault="0093713B" w:rsidP="0093713B">
      <w:pPr>
        <w:spacing w:after="0"/>
        <w:rPr>
          <w:rFonts w:eastAsiaTheme="minorEastAsia"/>
          <w:color w:val="000000"/>
          <w:sz w:val="24"/>
          <w:szCs w:val="24"/>
        </w:rPr>
      </w:pPr>
    </w:p>
    <w:p w:rsidR="0093713B" w:rsidRPr="00A878AE" w:rsidRDefault="0093713B" w:rsidP="00A878AE">
      <w:pPr>
        <w:spacing w:after="0"/>
        <w:ind w:firstLine="360"/>
        <w:jc w:val="center"/>
        <w:rPr>
          <w:rFonts w:eastAsiaTheme="minorEastAsia"/>
          <w:color w:val="000000"/>
          <w:sz w:val="24"/>
          <w:szCs w:val="24"/>
        </w:rPr>
      </w:pPr>
      <w:r w:rsidRPr="00A878AE">
        <w:rPr>
          <w:rFonts w:eastAsiaTheme="minorEastAsia"/>
          <w:color w:val="000000"/>
          <w:sz w:val="24"/>
          <w:szCs w:val="24"/>
        </w:rPr>
        <w:t>19 Homerooms + 4 Special Education rooms + 10 program rooms=</w:t>
      </w:r>
    </w:p>
    <w:p w:rsidR="0093713B" w:rsidRPr="00A878AE" w:rsidRDefault="0093713B" w:rsidP="00A878AE">
      <w:pPr>
        <w:spacing w:after="0"/>
        <w:ind w:firstLine="360"/>
        <w:jc w:val="center"/>
        <w:rPr>
          <w:rFonts w:eastAsiaTheme="minorEastAsia"/>
          <w:color w:val="000000"/>
          <w:sz w:val="24"/>
          <w:szCs w:val="24"/>
        </w:rPr>
      </w:pPr>
      <w:r w:rsidRPr="00A878AE">
        <w:rPr>
          <w:rFonts w:eastAsiaTheme="minorEastAsia"/>
          <w:color w:val="000000"/>
          <w:sz w:val="24"/>
          <w:szCs w:val="24"/>
        </w:rPr>
        <w:t>24 classrooms utilized/ 31 classrooms</w:t>
      </w:r>
    </w:p>
    <w:p w:rsidR="0093713B" w:rsidRPr="00A878AE" w:rsidRDefault="0093713B" w:rsidP="00A878AE">
      <w:pPr>
        <w:spacing w:after="0"/>
        <w:ind w:firstLine="360"/>
        <w:jc w:val="center"/>
        <w:rPr>
          <w:rFonts w:eastAsiaTheme="minorEastAsia"/>
          <w:color w:val="000000"/>
          <w:sz w:val="24"/>
          <w:szCs w:val="24"/>
        </w:rPr>
      </w:pPr>
      <w:r w:rsidRPr="00A878AE">
        <w:rPr>
          <w:rFonts w:eastAsiaTheme="minorEastAsia"/>
          <w:color w:val="000000"/>
          <w:sz w:val="24"/>
          <w:szCs w:val="24"/>
        </w:rPr>
        <w:t>Utilization is 77% Efficiently Used</w:t>
      </w:r>
    </w:p>
    <w:p w:rsidR="0093713B" w:rsidRPr="00A878AE" w:rsidRDefault="0093713B" w:rsidP="0093713B">
      <w:pPr>
        <w:spacing w:after="0"/>
        <w:rPr>
          <w:rFonts w:eastAsiaTheme="minorEastAsia"/>
          <w:color w:val="000000"/>
          <w:sz w:val="24"/>
          <w:szCs w:val="24"/>
        </w:rPr>
      </w:pPr>
    </w:p>
    <w:p w:rsidR="0093713B" w:rsidRDefault="0093713B" w:rsidP="0093713B">
      <w:pPr>
        <w:spacing w:after="0"/>
        <w:rPr>
          <w:rFonts w:eastAsiaTheme="minorEastAsia"/>
          <w:color w:val="000000"/>
          <w:sz w:val="24"/>
          <w:szCs w:val="24"/>
        </w:rPr>
      </w:pPr>
      <w:r w:rsidRPr="00A878AE">
        <w:rPr>
          <w:rFonts w:eastAsiaTheme="minorEastAsia"/>
          <w:color w:val="000000"/>
          <w:sz w:val="24"/>
          <w:szCs w:val="24"/>
        </w:rPr>
        <w:t>By using a blunt formula</w:t>
      </w:r>
      <w:r w:rsidR="00A878AE">
        <w:rPr>
          <w:rFonts w:eastAsiaTheme="minorEastAsia"/>
          <w:color w:val="000000"/>
          <w:sz w:val="24"/>
          <w:szCs w:val="24"/>
        </w:rPr>
        <w:t>,</w:t>
      </w:r>
      <w:r w:rsidRPr="00A878AE">
        <w:rPr>
          <w:rFonts w:eastAsiaTheme="minorEastAsia"/>
          <w:color w:val="000000"/>
          <w:sz w:val="24"/>
          <w:szCs w:val="24"/>
        </w:rPr>
        <w:t xml:space="preserve"> despite that other school districts use more complex formulas and standards for determining school utilization, this has allowed CPS to make claims about utilization and ignore how class size and program space can improve schools especially in communities where access to a well performing school is important. </w:t>
      </w:r>
    </w:p>
    <w:p w:rsidR="00A878AE" w:rsidRDefault="00A878AE" w:rsidP="0093713B">
      <w:pPr>
        <w:spacing w:after="0"/>
        <w:rPr>
          <w:rFonts w:eastAsiaTheme="minorEastAsia"/>
          <w:color w:val="000000"/>
          <w:sz w:val="24"/>
          <w:szCs w:val="24"/>
        </w:rPr>
      </w:pPr>
    </w:p>
    <w:p w:rsidR="00A878AE" w:rsidRDefault="00A878AE" w:rsidP="0093713B">
      <w:pPr>
        <w:spacing w:after="0"/>
        <w:rPr>
          <w:rFonts w:eastAsiaTheme="minorEastAsia"/>
          <w:color w:val="000000"/>
          <w:sz w:val="24"/>
          <w:szCs w:val="24"/>
        </w:rPr>
      </w:pPr>
    </w:p>
    <w:p w:rsidR="00AF7BA6" w:rsidRDefault="00AF7BA6" w:rsidP="0093713B">
      <w:pPr>
        <w:spacing w:after="0"/>
        <w:rPr>
          <w:rFonts w:eastAsiaTheme="minorEastAsia"/>
          <w:color w:val="000000"/>
          <w:sz w:val="24"/>
          <w:szCs w:val="24"/>
        </w:rPr>
      </w:pPr>
    </w:p>
    <w:p w:rsidR="00AF7BA6" w:rsidRDefault="00AF7BA6" w:rsidP="0093713B">
      <w:pPr>
        <w:spacing w:after="0"/>
        <w:rPr>
          <w:rFonts w:eastAsiaTheme="minorEastAsia"/>
          <w:color w:val="000000"/>
          <w:sz w:val="24"/>
          <w:szCs w:val="24"/>
        </w:rPr>
      </w:pPr>
    </w:p>
    <w:p w:rsidR="00AF7BA6" w:rsidRDefault="00AF7BA6" w:rsidP="0093713B">
      <w:pPr>
        <w:spacing w:after="0"/>
        <w:rPr>
          <w:rFonts w:eastAsiaTheme="minorEastAsia"/>
          <w:color w:val="000000"/>
          <w:sz w:val="24"/>
          <w:szCs w:val="24"/>
        </w:rPr>
      </w:pPr>
    </w:p>
    <w:p w:rsidR="00AF7BA6" w:rsidRDefault="00AF7BA6" w:rsidP="0093713B">
      <w:pPr>
        <w:spacing w:after="0"/>
        <w:rPr>
          <w:rFonts w:eastAsiaTheme="minorEastAsia"/>
          <w:color w:val="000000"/>
          <w:sz w:val="24"/>
          <w:szCs w:val="24"/>
        </w:rPr>
      </w:pPr>
    </w:p>
    <w:p w:rsidR="00AF7BA6" w:rsidRDefault="00AF7BA6" w:rsidP="0093713B">
      <w:pPr>
        <w:spacing w:after="0"/>
        <w:rPr>
          <w:rFonts w:eastAsiaTheme="minorEastAsia"/>
          <w:color w:val="000000"/>
          <w:sz w:val="24"/>
          <w:szCs w:val="24"/>
        </w:rPr>
      </w:pPr>
    </w:p>
    <w:p w:rsidR="00AF7BA6" w:rsidRDefault="00AF7BA6" w:rsidP="0093713B">
      <w:pPr>
        <w:spacing w:after="0"/>
        <w:rPr>
          <w:rFonts w:eastAsiaTheme="minorEastAsia"/>
          <w:color w:val="000000"/>
          <w:sz w:val="24"/>
          <w:szCs w:val="24"/>
        </w:rPr>
      </w:pPr>
    </w:p>
    <w:p w:rsidR="00AF7BA6" w:rsidRDefault="00AF7BA6" w:rsidP="0093713B">
      <w:pPr>
        <w:spacing w:after="0"/>
        <w:rPr>
          <w:rFonts w:eastAsiaTheme="minorEastAsia"/>
          <w:color w:val="000000"/>
          <w:sz w:val="24"/>
          <w:szCs w:val="24"/>
        </w:rPr>
      </w:pPr>
    </w:p>
    <w:p w:rsidR="00AF7BA6" w:rsidRDefault="00AF7BA6" w:rsidP="0093713B">
      <w:pPr>
        <w:spacing w:after="0"/>
        <w:rPr>
          <w:rFonts w:eastAsiaTheme="minorEastAsia"/>
          <w:color w:val="000000"/>
          <w:sz w:val="24"/>
          <w:szCs w:val="24"/>
        </w:rPr>
      </w:pPr>
    </w:p>
    <w:p w:rsidR="00A878AE" w:rsidRDefault="00A878AE" w:rsidP="0093713B">
      <w:pPr>
        <w:spacing w:after="0"/>
        <w:rPr>
          <w:rFonts w:eastAsiaTheme="minorEastAsia"/>
          <w:color w:val="000000"/>
          <w:sz w:val="24"/>
          <w:szCs w:val="24"/>
        </w:rPr>
      </w:pPr>
    </w:p>
    <w:p w:rsidR="00A878AE" w:rsidRDefault="00A878AE" w:rsidP="0093713B">
      <w:pPr>
        <w:spacing w:after="0"/>
        <w:rPr>
          <w:rFonts w:eastAsiaTheme="minorEastAsia"/>
          <w:color w:val="000000"/>
          <w:sz w:val="24"/>
          <w:szCs w:val="24"/>
        </w:rPr>
      </w:pPr>
    </w:p>
    <w:p w:rsidR="00A878AE" w:rsidRDefault="00A878AE" w:rsidP="0093713B">
      <w:pPr>
        <w:spacing w:after="0"/>
        <w:rPr>
          <w:rFonts w:eastAsiaTheme="minorEastAsia"/>
          <w:color w:val="000000"/>
          <w:sz w:val="24"/>
          <w:szCs w:val="24"/>
        </w:rPr>
      </w:pPr>
    </w:p>
    <w:tbl>
      <w:tblPr>
        <w:tblStyle w:val="LightList-Accent11"/>
        <w:tblW w:w="9468" w:type="dxa"/>
        <w:tblInd w:w="662" w:type="dxa"/>
        <w:tblLook w:val="04A0" w:firstRow="1" w:lastRow="0" w:firstColumn="1" w:lastColumn="0" w:noHBand="0" w:noVBand="1"/>
      </w:tblPr>
      <w:tblGrid>
        <w:gridCol w:w="3820"/>
        <w:gridCol w:w="2000"/>
        <w:gridCol w:w="3648"/>
      </w:tblGrid>
      <w:tr w:rsidR="00A878AE" w:rsidRPr="00A878AE" w:rsidTr="00DC26E5">
        <w:trPr>
          <w:cnfStyle w:val="100000000000" w:firstRow="1" w:lastRow="0" w:firstColumn="0" w:lastColumn="0" w:oddVBand="0" w:evenVBand="0" w:oddHBand="0" w:evenHBand="0" w:firstRowFirstColumn="0" w:firstRowLastColumn="0" w:lastRowFirstColumn="0" w:lastRowLastColumn="0"/>
          <w:trHeight w:val="205"/>
        </w:trPr>
        <w:tc>
          <w:tcPr>
            <w:cnfStyle w:val="001000000000" w:firstRow="0" w:lastRow="0" w:firstColumn="1" w:lastColumn="0" w:oddVBand="0" w:evenVBand="0" w:oddHBand="0" w:evenHBand="0" w:firstRowFirstColumn="0" w:firstRowLastColumn="0" w:lastRowFirstColumn="0" w:lastRowLastColumn="0"/>
            <w:tcW w:w="3820" w:type="dxa"/>
            <w:hideMark/>
          </w:tcPr>
          <w:p w:rsidR="00A878AE" w:rsidRPr="00A878AE" w:rsidRDefault="00A878AE" w:rsidP="00A878AE">
            <w:pPr>
              <w:jc w:val="center"/>
              <w:rPr>
                <w:rFonts w:eastAsia="Times New Roman" w:cs="Calibri"/>
              </w:rPr>
            </w:pPr>
            <w:r w:rsidRPr="00A878AE">
              <w:rPr>
                <w:rFonts w:eastAsia="Times New Roman" w:cs="Calibri"/>
              </w:rPr>
              <w:lastRenderedPageBreak/>
              <w:t>Public School District</w:t>
            </w:r>
          </w:p>
        </w:tc>
        <w:tc>
          <w:tcPr>
            <w:tcW w:w="2000" w:type="dxa"/>
            <w:hideMark/>
          </w:tcPr>
          <w:p w:rsidR="00A878AE" w:rsidRPr="00A878AE" w:rsidRDefault="00A878AE" w:rsidP="00A878AE">
            <w:pPr>
              <w:jc w:val="center"/>
              <w:cnfStyle w:val="100000000000" w:firstRow="1" w:lastRow="0" w:firstColumn="0" w:lastColumn="0" w:oddVBand="0" w:evenVBand="0" w:oddHBand="0" w:evenHBand="0" w:firstRowFirstColumn="0" w:firstRowLastColumn="0" w:lastRowFirstColumn="0" w:lastRowLastColumn="0"/>
              <w:rPr>
                <w:rFonts w:eastAsia="Times New Roman" w:cs="Calibri"/>
              </w:rPr>
            </w:pPr>
            <w:r w:rsidRPr="00A878AE">
              <w:rPr>
                <w:rFonts w:eastAsia="Times New Roman" w:cs="Calibri"/>
              </w:rPr>
              <w:t>NYC</w:t>
            </w:r>
          </w:p>
        </w:tc>
        <w:tc>
          <w:tcPr>
            <w:tcW w:w="3648" w:type="dxa"/>
            <w:hideMark/>
          </w:tcPr>
          <w:p w:rsidR="00A878AE" w:rsidRPr="00A878AE" w:rsidRDefault="00A878AE" w:rsidP="00A878AE">
            <w:pPr>
              <w:jc w:val="center"/>
              <w:cnfStyle w:val="100000000000" w:firstRow="1" w:lastRow="0" w:firstColumn="0" w:lastColumn="0" w:oddVBand="0" w:evenVBand="0" w:oddHBand="0" w:evenHBand="0" w:firstRowFirstColumn="0" w:firstRowLastColumn="0" w:lastRowFirstColumn="0" w:lastRowLastColumn="0"/>
              <w:rPr>
                <w:rFonts w:eastAsia="Times New Roman" w:cs="Calibri"/>
              </w:rPr>
            </w:pPr>
            <w:r w:rsidRPr="00A878AE">
              <w:rPr>
                <w:rFonts w:eastAsia="Times New Roman" w:cs="Calibri"/>
              </w:rPr>
              <w:t>CPS</w:t>
            </w:r>
          </w:p>
        </w:tc>
      </w:tr>
      <w:tr w:rsidR="00A878AE" w:rsidRPr="00A878AE" w:rsidTr="00DC26E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20" w:type="dxa"/>
            <w:noWrap/>
            <w:hideMark/>
          </w:tcPr>
          <w:p w:rsidR="00A878AE" w:rsidRPr="00A878AE" w:rsidRDefault="00A878AE" w:rsidP="00A878AE">
            <w:pPr>
              <w:rPr>
                <w:rFonts w:eastAsia="Times New Roman" w:cs="Calibri"/>
                <w:color w:val="000000"/>
              </w:rPr>
            </w:pPr>
            <w:r w:rsidRPr="00A878AE">
              <w:rPr>
                <w:rFonts w:eastAsia="Times New Roman" w:cs="Calibri"/>
                <w:color w:val="000000"/>
              </w:rPr>
              <w:t>Does formula differ by grade?</w:t>
            </w:r>
          </w:p>
        </w:tc>
        <w:tc>
          <w:tcPr>
            <w:tcW w:w="2000" w:type="dxa"/>
            <w:hideMark/>
          </w:tcPr>
          <w:p w:rsidR="00A878AE" w:rsidRPr="00A878AE" w:rsidRDefault="00A878AE" w:rsidP="00A878AE">
            <w:pP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A878AE">
              <w:rPr>
                <w:rFonts w:eastAsia="Times New Roman" w:cs="Calibri"/>
                <w:color w:val="000000"/>
              </w:rPr>
              <w:t>Yes (Elementary, Middle School and High school)</w:t>
            </w:r>
          </w:p>
        </w:tc>
        <w:tc>
          <w:tcPr>
            <w:tcW w:w="3648" w:type="dxa"/>
            <w:noWrap/>
            <w:hideMark/>
          </w:tcPr>
          <w:p w:rsidR="00A878AE" w:rsidRPr="00A878AE" w:rsidRDefault="00A878AE" w:rsidP="00A878AE">
            <w:pP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A878AE">
              <w:rPr>
                <w:rFonts w:eastAsia="Times New Roman" w:cs="Calibri"/>
                <w:color w:val="000000"/>
              </w:rPr>
              <w:t>Yes (High school and Elementary)</w:t>
            </w:r>
          </w:p>
        </w:tc>
      </w:tr>
      <w:tr w:rsidR="00A878AE" w:rsidRPr="00A878AE" w:rsidTr="00DC26E5">
        <w:trPr>
          <w:trHeight w:val="300"/>
        </w:trPr>
        <w:tc>
          <w:tcPr>
            <w:cnfStyle w:val="001000000000" w:firstRow="0" w:lastRow="0" w:firstColumn="1" w:lastColumn="0" w:oddVBand="0" w:evenVBand="0" w:oddHBand="0" w:evenHBand="0" w:firstRowFirstColumn="0" w:firstRowLastColumn="0" w:lastRowFirstColumn="0" w:lastRowLastColumn="0"/>
            <w:tcW w:w="3820" w:type="dxa"/>
            <w:noWrap/>
            <w:hideMark/>
          </w:tcPr>
          <w:p w:rsidR="00A878AE" w:rsidRPr="00A878AE" w:rsidRDefault="00A878AE" w:rsidP="00A878AE">
            <w:pPr>
              <w:rPr>
                <w:rFonts w:eastAsia="Times New Roman" w:cs="Calibri"/>
                <w:color w:val="000000"/>
              </w:rPr>
            </w:pPr>
            <w:r w:rsidRPr="00A878AE">
              <w:rPr>
                <w:rFonts w:eastAsia="Times New Roman" w:cs="Calibri"/>
                <w:color w:val="000000"/>
              </w:rPr>
              <w:t>Does formula differ by room size?</w:t>
            </w:r>
          </w:p>
        </w:tc>
        <w:tc>
          <w:tcPr>
            <w:tcW w:w="2000" w:type="dxa"/>
            <w:hideMark/>
          </w:tcPr>
          <w:p w:rsidR="00A878AE" w:rsidRPr="00A878AE" w:rsidRDefault="00A878AE" w:rsidP="00A878AE">
            <w:pP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A878AE">
              <w:rPr>
                <w:rFonts w:eastAsia="Times New Roman" w:cs="Calibri"/>
                <w:color w:val="000000"/>
              </w:rPr>
              <w:t>Yes</w:t>
            </w:r>
          </w:p>
        </w:tc>
        <w:tc>
          <w:tcPr>
            <w:tcW w:w="3648" w:type="dxa"/>
            <w:hideMark/>
          </w:tcPr>
          <w:p w:rsidR="00A878AE" w:rsidRPr="00A878AE" w:rsidRDefault="00A878AE" w:rsidP="00A878AE">
            <w:pP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A878AE">
              <w:rPr>
                <w:rFonts w:eastAsia="Times New Roman" w:cs="Calibri"/>
                <w:color w:val="000000"/>
              </w:rPr>
              <w:t>No</w:t>
            </w:r>
          </w:p>
        </w:tc>
      </w:tr>
      <w:tr w:rsidR="00A878AE" w:rsidRPr="00A878AE" w:rsidTr="00DC26E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20" w:type="dxa"/>
            <w:noWrap/>
            <w:hideMark/>
          </w:tcPr>
          <w:p w:rsidR="00A878AE" w:rsidRPr="00A878AE" w:rsidRDefault="00A878AE" w:rsidP="00A878AE">
            <w:pPr>
              <w:rPr>
                <w:rFonts w:eastAsia="Times New Roman" w:cs="Calibri"/>
                <w:color w:val="000000"/>
              </w:rPr>
            </w:pPr>
            <w:r w:rsidRPr="00A878AE">
              <w:rPr>
                <w:rFonts w:eastAsia="Times New Roman" w:cs="Calibri"/>
                <w:color w:val="000000"/>
              </w:rPr>
              <w:t>Does formula differ by programmatic use?</w:t>
            </w:r>
          </w:p>
        </w:tc>
        <w:tc>
          <w:tcPr>
            <w:tcW w:w="2000" w:type="dxa"/>
            <w:hideMark/>
          </w:tcPr>
          <w:p w:rsidR="00A878AE" w:rsidRPr="00A878AE" w:rsidRDefault="00A878AE" w:rsidP="00A878AE">
            <w:pP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A878AE">
              <w:rPr>
                <w:rFonts w:eastAsia="Times New Roman" w:cs="Calibri"/>
                <w:color w:val="000000"/>
              </w:rPr>
              <w:t>Yes</w:t>
            </w:r>
          </w:p>
        </w:tc>
        <w:tc>
          <w:tcPr>
            <w:tcW w:w="3648" w:type="dxa"/>
            <w:hideMark/>
          </w:tcPr>
          <w:p w:rsidR="00A878AE" w:rsidRPr="00A878AE" w:rsidRDefault="00A878AE" w:rsidP="00A878AE">
            <w:pP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A878AE">
              <w:rPr>
                <w:rFonts w:eastAsia="Times New Roman" w:cs="Calibri"/>
                <w:color w:val="000000"/>
              </w:rPr>
              <w:t>No</w:t>
            </w:r>
          </w:p>
        </w:tc>
      </w:tr>
      <w:tr w:rsidR="00A878AE" w:rsidRPr="00A878AE" w:rsidTr="00DC26E5">
        <w:trPr>
          <w:trHeight w:val="259"/>
        </w:trPr>
        <w:tc>
          <w:tcPr>
            <w:cnfStyle w:val="001000000000" w:firstRow="0" w:lastRow="0" w:firstColumn="1" w:lastColumn="0" w:oddVBand="0" w:evenVBand="0" w:oddHBand="0" w:evenHBand="0" w:firstRowFirstColumn="0" w:firstRowLastColumn="0" w:lastRowFirstColumn="0" w:lastRowLastColumn="0"/>
            <w:tcW w:w="3820" w:type="dxa"/>
            <w:noWrap/>
            <w:hideMark/>
          </w:tcPr>
          <w:p w:rsidR="00A878AE" w:rsidRPr="00A878AE" w:rsidRDefault="00A878AE" w:rsidP="00A878AE">
            <w:pPr>
              <w:rPr>
                <w:rFonts w:eastAsia="Times New Roman" w:cs="Calibri"/>
                <w:color w:val="000000"/>
              </w:rPr>
            </w:pPr>
            <w:r w:rsidRPr="00A878AE">
              <w:rPr>
                <w:rFonts w:eastAsia="Times New Roman" w:cs="Calibri"/>
                <w:color w:val="000000"/>
              </w:rPr>
              <w:t>K-3 class size limit?</w:t>
            </w:r>
          </w:p>
        </w:tc>
        <w:tc>
          <w:tcPr>
            <w:tcW w:w="2000" w:type="dxa"/>
            <w:hideMark/>
          </w:tcPr>
          <w:p w:rsidR="00A878AE" w:rsidRPr="00A878AE" w:rsidRDefault="00A878AE" w:rsidP="00A878AE">
            <w:pP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A878AE">
              <w:rPr>
                <w:rFonts w:eastAsia="Times New Roman" w:cs="Calibri"/>
                <w:color w:val="000000"/>
              </w:rPr>
              <w:t xml:space="preserve">20 pupils </w:t>
            </w:r>
          </w:p>
        </w:tc>
        <w:tc>
          <w:tcPr>
            <w:tcW w:w="3648" w:type="dxa"/>
            <w:hideMark/>
          </w:tcPr>
          <w:p w:rsidR="00A878AE" w:rsidRPr="00A878AE" w:rsidRDefault="00A878AE" w:rsidP="00A878AE">
            <w:pP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A878AE">
              <w:rPr>
                <w:rFonts w:eastAsia="Times New Roman" w:cs="Calibri"/>
                <w:color w:val="000000"/>
              </w:rPr>
              <w:t>No</w:t>
            </w:r>
          </w:p>
        </w:tc>
      </w:tr>
      <w:tr w:rsidR="00A878AE" w:rsidRPr="00A878AE" w:rsidTr="00DC26E5">
        <w:trPr>
          <w:cnfStyle w:val="000000100000" w:firstRow="0" w:lastRow="0" w:firstColumn="0" w:lastColumn="0" w:oddVBand="0" w:evenVBand="0" w:oddHBand="1"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3820" w:type="dxa"/>
            <w:noWrap/>
            <w:hideMark/>
          </w:tcPr>
          <w:p w:rsidR="00A878AE" w:rsidRPr="00A878AE" w:rsidRDefault="00A878AE" w:rsidP="00A878AE">
            <w:pPr>
              <w:rPr>
                <w:rFonts w:eastAsia="Times New Roman" w:cs="Calibri"/>
                <w:color w:val="000000"/>
              </w:rPr>
            </w:pPr>
            <w:r w:rsidRPr="00A878AE">
              <w:rPr>
                <w:rFonts w:eastAsia="Times New Roman" w:cs="Calibri"/>
                <w:color w:val="000000"/>
              </w:rPr>
              <w:t>Does formula differ for SPED?</w:t>
            </w:r>
          </w:p>
        </w:tc>
        <w:tc>
          <w:tcPr>
            <w:tcW w:w="2000" w:type="dxa"/>
            <w:hideMark/>
          </w:tcPr>
          <w:p w:rsidR="00A878AE" w:rsidRPr="00A878AE" w:rsidRDefault="00A878AE" w:rsidP="00A878AE">
            <w:pP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A878AE">
              <w:rPr>
                <w:rFonts w:eastAsia="Times New Roman" w:cs="Calibri"/>
                <w:color w:val="000000"/>
              </w:rPr>
              <w:t>Yes</w:t>
            </w:r>
          </w:p>
        </w:tc>
        <w:tc>
          <w:tcPr>
            <w:tcW w:w="3648" w:type="dxa"/>
            <w:hideMark/>
          </w:tcPr>
          <w:p w:rsidR="00A878AE" w:rsidRPr="00A878AE" w:rsidRDefault="00A878AE" w:rsidP="00A878AE">
            <w:pP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A878AE">
              <w:rPr>
                <w:rFonts w:eastAsia="Times New Roman" w:cs="Calibri"/>
                <w:color w:val="000000"/>
              </w:rPr>
              <w:t>Combined with Ancillary space allotment 25% of total classroom space</w:t>
            </w:r>
          </w:p>
        </w:tc>
      </w:tr>
      <w:tr w:rsidR="00A878AE" w:rsidRPr="00A878AE" w:rsidTr="00DC26E5">
        <w:trPr>
          <w:trHeight w:val="250"/>
        </w:trPr>
        <w:tc>
          <w:tcPr>
            <w:cnfStyle w:val="001000000000" w:firstRow="0" w:lastRow="0" w:firstColumn="1" w:lastColumn="0" w:oddVBand="0" w:evenVBand="0" w:oddHBand="0" w:evenHBand="0" w:firstRowFirstColumn="0" w:firstRowLastColumn="0" w:lastRowFirstColumn="0" w:lastRowLastColumn="0"/>
            <w:tcW w:w="3820" w:type="dxa"/>
            <w:noWrap/>
            <w:hideMark/>
          </w:tcPr>
          <w:p w:rsidR="00A878AE" w:rsidRPr="00A878AE" w:rsidRDefault="00A878AE" w:rsidP="00A878AE">
            <w:pPr>
              <w:rPr>
                <w:rFonts w:eastAsia="Times New Roman" w:cs="Calibri"/>
                <w:color w:val="000000"/>
              </w:rPr>
            </w:pPr>
            <w:r w:rsidRPr="00A878AE">
              <w:rPr>
                <w:rFonts w:eastAsia="Times New Roman" w:cs="Calibri"/>
                <w:color w:val="000000"/>
              </w:rPr>
              <w:t>Minimum sq. ft. for classroom</w:t>
            </w:r>
          </w:p>
        </w:tc>
        <w:tc>
          <w:tcPr>
            <w:tcW w:w="2000" w:type="dxa"/>
            <w:hideMark/>
          </w:tcPr>
          <w:p w:rsidR="00A878AE" w:rsidRPr="00A878AE" w:rsidRDefault="00A878AE" w:rsidP="00A878AE">
            <w:pP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A878AE">
              <w:rPr>
                <w:rFonts w:eastAsia="Times New Roman" w:cs="Calibri"/>
                <w:color w:val="000000"/>
              </w:rPr>
              <w:t>500 square feet</w:t>
            </w:r>
          </w:p>
        </w:tc>
        <w:tc>
          <w:tcPr>
            <w:tcW w:w="3648" w:type="dxa"/>
            <w:hideMark/>
          </w:tcPr>
          <w:p w:rsidR="00A878AE" w:rsidRPr="00A878AE" w:rsidRDefault="00A878AE" w:rsidP="00A878AE">
            <w:pPr>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A878AE">
              <w:rPr>
                <w:rFonts w:eastAsia="Times New Roman" w:cs="Calibri"/>
                <w:color w:val="000000"/>
              </w:rPr>
              <w:t>N/A</w:t>
            </w:r>
          </w:p>
        </w:tc>
      </w:tr>
      <w:tr w:rsidR="00A878AE" w:rsidRPr="00A878AE" w:rsidTr="00DC26E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20" w:type="dxa"/>
            <w:noWrap/>
            <w:hideMark/>
          </w:tcPr>
          <w:p w:rsidR="00A878AE" w:rsidRPr="00A878AE" w:rsidRDefault="00A878AE" w:rsidP="00A878AE">
            <w:pPr>
              <w:rPr>
                <w:rFonts w:eastAsia="Times New Roman" w:cs="Calibri"/>
                <w:color w:val="000000"/>
              </w:rPr>
            </w:pPr>
            <w:r w:rsidRPr="00A878AE">
              <w:rPr>
                <w:rFonts w:eastAsia="Times New Roman" w:cs="Calibri"/>
                <w:color w:val="000000"/>
              </w:rPr>
              <w:t>Parent room?</w:t>
            </w:r>
          </w:p>
        </w:tc>
        <w:tc>
          <w:tcPr>
            <w:tcW w:w="2000" w:type="dxa"/>
            <w:hideMark/>
          </w:tcPr>
          <w:p w:rsidR="00A878AE" w:rsidRPr="00A878AE" w:rsidRDefault="00A878AE" w:rsidP="00A878AE">
            <w:pP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A878AE">
              <w:rPr>
                <w:rFonts w:eastAsia="Times New Roman" w:cs="Calibri"/>
                <w:color w:val="000000"/>
              </w:rPr>
              <w:t>Yes</w:t>
            </w:r>
          </w:p>
        </w:tc>
        <w:tc>
          <w:tcPr>
            <w:tcW w:w="3648" w:type="dxa"/>
            <w:hideMark/>
          </w:tcPr>
          <w:p w:rsidR="00A878AE" w:rsidRPr="00A878AE" w:rsidRDefault="00A878AE" w:rsidP="00A878AE">
            <w:pP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A878AE">
              <w:rPr>
                <w:rFonts w:eastAsia="Times New Roman" w:cs="Calibri"/>
                <w:color w:val="000000"/>
              </w:rPr>
              <w:t>Does not account for</w:t>
            </w:r>
          </w:p>
        </w:tc>
      </w:tr>
      <w:tr w:rsidR="00A878AE" w:rsidRPr="00A878AE" w:rsidTr="00DC26E5">
        <w:trPr>
          <w:trHeight w:val="300"/>
        </w:trPr>
        <w:tc>
          <w:tcPr>
            <w:cnfStyle w:val="001000000000" w:firstRow="0" w:lastRow="0" w:firstColumn="1" w:lastColumn="0" w:oddVBand="0" w:evenVBand="0" w:oddHBand="0" w:evenHBand="0" w:firstRowFirstColumn="0" w:firstRowLastColumn="0" w:lastRowFirstColumn="0" w:lastRowLastColumn="0"/>
            <w:tcW w:w="3820" w:type="dxa"/>
            <w:noWrap/>
            <w:hideMark/>
          </w:tcPr>
          <w:p w:rsidR="00A878AE" w:rsidRPr="00A878AE" w:rsidRDefault="00A878AE" w:rsidP="00A878AE">
            <w:pPr>
              <w:rPr>
                <w:rFonts w:eastAsia="Times New Roman" w:cs="Calibri"/>
                <w:color w:val="000000"/>
              </w:rPr>
            </w:pPr>
            <w:r w:rsidRPr="00A878AE">
              <w:rPr>
                <w:rFonts w:eastAsia="Times New Roman" w:cs="Calibri"/>
                <w:color w:val="000000"/>
              </w:rPr>
              <w:t>Teacher Prep Room?</w:t>
            </w:r>
          </w:p>
        </w:tc>
        <w:tc>
          <w:tcPr>
            <w:tcW w:w="2000" w:type="dxa"/>
            <w:hideMark/>
          </w:tcPr>
          <w:p w:rsidR="00A878AE" w:rsidRPr="00A878AE" w:rsidRDefault="00A878AE" w:rsidP="00A878AE">
            <w:pP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A878AE">
              <w:rPr>
                <w:rFonts w:eastAsia="Times New Roman" w:cs="Calibri"/>
                <w:color w:val="000000"/>
              </w:rPr>
              <w:t>Yes</w:t>
            </w:r>
          </w:p>
        </w:tc>
        <w:tc>
          <w:tcPr>
            <w:tcW w:w="3648" w:type="dxa"/>
            <w:hideMark/>
          </w:tcPr>
          <w:p w:rsidR="00A878AE" w:rsidRPr="00A878AE" w:rsidRDefault="00A878AE" w:rsidP="00A878AE">
            <w:pP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A878AE">
              <w:rPr>
                <w:rFonts w:eastAsia="Times New Roman" w:cs="Calibri"/>
                <w:color w:val="000000"/>
              </w:rPr>
              <w:t>Does not account for</w:t>
            </w:r>
          </w:p>
        </w:tc>
      </w:tr>
      <w:tr w:rsidR="00A878AE" w:rsidRPr="00A878AE" w:rsidTr="00DC26E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820" w:type="dxa"/>
            <w:noWrap/>
            <w:hideMark/>
          </w:tcPr>
          <w:p w:rsidR="00A878AE" w:rsidRPr="00A878AE" w:rsidRDefault="00A878AE" w:rsidP="00A878AE">
            <w:pPr>
              <w:rPr>
                <w:rFonts w:eastAsia="Times New Roman" w:cs="Calibri"/>
                <w:color w:val="000000"/>
              </w:rPr>
            </w:pPr>
            <w:r w:rsidRPr="00A878AE">
              <w:rPr>
                <w:rFonts w:eastAsia="Times New Roman" w:cs="Calibri"/>
                <w:color w:val="000000"/>
              </w:rPr>
              <w:t>Specialty rooms?</w:t>
            </w:r>
          </w:p>
        </w:tc>
        <w:tc>
          <w:tcPr>
            <w:tcW w:w="2000" w:type="dxa"/>
            <w:hideMark/>
          </w:tcPr>
          <w:p w:rsidR="00A878AE" w:rsidRPr="00A878AE" w:rsidRDefault="00A878AE" w:rsidP="00A878AE">
            <w:pP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A878AE">
              <w:rPr>
                <w:rFonts w:eastAsia="Times New Roman" w:cs="Calibri"/>
                <w:color w:val="000000"/>
              </w:rPr>
              <w:t>Yes</w:t>
            </w:r>
          </w:p>
        </w:tc>
        <w:tc>
          <w:tcPr>
            <w:tcW w:w="3648" w:type="dxa"/>
            <w:hideMark/>
          </w:tcPr>
          <w:p w:rsidR="00A878AE" w:rsidRPr="00A878AE" w:rsidRDefault="00A878AE" w:rsidP="00A878AE">
            <w:pPr>
              <w:cnfStyle w:val="000000100000" w:firstRow="0" w:lastRow="0" w:firstColumn="0" w:lastColumn="0" w:oddVBand="0" w:evenVBand="0" w:oddHBand="1" w:evenHBand="0" w:firstRowFirstColumn="0" w:firstRowLastColumn="0" w:lastRowFirstColumn="0" w:lastRowLastColumn="0"/>
              <w:rPr>
                <w:rFonts w:eastAsia="Times New Roman" w:cs="Calibri"/>
                <w:color w:val="000000"/>
              </w:rPr>
            </w:pPr>
            <w:r w:rsidRPr="00A878AE">
              <w:rPr>
                <w:rFonts w:eastAsia="Times New Roman" w:cs="Calibri"/>
                <w:color w:val="000000"/>
              </w:rPr>
              <w:t>Does not account for</w:t>
            </w:r>
          </w:p>
        </w:tc>
      </w:tr>
      <w:tr w:rsidR="00A878AE" w:rsidRPr="00A878AE" w:rsidTr="00DC26E5">
        <w:trPr>
          <w:trHeight w:val="300"/>
        </w:trPr>
        <w:tc>
          <w:tcPr>
            <w:cnfStyle w:val="001000000000" w:firstRow="0" w:lastRow="0" w:firstColumn="1" w:lastColumn="0" w:oddVBand="0" w:evenVBand="0" w:oddHBand="0" w:evenHBand="0" w:firstRowFirstColumn="0" w:firstRowLastColumn="0" w:lastRowFirstColumn="0" w:lastRowLastColumn="0"/>
            <w:tcW w:w="3820" w:type="dxa"/>
            <w:noWrap/>
            <w:hideMark/>
          </w:tcPr>
          <w:p w:rsidR="00A878AE" w:rsidRPr="00A878AE" w:rsidRDefault="00A878AE" w:rsidP="00A878AE">
            <w:pPr>
              <w:rPr>
                <w:rFonts w:eastAsia="Times New Roman" w:cs="Calibri"/>
                <w:color w:val="000000"/>
              </w:rPr>
            </w:pPr>
            <w:r w:rsidRPr="00A878AE">
              <w:rPr>
                <w:rFonts w:eastAsia="Times New Roman" w:cs="Calibri"/>
                <w:color w:val="000000"/>
              </w:rPr>
              <w:t>Different formula for ES, MS &amp; HS?</w:t>
            </w:r>
          </w:p>
        </w:tc>
        <w:tc>
          <w:tcPr>
            <w:tcW w:w="2000" w:type="dxa"/>
            <w:hideMark/>
          </w:tcPr>
          <w:p w:rsidR="00A878AE" w:rsidRPr="00A878AE" w:rsidRDefault="00A878AE" w:rsidP="00A878AE">
            <w:pP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A878AE">
              <w:rPr>
                <w:rFonts w:eastAsia="Times New Roman" w:cs="Calibri"/>
                <w:color w:val="000000"/>
              </w:rPr>
              <w:t>Yes</w:t>
            </w:r>
          </w:p>
        </w:tc>
        <w:tc>
          <w:tcPr>
            <w:tcW w:w="3648" w:type="dxa"/>
            <w:hideMark/>
          </w:tcPr>
          <w:p w:rsidR="00A878AE" w:rsidRPr="00A878AE" w:rsidRDefault="00A878AE" w:rsidP="00A878AE">
            <w:pPr>
              <w:cnfStyle w:val="000000000000" w:firstRow="0" w:lastRow="0" w:firstColumn="0" w:lastColumn="0" w:oddVBand="0" w:evenVBand="0" w:oddHBand="0" w:evenHBand="0" w:firstRowFirstColumn="0" w:firstRowLastColumn="0" w:lastRowFirstColumn="0" w:lastRowLastColumn="0"/>
              <w:rPr>
                <w:rFonts w:eastAsia="Times New Roman" w:cs="Calibri"/>
                <w:color w:val="000000"/>
              </w:rPr>
            </w:pPr>
            <w:r w:rsidRPr="00A878AE">
              <w:rPr>
                <w:rFonts w:eastAsia="Times New Roman" w:cs="Calibri"/>
                <w:color w:val="000000"/>
              </w:rPr>
              <w:t>No</w:t>
            </w:r>
          </w:p>
        </w:tc>
      </w:tr>
    </w:tbl>
    <w:p w:rsidR="00A878AE" w:rsidRPr="00B06BD5" w:rsidRDefault="00A878AE" w:rsidP="00B06BD5">
      <w:pPr>
        <w:spacing w:after="0"/>
        <w:ind w:firstLine="720"/>
        <w:rPr>
          <w:rFonts w:eastAsiaTheme="minorEastAsia"/>
          <w:color w:val="000000"/>
          <w:sz w:val="20"/>
          <w:szCs w:val="20"/>
        </w:rPr>
      </w:pPr>
      <w:r w:rsidRPr="00B06BD5">
        <w:rPr>
          <w:rFonts w:eastAsiaTheme="minorEastAsia"/>
          <w:color w:val="000000"/>
          <w:sz w:val="20"/>
          <w:szCs w:val="20"/>
        </w:rPr>
        <w:t xml:space="preserve">Source: Chicago Educational Facilities Taskforce </w:t>
      </w:r>
      <w:r w:rsidR="00B06BD5" w:rsidRPr="00B06BD5">
        <w:rPr>
          <w:rStyle w:val="FootnoteReference"/>
          <w:rFonts w:eastAsiaTheme="minorEastAsia"/>
          <w:color w:val="000000"/>
          <w:sz w:val="20"/>
          <w:szCs w:val="20"/>
        </w:rPr>
        <w:footnoteReference w:id="4"/>
      </w:r>
    </w:p>
    <w:p w:rsidR="0093713B" w:rsidRPr="00A878AE" w:rsidRDefault="0093713B" w:rsidP="00E42DB5">
      <w:pPr>
        <w:spacing w:after="0"/>
        <w:ind w:firstLine="360"/>
        <w:rPr>
          <w:rFonts w:eastAsiaTheme="minorEastAsia"/>
          <w:color w:val="000000"/>
          <w:sz w:val="24"/>
          <w:szCs w:val="24"/>
        </w:rPr>
      </w:pPr>
    </w:p>
    <w:p w:rsidR="00F52857" w:rsidRPr="00A878AE" w:rsidRDefault="00AF7BA6" w:rsidP="00E42DB5">
      <w:pPr>
        <w:spacing w:after="0"/>
        <w:ind w:firstLine="360"/>
        <w:rPr>
          <w:rFonts w:eastAsiaTheme="minorEastAsia"/>
          <w:color w:val="000000"/>
          <w:sz w:val="24"/>
          <w:szCs w:val="24"/>
        </w:rPr>
      </w:pPr>
      <w:r>
        <w:rPr>
          <w:rFonts w:eastAsiaTheme="minorEastAsia"/>
          <w:color w:val="000000"/>
          <w:sz w:val="24"/>
          <w:szCs w:val="24"/>
        </w:rPr>
        <w:t xml:space="preserve">The former Laura Ward building </w:t>
      </w:r>
      <w:r w:rsidR="00F52857" w:rsidRPr="00A878AE">
        <w:rPr>
          <w:rFonts w:eastAsiaTheme="minorEastAsia"/>
          <w:color w:val="000000"/>
          <w:sz w:val="24"/>
          <w:szCs w:val="24"/>
        </w:rPr>
        <w:t>which is now vacant</w:t>
      </w:r>
      <w:r>
        <w:rPr>
          <w:rFonts w:eastAsiaTheme="minorEastAsia"/>
          <w:color w:val="000000"/>
          <w:sz w:val="24"/>
          <w:szCs w:val="24"/>
        </w:rPr>
        <w:t xml:space="preserve"> </w:t>
      </w:r>
      <w:r w:rsidR="00236B04" w:rsidRPr="00A878AE">
        <w:rPr>
          <w:rFonts w:eastAsiaTheme="minorEastAsia"/>
          <w:color w:val="000000"/>
          <w:sz w:val="24"/>
          <w:szCs w:val="24"/>
        </w:rPr>
        <w:t>as their students were re-assigned to the Ryerson building</w:t>
      </w:r>
      <w:r w:rsidR="00F52857" w:rsidRPr="00A878AE">
        <w:rPr>
          <w:rFonts w:eastAsiaTheme="minorEastAsia"/>
          <w:color w:val="000000"/>
          <w:sz w:val="24"/>
          <w:szCs w:val="24"/>
        </w:rPr>
        <w:t>, had a capacity for 720 students versus Ryerson’s capacity of 690 students, according to CPS</w:t>
      </w:r>
      <w:r w:rsidR="00B06BD5">
        <w:rPr>
          <w:rFonts w:eastAsiaTheme="minorEastAsia"/>
          <w:color w:val="000000"/>
          <w:sz w:val="24"/>
          <w:szCs w:val="24"/>
        </w:rPr>
        <w:fldChar w:fldCharType="begin"/>
      </w:r>
      <w:r w:rsidR="00B06BD5">
        <w:rPr>
          <w:rFonts w:eastAsiaTheme="minorEastAsia"/>
          <w:color w:val="000000"/>
          <w:sz w:val="24"/>
          <w:szCs w:val="24"/>
        </w:rPr>
        <w:instrText xml:space="preserve"> NOTEREF _Ref391733050 \f \h </w:instrText>
      </w:r>
      <w:r w:rsidR="00B06BD5">
        <w:rPr>
          <w:rFonts w:eastAsiaTheme="minorEastAsia"/>
          <w:color w:val="000000"/>
          <w:sz w:val="24"/>
          <w:szCs w:val="24"/>
        </w:rPr>
      </w:r>
      <w:r w:rsidR="00B06BD5">
        <w:rPr>
          <w:rFonts w:eastAsiaTheme="minorEastAsia"/>
          <w:color w:val="000000"/>
          <w:sz w:val="24"/>
          <w:szCs w:val="24"/>
        </w:rPr>
        <w:fldChar w:fldCharType="separate"/>
      </w:r>
      <w:r w:rsidR="00B06BD5" w:rsidRPr="00B06BD5">
        <w:rPr>
          <w:rStyle w:val="FootnoteReference"/>
        </w:rPr>
        <w:t>3</w:t>
      </w:r>
      <w:r w:rsidR="00B06BD5">
        <w:rPr>
          <w:rFonts w:eastAsiaTheme="minorEastAsia"/>
          <w:color w:val="000000"/>
          <w:sz w:val="24"/>
          <w:szCs w:val="24"/>
        </w:rPr>
        <w:fldChar w:fldCharType="end"/>
      </w:r>
      <w:r w:rsidR="00F52857" w:rsidRPr="00A878AE">
        <w:rPr>
          <w:rFonts w:eastAsiaTheme="minorEastAsia"/>
          <w:color w:val="000000"/>
          <w:sz w:val="24"/>
          <w:szCs w:val="24"/>
        </w:rPr>
        <w:t xml:space="preserve">. Due to the consolidation, in School Year </w:t>
      </w:r>
      <w:r w:rsidR="00236B04" w:rsidRPr="00A878AE">
        <w:rPr>
          <w:rFonts w:eastAsiaTheme="minorEastAsia"/>
          <w:color w:val="000000"/>
          <w:sz w:val="24"/>
          <w:szCs w:val="24"/>
        </w:rPr>
        <w:t>2012-</w:t>
      </w:r>
      <w:r w:rsidR="002F77E7">
        <w:rPr>
          <w:rFonts w:eastAsiaTheme="minorEastAsia"/>
          <w:color w:val="000000"/>
          <w:sz w:val="24"/>
          <w:szCs w:val="24"/>
        </w:rPr>
        <w:t xml:space="preserve">2013, the “new” Laura Ward, the consolidated Ryerson and </w:t>
      </w:r>
      <w:r>
        <w:rPr>
          <w:rFonts w:eastAsiaTheme="minorEastAsia"/>
          <w:color w:val="000000"/>
          <w:sz w:val="24"/>
          <w:szCs w:val="24"/>
        </w:rPr>
        <w:t>Laura</w:t>
      </w:r>
      <w:r w:rsidR="002F77E7">
        <w:rPr>
          <w:rFonts w:eastAsiaTheme="minorEastAsia"/>
          <w:color w:val="000000"/>
          <w:sz w:val="24"/>
          <w:szCs w:val="24"/>
        </w:rPr>
        <w:t xml:space="preserve"> Ward schools, </w:t>
      </w:r>
      <w:r w:rsidR="00F52857" w:rsidRPr="00A878AE">
        <w:rPr>
          <w:rFonts w:eastAsiaTheme="minorEastAsia"/>
          <w:color w:val="000000"/>
          <w:sz w:val="24"/>
          <w:szCs w:val="24"/>
        </w:rPr>
        <w:t>no longer has space for many of the programs offered at the former Ryerson, and has a CPS utilization rate of 100%</w:t>
      </w:r>
      <w:r>
        <w:rPr>
          <w:rFonts w:eastAsiaTheme="minorEastAsia"/>
          <w:color w:val="000000"/>
          <w:sz w:val="24"/>
          <w:szCs w:val="24"/>
        </w:rPr>
        <w:t xml:space="preserve"> (overcrowded)</w:t>
      </w:r>
      <w:r w:rsidR="00F52857" w:rsidRPr="00A878AE">
        <w:rPr>
          <w:rFonts w:eastAsiaTheme="minorEastAsia"/>
          <w:color w:val="000000"/>
          <w:sz w:val="24"/>
          <w:szCs w:val="24"/>
        </w:rPr>
        <w:t xml:space="preserve">. </w:t>
      </w:r>
      <w:r w:rsidR="00D03653" w:rsidRPr="00A878AE">
        <w:rPr>
          <w:rFonts w:eastAsiaTheme="minorEastAsia"/>
          <w:color w:val="000000"/>
          <w:sz w:val="24"/>
          <w:szCs w:val="24"/>
        </w:rPr>
        <w:t xml:space="preserve">The closure resulted in less program space, conflict between students, and conditions that can compromise the previous learning conditions for these two school communities. </w:t>
      </w:r>
      <w:r w:rsidR="00F52857" w:rsidRPr="00A878AE">
        <w:rPr>
          <w:rFonts w:eastAsiaTheme="minorEastAsia"/>
          <w:color w:val="000000"/>
          <w:sz w:val="24"/>
          <w:szCs w:val="24"/>
        </w:rPr>
        <w:t xml:space="preserve">  </w:t>
      </w:r>
    </w:p>
    <w:p w:rsidR="0087005D" w:rsidRPr="00A878AE" w:rsidRDefault="0087005D" w:rsidP="00E42DB5">
      <w:pPr>
        <w:spacing w:after="0"/>
        <w:ind w:firstLine="360"/>
        <w:rPr>
          <w:rFonts w:eastAsiaTheme="minorEastAsia"/>
          <w:color w:val="000000"/>
          <w:sz w:val="24"/>
          <w:szCs w:val="24"/>
        </w:rPr>
      </w:pPr>
    </w:p>
    <w:p w:rsidR="000326E2" w:rsidRPr="00A878AE" w:rsidRDefault="0087005D" w:rsidP="00AF7BA6">
      <w:pPr>
        <w:spacing w:after="0"/>
        <w:ind w:firstLine="360"/>
        <w:rPr>
          <w:rFonts w:cs="LiberationSerif"/>
          <w:sz w:val="24"/>
          <w:szCs w:val="24"/>
        </w:rPr>
      </w:pPr>
      <w:r w:rsidRPr="00A878AE">
        <w:rPr>
          <w:rFonts w:eastAsiaTheme="minorEastAsia"/>
          <w:color w:val="000000"/>
          <w:sz w:val="24"/>
          <w:szCs w:val="24"/>
        </w:rPr>
        <w:t xml:space="preserve">Moving low income African American children from high performing, efficiently utilized building </w:t>
      </w:r>
      <w:r w:rsidR="00D74C14" w:rsidRPr="00A878AE">
        <w:rPr>
          <w:rFonts w:eastAsiaTheme="minorEastAsia"/>
          <w:color w:val="000000"/>
          <w:sz w:val="24"/>
          <w:szCs w:val="24"/>
        </w:rPr>
        <w:t xml:space="preserve">with additional program space that support needs such as access to health care with health clinics, and spaces for parents to find employment and be connected to resources is limited when schools our consolidated and minimum space is left for opportunity and </w:t>
      </w:r>
      <w:r w:rsidR="008D2C81" w:rsidRPr="00A878AE">
        <w:rPr>
          <w:rFonts w:eastAsiaTheme="minorEastAsia"/>
          <w:color w:val="000000"/>
          <w:sz w:val="24"/>
          <w:szCs w:val="24"/>
        </w:rPr>
        <w:t>enhance</w:t>
      </w:r>
      <w:r w:rsidR="00D74C14" w:rsidRPr="00A878AE">
        <w:rPr>
          <w:rFonts w:eastAsiaTheme="minorEastAsia"/>
          <w:color w:val="000000"/>
          <w:sz w:val="24"/>
          <w:szCs w:val="24"/>
        </w:rPr>
        <w:t xml:space="preserve"> learning conditions. The massive school </w:t>
      </w:r>
      <w:r w:rsidR="008D2C81" w:rsidRPr="00A878AE">
        <w:rPr>
          <w:rFonts w:eastAsiaTheme="minorEastAsia"/>
          <w:color w:val="000000"/>
          <w:sz w:val="24"/>
          <w:szCs w:val="24"/>
        </w:rPr>
        <w:t>closures</w:t>
      </w:r>
      <w:r w:rsidR="00D74C14" w:rsidRPr="00A878AE">
        <w:rPr>
          <w:rFonts w:eastAsiaTheme="minorEastAsia"/>
          <w:color w:val="000000"/>
          <w:sz w:val="24"/>
          <w:szCs w:val="24"/>
        </w:rPr>
        <w:t xml:space="preserve"> of Chicago Public Schools in 2013 was </w:t>
      </w:r>
      <w:r w:rsidR="000326E2" w:rsidRPr="00A878AE">
        <w:rPr>
          <w:rFonts w:cs="LiberationSerif"/>
          <w:sz w:val="24"/>
          <w:szCs w:val="24"/>
        </w:rPr>
        <w:t xml:space="preserve">disproportionately </w:t>
      </w:r>
      <w:r w:rsidR="002F77E7">
        <w:rPr>
          <w:rFonts w:cs="LiberationSerif"/>
          <w:sz w:val="24"/>
          <w:szCs w:val="24"/>
        </w:rPr>
        <w:t>“</w:t>
      </w:r>
      <w:r w:rsidR="000326E2" w:rsidRPr="00A878AE">
        <w:rPr>
          <w:rFonts w:cs="LiberationSerif"/>
          <w:sz w:val="24"/>
          <w:szCs w:val="24"/>
        </w:rPr>
        <w:t xml:space="preserve">concentrated in poor residential areas </w:t>
      </w:r>
      <w:proofErr w:type="spellStart"/>
      <w:r w:rsidR="000326E2" w:rsidRPr="00A878AE">
        <w:rPr>
          <w:rFonts w:cs="LiberationSerif"/>
          <w:sz w:val="24"/>
          <w:szCs w:val="24"/>
        </w:rPr>
        <w:t>characterised</w:t>
      </w:r>
      <w:proofErr w:type="spellEnd"/>
      <w:r w:rsidR="000326E2" w:rsidRPr="00A878AE">
        <w:rPr>
          <w:rFonts w:cs="LiberationSerif"/>
          <w:sz w:val="24"/>
          <w:szCs w:val="24"/>
        </w:rPr>
        <w:t xml:space="preserve"> by sub-standard housing conditions, limited employment opportunities, inadequate access to health care facilities, under-resourced schools and high exposure to crime and violence</w:t>
      </w:r>
      <w:r w:rsidR="00D74C14" w:rsidRPr="00A878AE">
        <w:rPr>
          <w:rFonts w:cs="LiberationSerif"/>
          <w:sz w:val="24"/>
          <w:szCs w:val="24"/>
        </w:rPr>
        <w:t xml:space="preserve"> and </w:t>
      </w:r>
      <w:proofErr w:type="spellStart"/>
      <w:r w:rsidR="00D74C14" w:rsidRPr="00A878AE">
        <w:rPr>
          <w:rFonts w:cs="LiberationSerif"/>
          <w:sz w:val="24"/>
          <w:szCs w:val="24"/>
        </w:rPr>
        <w:t>defacto</w:t>
      </w:r>
      <w:proofErr w:type="spellEnd"/>
      <w:r w:rsidR="00D74C14" w:rsidRPr="00A878AE">
        <w:rPr>
          <w:rFonts w:cs="LiberationSerif"/>
          <w:sz w:val="24"/>
          <w:szCs w:val="24"/>
        </w:rPr>
        <w:t xml:space="preserve"> was increased </w:t>
      </w:r>
      <w:r w:rsidR="000326E2" w:rsidRPr="00A878AE">
        <w:rPr>
          <w:rFonts w:cs="LiberationSerif-Bold"/>
          <w:bCs/>
          <w:sz w:val="24"/>
          <w:szCs w:val="24"/>
        </w:rPr>
        <w:t>r</w:t>
      </w:r>
      <w:r w:rsidR="00D74C14" w:rsidRPr="00A878AE">
        <w:rPr>
          <w:rFonts w:cs="LiberationSerif-Bold"/>
          <w:bCs/>
          <w:sz w:val="24"/>
          <w:szCs w:val="24"/>
        </w:rPr>
        <w:t xml:space="preserve">acial inequalities in education and challenges the ever increasing </w:t>
      </w:r>
      <w:r w:rsidR="000326E2" w:rsidRPr="00A878AE">
        <w:rPr>
          <w:rFonts w:cs="LiberationSerif-Bold"/>
          <w:bCs/>
          <w:sz w:val="24"/>
          <w:szCs w:val="24"/>
        </w:rPr>
        <w:t xml:space="preserve">  </w:t>
      </w:r>
      <w:r w:rsidR="00517977" w:rsidRPr="00A878AE">
        <w:rPr>
          <w:rFonts w:cs="Times New Roman"/>
          <w:color w:val="000000"/>
          <w:sz w:val="24"/>
          <w:szCs w:val="24"/>
        </w:rPr>
        <w:t xml:space="preserve">“achievement gap.” </w:t>
      </w:r>
      <w:r w:rsidR="00D74C14" w:rsidRPr="00A878AE">
        <w:rPr>
          <w:rFonts w:cs="Times New Roman"/>
          <w:color w:val="000000"/>
          <w:sz w:val="24"/>
          <w:szCs w:val="24"/>
        </w:rPr>
        <w:t xml:space="preserve"> And is not best practice in addressing education issues for low income </w:t>
      </w:r>
      <w:r w:rsidR="002F77E7">
        <w:rPr>
          <w:rFonts w:cs="Times New Roman"/>
          <w:color w:val="000000"/>
          <w:sz w:val="24"/>
          <w:szCs w:val="24"/>
        </w:rPr>
        <w:t>African Americans.”</w:t>
      </w:r>
      <w:r w:rsidR="00517977" w:rsidRPr="00A878AE">
        <w:rPr>
          <w:rFonts w:cs="Times New Roman"/>
          <w:color w:val="000000"/>
          <w:sz w:val="24"/>
          <w:szCs w:val="24"/>
        </w:rPr>
        <w:t xml:space="preserve"> </w:t>
      </w:r>
      <w:r w:rsidR="002F77E7">
        <w:rPr>
          <w:rStyle w:val="FootnoteReference"/>
          <w:rFonts w:cs="Times New Roman"/>
          <w:color w:val="000000"/>
          <w:sz w:val="24"/>
          <w:szCs w:val="24"/>
        </w:rPr>
        <w:footnoteReference w:id="5"/>
      </w:r>
    </w:p>
    <w:p w:rsidR="000326E2" w:rsidRPr="00A878AE" w:rsidRDefault="000326E2" w:rsidP="000326E2">
      <w:pPr>
        <w:widowControl w:val="0"/>
        <w:autoSpaceDE w:val="0"/>
        <w:autoSpaceDN w:val="0"/>
        <w:adjustRightInd w:val="0"/>
        <w:spacing w:after="0" w:line="240" w:lineRule="auto"/>
        <w:rPr>
          <w:rFonts w:cs="Times New Roman"/>
          <w:smallCaps/>
          <w:sz w:val="24"/>
          <w:szCs w:val="24"/>
        </w:rPr>
      </w:pPr>
    </w:p>
    <w:p w:rsidR="00517977" w:rsidRPr="00A878AE" w:rsidRDefault="00517977" w:rsidP="000326E2">
      <w:pPr>
        <w:spacing w:after="240" w:line="23" w:lineRule="atLeast"/>
        <w:rPr>
          <w:rFonts w:cs="Times New Roman"/>
          <w:sz w:val="24"/>
          <w:szCs w:val="24"/>
        </w:rPr>
      </w:pPr>
      <w:r w:rsidRPr="00A878AE">
        <w:rPr>
          <w:rFonts w:cs="Times New Roman"/>
          <w:color w:val="000000"/>
          <w:sz w:val="24"/>
          <w:szCs w:val="24"/>
        </w:rPr>
        <w:t>The United States Government addressed several issues related to education in its 2013 Periodic Report to the Committee. In Article 3 of the Report, the Government described its efforts to address</w:t>
      </w:r>
      <w:r w:rsidRPr="00A878AE">
        <w:rPr>
          <w:rStyle w:val="apple-converted-space"/>
          <w:rFonts w:cs="Times New Roman"/>
          <w:color w:val="000000"/>
          <w:sz w:val="24"/>
          <w:szCs w:val="24"/>
        </w:rPr>
        <w:t> </w:t>
      </w:r>
      <w:r w:rsidRPr="00A878AE">
        <w:rPr>
          <w:rFonts w:cs="Times New Roman"/>
          <w:i/>
          <w:color w:val="000000"/>
          <w:sz w:val="24"/>
          <w:szCs w:val="24"/>
        </w:rPr>
        <w:t>de facto</w:t>
      </w:r>
      <w:r w:rsidRPr="00A878AE">
        <w:rPr>
          <w:rStyle w:val="apple-converted-space"/>
          <w:rFonts w:cs="Times New Roman"/>
          <w:color w:val="000000"/>
          <w:sz w:val="24"/>
          <w:szCs w:val="24"/>
        </w:rPr>
        <w:t> </w:t>
      </w:r>
      <w:r w:rsidRPr="00A878AE">
        <w:rPr>
          <w:rFonts w:cs="Times New Roman"/>
          <w:color w:val="000000"/>
          <w:sz w:val="24"/>
          <w:szCs w:val="24"/>
        </w:rPr>
        <w:t xml:space="preserve">racial segregation in schools under existing law. Additionally, the Government formed the Equity and Excellence Commission to combat the “achievement gap.” </w:t>
      </w:r>
      <w:r w:rsidR="002F77E7">
        <w:rPr>
          <w:rStyle w:val="FootnoteReference"/>
          <w:rFonts w:cs="Times New Roman"/>
          <w:color w:val="000000"/>
          <w:sz w:val="24"/>
          <w:szCs w:val="24"/>
        </w:rPr>
        <w:footnoteReference w:id="6"/>
      </w:r>
      <w:r w:rsidRPr="00A878AE">
        <w:rPr>
          <w:rFonts w:cs="Times New Roman"/>
          <w:color w:val="000000"/>
          <w:sz w:val="24"/>
          <w:szCs w:val="24"/>
        </w:rPr>
        <w:t>In Article 5 of the Report, the Government mentioned its promotion of non-discriminatory policies aimed at ensuring equality of economic, social, and cultural rights, including education.</w:t>
      </w:r>
      <w:r w:rsidR="002F77E7">
        <w:rPr>
          <w:rStyle w:val="FootnoteReference"/>
          <w:rFonts w:cs="Times New Roman"/>
          <w:color w:val="000000"/>
          <w:sz w:val="24"/>
          <w:szCs w:val="24"/>
        </w:rPr>
        <w:footnoteReference w:id="7"/>
      </w:r>
    </w:p>
    <w:p w:rsidR="00517977" w:rsidRPr="00A878AE" w:rsidDel="00572A76" w:rsidRDefault="00517977" w:rsidP="000326E2">
      <w:pPr>
        <w:spacing w:after="240" w:line="23" w:lineRule="atLeast"/>
        <w:rPr>
          <w:rFonts w:cs="Times New Roman"/>
          <w:sz w:val="24"/>
          <w:szCs w:val="24"/>
        </w:rPr>
      </w:pPr>
      <w:r w:rsidRPr="00A878AE">
        <w:rPr>
          <w:rFonts w:cs="Times New Roman"/>
          <w:sz w:val="24"/>
          <w:szCs w:val="24"/>
        </w:rPr>
        <w:t>Article 5 of the Convention provides that states “undertake to prohibit and to eliminate racial discrimination in all its forms and to guarantee the right of everyone . . . to equality before the law, notably in the enjoyment o</w:t>
      </w:r>
      <w:r w:rsidR="002F77E7">
        <w:rPr>
          <w:rFonts w:cs="Times New Roman"/>
          <w:sz w:val="24"/>
          <w:szCs w:val="24"/>
        </w:rPr>
        <w:t>f the . . . right to education.</w:t>
      </w:r>
      <w:r w:rsidR="002F77E7">
        <w:rPr>
          <w:rStyle w:val="FootnoteReference"/>
          <w:rFonts w:cs="Times New Roman"/>
          <w:sz w:val="24"/>
          <w:szCs w:val="24"/>
        </w:rPr>
        <w:footnoteReference w:id="8"/>
      </w:r>
      <w:r w:rsidRPr="00A878AE">
        <w:rPr>
          <w:rFonts w:cs="Times New Roman"/>
          <w:sz w:val="24"/>
          <w:szCs w:val="24"/>
        </w:rPr>
        <w:t xml:space="preserve"> In General Comment 13 on the International Convention on Economic, Social, and Cultural Rights, the Committee established that the right to education includes the right to a good quality and accessible education. States Parties fulfill the “acceptability” component of education “by taking positive measures to ensure that education is . . . of good quality for all.”</w:t>
      </w:r>
      <w:r w:rsidR="002F77E7">
        <w:rPr>
          <w:rStyle w:val="FootnoteReference"/>
          <w:rFonts w:cs="Times New Roman"/>
          <w:sz w:val="24"/>
          <w:szCs w:val="24"/>
        </w:rPr>
        <w:footnoteReference w:id="9"/>
      </w:r>
      <w:r w:rsidRPr="00A878AE">
        <w:rPr>
          <w:rFonts w:cs="Times New Roman"/>
          <w:sz w:val="24"/>
          <w:szCs w:val="24"/>
        </w:rPr>
        <w:t xml:space="preserve"> The “accessibility” component of education has three overlapping dimensions, non-discrimination, physical, and economic. States Parties fulfill the “non-discrimination” dimension by ensuring that education is accessible to all “especially the most vulnerable groups, in law and fact, without discrimination on</w:t>
      </w:r>
      <w:r w:rsidR="002F77E7">
        <w:rPr>
          <w:rFonts w:cs="Times New Roman"/>
          <w:sz w:val="24"/>
          <w:szCs w:val="24"/>
        </w:rPr>
        <w:t xml:space="preserve"> any of the prohibited grounds.</w:t>
      </w:r>
      <w:r w:rsidR="002F77E7">
        <w:rPr>
          <w:rStyle w:val="FootnoteReference"/>
          <w:rFonts w:cs="Times New Roman"/>
          <w:sz w:val="24"/>
          <w:szCs w:val="24"/>
        </w:rPr>
        <w:footnoteReference w:id="10"/>
      </w:r>
      <w:r w:rsidRPr="00A878AE">
        <w:rPr>
          <w:rFonts w:cs="Times New Roman"/>
          <w:sz w:val="24"/>
          <w:szCs w:val="24"/>
        </w:rPr>
        <w:t xml:space="preserve"> The school closings have disproportionately prevented African American students from receiving a good quality and accessible education because they have resulted in increased class sizes, harmed the learning environment of receiving schools, led to the wasteful use of resources, and have been unequally funded.</w:t>
      </w:r>
    </w:p>
    <w:p w:rsidR="000E1D94" w:rsidRDefault="00517977" w:rsidP="00EA44E0">
      <w:pPr>
        <w:rPr>
          <w:rFonts w:cs="Times New Roman"/>
          <w:sz w:val="24"/>
          <w:szCs w:val="24"/>
        </w:rPr>
      </w:pPr>
      <w:r w:rsidRPr="00A878AE">
        <w:rPr>
          <w:rFonts w:cs="Times New Roman"/>
          <w:sz w:val="24"/>
          <w:szCs w:val="24"/>
        </w:rPr>
        <w:t>The right to education includes the right to an equally accessible education free from discrimination in law and in fact.</w:t>
      </w:r>
      <w:bookmarkStart w:id="3" w:name="_Ref391911891"/>
      <w:r w:rsidR="002F77E7">
        <w:rPr>
          <w:rStyle w:val="FootnoteReference"/>
          <w:rFonts w:cs="Times New Roman"/>
          <w:sz w:val="24"/>
          <w:szCs w:val="24"/>
        </w:rPr>
        <w:footnoteReference w:id="11"/>
      </w:r>
      <w:bookmarkEnd w:id="3"/>
      <w:r w:rsidRPr="00A878AE">
        <w:rPr>
          <w:rFonts w:cs="Times New Roman"/>
          <w:sz w:val="24"/>
          <w:szCs w:val="24"/>
        </w:rPr>
        <w:t xml:space="preserve"> An accessible and nondiscriminatory education requires equitable spending policies for schools. General Comment 13 states: “Sharp disparities in spending policies that result in differing qualities of education for persons residing in different geographic locations may constitute discrimination.</w:t>
      </w:r>
      <w:r w:rsidR="00AF7BA6">
        <w:rPr>
          <w:rFonts w:cs="Times New Roman"/>
          <w:sz w:val="24"/>
          <w:szCs w:val="24"/>
        </w:rPr>
        <w:t xml:space="preserve">” </w:t>
      </w:r>
      <w:r w:rsidR="00AF7BA6">
        <w:rPr>
          <w:rFonts w:cs="Times New Roman"/>
          <w:sz w:val="24"/>
          <w:szCs w:val="24"/>
        </w:rPr>
        <w:fldChar w:fldCharType="begin"/>
      </w:r>
      <w:r w:rsidR="00AF7BA6">
        <w:rPr>
          <w:rStyle w:val="EndnoteReference"/>
          <w:rFonts w:cs="Times New Roman"/>
          <w:sz w:val="24"/>
          <w:szCs w:val="24"/>
        </w:rPr>
        <w:instrText xml:space="preserve"> NOTEREF _Ref391911891 \f \h </w:instrText>
      </w:r>
      <w:r w:rsidR="00AF7BA6">
        <w:rPr>
          <w:rFonts w:cs="Times New Roman"/>
          <w:sz w:val="24"/>
          <w:szCs w:val="24"/>
        </w:rPr>
      </w:r>
      <w:r w:rsidR="00AF7BA6">
        <w:rPr>
          <w:rFonts w:cs="Times New Roman"/>
          <w:sz w:val="24"/>
          <w:szCs w:val="24"/>
        </w:rPr>
        <w:fldChar w:fldCharType="separate"/>
      </w:r>
      <w:r w:rsidR="00AF7BA6" w:rsidRPr="00AF7BA6">
        <w:rPr>
          <w:rStyle w:val="FootnoteReference"/>
        </w:rPr>
        <w:t>11</w:t>
      </w:r>
      <w:r w:rsidR="00AF7BA6">
        <w:rPr>
          <w:rFonts w:cs="Times New Roman"/>
          <w:sz w:val="24"/>
          <w:szCs w:val="24"/>
        </w:rPr>
        <w:fldChar w:fldCharType="end"/>
      </w:r>
    </w:p>
    <w:p w:rsidR="00980032" w:rsidRPr="00A878AE" w:rsidRDefault="00AF7BA6" w:rsidP="00AF7BA6">
      <w:pPr>
        <w:rPr>
          <w:rFonts w:cs="Verdana-Bold"/>
          <w:sz w:val="24"/>
          <w:szCs w:val="24"/>
        </w:rPr>
      </w:pPr>
      <w:r>
        <w:rPr>
          <w:rFonts w:cs="Times New Roman"/>
          <w:sz w:val="24"/>
          <w:szCs w:val="24"/>
        </w:rPr>
        <w:t xml:space="preserve">Despite the advocacy of parents with City officials, Board of Education of Chicago Public Schools, and Illinois state legislators the policies of utilization as a means to close schools. School closures have impacted mostly African American low income children in Chicago, and despite research that shows these policies further harm children’s impacts the specific policies that in place that allow for closures have yet to changed. It is clear that the City of Chicago must reform school closure policies and </w:t>
      </w:r>
      <w:proofErr w:type="gramStart"/>
      <w:r>
        <w:rPr>
          <w:rFonts w:cs="Times New Roman"/>
          <w:sz w:val="24"/>
          <w:szCs w:val="24"/>
        </w:rPr>
        <w:t>limit</w:t>
      </w:r>
      <w:proofErr w:type="gramEnd"/>
      <w:r>
        <w:rPr>
          <w:rFonts w:cs="Times New Roman"/>
          <w:sz w:val="24"/>
          <w:szCs w:val="24"/>
        </w:rPr>
        <w:t xml:space="preserve"> their direct impact in low income communities of color. </w:t>
      </w:r>
      <w:r w:rsidR="00980032" w:rsidRPr="00A878AE">
        <w:rPr>
          <w:rFonts w:cs="Verdana-Bold"/>
          <w:sz w:val="24"/>
          <w:szCs w:val="24"/>
        </w:rPr>
        <w:t xml:space="preserve">Recommendations for the City to move forward to eliminate the </w:t>
      </w:r>
      <w:r w:rsidR="00A878AE" w:rsidRPr="00A878AE">
        <w:rPr>
          <w:rFonts w:cs="Verdana-Bold"/>
          <w:sz w:val="24"/>
          <w:szCs w:val="24"/>
        </w:rPr>
        <w:t>harmful</w:t>
      </w:r>
      <w:r w:rsidR="00980032" w:rsidRPr="00A878AE">
        <w:rPr>
          <w:rFonts w:cs="Verdana-Bold"/>
          <w:sz w:val="24"/>
          <w:szCs w:val="24"/>
        </w:rPr>
        <w:t xml:space="preserve"> school building actions</w:t>
      </w:r>
      <w:r w:rsidR="00A878AE" w:rsidRPr="00A878AE">
        <w:rPr>
          <w:rFonts w:cs="Verdana-Bold"/>
          <w:sz w:val="24"/>
          <w:szCs w:val="24"/>
        </w:rPr>
        <w:t xml:space="preserve"> that are conducted through policies</w:t>
      </w:r>
      <w:r w:rsidR="00980032" w:rsidRPr="00A878AE">
        <w:rPr>
          <w:rFonts w:cs="Verdana-Bold"/>
          <w:sz w:val="24"/>
          <w:szCs w:val="24"/>
        </w:rPr>
        <w:t xml:space="preserve">: </w:t>
      </w:r>
    </w:p>
    <w:p w:rsidR="00980032" w:rsidRPr="00A878AE" w:rsidRDefault="00980032" w:rsidP="00980032">
      <w:pPr>
        <w:spacing w:after="240" w:line="23" w:lineRule="atLeast"/>
        <w:rPr>
          <w:rFonts w:cs="Verdana-Bold"/>
          <w:sz w:val="24"/>
          <w:szCs w:val="24"/>
        </w:rPr>
      </w:pPr>
      <w:r w:rsidRPr="00A878AE">
        <w:rPr>
          <w:rFonts w:cs="Verdana-Bold"/>
          <w:sz w:val="24"/>
          <w:szCs w:val="24"/>
        </w:rPr>
        <w:t>-</w:t>
      </w:r>
      <w:r w:rsidRPr="00A878AE">
        <w:rPr>
          <w:rFonts w:cs="Verdana-Bold"/>
          <w:sz w:val="24"/>
          <w:szCs w:val="24"/>
        </w:rPr>
        <w:tab/>
        <w:t xml:space="preserve">CPS’ building facility planning must be substantively revised and based on broad public input, a reformed space utilization formula, corrected population and enrollment projections, and analysis of current and planned community and housing redevelopment to avoid haphazard building decisions such as closures and unnecessary construction in communities that do not need it as oppose to others.  </w:t>
      </w:r>
    </w:p>
    <w:p w:rsidR="00980032" w:rsidRPr="00A878AE" w:rsidRDefault="00980032" w:rsidP="00980032">
      <w:pPr>
        <w:spacing w:after="240" w:line="23" w:lineRule="atLeast"/>
        <w:rPr>
          <w:rFonts w:cs="Verdana-Bold"/>
          <w:sz w:val="24"/>
          <w:szCs w:val="24"/>
        </w:rPr>
      </w:pPr>
      <w:r w:rsidRPr="00A878AE">
        <w:rPr>
          <w:rFonts w:cs="Verdana-Bold"/>
          <w:sz w:val="24"/>
          <w:szCs w:val="24"/>
        </w:rPr>
        <w:t>-</w:t>
      </w:r>
      <w:r w:rsidRPr="00A878AE">
        <w:rPr>
          <w:rFonts w:cs="Verdana-Bold"/>
          <w:sz w:val="24"/>
          <w:szCs w:val="24"/>
        </w:rPr>
        <w:tab/>
        <w:t xml:space="preserve">CPS must change how school level facility needs and utilization is </w:t>
      </w:r>
      <w:proofErr w:type="gramStart"/>
      <w:r w:rsidRPr="00A878AE">
        <w:rPr>
          <w:rFonts w:cs="Verdana-Bold"/>
          <w:sz w:val="24"/>
          <w:szCs w:val="24"/>
        </w:rPr>
        <w:t>determine</w:t>
      </w:r>
      <w:proofErr w:type="gramEnd"/>
      <w:r w:rsidRPr="00A878AE">
        <w:rPr>
          <w:rFonts w:cs="Verdana-Bold"/>
          <w:sz w:val="24"/>
          <w:szCs w:val="24"/>
        </w:rPr>
        <w:t xml:space="preserve"> by using those in the buildings knowledge of needs and building use. CPS needs to re-calibrate its critically important Space Utilization standards by January 2015, and get their input on effective and instructionally-appropriate allocations of space and </w:t>
      </w:r>
      <w:proofErr w:type="gramStart"/>
      <w:r w:rsidRPr="00A878AE">
        <w:rPr>
          <w:rFonts w:cs="Verdana-Bold"/>
          <w:sz w:val="24"/>
          <w:szCs w:val="24"/>
        </w:rPr>
        <w:t>use  “</w:t>
      </w:r>
      <w:proofErr w:type="gramEnd"/>
      <w:r w:rsidRPr="00A878AE">
        <w:rPr>
          <w:rFonts w:cs="Verdana-Bold"/>
          <w:sz w:val="24"/>
          <w:szCs w:val="24"/>
        </w:rPr>
        <w:t xml:space="preserve">real time” input from Local School Councils and principal sat the beginning and end of every school year on how individual schools are utilizing available space and place to do so in the coming school year.  </w:t>
      </w:r>
    </w:p>
    <w:p w:rsidR="00980032" w:rsidRPr="00A878AE" w:rsidRDefault="00980032" w:rsidP="00980032">
      <w:pPr>
        <w:spacing w:after="240" w:line="23" w:lineRule="atLeast"/>
        <w:rPr>
          <w:rFonts w:cs="Verdana-Bold"/>
          <w:sz w:val="24"/>
          <w:szCs w:val="24"/>
        </w:rPr>
      </w:pPr>
      <w:r w:rsidRPr="00A878AE">
        <w:rPr>
          <w:rFonts w:cs="Verdana-Bold"/>
          <w:sz w:val="24"/>
          <w:szCs w:val="24"/>
        </w:rPr>
        <w:t>-</w:t>
      </w:r>
      <w:r w:rsidRPr="00A878AE">
        <w:rPr>
          <w:rFonts w:cs="Verdana-Bold"/>
          <w:sz w:val="24"/>
          <w:szCs w:val="24"/>
        </w:rPr>
        <w:tab/>
        <w:t>Chicago could and should initiate neighborhood redevelopment plans that target areas around existing school facility infrastructure, and specifically around those schools that have experienced declining enrollment due to housing stock decline, affordable housing shortages, and disinvestment.  Chicago can incentivize infill housing development and housing stock rehabilitation on the blocks surrounding existing school buildings that have additional classroom capacity and land and housing stock available for redevelopment. TIF districts can be found in every one of Chicago’s 50 Wards, and could be judiciously drawn upon for funding to encourage housing renovation of existing housing stock – another physical asset of the city – and geographically target development of new affordable family-occupancy housing stock.  The end result of more pro-active and targeted housing investment will be an expanding tax base for the City of Chicago, and the provision of decent housing for Chicago’s families.</w:t>
      </w:r>
    </w:p>
    <w:p w:rsidR="00980032" w:rsidRPr="00A878AE" w:rsidRDefault="00980032" w:rsidP="00980032">
      <w:pPr>
        <w:spacing w:after="240" w:line="23" w:lineRule="atLeast"/>
        <w:rPr>
          <w:rFonts w:cs="Verdana-Bold"/>
          <w:sz w:val="24"/>
          <w:szCs w:val="24"/>
        </w:rPr>
      </w:pPr>
      <w:r w:rsidRPr="00A878AE">
        <w:rPr>
          <w:rFonts w:cs="Verdana-Bold"/>
          <w:sz w:val="24"/>
          <w:szCs w:val="24"/>
        </w:rPr>
        <w:t xml:space="preserve">- Dissolve the State’s Charter School Authorizing Authority that will still allow a Charter school to receive a facility and funds despite being denied by the district and compromises available funds at the expensive of neighborhood schools. </w:t>
      </w:r>
    </w:p>
    <w:p w:rsidR="00980032" w:rsidRPr="00A878AE" w:rsidRDefault="00980032" w:rsidP="00980032">
      <w:pPr>
        <w:spacing w:after="240" w:line="23" w:lineRule="atLeast"/>
        <w:rPr>
          <w:rFonts w:cs="Verdana-Bold"/>
          <w:sz w:val="24"/>
          <w:szCs w:val="24"/>
        </w:rPr>
      </w:pPr>
      <w:r w:rsidRPr="00A878AE">
        <w:rPr>
          <w:rFonts w:cs="Verdana-Bold"/>
          <w:sz w:val="24"/>
          <w:szCs w:val="24"/>
        </w:rPr>
        <w:t>-  There needs to be an independent “School Planning &amp; Construction Authority the Authority would approve or reject school districts’ plans for new construction and major capital renovations and help districts with financing facilities construction and modernization, information management, educational facilities planning, and public engagement associated with best practice planning.</w:t>
      </w:r>
    </w:p>
    <w:p w:rsidR="00980032" w:rsidRDefault="00980032" w:rsidP="00980032">
      <w:pPr>
        <w:spacing w:after="240" w:line="23" w:lineRule="atLeast"/>
        <w:rPr>
          <w:rFonts w:ascii="Verdana-Bold" w:hAnsi="Verdana-Bold" w:cs="Verdana-Bold"/>
          <w:sz w:val="18"/>
          <w:szCs w:val="18"/>
        </w:rPr>
      </w:pPr>
      <w:r w:rsidRPr="00A878AE">
        <w:rPr>
          <w:rFonts w:cs="Verdana-Bold"/>
          <w:sz w:val="24"/>
          <w:szCs w:val="24"/>
        </w:rPr>
        <w:t>-  CPS should be required to provide 5 years of sustained, intensive academic and financial supports to current (and any future) non-Charter “Designated Welcoming Schools” and non-designated welcoming schools. Particularly when students are displaced and re-assigned to different schools as a result of CPS’ decisions to close, consolidate, or phase out a school (over more than one year), students need stable and continuing supports to help them progress educationally and make successful social and emotional adjustments.  One year of transition support is unlikely to be sufficient to ensure that all impacted students (as more broadly defined to include students in Welcoming Schools) will experience a successful transition. CPS has set the precedent of providing new charter schools and new Turnarounds with multi-year support.  It is only equitable that the same principle should apply to students impacted by CPS’ School Actions and to their Welcoming Schools to ensure success</w:t>
      </w:r>
      <w:r w:rsidRPr="00980032">
        <w:rPr>
          <w:rFonts w:ascii="Verdana-Bold" w:hAnsi="Verdana-Bold" w:cs="Verdana-Bold"/>
          <w:sz w:val="18"/>
          <w:szCs w:val="18"/>
        </w:rPr>
        <w:t>.</w:t>
      </w:r>
    </w:p>
    <w:p w:rsidR="00980032" w:rsidRPr="000E1D94" w:rsidRDefault="00980032" w:rsidP="000E1D94">
      <w:pPr>
        <w:spacing w:after="240" w:line="23" w:lineRule="atLeast"/>
        <w:rPr>
          <w:rFonts w:cs="Times New Roman"/>
          <w:sz w:val="24"/>
        </w:rPr>
      </w:pPr>
    </w:p>
    <w:sectPr w:rsidR="00980032" w:rsidRPr="000E1D94" w:rsidSect="00AF7BA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95B" w:rsidRDefault="0028295B" w:rsidP="00F52857">
      <w:pPr>
        <w:spacing w:after="0" w:line="240" w:lineRule="auto"/>
      </w:pPr>
      <w:r>
        <w:separator/>
      </w:r>
    </w:p>
  </w:endnote>
  <w:endnote w:type="continuationSeparator" w:id="0">
    <w:p w:rsidR="0028295B" w:rsidRDefault="0028295B" w:rsidP="00F52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Serif">
    <w:altName w:val="Century Gothic"/>
    <w:panose1 w:val="00000000000000000000"/>
    <w:charset w:val="4D"/>
    <w:family w:val="auto"/>
    <w:notTrueType/>
    <w:pitch w:val="default"/>
    <w:sig w:usb0="00000003" w:usb1="00000000" w:usb2="00000000" w:usb3="00000000" w:csb0="00000001" w:csb1="00000000"/>
  </w:font>
  <w:font w:name="LiberationSerif-Bold">
    <w:altName w:val="Century Gothic"/>
    <w:panose1 w:val="00000000000000000000"/>
    <w:charset w:val="4D"/>
    <w:family w:val="auto"/>
    <w:notTrueType/>
    <w:pitch w:val="default"/>
    <w:sig w:usb0="00000003" w:usb1="00000000" w:usb2="00000000" w:usb3="00000000" w:csb0="00000001" w:csb1="00000000"/>
  </w:font>
  <w:font w:name="Verdana-Bold">
    <w:altName w:val="Verdana"/>
    <w:panose1 w:val="00000000000000000000"/>
    <w:charset w:val="4D"/>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95B" w:rsidRDefault="0028295B" w:rsidP="00F52857">
      <w:pPr>
        <w:spacing w:after="0" w:line="240" w:lineRule="auto"/>
      </w:pPr>
      <w:r>
        <w:separator/>
      </w:r>
    </w:p>
  </w:footnote>
  <w:footnote w:type="continuationSeparator" w:id="0">
    <w:p w:rsidR="0028295B" w:rsidRDefault="0028295B" w:rsidP="00F52857">
      <w:pPr>
        <w:spacing w:after="0" w:line="240" w:lineRule="auto"/>
      </w:pPr>
      <w:r>
        <w:continuationSeparator/>
      </w:r>
    </w:p>
  </w:footnote>
  <w:footnote w:id="1">
    <w:p w:rsidR="000E1D94" w:rsidRDefault="000E1D94" w:rsidP="00F52857">
      <w:pPr>
        <w:pStyle w:val="FootnoteText"/>
      </w:pPr>
      <w:r>
        <w:rPr>
          <w:rStyle w:val="FootnoteReference"/>
        </w:rPr>
        <w:footnoteRef/>
      </w:r>
      <w:r>
        <w:t xml:space="preserve"> Performance Policy Results and Probation Status: </w:t>
      </w:r>
      <w:hyperlink r:id="rId1" w:history="1">
        <w:r w:rsidRPr="0094562E">
          <w:rPr>
            <w:rStyle w:val="Hyperlink"/>
          </w:rPr>
          <w:t>http://schoolreports.cps.edu/cpsedu/schooldata/2013_PerformancePolicy_Results_03262014.xlsx</w:t>
        </w:r>
      </w:hyperlink>
      <w:r>
        <w:t xml:space="preserve">. </w:t>
      </w:r>
    </w:p>
  </w:footnote>
  <w:footnote w:id="2">
    <w:p w:rsidR="000E1D94" w:rsidRDefault="000E1D94" w:rsidP="00F52857">
      <w:pPr>
        <w:pStyle w:val="FootnoteText"/>
      </w:pPr>
      <w:r>
        <w:rPr>
          <w:rStyle w:val="FootnoteReference"/>
        </w:rPr>
        <w:footnoteRef/>
      </w:r>
      <w:r>
        <w:t xml:space="preserve"> “Single sex classes at help raise achievement for black boys – and girls,” Catalyst-Chicago.  August 27, 2009.  Retrieved from: </w:t>
      </w:r>
      <w:hyperlink r:id="rId2" w:history="1">
        <w:r w:rsidRPr="0094562E">
          <w:rPr>
            <w:rStyle w:val="Hyperlink"/>
          </w:rPr>
          <w:t>http://www.catalyst-chicago.org/notebook/2009/08/27/single-sex-classes-ryerson-help-raise-achievement-black-boys-and-girls</w:t>
        </w:r>
      </w:hyperlink>
      <w:r>
        <w:t xml:space="preserve">. </w:t>
      </w:r>
    </w:p>
  </w:footnote>
  <w:footnote w:id="3">
    <w:p w:rsidR="006B10D9" w:rsidRDefault="006B10D9">
      <w:pPr>
        <w:pStyle w:val="FootnoteText"/>
      </w:pPr>
      <w:r>
        <w:rPr>
          <w:rStyle w:val="FootnoteReference"/>
        </w:rPr>
        <w:footnoteRef/>
      </w:r>
      <w:r>
        <w:t xml:space="preserve"> Commission on School Utilization: </w:t>
      </w:r>
      <w:r w:rsidRPr="006B10D9">
        <w:t>http://www.schoolutilization.com/</w:t>
      </w:r>
    </w:p>
  </w:footnote>
  <w:footnote w:id="4">
    <w:p w:rsidR="00B06BD5" w:rsidRDefault="00B06BD5">
      <w:pPr>
        <w:pStyle w:val="FootnoteText"/>
      </w:pPr>
      <w:r>
        <w:rPr>
          <w:rStyle w:val="FootnoteReference"/>
        </w:rPr>
        <w:footnoteRef/>
      </w:r>
      <w:r>
        <w:t xml:space="preserve"> Chicago Educational Facilities Taskforce Illinois General Assembly Report, 2014</w:t>
      </w:r>
    </w:p>
  </w:footnote>
  <w:footnote w:id="5">
    <w:p w:rsidR="002F77E7" w:rsidRDefault="002F77E7">
      <w:pPr>
        <w:pStyle w:val="FootnoteText"/>
      </w:pPr>
      <w:r>
        <w:rPr>
          <w:rStyle w:val="FootnoteReference"/>
        </w:rPr>
        <w:footnoteRef/>
      </w:r>
      <w:r>
        <w:t xml:space="preserve"> </w:t>
      </w:r>
      <w:r w:rsidRPr="00B91AF9">
        <w:rPr>
          <w:rStyle w:val="EndnoteReference"/>
          <w:rFonts w:ascii="Times New Roman" w:hAnsi="Times New Roman" w:cs="Times New Roman"/>
        </w:rPr>
        <w:footnoteRef/>
      </w:r>
      <w:proofErr w:type="gramStart"/>
      <w:r>
        <w:rPr>
          <w:rFonts w:ascii="Times New Roman" w:hAnsi="Times New Roman" w:cs="Times New Roman"/>
        </w:rPr>
        <w:t>Int’l</w:t>
      </w:r>
      <w:r w:rsidRPr="00032695">
        <w:rPr>
          <w:rFonts w:ascii="Times New Roman" w:hAnsi="Times New Roman" w:cs="Times New Roman"/>
        </w:rPr>
        <w:t xml:space="preserve"> Convention on the Elimination of All Forms of Racial Discrimination, art.</w:t>
      </w:r>
      <w:proofErr w:type="gramEnd"/>
      <w:r w:rsidRPr="00032695">
        <w:rPr>
          <w:rFonts w:ascii="Times New Roman" w:hAnsi="Times New Roman" w:cs="Times New Roman"/>
        </w:rPr>
        <w:t xml:space="preserve"> 5(e</w:t>
      </w:r>
      <w:proofErr w:type="gramStart"/>
      <w:r w:rsidRPr="00032695">
        <w:rPr>
          <w:rFonts w:ascii="Times New Roman" w:hAnsi="Times New Roman" w:cs="Times New Roman"/>
        </w:rPr>
        <w:t>)(</w:t>
      </w:r>
      <w:proofErr w:type="gramEnd"/>
      <w:r w:rsidRPr="00032695">
        <w:rPr>
          <w:rFonts w:ascii="Times New Roman" w:hAnsi="Times New Roman" w:cs="Times New Roman"/>
        </w:rPr>
        <w:t>v),</w:t>
      </w:r>
      <w:r>
        <w:rPr>
          <w:rFonts w:ascii="Times New Roman" w:hAnsi="Times New Roman" w:cs="Times New Roman"/>
        </w:rPr>
        <w:t xml:space="preserve"> Dec. 21, 1965, </w:t>
      </w:r>
      <w:r w:rsidRPr="00032695">
        <w:rPr>
          <w:rFonts w:ascii="Times New Roman" w:hAnsi="Times New Roman" w:cs="Times New Roman"/>
        </w:rPr>
        <w:t>660 U.N.T.S. 195 (entered into force N</w:t>
      </w:r>
      <w:r>
        <w:rPr>
          <w:rFonts w:ascii="Times New Roman" w:hAnsi="Times New Roman" w:cs="Times New Roman"/>
        </w:rPr>
        <w:t>ov. 20, 1994) [hereinafter CERD].</w:t>
      </w:r>
    </w:p>
  </w:footnote>
  <w:footnote w:id="6">
    <w:p w:rsidR="002F77E7" w:rsidRDefault="002F77E7">
      <w:pPr>
        <w:pStyle w:val="FootnoteText"/>
      </w:pPr>
      <w:r>
        <w:rPr>
          <w:rStyle w:val="FootnoteReference"/>
        </w:rPr>
        <w:footnoteRef/>
      </w:r>
      <w:r>
        <w:t xml:space="preserve"> </w:t>
      </w:r>
      <w:r w:rsidRPr="002F77E7">
        <w:t xml:space="preserve">  Id. at ¶¶ 145-146.</w:t>
      </w:r>
    </w:p>
  </w:footnote>
  <w:footnote w:id="7">
    <w:p w:rsidR="002F77E7" w:rsidRDefault="002F77E7">
      <w:pPr>
        <w:pStyle w:val="FootnoteText"/>
      </w:pPr>
      <w:r>
        <w:rPr>
          <w:rStyle w:val="FootnoteReference"/>
        </w:rPr>
        <w:footnoteRef/>
      </w:r>
      <w:r>
        <w:t xml:space="preserve"> </w:t>
      </w:r>
      <w:proofErr w:type="gramStart"/>
      <w:r w:rsidRPr="002F77E7">
        <w:t>Int’l Convention on the Elimination of All Forms of Racial Discrimination, art.</w:t>
      </w:r>
      <w:proofErr w:type="gramEnd"/>
      <w:r w:rsidRPr="002F77E7">
        <w:t xml:space="preserve"> 5(e</w:t>
      </w:r>
      <w:proofErr w:type="gramStart"/>
      <w:r w:rsidRPr="002F77E7">
        <w:t>)(</w:t>
      </w:r>
      <w:proofErr w:type="gramEnd"/>
      <w:r w:rsidRPr="002F77E7">
        <w:t>v), Dec. 21, 1965, 660 U.N.T.S. 195 (entered into force Nov. 20, 1994) [hereinafter CERD].</w:t>
      </w:r>
    </w:p>
  </w:footnote>
  <w:footnote w:id="8">
    <w:p w:rsidR="002F77E7" w:rsidRDefault="002F77E7">
      <w:pPr>
        <w:pStyle w:val="FootnoteText"/>
      </w:pPr>
      <w:r>
        <w:rPr>
          <w:rStyle w:val="FootnoteReference"/>
        </w:rPr>
        <w:footnoteRef/>
      </w:r>
      <w:r>
        <w:t xml:space="preserve"> </w:t>
      </w:r>
      <w:proofErr w:type="gramStart"/>
      <w:r w:rsidRPr="002F77E7">
        <w:t>Int’l Convention on the Elimination of All Forms of Racial Discrimination, art.</w:t>
      </w:r>
      <w:proofErr w:type="gramEnd"/>
      <w:r w:rsidRPr="002F77E7">
        <w:t xml:space="preserve"> 5(e</w:t>
      </w:r>
      <w:proofErr w:type="gramStart"/>
      <w:r w:rsidRPr="002F77E7">
        <w:t>)(</w:t>
      </w:r>
      <w:proofErr w:type="gramEnd"/>
      <w:r w:rsidRPr="002F77E7">
        <w:t>v), Dec. 21, 1965, 660 U.N.T.S. 195 (entered into force Nov. 20, 1994) [hereinafter CERD].</w:t>
      </w:r>
    </w:p>
  </w:footnote>
  <w:footnote w:id="9">
    <w:p w:rsidR="002F77E7" w:rsidRDefault="002F77E7">
      <w:pPr>
        <w:pStyle w:val="FootnoteText"/>
      </w:pPr>
      <w:r>
        <w:rPr>
          <w:rStyle w:val="FootnoteReference"/>
        </w:rPr>
        <w:footnoteRef/>
      </w:r>
      <w:r>
        <w:t xml:space="preserve"> </w:t>
      </w:r>
      <w:r w:rsidRPr="002F77E7">
        <w:t>Id. at ¶ 6(b</w:t>
      </w:r>
      <w:proofErr w:type="gramStart"/>
      <w:r w:rsidRPr="002F77E7">
        <w:t>)(</w:t>
      </w:r>
      <w:proofErr w:type="spellStart"/>
      <w:proofErr w:type="gramEnd"/>
      <w:r w:rsidRPr="002F77E7">
        <w:t>i</w:t>
      </w:r>
      <w:proofErr w:type="spellEnd"/>
      <w:r w:rsidRPr="002F77E7">
        <w:t>).</w:t>
      </w:r>
    </w:p>
  </w:footnote>
  <w:footnote w:id="10">
    <w:p w:rsidR="002F77E7" w:rsidRDefault="002F77E7">
      <w:pPr>
        <w:pStyle w:val="FootnoteText"/>
      </w:pPr>
      <w:r>
        <w:rPr>
          <w:rStyle w:val="FootnoteReference"/>
        </w:rPr>
        <w:footnoteRef/>
      </w:r>
      <w:r>
        <w:t xml:space="preserve"> </w:t>
      </w:r>
      <w:r w:rsidRPr="002F77E7">
        <w:t>See General Comment 13, supra note 23, at ¶ 6(b</w:t>
      </w:r>
      <w:proofErr w:type="gramStart"/>
      <w:r w:rsidRPr="002F77E7">
        <w:t>)(</w:t>
      </w:r>
      <w:proofErr w:type="gramEnd"/>
      <w:r w:rsidRPr="002F77E7">
        <w:t>1).</w:t>
      </w:r>
    </w:p>
  </w:footnote>
  <w:footnote w:id="11">
    <w:p w:rsidR="002F77E7" w:rsidRDefault="002F77E7">
      <w:pPr>
        <w:pStyle w:val="FootnoteText"/>
      </w:pPr>
      <w:r>
        <w:rPr>
          <w:rStyle w:val="FootnoteReference"/>
        </w:rPr>
        <w:footnoteRef/>
      </w:r>
      <w:r>
        <w:t xml:space="preserve"> </w:t>
      </w:r>
      <w:proofErr w:type="gramStart"/>
      <w:r w:rsidRPr="002F77E7">
        <w:t>Id. at ¶ 35.</w:t>
      </w:r>
      <w:proofErr w:type="gramEnd"/>
      <w:r w:rsidRPr="002F77E7">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D57"/>
    <w:multiLevelType w:val="hybridMultilevel"/>
    <w:tmpl w:val="C5F61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8F94A2F"/>
    <w:multiLevelType w:val="hybridMultilevel"/>
    <w:tmpl w:val="68C6FE20"/>
    <w:lvl w:ilvl="0" w:tplc="C3B0F044">
      <w:start w:val="6"/>
      <w:numFmt w:val="decimal"/>
      <w:lvlText w:val="%1."/>
      <w:lvlJc w:val="left"/>
      <w:pPr>
        <w:ind w:left="360" w:hanging="360"/>
      </w:pPr>
      <w:rPr>
        <w:rFonts w:ascii="Times New Roman" w:hAnsi="Times New Roman" w:hint="default"/>
        <w:b w:val="0"/>
        <w:sz w:val="22"/>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857"/>
    <w:rsid w:val="000326E2"/>
    <w:rsid w:val="000E1D94"/>
    <w:rsid w:val="00236B04"/>
    <w:rsid w:val="002617B4"/>
    <w:rsid w:val="0028295B"/>
    <w:rsid w:val="002F77E7"/>
    <w:rsid w:val="0043102F"/>
    <w:rsid w:val="00517977"/>
    <w:rsid w:val="0054791E"/>
    <w:rsid w:val="005B2F36"/>
    <w:rsid w:val="00667835"/>
    <w:rsid w:val="006B10D9"/>
    <w:rsid w:val="006B261F"/>
    <w:rsid w:val="006D40EC"/>
    <w:rsid w:val="00805F3B"/>
    <w:rsid w:val="00851120"/>
    <w:rsid w:val="0087005D"/>
    <w:rsid w:val="008D2C81"/>
    <w:rsid w:val="0093713B"/>
    <w:rsid w:val="009739B5"/>
    <w:rsid w:val="00980032"/>
    <w:rsid w:val="00A6666B"/>
    <w:rsid w:val="00A878AE"/>
    <w:rsid w:val="00AF7BA6"/>
    <w:rsid w:val="00B06BD5"/>
    <w:rsid w:val="00B54412"/>
    <w:rsid w:val="00B733F7"/>
    <w:rsid w:val="00BF41B2"/>
    <w:rsid w:val="00C668FF"/>
    <w:rsid w:val="00D03653"/>
    <w:rsid w:val="00D74C14"/>
    <w:rsid w:val="00E42DB5"/>
    <w:rsid w:val="00E51377"/>
    <w:rsid w:val="00EA44E0"/>
    <w:rsid w:val="00F52857"/>
    <w:rsid w:val="00FC4C0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835"/>
  </w:style>
  <w:style w:type="paragraph" w:styleId="Heading1">
    <w:name w:val="heading 1"/>
    <w:basedOn w:val="Normal"/>
    <w:next w:val="Normal"/>
    <w:link w:val="Heading1Char"/>
    <w:uiPriority w:val="9"/>
    <w:qFormat/>
    <w:rsid w:val="00A878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528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2857"/>
    <w:rPr>
      <w:sz w:val="20"/>
      <w:szCs w:val="20"/>
    </w:rPr>
  </w:style>
  <w:style w:type="character" w:styleId="Hyperlink">
    <w:name w:val="Hyperlink"/>
    <w:uiPriority w:val="99"/>
    <w:unhideWhenUsed/>
    <w:rsid w:val="00F52857"/>
    <w:rPr>
      <w:color w:val="0000FF"/>
      <w:u w:val="single"/>
    </w:rPr>
  </w:style>
  <w:style w:type="character" w:styleId="FootnoteReference">
    <w:name w:val="footnote reference"/>
    <w:uiPriority w:val="99"/>
    <w:unhideWhenUsed/>
    <w:rsid w:val="00F52857"/>
    <w:rPr>
      <w:vertAlign w:val="superscript"/>
    </w:rPr>
  </w:style>
  <w:style w:type="paragraph" w:styleId="ListParagraph">
    <w:name w:val="List Paragraph"/>
    <w:basedOn w:val="Normal"/>
    <w:uiPriority w:val="34"/>
    <w:qFormat/>
    <w:rsid w:val="00517977"/>
    <w:pPr>
      <w:ind w:left="720"/>
      <w:contextualSpacing/>
    </w:pPr>
  </w:style>
  <w:style w:type="character" w:customStyle="1" w:styleId="apple-converted-space">
    <w:name w:val="apple-converted-space"/>
    <w:basedOn w:val="DefaultParagraphFont"/>
    <w:rsid w:val="00517977"/>
  </w:style>
  <w:style w:type="paragraph" w:styleId="EndnoteText">
    <w:name w:val="endnote text"/>
    <w:basedOn w:val="Normal"/>
    <w:link w:val="EndnoteTextChar"/>
    <w:rsid w:val="00517977"/>
    <w:pPr>
      <w:spacing w:after="0" w:line="240" w:lineRule="auto"/>
    </w:pPr>
    <w:rPr>
      <w:sz w:val="20"/>
      <w:szCs w:val="20"/>
    </w:rPr>
  </w:style>
  <w:style w:type="character" w:customStyle="1" w:styleId="EndnoteTextChar">
    <w:name w:val="Endnote Text Char"/>
    <w:basedOn w:val="DefaultParagraphFont"/>
    <w:link w:val="EndnoteText"/>
    <w:rsid w:val="00517977"/>
    <w:rPr>
      <w:sz w:val="20"/>
      <w:szCs w:val="20"/>
    </w:rPr>
  </w:style>
  <w:style w:type="character" w:styleId="EndnoteReference">
    <w:name w:val="endnote reference"/>
    <w:basedOn w:val="DefaultParagraphFont"/>
    <w:rsid w:val="00517977"/>
    <w:rPr>
      <w:vertAlign w:val="superscript"/>
    </w:rPr>
  </w:style>
  <w:style w:type="character" w:customStyle="1" w:styleId="Heading1Char">
    <w:name w:val="Heading 1 Char"/>
    <w:basedOn w:val="DefaultParagraphFont"/>
    <w:link w:val="Heading1"/>
    <w:uiPriority w:val="9"/>
    <w:rsid w:val="00A878AE"/>
    <w:rPr>
      <w:rFonts w:asciiTheme="majorHAnsi" w:eastAsiaTheme="majorEastAsia" w:hAnsiTheme="majorHAnsi" w:cstheme="majorBidi"/>
      <w:b/>
      <w:bCs/>
      <w:color w:val="365F91" w:themeColor="accent1" w:themeShade="BF"/>
      <w:sz w:val="28"/>
      <w:szCs w:val="28"/>
    </w:rPr>
  </w:style>
  <w:style w:type="table" w:customStyle="1" w:styleId="LightList-Accent11">
    <w:name w:val="Light List - Accent 11"/>
    <w:basedOn w:val="TableNormal"/>
    <w:uiPriority w:val="61"/>
    <w:rsid w:val="00A878AE"/>
    <w:pPr>
      <w:spacing w:after="160"/>
    </w:pPr>
    <w:rPr>
      <w:rFonts w:eastAsiaTheme="minorEastAsia"/>
      <w:sz w:val="21"/>
      <w:szCs w:val="2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loonText">
    <w:name w:val="Balloon Text"/>
    <w:basedOn w:val="Normal"/>
    <w:link w:val="BalloonTextChar"/>
    <w:uiPriority w:val="99"/>
    <w:semiHidden/>
    <w:unhideWhenUsed/>
    <w:rsid w:val="00AF7B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7BA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7835"/>
  </w:style>
  <w:style w:type="paragraph" w:styleId="Heading1">
    <w:name w:val="heading 1"/>
    <w:basedOn w:val="Normal"/>
    <w:next w:val="Normal"/>
    <w:link w:val="Heading1Char"/>
    <w:uiPriority w:val="9"/>
    <w:qFormat/>
    <w:rsid w:val="00A878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528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52857"/>
    <w:rPr>
      <w:sz w:val="20"/>
      <w:szCs w:val="20"/>
    </w:rPr>
  </w:style>
  <w:style w:type="character" w:styleId="Hyperlink">
    <w:name w:val="Hyperlink"/>
    <w:uiPriority w:val="99"/>
    <w:unhideWhenUsed/>
    <w:rsid w:val="00F52857"/>
    <w:rPr>
      <w:color w:val="0000FF"/>
      <w:u w:val="single"/>
    </w:rPr>
  </w:style>
  <w:style w:type="character" w:styleId="FootnoteReference">
    <w:name w:val="footnote reference"/>
    <w:uiPriority w:val="99"/>
    <w:unhideWhenUsed/>
    <w:rsid w:val="00F52857"/>
    <w:rPr>
      <w:vertAlign w:val="superscript"/>
    </w:rPr>
  </w:style>
  <w:style w:type="paragraph" w:styleId="ListParagraph">
    <w:name w:val="List Paragraph"/>
    <w:basedOn w:val="Normal"/>
    <w:uiPriority w:val="34"/>
    <w:qFormat/>
    <w:rsid w:val="00517977"/>
    <w:pPr>
      <w:ind w:left="720"/>
      <w:contextualSpacing/>
    </w:pPr>
  </w:style>
  <w:style w:type="character" w:customStyle="1" w:styleId="apple-converted-space">
    <w:name w:val="apple-converted-space"/>
    <w:basedOn w:val="DefaultParagraphFont"/>
    <w:rsid w:val="00517977"/>
  </w:style>
  <w:style w:type="paragraph" w:styleId="EndnoteText">
    <w:name w:val="endnote text"/>
    <w:basedOn w:val="Normal"/>
    <w:link w:val="EndnoteTextChar"/>
    <w:rsid w:val="00517977"/>
    <w:pPr>
      <w:spacing w:after="0" w:line="240" w:lineRule="auto"/>
    </w:pPr>
    <w:rPr>
      <w:sz w:val="20"/>
      <w:szCs w:val="20"/>
    </w:rPr>
  </w:style>
  <w:style w:type="character" w:customStyle="1" w:styleId="EndnoteTextChar">
    <w:name w:val="Endnote Text Char"/>
    <w:basedOn w:val="DefaultParagraphFont"/>
    <w:link w:val="EndnoteText"/>
    <w:rsid w:val="00517977"/>
    <w:rPr>
      <w:sz w:val="20"/>
      <w:szCs w:val="20"/>
    </w:rPr>
  </w:style>
  <w:style w:type="character" w:styleId="EndnoteReference">
    <w:name w:val="endnote reference"/>
    <w:basedOn w:val="DefaultParagraphFont"/>
    <w:rsid w:val="00517977"/>
    <w:rPr>
      <w:vertAlign w:val="superscript"/>
    </w:rPr>
  </w:style>
  <w:style w:type="character" w:customStyle="1" w:styleId="Heading1Char">
    <w:name w:val="Heading 1 Char"/>
    <w:basedOn w:val="DefaultParagraphFont"/>
    <w:link w:val="Heading1"/>
    <w:uiPriority w:val="9"/>
    <w:rsid w:val="00A878AE"/>
    <w:rPr>
      <w:rFonts w:asciiTheme="majorHAnsi" w:eastAsiaTheme="majorEastAsia" w:hAnsiTheme="majorHAnsi" w:cstheme="majorBidi"/>
      <w:b/>
      <w:bCs/>
      <w:color w:val="365F91" w:themeColor="accent1" w:themeShade="BF"/>
      <w:sz w:val="28"/>
      <w:szCs w:val="28"/>
    </w:rPr>
  </w:style>
  <w:style w:type="table" w:customStyle="1" w:styleId="LightList-Accent11">
    <w:name w:val="Light List - Accent 11"/>
    <w:basedOn w:val="TableNormal"/>
    <w:uiPriority w:val="61"/>
    <w:rsid w:val="00A878AE"/>
    <w:pPr>
      <w:spacing w:after="160"/>
    </w:pPr>
    <w:rPr>
      <w:rFonts w:eastAsiaTheme="minorEastAsia"/>
      <w:sz w:val="21"/>
      <w:szCs w:val="2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loonText">
    <w:name w:val="Balloon Text"/>
    <w:basedOn w:val="Normal"/>
    <w:link w:val="BalloonTextChar"/>
    <w:uiPriority w:val="99"/>
    <w:semiHidden/>
    <w:unhideWhenUsed/>
    <w:rsid w:val="00AF7B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7B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catalyst-chicago.org/notebook/2009/08/27/single-sex-classes-ryerson-help-raise-achievement-black-boys-and-girls" TargetMode="External"/><Relationship Id="rId1" Type="http://schemas.openxmlformats.org/officeDocument/2006/relationships/hyperlink" Target="http://schoolreports.cps.edu/cpsedu/schooldata/2013_PerformancePolicy_Results_03262014.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2249BE-F04D-4DDA-986B-865420CC8238}"/>
</file>

<file path=customXml/itemProps2.xml><?xml version="1.0" encoding="utf-8"?>
<ds:datastoreItem xmlns:ds="http://schemas.openxmlformats.org/officeDocument/2006/customXml" ds:itemID="{87BB86C3-8E51-4178-B101-C73B952F513D}"/>
</file>

<file path=customXml/itemProps3.xml><?xml version="1.0" encoding="utf-8"?>
<ds:datastoreItem xmlns:ds="http://schemas.openxmlformats.org/officeDocument/2006/customXml" ds:itemID="{55F4C5A3-4AD7-48BA-90CD-337FD36B4C07}"/>
</file>

<file path=customXml/itemProps4.xml><?xml version="1.0" encoding="utf-8"?>
<ds:datastoreItem xmlns:ds="http://schemas.openxmlformats.org/officeDocument/2006/customXml" ds:itemID="{C41EC081-DEA0-4A35-817D-DD0B121AB510}"/>
</file>

<file path=docProps/app.xml><?xml version="1.0" encoding="utf-8"?>
<Properties xmlns="http://schemas.openxmlformats.org/officeDocument/2006/extended-properties" xmlns:vt="http://schemas.openxmlformats.org/officeDocument/2006/docPropsVTypes">
  <Template>Normal.dotm</Template>
  <TotalTime>1</TotalTime>
  <Pages>5</Pages>
  <Words>1990</Words>
  <Characters>11346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Cecile Carroll- BT</dc:creator>
  <cp:lastModifiedBy>Kalpana Singh</cp:lastModifiedBy>
  <cp:revision>2</cp:revision>
  <dcterms:created xsi:type="dcterms:W3CDTF">2014-07-25T16:03:00Z</dcterms:created>
  <dcterms:modified xsi:type="dcterms:W3CDTF">2014-07-25T16:03:00Z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