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8E37D1" w14:textId="77777777" w:rsidR="00E65D69" w:rsidRDefault="00E65D69">
      <w:pPr>
        <w:jc w:val="center"/>
        <w:rPr>
          <w:rFonts w:ascii="Calibri" w:eastAsia="Calibri" w:hAnsi="Calibri" w:cs="Calibri"/>
          <w:b/>
          <w:sz w:val="24"/>
          <w:szCs w:val="24"/>
        </w:rPr>
      </w:pPr>
    </w:p>
    <w:p w14:paraId="1F00335B" w14:textId="77777777" w:rsidR="00E65D69" w:rsidRDefault="00000000">
      <w:pPr>
        <w:jc w:val="center"/>
        <w:rPr>
          <w:rFonts w:ascii="Calibri" w:eastAsia="Calibri" w:hAnsi="Calibri" w:cs="Calibri"/>
          <w:b/>
          <w:sz w:val="24"/>
          <w:szCs w:val="24"/>
        </w:rPr>
      </w:pPr>
      <w:r>
        <w:rPr>
          <w:rFonts w:ascii="Calibri" w:eastAsia="Calibri" w:hAnsi="Calibri" w:cs="Calibri"/>
          <w:b/>
          <w:sz w:val="24"/>
          <w:szCs w:val="24"/>
        </w:rPr>
        <w:t>Informe complementario</w:t>
      </w:r>
    </w:p>
    <w:p w14:paraId="65BEE925" w14:textId="77777777" w:rsidR="00E65D69" w:rsidRDefault="00000000">
      <w:pPr>
        <w:jc w:val="center"/>
        <w:rPr>
          <w:rFonts w:ascii="Calibri" w:eastAsia="Calibri" w:hAnsi="Calibri" w:cs="Calibri"/>
          <w:b/>
          <w:sz w:val="24"/>
          <w:szCs w:val="24"/>
        </w:rPr>
      </w:pPr>
      <w:r>
        <w:rPr>
          <w:rFonts w:ascii="Calibri" w:eastAsia="Calibri" w:hAnsi="Calibri" w:cs="Calibri"/>
          <w:b/>
          <w:sz w:val="24"/>
          <w:szCs w:val="24"/>
        </w:rPr>
        <w:t>Examen Chile Comité CEDAW</w:t>
      </w:r>
    </w:p>
    <w:p w14:paraId="68032E65" w14:textId="77777777" w:rsidR="00E65D69" w:rsidRDefault="00E65D69">
      <w:pPr>
        <w:jc w:val="both"/>
        <w:rPr>
          <w:rFonts w:ascii="Calibri" w:eastAsia="Calibri" w:hAnsi="Calibri" w:cs="Calibri"/>
          <w:sz w:val="24"/>
          <w:szCs w:val="24"/>
        </w:rPr>
      </w:pPr>
    </w:p>
    <w:p w14:paraId="5D17BF7E" w14:textId="77777777" w:rsidR="00E65D69" w:rsidRDefault="00000000">
      <w:pPr>
        <w:numPr>
          <w:ilvl w:val="0"/>
          <w:numId w:val="4"/>
        </w:numPr>
        <w:spacing w:after="200"/>
        <w:jc w:val="both"/>
        <w:rPr>
          <w:rFonts w:ascii="Calibri" w:eastAsia="Calibri" w:hAnsi="Calibri" w:cs="Calibri"/>
          <w:b/>
          <w:sz w:val="24"/>
          <w:szCs w:val="24"/>
        </w:rPr>
      </w:pPr>
      <w:r>
        <w:rPr>
          <w:rFonts w:ascii="Calibri" w:eastAsia="Calibri" w:hAnsi="Calibri" w:cs="Calibri"/>
          <w:b/>
          <w:sz w:val="24"/>
          <w:szCs w:val="24"/>
        </w:rPr>
        <w:t>Fondo de Igualdad</w:t>
      </w:r>
    </w:p>
    <w:p w14:paraId="731A26B4" w14:textId="77777777" w:rsidR="00E65D69" w:rsidRDefault="00000000">
      <w:pPr>
        <w:spacing w:before="240" w:after="240"/>
        <w:jc w:val="both"/>
        <w:rPr>
          <w:rFonts w:ascii="Calibri" w:eastAsia="Calibri" w:hAnsi="Calibri" w:cs="Calibri"/>
          <w:sz w:val="24"/>
          <w:szCs w:val="24"/>
        </w:rPr>
      </w:pPr>
      <w:r>
        <w:rPr>
          <w:rFonts w:ascii="Calibri" w:eastAsia="Calibri" w:hAnsi="Calibri" w:cs="Calibri"/>
          <w:sz w:val="24"/>
          <w:szCs w:val="24"/>
        </w:rPr>
        <w:t>En 2023, el Fondo de Transversalización adjudicó 44 proyectos por 3 millones (USD). Destacan iniciativas como la regulación de pequeña propiedad raíz para mujeres en Biobío, asistencia consular para mujeres víctimas de violencia, espacios de cuidado en 200 oficinas del Registro Civil y un Plan Nacional de formación en género que capacitó a 33 mil personas. En 2024, se adjudicaron 25 proyectos de agricultura, cuidados, violencia y trabajo, beneficiando a 1.6 millones de mujeres (60% rurales). Entre ellos destacan el apoyo a la participación de mujeres en la producción de Productos Forestales No Madereros, herramientas digitales para mujeres víctimas de desastres naturales, y asistencia judicial para juicios rezagados por manutención infantil en comunas marginalizadas.</w:t>
      </w:r>
    </w:p>
    <w:p w14:paraId="4D4BB0BD" w14:textId="77777777" w:rsidR="00E65D69" w:rsidRDefault="00000000">
      <w:pPr>
        <w:numPr>
          <w:ilvl w:val="0"/>
          <w:numId w:val="4"/>
        </w:numPr>
        <w:pBdr>
          <w:top w:val="nil"/>
          <w:left w:val="nil"/>
          <w:bottom w:val="nil"/>
          <w:right w:val="nil"/>
          <w:between w:val="nil"/>
        </w:pBdr>
        <w:jc w:val="both"/>
        <w:rPr>
          <w:rFonts w:ascii="Calibri" w:eastAsia="Calibri" w:hAnsi="Calibri" w:cs="Calibri"/>
          <w:b/>
          <w:sz w:val="24"/>
          <w:szCs w:val="24"/>
        </w:rPr>
      </w:pPr>
      <w:r>
        <w:rPr>
          <w:rFonts w:ascii="Calibri" w:eastAsia="Calibri" w:hAnsi="Calibri" w:cs="Calibri"/>
          <w:b/>
          <w:sz w:val="24"/>
          <w:szCs w:val="24"/>
        </w:rPr>
        <w:t>Acceso a la justicia con enfoque de género</w:t>
      </w:r>
    </w:p>
    <w:p w14:paraId="6BC82B7C" w14:textId="77777777" w:rsidR="00E65D69" w:rsidRDefault="00000000">
      <w:pPr>
        <w:numPr>
          <w:ilvl w:val="0"/>
          <w:numId w:val="1"/>
        </w:numPr>
        <w:pBdr>
          <w:top w:val="nil"/>
          <w:left w:val="nil"/>
          <w:bottom w:val="nil"/>
          <w:right w:val="nil"/>
          <w:between w:val="nil"/>
        </w:pBdr>
        <w:ind w:left="1275"/>
        <w:jc w:val="both"/>
        <w:rPr>
          <w:rFonts w:ascii="Calibri" w:eastAsia="Calibri" w:hAnsi="Calibri" w:cs="Calibri"/>
          <w:b/>
          <w:sz w:val="24"/>
          <w:szCs w:val="24"/>
        </w:rPr>
      </w:pPr>
      <w:r>
        <w:rPr>
          <w:rFonts w:ascii="Calibri" w:eastAsia="Calibri" w:hAnsi="Calibri" w:cs="Calibri"/>
          <w:b/>
          <w:sz w:val="24"/>
          <w:szCs w:val="24"/>
        </w:rPr>
        <w:t>Salas de familia de Carabineros</w:t>
      </w:r>
    </w:p>
    <w:p w14:paraId="7939124E" w14:textId="77777777" w:rsidR="00E65D69" w:rsidRDefault="00000000">
      <w:pPr>
        <w:spacing w:after="200"/>
        <w:jc w:val="both"/>
        <w:rPr>
          <w:rFonts w:ascii="Calibri" w:eastAsia="Calibri" w:hAnsi="Calibri" w:cs="Calibri"/>
          <w:sz w:val="24"/>
          <w:szCs w:val="24"/>
        </w:rPr>
      </w:pPr>
      <w:r>
        <w:rPr>
          <w:rFonts w:ascii="Calibri" w:eastAsia="Calibri" w:hAnsi="Calibri" w:cs="Calibri"/>
          <w:sz w:val="24"/>
          <w:szCs w:val="24"/>
        </w:rPr>
        <w:t>Diseñadas para brindar atención especializada, con perspectiva de género, a víctimas de violencia intrafamiliar y otros grupos (personas con discapacidad, pueblos indígenas, LGTBI+). Cuentan con personal capacitado y operan las 24 horas, todo el año. Existen 100 salas de familia y 100 de violencia intrafamiliar. Entre el 1 de noviembre y 31 de diciembre de 2023, atendieron 9.055 casos.</w:t>
      </w:r>
    </w:p>
    <w:p w14:paraId="1D8027A9" w14:textId="77777777" w:rsidR="00E65D69" w:rsidRDefault="00000000">
      <w:pPr>
        <w:numPr>
          <w:ilvl w:val="0"/>
          <w:numId w:val="1"/>
        </w:numPr>
        <w:pBdr>
          <w:top w:val="nil"/>
          <w:left w:val="nil"/>
          <w:bottom w:val="nil"/>
          <w:right w:val="nil"/>
          <w:between w:val="nil"/>
        </w:pBdr>
        <w:ind w:left="1275"/>
        <w:jc w:val="both"/>
        <w:rPr>
          <w:rFonts w:ascii="Calibri" w:eastAsia="Calibri" w:hAnsi="Calibri" w:cs="Calibri"/>
          <w:b/>
          <w:sz w:val="24"/>
          <w:szCs w:val="24"/>
        </w:rPr>
      </w:pPr>
      <w:r>
        <w:rPr>
          <w:rFonts w:ascii="Calibri" w:eastAsia="Calibri" w:hAnsi="Calibri" w:cs="Calibri"/>
          <w:b/>
          <w:sz w:val="24"/>
          <w:szCs w:val="24"/>
        </w:rPr>
        <w:t>Defensoría Penal Pública (DPP)</w:t>
      </w:r>
    </w:p>
    <w:p w14:paraId="587E3278" w14:textId="77777777" w:rsidR="00E65D69" w:rsidRDefault="00000000">
      <w:pPr>
        <w:spacing w:after="200"/>
        <w:jc w:val="both"/>
        <w:rPr>
          <w:rFonts w:ascii="Calibri" w:eastAsia="Calibri" w:hAnsi="Calibri" w:cs="Calibri"/>
          <w:sz w:val="24"/>
          <w:szCs w:val="24"/>
        </w:rPr>
      </w:pPr>
      <w:r>
        <w:rPr>
          <w:rFonts w:ascii="Calibri" w:eastAsia="Calibri" w:hAnsi="Calibri" w:cs="Calibri"/>
          <w:sz w:val="24"/>
          <w:szCs w:val="24"/>
        </w:rPr>
        <w:t>Desde 2019, la DPP cuenta con un plan de defensa de mujeres extranjeras indígenas privadas de libertad, que implica un(a) defensor(a) especializado, con apoyo de facilitadora intercultural y guía especial de trabajo.</w:t>
      </w:r>
    </w:p>
    <w:p w14:paraId="7C6308A5" w14:textId="77777777" w:rsidR="00E65D69" w:rsidRDefault="00000000">
      <w:pPr>
        <w:numPr>
          <w:ilvl w:val="0"/>
          <w:numId w:val="1"/>
        </w:numPr>
        <w:pBdr>
          <w:top w:val="nil"/>
          <w:left w:val="nil"/>
          <w:bottom w:val="nil"/>
          <w:right w:val="nil"/>
          <w:between w:val="nil"/>
        </w:pBdr>
        <w:ind w:left="1275"/>
        <w:jc w:val="both"/>
        <w:rPr>
          <w:rFonts w:ascii="Calibri" w:eastAsia="Calibri" w:hAnsi="Calibri" w:cs="Calibri"/>
          <w:b/>
          <w:sz w:val="24"/>
          <w:szCs w:val="24"/>
        </w:rPr>
      </w:pPr>
      <w:r>
        <w:rPr>
          <w:rFonts w:ascii="Calibri" w:eastAsia="Calibri" w:hAnsi="Calibri" w:cs="Calibri"/>
          <w:b/>
          <w:sz w:val="24"/>
          <w:szCs w:val="24"/>
        </w:rPr>
        <w:t>Ministerio Público (MP)</w:t>
      </w:r>
    </w:p>
    <w:p w14:paraId="7E4FA716" w14:textId="77777777" w:rsidR="00E65D69" w:rsidRDefault="00000000">
      <w:pPr>
        <w:spacing w:after="200"/>
        <w:jc w:val="both"/>
        <w:rPr>
          <w:rFonts w:ascii="Calibri" w:eastAsia="Calibri" w:hAnsi="Calibri" w:cs="Calibri"/>
          <w:sz w:val="24"/>
          <w:szCs w:val="24"/>
        </w:rPr>
      </w:pPr>
      <w:r>
        <w:rPr>
          <w:rFonts w:ascii="Calibri" w:eastAsia="Calibri" w:hAnsi="Calibri" w:cs="Calibri"/>
          <w:sz w:val="24"/>
          <w:szCs w:val="24"/>
        </w:rPr>
        <w:t xml:space="preserve">Entre 2022 y 2024 se capacitaron 3.149 fiscales y funcionarios(as) del MP en forma especializada en violencia de género, utilizando el </w:t>
      </w:r>
      <w:hyperlink r:id="rId8">
        <w:r>
          <w:rPr>
            <w:rFonts w:ascii="Calibri" w:eastAsia="Calibri" w:hAnsi="Calibri" w:cs="Calibri"/>
            <w:color w:val="1155CC"/>
            <w:sz w:val="24"/>
            <w:szCs w:val="24"/>
            <w:u w:val="single"/>
          </w:rPr>
          <w:t>Manual para la investigación de muertes violentas de mujeres por razones de género</w:t>
        </w:r>
      </w:hyperlink>
      <w:r>
        <w:rPr>
          <w:rFonts w:ascii="Calibri" w:eastAsia="Calibri" w:hAnsi="Calibri" w:cs="Calibri"/>
          <w:sz w:val="24"/>
          <w:szCs w:val="24"/>
        </w:rPr>
        <w:t xml:space="preserve"> e integrando recomendaciones del Comité CEDAW en documentos oficiales. Asimismo, la institución cuenta con una Unidad Especializada de género, que lidera el Sistema para la Transversalización de la Perspectiva de Género.</w:t>
      </w:r>
    </w:p>
    <w:p w14:paraId="50C9EEA7" w14:textId="77777777" w:rsidR="00E65D69" w:rsidRDefault="00000000">
      <w:pPr>
        <w:numPr>
          <w:ilvl w:val="0"/>
          <w:numId w:val="4"/>
        </w:numPr>
        <w:pBdr>
          <w:top w:val="nil"/>
          <w:left w:val="nil"/>
          <w:bottom w:val="nil"/>
          <w:right w:val="nil"/>
          <w:between w:val="nil"/>
        </w:pBdr>
        <w:spacing w:after="200"/>
        <w:jc w:val="both"/>
        <w:rPr>
          <w:rFonts w:ascii="Calibri" w:eastAsia="Calibri" w:hAnsi="Calibri" w:cs="Calibri"/>
          <w:b/>
          <w:sz w:val="24"/>
          <w:szCs w:val="24"/>
        </w:rPr>
      </w:pPr>
      <w:r>
        <w:rPr>
          <w:rFonts w:ascii="Calibri" w:eastAsia="Calibri" w:hAnsi="Calibri" w:cs="Calibri"/>
          <w:b/>
          <w:sz w:val="24"/>
          <w:szCs w:val="24"/>
        </w:rPr>
        <w:lastRenderedPageBreak/>
        <w:t>Trata</w:t>
      </w:r>
    </w:p>
    <w:p w14:paraId="6DD559A7" w14:textId="77777777" w:rsidR="00E65D69" w:rsidRDefault="00000000">
      <w:pPr>
        <w:spacing w:after="200"/>
        <w:jc w:val="both"/>
        <w:rPr>
          <w:rFonts w:ascii="Calibri" w:eastAsia="Calibri" w:hAnsi="Calibri" w:cs="Calibri"/>
          <w:sz w:val="24"/>
          <w:szCs w:val="24"/>
        </w:rPr>
      </w:pPr>
      <w:r>
        <w:rPr>
          <w:rFonts w:ascii="Calibri" w:eastAsia="Calibri" w:hAnsi="Calibri" w:cs="Calibri"/>
          <w:sz w:val="24"/>
          <w:szCs w:val="24"/>
        </w:rPr>
        <w:t>Se han entregado 40 visas humanitarias a mujeres víctimas de trata (2022-2024).</w:t>
      </w:r>
    </w:p>
    <w:p w14:paraId="2CDD4578" w14:textId="77777777" w:rsidR="00E65D69" w:rsidRDefault="00000000">
      <w:pPr>
        <w:numPr>
          <w:ilvl w:val="0"/>
          <w:numId w:val="3"/>
        </w:numPr>
        <w:ind w:left="1275"/>
        <w:jc w:val="both"/>
        <w:rPr>
          <w:rFonts w:ascii="Calibri" w:eastAsia="Calibri" w:hAnsi="Calibri" w:cs="Calibri"/>
          <w:b/>
          <w:sz w:val="24"/>
          <w:szCs w:val="24"/>
        </w:rPr>
      </w:pPr>
      <w:hyperlink r:id="rId9">
        <w:r>
          <w:rPr>
            <w:rFonts w:ascii="Calibri" w:eastAsia="Calibri" w:hAnsi="Calibri" w:cs="Calibri"/>
            <w:b/>
            <w:color w:val="1155CC"/>
            <w:sz w:val="24"/>
            <w:szCs w:val="24"/>
            <w:u w:val="single"/>
          </w:rPr>
          <w:t>Plan Nacional de Acción contra la Trata de Personas 2023-2026</w:t>
        </w:r>
      </w:hyperlink>
    </w:p>
    <w:p w14:paraId="3FBED25A" w14:textId="77777777" w:rsidR="00E65D69" w:rsidRDefault="00000000">
      <w:pPr>
        <w:widowControl w:val="0"/>
        <w:shd w:val="clear" w:color="auto" w:fill="FFFFFF"/>
        <w:spacing w:after="200"/>
        <w:jc w:val="both"/>
        <w:rPr>
          <w:rFonts w:ascii="Calibri" w:eastAsia="Calibri" w:hAnsi="Calibri" w:cs="Calibri"/>
          <w:b/>
          <w:sz w:val="24"/>
          <w:szCs w:val="24"/>
        </w:rPr>
      </w:pPr>
      <w:r>
        <w:rPr>
          <w:rFonts w:ascii="Calibri" w:eastAsia="Calibri" w:hAnsi="Calibri" w:cs="Calibri"/>
          <w:sz w:val="24"/>
          <w:szCs w:val="24"/>
        </w:rPr>
        <w:t xml:space="preserve">Asume compromisos para representación de víctimas de trata y desarrollo de propuestas para perfeccionar la </w:t>
      </w:r>
      <w:hyperlink r:id="rId10">
        <w:r>
          <w:rPr>
            <w:rFonts w:ascii="Calibri" w:eastAsia="Calibri" w:hAnsi="Calibri" w:cs="Calibri"/>
            <w:color w:val="1155CC"/>
            <w:sz w:val="24"/>
            <w:szCs w:val="24"/>
            <w:u w:val="single"/>
          </w:rPr>
          <w:t>Ley N°21.057</w:t>
        </w:r>
      </w:hyperlink>
      <w:r>
        <w:rPr>
          <w:rFonts w:ascii="Calibri" w:eastAsia="Calibri" w:hAnsi="Calibri" w:cs="Calibri"/>
          <w:sz w:val="24"/>
          <w:szCs w:val="24"/>
        </w:rPr>
        <w:t>. Sitúa al Protocolo Intersectorial de Atención a Víctimas como principal vía de articulación estatal para coordinar entrega oportuna de prestaciones e intervenciones.</w:t>
      </w:r>
    </w:p>
    <w:p w14:paraId="1698A4A9" w14:textId="77777777" w:rsidR="00E65D69" w:rsidRDefault="00000000">
      <w:pPr>
        <w:numPr>
          <w:ilvl w:val="0"/>
          <w:numId w:val="3"/>
        </w:numPr>
        <w:pBdr>
          <w:top w:val="nil"/>
          <w:left w:val="nil"/>
          <w:bottom w:val="nil"/>
          <w:right w:val="nil"/>
          <w:between w:val="nil"/>
        </w:pBdr>
        <w:ind w:left="1275"/>
        <w:jc w:val="both"/>
        <w:rPr>
          <w:rFonts w:ascii="Calibri" w:eastAsia="Calibri" w:hAnsi="Calibri" w:cs="Calibri"/>
          <w:b/>
          <w:sz w:val="24"/>
          <w:szCs w:val="24"/>
        </w:rPr>
      </w:pPr>
      <w:hyperlink r:id="rId11">
        <w:r>
          <w:rPr>
            <w:rFonts w:ascii="Calibri" w:eastAsia="Calibri" w:hAnsi="Calibri" w:cs="Calibri"/>
            <w:b/>
            <w:color w:val="1155CC"/>
            <w:sz w:val="24"/>
            <w:szCs w:val="24"/>
            <w:u w:val="single"/>
          </w:rPr>
          <w:t>Protocolo de Atención a Víctimas Sobrevivientes de Trata</w:t>
        </w:r>
      </w:hyperlink>
    </w:p>
    <w:p w14:paraId="78F19253" w14:textId="77777777" w:rsidR="00E65D69" w:rsidRDefault="00000000">
      <w:pPr>
        <w:spacing w:after="200"/>
        <w:jc w:val="both"/>
        <w:rPr>
          <w:rFonts w:ascii="Calibri" w:eastAsia="Calibri" w:hAnsi="Calibri" w:cs="Calibri"/>
          <w:b/>
          <w:sz w:val="24"/>
          <w:szCs w:val="24"/>
        </w:rPr>
      </w:pPr>
      <w:r>
        <w:rPr>
          <w:rFonts w:ascii="Calibri" w:eastAsia="Calibri" w:hAnsi="Calibri" w:cs="Calibri"/>
          <w:sz w:val="24"/>
          <w:szCs w:val="24"/>
        </w:rPr>
        <w:t>A partir de su actualización, se han creado nuevos flujogramas de asistencia, con diferenciación etaria y fases de intervención; una Ficha de Detección Temprana con indicadores; un Plan de Asistencia y Protección, desde un enfoque centrado en las víctimas con medidas como refugio protegido; atención de salud física, sexual y psicológica; regularización migratoria; asesoría y representación jurídica; nivelación de estudios; habilitación laboral; relocalización; entre otras; y dos residencias para mujeres  víctimas con cobertura para 20 sobrevivientes e hijas/os.</w:t>
      </w:r>
    </w:p>
    <w:p w14:paraId="66877D6D" w14:textId="77777777" w:rsidR="00E65D69" w:rsidRDefault="00000000">
      <w:pPr>
        <w:numPr>
          <w:ilvl w:val="0"/>
          <w:numId w:val="4"/>
        </w:numPr>
        <w:pBdr>
          <w:top w:val="nil"/>
          <w:left w:val="nil"/>
          <w:bottom w:val="nil"/>
          <w:right w:val="nil"/>
          <w:between w:val="nil"/>
        </w:pBdr>
        <w:spacing w:after="200"/>
        <w:jc w:val="both"/>
        <w:rPr>
          <w:rFonts w:ascii="Calibri" w:eastAsia="Calibri" w:hAnsi="Calibri" w:cs="Calibri"/>
          <w:b/>
          <w:sz w:val="24"/>
          <w:szCs w:val="24"/>
        </w:rPr>
      </w:pPr>
      <w:r>
        <w:rPr>
          <w:rFonts w:ascii="Calibri" w:eastAsia="Calibri" w:hAnsi="Calibri" w:cs="Calibri"/>
          <w:b/>
          <w:sz w:val="24"/>
          <w:szCs w:val="24"/>
        </w:rPr>
        <w:t>Educación</w:t>
      </w:r>
    </w:p>
    <w:p w14:paraId="76E3A16D" w14:textId="77777777" w:rsidR="00E65D69" w:rsidRDefault="00000000">
      <w:pPr>
        <w:spacing w:after="240"/>
        <w:jc w:val="both"/>
        <w:rPr>
          <w:rFonts w:ascii="Calibri" w:eastAsia="Calibri" w:hAnsi="Calibri" w:cs="Calibri"/>
          <w:sz w:val="24"/>
          <w:szCs w:val="24"/>
        </w:rPr>
      </w:pPr>
      <w:r>
        <w:rPr>
          <w:rFonts w:ascii="Calibri" w:eastAsia="Calibri" w:hAnsi="Calibri" w:cs="Calibri"/>
          <w:sz w:val="24"/>
          <w:szCs w:val="24"/>
        </w:rPr>
        <w:t xml:space="preserve">La distribución de matrícula escolar (2023) corresponde a 51,4% hombres y 48,6% mujeres. Esta tendencia se mantiene en distintos niveles y modalidades educativas, excepto en educación especial, donde la matrícula masculina es 64,2% (educación </w:t>
      </w:r>
      <w:proofErr w:type="spellStart"/>
      <w:r>
        <w:rPr>
          <w:rFonts w:ascii="Calibri" w:eastAsia="Calibri" w:hAnsi="Calibri" w:cs="Calibri"/>
          <w:sz w:val="24"/>
          <w:szCs w:val="24"/>
        </w:rPr>
        <w:t>parvularia</w:t>
      </w:r>
      <w:proofErr w:type="spellEnd"/>
      <w:r>
        <w:rPr>
          <w:rFonts w:ascii="Calibri" w:eastAsia="Calibri" w:hAnsi="Calibri" w:cs="Calibri"/>
          <w:sz w:val="24"/>
          <w:szCs w:val="24"/>
        </w:rPr>
        <w:t>) y 51,4% (educación básica).</w:t>
      </w:r>
    </w:p>
    <w:p w14:paraId="15B4C2D8" w14:textId="77777777" w:rsidR="00E65D69" w:rsidRDefault="00000000">
      <w:pPr>
        <w:spacing w:before="240" w:after="240"/>
        <w:jc w:val="both"/>
        <w:rPr>
          <w:rFonts w:ascii="Calibri" w:eastAsia="Calibri" w:hAnsi="Calibri" w:cs="Calibri"/>
          <w:sz w:val="24"/>
          <w:szCs w:val="24"/>
        </w:rPr>
      </w:pPr>
      <w:r>
        <w:rPr>
          <w:rFonts w:ascii="Calibri" w:eastAsia="Calibri" w:hAnsi="Calibri" w:cs="Calibri"/>
          <w:sz w:val="24"/>
          <w:szCs w:val="24"/>
        </w:rPr>
        <w:t xml:space="preserve">En 2024, el 7,1% de la matrícula total corresponde a personas pertenecientes a alguna etnia, de las cuales el 48,7% son mujeres. Un 3,5% de la matrícula está constituida por mujeres en zonas rurales. Además, existen 39.439 mujeres con necesidades educativas permanentes y 149.969 con necesidades educativas transitorias. </w:t>
      </w:r>
    </w:p>
    <w:p w14:paraId="52A38FD7" w14:textId="77777777" w:rsidR="00E65D69" w:rsidRDefault="00000000">
      <w:pPr>
        <w:numPr>
          <w:ilvl w:val="0"/>
          <w:numId w:val="6"/>
        </w:numPr>
        <w:jc w:val="both"/>
        <w:rPr>
          <w:rFonts w:ascii="Calibri" w:eastAsia="Calibri" w:hAnsi="Calibri" w:cs="Calibri"/>
          <w:b/>
          <w:sz w:val="24"/>
          <w:szCs w:val="24"/>
        </w:rPr>
      </w:pPr>
      <w:r>
        <w:rPr>
          <w:rFonts w:ascii="Calibri" w:eastAsia="Calibri" w:hAnsi="Calibri" w:cs="Calibri"/>
          <w:b/>
          <w:sz w:val="24"/>
          <w:szCs w:val="24"/>
        </w:rPr>
        <w:t>Sanciones por discriminación niñas y adolescentes embarazadas</w:t>
      </w:r>
    </w:p>
    <w:p w14:paraId="67D20DDC" w14:textId="77777777" w:rsidR="00E65D69" w:rsidRDefault="00000000">
      <w:pPr>
        <w:widowControl w:val="0"/>
        <w:spacing w:before="200" w:after="240"/>
        <w:jc w:val="both"/>
        <w:rPr>
          <w:rFonts w:ascii="Calibri" w:eastAsia="Calibri" w:hAnsi="Calibri" w:cs="Calibri"/>
          <w:sz w:val="24"/>
          <w:szCs w:val="24"/>
        </w:rPr>
      </w:pPr>
      <w:r>
        <w:rPr>
          <w:rFonts w:ascii="Calibri" w:eastAsia="Calibri" w:hAnsi="Calibri" w:cs="Calibri"/>
          <w:sz w:val="24"/>
          <w:szCs w:val="24"/>
        </w:rPr>
        <w:t xml:space="preserve">De conformidad con la </w:t>
      </w:r>
      <w:hyperlink r:id="rId12">
        <w:r>
          <w:rPr>
            <w:rFonts w:ascii="Calibri" w:eastAsia="Calibri" w:hAnsi="Calibri" w:cs="Calibri"/>
            <w:color w:val="1155CC"/>
            <w:sz w:val="24"/>
            <w:szCs w:val="24"/>
            <w:u w:val="single"/>
          </w:rPr>
          <w:t>Ley General de Educación</w:t>
        </w:r>
      </w:hyperlink>
      <w:r>
        <w:rPr>
          <w:rFonts w:ascii="Calibri" w:eastAsia="Calibri" w:hAnsi="Calibri" w:cs="Calibri"/>
          <w:sz w:val="24"/>
          <w:szCs w:val="24"/>
        </w:rPr>
        <w:t>, la Superintendencia de Educación registró 14 denuncias en 2023 por casos de discriminación a estudiantes debido a embarazo, maternidad o paternidad, y 6 durante el primer semestre de 2024. Tras una fiscalización, y en caso de comprobarse la falta, la Superintendencia le impone una sanción. Desde 2022 se han cursado 30 multas a instituciones educativas, 29 por el plan de fiscalización y 1 por denuncia de terceros.</w:t>
      </w:r>
    </w:p>
    <w:p w14:paraId="006A9A33" w14:textId="77777777" w:rsidR="00E65D69" w:rsidRDefault="00000000">
      <w:pPr>
        <w:numPr>
          <w:ilvl w:val="0"/>
          <w:numId w:val="4"/>
        </w:numPr>
        <w:pBdr>
          <w:top w:val="nil"/>
          <w:left w:val="nil"/>
          <w:bottom w:val="nil"/>
          <w:right w:val="nil"/>
          <w:between w:val="nil"/>
        </w:pBdr>
        <w:spacing w:after="200"/>
        <w:jc w:val="both"/>
        <w:rPr>
          <w:rFonts w:ascii="Calibri" w:eastAsia="Calibri" w:hAnsi="Calibri" w:cs="Calibri"/>
          <w:b/>
          <w:sz w:val="24"/>
          <w:szCs w:val="24"/>
        </w:rPr>
      </w:pPr>
      <w:r>
        <w:rPr>
          <w:rFonts w:ascii="Calibri" w:eastAsia="Calibri" w:hAnsi="Calibri" w:cs="Calibri"/>
          <w:b/>
          <w:sz w:val="24"/>
          <w:szCs w:val="24"/>
        </w:rPr>
        <w:t>Empleo</w:t>
      </w:r>
    </w:p>
    <w:p w14:paraId="14AA51E0" w14:textId="77777777" w:rsidR="00E65D69" w:rsidRDefault="00000000">
      <w:pPr>
        <w:widowControl w:val="0"/>
        <w:spacing w:before="240" w:after="240"/>
        <w:jc w:val="both"/>
        <w:rPr>
          <w:rFonts w:ascii="Calibri" w:eastAsia="Calibri" w:hAnsi="Calibri" w:cs="Calibri"/>
          <w:sz w:val="24"/>
          <w:szCs w:val="24"/>
        </w:rPr>
      </w:pPr>
      <w:r>
        <w:rPr>
          <w:rFonts w:ascii="Calibri" w:eastAsia="Calibri" w:hAnsi="Calibri" w:cs="Calibri"/>
          <w:sz w:val="24"/>
          <w:szCs w:val="24"/>
        </w:rPr>
        <w:t xml:space="preserve">En 2023, las mujeres representaban el 40% de directoras de las 28 empresas estatales, que contrasta con el sector privado, donde solo 15,9% de las empresas contaban con directoras. </w:t>
      </w:r>
      <w:r>
        <w:rPr>
          <w:rFonts w:ascii="Calibri" w:eastAsia="Calibri" w:hAnsi="Calibri" w:cs="Calibri"/>
          <w:sz w:val="24"/>
          <w:szCs w:val="24"/>
        </w:rPr>
        <w:lastRenderedPageBreak/>
        <w:t>Además, 38,8% de los trabajadores en el sector privado eran mujeres, mientras que en el sector público corresponde a 62,6%.</w:t>
      </w:r>
    </w:p>
    <w:p w14:paraId="6513AC75" w14:textId="77777777" w:rsidR="00E65D69" w:rsidRDefault="00000000">
      <w:pPr>
        <w:widowControl w:val="0"/>
        <w:spacing w:before="240" w:after="240"/>
        <w:jc w:val="both"/>
        <w:rPr>
          <w:rFonts w:ascii="Calibri" w:eastAsia="Calibri" w:hAnsi="Calibri" w:cs="Calibri"/>
          <w:sz w:val="24"/>
          <w:szCs w:val="24"/>
        </w:rPr>
      </w:pPr>
      <w:r>
        <w:rPr>
          <w:rFonts w:ascii="Calibri" w:eastAsia="Calibri" w:hAnsi="Calibri" w:cs="Calibri"/>
          <w:sz w:val="24"/>
          <w:szCs w:val="24"/>
        </w:rPr>
        <w:t>En cuanto a la brecha salarial, entre 2022 y 2023, pasó del 25,5% al 23,3%; y se registró un aumento del 6% en el salario medio de mujeres. Ahora bien, al analizar la brecha por horas trabajadas, los datos muestran un aumento, evidenciando desigualdades persistentes, especialmente para mujeres con niveles educativos inferiores, quienes vieron un incremento en la brecha de hasta un 4,7%.</w:t>
      </w:r>
    </w:p>
    <w:p w14:paraId="3ECBDEAE" w14:textId="77777777" w:rsidR="00E65D69" w:rsidRDefault="00000000">
      <w:pPr>
        <w:widowControl w:val="0"/>
        <w:spacing w:before="240" w:after="240"/>
        <w:jc w:val="both"/>
        <w:rPr>
          <w:rFonts w:ascii="Calibri" w:eastAsia="Calibri" w:hAnsi="Calibri" w:cs="Calibri"/>
          <w:sz w:val="24"/>
          <w:szCs w:val="24"/>
        </w:rPr>
      </w:pPr>
      <w:r>
        <w:rPr>
          <w:rFonts w:ascii="Calibri" w:eastAsia="Calibri" w:hAnsi="Calibri" w:cs="Calibri"/>
          <w:sz w:val="24"/>
          <w:szCs w:val="24"/>
        </w:rPr>
        <w:t xml:space="preserve">El 41% de los nombramientos en el </w:t>
      </w:r>
      <w:hyperlink r:id="rId13">
        <w:r>
          <w:rPr>
            <w:rFonts w:ascii="Calibri" w:eastAsia="Calibri" w:hAnsi="Calibri" w:cs="Calibri"/>
            <w:color w:val="1155CC"/>
            <w:sz w:val="24"/>
            <w:szCs w:val="24"/>
            <w:u w:val="single"/>
          </w:rPr>
          <w:t>Sistema de Alta Dirección Pública</w:t>
        </w:r>
      </w:hyperlink>
      <w:r>
        <w:rPr>
          <w:rFonts w:ascii="Calibri" w:eastAsia="Calibri" w:hAnsi="Calibri" w:cs="Calibri"/>
          <w:sz w:val="24"/>
          <w:szCs w:val="24"/>
        </w:rPr>
        <w:t xml:space="preserve"> en 2023 fueron mujeres, aunque solo el 28% de las postulaciones fueron femeninas. El 68% de las nóminas de cargos incluyeron al menos una mujer, reflejando un aumento comparado con años anteriores. </w:t>
      </w:r>
    </w:p>
    <w:p w14:paraId="2E2A9706" w14:textId="77777777" w:rsidR="00E65D69" w:rsidRDefault="00000000">
      <w:pPr>
        <w:numPr>
          <w:ilvl w:val="0"/>
          <w:numId w:val="4"/>
        </w:numPr>
        <w:pBdr>
          <w:top w:val="nil"/>
          <w:left w:val="nil"/>
          <w:bottom w:val="nil"/>
          <w:right w:val="nil"/>
          <w:between w:val="nil"/>
        </w:pBdr>
        <w:jc w:val="both"/>
        <w:rPr>
          <w:rFonts w:ascii="Calibri" w:eastAsia="Calibri" w:hAnsi="Calibri" w:cs="Calibri"/>
          <w:b/>
          <w:sz w:val="24"/>
          <w:szCs w:val="24"/>
        </w:rPr>
      </w:pPr>
      <w:r>
        <w:rPr>
          <w:rFonts w:ascii="Calibri" w:eastAsia="Calibri" w:hAnsi="Calibri" w:cs="Calibri"/>
          <w:b/>
          <w:sz w:val="24"/>
          <w:szCs w:val="24"/>
        </w:rPr>
        <w:t>Salud</w:t>
      </w:r>
    </w:p>
    <w:p w14:paraId="32F0848B" w14:textId="77777777" w:rsidR="00E65D69" w:rsidRDefault="00000000">
      <w:pPr>
        <w:numPr>
          <w:ilvl w:val="0"/>
          <w:numId w:val="5"/>
        </w:numPr>
        <w:ind w:left="1275"/>
        <w:jc w:val="both"/>
        <w:rPr>
          <w:rFonts w:ascii="Calibri" w:eastAsia="Calibri" w:hAnsi="Calibri" w:cs="Calibri"/>
          <w:b/>
          <w:sz w:val="24"/>
          <w:szCs w:val="24"/>
        </w:rPr>
      </w:pPr>
      <w:r>
        <w:rPr>
          <w:rFonts w:ascii="Calibri" w:eastAsia="Calibri" w:hAnsi="Calibri" w:cs="Calibri"/>
          <w:b/>
          <w:sz w:val="24"/>
          <w:szCs w:val="24"/>
        </w:rPr>
        <w:t>Anticonceptivos</w:t>
      </w:r>
    </w:p>
    <w:p w14:paraId="50198749" w14:textId="77777777" w:rsidR="00E65D69" w:rsidRDefault="00000000">
      <w:pPr>
        <w:spacing w:after="200"/>
        <w:jc w:val="both"/>
        <w:rPr>
          <w:rFonts w:ascii="Calibri" w:eastAsia="Calibri" w:hAnsi="Calibri" w:cs="Calibri"/>
          <w:sz w:val="24"/>
          <w:szCs w:val="24"/>
        </w:rPr>
      </w:pPr>
      <w:r>
        <w:rPr>
          <w:rFonts w:ascii="Calibri" w:eastAsia="Calibri" w:hAnsi="Calibri" w:cs="Calibri"/>
          <w:sz w:val="24"/>
          <w:szCs w:val="24"/>
        </w:rPr>
        <w:t xml:space="preserve">Desde enero 2021 a marzo 2024 se emitieron 3 alertas para retiro de anticonceptivos orales defectuosos. Asimismo, en octubre de 2023 se emitió la </w:t>
      </w:r>
      <w:hyperlink r:id="rId14">
        <w:r>
          <w:rPr>
            <w:rFonts w:ascii="Calibri" w:eastAsia="Calibri" w:hAnsi="Calibri" w:cs="Calibri"/>
            <w:color w:val="1155CC"/>
            <w:sz w:val="24"/>
            <w:szCs w:val="24"/>
            <w:u w:val="single"/>
          </w:rPr>
          <w:t>Resolución 5600</w:t>
        </w:r>
      </w:hyperlink>
      <w:r>
        <w:rPr>
          <w:rFonts w:ascii="Calibri" w:eastAsia="Calibri" w:hAnsi="Calibri" w:cs="Calibri"/>
          <w:sz w:val="24"/>
          <w:szCs w:val="24"/>
        </w:rPr>
        <w:t xml:space="preserve"> que establece que, en caso de fallas en su efectividad, los anticonceptivos serán clasificados en la categoría de mayor riesgo potencial, por lo que el laboratorio tendrá un máximo de 5 días corridos para recuperar o retirar el producto del mercado. Asimismo, entre 2021 y 2024 se han realizado 13 inspecciones específicas a anticonceptivos orales.</w:t>
      </w:r>
    </w:p>
    <w:p w14:paraId="7E67DD99" w14:textId="77777777" w:rsidR="00E65D69" w:rsidRDefault="00000000">
      <w:pPr>
        <w:spacing w:after="200"/>
        <w:jc w:val="both"/>
        <w:rPr>
          <w:rFonts w:ascii="Calibri" w:eastAsia="Calibri" w:hAnsi="Calibri" w:cs="Calibri"/>
        </w:rPr>
      </w:pPr>
      <w:r>
        <w:rPr>
          <w:rFonts w:ascii="Calibri" w:eastAsia="Calibri" w:hAnsi="Calibri" w:cs="Calibri"/>
          <w:sz w:val="24"/>
          <w:szCs w:val="24"/>
        </w:rPr>
        <w:t xml:space="preserve">Chile también ha adoptado medidas como diferenciar a través del color pastillas con principios activos y placebo, e inclusión del folleto del medicamento de advertencia. </w:t>
      </w:r>
    </w:p>
    <w:p w14:paraId="71AD2DDD" w14:textId="77777777" w:rsidR="00E65D69" w:rsidRDefault="00000000">
      <w:pPr>
        <w:numPr>
          <w:ilvl w:val="0"/>
          <w:numId w:val="5"/>
        </w:numPr>
        <w:pBdr>
          <w:top w:val="nil"/>
          <w:left w:val="nil"/>
          <w:bottom w:val="nil"/>
          <w:right w:val="nil"/>
          <w:between w:val="nil"/>
        </w:pBdr>
        <w:ind w:left="1275"/>
        <w:jc w:val="both"/>
        <w:rPr>
          <w:rFonts w:ascii="Calibri" w:eastAsia="Calibri" w:hAnsi="Calibri" w:cs="Calibri"/>
          <w:b/>
          <w:sz w:val="24"/>
          <w:szCs w:val="24"/>
        </w:rPr>
      </w:pPr>
      <w:r>
        <w:rPr>
          <w:rFonts w:ascii="Calibri" w:eastAsia="Calibri" w:hAnsi="Calibri" w:cs="Calibri"/>
          <w:b/>
          <w:sz w:val="24"/>
          <w:szCs w:val="24"/>
        </w:rPr>
        <w:t>Acceso a la salud sexual de mujeres trans privadas de libertad</w:t>
      </w:r>
    </w:p>
    <w:p w14:paraId="1BC57E15" w14:textId="77777777" w:rsidR="00E65D69" w:rsidRDefault="00000000">
      <w:pPr>
        <w:spacing w:after="200"/>
        <w:jc w:val="both"/>
        <w:rPr>
          <w:rFonts w:ascii="Calibri" w:eastAsia="Calibri" w:hAnsi="Calibri" w:cs="Calibri"/>
          <w:sz w:val="24"/>
          <w:szCs w:val="24"/>
        </w:rPr>
      </w:pPr>
      <w:r>
        <w:rPr>
          <w:rFonts w:ascii="Calibri" w:eastAsia="Calibri" w:hAnsi="Calibri" w:cs="Calibri"/>
          <w:sz w:val="24"/>
          <w:szCs w:val="24"/>
        </w:rPr>
        <w:t xml:space="preserve">Entre 2021 y 2023, Gendarmería capacitó a 3.029 funcionarios/as en la protección de derechos de personas trans, centrada en identidad y expresión de género. Las capacitaciones se basaron en la </w:t>
      </w:r>
      <w:hyperlink r:id="rId15">
        <w:r>
          <w:rPr>
            <w:rFonts w:ascii="Calibri" w:eastAsia="Calibri" w:hAnsi="Calibri" w:cs="Calibri"/>
            <w:color w:val="1155CC"/>
            <w:sz w:val="24"/>
            <w:szCs w:val="24"/>
            <w:u w:val="single"/>
          </w:rPr>
          <w:t>Resolución Exenta N°5716 de 2020</w:t>
        </w:r>
      </w:hyperlink>
      <w:r>
        <w:rPr>
          <w:rFonts w:ascii="Calibri" w:eastAsia="Calibri" w:hAnsi="Calibri" w:cs="Calibri"/>
          <w:sz w:val="24"/>
          <w:szCs w:val="24"/>
        </w:rPr>
        <w:t xml:space="preserve">, que además instruye a establecimientos penitenciarios a apoyar a personas trans en sus procesos de cambio de nombre y sexo registral, logrando 1.077 cambios hasta octubre de 2024. La política garantiza la continuidad de tratamientos de </w:t>
      </w:r>
      <w:proofErr w:type="spellStart"/>
      <w:r>
        <w:rPr>
          <w:rFonts w:ascii="Calibri" w:eastAsia="Calibri" w:hAnsi="Calibri" w:cs="Calibri"/>
          <w:sz w:val="24"/>
          <w:szCs w:val="24"/>
        </w:rPr>
        <w:t>hormonización</w:t>
      </w:r>
      <w:proofErr w:type="spellEnd"/>
      <w:r>
        <w:rPr>
          <w:rFonts w:ascii="Calibri" w:eastAsia="Calibri" w:hAnsi="Calibri" w:cs="Calibri"/>
          <w:sz w:val="24"/>
          <w:szCs w:val="24"/>
        </w:rPr>
        <w:t xml:space="preserve">; acceso a </w:t>
      </w:r>
      <w:proofErr w:type="spellStart"/>
      <w:r>
        <w:rPr>
          <w:rFonts w:ascii="Calibri" w:eastAsia="Calibri" w:hAnsi="Calibri" w:cs="Calibri"/>
          <w:sz w:val="24"/>
          <w:szCs w:val="24"/>
        </w:rPr>
        <w:t>triterapia</w:t>
      </w:r>
      <w:proofErr w:type="spellEnd"/>
      <w:r>
        <w:rPr>
          <w:rFonts w:ascii="Calibri" w:eastAsia="Calibri" w:hAnsi="Calibri" w:cs="Calibri"/>
          <w:sz w:val="24"/>
          <w:szCs w:val="24"/>
        </w:rPr>
        <w:t xml:space="preserve"> para personas con VIH; cirugías de reasignación de sexo; y atención de complicaciones por silicona.</w:t>
      </w:r>
    </w:p>
    <w:p w14:paraId="0282BCC8" w14:textId="77777777" w:rsidR="00E65D69" w:rsidRDefault="00000000">
      <w:pPr>
        <w:numPr>
          <w:ilvl w:val="0"/>
          <w:numId w:val="4"/>
        </w:numPr>
        <w:pBdr>
          <w:top w:val="nil"/>
          <w:left w:val="nil"/>
          <w:bottom w:val="nil"/>
          <w:right w:val="nil"/>
          <w:between w:val="nil"/>
        </w:pBdr>
        <w:spacing w:after="200"/>
        <w:jc w:val="both"/>
        <w:rPr>
          <w:rFonts w:ascii="Calibri" w:eastAsia="Calibri" w:hAnsi="Calibri" w:cs="Calibri"/>
          <w:b/>
          <w:sz w:val="24"/>
          <w:szCs w:val="24"/>
        </w:rPr>
      </w:pPr>
      <w:r>
        <w:rPr>
          <w:rFonts w:ascii="Calibri" w:eastAsia="Calibri" w:hAnsi="Calibri" w:cs="Calibri"/>
          <w:b/>
          <w:sz w:val="24"/>
          <w:szCs w:val="24"/>
        </w:rPr>
        <w:t>Precisión adopción homoparental</w:t>
      </w:r>
    </w:p>
    <w:p w14:paraId="6C90ED44" w14:textId="77777777" w:rsidR="00E65D69" w:rsidRDefault="00000000">
      <w:pPr>
        <w:spacing w:after="200"/>
        <w:jc w:val="both"/>
        <w:rPr>
          <w:rFonts w:ascii="Calibri" w:eastAsia="Calibri" w:hAnsi="Calibri" w:cs="Calibri"/>
          <w:sz w:val="24"/>
          <w:szCs w:val="24"/>
        </w:rPr>
      </w:pPr>
      <w:r>
        <w:rPr>
          <w:rFonts w:ascii="Calibri" w:eastAsia="Calibri" w:hAnsi="Calibri" w:cs="Calibri"/>
          <w:sz w:val="24"/>
          <w:szCs w:val="24"/>
        </w:rPr>
        <w:t xml:space="preserve">Con la </w:t>
      </w:r>
      <w:hyperlink r:id="rId16">
        <w:r>
          <w:rPr>
            <w:rFonts w:ascii="Calibri" w:eastAsia="Calibri" w:hAnsi="Calibri" w:cs="Calibri"/>
            <w:color w:val="1155CC"/>
            <w:sz w:val="24"/>
            <w:szCs w:val="24"/>
            <w:u w:val="single"/>
          </w:rPr>
          <w:t>Ley N°21.400</w:t>
        </w:r>
      </w:hyperlink>
      <w:r>
        <w:rPr>
          <w:rFonts w:ascii="Calibri" w:eastAsia="Calibri" w:hAnsi="Calibri" w:cs="Calibri"/>
          <w:sz w:val="24"/>
          <w:szCs w:val="24"/>
        </w:rPr>
        <w:t xml:space="preserve"> las personas casadas pasan a tener estado civil de cónyuges, independiente de su sexo. Luego, la </w:t>
      </w:r>
      <w:hyperlink r:id="rId17">
        <w:r>
          <w:rPr>
            <w:rFonts w:ascii="Calibri" w:eastAsia="Calibri" w:hAnsi="Calibri" w:cs="Calibri"/>
            <w:color w:val="1155CC"/>
            <w:sz w:val="24"/>
            <w:szCs w:val="24"/>
            <w:u w:val="single"/>
          </w:rPr>
          <w:t>Ley N°19.620</w:t>
        </w:r>
      </w:hyperlink>
      <w:r>
        <w:rPr>
          <w:rFonts w:ascii="Calibri" w:eastAsia="Calibri" w:hAnsi="Calibri" w:cs="Calibri"/>
          <w:sz w:val="24"/>
          <w:szCs w:val="24"/>
        </w:rPr>
        <w:t xml:space="preserve"> no distingue entre el sexo de los cónyuges para evaluar una adopción.</w:t>
      </w:r>
    </w:p>
    <w:p w14:paraId="0EEB34C8" w14:textId="77777777" w:rsidR="00E65D69" w:rsidRDefault="00000000">
      <w:pPr>
        <w:numPr>
          <w:ilvl w:val="0"/>
          <w:numId w:val="4"/>
        </w:numPr>
        <w:pBdr>
          <w:top w:val="nil"/>
          <w:left w:val="nil"/>
          <w:bottom w:val="nil"/>
          <w:right w:val="nil"/>
          <w:between w:val="nil"/>
        </w:pBdr>
        <w:jc w:val="both"/>
        <w:rPr>
          <w:rFonts w:ascii="Calibri" w:eastAsia="Calibri" w:hAnsi="Calibri" w:cs="Calibri"/>
          <w:b/>
          <w:sz w:val="24"/>
          <w:szCs w:val="24"/>
        </w:rPr>
      </w:pPr>
      <w:r>
        <w:rPr>
          <w:rFonts w:ascii="Calibri" w:eastAsia="Calibri" w:hAnsi="Calibri" w:cs="Calibri"/>
          <w:b/>
          <w:sz w:val="24"/>
          <w:szCs w:val="24"/>
        </w:rPr>
        <w:t>Respuesta escrita solicitada por Sra. Presidenta</w:t>
      </w:r>
    </w:p>
    <w:p w14:paraId="7054966C" w14:textId="77777777" w:rsidR="00E65D69" w:rsidRDefault="00000000">
      <w:pPr>
        <w:numPr>
          <w:ilvl w:val="0"/>
          <w:numId w:val="2"/>
        </w:numPr>
        <w:ind w:left="1275"/>
        <w:jc w:val="both"/>
        <w:rPr>
          <w:rFonts w:ascii="Calibri" w:eastAsia="Calibri" w:hAnsi="Calibri" w:cs="Calibri"/>
          <w:b/>
          <w:sz w:val="24"/>
          <w:szCs w:val="24"/>
        </w:rPr>
      </w:pPr>
      <w:r>
        <w:rPr>
          <w:rFonts w:ascii="Calibri" w:eastAsia="Calibri" w:hAnsi="Calibri" w:cs="Calibri"/>
          <w:b/>
          <w:sz w:val="24"/>
          <w:szCs w:val="24"/>
        </w:rPr>
        <w:lastRenderedPageBreak/>
        <w:t>Indemnizaciones a mujeres con discapacidad víctimas de esterilización forzada.</w:t>
      </w:r>
    </w:p>
    <w:p w14:paraId="781BAF28" w14:textId="77777777" w:rsidR="00E65D69" w:rsidRDefault="00000000">
      <w:pPr>
        <w:spacing w:before="240" w:after="240"/>
        <w:jc w:val="both"/>
        <w:rPr>
          <w:rFonts w:ascii="Calibri" w:eastAsia="Calibri" w:hAnsi="Calibri" w:cs="Calibri"/>
          <w:sz w:val="24"/>
          <w:szCs w:val="24"/>
        </w:rPr>
      </w:pPr>
      <w:r>
        <w:rPr>
          <w:rFonts w:ascii="Calibri" w:eastAsia="Calibri" w:hAnsi="Calibri" w:cs="Calibri"/>
          <w:sz w:val="24"/>
          <w:szCs w:val="24"/>
        </w:rPr>
        <w:t xml:space="preserve">El Estado no cuenta con registros de denuncias formales respecto a esterilizaciones forzadas a mujeres con discapacidad. Esta materia se regula en la </w:t>
      </w:r>
      <w:hyperlink r:id="rId18">
        <w:r>
          <w:rPr>
            <w:rFonts w:ascii="Calibri" w:eastAsia="Calibri" w:hAnsi="Calibri" w:cs="Calibri"/>
            <w:color w:val="1155CC"/>
            <w:sz w:val="24"/>
            <w:szCs w:val="24"/>
            <w:u w:val="single"/>
          </w:rPr>
          <w:t>Ley de Reconocimiento y Protección de Derechos de las Personas en Atención de Salud Mental</w:t>
        </w:r>
      </w:hyperlink>
      <w:r>
        <w:rPr>
          <w:rFonts w:ascii="Calibri" w:eastAsia="Calibri" w:hAnsi="Calibri" w:cs="Calibri"/>
          <w:sz w:val="24"/>
          <w:szCs w:val="24"/>
        </w:rPr>
        <w:t xml:space="preserve">, que prohíbe cualquier tipo de intervención quirúrgica irreversible en personas con alguna patología de salud mental o que no puedan dar su consentimiento. </w:t>
      </w:r>
    </w:p>
    <w:p w14:paraId="591B9089" w14:textId="77777777" w:rsidR="00E65D69" w:rsidRDefault="00000000">
      <w:pPr>
        <w:spacing w:before="240" w:after="240"/>
        <w:jc w:val="both"/>
        <w:rPr>
          <w:rFonts w:ascii="Calibri" w:eastAsia="Calibri" w:hAnsi="Calibri" w:cs="Calibri"/>
          <w:sz w:val="24"/>
          <w:szCs w:val="24"/>
        </w:rPr>
      </w:pPr>
      <w:r>
        <w:rPr>
          <w:rFonts w:ascii="Calibri" w:eastAsia="Calibri" w:hAnsi="Calibri" w:cs="Calibri"/>
          <w:sz w:val="24"/>
          <w:szCs w:val="24"/>
        </w:rPr>
        <w:t xml:space="preserve">Adicionalmente se emitió la </w:t>
      </w:r>
      <w:hyperlink r:id="rId19">
        <w:r>
          <w:rPr>
            <w:rFonts w:ascii="Calibri" w:eastAsia="Calibri" w:hAnsi="Calibri" w:cs="Calibri"/>
            <w:color w:val="1155CC"/>
            <w:sz w:val="24"/>
            <w:szCs w:val="24"/>
            <w:u w:val="single"/>
          </w:rPr>
          <w:t>Circular N°9 sobre esterilizaciones quirúrgicas (2022)</w:t>
        </w:r>
      </w:hyperlink>
      <w:r>
        <w:rPr>
          <w:rFonts w:ascii="Calibri" w:eastAsia="Calibri" w:hAnsi="Calibri" w:cs="Calibri"/>
          <w:sz w:val="24"/>
          <w:szCs w:val="24"/>
        </w:rPr>
        <w:t>, que reitera directrices para la anticoncepción quirúrgica y consentimiento informado en regulación de la fertilidad.</w:t>
      </w:r>
    </w:p>
    <w:p w14:paraId="1184AD1E" w14:textId="77777777" w:rsidR="00E65D69" w:rsidRDefault="00000000">
      <w:pPr>
        <w:numPr>
          <w:ilvl w:val="0"/>
          <w:numId w:val="2"/>
        </w:numPr>
        <w:pBdr>
          <w:top w:val="nil"/>
          <w:left w:val="nil"/>
          <w:bottom w:val="nil"/>
          <w:right w:val="nil"/>
          <w:between w:val="nil"/>
        </w:pBdr>
        <w:ind w:left="1275"/>
        <w:jc w:val="both"/>
        <w:rPr>
          <w:rFonts w:ascii="Calibri" w:eastAsia="Calibri" w:hAnsi="Calibri" w:cs="Calibri"/>
          <w:b/>
          <w:sz w:val="24"/>
          <w:szCs w:val="24"/>
        </w:rPr>
      </w:pPr>
      <w:r>
        <w:rPr>
          <w:rFonts w:ascii="Calibri" w:eastAsia="Calibri" w:hAnsi="Calibri" w:cs="Calibri"/>
          <w:b/>
          <w:sz w:val="24"/>
          <w:szCs w:val="24"/>
        </w:rPr>
        <w:t>Implementación Ley 21.030</w:t>
      </w:r>
    </w:p>
    <w:p w14:paraId="29F2071B" w14:textId="77777777" w:rsidR="00E65D69" w:rsidRDefault="00000000">
      <w:pPr>
        <w:spacing w:after="200"/>
        <w:jc w:val="both"/>
        <w:rPr>
          <w:rFonts w:ascii="Calibri" w:eastAsia="Calibri" w:hAnsi="Calibri" w:cs="Calibri"/>
          <w:sz w:val="24"/>
          <w:szCs w:val="24"/>
        </w:rPr>
      </w:pPr>
      <w:r>
        <w:rPr>
          <w:rFonts w:ascii="Calibri" w:eastAsia="Calibri" w:hAnsi="Calibri" w:cs="Calibri"/>
          <w:sz w:val="24"/>
          <w:szCs w:val="24"/>
        </w:rPr>
        <w:t xml:space="preserve">La </w:t>
      </w:r>
      <w:hyperlink r:id="rId20">
        <w:r>
          <w:rPr>
            <w:rFonts w:ascii="Calibri" w:eastAsia="Calibri" w:hAnsi="Calibri" w:cs="Calibri"/>
            <w:color w:val="1155CC"/>
            <w:sz w:val="24"/>
            <w:szCs w:val="24"/>
            <w:u w:val="single"/>
          </w:rPr>
          <w:t>Ley 21.030</w:t>
        </w:r>
      </w:hyperlink>
      <w:r>
        <w:rPr>
          <w:rFonts w:ascii="Calibri" w:eastAsia="Calibri" w:hAnsi="Calibri" w:cs="Calibri"/>
          <w:sz w:val="24"/>
          <w:szCs w:val="24"/>
        </w:rPr>
        <w:t xml:space="preserve"> establece un programa de acompañamiento psicosocial universal y gratuito, antes y después de la decisión de la interrupción voluntaria del embarazo. Hasta octubre de 2024, se han realizado 24.249 atenciones para 5.370 mujeres y 1.021 sesiones para 184 niñas menores de 14 años. El acompañamiento voluntario puede ser solicitado también a </w:t>
      </w:r>
      <w:proofErr w:type="spellStart"/>
      <w:r>
        <w:rPr>
          <w:rFonts w:ascii="Calibri" w:eastAsia="Calibri" w:hAnsi="Calibri" w:cs="Calibri"/>
          <w:sz w:val="24"/>
          <w:szCs w:val="24"/>
        </w:rPr>
        <w:t>ONGs</w:t>
      </w:r>
      <w:proofErr w:type="spellEnd"/>
      <w:r>
        <w:rPr>
          <w:rFonts w:ascii="Calibri" w:eastAsia="Calibri" w:hAnsi="Calibri" w:cs="Calibri"/>
          <w:sz w:val="24"/>
          <w:szCs w:val="24"/>
        </w:rPr>
        <w:t xml:space="preserve"> acreditadas. Para más información acceder al </w:t>
      </w:r>
      <w:hyperlink r:id="rId21">
        <w:proofErr w:type="spellStart"/>
        <w:r>
          <w:rPr>
            <w:rFonts w:ascii="Calibri" w:eastAsia="Calibri" w:hAnsi="Calibri" w:cs="Calibri"/>
            <w:color w:val="1155CC"/>
            <w:sz w:val="24"/>
            <w:szCs w:val="24"/>
            <w:u w:val="single"/>
          </w:rPr>
          <w:t>Dashboard</w:t>
        </w:r>
        <w:proofErr w:type="spellEnd"/>
        <w:r>
          <w:rPr>
            <w:rFonts w:ascii="Calibri" w:eastAsia="Calibri" w:hAnsi="Calibri" w:cs="Calibri"/>
            <w:color w:val="1155CC"/>
            <w:sz w:val="24"/>
            <w:szCs w:val="24"/>
            <w:u w:val="single"/>
          </w:rPr>
          <w:t xml:space="preserve"> del DEIS</w:t>
        </w:r>
      </w:hyperlink>
      <w:r>
        <w:rPr>
          <w:rFonts w:ascii="Calibri" w:eastAsia="Calibri" w:hAnsi="Calibri" w:cs="Calibri"/>
          <w:sz w:val="24"/>
          <w:szCs w:val="24"/>
        </w:rPr>
        <w:t>.</w:t>
      </w:r>
    </w:p>
    <w:p w14:paraId="45075AEB" w14:textId="77777777" w:rsidR="00E65D69" w:rsidRDefault="00000000">
      <w:pPr>
        <w:spacing w:after="200"/>
        <w:jc w:val="both"/>
        <w:rPr>
          <w:rFonts w:ascii="Calibri" w:eastAsia="Calibri" w:hAnsi="Calibri" w:cs="Calibri"/>
          <w:sz w:val="24"/>
          <w:szCs w:val="24"/>
        </w:rPr>
      </w:pPr>
      <w:r>
        <w:rPr>
          <w:rFonts w:ascii="Calibri" w:eastAsia="Calibri" w:hAnsi="Calibri" w:cs="Calibri"/>
          <w:sz w:val="24"/>
          <w:szCs w:val="24"/>
        </w:rPr>
        <w:t xml:space="preserve">La autorización sustitutiva judicial aplica para menores de 14 años y mujeres declaradas </w:t>
      </w:r>
      <w:proofErr w:type="spellStart"/>
      <w:r>
        <w:rPr>
          <w:rFonts w:ascii="Calibri" w:eastAsia="Calibri" w:hAnsi="Calibri" w:cs="Calibri"/>
          <w:sz w:val="24"/>
          <w:szCs w:val="24"/>
        </w:rPr>
        <w:t>interdictas</w:t>
      </w:r>
      <w:proofErr w:type="spellEnd"/>
      <w:r>
        <w:rPr>
          <w:rFonts w:ascii="Calibri" w:eastAsia="Calibri" w:hAnsi="Calibri" w:cs="Calibri"/>
          <w:sz w:val="24"/>
          <w:szCs w:val="24"/>
        </w:rPr>
        <w:t xml:space="preserve"> cuando, a juicio del equipo de salud, el tutor legal tiene una posición contraria a la voluntad de la niña; los tutores legales no son habidos; o la niña corre riesgo de violencia o abandono ante solicitud de esta autorización.</w:t>
      </w:r>
    </w:p>
    <w:p w14:paraId="4637C77B" w14:textId="77777777" w:rsidR="00E65D69" w:rsidRDefault="00000000">
      <w:pPr>
        <w:numPr>
          <w:ilvl w:val="0"/>
          <w:numId w:val="2"/>
        </w:numPr>
        <w:pBdr>
          <w:top w:val="nil"/>
          <w:left w:val="nil"/>
          <w:bottom w:val="nil"/>
          <w:right w:val="nil"/>
          <w:between w:val="nil"/>
        </w:pBdr>
        <w:ind w:left="1275"/>
        <w:jc w:val="both"/>
        <w:rPr>
          <w:rFonts w:ascii="Calibri" w:eastAsia="Calibri" w:hAnsi="Calibri" w:cs="Calibri"/>
          <w:b/>
          <w:sz w:val="24"/>
          <w:szCs w:val="24"/>
        </w:rPr>
      </w:pPr>
      <w:r>
        <w:rPr>
          <w:rFonts w:ascii="Calibri" w:eastAsia="Calibri" w:hAnsi="Calibri" w:cs="Calibri"/>
          <w:b/>
          <w:sz w:val="24"/>
          <w:szCs w:val="24"/>
        </w:rPr>
        <w:t>Nueva información sobre Autonomía Económica</w:t>
      </w:r>
    </w:p>
    <w:p w14:paraId="64EC98EA" w14:textId="77777777" w:rsidR="00E65D69" w:rsidRDefault="00000000">
      <w:pPr>
        <w:spacing w:before="240" w:after="240"/>
        <w:jc w:val="both"/>
        <w:rPr>
          <w:rFonts w:ascii="Calibri" w:eastAsia="Calibri" w:hAnsi="Calibri" w:cs="Calibri"/>
          <w:sz w:val="24"/>
          <w:szCs w:val="24"/>
        </w:rPr>
      </w:pPr>
      <w:r>
        <w:rPr>
          <w:rFonts w:ascii="Calibri" w:eastAsia="Calibri" w:hAnsi="Calibri" w:cs="Calibri"/>
          <w:sz w:val="24"/>
          <w:szCs w:val="24"/>
        </w:rPr>
        <w:t xml:space="preserve">Entre 2022 y 2023, el Fondo Capital Abeja, que promueve nuevos negocios, benefició a 3.293 mujeres. Por su parte, la priorización de regularización de títulos de dominio para jefas de hogar, ha entregado 2.111 títulos entre 2022 y 2024. </w:t>
      </w:r>
    </w:p>
    <w:p w14:paraId="63B3440A" w14:textId="77777777" w:rsidR="00E65D69" w:rsidRDefault="00000000">
      <w:pPr>
        <w:spacing w:before="240" w:after="240"/>
        <w:jc w:val="both"/>
        <w:rPr>
          <w:rFonts w:ascii="Calibri" w:eastAsia="Calibri" w:hAnsi="Calibri" w:cs="Calibri"/>
          <w:sz w:val="24"/>
          <w:szCs w:val="24"/>
        </w:rPr>
      </w:pPr>
      <w:r>
        <w:rPr>
          <w:rFonts w:ascii="Calibri" w:eastAsia="Calibri" w:hAnsi="Calibri" w:cs="Calibri"/>
          <w:sz w:val="24"/>
          <w:szCs w:val="24"/>
        </w:rPr>
        <w:t xml:space="preserve">El Programa Mujeres Jefas de Hogar (MJH) dirigido a mujeres mayores de 18 años que pertenezcan al 80% más desprotegido de la población alcanzó en 2023 a 27.032 beneficiarias de las cuales 18,17% pertenecen a pueblos indígenas y 24,06%  mujeres rurales. El </w:t>
      </w:r>
      <w:hyperlink r:id="rId22">
        <w:r>
          <w:rPr>
            <w:rFonts w:ascii="Calibri" w:eastAsia="Calibri" w:hAnsi="Calibri" w:cs="Calibri"/>
            <w:color w:val="1155CC"/>
            <w:sz w:val="24"/>
            <w:szCs w:val="24"/>
            <w:u w:val="single"/>
          </w:rPr>
          <w:t>Programa de Maestros y Maestras para la Construcció</w:t>
        </w:r>
      </w:hyperlink>
      <w:r>
        <w:rPr>
          <w:rFonts w:ascii="Calibri" w:eastAsia="Calibri" w:hAnsi="Calibri" w:cs="Calibri"/>
          <w:sz w:val="24"/>
          <w:szCs w:val="24"/>
        </w:rPr>
        <w:t xml:space="preserve">n alcanzó a 3.065 usuarios/as (46,3% mujeres), entregando certificación técnica, subsidio laboral y apresto para el trabajo.  </w:t>
      </w:r>
    </w:p>
    <w:p w14:paraId="6F461736" w14:textId="77777777" w:rsidR="00E65D69" w:rsidRDefault="00000000">
      <w:pPr>
        <w:spacing w:before="240" w:after="240"/>
        <w:jc w:val="both"/>
        <w:rPr>
          <w:rFonts w:ascii="Calibri" w:eastAsia="Calibri" w:hAnsi="Calibri" w:cs="Calibri"/>
          <w:sz w:val="24"/>
          <w:szCs w:val="24"/>
        </w:rPr>
      </w:pPr>
      <w:r>
        <w:rPr>
          <w:rFonts w:ascii="Calibri" w:eastAsia="Calibri" w:hAnsi="Calibri" w:cs="Calibri"/>
          <w:sz w:val="24"/>
          <w:szCs w:val="24"/>
        </w:rPr>
        <w:t xml:space="preserve">En cuanto a mujeres indígenas, el Programa Microemprendimiento Indígena ha apoyado la generación de ingresos autónomos para mujeres jefas de hogar mediante financiamiento de emprendimientos con identidad cultural. </w:t>
      </w:r>
    </w:p>
    <w:p w14:paraId="6EF55BD0" w14:textId="77777777" w:rsidR="00E65D69" w:rsidRDefault="00000000">
      <w:pPr>
        <w:spacing w:before="240" w:after="240"/>
        <w:jc w:val="both"/>
        <w:rPr>
          <w:rFonts w:ascii="Calibri" w:eastAsia="Calibri" w:hAnsi="Calibri" w:cs="Calibri"/>
          <w:b/>
          <w:sz w:val="24"/>
          <w:szCs w:val="24"/>
        </w:rPr>
      </w:pPr>
      <w:r>
        <w:rPr>
          <w:rFonts w:ascii="Calibri" w:eastAsia="Calibri" w:hAnsi="Calibri" w:cs="Calibri"/>
          <w:sz w:val="24"/>
          <w:szCs w:val="24"/>
        </w:rPr>
        <w:lastRenderedPageBreak/>
        <w:t>Finalmente, entre 2022 y 2023 el Ministerio de Obras Públicas invirtió 19 millones de dólares en 12 caletas pesqueras buscando reducir brechas de género en este sector masculinizado.</w:t>
      </w:r>
    </w:p>
    <w:sectPr w:rsidR="00E65D69">
      <w:headerReference w:type="default" r:id="rId23"/>
      <w:footerReference w:type="even" r:id="rId24"/>
      <w:footerReference w:type="default" r:id="rId25"/>
      <w:headerReference w:type="first" r:id="rId26"/>
      <w:footerReference w:type="first" r:id="rId27"/>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FEC1F" w14:textId="77777777" w:rsidR="00BF52D0" w:rsidRDefault="00BF52D0">
      <w:pPr>
        <w:spacing w:line="240" w:lineRule="auto"/>
      </w:pPr>
      <w:r>
        <w:separator/>
      </w:r>
    </w:p>
  </w:endnote>
  <w:endnote w:type="continuationSeparator" w:id="0">
    <w:p w14:paraId="79BE21FA" w14:textId="77777777" w:rsidR="00BF52D0" w:rsidRDefault="00BF52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CC1F2" w14:textId="77777777" w:rsidR="00E65D69" w:rsidRDefault="00000000">
    <w:pPr>
      <w:pBdr>
        <w:top w:val="nil"/>
        <w:left w:val="nil"/>
        <w:bottom w:val="nil"/>
        <w:right w:val="nil"/>
        <w:between w:val="nil"/>
      </w:pBdr>
      <w:tabs>
        <w:tab w:val="center" w:pos="4419"/>
        <w:tab w:val="right" w:pos="8838"/>
      </w:tabs>
      <w:spacing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79D92CD0" w14:textId="77777777" w:rsidR="00E65D69" w:rsidRDefault="00E65D69">
    <w:pPr>
      <w:pBdr>
        <w:top w:val="nil"/>
        <w:left w:val="nil"/>
        <w:bottom w:val="nil"/>
        <w:right w:val="nil"/>
        <w:between w:val="nil"/>
      </w:pBdr>
      <w:tabs>
        <w:tab w:val="center" w:pos="4419"/>
        <w:tab w:val="right" w:pos="8838"/>
      </w:tabs>
      <w:spacing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A3BBF" w14:textId="26EA99BB" w:rsidR="00E65D69" w:rsidRDefault="00000000">
    <w:pPr>
      <w:pBdr>
        <w:top w:val="nil"/>
        <w:left w:val="nil"/>
        <w:bottom w:val="nil"/>
        <w:right w:val="nil"/>
        <w:between w:val="nil"/>
      </w:pBdr>
      <w:tabs>
        <w:tab w:val="center" w:pos="4419"/>
        <w:tab w:val="right" w:pos="8838"/>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B54F96">
      <w:rPr>
        <w:noProof/>
        <w:color w:val="000000"/>
      </w:rPr>
      <w:t>2</w:t>
    </w:r>
    <w:r>
      <w:rPr>
        <w:color w:val="000000"/>
      </w:rPr>
      <w:fldChar w:fldCharType="end"/>
    </w:r>
  </w:p>
  <w:p w14:paraId="00F2E3A9" w14:textId="77777777" w:rsidR="00E65D69" w:rsidRDefault="00E65D69">
    <w:pPr>
      <w:pBdr>
        <w:top w:val="nil"/>
        <w:left w:val="nil"/>
        <w:bottom w:val="nil"/>
        <w:right w:val="nil"/>
        <w:between w:val="nil"/>
      </w:pBdr>
      <w:tabs>
        <w:tab w:val="center" w:pos="4419"/>
        <w:tab w:val="right" w:pos="8838"/>
      </w:tabs>
      <w:spacing w:line="240" w:lineRule="auto"/>
      <w:ind w:right="36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90FB3" w14:textId="77777777" w:rsidR="00E65D69" w:rsidRDefault="00E65D6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9B3EC" w14:textId="77777777" w:rsidR="00BF52D0" w:rsidRDefault="00BF52D0">
      <w:pPr>
        <w:spacing w:line="240" w:lineRule="auto"/>
      </w:pPr>
      <w:r>
        <w:separator/>
      </w:r>
    </w:p>
  </w:footnote>
  <w:footnote w:type="continuationSeparator" w:id="0">
    <w:p w14:paraId="2FF8E0AF" w14:textId="77777777" w:rsidR="00BF52D0" w:rsidRDefault="00BF52D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38C31" w14:textId="77777777" w:rsidR="00E65D69" w:rsidRDefault="00E65D69">
    <w:pPr>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E7916" w14:textId="77777777" w:rsidR="00E65D69" w:rsidRDefault="00000000">
    <w:r>
      <w:rPr>
        <w:rFonts w:ascii="Calibri" w:eastAsia="Calibri" w:hAnsi="Calibri" w:cs="Calibri"/>
        <w:b/>
        <w:noProof/>
        <w:sz w:val="24"/>
        <w:szCs w:val="24"/>
      </w:rPr>
      <w:drawing>
        <wp:inline distT="114300" distB="114300" distL="114300" distR="114300" wp14:anchorId="0BE57152" wp14:editId="7C390863">
          <wp:extent cx="1414463" cy="1414463"/>
          <wp:effectExtent l="0" t="0" r="0" b="0"/>
          <wp:docPr id="53245499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14463" cy="1414463"/>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4C66A7"/>
    <w:multiLevelType w:val="multilevel"/>
    <w:tmpl w:val="DA9648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BC97F60"/>
    <w:multiLevelType w:val="multilevel"/>
    <w:tmpl w:val="D93C96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4F0229E"/>
    <w:multiLevelType w:val="multilevel"/>
    <w:tmpl w:val="736C8E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CFE1A4B"/>
    <w:multiLevelType w:val="multilevel"/>
    <w:tmpl w:val="A88EF3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3F7262A"/>
    <w:multiLevelType w:val="multilevel"/>
    <w:tmpl w:val="94B0A26A"/>
    <w:lvl w:ilvl="0">
      <w:start w:val="1"/>
      <w:numFmt w:val="decimal"/>
      <w:lvlText w:val="%1."/>
      <w:lvlJc w:val="left"/>
      <w:pPr>
        <w:ind w:left="720" w:hanging="360"/>
      </w:pPr>
      <w:rPr>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8B535E4"/>
    <w:multiLevelType w:val="multilevel"/>
    <w:tmpl w:val="3F3C382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176194177">
    <w:abstractNumId w:val="4"/>
  </w:num>
  <w:num w:numId="2" w16cid:durableId="1048649473">
    <w:abstractNumId w:val="1"/>
  </w:num>
  <w:num w:numId="3" w16cid:durableId="1710958818">
    <w:abstractNumId w:val="3"/>
  </w:num>
  <w:num w:numId="4" w16cid:durableId="1558277600">
    <w:abstractNumId w:val="5"/>
  </w:num>
  <w:num w:numId="5" w16cid:durableId="1375155185">
    <w:abstractNumId w:val="2"/>
  </w:num>
  <w:num w:numId="6" w16cid:durableId="12253333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5D69"/>
    <w:rsid w:val="00B54F96"/>
    <w:rsid w:val="00BF52D0"/>
    <w:rsid w:val="00E65D6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4:docId w14:val="330D7913"/>
  <w15:docId w15:val="{268420BB-FDBF-E44D-AD69-6FC42C405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CL" w:eastAsia="es-MX"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Piedepgina">
    <w:name w:val="footer"/>
    <w:basedOn w:val="Normal"/>
    <w:link w:val="PiedepginaCar"/>
    <w:uiPriority w:val="99"/>
    <w:unhideWhenUsed/>
    <w:rsid w:val="0022490B"/>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22490B"/>
  </w:style>
  <w:style w:type="character" w:styleId="Nmerodepgina">
    <w:name w:val="page number"/>
    <w:basedOn w:val="Fuentedeprrafopredeter"/>
    <w:uiPriority w:val="99"/>
    <w:semiHidden/>
    <w:unhideWhenUsed/>
    <w:rsid w:val="002249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fiscaliadechile.cl/Manual_invest_muertes_violentas_mujeres_femicidios.pdf" TargetMode="External"/><Relationship Id="rId13" Type="http://schemas.openxmlformats.org/officeDocument/2006/relationships/hyperlink" Target="https://www.serviciocivil.cl/sistema-de-alta-direccion-publica-2/" TargetMode="External"/><Relationship Id="rId18" Type="http://schemas.openxmlformats.org/officeDocument/2006/relationships/hyperlink" Target="https://www.bcn.cl/leychile/navegar?idNorma=1159383"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informesdeis.minsal.cl/SASVisualAnalytics/?reportUri=%2Freports%2Freports%2F382105c8-521f-4356-b1b8-6bad21ba8b08&amp;sectionIndex=0&amp;sso_guest=true&amp;reportViewOnly=true&amp;reportContextBar=false&amp;sas-welcome=false" TargetMode="External"/><Relationship Id="rId7" Type="http://schemas.openxmlformats.org/officeDocument/2006/relationships/endnotes" Target="endnotes.xml"/><Relationship Id="rId12" Type="http://schemas.openxmlformats.org/officeDocument/2006/relationships/hyperlink" Target="https://www.bcn.cl/leychile/navegar?idNorma=1014974" TargetMode="External"/><Relationship Id="rId17" Type="http://schemas.openxmlformats.org/officeDocument/2006/relationships/hyperlink" Target="https://www.bcn.cl/leychile/navegar?idNorma=140084"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bcn.cl/leychile/navegar?idNorma=1169572" TargetMode="External"/><Relationship Id="rId20" Type="http://schemas.openxmlformats.org/officeDocument/2006/relationships/hyperlink" Target="https://www.bcn.cl/leychile/navegar?idNorma=110823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ratadepersonas.subinterior.gov.cl/media/2015/07/MITP-Protocolo-Intersectorial-de-Atenci%C3%B3n-de-V%C3%ADctimas-de-Trata-de-Personas.pdf"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movilh.cl/wp-content/uploads/2021/01/gendarmeria-protocolo-trans-movilh.pdf"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s://www.bcn.cl/leychile/navegar?idNorma=1113932" TargetMode="External"/><Relationship Id="rId19" Type="http://schemas.openxmlformats.org/officeDocument/2006/relationships/hyperlink" Target="https://diprece.minsal.cl/wp-content/uploads/2022/11/Circular-N%C2%B009-Esterilizacion-Quirurgica.pdf" TargetMode="External"/><Relationship Id="rId31"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tratadepersonas.subinterior.gov.cl/media/2024/09/Plan-Contra-la-Trata-de-Personas-2024.pdf" TargetMode="External"/><Relationship Id="rId14" Type="http://schemas.openxmlformats.org/officeDocument/2006/relationships/hyperlink" Target="https://www.bcn.cl/leychile/navegar?idNorma=1197328" TargetMode="External"/><Relationship Id="rId22" Type="http://schemas.openxmlformats.org/officeDocument/2006/relationships/hyperlink" Target="https://www.ccc.cl/wp-content/uploads/2023/11/Informe-final_Maestros-y-Maestras-Construccion-revision-final.pdf" TargetMode="External"/><Relationship Id="rId27" Type="http://schemas.openxmlformats.org/officeDocument/2006/relationships/footer" Target="footer3.xml"/><Relationship Id="rId30"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fLRinGWEV73wv828AE70RKuGNw==">CgMxLjA4AHIhMTQ3ZG1URlFtdE9pTEdsX2QtcWsyV2xKMFcyaUlDLXZB</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3E870D4-4334-4B47-AC0F-76AD366774A8}"/>
</file>

<file path=customXml/itemProps3.xml><?xml version="1.0" encoding="utf-8"?>
<ds:datastoreItem xmlns:ds="http://schemas.openxmlformats.org/officeDocument/2006/customXml" ds:itemID="{E23CA155-B8AD-4DB4-92B0-F70236C046B4}"/>
</file>

<file path=docProps/app.xml><?xml version="1.0" encoding="utf-8"?>
<Properties xmlns="http://schemas.openxmlformats.org/officeDocument/2006/extended-properties" xmlns:vt="http://schemas.openxmlformats.org/officeDocument/2006/docPropsVTypes">
  <Template>Normal.dotm</Template>
  <TotalTime>0</TotalTime>
  <Pages>5</Pages>
  <Words>1684</Words>
  <Characters>9265</Characters>
  <Application>Microsoft Office Word</Application>
  <DocSecurity>0</DocSecurity>
  <Lines>77</Lines>
  <Paragraphs>21</Paragraphs>
  <ScaleCrop>false</ScaleCrop>
  <Company/>
  <LinksUpToDate>false</LinksUpToDate>
  <CharactersWithSpaces>10928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167582834</cp:lastModifiedBy>
  <cp:revision>2</cp:revision>
  <dcterms:created xsi:type="dcterms:W3CDTF">2024-10-16T11:45:00Z</dcterms:created>
  <dcterms:modified xsi:type="dcterms:W3CDTF">2024-10-16T11:45:00Z</dcterms:modified>
</cp:coreProperties>
</file>