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8655F" w14:textId="37C21139" w:rsidR="005907D3" w:rsidRDefault="00916925" w:rsidP="005721FC">
      <w:pPr>
        <w:jc w:val="center"/>
        <w:rPr>
          <w:rFonts w:ascii="Arial" w:hAnsi="Arial" w:cs="Arial"/>
          <w:b/>
          <w:bCs/>
          <w:sz w:val="24"/>
          <w:szCs w:val="24"/>
          <w:u w:val="single"/>
        </w:rPr>
      </w:pPr>
      <w:r>
        <w:rPr>
          <w:rFonts w:ascii="Arial" w:hAnsi="Arial" w:cs="Arial"/>
          <w:b/>
          <w:bCs/>
          <w:sz w:val="24"/>
          <w:szCs w:val="24"/>
          <w:u w:val="single"/>
        </w:rPr>
        <w:t>Shadow report CEDAW Spain 2023</w:t>
      </w:r>
      <w:r w:rsidR="00070FCF">
        <w:rPr>
          <w:rFonts w:ascii="Arial" w:hAnsi="Arial" w:cs="Arial"/>
          <w:b/>
          <w:bCs/>
          <w:sz w:val="24"/>
          <w:szCs w:val="24"/>
          <w:u w:val="single"/>
        </w:rPr>
        <w:t>.</w:t>
      </w:r>
    </w:p>
    <w:p w14:paraId="5CAB4E05" w14:textId="4874168E" w:rsidR="00070FCF" w:rsidRDefault="00070FCF" w:rsidP="005721FC">
      <w:pPr>
        <w:jc w:val="center"/>
        <w:rPr>
          <w:rFonts w:ascii="Arial" w:hAnsi="Arial" w:cs="Arial"/>
          <w:b/>
          <w:bCs/>
          <w:sz w:val="24"/>
          <w:szCs w:val="24"/>
          <w:u w:val="single"/>
        </w:rPr>
      </w:pPr>
      <w:r>
        <w:rPr>
          <w:rFonts w:ascii="Arial" w:hAnsi="Arial" w:cs="Arial"/>
          <w:b/>
          <w:bCs/>
          <w:sz w:val="24"/>
          <w:szCs w:val="24"/>
          <w:u w:val="single"/>
        </w:rPr>
        <w:t xml:space="preserve">Alanna y </w:t>
      </w:r>
      <w:proofErr w:type="spellStart"/>
      <w:r>
        <w:rPr>
          <w:rFonts w:ascii="Arial" w:hAnsi="Arial" w:cs="Arial"/>
          <w:b/>
          <w:bCs/>
          <w:sz w:val="24"/>
          <w:szCs w:val="24"/>
          <w:u w:val="single"/>
        </w:rPr>
        <w:t>madres</w:t>
      </w:r>
      <w:proofErr w:type="spellEnd"/>
      <w:r>
        <w:rPr>
          <w:rFonts w:ascii="Arial" w:hAnsi="Arial" w:cs="Arial"/>
          <w:b/>
          <w:bCs/>
          <w:sz w:val="24"/>
          <w:szCs w:val="24"/>
          <w:u w:val="single"/>
        </w:rPr>
        <w:t xml:space="preserve"> Protectoras</w:t>
      </w:r>
    </w:p>
    <w:p w14:paraId="1D185061" w14:textId="64027B5B" w:rsidR="00916925" w:rsidRDefault="00B22639" w:rsidP="00B419F7">
      <w:pPr>
        <w:jc w:val="both"/>
        <w:rPr>
          <w:rFonts w:ascii="Arial" w:hAnsi="Arial" w:cs="Arial"/>
          <w:b/>
          <w:bCs/>
          <w:sz w:val="24"/>
          <w:szCs w:val="24"/>
          <w:u w:val="single"/>
        </w:rPr>
      </w:pPr>
      <w:r>
        <w:rPr>
          <w:rFonts w:ascii="Arial" w:hAnsi="Arial" w:cs="Arial"/>
          <w:b/>
          <w:bCs/>
          <w:sz w:val="24"/>
          <w:szCs w:val="24"/>
          <w:u w:val="single"/>
        </w:rPr>
        <w:t>1st. REASON FOR THE SUBMISSION OF THE SHADOW REPORT:</w:t>
      </w:r>
    </w:p>
    <w:p w14:paraId="1810664B" w14:textId="39EF852C" w:rsidR="00D954F7" w:rsidRDefault="00D954F7" w:rsidP="00B419F7">
      <w:pPr>
        <w:jc w:val="both"/>
        <w:rPr>
          <w:rFonts w:ascii="Arial" w:hAnsi="Arial" w:cs="Arial"/>
          <w:sz w:val="24"/>
          <w:szCs w:val="24"/>
        </w:rPr>
      </w:pPr>
      <w:r>
        <w:rPr>
          <w:rFonts w:ascii="Arial" w:hAnsi="Arial" w:cs="Arial"/>
          <w:sz w:val="24"/>
          <w:szCs w:val="24"/>
        </w:rPr>
        <w:t>From civil society we respectfully address the CEDAW committee, in order to transfer information on the violations of fundamental rights stipulated in CEDAW suffered by daughters / sons and protective mothers who have denounced paternal intra-family sexual abuse / assault.</w:t>
      </w:r>
    </w:p>
    <w:p w14:paraId="1248B533" w14:textId="7FB3DFC0" w:rsidR="00D954F7" w:rsidRDefault="00D954F7" w:rsidP="00B419F7">
      <w:pPr>
        <w:jc w:val="both"/>
        <w:rPr>
          <w:rFonts w:ascii="Arial" w:hAnsi="Arial" w:cs="Arial"/>
          <w:b/>
          <w:bCs/>
          <w:sz w:val="24"/>
          <w:szCs w:val="24"/>
          <w:u w:val="single"/>
        </w:rPr>
      </w:pPr>
      <w:r>
        <w:rPr>
          <w:rFonts w:ascii="Arial" w:hAnsi="Arial" w:cs="Arial"/>
          <w:b/>
          <w:bCs/>
          <w:sz w:val="24"/>
          <w:szCs w:val="24"/>
          <w:u w:val="single"/>
        </w:rPr>
        <w:t>2º LACK OF IMPLEMENTATION OF CEDAW:</w:t>
      </w:r>
    </w:p>
    <w:p w14:paraId="48615093" w14:textId="7EACFCB9" w:rsidR="00AC194C" w:rsidRDefault="00AC194C" w:rsidP="00B419F7">
      <w:pPr>
        <w:jc w:val="both"/>
        <w:rPr>
          <w:rFonts w:ascii="Arial" w:hAnsi="Arial" w:cs="Arial"/>
          <w:b/>
          <w:bCs/>
          <w:sz w:val="24"/>
          <w:szCs w:val="24"/>
        </w:rPr>
      </w:pPr>
      <w:r w:rsidRPr="00AC194C">
        <w:rPr>
          <w:rFonts w:ascii="Arial" w:hAnsi="Arial" w:cs="Arial"/>
          <w:b/>
          <w:bCs/>
          <w:sz w:val="24"/>
          <w:szCs w:val="24"/>
        </w:rPr>
        <w:t>The Spanish State is not adequately and effectively implementing CEDAW for the reasons indicated below:</w:t>
      </w:r>
    </w:p>
    <w:p w14:paraId="35EDAB70" w14:textId="4CA98855" w:rsidR="00AC194C" w:rsidRPr="00AC194C" w:rsidRDefault="00AC194C" w:rsidP="00B419F7">
      <w:pPr>
        <w:pStyle w:val="Prrafodelista"/>
        <w:numPr>
          <w:ilvl w:val="0"/>
          <w:numId w:val="1"/>
        </w:numPr>
        <w:jc w:val="both"/>
        <w:rPr>
          <w:rFonts w:ascii="Arial" w:hAnsi="Arial" w:cs="Arial"/>
          <w:b/>
          <w:bCs/>
          <w:sz w:val="24"/>
          <w:szCs w:val="24"/>
        </w:rPr>
      </w:pPr>
      <w:r w:rsidRPr="00AC194C">
        <w:rPr>
          <w:rFonts w:ascii="Arial" w:hAnsi="Arial" w:cs="Arial"/>
          <w:sz w:val="24"/>
          <w:szCs w:val="24"/>
        </w:rPr>
        <w:t>There is discrimination against mothers who protect their daughters and sons, based on gender stereotypes and especially on the theory of the pedophile R</w:t>
      </w:r>
      <w:r w:rsidR="009B0262">
        <w:rPr>
          <w:rFonts w:ascii="Arial" w:hAnsi="Arial" w:cs="Arial"/>
          <w:sz w:val="24"/>
          <w:szCs w:val="24"/>
        </w:rPr>
        <w:t>.</w:t>
      </w:r>
      <w:r w:rsidRPr="00AC194C">
        <w:rPr>
          <w:rFonts w:ascii="Arial" w:hAnsi="Arial" w:cs="Arial"/>
          <w:sz w:val="24"/>
          <w:szCs w:val="24"/>
        </w:rPr>
        <w:t>G</w:t>
      </w:r>
      <w:r w:rsidR="009B0262">
        <w:rPr>
          <w:rFonts w:ascii="Arial" w:hAnsi="Arial" w:cs="Arial"/>
          <w:sz w:val="24"/>
          <w:szCs w:val="24"/>
        </w:rPr>
        <w:t>.</w:t>
      </w:r>
      <w:r w:rsidRPr="00AC194C">
        <w:rPr>
          <w:rFonts w:ascii="Arial" w:hAnsi="Arial" w:cs="Arial"/>
          <w:sz w:val="24"/>
          <w:szCs w:val="24"/>
        </w:rPr>
        <w:t xml:space="preserve"> SAP (parental alienation syndrome) (in the data section we will detail the stereotyped forms of </w:t>
      </w:r>
      <w:r w:rsidR="00B22639">
        <w:rPr>
          <w:rFonts w:ascii="Arial" w:hAnsi="Arial" w:cs="Arial"/>
          <w:b/>
          <w:bCs/>
          <w:sz w:val="24"/>
          <w:szCs w:val="24"/>
        </w:rPr>
        <w:t xml:space="preserve">sentences </w:t>
      </w:r>
      <w:r>
        <w:rPr>
          <w:rFonts w:ascii="Arial" w:hAnsi="Arial" w:cs="Arial"/>
          <w:sz w:val="24"/>
          <w:szCs w:val="24"/>
        </w:rPr>
        <w:t>of family procedures of the Spanish State.)</w:t>
      </w:r>
    </w:p>
    <w:p w14:paraId="2294C3AB" w14:textId="44D71859" w:rsidR="00AC194C" w:rsidRPr="00B22639" w:rsidRDefault="00AC194C" w:rsidP="00B419F7">
      <w:pPr>
        <w:pStyle w:val="Prrafodelista"/>
        <w:numPr>
          <w:ilvl w:val="0"/>
          <w:numId w:val="1"/>
        </w:numPr>
        <w:jc w:val="both"/>
        <w:rPr>
          <w:rFonts w:ascii="Arial" w:hAnsi="Arial" w:cs="Arial"/>
          <w:b/>
          <w:bCs/>
          <w:sz w:val="24"/>
          <w:szCs w:val="24"/>
        </w:rPr>
      </w:pPr>
      <w:r>
        <w:rPr>
          <w:rFonts w:ascii="Arial" w:hAnsi="Arial" w:cs="Arial"/>
          <w:sz w:val="24"/>
          <w:szCs w:val="24"/>
        </w:rPr>
        <w:t>This discrimination constitutes gender-based violence, in accordance with general recommendation No. 19 and No. 35 of the Committee. However, the state does not take such discrimination into account and does not allow access for mothers, daughters and sons, who denounce sexual assault or paternal sexual abuse, to the specific gender violence courts of the Spanish State.</w:t>
      </w:r>
    </w:p>
    <w:p w14:paraId="7D75B59D" w14:textId="64501C5A" w:rsidR="00B22639" w:rsidRPr="00A672A8" w:rsidRDefault="00B22639" w:rsidP="00B419F7">
      <w:pPr>
        <w:pStyle w:val="Prrafodelista"/>
        <w:numPr>
          <w:ilvl w:val="0"/>
          <w:numId w:val="1"/>
        </w:numPr>
        <w:jc w:val="both"/>
        <w:rPr>
          <w:rFonts w:ascii="Arial" w:hAnsi="Arial" w:cs="Arial"/>
          <w:b/>
          <w:bCs/>
          <w:sz w:val="24"/>
          <w:szCs w:val="24"/>
        </w:rPr>
      </w:pPr>
      <w:r>
        <w:rPr>
          <w:rFonts w:ascii="Arial" w:hAnsi="Arial" w:cs="Arial"/>
          <w:sz w:val="24"/>
          <w:szCs w:val="24"/>
        </w:rPr>
        <w:t>Girls and boys who have verbalized the parental sexual assault/abuse are forced to re-link (in the data section we will detail how re-link is exercised through sentences)</w:t>
      </w:r>
    </w:p>
    <w:p w14:paraId="4D61713C" w14:textId="3AB61856" w:rsidR="00A672A8" w:rsidRPr="005721FC" w:rsidRDefault="00A672A8" w:rsidP="00B419F7">
      <w:pPr>
        <w:pStyle w:val="Prrafodelista"/>
        <w:numPr>
          <w:ilvl w:val="0"/>
          <w:numId w:val="1"/>
        </w:numPr>
        <w:jc w:val="both"/>
        <w:rPr>
          <w:rFonts w:ascii="Arial" w:hAnsi="Arial" w:cs="Arial"/>
          <w:b/>
          <w:bCs/>
          <w:sz w:val="24"/>
          <w:szCs w:val="24"/>
          <w:u w:val="single"/>
        </w:rPr>
      </w:pPr>
      <w:r>
        <w:rPr>
          <w:rFonts w:ascii="Arial" w:hAnsi="Arial" w:cs="Arial"/>
          <w:b/>
          <w:bCs/>
          <w:sz w:val="24"/>
          <w:szCs w:val="24"/>
        </w:rPr>
        <w:t xml:space="preserve">The Spanish State on 3/17/2023 (through the Government delegate against gender violence) has come to recognize that there is torture and institutional mistreatment towards protective mothers and towards the victim sons and daughters who denounce parental intrafamilial sexual abuse/assault, </w:t>
      </w:r>
      <w:r w:rsidRPr="005721FC">
        <w:rPr>
          <w:rFonts w:ascii="Arial" w:hAnsi="Arial" w:cs="Arial"/>
          <w:b/>
          <w:bCs/>
          <w:sz w:val="24"/>
          <w:szCs w:val="24"/>
          <w:u w:val="single"/>
        </w:rPr>
        <w:t>however, the state is doing nothing to REPAIR the damage.</w:t>
      </w:r>
    </w:p>
    <w:p w14:paraId="5108E692" w14:textId="61CB2E76" w:rsidR="00A672A8" w:rsidRPr="008624FA" w:rsidRDefault="00A672A8" w:rsidP="00B419F7">
      <w:pPr>
        <w:pStyle w:val="Prrafodelista"/>
        <w:numPr>
          <w:ilvl w:val="0"/>
          <w:numId w:val="1"/>
        </w:numPr>
        <w:jc w:val="both"/>
        <w:rPr>
          <w:rFonts w:ascii="Arial" w:hAnsi="Arial" w:cs="Arial"/>
          <w:b/>
          <w:bCs/>
          <w:sz w:val="24"/>
          <w:szCs w:val="24"/>
        </w:rPr>
      </w:pPr>
      <w:r>
        <w:rPr>
          <w:rFonts w:ascii="Arial" w:hAnsi="Arial" w:cs="Arial"/>
          <w:sz w:val="24"/>
          <w:szCs w:val="24"/>
        </w:rPr>
        <w:t>The State is not taking the appropriate measures to modify or sanction the customs and practices that we find in the courts and that constitute discrimination against women, daughters and sons, being present gender stereotypes about mothers, the stereotype of any father accused of sexual violence with the right to decide on the life of his daughter/son, to reconnect with him, to exclusive custody, to criminal sentences against mothers who have tried to protect their children for crimes of abduction, and that of the creatures as little credible liars when they verbalize the sexual violence they have suffered.</w:t>
      </w:r>
    </w:p>
    <w:p w14:paraId="69B4D2FD" w14:textId="191A755C" w:rsidR="008624FA" w:rsidRPr="00AC194C" w:rsidRDefault="008624FA" w:rsidP="00B419F7">
      <w:pPr>
        <w:pStyle w:val="Prrafodelista"/>
        <w:numPr>
          <w:ilvl w:val="0"/>
          <w:numId w:val="1"/>
        </w:numPr>
        <w:jc w:val="both"/>
        <w:rPr>
          <w:rFonts w:ascii="Arial" w:hAnsi="Arial" w:cs="Arial"/>
          <w:b/>
          <w:bCs/>
          <w:sz w:val="24"/>
          <w:szCs w:val="24"/>
        </w:rPr>
      </w:pPr>
      <w:r>
        <w:rPr>
          <w:rFonts w:ascii="Arial" w:hAnsi="Arial" w:cs="Arial"/>
          <w:sz w:val="24"/>
          <w:szCs w:val="24"/>
        </w:rPr>
        <w:t>The state is not providing mandatory training to legal and non-legal agents on gender perspective, children's rights, sexual violence, gender stereotypes, rape myths, as well as regarding the Cedaw or its optional protocol and the RG especially No. 19 and 35.</w:t>
      </w:r>
    </w:p>
    <w:p w14:paraId="09429F2F" w14:textId="329BD398" w:rsidR="00D954F7" w:rsidRDefault="00D954F7" w:rsidP="00B419F7">
      <w:pPr>
        <w:jc w:val="both"/>
        <w:rPr>
          <w:rFonts w:ascii="Arial" w:hAnsi="Arial" w:cs="Arial"/>
          <w:b/>
          <w:bCs/>
          <w:sz w:val="24"/>
          <w:szCs w:val="24"/>
          <w:u w:val="single"/>
        </w:rPr>
      </w:pPr>
      <w:r>
        <w:rPr>
          <w:rFonts w:ascii="Arial" w:hAnsi="Arial" w:cs="Arial"/>
          <w:b/>
          <w:bCs/>
          <w:sz w:val="24"/>
          <w:szCs w:val="24"/>
          <w:u w:val="single"/>
        </w:rPr>
        <w:lastRenderedPageBreak/>
        <w:t xml:space="preserve">3rd </w:t>
      </w:r>
      <w:r w:rsidR="00AC194C">
        <w:rPr>
          <w:rFonts w:ascii="Arial" w:hAnsi="Arial" w:cs="Arial"/>
          <w:b/>
          <w:bCs/>
          <w:sz w:val="24"/>
          <w:szCs w:val="24"/>
          <w:u w:val="single"/>
        </w:rPr>
        <w:t>DATA:</w:t>
      </w:r>
    </w:p>
    <w:p w14:paraId="725AD0D3" w14:textId="2715083D" w:rsidR="008624FA" w:rsidRDefault="008624FA" w:rsidP="00B419F7">
      <w:pPr>
        <w:pStyle w:val="Prrafodelista"/>
        <w:numPr>
          <w:ilvl w:val="0"/>
          <w:numId w:val="2"/>
        </w:numPr>
        <w:jc w:val="both"/>
        <w:rPr>
          <w:rFonts w:ascii="Arial" w:hAnsi="Arial" w:cs="Arial"/>
          <w:b/>
          <w:bCs/>
          <w:sz w:val="24"/>
          <w:szCs w:val="24"/>
        </w:rPr>
      </w:pPr>
      <w:r w:rsidRPr="008624FA">
        <w:rPr>
          <w:rFonts w:ascii="Arial" w:hAnsi="Arial" w:cs="Arial"/>
          <w:b/>
          <w:bCs/>
          <w:sz w:val="24"/>
          <w:szCs w:val="24"/>
        </w:rPr>
        <w:t>Stereotypes, application of the false SAP, reconnection with the father accused of assault or domestic sexual abuse, in the sentences, some of the fragments.</w:t>
      </w:r>
    </w:p>
    <w:p w14:paraId="213F1656" w14:textId="77777777" w:rsidR="00D96D07" w:rsidRDefault="00D96D07" w:rsidP="00B419F7">
      <w:pPr>
        <w:pStyle w:val="Prrafodelista"/>
        <w:jc w:val="both"/>
        <w:rPr>
          <w:rFonts w:ascii="Arial" w:hAnsi="Arial" w:cs="Arial"/>
          <w:b/>
          <w:bCs/>
          <w:sz w:val="24"/>
          <w:szCs w:val="24"/>
        </w:rPr>
      </w:pPr>
    </w:p>
    <w:p w14:paraId="3874D921" w14:textId="6351C95F" w:rsidR="00E92BCE" w:rsidRPr="00D96D07" w:rsidRDefault="00CE1F18" w:rsidP="00B419F7">
      <w:pPr>
        <w:pStyle w:val="Prrafodelista"/>
        <w:numPr>
          <w:ilvl w:val="0"/>
          <w:numId w:val="3"/>
        </w:numPr>
        <w:spacing w:line="256" w:lineRule="auto"/>
        <w:jc w:val="both"/>
        <w:rPr>
          <w:rFonts w:ascii="Arial" w:hAnsi="Arial" w:cs="Arial"/>
          <w:sz w:val="24"/>
          <w:szCs w:val="24"/>
          <w:lang w:eastAsia="es-ES"/>
        </w:rPr>
      </w:pPr>
      <w:r>
        <w:rPr>
          <w:rFonts w:ascii="Arial" w:hAnsi="Arial" w:cs="Arial"/>
          <w:sz w:val="24"/>
          <w:szCs w:val="24"/>
          <w:lang w:eastAsia="es-ES"/>
        </w:rPr>
        <w:t>"During the processing of the civil procedure, an attempt has been made to discredit the figure of the father by providing criminal proceedings for an alleged sexual abuse of a minor"</w:t>
      </w:r>
    </w:p>
    <w:p w14:paraId="421E0A8B" w14:textId="532FBD82" w:rsidR="00E92BCE" w:rsidRPr="00D96D07" w:rsidRDefault="00CE1F18" w:rsidP="00B419F7">
      <w:pPr>
        <w:pStyle w:val="Prrafodelista"/>
        <w:numPr>
          <w:ilvl w:val="0"/>
          <w:numId w:val="3"/>
        </w:numPr>
        <w:spacing w:line="256" w:lineRule="auto"/>
        <w:jc w:val="both"/>
        <w:rPr>
          <w:rFonts w:ascii="Arial" w:hAnsi="Arial" w:cs="Arial"/>
          <w:b/>
          <w:bCs/>
          <w:sz w:val="24"/>
          <w:szCs w:val="24"/>
          <w:lang w:eastAsia="es-ES"/>
        </w:rPr>
      </w:pPr>
      <w:r w:rsidRPr="00D96D07">
        <w:rPr>
          <w:rFonts w:ascii="Arial" w:hAnsi="Arial" w:cs="Arial"/>
          <w:sz w:val="24"/>
          <w:szCs w:val="24"/>
          <w:lang w:eastAsia="es-ES"/>
        </w:rPr>
        <w:t xml:space="preserve">"The relational regime proposed by the mother is not coherent with the maintenance of the possible existence of sexual abuse, asking for only maternal custody is not entirely coherent with the conviction of a situation of abuse, since it should lead to denying any relationship and therefore </w:t>
      </w:r>
      <w:proofErr w:type="gramStart"/>
      <w:r w:rsidRPr="00D96D07">
        <w:rPr>
          <w:rFonts w:ascii="Arial" w:hAnsi="Arial" w:cs="Arial"/>
          <w:sz w:val="24"/>
          <w:szCs w:val="24"/>
          <w:lang w:eastAsia="es-ES"/>
        </w:rPr>
        <w:t>On</w:t>
      </w:r>
      <w:proofErr w:type="gramEnd"/>
      <w:r w:rsidRPr="00D96D07">
        <w:rPr>
          <w:rFonts w:ascii="Arial" w:hAnsi="Arial" w:cs="Arial"/>
          <w:sz w:val="24"/>
          <w:szCs w:val="24"/>
          <w:lang w:eastAsia="es-ES"/>
        </w:rPr>
        <w:t xml:space="preserve"> the contrary, it does not extend to the rest of the contacts with the father”</w:t>
      </w:r>
    </w:p>
    <w:p w14:paraId="62F94972" w14:textId="4A8CE8B7" w:rsidR="00E92BCE" w:rsidRPr="00D96D07" w:rsidRDefault="00CE1F18" w:rsidP="00B419F7">
      <w:pPr>
        <w:pStyle w:val="Prrafodelista"/>
        <w:numPr>
          <w:ilvl w:val="0"/>
          <w:numId w:val="4"/>
        </w:numPr>
        <w:spacing w:line="256" w:lineRule="auto"/>
        <w:jc w:val="both"/>
        <w:rPr>
          <w:rFonts w:ascii="Arial" w:hAnsi="Arial" w:cs="Arial"/>
          <w:sz w:val="24"/>
          <w:szCs w:val="24"/>
          <w:lang w:eastAsia="es-ES"/>
        </w:rPr>
      </w:pPr>
      <w:r w:rsidRPr="00CE1F18">
        <w:rPr>
          <w:rFonts w:ascii="Arial" w:hAnsi="Arial" w:cs="Arial"/>
          <w:sz w:val="24"/>
          <w:szCs w:val="24"/>
          <w:lang w:eastAsia="es-ES"/>
        </w:rPr>
        <w:t>The sentence states that there is a pediatric report that confirms the existence of irritation in the perianal and anal area and manifestations of the minor playing with ice with the father in the genital area and other extremes. However, the court grants joint custody.</w:t>
      </w:r>
    </w:p>
    <w:p w14:paraId="1DD635E0" w14:textId="4D161A43" w:rsidR="00E92BCE" w:rsidRPr="00D96D07" w:rsidRDefault="00E92BCE" w:rsidP="00B419F7">
      <w:pPr>
        <w:pStyle w:val="Prrafodelista"/>
        <w:numPr>
          <w:ilvl w:val="0"/>
          <w:numId w:val="5"/>
        </w:numPr>
        <w:spacing w:line="256" w:lineRule="auto"/>
        <w:jc w:val="both"/>
        <w:rPr>
          <w:rFonts w:ascii="Arial" w:hAnsi="Arial" w:cs="Arial"/>
          <w:sz w:val="24"/>
          <w:szCs w:val="24"/>
          <w:lang w:eastAsia="es-ES"/>
        </w:rPr>
      </w:pPr>
      <w:r w:rsidRPr="00CE1F18">
        <w:rPr>
          <w:rFonts w:ascii="Arial" w:hAnsi="Arial" w:cs="Arial"/>
          <w:sz w:val="24"/>
          <w:szCs w:val="24"/>
          <w:lang w:eastAsia="es-ES"/>
        </w:rPr>
        <w:t>"The mother must deliver the child to the father within ten days from the notification of this resolution, and may request the help of the public force in case of not verifying it"</w:t>
      </w:r>
    </w:p>
    <w:p w14:paraId="3DDD8B19" w14:textId="766210A3" w:rsidR="00E92BCE" w:rsidRPr="00CE1F18" w:rsidRDefault="00CE1F18" w:rsidP="00B419F7">
      <w:pPr>
        <w:pStyle w:val="Prrafodelista"/>
        <w:numPr>
          <w:ilvl w:val="0"/>
          <w:numId w:val="5"/>
        </w:numPr>
        <w:spacing w:line="256" w:lineRule="auto"/>
        <w:jc w:val="both"/>
        <w:rPr>
          <w:rFonts w:ascii="Arial" w:hAnsi="Arial" w:cs="Arial"/>
          <w:sz w:val="24"/>
          <w:szCs w:val="24"/>
          <w:lang w:eastAsia="es-ES"/>
        </w:rPr>
      </w:pPr>
      <w:r w:rsidRPr="00CE1F18">
        <w:rPr>
          <w:rFonts w:ascii="Arial" w:hAnsi="Arial" w:cs="Arial"/>
          <w:sz w:val="24"/>
          <w:szCs w:val="24"/>
          <w:lang w:eastAsia="es-ES"/>
        </w:rPr>
        <w:t>"It is important to highlight first of all the final file against the father for sexual abuse of the appellant's daughter</w:t>
      </w:r>
    </w:p>
    <w:p w14:paraId="0D9F1721" w14:textId="05DAA4F0" w:rsidR="00E92BCE" w:rsidRPr="00265305" w:rsidRDefault="00E92BCE" w:rsidP="00B419F7">
      <w:pPr>
        <w:pStyle w:val="Prrafodelista"/>
        <w:ind w:left="732"/>
        <w:jc w:val="both"/>
        <w:rPr>
          <w:rFonts w:ascii="Arial" w:hAnsi="Arial" w:cs="Arial"/>
          <w:sz w:val="24"/>
          <w:szCs w:val="24"/>
          <w:lang w:eastAsia="es-ES"/>
        </w:rPr>
      </w:pPr>
      <w:r w:rsidRPr="00CE1F18">
        <w:rPr>
          <w:rFonts w:ascii="Arial" w:hAnsi="Arial" w:cs="Arial"/>
          <w:sz w:val="24"/>
          <w:szCs w:val="24"/>
          <w:lang w:eastAsia="es-ES"/>
        </w:rPr>
        <w:t>Given the existence of contradictory versions and the possible suggestion in the minor's story, the indications were so weak that they prevented continuing with the procedure."</w:t>
      </w:r>
    </w:p>
    <w:p w14:paraId="6025AD2A" w14:textId="1DD06D5E" w:rsidR="00E92BCE" w:rsidRPr="00D96D07" w:rsidRDefault="00D96D07" w:rsidP="00B419F7">
      <w:pPr>
        <w:pStyle w:val="Prrafodelista"/>
        <w:numPr>
          <w:ilvl w:val="0"/>
          <w:numId w:val="6"/>
        </w:numPr>
        <w:spacing w:line="256" w:lineRule="auto"/>
        <w:jc w:val="both"/>
        <w:rPr>
          <w:rFonts w:ascii="Arial" w:hAnsi="Arial" w:cs="Arial"/>
          <w:sz w:val="24"/>
          <w:szCs w:val="24"/>
          <w:lang w:eastAsia="es-ES"/>
        </w:rPr>
      </w:pPr>
      <w:r w:rsidRPr="00D96D07">
        <w:rPr>
          <w:rFonts w:ascii="Arial" w:hAnsi="Arial" w:cs="Arial"/>
          <w:sz w:val="24"/>
          <w:szCs w:val="24"/>
          <w:lang w:eastAsia="es-ES"/>
        </w:rPr>
        <w:t>"From these reports it turns out that Mrs. X contacted the social services in January 2011 to request financial aid, the report prepared in February 2012 detected an uncooperative parent, neglect of the basic needs of minors, negligence in their obligations, emotional instability, and immaturity, prioritization of their own needs over the needs of their children, lack of supervision, changes of partner and address; And the truth is that although the beginning of the relationship with Mr. Y allowed Mrs. X some stability, the break in their relationship in August 2018 after the complaint for possible sexual abuse once again manifested her deficit in the exercise of parenting .</w:t>
      </w:r>
    </w:p>
    <w:p w14:paraId="2071158D" w14:textId="77777777" w:rsidR="00E92BCE" w:rsidRPr="00D96D07" w:rsidRDefault="00E92BCE" w:rsidP="00B419F7">
      <w:pPr>
        <w:pStyle w:val="Prrafodelista"/>
        <w:ind w:left="732"/>
        <w:jc w:val="both"/>
        <w:rPr>
          <w:rFonts w:ascii="Arial" w:hAnsi="Arial" w:cs="Arial"/>
          <w:sz w:val="24"/>
          <w:szCs w:val="24"/>
          <w:lang w:eastAsia="es-ES"/>
        </w:rPr>
      </w:pPr>
      <w:r w:rsidRPr="00D96D07">
        <w:rPr>
          <w:rFonts w:ascii="Arial" w:hAnsi="Arial" w:cs="Arial"/>
          <w:sz w:val="24"/>
          <w:szCs w:val="24"/>
          <w:lang w:eastAsia="es-ES"/>
        </w:rPr>
        <w:t>Throughout this procedure, the instability of the lady has become clear.</w:t>
      </w:r>
    </w:p>
    <w:p w14:paraId="1FE2FB48" w14:textId="2FF62D5B" w:rsidR="00E92BCE" w:rsidRPr="00265305" w:rsidRDefault="00E92BCE" w:rsidP="00B419F7">
      <w:pPr>
        <w:pStyle w:val="Prrafodelista"/>
        <w:ind w:left="732"/>
        <w:jc w:val="both"/>
        <w:rPr>
          <w:rFonts w:ascii="Arial" w:hAnsi="Arial" w:cs="Arial"/>
          <w:sz w:val="24"/>
          <w:szCs w:val="24"/>
          <w:lang w:eastAsia="es-ES"/>
        </w:rPr>
      </w:pPr>
      <w:r w:rsidRPr="00D96D07">
        <w:rPr>
          <w:rFonts w:ascii="Arial" w:hAnsi="Arial" w:cs="Arial"/>
          <w:sz w:val="24"/>
          <w:szCs w:val="24"/>
          <w:lang w:eastAsia="es-ES"/>
        </w:rPr>
        <w:t>His transfer entailed the transfer of the son and the suspension of visits, he did not agree in any way with the father on this decision, the breaches at the meeting point were repeated and unjustified.”</w:t>
      </w:r>
    </w:p>
    <w:p w14:paraId="61CEC98D" w14:textId="1824993A" w:rsidR="00E92BCE" w:rsidRPr="00D96D07" w:rsidRDefault="00D96D07" w:rsidP="00B419F7">
      <w:pPr>
        <w:pStyle w:val="Prrafodelista"/>
        <w:numPr>
          <w:ilvl w:val="0"/>
          <w:numId w:val="7"/>
        </w:numPr>
        <w:spacing w:line="256" w:lineRule="auto"/>
        <w:jc w:val="both"/>
        <w:rPr>
          <w:rFonts w:ascii="Arial" w:hAnsi="Arial" w:cs="Arial"/>
          <w:sz w:val="24"/>
          <w:szCs w:val="24"/>
          <w:lang w:eastAsia="es-ES"/>
        </w:rPr>
      </w:pPr>
      <w:r w:rsidRPr="00D96D07">
        <w:rPr>
          <w:rFonts w:ascii="Arial" w:hAnsi="Arial" w:cs="Arial"/>
          <w:sz w:val="24"/>
          <w:szCs w:val="24"/>
          <w:lang w:eastAsia="es-ES"/>
        </w:rPr>
        <w:t>“There were not enough indicators to give consistency to his statement, but he did show an emotional affectation due to the family situation experienced.</w:t>
      </w:r>
    </w:p>
    <w:p w14:paraId="5517229A" w14:textId="7259568C" w:rsidR="00E92BCE" w:rsidRDefault="00E92BCE" w:rsidP="00B419F7">
      <w:pPr>
        <w:pStyle w:val="Prrafodelista"/>
        <w:ind w:left="732"/>
        <w:jc w:val="both"/>
        <w:rPr>
          <w:rFonts w:ascii="Arial" w:hAnsi="Arial" w:cs="Arial"/>
          <w:sz w:val="24"/>
          <w:szCs w:val="24"/>
          <w:lang w:eastAsia="es-ES"/>
        </w:rPr>
      </w:pPr>
      <w:r w:rsidRPr="00D96D07">
        <w:rPr>
          <w:rFonts w:ascii="Arial" w:hAnsi="Arial" w:cs="Arial"/>
          <w:sz w:val="24"/>
          <w:szCs w:val="24"/>
          <w:lang w:eastAsia="es-ES"/>
        </w:rPr>
        <w:t>The EATAF (it is a public service) highlights the involvement of children in the parental conflict.”</w:t>
      </w:r>
    </w:p>
    <w:p w14:paraId="4ECE08B7" w14:textId="6C09B087" w:rsidR="00265305" w:rsidRPr="00265305" w:rsidRDefault="00265305" w:rsidP="00B419F7">
      <w:pPr>
        <w:pStyle w:val="Prrafodelista"/>
        <w:numPr>
          <w:ilvl w:val="0"/>
          <w:numId w:val="2"/>
        </w:numPr>
        <w:jc w:val="both"/>
        <w:rPr>
          <w:rFonts w:ascii="Arial" w:hAnsi="Arial" w:cs="Arial"/>
          <w:b/>
          <w:bCs/>
          <w:sz w:val="24"/>
          <w:szCs w:val="24"/>
          <w:lang w:eastAsia="es-ES"/>
        </w:rPr>
      </w:pPr>
      <w:r>
        <w:rPr>
          <w:rFonts w:ascii="Arial" w:hAnsi="Arial" w:cs="Arial"/>
          <w:b/>
          <w:bCs/>
          <w:sz w:val="24"/>
          <w:szCs w:val="24"/>
          <w:lang w:eastAsia="es-ES"/>
        </w:rPr>
        <w:t>Data provided by the state itself in its government reports.</w:t>
      </w:r>
    </w:p>
    <w:p w14:paraId="73975BDD" w14:textId="0FE55EE0" w:rsidR="00E92BCE" w:rsidRPr="00F31116" w:rsidRDefault="00265305" w:rsidP="00B419F7">
      <w:pPr>
        <w:pStyle w:val="Prrafodelista"/>
        <w:numPr>
          <w:ilvl w:val="0"/>
          <w:numId w:val="7"/>
        </w:numPr>
        <w:jc w:val="both"/>
        <w:rPr>
          <w:rFonts w:ascii="Arial" w:hAnsi="Arial" w:cs="Arial"/>
          <w:b/>
          <w:bCs/>
          <w:sz w:val="24"/>
          <w:szCs w:val="24"/>
          <w:u w:val="single"/>
          <w:lang w:eastAsia="es-ES"/>
        </w:rPr>
      </w:pPr>
      <w:r>
        <w:rPr>
          <w:rFonts w:ascii="Arial" w:hAnsi="Arial" w:cs="Arial"/>
          <w:sz w:val="24"/>
          <w:szCs w:val="24"/>
          <w:lang w:eastAsia="es-ES"/>
        </w:rPr>
        <w:lastRenderedPageBreak/>
        <w:t xml:space="preserve">According to the report on the strategy and eradication of violence against children recently carried out by the Spanish State, we find that the unified state registration system (RUMI) registers in the year 2021, 3206 notifications of sexual abuse, but, nevertheless, from the 2020, the State recognizes that complaints of sexual abuse have suffered an increase and confirms 5,685 complaints: what it means is that the unified registration system is registering half of the complaints. Another of the important data from said report is the following: Only 738 convictions when the victims are under 16 years of age, out of the 5685 reported, this means that approximately 87.02% </w:t>
      </w:r>
      <w:r w:rsidR="0064358C" w:rsidRPr="00F31116">
        <w:rPr>
          <w:rFonts w:ascii="Arial" w:hAnsi="Arial" w:cs="Arial"/>
          <w:b/>
          <w:bCs/>
          <w:sz w:val="24"/>
          <w:szCs w:val="24"/>
          <w:u w:val="single"/>
          <w:lang w:eastAsia="es-ES"/>
        </w:rPr>
        <w:t>of the children are unprotected. Based on the data from the sentences analyzed and extrapolated, we fear that it is highly probable that all these unprotected victims are paternal intra-family members of the attacks.</w:t>
      </w:r>
    </w:p>
    <w:p w14:paraId="7078D42A" w14:textId="77777777" w:rsidR="00E92BCE" w:rsidRPr="00E92BCE" w:rsidRDefault="00E92BCE" w:rsidP="00B419F7">
      <w:pPr>
        <w:ind w:left="360"/>
        <w:jc w:val="both"/>
        <w:rPr>
          <w:rFonts w:ascii="Arial" w:hAnsi="Arial" w:cs="Arial"/>
          <w:b/>
          <w:bCs/>
          <w:sz w:val="24"/>
          <w:szCs w:val="24"/>
        </w:rPr>
      </w:pPr>
    </w:p>
    <w:p w14:paraId="512B2526" w14:textId="1F113807" w:rsidR="00D954F7" w:rsidRDefault="00D954F7" w:rsidP="00B419F7">
      <w:pPr>
        <w:jc w:val="both"/>
        <w:rPr>
          <w:rFonts w:ascii="Arial" w:hAnsi="Arial" w:cs="Arial"/>
          <w:b/>
          <w:bCs/>
          <w:sz w:val="24"/>
          <w:szCs w:val="24"/>
          <w:u w:val="single"/>
        </w:rPr>
      </w:pPr>
      <w:r w:rsidRPr="00E92BCE">
        <w:rPr>
          <w:rFonts w:ascii="Arial" w:hAnsi="Arial" w:cs="Arial"/>
          <w:b/>
          <w:bCs/>
          <w:sz w:val="24"/>
          <w:szCs w:val="24"/>
          <w:u w:val="single"/>
        </w:rPr>
        <w:t>4th CONTEXT:</w:t>
      </w:r>
    </w:p>
    <w:p w14:paraId="298BFC65" w14:textId="490A1AD5" w:rsidR="00F31116" w:rsidRPr="00F31116" w:rsidRDefault="00F31116" w:rsidP="00B419F7">
      <w:pPr>
        <w:jc w:val="both"/>
        <w:rPr>
          <w:rFonts w:ascii="Arial" w:hAnsi="Arial" w:cs="Arial"/>
          <w:b/>
          <w:bCs/>
          <w:sz w:val="24"/>
          <w:szCs w:val="24"/>
        </w:rPr>
      </w:pPr>
      <w:r w:rsidRPr="00F31116">
        <w:rPr>
          <w:rFonts w:ascii="Arial" w:hAnsi="Arial" w:cs="Arial"/>
          <w:b/>
          <w:bCs/>
          <w:sz w:val="24"/>
          <w:szCs w:val="24"/>
        </w:rPr>
        <w:t>INTERNATIONAL</w:t>
      </w:r>
    </w:p>
    <w:p w14:paraId="0950D095" w14:textId="2E3E049C" w:rsidR="00F31116" w:rsidRPr="007B7B16" w:rsidRDefault="00F31116" w:rsidP="00B419F7">
      <w:pPr>
        <w:jc w:val="both"/>
        <w:rPr>
          <w:rFonts w:ascii="Arial" w:hAnsi="Arial" w:cs="Arial"/>
          <w:color w:val="FF0000"/>
          <w:sz w:val="24"/>
          <w:szCs w:val="24"/>
        </w:rPr>
      </w:pPr>
      <w:r>
        <w:rPr>
          <w:rFonts w:ascii="Arial" w:hAnsi="Arial" w:cs="Arial"/>
          <w:sz w:val="24"/>
          <w:szCs w:val="24"/>
        </w:rPr>
        <w:t>This situation occurs when there is the opinion of Á</w:t>
      </w:r>
      <w:r w:rsidR="009B0262">
        <w:rPr>
          <w:rFonts w:ascii="Arial" w:hAnsi="Arial" w:cs="Arial"/>
          <w:sz w:val="24"/>
          <w:szCs w:val="24"/>
        </w:rPr>
        <w:t>.</w:t>
      </w:r>
      <w:r>
        <w:rPr>
          <w:rFonts w:ascii="Arial" w:hAnsi="Arial" w:cs="Arial"/>
          <w:sz w:val="24"/>
          <w:szCs w:val="24"/>
        </w:rPr>
        <w:t>G</w:t>
      </w:r>
      <w:r w:rsidR="009B0262">
        <w:rPr>
          <w:rFonts w:ascii="Arial" w:hAnsi="Arial" w:cs="Arial"/>
          <w:sz w:val="24"/>
          <w:szCs w:val="24"/>
        </w:rPr>
        <w:t>.C</w:t>
      </w:r>
      <w:r>
        <w:rPr>
          <w:rFonts w:ascii="Arial" w:hAnsi="Arial" w:cs="Arial"/>
          <w:sz w:val="24"/>
          <w:szCs w:val="24"/>
        </w:rPr>
        <w:t xml:space="preserve"> against Spain, with the reports of the United Nations, the Special Rapporteur against violence against women and girls, the Working Group on discrimination, the Special Rapporteur against torture, and the Rapporteur of mental health ESP 5/2019,9/2019,11/2019,3/2020,12/2021,6/2022. Along the same lines, GREVIO 06/2022.</w:t>
      </w:r>
    </w:p>
    <w:p w14:paraId="5291FE35" w14:textId="366D2F44" w:rsidR="00F31116" w:rsidRDefault="00F31116" w:rsidP="00B419F7">
      <w:pPr>
        <w:jc w:val="both"/>
        <w:rPr>
          <w:rFonts w:ascii="Arial" w:hAnsi="Arial" w:cs="Arial"/>
          <w:b/>
          <w:bCs/>
          <w:sz w:val="24"/>
          <w:szCs w:val="24"/>
        </w:rPr>
      </w:pPr>
      <w:r>
        <w:rPr>
          <w:rFonts w:ascii="Arial" w:hAnsi="Arial" w:cs="Arial"/>
          <w:b/>
          <w:bCs/>
          <w:sz w:val="24"/>
          <w:szCs w:val="24"/>
        </w:rPr>
        <w:t>STATE</w:t>
      </w:r>
    </w:p>
    <w:p w14:paraId="44C2A22E" w14:textId="64A94B18" w:rsidR="00F31116" w:rsidRDefault="007B7B16" w:rsidP="00B419F7">
      <w:pPr>
        <w:jc w:val="both"/>
        <w:rPr>
          <w:rFonts w:ascii="Arial" w:hAnsi="Arial" w:cs="Arial"/>
          <w:sz w:val="24"/>
          <w:szCs w:val="24"/>
        </w:rPr>
      </w:pPr>
      <w:r w:rsidRPr="007B7B16">
        <w:rPr>
          <w:rFonts w:ascii="Arial" w:hAnsi="Arial" w:cs="Arial"/>
          <w:sz w:val="24"/>
          <w:szCs w:val="24"/>
        </w:rPr>
        <w:t>On November 22, 2022, the Council of Ministers approved the state strategy to combat gender violence 2022/2025, in said strategy it affects "the different responsibilities and obligations that as a country we have under international human rights law and also includes an international and comprehensive approach based on key principles such as human rights, participation, due diligence, feminism, reparation, transparency and accountability. The lines of action will also be reinforced and will be strengthened such as vicarious violence, sexual violence or institutional violence.”</w:t>
      </w:r>
    </w:p>
    <w:p w14:paraId="26306C4C" w14:textId="4DCC976B" w:rsidR="007B7B16" w:rsidRPr="007B7B16" w:rsidRDefault="007B7B16" w:rsidP="00B419F7">
      <w:pPr>
        <w:jc w:val="both"/>
        <w:rPr>
          <w:rFonts w:ascii="Arial" w:hAnsi="Arial" w:cs="Arial"/>
          <w:sz w:val="24"/>
          <w:szCs w:val="24"/>
        </w:rPr>
      </w:pPr>
      <w:r>
        <w:rPr>
          <w:rFonts w:ascii="Arial" w:hAnsi="Arial" w:cs="Arial"/>
          <w:sz w:val="24"/>
          <w:szCs w:val="24"/>
        </w:rPr>
        <w:t xml:space="preserve">Due to all the data that exists and all the national and international complaints, and the approval of the state strategy of November 22, 2022, through a group of women from civil society, it was requested on the 31st of January 2023, today an investigation and reparation commission in the Senate, said commission was expanded on March 3, 2023. As of today, it is pending resolution by the different senators of the different parties, it could not be produced today Due to the elections, we know that the State does not have much interest in these issues since, on March 31, 2022, an investigative commission was presented through Congress, leaving no response, so it was presented again to the Senate. It is absolutely necessary and urgent that the commission be expedited in order to grant immediate reparation for the children and the protective mothers. As well </w:t>
      </w:r>
      <w:r>
        <w:rPr>
          <w:rFonts w:ascii="Arial" w:hAnsi="Arial" w:cs="Arial"/>
          <w:sz w:val="24"/>
          <w:szCs w:val="24"/>
        </w:rPr>
        <w:lastRenderedPageBreak/>
        <w:t>as the investigation of the data and questions that have been presented in said commission.</w:t>
      </w:r>
    </w:p>
    <w:p w14:paraId="01AAD0B3" w14:textId="729F14CB" w:rsidR="00AC194C" w:rsidRDefault="00AC194C" w:rsidP="00B419F7">
      <w:pPr>
        <w:jc w:val="both"/>
        <w:rPr>
          <w:rFonts w:ascii="Arial" w:hAnsi="Arial" w:cs="Arial"/>
          <w:b/>
          <w:bCs/>
          <w:sz w:val="24"/>
          <w:szCs w:val="24"/>
          <w:u w:val="single"/>
        </w:rPr>
      </w:pPr>
      <w:r w:rsidRPr="00E92BCE">
        <w:rPr>
          <w:rFonts w:ascii="Arial" w:hAnsi="Arial" w:cs="Arial"/>
          <w:b/>
          <w:bCs/>
          <w:sz w:val="24"/>
          <w:szCs w:val="24"/>
          <w:u w:val="single"/>
        </w:rPr>
        <w:t>5º RECOMMENDATIONS:</w:t>
      </w:r>
    </w:p>
    <w:p w14:paraId="262D77C2" w14:textId="0B438127" w:rsidR="00791421" w:rsidRDefault="00791421" w:rsidP="00B419F7">
      <w:pPr>
        <w:jc w:val="both"/>
        <w:rPr>
          <w:rFonts w:ascii="Arial" w:hAnsi="Arial" w:cs="Arial"/>
          <w:b/>
          <w:bCs/>
          <w:sz w:val="24"/>
          <w:szCs w:val="24"/>
          <w:u w:val="single"/>
        </w:rPr>
      </w:pPr>
      <w:r>
        <w:rPr>
          <w:rFonts w:ascii="Arial" w:hAnsi="Arial" w:cs="Arial"/>
          <w:b/>
          <w:bCs/>
          <w:sz w:val="24"/>
          <w:szCs w:val="24"/>
          <w:u w:val="single"/>
        </w:rPr>
        <w:t>Urge the government to:</w:t>
      </w:r>
    </w:p>
    <w:p w14:paraId="2696DA4D" w14:textId="4A0D011D" w:rsidR="0004283B" w:rsidRPr="0004283B" w:rsidRDefault="0004283B" w:rsidP="00B419F7">
      <w:pPr>
        <w:jc w:val="both"/>
        <w:rPr>
          <w:rFonts w:ascii="Arial" w:hAnsi="Arial" w:cs="Arial"/>
          <w:b/>
          <w:bCs/>
          <w:sz w:val="24"/>
          <w:szCs w:val="24"/>
        </w:rPr>
      </w:pPr>
      <w:r w:rsidRPr="0004283B">
        <w:rPr>
          <w:rFonts w:ascii="Arial" w:hAnsi="Arial" w:cs="Arial"/>
          <w:b/>
          <w:bCs/>
          <w:sz w:val="24"/>
          <w:szCs w:val="24"/>
        </w:rPr>
        <w:t xml:space="preserve">1º </w:t>
      </w:r>
      <w:proofErr w:type="gramStart"/>
      <w:r w:rsidRPr="0004283B">
        <w:rPr>
          <w:rFonts w:ascii="Arial" w:hAnsi="Arial" w:cs="Arial"/>
          <w:b/>
          <w:bCs/>
          <w:sz w:val="24"/>
          <w:szCs w:val="24"/>
        </w:rPr>
        <w:t>The</w:t>
      </w:r>
      <w:proofErr w:type="gramEnd"/>
      <w:r w:rsidRPr="0004283B">
        <w:rPr>
          <w:rFonts w:ascii="Arial" w:hAnsi="Arial" w:cs="Arial"/>
          <w:b/>
          <w:bCs/>
          <w:sz w:val="24"/>
          <w:szCs w:val="24"/>
        </w:rPr>
        <w:t xml:space="preserve"> approval of the Commission presented in the Senate on January 31, 2023. And its extension presented on March 3, 2023. Starting first with immediate reparation as stated in said commission. (Previously presented in Congress on March 29, 2022, leaving no response).</w:t>
      </w:r>
    </w:p>
    <w:p w14:paraId="6FB9E031" w14:textId="58DB586A" w:rsidR="007B7B16" w:rsidRPr="0004283B" w:rsidRDefault="0004283B" w:rsidP="00B419F7">
      <w:pPr>
        <w:jc w:val="both"/>
        <w:rPr>
          <w:rFonts w:ascii="Arial" w:hAnsi="Arial" w:cs="Arial"/>
          <w:b/>
          <w:bCs/>
          <w:sz w:val="24"/>
          <w:szCs w:val="24"/>
        </w:rPr>
      </w:pPr>
      <w:r w:rsidRPr="0004283B">
        <w:rPr>
          <w:rFonts w:ascii="Arial" w:hAnsi="Arial" w:cs="Arial"/>
          <w:b/>
          <w:bCs/>
          <w:sz w:val="24"/>
          <w:szCs w:val="24"/>
        </w:rPr>
        <w:t xml:space="preserve">2º </w:t>
      </w:r>
      <w:proofErr w:type="gramStart"/>
      <w:r w:rsidRPr="0004283B">
        <w:rPr>
          <w:rFonts w:ascii="Arial" w:hAnsi="Arial" w:cs="Arial"/>
          <w:b/>
          <w:bCs/>
          <w:sz w:val="24"/>
          <w:szCs w:val="24"/>
        </w:rPr>
        <w:t>The</w:t>
      </w:r>
      <w:proofErr w:type="gramEnd"/>
      <w:r w:rsidRPr="0004283B">
        <w:rPr>
          <w:rFonts w:ascii="Arial" w:hAnsi="Arial" w:cs="Arial"/>
          <w:b/>
          <w:bCs/>
          <w:sz w:val="24"/>
          <w:szCs w:val="24"/>
        </w:rPr>
        <w:t xml:space="preserve"> modifications in the LOPIVI and LOGILS law, in which there is an explicit and specific sanction, to all legal and non-legal agents so that they do not reapply any stereotype, SAP or systematic violations of fundamental rights.</w:t>
      </w:r>
    </w:p>
    <w:p w14:paraId="6403094E" w14:textId="5ED74E53" w:rsidR="00791421" w:rsidRDefault="00791421" w:rsidP="00B419F7">
      <w:pPr>
        <w:jc w:val="both"/>
        <w:rPr>
          <w:rFonts w:ascii="Arial" w:hAnsi="Arial" w:cs="Arial"/>
          <w:b/>
          <w:bCs/>
          <w:sz w:val="24"/>
          <w:szCs w:val="24"/>
        </w:rPr>
      </w:pPr>
      <w:r w:rsidRPr="0004283B">
        <w:rPr>
          <w:rFonts w:ascii="Arial" w:hAnsi="Arial" w:cs="Arial"/>
          <w:b/>
          <w:bCs/>
          <w:sz w:val="24"/>
          <w:szCs w:val="24"/>
        </w:rPr>
        <w:t>3º That all processes of paternal intra-family sexual abuse cases take place in the gender violence courts of the Spanish State.</w:t>
      </w:r>
    </w:p>
    <w:p w14:paraId="5EFDB6A2" w14:textId="243E8877" w:rsidR="000E196D" w:rsidRPr="0004283B" w:rsidRDefault="000E196D" w:rsidP="00B419F7">
      <w:pPr>
        <w:jc w:val="both"/>
        <w:rPr>
          <w:rFonts w:ascii="Arial" w:hAnsi="Arial" w:cs="Arial"/>
          <w:b/>
          <w:bCs/>
          <w:sz w:val="24"/>
          <w:szCs w:val="24"/>
        </w:rPr>
      </w:pPr>
      <w:r>
        <w:rPr>
          <w:rFonts w:ascii="Arial" w:hAnsi="Arial" w:cs="Arial"/>
          <w:b/>
          <w:bCs/>
          <w:sz w:val="24"/>
          <w:szCs w:val="24"/>
        </w:rPr>
        <w:t>4th That the parental authority of the father denounced for sexual abuse/assault be immediately and definitively withdrawn, de facto eliminating re-linking with him through existing services such as family meeting points and others.</w:t>
      </w:r>
    </w:p>
    <w:p w14:paraId="6820C2F7" w14:textId="4085D5C7" w:rsidR="00791421" w:rsidRPr="0004283B" w:rsidRDefault="00791421" w:rsidP="00B419F7">
      <w:pPr>
        <w:jc w:val="both"/>
        <w:rPr>
          <w:rFonts w:ascii="Arial" w:hAnsi="Arial" w:cs="Arial"/>
          <w:b/>
          <w:bCs/>
          <w:sz w:val="24"/>
          <w:szCs w:val="24"/>
        </w:rPr>
      </w:pPr>
    </w:p>
    <w:p w14:paraId="41CF36E6" w14:textId="77777777" w:rsidR="007B7B16" w:rsidRPr="0004283B" w:rsidRDefault="007B7B16" w:rsidP="00B419F7">
      <w:pPr>
        <w:jc w:val="both"/>
        <w:rPr>
          <w:rFonts w:ascii="Arial" w:hAnsi="Arial" w:cs="Arial"/>
          <w:b/>
          <w:bCs/>
          <w:sz w:val="24"/>
          <w:szCs w:val="24"/>
        </w:rPr>
      </w:pPr>
    </w:p>
    <w:p w14:paraId="5FCD7905" w14:textId="77777777" w:rsidR="007B7B16" w:rsidRPr="0004283B" w:rsidRDefault="007B7B16" w:rsidP="00B419F7">
      <w:pPr>
        <w:jc w:val="both"/>
        <w:rPr>
          <w:rFonts w:ascii="Arial" w:hAnsi="Arial" w:cs="Arial"/>
          <w:b/>
          <w:bCs/>
          <w:sz w:val="24"/>
          <w:szCs w:val="24"/>
        </w:rPr>
      </w:pPr>
    </w:p>
    <w:p w14:paraId="4988E681" w14:textId="77777777" w:rsidR="007B7B16" w:rsidRPr="0004283B" w:rsidRDefault="007B7B16" w:rsidP="00B419F7">
      <w:pPr>
        <w:jc w:val="both"/>
        <w:rPr>
          <w:rFonts w:ascii="Arial" w:hAnsi="Arial" w:cs="Arial"/>
          <w:b/>
          <w:bCs/>
          <w:sz w:val="24"/>
          <w:szCs w:val="24"/>
        </w:rPr>
      </w:pPr>
    </w:p>
    <w:p w14:paraId="178A3F53" w14:textId="77777777" w:rsidR="00916925" w:rsidRPr="0004283B" w:rsidRDefault="00916925" w:rsidP="00B419F7">
      <w:pPr>
        <w:jc w:val="both"/>
        <w:rPr>
          <w:rFonts w:ascii="Arial" w:hAnsi="Arial" w:cs="Arial"/>
          <w:b/>
          <w:bCs/>
          <w:sz w:val="24"/>
          <w:szCs w:val="24"/>
        </w:rPr>
      </w:pPr>
    </w:p>
    <w:sectPr w:rsidR="00916925" w:rsidRPr="0004283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D20D8"/>
    <w:multiLevelType w:val="hybridMultilevel"/>
    <w:tmpl w:val="F9DAED2E"/>
    <w:lvl w:ilvl="0" w:tplc="0C0A0001">
      <w:start w:val="1"/>
      <w:numFmt w:val="bullet"/>
      <w:lvlText w:val=""/>
      <w:lvlJc w:val="left"/>
      <w:pPr>
        <w:ind w:left="732" w:hanging="360"/>
      </w:pPr>
      <w:rPr>
        <w:rFonts w:ascii="Symbol" w:hAnsi="Symbol" w:hint="default"/>
      </w:rPr>
    </w:lvl>
    <w:lvl w:ilvl="1" w:tplc="0C0A0003">
      <w:start w:val="1"/>
      <w:numFmt w:val="bullet"/>
      <w:lvlText w:val="o"/>
      <w:lvlJc w:val="left"/>
      <w:pPr>
        <w:ind w:left="1452" w:hanging="360"/>
      </w:pPr>
      <w:rPr>
        <w:rFonts w:ascii="Courier New" w:hAnsi="Courier New" w:cs="Courier New" w:hint="default"/>
      </w:rPr>
    </w:lvl>
    <w:lvl w:ilvl="2" w:tplc="0C0A0005">
      <w:start w:val="1"/>
      <w:numFmt w:val="bullet"/>
      <w:lvlText w:val=""/>
      <w:lvlJc w:val="left"/>
      <w:pPr>
        <w:ind w:left="2172" w:hanging="360"/>
      </w:pPr>
      <w:rPr>
        <w:rFonts w:ascii="Wingdings" w:hAnsi="Wingdings" w:hint="default"/>
      </w:rPr>
    </w:lvl>
    <w:lvl w:ilvl="3" w:tplc="0C0A0001">
      <w:start w:val="1"/>
      <w:numFmt w:val="bullet"/>
      <w:lvlText w:val=""/>
      <w:lvlJc w:val="left"/>
      <w:pPr>
        <w:ind w:left="2892" w:hanging="360"/>
      </w:pPr>
      <w:rPr>
        <w:rFonts w:ascii="Symbol" w:hAnsi="Symbol" w:hint="default"/>
      </w:rPr>
    </w:lvl>
    <w:lvl w:ilvl="4" w:tplc="0C0A0003">
      <w:start w:val="1"/>
      <w:numFmt w:val="bullet"/>
      <w:lvlText w:val="o"/>
      <w:lvlJc w:val="left"/>
      <w:pPr>
        <w:ind w:left="3612" w:hanging="360"/>
      </w:pPr>
      <w:rPr>
        <w:rFonts w:ascii="Courier New" w:hAnsi="Courier New" w:cs="Courier New" w:hint="default"/>
      </w:rPr>
    </w:lvl>
    <w:lvl w:ilvl="5" w:tplc="0C0A0005">
      <w:start w:val="1"/>
      <w:numFmt w:val="bullet"/>
      <w:lvlText w:val=""/>
      <w:lvlJc w:val="left"/>
      <w:pPr>
        <w:ind w:left="4332" w:hanging="360"/>
      </w:pPr>
      <w:rPr>
        <w:rFonts w:ascii="Wingdings" w:hAnsi="Wingdings" w:hint="default"/>
      </w:rPr>
    </w:lvl>
    <w:lvl w:ilvl="6" w:tplc="0C0A0001">
      <w:start w:val="1"/>
      <w:numFmt w:val="bullet"/>
      <w:lvlText w:val=""/>
      <w:lvlJc w:val="left"/>
      <w:pPr>
        <w:ind w:left="5052" w:hanging="360"/>
      </w:pPr>
      <w:rPr>
        <w:rFonts w:ascii="Symbol" w:hAnsi="Symbol" w:hint="default"/>
      </w:rPr>
    </w:lvl>
    <w:lvl w:ilvl="7" w:tplc="0C0A0003">
      <w:start w:val="1"/>
      <w:numFmt w:val="bullet"/>
      <w:lvlText w:val="o"/>
      <w:lvlJc w:val="left"/>
      <w:pPr>
        <w:ind w:left="5772" w:hanging="360"/>
      </w:pPr>
      <w:rPr>
        <w:rFonts w:ascii="Courier New" w:hAnsi="Courier New" w:cs="Courier New" w:hint="default"/>
      </w:rPr>
    </w:lvl>
    <w:lvl w:ilvl="8" w:tplc="0C0A0005">
      <w:start w:val="1"/>
      <w:numFmt w:val="bullet"/>
      <w:lvlText w:val=""/>
      <w:lvlJc w:val="left"/>
      <w:pPr>
        <w:ind w:left="6492" w:hanging="360"/>
      </w:pPr>
      <w:rPr>
        <w:rFonts w:ascii="Wingdings" w:hAnsi="Wingdings" w:hint="default"/>
      </w:rPr>
    </w:lvl>
  </w:abstractNum>
  <w:abstractNum w:abstractNumId="1" w15:restartNumberingAfterBreak="0">
    <w:nsid w:val="0AFB6354"/>
    <w:multiLevelType w:val="hybridMultilevel"/>
    <w:tmpl w:val="27FAFEA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0F776F7F"/>
    <w:multiLevelType w:val="hybridMultilevel"/>
    <w:tmpl w:val="3C5AD43C"/>
    <w:lvl w:ilvl="0" w:tplc="0C0A0001">
      <w:start w:val="1"/>
      <w:numFmt w:val="bullet"/>
      <w:lvlText w:val=""/>
      <w:lvlJc w:val="left"/>
      <w:pPr>
        <w:ind w:left="732" w:hanging="360"/>
      </w:pPr>
      <w:rPr>
        <w:rFonts w:ascii="Symbol" w:hAnsi="Symbol" w:hint="default"/>
      </w:rPr>
    </w:lvl>
    <w:lvl w:ilvl="1" w:tplc="0C0A0003">
      <w:start w:val="1"/>
      <w:numFmt w:val="bullet"/>
      <w:lvlText w:val="o"/>
      <w:lvlJc w:val="left"/>
      <w:pPr>
        <w:ind w:left="1452" w:hanging="360"/>
      </w:pPr>
      <w:rPr>
        <w:rFonts w:ascii="Courier New" w:hAnsi="Courier New" w:cs="Courier New" w:hint="default"/>
      </w:rPr>
    </w:lvl>
    <w:lvl w:ilvl="2" w:tplc="0C0A0005">
      <w:start w:val="1"/>
      <w:numFmt w:val="bullet"/>
      <w:lvlText w:val=""/>
      <w:lvlJc w:val="left"/>
      <w:pPr>
        <w:ind w:left="2172" w:hanging="360"/>
      </w:pPr>
      <w:rPr>
        <w:rFonts w:ascii="Wingdings" w:hAnsi="Wingdings" w:hint="default"/>
      </w:rPr>
    </w:lvl>
    <w:lvl w:ilvl="3" w:tplc="0C0A0001">
      <w:start w:val="1"/>
      <w:numFmt w:val="bullet"/>
      <w:lvlText w:val=""/>
      <w:lvlJc w:val="left"/>
      <w:pPr>
        <w:ind w:left="2892" w:hanging="360"/>
      </w:pPr>
      <w:rPr>
        <w:rFonts w:ascii="Symbol" w:hAnsi="Symbol" w:hint="default"/>
      </w:rPr>
    </w:lvl>
    <w:lvl w:ilvl="4" w:tplc="0C0A0003">
      <w:start w:val="1"/>
      <w:numFmt w:val="bullet"/>
      <w:lvlText w:val="o"/>
      <w:lvlJc w:val="left"/>
      <w:pPr>
        <w:ind w:left="3612" w:hanging="360"/>
      </w:pPr>
      <w:rPr>
        <w:rFonts w:ascii="Courier New" w:hAnsi="Courier New" w:cs="Courier New" w:hint="default"/>
      </w:rPr>
    </w:lvl>
    <w:lvl w:ilvl="5" w:tplc="0C0A0005">
      <w:start w:val="1"/>
      <w:numFmt w:val="bullet"/>
      <w:lvlText w:val=""/>
      <w:lvlJc w:val="left"/>
      <w:pPr>
        <w:ind w:left="4332" w:hanging="360"/>
      </w:pPr>
      <w:rPr>
        <w:rFonts w:ascii="Wingdings" w:hAnsi="Wingdings" w:hint="default"/>
      </w:rPr>
    </w:lvl>
    <w:lvl w:ilvl="6" w:tplc="0C0A0001">
      <w:start w:val="1"/>
      <w:numFmt w:val="bullet"/>
      <w:lvlText w:val=""/>
      <w:lvlJc w:val="left"/>
      <w:pPr>
        <w:ind w:left="5052" w:hanging="360"/>
      </w:pPr>
      <w:rPr>
        <w:rFonts w:ascii="Symbol" w:hAnsi="Symbol" w:hint="default"/>
      </w:rPr>
    </w:lvl>
    <w:lvl w:ilvl="7" w:tplc="0C0A0003">
      <w:start w:val="1"/>
      <w:numFmt w:val="bullet"/>
      <w:lvlText w:val="o"/>
      <w:lvlJc w:val="left"/>
      <w:pPr>
        <w:ind w:left="5772" w:hanging="360"/>
      </w:pPr>
      <w:rPr>
        <w:rFonts w:ascii="Courier New" w:hAnsi="Courier New" w:cs="Courier New" w:hint="default"/>
      </w:rPr>
    </w:lvl>
    <w:lvl w:ilvl="8" w:tplc="0C0A0005">
      <w:start w:val="1"/>
      <w:numFmt w:val="bullet"/>
      <w:lvlText w:val=""/>
      <w:lvlJc w:val="left"/>
      <w:pPr>
        <w:ind w:left="6492" w:hanging="360"/>
      </w:pPr>
      <w:rPr>
        <w:rFonts w:ascii="Wingdings" w:hAnsi="Wingdings" w:hint="default"/>
      </w:rPr>
    </w:lvl>
  </w:abstractNum>
  <w:abstractNum w:abstractNumId="3" w15:restartNumberingAfterBreak="0">
    <w:nsid w:val="277E352D"/>
    <w:multiLevelType w:val="hybridMultilevel"/>
    <w:tmpl w:val="3062944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1857362"/>
    <w:multiLevelType w:val="hybridMultilevel"/>
    <w:tmpl w:val="BDF272A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6FA5935"/>
    <w:multiLevelType w:val="hybridMultilevel"/>
    <w:tmpl w:val="C65E8B2A"/>
    <w:lvl w:ilvl="0" w:tplc="0C0A0001">
      <w:start w:val="1"/>
      <w:numFmt w:val="bullet"/>
      <w:lvlText w:val=""/>
      <w:lvlJc w:val="left"/>
      <w:pPr>
        <w:ind w:left="732" w:hanging="360"/>
      </w:pPr>
      <w:rPr>
        <w:rFonts w:ascii="Symbol" w:hAnsi="Symbol" w:hint="default"/>
      </w:rPr>
    </w:lvl>
    <w:lvl w:ilvl="1" w:tplc="0C0A0003">
      <w:start w:val="1"/>
      <w:numFmt w:val="bullet"/>
      <w:lvlText w:val="o"/>
      <w:lvlJc w:val="left"/>
      <w:pPr>
        <w:ind w:left="1452" w:hanging="360"/>
      </w:pPr>
      <w:rPr>
        <w:rFonts w:ascii="Courier New" w:hAnsi="Courier New" w:cs="Courier New" w:hint="default"/>
      </w:rPr>
    </w:lvl>
    <w:lvl w:ilvl="2" w:tplc="0C0A0005">
      <w:start w:val="1"/>
      <w:numFmt w:val="bullet"/>
      <w:lvlText w:val=""/>
      <w:lvlJc w:val="left"/>
      <w:pPr>
        <w:ind w:left="2172" w:hanging="360"/>
      </w:pPr>
      <w:rPr>
        <w:rFonts w:ascii="Wingdings" w:hAnsi="Wingdings" w:hint="default"/>
      </w:rPr>
    </w:lvl>
    <w:lvl w:ilvl="3" w:tplc="0C0A0001">
      <w:start w:val="1"/>
      <w:numFmt w:val="bullet"/>
      <w:lvlText w:val=""/>
      <w:lvlJc w:val="left"/>
      <w:pPr>
        <w:ind w:left="2892" w:hanging="360"/>
      </w:pPr>
      <w:rPr>
        <w:rFonts w:ascii="Symbol" w:hAnsi="Symbol" w:hint="default"/>
      </w:rPr>
    </w:lvl>
    <w:lvl w:ilvl="4" w:tplc="0C0A0003">
      <w:start w:val="1"/>
      <w:numFmt w:val="bullet"/>
      <w:lvlText w:val="o"/>
      <w:lvlJc w:val="left"/>
      <w:pPr>
        <w:ind w:left="3612" w:hanging="360"/>
      </w:pPr>
      <w:rPr>
        <w:rFonts w:ascii="Courier New" w:hAnsi="Courier New" w:cs="Courier New" w:hint="default"/>
      </w:rPr>
    </w:lvl>
    <w:lvl w:ilvl="5" w:tplc="0C0A0005">
      <w:start w:val="1"/>
      <w:numFmt w:val="bullet"/>
      <w:lvlText w:val=""/>
      <w:lvlJc w:val="left"/>
      <w:pPr>
        <w:ind w:left="4332" w:hanging="360"/>
      </w:pPr>
      <w:rPr>
        <w:rFonts w:ascii="Wingdings" w:hAnsi="Wingdings" w:hint="default"/>
      </w:rPr>
    </w:lvl>
    <w:lvl w:ilvl="6" w:tplc="0C0A0001">
      <w:start w:val="1"/>
      <w:numFmt w:val="bullet"/>
      <w:lvlText w:val=""/>
      <w:lvlJc w:val="left"/>
      <w:pPr>
        <w:ind w:left="5052" w:hanging="360"/>
      </w:pPr>
      <w:rPr>
        <w:rFonts w:ascii="Symbol" w:hAnsi="Symbol" w:hint="default"/>
      </w:rPr>
    </w:lvl>
    <w:lvl w:ilvl="7" w:tplc="0C0A0003">
      <w:start w:val="1"/>
      <w:numFmt w:val="bullet"/>
      <w:lvlText w:val="o"/>
      <w:lvlJc w:val="left"/>
      <w:pPr>
        <w:ind w:left="5772" w:hanging="360"/>
      </w:pPr>
      <w:rPr>
        <w:rFonts w:ascii="Courier New" w:hAnsi="Courier New" w:cs="Courier New" w:hint="default"/>
      </w:rPr>
    </w:lvl>
    <w:lvl w:ilvl="8" w:tplc="0C0A0005">
      <w:start w:val="1"/>
      <w:numFmt w:val="bullet"/>
      <w:lvlText w:val=""/>
      <w:lvlJc w:val="left"/>
      <w:pPr>
        <w:ind w:left="6492" w:hanging="360"/>
      </w:pPr>
      <w:rPr>
        <w:rFonts w:ascii="Wingdings" w:hAnsi="Wingdings" w:hint="default"/>
      </w:rPr>
    </w:lvl>
  </w:abstractNum>
  <w:abstractNum w:abstractNumId="6" w15:restartNumberingAfterBreak="0">
    <w:nsid w:val="772D5690"/>
    <w:multiLevelType w:val="hybridMultilevel"/>
    <w:tmpl w:val="823846A6"/>
    <w:lvl w:ilvl="0" w:tplc="0C0A0001">
      <w:start w:val="1"/>
      <w:numFmt w:val="bullet"/>
      <w:lvlText w:val=""/>
      <w:lvlJc w:val="left"/>
      <w:pPr>
        <w:ind w:left="732" w:hanging="360"/>
      </w:pPr>
      <w:rPr>
        <w:rFonts w:ascii="Symbol" w:hAnsi="Symbol" w:hint="default"/>
      </w:rPr>
    </w:lvl>
    <w:lvl w:ilvl="1" w:tplc="0C0A0003">
      <w:start w:val="1"/>
      <w:numFmt w:val="bullet"/>
      <w:lvlText w:val="o"/>
      <w:lvlJc w:val="left"/>
      <w:pPr>
        <w:ind w:left="1452" w:hanging="360"/>
      </w:pPr>
      <w:rPr>
        <w:rFonts w:ascii="Courier New" w:hAnsi="Courier New" w:cs="Courier New" w:hint="default"/>
      </w:rPr>
    </w:lvl>
    <w:lvl w:ilvl="2" w:tplc="0C0A0005">
      <w:start w:val="1"/>
      <w:numFmt w:val="bullet"/>
      <w:lvlText w:val=""/>
      <w:lvlJc w:val="left"/>
      <w:pPr>
        <w:ind w:left="2172" w:hanging="360"/>
      </w:pPr>
      <w:rPr>
        <w:rFonts w:ascii="Wingdings" w:hAnsi="Wingdings" w:hint="default"/>
      </w:rPr>
    </w:lvl>
    <w:lvl w:ilvl="3" w:tplc="0C0A0001">
      <w:start w:val="1"/>
      <w:numFmt w:val="bullet"/>
      <w:lvlText w:val=""/>
      <w:lvlJc w:val="left"/>
      <w:pPr>
        <w:ind w:left="2892" w:hanging="360"/>
      </w:pPr>
      <w:rPr>
        <w:rFonts w:ascii="Symbol" w:hAnsi="Symbol" w:hint="default"/>
      </w:rPr>
    </w:lvl>
    <w:lvl w:ilvl="4" w:tplc="0C0A0003">
      <w:start w:val="1"/>
      <w:numFmt w:val="bullet"/>
      <w:lvlText w:val="o"/>
      <w:lvlJc w:val="left"/>
      <w:pPr>
        <w:ind w:left="3612" w:hanging="360"/>
      </w:pPr>
      <w:rPr>
        <w:rFonts w:ascii="Courier New" w:hAnsi="Courier New" w:cs="Courier New" w:hint="default"/>
      </w:rPr>
    </w:lvl>
    <w:lvl w:ilvl="5" w:tplc="0C0A0005">
      <w:start w:val="1"/>
      <w:numFmt w:val="bullet"/>
      <w:lvlText w:val=""/>
      <w:lvlJc w:val="left"/>
      <w:pPr>
        <w:ind w:left="4332" w:hanging="360"/>
      </w:pPr>
      <w:rPr>
        <w:rFonts w:ascii="Wingdings" w:hAnsi="Wingdings" w:hint="default"/>
      </w:rPr>
    </w:lvl>
    <w:lvl w:ilvl="6" w:tplc="0C0A0001">
      <w:start w:val="1"/>
      <w:numFmt w:val="bullet"/>
      <w:lvlText w:val=""/>
      <w:lvlJc w:val="left"/>
      <w:pPr>
        <w:ind w:left="5052" w:hanging="360"/>
      </w:pPr>
      <w:rPr>
        <w:rFonts w:ascii="Symbol" w:hAnsi="Symbol" w:hint="default"/>
      </w:rPr>
    </w:lvl>
    <w:lvl w:ilvl="7" w:tplc="0C0A0003">
      <w:start w:val="1"/>
      <w:numFmt w:val="bullet"/>
      <w:lvlText w:val="o"/>
      <w:lvlJc w:val="left"/>
      <w:pPr>
        <w:ind w:left="5772" w:hanging="360"/>
      </w:pPr>
      <w:rPr>
        <w:rFonts w:ascii="Courier New" w:hAnsi="Courier New" w:cs="Courier New" w:hint="default"/>
      </w:rPr>
    </w:lvl>
    <w:lvl w:ilvl="8" w:tplc="0C0A0005">
      <w:start w:val="1"/>
      <w:numFmt w:val="bullet"/>
      <w:lvlText w:val=""/>
      <w:lvlJc w:val="left"/>
      <w:pPr>
        <w:ind w:left="6492" w:hanging="360"/>
      </w:pPr>
      <w:rPr>
        <w:rFonts w:ascii="Wingdings" w:hAnsi="Wingdings" w:hint="default"/>
      </w:rPr>
    </w:lvl>
  </w:abstractNum>
  <w:num w:numId="1" w16cid:durableId="1658529252">
    <w:abstractNumId w:val="4"/>
  </w:num>
  <w:num w:numId="2" w16cid:durableId="1345787695">
    <w:abstractNumId w:val="3"/>
  </w:num>
  <w:num w:numId="3" w16cid:durableId="326592318">
    <w:abstractNumId w:val="1"/>
  </w:num>
  <w:num w:numId="4" w16cid:durableId="1699237328">
    <w:abstractNumId w:val="0"/>
  </w:num>
  <w:num w:numId="5" w16cid:durableId="1596937335">
    <w:abstractNumId w:val="5"/>
  </w:num>
  <w:num w:numId="6" w16cid:durableId="438261759">
    <w:abstractNumId w:val="6"/>
  </w:num>
  <w:num w:numId="7" w16cid:durableId="914702409">
    <w:abstractNumId w:val="2"/>
  </w:num>
  <w:num w:numId="8" w16cid:durableId="979115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D9E"/>
    <w:rsid w:val="00040D9E"/>
    <w:rsid w:val="0004283B"/>
    <w:rsid w:val="00070FCF"/>
    <w:rsid w:val="000E196D"/>
    <w:rsid w:val="00265305"/>
    <w:rsid w:val="00446B46"/>
    <w:rsid w:val="00492707"/>
    <w:rsid w:val="00567C13"/>
    <w:rsid w:val="005721FC"/>
    <w:rsid w:val="005907D3"/>
    <w:rsid w:val="005C49FB"/>
    <w:rsid w:val="0064358C"/>
    <w:rsid w:val="00791421"/>
    <w:rsid w:val="007B7B16"/>
    <w:rsid w:val="008624FA"/>
    <w:rsid w:val="00916925"/>
    <w:rsid w:val="009458A6"/>
    <w:rsid w:val="009556EF"/>
    <w:rsid w:val="009B0262"/>
    <w:rsid w:val="00A05551"/>
    <w:rsid w:val="00A672A8"/>
    <w:rsid w:val="00AC194C"/>
    <w:rsid w:val="00B22639"/>
    <w:rsid w:val="00B419AA"/>
    <w:rsid w:val="00B419F7"/>
    <w:rsid w:val="00B465AE"/>
    <w:rsid w:val="00CC6DEC"/>
    <w:rsid w:val="00CE1F18"/>
    <w:rsid w:val="00D954F7"/>
    <w:rsid w:val="00D96D07"/>
    <w:rsid w:val="00E92BCE"/>
    <w:rsid w:val="00EC28B3"/>
    <w:rsid w:val="00F311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5D313"/>
  <w15:chartTrackingRefBased/>
  <w15:docId w15:val="{0267A15C-5ECB-4F81-88B2-B22C90066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C19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690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1403</Words>
  <Characters>7722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ALANNA</dc:creator>
  <cp:keywords/>
  <dc:description/>
  <cp:lastModifiedBy>Chelo ALANNA</cp:lastModifiedBy>
  <cp:revision>3</cp:revision>
  <dcterms:created xsi:type="dcterms:W3CDTF">2023-04-21T16:40:00Z</dcterms:created>
  <dcterms:modified xsi:type="dcterms:W3CDTF">2023-04-21T16:42:00Z</dcterms:modified>
</cp:coreProperties>
</file>