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E7FD96" w14:textId="77777777" w:rsidR="00DA7E35" w:rsidRDefault="00DA7E35" w:rsidP="00DA7E35">
      <w:pPr>
        <w:jc w:val="center"/>
        <w:rPr>
          <w:rFonts w:ascii="Arial" w:hAnsi="Arial" w:cs="Arial"/>
          <w:b/>
          <w:bCs/>
          <w:color w:val="0070C0"/>
          <w:sz w:val="36"/>
          <w:szCs w:val="36"/>
        </w:rPr>
      </w:pPr>
    </w:p>
    <w:p w14:paraId="0F310746" w14:textId="77777777" w:rsidR="00DA7E35" w:rsidRDefault="00DA7E35" w:rsidP="00DA7E35">
      <w:pPr>
        <w:jc w:val="center"/>
        <w:rPr>
          <w:rFonts w:ascii="Arial" w:hAnsi="Arial" w:cs="Arial"/>
          <w:b/>
          <w:bCs/>
          <w:color w:val="0070C0"/>
          <w:sz w:val="36"/>
          <w:szCs w:val="36"/>
        </w:rPr>
      </w:pPr>
    </w:p>
    <w:p w14:paraId="40003B71" w14:textId="77777777" w:rsidR="00DA7E35" w:rsidRDefault="00DA7E35" w:rsidP="00DA7E35">
      <w:pPr>
        <w:jc w:val="center"/>
        <w:rPr>
          <w:rFonts w:ascii="Arial" w:hAnsi="Arial" w:cs="Arial"/>
          <w:b/>
          <w:bCs/>
          <w:color w:val="0070C0"/>
          <w:sz w:val="36"/>
          <w:szCs w:val="36"/>
        </w:rPr>
      </w:pPr>
    </w:p>
    <w:p w14:paraId="4E96B838" w14:textId="77777777" w:rsidR="00DA7E35" w:rsidRDefault="00DA7E35" w:rsidP="00DA7E35">
      <w:pPr>
        <w:jc w:val="center"/>
        <w:rPr>
          <w:rFonts w:ascii="Arial" w:hAnsi="Arial" w:cs="Arial"/>
          <w:b/>
          <w:bCs/>
          <w:color w:val="0070C0"/>
          <w:sz w:val="36"/>
          <w:szCs w:val="36"/>
        </w:rPr>
      </w:pPr>
    </w:p>
    <w:p w14:paraId="0EBCB1FB" w14:textId="63F524EE" w:rsidR="00DA7E35" w:rsidRPr="006204F7" w:rsidRDefault="00DA7E35" w:rsidP="00DA7E35">
      <w:pPr>
        <w:jc w:val="center"/>
        <w:rPr>
          <w:rFonts w:ascii="Arial" w:hAnsi="Arial" w:cs="Arial"/>
          <w:b/>
          <w:bCs/>
          <w:color w:val="0070C0"/>
          <w:sz w:val="36"/>
          <w:szCs w:val="36"/>
        </w:rPr>
      </w:pPr>
      <w:r w:rsidRPr="006204F7">
        <w:rPr>
          <w:rFonts w:ascii="Arial" w:hAnsi="Arial" w:cs="Arial"/>
          <w:b/>
          <w:bCs/>
          <w:color w:val="0070C0"/>
          <w:sz w:val="36"/>
          <w:szCs w:val="36"/>
        </w:rPr>
        <w:t>INFORME ALTERNATIVO AL COMITÉ CEDAW</w:t>
      </w:r>
    </w:p>
    <w:p w14:paraId="78049BDC" w14:textId="77777777" w:rsidR="00DA7E35" w:rsidRPr="006204F7" w:rsidRDefault="00DA7E35" w:rsidP="00DA7E35">
      <w:pPr>
        <w:jc w:val="center"/>
        <w:rPr>
          <w:rFonts w:ascii="Arial" w:hAnsi="Arial" w:cs="Arial"/>
          <w:b/>
          <w:bCs/>
          <w:color w:val="0070C0"/>
          <w:sz w:val="36"/>
          <w:szCs w:val="36"/>
        </w:rPr>
      </w:pPr>
      <w:r>
        <w:rPr>
          <w:rFonts w:ascii="Arial" w:hAnsi="Arial" w:cs="Arial"/>
          <w:b/>
          <w:bCs/>
          <w:color w:val="0070C0"/>
          <w:sz w:val="36"/>
          <w:szCs w:val="36"/>
        </w:rPr>
        <w:t xml:space="preserve">EN EL MARCO DEL </w:t>
      </w:r>
      <w:r w:rsidRPr="006204F7">
        <w:rPr>
          <w:rFonts w:ascii="Arial" w:hAnsi="Arial" w:cs="Arial"/>
          <w:b/>
          <w:bCs/>
          <w:color w:val="0070C0"/>
          <w:sz w:val="36"/>
          <w:szCs w:val="36"/>
        </w:rPr>
        <w:t>EXAMEN AL ESTADO DE HONDURAS</w:t>
      </w:r>
    </w:p>
    <w:p w14:paraId="63DC3CAB" w14:textId="77777777" w:rsidR="00DA7E35" w:rsidRPr="006204F7" w:rsidRDefault="00DA7E35" w:rsidP="00DA7E35">
      <w:pPr>
        <w:jc w:val="center"/>
        <w:rPr>
          <w:rFonts w:ascii="Arial" w:hAnsi="Arial" w:cs="Arial"/>
          <w:b/>
          <w:bCs/>
          <w:color w:val="0070C0"/>
          <w:sz w:val="36"/>
          <w:szCs w:val="36"/>
        </w:rPr>
      </w:pPr>
      <w:r w:rsidRPr="006204F7">
        <w:rPr>
          <w:rFonts w:ascii="Arial" w:hAnsi="Arial" w:cs="Arial"/>
          <w:b/>
          <w:bCs/>
          <w:color w:val="0070C0"/>
          <w:sz w:val="36"/>
          <w:szCs w:val="36"/>
        </w:rPr>
        <w:t>2021</w:t>
      </w:r>
    </w:p>
    <w:p w14:paraId="13106A61" w14:textId="77777777" w:rsidR="00DA7E35" w:rsidRDefault="00DA7E35" w:rsidP="00DA7E35">
      <w:pPr>
        <w:jc w:val="center"/>
        <w:rPr>
          <w:rFonts w:ascii="Arial" w:hAnsi="Arial" w:cs="Arial"/>
          <w:b/>
          <w:bCs/>
          <w:sz w:val="36"/>
          <w:szCs w:val="36"/>
        </w:rPr>
      </w:pPr>
    </w:p>
    <w:p w14:paraId="77CDC12F" w14:textId="77777777" w:rsidR="00DA7E35" w:rsidRDefault="00DA7E35" w:rsidP="00DA7E35">
      <w:pPr>
        <w:jc w:val="center"/>
        <w:rPr>
          <w:rFonts w:ascii="Arial" w:hAnsi="Arial" w:cs="Arial"/>
          <w:b/>
          <w:bCs/>
          <w:sz w:val="36"/>
          <w:szCs w:val="36"/>
        </w:rPr>
      </w:pPr>
    </w:p>
    <w:p w14:paraId="2B791FE3" w14:textId="77777777" w:rsidR="00DA7E35" w:rsidRDefault="00DA7E35" w:rsidP="00DA7E35">
      <w:pPr>
        <w:jc w:val="center"/>
        <w:rPr>
          <w:rFonts w:ascii="Arial" w:hAnsi="Arial" w:cs="Arial"/>
          <w:b/>
          <w:bCs/>
          <w:sz w:val="36"/>
          <w:szCs w:val="36"/>
        </w:rPr>
      </w:pPr>
    </w:p>
    <w:p w14:paraId="60C90C06" w14:textId="1E578778" w:rsidR="00DA7E35" w:rsidRPr="00B24607" w:rsidRDefault="00DA7E35" w:rsidP="00DA7E35">
      <w:pPr>
        <w:jc w:val="center"/>
        <w:rPr>
          <w:rFonts w:ascii="Arial" w:hAnsi="Arial" w:cs="Arial"/>
          <w:b/>
          <w:bCs/>
          <w:sz w:val="48"/>
          <w:szCs w:val="48"/>
        </w:rPr>
      </w:pPr>
      <w:r w:rsidRPr="00B24607">
        <w:rPr>
          <w:rFonts w:ascii="Arial" w:hAnsi="Arial" w:cs="Arial"/>
          <w:b/>
          <w:bCs/>
          <w:sz w:val="48"/>
          <w:szCs w:val="48"/>
        </w:rPr>
        <w:t>SITUACI</w:t>
      </w:r>
      <w:r w:rsidR="00B331B4">
        <w:rPr>
          <w:rFonts w:ascii="Arial" w:hAnsi="Arial" w:cs="Arial"/>
          <w:b/>
          <w:bCs/>
          <w:sz w:val="48"/>
          <w:szCs w:val="48"/>
        </w:rPr>
        <w:t>Ó</w:t>
      </w:r>
      <w:r w:rsidRPr="00B24607">
        <w:rPr>
          <w:rFonts w:ascii="Arial" w:hAnsi="Arial" w:cs="Arial"/>
          <w:b/>
          <w:bCs/>
          <w:sz w:val="48"/>
          <w:szCs w:val="48"/>
        </w:rPr>
        <w:t>N DE NIÑAS Y MUJERES J</w:t>
      </w:r>
      <w:r w:rsidR="00B331B4">
        <w:rPr>
          <w:rFonts w:ascii="Arial" w:hAnsi="Arial" w:cs="Arial"/>
          <w:b/>
          <w:bCs/>
          <w:sz w:val="48"/>
          <w:szCs w:val="48"/>
        </w:rPr>
        <w:t>Ó</w:t>
      </w:r>
      <w:r w:rsidRPr="00B24607">
        <w:rPr>
          <w:rFonts w:ascii="Arial" w:hAnsi="Arial" w:cs="Arial"/>
          <w:b/>
          <w:bCs/>
          <w:sz w:val="48"/>
          <w:szCs w:val="48"/>
        </w:rPr>
        <w:t>VENES</w:t>
      </w:r>
    </w:p>
    <w:p w14:paraId="1BDF23BD" w14:textId="77777777" w:rsidR="00DA7E35" w:rsidRDefault="00DA7E35" w:rsidP="00DA7E35">
      <w:pPr>
        <w:jc w:val="center"/>
        <w:rPr>
          <w:rFonts w:ascii="Arial" w:hAnsi="Arial" w:cs="Arial"/>
          <w:b/>
          <w:bCs/>
          <w:sz w:val="36"/>
          <w:szCs w:val="36"/>
        </w:rPr>
      </w:pPr>
    </w:p>
    <w:p w14:paraId="5A6AD02B" w14:textId="77777777" w:rsidR="00DA7E35" w:rsidRDefault="00DA7E35" w:rsidP="00DA7E35">
      <w:pPr>
        <w:jc w:val="center"/>
        <w:rPr>
          <w:rFonts w:ascii="Arial" w:hAnsi="Arial" w:cs="Arial"/>
          <w:b/>
          <w:bCs/>
          <w:sz w:val="36"/>
          <w:szCs w:val="36"/>
        </w:rPr>
      </w:pPr>
    </w:p>
    <w:p w14:paraId="4EC0D88A" w14:textId="77777777" w:rsidR="00DA7E35" w:rsidRPr="00403366" w:rsidRDefault="00DA7E35" w:rsidP="00DA7E35">
      <w:pPr>
        <w:jc w:val="center"/>
        <w:rPr>
          <w:rFonts w:ascii="Arial" w:hAnsi="Arial" w:cs="Arial"/>
          <w:b/>
          <w:bCs/>
          <w:sz w:val="36"/>
          <w:szCs w:val="36"/>
        </w:rPr>
      </w:pPr>
    </w:p>
    <w:p w14:paraId="573FF495" w14:textId="77777777" w:rsidR="00DA7E35" w:rsidRPr="006204F7" w:rsidRDefault="00DA7E35" w:rsidP="00DA7E35">
      <w:pPr>
        <w:jc w:val="center"/>
        <w:rPr>
          <w:rFonts w:ascii="Arial" w:hAnsi="Arial" w:cs="Arial"/>
          <w:b/>
          <w:bCs/>
          <w:color w:val="0070C0"/>
          <w:sz w:val="32"/>
          <w:szCs w:val="32"/>
        </w:rPr>
      </w:pPr>
      <w:r w:rsidRPr="006204F7">
        <w:rPr>
          <w:rFonts w:ascii="Arial" w:hAnsi="Arial" w:cs="Arial"/>
          <w:b/>
          <w:bCs/>
          <w:color w:val="0070C0"/>
          <w:sz w:val="32"/>
          <w:szCs w:val="32"/>
        </w:rPr>
        <w:t>PRESENTADO POR:</w:t>
      </w:r>
    </w:p>
    <w:p w14:paraId="4B96D8C9" w14:textId="77777777" w:rsidR="00DA7E35" w:rsidRPr="006204F7" w:rsidRDefault="00DA7E35" w:rsidP="00DA7E35">
      <w:pPr>
        <w:jc w:val="center"/>
        <w:rPr>
          <w:rFonts w:ascii="Arial" w:hAnsi="Arial" w:cs="Arial"/>
          <w:b/>
          <w:bCs/>
          <w:color w:val="0070C0"/>
          <w:sz w:val="32"/>
          <w:szCs w:val="32"/>
        </w:rPr>
      </w:pPr>
      <w:bookmarkStart w:id="0" w:name="_GoBack"/>
      <w:r w:rsidRPr="006204F7">
        <w:rPr>
          <w:rFonts w:ascii="Arial" w:hAnsi="Arial" w:cs="Arial"/>
          <w:b/>
          <w:bCs/>
          <w:color w:val="0070C0"/>
          <w:sz w:val="32"/>
          <w:szCs w:val="32"/>
        </w:rPr>
        <w:t>PLAN INTERNATIONAL HONDURAS</w:t>
      </w:r>
    </w:p>
    <w:bookmarkEnd w:id="0"/>
    <w:p w14:paraId="75077CFE" w14:textId="77777777" w:rsidR="00DA7E35" w:rsidRDefault="00DA7E35" w:rsidP="00DA7E35">
      <w:pPr>
        <w:jc w:val="center"/>
        <w:rPr>
          <w:rFonts w:ascii="Arial" w:hAnsi="Arial" w:cs="Arial"/>
          <w:b/>
          <w:bCs/>
          <w:sz w:val="36"/>
          <w:szCs w:val="36"/>
        </w:rPr>
      </w:pPr>
    </w:p>
    <w:p w14:paraId="3B5324A5" w14:textId="77777777" w:rsidR="00DA7E35" w:rsidRDefault="00DA7E35" w:rsidP="00DA7E35">
      <w:pPr>
        <w:jc w:val="center"/>
        <w:rPr>
          <w:rFonts w:ascii="Arial" w:hAnsi="Arial" w:cs="Arial"/>
          <w:b/>
          <w:bCs/>
          <w:sz w:val="36"/>
          <w:szCs w:val="36"/>
        </w:rPr>
      </w:pPr>
    </w:p>
    <w:p w14:paraId="7FB197E4" w14:textId="77777777" w:rsidR="00DA7E35" w:rsidRDefault="00DA7E35" w:rsidP="00DA7E35">
      <w:pPr>
        <w:jc w:val="center"/>
        <w:rPr>
          <w:rFonts w:ascii="Arial" w:hAnsi="Arial" w:cs="Arial"/>
          <w:b/>
          <w:bCs/>
          <w:sz w:val="36"/>
          <w:szCs w:val="36"/>
        </w:rPr>
      </w:pPr>
    </w:p>
    <w:p w14:paraId="5B1D10BE" w14:textId="77777777" w:rsidR="00DA7E35" w:rsidRDefault="00DA7E35" w:rsidP="00DA7E35">
      <w:pPr>
        <w:jc w:val="center"/>
        <w:rPr>
          <w:rFonts w:ascii="Arial" w:hAnsi="Arial" w:cs="Arial"/>
          <w:b/>
          <w:bCs/>
          <w:sz w:val="36"/>
          <w:szCs w:val="36"/>
        </w:rPr>
      </w:pPr>
    </w:p>
    <w:p w14:paraId="0518403D" w14:textId="77777777" w:rsidR="00DA7E35" w:rsidRDefault="00DA7E35" w:rsidP="00DA7E35">
      <w:pPr>
        <w:rPr>
          <w:rFonts w:ascii="Arial" w:hAnsi="Arial" w:cs="Arial"/>
          <w:b/>
          <w:bCs/>
          <w:sz w:val="36"/>
          <w:szCs w:val="36"/>
        </w:rPr>
      </w:pPr>
    </w:p>
    <w:p w14:paraId="5C222FC1" w14:textId="77777777" w:rsidR="00DA7E35" w:rsidRDefault="00DA7E35" w:rsidP="00DA7E35">
      <w:pPr>
        <w:jc w:val="center"/>
        <w:rPr>
          <w:rFonts w:ascii="Arial" w:hAnsi="Arial" w:cs="Arial"/>
          <w:b/>
          <w:bCs/>
          <w:sz w:val="24"/>
          <w:szCs w:val="24"/>
        </w:rPr>
      </w:pPr>
    </w:p>
    <w:p w14:paraId="505403C1" w14:textId="77777777" w:rsidR="00DA7E35" w:rsidRDefault="00DA7E35" w:rsidP="00DA7E35">
      <w:pPr>
        <w:jc w:val="center"/>
        <w:rPr>
          <w:rFonts w:ascii="Arial" w:hAnsi="Arial" w:cs="Arial"/>
          <w:b/>
          <w:bCs/>
          <w:sz w:val="24"/>
          <w:szCs w:val="24"/>
        </w:rPr>
      </w:pPr>
    </w:p>
    <w:p w14:paraId="0E651744" w14:textId="268ED37C" w:rsidR="00DA7E35" w:rsidRPr="00D05EFE" w:rsidRDefault="00DA7E35" w:rsidP="00DA7E35">
      <w:pPr>
        <w:jc w:val="center"/>
        <w:rPr>
          <w:rFonts w:ascii="Arial" w:hAnsi="Arial" w:cs="Arial"/>
          <w:b/>
          <w:bCs/>
          <w:sz w:val="24"/>
          <w:szCs w:val="24"/>
        </w:rPr>
      </w:pPr>
      <w:r w:rsidRPr="00D05EFE">
        <w:rPr>
          <w:rFonts w:ascii="Arial" w:hAnsi="Arial" w:cs="Arial"/>
          <w:b/>
          <w:bCs/>
          <w:sz w:val="24"/>
          <w:szCs w:val="24"/>
        </w:rPr>
        <w:t>INDICE</w:t>
      </w:r>
    </w:p>
    <w:p w14:paraId="573A3A88"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Introducción</w:t>
      </w:r>
    </w:p>
    <w:p w14:paraId="6FE46166"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TEMAS PRIORITARIOS</w:t>
      </w:r>
    </w:p>
    <w:p w14:paraId="277978C6"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1:</w:t>
      </w:r>
      <w:r w:rsidRPr="00D05EFE">
        <w:rPr>
          <w:rFonts w:ascii="Arial" w:hAnsi="Arial" w:cs="Arial"/>
          <w:b/>
          <w:bCs/>
          <w:sz w:val="24"/>
          <w:szCs w:val="24"/>
        </w:rPr>
        <w:tab/>
        <w:t xml:space="preserve">Embarazo infantil y adolescente </w:t>
      </w:r>
    </w:p>
    <w:p w14:paraId="7A1AFB00"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781C1C3E"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2:</w:t>
      </w:r>
      <w:r w:rsidRPr="00D05EFE">
        <w:rPr>
          <w:rFonts w:ascii="Arial" w:hAnsi="Arial" w:cs="Arial"/>
          <w:b/>
          <w:bCs/>
          <w:sz w:val="24"/>
          <w:szCs w:val="24"/>
        </w:rPr>
        <w:tab/>
        <w:t>Violencia contras niñas y mujeres jóvenes basada en género</w:t>
      </w:r>
    </w:p>
    <w:p w14:paraId="6974706E"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330A1A2E"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3:</w:t>
      </w:r>
      <w:r w:rsidRPr="00D05EFE">
        <w:rPr>
          <w:rFonts w:ascii="Arial" w:hAnsi="Arial" w:cs="Arial"/>
          <w:b/>
          <w:bCs/>
          <w:sz w:val="24"/>
          <w:szCs w:val="24"/>
        </w:rPr>
        <w:tab/>
        <w:t>Matrimonios y uniones infantiles tempranas forzadas</w:t>
      </w:r>
    </w:p>
    <w:p w14:paraId="259B37F8"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4EBEF617"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4:</w:t>
      </w:r>
      <w:r w:rsidRPr="00D05EFE">
        <w:rPr>
          <w:rFonts w:ascii="Arial" w:hAnsi="Arial" w:cs="Arial"/>
          <w:b/>
          <w:bCs/>
          <w:sz w:val="24"/>
          <w:szCs w:val="24"/>
        </w:rPr>
        <w:tab/>
        <w:t>Derecho a decidir sobre los cuerpos</w:t>
      </w:r>
    </w:p>
    <w:p w14:paraId="0EF3B7C3"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36DD5A6E" w14:textId="77777777" w:rsidR="00DA7E35" w:rsidRPr="00D05EFE" w:rsidRDefault="00DA7E35" w:rsidP="00DA7E35">
      <w:pPr>
        <w:rPr>
          <w:rFonts w:ascii="Arial" w:hAnsi="Arial" w:cs="Arial"/>
          <w:b/>
          <w:bCs/>
          <w:sz w:val="24"/>
          <w:szCs w:val="24"/>
        </w:rPr>
      </w:pPr>
      <w:bookmarkStart w:id="1" w:name="_Hlk70174098"/>
      <w:r w:rsidRPr="00D05EFE">
        <w:rPr>
          <w:rFonts w:ascii="Arial" w:hAnsi="Arial" w:cs="Arial"/>
          <w:b/>
          <w:bCs/>
          <w:sz w:val="24"/>
          <w:szCs w:val="24"/>
        </w:rPr>
        <w:t xml:space="preserve">Tema 5: </w:t>
      </w:r>
      <w:r w:rsidRPr="00D05EFE">
        <w:rPr>
          <w:rFonts w:ascii="Arial" w:hAnsi="Arial" w:cs="Arial"/>
          <w:b/>
          <w:bCs/>
          <w:sz w:val="24"/>
          <w:szCs w:val="24"/>
        </w:rPr>
        <w:tab/>
        <w:t>Migración y desplazamiento forzado en niñas</w:t>
      </w:r>
    </w:p>
    <w:p w14:paraId="64E2F657"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72115346"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6:</w:t>
      </w:r>
      <w:r w:rsidRPr="00D05EFE">
        <w:rPr>
          <w:rFonts w:ascii="Arial" w:hAnsi="Arial" w:cs="Arial"/>
          <w:b/>
          <w:bCs/>
          <w:sz w:val="24"/>
          <w:szCs w:val="24"/>
        </w:rPr>
        <w:tab/>
        <w:t>Covid-19 en niñas y mujeres jóvenes</w:t>
      </w:r>
    </w:p>
    <w:p w14:paraId="1DB4A54F"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36368B5C"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7:</w:t>
      </w:r>
      <w:r w:rsidRPr="00D05EFE">
        <w:rPr>
          <w:rFonts w:ascii="Arial" w:hAnsi="Arial" w:cs="Arial"/>
          <w:b/>
          <w:bCs/>
          <w:sz w:val="24"/>
          <w:szCs w:val="24"/>
        </w:rPr>
        <w:tab/>
        <w:t xml:space="preserve">Salud mental de niñas y mujeres jóvenes </w:t>
      </w:r>
    </w:p>
    <w:p w14:paraId="658D2315"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7287D496" w14:textId="77777777" w:rsidR="00DA7E35" w:rsidRPr="00D05EFE" w:rsidRDefault="00DA7E35" w:rsidP="00DA7E35">
      <w:pPr>
        <w:rPr>
          <w:rFonts w:ascii="Arial" w:hAnsi="Arial" w:cs="Arial"/>
          <w:sz w:val="24"/>
          <w:szCs w:val="24"/>
        </w:rPr>
      </w:pPr>
      <w:r w:rsidRPr="00D05EFE">
        <w:rPr>
          <w:rFonts w:ascii="Arial" w:hAnsi="Arial" w:cs="Arial"/>
          <w:b/>
          <w:bCs/>
          <w:sz w:val="24"/>
          <w:szCs w:val="24"/>
        </w:rPr>
        <w:t>Tema 8:</w:t>
      </w:r>
      <w:r w:rsidRPr="00D05EFE">
        <w:rPr>
          <w:rFonts w:ascii="Arial" w:hAnsi="Arial" w:cs="Arial"/>
          <w:sz w:val="24"/>
          <w:szCs w:val="24"/>
        </w:rPr>
        <w:tab/>
      </w:r>
      <w:r w:rsidRPr="00D05EFE">
        <w:rPr>
          <w:rFonts w:ascii="Arial" w:hAnsi="Arial" w:cs="Arial"/>
          <w:b/>
          <w:bCs/>
          <w:sz w:val="24"/>
          <w:szCs w:val="24"/>
        </w:rPr>
        <w:t>Inversión en niñas</w:t>
      </w:r>
      <w:r w:rsidRPr="00D05EFE">
        <w:rPr>
          <w:rFonts w:ascii="Arial" w:hAnsi="Arial" w:cs="Arial"/>
          <w:sz w:val="24"/>
          <w:szCs w:val="24"/>
        </w:rPr>
        <w:t xml:space="preserve"> </w:t>
      </w:r>
    </w:p>
    <w:p w14:paraId="5FF37746"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p w14:paraId="1A33B124"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9:</w:t>
      </w:r>
      <w:r w:rsidRPr="00D05EFE">
        <w:rPr>
          <w:rFonts w:ascii="Arial" w:hAnsi="Arial" w:cs="Arial"/>
          <w:b/>
          <w:bCs/>
          <w:sz w:val="24"/>
          <w:szCs w:val="24"/>
        </w:rPr>
        <w:tab/>
        <w:t xml:space="preserve">Código Penal nuevo y su repercusión en niñas y mujeres jóvenes </w:t>
      </w:r>
    </w:p>
    <w:p w14:paraId="4C1F7D75" w14:textId="77777777" w:rsidR="00DA7E35" w:rsidRPr="00D05EFE" w:rsidRDefault="00DA7E35" w:rsidP="00DA7E35">
      <w:pPr>
        <w:rPr>
          <w:rFonts w:ascii="Arial" w:hAnsi="Arial" w:cs="Arial"/>
          <w:sz w:val="24"/>
          <w:szCs w:val="24"/>
        </w:rPr>
      </w:pPr>
      <w:r w:rsidRPr="00D05EFE">
        <w:rPr>
          <w:rFonts w:ascii="Arial" w:hAnsi="Arial" w:cs="Arial"/>
          <w:sz w:val="24"/>
          <w:szCs w:val="24"/>
        </w:rPr>
        <w:t>Recomendaciones</w:t>
      </w:r>
    </w:p>
    <w:bookmarkEnd w:id="1"/>
    <w:p w14:paraId="6F1CC100" w14:textId="77777777" w:rsidR="00DA7E35" w:rsidRPr="00D05EFE" w:rsidRDefault="00DA7E35" w:rsidP="00DA7E35">
      <w:pPr>
        <w:rPr>
          <w:rFonts w:ascii="Arial" w:hAnsi="Arial" w:cs="Arial"/>
          <w:b/>
          <w:bCs/>
          <w:sz w:val="24"/>
          <w:szCs w:val="24"/>
        </w:rPr>
      </w:pPr>
    </w:p>
    <w:p w14:paraId="3D25127D" w14:textId="77777777" w:rsidR="00DA7E35" w:rsidRPr="00D05EFE" w:rsidRDefault="00DA7E35" w:rsidP="00DA7E35">
      <w:pPr>
        <w:rPr>
          <w:rFonts w:ascii="Arial" w:hAnsi="Arial" w:cs="Arial"/>
          <w:b/>
          <w:bCs/>
          <w:sz w:val="24"/>
          <w:szCs w:val="24"/>
        </w:rPr>
      </w:pPr>
    </w:p>
    <w:p w14:paraId="5243180E" w14:textId="77777777" w:rsidR="00DA7E35" w:rsidRPr="00D05EFE" w:rsidRDefault="00DA7E35" w:rsidP="00DA7E35">
      <w:pPr>
        <w:rPr>
          <w:rFonts w:ascii="Arial" w:hAnsi="Arial" w:cs="Arial"/>
          <w:b/>
          <w:bCs/>
          <w:sz w:val="24"/>
          <w:szCs w:val="24"/>
        </w:rPr>
      </w:pPr>
    </w:p>
    <w:p w14:paraId="72FEB856" w14:textId="77777777" w:rsidR="00DA7E35" w:rsidRPr="00D05EFE" w:rsidRDefault="00DA7E35" w:rsidP="00DA7E35">
      <w:pPr>
        <w:rPr>
          <w:rFonts w:ascii="Arial" w:hAnsi="Arial" w:cs="Arial"/>
          <w:b/>
          <w:bCs/>
          <w:sz w:val="24"/>
          <w:szCs w:val="24"/>
        </w:rPr>
      </w:pPr>
    </w:p>
    <w:p w14:paraId="30F2A09F" w14:textId="77777777" w:rsidR="00DA7E35" w:rsidRPr="00D05EFE" w:rsidRDefault="00DA7E35" w:rsidP="00DA7E35">
      <w:pPr>
        <w:rPr>
          <w:rFonts w:ascii="Arial" w:hAnsi="Arial" w:cs="Arial"/>
          <w:b/>
          <w:bCs/>
          <w:sz w:val="24"/>
          <w:szCs w:val="24"/>
        </w:rPr>
      </w:pPr>
    </w:p>
    <w:p w14:paraId="6708C475" w14:textId="77777777" w:rsidR="00DA7E35" w:rsidRPr="00D05EFE" w:rsidRDefault="00DA7E35" w:rsidP="00DA7E35">
      <w:pPr>
        <w:rPr>
          <w:rFonts w:ascii="Arial" w:hAnsi="Arial" w:cs="Arial"/>
          <w:b/>
          <w:bCs/>
          <w:sz w:val="24"/>
          <w:szCs w:val="24"/>
        </w:rPr>
      </w:pPr>
    </w:p>
    <w:p w14:paraId="5665AE65" w14:textId="77777777" w:rsidR="00DA7E35" w:rsidRPr="00D05EFE" w:rsidRDefault="00DA7E35" w:rsidP="00DA7E35">
      <w:pPr>
        <w:rPr>
          <w:rFonts w:ascii="Arial" w:hAnsi="Arial" w:cs="Arial"/>
          <w:b/>
          <w:bCs/>
          <w:sz w:val="24"/>
          <w:szCs w:val="24"/>
        </w:rPr>
      </w:pPr>
    </w:p>
    <w:p w14:paraId="15E03621" w14:textId="77777777" w:rsidR="00DA7E35" w:rsidRPr="00D05EFE" w:rsidRDefault="00DA7E35" w:rsidP="00DA7E35">
      <w:pPr>
        <w:rPr>
          <w:rFonts w:ascii="Arial" w:hAnsi="Arial" w:cs="Arial"/>
          <w:b/>
          <w:bCs/>
          <w:sz w:val="24"/>
          <w:szCs w:val="24"/>
        </w:rPr>
      </w:pPr>
    </w:p>
    <w:p w14:paraId="558956DF" w14:textId="77777777" w:rsidR="00DA7E35" w:rsidRDefault="00DA7E35" w:rsidP="00DA7E35">
      <w:pPr>
        <w:jc w:val="center"/>
        <w:rPr>
          <w:rFonts w:ascii="Arial" w:hAnsi="Arial" w:cs="Arial"/>
          <w:b/>
          <w:bCs/>
          <w:sz w:val="24"/>
          <w:szCs w:val="24"/>
        </w:rPr>
      </w:pPr>
    </w:p>
    <w:p w14:paraId="10D67C69" w14:textId="77777777" w:rsidR="00DA7E35" w:rsidRPr="00D05EFE" w:rsidRDefault="00DA7E35" w:rsidP="00DA7E35">
      <w:pPr>
        <w:jc w:val="center"/>
        <w:rPr>
          <w:rFonts w:ascii="Arial" w:hAnsi="Arial" w:cs="Arial"/>
          <w:b/>
          <w:bCs/>
          <w:sz w:val="24"/>
          <w:szCs w:val="24"/>
        </w:rPr>
      </w:pPr>
      <w:r w:rsidRPr="00D05EFE">
        <w:rPr>
          <w:rFonts w:ascii="Arial" w:hAnsi="Arial" w:cs="Arial"/>
          <w:b/>
          <w:bCs/>
          <w:sz w:val="24"/>
          <w:szCs w:val="24"/>
        </w:rPr>
        <w:t>INTRODUCCION</w:t>
      </w:r>
    </w:p>
    <w:p w14:paraId="0F6F81FE" w14:textId="77777777" w:rsidR="00DA7E35" w:rsidRPr="00D05EFE" w:rsidRDefault="00DA7E35" w:rsidP="00DA7E35">
      <w:pPr>
        <w:spacing w:line="276" w:lineRule="auto"/>
        <w:jc w:val="both"/>
        <w:rPr>
          <w:rFonts w:ascii="Arial" w:hAnsi="Arial" w:cs="Arial"/>
          <w:sz w:val="24"/>
          <w:szCs w:val="24"/>
        </w:rPr>
      </w:pPr>
      <w:r>
        <w:rPr>
          <w:rFonts w:ascii="Arial" w:hAnsi="Arial" w:cs="Arial"/>
          <w:sz w:val="24"/>
          <w:szCs w:val="24"/>
        </w:rPr>
        <w:t>E</w:t>
      </w:r>
      <w:r w:rsidRPr="00D05EFE">
        <w:rPr>
          <w:rFonts w:ascii="Arial" w:hAnsi="Arial" w:cs="Arial"/>
          <w:sz w:val="24"/>
          <w:szCs w:val="24"/>
        </w:rPr>
        <w:t>n 2019, Honduras contaba con una población de 9,151,940 personas</w:t>
      </w:r>
      <w:r>
        <w:rPr>
          <w:rStyle w:val="FootnoteReference"/>
          <w:rFonts w:ascii="Arial" w:hAnsi="Arial" w:cs="Arial"/>
          <w:sz w:val="24"/>
          <w:szCs w:val="24"/>
        </w:rPr>
        <w:footnoteReference w:id="1"/>
      </w:r>
      <w:r w:rsidRPr="00D05EFE">
        <w:rPr>
          <w:rFonts w:ascii="Arial" w:hAnsi="Arial" w:cs="Arial"/>
          <w:sz w:val="24"/>
          <w:szCs w:val="24"/>
        </w:rPr>
        <w:t xml:space="preserve">, donde el 51.7% </w:t>
      </w:r>
      <w:r>
        <w:rPr>
          <w:rFonts w:ascii="Arial" w:hAnsi="Arial" w:cs="Arial"/>
          <w:sz w:val="24"/>
          <w:szCs w:val="24"/>
        </w:rPr>
        <w:t>era</w:t>
      </w:r>
      <w:r w:rsidRPr="00D05EFE">
        <w:rPr>
          <w:rFonts w:ascii="Arial" w:hAnsi="Arial" w:cs="Arial"/>
          <w:sz w:val="24"/>
          <w:szCs w:val="24"/>
        </w:rPr>
        <w:t>n mujeres</w:t>
      </w:r>
      <w:r>
        <w:rPr>
          <w:rFonts w:ascii="Arial" w:hAnsi="Arial" w:cs="Arial"/>
          <w:sz w:val="24"/>
          <w:szCs w:val="24"/>
        </w:rPr>
        <w:t xml:space="preserve"> y el</w:t>
      </w:r>
      <w:r w:rsidRPr="00D05EFE">
        <w:rPr>
          <w:rFonts w:ascii="Arial" w:hAnsi="Arial" w:cs="Arial"/>
          <w:sz w:val="24"/>
          <w:szCs w:val="24"/>
        </w:rPr>
        <w:t xml:space="preserve"> 39.4% menores de 18 años</w:t>
      </w:r>
      <w:r>
        <w:rPr>
          <w:rFonts w:ascii="Arial" w:hAnsi="Arial" w:cs="Arial"/>
          <w:sz w:val="24"/>
          <w:szCs w:val="24"/>
        </w:rPr>
        <w:t>,</w:t>
      </w:r>
      <w:r w:rsidRPr="00D05EFE">
        <w:rPr>
          <w:rFonts w:ascii="Arial" w:hAnsi="Arial" w:cs="Arial"/>
          <w:sz w:val="24"/>
          <w:szCs w:val="24"/>
        </w:rPr>
        <w:t xml:space="preserve"> de ell</w:t>
      </w:r>
      <w:r>
        <w:rPr>
          <w:rFonts w:ascii="Arial" w:hAnsi="Arial" w:cs="Arial"/>
          <w:sz w:val="24"/>
          <w:szCs w:val="24"/>
        </w:rPr>
        <w:t>o</w:t>
      </w:r>
      <w:r w:rsidRPr="00D05EFE">
        <w:rPr>
          <w:rFonts w:ascii="Arial" w:hAnsi="Arial" w:cs="Arial"/>
          <w:sz w:val="24"/>
          <w:szCs w:val="24"/>
        </w:rPr>
        <w:t xml:space="preserve">s 49.6%, </w:t>
      </w:r>
      <w:r>
        <w:rPr>
          <w:rFonts w:ascii="Arial" w:hAnsi="Arial" w:cs="Arial"/>
          <w:sz w:val="24"/>
          <w:szCs w:val="24"/>
        </w:rPr>
        <w:t>era</w:t>
      </w:r>
      <w:r w:rsidRPr="00D05EFE">
        <w:rPr>
          <w:rFonts w:ascii="Arial" w:hAnsi="Arial" w:cs="Arial"/>
          <w:sz w:val="24"/>
          <w:szCs w:val="24"/>
        </w:rPr>
        <w:t>n niñas</w:t>
      </w:r>
      <w:r w:rsidRPr="00D05EFE">
        <w:rPr>
          <w:rStyle w:val="FootnoteReference"/>
          <w:rFonts w:ascii="Arial" w:hAnsi="Arial" w:cs="Arial"/>
          <w:sz w:val="24"/>
          <w:szCs w:val="24"/>
        </w:rPr>
        <w:footnoteReference w:id="2"/>
      </w:r>
      <w:r w:rsidRPr="00D05EFE">
        <w:rPr>
          <w:rFonts w:ascii="Arial" w:hAnsi="Arial" w:cs="Arial"/>
          <w:sz w:val="24"/>
          <w:szCs w:val="24"/>
        </w:rPr>
        <w:t>. En 2021 se estima que la población es de 10.1 millones de personas donde el 30.1% oscila entre 0 a 14 años de edad</w:t>
      </w:r>
      <w:r w:rsidRPr="00D05EFE">
        <w:rPr>
          <w:rStyle w:val="FootnoteReference"/>
          <w:rFonts w:ascii="Arial" w:hAnsi="Arial" w:cs="Arial"/>
          <w:sz w:val="24"/>
          <w:szCs w:val="24"/>
        </w:rPr>
        <w:footnoteReference w:id="3"/>
      </w:r>
      <w:r w:rsidRPr="00D05EFE">
        <w:rPr>
          <w:rFonts w:ascii="Arial" w:hAnsi="Arial" w:cs="Arial"/>
          <w:sz w:val="24"/>
          <w:szCs w:val="24"/>
        </w:rPr>
        <w:t>.</w:t>
      </w:r>
    </w:p>
    <w:p w14:paraId="43DAA971" w14:textId="77777777" w:rsidR="00DA7E35" w:rsidRPr="00D05EFE" w:rsidRDefault="00DA7E35" w:rsidP="00DA7E35">
      <w:pPr>
        <w:spacing w:line="276" w:lineRule="auto"/>
        <w:jc w:val="both"/>
        <w:rPr>
          <w:rFonts w:ascii="Arial" w:hAnsi="Arial" w:cs="Arial"/>
          <w:sz w:val="24"/>
          <w:szCs w:val="24"/>
        </w:rPr>
      </w:pPr>
      <w:r>
        <w:rPr>
          <w:rFonts w:ascii="Arial" w:hAnsi="Arial" w:cs="Arial"/>
          <w:sz w:val="24"/>
          <w:szCs w:val="24"/>
        </w:rPr>
        <w:t>Para</w:t>
      </w:r>
      <w:r w:rsidRPr="00D05EFE">
        <w:rPr>
          <w:rFonts w:ascii="Arial" w:hAnsi="Arial" w:cs="Arial"/>
          <w:sz w:val="24"/>
          <w:szCs w:val="24"/>
        </w:rPr>
        <w:t xml:space="preserve"> 2020, las cifras oficiales mencionan que el 48.3% de la población vive en situación de pobreza y el 22.9% en pobreza extrema; si bien, los datos muestran una disminución del 20% entre 2017</w:t>
      </w:r>
      <w:r w:rsidRPr="00D05EFE">
        <w:rPr>
          <w:rStyle w:val="FootnoteReference"/>
          <w:rFonts w:ascii="Arial" w:hAnsi="Arial" w:cs="Arial"/>
          <w:sz w:val="24"/>
          <w:szCs w:val="24"/>
        </w:rPr>
        <w:footnoteReference w:id="4"/>
      </w:r>
      <w:r w:rsidRPr="00D05EFE">
        <w:rPr>
          <w:rFonts w:ascii="Arial" w:hAnsi="Arial" w:cs="Arial"/>
          <w:sz w:val="24"/>
          <w:szCs w:val="24"/>
        </w:rPr>
        <w:t xml:space="preserve"> e inicios del 2020</w:t>
      </w:r>
      <w:r>
        <w:rPr>
          <w:rFonts w:ascii="Arial" w:hAnsi="Arial" w:cs="Arial"/>
          <w:sz w:val="24"/>
          <w:szCs w:val="24"/>
        </w:rPr>
        <w:t>,</w:t>
      </w:r>
      <w:r w:rsidRPr="00D05EFE">
        <w:rPr>
          <w:rFonts w:ascii="Arial" w:hAnsi="Arial" w:cs="Arial"/>
          <w:sz w:val="24"/>
          <w:szCs w:val="24"/>
        </w:rPr>
        <w:t xml:space="preserve"> no responden a que el número de personas pobres en Honduras haya bajado o tengan mejor nivel de vida, sino a que la fórmula </w:t>
      </w:r>
      <w:r>
        <w:rPr>
          <w:rFonts w:ascii="Arial" w:hAnsi="Arial" w:cs="Arial"/>
          <w:sz w:val="24"/>
          <w:szCs w:val="24"/>
        </w:rPr>
        <w:t>de medición de</w:t>
      </w:r>
      <w:r w:rsidRPr="00D05EFE">
        <w:rPr>
          <w:rFonts w:ascii="Arial" w:hAnsi="Arial" w:cs="Arial"/>
          <w:sz w:val="24"/>
          <w:szCs w:val="24"/>
        </w:rPr>
        <w:t xml:space="preserve"> la pobreza ha sido modificada</w:t>
      </w:r>
      <w:r w:rsidRPr="00D05EFE">
        <w:rPr>
          <w:rStyle w:val="FootnoteReference"/>
          <w:rFonts w:ascii="Arial" w:hAnsi="Arial" w:cs="Arial"/>
          <w:sz w:val="24"/>
          <w:szCs w:val="24"/>
        </w:rPr>
        <w:footnoteReference w:id="5"/>
      </w:r>
      <w:r w:rsidRPr="00D05EFE">
        <w:rPr>
          <w:rFonts w:ascii="Arial" w:hAnsi="Arial" w:cs="Arial"/>
          <w:sz w:val="24"/>
          <w:szCs w:val="24"/>
        </w:rPr>
        <w:t>.</w:t>
      </w:r>
    </w:p>
    <w:p w14:paraId="36A3286C" w14:textId="77777777" w:rsidR="00DA7E35" w:rsidRPr="00D05EFE" w:rsidRDefault="00DA7E35" w:rsidP="00DA7E35">
      <w:pPr>
        <w:spacing w:line="276" w:lineRule="auto"/>
        <w:jc w:val="both"/>
        <w:rPr>
          <w:rFonts w:ascii="Arial" w:hAnsi="Arial" w:cs="Arial"/>
          <w:sz w:val="24"/>
          <w:szCs w:val="24"/>
        </w:rPr>
      </w:pPr>
      <w:r w:rsidRPr="00D05EFE">
        <w:rPr>
          <w:rFonts w:ascii="Arial" w:hAnsi="Arial" w:cs="Arial"/>
          <w:sz w:val="24"/>
          <w:szCs w:val="24"/>
        </w:rPr>
        <w:t xml:space="preserve">De acuerdo a la CEPAL </w:t>
      </w:r>
      <w:r>
        <w:rPr>
          <w:rFonts w:ascii="Arial" w:hAnsi="Arial" w:cs="Arial"/>
          <w:sz w:val="24"/>
          <w:szCs w:val="24"/>
        </w:rPr>
        <w:t>(</w:t>
      </w:r>
      <w:r w:rsidRPr="00D05EFE">
        <w:rPr>
          <w:rFonts w:ascii="Arial" w:hAnsi="Arial" w:cs="Arial"/>
          <w:sz w:val="24"/>
          <w:szCs w:val="24"/>
        </w:rPr>
        <w:t>2018</w:t>
      </w:r>
      <w:r>
        <w:rPr>
          <w:rFonts w:ascii="Arial" w:hAnsi="Arial" w:cs="Arial"/>
          <w:sz w:val="24"/>
          <w:szCs w:val="24"/>
        </w:rPr>
        <w:t>)</w:t>
      </w:r>
      <w:r w:rsidRPr="00D05EFE">
        <w:rPr>
          <w:rFonts w:ascii="Arial" w:hAnsi="Arial" w:cs="Arial"/>
          <w:sz w:val="24"/>
          <w:szCs w:val="24"/>
        </w:rPr>
        <w:t xml:space="preserve">, </w:t>
      </w:r>
      <w:r>
        <w:rPr>
          <w:rFonts w:ascii="Arial" w:hAnsi="Arial" w:cs="Arial"/>
          <w:sz w:val="24"/>
          <w:szCs w:val="24"/>
        </w:rPr>
        <w:t xml:space="preserve">el porcentaje de mujeres que </w:t>
      </w:r>
      <w:r w:rsidRPr="00D05EFE">
        <w:rPr>
          <w:rFonts w:ascii="Arial" w:hAnsi="Arial" w:cs="Arial"/>
          <w:sz w:val="24"/>
          <w:szCs w:val="24"/>
        </w:rPr>
        <w:t>no c</w:t>
      </w:r>
      <w:r>
        <w:rPr>
          <w:rFonts w:ascii="Arial" w:hAnsi="Arial" w:cs="Arial"/>
          <w:sz w:val="24"/>
          <w:szCs w:val="24"/>
        </w:rPr>
        <w:t>uent</w:t>
      </w:r>
      <w:r w:rsidRPr="00D05EFE">
        <w:rPr>
          <w:rFonts w:ascii="Arial" w:hAnsi="Arial" w:cs="Arial"/>
          <w:sz w:val="24"/>
          <w:szCs w:val="24"/>
        </w:rPr>
        <w:t>a con ingresos propios a nivel rural e</w:t>
      </w:r>
      <w:r>
        <w:rPr>
          <w:rFonts w:ascii="Arial" w:hAnsi="Arial" w:cs="Arial"/>
          <w:sz w:val="24"/>
          <w:szCs w:val="24"/>
        </w:rPr>
        <w:t>ra del</w:t>
      </w:r>
      <w:r w:rsidRPr="00D05EFE">
        <w:rPr>
          <w:rFonts w:ascii="Arial" w:hAnsi="Arial" w:cs="Arial"/>
          <w:sz w:val="24"/>
          <w:szCs w:val="24"/>
        </w:rPr>
        <w:t xml:space="preserve"> 44% </w:t>
      </w:r>
      <w:r>
        <w:rPr>
          <w:rFonts w:ascii="Arial" w:hAnsi="Arial" w:cs="Arial"/>
          <w:sz w:val="24"/>
          <w:szCs w:val="24"/>
        </w:rPr>
        <w:t>y</w:t>
      </w:r>
      <w:r w:rsidRPr="00D05EFE">
        <w:rPr>
          <w:rFonts w:ascii="Arial" w:hAnsi="Arial" w:cs="Arial"/>
          <w:sz w:val="24"/>
          <w:szCs w:val="24"/>
        </w:rPr>
        <w:t xml:space="preserve"> a nivel urbano de</w:t>
      </w:r>
      <w:r>
        <w:rPr>
          <w:rFonts w:ascii="Arial" w:hAnsi="Arial" w:cs="Arial"/>
          <w:sz w:val="24"/>
          <w:szCs w:val="24"/>
        </w:rPr>
        <w:t>l</w:t>
      </w:r>
      <w:r w:rsidRPr="00D05EFE">
        <w:rPr>
          <w:rFonts w:ascii="Arial" w:hAnsi="Arial" w:cs="Arial"/>
          <w:sz w:val="24"/>
          <w:szCs w:val="24"/>
        </w:rPr>
        <w:t xml:space="preserve"> 30.4%. El 59.8% de niños y niñas en Honduras viven en condiciones de pobreza multidimensional</w:t>
      </w:r>
      <w:r>
        <w:rPr>
          <w:rStyle w:val="FootnoteReference"/>
          <w:rFonts w:ascii="Arial" w:hAnsi="Arial" w:cs="Arial"/>
          <w:sz w:val="24"/>
          <w:szCs w:val="24"/>
        </w:rPr>
        <w:footnoteReference w:id="6"/>
      </w:r>
      <w:r w:rsidRPr="00D05EFE">
        <w:rPr>
          <w:rFonts w:ascii="Arial" w:hAnsi="Arial" w:cs="Arial"/>
          <w:sz w:val="24"/>
          <w:szCs w:val="24"/>
        </w:rPr>
        <w:t xml:space="preserve">; un 59.1% </w:t>
      </w:r>
      <w:r>
        <w:rPr>
          <w:rFonts w:ascii="Arial" w:hAnsi="Arial" w:cs="Arial"/>
          <w:sz w:val="24"/>
          <w:szCs w:val="24"/>
        </w:rPr>
        <w:t>de niñas vive</w:t>
      </w:r>
      <w:r w:rsidRPr="00D05EFE">
        <w:rPr>
          <w:rFonts w:ascii="Arial" w:hAnsi="Arial" w:cs="Arial"/>
          <w:sz w:val="24"/>
          <w:szCs w:val="24"/>
        </w:rPr>
        <w:t xml:space="preserve"> en pobreza</w:t>
      </w:r>
      <w:r w:rsidRPr="00D05EFE">
        <w:rPr>
          <w:rStyle w:val="FootnoteReference"/>
          <w:rFonts w:ascii="Arial" w:hAnsi="Arial" w:cs="Arial"/>
          <w:sz w:val="24"/>
          <w:szCs w:val="24"/>
        </w:rPr>
        <w:footnoteReference w:id="7"/>
      </w:r>
      <w:r w:rsidRPr="00D05EFE">
        <w:rPr>
          <w:rFonts w:ascii="Arial" w:hAnsi="Arial" w:cs="Arial"/>
          <w:sz w:val="24"/>
          <w:szCs w:val="24"/>
        </w:rPr>
        <w:t>.</w:t>
      </w:r>
    </w:p>
    <w:p w14:paraId="2C527EF1" w14:textId="77777777" w:rsidR="00DA7E35" w:rsidRPr="00D05EFE" w:rsidRDefault="00DA7E35" w:rsidP="00DA7E35">
      <w:pPr>
        <w:spacing w:line="276" w:lineRule="auto"/>
        <w:jc w:val="both"/>
        <w:rPr>
          <w:rFonts w:ascii="Arial" w:eastAsia="Times New Roman" w:hAnsi="Arial" w:cs="Arial"/>
          <w:sz w:val="24"/>
          <w:szCs w:val="24"/>
          <w:lang w:eastAsia="es-HN"/>
        </w:rPr>
      </w:pPr>
      <w:r w:rsidRPr="00D05EFE">
        <w:rPr>
          <w:rFonts w:ascii="Arial" w:eastAsia="Times New Roman" w:hAnsi="Arial" w:cs="Arial"/>
          <w:sz w:val="24"/>
          <w:szCs w:val="24"/>
          <w:lang w:eastAsia="es-HN"/>
        </w:rPr>
        <w:t>Honduras entró en confinamiento por COVID-19 el 15 de marzo de 2020, al 2 de mayo de 2021</w:t>
      </w:r>
      <w:r>
        <w:rPr>
          <w:rFonts w:ascii="Arial" w:eastAsia="Times New Roman" w:hAnsi="Arial" w:cs="Arial"/>
          <w:sz w:val="24"/>
          <w:szCs w:val="24"/>
          <w:lang w:eastAsia="es-HN"/>
        </w:rPr>
        <w:t>,</w:t>
      </w:r>
      <w:r w:rsidRPr="00D05EFE">
        <w:rPr>
          <w:rFonts w:ascii="Arial" w:eastAsia="Times New Roman" w:hAnsi="Arial" w:cs="Arial"/>
          <w:sz w:val="24"/>
          <w:szCs w:val="24"/>
          <w:lang w:eastAsia="es-HN"/>
        </w:rPr>
        <w:t xml:space="preserve"> exist</w:t>
      </w:r>
      <w:r>
        <w:rPr>
          <w:rFonts w:ascii="Arial" w:eastAsia="Times New Roman" w:hAnsi="Arial" w:cs="Arial"/>
          <w:sz w:val="24"/>
          <w:szCs w:val="24"/>
          <w:lang w:eastAsia="es-HN"/>
        </w:rPr>
        <w:t>ía</w:t>
      </w:r>
      <w:r w:rsidRPr="00D05EFE">
        <w:rPr>
          <w:rFonts w:ascii="Arial" w:eastAsia="Times New Roman" w:hAnsi="Arial" w:cs="Arial"/>
          <w:sz w:val="24"/>
          <w:szCs w:val="24"/>
          <w:lang w:eastAsia="es-HN"/>
        </w:rPr>
        <w:t>n 211</w:t>
      </w:r>
      <w:r>
        <w:rPr>
          <w:rFonts w:ascii="Arial" w:eastAsia="Times New Roman" w:hAnsi="Arial" w:cs="Arial"/>
          <w:sz w:val="24"/>
          <w:szCs w:val="24"/>
          <w:lang w:eastAsia="es-HN"/>
        </w:rPr>
        <w:t>,</w:t>
      </w:r>
      <w:r w:rsidRPr="00D05EFE">
        <w:rPr>
          <w:rFonts w:ascii="Arial" w:eastAsia="Times New Roman" w:hAnsi="Arial" w:cs="Arial"/>
          <w:sz w:val="24"/>
          <w:szCs w:val="24"/>
          <w:lang w:eastAsia="es-HN"/>
        </w:rPr>
        <w:t xml:space="preserve">076 casos de personas con diagnóstico positivo </w:t>
      </w:r>
      <w:r>
        <w:rPr>
          <w:rFonts w:ascii="Arial" w:eastAsia="Times New Roman" w:hAnsi="Arial" w:cs="Arial"/>
          <w:sz w:val="24"/>
          <w:szCs w:val="24"/>
          <w:lang w:eastAsia="es-HN"/>
        </w:rPr>
        <w:t>y</w:t>
      </w:r>
      <w:r w:rsidRPr="00D05EFE">
        <w:rPr>
          <w:rFonts w:ascii="Arial" w:eastAsia="Times New Roman" w:hAnsi="Arial" w:cs="Arial"/>
          <w:sz w:val="24"/>
          <w:szCs w:val="24"/>
          <w:lang w:eastAsia="es-HN"/>
        </w:rPr>
        <w:t xml:space="preserve"> 5,261 muertes reportadas</w:t>
      </w:r>
      <w:r>
        <w:rPr>
          <w:rFonts w:ascii="Arial" w:eastAsia="Times New Roman" w:hAnsi="Arial" w:cs="Arial"/>
          <w:sz w:val="24"/>
          <w:szCs w:val="24"/>
          <w:lang w:eastAsia="es-HN"/>
        </w:rPr>
        <w:t>.</w:t>
      </w:r>
      <w:r w:rsidRPr="00D05EFE">
        <w:rPr>
          <w:rFonts w:ascii="Arial" w:eastAsia="Times New Roman" w:hAnsi="Arial" w:cs="Arial"/>
          <w:sz w:val="24"/>
          <w:szCs w:val="24"/>
          <w:lang w:eastAsia="es-HN"/>
        </w:rPr>
        <w:t xml:space="preserve"> </w:t>
      </w:r>
      <w:r>
        <w:rPr>
          <w:rFonts w:ascii="Arial" w:eastAsia="Times New Roman" w:hAnsi="Arial" w:cs="Arial"/>
          <w:sz w:val="24"/>
          <w:szCs w:val="24"/>
          <w:lang w:eastAsia="es-HN"/>
        </w:rPr>
        <w:t>L</w:t>
      </w:r>
      <w:r w:rsidRPr="00D05EFE">
        <w:rPr>
          <w:rFonts w:ascii="Arial" w:eastAsia="Times New Roman" w:hAnsi="Arial" w:cs="Arial"/>
          <w:sz w:val="24"/>
          <w:szCs w:val="24"/>
          <w:lang w:eastAsia="es-HN"/>
        </w:rPr>
        <w:t>as restricciones y medidas tomadas para la atención a personas co</w:t>
      </w:r>
      <w:r>
        <w:rPr>
          <w:rFonts w:ascii="Arial" w:eastAsia="Times New Roman" w:hAnsi="Arial" w:cs="Arial"/>
          <w:sz w:val="24"/>
          <w:szCs w:val="24"/>
          <w:lang w:eastAsia="es-HN"/>
        </w:rPr>
        <w:t>n</w:t>
      </w:r>
      <w:r w:rsidRPr="00D05EFE">
        <w:rPr>
          <w:rFonts w:ascii="Arial" w:eastAsia="Times New Roman" w:hAnsi="Arial" w:cs="Arial"/>
          <w:sz w:val="24"/>
          <w:szCs w:val="24"/>
          <w:lang w:eastAsia="es-HN"/>
        </w:rPr>
        <w:t xml:space="preserve"> COVID-19 han afectado la atención de servicios de salud sexual y reproductiva</w:t>
      </w:r>
      <w:r>
        <w:rPr>
          <w:rFonts w:ascii="Arial" w:eastAsia="Times New Roman" w:hAnsi="Arial" w:cs="Arial"/>
          <w:sz w:val="24"/>
          <w:szCs w:val="24"/>
          <w:lang w:eastAsia="es-HN"/>
        </w:rPr>
        <w:t xml:space="preserve"> (SSR)</w:t>
      </w:r>
      <w:r w:rsidRPr="00D05EFE">
        <w:rPr>
          <w:rFonts w:ascii="Arial" w:eastAsia="Times New Roman" w:hAnsi="Arial" w:cs="Arial"/>
          <w:sz w:val="24"/>
          <w:szCs w:val="24"/>
          <w:lang w:eastAsia="es-HN"/>
        </w:rPr>
        <w:t>, violencia basada en género</w:t>
      </w:r>
      <w:r>
        <w:rPr>
          <w:rFonts w:ascii="Arial" w:eastAsia="Times New Roman" w:hAnsi="Arial" w:cs="Arial"/>
          <w:sz w:val="24"/>
          <w:szCs w:val="24"/>
          <w:lang w:eastAsia="es-HN"/>
        </w:rPr>
        <w:t xml:space="preserve"> (VBG)</w:t>
      </w:r>
      <w:r w:rsidRPr="00D05EFE">
        <w:rPr>
          <w:rFonts w:ascii="Arial" w:eastAsia="Times New Roman" w:hAnsi="Arial" w:cs="Arial"/>
          <w:sz w:val="24"/>
          <w:szCs w:val="24"/>
          <w:lang w:eastAsia="es-HN"/>
        </w:rPr>
        <w:t xml:space="preserve"> y otros</w:t>
      </w:r>
      <w:r>
        <w:rPr>
          <w:rFonts w:ascii="Arial" w:eastAsia="Times New Roman" w:hAnsi="Arial" w:cs="Arial"/>
          <w:sz w:val="24"/>
          <w:szCs w:val="24"/>
          <w:lang w:eastAsia="es-HN"/>
        </w:rPr>
        <w:t>,</w:t>
      </w:r>
      <w:r w:rsidRPr="00D05EFE">
        <w:rPr>
          <w:rFonts w:ascii="Arial" w:eastAsia="Times New Roman" w:hAnsi="Arial" w:cs="Arial"/>
          <w:sz w:val="24"/>
          <w:szCs w:val="24"/>
          <w:lang w:eastAsia="es-HN"/>
        </w:rPr>
        <w:t xml:space="preserve"> que impactan directamente sobre las niñas y mujeres jóvenes en Honduras. </w:t>
      </w:r>
    </w:p>
    <w:p w14:paraId="73DCB6DE" w14:textId="77777777" w:rsidR="00DA7E35" w:rsidRPr="00D05EFE" w:rsidRDefault="00DA7E35" w:rsidP="00DA7E35">
      <w:pPr>
        <w:spacing w:line="276" w:lineRule="auto"/>
        <w:jc w:val="both"/>
        <w:rPr>
          <w:rFonts w:ascii="Arial" w:eastAsia="Times New Roman" w:hAnsi="Arial" w:cs="Arial"/>
          <w:sz w:val="24"/>
          <w:szCs w:val="24"/>
          <w:lang w:eastAsia="es-HN"/>
        </w:rPr>
      </w:pPr>
    </w:p>
    <w:p w14:paraId="75606240" w14:textId="77777777" w:rsidR="00DA7E35" w:rsidRPr="00D05EFE" w:rsidRDefault="00DA7E35" w:rsidP="00DA7E35">
      <w:pPr>
        <w:jc w:val="both"/>
        <w:rPr>
          <w:rFonts w:ascii="Arial" w:eastAsia="Times New Roman" w:hAnsi="Arial" w:cs="Arial"/>
          <w:sz w:val="24"/>
          <w:szCs w:val="24"/>
          <w:lang w:eastAsia="es-HN"/>
        </w:rPr>
      </w:pPr>
    </w:p>
    <w:p w14:paraId="0DA617FB" w14:textId="77777777" w:rsidR="00DA7E35" w:rsidRPr="00D05EFE" w:rsidRDefault="00DA7E35" w:rsidP="00DA7E35">
      <w:pPr>
        <w:jc w:val="both"/>
        <w:rPr>
          <w:rFonts w:ascii="Arial" w:eastAsia="Times New Roman" w:hAnsi="Arial" w:cs="Arial"/>
          <w:sz w:val="24"/>
          <w:szCs w:val="24"/>
          <w:lang w:eastAsia="es-HN"/>
        </w:rPr>
      </w:pPr>
    </w:p>
    <w:p w14:paraId="37F2ACDC" w14:textId="77777777" w:rsidR="00DA7E35" w:rsidRPr="00D05EFE" w:rsidRDefault="00DA7E35" w:rsidP="00DA7E35">
      <w:pPr>
        <w:jc w:val="both"/>
        <w:rPr>
          <w:rFonts w:ascii="Arial" w:eastAsia="Times New Roman" w:hAnsi="Arial" w:cs="Arial"/>
          <w:b/>
          <w:bCs/>
          <w:sz w:val="24"/>
          <w:szCs w:val="24"/>
          <w:lang w:eastAsia="es-HN"/>
        </w:rPr>
      </w:pPr>
    </w:p>
    <w:p w14:paraId="73DE41FF" w14:textId="77777777" w:rsidR="00DA7E35" w:rsidRDefault="00DA7E35" w:rsidP="00DA7E35">
      <w:pPr>
        <w:jc w:val="both"/>
        <w:rPr>
          <w:rFonts w:ascii="Arial" w:hAnsi="Arial" w:cs="Arial"/>
          <w:sz w:val="24"/>
          <w:szCs w:val="24"/>
        </w:rPr>
      </w:pPr>
    </w:p>
    <w:p w14:paraId="3096B7D1" w14:textId="77777777" w:rsidR="00DA7E35" w:rsidRPr="00D05EFE" w:rsidRDefault="00DA7E35" w:rsidP="00DA7E35">
      <w:pPr>
        <w:jc w:val="both"/>
        <w:rPr>
          <w:rFonts w:ascii="Arial" w:hAnsi="Arial" w:cs="Arial"/>
          <w:sz w:val="24"/>
          <w:szCs w:val="24"/>
        </w:rPr>
      </w:pPr>
    </w:p>
    <w:p w14:paraId="2116A139"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TEMAS PRIORITARIOS</w:t>
      </w:r>
    </w:p>
    <w:p w14:paraId="7C33C871"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Tema 1: Embarazos adolescentes</w:t>
      </w:r>
    </w:p>
    <w:p w14:paraId="699D94DA"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Durante 2019 en Honduras, se atendieron 26,969 partos en niñas y adolescentes de 10 a 19 años, con un promedio de 74 partos por día</w:t>
      </w:r>
      <w:r>
        <w:rPr>
          <w:rStyle w:val="FootnoteReference"/>
          <w:rFonts w:ascii="Arial" w:hAnsi="Arial" w:cs="Arial"/>
          <w:sz w:val="24"/>
          <w:szCs w:val="24"/>
        </w:rPr>
        <w:footnoteReference w:id="8"/>
      </w:r>
      <w:r w:rsidRPr="00D05EFE">
        <w:rPr>
          <w:rFonts w:ascii="Arial" w:hAnsi="Arial" w:cs="Arial"/>
          <w:sz w:val="24"/>
          <w:szCs w:val="24"/>
        </w:rPr>
        <w:t>. Solo en niñas de 10 a 14 años, se registraron 824 casos</w:t>
      </w:r>
      <w:r w:rsidRPr="00D05EFE">
        <w:rPr>
          <w:rStyle w:val="FootnoteReference"/>
          <w:rFonts w:ascii="Arial" w:hAnsi="Arial" w:cs="Arial"/>
          <w:sz w:val="24"/>
          <w:szCs w:val="24"/>
        </w:rPr>
        <w:footnoteReference w:id="9"/>
      </w:r>
      <w:r w:rsidRPr="00D05EFE">
        <w:rPr>
          <w:rFonts w:ascii="Arial" w:hAnsi="Arial" w:cs="Arial"/>
          <w:sz w:val="24"/>
          <w:szCs w:val="24"/>
        </w:rPr>
        <w:t>.</w:t>
      </w:r>
    </w:p>
    <w:p w14:paraId="5D646E7F" w14:textId="77777777" w:rsidR="00DA7E35" w:rsidRPr="002B2014" w:rsidRDefault="00DA7E35" w:rsidP="00DA7E35">
      <w:pPr>
        <w:pStyle w:val="ListParagraph"/>
        <w:numPr>
          <w:ilvl w:val="0"/>
          <w:numId w:val="1"/>
        </w:numPr>
        <w:spacing w:line="276" w:lineRule="auto"/>
        <w:jc w:val="both"/>
        <w:rPr>
          <w:rFonts w:ascii="Arial" w:hAnsi="Arial" w:cs="Arial"/>
          <w:sz w:val="24"/>
          <w:szCs w:val="24"/>
        </w:rPr>
      </w:pPr>
      <w:r w:rsidRPr="002B2014">
        <w:rPr>
          <w:rFonts w:ascii="Arial" w:hAnsi="Arial" w:cs="Arial"/>
          <w:sz w:val="24"/>
          <w:szCs w:val="24"/>
        </w:rPr>
        <w:t>Entre 2003 y 2018, la tasa de natalidad en adolescentes de 15 a 19 años era de 89 partos por cada 1000</w:t>
      </w:r>
      <w:r>
        <w:rPr>
          <w:rFonts w:ascii="Arial" w:hAnsi="Arial" w:cs="Arial"/>
          <w:sz w:val="24"/>
          <w:szCs w:val="24"/>
        </w:rPr>
        <w:t xml:space="preserve"> habitantes</w:t>
      </w:r>
      <w:r w:rsidRPr="002B2014">
        <w:rPr>
          <w:rStyle w:val="FootnoteReference"/>
          <w:rFonts w:ascii="Arial" w:hAnsi="Arial" w:cs="Arial"/>
          <w:sz w:val="24"/>
          <w:szCs w:val="24"/>
        </w:rPr>
        <w:footnoteReference w:id="10"/>
      </w:r>
      <w:r w:rsidRPr="002B2014">
        <w:rPr>
          <w:rFonts w:ascii="Arial" w:hAnsi="Arial" w:cs="Arial"/>
          <w:sz w:val="24"/>
          <w:szCs w:val="24"/>
        </w:rPr>
        <w:t>.</w:t>
      </w:r>
    </w:p>
    <w:p w14:paraId="70EFEF47"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El parto de una menor de 14 años se considera producto de una violación aun cuando </w:t>
      </w:r>
      <w:r>
        <w:rPr>
          <w:rFonts w:ascii="Arial" w:hAnsi="Arial" w:cs="Arial"/>
          <w:sz w:val="24"/>
          <w:szCs w:val="24"/>
        </w:rPr>
        <w:t>haya mediado</w:t>
      </w:r>
      <w:r w:rsidRPr="00D05EFE">
        <w:rPr>
          <w:rFonts w:ascii="Arial" w:hAnsi="Arial" w:cs="Arial"/>
          <w:sz w:val="24"/>
          <w:szCs w:val="24"/>
        </w:rPr>
        <w:t xml:space="preserve"> consentimiento de acuerdo al Código Penal</w:t>
      </w:r>
      <w:r w:rsidRPr="00D05EFE">
        <w:rPr>
          <w:rStyle w:val="FootnoteReference"/>
          <w:rFonts w:ascii="Arial" w:hAnsi="Arial" w:cs="Arial"/>
          <w:sz w:val="24"/>
          <w:szCs w:val="24"/>
        </w:rPr>
        <w:footnoteReference w:id="11"/>
      </w:r>
      <w:r w:rsidRPr="00D05EFE">
        <w:rPr>
          <w:rFonts w:ascii="Arial" w:hAnsi="Arial" w:cs="Arial"/>
          <w:sz w:val="24"/>
          <w:szCs w:val="24"/>
        </w:rPr>
        <w:t>.</w:t>
      </w:r>
    </w:p>
    <w:p w14:paraId="3FBB5B46"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Recomendaciones</w:t>
      </w:r>
    </w:p>
    <w:p w14:paraId="11A9563D"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Aprobar la Ley de Educación Integral en Sexualidad sometida al Congreso Nacional en 2015.</w:t>
      </w:r>
    </w:p>
    <w:p w14:paraId="285E126A"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Asegurar la implementación estandarizada de las Guías </w:t>
      </w:r>
      <w:r>
        <w:rPr>
          <w:rFonts w:ascii="Arial" w:hAnsi="Arial" w:cs="Arial"/>
          <w:sz w:val="24"/>
          <w:szCs w:val="24"/>
        </w:rPr>
        <w:t>“</w:t>
      </w:r>
      <w:r w:rsidRPr="00D05EFE">
        <w:rPr>
          <w:rFonts w:ascii="Arial" w:hAnsi="Arial" w:cs="Arial"/>
          <w:sz w:val="24"/>
          <w:szCs w:val="24"/>
        </w:rPr>
        <w:t>Cuidando Mi Salud y Mi Vida</w:t>
      </w:r>
      <w:r>
        <w:rPr>
          <w:rFonts w:ascii="Arial" w:hAnsi="Arial" w:cs="Arial"/>
          <w:sz w:val="24"/>
          <w:szCs w:val="24"/>
        </w:rPr>
        <w:t>”</w:t>
      </w:r>
      <w:r w:rsidRPr="00D05EFE">
        <w:rPr>
          <w:rFonts w:ascii="Arial" w:hAnsi="Arial" w:cs="Arial"/>
          <w:sz w:val="24"/>
          <w:szCs w:val="24"/>
        </w:rPr>
        <w:t xml:space="preserve"> en centros educativos públicos y privados a nivel nacional.</w:t>
      </w:r>
    </w:p>
    <w:p w14:paraId="3BF54573"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Monitorear la implementación y asignación presupuestaria de la Política de </w:t>
      </w:r>
      <w:r>
        <w:rPr>
          <w:rFonts w:ascii="Arial" w:hAnsi="Arial" w:cs="Arial"/>
          <w:sz w:val="24"/>
          <w:szCs w:val="24"/>
        </w:rPr>
        <w:t>SSR</w:t>
      </w:r>
      <w:r w:rsidRPr="00D05EFE">
        <w:rPr>
          <w:rFonts w:ascii="Arial" w:hAnsi="Arial" w:cs="Arial"/>
          <w:sz w:val="24"/>
          <w:szCs w:val="24"/>
        </w:rPr>
        <w:t xml:space="preserve"> aprobada en 2016.</w:t>
      </w:r>
    </w:p>
    <w:p w14:paraId="4B76178E"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Asegurar que el Plan de Prevención de Embarazo Adolescente se aplique </w:t>
      </w:r>
      <w:r>
        <w:rPr>
          <w:rFonts w:ascii="Arial" w:hAnsi="Arial" w:cs="Arial"/>
          <w:sz w:val="24"/>
          <w:szCs w:val="24"/>
        </w:rPr>
        <w:t xml:space="preserve">libre de </w:t>
      </w:r>
      <w:r w:rsidRPr="00D05EFE">
        <w:rPr>
          <w:rFonts w:ascii="Arial" w:hAnsi="Arial" w:cs="Arial"/>
          <w:sz w:val="24"/>
          <w:szCs w:val="24"/>
        </w:rPr>
        <w:t>fundamentalismos religioso</w:t>
      </w:r>
      <w:r>
        <w:rPr>
          <w:rFonts w:ascii="Arial" w:hAnsi="Arial" w:cs="Arial"/>
          <w:sz w:val="24"/>
          <w:szCs w:val="24"/>
        </w:rPr>
        <w:t>s,</w:t>
      </w:r>
      <w:r w:rsidRPr="00D05EFE">
        <w:rPr>
          <w:rFonts w:ascii="Arial" w:hAnsi="Arial" w:cs="Arial"/>
          <w:sz w:val="24"/>
          <w:szCs w:val="24"/>
        </w:rPr>
        <w:t xml:space="preserve"> prejuicio</w:t>
      </w:r>
      <w:r>
        <w:rPr>
          <w:rFonts w:ascii="Arial" w:hAnsi="Arial" w:cs="Arial"/>
          <w:sz w:val="24"/>
          <w:szCs w:val="24"/>
        </w:rPr>
        <w:t>s</w:t>
      </w:r>
      <w:r w:rsidRPr="00D05EFE">
        <w:rPr>
          <w:rFonts w:ascii="Arial" w:hAnsi="Arial" w:cs="Arial"/>
          <w:sz w:val="24"/>
          <w:szCs w:val="24"/>
        </w:rPr>
        <w:t xml:space="preserve"> o discriminación. </w:t>
      </w:r>
    </w:p>
    <w:p w14:paraId="0C728711"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Asegurar el correcto funcionamiento de las clínicas de atención al adolescente, con personal capacitado, atención digna</w:t>
      </w:r>
      <w:r>
        <w:rPr>
          <w:rFonts w:ascii="Arial" w:hAnsi="Arial" w:cs="Arial"/>
          <w:sz w:val="24"/>
          <w:szCs w:val="24"/>
        </w:rPr>
        <w:t>,</w:t>
      </w:r>
      <w:r w:rsidRPr="00D05EFE">
        <w:rPr>
          <w:rFonts w:ascii="Arial" w:hAnsi="Arial" w:cs="Arial"/>
          <w:sz w:val="24"/>
          <w:szCs w:val="24"/>
        </w:rPr>
        <w:t xml:space="preserve"> oferta amplia de </w:t>
      </w:r>
      <w:r>
        <w:rPr>
          <w:rFonts w:ascii="Arial" w:hAnsi="Arial" w:cs="Arial"/>
          <w:sz w:val="24"/>
          <w:szCs w:val="24"/>
        </w:rPr>
        <w:t>anticoncepción</w:t>
      </w:r>
      <w:r w:rsidRPr="00D05EFE">
        <w:rPr>
          <w:rFonts w:ascii="Arial" w:hAnsi="Arial" w:cs="Arial"/>
          <w:sz w:val="24"/>
          <w:szCs w:val="24"/>
        </w:rPr>
        <w:t xml:space="preserve"> e información científica y laica sobre sexualidad.</w:t>
      </w:r>
    </w:p>
    <w:p w14:paraId="20B460E8"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Despenalizar y legalizar el uso de la pastilla anticonceptiva de emergencia.</w:t>
      </w:r>
    </w:p>
    <w:p w14:paraId="42F673EE" w14:textId="77777777" w:rsidR="00DA7E35" w:rsidRPr="00D05EFE" w:rsidRDefault="00DA7E35" w:rsidP="00DA7E35">
      <w:pPr>
        <w:jc w:val="both"/>
        <w:rPr>
          <w:rFonts w:ascii="Arial" w:hAnsi="Arial" w:cs="Arial"/>
          <w:sz w:val="24"/>
          <w:szCs w:val="24"/>
        </w:rPr>
      </w:pPr>
    </w:p>
    <w:p w14:paraId="03CA4E87"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 xml:space="preserve">Tema 2: Violencia basada en género contra niñas y mujeres jóvenes </w:t>
      </w:r>
    </w:p>
    <w:p w14:paraId="03333516" w14:textId="77777777" w:rsidR="00DA7E35"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Durante 2020, se presentaron 278 muertes violentas de mujeres, 229 durante las restricciones por COVID-19. 32 de estos casos </w:t>
      </w:r>
      <w:r>
        <w:rPr>
          <w:rFonts w:ascii="Arial" w:hAnsi="Arial" w:cs="Arial"/>
          <w:sz w:val="24"/>
          <w:szCs w:val="24"/>
        </w:rPr>
        <w:t>fueron</w:t>
      </w:r>
      <w:r w:rsidRPr="00D05EFE">
        <w:rPr>
          <w:rFonts w:ascii="Arial" w:hAnsi="Arial" w:cs="Arial"/>
          <w:sz w:val="24"/>
          <w:szCs w:val="24"/>
        </w:rPr>
        <w:t xml:space="preserve"> en niñas y adolescentes de 0 a 19 años y 58 en mujeres jóvenes de 20 a 29 años</w:t>
      </w:r>
      <w:r w:rsidRPr="00D05EFE">
        <w:rPr>
          <w:rStyle w:val="FootnoteReference"/>
          <w:rFonts w:ascii="Arial" w:hAnsi="Arial" w:cs="Arial"/>
          <w:sz w:val="24"/>
          <w:szCs w:val="24"/>
        </w:rPr>
        <w:footnoteReference w:id="12"/>
      </w:r>
      <w:r w:rsidRPr="00D05EFE">
        <w:rPr>
          <w:rFonts w:ascii="Arial" w:hAnsi="Arial" w:cs="Arial"/>
          <w:sz w:val="24"/>
          <w:szCs w:val="24"/>
        </w:rPr>
        <w:t>.</w:t>
      </w:r>
    </w:p>
    <w:p w14:paraId="5E884EA1"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En</w:t>
      </w:r>
      <w:r>
        <w:rPr>
          <w:rFonts w:ascii="Arial" w:hAnsi="Arial" w:cs="Arial"/>
          <w:sz w:val="24"/>
          <w:szCs w:val="24"/>
        </w:rPr>
        <w:t>tre enero al</w:t>
      </w:r>
      <w:r w:rsidRPr="00D05EFE">
        <w:rPr>
          <w:rFonts w:ascii="Arial" w:hAnsi="Arial" w:cs="Arial"/>
          <w:sz w:val="24"/>
          <w:szCs w:val="24"/>
        </w:rPr>
        <w:t xml:space="preserve"> 22 de abril </w:t>
      </w:r>
      <w:r>
        <w:rPr>
          <w:rFonts w:ascii="Arial" w:hAnsi="Arial" w:cs="Arial"/>
          <w:sz w:val="24"/>
          <w:szCs w:val="24"/>
        </w:rPr>
        <w:t xml:space="preserve">de 2021 </w:t>
      </w:r>
      <w:r w:rsidRPr="00D05EFE">
        <w:rPr>
          <w:rFonts w:ascii="Arial" w:hAnsi="Arial" w:cs="Arial"/>
          <w:sz w:val="24"/>
          <w:szCs w:val="24"/>
        </w:rPr>
        <w:t>se contabiliza</w:t>
      </w:r>
      <w:r>
        <w:rPr>
          <w:rFonts w:ascii="Arial" w:hAnsi="Arial" w:cs="Arial"/>
          <w:sz w:val="24"/>
          <w:szCs w:val="24"/>
        </w:rPr>
        <w:t>ron</w:t>
      </w:r>
      <w:r w:rsidRPr="00D05EFE">
        <w:rPr>
          <w:rFonts w:ascii="Arial" w:hAnsi="Arial" w:cs="Arial"/>
          <w:sz w:val="24"/>
          <w:szCs w:val="24"/>
        </w:rPr>
        <w:t xml:space="preserve"> 82 muertes violentas de niñas y mujeres. 8 en menores de 19 años</w:t>
      </w:r>
      <w:r w:rsidRPr="00D05EFE">
        <w:rPr>
          <w:rStyle w:val="FootnoteReference"/>
          <w:rFonts w:ascii="Arial" w:hAnsi="Arial" w:cs="Arial"/>
          <w:sz w:val="24"/>
          <w:szCs w:val="24"/>
        </w:rPr>
        <w:footnoteReference w:id="13"/>
      </w:r>
      <w:r w:rsidRPr="00D05EFE">
        <w:rPr>
          <w:rFonts w:ascii="Arial" w:hAnsi="Arial" w:cs="Arial"/>
          <w:sz w:val="24"/>
          <w:szCs w:val="24"/>
        </w:rPr>
        <w:t>.</w:t>
      </w:r>
    </w:p>
    <w:p w14:paraId="2E3D54D4"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En niñas y mujeres LGBTIQ, entre 2009 y 2020 se han registrado 17 muertes violentas contra lesbianas menores de 27 años, 10 eran menores de 21</w:t>
      </w:r>
      <w:r>
        <w:rPr>
          <w:rFonts w:ascii="Arial" w:hAnsi="Arial" w:cs="Arial"/>
          <w:sz w:val="24"/>
          <w:szCs w:val="24"/>
        </w:rPr>
        <w:t>, también</w:t>
      </w:r>
      <w:r w:rsidRPr="00D05EFE">
        <w:rPr>
          <w:rFonts w:ascii="Arial" w:hAnsi="Arial" w:cs="Arial"/>
          <w:sz w:val="24"/>
          <w:szCs w:val="24"/>
        </w:rPr>
        <w:t xml:space="preserve"> 67 </w:t>
      </w:r>
      <w:r>
        <w:rPr>
          <w:rFonts w:ascii="Arial" w:hAnsi="Arial" w:cs="Arial"/>
          <w:sz w:val="24"/>
          <w:szCs w:val="24"/>
        </w:rPr>
        <w:t>mujeres Trans</w:t>
      </w:r>
      <w:r w:rsidRPr="00D05EFE">
        <w:rPr>
          <w:rFonts w:ascii="Arial" w:hAnsi="Arial" w:cs="Arial"/>
          <w:sz w:val="24"/>
          <w:szCs w:val="24"/>
        </w:rPr>
        <w:t xml:space="preserve"> menores de 27 años fueron asesinadas, 18 menores de 21</w:t>
      </w:r>
      <w:r w:rsidRPr="00D05EFE">
        <w:rPr>
          <w:rStyle w:val="FootnoteReference"/>
          <w:rFonts w:ascii="Arial" w:hAnsi="Arial" w:cs="Arial"/>
          <w:sz w:val="24"/>
          <w:szCs w:val="24"/>
        </w:rPr>
        <w:footnoteReference w:id="14"/>
      </w:r>
      <w:r w:rsidRPr="00D05EFE">
        <w:rPr>
          <w:rFonts w:ascii="Arial" w:hAnsi="Arial" w:cs="Arial"/>
          <w:sz w:val="24"/>
          <w:szCs w:val="24"/>
        </w:rPr>
        <w:t>. En cuanto a mujeres negras, entre 2014 y 2020, 3 menores de 27 años han sido asesinadas</w:t>
      </w:r>
      <w:r w:rsidRPr="00D05EFE">
        <w:rPr>
          <w:rStyle w:val="FootnoteReference"/>
          <w:rFonts w:ascii="Arial" w:hAnsi="Arial" w:cs="Arial"/>
          <w:sz w:val="24"/>
          <w:szCs w:val="24"/>
        </w:rPr>
        <w:footnoteReference w:id="15"/>
      </w:r>
      <w:r w:rsidRPr="00D05EFE">
        <w:rPr>
          <w:rFonts w:ascii="Arial" w:hAnsi="Arial" w:cs="Arial"/>
          <w:sz w:val="24"/>
          <w:szCs w:val="24"/>
        </w:rPr>
        <w:t xml:space="preserve">. </w:t>
      </w:r>
    </w:p>
    <w:p w14:paraId="01EC076F"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Honduras carece de política pública para atender niñez huérfana por femicidios, </w:t>
      </w:r>
      <w:r>
        <w:rPr>
          <w:rFonts w:ascii="Arial" w:hAnsi="Arial" w:cs="Arial"/>
          <w:sz w:val="24"/>
          <w:szCs w:val="24"/>
        </w:rPr>
        <w:t>de</w:t>
      </w:r>
      <w:r w:rsidRPr="00D05EFE">
        <w:rPr>
          <w:rFonts w:ascii="Arial" w:hAnsi="Arial" w:cs="Arial"/>
          <w:sz w:val="24"/>
          <w:szCs w:val="24"/>
        </w:rPr>
        <w:t xml:space="preserve"> 266,037 niños y niñas </w:t>
      </w:r>
      <w:r>
        <w:rPr>
          <w:rFonts w:ascii="Arial" w:hAnsi="Arial" w:cs="Arial"/>
          <w:sz w:val="24"/>
          <w:szCs w:val="24"/>
        </w:rPr>
        <w:t>que</w:t>
      </w:r>
      <w:r w:rsidRPr="00D05EFE">
        <w:rPr>
          <w:rFonts w:ascii="Arial" w:hAnsi="Arial" w:cs="Arial"/>
          <w:sz w:val="24"/>
          <w:szCs w:val="24"/>
        </w:rPr>
        <w:t xml:space="preserve"> se encontraban en situación de orfandad en 2016 de acuerdo al INE, 47,572 perdieron su madre producto de muertes violentas</w:t>
      </w:r>
      <w:r w:rsidRPr="00D05EFE">
        <w:rPr>
          <w:rStyle w:val="FootnoteReference"/>
          <w:rFonts w:ascii="Arial" w:hAnsi="Arial" w:cs="Arial"/>
          <w:sz w:val="24"/>
          <w:szCs w:val="24"/>
        </w:rPr>
        <w:footnoteReference w:id="16"/>
      </w:r>
      <w:r w:rsidRPr="00D05EFE">
        <w:rPr>
          <w:rFonts w:ascii="Arial" w:hAnsi="Arial" w:cs="Arial"/>
          <w:sz w:val="24"/>
          <w:szCs w:val="24"/>
        </w:rPr>
        <w:t>.</w:t>
      </w:r>
    </w:p>
    <w:p w14:paraId="56E5EC90"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La línea de emergencia 911, recibió en 2019 un total de 94,720 denuncias de violencia doméstica e intrafamiliar, en 2020, aumentó a 103,063 llamadas, reflejándose mayor número de denuncias durante </w:t>
      </w:r>
      <w:r>
        <w:rPr>
          <w:rFonts w:ascii="Arial" w:hAnsi="Arial" w:cs="Arial"/>
          <w:sz w:val="24"/>
          <w:szCs w:val="24"/>
        </w:rPr>
        <w:t>el</w:t>
      </w:r>
      <w:r w:rsidRPr="00D05EFE">
        <w:rPr>
          <w:rFonts w:ascii="Arial" w:hAnsi="Arial" w:cs="Arial"/>
          <w:sz w:val="24"/>
          <w:szCs w:val="24"/>
        </w:rPr>
        <w:t xml:space="preserve"> confinamiento por COVID-19. Las llamadas </w:t>
      </w:r>
      <w:r>
        <w:rPr>
          <w:rFonts w:ascii="Arial" w:hAnsi="Arial" w:cs="Arial"/>
          <w:sz w:val="24"/>
          <w:szCs w:val="24"/>
        </w:rPr>
        <w:t>recibidas entre</w:t>
      </w:r>
      <w:r w:rsidRPr="00D05EFE">
        <w:rPr>
          <w:rFonts w:ascii="Arial" w:hAnsi="Arial" w:cs="Arial"/>
          <w:sz w:val="24"/>
          <w:szCs w:val="24"/>
        </w:rPr>
        <w:t xml:space="preserve"> enero a marzo 2021 han aumentado con respecto al primer trimestre 2019 y 2020</w:t>
      </w:r>
      <w:r w:rsidRPr="00D05EFE">
        <w:rPr>
          <w:rStyle w:val="FootnoteReference"/>
          <w:rFonts w:ascii="Arial" w:hAnsi="Arial" w:cs="Arial"/>
          <w:sz w:val="24"/>
          <w:szCs w:val="24"/>
        </w:rPr>
        <w:footnoteReference w:id="17"/>
      </w:r>
      <w:r w:rsidRPr="00D05EFE">
        <w:rPr>
          <w:rFonts w:ascii="Arial" w:hAnsi="Arial" w:cs="Arial"/>
          <w:sz w:val="24"/>
          <w:szCs w:val="24"/>
        </w:rPr>
        <w:t>. La información no se desagrega por edad.</w:t>
      </w:r>
    </w:p>
    <w:p w14:paraId="4DB135D8" w14:textId="77777777" w:rsidR="00DA7E35" w:rsidRPr="00F36302"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Entre los años 2019 y 2020, se han atendido 77 casos de niñas de 0 a 18 años, víctimas directas de violencia doméstica e intrafamiliar en casas refugio y 120 casos en mujeres jóvenes de 19 a 24 años</w:t>
      </w:r>
      <w:r w:rsidRPr="00D05EFE">
        <w:rPr>
          <w:rStyle w:val="FootnoteReference"/>
          <w:rFonts w:ascii="Arial" w:hAnsi="Arial" w:cs="Arial"/>
          <w:sz w:val="24"/>
          <w:szCs w:val="24"/>
        </w:rPr>
        <w:footnoteReference w:id="18"/>
      </w:r>
      <w:r w:rsidRPr="00D05EFE">
        <w:rPr>
          <w:rFonts w:ascii="Arial" w:hAnsi="Arial" w:cs="Arial"/>
          <w:sz w:val="24"/>
          <w:szCs w:val="24"/>
        </w:rPr>
        <w:t>.</w:t>
      </w:r>
    </w:p>
    <w:p w14:paraId="226B6EAC"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 xml:space="preserve">Recomendaciones </w:t>
      </w:r>
    </w:p>
    <w:p w14:paraId="0E816FBD"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Aprobar la Ley de Casas Refugio para protección de víctimas de </w:t>
      </w:r>
      <w:r>
        <w:rPr>
          <w:rFonts w:ascii="Arial" w:hAnsi="Arial" w:cs="Arial"/>
          <w:sz w:val="24"/>
          <w:szCs w:val="24"/>
        </w:rPr>
        <w:t>VBG</w:t>
      </w:r>
      <w:r w:rsidRPr="00D05EFE">
        <w:rPr>
          <w:rFonts w:ascii="Arial" w:hAnsi="Arial" w:cs="Arial"/>
          <w:sz w:val="24"/>
          <w:szCs w:val="24"/>
        </w:rPr>
        <w:t>, integrando la atención de niñas víctimas de violencia a su reglamento.</w:t>
      </w:r>
    </w:p>
    <w:p w14:paraId="16A8626E"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Asegurar respuesta oportuna y protección para niñas y mujeres víctimas de violencia doméstica e intrafamiliar.</w:t>
      </w:r>
    </w:p>
    <w:p w14:paraId="54D4D559"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Monitorear la aplicación del tipo penal de femicidio en muertes violentas de niñas y mujeres en razón de género.</w:t>
      </w:r>
    </w:p>
    <w:p w14:paraId="0409AACD"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Asegurar el acceso a justicia en muertes violentas de niñas y mujeres incluyendo las que pertenecen a grupos exclu</w:t>
      </w:r>
      <w:r>
        <w:rPr>
          <w:rFonts w:ascii="Arial" w:hAnsi="Arial" w:cs="Arial"/>
          <w:sz w:val="24"/>
          <w:szCs w:val="24"/>
        </w:rPr>
        <w:t>idos</w:t>
      </w:r>
      <w:r w:rsidRPr="00D05EFE">
        <w:rPr>
          <w:rFonts w:ascii="Arial" w:hAnsi="Arial" w:cs="Arial"/>
          <w:sz w:val="24"/>
          <w:szCs w:val="24"/>
        </w:rPr>
        <w:t>.</w:t>
      </w:r>
    </w:p>
    <w:p w14:paraId="01EA2A6E" w14:textId="77777777" w:rsidR="00DA7E35" w:rsidRPr="00D05EFE" w:rsidRDefault="00DA7E35" w:rsidP="00DA7E35">
      <w:pPr>
        <w:jc w:val="both"/>
        <w:rPr>
          <w:rFonts w:ascii="Arial" w:hAnsi="Arial" w:cs="Arial"/>
          <w:b/>
          <w:bCs/>
          <w:sz w:val="24"/>
          <w:szCs w:val="24"/>
        </w:rPr>
      </w:pPr>
    </w:p>
    <w:p w14:paraId="0F6A7B08"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Tema 3: Matrimonios y uniones infantiles tempranas forzadas (MUITF)</w:t>
      </w:r>
    </w:p>
    <w:p w14:paraId="02FE96D0"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El Código de Familia fue reformado en 2016, prohibiendo el matrimonio legal en menores de 18 años, sin embargo, las uniones tempranas continúan siendo prácticas no reguladas y altamente normalizadas en el país.</w:t>
      </w:r>
    </w:p>
    <w:p w14:paraId="7BEC56D1"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La última Encuesta Nacional de Demografía y Salud</w:t>
      </w:r>
      <w:r>
        <w:rPr>
          <w:rFonts w:ascii="Arial" w:hAnsi="Arial" w:cs="Arial"/>
          <w:sz w:val="24"/>
          <w:szCs w:val="24"/>
        </w:rPr>
        <w:t xml:space="preserve"> (ENDESA) </w:t>
      </w:r>
      <w:r w:rsidRPr="00D05EFE">
        <w:rPr>
          <w:rFonts w:ascii="Arial" w:hAnsi="Arial" w:cs="Arial"/>
          <w:sz w:val="24"/>
          <w:szCs w:val="24"/>
        </w:rPr>
        <w:t>publicada que registra datos sobre MUITF data de 2012</w:t>
      </w:r>
      <w:r w:rsidRPr="00D05EFE">
        <w:rPr>
          <w:rStyle w:val="FootnoteReference"/>
          <w:rFonts w:ascii="Arial" w:hAnsi="Arial" w:cs="Arial"/>
          <w:sz w:val="24"/>
          <w:szCs w:val="24"/>
        </w:rPr>
        <w:footnoteReference w:id="19"/>
      </w:r>
      <w:r w:rsidRPr="00D05EFE">
        <w:rPr>
          <w:rFonts w:ascii="Arial" w:hAnsi="Arial" w:cs="Arial"/>
          <w:sz w:val="24"/>
          <w:szCs w:val="24"/>
        </w:rPr>
        <w:t xml:space="preserve"> reflejando que el 10% de las mujeres entre 25 y 49 años se unieron antes de los 15 años y 37% antes de los 18 años.</w:t>
      </w:r>
    </w:p>
    <w:p w14:paraId="34CB850B"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La falta de datos oficiales actualizados impide evidenciar la magnitud del problema </w:t>
      </w:r>
      <w:r>
        <w:rPr>
          <w:rFonts w:ascii="Arial" w:hAnsi="Arial" w:cs="Arial"/>
          <w:sz w:val="24"/>
          <w:szCs w:val="24"/>
        </w:rPr>
        <w:t xml:space="preserve">dándole </w:t>
      </w:r>
      <w:r w:rsidRPr="00D05EFE">
        <w:rPr>
          <w:rFonts w:ascii="Arial" w:hAnsi="Arial" w:cs="Arial"/>
          <w:sz w:val="24"/>
          <w:szCs w:val="24"/>
        </w:rPr>
        <w:t>la importancia que requiere a nivel estatal.</w:t>
      </w:r>
    </w:p>
    <w:p w14:paraId="7EBBBDCD" w14:textId="77777777" w:rsidR="00DA7E35" w:rsidRPr="00D05EFE" w:rsidRDefault="00DA7E35" w:rsidP="004C1BBE">
      <w:pPr>
        <w:pStyle w:val="ListParagraph"/>
        <w:numPr>
          <w:ilvl w:val="0"/>
          <w:numId w:val="1"/>
        </w:numPr>
        <w:jc w:val="both"/>
        <w:rPr>
          <w:rFonts w:ascii="Arial" w:hAnsi="Arial" w:cs="Arial"/>
          <w:sz w:val="24"/>
          <w:szCs w:val="24"/>
        </w:rPr>
      </w:pPr>
      <w:r>
        <w:rPr>
          <w:rFonts w:ascii="Arial" w:hAnsi="Arial" w:cs="Arial"/>
          <w:sz w:val="24"/>
          <w:szCs w:val="24"/>
        </w:rPr>
        <w:t>E</w:t>
      </w:r>
      <w:r w:rsidRPr="00D05EFE">
        <w:rPr>
          <w:rFonts w:ascii="Arial" w:hAnsi="Arial" w:cs="Arial"/>
          <w:sz w:val="24"/>
          <w:szCs w:val="24"/>
        </w:rPr>
        <w:t>ntre 2005 a 2019, el porcentaje de matrimonios en menores de 18 años en Honduras es del 34%</w:t>
      </w:r>
      <w:r w:rsidRPr="00D05EFE">
        <w:rPr>
          <w:rStyle w:val="FootnoteReference"/>
          <w:rFonts w:ascii="Arial" w:hAnsi="Arial" w:cs="Arial"/>
          <w:sz w:val="24"/>
          <w:szCs w:val="24"/>
        </w:rPr>
        <w:footnoteReference w:id="20"/>
      </w:r>
      <w:r w:rsidRPr="00D05EFE">
        <w:rPr>
          <w:rFonts w:ascii="Arial" w:hAnsi="Arial" w:cs="Arial"/>
          <w:sz w:val="24"/>
          <w:szCs w:val="24"/>
        </w:rPr>
        <w:t>.</w:t>
      </w:r>
    </w:p>
    <w:p w14:paraId="036D5444"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En un sondeo levantado por Plan International Honduras en 2021 en 6 de 18 departamentos del país se identificó que </w:t>
      </w:r>
      <w:r>
        <w:rPr>
          <w:rFonts w:ascii="Arial" w:hAnsi="Arial" w:cs="Arial"/>
          <w:sz w:val="24"/>
          <w:szCs w:val="24"/>
        </w:rPr>
        <w:t>entre 2019 y 2020</w:t>
      </w:r>
      <w:r w:rsidRPr="00D05EFE">
        <w:rPr>
          <w:rFonts w:ascii="Arial" w:hAnsi="Arial" w:cs="Arial"/>
          <w:sz w:val="24"/>
          <w:szCs w:val="24"/>
        </w:rPr>
        <w:t xml:space="preserve"> se han realizado 27 matrimonios por vía municipal en 4 Departamentos a pesar de la reforma y 416 uniones tempranas</w:t>
      </w:r>
      <w:r w:rsidRPr="00D05EFE">
        <w:rPr>
          <w:rStyle w:val="FootnoteReference"/>
          <w:rFonts w:ascii="Arial" w:hAnsi="Arial" w:cs="Arial"/>
          <w:sz w:val="24"/>
          <w:szCs w:val="24"/>
        </w:rPr>
        <w:footnoteReference w:id="21"/>
      </w:r>
      <w:r w:rsidRPr="00D05EFE">
        <w:rPr>
          <w:rFonts w:ascii="Arial" w:hAnsi="Arial" w:cs="Arial"/>
          <w:sz w:val="24"/>
          <w:szCs w:val="24"/>
        </w:rPr>
        <w:t>.</w:t>
      </w:r>
    </w:p>
    <w:p w14:paraId="144672AC"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Recomendaciones</w:t>
      </w:r>
    </w:p>
    <w:p w14:paraId="6DA9EC46"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Monitorear el cumplimiento de la reforma al artículo 16 del Código de Familia.</w:t>
      </w:r>
    </w:p>
    <w:p w14:paraId="2ADA37AF"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Cumplir con la periodicidad de realización de la ENDESA cada 5 años para contar con datos a nivel nacional que evidencien la problemática de MUITF.</w:t>
      </w:r>
    </w:p>
    <w:p w14:paraId="109710F7"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Desarrollar campañas a nivel estatal </w:t>
      </w:r>
      <w:r>
        <w:rPr>
          <w:rFonts w:ascii="Arial" w:hAnsi="Arial" w:cs="Arial"/>
          <w:sz w:val="24"/>
          <w:szCs w:val="24"/>
        </w:rPr>
        <w:t>para</w:t>
      </w:r>
      <w:r w:rsidRPr="00D05EFE">
        <w:rPr>
          <w:rFonts w:ascii="Arial" w:hAnsi="Arial" w:cs="Arial"/>
          <w:sz w:val="24"/>
          <w:szCs w:val="24"/>
        </w:rPr>
        <w:t xml:space="preserve"> socializa</w:t>
      </w:r>
      <w:r>
        <w:rPr>
          <w:rFonts w:ascii="Arial" w:hAnsi="Arial" w:cs="Arial"/>
          <w:sz w:val="24"/>
          <w:szCs w:val="24"/>
        </w:rPr>
        <w:t>r</w:t>
      </w:r>
      <w:r w:rsidRPr="00D05EFE">
        <w:rPr>
          <w:rFonts w:ascii="Arial" w:hAnsi="Arial" w:cs="Arial"/>
          <w:sz w:val="24"/>
          <w:szCs w:val="24"/>
        </w:rPr>
        <w:t xml:space="preserve"> la reforma y el cambio de normas sociales </w:t>
      </w:r>
      <w:r>
        <w:rPr>
          <w:rFonts w:ascii="Arial" w:hAnsi="Arial" w:cs="Arial"/>
          <w:sz w:val="24"/>
          <w:szCs w:val="24"/>
        </w:rPr>
        <w:t>entorno a</w:t>
      </w:r>
      <w:r w:rsidRPr="00D05EFE">
        <w:rPr>
          <w:rFonts w:ascii="Arial" w:hAnsi="Arial" w:cs="Arial"/>
          <w:sz w:val="24"/>
          <w:szCs w:val="24"/>
        </w:rPr>
        <w:t xml:space="preserve"> uniones tempranas.</w:t>
      </w:r>
    </w:p>
    <w:p w14:paraId="0E7285C9" w14:textId="77777777" w:rsidR="00DA7E35" w:rsidRPr="00D05EFE" w:rsidRDefault="00DA7E35" w:rsidP="00DA7E35">
      <w:pPr>
        <w:pStyle w:val="ListParagraph"/>
        <w:jc w:val="both"/>
        <w:rPr>
          <w:rFonts w:ascii="Arial" w:hAnsi="Arial" w:cs="Arial"/>
          <w:sz w:val="24"/>
          <w:szCs w:val="24"/>
        </w:rPr>
      </w:pPr>
      <w:r>
        <w:rPr>
          <w:rFonts w:ascii="Arial" w:hAnsi="Arial" w:cs="Arial"/>
          <w:sz w:val="24"/>
          <w:szCs w:val="24"/>
        </w:rPr>
        <w:t xml:space="preserve"> </w:t>
      </w:r>
    </w:p>
    <w:p w14:paraId="5A833062"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Tema 4: Derecho a decidir sobre los cuerpos</w:t>
      </w:r>
    </w:p>
    <w:p w14:paraId="75E3FA90"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rPr>
        <w:t xml:space="preserve">El aborto está penalizado desde 1997 </w:t>
      </w:r>
      <w:r>
        <w:rPr>
          <w:rFonts w:ascii="Arial" w:hAnsi="Arial" w:cs="Arial"/>
          <w:sz w:val="24"/>
          <w:szCs w:val="24"/>
        </w:rPr>
        <w:t xml:space="preserve">en </w:t>
      </w:r>
      <w:r w:rsidRPr="00D05EFE">
        <w:rPr>
          <w:rFonts w:ascii="Arial" w:hAnsi="Arial" w:cs="Arial"/>
          <w:sz w:val="24"/>
          <w:szCs w:val="24"/>
        </w:rPr>
        <w:t>el Código Penal</w:t>
      </w:r>
      <w:r>
        <w:rPr>
          <w:rFonts w:ascii="Arial" w:hAnsi="Arial" w:cs="Arial"/>
          <w:sz w:val="24"/>
          <w:szCs w:val="24"/>
        </w:rPr>
        <w:t>.</w:t>
      </w:r>
      <w:r w:rsidRPr="00D05EFE">
        <w:rPr>
          <w:rFonts w:ascii="Arial" w:hAnsi="Arial" w:cs="Arial"/>
          <w:sz w:val="24"/>
          <w:szCs w:val="24"/>
        </w:rPr>
        <w:t xml:space="preserve"> </w:t>
      </w:r>
      <w:r>
        <w:rPr>
          <w:rFonts w:ascii="Arial" w:hAnsi="Arial" w:cs="Arial"/>
          <w:sz w:val="24"/>
          <w:szCs w:val="24"/>
        </w:rPr>
        <w:t>C</w:t>
      </w:r>
      <w:r w:rsidRPr="00D05EFE">
        <w:rPr>
          <w:rFonts w:ascii="Arial" w:hAnsi="Arial" w:cs="Arial"/>
          <w:sz w:val="24"/>
          <w:szCs w:val="24"/>
        </w:rPr>
        <w:t xml:space="preserve">on la aprobación y entrada en vigencia del nuevo Código se incluyó un nuevo tipo penal llamado </w:t>
      </w:r>
      <w:r>
        <w:rPr>
          <w:rFonts w:ascii="Arial" w:hAnsi="Arial" w:cs="Arial"/>
          <w:sz w:val="24"/>
          <w:szCs w:val="24"/>
        </w:rPr>
        <w:t>“</w:t>
      </w:r>
      <w:r w:rsidRPr="00D05EFE">
        <w:rPr>
          <w:rFonts w:ascii="Arial" w:hAnsi="Arial" w:cs="Arial"/>
          <w:sz w:val="24"/>
          <w:szCs w:val="24"/>
        </w:rPr>
        <w:t>lesiones al feto</w:t>
      </w:r>
      <w:r>
        <w:rPr>
          <w:rFonts w:ascii="Arial" w:hAnsi="Arial" w:cs="Arial"/>
          <w:sz w:val="24"/>
          <w:szCs w:val="24"/>
        </w:rPr>
        <w:t>”</w:t>
      </w:r>
      <w:r w:rsidRPr="00D05EFE">
        <w:rPr>
          <w:rFonts w:ascii="Arial" w:hAnsi="Arial" w:cs="Arial"/>
          <w:sz w:val="24"/>
          <w:szCs w:val="24"/>
        </w:rPr>
        <w:t xml:space="preserve"> que </w:t>
      </w:r>
      <w:r>
        <w:rPr>
          <w:rFonts w:ascii="Arial" w:hAnsi="Arial" w:cs="Arial"/>
          <w:sz w:val="24"/>
          <w:szCs w:val="24"/>
        </w:rPr>
        <w:t>afecta</w:t>
      </w:r>
      <w:r w:rsidRPr="00D05EFE">
        <w:rPr>
          <w:rFonts w:ascii="Arial" w:hAnsi="Arial" w:cs="Arial"/>
          <w:sz w:val="24"/>
          <w:szCs w:val="24"/>
        </w:rPr>
        <w:t xml:space="preserve"> a cualquier persona que ayude o facilite el aborto</w:t>
      </w:r>
      <w:r>
        <w:rPr>
          <w:rStyle w:val="FootnoteReference"/>
          <w:rFonts w:ascii="Arial" w:hAnsi="Arial" w:cs="Arial"/>
          <w:sz w:val="24"/>
          <w:szCs w:val="24"/>
        </w:rPr>
        <w:footnoteReference w:id="22"/>
      </w:r>
      <w:r w:rsidRPr="00D05EFE">
        <w:rPr>
          <w:rFonts w:ascii="Arial" w:hAnsi="Arial" w:cs="Arial"/>
          <w:sz w:val="24"/>
          <w:szCs w:val="24"/>
        </w:rPr>
        <w:t xml:space="preserve">. </w:t>
      </w:r>
    </w:p>
    <w:p w14:paraId="461053C8"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rPr>
        <w:t>La Constitución de la Republica ya mencionaba en el artículo 67.-</w:t>
      </w:r>
      <w:r w:rsidRPr="00D05EFE">
        <w:rPr>
          <w:rFonts w:ascii="Arial" w:hAnsi="Arial" w:cs="Arial"/>
          <w:i/>
          <w:iCs/>
          <w:sz w:val="24"/>
          <w:szCs w:val="24"/>
        </w:rPr>
        <w:t>Al que está por nacer se le considerará nacido para todo lo que le favorezca dentro de los límites establecidos por la Ley</w:t>
      </w:r>
      <w:r w:rsidRPr="00D05EFE">
        <w:rPr>
          <w:rFonts w:ascii="Arial" w:hAnsi="Arial" w:cs="Arial"/>
          <w:sz w:val="24"/>
          <w:szCs w:val="24"/>
        </w:rPr>
        <w:t>.</w:t>
      </w:r>
    </w:p>
    <w:p w14:paraId="7B6B0807"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rPr>
        <w:t xml:space="preserve">En enero de 2021, se presentó ante el Congreso Nacional un proyecto </w:t>
      </w:r>
      <w:r>
        <w:rPr>
          <w:rFonts w:ascii="Arial" w:hAnsi="Arial" w:cs="Arial"/>
          <w:sz w:val="24"/>
          <w:szCs w:val="24"/>
        </w:rPr>
        <w:t>de</w:t>
      </w:r>
      <w:r w:rsidRPr="00D05EFE">
        <w:rPr>
          <w:rFonts w:ascii="Arial" w:hAnsi="Arial" w:cs="Arial"/>
          <w:sz w:val="24"/>
          <w:szCs w:val="24"/>
        </w:rPr>
        <w:t xml:space="preserve"> reforma constitucional encaminado a la prohibición absoluta del aborto</w:t>
      </w:r>
      <w:r>
        <w:rPr>
          <w:rStyle w:val="FootnoteReference"/>
          <w:rFonts w:ascii="Arial" w:hAnsi="Arial" w:cs="Arial"/>
          <w:sz w:val="24"/>
          <w:szCs w:val="24"/>
        </w:rPr>
        <w:footnoteReference w:id="23"/>
      </w:r>
      <w:r w:rsidRPr="00D05EFE">
        <w:rPr>
          <w:rFonts w:ascii="Arial" w:hAnsi="Arial" w:cs="Arial"/>
          <w:sz w:val="24"/>
          <w:szCs w:val="24"/>
        </w:rPr>
        <w:t>.</w:t>
      </w:r>
    </w:p>
    <w:p w14:paraId="541FF5B8"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rPr>
        <w:t xml:space="preserve">Las modificaciones aprobadas en la reforma constitucional contradicen declaraciones internacionales sobre el derecho a la </w:t>
      </w:r>
      <w:r>
        <w:rPr>
          <w:rFonts w:ascii="Arial" w:hAnsi="Arial" w:cs="Arial"/>
          <w:sz w:val="24"/>
          <w:szCs w:val="24"/>
        </w:rPr>
        <w:t>SSR</w:t>
      </w:r>
      <w:r w:rsidRPr="00D05EFE">
        <w:rPr>
          <w:rFonts w:ascii="Arial" w:hAnsi="Arial" w:cs="Arial"/>
          <w:sz w:val="24"/>
          <w:szCs w:val="24"/>
        </w:rPr>
        <w:t xml:space="preserve">, y el respeto a la autonomía de las mujeres, en El Cairo 1994, Beijing 1997 y Nairobi 2019.  </w:t>
      </w:r>
    </w:p>
    <w:p w14:paraId="69227360"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lang w:val="es-ES"/>
        </w:rPr>
        <w:t>Desde 2006 a 2018 se han documentado 47 mujeres judicializadas por aborto</w:t>
      </w:r>
      <w:r>
        <w:rPr>
          <w:rFonts w:ascii="Arial" w:hAnsi="Arial" w:cs="Arial"/>
          <w:sz w:val="24"/>
          <w:szCs w:val="24"/>
          <w:lang w:val="es-ES"/>
        </w:rPr>
        <w:t>s</w:t>
      </w:r>
      <w:r w:rsidRPr="00D05EFE">
        <w:rPr>
          <w:rFonts w:ascii="Arial" w:hAnsi="Arial" w:cs="Arial"/>
          <w:sz w:val="24"/>
          <w:szCs w:val="24"/>
          <w:lang w:val="es-ES"/>
        </w:rPr>
        <w:t xml:space="preserve"> en </w:t>
      </w:r>
      <w:r>
        <w:rPr>
          <w:rFonts w:ascii="Arial" w:hAnsi="Arial" w:cs="Arial"/>
          <w:sz w:val="24"/>
          <w:szCs w:val="24"/>
          <w:lang w:val="es-ES"/>
        </w:rPr>
        <w:t>Honduras</w:t>
      </w:r>
      <w:r w:rsidRPr="00D05EFE">
        <w:rPr>
          <w:rFonts w:ascii="Arial" w:hAnsi="Arial" w:cs="Arial"/>
          <w:sz w:val="24"/>
          <w:szCs w:val="24"/>
          <w:lang w:val="es-ES"/>
        </w:rPr>
        <w:t xml:space="preserve">, de </w:t>
      </w:r>
      <w:r>
        <w:rPr>
          <w:rFonts w:ascii="Arial" w:hAnsi="Arial" w:cs="Arial"/>
          <w:sz w:val="24"/>
          <w:szCs w:val="24"/>
          <w:lang w:val="es-ES"/>
        </w:rPr>
        <w:t>las cuales</w:t>
      </w:r>
      <w:r w:rsidRPr="00D05EFE">
        <w:rPr>
          <w:rFonts w:ascii="Arial" w:hAnsi="Arial" w:cs="Arial"/>
          <w:sz w:val="24"/>
          <w:szCs w:val="24"/>
          <w:lang w:val="es-ES"/>
        </w:rPr>
        <w:t xml:space="preserve"> más del 40% tienen edades entre 18-29 años; cabe destacar que también hay menores de edad criminalizadas</w:t>
      </w:r>
      <w:r w:rsidRPr="00D05EFE">
        <w:rPr>
          <w:rStyle w:val="FootnoteReference"/>
          <w:rFonts w:ascii="Arial" w:hAnsi="Arial" w:cs="Arial"/>
          <w:sz w:val="24"/>
          <w:szCs w:val="24"/>
          <w:lang w:val="es-ES"/>
        </w:rPr>
        <w:footnoteReference w:id="24"/>
      </w:r>
      <w:r w:rsidRPr="00D05EFE">
        <w:rPr>
          <w:rFonts w:ascii="Arial" w:hAnsi="Arial" w:cs="Arial"/>
          <w:sz w:val="24"/>
          <w:szCs w:val="24"/>
          <w:lang w:val="es-ES"/>
        </w:rPr>
        <w:t>.</w:t>
      </w:r>
    </w:p>
    <w:p w14:paraId="69B11A6A"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Recomendaciones</w:t>
      </w:r>
    </w:p>
    <w:p w14:paraId="4A4F4DF7"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rPr>
        <w:t>Derogar la reforma constitucional que prohíbe el aborto en Honduras.</w:t>
      </w:r>
    </w:p>
    <w:p w14:paraId="5F6EE76D"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rPr>
        <w:t>Aprobar el aborto por tres causales</w:t>
      </w:r>
      <w:r>
        <w:rPr>
          <w:rStyle w:val="FootnoteReference"/>
          <w:rFonts w:ascii="Arial" w:hAnsi="Arial" w:cs="Arial"/>
          <w:sz w:val="24"/>
          <w:szCs w:val="24"/>
        </w:rPr>
        <w:footnoteReference w:id="25"/>
      </w:r>
      <w:r>
        <w:rPr>
          <w:rFonts w:ascii="Arial" w:hAnsi="Arial" w:cs="Arial"/>
          <w:sz w:val="24"/>
          <w:szCs w:val="24"/>
        </w:rPr>
        <w:t>.</w:t>
      </w:r>
      <w:r w:rsidRPr="00D05EFE">
        <w:rPr>
          <w:rFonts w:ascii="Arial" w:hAnsi="Arial" w:cs="Arial"/>
          <w:sz w:val="24"/>
          <w:szCs w:val="24"/>
        </w:rPr>
        <w:t xml:space="preserve"> </w:t>
      </w:r>
    </w:p>
    <w:p w14:paraId="3CB1339D" w14:textId="77777777" w:rsidR="00DA7E35" w:rsidRPr="00D05EFE" w:rsidRDefault="00DA7E35" w:rsidP="00DA7E35">
      <w:pPr>
        <w:pStyle w:val="ListParagraph"/>
        <w:jc w:val="both"/>
        <w:rPr>
          <w:rFonts w:ascii="Arial" w:hAnsi="Arial" w:cs="Arial"/>
          <w:sz w:val="24"/>
          <w:szCs w:val="24"/>
        </w:rPr>
      </w:pPr>
    </w:p>
    <w:p w14:paraId="7515E0E7"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 xml:space="preserve">Tema 5: </w:t>
      </w:r>
      <w:r w:rsidRPr="00D05EFE">
        <w:rPr>
          <w:rFonts w:ascii="Arial" w:hAnsi="Arial" w:cs="Arial"/>
          <w:b/>
          <w:bCs/>
          <w:sz w:val="24"/>
          <w:szCs w:val="24"/>
        </w:rPr>
        <w:tab/>
        <w:t>Migración y desplazamiento forzado en niñas</w:t>
      </w:r>
    </w:p>
    <w:p w14:paraId="6361FA13"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La primera caravana migrante rumbo a Estados Unidos salió de Honduras en octubre 2018 y a </w:t>
      </w:r>
      <w:r>
        <w:rPr>
          <w:rFonts w:ascii="Arial" w:hAnsi="Arial" w:cs="Arial"/>
          <w:sz w:val="24"/>
          <w:szCs w:val="24"/>
        </w:rPr>
        <w:t>marzo 2021</w:t>
      </w:r>
      <w:r w:rsidRPr="00D05EFE">
        <w:rPr>
          <w:rFonts w:ascii="Arial" w:hAnsi="Arial" w:cs="Arial"/>
          <w:sz w:val="24"/>
          <w:szCs w:val="24"/>
        </w:rPr>
        <w:t xml:space="preserve"> se tiene un registro de 15 caravanas que suman más de 37,000 personas</w:t>
      </w:r>
      <w:r>
        <w:rPr>
          <w:rFonts w:ascii="Arial" w:hAnsi="Arial" w:cs="Arial"/>
          <w:sz w:val="24"/>
          <w:szCs w:val="24"/>
        </w:rPr>
        <w:t xml:space="preserve"> desplazadas</w:t>
      </w:r>
      <w:r w:rsidRPr="00D05EFE">
        <w:rPr>
          <w:rStyle w:val="FootnoteReference"/>
          <w:rFonts w:ascii="Arial" w:hAnsi="Arial" w:cs="Arial"/>
          <w:sz w:val="24"/>
          <w:szCs w:val="24"/>
        </w:rPr>
        <w:footnoteReference w:id="26"/>
      </w:r>
      <w:r w:rsidRPr="00D05EFE">
        <w:rPr>
          <w:rFonts w:ascii="Arial" w:hAnsi="Arial" w:cs="Arial"/>
          <w:sz w:val="24"/>
          <w:szCs w:val="24"/>
        </w:rPr>
        <w:t>.</w:t>
      </w:r>
    </w:p>
    <w:p w14:paraId="40C383FE"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Entre 2016 a 2021 se han contabilizado 19,606 niñas retornadas, 158 niñas producto de las caravanas desarrolladas durante 2020</w:t>
      </w:r>
      <w:r>
        <w:rPr>
          <w:rFonts w:ascii="Arial" w:hAnsi="Arial" w:cs="Arial"/>
          <w:sz w:val="24"/>
          <w:szCs w:val="24"/>
        </w:rPr>
        <w:t xml:space="preserve"> y</w:t>
      </w:r>
      <w:r w:rsidRPr="00D05EFE">
        <w:rPr>
          <w:rFonts w:ascii="Arial" w:hAnsi="Arial" w:cs="Arial"/>
          <w:sz w:val="24"/>
          <w:szCs w:val="24"/>
        </w:rPr>
        <w:t xml:space="preserve"> 120 niñas durante las caravanas de 2021</w:t>
      </w:r>
      <w:r w:rsidRPr="00D05EFE">
        <w:rPr>
          <w:rStyle w:val="FootnoteReference"/>
          <w:rFonts w:ascii="Arial" w:hAnsi="Arial" w:cs="Arial"/>
          <w:sz w:val="24"/>
          <w:szCs w:val="24"/>
        </w:rPr>
        <w:footnoteReference w:id="27"/>
      </w:r>
      <w:r w:rsidRPr="00D05EFE">
        <w:rPr>
          <w:rFonts w:ascii="Arial" w:hAnsi="Arial" w:cs="Arial"/>
          <w:sz w:val="24"/>
          <w:szCs w:val="24"/>
        </w:rPr>
        <w:t>. Solo en marzo 2021, del total de menores retornados que viajaron acompañados (31), el 40% eran niñas y de 59 que viajaron solos(as) el 25% eran niñas.</w:t>
      </w:r>
    </w:p>
    <w:p w14:paraId="27AB7FFE"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La migración irregular expone a niñas y mujeres a múltiples riesgos</w:t>
      </w:r>
      <w:r>
        <w:rPr>
          <w:rFonts w:ascii="Arial" w:hAnsi="Arial" w:cs="Arial"/>
          <w:sz w:val="24"/>
          <w:szCs w:val="24"/>
        </w:rPr>
        <w:t>:</w:t>
      </w:r>
      <w:r w:rsidRPr="00D05EFE">
        <w:rPr>
          <w:rFonts w:ascii="Arial" w:hAnsi="Arial" w:cs="Arial"/>
          <w:sz w:val="24"/>
          <w:szCs w:val="24"/>
        </w:rPr>
        <w:t xml:space="preserve"> violencia sexual, embarazos producto de violaciones, matrimonios y uniones infantiles, trata de personas con fines de explotación sexual, tráfico de órganos</w:t>
      </w:r>
      <w:r>
        <w:rPr>
          <w:rFonts w:ascii="Arial" w:hAnsi="Arial" w:cs="Arial"/>
          <w:sz w:val="24"/>
          <w:szCs w:val="24"/>
        </w:rPr>
        <w:t>,</w:t>
      </w:r>
      <w:r w:rsidRPr="00D05EFE">
        <w:rPr>
          <w:rFonts w:ascii="Arial" w:hAnsi="Arial" w:cs="Arial"/>
          <w:sz w:val="24"/>
          <w:szCs w:val="24"/>
        </w:rPr>
        <w:t xml:space="preserve"> explotación laboral, entre otros.</w:t>
      </w:r>
    </w:p>
    <w:p w14:paraId="7959E925"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No existen datos oficiales desagregados de niñas y mujeres jóvenes pertenecientes a grupos </w:t>
      </w:r>
      <w:r>
        <w:rPr>
          <w:rFonts w:ascii="Arial" w:hAnsi="Arial" w:cs="Arial"/>
          <w:sz w:val="24"/>
          <w:szCs w:val="24"/>
        </w:rPr>
        <w:t>excluidos</w:t>
      </w:r>
      <w:r w:rsidRPr="00D05EFE">
        <w:rPr>
          <w:rFonts w:ascii="Arial" w:hAnsi="Arial" w:cs="Arial"/>
          <w:sz w:val="24"/>
          <w:szCs w:val="24"/>
        </w:rPr>
        <w:t xml:space="preserve"> (niñas LGBTIQ, niñas en situación de discapacidad, niñas indígenas, etc.), a pesar de que </w:t>
      </w:r>
      <w:r>
        <w:rPr>
          <w:rFonts w:ascii="Arial" w:hAnsi="Arial" w:cs="Arial"/>
          <w:sz w:val="24"/>
          <w:szCs w:val="24"/>
        </w:rPr>
        <w:t>se evidencian</w:t>
      </w:r>
      <w:r w:rsidRPr="00D05EFE">
        <w:rPr>
          <w:rFonts w:ascii="Arial" w:hAnsi="Arial" w:cs="Arial"/>
          <w:sz w:val="24"/>
          <w:szCs w:val="24"/>
        </w:rPr>
        <w:t xml:space="preserve"> muchas mujeres jóvenes Trans que se unen a las caravanas para huir de la violencia y la discriminación</w:t>
      </w:r>
      <w:r w:rsidRPr="00D05EFE">
        <w:rPr>
          <w:rStyle w:val="FootnoteReference"/>
          <w:rFonts w:ascii="Arial" w:hAnsi="Arial" w:cs="Arial"/>
          <w:sz w:val="24"/>
          <w:szCs w:val="24"/>
        </w:rPr>
        <w:footnoteReference w:id="28"/>
      </w:r>
      <w:r w:rsidRPr="00D05EFE">
        <w:rPr>
          <w:rFonts w:ascii="Arial" w:hAnsi="Arial" w:cs="Arial"/>
          <w:sz w:val="24"/>
          <w:szCs w:val="24"/>
        </w:rPr>
        <w:t xml:space="preserve">. </w:t>
      </w:r>
    </w:p>
    <w:p w14:paraId="09522149" w14:textId="77777777" w:rsidR="00DA7E35" w:rsidRPr="00D05EFE" w:rsidRDefault="00DA7E35" w:rsidP="00DA7E35">
      <w:pPr>
        <w:rPr>
          <w:rFonts w:ascii="Arial" w:hAnsi="Arial" w:cs="Arial"/>
          <w:b/>
          <w:bCs/>
          <w:sz w:val="24"/>
          <w:szCs w:val="24"/>
        </w:rPr>
      </w:pPr>
      <w:bookmarkStart w:id="4" w:name="_Hlk70850302"/>
      <w:r w:rsidRPr="00D05EFE">
        <w:rPr>
          <w:rFonts w:ascii="Arial" w:hAnsi="Arial" w:cs="Arial"/>
          <w:b/>
          <w:bCs/>
          <w:sz w:val="24"/>
          <w:szCs w:val="24"/>
        </w:rPr>
        <w:t>Recomendaciones</w:t>
      </w:r>
    </w:p>
    <w:p w14:paraId="2ED3B647"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Brindar atención diferenciada a niñas, mujeres y grupos exclu</w:t>
      </w:r>
      <w:r>
        <w:rPr>
          <w:rFonts w:ascii="Arial" w:hAnsi="Arial" w:cs="Arial"/>
          <w:sz w:val="24"/>
          <w:szCs w:val="24"/>
        </w:rPr>
        <w:t>idos</w:t>
      </w:r>
      <w:r w:rsidRPr="00D05EFE">
        <w:rPr>
          <w:rFonts w:ascii="Arial" w:hAnsi="Arial" w:cs="Arial"/>
          <w:sz w:val="24"/>
          <w:szCs w:val="24"/>
        </w:rPr>
        <w:t xml:space="preserve"> incluyendo la habilitación</w:t>
      </w:r>
      <w:r>
        <w:rPr>
          <w:rFonts w:ascii="Arial" w:hAnsi="Arial" w:cs="Arial"/>
          <w:sz w:val="24"/>
          <w:szCs w:val="24"/>
        </w:rPr>
        <w:t xml:space="preserve"> de</w:t>
      </w:r>
      <w:r w:rsidRPr="00D05EFE">
        <w:rPr>
          <w:rFonts w:ascii="Arial" w:hAnsi="Arial" w:cs="Arial"/>
          <w:sz w:val="24"/>
          <w:szCs w:val="24"/>
        </w:rPr>
        <w:t xml:space="preserve"> sitios de información y atención en </w:t>
      </w:r>
      <w:r>
        <w:rPr>
          <w:rFonts w:ascii="Arial" w:hAnsi="Arial" w:cs="Arial"/>
          <w:sz w:val="24"/>
          <w:szCs w:val="24"/>
        </w:rPr>
        <w:t>SSR</w:t>
      </w:r>
      <w:r w:rsidRPr="00D05EFE">
        <w:rPr>
          <w:rFonts w:ascii="Arial" w:hAnsi="Arial" w:cs="Arial"/>
          <w:sz w:val="24"/>
          <w:szCs w:val="24"/>
        </w:rPr>
        <w:t xml:space="preserve"> y </w:t>
      </w:r>
      <w:r>
        <w:rPr>
          <w:rFonts w:ascii="Arial" w:hAnsi="Arial" w:cs="Arial"/>
          <w:sz w:val="24"/>
          <w:szCs w:val="24"/>
        </w:rPr>
        <w:t>VBG</w:t>
      </w:r>
      <w:r w:rsidRPr="00D05EFE">
        <w:rPr>
          <w:rFonts w:ascii="Arial" w:hAnsi="Arial" w:cs="Arial"/>
          <w:sz w:val="24"/>
          <w:szCs w:val="24"/>
        </w:rPr>
        <w:t xml:space="preserve"> en los puntos de salida del país y centros de recepción de emigrantes retornados.</w:t>
      </w:r>
    </w:p>
    <w:p w14:paraId="0B048395"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Asegurar </w:t>
      </w:r>
      <w:r>
        <w:rPr>
          <w:rFonts w:ascii="Arial" w:hAnsi="Arial" w:cs="Arial"/>
          <w:sz w:val="24"/>
          <w:szCs w:val="24"/>
        </w:rPr>
        <w:t xml:space="preserve">la </w:t>
      </w:r>
      <w:r w:rsidRPr="00D05EFE">
        <w:rPr>
          <w:rFonts w:ascii="Arial" w:hAnsi="Arial" w:cs="Arial"/>
          <w:sz w:val="24"/>
          <w:szCs w:val="24"/>
        </w:rPr>
        <w:t>desagregación por sexo</w:t>
      </w:r>
      <w:r>
        <w:rPr>
          <w:rFonts w:ascii="Arial" w:hAnsi="Arial" w:cs="Arial"/>
          <w:sz w:val="24"/>
          <w:szCs w:val="24"/>
        </w:rPr>
        <w:t>,</w:t>
      </w:r>
      <w:r w:rsidRPr="00D05EFE">
        <w:rPr>
          <w:rFonts w:ascii="Arial" w:hAnsi="Arial" w:cs="Arial"/>
          <w:sz w:val="24"/>
          <w:szCs w:val="24"/>
        </w:rPr>
        <w:t xml:space="preserve"> edad </w:t>
      </w:r>
      <w:r>
        <w:rPr>
          <w:rFonts w:ascii="Arial" w:hAnsi="Arial" w:cs="Arial"/>
          <w:sz w:val="24"/>
          <w:szCs w:val="24"/>
        </w:rPr>
        <w:t>y</w:t>
      </w:r>
      <w:r w:rsidRPr="00D05EFE">
        <w:rPr>
          <w:rFonts w:ascii="Arial" w:hAnsi="Arial" w:cs="Arial"/>
          <w:sz w:val="24"/>
          <w:szCs w:val="24"/>
        </w:rPr>
        <w:t xml:space="preserve"> pertenencia a poblaciones en situación de exclusión </w:t>
      </w:r>
      <w:r>
        <w:rPr>
          <w:rFonts w:ascii="Arial" w:hAnsi="Arial" w:cs="Arial"/>
          <w:sz w:val="24"/>
          <w:szCs w:val="24"/>
        </w:rPr>
        <w:t>en</w:t>
      </w:r>
      <w:r w:rsidRPr="00D05EFE">
        <w:rPr>
          <w:rFonts w:ascii="Arial" w:hAnsi="Arial" w:cs="Arial"/>
          <w:sz w:val="24"/>
          <w:szCs w:val="24"/>
        </w:rPr>
        <w:t xml:space="preserve"> el registro de datos sobre población migrante.</w:t>
      </w:r>
    </w:p>
    <w:bookmarkEnd w:id="4"/>
    <w:p w14:paraId="4738B109" w14:textId="77777777" w:rsidR="00DA7E35" w:rsidRPr="00D05EFE" w:rsidRDefault="00DA7E35" w:rsidP="00DA7E35">
      <w:pPr>
        <w:rPr>
          <w:rFonts w:ascii="Arial" w:hAnsi="Arial" w:cs="Arial"/>
          <w:b/>
          <w:bCs/>
          <w:sz w:val="24"/>
          <w:szCs w:val="24"/>
        </w:rPr>
      </w:pPr>
    </w:p>
    <w:p w14:paraId="64EC922A" w14:textId="61A16EF8" w:rsidR="00DA7E35" w:rsidRPr="00D05EFE" w:rsidRDefault="00DA7E35" w:rsidP="00DA7E35">
      <w:pPr>
        <w:rPr>
          <w:rFonts w:ascii="Arial" w:hAnsi="Arial" w:cs="Arial"/>
          <w:b/>
          <w:bCs/>
          <w:sz w:val="24"/>
          <w:szCs w:val="24"/>
        </w:rPr>
      </w:pPr>
      <w:r w:rsidRPr="00D05EFE">
        <w:rPr>
          <w:rFonts w:ascii="Arial" w:hAnsi="Arial" w:cs="Arial"/>
          <w:b/>
          <w:bCs/>
          <w:sz w:val="24"/>
          <w:szCs w:val="24"/>
        </w:rPr>
        <w:t>Tema 6:</w:t>
      </w:r>
      <w:r w:rsidR="004C1BBE">
        <w:rPr>
          <w:rFonts w:ascii="Arial" w:hAnsi="Arial" w:cs="Arial"/>
          <w:b/>
          <w:bCs/>
          <w:sz w:val="24"/>
          <w:szCs w:val="24"/>
        </w:rPr>
        <w:t xml:space="preserve"> </w:t>
      </w:r>
      <w:r w:rsidRPr="00D05EFE">
        <w:rPr>
          <w:rFonts w:ascii="Arial" w:hAnsi="Arial" w:cs="Arial"/>
          <w:b/>
          <w:bCs/>
          <w:sz w:val="24"/>
          <w:szCs w:val="24"/>
        </w:rPr>
        <w:t>Covid-19 en niñas y mujeres jóvenes</w:t>
      </w:r>
    </w:p>
    <w:p w14:paraId="62B044AD" w14:textId="77777777" w:rsidR="00DA7E35" w:rsidRPr="00D05EFE" w:rsidRDefault="00DA7E35" w:rsidP="00DA7E35">
      <w:pPr>
        <w:pStyle w:val="ListParagraph"/>
        <w:numPr>
          <w:ilvl w:val="0"/>
          <w:numId w:val="1"/>
        </w:numPr>
        <w:spacing w:line="276" w:lineRule="auto"/>
        <w:jc w:val="both"/>
        <w:rPr>
          <w:rFonts w:ascii="Arial" w:eastAsia="Times New Roman" w:hAnsi="Arial" w:cs="Arial"/>
          <w:sz w:val="24"/>
          <w:szCs w:val="24"/>
          <w:lang w:eastAsia="es-HN"/>
        </w:rPr>
      </w:pPr>
      <w:r w:rsidRPr="00D05EFE">
        <w:rPr>
          <w:rFonts w:ascii="Arial" w:eastAsia="Times New Roman" w:hAnsi="Arial" w:cs="Arial"/>
          <w:sz w:val="24"/>
          <w:szCs w:val="24"/>
          <w:lang w:eastAsia="es-HN"/>
        </w:rPr>
        <w:t>Durante los primeros 9 meses de pandemia se realizó la publicación de datos desagregados por edad y sexo sobre casos de COVID-19 lo cual permitía hacer estimaciones diferenciadas de la enfermedad. La última desagregación realizada al 5 de enero de 2021, evidenció 4,926 casos en niñas contagiadas de 0 a 18 años con un total de 19 muertes y 3,866 mujeres jóvenes de 19 a 24 años con un total de 16 muertes</w:t>
      </w:r>
      <w:r>
        <w:rPr>
          <w:rFonts w:ascii="Arial" w:eastAsia="Times New Roman" w:hAnsi="Arial" w:cs="Arial"/>
          <w:sz w:val="24"/>
          <w:szCs w:val="24"/>
          <w:lang w:eastAsia="es-HN"/>
        </w:rPr>
        <w:t>, sin embargo, en 2021 esto dejó de hacerse.</w:t>
      </w:r>
      <w:r w:rsidRPr="00D05EFE">
        <w:rPr>
          <w:rStyle w:val="FootnoteReference"/>
          <w:rFonts w:ascii="Arial" w:eastAsia="Times New Roman" w:hAnsi="Arial" w:cs="Arial"/>
          <w:sz w:val="24"/>
          <w:szCs w:val="24"/>
          <w:lang w:eastAsia="es-HN"/>
        </w:rPr>
        <w:footnoteReference w:id="29"/>
      </w:r>
      <w:r w:rsidRPr="00D05EFE">
        <w:rPr>
          <w:rFonts w:ascii="Arial" w:eastAsia="Times New Roman" w:hAnsi="Arial" w:cs="Arial"/>
          <w:sz w:val="24"/>
          <w:szCs w:val="24"/>
          <w:lang w:eastAsia="es-HN"/>
        </w:rPr>
        <w:t>.</w:t>
      </w:r>
    </w:p>
    <w:p w14:paraId="1F477E83" w14:textId="77777777" w:rsidR="00DA7E35" w:rsidRPr="00D05EFE" w:rsidRDefault="00DA7E35" w:rsidP="00DA7E35">
      <w:pPr>
        <w:pStyle w:val="ListParagraph"/>
        <w:numPr>
          <w:ilvl w:val="0"/>
          <w:numId w:val="1"/>
        </w:numPr>
        <w:spacing w:line="276" w:lineRule="auto"/>
        <w:jc w:val="both"/>
        <w:rPr>
          <w:rFonts w:ascii="Arial" w:eastAsia="Times New Roman" w:hAnsi="Arial" w:cs="Arial"/>
          <w:sz w:val="24"/>
          <w:szCs w:val="24"/>
          <w:lang w:eastAsia="es-HN"/>
        </w:rPr>
      </w:pPr>
      <w:r w:rsidRPr="00D05EFE">
        <w:rPr>
          <w:rFonts w:ascii="Arial" w:eastAsia="Times New Roman" w:hAnsi="Arial" w:cs="Arial"/>
          <w:sz w:val="24"/>
          <w:szCs w:val="24"/>
          <w:lang w:eastAsia="es-HN"/>
        </w:rPr>
        <w:t xml:space="preserve">Durante la pandemia por COVID 19, los servicios de </w:t>
      </w:r>
      <w:r>
        <w:rPr>
          <w:rFonts w:ascii="Arial" w:eastAsia="Times New Roman" w:hAnsi="Arial" w:cs="Arial"/>
          <w:sz w:val="24"/>
          <w:szCs w:val="24"/>
          <w:lang w:eastAsia="es-HN"/>
        </w:rPr>
        <w:t>SSR</w:t>
      </w:r>
      <w:r w:rsidRPr="00D05EFE">
        <w:rPr>
          <w:rFonts w:ascii="Arial" w:eastAsia="Times New Roman" w:hAnsi="Arial" w:cs="Arial"/>
          <w:sz w:val="24"/>
          <w:szCs w:val="24"/>
          <w:lang w:eastAsia="es-HN"/>
        </w:rPr>
        <w:t xml:space="preserve"> han estado suspendidos lo cual afecta el acceso a métodos anticonceptivos, tratamiento por infecciones de transmisión sexual, atención durante embarazo y parto, entre otros.</w:t>
      </w:r>
    </w:p>
    <w:p w14:paraId="14CD1D04" w14:textId="77777777" w:rsidR="00DA7E35" w:rsidRPr="00D05EFE" w:rsidRDefault="00DA7E35" w:rsidP="00DA7E35">
      <w:pPr>
        <w:pStyle w:val="ListParagraph"/>
        <w:numPr>
          <w:ilvl w:val="0"/>
          <w:numId w:val="1"/>
        </w:numPr>
        <w:jc w:val="both"/>
        <w:rPr>
          <w:rFonts w:ascii="Arial" w:eastAsia="Times New Roman" w:hAnsi="Arial" w:cs="Arial"/>
          <w:sz w:val="24"/>
          <w:szCs w:val="24"/>
          <w:lang w:eastAsia="es-HN"/>
        </w:rPr>
      </w:pPr>
      <w:r w:rsidRPr="00D05EFE">
        <w:rPr>
          <w:rFonts w:ascii="Arial" w:eastAsia="Times New Roman" w:hAnsi="Arial" w:cs="Arial"/>
          <w:sz w:val="24"/>
          <w:szCs w:val="24"/>
          <w:lang w:eastAsia="es-HN"/>
        </w:rPr>
        <w:t>En 2020, el reporte de partos atendidos a nivel institucional muestra una disminución de 19,052 de los cuales 690 fueron en menores de 14 años</w:t>
      </w:r>
      <w:r>
        <w:rPr>
          <w:rStyle w:val="FootnoteReference"/>
          <w:rFonts w:ascii="Arial" w:eastAsia="Times New Roman" w:hAnsi="Arial" w:cs="Arial"/>
          <w:sz w:val="24"/>
          <w:szCs w:val="24"/>
          <w:lang w:eastAsia="es-HN"/>
        </w:rPr>
        <w:footnoteReference w:id="30"/>
      </w:r>
      <w:r w:rsidRPr="00D05EFE">
        <w:rPr>
          <w:rFonts w:ascii="Arial" w:eastAsia="Times New Roman" w:hAnsi="Arial" w:cs="Arial"/>
          <w:sz w:val="24"/>
          <w:szCs w:val="24"/>
          <w:lang w:eastAsia="es-HN"/>
        </w:rPr>
        <w:t xml:space="preserve">. </w:t>
      </w:r>
    </w:p>
    <w:p w14:paraId="1BDEE97D" w14:textId="77777777" w:rsidR="00DA7E35" w:rsidRPr="00D05EFE" w:rsidRDefault="00DA7E35" w:rsidP="00DA7E35">
      <w:pPr>
        <w:pStyle w:val="ListParagraph"/>
        <w:numPr>
          <w:ilvl w:val="0"/>
          <w:numId w:val="1"/>
        </w:numPr>
        <w:spacing w:line="276" w:lineRule="auto"/>
        <w:jc w:val="both"/>
        <w:rPr>
          <w:rFonts w:ascii="Arial" w:eastAsia="Times New Roman" w:hAnsi="Arial" w:cs="Arial"/>
          <w:sz w:val="24"/>
          <w:szCs w:val="24"/>
          <w:lang w:eastAsia="es-HN"/>
        </w:rPr>
      </w:pPr>
      <w:r>
        <w:rPr>
          <w:rFonts w:ascii="Arial" w:eastAsia="Times New Roman" w:hAnsi="Arial" w:cs="Arial"/>
          <w:sz w:val="24"/>
          <w:szCs w:val="24"/>
          <w:lang w:eastAsia="es-HN"/>
        </w:rPr>
        <w:t>M</w:t>
      </w:r>
      <w:r w:rsidRPr="00D05EFE">
        <w:rPr>
          <w:rFonts w:ascii="Arial" w:eastAsia="Times New Roman" w:hAnsi="Arial" w:cs="Arial"/>
          <w:sz w:val="24"/>
          <w:szCs w:val="24"/>
          <w:lang w:eastAsia="es-HN"/>
        </w:rPr>
        <w:t xml:space="preserve">uchas niñas han visto limitado su ingreso o continuidad en el sistema educativo debido a que no cuentan con internet en sus casas, equipos tecnológicos e incluso energía eléctrica estable en </w:t>
      </w:r>
      <w:r>
        <w:rPr>
          <w:rFonts w:ascii="Arial" w:eastAsia="Times New Roman" w:hAnsi="Arial" w:cs="Arial"/>
          <w:sz w:val="24"/>
          <w:szCs w:val="24"/>
          <w:lang w:eastAsia="es-HN"/>
        </w:rPr>
        <w:t>vari</w:t>
      </w:r>
      <w:r w:rsidRPr="00D05EFE">
        <w:rPr>
          <w:rFonts w:ascii="Arial" w:eastAsia="Times New Roman" w:hAnsi="Arial" w:cs="Arial"/>
          <w:sz w:val="24"/>
          <w:szCs w:val="24"/>
          <w:lang w:eastAsia="es-HN"/>
        </w:rPr>
        <w:t xml:space="preserve">as zonas rurales del país. </w:t>
      </w:r>
      <w:r>
        <w:rPr>
          <w:rFonts w:ascii="Arial" w:eastAsia="Times New Roman" w:hAnsi="Arial" w:cs="Arial"/>
          <w:sz w:val="24"/>
          <w:szCs w:val="24"/>
          <w:lang w:eastAsia="es-HN"/>
        </w:rPr>
        <w:t>A ello se suma la carga del</w:t>
      </w:r>
      <w:r w:rsidRPr="00D05EFE">
        <w:rPr>
          <w:rFonts w:ascii="Arial" w:eastAsia="Times New Roman" w:hAnsi="Arial" w:cs="Arial"/>
          <w:sz w:val="24"/>
          <w:szCs w:val="24"/>
          <w:lang w:eastAsia="es-HN"/>
        </w:rPr>
        <w:t xml:space="preserve"> trabajo doméstico y de cuidado</w:t>
      </w:r>
      <w:r>
        <w:rPr>
          <w:rFonts w:ascii="Arial" w:eastAsia="Times New Roman" w:hAnsi="Arial" w:cs="Arial"/>
          <w:sz w:val="24"/>
          <w:szCs w:val="24"/>
          <w:lang w:eastAsia="es-HN"/>
        </w:rPr>
        <w:t xml:space="preserve"> que aumenta durante el confinamiento</w:t>
      </w:r>
      <w:r w:rsidRPr="00D05EFE">
        <w:rPr>
          <w:rFonts w:ascii="Arial" w:eastAsia="Times New Roman" w:hAnsi="Arial" w:cs="Arial"/>
          <w:sz w:val="24"/>
          <w:szCs w:val="24"/>
          <w:lang w:eastAsia="es-HN"/>
        </w:rPr>
        <w:t>.</w:t>
      </w:r>
    </w:p>
    <w:p w14:paraId="51B01B61"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Recomendaciones:</w:t>
      </w:r>
    </w:p>
    <w:p w14:paraId="6C173034"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Publicar los datos epidemiológicos de COVID 19 desagregados por edad y sexo.</w:t>
      </w:r>
    </w:p>
    <w:p w14:paraId="50A11E2C"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Asegurar la atención en </w:t>
      </w:r>
      <w:r>
        <w:rPr>
          <w:rFonts w:ascii="Arial" w:hAnsi="Arial" w:cs="Arial"/>
          <w:sz w:val="24"/>
          <w:szCs w:val="24"/>
        </w:rPr>
        <w:t>SSR</w:t>
      </w:r>
      <w:r w:rsidRPr="00D05EFE">
        <w:rPr>
          <w:rFonts w:ascii="Arial" w:hAnsi="Arial" w:cs="Arial"/>
          <w:sz w:val="24"/>
          <w:szCs w:val="24"/>
        </w:rPr>
        <w:t xml:space="preserve"> en centros de salud y hospitales a nivel nacional durante la pandemia.</w:t>
      </w:r>
    </w:p>
    <w:p w14:paraId="500F4B62"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 xml:space="preserve">Asegurar respuesta oportuna y protección </w:t>
      </w:r>
      <w:r>
        <w:rPr>
          <w:rFonts w:ascii="Arial" w:hAnsi="Arial" w:cs="Arial"/>
          <w:sz w:val="24"/>
          <w:szCs w:val="24"/>
        </w:rPr>
        <w:t>para</w:t>
      </w:r>
      <w:r w:rsidRPr="00D05EFE">
        <w:rPr>
          <w:rFonts w:ascii="Arial" w:hAnsi="Arial" w:cs="Arial"/>
          <w:sz w:val="24"/>
          <w:szCs w:val="24"/>
        </w:rPr>
        <w:t xml:space="preserve"> niñas y mujeres que denuncian VBG durante la pandemia.</w:t>
      </w:r>
    </w:p>
    <w:p w14:paraId="75CBE0CA"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Desarrollar una estrategia presupuestada para la incorporación efectiva de la niñez en el sistema educativo poniendo énfasis en las niñas.</w:t>
      </w:r>
    </w:p>
    <w:p w14:paraId="297B9EB2" w14:textId="77777777" w:rsidR="00DA7E35" w:rsidRPr="00D05EFE" w:rsidRDefault="00DA7E35" w:rsidP="00DA7E35">
      <w:pPr>
        <w:rPr>
          <w:rFonts w:ascii="Arial" w:hAnsi="Arial" w:cs="Arial"/>
          <w:b/>
          <w:bCs/>
          <w:sz w:val="24"/>
          <w:szCs w:val="24"/>
        </w:rPr>
      </w:pPr>
    </w:p>
    <w:p w14:paraId="0683C924"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Tema 7:</w:t>
      </w:r>
      <w:r w:rsidRPr="00D05EFE">
        <w:rPr>
          <w:rFonts w:ascii="Arial" w:hAnsi="Arial" w:cs="Arial"/>
          <w:b/>
          <w:bCs/>
          <w:sz w:val="24"/>
          <w:szCs w:val="24"/>
        </w:rPr>
        <w:tab/>
        <w:t xml:space="preserve">Salud mental de niñas y mujeres jóvenes </w:t>
      </w:r>
    </w:p>
    <w:p w14:paraId="08C81F95" w14:textId="77777777" w:rsidR="00DA7E35" w:rsidRPr="00D05EFE"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D05EFE">
        <w:rPr>
          <w:rFonts w:ascii="Arial" w:hAnsi="Arial" w:cs="Arial"/>
          <w:sz w:val="24"/>
          <w:szCs w:val="24"/>
        </w:rPr>
        <w:t xml:space="preserve">Honduras cuenta con 2 hospitales psiquiátricos públicos a nivel nacional que brindan atención ambulatoria y hospitalización a toda la población hondureña. </w:t>
      </w:r>
    </w:p>
    <w:p w14:paraId="00703EC5" w14:textId="77777777" w:rsidR="00DA7E35" w:rsidRPr="004C1BBE" w:rsidRDefault="00DA7E35" w:rsidP="00DA7E35">
      <w:pPr>
        <w:pStyle w:val="ListParagraph"/>
        <w:numPr>
          <w:ilvl w:val="0"/>
          <w:numId w:val="1"/>
        </w:numPr>
        <w:autoSpaceDE w:val="0"/>
        <w:autoSpaceDN w:val="0"/>
        <w:adjustRightInd w:val="0"/>
        <w:spacing w:after="0" w:line="276" w:lineRule="auto"/>
        <w:jc w:val="both"/>
      </w:pPr>
      <w:r w:rsidRPr="00D05EFE">
        <w:rPr>
          <w:rFonts w:ascii="Arial" w:hAnsi="Arial" w:cs="Arial"/>
          <w:sz w:val="24"/>
          <w:szCs w:val="24"/>
        </w:rPr>
        <w:t xml:space="preserve">Las niñas y mujeres que interponen denuncias por diferentes tipos de </w:t>
      </w:r>
      <w:r>
        <w:rPr>
          <w:rFonts w:ascii="Arial" w:hAnsi="Arial" w:cs="Arial"/>
          <w:sz w:val="24"/>
          <w:szCs w:val="24"/>
        </w:rPr>
        <w:t>VBG</w:t>
      </w:r>
      <w:r w:rsidRPr="00D05EFE">
        <w:rPr>
          <w:rFonts w:ascii="Arial" w:hAnsi="Arial" w:cs="Arial"/>
          <w:sz w:val="24"/>
          <w:szCs w:val="24"/>
        </w:rPr>
        <w:t xml:space="preserve"> están desprovistas de atención psicológica sostenida y especializada para </w:t>
      </w:r>
      <w:r>
        <w:rPr>
          <w:rFonts w:ascii="Arial" w:hAnsi="Arial" w:cs="Arial"/>
          <w:sz w:val="24"/>
          <w:szCs w:val="24"/>
        </w:rPr>
        <w:t>estos</w:t>
      </w:r>
      <w:r w:rsidRPr="00D05EFE">
        <w:rPr>
          <w:rFonts w:ascii="Arial" w:hAnsi="Arial" w:cs="Arial"/>
          <w:sz w:val="24"/>
          <w:szCs w:val="24"/>
        </w:rPr>
        <w:t xml:space="preserve"> casos por parte del Estado de Honduras</w:t>
      </w:r>
      <w:r w:rsidRPr="004C1BBE">
        <w:rPr>
          <w:rFonts w:ascii="Arial" w:hAnsi="Arial" w:cs="Arial"/>
          <w:sz w:val="24"/>
          <w:szCs w:val="24"/>
        </w:rPr>
        <w:footnoteReference w:id="31"/>
      </w:r>
      <w:r w:rsidRPr="00D05EFE">
        <w:rPr>
          <w:rFonts w:ascii="Arial" w:hAnsi="Arial" w:cs="Arial"/>
          <w:sz w:val="24"/>
          <w:szCs w:val="24"/>
        </w:rPr>
        <w:t xml:space="preserve">. </w:t>
      </w:r>
      <w:r w:rsidRPr="004C1BBE">
        <w:rPr>
          <w:rFonts w:ascii="Arial" w:hAnsi="Arial" w:cs="Arial"/>
          <w:sz w:val="24"/>
          <w:szCs w:val="24"/>
        </w:rPr>
        <w:t>Siendo sociedad civil quien brinda la atención y acompañamiento a estos casos.</w:t>
      </w:r>
      <w:r w:rsidRPr="004C1BBE">
        <w:t xml:space="preserve"> </w:t>
      </w:r>
    </w:p>
    <w:p w14:paraId="6D24C269" w14:textId="77777777" w:rsidR="00DA7E35" w:rsidRPr="00D05EFE"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4C1BBE">
        <w:rPr>
          <w:rFonts w:ascii="Arial" w:hAnsi="Arial" w:cs="Arial"/>
          <w:sz w:val="24"/>
          <w:szCs w:val="24"/>
        </w:rPr>
        <w:t xml:space="preserve">Entre 2016 y 2020, Médicos Sin Fronteras brindó </w:t>
      </w:r>
      <w:r w:rsidRPr="00D05EFE">
        <w:rPr>
          <w:rFonts w:ascii="Arial" w:hAnsi="Arial" w:cs="Arial"/>
          <w:sz w:val="24"/>
          <w:szCs w:val="24"/>
        </w:rPr>
        <w:t>16,900 consultas de salud mental, a un total de 5,877 pacientes que han sufrido violencia sexual u otras situaciones de violencia, de la cuales 34% de víctimas fueron menores de 18 años y 82% mujeres</w:t>
      </w:r>
      <w:r w:rsidRPr="00D05EFE">
        <w:rPr>
          <w:rStyle w:val="FootnoteReference"/>
          <w:rFonts w:ascii="Arial" w:hAnsi="Arial" w:cs="Arial"/>
          <w:sz w:val="24"/>
          <w:szCs w:val="24"/>
        </w:rPr>
        <w:footnoteReference w:id="32"/>
      </w:r>
      <w:r w:rsidRPr="00D05EFE">
        <w:rPr>
          <w:rFonts w:ascii="Arial" w:hAnsi="Arial" w:cs="Arial"/>
          <w:sz w:val="24"/>
          <w:szCs w:val="24"/>
        </w:rPr>
        <w:t>.</w:t>
      </w:r>
    </w:p>
    <w:p w14:paraId="364334DA" w14:textId="77777777" w:rsidR="00DA7E35" w:rsidRPr="00D05EFE"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D05EFE">
        <w:rPr>
          <w:rFonts w:ascii="Arial" w:hAnsi="Arial" w:cs="Arial"/>
          <w:sz w:val="24"/>
          <w:szCs w:val="24"/>
        </w:rPr>
        <w:t>En 2020</w:t>
      </w:r>
      <w:r>
        <w:rPr>
          <w:rFonts w:ascii="Arial" w:hAnsi="Arial" w:cs="Arial"/>
          <w:sz w:val="24"/>
          <w:szCs w:val="24"/>
        </w:rPr>
        <w:t>,</w:t>
      </w:r>
      <w:r w:rsidRPr="00D05EFE">
        <w:rPr>
          <w:rFonts w:ascii="Arial" w:hAnsi="Arial" w:cs="Arial"/>
          <w:sz w:val="24"/>
          <w:szCs w:val="24"/>
        </w:rPr>
        <w:t xml:space="preserve"> del total de egresos por trastornos mentales en los principales hospitales, el 27% correspondió a mujeres; de estas el 17% fue</w:t>
      </w:r>
      <w:r>
        <w:rPr>
          <w:rFonts w:ascii="Arial" w:hAnsi="Arial" w:cs="Arial"/>
          <w:sz w:val="24"/>
          <w:szCs w:val="24"/>
        </w:rPr>
        <w:t>ron</w:t>
      </w:r>
      <w:r w:rsidRPr="00D05EFE">
        <w:rPr>
          <w:rFonts w:ascii="Arial" w:hAnsi="Arial" w:cs="Arial"/>
          <w:sz w:val="24"/>
          <w:szCs w:val="24"/>
        </w:rPr>
        <w:t xml:space="preserve"> niñas entre 10-19 años. La principal razón de </w:t>
      </w:r>
      <w:r>
        <w:rPr>
          <w:rFonts w:ascii="Arial" w:hAnsi="Arial" w:cs="Arial"/>
          <w:sz w:val="24"/>
          <w:szCs w:val="24"/>
        </w:rPr>
        <w:t xml:space="preserve">estos </w:t>
      </w:r>
      <w:r w:rsidRPr="00D05EFE">
        <w:rPr>
          <w:rFonts w:ascii="Arial" w:hAnsi="Arial" w:cs="Arial"/>
          <w:sz w:val="24"/>
          <w:szCs w:val="24"/>
        </w:rPr>
        <w:t xml:space="preserve">egresos </w:t>
      </w:r>
      <w:r>
        <w:rPr>
          <w:rFonts w:ascii="Arial" w:hAnsi="Arial" w:cs="Arial"/>
          <w:sz w:val="24"/>
          <w:szCs w:val="24"/>
        </w:rPr>
        <w:t>fue</w:t>
      </w:r>
      <w:r w:rsidRPr="00D05EFE">
        <w:rPr>
          <w:rFonts w:ascii="Arial" w:hAnsi="Arial" w:cs="Arial"/>
          <w:sz w:val="24"/>
          <w:szCs w:val="24"/>
        </w:rPr>
        <w:t xml:space="preserve"> por episodios depresivos o relativos al estado de ánimo</w:t>
      </w:r>
      <w:r w:rsidRPr="00D05EFE">
        <w:rPr>
          <w:rStyle w:val="FootnoteReference"/>
          <w:rFonts w:ascii="Arial" w:hAnsi="Arial" w:cs="Arial"/>
          <w:sz w:val="24"/>
          <w:szCs w:val="24"/>
        </w:rPr>
        <w:footnoteReference w:id="33"/>
      </w:r>
      <w:r w:rsidRPr="00D05EFE">
        <w:rPr>
          <w:rFonts w:ascii="Arial" w:hAnsi="Arial" w:cs="Arial"/>
          <w:sz w:val="24"/>
          <w:szCs w:val="24"/>
        </w:rPr>
        <w:t xml:space="preserve">. </w:t>
      </w:r>
    </w:p>
    <w:p w14:paraId="4B4F5434" w14:textId="77777777" w:rsidR="00DA7E35"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D05EFE">
        <w:rPr>
          <w:rFonts w:ascii="Arial" w:hAnsi="Arial" w:cs="Arial"/>
          <w:sz w:val="24"/>
          <w:szCs w:val="24"/>
        </w:rPr>
        <w:t>Durante 2020 en las redes de salud del país, se atendi</w:t>
      </w:r>
      <w:r>
        <w:rPr>
          <w:rFonts w:ascii="Arial" w:hAnsi="Arial" w:cs="Arial"/>
          <w:sz w:val="24"/>
          <w:szCs w:val="24"/>
        </w:rPr>
        <w:t>ó</w:t>
      </w:r>
      <w:r w:rsidRPr="00D05EFE">
        <w:rPr>
          <w:rFonts w:ascii="Arial" w:hAnsi="Arial" w:cs="Arial"/>
          <w:sz w:val="24"/>
          <w:szCs w:val="24"/>
        </w:rPr>
        <w:t xml:space="preserve"> un total de 7</w:t>
      </w:r>
      <w:r>
        <w:rPr>
          <w:rFonts w:ascii="Arial" w:hAnsi="Arial" w:cs="Arial"/>
          <w:sz w:val="24"/>
          <w:szCs w:val="24"/>
        </w:rPr>
        <w:t>,</w:t>
      </w:r>
      <w:r w:rsidRPr="00D05EFE">
        <w:rPr>
          <w:rFonts w:ascii="Arial" w:hAnsi="Arial" w:cs="Arial"/>
          <w:sz w:val="24"/>
          <w:szCs w:val="24"/>
        </w:rPr>
        <w:t xml:space="preserve">089.00 nuevos casos relacionados a problemas de salud mental, el 73% de casos atendidos fueron mujeres. Del total de nuevos casos atendidos </w:t>
      </w:r>
      <w:r>
        <w:rPr>
          <w:rFonts w:ascii="Arial" w:hAnsi="Arial" w:cs="Arial"/>
          <w:sz w:val="24"/>
          <w:szCs w:val="24"/>
        </w:rPr>
        <w:t xml:space="preserve">de </w:t>
      </w:r>
      <w:r w:rsidRPr="00D05EFE">
        <w:rPr>
          <w:rFonts w:ascii="Arial" w:hAnsi="Arial" w:cs="Arial"/>
          <w:sz w:val="24"/>
          <w:szCs w:val="24"/>
        </w:rPr>
        <w:t>niñas y niños menores de 19 años, el 36.7% fueron niñas entre 10-19 años y 20.8% a niñas menores de 9 años</w:t>
      </w:r>
      <w:r>
        <w:rPr>
          <w:rFonts w:ascii="Arial" w:hAnsi="Arial" w:cs="Arial"/>
          <w:sz w:val="24"/>
          <w:szCs w:val="24"/>
        </w:rPr>
        <w:t>.</w:t>
      </w:r>
    </w:p>
    <w:p w14:paraId="3D5E33E5" w14:textId="77777777" w:rsidR="00DA7E35" w:rsidRPr="00F36302" w:rsidRDefault="00DA7E35" w:rsidP="00DA7E35">
      <w:pPr>
        <w:pStyle w:val="ListParagraph"/>
        <w:autoSpaceDE w:val="0"/>
        <w:autoSpaceDN w:val="0"/>
        <w:adjustRightInd w:val="0"/>
        <w:spacing w:after="0" w:line="276" w:lineRule="auto"/>
        <w:ind w:left="644"/>
        <w:jc w:val="both"/>
        <w:rPr>
          <w:rFonts w:ascii="Arial" w:hAnsi="Arial" w:cs="Arial"/>
          <w:sz w:val="24"/>
          <w:szCs w:val="24"/>
        </w:rPr>
      </w:pPr>
    </w:p>
    <w:p w14:paraId="61F9AC56"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Recomendaciones:</w:t>
      </w:r>
    </w:p>
    <w:p w14:paraId="42553868" w14:textId="77777777" w:rsidR="00DA7E35" w:rsidRPr="00D05EFE"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D05EFE">
        <w:rPr>
          <w:rFonts w:ascii="Arial" w:hAnsi="Arial" w:cs="Arial"/>
          <w:sz w:val="24"/>
          <w:szCs w:val="24"/>
        </w:rPr>
        <w:t xml:space="preserve">Asegurar atención psicológica especializada y gratuita para niñas y mujeres que viven situaciones de </w:t>
      </w:r>
      <w:r>
        <w:rPr>
          <w:rFonts w:ascii="Arial" w:hAnsi="Arial" w:cs="Arial"/>
          <w:sz w:val="24"/>
          <w:szCs w:val="24"/>
        </w:rPr>
        <w:t>VBG</w:t>
      </w:r>
      <w:r w:rsidRPr="00D05EFE">
        <w:rPr>
          <w:rFonts w:ascii="Arial" w:hAnsi="Arial" w:cs="Arial"/>
          <w:sz w:val="24"/>
          <w:szCs w:val="24"/>
        </w:rPr>
        <w:t>.</w:t>
      </w:r>
    </w:p>
    <w:p w14:paraId="5A61CD77" w14:textId="77777777" w:rsidR="00DA7E35" w:rsidRPr="00D05EFE"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D05EFE">
        <w:rPr>
          <w:rFonts w:ascii="Arial" w:hAnsi="Arial" w:cs="Arial"/>
          <w:sz w:val="24"/>
          <w:szCs w:val="24"/>
        </w:rPr>
        <w:t xml:space="preserve">Sistematizar y publicar datos oficiales sobre salud mental </w:t>
      </w:r>
      <w:r>
        <w:rPr>
          <w:rFonts w:ascii="Arial" w:hAnsi="Arial" w:cs="Arial"/>
          <w:sz w:val="24"/>
          <w:szCs w:val="24"/>
        </w:rPr>
        <w:t>en</w:t>
      </w:r>
      <w:r w:rsidRPr="00D05EFE">
        <w:rPr>
          <w:rFonts w:ascii="Arial" w:hAnsi="Arial" w:cs="Arial"/>
          <w:sz w:val="24"/>
          <w:szCs w:val="24"/>
        </w:rPr>
        <w:t xml:space="preserve"> niñas y mujeres en Honduras, sus causas e impacto. </w:t>
      </w:r>
    </w:p>
    <w:p w14:paraId="75142658" w14:textId="77777777" w:rsidR="00DA7E35" w:rsidRPr="00D05EFE"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D05EFE">
        <w:rPr>
          <w:rFonts w:ascii="Arial" w:hAnsi="Arial" w:cs="Arial"/>
          <w:sz w:val="24"/>
          <w:szCs w:val="24"/>
        </w:rPr>
        <w:t>Aprobar el protocolo de Atención Integral para Víctimas y Sobrevivientes de Violencia Sexual en Honduras.</w:t>
      </w:r>
    </w:p>
    <w:p w14:paraId="210FEF30" w14:textId="77777777" w:rsidR="00DA7E35" w:rsidRPr="00D05EFE" w:rsidRDefault="00DA7E35" w:rsidP="00DA7E35">
      <w:pPr>
        <w:pStyle w:val="ListParagraph"/>
        <w:numPr>
          <w:ilvl w:val="0"/>
          <w:numId w:val="1"/>
        </w:numPr>
        <w:autoSpaceDE w:val="0"/>
        <w:autoSpaceDN w:val="0"/>
        <w:adjustRightInd w:val="0"/>
        <w:spacing w:after="0" w:line="276" w:lineRule="auto"/>
        <w:jc w:val="both"/>
        <w:rPr>
          <w:rFonts w:ascii="Arial" w:hAnsi="Arial" w:cs="Arial"/>
          <w:sz w:val="24"/>
          <w:szCs w:val="24"/>
        </w:rPr>
      </w:pPr>
      <w:r w:rsidRPr="00D05EFE">
        <w:rPr>
          <w:rFonts w:ascii="Arial" w:hAnsi="Arial" w:cs="Arial"/>
          <w:sz w:val="24"/>
          <w:szCs w:val="24"/>
        </w:rPr>
        <w:t xml:space="preserve">Integrar dentro del presupuesto destinado a salud, el presupuesto desagregado para salud mental de forma que satisfaga las necesidades y demandas de la población. </w:t>
      </w:r>
    </w:p>
    <w:p w14:paraId="7B57C998" w14:textId="77777777" w:rsidR="00DA7E35" w:rsidRPr="00D05EFE" w:rsidRDefault="00DA7E35" w:rsidP="00DA7E35">
      <w:pPr>
        <w:rPr>
          <w:rFonts w:ascii="Arial" w:hAnsi="Arial" w:cs="Arial"/>
          <w:b/>
          <w:bCs/>
          <w:sz w:val="24"/>
          <w:szCs w:val="24"/>
        </w:rPr>
      </w:pPr>
    </w:p>
    <w:p w14:paraId="71DDBF28" w14:textId="77777777" w:rsidR="00DA7E35" w:rsidRPr="00D05EFE" w:rsidRDefault="00DA7E35" w:rsidP="00DA7E35">
      <w:pPr>
        <w:rPr>
          <w:rFonts w:ascii="Arial" w:hAnsi="Arial" w:cs="Arial"/>
          <w:sz w:val="24"/>
          <w:szCs w:val="24"/>
        </w:rPr>
      </w:pPr>
      <w:r w:rsidRPr="00D05EFE">
        <w:rPr>
          <w:rFonts w:ascii="Arial" w:hAnsi="Arial" w:cs="Arial"/>
          <w:b/>
          <w:bCs/>
          <w:sz w:val="24"/>
          <w:szCs w:val="24"/>
        </w:rPr>
        <w:t>Tema 8:</w:t>
      </w:r>
      <w:r w:rsidRPr="00D05EFE">
        <w:rPr>
          <w:rFonts w:ascii="Arial" w:hAnsi="Arial" w:cs="Arial"/>
          <w:sz w:val="24"/>
          <w:szCs w:val="24"/>
        </w:rPr>
        <w:tab/>
      </w:r>
      <w:r w:rsidRPr="00D05EFE">
        <w:rPr>
          <w:rFonts w:ascii="Arial" w:hAnsi="Arial" w:cs="Arial"/>
          <w:b/>
          <w:bCs/>
          <w:sz w:val="24"/>
          <w:szCs w:val="24"/>
        </w:rPr>
        <w:t>Inversión en niñas</w:t>
      </w:r>
      <w:r w:rsidRPr="00D05EFE">
        <w:rPr>
          <w:rFonts w:ascii="Arial" w:hAnsi="Arial" w:cs="Arial"/>
          <w:sz w:val="24"/>
          <w:szCs w:val="24"/>
        </w:rPr>
        <w:t xml:space="preserve"> </w:t>
      </w:r>
    </w:p>
    <w:p w14:paraId="62FB53F2" w14:textId="77777777" w:rsidR="00DA7E35" w:rsidRPr="00123AD7" w:rsidRDefault="00DA7E35" w:rsidP="00DA7E35">
      <w:pPr>
        <w:pStyle w:val="ListParagraph"/>
        <w:numPr>
          <w:ilvl w:val="0"/>
          <w:numId w:val="1"/>
        </w:numPr>
        <w:spacing w:line="276" w:lineRule="auto"/>
        <w:jc w:val="both"/>
        <w:rPr>
          <w:rFonts w:ascii="Arial" w:hAnsi="Arial" w:cs="Arial"/>
          <w:sz w:val="24"/>
          <w:szCs w:val="24"/>
        </w:rPr>
      </w:pPr>
      <w:r w:rsidRPr="00123AD7">
        <w:rPr>
          <w:rFonts w:ascii="Arial" w:hAnsi="Arial" w:cs="Arial"/>
          <w:sz w:val="24"/>
          <w:szCs w:val="24"/>
        </w:rPr>
        <w:t>En 2018, el Estado de Honduras realizó una inversión pública del 9.7% del presupuesto total nacional destinado a niñez</w:t>
      </w:r>
      <w:r w:rsidRPr="00123AD7">
        <w:rPr>
          <w:rStyle w:val="FootnoteReference"/>
          <w:rFonts w:ascii="Arial" w:hAnsi="Arial" w:cs="Arial"/>
          <w:sz w:val="24"/>
          <w:szCs w:val="24"/>
        </w:rPr>
        <w:footnoteReference w:id="34"/>
      </w:r>
      <w:r w:rsidRPr="00123AD7">
        <w:rPr>
          <w:rFonts w:ascii="Arial" w:hAnsi="Arial" w:cs="Arial"/>
          <w:sz w:val="24"/>
          <w:szCs w:val="24"/>
        </w:rPr>
        <w:t xml:space="preserve">. Por cada lempira invertido, 14.3 centavos </w:t>
      </w:r>
      <w:r>
        <w:rPr>
          <w:rFonts w:ascii="Arial" w:hAnsi="Arial" w:cs="Arial"/>
          <w:sz w:val="24"/>
          <w:szCs w:val="24"/>
        </w:rPr>
        <w:t>se asignaron a niñez</w:t>
      </w:r>
      <w:r w:rsidRPr="00123AD7">
        <w:rPr>
          <w:rFonts w:ascii="Arial" w:hAnsi="Arial" w:cs="Arial"/>
          <w:sz w:val="24"/>
          <w:szCs w:val="24"/>
        </w:rPr>
        <w:t xml:space="preserve"> de manera directa</w:t>
      </w:r>
      <w:r>
        <w:rPr>
          <w:rFonts w:ascii="Arial" w:hAnsi="Arial" w:cs="Arial"/>
          <w:sz w:val="24"/>
          <w:szCs w:val="24"/>
        </w:rPr>
        <w:t xml:space="preserve"> e</w:t>
      </w:r>
      <w:r w:rsidRPr="00123AD7">
        <w:rPr>
          <w:rFonts w:ascii="Arial" w:hAnsi="Arial" w:cs="Arial"/>
          <w:sz w:val="24"/>
          <w:szCs w:val="24"/>
        </w:rPr>
        <w:t xml:space="preserve"> indirecta</w:t>
      </w:r>
      <w:r w:rsidRPr="00123AD7">
        <w:rPr>
          <w:rStyle w:val="FootnoteReference"/>
          <w:rFonts w:ascii="Arial" w:hAnsi="Arial" w:cs="Arial"/>
          <w:sz w:val="24"/>
          <w:szCs w:val="24"/>
        </w:rPr>
        <w:footnoteReference w:id="35"/>
      </w:r>
      <w:r w:rsidRPr="00123AD7">
        <w:rPr>
          <w:rFonts w:ascii="Arial" w:hAnsi="Arial" w:cs="Arial"/>
          <w:sz w:val="24"/>
          <w:szCs w:val="24"/>
        </w:rPr>
        <w:t>.</w:t>
      </w:r>
    </w:p>
    <w:p w14:paraId="5ED052D7" w14:textId="77777777" w:rsidR="00DA7E35" w:rsidRPr="00D05EFE" w:rsidRDefault="00DA7E35" w:rsidP="00DA7E35">
      <w:pPr>
        <w:pStyle w:val="ListParagraph"/>
        <w:numPr>
          <w:ilvl w:val="0"/>
          <w:numId w:val="1"/>
        </w:numPr>
        <w:spacing w:line="276" w:lineRule="auto"/>
        <w:jc w:val="both"/>
        <w:rPr>
          <w:rFonts w:ascii="Arial" w:hAnsi="Arial" w:cs="Arial"/>
          <w:sz w:val="24"/>
          <w:szCs w:val="24"/>
        </w:rPr>
      </w:pPr>
      <w:r w:rsidRPr="00D05EFE">
        <w:rPr>
          <w:rFonts w:ascii="Arial" w:hAnsi="Arial" w:cs="Arial"/>
          <w:sz w:val="24"/>
          <w:szCs w:val="24"/>
        </w:rPr>
        <w:t>El presupuesto destinado a niñez no tiene enfoque de género que permita orientar la inversión para atender las necesidades específicas de las niñas.</w:t>
      </w:r>
    </w:p>
    <w:p w14:paraId="7906D978" w14:textId="77777777" w:rsidR="00DA7E35" w:rsidRPr="00D05EFE" w:rsidRDefault="00DA7E35" w:rsidP="00DA7E35">
      <w:pPr>
        <w:rPr>
          <w:rFonts w:ascii="Arial" w:hAnsi="Arial" w:cs="Arial"/>
          <w:b/>
          <w:bCs/>
          <w:sz w:val="24"/>
          <w:szCs w:val="24"/>
        </w:rPr>
      </w:pPr>
      <w:r w:rsidRPr="00D05EFE">
        <w:rPr>
          <w:rFonts w:ascii="Arial" w:hAnsi="Arial" w:cs="Arial"/>
          <w:b/>
          <w:bCs/>
          <w:sz w:val="24"/>
          <w:szCs w:val="24"/>
        </w:rPr>
        <w:t>Recomendaciones</w:t>
      </w:r>
    </w:p>
    <w:p w14:paraId="16D1C8DB" w14:textId="77777777" w:rsidR="00DA7E35" w:rsidRPr="00D05EFE" w:rsidRDefault="00DA7E35" w:rsidP="00DA7E35">
      <w:pPr>
        <w:pStyle w:val="ListParagraph"/>
        <w:numPr>
          <w:ilvl w:val="0"/>
          <w:numId w:val="1"/>
        </w:numPr>
        <w:jc w:val="both"/>
        <w:rPr>
          <w:rFonts w:ascii="Arial" w:hAnsi="Arial" w:cs="Arial"/>
          <w:sz w:val="24"/>
          <w:szCs w:val="24"/>
        </w:rPr>
      </w:pPr>
      <w:r w:rsidRPr="00D05EFE">
        <w:rPr>
          <w:rFonts w:ascii="Arial" w:hAnsi="Arial" w:cs="Arial"/>
          <w:sz w:val="24"/>
          <w:szCs w:val="24"/>
        </w:rPr>
        <w:t xml:space="preserve">Asegurar la incorporación del enfoque de género en el presupuesto destinado a niñez a fin de promover la atención de las causas estructurales que impiden el ejercicio pleno de </w:t>
      </w:r>
      <w:r>
        <w:rPr>
          <w:rFonts w:ascii="Arial" w:hAnsi="Arial" w:cs="Arial"/>
          <w:sz w:val="24"/>
          <w:szCs w:val="24"/>
        </w:rPr>
        <w:t>lo</w:t>
      </w:r>
      <w:r w:rsidRPr="00D05EFE">
        <w:rPr>
          <w:rFonts w:ascii="Arial" w:hAnsi="Arial" w:cs="Arial"/>
          <w:sz w:val="24"/>
          <w:szCs w:val="24"/>
        </w:rPr>
        <w:t>s derechos</w:t>
      </w:r>
      <w:r>
        <w:rPr>
          <w:rFonts w:ascii="Arial" w:hAnsi="Arial" w:cs="Arial"/>
          <w:sz w:val="24"/>
          <w:szCs w:val="24"/>
        </w:rPr>
        <w:t xml:space="preserve"> de las niñas</w:t>
      </w:r>
      <w:r w:rsidRPr="00D05EFE">
        <w:rPr>
          <w:rFonts w:ascii="Arial" w:hAnsi="Arial" w:cs="Arial"/>
          <w:sz w:val="24"/>
          <w:szCs w:val="24"/>
        </w:rPr>
        <w:t>.</w:t>
      </w:r>
    </w:p>
    <w:p w14:paraId="09134192" w14:textId="77777777" w:rsidR="00DA7E35" w:rsidRPr="00D05EFE" w:rsidRDefault="00DA7E35" w:rsidP="00DA7E35">
      <w:pPr>
        <w:pStyle w:val="ListParagraph"/>
        <w:ind w:left="644"/>
        <w:jc w:val="both"/>
        <w:rPr>
          <w:rFonts w:ascii="Arial" w:hAnsi="Arial" w:cs="Arial"/>
          <w:sz w:val="24"/>
          <w:szCs w:val="24"/>
        </w:rPr>
      </w:pPr>
    </w:p>
    <w:p w14:paraId="42C72082" w14:textId="77777777" w:rsidR="00DA7E35" w:rsidRPr="00D05EFE" w:rsidRDefault="00DA7E35" w:rsidP="00DA7E35">
      <w:pPr>
        <w:jc w:val="both"/>
        <w:rPr>
          <w:rFonts w:ascii="Arial" w:hAnsi="Arial" w:cs="Arial"/>
          <w:b/>
          <w:bCs/>
          <w:sz w:val="24"/>
          <w:szCs w:val="24"/>
        </w:rPr>
      </w:pPr>
      <w:r w:rsidRPr="00D05EFE">
        <w:rPr>
          <w:rFonts w:ascii="Arial" w:hAnsi="Arial" w:cs="Arial"/>
          <w:b/>
          <w:bCs/>
          <w:sz w:val="24"/>
          <w:szCs w:val="24"/>
        </w:rPr>
        <w:t>Tema 9:</w:t>
      </w:r>
      <w:r w:rsidRPr="00D05EFE">
        <w:rPr>
          <w:rFonts w:ascii="Arial" w:hAnsi="Arial" w:cs="Arial"/>
          <w:b/>
          <w:bCs/>
          <w:sz w:val="24"/>
          <w:szCs w:val="24"/>
        </w:rPr>
        <w:tab/>
        <w:t>Código Penal nuevo y su repercusión en niñas y mujeres jóvenes</w:t>
      </w:r>
      <w:r>
        <w:rPr>
          <w:rStyle w:val="FootnoteReference"/>
          <w:rFonts w:ascii="Arial" w:hAnsi="Arial" w:cs="Arial"/>
          <w:b/>
          <w:bCs/>
          <w:sz w:val="24"/>
          <w:szCs w:val="24"/>
        </w:rPr>
        <w:footnoteReference w:id="36"/>
      </w:r>
      <w:r w:rsidRPr="00D05EFE">
        <w:rPr>
          <w:rFonts w:ascii="Arial" w:hAnsi="Arial" w:cs="Arial"/>
          <w:b/>
          <w:bCs/>
          <w:sz w:val="24"/>
          <w:szCs w:val="24"/>
        </w:rPr>
        <w:t xml:space="preserve"> </w:t>
      </w:r>
    </w:p>
    <w:p w14:paraId="6C36E3FB" w14:textId="77777777" w:rsidR="00DA7E35" w:rsidRPr="00D05EFE" w:rsidRDefault="00DA7E35" w:rsidP="00DA7E35">
      <w:pPr>
        <w:pStyle w:val="ListParagraph"/>
        <w:numPr>
          <w:ilvl w:val="0"/>
          <w:numId w:val="1"/>
        </w:numPr>
        <w:spacing w:line="276" w:lineRule="auto"/>
        <w:jc w:val="both"/>
        <w:rPr>
          <w:rFonts w:ascii="Arial" w:hAnsi="Arial" w:cs="Arial"/>
          <w:sz w:val="24"/>
          <w:szCs w:val="24"/>
          <w:lang w:val="es-ES"/>
        </w:rPr>
      </w:pPr>
      <w:r w:rsidRPr="00D05EFE">
        <w:rPr>
          <w:rFonts w:ascii="Arial" w:hAnsi="Arial" w:cs="Arial"/>
          <w:sz w:val="24"/>
          <w:szCs w:val="24"/>
          <w:lang w:val="es-ES"/>
        </w:rPr>
        <w:t>El nuevo código penal aprobado y vige</w:t>
      </w:r>
      <w:r>
        <w:rPr>
          <w:rFonts w:ascii="Arial" w:hAnsi="Arial" w:cs="Arial"/>
          <w:sz w:val="24"/>
          <w:szCs w:val="24"/>
          <w:lang w:val="es-ES"/>
        </w:rPr>
        <w:t>nte</w:t>
      </w:r>
      <w:r w:rsidRPr="00D05EFE">
        <w:rPr>
          <w:rFonts w:ascii="Arial" w:hAnsi="Arial" w:cs="Arial"/>
          <w:sz w:val="24"/>
          <w:szCs w:val="24"/>
          <w:lang w:val="es-ES"/>
        </w:rPr>
        <w:t xml:space="preserve"> desde junio 2020 presenta una reducción de penas significativa para delitos contra niñas y mujeres</w:t>
      </w:r>
      <w:r w:rsidRPr="00D05EFE">
        <w:rPr>
          <w:rFonts w:ascii="Arial" w:hAnsi="Arial" w:cs="Arial"/>
          <w:sz w:val="24"/>
          <w:szCs w:val="24"/>
        </w:rPr>
        <w:t xml:space="preserve"> </w:t>
      </w:r>
      <w:r w:rsidRPr="00D05EFE">
        <w:rPr>
          <w:rFonts w:ascii="Arial" w:hAnsi="Arial" w:cs="Arial"/>
          <w:sz w:val="24"/>
          <w:szCs w:val="24"/>
          <w:lang w:val="es-ES"/>
        </w:rPr>
        <w:t>que permiten al agresor optar por arresto domiciliar, salir bajo fianza y/o libertad condicional.</w:t>
      </w:r>
      <w:r w:rsidRPr="00D05EFE">
        <w:rPr>
          <w:rStyle w:val="FootnoteReference"/>
          <w:rFonts w:ascii="Arial" w:hAnsi="Arial" w:cs="Arial"/>
          <w:sz w:val="24"/>
          <w:szCs w:val="24"/>
          <w:lang w:val="es-ES"/>
        </w:rPr>
        <w:footnoteReference w:id="37"/>
      </w:r>
      <w:r w:rsidRPr="00D05EFE">
        <w:rPr>
          <w:rFonts w:ascii="Arial" w:hAnsi="Arial" w:cs="Arial"/>
          <w:sz w:val="24"/>
          <w:szCs w:val="24"/>
          <w:lang w:val="es-ES"/>
        </w:rPr>
        <w:t xml:space="preserve"> </w:t>
      </w:r>
    </w:p>
    <w:p w14:paraId="10D4FC56" w14:textId="77777777" w:rsidR="00DA7E35" w:rsidRPr="00D05EFE" w:rsidRDefault="00DA7E35" w:rsidP="00DA7E35">
      <w:pPr>
        <w:pStyle w:val="ListParagraph"/>
        <w:numPr>
          <w:ilvl w:val="0"/>
          <w:numId w:val="1"/>
        </w:numPr>
        <w:spacing w:line="276" w:lineRule="auto"/>
        <w:jc w:val="both"/>
        <w:rPr>
          <w:rFonts w:ascii="Arial" w:hAnsi="Arial" w:cs="Arial"/>
          <w:sz w:val="24"/>
          <w:szCs w:val="24"/>
          <w:lang w:val="es-ES"/>
        </w:rPr>
      </w:pPr>
      <w:r>
        <w:rPr>
          <w:rFonts w:ascii="Arial" w:hAnsi="Arial" w:cs="Arial"/>
          <w:sz w:val="24"/>
          <w:szCs w:val="24"/>
          <w:lang w:val="es-ES"/>
        </w:rPr>
        <w:t xml:space="preserve">En </w:t>
      </w:r>
      <w:r w:rsidRPr="00D05EFE">
        <w:rPr>
          <w:rFonts w:ascii="Arial" w:hAnsi="Arial" w:cs="Arial"/>
          <w:sz w:val="24"/>
          <w:szCs w:val="24"/>
          <w:lang w:val="es-ES"/>
        </w:rPr>
        <w:t>el delito de violación (sexual) se eliminaron</w:t>
      </w:r>
      <w:r>
        <w:rPr>
          <w:rFonts w:ascii="Arial" w:hAnsi="Arial" w:cs="Arial"/>
          <w:sz w:val="24"/>
          <w:szCs w:val="24"/>
          <w:lang w:val="es-ES"/>
        </w:rPr>
        <w:t xml:space="preserve"> los</w:t>
      </w:r>
      <w:r w:rsidRPr="00D05EFE">
        <w:rPr>
          <w:rFonts w:ascii="Arial" w:hAnsi="Arial" w:cs="Arial"/>
          <w:sz w:val="24"/>
          <w:szCs w:val="24"/>
          <w:lang w:val="es-ES"/>
        </w:rPr>
        <w:t xml:space="preserve"> agravantes </w:t>
      </w:r>
      <w:r>
        <w:rPr>
          <w:rFonts w:ascii="Arial" w:hAnsi="Arial" w:cs="Arial"/>
          <w:sz w:val="24"/>
          <w:szCs w:val="24"/>
          <w:lang w:val="es-ES"/>
        </w:rPr>
        <w:t>de</w:t>
      </w:r>
      <w:r w:rsidRPr="00D05EFE">
        <w:rPr>
          <w:rFonts w:ascii="Arial" w:hAnsi="Arial" w:cs="Arial"/>
          <w:sz w:val="24"/>
          <w:szCs w:val="24"/>
          <w:lang w:val="es-ES"/>
        </w:rPr>
        <w:t xml:space="preserve"> est</w:t>
      </w:r>
      <w:r>
        <w:rPr>
          <w:rFonts w:ascii="Arial" w:hAnsi="Arial" w:cs="Arial"/>
          <w:sz w:val="24"/>
          <w:szCs w:val="24"/>
          <w:lang w:val="es-ES"/>
        </w:rPr>
        <w:t>ar</w:t>
      </w:r>
      <w:r w:rsidRPr="00D05EFE">
        <w:rPr>
          <w:rFonts w:ascii="Arial" w:hAnsi="Arial" w:cs="Arial"/>
          <w:sz w:val="24"/>
          <w:szCs w:val="24"/>
          <w:lang w:val="es-ES"/>
        </w:rPr>
        <w:t xml:space="preserve"> bajo la custodia del agresor y </w:t>
      </w:r>
      <w:r>
        <w:rPr>
          <w:rFonts w:ascii="Arial" w:hAnsi="Arial" w:cs="Arial"/>
          <w:sz w:val="24"/>
          <w:szCs w:val="24"/>
          <w:lang w:val="es-ES"/>
        </w:rPr>
        <w:t>mediante</w:t>
      </w:r>
      <w:r w:rsidRPr="00D05EFE">
        <w:rPr>
          <w:rFonts w:ascii="Arial" w:hAnsi="Arial" w:cs="Arial"/>
          <w:sz w:val="24"/>
          <w:szCs w:val="24"/>
          <w:lang w:val="es-ES"/>
        </w:rPr>
        <w:t xml:space="preserve"> los efectos del alcohol o drogas</w:t>
      </w:r>
      <w:r w:rsidRPr="00D05EFE">
        <w:rPr>
          <w:rStyle w:val="FootnoteReference"/>
          <w:rFonts w:ascii="Arial" w:hAnsi="Arial" w:cs="Arial"/>
          <w:sz w:val="24"/>
          <w:szCs w:val="24"/>
          <w:lang w:val="es-ES"/>
        </w:rPr>
        <w:footnoteReference w:id="38"/>
      </w:r>
      <w:r w:rsidRPr="00D05EFE">
        <w:rPr>
          <w:rFonts w:ascii="Arial" w:hAnsi="Arial" w:cs="Arial"/>
          <w:sz w:val="24"/>
          <w:szCs w:val="24"/>
          <w:lang w:val="es-ES"/>
        </w:rPr>
        <w:t xml:space="preserve">. </w:t>
      </w:r>
    </w:p>
    <w:p w14:paraId="55E1354D" w14:textId="77777777" w:rsidR="00DA7E35" w:rsidRDefault="00DA7E35" w:rsidP="00DA7E35">
      <w:pPr>
        <w:pStyle w:val="ListParagraph"/>
        <w:numPr>
          <w:ilvl w:val="0"/>
          <w:numId w:val="1"/>
        </w:numPr>
        <w:spacing w:line="276" w:lineRule="auto"/>
        <w:jc w:val="both"/>
        <w:rPr>
          <w:rFonts w:ascii="Arial" w:hAnsi="Arial" w:cs="Arial"/>
          <w:sz w:val="24"/>
          <w:szCs w:val="24"/>
          <w:lang w:val="es-ES"/>
        </w:rPr>
      </w:pPr>
      <w:r w:rsidRPr="00D05EFE">
        <w:rPr>
          <w:rFonts w:ascii="Arial" w:hAnsi="Arial" w:cs="Arial"/>
          <w:bCs/>
          <w:sz w:val="24"/>
          <w:szCs w:val="24"/>
        </w:rPr>
        <w:t>E</w:t>
      </w:r>
      <w:r>
        <w:rPr>
          <w:rFonts w:ascii="Arial" w:hAnsi="Arial" w:cs="Arial"/>
          <w:bCs/>
          <w:sz w:val="24"/>
          <w:szCs w:val="24"/>
        </w:rPr>
        <w:t>n el</w:t>
      </w:r>
      <w:r w:rsidRPr="00D05EFE">
        <w:rPr>
          <w:rFonts w:ascii="Arial" w:hAnsi="Arial" w:cs="Arial"/>
          <w:bCs/>
          <w:sz w:val="24"/>
          <w:szCs w:val="24"/>
        </w:rPr>
        <w:t xml:space="preserve"> delito de trata de personas </w:t>
      </w:r>
      <w:r>
        <w:rPr>
          <w:rFonts w:ascii="Arial" w:hAnsi="Arial" w:cs="Arial"/>
          <w:sz w:val="24"/>
          <w:szCs w:val="24"/>
          <w:lang w:val="es-ES"/>
        </w:rPr>
        <w:t>se continúa hablando de</w:t>
      </w:r>
      <w:r w:rsidRPr="00D05EFE">
        <w:rPr>
          <w:rFonts w:ascii="Arial" w:hAnsi="Arial" w:cs="Arial"/>
          <w:sz w:val="24"/>
          <w:szCs w:val="24"/>
          <w:lang w:val="es-ES"/>
        </w:rPr>
        <w:t xml:space="preserve"> matrimonio</w:t>
      </w:r>
      <w:r>
        <w:rPr>
          <w:rFonts w:ascii="Arial" w:hAnsi="Arial" w:cs="Arial"/>
          <w:sz w:val="24"/>
          <w:szCs w:val="24"/>
          <w:lang w:val="es-ES"/>
        </w:rPr>
        <w:t>s</w:t>
      </w:r>
      <w:r w:rsidRPr="00D05EFE">
        <w:rPr>
          <w:rFonts w:ascii="Arial" w:hAnsi="Arial" w:cs="Arial"/>
          <w:sz w:val="24"/>
          <w:szCs w:val="24"/>
          <w:lang w:val="es-ES"/>
        </w:rPr>
        <w:t xml:space="preserve"> en menores de 18 años a pesar de </w:t>
      </w:r>
      <w:r>
        <w:rPr>
          <w:rFonts w:ascii="Arial" w:hAnsi="Arial" w:cs="Arial"/>
          <w:sz w:val="24"/>
          <w:szCs w:val="24"/>
          <w:lang w:val="es-ES"/>
        </w:rPr>
        <w:t xml:space="preserve">que </w:t>
      </w:r>
      <w:r w:rsidRPr="00D05EFE">
        <w:rPr>
          <w:rFonts w:ascii="Arial" w:hAnsi="Arial" w:cs="Arial"/>
          <w:sz w:val="24"/>
          <w:szCs w:val="24"/>
          <w:lang w:val="es-ES"/>
        </w:rPr>
        <w:t xml:space="preserve">la reforma </w:t>
      </w:r>
      <w:r>
        <w:rPr>
          <w:rFonts w:ascii="Arial" w:hAnsi="Arial" w:cs="Arial"/>
          <w:sz w:val="24"/>
          <w:szCs w:val="24"/>
          <w:lang w:val="es-ES"/>
        </w:rPr>
        <w:t>a</w:t>
      </w:r>
      <w:r w:rsidRPr="00D05EFE">
        <w:rPr>
          <w:rFonts w:ascii="Arial" w:hAnsi="Arial" w:cs="Arial"/>
          <w:sz w:val="24"/>
          <w:szCs w:val="24"/>
          <w:lang w:val="es-ES"/>
        </w:rPr>
        <w:t>l Código de Familia lo</w:t>
      </w:r>
      <w:r>
        <w:rPr>
          <w:rFonts w:ascii="Arial" w:hAnsi="Arial" w:cs="Arial"/>
          <w:sz w:val="24"/>
          <w:szCs w:val="24"/>
          <w:lang w:val="es-ES"/>
        </w:rPr>
        <w:t>s</w:t>
      </w:r>
      <w:r w:rsidRPr="00D05EFE">
        <w:rPr>
          <w:rFonts w:ascii="Arial" w:hAnsi="Arial" w:cs="Arial"/>
          <w:sz w:val="24"/>
          <w:szCs w:val="24"/>
          <w:lang w:val="es-ES"/>
        </w:rPr>
        <w:t xml:space="preserve"> prohíbe. </w:t>
      </w:r>
    </w:p>
    <w:p w14:paraId="3BC69E71" w14:textId="77777777" w:rsidR="00DA7E35" w:rsidRDefault="00DA7E35" w:rsidP="00DA7E35">
      <w:pPr>
        <w:pStyle w:val="ListParagraph"/>
        <w:numPr>
          <w:ilvl w:val="0"/>
          <w:numId w:val="1"/>
        </w:numPr>
        <w:spacing w:line="276" w:lineRule="auto"/>
        <w:jc w:val="both"/>
        <w:rPr>
          <w:rFonts w:ascii="Arial" w:hAnsi="Arial" w:cs="Arial"/>
          <w:sz w:val="24"/>
          <w:szCs w:val="24"/>
          <w:lang w:val="es-ES"/>
        </w:rPr>
      </w:pPr>
      <w:r w:rsidRPr="00C73CFF">
        <w:rPr>
          <w:rFonts w:ascii="Arial" w:hAnsi="Arial" w:cs="Arial"/>
          <w:sz w:val="24"/>
          <w:szCs w:val="24"/>
          <w:lang w:val="es-ES"/>
        </w:rPr>
        <w:t xml:space="preserve">En el caso del delito de femicidio se redujeron penas, equiparándolo con el delito de homicidio. </w:t>
      </w:r>
    </w:p>
    <w:p w14:paraId="4DB93C3A" w14:textId="77777777" w:rsidR="00DA7E35" w:rsidRPr="00F36302" w:rsidRDefault="00DA7E35" w:rsidP="00DA7E35">
      <w:pPr>
        <w:pStyle w:val="ListParagraph"/>
        <w:numPr>
          <w:ilvl w:val="0"/>
          <w:numId w:val="1"/>
        </w:numPr>
        <w:spacing w:line="276" w:lineRule="auto"/>
        <w:jc w:val="both"/>
        <w:rPr>
          <w:rFonts w:ascii="Arial" w:hAnsi="Arial" w:cs="Arial"/>
          <w:sz w:val="24"/>
          <w:szCs w:val="24"/>
          <w:lang w:val="es-ES"/>
        </w:rPr>
      </w:pPr>
      <w:r w:rsidRPr="00D05EFE">
        <w:rPr>
          <w:rFonts w:ascii="Arial" w:hAnsi="Arial" w:cs="Arial"/>
          <w:sz w:val="24"/>
          <w:szCs w:val="24"/>
          <w:lang w:val="es-ES"/>
        </w:rPr>
        <w:t>Se incorporaron dos figuras</w:t>
      </w:r>
      <w:r w:rsidRPr="00D05EFE">
        <w:rPr>
          <w:rFonts w:ascii="Arial" w:hAnsi="Arial" w:cs="Arial"/>
          <w:bCs/>
          <w:sz w:val="24"/>
          <w:szCs w:val="24"/>
        </w:rPr>
        <w:t xml:space="preserve"> que dejan lagunas legales y permiten al agresor optar por penas menores a las contempladas en el mismo código, entre ellas: “Consentimiento del sujeto pasivo”</w:t>
      </w:r>
      <w:r>
        <w:rPr>
          <w:rFonts w:ascii="Arial" w:hAnsi="Arial" w:cs="Arial"/>
          <w:bCs/>
          <w:sz w:val="24"/>
          <w:szCs w:val="24"/>
        </w:rPr>
        <w:t xml:space="preserve"> </w:t>
      </w:r>
      <w:r w:rsidRPr="00D05EFE">
        <w:rPr>
          <w:rStyle w:val="FootnoteReference"/>
          <w:rFonts w:ascii="Arial" w:hAnsi="Arial" w:cs="Arial"/>
          <w:bCs/>
          <w:sz w:val="24"/>
          <w:szCs w:val="24"/>
        </w:rPr>
        <w:footnoteReference w:id="39"/>
      </w:r>
      <w:r w:rsidRPr="00D05EFE">
        <w:rPr>
          <w:rFonts w:ascii="Arial" w:hAnsi="Arial" w:cs="Arial"/>
          <w:bCs/>
          <w:sz w:val="24"/>
          <w:szCs w:val="24"/>
        </w:rPr>
        <w:t xml:space="preserve"> y, la </w:t>
      </w:r>
      <w:r w:rsidRPr="00D05EFE">
        <w:rPr>
          <w:rFonts w:ascii="Arial" w:hAnsi="Arial" w:cs="Arial"/>
          <w:sz w:val="24"/>
          <w:szCs w:val="24"/>
          <w:lang w:val="es-ES"/>
        </w:rPr>
        <w:t>figura de “Error”</w:t>
      </w:r>
      <w:r w:rsidRPr="00D05EFE">
        <w:rPr>
          <w:rFonts w:ascii="Arial" w:hAnsi="Arial" w:cs="Arial"/>
          <w:bCs/>
          <w:sz w:val="24"/>
          <w:szCs w:val="24"/>
        </w:rPr>
        <w:t>.</w:t>
      </w:r>
      <w:r w:rsidRPr="00D05EFE">
        <w:rPr>
          <w:rStyle w:val="FootnoteReference"/>
          <w:rFonts w:ascii="Arial" w:hAnsi="Arial" w:cs="Arial"/>
          <w:b/>
          <w:sz w:val="24"/>
          <w:szCs w:val="24"/>
        </w:rPr>
        <w:footnoteReference w:id="40"/>
      </w:r>
      <w:r w:rsidRPr="00D05EFE">
        <w:rPr>
          <w:rFonts w:ascii="Arial" w:hAnsi="Arial" w:cs="Arial"/>
          <w:bCs/>
          <w:sz w:val="24"/>
          <w:szCs w:val="24"/>
        </w:rPr>
        <w:t xml:space="preserve"> </w:t>
      </w:r>
    </w:p>
    <w:p w14:paraId="56485B7B" w14:textId="77777777" w:rsidR="00DA7E35" w:rsidRPr="00D05EFE" w:rsidRDefault="00DA7E35" w:rsidP="00DA7E35">
      <w:pPr>
        <w:jc w:val="both"/>
        <w:rPr>
          <w:rFonts w:ascii="Arial" w:hAnsi="Arial" w:cs="Arial"/>
          <w:sz w:val="24"/>
          <w:szCs w:val="24"/>
          <w:lang w:val="es-ES"/>
        </w:rPr>
      </w:pPr>
      <w:r w:rsidRPr="00D05EFE">
        <w:rPr>
          <w:rFonts w:ascii="Arial" w:hAnsi="Arial" w:cs="Arial"/>
          <w:b/>
          <w:bCs/>
          <w:sz w:val="24"/>
          <w:szCs w:val="24"/>
        </w:rPr>
        <w:t>Recomendaciones</w:t>
      </w:r>
    </w:p>
    <w:p w14:paraId="30EA526E" w14:textId="77777777" w:rsidR="00DA7E35" w:rsidRPr="00D05EFE" w:rsidRDefault="00DA7E35" w:rsidP="00DA7E35">
      <w:pPr>
        <w:pStyle w:val="ListParagraph"/>
        <w:numPr>
          <w:ilvl w:val="0"/>
          <w:numId w:val="1"/>
        </w:numPr>
        <w:spacing w:line="276" w:lineRule="auto"/>
        <w:jc w:val="both"/>
        <w:rPr>
          <w:rFonts w:ascii="Arial" w:hAnsi="Arial" w:cs="Arial"/>
          <w:sz w:val="24"/>
          <w:szCs w:val="24"/>
          <w:lang w:val="es-ES"/>
        </w:rPr>
      </w:pPr>
      <w:r>
        <w:rPr>
          <w:rFonts w:ascii="Arial" w:hAnsi="Arial" w:cs="Arial"/>
          <w:sz w:val="24"/>
          <w:szCs w:val="24"/>
        </w:rPr>
        <w:t>Armoniz</w:t>
      </w:r>
      <w:r w:rsidRPr="00D05EFE">
        <w:rPr>
          <w:rFonts w:ascii="Arial" w:hAnsi="Arial" w:cs="Arial"/>
          <w:sz w:val="24"/>
          <w:szCs w:val="24"/>
        </w:rPr>
        <w:t xml:space="preserve">ar el código penal vigente </w:t>
      </w:r>
      <w:r>
        <w:rPr>
          <w:rFonts w:ascii="Arial" w:hAnsi="Arial" w:cs="Arial"/>
          <w:sz w:val="24"/>
          <w:szCs w:val="24"/>
        </w:rPr>
        <w:t>con</w:t>
      </w:r>
      <w:r w:rsidRPr="00D05EFE">
        <w:rPr>
          <w:rFonts w:ascii="Arial" w:hAnsi="Arial" w:cs="Arial"/>
          <w:sz w:val="24"/>
          <w:szCs w:val="24"/>
        </w:rPr>
        <w:t xml:space="preserve"> estándares internacionales </w:t>
      </w:r>
      <w:r>
        <w:rPr>
          <w:rFonts w:ascii="Arial" w:hAnsi="Arial" w:cs="Arial"/>
          <w:sz w:val="24"/>
          <w:szCs w:val="24"/>
        </w:rPr>
        <w:t>de</w:t>
      </w:r>
      <w:r w:rsidRPr="00D05EFE">
        <w:rPr>
          <w:rFonts w:ascii="Arial" w:hAnsi="Arial" w:cs="Arial"/>
          <w:sz w:val="24"/>
          <w:szCs w:val="24"/>
        </w:rPr>
        <w:t xml:space="preserve"> derechos humanos. </w:t>
      </w:r>
    </w:p>
    <w:p w14:paraId="28690A26" w14:textId="77777777" w:rsidR="00DA7E35" w:rsidRPr="00D05EFE" w:rsidRDefault="00DA7E35" w:rsidP="00DA7E35">
      <w:pPr>
        <w:pStyle w:val="ListParagraph"/>
        <w:numPr>
          <w:ilvl w:val="0"/>
          <w:numId w:val="1"/>
        </w:numPr>
        <w:spacing w:line="276" w:lineRule="auto"/>
        <w:jc w:val="both"/>
        <w:rPr>
          <w:rFonts w:ascii="Arial" w:hAnsi="Arial" w:cs="Arial"/>
          <w:sz w:val="24"/>
          <w:szCs w:val="24"/>
          <w:lang w:val="es-ES"/>
        </w:rPr>
      </w:pPr>
      <w:r w:rsidRPr="00D05EFE">
        <w:rPr>
          <w:rFonts w:ascii="Arial" w:hAnsi="Arial" w:cs="Arial"/>
          <w:sz w:val="24"/>
          <w:szCs w:val="24"/>
        </w:rPr>
        <w:t>Aumentar penas para delitos de femicidio y viol</w:t>
      </w:r>
      <w:r>
        <w:rPr>
          <w:rFonts w:ascii="Arial" w:hAnsi="Arial" w:cs="Arial"/>
          <w:sz w:val="24"/>
          <w:szCs w:val="24"/>
        </w:rPr>
        <w:t>ación</w:t>
      </w:r>
      <w:r w:rsidRPr="00D05EFE">
        <w:rPr>
          <w:rFonts w:ascii="Arial" w:hAnsi="Arial" w:cs="Arial"/>
          <w:sz w:val="24"/>
          <w:szCs w:val="24"/>
        </w:rPr>
        <w:t xml:space="preserve">, incluyendo en este último </w:t>
      </w:r>
      <w:r>
        <w:rPr>
          <w:rFonts w:ascii="Arial" w:hAnsi="Arial" w:cs="Arial"/>
          <w:sz w:val="24"/>
          <w:szCs w:val="24"/>
        </w:rPr>
        <w:t xml:space="preserve">los </w:t>
      </w:r>
      <w:r w:rsidRPr="00D05EFE">
        <w:rPr>
          <w:rFonts w:ascii="Arial" w:hAnsi="Arial" w:cs="Arial"/>
          <w:sz w:val="24"/>
          <w:szCs w:val="24"/>
        </w:rPr>
        <w:t xml:space="preserve">agravantes </w:t>
      </w:r>
      <w:r>
        <w:rPr>
          <w:rFonts w:ascii="Arial" w:hAnsi="Arial" w:cs="Arial"/>
          <w:sz w:val="24"/>
          <w:szCs w:val="24"/>
        </w:rPr>
        <w:t>de</w:t>
      </w:r>
      <w:r w:rsidRPr="00D05EFE">
        <w:rPr>
          <w:rFonts w:ascii="Arial" w:hAnsi="Arial" w:cs="Arial"/>
          <w:sz w:val="24"/>
          <w:szCs w:val="24"/>
        </w:rPr>
        <w:t xml:space="preserve"> parentesco (incesto), edad de la víctima (estupro)</w:t>
      </w:r>
      <w:r>
        <w:rPr>
          <w:rFonts w:ascii="Arial" w:hAnsi="Arial" w:cs="Arial"/>
          <w:sz w:val="24"/>
          <w:szCs w:val="24"/>
        </w:rPr>
        <w:t>,</w:t>
      </w:r>
      <w:r w:rsidRPr="00D05EFE">
        <w:rPr>
          <w:rFonts w:ascii="Arial" w:hAnsi="Arial" w:cs="Arial"/>
          <w:sz w:val="24"/>
          <w:szCs w:val="24"/>
        </w:rPr>
        <w:t xml:space="preserve"> estar bajo custodia del agresor o </w:t>
      </w:r>
      <w:r>
        <w:rPr>
          <w:rFonts w:ascii="Arial" w:hAnsi="Arial" w:cs="Arial"/>
          <w:sz w:val="24"/>
          <w:szCs w:val="24"/>
        </w:rPr>
        <w:t>que</w:t>
      </w:r>
      <w:r w:rsidRPr="00D05EFE">
        <w:rPr>
          <w:rFonts w:ascii="Arial" w:hAnsi="Arial" w:cs="Arial"/>
          <w:sz w:val="24"/>
          <w:szCs w:val="24"/>
        </w:rPr>
        <w:t xml:space="preserve"> la víctima est</w:t>
      </w:r>
      <w:r>
        <w:rPr>
          <w:rFonts w:ascii="Arial" w:hAnsi="Arial" w:cs="Arial"/>
          <w:sz w:val="24"/>
          <w:szCs w:val="24"/>
        </w:rPr>
        <w:t>é</w:t>
      </w:r>
      <w:r w:rsidRPr="00D05EFE">
        <w:rPr>
          <w:rFonts w:ascii="Arial" w:hAnsi="Arial" w:cs="Arial"/>
          <w:sz w:val="24"/>
          <w:szCs w:val="24"/>
        </w:rPr>
        <w:t xml:space="preserve"> bajo efectos de alcohol o drogas.</w:t>
      </w:r>
    </w:p>
    <w:p w14:paraId="60B71285" w14:textId="77777777" w:rsidR="00DA7E35" w:rsidRPr="00D05EFE" w:rsidRDefault="00DA7E35" w:rsidP="00DA7E35">
      <w:pPr>
        <w:pStyle w:val="ListParagraph"/>
        <w:numPr>
          <w:ilvl w:val="0"/>
          <w:numId w:val="1"/>
        </w:numPr>
        <w:spacing w:line="276" w:lineRule="auto"/>
        <w:jc w:val="both"/>
        <w:rPr>
          <w:rFonts w:ascii="Arial" w:hAnsi="Arial" w:cs="Arial"/>
          <w:sz w:val="24"/>
          <w:szCs w:val="24"/>
          <w:lang w:val="es-ES"/>
        </w:rPr>
      </w:pPr>
      <w:r w:rsidRPr="00D05EFE">
        <w:rPr>
          <w:rFonts w:ascii="Arial" w:hAnsi="Arial" w:cs="Arial"/>
          <w:sz w:val="24"/>
          <w:szCs w:val="24"/>
        </w:rPr>
        <w:t>Armonizar el tipo penal de Trata de Personas con la reforma al Código de Familia en su artículo 16 que prohíbe el matrimonio infantil.</w:t>
      </w:r>
    </w:p>
    <w:p w14:paraId="6A4E536D" w14:textId="77777777" w:rsidR="00DA7E35" w:rsidRPr="00484D3A" w:rsidRDefault="00DA7E35" w:rsidP="00DA7E35">
      <w:pPr>
        <w:pStyle w:val="ListParagraph"/>
        <w:numPr>
          <w:ilvl w:val="0"/>
          <w:numId w:val="1"/>
        </w:numPr>
        <w:spacing w:line="276" w:lineRule="auto"/>
        <w:jc w:val="both"/>
        <w:rPr>
          <w:rFonts w:ascii="Arial" w:hAnsi="Arial" w:cs="Arial"/>
          <w:sz w:val="24"/>
          <w:szCs w:val="24"/>
          <w:lang w:val="es-ES"/>
        </w:rPr>
      </w:pPr>
      <w:r w:rsidRPr="00D05EFE">
        <w:rPr>
          <w:rFonts w:ascii="Arial" w:hAnsi="Arial" w:cs="Arial"/>
          <w:sz w:val="24"/>
          <w:szCs w:val="24"/>
        </w:rPr>
        <w:t>Revisar la figura de “Error” de forma que esta no beneficie al agresor</w:t>
      </w:r>
      <w:r>
        <w:rPr>
          <w:rFonts w:ascii="Arial" w:hAnsi="Arial" w:cs="Arial"/>
          <w:sz w:val="24"/>
          <w:szCs w:val="24"/>
        </w:rPr>
        <w:t xml:space="preserve"> y</w:t>
      </w:r>
      <w:r w:rsidRPr="00484D3A">
        <w:rPr>
          <w:rFonts w:ascii="Arial" w:hAnsi="Arial" w:cs="Arial"/>
          <w:sz w:val="24"/>
          <w:szCs w:val="24"/>
        </w:rPr>
        <w:t xml:space="preserve"> la figura de “Consentimiento del sujeto pasivo”, reduciendo la edad a un rango no mayor de dos años entre las partes.</w:t>
      </w:r>
    </w:p>
    <w:p w14:paraId="59E37801" w14:textId="77777777" w:rsidR="00DA7E35" w:rsidRPr="000E107C" w:rsidRDefault="00DA7E35" w:rsidP="00DA7E35">
      <w:pPr>
        <w:pStyle w:val="ListParagraph"/>
        <w:spacing w:line="276" w:lineRule="auto"/>
        <w:ind w:left="644"/>
        <w:jc w:val="both"/>
        <w:rPr>
          <w:rFonts w:ascii="Arial" w:hAnsi="Arial" w:cs="Arial"/>
          <w:sz w:val="24"/>
          <w:szCs w:val="24"/>
          <w:lang w:val="es-ES"/>
        </w:rPr>
      </w:pPr>
    </w:p>
    <w:p w14:paraId="04E6EAC1" w14:textId="77777777" w:rsidR="006C7150" w:rsidRDefault="006C7150"/>
    <w:sectPr w:rsidR="006C715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73D82" w14:textId="77777777" w:rsidR="00E540DB" w:rsidRDefault="00E540DB" w:rsidP="00DA7E35">
      <w:pPr>
        <w:spacing w:after="0" w:line="240" w:lineRule="auto"/>
      </w:pPr>
      <w:r>
        <w:separator/>
      </w:r>
    </w:p>
  </w:endnote>
  <w:endnote w:type="continuationSeparator" w:id="0">
    <w:p w14:paraId="0ADC7298" w14:textId="77777777" w:rsidR="00E540DB" w:rsidRDefault="00E540DB" w:rsidP="00DA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C9CEB" w14:textId="77777777" w:rsidR="00E540DB" w:rsidRDefault="00E540DB" w:rsidP="00DA7E35">
      <w:pPr>
        <w:spacing w:after="0" w:line="240" w:lineRule="auto"/>
      </w:pPr>
      <w:r>
        <w:separator/>
      </w:r>
    </w:p>
  </w:footnote>
  <w:footnote w:type="continuationSeparator" w:id="0">
    <w:p w14:paraId="0C307C82" w14:textId="77777777" w:rsidR="00E540DB" w:rsidRDefault="00E540DB" w:rsidP="00DA7E35">
      <w:pPr>
        <w:spacing w:after="0" w:line="240" w:lineRule="auto"/>
      </w:pPr>
      <w:r>
        <w:continuationSeparator/>
      </w:r>
    </w:p>
  </w:footnote>
  <w:footnote w:id="1">
    <w:p w14:paraId="067F9E6D" w14:textId="77777777" w:rsidR="00DA7E35" w:rsidRDefault="00DA7E35" w:rsidP="00DA7E35">
      <w:pPr>
        <w:pStyle w:val="FootnoteText"/>
      </w:pPr>
      <w:r>
        <w:rPr>
          <w:rStyle w:val="FootnoteReference"/>
        </w:rPr>
        <w:footnoteRef/>
      </w:r>
      <w:r>
        <w:t xml:space="preserve"> Instituto Nacional de Estadística (INE). </w:t>
      </w:r>
      <w:r w:rsidRPr="00123AD7">
        <w:t>Encuesta permanente de hogares de propósitos múltiples</w:t>
      </w:r>
      <w:r>
        <w:t xml:space="preserve"> 2019.</w:t>
      </w:r>
    </w:p>
  </w:footnote>
  <w:footnote w:id="2">
    <w:p w14:paraId="68ED69D4" w14:textId="77777777" w:rsidR="00DA7E35" w:rsidRDefault="00DA7E35" w:rsidP="00DA7E35">
      <w:pPr>
        <w:pStyle w:val="FootnoteText"/>
        <w:jc w:val="both"/>
      </w:pPr>
      <w:r>
        <w:rPr>
          <w:rStyle w:val="FootnoteReference"/>
        </w:rPr>
        <w:footnoteRef/>
      </w:r>
      <w:r>
        <w:t xml:space="preserve"> UNICEF (2018). Informe de situación 2018 sobre los derechos de la niñez y adolescencia en Honduras.</w:t>
      </w:r>
    </w:p>
  </w:footnote>
  <w:footnote w:id="3">
    <w:p w14:paraId="7701C6A0" w14:textId="77777777" w:rsidR="00DA7E35" w:rsidRDefault="00DA7E35" w:rsidP="00DA7E35">
      <w:pPr>
        <w:pStyle w:val="FootnoteText"/>
      </w:pPr>
      <w:r>
        <w:rPr>
          <w:rStyle w:val="FootnoteReference"/>
        </w:rPr>
        <w:footnoteRef/>
      </w:r>
      <w:r>
        <w:t xml:space="preserve"> </w:t>
      </w:r>
      <w:bookmarkStart w:id="2" w:name="_Hlk72156591"/>
      <w:r>
        <w:t xml:space="preserve">UNFPA. Informe del Estado de Población Mundial 2021. </w:t>
      </w:r>
      <w:hyperlink r:id="rId1" w:history="1">
        <w:r w:rsidRPr="00960357">
          <w:rPr>
            <w:rStyle w:val="Hyperlink"/>
          </w:rPr>
          <w:t>https://reliefweb.int/report/world/estado-de-la-poblaci-n-mundial-2021-mi-cuerpo-me-pertenece-reclamar-el-derecho-la</w:t>
        </w:r>
      </w:hyperlink>
      <w:r>
        <w:t xml:space="preserve"> </w:t>
      </w:r>
    </w:p>
    <w:bookmarkEnd w:id="2"/>
  </w:footnote>
  <w:footnote w:id="4">
    <w:p w14:paraId="1A2DD573" w14:textId="77777777" w:rsidR="00DA7E35" w:rsidRDefault="00DA7E35" w:rsidP="00DA7E35">
      <w:pPr>
        <w:pStyle w:val="FootnoteText"/>
        <w:jc w:val="both"/>
      </w:pPr>
      <w:r>
        <w:rPr>
          <w:rStyle w:val="FootnoteReference"/>
        </w:rPr>
        <w:footnoteRef/>
      </w:r>
      <w:r>
        <w:t xml:space="preserve"> Para 2017, el total de personas que vivían en pobreza de acuerdo al INE era de 68.8%, con un 44.2% en extrema pobreza</w:t>
      </w:r>
    </w:p>
  </w:footnote>
  <w:footnote w:id="5">
    <w:p w14:paraId="6B6250DA" w14:textId="77777777" w:rsidR="00DA7E35" w:rsidRDefault="00DA7E35" w:rsidP="00DA7E35">
      <w:pPr>
        <w:pStyle w:val="FootnoteText"/>
        <w:jc w:val="both"/>
      </w:pPr>
      <w:r>
        <w:rPr>
          <w:rStyle w:val="FootnoteReference"/>
        </w:rPr>
        <w:footnoteRef/>
      </w:r>
      <w:r w:rsidRPr="00BD4EF4">
        <w:t xml:space="preserve">Esta estrategia ha sido utilizada también para reducir el número de víctimas de homicidios reportadas donde actualmente se cuentan por eventos no por número de personas (En el caso de las masacres u homicidios múltiples se cuenta por evento (1) aunque el número de personas muertas corresponda a más de 3). El Heraldo (2020) </w:t>
      </w:r>
      <w:hyperlink r:id="rId2" w:history="1">
        <w:r w:rsidRPr="00EA5699">
          <w:rPr>
            <w:rStyle w:val="Hyperlink"/>
          </w:rPr>
          <w:t>https://www.laprensa.hn/honduras/1352983-410/honduras-pobreza-medicion-hondurenos-economia-estadisticas-gobierno</w:t>
        </w:r>
      </w:hyperlink>
      <w:r>
        <w:t xml:space="preserve"> </w:t>
      </w:r>
    </w:p>
  </w:footnote>
  <w:footnote w:id="6">
    <w:p w14:paraId="35C49E40" w14:textId="77777777" w:rsidR="00DA7E35" w:rsidRDefault="00DA7E35" w:rsidP="00DA7E35">
      <w:pPr>
        <w:pStyle w:val="FootnoteText"/>
      </w:pPr>
      <w:r>
        <w:rPr>
          <w:rStyle w:val="FootnoteReference"/>
        </w:rPr>
        <w:footnoteRef/>
      </w:r>
      <w:r>
        <w:t xml:space="preserve"> </w:t>
      </w:r>
      <w:r w:rsidRPr="00BE03F4">
        <w:t>alrededor de 2.1 millones</w:t>
      </w:r>
    </w:p>
  </w:footnote>
  <w:footnote w:id="7">
    <w:p w14:paraId="52F7DC2F" w14:textId="77777777" w:rsidR="00DA7E35" w:rsidRDefault="00DA7E35" w:rsidP="00DA7E35">
      <w:pPr>
        <w:pStyle w:val="FootnoteText"/>
        <w:jc w:val="both"/>
      </w:pPr>
      <w:r>
        <w:rPr>
          <w:rStyle w:val="FootnoteReference"/>
        </w:rPr>
        <w:footnoteRef/>
      </w:r>
      <w:r>
        <w:t xml:space="preserve"> UNICEF (2018). Informe de situación 2018 sobre los derechos de la niñez y adolescencia en Honduras.</w:t>
      </w:r>
    </w:p>
  </w:footnote>
  <w:footnote w:id="8">
    <w:p w14:paraId="09C6D63D" w14:textId="77777777" w:rsidR="00DA7E35" w:rsidRDefault="00DA7E35" w:rsidP="00DA7E35">
      <w:pPr>
        <w:pStyle w:val="FootnoteText"/>
      </w:pPr>
      <w:r>
        <w:rPr>
          <w:rStyle w:val="FootnoteReference"/>
        </w:rPr>
        <w:footnoteRef/>
      </w:r>
      <w:r>
        <w:t xml:space="preserve"> </w:t>
      </w:r>
      <w:r w:rsidRPr="00D01309">
        <w:t>3 partos cada hora</w:t>
      </w:r>
      <w:r>
        <w:t>.</w:t>
      </w:r>
    </w:p>
  </w:footnote>
  <w:footnote w:id="9">
    <w:p w14:paraId="2C158980" w14:textId="7CE6AD0C" w:rsidR="00DA7E35" w:rsidRDefault="00DA7E35" w:rsidP="00DA7E35">
      <w:pPr>
        <w:pStyle w:val="FootnoteText"/>
        <w:jc w:val="both"/>
      </w:pPr>
      <w:r>
        <w:rPr>
          <w:rStyle w:val="FootnoteReference"/>
        </w:rPr>
        <w:footnoteRef/>
      </w:r>
      <w:r>
        <w:t xml:space="preserve"> </w:t>
      </w:r>
      <w:bookmarkStart w:id="3" w:name="_Hlk73694725"/>
      <w:r>
        <w:t>Secretaria de Salud; e</w:t>
      </w:r>
      <w:r w:rsidRPr="00705198">
        <w:t>gresos hospitalarios parto en adolescente por departamento y municipio de procedencia según edad simple</w:t>
      </w:r>
      <w:r>
        <w:t xml:space="preserve">. Enero a diciembre 2019. </w:t>
      </w:r>
      <w:bookmarkEnd w:id="3"/>
      <w:r>
        <w:fldChar w:fldCharType="begin"/>
      </w:r>
      <w:r>
        <w:instrText xml:space="preserve"> HYPERLINK "</w:instrText>
      </w:r>
      <w:r w:rsidRPr="008F7B38">
        <w:instrText>https://drive.google.com/file/d/1EwsCG2Y6NSRSWPojzPzDFKHF5KH8f7oa/view?usp=sharing</w:instrText>
      </w:r>
      <w:r>
        <w:instrText xml:space="preserve">" </w:instrText>
      </w:r>
      <w:r>
        <w:fldChar w:fldCharType="separate"/>
      </w:r>
      <w:r w:rsidRPr="00C002F8">
        <w:rPr>
          <w:rStyle w:val="Hyperlink"/>
        </w:rPr>
        <w:t>https://drive.google.com/file/d/1EwsCG2Y6NSRSWPojzPzDFKHF5KH8f7oa/view?usp=sharing</w:t>
      </w:r>
      <w:r>
        <w:fldChar w:fldCharType="end"/>
      </w:r>
      <w:r>
        <w:t xml:space="preserve">  </w:t>
      </w:r>
    </w:p>
  </w:footnote>
  <w:footnote w:id="10">
    <w:p w14:paraId="5148B4D6" w14:textId="77777777" w:rsidR="00DA7E35" w:rsidRDefault="00DA7E35" w:rsidP="00DA7E35">
      <w:pPr>
        <w:pStyle w:val="FootnoteText"/>
        <w:jc w:val="both"/>
      </w:pPr>
      <w:r>
        <w:rPr>
          <w:rStyle w:val="FootnoteReference"/>
        </w:rPr>
        <w:footnoteRef/>
      </w:r>
      <w:r>
        <w:t xml:space="preserve"> </w:t>
      </w:r>
      <w:r w:rsidRPr="00105481">
        <w:t>UNFPA. Informe del Estado de Población Mundial 2021.</w:t>
      </w:r>
      <w:r>
        <w:t xml:space="preserve"> </w:t>
      </w:r>
      <w:hyperlink r:id="rId3" w:history="1">
        <w:r w:rsidRPr="00960357">
          <w:rPr>
            <w:rStyle w:val="Hyperlink"/>
          </w:rPr>
          <w:t>https://reliefweb.int/report/world/estado-de-la-poblaci-n-mundial-2021-mi-cuerpo-me-pertenece-reclamar-el-derecho-la</w:t>
        </w:r>
      </w:hyperlink>
      <w:r>
        <w:t xml:space="preserve"> </w:t>
      </w:r>
    </w:p>
  </w:footnote>
  <w:footnote w:id="11">
    <w:p w14:paraId="6D4E5E90" w14:textId="77777777" w:rsidR="00DA7E35" w:rsidRDefault="00DA7E35" w:rsidP="00DA7E35">
      <w:pPr>
        <w:pStyle w:val="FootnoteText"/>
        <w:jc w:val="both"/>
      </w:pPr>
      <w:r>
        <w:rPr>
          <w:rStyle w:val="FootnoteReference"/>
        </w:rPr>
        <w:footnoteRef/>
      </w:r>
      <w:r>
        <w:t xml:space="preserve"> Artículo 249 del Nuevo Código Penal.</w:t>
      </w:r>
      <w:r w:rsidRPr="00604CFF">
        <w:t xml:space="preserve"> </w:t>
      </w:r>
      <w:hyperlink r:id="rId4" w:history="1">
        <w:r w:rsidRPr="00EA5699">
          <w:rPr>
            <w:rStyle w:val="Hyperlink"/>
          </w:rPr>
          <w:t>https://drive.google.com/file/d/19OSPcu8ggXUR-PnAzaST-_PUtyUkAYnx/view?usp=sharing</w:t>
        </w:r>
      </w:hyperlink>
      <w:r>
        <w:t xml:space="preserve"> </w:t>
      </w:r>
    </w:p>
  </w:footnote>
  <w:footnote w:id="12">
    <w:p w14:paraId="728EBEEF" w14:textId="77777777" w:rsidR="00DA7E35" w:rsidRDefault="00DA7E35" w:rsidP="00DA7E35">
      <w:pPr>
        <w:pStyle w:val="FootnoteText"/>
        <w:jc w:val="both"/>
      </w:pPr>
      <w:r>
        <w:rPr>
          <w:rStyle w:val="FootnoteReference"/>
        </w:rPr>
        <w:footnoteRef/>
      </w:r>
      <w:r>
        <w:t xml:space="preserve"> Centro de Derechos de la Mujer. </w:t>
      </w:r>
      <w:r w:rsidRPr="00834CA0">
        <w:t>Observatorio de Derechos Humanos de las Mujeres</w:t>
      </w:r>
      <w:r>
        <w:t xml:space="preserve">. </w:t>
      </w:r>
      <w:r w:rsidRPr="00834CA0">
        <w:t xml:space="preserve"> </w:t>
      </w:r>
      <w:hyperlink r:id="rId5" w:history="1">
        <w:r w:rsidRPr="00960357">
          <w:rPr>
            <w:rStyle w:val="Hyperlink"/>
          </w:rPr>
          <w:t>https://derechosdelamujer.org/project/monitoreo-2020/</w:t>
        </w:r>
      </w:hyperlink>
      <w:r>
        <w:t xml:space="preserve"> </w:t>
      </w:r>
    </w:p>
  </w:footnote>
  <w:footnote w:id="13">
    <w:p w14:paraId="693FC424" w14:textId="77777777" w:rsidR="00DA7E35" w:rsidRDefault="00DA7E35" w:rsidP="00DA7E35">
      <w:pPr>
        <w:pStyle w:val="FootnoteText"/>
      </w:pPr>
      <w:r>
        <w:rPr>
          <w:rStyle w:val="FootnoteReference"/>
        </w:rPr>
        <w:footnoteRef/>
      </w:r>
      <w:r>
        <w:t xml:space="preserve"> </w:t>
      </w:r>
      <w:r w:rsidRPr="003C5FE7">
        <w:t xml:space="preserve">Centro de Derechos de la Mujer. Observatorio de Derechos Humanos de las Mujeres.  </w:t>
      </w:r>
      <w:hyperlink r:id="rId6" w:history="1">
        <w:r w:rsidRPr="00960357">
          <w:rPr>
            <w:rStyle w:val="Hyperlink"/>
          </w:rPr>
          <w:t>https://derechosdelamujer.org/project/monitoreo_2021/</w:t>
        </w:r>
      </w:hyperlink>
      <w:r>
        <w:t xml:space="preserve"> </w:t>
      </w:r>
    </w:p>
  </w:footnote>
  <w:footnote w:id="14">
    <w:p w14:paraId="4E5499E1" w14:textId="77777777" w:rsidR="00DA7E35" w:rsidRDefault="00DA7E35" w:rsidP="00DA7E35">
      <w:pPr>
        <w:pStyle w:val="FootnoteText"/>
        <w:jc w:val="both"/>
      </w:pPr>
      <w:r>
        <w:rPr>
          <w:rStyle w:val="FootnoteReference"/>
        </w:rPr>
        <w:footnoteRef/>
      </w:r>
      <w:r>
        <w:t xml:space="preserve"> Red Lésbica Cattrachas. Informe Sobre Muertes Violentas de personas LGTTBI 2009-2020.</w:t>
      </w:r>
    </w:p>
  </w:footnote>
  <w:footnote w:id="15">
    <w:p w14:paraId="1EA02FCC" w14:textId="77777777" w:rsidR="00DA7E35" w:rsidRDefault="00DA7E35" w:rsidP="00DA7E35">
      <w:pPr>
        <w:pStyle w:val="FootnoteText"/>
        <w:jc w:val="both"/>
      </w:pPr>
      <w:r>
        <w:rPr>
          <w:rStyle w:val="FootnoteReference"/>
        </w:rPr>
        <w:footnoteRef/>
      </w:r>
      <w:r>
        <w:t xml:space="preserve"> Red Lésbica Cattrachas. Muertes violentas de mujeres negras en Honduras: análisis diferenciado de patrones 2014-2020.</w:t>
      </w:r>
    </w:p>
    <w:p w14:paraId="02565D89" w14:textId="77777777" w:rsidR="00DA7E35" w:rsidRDefault="00DA7E35" w:rsidP="00DA7E35">
      <w:pPr>
        <w:pStyle w:val="FootnoteText"/>
        <w:jc w:val="both"/>
      </w:pPr>
      <w:r>
        <w:t>2014-2020</w:t>
      </w:r>
    </w:p>
  </w:footnote>
  <w:footnote w:id="16">
    <w:p w14:paraId="464EFBA1" w14:textId="77777777" w:rsidR="00DA7E35" w:rsidRDefault="00DA7E35" w:rsidP="00DA7E35">
      <w:pPr>
        <w:pStyle w:val="FootnoteText"/>
        <w:jc w:val="both"/>
      </w:pPr>
      <w:r>
        <w:rPr>
          <w:rStyle w:val="FootnoteReference"/>
        </w:rPr>
        <w:footnoteRef/>
      </w:r>
      <w:hyperlink r:id="rId7" w:history="1">
        <w:r w:rsidRPr="00EA5699">
          <w:rPr>
            <w:rStyle w:val="Hyperlink"/>
          </w:rPr>
          <w:t>https://www.reporterosdeinvestigacion.com/wp-content/uploads/2018/03/resumen-ejecutivo-2018.pdf</w:t>
        </w:r>
      </w:hyperlink>
      <w:r>
        <w:t xml:space="preserve"> </w:t>
      </w:r>
    </w:p>
  </w:footnote>
  <w:footnote w:id="17">
    <w:p w14:paraId="5F18256F" w14:textId="77777777" w:rsidR="00DA7E35" w:rsidRDefault="00DA7E35" w:rsidP="00DA7E35">
      <w:pPr>
        <w:pStyle w:val="FootnoteText"/>
        <w:jc w:val="both"/>
      </w:pPr>
      <w:r>
        <w:rPr>
          <w:rStyle w:val="FootnoteReference"/>
        </w:rPr>
        <w:footnoteRef/>
      </w:r>
      <w:r>
        <w:t xml:space="preserve"> Sistema Nacional de Emergencia 911. </w:t>
      </w:r>
      <w:r w:rsidRPr="0009087B">
        <w:t>Información sobre las llamadas recibidas por casos de Violencia Doméstica y Violencia Intrafamiliar entre enero del 2019 y 2020</w:t>
      </w:r>
      <w:r>
        <w:t xml:space="preserve">. </w:t>
      </w:r>
      <w:hyperlink r:id="rId8" w:history="1">
        <w:r w:rsidRPr="00EA5699">
          <w:rPr>
            <w:rStyle w:val="Hyperlink"/>
          </w:rPr>
          <w:t>https://drive.google.com/file/d/1XaI4KEN4LDwZckFYHTIGHhJlnF0HTImA/view?usp=sharing</w:t>
        </w:r>
      </w:hyperlink>
      <w:r>
        <w:t xml:space="preserve"> </w:t>
      </w:r>
    </w:p>
  </w:footnote>
  <w:footnote w:id="18">
    <w:p w14:paraId="3C60EAEA" w14:textId="77777777" w:rsidR="00DA7E35" w:rsidRDefault="00DA7E35" w:rsidP="00DA7E35">
      <w:pPr>
        <w:pStyle w:val="FootnoteText"/>
        <w:jc w:val="both"/>
      </w:pPr>
      <w:r>
        <w:rPr>
          <w:rStyle w:val="FootnoteReference"/>
        </w:rPr>
        <w:footnoteRef/>
      </w:r>
      <w:r>
        <w:t xml:space="preserve"> Sondeo levantado por Plan International Honduras en 5 de 7 casas refugio a nivel nacional. Abril 2021.</w:t>
      </w:r>
    </w:p>
  </w:footnote>
  <w:footnote w:id="19">
    <w:p w14:paraId="6D20F9CF" w14:textId="77777777" w:rsidR="00DA7E35" w:rsidRDefault="00DA7E35" w:rsidP="00DA7E35">
      <w:pPr>
        <w:pStyle w:val="FootnoteText"/>
      </w:pPr>
      <w:r>
        <w:rPr>
          <w:rStyle w:val="FootnoteReference"/>
        </w:rPr>
        <w:footnoteRef/>
      </w:r>
      <w:r>
        <w:t xml:space="preserve"> La última </w:t>
      </w:r>
      <w:r w:rsidRPr="00E0112E">
        <w:t xml:space="preserve">Encuesta Nacional de Demografía y Salud </w:t>
      </w:r>
      <w:r>
        <w:t>(ENDESA) realizada en 2019 no ha sido publicada.</w:t>
      </w:r>
    </w:p>
  </w:footnote>
  <w:footnote w:id="20">
    <w:p w14:paraId="251C5C22" w14:textId="77777777" w:rsidR="00DA7E35" w:rsidRDefault="00DA7E35" w:rsidP="00DA7E35">
      <w:pPr>
        <w:pStyle w:val="FootnoteText"/>
      </w:pPr>
      <w:r>
        <w:rPr>
          <w:rStyle w:val="FootnoteReference"/>
        </w:rPr>
        <w:footnoteRef/>
      </w:r>
      <w:r>
        <w:t xml:space="preserve"> UNFPA. Informe del Estado de Población Mundial 2021. </w:t>
      </w:r>
      <w:hyperlink r:id="rId9" w:history="1">
        <w:r w:rsidRPr="00960357">
          <w:rPr>
            <w:rStyle w:val="Hyperlink"/>
          </w:rPr>
          <w:t>https://reliefweb.int/report/world/estado-de-la-poblaci-n-mundial-2021-mi-cuerpo-me-pertenece-reclamar-el-derecho-la</w:t>
        </w:r>
      </w:hyperlink>
      <w:r>
        <w:t xml:space="preserve"> </w:t>
      </w:r>
    </w:p>
  </w:footnote>
  <w:footnote w:id="21">
    <w:p w14:paraId="4C074769" w14:textId="77777777" w:rsidR="00DA7E35" w:rsidRDefault="00DA7E35" w:rsidP="00DA7E35">
      <w:pPr>
        <w:pStyle w:val="FootnoteText"/>
      </w:pPr>
      <w:r>
        <w:rPr>
          <w:rStyle w:val="FootnoteReference"/>
        </w:rPr>
        <w:footnoteRef/>
      </w:r>
      <w:r>
        <w:t xml:space="preserve"> Plan International Honduras. Encuesta sobre MUITF levantada en Choluteca, La Paz, Lempira, Intibucá, Santa B</w:t>
      </w:r>
      <w:r>
        <w:rPr>
          <w:rFonts w:cstheme="minorHAnsi"/>
        </w:rPr>
        <w:t>á</w:t>
      </w:r>
      <w:r>
        <w:t>rbara y Cop</w:t>
      </w:r>
      <w:r>
        <w:rPr>
          <w:rFonts w:cstheme="minorHAnsi"/>
        </w:rPr>
        <w:t>á</w:t>
      </w:r>
      <w:r>
        <w:t xml:space="preserve">n en abril 2021. </w:t>
      </w:r>
      <w:hyperlink r:id="rId10" w:history="1">
        <w:r w:rsidRPr="00EA5699">
          <w:rPr>
            <w:rStyle w:val="Hyperlink"/>
          </w:rPr>
          <w:t>https://drive.google.com/file/d/1OJGmwzs_6zMDo8yIbIaRC7isZDoCPTto/view?usp=sharing</w:t>
        </w:r>
      </w:hyperlink>
      <w:r>
        <w:t xml:space="preserve"> </w:t>
      </w:r>
    </w:p>
  </w:footnote>
  <w:footnote w:id="22">
    <w:p w14:paraId="4E4B76CA" w14:textId="77777777" w:rsidR="00DA7E35" w:rsidRDefault="00DA7E35" w:rsidP="00DA7E35">
      <w:pPr>
        <w:pStyle w:val="FootnoteText"/>
      </w:pPr>
      <w:r>
        <w:rPr>
          <w:rStyle w:val="FootnoteReference"/>
        </w:rPr>
        <w:footnoteRef/>
      </w:r>
      <w:r>
        <w:t xml:space="preserve"> A</w:t>
      </w:r>
      <w:r w:rsidRPr="00993521">
        <w:t>rtículo 203, 1 a 4 años de reclusión</w:t>
      </w:r>
      <w:r>
        <w:t>. Este tipo penal se suma al de aborto incluido en el A</w:t>
      </w:r>
      <w:r w:rsidRPr="00993521">
        <w:t xml:space="preserve">rtículo 196 con </w:t>
      </w:r>
      <w:r>
        <w:t xml:space="preserve">una </w:t>
      </w:r>
      <w:r w:rsidRPr="00993521">
        <w:t>pena de 3-6 años de reclusión</w:t>
      </w:r>
      <w:r>
        <w:t>.</w:t>
      </w:r>
    </w:p>
  </w:footnote>
  <w:footnote w:id="23">
    <w:p w14:paraId="4018EF96" w14:textId="77777777" w:rsidR="00DA7E35" w:rsidRDefault="00DA7E35" w:rsidP="00DA7E35">
      <w:pPr>
        <w:pStyle w:val="FootnoteText"/>
        <w:jc w:val="both"/>
        <w:rPr>
          <w:i/>
          <w:iCs/>
        </w:rPr>
      </w:pPr>
      <w:r>
        <w:rPr>
          <w:rStyle w:val="FootnoteReference"/>
        </w:rPr>
        <w:footnoteRef/>
      </w:r>
      <w:r>
        <w:t xml:space="preserve"> El decreto menciona: “</w:t>
      </w:r>
      <w:r w:rsidRPr="0054333C">
        <w:rPr>
          <w:i/>
          <w:iCs/>
        </w:rPr>
        <w:t>sólo podrá reformarse por una mayoría de tres cuartas partes de los miembros del Pleno del Congreso Nacional, sus disposiciones no perderán vigencia o dejarán de cumplirse cuando sea supuestamente derogado o modificado por otro precepto constitucional. En caso de aprobarse una nueva Constitución sus disposiciones serán incorporadas a la misma, salvo que por unanimidad de la asamblea Constituyente se establezca lo contrario”</w:t>
      </w:r>
    </w:p>
    <w:p w14:paraId="17AC1CEB" w14:textId="77777777" w:rsidR="00DA7E35" w:rsidRPr="002C6305" w:rsidRDefault="00C9786A" w:rsidP="00DA7E35">
      <w:pPr>
        <w:pStyle w:val="FootnoteText"/>
        <w:jc w:val="both"/>
      </w:pPr>
      <w:hyperlink r:id="rId11" w:history="1">
        <w:r w:rsidR="00DA7E35" w:rsidRPr="00EA5699">
          <w:rPr>
            <w:rStyle w:val="Hyperlink"/>
          </w:rPr>
          <w:t>https://honduras.un.org/es/108906-la-onu-manifiesta-su-preocupacion-por-la-aprobacion-de-la-reforma-constitucional-que-impide</w:t>
        </w:r>
      </w:hyperlink>
      <w:r w:rsidR="00DA7E35">
        <w:t xml:space="preserve"> </w:t>
      </w:r>
    </w:p>
  </w:footnote>
  <w:footnote w:id="24">
    <w:p w14:paraId="40DE2B87" w14:textId="77777777" w:rsidR="00DA7E35" w:rsidRDefault="00DA7E35" w:rsidP="00DA7E35">
      <w:pPr>
        <w:pStyle w:val="FootnoteText"/>
        <w:jc w:val="both"/>
      </w:pPr>
      <w:r>
        <w:rPr>
          <w:rStyle w:val="FootnoteReference"/>
        </w:rPr>
        <w:footnoteRef/>
      </w:r>
      <w:r>
        <w:t xml:space="preserve"> </w:t>
      </w:r>
      <w:hyperlink r:id="rId12" w:history="1">
        <w:r w:rsidRPr="007D11DC">
          <w:rPr>
            <w:rStyle w:val="Hyperlink"/>
          </w:rPr>
          <w:t>https://somosmuchas.hn/</w:t>
        </w:r>
      </w:hyperlink>
      <w:r>
        <w:t xml:space="preserve"> </w:t>
      </w:r>
    </w:p>
  </w:footnote>
  <w:footnote w:id="25">
    <w:p w14:paraId="2638B0D0" w14:textId="77777777" w:rsidR="00DA7E35" w:rsidRDefault="00DA7E35" w:rsidP="004C1BBE">
      <w:pPr>
        <w:pStyle w:val="FootnoteText"/>
        <w:jc w:val="both"/>
      </w:pPr>
      <w:r>
        <w:rPr>
          <w:rStyle w:val="FootnoteReference"/>
        </w:rPr>
        <w:footnoteRef/>
      </w:r>
      <w:r>
        <w:t xml:space="preserve"> C</w:t>
      </w:r>
      <w:r w:rsidRPr="002907BF">
        <w:t>uando el embarazo fuese producto de una violación sexual; cuando el embarazo ponga en riesgo la salud o vida de la mujer embarazada; o cuando existan graves malformaciones congénitas en el feto que lo hacen incompatible con la vida.</w:t>
      </w:r>
    </w:p>
  </w:footnote>
  <w:footnote w:id="26">
    <w:p w14:paraId="67E3DC13" w14:textId="77777777" w:rsidR="00DA7E35" w:rsidRDefault="00DA7E35" w:rsidP="00DA7E35">
      <w:pPr>
        <w:pStyle w:val="FootnoteText"/>
        <w:jc w:val="both"/>
      </w:pPr>
      <w:r>
        <w:rPr>
          <w:rStyle w:val="FootnoteReference"/>
        </w:rPr>
        <w:footnoteRef/>
      </w:r>
      <w:r>
        <w:t xml:space="preserve"> </w:t>
      </w:r>
      <w:r w:rsidRPr="0078391E">
        <w:t>L</w:t>
      </w:r>
      <w:r>
        <w:t>a</w:t>
      </w:r>
      <w:r w:rsidRPr="0078391E">
        <w:t xml:space="preserve">s principales </w:t>
      </w:r>
      <w:r>
        <w:t xml:space="preserve">causas del desplazamiento </w:t>
      </w:r>
      <w:r w:rsidRPr="0078391E">
        <w:t>son: violencia, inseguridad, limitado acceso a oportunidades laborales, salud y educación de calidad, inestabilidad política, etc.</w:t>
      </w:r>
    </w:p>
    <w:p w14:paraId="2B7EADCE" w14:textId="77777777" w:rsidR="00DA7E35" w:rsidRDefault="00C9786A" w:rsidP="00DA7E35">
      <w:pPr>
        <w:pStyle w:val="FootnoteText"/>
        <w:jc w:val="both"/>
        <w:rPr>
          <w:rStyle w:val="Hyperlink"/>
          <w:rFonts w:cstheme="minorHAnsi"/>
        </w:rPr>
      </w:pPr>
      <w:hyperlink r:id="rId13" w:history="1">
        <w:r w:rsidR="00DA7E35" w:rsidRPr="004C1BBE">
          <w:rPr>
            <w:rStyle w:val="Hyperlink"/>
            <w:rFonts w:cstheme="minorHAnsi"/>
          </w:rPr>
          <w:t>https://rosanjose.iom.int/site/es/caravanas-migrantes</w:t>
        </w:r>
      </w:hyperlink>
    </w:p>
    <w:p w14:paraId="35DE76B4" w14:textId="77777777" w:rsidR="00DA7E35" w:rsidRPr="004C1BBE" w:rsidRDefault="00C9786A" w:rsidP="00DA7E35">
      <w:pPr>
        <w:pStyle w:val="NoSpacing"/>
        <w:jc w:val="both"/>
      </w:pPr>
      <w:hyperlink r:id="rId14" w:history="1">
        <w:r w:rsidR="00DA7E35" w:rsidRPr="004C1BBE">
          <w:rPr>
            <w:rStyle w:val="Hyperlink"/>
            <w:rFonts w:cstheme="minorHAnsi"/>
            <w:sz w:val="20"/>
            <w:szCs w:val="20"/>
          </w:rPr>
          <w:t>https://rosanjose.iom.int/site/es/blog/las-caravanas-migrantes-explicadas</w:t>
        </w:r>
      </w:hyperlink>
      <w:r w:rsidR="00DA7E35" w:rsidRPr="004C1BBE">
        <w:t xml:space="preserve"> </w:t>
      </w:r>
    </w:p>
    <w:p w14:paraId="327C9A14" w14:textId="77777777" w:rsidR="00DA7E35" w:rsidRPr="00D07542" w:rsidRDefault="00C9786A" w:rsidP="00DA7E35">
      <w:pPr>
        <w:spacing w:after="0"/>
        <w:jc w:val="both"/>
        <w:rPr>
          <w:color w:val="0070C0"/>
          <w:sz w:val="20"/>
          <w:szCs w:val="20"/>
        </w:rPr>
      </w:pPr>
      <w:hyperlink r:id="rId15" w:history="1">
        <w:r w:rsidR="00DA7E35" w:rsidRPr="00D07542">
          <w:rPr>
            <w:color w:val="0070C0"/>
            <w:sz w:val="20"/>
            <w:szCs w:val="20"/>
          </w:rPr>
          <w:t>https://www.washingtonpost.com/es/post-opinion/2020/01/20/caravana-migrante-mexico-insiste-en-ser-la-primera-linea-del-muro-de-trump/</w:t>
        </w:r>
      </w:hyperlink>
      <w:r w:rsidR="00DA7E35" w:rsidRPr="00D07542">
        <w:rPr>
          <w:color w:val="0070C0"/>
          <w:sz w:val="20"/>
          <w:szCs w:val="20"/>
        </w:rPr>
        <w:t xml:space="preserve">   </w:t>
      </w:r>
    </w:p>
    <w:p w14:paraId="712FBE10" w14:textId="77777777" w:rsidR="00DA7E35" w:rsidRPr="00D07542" w:rsidRDefault="00C9786A" w:rsidP="00DA7E35">
      <w:pPr>
        <w:spacing w:after="0"/>
        <w:jc w:val="both"/>
        <w:rPr>
          <w:color w:val="0070C0"/>
          <w:sz w:val="20"/>
          <w:szCs w:val="20"/>
        </w:rPr>
      </w:pPr>
      <w:hyperlink r:id="rId16" w:history="1">
        <w:r w:rsidR="00DA7E35" w:rsidRPr="00D07542">
          <w:rPr>
            <w:color w:val="0070C0"/>
            <w:sz w:val="20"/>
            <w:szCs w:val="20"/>
          </w:rPr>
          <w:t>https://cnnespanol.cnn.com/2020/06/30/alerta-nueva-caravana-de-migrantes-hondurenos-parte-rumbo-a-estados-unidos/</w:t>
        </w:r>
      </w:hyperlink>
      <w:r w:rsidR="00DA7E35" w:rsidRPr="00D07542">
        <w:rPr>
          <w:color w:val="0070C0"/>
          <w:sz w:val="20"/>
          <w:szCs w:val="20"/>
        </w:rPr>
        <w:t xml:space="preserve"> </w:t>
      </w:r>
    </w:p>
    <w:p w14:paraId="4F9B72FC" w14:textId="77777777" w:rsidR="00DA7E35" w:rsidRPr="00D07542" w:rsidRDefault="00C9786A" w:rsidP="00DA7E35">
      <w:pPr>
        <w:spacing w:after="0"/>
        <w:jc w:val="both"/>
        <w:rPr>
          <w:color w:val="0070C0"/>
          <w:sz w:val="20"/>
          <w:szCs w:val="20"/>
        </w:rPr>
      </w:pPr>
      <w:hyperlink r:id="rId17" w:history="1">
        <w:r w:rsidR="00DA7E35" w:rsidRPr="00D07542">
          <w:rPr>
            <w:color w:val="0070C0"/>
            <w:sz w:val="20"/>
            <w:szCs w:val="20"/>
          </w:rPr>
          <w:t>https://www.bbc.com/mundo/noticias-america-latina-54379864</w:t>
        </w:r>
      </w:hyperlink>
      <w:r w:rsidR="00DA7E35" w:rsidRPr="00D07542">
        <w:rPr>
          <w:color w:val="0070C0"/>
          <w:sz w:val="20"/>
          <w:szCs w:val="20"/>
        </w:rPr>
        <w:t xml:space="preserve"> </w:t>
      </w:r>
    </w:p>
    <w:p w14:paraId="1996FB1A" w14:textId="77777777" w:rsidR="00DA7E35" w:rsidRPr="00D07542" w:rsidRDefault="00C9786A" w:rsidP="00DA7E35">
      <w:pPr>
        <w:spacing w:after="0"/>
        <w:jc w:val="both"/>
        <w:rPr>
          <w:color w:val="0070C0"/>
          <w:sz w:val="20"/>
          <w:szCs w:val="20"/>
        </w:rPr>
      </w:pPr>
      <w:hyperlink r:id="rId18" w:history="1">
        <w:r w:rsidR="00DA7E35" w:rsidRPr="00D07542">
          <w:rPr>
            <w:color w:val="0070C0"/>
            <w:sz w:val="20"/>
            <w:szCs w:val="20"/>
          </w:rPr>
          <w:t>https://elpais.com/internacional/2020-12-10/una-nueva-caravana-de-hondurenos-pone-rumbo-a-ee-uu-tras-el-paso-de-eta-e-iota.html</w:t>
        </w:r>
      </w:hyperlink>
      <w:r w:rsidR="00DA7E35" w:rsidRPr="00D07542">
        <w:rPr>
          <w:color w:val="0070C0"/>
          <w:sz w:val="20"/>
          <w:szCs w:val="20"/>
        </w:rPr>
        <w:t xml:space="preserve"> </w:t>
      </w:r>
    </w:p>
    <w:p w14:paraId="502BC7D8" w14:textId="77777777" w:rsidR="00DA7E35" w:rsidRPr="00D07542" w:rsidRDefault="00C9786A" w:rsidP="00DA7E35">
      <w:pPr>
        <w:spacing w:after="0"/>
        <w:jc w:val="both"/>
        <w:rPr>
          <w:color w:val="0070C0"/>
          <w:sz w:val="20"/>
          <w:szCs w:val="20"/>
        </w:rPr>
      </w:pPr>
      <w:hyperlink r:id="rId19" w:history="1">
        <w:r w:rsidR="00DA7E35" w:rsidRPr="00D07542">
          <w:rPr>
            <w:color w:val="0070C0"/>
            <w:sz w:val="20"/>
            <w:szCs w:val="20"/>
          </w:rPr>
          <w:t>https://reliefweb.int/sites/reliefweb.int/files/resources/6rsithn2021.pdf</w:t>
        </w:r>
      </w:hyperlink>
      <w:r w:rsidR="00DA7E35" w:rsidRPr="00D07542">
        <w:rPr>
          <w:color w:val="0070C0"/>
          <w:sz w:val="20"/>
          <w:szCs w:val="20"/>
        </w:rPr>
        <w:t xml:space="preserve"> </w:t>
      </w:r>
    </w:p>
    <w:p w14:paraId="3A9E9A89" w14:textId="77777777" w:rsidR="00DA7E35" w:rsidRPr="00D07542" w:rsidRDefault="00C9786A" w:rsidP="00DA7E35">
      <w:pPr>
        <w:spacing w:after="0"/>
        <w:jc w:val="both"/>
        <w:rPr>
          <w:color w:val="0070C0"/>
          <w:sz w:val="20"/>
          <w:szCs w:val="20"/>
        </w:rPr>
      </w:pPr>
      <w:hyperlink r:id="rId20" w:history="1">
        <w:r w:rsidR="00DA7E35" w:rsidRPr="00D07542">
          <w:rPr>
            <w:color w:val="0070C0"/>
            <w:sz w:val="20"/>
            <w:szCs w:val="20"/>
          </w:rPr>
          <w:t>https://www.dw.com/es/honduras-se-forma-nueva-caravana-de-migrantes-con-rumbo-a-eeuu/a-57047349</w:t>
        </w:r>
      </w:hyperlink>
      <w:r w:rsidR="00DA7E35" w:rsidRPr="00D07542">
        <w:rPr>
          <w:color w:val="0070C0"/>
          <w:sz w:val="20"/>
          <w:szCs w:val="20"/>
        </w:rPr>
        <w:t xml:space="preserve"> </w:t>
      </w:r>
    </w:p>
    <w:p w14:paraId="719B5747" w14:textId="77777777" w:rsidR="00DA7E35" w:rsidRPr="00D07542" w:rsidRDefault="00C9786A" w:rsidP="00DA7E35">
      <w:pPr>
        <w:pStyle w:val="NoSpacing"/>
        <w:jc w:val="both"/>
        <w:rPr>
          <w:color w:val="0070C0"/>
          <w:sz w:val="20"/>
          <w:szCs w:val="20"/>
        </w:rPr>
      </w:pPr>
      <w:hyperlink r:id="rId21" w:history="1">
        <w:r w:rsidR="00DA7E35" w:rsidRPr="00D07542">
          <w:rPr>
            <w:color w:val="0070C0"/>
            <w:sz w:val="20"/>
            <w:szCs w:val="20"/>
          </w:rPr>
          <w:t>https://www.nodal.am/2021/01/asi-viven-300-personas-lgbt-en-la-primera-caravana-migrante-hondurena-de-2021-por-dunia-orellana/</w:t>
        </w:r>
      </w:hyperlink>
      <w:r w:rsidR="00DA7E35" w:rsidRPr="00D07542">
        <w:rPr>
          <w:color w:val="0070C0"/>
          <w:sz w:val="20"/>
          <w:szCs w:val="20"/>
        </w:rPr>
        <w:t xml:space="preserve">  </w:t>
      </w:r>
    </w:p>
  </w:footnote>
  <w:footnote w:id="27">
    <w:p w14:paraId="6F703301" w14:textId="77777777" w:rsidR="00DA7E35" w:rsidRPr="004C1BBE" w:rsidRDefault="00DA7E35" w:rsidP="00DA7E35">
      <w:pPr>
        <w:pStyle w:val="NoSpacing"/>
        <w:jc w:val="both"/>
        <w:rPr>
          <w:rFonts w:cstheme="minorHAnsi"/>
          <w:color w:val="0000FF"/>
          <w:u w:val="single"/>
        </w:rPr>
      </w:pPr>
      <w:r w:rsidRPr="00D07542">
        <w:rPr>
          <w:rStyle w:val="FootnoteReference"/>
          <w:rFonts w:cstheme="minorHAnsi"/>
          <w:color w:val="0070C0"/>
          <w:sz w:val="20"/>
          <w:szCs w:val="20"/>
        </w:rPr>
        <w:footnoteRef/>
      </w:r>
      <w:r w:rsidRPr="00D07542">
        <w:rPr>
          <w:rFonts w:cstheme="minorHAnsi"/>
          <w:color w:val="0070C0"/>
          <w:sz w:val="20"/>
          <w:szCs w:val="20"/>
        </w:rPr>
        <w:t xml:space="preserve"> </w:t>
      </w:r>
      <w:hyperlink r:id="rId22" w:history="1">
        <w:r w:rsidRPr="004C1BBE">
          <w:rPr>
            <w:rFonts w:cstheme="minorHAnsi"/>
            <w:color w:val="0070C0"/>
            <w:sz w:val="20"/>
            <w:szCs w:val="20"/>
            <w:u w:val="single"/>
          </w:rPr>
          <w:t>CENISS | Centro Nacional de Información del Sector Social</w:t>
        </w:r>
      </w:hyperlink>
    </w:p>
  </w:footnote>
  <w:footnote w:id="28">
    <w:p w14:paraId="3E61A313" w14:textId="77777777" w:rsidR="00DA7E35" w:rsidRDefault="00DA7E35" w:rsidP="00DA7E35">
      <w:pPr>
        <w:pStyle w:val="FootnoteText"/>
        <w:jc w:val="both"/>
      </w:pPr>
      <w:r>
        <w:rPr>
          <w:rStyle w:val="FootnoteReference"/>
        </w:rPr>
        <w:footnoteRef/>
      </w:r>
      <w:r>
        <w:t xml:space="preserve"> De acuerdo a un reportaje realizado “Noticias de América Latina </w:t>
      </w:r>
      <w:r w:rsidRPr="00832D5F">
        <w:t>y el Caribe” en La caravana de enero 2021, registraba al menos 300 personas LGBTIQ de las cuales 100 eran mujeres Trans. De acuerdo a</w:t>
      </w:r>
      <w:r>
        <w:t xml:space="preserve"> </w:t>
      </w:r>
      <w:r w:rsidRPr="00832D5F">
        <w:t>la ONUSIDA, las mujeres Trans en Latinoamérica tienen una esperanza de vida de 35-40 años.</w:t>
      </w:r>
    </w:p>
  </w:footnote>
  <w:footnote w:id="29">
    <w:p w14:paraId="42B9F787" w14:textId="77777777" w:rsidR="00DA7E35" w:rsidRDefault="00DA7E35" w:rsidP="00DA7E35">
      <w:pPr>
        <w:pStyle w:val="FootnoteText"/>
        <w:jc w:val="both"/>
      </w:pPr>
      <w:r>
        <w:rPr>
          <w:rStyle w:val="FootnoteReference"/>
        </w:rPr>
        <w:footnoteRef/>
      </w:r>
      <w:r>
        <w:t xml:space="preserve"> Análisis desagregado realizado por Plan international Honduras en base a cifras oficiales. Enero 2021.</w:t>
      </w:r>
    </w:p>
  </w:footnote>
  <w:footnote w:id="30">
    <w:p w14:paraId="7359D7E6" w14:textId="388992FB" w:rsidR="00DA7E35" w:rsidRDefault="00DA7E35" w:rsidP="00DA7E35">
      <w:pPr>
        <w:pStyle w:val="FootnoteText"/>
      </w:pPr>
      <w:r>
        <w:rPr>
          <w:rStyle w:val="FootnoteReference"/>
        </w:rPr>
        <w:footnoteRef/>
      </w:r>
      <w:r>
        <w:t xml:space="preserve"> </w:t>
      </w:r>
      <w:r w:rsidRPr="00902545">
        <w:t>Secretaria de Salud; egresos hospitalarios parto en adolescente por departamento y municipio de procedencia según edad simple. Enero a diciembre 20</w:t>
      </w:r>
      <w:r>
        <w:t>20</w:t>
      </w:r>
      <w:r w:rsidRPr="00902545">
        <w:t xml:space="preserve">. </w:t>
      </w:r>
      <w:hyperlink r:id="rId23" w:history="1">
        <w:r w:rsidRPr="00C002F8">
          <w:rPr>
            <w:rStyle w:val="Hyperlink"/>
          </w:rPr>
          <w:t>https://drive.google.com/file/d/1gLx9g47OgRFHA62Sc3_ZxRwDcHB02ZOJ/view?usp=sharing</w:t>
        </w:r>
      </w:hyperlink>
      <w:r>
        <w:t xml:space="preserve"> </w:t>
      </w:r>
    </w:p>
  </w:footnote>
  <w:footnote w:id="31">
    <w:p w14:paraId="58BC74EF" w14:textId="77777777" w:rsidR="00DA7E35" w:rsidRPr="0065124E" w:rsidRDefault="00DA7E35" w:rsidP="00DA7E35">
      <w:pPr>
        <w:pStyle w:val="FootnoteText"/>
        <w:jc w:val="both"/>
        <w:rPr>
          <w:lang w:val="es-ES"/>
        </w:rPr>
      </w:pPr>
      <w:r>
        <w:rPr>
          <w:rStyle w:val="FootnoteReference"/>
        </w:rPr>
        <w:footnoteRef/>
      </w:r>
      <w:r>
        <w:t xml:space="preserve"> Salud mental en Honduras (2020). </w:t>
      </w:r>
      <w:hyperlink r:id="rId24" w:history="1">
        <w:r w:rsidRPr="00C002F8">
          <w:rPr>
            <w:rStyle w:val="Hyperlink"/>
          </w:rPr>
          <w:t>https://criterio.hn/solo-1-se-invierte-en-salud-mental-en-honduras/</w:t>
        </w:r>
      </w:hyperlink>
      <w:r>
        <w:t xml:space="preserve"> </w:t>
      </w:r>
    </w:p>
  </w:footnote>
  <w:footnote w:id="32">
    <w:p w14:paraId="50DEE1B2" w14:textId="77777777" w:rsidR="00DA7E35" w:rsidRPr="00792554" w:rsidRDefault="00DA7E35" w:rsidP="00DA7E35">
      <w:pPr>
        <w:pStyle w:val="FootnoteText"/>
        <w:jc w:val="both"/>
        <w:rPr>
          <w:lang w:val="es-ES"/>
        </w:rPr>
      </w:pPr>
      <w:r>
        <w:rPr>
          <w:rStyle w:val="FootnoteReference"/>
        </w:rPr>
        <w:footnoteRef/>
      </w:r>
      <w:r>
        <w:t xml:space="preserve"> Médicos Sin Fronteras (2020). </w:t>
      </w:r>
      <w:r>
        <w:rPr>
          <w:lang w:val="es-ES"/>
        </w:rPr>
        <w:t xml:space="preserve">Violencia y Pandemia: la importancia de la atención en salud mental y el apoyo psicosocial. II Foro Internacional de Honduras. </w:t>
      </w:r>
      <w:hyperlink r:id="rId25" w:history="1">
        <w:r w:rsidRPr="00C002F8">
          <w:rPr>
            <w:rStyle w:val="Hyperlink"/>
            <w:lang w:val="es-ES"/>
          </w:rPr>
          <w:t>https://drive.google.com/file/d/1IwTWrM2Q7FRxKEs9o6TP97dYTBhjRNZC/view?usp=sharing</w:t>
        </w:r>
      </w:hyperlink>
      <w:r>
        <w:rPr>
          <w:lang w:val="es-ES"/>
        </w:rPr>
        <w:t xml:space="preserve"> </w:t>
      </w:r>
    </w:p>
  </w:footnote>
  <w:footnote w:id="33">
    <w:p w14:paraId="11854096" w14:textId="77777777" w:rsidR="00DA7E35" w:rsidRPr="00FD54F0" w:rsidRDefault="00DA7E35" w:rsidP="00DA7E35">
      <w:pPr>
        <w:pStyle w:val="FootnoteText"/>
        <w:jc w:val="both"/>
        <w:rPr>
          <w:lang w:val="es-ES"/>
        </w:rPr>
      </w:pPr>
      <w:r>
        <w:rPr>
          <w:rStyle w:val="FootnoteReference"/>
        </w:rPr>
        <w:footnoteRef/>
      </w:r>
      <w:r>
        <w:t xml:space="preserve"> Secretaria de Salud (2020) Área</w:t>
      </w:r>
      <w:r>
        <w:rPr>
          <w:lang w:val="es-ES"/>
        </w:rPr>
        <w:t xml:space="preserve"> de Estadística de la Salud. D</w:t>
      </w:r>
      <w:r w:rsidRPr="00FD54F0">
        <w:rPr>
          <w:lang w:val="es-ES"/>
        </w:rPr>
        <w:t>iez primeras causas de egresos hospitalarios de trastornos mentales y del comportamiento por región y hospital según sexo y grupo de edad</w:t>
      </w:r>
      <w:r>
        <w:rPr>
          <w:lang w:val="es-ES"/>
        </w:rPr>
        <w:t xml:space="preserve">. </w:t>
      </w:r>
      <w:hyperlink r:id="rId26" w:history="1">
        <w:r w:rsidRPr="00C002F8">
          <w:rPr>
            <w:rStyle w:val="Hyperlink"/>
            <w:lang w:val="es-ES"/>
          </w:rPr>
          <w:t>https://drive.google.com/file/d/1Tb2JZbywRy5Ai78GPCTJOLv9-tvxjMhw/view?usp=sharing</w:t>
        </w:r>
      </w:hyperlink>
      <w:r>
        <w:rPr>
          <w:lang w:val="es-ES"/>
        </w:rPr>
        <w:t xml:space="preserve"> </w:t>
      </w:r>
    </w:p>
  </w:footnote>
  <w:footnote w:id="34">
    <w:p w14:paraId="400B6294" w14:textId="77777777" w:rsidR="00DA7E35" w:rsidRDefault="00DA7E35" w:rsidP="004C1BBE">
      <w:pPr>
        <w:pStyle w:val="FootnoteText"/>
        <w:jc w:val="both"/>
      </w:pPr>
      <w:r>
        <w:rPr>
          <w:rStyle w:val="FootnoteReference"/>
        </w:rPr>
        <w:footnoteRef/>
      </w:r>
      <w:r>
        <w:t xml:space="preserve"> </w:t>
      </w:r>
      <w:r w:rsidRPr="00C67D72">
        <w:t>US$ 1,417.2 millones</w:t>
      </w:r>
      <w:r>
        <w:t>.</w:t>
      </w:r>
    </w:p>
  </w:footnote>
  <w:footnote w:id="35">
    <w:p w14:paraId="0FD1A86D" w14:textId="77777777" w:rsidR="00DA7E35" w:rsidRDefault="00DA7E35" w:rsidP="00DA7E35">
      <w:pPr>
        <w:pStyle w:val="FootnoteText"/>
        <w:jc w:val="both"/>
      </w:pPr>
      <w:r>
        <w:rPr>
          <w:rStyle w:val="FootnoteReference"/>
        </w:rPr>
        <w:footnoteRef/>
      </w:r>
      <w:r>
        <w:t xml:space="preserve"> L</w:t>
      </w:r>
      <w:r w:rsidRPr="00D475CF">
        <w:t>a ejecución del presupuesto reveló que la mayor parte se destinó al pago de salarios (79.1%) y un porcentaje mínimo para el funcionamiento de los centros educativos</w:t>
      </w:r>
      <w:r>
        <w:t>.</w:t>
      </w:r>
    </w:p>
    <w:p w14:paraId="79371D35" w14:textId="77777777" w:rsidR="00DA7E35" w:rsidRDefault="00DA7E35" w:rsidP="00DA7E35">
      <w:pPr>
        <w:pStyle w:val="FootnoteText"/>
        <w:jc w:val="both"/>
      </w:pPr>
      <w:r>
        <w:t>UNICEF, DINAF. La inversión pública dirigida a niñez y adolescencia en Honduras 2018.</w:t>
      </w:r>
      <w:r w:rsidRPr="00E23294">
        <w:t xml:space="preserve"> </w:t>
      </w:r>
      <w:hyperlink r:id="rId27" w:history="1">
        <w:r w:rsidRPr="00EA5699">
          <w:rPr>
            <w:rStyle w:val="Hyperlink"/>
          </w:rPr>
          <w:t>https://drive.google.com/file/d/14Z6KZv8AlOL610xo6lo2deyvCZ3tS4Mv/view?usp=sharing</w:t>
        </w:r>
      </w:hyperlink>
      <w:r>
        <w:t xml:space="preserve"> </w:t>
      </w:r>
    </w:p>
  </w:footnote>
  <w:footnote w:id="36">
    <w:p w14:paraId="5268829F" w14:textId="77777777" w:rsidR="00DA7E35" w:rsidRDefault="00DA7E35" w:rsidP="004C1BBE">
      <w:pPr>
        <w:pStyle w:val="FootnoteText"/>
        <w:jc w:val="both"/>
      </w:pPr>
      <w:r>
        <w:rPr>
          <w:rStyle w:val="FootnoteReference"/>
        </w:rPr>
        <w:footnoteRef/>
      </w:r>
      <w:r>
        <w:t xml:space="preserve"> </w:t>
      </w:r>
      <w:hyperlink r:id="rId28" w:history="1">
        <w:r w:rsidRPr="00C002F8">
          <w:rPr>
            <w:rStyle w:val="Hyperlink"/>
          </w:rPr>
          <w:t>https://drive.google.com/file/d/19OSPcu8ggXUR-PnAzaST-_PUtyUkAYnx/view?usp=sharing</w:t>
        </w:r>
      </w:hyperlink>
      <w:r>
        <w:t xml:space="preserve"> </w:t>
      </w:r>
    </w:p>
  </w:footnote>
  <w:footnote w:id="37">
    <w:p w14:paraId="0E67FE15" w14:textId="77777777" w:rsidR="00DA7E35" w:rsidRDefault="00DA7E35" w:rsidP="00DA7E35">
      <w:pPr>
        <w:pStyle w:val="FootnoteText"/>
        <w:jc w:val="both"/>
      </w:pPr>
      <w:r>
        <w:rPr>
          <w:rStyle w:val="FootnoteReference"/>
        </w:rPr>
        <w:footnoteRef/>
      </w:r>
      <w:r>
        <w:t xml:space="preserve"> </w:t>
      </w:r>
      <w:r w:rsidRPr="009F5B38">
        <w:t>Los delitos de violencia sexual, incesto, estupro, pornografía infantil, hostigamiento sexual tuvieron reducción de penas</w:t>
      </w:r>
      <w:r>
        <w:t>.</w:t>
      </w:r>
    </w:p>
  </w:footnote>
  <w:footnote w:id="38">
    <w:p w14:paraId="468B29D2" w14:textId="77777777" w:rsidR="00DA7E35" w:rsidRPr="00D640E0" w:rsidRDefault="00DA7E35" w:rsidP="004C1BBE">
      <w:pPr>
        <w:pStyle w:val="FootnoteText"/>
        <w:jc w:val="both"/>
        <w:rPr>
          <w:lang w:val="es-ES"/>
        </w:rPr>
      </w:pPr>
      <w:r>
        <w:rPr>
          <w:rStyle w:val="FootnoteReference"/>
        </w:rPr>
        <w:footnoteRef/>
      </w:r>
      <w:r>
        <w:t xml:space="preserve"> </w:t>
      </w:r>
      <w:r w:rsidRPr="00CB47B6">
        <w:rPr>
          <w:sz w:val="18"/>
          <w:szCs w:val="18"/>
          <w:lang w:val="es-ES"/>
        </w:rPr>
        <w:t>Consejo Nacional Anticorrupción (CNA) &amp; Observatorio de Política Nacional Anticorrupción. El nuevo código penal: estudio y análisis. 2020.</w:t>
      </w:r>
      <w:r>
        <w:rPr>
          <w:sz w:val="18"/>
          <w:szCs w:val="18"/>
          <w:lang w:val="es-ES"/>
        </w:rPr>
        <w:t xml:space="preserve"> </w:t>
      </w:r>
      <w:hyperlink r:id="rId29" w:history="1">
        <w:r w:rsidRPr="00C002F8">
          <w:rPr>
            <w:rStyle w:val="Hyperlink"/>
            <w:sz w:val="18"/>
            <w:szCs w:val="18"/>
            <w:lang w:val="es-ES"/>
          </w:rPr>
          <w:t>https://drive.google.com/file/d/1l0TA9WqxOXvTT97lkeCQbv677QbBh-D1/view?usp=sharing</w:t>
        </w:r>
      </w:hyperlink>
      <w:r>
        <w:rPr>
          <w:sz w:val="18"/>
          <w:szCs w:val="18"/>
          <w:lang w:val="es-ES"/>
        </w:rPr>
        <w:t xml:space="preserve">  </w:t>
      </w:r>
    </w:p>
  </w:footnote>
  <w:footnote w:id="39">
    <w:p w14:paraId="63D02DFC" w14:textId="77777777" w:rsidR="00DA7E35" w:rsidRPr="000B51FC" w:rsidRDefault="00DA7E35" w:rsidP="004C1BBE">
      <w:pPr>
        <w:pStyle w:val="FootnoteText"/>
        <w:jc w:val="both"/>
        <w:rPr>
          <w:sz w:val="18"/>
          <w:szCs w:val="18"/>
          <w:lang w:val="es-ES"/>
        </w:rPr>
      </w:pPr>
      <w:r w:rsidRPr="00CB47B6">
        <w:rPr>
          <w:rStyle w:val="FootnoteReference"/>
          <w:sz w:val="18"/>
          <w:szCs w:val="18"/>
        </w:rPr>
        <w:footnoteRef/>
      </w:r>
      <w:r w:rsidRPr="00CB47B6">
        <w:rPr>
          <w:sz w:val="18"/>
          <w:szCs w:val="18"/>
        </w:rPr>
        <w:t xml:space="preserve"> </w:t>
      </w:r>
      <w:r w:rsidRPr="000B51FC">
        <w:rPr>
          <w:lang w:val="es-ES"/>
        </w:rPr>
        <w:t>El antiguo código penal establecía que la diferencia de edad no podía ser mayor de dos años</w:t>
      </w:r>
      <w:r>
        <w:rPr>
          <w:lang w:val="es-ES"/>
        </w:rPr>
        <w:t xml:space="preserve">. El actual </w:t>
      </w:r>
      <w:r w:rsidRPr="00B34D0E">
        <w:rPr>
          <w:lang w:val="es-ES"/>
        </w:rPr>
        <w:t>deja una brecha amplia para las relaciones sexuales consensuadas mencionando que se considera nulo el consentimiento de la víctima de violencia y/o agresión sexual cuando esta sea menor de 14 años, aunque mayor de 12 años, siempre que el autor del delito no haya cumplido los 21 años y sea una persona próxima a su víctima por grado de desarrollo, madurez y circunstancias sociales</w:t>
      </w:r>
    </w:p>
  </w:footnote>
  <w:footnote w:id="40">
    <w:p w14:paraId="44810E70" w14:textId="77777777" w:rsidR="00DA7E35" w:rsidRPr="00CB47B6" w:rsidRDefault="00DA7E35" w:rsidP="004C1BBE">
      <w:pPr>
        <w:pStyle w:val="FootnoteText"/>
        <w:jc w:val="both"/>
        <w:rPr>
          <w:sz w:val="18"/>
          <w:szCs w:val="18"/>
          <w:lang w:val="es-ES"/>
        </w:rPr>
      </w:pPr>
      <w:r w:rsidRPr="00CB47B6">
        <w:rPr>
          <w:rStyle w:val="FootnoteReference"/>
          <w:sz w:val="18"/>
          <w:szCs w:val="18"/>
        </w:rPr>
        <w:footnoteRef/>
      </w:r>
      <w:r w:rsidRPr="00CB47B6">
        <w:rPr>
          <w:sz w:val="18"/>
          <w:szCs w:val="18"/>
        </w:rPr>
        <w:t xml:space="preserve"> </w:t>
      </w:r>
      <w:r w:rsidRPr="00B34D0E">
        <w:rPr>
          <w:sz w:val="18"/>
          <w:szCs w:val="18"/>
        </w:rPr>
        <w:t>incluye la reducción de la pena a la mitad en los casos de delitos contra la indemnidad sexual (violencia sexual, estupro, incesto), cuando el agresor haya actuado con desconocimiento de edad, parentesco o situación de vulnerabilidad de la víctima</w:t>
      </w:r>
      <w:r>
        <w:rPr>
          <w:sz w:val="18"/>
          <w:szCs w:val="18"/>
        </w:rPr>
        <w:t xml:space="preserve">. </w:t>
      </w:r>
      <w:hyperlink r:id="rId30" w:history="1">
        <w:r w:rsidRPr="00EA5699">
          <w:rPr>
            <w:rStyle w:val="Hyperlink"/>
            <w:sz w:val="18"/>
            <w:szCs w:val="18"/>
          </w:rPr>
          <w:t>https://drive.google.com/file/d/1w2NnndyX6gbqFaC2Gyse_l8z58IWfFE7/view?usp=sharing</w:t>
        </w:r>
      </w:hyperlink>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3BC20" w14:textId="77777777" w:rsidR="00D97AD0" w:rsidRDefault="00E540DB" w:rsidP="00403366">
    <w:pPr>
      <w:pStyle w:val="Header"/>
      <w:jc w:val="right"/>
    </w:pPr>
    <w:r>
      <w:rPr>
        <w:noProof/>
        <w:lang w:val="en-GB" w:eastAsia="en-GB"/>
      </w:rPr>
      <w:drawing>
        <wp:anchor distT="0" distB="0" distL="114300" distR="114300" simplePos="0" relativeHeight="251659264" behindDoc="1" locked="0" layoutInCell="1" allowOverlap="1" wp14:anchorId="4778F49F" wp14:editId="064D57F9">
          <wp:simplePos x="0" y="0"/>
          <wp:positionH relativeFrom="column">
            <wp:posOffset>4578350</wp:posOffset>
          </wp:positionH>
          <wp:positionV relativeFrom="paragraph">
            <wp:posOffset>26670</wp:posOffset>
          </wp:positionV>
          <wp:extent cx="1307465" cy="525145"/>
          <wp:effectExtent l="0" t="0" r="6985" b="8255"/>
          <wp:wrapTight wrapText="bothSides">
            <wp:wrapPolygon edited="0">
              <wp:start x="18883" y="0"/>
              <wp:lineTo x="2518" y="784"/>
              <wp:lineTo x="0" y="2351"/>
              <wp:lineTo x="0" y="21156"/>
              <wp:lineTo x="6294" y="21156"/>
              <wp:lineTo x="19827" y="20372"/>
              <wp:lineTo x="21401" y="19589"/>
              <wp:lineTo x="21401" y="0"/>
              <wp:lineTo x="1888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7465" cy="52514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7E318F"/>
    <w:multiLevelType w:val="hybridMultilevel"/>
    <w:tmpl w:val="01661226"/>
    <w:lvl w:ilvl="0" w:tplc="786E6F74">
      <w:start w:val="1"/>
      <w:numFmt w:val="decimal"/>
      <w:lvlText w:val="%1."/>
      <w:lvlJc w:val="left"/>
      <w:pPr>
        <w:ind w:left="644" w:hanging="360"/>
      </w:pPr>
      <w:rPr>
        <w:rFonts w:asciiTheme="minorHAnsi" w:hAnsiTheme="minorHAnsi" w:cstheme="minorHAnsi" w:hint="default"/>
        <w:sz w:val="22"/>
        <w:szCs w:val="22"/>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E35"/>
    <w:rsid w:val="004C1BBE"/>
    <w:rsid w:val="006C7150"/>
    <w:rsid w:val="007F78A6"/>
    <w:rsid w:val="00B331B4"/>
    <w:rsid w:val="00C9786A"/>
    <w:rsid w:val="00DA7E35"/>
    <w:rsid w:val="00E540DB"/>
    <w:rsid w:val="00EB424C"/>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515ED"/>
  <w15:chartTrackingRefBased/>
  <w15:docId w15:val="{593108BC-8F69-4447-8807-218D4EBA3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E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7E35"/>
    <w:pPr>
      <w:tabs>
        <w:tab w:val="center" w:pos="4252"/>
        <w:tab w:val="right" w:pos="8504"/>
      </w:tabs>
      <w:spacing w:after="0" w:line="240" w:lineRule="auto"/>
    </w:pPr>
  </w:style>
  <w:style w:type="character" w:customStyle="1" w:styleId="HeaderChar">
    <w:name w:val="Header Char"/>
    <w:basedOn w:val="DefaultParagraphFont"/>
    <w:link w:val="Header"/>
    <w:uiPriority w:val="99"/>
    <w:rsid w:val="00DA7E35"/>
  </w:style>
  <w:style w:type="paragraph" w:styleId="FootnoteText">
    <w:name w:val="footnote text"/>
    <w:basedOn w:val="Normal"/>
    <w:link w:val="FootnoteTextChar"/>
    <w:uiPriority w:val="99"/>
    <w:unhideWhenUsed/>
    <w:rsid w:val="00DA7E35"/>
    <w:pPr>
      <w:spacing w:after="0" w:line="240" w:lineRule="auto"/>
    </w:pPr>
    <w:rPr>
      <w:sz w:val="20"/>
      <w:szCs w:val="20"/>
    </w:rPr>
  </w:style>
  <w:style w:type="character" w:customStyle="1" w:styleId="FootnoteTextChar">
    <w:name w:val="Footnote Text Char"/>
    <w:basedOn w:val="DefaultParagraphFont"/>
    <w:link w:val="FootnoteText"/>
    <w:uiPriority w:val="99"/>
    <w:rsid w:val="00DA7E35"/>
    <w:rPr>
      <w:sz w:val="20"/>
      <w:szCs w:val="20"/>
    </w:rPr>
  </w:style>
  <w:style w:type="character" w:styleId="FootnoteReference">
    <w:name w:val="footnote reference"/>
    <w:basedOn w:val="DefaultParagraphFont"/>
    <w:uiPriority w:val="99"/>
    <w:semiHidden/>
    <w:unhideWhenUsed/>
    <w:rsid w:val="00DA7E35"/>
    <w:rPr>
      <w:vertAlign w:val="superscript"/>
    </w:rPr>
  </w:style>
  <w:style w:type="character" w:styleId="Hyperlink">
    <w:name w:val="Hyperlink"/>
    <w:basedOn w:val="DefaultParagraphFont"/>
    <w:uiPriority w:val="99"/>
    <w:unhideWhenUsed/>
    <w:rsid w:val="00DA7E35"/>
    <w:rPr>
      <w:color w:val="0563C1" w:themeColor="hyperlink"/>
      <w:u w:val="single"/>
    </w:rPr>
  </w:style>
  <w:style w:type="paragraph" w:styleId="ListParagraph">
    <w:name w:val="List Paragraph"/>
    <w:basedOn w:val="Normal"/>
    <w:uiPriority w:val="34"/>
    <w:qFormat/>
    <w:rsid w:val="00DA7E35"/>
    <w:pPr>
      <w:ind w:left="720"/>
      <w:contextualSpacing/>
    </w:pPr>
  </w:style>
  <w:style w:type="paragraph" w:styleId="NoSpacing">
    <w:name w:val="No Spacing"/>
    <w:uiPriority w:val="1"/>
    <w:qFormat/>
    <w:rsid w:val="00DA7E35"/>
    <w:pPr>
      <w:spacing w:after="0" w:line="240" w:lineRule="auto"/>
    </w:pPr>
  </w:style>
  <w:style w:type="paragraph" w:styleId="BalloonText">
    <w:name w:val="Balloon Text"/>
    <w:basedOn w:val="Normal"/>
    <w:link w:val="BalloonTextChar"/>
    <w:uiPriority w:val="99"/>
    <w:semiHidden/>
    <w:unhideWhenUsed/>
    <w:rsid w:val="007F78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8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XaI4KEN4LDwZckFYHTIGHhJlnF0HTImA/view?usp=sharing" TargetMode="External"/><Relationship Id="rId13" Type="http://schemas.openxmlformats.org/officeDocument/2006/relationships/hyperlink" Target="https://rosanjose.iom.int/site/es/caravanas-migrantes" TargetMode="External"/><Relationship Id="rId18" Type="http://schemas.openxmlformats.org/officeDocument/2006/relationships/hyperlink" Target="https://elpais.com/internacional/2020-12-10/una-nueva-caravana-de-hondurenos-pone-rumbo-a-ee-uu-tras-el-paso-de-eta-e-iota.html" TargetMode="External"/><Relationship Id="rId26" Type="http://schemas.openxmlformats.org/officeDocument/2006/relationships/hyperlink" Target="https://drive.google.com/file/d/1Tb2JZbywRy5Ai78GPCTJOLv9-tvxjMhw/view?usp=sharing" TargetMode="External"/><Relationship Id="rId3" Type="http://schemas.openxmlformats.org/officeDocument/2006/relationships/hyperlink" Target="https://reliefweb.int/report/world/estado-de-la-poblaci-n-mundial-2021-mi-cuerpo-me-pertenece-reclamar-el-derecho-la" TargetMode="External"/><Relationship Id="rId21" Type="http://schemas.openxmlformats.org/officeDocument/2006/relationships/hyperlink" Target="https://www.nodal.am/2021/01/asi-viven-300-personas-lgbt-en-la-primera-caravana-migrante-hondurena-de-2021-por-dunia-orellana/" TargetMode="External"/><Relationship Id="rId7" Type="http://schemas.openxmlformats.org/officeDocument/2006/relationships/hyperlink" Target="https://www.reporterosdeinvestigacion.com/wp-content/uploads/2018/03/resumen-ejecutivo-2018.pdf" TargetMode="External"/><Relationship Id="rId12" Type="http://schemas.openxmlformats.org/officeDocument/2006/relationships/hyperlink" Target="https://somosmuchas.hn/" TargetMode="External"/><Relationship Id="rId17" Type="http://schemas.openxmlformats.org/officeDocument/2006/relationships/hyperlink" Target="https://www.bbc.com/mundo/noticias-america-latina-54379864" TargetMode="External"/><Relationship Id="rId25" Type="http://schemas.openxmlformats.org/officeDocument/2006/relationships/hyperlink" Target="https://drive.google.com/file/d/1IwTWrM2Q7FRxKEs9o6TP97dYTBhjRNZC/view?usp=sharing" TargetMode="External"/><Relationship Id="rId2" Type="http://schemas.openxmlformats.org/officeDocument/2006/relationships/hyperlink" Target="https://www.laprensa.hn/honduras/1352983-410/honduras-pobreza-medicion-hondurenos-economia-estadisticas-gobierno" TargetMode="External"/><Relationship Id="rId16" Type="http://schemas.openxmlformats.org/officeDocument/2006/relationships/hyperlink" Target="https://cnnespanol.cnn.com/2020/06/30/alerta-nueva-caravana-de-migrantes-hondurenos-parte-rumbo-a-estados-unidos/" TargetMode="External"/><Relationship Id="rId20" Type="http://schemas.openxmlformats.org/officeDocument/2006/relationships/hyperlink" Target="https://www.dw.com/es/honduras-se-forma-nueva-caravana-de-migrantes-con-rumbo-a-eeuu/a-57047349" TargetMode="External"/><Relationship Id="rId29" Type="http://schemas.openxmlformats.org/officeDocument/2006/relationships/hyperlink" Target="https://drive.google.com/file/d/1l0TA9WqxOXvTT97lkeCQbv677QbBh-D1/view?usp=sharing" TargetMode="External"/><Relationship Id="rId1" Type="http://schemas.openxmlformats.org/officeDocument/2006/relationships/hyperlink" Target="https://reliefweb.int/report/world/estado-de-la-poblaci-n-mundial-2021-mi-cuerpo-me-pertenece-reclamar-el-derecho-la" TargetMode="External"/><Relationship Id="rId6" Type="http://schemas.openxmlformats.org/officeDocument/2006/relationships/hyperlink" Target="https://derechosdelamujer.org/project/monitoreo_2021/" TargetMode="External"/><Relationship Id="rId11" Type="http://schemas.openxmlformats.org/officeDocument/2006/relationships/hyperlink" Target="https://honduras.un.org/es/108906-la-onu-manifiesta-su-preocupacion-por-la-aprobacion-de-la-reforma-constitucional-que-impide" TargetMode="External"/><Relationship Id="rId24" Type="http://schemas.openxmlformats.org/officeDocument/2006/relationships/hyperlink" Target="https://criterio.hn/solo-1-se-invierte-en-salud-mental-en-honduras/" TargetMode="External"/><Relationship Id="rId5" Type="http://schemas.openxmlformats.org/officeDocument/2006/relationships/hyperlink" Target="https://derechosdelamujer.org/project/monitoreo-2020/" TargetMode="External"/><Relationship Id="rId15" Type="http://schemas.openxmlformats.org/officeDocument/2006/relationships/hyperlink" Target="https://www.washingtonpost.com/es/post-opinion/2020/01/20/caravana-migrante-mexico-insiste-en-ser-la-primera-linea-del-muro-de-trump/" TargetMode="External"/><Relationship Id="rId23" Type="http://schemas.openxmlformats.org/officeDocument/2006/relationships/hyperlink" Target="https://drive.google.com/file/d/1gLx9g47OgRFHA62Sc3_ZxRwDcHB02ZOJ/view?usp=sharing" TargetMode="External"/><Relationship Id="rId28" Type="http://schemas.openxmlformats.org/officeDocument/2006/relationships/hyperlink" Target="https://drive.google.com/file/d/19OSPcu8ggXUR-PnAzaST-_PUtyUkAYnx/view?usp=sharing" TargetMode="External"/><Relationship Id="rId10" Type="http://schemas.openxmlformats.org/officeDocument/2006/relationships/hyperlink" Target="https://drive.google.com/file/d/1OJGmwzs_6zMDo8yIbIaRC7isZDoCPTto/view?usp=sharing" TargetMode="External"/><Relationship Id="rId19" Type="http://schemas.openxmlformats.org/officeDocument/2006/relationships/hyperlink" Target="https://reliefweb.int/sites/reliefweb.int/files/resources/6rsithn2021.pdf" TargetMode="External"/><Relationship Id="rId4" Type="http://schemas.openxmlformats.org/officeDocument/2006/relationships/hyperlink" Target="https://drive.google.com/file/d/19OSPcu8ggXUR-PnAzaST-_PUtyUkAYnx/view?usp=sharing" TargetMode="External"/><Relationship Id="rId9" Type="http://schemas.openxmlformats.org/officeDocument/2006/relationships/hyperlink" Target="https://reliefweb.int/report/world/estado-de-la-poblaci-n-mundial-2021-mi-cuerpo-me-pertenece-reclamar-el-derecho-la" TargetMode="External"/><Relationship Id="rId14" Type="http://schemas.openxmlformats.org/officeDocument/2006/relationships/hyperlink" Target="https://rosanjose.iom.int/site/es/blog/las-caravanas-migrantes-explicadas" TargetMode="External"/><Relationship Id="rId22" Type="http://schemas.openxmlformats.org/officeDocument/2006/relationships/hyperlink" Target="https://www.ceniss.gob.hn/migrantes/MigrantesEstadisticas.aspx" TargetMode="External"/><Relationship Id="rId27" Type="http://schemas.openxmlformats.org/officeDocument/2006/relationships/hyperlink" Target="https://drive.google.com/file/d/14Z6KZv8AlOL610xo6lo2deyvCZ3tS4Mv/view?usp=sharing" TargetMode="External"/><Relationship Id="rId30" Type="http://schemas.openxmlformats.org/officeDocument/2006/relationships/hyperlink" Target="https://drive.google.com/file/d/1w2NnndyX6gbqFaC2Gyse_l8z58IWfFE7/view?usp=shar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5BF256-50AA-400F-8540-33FC8C920486}"/>
</file>

<file path=customXml/itemProps2.xml><?xml version="1.0" encoding="utf-8"?>
<ds:datastoreItem xmlns:ds="http://schemas.openxmlformats.org/officeDocument/2006/customXml" ds:itemID="{CE209DFA-9F7A-4CD4-ACFB-E95CAE1113CE}"/>
</file>

<file path=customXml/itemProps3.xml><?xml version="1.0" encoding="utf-8"?>
<ds:datastoreItem xmlns:ds="http://schemas.openxmlformats.org/officeDocument/2006/customXml" ds:itemID="{129B638E-803A-4BFD-9C9B-2104E8E58204}"/>
</file>

<file path=docProps/app.xml><?xml version="1.0" encoding="utf-8"?>
<Properties xmlns="http://schemas.openxmlformats.org/officeDocument/2006/extended-properties" xmlns:vt="http://schemas.openxmlformats.org/officeDocument/2006/docPropsVTypes">
  <Template>Normal.dotm</Template>
  <TotalTime>2</TotalTime>
  <Pages>19</Pages>
  <Words>2272</Words>
  <Characters>12956</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Rosales</dc:creator>
  <cp:keywords/>
  <dc:description/>
  <cp:lastModifiedBy>SEERATHUN Jamila</cp:lastModifiedBy>
  <cp:revision>2</cp:revision>
  <cp:lastPrinted>2021-06-18T14:48:00Z</cp:lastPrinted>
  <dcterms:created xsi:type="dcterms:W3CDTF">2021-06-22T13:31:00Z</dcterms:created>
  <dcterms:modified xsi:type="dcterms:W3CDTF">2021-06-22T13:31:00Z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