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BC7562" w14:textId="5BFC1D8D" w:rsidR="00BF6835" w:rsidRPr="00D379DB" w:rsidRDefault="00BF6835" w:rsidP="00BF6835">
      <w:pPr>
        <w:jc w:val="center"/>
        <w:rPr>
          <w:rFonts w:ascii="Times New Roman" w:hAnsi="Times New Roman" w:cs="Times New Roman"/>
          <w:b/>
          <w:bCs/>
          <w:sz w:val="24"/>
          <w:szCs w:val="24"/>
        </w:rPr>
      </w:pPr>
      <w:r w:rsidRPr="00D379DB">
        <w:rPr>
          <w:rFonts w:ascii="Times New Roman" w:hAnsi="Times New Roman" w:cs="Times New Roman"/>
          <w:b/>
          <w:bCs/>
          <w:sz w:val="24"/>
          <w:szCs w:val="24"/>
        </w:rPr>
        <w:t>Informe Complementario de la República Dominicana en la 32ª Sesión del Comité sobre los Derechos de las Personas con Discapacidad (CRPD)</w:t>
      </w:r>
    </w:p>
    <w:p w14:paraId="33EFECB2" w14:textId="332C2BD1" w:rsidR="00BF6835" w:rsidRPr="00D379DB" w:rsidRDefault="00BF6835" w:rsidP="00BF6835">
      <w:pPr>
        <w:jc w:val="center"/>
        <w:rPr>
          <w:rFonts w:ascii="Times New Roman" w:hAnsi="Times New Roman" w:cs="Times New Roman"/>
          <w:b/>
          <w:bCs/>
          <w:sz w:val="24"/>
          <w:szCs w:val="24"/>
        </w:rPr>
      </w:pPr>
      <w:r w:rsidRPr="00D379DB">
        <w:rPr>
          <w:rFonts w:ascii="Times New Roman" w:hAnsi="Times New Roman" w:cs="Times New Roman"/>
          <w:b/>
          <w:bCs/>
          <w:sz w:val="24"/>
          <w:szCs w:val="24"/>
        </w:rPr>
        <w:t>Sal</w:t>
      </w:r>
      <w:r w:rsidR="00D379DB" w:rsidRPr="00D379DB">
        <w:rPr>
          <w:rFonts w:ascii="Times New Roman" w:hAnsi="Times New Roman" w:cs="Times New Roman"/>
          <w:b/>
          <w:bCs/>
          <w:sz w:val="24"/>
          <w:szCs w:val="24"/>
        </w:rPr>
        <w:t>a</w:t>
      </w:r>
      <w:r w:rsidRPr="00D379DB">
        <w:rPr>
          <w:rFonts w:ascii="Times New Roman" w:hAnsi="Times New Roman" w:cs="Times New Roman"/>
          <w:b/>
          <w:bCs/>
          <w:sz w:val="24"/>
          <w:szCs w:val="24"/>
        </w:rPr>
        <w:t xml:space="preserve"> XVII, Palacio de las Naciones, Ginebra, Suiza</w:t>
      </w:r>
    </w:p>
    <w:p w14:paraId="67778DB3" w14:textId="130FD98B" w:rsidR="00D379DB" w:rsidRPr="00D379DB" w:rsidRDefault="00D379DB" w:rsidP="00BF6835">
      <w:pPr>
        <w:jc w:val="both"/>
        <w:rPr>
          <w:rFonts w:ascii="Times New Roman" w:hAnsi="Times New Roman" w:cs="Times New Roman"/>
          <w:sz w:val="24"/>
          <w:szCs w:val="24"/>
        </w:rPr>
      </w:pPr>
    </w:p>
    <w:p w14:paraId="198EEADC" w14:textId="4099CDC3" w:rsidR="00BF6835" w:rsidRPr="00D379DB" w:rsidRDefault="00BF6835" w:rsidP="00BF6835">
      <w:pPr>
        <w:jc w:val="both"/>
        <w:rPr>
          <w:rFonts w:ascii="Times New Roman" w:hAnsi="Times New Roman" w:cs="Times New Roman"/>
          <w:sz w:val="24"/>
          <w:szCs w:val="24"/>
        </w:rPr>
      </w:pPr>
      <w:r w:rsidRPr="00D379DB">
        <w:rPr>
          <w:rFonts w:ascii="Times New Roman" w:hAnsi="Times New Roman" w:cs="Times New Roman"/>
          <w:sz w:val="24"/>
          <w:szCs w:val="24"/>
        </w:rPr>
        <w:t>La República Dominicana cuenta con un sólido marco normativo a favor de las personas con discapacidad, incluyendo la Constitución Dominicana, la Ley 5-13 sobre Discapacidad y la Ley 1-12 de la Estrategia Nacional de Desarrollo. Además, ha asumido compromisos internacionales a través de la Convención sobre los Derechos de las Personas con Discapacidad, la Convención Interamericana para la Eliminación de Todas las Formas de Discriminación contra las Personas con Discapacidad de la OEA y la Agenda 2030 de Desarrollo Sostenible.</w:t>
      </w:r>
    </w:p>
    <w:p w14:paraId="6C2BC597" w14:textId="77777777" w:rsidR="00BF6835" w:rsidRPr="00D379DB" w:rsidRDefault="00BF6835" w:rsidP="00BF6835">
      <w:pPr>
        <w:jc w:val="both"/>
        <w:rPr>
          <w:rFonts w:ascii="Times New Roman" w:hAnsi="Times New Roman" w:cs="Times New Roman"/>
          <w:sz w:val="24"/>
          <w:szCs w:val="24"/>
        </w:rPr>
      </w:pPr>
      <w:r w:rsidRPr="00D379DB">
        <w:rPr>
          <w:rFonts w:ascii="Times New Roman" w:hAnsi="Times New Roman" w:cs="Times New Roman"/>
          <w:sz w:val="24"/>
          <w:szCs w:val="24"/>
        </w:rPr>
        <w:t xml:space="preserve">El país ha logrado avances significativos gracias a la participación de diversos actores institucionales, incluyendo el gobierno, la sociedad civil, empresas privadas y organismos internacionales. Se han desarrollado iniciativas en accesibilidad universal, educación, participación social, sensibilización y promoción del acceso a servicios y empleo remunerado. </w:t>
      </w:r>
    </w:p>
    <w:p w14:paraId="48787B26" w14:textId="340EDD99" w:rsidR="0001137C" w:rsidRPr="00D379DB" w:rsidRDefault="0001137C" w:rsidP="0001137C">
      <w:pPr>
        <w:jc w:val="both"/>
        <w:rPr>
          <w:rFonts w:ascii="Times New Roman" w:hAnsi="Times New Roman" w:cs="Times New Roman"/>
          <w:sz w:val="24"/>
          <w:szCs w:val="24"/>
        </w:rPr>
      </w:pPr>
      <w:r w:rsidRPr="00D379DB">
        <w:rPr>
          <w:rFonts w:ascii="Times New Roman" w:hAnsi="Times New Roman" w:cs="Times New Roman"/>
          <w:sz w:val="24"/>
          <w:szCs w:val="24"/>
        </w:rPr>
        <w:t xml:space="preserve">En República Dominicana, cuando una ley nacional entra en conflicto con </w:t>
      </w:r>
      <w:r w:rsidRPr="00D379DB">
        <w:rPr>
          <w:rFonts w:ascii="Times New Roman" w:hAnsi="Times New Roman" w:cs="Times New Roman"/>
          <w:b/>
          <w:bCs/>
          <w:sz w:val="24"/>
          <w:szCs w:val="24"/>
        </w:rPr>
        <w:t>normas internacionales de derechos humanos con rango constitucional</w:t>
      </w:r>
      <w:r w:rsidRPr="00D379DB">
        <w:rPr>
          <w:rFonts w:ascii="Times New Roman" w:hAnsi="Times New Roman" w:cs="Times New Roman"/>
          <w:sz w:val="24"/>
          <w:szCs w:val="24"/>
        </w:rPr>
        <w:t>, existen varios mecanismos para garantizar los derechos de las personas con discapacidad:</w:t>
      </w:r>
    </w:p>
    <w:p w14:paraId="52EDFAF4" w14:textId="77777777" w:rsidR="0001137C" w:rsidRPr="00D379DB" w:rsidRDefault="0001137C" w:rsidP="0001137C">
      <w:pPr>
        <w:jc w:val="both"/>
        <w:rPr>
          <w:rFonts w:ascii="Times New Roman" w:hAnsi="Times New Roman" w:cs="Times New Roman"/>
          <w:sz w:val="24"/>
          <w:szCs w:val="24"/>
        </w:rPr>
      </w:pPr>
      <w:r w:rsidRPr="00D379DB">
        <w:rPr>
          <w:rFonts w:ascii="Times New Roman" w:hAnsi="Times New Roman" w:cs="Times New Roman"/>
          <w:sz w:val="24"/>
          <w:szCs w:val="24"/>
        </w:rPr>
        <w:t>Control de Constitucionalidad: El Tribunal Constitucional puede declarar la inconstitucionalidad de leyes, decretos o normativas que vulneren derechos fundamentales, incluyendo aquellos protegidos por la Convención sobre los Derechos de las Personas con Discapacidad (CDPD), que tiene jerarquía constitucional según el artículo 74.3 de la Constitución.</w:t>
      </w:r>
    </w:p>
    <w:p w14:paraId="275F3F2B" w14:textId="77777777" w:rsidR="0001137C" w:rsidRPr="00D379DB" w:rsidRDefault="0001137C" w:rsidP="0001137C">
      <w:pPr>
        <w:jc w:val="both"/>
        <w:rPr>
          <w:rFonts w:ascii="Times New Roman" w:hAnsi="Times New Roman" w:cs="Times New Roman"/>
          <w:sz w:val="24"/>
          <w:szCs w:val="24"/>
        </w:rPr>
      </w:pPr>
      <w:r w:rsidRPr="00D379DB">
        <w:rPr>
          <w:rFonts w:ascii="Times New Roman" w:hAnsi="Times New Roman" w:cs="Times New Roman"/>
          <w:sz w:val="24"/>
          <w:szCs w:val="24"/>
        </w:rPr>
        <w:t>Control Difuso de Constitucionalidad: Los jueces pueden inaplicar una norma si consideran que contradice la Constitución o un tratado internacional sobre derechos humanos ratificado por el país.</w:t>
      </w:r>
    </w:p>
    <w:p w14:paraId="04FC76B0" w14:textId="77777777" w:rsidR="0001137C" w:rsidRPr="00D379DB" w:rsidRDefault="0001137C" w:rsidP="0001137C">
      <w:pPr>
        <w:jc w:val="both"/>
        <w:rPr>
          <w:rFonts w:ascii="Times New Roman" w:hAnsi="Times New Roman" w:cs="Times New Roman"/>
          <w:sz w:val="24"/>
          <w:szCs w:val="24"/>
        </w:rPr>
      </w:pPr>
      <w:r w:rsidRPr="00D379DB">
        <w:rPr>
          <w:rFonts w:ascii="Times New Roman" w:hAnsi="Times New Roman" w:cs="Times New Roman"/>
          <w:sz w:val="24"/>
          <w:szCs w:val="24"/>
        </w:rPr>
        <w:t>Recurso de Amparo: Las personas con discapacidad pueden presentar este recurso ante tribunales para la protección inmediata de sus derechos cuando sean vulnerados por una norma, acto u omisión de una autoridad pública o un particular.</w:t>
      </w:r>
    </w:p>
    <w:p w14:paraId="1E03EF56" w14:textId="77777777" w:rsidR="0001137C" w:rsidRPr="00D379DB" w:rsidRDefault="0001137C" w:rsidP="0001137C">
      <w:pPr>
        <w:jc w:val="both"/>
        <w:rPr>
          <w:rFonts w:ascii="Times New Roman" w:hAnsi="Times New Roman" w:cs="Times New Roman"/>
          <w:sz w:val="24"/>
          <w:szCs w:val="24"/>
        </w:rPr>
      </w:pPr>
      <w:r w:rsidRPr="00D379DB">
        <w:rPr>
          <w:rFonts w:ascii="Times New Roman" w:hAnsi="Times New Roman" w:cs="Times New Roman"/>
          <w:sz w:val="24"/>
          <w:szCs w:val="24"/>
        </w:rPr>
        <w:t>Defensor del Pueblo: Puede intervenir en casos de discriminación o violaciones de derechos fundamentales, emitiendo recomendaciones y promoviendo la adecuación de las leyes nacionales a los estándares internacionales.</w:t>
      </w:r>
    </w:p>
    <w:p w14:paraId="0A32FEA8" w14:textId="77777777" w:rsidR="0001137C" w:rsidRPr="00D379DB" w:rsidRDefault="0001137C" w:rsidP="0001137C">
      <w:pPr>
        <w:jc w:val="both"/>
        <w:rPr>
          <w:rFonts w:ascii="Times New Roman" w:hAnsi="Times New Roman" w:cs="Times New Roman"/>
          <w:sz w:val="24"/>
          <w:szCs w:val="24"/>
        </w:rPr>
      </w:pPr>
      <w:r w:rsidRPr="00D379DB">
        <w:rPr>
          <w:rFonts w:ascii="Times New Roman" w:hAnsi="Times New Roman" w:cs="Times New Roman"/>
          <w:sz w:val="24"/>
          <w:szCs w:val="24"/>
        </w:rPr>
        <w:t>Mecanismos Administrativos: Órganos como el Consejo Nacional de Discapacidad (CONADIS) y la Procuraduría de Derechos Humanos pueden recibir denuncias y tomar acciones en favor de los derechos de las personas con discapacidad.</w:t>
      </w:r>
    </w:p>
    <w:p w14:paraId="407E5D3A" w14:textId="77777777" w:rsidR="0001137C" w:rsidRPr="00D379DB" w:rsidRDefault="0001137C" w:rsidP="0001137C">
      <w:pPr>
        <w:jc w:val="both"/>
        <w:rPr>
          <w:rFonts w:ascii="Times New Roman" w:hAnsi="Times New Roman" w:cs="Times New Roman"/>
          <w:sz w:val="24"/>
          <w:szCs w:val="24"/>
        </w:rPr>
      </w:pPr>
      <w:r w:rsidRPr="00D379DB">
        <w:rPr>
          <w:rFonts w:ascii="Times New Roman" w:hAnsi="Times New Roman" w:cs="Times New Roman"/>
          <w:sz w:val="24"/>
          <w:szCs w:val="24"/>
        </w:rPr>
        <w:lastRenderedPageBreak/>
        <w:t>Incidencia Legislativa: Las organizaciones de la sociedad civil y los propios afectados pueden promover reformas legales para alinear la legislación nacional con los compromisos internacionales asumidos por el Estado.</w:t>
      </w:r>
    </w:p>
    <w:p w14:paraId="74DCA877" w14:textId="74EBE87D" w:rsidR="0001137C" w:rsidRPr="00D379DB" w:rsidRDefault="0001137C" w:rsidP="0001137C">
      <w:pPr>
        <w:jc w:val="both"/>
        <w:rPr>
          <w:rFonts w:ascii="Times New Roman" w:hAnsi="Times New Roman" w:cs="Times New Roman"/>
          <w:sz w:val="24"/>
          <w:szCs w:val="24"/>
        </w:rPr>
      </w:pPr>
      <w:r w:rsidRPr="00D379DB">
        <w:rPr>
          <w:rFonts w:ascii="Times New Roman" w:hAnsi="Times New Roman" w:cs="Times New Roman"/>
          <w:sz w:val="24"/>
          <w:szCs w:val="24"/>
        </w:rPr>
        <w:t>Estos mecanismos permiten que los derechos de las personas con discapacidad sean garantizados y que el Estado avance en la armonización de su marco normativo con los estándares internacionales de derechos humanos.</w:t>
      </w:r>
    </w:p>
    <w:p w14:paraId="3C0C74DF" w14:textId="4408519B" w:rsidR="001D5C4B" w:rsidRPr="00D379DB" w:rsidRDefault="001D5C4B" w:rsidP="001D5C4B">
      <w:pPr>
        <w:jc w:val="both"/>
        <w:rPr>
          <w:rFonts w:ascii="Times New Roman" w:hAnsi="Times New Roman" w:cs="Times New Roman"/>
          <w:sz w:val="24"/>
          <w:szCs w:val="24"/>
        </w:rPr>
      </w:pPr>
      <w:r w:rsidRPr="00D379DB">
        <w:rPr>
          <w:rFonts w:ascii="Times New Roman" w:hAnsi="Times New Roman" w:cs="Times New Roman"/>
          <w:sz w:val="24"/>
          <w:szCs w:val="24"/>
        </w:rPr>
        <w:t xml:space="preserve">Es importante destacar que el Directorio Nacional y su Comité Ejecutivo, órganos colegiados de dirección y toma de decisión del Consejo Nacional de Discapacidad (CONADIS) con participación del Estado como de la sociedad civil. El Directorio Nacional conformado por 32 instituciones, de las cuales, el 60% son representantes de sociedad civil organizada. </w:t>
      </w:r>
      <w:r w:rsidR="00526565" w:rsidRPr="00D379DB">
        <w:rPr>
          <w:rFonts w:ascii="Times New Roman" w:hAnsi="Times New Roman" w:cs="Times New Roman"/>
          <w:sz w:val="24"/>
          <w:szCs w:val="24"/>
        </w:rPr>
        <w:t xml:space="preserve">Además, </w:t>
      </w:r>
      <w:r w:rsidRPr="00D379DB">
        <w:rPr>
          <w:rFonts w:ascii="Times New Roman" w:hAnsi="Times New Roman" w:cs="Times New Roman"/>
          <w:sz w:val="24"/>
          <w:szCs w:val="24"/>
        </w:rPr>
        <w:t>el Estado Dominicano apoya con capacitación, acompañamiento técnico y fondos gubernamentales los programas y proyectos sociales implementados por la sociedad civil del sector discapacidad. Desde 2022 hasta el febrero del 2025, se han habilitado 91 Asociaciones Sin Fines de Lucro, de las cuales 54 en 2024 recibieron subvención Estatal que ascienden aproximadamente a 5,000,000 dólares anual.</w:t>
      </w:r>
    </w:p>
    <w:p w14:paraId="36D25F1E" w14:textId="525B6D0D" w:rsidR="0001137C" w:rsidRPr="00D379DB" w:rsidRDefault="00DC27F2" w:rsidP="0001137C">
      <w:pPr>
        <w:jc w:val="both"/>
        <w:rPr>
          <w:rFonts w:ascii="Times New Roman" w:hAnsi="Times New Roman" w:cs="Times New Roman"/>
          <w:sz w:val="24"/>
          <w:szCs w:val="24"/>
        </w:rPr>
      </w:pPr>
      <w:r w:rsidRPr="00D379DB">
        <w:rPr>
          <w:rFonts w:ascii="Times New Roman" w:hAnsi="Times New Roman" w:cs="Times New Roman"/>
          <w:sz w:val="24"/>
          <w:szCs w:val="24"/>
        </w:rPr>
        <w:t>En cuanto a</w:t>
      </w:r>
      <w:r w:rsidR="00B27859" w:rsidRPr="00D379DB">
        <w:rPr>
          <w:rFonts w:ascii="Times New Roman" w:hAnsi="Times New Roman" w:cs="Times New Roman"/>
          <w:sz w:val="24"/>
          <w:szCs w:val="24"/>
        </w:rPr>
        <w:t xml:space="preserve"> las </w:t>
      </w:r>
      <w:r w:rsidR="00B27859" w:rsidRPr="00D379DB">
        <w:rPr>
          <w:rFonts w:ascii="Times New Roman" w:hAnsi="Times New Roman" w:cs="Times New Roman"/>
          <w:b/>
          <w:bCs/>
          <w:sz w:val="24"/>
          <w:szCs w:val="24"/>
        </w:rPr>
        <w:t>mujeres con discapacidad</w:t>
      </w:r>
      <w:r w:rsidR="00B27859" w:rsidRPr="00D379DB">
        <w:rPr>
          <w:rFonts w:ascii="Times New Roman" w:hAnsi="Times New Roman" w:cs="Times New Roman"/>
          <w:sz w:val="24"/>
          <w:szCs w:val="24"/>
        </w:rPr>
        <w:t>, s</w:t>
      </w:r>
      <w:r w:rsidRPr="00D379DB">
        <w:rPr>
          <w:rFonts w:ascii="Times New Roman" w:hAnsi="Times New Roman" w:cs="Times New Roman"/>
          <w:sz w:val="24"/>
          <w:szCs w:val="24"/>
        </w:rPr>
        <w:t xml:space="preserve">egún el censo poblacional de 2022, la República Dominicana tiene una población total de 10,773,983 personas, de las cuales 5,445,962 son mujeres. Dentro de la población con discapacidad, que asciende a 478,300 personas, 272,413 son mujeres, representando el 57% de este grupo y equivalentes al 5% del total de mujeres en el país. En cuanto a </w:t>
      </w:r>
      <w:r w:rsidR="00BD4F66" w:rsidRPr="00D379DB">
        <w:rPr>
          <w:rFonts w:ascii="Times New Roman" w:hAnsi="Times New Roman" w:cs="Times New Roman"/>
          <w:sz w:val="24"/>
          <w:szCs w:val="24"/>
        </w:rPr>
        <w:t xml:space="preserve">su protección social </w:t>
      </w:r>
      <w:r w:rsidRPr="00D379DB">
        <w:rPr>
          <w:rFonts w:ascii="Times New Roman" w:hAnsi="Times New Roman" w:cs="Times New Roman"/>
          <w:sz w:val="24"/>
          <w:szCs w:val="24"/>
        </w:rPr>
        <w:t>en el Programa Supérate</w:t>
      </w:r>
      <w:r w:rsidR="002777B4" w:rsidRPr="00D379DB">
        <w:rPr>
          <w:rFonts w:ascii="Times New Roman" w:hAnsi="Times New Roman" w:cs="Times New Roman"/>
          <w:sz w:val="24"/>
          <w:szCs w:val="24"/>
        </w:rPr>
        <w:t xml:space="preserve"> (bono de transferencia monetaria)</w:t>
      </w:r>
      <w:r w:rsidRPr="00D379DB">
        <w:rPr>
          <w:rFonts w:ascii="Times New Roman" w:hAnsi="Times New Roman" w:cs="Times New Roman"/>
          <w:sz w:val="24"/>
          <w:szCs w:val="24"/>
        </w:rPr>
        <w:t xml:space="preserve">, el 63% de sus beneficiarios son mujeres, incluyendo 6,893 que reciben el subsidio de discapacidad como titulares de la transferencia monetaria. Además, </w:t>
      </w:r>
      <w:r w:rsidR="002E6956" w:rsidRPr="00D379DB">
        <w:rPr>
          <w:rFonts w:ascii="Times New Roman" w:hAnsi="Times New Roman" w:cs="Times New Roman"/>
          <w:sz w:val="24"/>
          <w:szCs w:val="24"/>
        </w:rPr>
        <w:t xml:space="preserve">desde </w:t>
      </w:r>
      <w:r w:rsidR="00776AB8" w:rsidRPr="00D379DB">
        <w:rPr>
          <w:rFonts w:ascii="Times New Roman" w:hAnsi="Times New Roman" w:cs="Times New Roman"/>
          <w:sz w:val="24"/>
          <w:szCs w:val="24"/>
        </w:rPr>
        <w:t xml:space="preserve">el Ministerio de la Mujer </w:t>
      </w:r>
      <w:r w:rsidRPr="00D379DB">
        <w:rPr>
          <w:rFonts w:ascii="Times New Roman" w:hAnsi="Times New Roman" w:cs="Times New Roman"/>
          <w:sz w:val="24"/>
          <w:szCs w:val="24"/>
        </w:rPr>
        <w:t>se han otorgado 125 bonos a mujeres con hijos con discapacidad y 23 bonos</w:t>
      </w:r>
      <w:r w:rsidR="005A417C" w:rsidRPr="00D379DB">
        <w:rPr>
          <w:rFonts w:ascii="Times New Roman" w:hAnsi="Times New Roman" w:cs="Times New Roman"/>
          <w:sz w:val="24"/>
          <w:szCs w:val="24"/>
        </w:rPr>
        <w:t xml:space="preserve"> son mujeres con discapacidad.</w:t>
      </w:r>
    </w:p>
    <w:p w14:paraId="2A1FCE67" w14:textId="375FE8E6" w:rsidR="005E6285" w:rsidRPr="00D379DB" w:rsidRDefault="005E6285" w:rsidP="0001137C">
      <w:pPr>
        <w:jc w:val="both"/>
        <w:rPr>
          <w:rFonts w:ascii="Times New Roman" w:hAnsi="Times New Roman" w:cs="Times New Roman"/>
          <w:sz w:val="24"/>
          <w:szCs w:val="24"/>
        </w:rPr>
      </w:pPr>
      <w:r w:rsidRPr="00D379DB">
        <w:rPr>
          <w:rFonts w:ascii="Times New Roman" w:hAnsi="Times New Roman" w:cs="Times New Roman"/>
          <w:sz w:val="24"/>
          <w:szCs w:val="24"/>
        </w:rPr>
        <w:t xml:space="preserve">La República Dominicana cuenta con un </w:t>
      </w:r>
      <w:r w:rsidR="00827C90" w:rsidRPr="00D379DB">
        <w:rPr>
          <w:rFonts w:ascii="Times New Roman" w:hAnsi="Times New Roman" w:cs="Times New Roman"/>
          <w:sz w:val="24"/>
          <w:szCs w:val="24"/>
        </w:rPr>
        <w:t>M</w:t>
      </w:r>
      <w:r w:rsidRPr="00D379DB">
        <w:rPr>
          <w:rFonts w:ascii="Times New Roman" w:hAnsi="Times New Roman" w:cs="Times New Roman"/>
          <w:sz w:val="24"/>
          <w:szCs w:val="24"/>
        </w:rPr>
        <w:t xml:space="preserve">odelo </w:t>
      </w:r>
      <w:r w:rsidR="00827C90" w:rsidRPr="00D379DB">
        <w:rPr>
          <w:rFonts w:ascii="Times New Roman" w:hAnsi="Times New Roman" w:cs="Times New Roman"/>
          <w:sz w:val="24"/>
          <w:szCs w:val="24"/>
        </w:rPr>
        <w:t>I</w:t>
      </w:r>
      <w:r w:rsidRPr="00D379DB">
        <w:rPr>
          <w:rFonts w:ascii="Times New Roman" w:hAnsi="Times New Roman" w:cs="Times New Roman"/>
          <w:sz w:val="24"/>
          <w:szCs w:val="24"/>
        </w:rPr>
        <w:t xml:space="preserve">ntegral de </w:t>
      </w:r>
      <w:r w:rsidR="00827C90" w:rsidRPr="00D379DB">
        <w:rPr>
          <w:rFonts w:ascii="Times New Roman" w:hAnsi="Times New Roman" w:cs="Times New Roman"/>
          <w:sz w:val="24"/>
          <w:szCs w:val="24"/>
        </w:rPr>
        <w:t>P</w:t>
      </w:r>
      <w:r w:rsidRPr="00D379DB">
        <w:rPr>
          <w:rFonts w:ascii="Times New Roman" w:hAnsi="Times New Roman" w:cs="Times New Roman"/>
          <w:sz w:val="24"/>
          <w:szCs w:val="24"/>
        </w:rPr>
        <w:t xml:space="preserve">rotección de </w:t>
      </w:r>
      <w:r w:rsidRPr="00D379DB">
        <w:rPr>
          <w:rFonts w:ascii="Times New Roman" w:hAnsi="Times New Roman" w:cs="Times New Roman"/>
          <w:b/>
          <w:bCs/>
          <w:sz w:val="24"/>
          <w:szCs w:val="24"/>
        </w:rPr>
        <w:t>N</w:t>
      </w:r>
      <w:r w:rsidR="003904EB" w:rsidRPr="00D379DB">
        <w:rPr>
          <w:rFonts w:ascii="Times New Roman" w:hAnsi="Times New Roman" w:cs="Times New Roman"/>
          <w:b/>
          <w:bCs/>
          <w:sz w:val="24"/>
          <w:szCs w:val="24"/>
        </w:rPr>
        <w:t xml:space="preserve">iños, </w:t>
      </w:r>
      <w:r w:rsidRPr="00D379DB">
        <w:rPr>
          <w:rFonts w:ascii="Times New Roman" w:hAnsi="Times New Roman" w:cs="Times New Roman"/>
          <w:b/>
          <w:bCs/>
          <w:sz w:val="24"/>
          <w:szCs w:val="24"/>
        </w:rPr>
        <w:t>N</w:t>
      </w:r>
      <w:r w:rsidR="003904EB" w:rsidRPr="00D379DB">
        <w:rPr>
          <w:rFonts w:ascii="Times New Roman" w:hAnsi="Times New Roman" w:cs="Times New Roman"/>
          <w:b/>
          <w:bCs/>
          <w:sz w:val="24"/>
          <w:szCs w:val="24"/>
        </w:rPr>
        <w:t xml:space="preserve">iñas y </w:t>
      </w:r>
      <w:r w:rsidRPr="00D379DB">
        <w:rPr>
          <w:rFonts w:ascii="Times New Roman" w:hAnsi="Times New Roman" w:cs="Times New Roman"/>
          <w:b/>
          <w:bCs/>
          <w:sz w:val="24"/>
          <w:szCs w:val="24"/>
        </w:rPr>
        <w:t>A</w:t>
      </w:r>
      <w:r w:rsidR="003904EB" w:rsidRPr="00D379DB">
        <w:rPr>
          <w:rFonts w:ascii="Times New Roman" w:hAnsi="Times New Roman" w:cs="Times New Roman"/>
          <w:b/>
          <w:bCs/>
          <w:sz w:val="24"/>
          <w:szCs w:val="24"/>
        </w:rPr>
        <w:t>dolescentes</w:t>
      </w:r>
      <w:r w:rsidRPr="00D379DB">
        <w:rPr>
          <w:rFonts w:ascii="Times New Roman" w:hAnsi="Times New Roman" w:cs="Times New Roman"/>
          <w:sz w:val="24"/>
          <w:szCs w:val="24"/>
        </w:rPr>
        <w:t xml:space="preserve">, sustentado en la Ley 136-03 y fortalecido por la Ley 1-21, que prohíbe el matrimonio infantil. Como logro clave, se creó el Gabinete de Niñez y Adolescencia (GANA) para coordinar políticas en favor de la infancia. El </w:t>
      </w:r>
      <w:r w:rsidR="00827C90" w:rsidRPr="00D379DB">
        <w:rPr>
          <w:rFonts w:ascii="Times New Roman" w:hAnsi="Times New Roman" w:cs="Times New Roman"/>
          <w:sz w:val="24"/>
          <w:szCs w:val="24"/>
        </w:rPr>
        <w:t>Consejo Nacional para la Niñez y la Adolescencia</w:t>
      </w:r>
      <w:r w:rsidRPr="00D379DB">
        <w:rPr>
          <w:rFonts w:ascii="Times New Roman" w:hAnsi="Times New Roman" w:cs="Times New Roman"/>
          <w:sz w:val="24"/>
          <w:szCs w:val="24"/>
        </w:rPr>
        <w:t xml:space="preserve"> lidera el sistema de protección, junto a los CAIPI, Hogares de Paso y la Procuraduría Especializada en NNA, garantizando una justicia inclusiva con ajustes razonables, asistencia jurídica especializada y mecanismos accesibles para NNA con discapacidad.</w:t>
      </w:r>
      <w:r w:rsidR="00F16CF6" w:rsidRPr="00D379DB">
        <w:rPr>
          <w:rFonts w:ascii="Times New Roman" w:hAnsi="Times New Roman" w:cs="Times New Roman"/>
          <w:sz w:val="24"/>
          <w:szCs w:val="24"/>
        </w:rPr>
        <w:t xml:space="preserve"> En cuanto a su protección social </w:t>
      </w:r>
      <w:r w:rsidR="0096446D" w:rsidRPr="00D379DB">
        <w:rPr>
          <w:rFonts w:ascii="Times New Roman" w:hAnsi="Times New Roman" w:cs="Times New Roman"/>
          <w:sz w:val="24"/>
          <w:szCs w:val="24"/>
        </w:rPr>
        <w:t>se crea</w:t>
      </w:r>
      <w:r w:rsidR="00F16CF6" w:rsidRPr="00D379DB">
        <w:rPr>
          <w:rFonts w:ascii="Times New Roman" w:hAnsi="Times New Roman" w:cs="Times New Roman"/>
          <w:sz w:val="24"/>
          <w:szCs w:val="24"/>
        </w:rPr>
        <w:t xml:space="preserve"> </w:t>
      </w:r>
      <w:r w:rsidR="0096446D" w:rsidRPr="00D379DB">
        <w:rPr>
          <w:rFonts w:ascii="Times New Roman" w:hAnsi="Times New Roman" w:cs="Times New Roman"/>
          <w:sz w:val="24"/>
          <w:szCs w:val="24"/>
        </w:rPr>
        <w:t>e</w:t>
      </w:r>
      <w:r w:rsidR="00007E6F" w:rsidRPr="00D379DB">
        <w:rPr>
          <w:rFonts w:ascii="Times New Roman" w:hAnsi="Times New Roman" w:cs="Times New Roman"/>
          <w:sz w:val="24"/>
          <w:szCs w:val="24"/>
        </w:rPr>
        <w:t>l Fondo Nacional de la Niñez y Adolescencia con Discapacidad donde 4,403 menores reciben un subsidio mensual de RD$ 6,000.00, representando una inversión mensual de RD$ 26,418,000.00, proyectando incorporar 7,000 nuevos beneficiarios en 2025.</w:t>
      </w:r>
    </w:p>
    <w:p w14:paraId="74714CEB" w14:textId="3A630090" w:rsidR="008B3EEF" w:rsidRPr="00D379DB" w:rsidRDefault="002666F9" w:rsidP="008B3EEF">
      <w:pPr>
        <w:jc w:val="both"/>
        <w:rPr>
          <w:rFonts w:ascii="Times New Roman" w:hAnsi="Times New Roman" w:cs="Times New Roman"/>
          <w:sz w:val="24"/>
          <w:szCs w:val="24"/>
        </w:rPr>
      </w:pPr>
      <w:r w:rsidRPr="00D379DB">
        <w:rPr>
          <w:rFonts w:ascii="Times New Roman" w:hAnsi="Times New Roman" w:cs="Times New Roman"/>
          <w:sz w:val="24"/>
          <w:szCs w:val="24"/>
        </w:rPr>
        <w:t xml:space="preserve">En materia de </w:t>
      </w:r>
      <w:r w:rsidRPr="00D379DB">
        <w:rPr>
          <w:rFonts w:ascii="Times New Roman" w:hAnsi="Times New Roman" w:cs="Times New Roman"/>
          <w:b/>
          <w:bCs/>
          <w:sz w:val="24"/>
          <w:szCs w:val="24"/>
        </w:rPr>
        <w:t>accesibilidad en la comunicación</w:t>
      </w:r>
      <w:r w:rsidRPr="00D379DB">
        <w:rPr>
          <w:rFonts w:ascii="Times New Roman" w:hAnsi="Times New Roman" w:cs="Times New Roman"/>
          <w:sz w:val="24"/>
          <w:szCs w:val="24"/>
        </w:rPr>
        <w:t>, el CONADIS, en conjunto con la</w:t>
      </w:r>
      <w:r w:rsidR="00B5071D" w:rsidRPr="00D379DB">
        <w:rPr>
          <w:rFonts w:ascii="Times New Roman" w:hAnsi="Times New Roman" w:cs="Times New Roman"/>
          <w:sz w:val="24"/>
          <w:szCs w:val="24"/>
        </w:rPr>
        <w:t xml:space="preserve"> Oficina Gubernamental de Tecnologías de la Información y Comunicación (OGTIC)</w:t>
      </w:r>
      <w:r w:rsidRPr="00D379DB">
        <w:rPr>
          <w:rFonts w:ascii="Times New Roman" w:hAnsi="Times New Roman" w:cs="Times New Roman"/>
          <w:sz w:val="24"/>
          <w:szCs w:val="24"/>
        </w:rPr>
        <w:t>, trabaja en asesorías y en una certificación nacional para los portales web del Estado Dominicano, conforme a la normativa NORTIC B2. Esta normativa establece que todos los portales gubernamentales, así como sus publicaciones, sean accesibles. Las evaluaciones y guías desarrolladas se realizan en colaboración con personas con discapacidad. El Reglamento 363-</w:t>
      </w:r>
      <w:r w:rsidRPr="00D379DB">
        <w:rPr>
          <w:rFonts w:ascii="Times New Roman" w:hAnsi="Times New Roman" w:cs="Times New Roman"/>
          <w:sz w:val="24"/>
          <w:szCs w:val="24"/>
        </w:rPr>
        <w:lastRenderedPageBreak/>
        <w:t>16 de la Ley 5-13 define los formatos accesibles, incluyendo lenguas orales, lengua de señas, braille</w:t>
      </w:r>
      <w:r w:rsidR="007116CB" w:rsidRPr="00D379DB">
        <w:rPr>
          <w:rFonts w:ascii="Times New Roman" w:hAnsi="Times New Roman" w:cs="Times New Roman"/>
          <w:sz w:val="24"/>
          <w:szCs w:val="24"/>
        </w:rPr>
        <w:t>,</w:t>
      </w:r>
      <w:r w:rsidRPr="00D379DB">
        <w:rPr>
          <w:rFonts w:ascii="Times New Roman" w:hAnsi="Times New Roman" w:cs="Times New Roman"/>
          <w:sz w:val="24"/>
          <w:szCs w:val="24"/>
        </w:rPr>
        <w:t xml:space="preserve"> comunicación táctil, entre otros. </w:t>
      </w:r>
      <w:r w:rsidR="008B3EEF" w:rsidRPr="00D379DB">
        <w:rPr>
          <w:rFonts w:ascii="Times New Roman" w:hAnsi="Times New Roman" w:cs="Times New Roman"/>
          <w:sz w:val="24"/>
          <w:szCs w:val="24"/>
        </w:rPr>
        <w:t xml:space="preserve">Importante destacar, la Ley de Lengua de Señas fue promulgada el 1 de agosto de 2023 y el Diccionario Oficial de la Lengua de Señas Dominicana fue lanzado en 2020 en formato virtual y en 2023 en formato impreso, desarrollado por un comité interinstitucional conformado por el CONADIS, la comunidad sorda y el </w:t>
      </w:r>
      <w:r w:rsidR="00294926" w:rsidRPr="00D379DB">
        <w:rPr>
          <w:rFonts w:ascii="Times New Roman" w:hAnsi="Times New Roman" w:cs="Times New Roman"/>
          <w:sz w:val="24"/>
          <w:szCs w:val="24"/>
        </w:rPr>
        <w:t>Ministerio de Educación (</w:t>
      </w:r>
      <w:r w:rsidR="008B3EEF" w:rsidRPr="00D379DB">
        <w:rPr>
          <w:rFonts w:ascii="Times New Roman" w:hAnsi="Times New Roman" w:cs="Times New Roman"/>
          <w:sz w:val="24"/>
          <w:szCs w:val="24"/>
        </w:rPr>
        <w:t>MINERD</w:t>
      </w:r>
      <w:r w:rsidR="00294926" w:rsidRPr="00D379DB">
        <w:rPr>
          <w:rFonts w:ascii="Times New Roman" w:hAnsi="Times New Roman" w:cs="Times New Roman"/>
          <w:sz w:val="24"/>
          <w:szCs w:val="24"/>
        </w:rPr>
        <w:t>)</w:t>
      </w:r>
      <w:r w:rsidR="008B3EEF" w:rsidRPr="00D379DB">
        <w:rPr>
          <w:rFonts w:ascii="Times New Roman" w:hAnsi="Times New Roman" w:cs="Times New Roman"/>
          <w:sz w:val="24"/>
          <w:szCs w:val="24"/>
        </w:rPr>
        <w:t xml:space="preserve">. Además, </w:t>
      </w:r>
      <w:r w:rsidR="00A300F3" w:rsidRPr="00D379DB">
        <w:rPr>
          <w:rFonts w:ascii="Times New Roman" w:hAnsi="Times New Roman" w:cs="Times New Roman"/>
          <w:sz w:val="24"/>
          <w:szCs w:val="24"/>
        </w:rPr>
        <w:t xml:space="preserve">el tratado fue ratificado mediante la Ley 11-18, publicada el 30 de enero de 2018, el país ha avanzado en su implementación a través de </w:t>
      </w:r>
      <w:r w:rsidR="001D279D" w:rsidRPr="00D379DB">
        <w:rPr>
          <w:rFonts w:ascii="Times New Roman" w:hAnsi="Times New Roman" w:cs="Times New Roman"/>
          <w:sz w:val="24"/>
          <w:szCs w:val="24"/>
        </w:rPr>
        <w:t>mesas de diálogos de gobierno y</w:t>
      </w:r>
      <w:r w:rsidR="00A300F3" w:rsidRPr="00D379DB">
        <w:rPr>
          <w:rFonts w:ascii="Times New Roman" w:hAnsi="Times New Roman" w:cs="Times New Roman"/>
          <w:sz w:val="24"/>
          <w:szCs w:val="24"/>
        </w:rPr>
        <w:t xml:space="preserve"> sociedad civil</w:t>
      </w:r>
      <w:r w:rsidR="00374CA8" w:rsidRPr="00D379DB">
        <w:rPr>
          <w:rFonts w:ascii="Times New Roman" w:hAnsi="Times New Roman" w:cs="Times New Roman"/>
          <w:sz w:val="24"/>
          <w:szCs w:val="24"/>
        </w:rPr>
        <w:t xml:space="preserve"> </w:t>
      </w:r>
      <w:r w:rsidR="00A300F3" w:rsidRPr="00D379DB">
        <w:rPr>
          <w:rFonts w:ascii="Times New Roman" w:hAnsi="Times New Roman" w:cs="Times New Roman"/>
          <w:sz w:val="24"/>
          <w:szCs w:val="24"/>
        </w:rPr>
        <w:t xml:space="preserve">para permitir la producción, distribución e intercambio de materiales accesibles sin infringir derechos de autor. </w:t>
      </w:r>
    </w:p>
    <w:p w14:paraId="2802616D" w14:textId="397ADE25" w:rsidR="00A211C2" w:rsidRPr="00D379DB" w:rsidRDefault="005448D4" w:rsidP="008B3EEF">
      <w:pPr>
        <w:jc w:val="both"/>
        <w:rPr>
          <w:rFonts w:ascii="Times New Roman" w:hAnsi="Times New Roman" w:cs="Times New Roman"/>
          <w:sz w:val="24"/>
          <w:szCs w:val="24"/>
        </w:rPr>
      </w:pPr>
      <w:r w:rsidRPr="00D379DB">
        <w:rPr>
          <w:rFonts w:ascii="Times New Roman" w:hAnsi="Times New Roman" w:cs="Times New Roman"/>
          <w:sz w:val="24"/>
          <w:szCs w:val="24"/>
        </w:rPr>
        <w:t xml:space="preserve">La ley no. 5-13 establece a través de su artículo 60 que la </w:t>
      </w:r>
      <w:r w:rsidRPr="00D379DB">
        <w:rPr>
          <w:rFonts w:ascii="Times New Roman" w:hAnsi="Times New Roman" w:cs="Times New Roman"/>
          <w:b/>
          <w:bCs/>
          <w:sz w:val="24"/>
          <w:szCs w:val="24"/>
        </w:rPr>
        <w:t>valoración de discapacidad</w:t>
      </w:r>
      <w:r w:rsidRPr="00D379DB">
        <w:rPr>
          <w:rFonts w:ascii="Times New Roman" w:hAnsi="Times New Roman" w:cs="Times New Roman"/>
          <w:sz w:val="24"/>
          <w:szCs w:val="24"/>
        </w:rPr>
        <w:t xml:space="preserve"> se registrará por la última versión de la Clasificación Internacional del Funcionamiento y la discapacidad (CIF) y de la salud de la OMS. Dicho mandato responde a asegurar el enfoque Bio Psico Social de la discapacidad, acorde con la definición de discapacidad que contiene la Convención de los Derechos de las Personas con Discapacidad donde se pone de manifiesto la interacción de la condición permanente de Salud con las barreras que limitan la participación plena en igualdad de condiciones de las personas con discapacidad. El sistema busca una medición con altos estándares técnicos donde se realiza el levantamiento de las barreras y los apoyos de la persona, bajo el calificador de desempeño de las mismas, que describe lo que una persona hace en su entorno habitual o “la experiencia vivida de las personas con discapacidad”, tomando en cuenta la reali</w:t>
      </w:r>
      <w:r w:rsidR="00AC5A88" w:rsidRPr="00D379DB">
        <w:rPr>
          <w:rFonts w:ascii="Times New Roman" w:hAnsi="Times New Roman" w:cs="Times New Roman"/>
          <w:sz w:val="24"/>
          <w:szCs w:val="24"/>
        </w:rPr>
        <w:t>dad</w:t>
      </w:r>
      <w:r w:rsidRPr="00D379DB">
        <w:rPr>
          <w:rFonts w:ascii="Times New Roman" w:hAnsi="Times New Roman" w:cs="Times New Roman"/>
          <w:sz w:val="24"/>
          <w:szCs w:val="24"/>
        </w:rPr>
        <w:t xml:space="preserve"> de las personas con sus barreras y apoyos. El CIF también establece la cuantificación de los calificadores según el porcentaje que se establece en los distintos dominios según la afectación del desempeño, en la siguiente escala: 0-4% no hay limitaciones significativas (discapacidad)</w:t>
      </w:r>
      <w:r w:rsidR="00AC5A88" w:rsidRPr="00D379DB">
        <w:rPr>
          <w:rFonts w:ascii="Times New Roman" w:hAnsi="Times New Roman" w:cs="Times New Roman"/>
          <w:sz w:val="24"/>
          <w:szCs w:val="24"/>
        </w:rPr>
        <w:t>,</w:t>
      </w:r>
      <w:r w:rsidRPr="00D379DB">
        <w:rPr>
          <w:rFonts w:ascii="Times New Roman" w:hAnsi="Times New Roman" w:cs="Times New Roman"/>
          <w:sz w:val="24"/>
          <w:szCs w:val="24"/>
        </w:rPr>
        <w:t xml:space="preserve"> 5-24%, discapacidad </w:t>
      </w:r>
      <w:r w:rsidR="00D35719" w:rsidRPr="00D379DB">
        <w:rPr>
          <w:rFonts w:ascii="Times New Roman" w:hAnsi="Times New Roman" w:cs="Times New Roman"/>
          <w:sz w:val="24"/>
          <w:szCs w:val="24"/>
        </w:rPr>
        <w:t>leve,</w:t>
      </w:r>
      <w:r w:rsidRPr="00D379DB">
        <w:rPr>
          <w:rFonts w:ascii="Times New Roman" w:hAnsi="Times New Roman" w:cs="Times New Roman"/>
          <w:sz w:val="24"/>
          <w:szCs w:val="24"/>
        </w:rPr>
        <w:t xml:space="preserve"> 25-49% discapacidad moderada</w:t>
      </w:r>
      <w:r w:rsidR="00D35719" w:rsidRPr="00D379DB">
        <w:rPr>
          <w:rFonts w:ascii="Times New Roman" w:hAnsi="Times New Roman" w:cs="Times New Roman"/>
          <w:sz w:val="24"/>
          <w:szCs w:val="24"/>
        </w:rPr>
        <w:t xml:space="preserve">, </w:t>
      </w:r>
      <w:r w:rsidRPr="00D379DB">
        <w:rPr>
          <w:rFonts w:ascii="Times New Roman" w:hAnsi="Times New Roman" w:cs="Times New Roman"/>
          <w:sz w:val="24"/>
          <w:szCs w:val="24"/>
        </w:rPr>
        <w:t>50-95%, discapacidad grave o severa</w:t>
      </w:r>
      <w:r w:rsidR="00924CB7" w:rsidRPr="00D379DB">
        <w:rPr>
          <w:rFonts w:ascii="Times New Roman" w:hAnsi="Times New Roman" w:cs="Times New Roman"/>
          <w:sz w:val="24"/>
          <w:szCs w:val="24"/>
        </w:rPr>
        <w:t>, m</w:t>
      </w:r>
      <w:r w:rsidRPr="00D379DB">
        <w:rPr>
          <w:rFonts w:ascii="Times New Roman" w:hAnsi="Times New Roman" w:cs="Times New Roman"/>
          <w:sz w:val="24"/>
          <w:szCs w:val="24"/>
        </w:rPr>
        <w:t>ayor de 96% discapacidad completa o total.</w:t>
      </w:r>
    </w:p>
    <w:p w14:paraId="2221EA74" w14:textId="3C151916" w:rsidR="00DB3E6B" w:rsidRPr="00D379DB" w:rsidRDefault="00681AE1" w:rsidP="00681AE1">
      <w:pPr>
        <w:jc w:val="both"/>
        <w:rPr>
          <w:rFonts w:ascii="Times New Roman" w:hAnsi="Times New Roman" w:cs="Times New Roman"/>
          <w:sz w:val="24"/>
          <w:szCs w:val="24"/>
        </w:rPr>
      </w:pPr>
      <w:r w:rsidRPr="00D379DB">
        <w:rPr>
          <w:rFonts w:ascii="Times New Roman" w:hAnsi="Times New Roman" w:cs="Times New Roman"/>
          <w:sz w:val="24"/>
          <w:szCs w:val="24"/>
        </w:rPr>
        <w:t xml:space="preserve">En este sentido, el Sistema Nacional de Valoración, Certificación y Registro de la Discapacidad (SVCRD-RD) ha certificado aproximadamente 6,200 personas adultas y 8,350 menores de edad. Esto representa un incremento del 364% en certificaciones voluntarias para adultos desde 2019 y la inclusión de mecanismos para la certificación de menores. Esta certificación representa una puerta de entrada a </w:t>
      </w:r>
      <w:r w:rsidR="00774EBD" w:rsidRPr="00D379DB">
        <w:rPr>
          <w:rFonts w:ascii="Times New Roman" w:hAnsi="Times New Roman" w:cs="Times New Roman"/>
          <w:sz w:val="24"/>
          <w:szCs w:val="24"/>
        </w:rPr>
        <w:t>distintos programas de</w:t>
      </w:r>
      <w:r w:rsidR="00D63C09" w:rsidRPr="00D379DB">
        <w:rPr>
          <w:rFonts w:ascii="Times New Roman" w:hAnsi="Times New Roman" w:cs="Times New Roman"/>
          <w:sz w:val="24"/>
          <w:szCs w:val="24"/>
        </w:rPr>
        <w:t xml:space="preserve"> </w:t>
      </w:r>
      <w:r w:rsidR="00B251DE" w:rsidRPr="00D379DB">
        <w:rPr>
          <w:rFonts w:ascii="Times New Roman" w:hAnsi="Times New Roman" w:cs="Times New Roman"/>
          <w:sz w:val="24"/>
          <w:szCs w:val="24"/>
        </w:rPr>
        <w:t>entrega de dispositivos de apoyo,</w:t>
      </w:r>
      <w:r w:rsidR="00774EBD" w:rsidRPr="00D379DB">
        <w:rPr>
          <w:rFonts w:ascii="Times New Roman" w:hAnsi="Times New Roman" w:cs="Times New Roman"/>
          <w:sz w:val="24"/>
          <w:szCs w:val="24"/>
        </w:rPr>
        <w:t xml:space="preserve"> ayuda monetaria, exención de impuestos y pensiones</w:t>
      </w:r>
      <w:r w:rsidR="00B251DE" w:rsidRPr="00D379DB">
        <w:rPr>
          <w:rFonts w:ascii="Times New Roman" w:hAnsi="Times New Roman" w:cs="Times New Roman"/>
          <w:sz w:val="24"/>
          <w:szCs w:val="24"/>
        </w:rPr>
        <w:t xml:space="preserve">, </w:t>
      </w:r>
      <w:r w:rsidRPr="00D379DB">
        <w:rPr>
          <w:rFonts w:ascii="Times New Roman" w:hAnsi="Times New Roman" w:cs="Times New Roman"/>
          <w:sz w:val="24"/>
          <w:szCs w:val="24"/>
        </w:rPr>
        <w:t>un ejemplo de esto son las 15,000 pensiones solidarias por discapacidad y adulto mayor (RD$6,000 mensuales, 60% del Salario Público), entre otros que mencionamos más abajo.</w:t>
      </w:r>
    </w:p>
    <w:p w14:paraId="56B61ED3" w14:textId="561E06DC" w:rsidR="00EA0E7B" w:rsidRPr="00D379DB" w:rsidRDefault="003E3A44" w:rsidP="00F41589">
      <w:pPr>
        <w:jc w:val="both"/>
        <w:rPr>
          <w:rFonts w:ascii="Times New Roman" w:hAnsi="Times New Roman" w:cs="Times New Roman"/>
          <w:sz w:val="24"/>
          <w:szCs w:val="24"/>
        </w:rPr>
      </w:pPr>
      <w:r w:rsidRPr="00D379DB">
        <w:rPr>
          <w:rFonts w:ascii="Times New Roman" w:hAnsi="Times New Roman" w:cs="Times New Roman"/>
          <w:sz w:val="24"/>
          <w:szCs w:val="24"/>
        </w:rPr>
        <w:t xml:space="preserve">La </w:t>
      </w:r>
      <w:r w:rsidRPr="00D379DB">
        <w:rPr>
          <w:rFonts w:ascii="Times New Roman" w:hAnsi="Times New Roman" w:cs="Times New Roman"/>
          <w:b/>
          <w:bCs/>
          <w:sz w:val="24"/>
          <w:szCs w:val="24"/>
        </w:rPr>
        <w:t>educación</w:t>
      </w:r>
      <w:r w:rsidRPr="00D379DB">
        <w:rPr>
          <w:rFonts w:ascii="Times New Roman" w:hAnsi="Times New Roman" w:cs="Times New Roman"/>
          <w:sz w:val="24"/>
          <w:szCs w:val="24"/>
        </w:rPr>
        <w:t xml:space="preserve"> en un derecho fundamental y básico en el Estado Dominicano para todos, </w:t>
      </w:r>
      <w:r w:rsidR="00EF5313" w:rsidRPr="00D379DB">
        <w:rPr>
          <w:rFonts w:ascii="Times New Roman" w:hAnsi="Times New Roman" w:cs="Times New Roman"/>
          <w:sz w:val="24"/>
          <w:szCs w:val="24"/>
        </w:rPr>
        <w:t xml:space="preserve">en cuanto a la población con discapacidad </w:t>
      </w:r>
      <w:r w:rsidRPr="00D379DB">
        <w:rPr>
          <w:rFonts w:ascii="Times New Roman" w:hAnsi="Times New Roman" w:cs="Times New Roman"/>
          <w:sz w:val="24"/>
          <w:szCs w:val="24"/>
        </w:rPr>
        <w:t xml:space="preserve">existe una estrategia de </w:t>
      </w:r>
      <w:r w:rsidR="00EA0E7B" w:rsidRPr="00D379DB">
        <w:rPr>
          <w:rFonts w:ascii="Times New Roman" w:hAnsi="Times New Roman" w:cs="Times New Roman"/>
          <w:sz w:val="24"/>
          <w:szCs w:val="24"/>
        </w:rPr>
        <w:t xml:space="preserve">escala </w:t>
      </w:r>
      <w:r w:rsidRPr="00D379DB">
        <w:rPr>
          <w:rFonts w:ascii="Times New Roman" w:hAnsi="Times New Roman" w:cs="Times New Roman"/>
          <w:sz w:val="24"/>
          <w:szCs w:val="24"/>
        </w:rPr>
        <w:t xml:space="preserve">del </w:t>
      </w:r>
      <w:r w:rsidR="00EA0E7B" w:rsidRPr="00D379DB">
        <w:rPr>
          <w:rFonts w:ascii="Times New Roman" w:hAnsi="Times New Roman" w:cs="Times New Roman"/>
          <w:sz w:val="24"/>
          <w:szCs w:val="24"/>
        </w:rPr>
        <w:t>Modelo de Educación Inclusiva</w:t>
      </w:r>
      <w:r w:rsidRPr="00D379DB">
        <w:rPr>
          <w:rFonts w:ascii="Times New Roman" w:hAnsi="Times New Roman" w:cs="Times New Roman"/>
          <w:sz w:val="24"/>
          <w:szCs w:val="24"/>
        </w:rPr>
        <w:t xml:space="preserve"> contando con los siguientes avances:</w:t>
      </w:r>
    </w:p>
    <w:p w14:paraId="03879FD0" w14:textId="73E06F88" w:rsidR="00432397" w:rsidRPr="00D379DB" w:rsidRDefault="00432397" w:rsidP="00432397">
      <w:pPr>
        <w:pStyle w:val="ListParagraph"/>
        <w:numPr>
          <w:ilvl w:val="0"/>
          <w:numId w:val="3"/>
        </w:numPr>
        <w:jc w:val="both"/>
        <w:rPr>
          <w:rFonts w:ascii="Times New Roman" w:hAnsi="Times New Roman" w:cs="Times New Roman"/>
          <w:sz w:val="24"/>
          <w:szCs w:val="24"/>
        </w:rPr>
      </w:pPr>
      <w:r w:rsidRPr="00D379DB">
        <w:rPr>
          <w:rFonts w:ascii="Times New Roman" w:hAnsi="Times New Roman" w:cs="Times New Roman"/>
          <w:sz w:val="24"/>
          <w:szCs w:val="24"/>
        </w:rPr>
        <w:t>Diagnóstico de los servicios educativos dirigidos a la población con discapacidad ofertados por el Ministerio de Educación de la República Dominicana.</w:t>
      </w:r>
    </w:p>
    <w:p w14:paraId="050A94A1" w14:textId="5C38568B" w:rsidR="00432397" w:rsidRPr="00D379DB" w:rsidRDefault="00432397" w:rsidP="00432397">
      <w:pPr>
        <w:pStyle w:val="ListParagraph"/>
        <w:numPr>
          <w:ilvl w:val="0"/>
          <w:numId w:val="3"/>
        </w:numPr>
        <w:jc w:val="both"/>
        <w:rPr>
          <w:rFonts w:ascii="Times New Roman" w:hAnsi="Times New Roman" w:cs="Times New Roman"/>
          <w:sz w:val="24"/>
          <w:szCs w:val="24"/>
        </w:rPr>
      </w:pPr>
      <w:r w:rsidRPr="00D379DB">
        <w:rPr>
          <w:rFonts w:ascii="Times New Roman" w:hAnsi="Times New Roman" w:cs="Times New Roman"/>
          <w:sz w:val="24"/>
          <w:szCs w:val="24"/>
        </w:rPr>
        <w:t>Elaboración de un documento de rediseño del Centro Nacional de Recursos para las Necesidades Específicas de Apoyo Educativo Olga Estrella (CNR).</w:t>
      </w:r>
    </w:p>
    <w:p w14:paraId="01F4A275" w14:textId="3841EB2A" w:rsidR="00432397" w:rsidRPr="00D379DB" w:rsidRDefault="00432397" w:rsidP="00432397">
      <w:pPr>
        <w:pStyle w:val="ListParagraph"/>
        <w:numPr>
          <w:ilvl w:val="0"/>
          <w:numId w:val="3"/>
        </w:numPr>
        <w:jc w:val="both"/>
        <w:rPr>
          <w:rFonts w:ascii="Times New Roman" w:hAnsi="Times New Roman" w:cs="Times New Roman"/>
          <w:sz w:val="24"/>
          <w:szCs w:val="24"/>
        </w:rPr>
      </w:pPr>
      <w:r w:rsidRPr="00D379DB">
        <w:rPr>
          <w:rFonts w:ascii="Times New Roman" w:hAnsi="Times New Roman" w:cs="Times New Roman"/>
          <w:sz w:val="24"/>
          <w:szCs w:val="24"/>
        </w:rPr>
        <w:t xml:space="preserve">Apoyo en la definición de la Ordenanza 90-2020 que regula el rediseño del CNR. </w:t>
      </w:r>
    </w:p>
    <w:p w14:paraId="21091E4D" w14:textId="2545DDD9" w:rsidR="00432397" w:rsidRPr="00D379DB" w:rsidRDefault="00432397" w:rsidP="00432397">
      <w:pPr>
        <w:pStyle w:val="ListParagraph"/>
        <w:numPr>
          <w:ilvl w:val="0"/>
          <w:numId w:val="3"/>
        </w:numPr>
        <w:jc w:val="both"/>
        <w:rPr>
          <w:rFonts w:ascii="Times New Roman" w:hAnsi="Times New Roman" w:cs="Times New Roman"/>
          <w:sz w:val="24"/>
          <w:szCs w:val="24"/>
        </w:rPr>
      </w:pPr>
      <w:r w:rsidRPr="00D379DB">
        <w:rPr>
          <w:rFonts w:ascii="Times New Roman" w:hAnsi="Times New Roman" w:cs="Times New Roman"/>
          <w:sz w:val="24"/>
          <w:szCs w:val="24"/>
        </w:rPr>
        <w:lastRenderedPageBreak/>
        <w:t>Diseñó y desarrollo de un kit de recursos para la discapacidad intelectual, integrando siempre que fuera posible tecnologías de la información y comunicación (TIC).</w:t>
      </w:r>
    </w:p>
    <w:p w14:paraId="75DC2180" w14:textId="7B4640ED" w:rsidR="00432397" w:rsidRPr="00D379DB" w:rsidRDefault="00432397" w:rsidP="00432397">
      <w:pPr>
        <w:pStyle w:val="ListParagraph"/>
        <w:numPr>
          <w:ilvl w:val="0"/>
          <w:numId w:val="3"/>
        </w:numPr>
        <w:jc w:val="both"/>
        <w:rPr>
          <w:rFonts w:ascii="Times New Roman" w:hAnsi="Times New Roman" w:cs="Times New Roman"/>
          <w:sz w:val="24"/>
          <w:szCs w:val="24"/>
        </w:rPr>
      </w:pPr>
      <w:r w:rsidRPr="00D379DB">
        <w:rPr>
          <w:rFonts w:ascii="Times New Roman" w:hAnsi="Times New Roman" w:cs="Times New Roman"/>
          <w:sz w:val="24"/>
          <w:szCs w:val="24"/>
        </w:rPr>
        <w:t xml:space="preserve">Realización de un estudio con una muestra nacional para identificar las necesidades de formación de los docentes para lograr una educación inclusiva. </w:t>
      </w:r>
    </w:p>
    <w:p w14:paraId="18FE1ED1" w14:textId="14E3E1B3" w:rsidR="00432397" w:rsidRPr="00D379DB" w:rsidRDefault="00432397" w:rsidP="00432397">
      <w:pPr>
        <w:pStyle w:val="ListParagraph"/>
        <w:numPr>
          <w:ilvl w:val="0"/>
          <w:numId w:val="3"/>
        </w:numPr>
        <w:jc w:val="both"/>
        <w:rPr>
          <w:rFonts w:ascii="Times New Roman" w:hAnsi="Times New Roman" w:cs="Times New Roman"/>
          <w:sz w:val="24"/>
          <w:szCs w:val="24"/>
        </w:rPr>
      </w:pPr>
      <w:r w:rsidRPr="00D379DB">
        <w:rPr>
          <w:rFonts w:ascii="Times New Roman" w:hAnsi="Times New Roman" w:cs="Times New Roman"/>
          <w:sz w:val="24"/>
          <w:szCs w:val="24"/>
        </w:rPr>
        <w:t>Diseño de un plan de formación continua para los técnicos y docentes en metodologías y uso adecuado de los recursos pedagógicos accesibles.</w:t>
      </w:r>
    </w:p>
    <w:p w14:paraId="67F10061" w14:textId="2A7F1B9C" w:rsidR="00432397" w:rsidRPr="00D379DB" w:rsidRDefault="00432397" w:rsidP="00432397">
      <w:pPr>
        <w:pStyle w:val="ListParagraph"/>
        <w:numPr>
          <w:ilvl w:val="0"/>
          <w:numId w:val="3"/>
        </w:numPr>
        <w:jc w:val="both"/>
        <w:rPr>
          <w:rFonts w:ascii="Times New Roman" w:hAnsi="Times New Roman" w:cs="Times New Roman"/>
          <w:sz w:val="24"/>
          <w:szCs w:val="24"/>
        </w:rPr>
      </w:pPr>
      <w:r w:rsidRPr="00D379DB">
        <w:rPr>
          <w:rFonts w:ascii="Times New Roman" w:hAnsi="Times New Roman" w:cs="Times New Roman"/>
          <w:sz w:val="24"/>
          <w:szCs w:val="24"/>
        </w:rPr>
        <w:t xml:space="preserve">Capacitaciones del equipo técnico nacional formador de formadores de La Dirección de Educación Especial. </w:t>
      </w:r>
    </w:p>
    <w:p w14:paraId="23A87BE1" w14:textId="5F3BE51C" w:rsidR="00432397" w:rsidRPr="00D379DB" w:rsidRDefault="00432397" w:rsidP="00432397">
      <w:pPr>
        <w:pStyle w:val="ListParagraph"/>
        <w:numPr>
          <w:ilvl w:val="0"/>
          <w:numId w:val="3"/>
        </w:numPr>
        <w:jc w:val="both"/>
        <w:rPr>
          <w:rFonts w:ascii="Times New Roman" w:hAnsi="Times New Roman" w:cs="Times New Roman"/>
          <w:sz w:val="24"/>
          <w:szCs w:val="24"/>
        </w:rPr>
      </w:pPr>
      <w:r w:rsidRPr="00D379DB">
        <w:rPr>
          <w:rFonts w:ascii="Times New Roman" w:hAnsi="Times New Roman" w:cs="Times New Roman"/>
          <w:sz w:val="24"/>
          <w:szCs w:val="24"/>
        </w:rPr>
        <w:t xml:space="preserve">Desarrollo de aportes de accesibilidad a 3 rondas de cuadernillos educativos de estudiantes de primaria, para que sean accesibles a la población con discapacidad intelectual y motora, además, de 2 kit de materiales educativos para la educación a distancia durante la pandemia. </w:t>
      </w:r>
    </w:p>
    <w:p w14:paraId="11A53D22" w14:textId="09EBDE32" w:rsidR="00432397" w:rsidRPr="00D379DB" w:rsidRDefault="00432397" w:rsidP="00432397">
      <w:pPr>
        <w:pStyle w:val="ListParagraph"/>
        <w:numPr>
          <w:ilvl w:val="0"/>
          <w:numId w:val="3"/>
        </w:numPr>
        <w:jc w:val="both"/>
        <w:rPr>
          <w:rFonts w:ascii="Times New Roman" w:hAnsi="Times New Roman" w:cs="Times New Roman"/>
          <w:sz w:val="24"/>
          <w:szCs w:val="24"/>
        </w:rPr>
      </w:pPr>
      <w:r w:rsidRPr="00D379DB">
        <w:rPr>
          <w:rFonts w:ascii="Times New Roman" w:hAnsi="Times New Roman" w:cs="Times New Roman"/>
          <w:sz w:val="24"/>
          <w:szCs w:val="24"/>
        </w:rPr>
        <w:t>Elaboración de documentos sobre los lineamientos para los servicios educativos inclusivos.</w:t>
      </w:r>
    </w:p>
    <w:p w14:paraId="0B270564" w14:textId="70E2A2A8" w:rsidR="00432397" w:rsidRPr="00D379DB" w:rsidRDefault="00432397" w:rsidP="00432397">
      <w:pPr>
        <w:pStyle w:val="ListParagraph"/>
        <w:numPr>
          <w:ilvl w:val="0"/>
          <w:numId w:val="3"/>
        </w:numPr>
        <w:jc w:val="both"/>
        <w:rPr>
          <w:rFonts w:ascii="Times New Roman" w:hAnsi="Times New Roman" w:cs="Times New Roman"/>
          <w:sz w:val="24"/>
          <w:szCs w:val="24"/>
        </w:rPr>
      </w:pPr>
      <w:r w:rsidRPr="00D379DB">
        <w:rPr>
          <w:rFonts w:ascii="Times New Roman" w:hAnsi="Times New Roman" w:cs="Times New Roman"/>
          <w:sz w:val="24"/>
          <w:szCs w:val="24"/>
        </w:rPr>
        <w:t xml:space="preserve">Elaboración de instrumentos para el abordaje de estudiantes con </w:t>
      </w:r>
      <w:r w:rsidR="006923D6" w:rsidRPr="00D379DB">
        <w:rPr>
          <w:rFonts w:ascii="Times New Roman" w:hAnsi="Times New Roman" w:cs="Times New Roman"/>
          <w:sz w:val="24"/>
          <w:szCs w:val="24"/>
        </w:rPr>
        <w:t>Trastornos del espectro autista (</w:t>
      </w:r>
      <w:r w:rsidRPr="00D379DB">
        <w:rPr>
          <w:rFonts w:ascii="Times New Roman" w:hAnsi="Times New Roman" w:cs="Times New Roman"/>
          <w:sz w:val="24"/>
          <w:szCs w:val="24"/>
        </w:rPr>
        <w:t>TEA</w:t>
      </w:r>
      <w:r w:rsidR="006923D6" w:rsidRPr="00D379DB">
        <w:rPr>
          <w:rFonts w:ascii="Times New Roman" w:hAnsi="Times New Roman" w:cs="Times New Roman"/>
          <w:sz w:val="24"/>
          <w:szCs w:val="24"/>
        </w:rPr>
        <w:t>)</w:t>
      </w:r>
      <w:r w:rsidRPr="00D379DB">
        <w:rPr>
          <w:rFonts w:ascii="Times New Roman" w:hAnsi="Times New Roman" w:cs="Times New Roman"/>
          <w:sz w:val="24"/>
          <w:szCs w:val="24"/>
        </w:rPr>
        <w:t xml:space="preserve"> y D</w:t>
      </w:r>
      <w:r w:rsidR="006E7141" w:rsidRPr="00D379DB">
        <w:rPr>
          <w:rFonts w:ascii="Times New Roman" w:hAnsi="Times New Roman" w:cs="Times New Roman"/>
          <w:sz w:val="24"/>
          <w:szCs w:val="24"/>
        </w:rPr>
        <w:t xml:space="preserve">iscapacidad </w:t>
      </w:r>
      <w:r w:rsidRPr="00D379DB">
        <w:rPr>
          <w:rFonts w:ascii="Times New Roman" w:hAnsi="Times New Roman" w:cs="Times New Roman"/>
          <w:sz w:val="24"/>
          <w:szCs w:val="24"/>
        </w:rPr>
        <w:t>I</w:t>
      </w:r>
      <w:r w:rsidR="006E7141" w:rsidRPr="00D379DB">
        <w:rPr>
          <w:rFonts w:ascii="Times New Roman" w:hAnsi="Times New Roman" w:cs="Times New Roman"/>
          <w:sz w:val="24"/>
          <w:szCs w:val="24"/>
        </w:rPr>
        <w:t>n</w:t>
      </w:r>
      <w:r w:rsidR="00612357" w:rsidRPr="00D379DB">
        <w:rPr>
          <w:rFonts w:ascii="Times New Roman" w:hAnsi="Times New Roman" w:cs="Times New Roman"/>
          <w:sz w:val="24"/>
          <w:szCs w:val="24"/>
        </w:rPr>
        <w:t>telectual</w:t>
      </w:r>
      <w:r w:rsidR="00F4475B" w:rsidRPr="00D379DB">
        <w:rPr>
          <w:rFonts w:ascii="Times New Roman" w:hAnsi="Times New Roman" w:cs="Times New Roman"/>
          <w:sz w:val="24"/>
          <w:szCs w:val="24"/>
        </w:rPr>
        <w:t xml:space="preserve"> (DI)</w:t>
      </w:r>
      <w:r w:rsidRPr="00D379DB">
        <w:rPr>
          <w:rFonts w:ascii="Times New Roman" w:hAnsi="Times New Roman" w:cs="Times New Roman"/>
          <w:sz w:val="24"/>
          <w:szCs w:val="24"/>
        </w:rPr>
        <w:t>, incluyendo la creación de Líneas Base y Planes de Apoyo Personalizado (PAP).</w:t>
      </w:r>
    </w:p>
    <w:p w14:paraId="73067E1B" w14:textId="7F9B74CD" w:rsidR="00432397" w:rsidRPr="00D379DB" w:rsidRDefault="00432397" w:rsidP="00432397">
      <w:pPr>
        <w:pStyle w:val="ListParagraph"/>
        <w:numPr>
          <w:ilvl w:val="0"/>
          <w:numId w:val="3"/>
        </w:numPr>
        <w:jc w:val="both"/>
        <w:rPr>
          <w:rFonts w:ascii="Times New Roman" w:hAnsi="Times New Roman" w:cs="Times New Roman"/>
          <w:sz w:val="24"/>
          <w:szCs w:val="24"/>
        </w:rPr>
      </w:pPr>
      <w:r w:rsidRPr="00D379DB">
        <w:rPr>
          <w:rFonts w:ascii="Times New Roman" w:hAnsi="Times New Roman" w:cs="Times New Roman"/>
          <w:sz w:val="24"/>
          <w:szCs w:val="24"/>
        </w:rPr>
        <w:t>Formación para técnicos de la D</w:t>
      </w:r>
      <w:r w:rsidR="0016274F" w:rsidRPr="00D379DB">
        <w:rPr>
          <w:rFonts w:ascii="Times New Roman" w:hAnsi="Times New Roman" w:cs="Times New Roman"/>
          <w:sz w:val="24"/>
          <w:szCs w:val="24"/>
        </w:rPr>
        <w:t xml:space="preserve">irección de </w:t>
      </w:r>
      <w:r w:rsidRPr="00D379DB">
        <w:rPr>
          <w:rFonts w:ascii="Times New Roman" w:hAnsi="Times New Roman" w:cs="Times New Roman"/>
          <w:sz w:val="24"/>
          <w:szCs w:val="24"/>
        </w:rPr>
        <w:t>E</w:t>
      </w:r>
      <w:r w:rsidR="0016274F" w:rsidRPr="00D379DB">
        <w:rPr>
          <w:rFonts w:ascii="Times New Roman" w:hAnsi="Times New Roman" w:cs="Times New Roman"/>
          <w:sz w:val="24"/>
          <w:szCs w:val="24"/>
        </w:rPr>
        <w:t xml:space="preserve">ducación </w:t>
      </w:r>
      <w:r w:rsidRPr="00D379DB">
        <w:rPr>
          <w:rFonts w:ascii="Times New Roman" w:hAnsi="Times New Roman" w:cs="Times New Roman"/>
          <w:sz w:val="24"/>
          <w:szCs w:val="24"/>
        </w:rPr>
        <w:t>E</w:t>
      </w:r>
      <w:r w:rsidR="0016274F" w:rsidRPr="00D379DB">
        <w:rPr>
          <w:rFonts w:ascii="Times New Roman" w:hAnsi="Times New Roman" w:cs="Times New Roman"/>
          <w:sz w:val="24"/>
          <w:szCs w:val="24"/>
        </w:rPr>
        <w:t>special</w:t>
      </w:r>
      <w:r w:rsidRPr="00D379DB">
        <w:rPr>
          <w:rFonts w:ascii="Times New Roman" w:hAnsi="Times New Roman" w:cs="Times New Roman"/>
          <w:sz w:val="24"/>
          <w:szCs w:val="24"/>
        </w:rPr>
        <w:t xml:space="preserve"> en metodologías y estrategias de enseñanza para todos y todas con énfasis en estudiantes con TEA y DI.</w:t>
      </w:r>
    </w:p>
    <w:p w14:paraId="58D838F0" w14:textId="52E62272" w:rsidR="00432397" w:rsidRPr="00D379DB" w:rsidRDefault="00432397" w:rsidP="00432397">
      <w:pPr>
        <w:pStyle w:val="ListParagraph"/>
        <w:numPr>
          <w:ilvl w:val="0"/>
          <w:numId w:val="3"/>
        </w:numPr>
        <w:jc w:val="both"/>
        <w:rPr>
          <w:rFonts w:ascii="Times New Roman" w:hAnsi="Times New Roman" w:cs="Times New Roman"/>
          <w:sz w:val="24"/>
          <w:szCs w:val="24"/>
        </w:rPr>
      </w:pPr>
      <w:r w:rsidRPr="00D379DB">
        <w:rPr>
          <w:rFonts w:ascii="Times New Roman" w:hAnsi="Times New Roman" w:cs="Times New Roman"/>
          <w:sz w:val="24"/>
          <w:szCs w:val="24"/>
        </w:rPr>
        <w:t>Dotación de recursos educativos accesibles a los centros pertenecientes al plan piloto.</w:t>
      </w:r>
    </w:p>
    <w:p w14:paraId="67C0DA9A" w14:textId="66CA8376" w:rsidR="00CA00B2" w:rsidRPr="00D379DB" w:rsidRDefault="00CA00B2" w:rsidP="00CA00B2">
      <w:pPr>
        <w:jc w:val="both"/>
        <w:rPr>
          <w:rFonts w:ascii="Times New Roman" w:hAnsi="Times New Roman" w:cs="Times New Roman"/>
          <w:sz w:val="24"/>
          <w:szCs w:val="24"/>
        </w:rPr>
      </w:pPr>
      <w:r w:rsidRPr="00D379DB">
        <w:rPr>
          <w:rFonts w:ascii="Times New Roman" w:hAnsi="Times New Roman" w:cs="Times New Roman"/>
          <w:sz w:val="24"/>
          <w:szCs w:val="24"/>
        </w:rPr>
        <w:t>El Modelo Nacional de Educación Inclusiva del MINERD fue diseñado y validado mediante un piloto en 9 centros educativos de 8 distritos, pertenecientes a 5 regionales (San Juan, La Vega, Santiago y Santo Domingo). Esta implementación permitió ajustar el modelo a las necesidades de los centros educativos, desarrollar metodologías, herramientas y recursos accesibles.</w:t>
      </w:r>
    </w:p>
    <w:p w14:paraId="0C7E12C8" w14:textId="77D9C169" w:rsidR="00CA00B2" w:rsidRPr="00D379DB" w:rsidRDefault="00CA00B2" w:rsidP="00CA00B2">
      <w:pPr>
        <w:jc w:val="both"/>
        <w:rPr>
          <w:rFonts w:ascii="Times New Roman" w:hAnsi="Times New Roman" w:cs="Times New Roman"/>
          <w:sz w:val="24"/>
          <w:szCs w:val="24"/>
        </w:rPr>
      </w:pPr>
      <w:r w:rsidRPr="00D379DB">
        <w:rPr>
          <w:rFonts w:ascii="Times New Roman" w:hAnsi="Times New Roman" w:cs="Times New Roman"/>
          <w:sz w:val="24"/>
          <w:szCs w:val="24"/>
        </w:rPr>
        <w:t>A partir de esta validación y las lecciones aprendidas, se plantea una expansión progresiva del programa en un período inicial de 2024-2027. Oficializado mediante la Ordenanza 05-2024, emitida el 20 de junio de 2024 por el Consejo Nacional de Educación, este modelo establece los lineamientos para la educación inclusiva en los sectores público y privado. Su objetivo es garantizar una educación de calidad para todos los estudiantes, respondiendo a las Necesidades Específicas de Apoyo Educativo (NEAE) y promoviendo la transformación del sistema educativo.</w:t>
      </w:r>
    </w:p>
    <w:p w14:paraId="53CD5395" w14:textId="5B70ABDD" w:rsidR="00F41589" w:rsidRPr="00D379DB" w:rsidRDefault="00F41589" w:rsidP="00CA00B2">
      <w:pPr>
        <w:jc w:val="both"/>
        <w:rPr>
          <w:rFonts w:ascii="Times New Roman" w:hAnsi="Times New Roman" w:cs="Times New Roman"/>
          <w:sz w:val="24"/>
          <w:szCs w:val="24"/>
        </w:rPr>
      </w:pPr>
      <w:r w:rsidRPr="00D379DB">
        <w:rPr>
          <w:rFonts w:ascii="Times New Roman" w:hAnsi="Times New Roman" w:cs="Times New Roman"/>
          <w:sz w:val="24"/>
          <w:szCs w:val="24"/>
        </w:rPr>
        <w:t xml:space="preserve">La </w:t>
      </w:r>
      <w:r w:rsidRPr="00D379DB">
        <w:rPr>
          <w:rFonts w:ascii="Times New Roman" w:hAnsi="Times New Roman" w:cs="Times New Roman"/>
          <w:b/>
          <w:bCs/>
          <w:sz w:val="24"/>
          <w:szCs w:val="24"/>
        </w:rPr>
        <w:t>salud en República Dominicana</w:t>
      </w:r>
      <w:r w:rsidRPr="00D379DB">
        <w:rPr>
          <w:rFonts w:ascii="Times New Roman" w:hAnsi="Times New Roman" w:cs="Times New Roman"/>
          <w:sz w:val="24"/>
          <w:szCs w:val="24"/>
        </w:rPr>
        <w:t xml:space="preserve"> es un derecho fundamental garantizado por la Constitución, Establece que los servicios de salud son gratuitos y accesibles para todos sin discriminación. Se promueve la capacitación y trato humanizado del personal de salud, incluyendo cursos de lengua de señas que actualmente se realiza en colaboración con la Fundación de Discapacidad Manos Abiertas.</w:t>
      </w:r>
    </w:p>
    <w:p w14:paraId="070C4BD5" w14:textId="77777777" w:rsidR="00F41589" w:rsidRPr="00D379DB" w:rsidRDefault="00F41589" w:rsidP="00F41589">
      <w:pPr>
        <w:jc w:val="both"/>
        <w:rPr>
          <w:rFonts w:ascii="Times New Roman" w:hAnsi="Times New Roman" w:cs="Times New Roman"/>
          <w:sz w:val="24"/>
          <w:szCs w:val="24"/>
        </w:rPr>
      </w:pPr>
      <w:r w:rsidRPr="00D379DB">
        <w:rPr>
          <w:rFonts w:ascii="Times New Roman" w:hAnsi="Times New Roman" w:cs="Times New Roman"/>
          <w:sz w:val="24"/>
          <w:szCs w:val="24"/>
        </w:rPr>
        <w:t xml:space="preserve">El consentimiento informado, reconocido por la Ley 42-01, asegura el respeto a la dignidad de los pacientes, la información clara sobre diagnósticos y tratamientos, y la posibilidad de aceptar </w:t>
      </w:r>
      <w:r w:rsidRPr="00D379DB">
        <w:rPr>
          <w:rFonts w:ascii="Times New Roman" w:hAnsi="Times New Roman" w:cs="Times New Roman"/>
          <w:sz w:val="24"/>
          <w:szCs w:val="24"/>
        </w:rPr>
        <w:lastRenderedPageBreak/>
        <w:t>o rechazar terapias, salvo en casos de riesgo para la salud pública. Para pacientes con discapacidad psicosocial o sin capacidad de decisión, la responsabilidad recae en familiares, tutores o médicos.</w:t>
      </w:r>
    </w:p>
    <w:p w14:paraId="7DC5CF8A" w14:textId="77777777" w:rsidR="00F41589" w:rsidRPr="00D379DB" w:rsidRDefault="00F41589" w:rsidP="00F41589">
      <w:pPr>
        <w:jc w:val="both"/>
        <w:rPr>
          <w:rFonts w:ascii="Times New Roman" w:hAnsi="Times New Roman" w:cs="Times New Roman"/>
          <w:sz w:val="24"/>
          <w:szCs w:val="24"/>
        </w:rPr>
      </w:pPr>
      <w:r w:rsidRPr="00D379DB">
        <w:rPr>
          <w:rFonts w:ascii="Times New Roman" w:hAnsi="Times New Roman" w:cs="Times New Roman"/>
          <w:sz w:val="24"/>
          <w:szCs w:val="24"/>
        </w:rPr>
        <w:t>El MISPAS está trabajando en un nuevo protocolo para la hospitalización de pacientes con discapacidad psicosocial o sin capacidad de decisión, mientras tanto se utiliza las Unidades de Intervención en Crisis en hospitales generales para estabilizar a los pacientes. Estas unidades están conformadas por psiquiatras, enfermeros, psicólogos y trabajadores sociales, con un promedio de permanencia de 7 días.</w:t>
      </w:r>
    </w:p>
    <w:p w14:paraId="28B7E4EF" w14:textId="77777777" w:rsidR="00F41589" w:rsidRPr="00D379DB" w:rsidRDefault="00F41589" w:rsidP="00F41589">
      <w:pPr>
        <w:jc w:val="both"/>
        <w:rPr>
          <w:rFonts w:ascii="Times New Roman" w:hAnsi="Times New Roman" w:cs="Times New Roman"/>
          <w:sz w:val="24"/>
          <w:szCs w:val="24"/>
        </w:rPr>
      </w:pPr>
      <w:r w:rsidRPr="00D379DB">
        <w:rPr>
          <w:rFonts w:ascii="Times New Roman" w:hAnsi="Times New Roman" w:cs="Times New Roman"/>
          <w:sz w:val="24"/>
          <w:szCs w:val="24"/>
        </w:rPr>
        <w:t>Se garantiza que los procesos de toma de decisiones en salud respeten los derechos de los pacientes, involucrando a cuidadores y comités de ética del hospital. En salud sexual y reproductiva, el Ministerio de Salud Pública establece normativas para adolescentes, garantizando atención integral en 39 Unidades de Atención Integral para Adolescentes, basadas en derechos humanos, género e interseccionalidad.</w:t>
      </w:r>
    </w:p>
    <w:p w14:paraId="31D66BC8" w14:textId="77777777" w:rsidR="00F41589" w:rsidRPr="00D379DB" w:rsidRDefault="00F41589" w:rsidP="00F41589">
      <w:pPr>
        <w:jc w:val="both"/>
        <w:rPr>
          <w:rFonts w:ascii="Times New Roman" w:hAnsi="Times New Roman" w:cs="Times New Roman"/>
          <w:sz w:val="24"/>
          <w:szCs w:val="24"/>
        </w:rPr>
      </w:pPr>
      <w:r w:rsidRPr="00D379DB">
        <w:rPr>
          <w:rFonts w:ascii="Times New Roman" w:hAnsi="Times New Roman" w:cs="Times New Roman"/>
          <w:sz w:val="24"/>
          <w:szCs w:val="24"/>
        </w:rPr>
        <w:t>La Ley General de Salud 42-01 promueve el acceso equitativo a servicios de salud, con 1,676 Centros de Primer Nivel de Atención y 195 hospitales especializados. El 54% de los hospitales cumple con los requisitos de la Nordom 779 sobre infraestructura hospitalaria accesible, 17% en proceso de adecuación, mientras que el 29% está en planificación.</w:t>
      </w:r>
    </w:p>
    <w:p w14:paraId="09F1B206" w14:textId="7CB8DE28" w:rsidR="00F41589" w:rsidRPr="00D379DB" w:rsidRDefault="00F41589" w:rsidP="00F41589">
      <w:pPr>
        <w:jc w:val="both"/>
        <w:rPr>
          <w:rFonts w:ascii="Times New Roman" w:hAnsi="Times New Roman" w:cs="Times New Roman"/>
          <w:sz w:val="24"/>
          <w:szCs w:val="24"/>
        </w:rPr>
      </w:pPr>
      <w:r w:rsidRPr="00D379DB">
        <w:rPr>
          <w:rFonts w:ascii="Times New Roman" w:hAnsi="Times New Roman" w:cs="Times New Roman"/>
          <w:sz w:val="24"/>
          <w:szCs w:val="24"/>
        </w:rPr>
        <w:t xml:space="preserve">La Ley 14-24 establece la detección y tratamiento de enfermedades congénitas mediante tamizaje neonatal gratuito en centros públicos. El Centro de </w:t>
      </w:r>
      <w:r w:rsidR="00814B0C" w:rsidRPr="00D379DB">
        <w:rPr>
          <w:rFonts w:ascii="Times New Roman" w:hAnsi="Times New Roman" w:cs="Times New Roman"/>
          <w:sz w:val="24"/>
          <w:szCs w:val="24"/>
        </w:rPr>
        <w:t>Atención</w:t>
      </w:r>
      <w:r w:rsidRPr="00D379DB">
        <w:rPr>
          <w:rFonts w:ascii="Times New Roman" w:hAnsi="Times New Roman" w:cs="Times New Roman"/>
          <w:sz w:val="24"/>
          <w:szCs w:val="24"/>
        </w:rPr>
        <w:t xml:space="preserve"> Integrar para la discapacidad (CAID) ofrece diagnóstico y terapia para niños con discapacidades como autismo, parálisis cerebral y síndrome de Down. El Programa de Atención del Adulto Mayor ha brindado 108,400 atenciones médicas a personas mayores de 65 años entre enero y septiembre de 2023.</w:t>
      </w:r>
    </w:p>
    <w:p w14:paraId="7DDCEC29" w14:textId="184745E8" w:rsidR="00F41589" w:rsidRPr="00D379DB" w:rsidRDefault="00F41589" w:rsidP="00F41589">
      <w:pPr>
        <w:jc w:val="both"/>
        <w:rPr>
          <w:rFonts w:ascii="Times New Roman" w:hAnsi="Times New Roman" w:cs="Times New Roman"/>
          <w:sz w:val="24"/>
          <w:szCs w:val="24"/>
        </w:rPr>
      </w:pPr>
      <w:r w:rsidRPr="00D379DB">
        <w:rPr>
          <w:rFonts w:ascii="Times New Roman" w:hAnsi="Times New Roman" w:cs="Times New Roman"/>
          <w:sz w:val="24"/>
          <w:szCs w:val="24"/>
        </w:rPr>
        <w:t>Actualmente el 97% de la población está afiliada al Seguro Familiar de Salud, ya sea en el Régimen Contributivo o Subsidiado. El Sistema Dominicano de Seguridad Social no hace distinción en cuanto a las condiciones de los afiliados, porque se brinda atención sanitaria sin importar el estatus de afiliación.</w:t>
      </w:r>
    </w:p>
    <w:p w14:paraId="31EB5FF5" w14:textId="41818D81" w:rsidR="002666F9" w:rsidRPr="00D379DB" w:rsidRDefault="009A0158" w:rsidP="009A0158">
      <w:pPr>
        <w:jc w:val="both"/>
        <w:rPr>
          <w:rFonts w:ascii="Times New Roman" w:hAnsi="Times New Roman" w:cs="Times New Roman"/>
          <w:sz w:val="24"/>
          <w:szCs w:val="24"/>
        </w:rPr>
      </w:pPr>
      <w:r w:rsidRPr="00D379DB">
        <w:rPr>
          <w:rFonts w:ascii="Times New Roman" w:hAnsi="Times New Roman" w:cs="Times New Roman"/>
          <w:sz w:val="24"/>
          <w:szCs w:val="24"/>
        </w:rPr>
        <w:t xml:space="preserve">En cuanto a </w:t>
      </w:r>
      <w:r w:rsidRPr="00D379DB">
        <w:rPr>
          <w:rFonts w:ascii="Times New Roman" w:hAnsi="Times New Roman" w:cs="Times New Roman"/>
          <w:b/>
          <w:bCs/>
          <w:sz w:val="24"/>
          <w:szCs w:val="24"/>
        </w:rPr>
        <w:t>Inclusión Laboral</w:t>
      </w:r>
      <w:r w:rsidRPr="00D379DB">
        <w:rPr>
          <w:rFonts w:ascii="Times New Roman" w:hAnsi="Times New Roman" w:cs="Times New Roman"/>
          <w:sz w:val="24"/>
          <w:szCs w:val="24"/>
        </w:rPr>
        <w:t>, desde nuestra constitución se establece el trabajo como un derecho, un deber y una función social que se debe ejercer con la protección y asistencia del Estado, prohibiéndose toda clase de discriminación para acceder al mismo.  El Ministerio de Administración Pública como órgano rector del empleo público está coordinando con las instituciones del Estado, las acciones que permitan la identificación de los servidores públicos con discapacidad, a los fines de poder asegurar los ajustes razonables necesarios; evaluación de la accesibilidad física de las instituciones gubernamentales; inclusión de indicadores de discapacidad en el Sistema de Gestión de Evaluación Pública (SISMAP) que monitorea 186 instituciones del gobierno para asegurar el impulso de una cultura de inclusión y el seguimiento al cumplimiento de la cuota laboral establecida.</w:t>
      </w:r>
    </w:p>
    <w:p w14:paraId="7A90A0D2" w14:textId="10776DCD" w:rsidR="003345D9" w:rsidRPr="00D379DB" w:rsidRDefault="003345D9" w:rsidP="003345D9">
      <w:pPr>
        <w:jc w:val="both"/>
        <w:rPr>
          <w:rFonts w:ascii="Times New Roman" w:hAnsi="Times New Roman" w:cs="Times New Roman"/>
          <w:sz w:val="24"/>
          <w:szCs w:val="24"/>
        </w:rPr>
      </w:pPr>
      <w:r w:rsidRPr="00D379DB">
        <w:rPr>
          <w:rFonts w:ascii="Times New Roman" w:hAnsi="Times New Roman" w:cs="Times New Roman"/>
          <w:sz w:val="24"/>
          <w:szCs w:val="24"/>
        </w:rPr>
        <w:t xml:space="preserve">En cuanto al sector privado, el Ministerio de Trabajo impulsa la igualdad de oportunidades y la no discriminación en el mercado laboral, promoviendo el trabajo digno y la paz laboral. Como parte de estos esfuerzos, ha fortalecido la capacitación y concienciación del cuerpo de </w:t>
      </w:r>
      <w:r w:rsidRPr="00D379DB">
        <w:rPr>
          <w:rFonts w:ascii="Times New Roman" w:hAnsi="Times New Roman" w:cs="Times New Roman"/>
          <w:sz w:val="24"/>
          <w:szCs w:val="24"/>
        </w:rPr>
        <w:lastRenderedPageBreak/>
        <w:t>inspectores, conforme a la Ley 5-13, y ha habilitado registros laborales para que los trabajadores reporten la contratación de personas con discapacidad.</w:t>
      </w:r>
      <w:r w:rsidR="004C23D5" w:rsidRPr="00D379DB">
        <w:rPr>
          <w:rFonts w:ascii="Times New Roman" w:hAnsi="Times New Roman" w:cs="Times New Roman"/>
          <w:sz w:val="24"/>
          <w:szCs w:val="24"/>
        </w:rPr>
        <w:t xml:space="preserve"> </w:t>
      </w:r>
      <w:r w:rsidRPr="00D379DB">
        <w:rPr>
          <w:rFonts w:ascii="Times New Roman" w:hAnsi="Times New Roman" w:cs="Times New Roman"/>
          <w:sz w:val="24"/>
          <w:szCs w:val="24"/>
        </w:rPr>
        <w:t>Entre 2020 y 2023, el Sistema de Registros Laborales (SIRLA) registró 44.960 personas con discapacidad, dentro de un total de 3.606.250 trabajadores, facilitando así la generación de políticas públicas inclusivas.</w:t>
      </w:r>
      <w:r w:rsidR="004C23D5" w:rsidRPr="00D379DB">
        <w:rPr>
          <w:rFonts w:ascii="Times New Roman" w:hAnsi="Times New Roman" w:cs="Times New Roman"/>
          <w:sz w:val="24"/>
          <w:szCs w:val="24"/>
        </w:rPr>
        <w:t xml:space="preserve"> </w:t>
      </w:r>
      <w:r w:rsidRPr="00D379DB">
        <w:rPr>
          <w:rFonts w:ascii="Times New Roman" w:hAnsi="Times New Roman" w:cs="Times New Roman"/>
          <w:sz w:val="24"/>
          <w:szCs w:val="24"/>
        </w:rPr>
        <w:t>A través del Servicio Nacional de Empleo (SENAE), se gestionan programas de intermediación laboral, incluyendo:</w:t>
      </w:r>
      <w:r w:rsidR="005735D5" w:rsidRPr="00D379DB">
        <w:rPr>
          <w:rFonts w:ascii="Times New Roman" w:hAnsi="Times New Roman" w:cs="Times New Roman"/>
          <w:sz w:val="24"/>
          <w:szCs w:val="24"/>
        </w:rPr>
        <w:t xml:space="preserve"> o</w:t>
      </w:r>
      <w:r w:rsidRPr="00D379DB">
        <w:rPr>
          <w:rFonts w:ascii="Times New Roman" w:hAnsi="Times New Roman" w:cs="Times New Roman"/>
          <w:sz w:val="24"/>
          <w:szCs w:val="24"/>
        </w:rPr>
        <w:t xml:space="preserve">rientación </w:t>
      </w:r>
      <w:r w:rsidR="005735D5" w:rsidRPr="00D379DB">
        <w:rPr>
          <w:rFonts w:ascii="Times New Roman" w:hAnsi="Times New Roman" w:cs="Times New Roman"/>
          <w:sz w:val="24"/>
          <w:szCs w:val="24"/>
        </w:rPr>
        <w:t>o</w:t>
      </w:r>
      <w:r w:rsidRPr="00D379DB">
        <w:rPr>
          <w:rFonts w:ascii="Times New Roman" w:hAnsi="Times New Roman" w:cs="Times New Roman"/>
          <w:sz w:val="24"/>
          <w:szCs w:val="24"/>
        </w:rPr>
        <w:t xml:space="preserve">cupacional, perfilamiento y registro en la </w:t>
      </w:r>
      <w:r w:rsidR="005735D5" w:rsidRPr="00D379DB">
        <w:rPr>
          <w:rFonts w:ascii="Times New Roman" w:hAnsi="Times New Roman" w:cs="Times New Roman"/>
          <w:sz w:val="24"/>
          <w:szCs w:val="24"/>
        </w:rPr>
        <w:t>b</w:t>
      </w:r>
      <w:r w:rsidRPr="00D379DB">
        <w:rPr>
          <w:rFonts w:ascii="Times New Roman" w:hAnsi="Times New Roman" w:cs="Times New Roman"/>
          <w:sz w:val="24"/>
          <w:szCs w:val="24"/>
        </w:rPr>
        <w:t xml:space="preserve">olsa de </w:t>
      </w:r>
      <w:r w:rsidR="005735D5" w:rsidRPr="00D379DB">
        <w:rPr>
          <w:rFonts w:ascii="Times New Roman" w:hAnsi="Times New Roman" w:cs="Times New Roman"/>
          <w:sz w:val="24"/>
          <w:szCs w:val="24"/>
        </w:rPr>
        <w:t>e</w:t>
      </w:r>
      <w:r w:rsidRPr="00D379DB">
        <w:rPr>
          <w:rFonts w:ascii="Times New Roman" w:hAnsi="Times New Roman" w:cs="Times New Roman"/>
          <w:sz w:val="24"/>
          <w:szCs w:val="24"/>
        </w:rPr>
        <w:t>mpleo</w:t>
      </w:r>
      <w:r w:rsidR="005735D5" w:rsidRPr="00D379DB">
        <w:rPr>
          <w:rFonts w:ascii="Times New Roman" w:hAnsi="Times New Roman" w:cs="Times New Roman"/>
          <w:sz w:val="24"/>
          <w:szCs w:val="24"/>
        </w:rPr>
        <w:t>, r</w:t>
      </w:r>
      <w:r w:rsidRPr="00D379DB">
        <w:rPr>
          <w:rFonts w:ascii="Times New Roman" w:hAnsi="Times New Roman" w:cs="Times New Roman"/>
          <w:sz w:val="24"/>
          <w:szCs w:val="24"/>
        </w:rPr>
        <w:t>eferimiento a vacantes según el perfil laboral y aspiraciones del solicitante</w:t>
      </w:r>
      <w:r w:rsidR="005735D5" w:rsidRPr="00D379DB">
        <w:rPr>
          <w:rFonts w:ascii="Times New Roman" w:hAnsi="Times New Roman" w:cs="Times New Roman"/>
          <w:sz w:val="24"/>
          <w:szCs w:val="24"/>
        </w:rPr>
        <w:t>, f</w:t>
      </w:r>
      <w:r w:rsidRPr="00D379DB">
        <w:rPr>
          <w:rFonts w:ascii="Times New Roman" w:hAnsi="Times New Roman" w:cs="Times New Roman"/>
          <w:sz w:val="24"/>
          <w:szCs w:val="24"/>
        </w:rPr>
        <w:t xml:space="preserve">erias de </w:t>
      </w:r>
      <w:r w:rsidR="005735D5" w:rsidRPr="00D379DB">
        <w:rPr>
          <w:rFonts w:ascii="Times New Roman" w:hAnsi="Times New Roman" w:cs="Times New Roman"/>
          <w:sz w:val="24"/>
          <w:szCs w:val="24"/>
        </w:rPr>
        <w:t>e</w:t>
      </w:r>
      <w:r w:rsidRPr="00D379DB">
        <w:rPr>
          <w:rFonts w:ascii="Times New Roman" w:hAnsi="Times New Roman" w:cs="Times New Roman"/>
          <w:sz w:val="24"/>
          <w:szCs w:val="24"/>
        </w:rPr>
        <w:t xml:space="preserve">mpleo </w:t>
      </w:r>
      <w:r w:rsidR="005735D5" w:rsidRPr="00D379DB">
        <w:rPr>
          <w:rFonts w:ascii="Times New Roman" w:hAnsi="Times New Roman" w:cs="Times New Roman"/>
          <w:sz w:val="24"/>
          <w:szCs w:val="24"/>
        </w:rPr>
        <w:t>i</w:t>
      </w:r>
      <w:r w:rsidRPr="00D379DB">
        <w:rPr>
          <w:rFonts w:ascii="Times New Roman" w:hAnsi="Times New Roman" w:cs="Times New Roman"/>
          <w:sz w:val="24"/>
          <w:szCs w:val="24"/>
        </w:rPr>
        <w:t xml:space="preserve">nclusivas y </w:t>
      </w:r>
      <w:r w:rsidR="005735D5" w:rsidRPr="00D379DB">
        <w:rPr>
          <w:rFonts w:ascii="Times New Roman" w:hAnsi="Times New Roman" w:cs="Times New Roman"/>
          <w:sz w:val="24"/>
          <w:szCs w:val="24"/>
        </w:rPr>
        <w:t>j</w:t>
      </w:r>
      <w:r w:rsidRPr="00D379DB">
        <w:rPr>
          <w:rFonts w:ascii="Times New Roman" w:hAnsi="Times New Roman" w:cs="Times New Roman"/>
          <w:sz w:val="24"/>
          <w:szCs w:val="24"/>
        </w:rPr>
        <w:t xml:space="preserve">ornadas de </w:t>
      </w:r>
      <w:r w:rsidR="005735D5" w:rsidRPr="00D379DB">
        <w:rPr>
          <w:rFonts w:ascii="Times New Roman" w:hAnsi="Times New Roman" w:cs="Times New Roman"/>
          <w:sz w:val="24"/>
          <w:szCs w:val="24"/>
        </w:rPr>
        <w:t>o</w:t>
      </w:r>
      <w:r w:rsidRPr="00D379DB">
        <w:rPr>
          <w:rFonts w:ascii="Times New Roman" w:hAnsi="Times New Roman" w:cs="Times New Roman"/>
          <w:sz w:val="24"/>
          <w:szCs w:val="24"/>
        </w:rPr>
        <w:t xml:space="preserve">rientación </w:t>
      </w:r>
      <w:r w:rsidR="005735D5" w:rsidRPr="00D379DB">
        <w:rPr>
          <w:rFonts w:ascii="Times New Roman" w:hAnsi="Times New Roman" w:cs="Times New Roman"/>
          <w:sz w:val="24"/>
          <w:szCs w:val="24"/>
        </w:rPr>
        <w:t>l</w:t>
      </w:r>
      <w:r w:rsidRPr="00D379DB">
        <w:rPr>
          <w:rFonts w:ascii="Times New Roman" w:hAnsi="Times New Roman" w:cs="Times New Roman"/>
          <w:sz w:val="24"/>
          <w:szCs w:val="24"/>
        </w:rPr>
        <w:t xml:space="preserve">aboral en alianza </w:t>
      </w:r>
      <w:r w:rsidR="00AA4FD3" w:rsidRPr="00D379DB">
        <w:rPr>
          <w:rFonts w:ascii="Times New Roman" w:hAnsi="Times New Roman" w:cs="Times New Roman"/>
          <w:sz w:val="24"/>
          <w:szCs w:val="24"/>
        </w:rPr>
        <w:t>con la sociedad civil organizada</w:t>
      </w:r>
      <w:r w:rsidRPr="00D379DB">
        <w:rPr>
          <w:rFonts w:ascii="Times New Roman" w:hAnsi="Times New Roman" w:cs="Times New Roman"/>
          <w:sz w:val="24"/>
          <w:szCs w:val="24"/>
        </w:rPr>
        <w:t xml:space="preserve"> del sector de discapacidad</w:t>
      </w:r>
      <w:r w:rsidR="00AA4FD3" w:rsidRPr="00D379DB">
        <w:rPr>
          <w:rFonts w:ascii="Times New Roman" w:hAnsi="Times New Roman" w:cs="Times New Roman"/>
          <w:sz w:val="24"/>
          <w:szCs w:val="24"/>
        </w:rPr>
        <w:t>, además, a</w:t>
      </w:r>
      <w:r w:rsidRPr="00D379DB">
        <w:rPr>
          <w:rFonts w:ascii="Times New Roman" w:hAnsi="Times New Roman" w:cs="Times New Roman"/>
          <w:sz w:val="24"/>
          <w:szCs w:val="24"/>
        </w:rPr>
        <w:t xml:space="preserve">sesoría a empresas para identificar candidatos </w:t>
      </w:r>
      <w:r w:rsidR="00AA4FD3" w:rsidRPr="00D379DB">
        <w:rPr>
          <w:rFonts w:ascii="Times New Roman" w:hAnsi="Times New Roman" w:cs="Times New Roman"/>
          <w:sz w:val="24"/>
          <w:szCs w:val="24"/>
        </w:rPr>
        <w:t xml:space="preserve">con discapacidad </w:t>
      </w:r>
      <w:r w:rsidRPr="00D379DB">
        <w:rPr>
          <w:rFonts w:ascii="Times New Roman" w:hAnsi="Times New Roman" w:cs="Times New Roman"/>
          <w:sz w:val="24"/>
          <w:szCs w:val="24"/>
        </w:rPr>
        <w:t>idóneos.</w:t>
      </w:r>
      <w:r w:rsidR="00AA4FD3" w:rsidRPr="00D379DB">
        <w:rPr>
          <w:rFonts w:ascii="Times New Roman" w:hAnsi="Times New Roman" w:cs="Times New Roman"/>
          <w:sz w:val="24"/>
          <w:szCs w:val="24"/>
        </w:rPr>
        <w:t xml:space="preserve"> </w:t>
      </w:r>
      <w:r w:rsidRPr="00D379DB">
        <w:rPr>
          <w:rFonts w:ascii="Times New Roman" w:hAnsi="Times New Roman" w:cs="Times New Roman"/>
          <w:sz w:val="24"/>
          <w:szCs w:val="24"/>
        </w:rPr>
        <w:t>A</w:t>
      </w:r>
      <w:r w:rsidR="00AA4FD3" w:rsidRPr="00D379DB">
        <w:rPr>
          <w:rFonts w:ascii="Times New Roman" w:hAnsi="Times New Roman" w:cs="Times New Roman"/>
          <w:sz w:val="24"/>
          <w:szCs w:val="24"/>
        </w:rPr>
        <w:t xml:space="preserve">sí también, </w:t>
      </w:r>
      <w:r w:rsidRPr="00D379DB">
        <w:rPr>
          <w:rFonts w:ascii="Times New Roman" w:hAnsi="Times New Roman" w:cs="Times New Roman"/>
          <w:sz w:val="24"/>
          <w:szCs w:val="24"/>
        </w:rPr>
        <w:t>el Gobierno implementó el programa "Por Talento RD", con el apoyo de Fundación ONCE, logrando la inserción laboral de más de 400 personas con discapacidad en el sector formal. También</w:t>
      </w:r>
      <w:r w:rsidR="00AA4FD3" w:rsidRPr="00D379DB">
        <w:rPr>
          <w:rFonts w:ascii="Times New Roman" w:hAnsi="Times New Roman" w:cs="Times New Roman"/>
          <w:sz w:val="24"/>
          <w:szCs w:val="24"/>
        </w:rPr>
        <w:t>,</w:t>
      </w:r>
      <w:r w:rsidRPr="00D379DB">
        <w:rPr>
          <w:rFonts w:ascii="Times New Roman" w:hAnsi="Times New Roman" w:cs="Times New Roman"/>
          <w:sz w:val="24"/>
          <w:szCs w:val="24"/>
        </w:rPr>
        <w:t xml:space="preserve"> se han establecido incentivos fiscales para empresas que contraten personas con discapacidad y se han desarrollado programas de formación técnica en colaboración con el sector privado.</w:t>
      </w:r>
    </w:p>
    <w:p w14:paraId="45C6FCC1" w14:textId="77777777" w:rsidR="00814B0C" w:rsidRPr="00D379DB" w:rsidRDefault="00814B0C" w:rsidP="00814B0C">
      <w:pPr>
        <w:jc w:val="both"/>
        <w:rPr>
          <w:rFonts w:ascii="Times New Roman" w:hAnsi="Times New Roman" w:cs="Times New Roman"/>
          <w:sz w:val="24"/>
          <w:szCs w:val="24"/>
        </w:rPr>
      </w:pPr>
      <w:r w:rsidRPr="00D379DB">
        <w:rPr>
          <w:rFonts w:ascii="Times New Roman" w:hAnsi="Times New Roman" w:cs="Times New Roman"/>
          <w:sz w:val="24"/>
          <w:szCs w:val="24"/>
        </w:rPr>
        <w:t xml:space="preserve">La </w:t>
      </w:r>
      <w:r w:rsidRPr="00D379DB">
        <w:rPr>
          <w:rFonts w:ascii="Times New Roman" w:hAnsi="Times New Roman" w:cs="Times New Roman"/>
          <w:b/>
          <w:bCs/>
          <w:sz w:val="24"/>
          <w:szCs w:val="24"/>
        </w:rPr>
        <w:t>participación política</w:t>
      </w:r>
      <w:r w:rsidRPr="00D379DB">
        <w:rPr>
          <w:rFonts w:ascii="Times New Roman" w:hAnsi="Times New Roman" w:cs="Times New Roman"/>
          <w:sz w:val="24"/>
          <w:szCs w:val="24"/>
        </w:rPr>
        <w:t xml:space="preserve"> de las personas con discapacidad alcanzó un hito en las elecciones de 2020, con la postulación de casi 30 personas, de las cuales 20 lograron ser precandidatos. Este avance impulsó la creación de la Secretaría de Participación e Inclusión en una organización política, motivando a otros partidos a establecer espacios similares para fomentar la inclusión. Para 2023, todos los partidos políticos han incorporado mecanismos para la participación de este grupo. Además, la Junta Central Electoral creó una mesa de trabajo con instituciones gubernamentales y de la sociedad civil para garantizar un voto accesible, incluyendo opciones como voto asistido, urnas inclusivas y voto en casa, promoviendo una participación más digna y dinámica.  </w:t>
      </w:r>
    </w:p>
    <w:p w14:paraId="300717CD" w14:textId="77777777" w:rsidR="00B04279" w:rsidRPr="00D379DB" w:rsidRDefault="00B04279" w:rsidP="00814B0C">
      <w:pPr>
        <w:jc w:val="both"/>
        <w:rPr>
          <w:rFonts w:ascii="Times New Roman" w:hAnsi="Times New Roman" w:cs="Times New Roman"/>
          <w:sz w:val="24"/>
          <w:szCs w:val="24"/>
        </w:rPr>
      </w:pPr>
    </w:p>
    <w:p w14:paraId="55CE4B2C" w14:textId="06BC837A" w:rsidR="00BF6835" w:rsidRPr="00D379DB" w:rsidRDefault="00BF6835" w:rsidP="00BF6835">
      <w:pPr>
        <w:jc w:val="both"/>
        <w:rPr>
          <w:rFonts w:ascii="Times New Roman" w:hAnsi="Times New Roman" w:cs="Times New Roman"/>
          <w:sz w:val="24"/>
          <w:szCs w:val="24"/>
        </w:rPr>
      </w:pPr>
      <w:r w:rsidRPr="00D379DB">
        <w:rPr>
          <w:rFonts w:ascii="Times New Roman" w:hAnsi="Times New Roman" w:cs="Times New Roman"/>
          <w:sz w:val="24"/>
          <w:szCs w:val="24"/>
        </w:rPr>
        <w:t xml:space="preserve">A pesar de los avances, </w:t>
      </w:r>
      <w:r w:rsidR="007C1B5F" w:rsidRPr="00D379DB">
        <w:rPr>
          <w:rFonts w:ascii="Times New Roman" w:hAnsi="Times New Roman" w:cs="Times New Roman"/>
          <w:sz w:val="24"/>
          <w:szCs w:val="24"/>
        </w:rPr>
        <w:t xml:space="preserve">reconocemos que </w:t>
      </w:r>
      <w:r w:rsidRPr="00D379DB">
        <w:rPr>
          <w:rFonts w:ascii="Times New Roman" w:hAnsi="Times New Roman" w:cs="Times New Roman"/>
          <w:sz w:val="24"/>
          <w:szCs w:val="24"/>
        </w:rPr>
        <w:t>persisten brechas significativas en el acceso y participación de la población con discapacidad en el desarrollo social, como podemos constatar en la ENHOGAR-2021 Oficina Nacional de Estadísticas (ONE) en la incorporó las preguntas y directrices metodológicas del Grupo Washington, implementando un módulo para considerar en términos probabilísticos la población con discapacidad de la República Dominicana, donde se visualizó que el promedio de personas de cinco años y más de la población dominicana con algún tipo de discapacidad motora, audiovisual o intelectual, es de 4.9%, con una diferencia entre mujeres (5.3%) y hombres (4.5%), representando que aproximadamente en el 12% de los hogares dominicanos hay al menos una persona con alguna discapacidad. De acuerdo al sexo, no existen diferencias importantes entre el porcentaje de la población de hombres y mujeres de 5 años y más con alguna discapacidad, presentando valores similares: 4.5% y 5.3%, respectivamente. En relación con los grupos de edades, la población con al menos una discapacidad va incrementando en la medida en que la población envejece, en ese sentido, el grupo de edad 65 y más es el que posee el porcentaje más alto de personas con alguna discapacidad (22.4%), seguido el de edad de 60 a 64 años (9.1%), de 55 a 59 (6.5%) y de 50 a 54, (6.5%); en ese mismo orden.</w:t>
      </w:r>
    </w:p>
    <w:p w14:paraId="3F344C6A" w14:textId="1A2074CF" w:rsidR="00B307A1" w:rsidRPr="00D379DB" w:rsidRDefault="00B751DA" w:rsidP="00BF6835">
      <w:pPr>
        <w:jc w:val="both"/>
        <w:rPr>
          <w:rFonts w:ascii="Times New Roman" w:hAnsi="Times New Roman" w:cs="Times New Roman"/>
          <w:sz w:val="24"/>
          <w:szCs w:val="24"/>
        </w:rPr>
      </w:pPr>
      <w:r w:rsidRPr="00D379DB">
        <w:rPr>
          <w:rFonts w:ascii="Times New Roman" w:hAnsi="Times New Roman" w:cs="Times New Roman"/>
          <w:sz w:val="24"/>
          <w:szCs w:val="24"/>
        </w:rPr>
        <w:lastRenderedPageBreak/>
        <w:t xml:space="preserve">Los desafíos país en </w:t>
      </w:r>
      <w:r w:rsidR="00B307A1" w:rsidRPr="00D379DB">
        <w:rPr>
          <w:rFonts w:ascii="Times New Roman" w:hAnsi="Times New Roman" w:cs="Times New Roman"/>
          <w:sz w:val="24"/>
          <w:szCs w:val="24"/>
        </w:rPr>
        <w:t>su mayoría están identificados</w:t>
      </w:r>
      <w:r w:rsidR="007B0C78" w:rsidRPr="00D379DB">
        <w:rPr>
          <w:rFonts w:ascii="Times New Roman" w:hAnsi="Times New Roman" w:cs="Times New Roman"/>
          <w:sz w:val="24"/>
          <w:szCs w:val="24"/>
        </w:rPr>
        <w:t xml:space="preserve"> y </w:t>
      </w:r>
      <w:r w:rsidRPr="00D379DB">
        <w:rPr>
          <w:rFonts w:ascii="Times New Roman" w:hAnsi="Times New Roman" w:cs="Times New Roman"/>
          <w:sz w:val="24"/>
          <w:szCs w:val="24"/>
        </w:rPr>
        <w:t>se tienen</w:t>
      </w:r>
      <w:r w:rsidR="007B0C78" w:rsidRPr="00D379DB">
        <w:rPr>
          <w:rFonts w:ascii="Times New Roman" w:hAnsi="Times New Roman" w:cs="Times New Roman"/>
          <w:sz w:val="24"/>
          <w:szCs w:val="24"/>
        </w:rPr>
        <w:t xml:space="preserve"> </w:t>
      </w:r>
      <w:r w:rsidRPr="00D379DB">
        <w:rPr>
          <w:rFonts w:ascii="Times New Roman" w:hAnsi="Times New Roman" w:cs="Times New Roman"/>
          <w:sz w:val="24"/>
          <w:szCs w:val="24"/>
        </w:rPr>
        <w:t>establecidas las acciones</w:t>
      </w:r>
      <w:r w:rsidR="007B0C78" w:rsidRPr="00D379DB">
        <w:rPr>
          <w:rFonts w:ascii="Times New Roman" w:hAnsi="Times New Roman" w:cs="Times New Roman"/>
          <w:sz w:val="24"/>
          <w:szCs w:val="24"/>
        </w:rPr>
        <w:t xml:space="preserve"> necesari</w:t>
      </w:r>
      <w:r w:rsidRPr="00D379DB">
        <w:rPr>
          <w:rFonts w:ascii="Times New Roman" w:hAnsi="Times New Roman" w:cs="Times New Roman"/>
          <w:sz w:val="24"/>
          <w:szCs w:val="24"/>
        </w:rPr>
        <w:t>a</w:t>
      </w:r>
      <w:r w:rsidR="007B0C78" w:rsidRPr="00D379DB">
        <w:rPr>
          <w:rFonts w:ascii="Times New Roman" w:hAnsi="Times New Roman" w:cs="Times New Roman"/>
          <w:sz w:val="24"/>
          <w:szCs w:val="24"/>
        </w:rPr>
        <w:t>s para responder y mejorar</w:t>
      </w:r>
      <w:r w:rsidR="007D2F1C" w:rsidRPr="00D379DB">
        <w:rPr>
          <w:rFonts w:ascii="Times New Roman" w:hAnsi="Times New Roman" w:cs="Times New Roman"/>
          <w:sz w:val="24"/>
          <w:szCs w:val="24"/>
        </w:rPr>
        <w:t>,</w:t>
      </w:r>
      <w:r w:rsidRPr="00D379DB">
        <w:rPr>
          <w:rFonts w:ascii="Times New Roman" w:hAnsi="Times New Roman" w:cs="Times New Roman"/>
          <w:sz w:val="24"/>
          <w:szCs w:val="24"/>
        </w:rPr>
        <w:t xml:space="preserve"> sin embargo,</w:t>
      </w:r>
      <w:r w:rsidR="007D2F1C" w:rsidRPr="00D379DB">
        <w:rPr>
          <w:rFonts w:ascii="Times New Roman" w:hAnsi="Times New Roman" w:cs="Times New Roman"/>
          <w:sz w:val="24"/>
          <w:szCs w:val="24"/>
        </w:rPr>
        <w:t xml:space="preserve"> esperamos recibir las observaciones finales de este Comité que podrán aportarnos </w:t>
      </w:r>
      <w:r w:rsidR="00C77235" w:rsidRPr="00D379DB">
        <w:rPr>
          <w:rFonts w:ascii="Times New Roman" w:hAnsi="Times New Roman" w:cs="Times New Roman"/>
          <w:sz w:val="24"/>
          <w:szCs w:val="24"/>
        </w:rPr>
        <w:t>una visión más objetiva y holística de lo que podemos mejorar a nivel nacional</w:t>
      </w:r>
      <w:r w:rsidR="00A418D6" w:rsidRPr="00D379DB">
        <w:rPr>
          <w:rFonts w:ascii="Times New Roman" w:hAnsi="Times New Roman" w:cs="Times New Roman"/>
          <w:sz w:val="24"/>
          <w:szCs w:val="24"/>
        </w:rPr>
        <w:t xml:space="preserve"> para </w:t>
      </w:r>
      <w:r w:rsidR="00E06F9F" w:rsidRPr="00D379DB">
        <w:rPr>
          <w:rFonts w:ascii="Times New Roman" w:hAnsi="Times New Roman" w:cs="Times New Roman"/>
          <w:sz w:val="24"/>
          <w:szCs w:val="24"/>
        </w:rPr>
        <w:t>mejorar la respuesta país ante los compromisos de la Convención Internacional de los Derechos de las Personas con Discapacidad.</w:t>
      </w:r>
    </w:p>
    <w:p w14:paraId="11300E76" w14:textId="5FE502F2" w:rsidR="00364EA1" w:rsidRPr="00D379DB" w:rsidRDefault="00364EA1" w:rsidP="00364EA1">
      <w:pPr>
        <w:jc w:val="both"/>
        <w:rPr>
          <w:rFonts w:ascii="Times New Roman" w:hAnsi="Times New Roman" w:cs="Times New Roman"/>
          <w:sz w:val="24"/>
          <w:szCs w:val="24"/>
        </w:rPr>
      </w:pPr>
      <w:r w:rsidRPr="00D379DB">
        <w:rPr>
          <w:rFonts w:ascii="Times New Roman" w:hAnsi="Times New Roman" w:cs="Times New Roman"/>
          <w:sz w:val="24"/>
          <w:szCs w:val="24"/>
        </w:rPr>
        <w:t xml:space="preserve">Aspiramos a ser un referente regional, fortaleciendo la colaboración interinstitucional </w:t>
      </w:r>
      <w:r w:rsidR="00EA0ADA" w:rsidRPr="00D379DB">
        <w:rPr>
          <w:rFonts w:ascii="Times New Roman" w:hAnsi="Times New Roman" w:cs="Times New Roman"/>
          <w:sz w:val="24"/>
          <w:szCs w:val="24"/>
        </w:rPr>
        <w:t>y la inversión en programas estratégicos para maximizar nuestro impacto.</w:t>
      </w:r>
    </w:p>
    <w:p w14:paraId="64B4C323" w14:textId="5DEFEB40" w:rsidR="00364EA1" w:rsidRPr="00D379DB" w:rsidRDefault="00364EA1" w:rsidP="00364EA1">
      <w:pPr>
        <w:jc w:val="both"/>
        <w:rPr>
          <w:rFonts w:ascii="Times New Roman" w:hAnsi="Times New Roman" w:cs="Times New Roman"/>
          <w:sz w:val="24"/>
          <w:szCs w:val="24"/>
        </w:rPr>
      </w:pPr>
      <w:r w:rsidRPr="00D379DB">
        <w:rPr>
          <w:rFonts w:ascii="Times New Roman" w:hAnsi="Times New Roman" w:cs="Times New Roman"/>
          <w:sz w:val="24"/>
          <w:szCs w:val="24"/>
        </w:rPr>
        <w:t xml:space="preserve">Agradecemos el respaldo de la comunidad internacional, los organismos multilaterales, las agencias de cooperación y las organizaciones de la sociedad civil que han acompañado nuestro proceso de transformación. La República Dominicana reafirma su compromiso con la Convención sobre los Derechos de las Personas con Discapacidad (CDPD) y mantiene su propósito de construir un país más inclusivo, accesible y equitativo </w:t>
      </w:r>
      <w:r w:rsidR="00AF337E" w:rsidRPr="00D379DB">
        <w:rPr>
          <w:rFonts w:ascii="Times New Roman" w:hAnsi="Times New Roman" w:cs="Times New Roman"/>
          <w:sz w:val="24"/>
          <w:szCs w:val="24"/>
        </w:rPr>
        <w:t xml:space="preserve">como motor de desarrollo y garantía de derechos.   </w:t>
      </w:r>
    </w:p>
    <w:p w14:paraId="3C45CDBF" w14:textId="71C6C3E4" w:rsidR="009A45FD" w:rsidRPr="00D379DB" w:rsidRDefault="00364EA1" w:rsidP="00364EA1">
      <w:pPr>
        <w:jc w:val="both"/>
        <w:rPr>
          <w:rFonts w:ascii="Times New Roman" w:hAnsi="Times New Roman" w:cs="Times New Roman"/>
          <w:sz w:val="24"/>
          <w:szCs w:val="24"/>
        </w:rPr>
      </w:pPr>
      <w:r w:rsidRPr="00D379DB">
        <w:rPr>
          <w:rFonts w:ascii="Times New Roman" w:hAnsi="Times New Roman" w:cs="Times New Roman"/>
          <w:sz w:val="24"/>
          <w:szCs w:val="24"/>
        </w:rPr>
        <w:t>Nuestro compromiso es claro: no dejar a nadie atrás y hacer de la inclusión una realidad</w:t>
      </w:r>
      <w:r w:rsidR="006A7FC7" w:rsidRPr="00D379DB">
        <w:rPr>
          <w:rFonts w:ascii="Times New Roman" w:hAnsi="Times New Roman" w:cs="Times New Roman"/>
          <w:sz w:val="24"/>
          <w:szCs w:val="24"/>
        </w:rPr>
        <w:t xml:space="preserve"> </w:t>
      </w:r>
      <w:r w:rsidR="00883577" w:rsidRPr="00D379DB">
        <w:rPr>
          <w:rFonts w:ascii="Times New Roman" w:hAnsi="Times New Roman" w:cs="Times New Roman"/>
          <w:sz w:val="24"/>
          <w:szCs w:val="24"/>
        </w:rPr>
        <w:t xml:space="preserve">tangible </w:t>
      </w:r>
      <w:r w:rsidR="006A7FC7" w:rsidRPr="00D379DB">
        <w:rPr>
          <w:rFonts w:ascii="Times New Roman" w:hAnsi="Times New Roman" w:cs="Times New Roman"/>
          <w:sz w:val="24"/>
          <w:szCs w:val="24"/>
        </w:rPr>
        <w:t>para todos y todas.</w:t>
      </w:r>
    </w:p>
    <w:sectPr w:rsidR="009A45FD" w:rsidRPr="00D379DB" w:rsidSect="00D379DB">
      <w:headerReference w:type="default" r:id="rId7"/>
      <w:pgSz w:w="11906" w:h="16838"/>
      <w:pgMar w:top="2353" w:right="1440" w:bottom="1440" w:left="1440" w:header="82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E608DF" w14:textId="77777777" w:rsidR="003A3534" w:rsidRDefault="003A3534" w:rsidP="00D379DB">
      <w:pPr>
        <w:spacing w:after="0" w:line="240" w:lineRule="auto"/>
      </w:pPr>
      <w:r>
        <w:separator/>
      </w:r>
    </w:p>
  </w:endnote>
  <w:endnote w:type="continuationSeparator" w:id="0">
    <w:p w14:paraId="2A171EB0" w14:textId="77777777" w:rsidR="003A3534" w:rsidRDefault="003A3534" w:rsidP="00D37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97769F" w14:textId="77777777" w:rsidR="003A3534" w:rsidRDefault="003A3534" w:rsidP="00D379DB">
      <w:pPr>
        <w:spacing w:after="0" w:line="240" w:lineRule="auto"/>
      </w:pPr>
      <w:r>
        <w:separator/>
      </w:r>
    </w:p>
  </w:footnote>
  <w:footnote w:type="continuationSeparator" w:id="0">
    <w:p w14:paraId="463F7855" w14:textId="77777777" w:rsidR="003A3534" w:rsidRDefault="003A3534" w:rsidP="00D379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A849C1" w14:textId="665D75E0" w:rsidR="00D379DB" w:rsidRDefault="00D379DB">
    <w:pPr>
      <w:pStyle w:val="Header"/>
    </w:pPr>
    <w:r>
      <w:rPr>
        <w:noProof/>
      </w:rPr>
      <w:drawing>
        <wp:anchor distT="0" distB="0" distL="114300" distR="114300" simplePos="0" relativeHeight="251659264" behindDoc="1" locked="0" layoutInCell="1" allowOverlap="1" wp14:anchorId="2A8007CA" wp14:editId="01F6E480">
          <wp:simplePos x="0" y="0"/>
          <wp:positionH relativeFrom="column">
            <wp:posOffset>-1011044</wp:posOffset>
          </wp:positionH>
          <wp:positionV relativeFrom="paragraph">
            <wp:posOffset>-736615</wp:posOffset>
          </wp:positionV>
          <wp:extent cx="7693394" cy="1470796"/>
          <wp:effectExtent l="0" t="0" r="3175" b="2540"/>
          <wp:wrapNone/>
          <wp:docPr id="800594723" name="Picture 80059472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93394" cy="147079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363C9"/>
    <w:multiLevelType w:val="hybridMultilevel"/>
    <w:tmpl w:val="FE4A0372"/>
    <w:lvl w:ilvl="0" w:tplc="CADCCD48">
      <w:numFmt w:val="bullet"/>
      <w:lvlText w:val="•"/>
      <w:lvlJc w:val="left"/>
      <w:pPr>
        <w:ind w:left="1068" w:hanging="708"/>
      </w:pPr>
      <w:rPr>
        <w:rFonts w:ascii="Calibri" w:eastAsiaTheme="minorHAnsi" w:hAnsi="Calibri" w:cs="Calibri"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 w15:restartNumberingAfterBreak="0">
    <w:nsid w:val="24910FF8"/>
    <w:multiLevelType w:val="hybridMultilevel"/>
    <w:tmpl w:val="C490829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 w15:restartNumberingAfterBreak="0">
    <w:nsid w:val="263B5CE6"/>
    <w:multiLevelType w:val="hybridMultilevel"/>
    <w:tmpl w:val="69007C20"/>
    <w:lvl w:ilvl="0" w:tplc="D4C06F1E">
      <w:numFmt w:val="bullet"/>
      <w:lvlText w:val="-"/>
      <w:lvlJc w:val="left"/>
      <w:pPr>
        <w:ind w:left="720" w:hanging="360"/>
      </w:pPr>
      <w:rPr>
        <w:rFonts w:ascii="Calibri" w:eastAsiaTheme="minorHAnsi" w:hAnsi="Calibri" w:cs="Calibri" w:hint="default"/>
      </w:rPr>
    </w:lvl>
    <w:lvl w:ilvl="1" w:tplc="1C0A0003">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num w:numId="1" w16cid:durableId="1988317078">
    <w:abstractNumId w:val="2"/>
  </w:num>
  <w:num w:numId="2" w16cid:durableId="1762333273">
    <w:abstractNumId w:val="1"/>
  </w:num>
  <w:num w:numId="3" w16cid:durableId="1707752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835"/>
    <w:rsid w:val="00007E6F"/>
    <w:rsid w:val="0001137C"/>
    <w:rsid w:val="00026453"/>
    <w:rsid w:val="00061D9E"/>
    <w:rsid w:val="00097648"/>
    <w:rsid w:val="0016274F"/>
    <w:rsid w:val="001769C3"/>
    <w:rsid w:val="001D279D"/>
    <w:rsid w:val="001D5C4B"/>
    <w:rsid w:val="00234327"/>
    <w:rsid w:val="0026515B"/>
    <w:rsid w:val="002666F9"/>
    <w:rsid w:val="002777B4"/>
    <w:rsid w:val="00294926"/>
    <w:rsid w:val="002E6956"/>
    <w:rsid w:val="00306399"/>
    <w:rsid w:val="0032427B"/>
    <w:rsid w:val="003345D9"/>
    <w:rsid w:val="00364EA1"/>
    <w:rsid w:val="00374CA8"/>
    <w:rsid w:val="003904EB"/>
    <w:rsid w:val="003A3534"/>
    <w:rsid w:val="003D1CC3"/>
    <w:rsid w:val="003E3A44"/>
    <w:rsid w:val="00432397"/>
    <w:rsid w:val="004C23D5"/>
    <w:rsid w:val="004D762D"/>
    <w:rsid w:val="004D7A92"/>
    <w:rsid w:val="00526565"/>
    <w:rsid w:val="005448D4"/>
    <w:rsid w:val="00547BEE"/>
    <w:rsid w:val="005735D5"/>
    <w:rsid w:val="005A417C"/>
    <w:rsid w:val="005B27F2"/>
    <w:rsid w:val="005E6285"/>
    <w:rsid w:val="00612357"/>
    <w:rsid w:val="00614F3D"/>
    <w:rsid w:val="006253CD"/>
    <w:rsid w:val="00662555"/>
    <w:rsid w:val="00681AE1"/>
    <w:rsid w:val="00684132"/>
    <w:rsid w:val="006923D6"/>
    <w:rsid w:val="006A7FC7"/>
    <w:rsid w:val="006E7141"/>
    <w:rsid w:val="007116CB"/>
    <w:rsid w:val="00733583"/>
    <w:rsid w:val="00774EBD"/>
    <w:rsid w:val="00776AB8"/>
    <w:rsid w:val="007B0C78"/>
    <w:rsid w:val="007C1B5F"/>
    <w:rsid w:val="007D2F1C"/>
    <w:rsid w:val="007F5D81"/>
    <w:rsid w:val="00814B0C"/>
    <w:rsid w:val="00822D62"/>
    <w:rsid w:val="00827C90"/>
    <w:rsid w:val="00841C49"/>
    <w:rsid w:val="008642C8"/>
    <w:rsid w:val="00883577"/>
    <w:rsid w:val="008B3EEF"/>
    <w:rsid w:val="009061D9"/>
    <w:rsid w:val="00924CB7"/>
    <w:rsid w:val="00925A7E"/>
    <w:rsid w:val="0096446D"/>
    <w:rsid w:val="009A0158"/>
    <w:rsid w:val="009A45FD"/>
    <w:rsid w:val="009B37C1"/>
    <w:rsid w:val="00A211C2"/>
    <w:rsid w:val="00A300F3"/>
    <w:rsid w:val="00A418D6"/>
    <w:rsid w:val="00A54895"/>
    <w:rsid w:val="00A6574B"/>
    <w:rsid w:val="00AA4FD3"/>
    <w:rsid w:val="00AC5A88"/>
    <w:rsid w:val="00AF337E"/>
    <w:rsid w:val="00B04279"/>
    <w:rsid w:val="00B251DE"/>
    <w:rsid w:val="00B27859"/>
    <w:rsid w:val="00B307A1"/>
    <w:rsid w:val="00B5071D"/>
    <w:rsid w:val="00B751DA"/>
    <w:rsid w:val="00BD4F66"/>
    <w:rsid w:val="00BF6835"/>
    <w:rsid w:val="00C36757"/>
    <w:rsid w:val="00C77235"/>
    <w:rsid w:val="00CA00B2"/>
    <w:rsid w:val="00CB39BF"/>
    <w:rsid w:val="00CF5732"/>
    <w:rsid w:val="00D12ACD"/>
    <w:rsid w:val="00D21D87"/>
    <w:rsid w:val="00D305E6"/>
    <w:rsid w:val="00D35719"/>
    <w:rsid w:val="00D379DB"/>
    <w:rsid w:val="00D63C09"/>
    <w:rsid w:val="00DB1036"/>
    <w:rsid w:val="00DB3E6B"/>
    <w:rsid w:val="00DC27F2"/>
    <w:rsid w:val="00E06F9F"/>
    <w:rsid w:val="00EA0ADA"/>
    <w:rsid w:val="00EA0E7B"/>
    <w:rsid w:val="00EF5313"/>
    <w:rsid w:val="00F015F4"/>
    <w:rsid w:val="00F16CF6"/>
    <w:rsid w:val="00F41589"/>
    <w:rsid w:val="00F4475B"/>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CCAEA"/>
  <w15:chartTrackingRefBased/>
  <w15:docId w15:val="{301EB586-69FD-4FCE-8B01-0C617D46E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D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68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F68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F68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F68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F68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F68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68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68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68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8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F68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F68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F68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F68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F68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68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68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6835"/>
    <w:rPr>
      <w:rFonts w:eastAsiaTheme="majorEastAsia" w:cstheme="majorBidi"/>
      <w:color w:val="272727" w:themeColor="text1" w:themeTint="D8"/>
    </w:rPr>
  </w:style>
  <w:style w:type="paragraph" w:styleId="Title">
    <w:name w:val="Title"/>
    <w:basedOn w:val="Normal"/>
    <w:next w:val="Normal"/>
    <w:link w:val="TitleChar"/>
    <w:uiPriority w:val="10"/>
    <w:qFormat/>
    <w:rsid w:val="00BF68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68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68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68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6835"/>
    <w:pPr>
      <w:spacing w:before="160"/>
      <w:jc w:val="center"/>
    </w:pPr>
    <w:rPr>
      <w:i/>
      <w:iCs/>
      <w:color w:val="404040" w:themeColor="text1" w:themeTint="BF"/>
    </w:rPr>
  </w:style>
  <w:style w:type="character" w:customStyle="1" w:styleId="QuoteChar">
    <w:name w:val="Quote Char"/>
    <w:basedOn w:val="DefaultParagraphFont"/>
    <w:link w:val="Quote"/>
    <w:uiPriority w:val="29"/>
    <w:rsid w:val="00BF6835"/>
    <w:rPr>
      <w:i/>
      <w:iCs/>
      <w:color w:val="404040" w:themeColor="text1" w:themeTint="BF"/>
    </w:rPr>
  </w:style>
  <w:style w:type="paragraph" w:styleId="ListParagraph">
    <w:name w:val="List Paragraph"/>
    <w:basedOn w:val="Normal"/>
    <w:uiPriority w:val="34"/>
    <w:qFormat/>
    <w:rsid w:val="00BF6835"/>
    <w:pPr>
      <w:ind w:left="720"/>
      <w:contextualSpacing/>
    </w:pPr>
  </w:style>
  <w:style w:type="character" w:styleId="IntenseEmphasis">
    <w:name w:val="Intense Emphasis"/>
    <w:basedOn w:val="DefaultParagraphFont"/>
    <w:uiPriority w:val="21"/>
    <w:qFormat/>
    <w:rsid w:val="00BF6835"/>
    <w:rPr>
      <w:i/>
      <w:iCs/>
      <w:color w:val="2F5496" w:themeColor="accent1" w:themeShade="BF"/>
    </w:rPr>
  </w:style>
  <w:style w:type="paragraph" w:styleId="IntenseQuote">
    <w:name w:val="Intense Quote"/>
    <w:basedOn w:val="Normal"/>
    <w:next w:val="Normal"/>
    <w:link w:val="IntenseQuoteChar"/>
    <w:uiPriority w:val="30"/>
    <w:qFormat/>
    <w:rsid w:val="00BF68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6835"/>
    <w:rPr>
      <w:i/>
      <w:iCs/>
      <w:color w:val="2F5496" w:themeColor="accent1" w:themeShade="BF"/>
    </w:rPr>
  </w:style>
  <w:style w:type="character" w:styleId="IntenseReference">
    <w:name w:val="Intense Reference"/>
    <w:basedOn w:val="DefaultParagraphFont"/>
    <w:uiPriority w:val="32"/>
    <w:qFormat/>
    <w:rsid w:val="00BF6835"/>
    <w:rPr>
      <w:b/>
      <w:bCs/>
      <w:smallCaps/>
      <w:color w:val="2F5496" w:themeColor="accent1" w:themeShade="BF"/>
      <w:spacing w:val="5"/>
    </w:rPr>
  </w:style>
  <w:style w:type="paragraph" w:styleId="Header">
    <w:name w:val="header"/>
    <w:basedOn w:val="Normal"/>
    <w:link w:val="HeaderChar"/>
    <w:uiPriority w:val="99"/>
    <w:unhideWhenUsed/>
    <w:rsid w:val="00D379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79DB"/>
  </w:style>
  <w:style w:type="paragraph" w:styleId="Footer">
    <w:name w:val="footer"/>
    <w:basedOn w:val="Normal"/>
    <w:link w:val="FooterChar"/>
    <w:uiPriority w:val="99"/>
    <w:unhideWhenUsed/>
    <w:rsid w:val="00D379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9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2025-03-07T08:28:20+00:00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9AD3076-0B05-479C-9BFF-E54660F9747B}"/>
</file>

<file path=customXml/itemProps2.xml><?xml version="1.0" encoding="utf-8"?>
<ds:datastoreItem xmlns:ds="http://schemas.openxmlformats.org/officeDocument/2006/customXml" ds:itemID="{7C8F3408-86F9-4876-99A2-4292A4505B08}"/>
</file>

<file path=customXml/itemProps3.xml><?xml version="1.0" encoding="utf-8"?>
<ds:datastoreItem xmlns:ds="http://schemas.openxmlformats.org/officeDocument/2006/customXml" ds:itemID="{C3E6B346-C646-4321-9AF8-95270C4CF7D0}"/>
</file>

<file path=docProps/app.xml><?xml version="1.0" encoding="utf-8"?>
<Properties xmlns="http://schemas.openxmlformats.org/officeDocument/2006/extended-properties" xmlns:vt="http://schemas.openxmlformats.org/officeDocument/2006/docPropsVTypes">
  <Template>Normal.dotm</Template>
  <TotalTime>2</TotalTime>
  <Pages>7</Pages>
  <Words>2997</Words>
  <Characters>17085</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Rodriguez</dc:creator>
  <cp:keywords/>
  <dc:description/>
  <cp:lastModifiedBy>Alfonsina Gonzalez Nicasio</cp:lastModifiedBy>
  <cp:revision>2</cp:revision>
  <dcterms:created xsi:type="dcterms:W3CDTF">2025-03-06T14:33:00Z</dcterms:created>
  <dcterms:modified xsi:type="dcterms:W3CDTF">2025-03-06T14:33:00Z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