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50BBBC" w14:textId="1D455BD1" w:rsidR="00A336E2" w:rsidRPr="00A366E5" w:rsidRDefault="00A336E2" w:rsidP="00A336E2">
      <w:pPr>
        <w:pStyle w:val="Header"/>
        <w:jc w:val="center"/>
        <w:rPr>
          <w:lang w:val="lv-LV"/>
        </w:rPr>
      </w:pPr>
      <w:r w:rsidRPr="009B772B">
        <w:rPr>
          <w:noProof/>
          <w:lang w:val="lv-LV"/>
        </w:rPr>
        <w:drawing>
          <wp:inline distT="0" distB="0" distL="0" distR="0" wp14:anchorId="22179F8D" wp14:editId="571B1B3E">
            <wp:extent cx="5518150" cy="1257300"/>
            <wp:effectExtent l="0" t="0" r="6350" b="0"/>
            <wp:docPr id="804233539" name="Picture 1" descr="A grey and white logo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4233539" name="Picture 1" descr="A grey and white logo with black text&#10;&#10;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521468" cy="1258056"/>
                    </a:xfrm>
                    <a:prstGeom prst="rect">
                      <a:avLst/>
                    </a:prstGeom>
                    <a:noFill/>
                    <a:ln>
                      <a:noFill/>
                    </a:ln>
                  </pic:spPr>
                </pic:pic>
              </a:graphicData>
            </a:graphic>
          </wp:inline>
        </w:drawing>
      </w:r>
    </w:p>
    <w:p w14:paraId="453001D5" w14:textId="77777777" w:rsidR="00727127" w:rsidRDefault="00727127" w:rsidP="00324A95">
      <w:pPr>
        <w:jc w:val="center"/>
        <w:rPr>
          <w:rFonts w:ascii="Times New Roman" w:hAnsi="Times New Roman" w:cs="Times New Roman"/>
          <w:b/>
          <w:bCs/>
          <w:sz w:val="32"/>
          <w:szCs w:val="32"/>
        </w:rPr>
      </w:pPr>
    </w:p>
    <w:p w14:paraId="1FCE497F" w14:textId="77777777" w:rsidR="00727127" w:rsidRDefault="00727127" w:rsidP="00324A95">
      <w:pPr>
        <w:jc w:val="center"/>
        <w:rPr>
          <w:rFonts w:ascii="Times New Roman" w:hAnsi="Times New Roman" w:cs="Times New Roman"/>
          <w:b/>
          <w:bCs/>
          <w:sz w:val="32"/>
          <w:szCs w:val="32"/>
        </w:rPr>
      </w:pPr>
    </w:p>
    <w:p w14:paraId="1E8895B5" w14:textId="5DC31375" w:rsidR="009768D9" w:rsidRDefault="00380E82" w:rsidP="00A336E2">
      <w:pPr>
        <w:jc w:val="right"/>
        <w:rPr>
          <w:rFonts w:ascii="Times New Roman" w:hAnsi="Times New Roman" w:cs="Times New Roman"/>
          <w:b/>
          <w:bCs/>
          <w:sz w:val="32"/>
          <w:szCs w:val="32"/>
        </w:rPr>
      </w:pPr>
      <w:r w:rsidRPr="00E55D84">
        <w:rPr>
          <w:rFonts w:ascii="Times New Roman" w:hAnsi="Times New Roman" w:cs="Times New Roman"/>
          <w:b/>
          <w:bCs/>
          <w:sz w:val="32"/>
          <w:szCs w:val="32"/>
        </w:rPr>
        <w:t>Latvian Centre for Human Rights</w:t>
      </w:r>
    </w:p>
    <w:p w14:paraId="58452674" w14:textId="2FF20667" w:rsidR="00A336E2" w:rsidRPr="00A336E2" w:rsidRDefault="00A336E2" w:rsidP="00A336E2">
      <w:pPr>
        <w:pStyle w:val="Footer"/>
        <w:jc w:val="right"/>
        <w:rPr>
          <w:color w:val="000000"/>
          <w:sz w:val="28"/>
          <w:szCs w:val="28"/>
          <w:lang w:val="en-GB"/>
        </w:rPr>
      </w:pPr>
      <w:r w:rsidRPr="00A336E2">
        <w:rPr>
          <w:color w:val="000000"/>
          <w:sz w:val="28"/>
          <w:szCs w:val="28"/>
          <w:lang w:val="en-GB"/>
        </w:rPr>
        <w:t xml:space="preserve">21 </w:t>
      </w:r>
      <w:proofErr w:type="spellStart"/>
      <w:r w:rsidRPr="00A336E2">
        <w:rPr>
          <w:color w:val="000000"/>
          <w:sz w:val="28"/>
          <w:szCs w:val="28"/>
          <w:lang w:val="en-GB"/>
        </w:rPr>
        <w:t>Skolas</w:t>
      </w:r>
      <w:proofErr w:type="spellEnd"/>
      <w:r w:rsidRPr="00A336E2">
        <w:rPr>
          <w:color w:val="000000"/>
          <w:sz w:val="28"/>
          <w:szCs w:val="28"/>
          <w:lang w:val="en-GB"/>
        </w:rPr>
        <w:t xml:space="preserve"> stree</w:t>
      </w:r>
      <w:r w:rsidR="009C66EB">
        <w:rPr>
          <w:color w:val="000000"/>
          <w:sz w:val="28"/>
          <w:szCs w:val="28"/>
          <w:lang w:val="en-GB"/>
        </w:rPr>
        <w:t>t</w:t>
      </w:r>
      <w:r w:rsidRPr="00A336E2">
        <w:rPr>
          <w:color w:val="000000"/>
          <w:sz w:val="28"/>
          <w:szCs w:val="28"/>
          <w:lang w:val="en-GB"/>
        </w:rPr>
        <w:t xml:space="preserve"> 21, </w:t>
      </w:r>
      <w:proofErr w:type="spellStart"/>
      <w:r w:rsidRPr="00A336E2">
        <w:rPr>
          <w:color w:val="000000"/>
          <w:sz w:val="28"/>
          <w:szCs w:val="28"/>
          <w:lang w:val="en-GB"/>
        </w:rPr>
        <w:t>Rīga</w:t>
      </w:r>
      <w:proofErr w:type="spellEnd"/>
      <w:r w:rsidRPr="00A336E2">
        <w:rPr>
          <w:color w:val="000000"/>
          <w:sz w:val="28"/>
          <w:szCs w:val="28"/>
          <w:lang w:val="en-GB"/>
        </w:rPr>
        <w:t xml:space="preserve">, Latvia </w:t>
      </w:r>
    </w:p>
    <w:p w14:paraId="6C51CC1B" w14:textId="77777777" w:rsidR="00A336E2" w:rsidRPr="00A336E2" w:rsidRDefault="00A336E2" w:rsidP="00A336E2">
      <w:pPr>
        <w:pStyle w:val="Footer"/>
        <w:jc w:val="right"/>
        <w:rPr>
          <w:color w:val="000000"/>
          <w:sz w:val="28"/>
          <w:szCs w:val="28"/>
          <w:lang w:val="en-GB"/>
        </w:rPr>
      </w:pPr>
      <w:r w:rsidRPr="00A336E2">
        <w:rPr>
          <w:color w:val="000000"/>
          <w:sz w:val="28"/>
          <w:szCs w:val="28"/>
        </w:rPr>
        <w:t xml:space="preserve">Phone: </w:t>
      </w:r>
      <w:r w:rsidRPr="00A336E2">
        <w:rPr>
          <w:color w:val="000000"/>
          <w:sz w:val="28"/>
          <w:szCs w:val="28"/>
          <w:lang w:val="en-GB"/>
        </w:rPr>
        <w:t xml:space="preserve">+371 67039290 · </w:t>
      </w:r>
    </w:p>
    <w:p w14:paraId="0BB26619" w14:textId="7B415C88" w:rsidR="00A336E2" w:rsidRPr="00A336E2" w:rsidRDefault="00A336E2" w:rsidP="00A336E2">
      <w:pPr>
        <w:pStyle w:val="Footer"/>
        <w:jc w:val="right"/>
        <w:rPr>
          <w:color w:val="000000"/>
          <w:sz w:val="28"/>
          <w:szCs w:val="28"/>
          <w:lang w:val="en-GB"/>
        </w:rPr>
      </w:pPr>
      <w:r w:rsidRPr="00A336E2">
        <w:rPr>
          <w:color w:val="000000"/>
          <w:sz w:val="28"/>
          <w:szCs w:val="28"/>
          <w:lang w:val="en-GB"/>
        </w:rPr>
        <w:t xml:space="preserve">Email: </w:t>
      </w:r>
      <w:smartTag w:uri="urn:schemas-microsoft-com:office:smarttags" w:element="PersonName">
        <w:r w:rsidRPr="00A336E2">
          <w:rPr>
            <w:color w:val="000000"/>
            <w:sz w:val="28"/>
            <w:szCs w:val="28"/>
            <w:lang w:val="en-GB"/>
          </w:rPr>
          <w:t>office@humanrights.org.lv</w:t>
        </w:r>
      </w:smartTag>
    </w:p>
    <w:p w14:paraId="4A7548C6" w14:textId="77777777" w:rsidR="00A336E2" w:rsidRPr="00A336E2" w:rsidRDefault="00A336E2" w:rsidP="00A336E2">
      <w:pPr>
        <w:jc w:val="right"/>
        <w:rPr>
          <w:rFonts w:ascii="Times New Roman" w:hAnsi="Times New Roman" w:cs="Times New Roman"/>
          <w:b/>
          <w:bCs/>
          <w:sz w:val="32"/>
          <w:szCs w:val="32"/>
          <w:lang w:val="en-GB"/>
        </w:rPr>
      </w:pPr>
    </w:p>
    <w:p w14:paraId="5C2DAF91" w14:textId="77777777" w:rsidR="00324A95" w:rsidRPr="00A336E2" w:rsidRDefault="00324A95" w:rsidP="00380E82">
      <w:pPr>
        <w:spacing w:line="240" w:lineRule="auto"/>
        <w:jc w:val="both"/>
        <w:rPr>
          <w:rFonts w:ascii="Times New Roman" w:hAnsi="Times New Roman" w:cs="Times New Roman"/>
          <w:b/>
          <w:bCs/>
          <w:i/>
          <w:iCs/>
          <w:lang w:val="en-GB"/>
        </w:rPr>
      </w:pPr>
    </w:p>
    <w:p w14:paraId="44213FF8" w14:textId="5FFCB2BC" w:rsidR="00324A95" w:rsidRPr="00E55D84" w:rsidRDefault="00324A95" w:rsidP="00380E82">
      <w:pPr>
        <w:spacing w:line="240" w:lineRule="auto"/>
        <w:jc w:val="both"/>
        <w:rPr>
          <w:rFonts w:ascii="Times New Roman" w:hAnsi="Times New Roman" w:cs="Times New Roman"/>
          <w:b/>
          <w:bCs/>
          <w:sz w:val="32"/>
          <w:szCs w:val="32"/>
        </w:rPr>
      </w:pPr>
      <w:r w:rsidRPr="00E55D84">
        <w:rPr>
          <w:rFonts w:ascii="Times New Roman" w:hAnsi="Times New Roman" w:cs="Times New Roman"/>
          <w:b/>
          <w:bCs/>
          <w:sz w:val="32"/>
          <w:szCs w:val="32"/>
        </w:rPr>
        <w:t>Submission to the UN Human Rights Committee</w:t>
      </w:r>
    </w:p>
    <w:p w14:paraId="327A60BB" w14:textId="6C0F9E7B" w:rsidR="006E1D0E" w:rsidRPr="00E55D84" w:rsidRDefault="006E1D0E" w:rsidP="00380E82">
      <w:pPr>
        <w:spacing w:line="240" w:lineRule="auto"/>
        <w:jc w:val="both"/>
        <w:rPr>
          <w:rFonts w:ascii="Times New Roman" w:hAnsi="Times New Roman" w:cs="Times New Roman"/>
          <w:b/>
          <w:bCs/>
          <w:sz w:val="32"/>
          <w:szCs w:val="32"/>
        </w:rPr>
      </w:pPr>
      <w:r w:rsidRPr="00E55D84">
        <w:rPr>
          <w:rFonts w:ascii="Times New Roman" w:hAnsi="Times New Roman" w:cs="Times New Roman"/>
          <w:b/>
          <w:bCs/>
          <w:sz w:val="32"/>
          <w:szCs w:val="32"/>
        </w:rPr>
        <w:t>May 2025</w:t>
      </w:r>
    </w:p>
    <w:p w14:paraId="4B403683" w14:textId="289FA021" w:rsidR="00D435ED" w:rsidRPr="00E55D84" w:rsidRDefault="00D435ED" w:rsidP="00D435ED">
      <w:pPr>
        <w:spacing w:line="240" w:lineRule="auto"/>
        <w:jc w:val="both"/>
        <w:rPr>
          <w:rFonts w:ascii="Times New Roman" w:hAnsi="Times New Roman" w:cs="Times New Roman"/>
          <w:iCs/>
        </w:rPr>
      </w:pPr>
      <w:r w:rsidRPr="00E55D84">
        <w:rPr>
          <w:rFonts w:ascii="Times New Roman" w:hAnsi="Times New Roman" w:cs="Times New Roman"/>
          <w:iCs/>
        </w:rPr>
        <w:t xml:space="preserve">The Latvian Centre for Human Rights (LCHR) was established in 1993 as an independent non-governmental </w:t>
      </w:r>
      <w:proofErr w:type="spellStart"/>
      <w:r w:rsidRPr="00E55D84">
        <w:rPr>
          <w:rFonts w:ascii="Times New Roman" w:hAnsi="Times New Roman" w:cs="Times New Roman"/>
          <w:iCs/>
        </w:rPr>
        <w:t>organisation</w:t>
      </w:r>
      <w:proofErr w:type="spellEnd"/>
      <w:r w:rsidRPr="00E55D84">
        <w:rPr>
          <w:rFonts w:ascii="Times New Roman" w:hAnsi="Times New Roman" w:cs="Times New Roman"/>
          <w:iCs/>
        </w:rPr>
        <w:t>. Over three decades LCHR has worked with integration (minority rights and promotion of tolerance) issues, elimination of discrimination and hate crimes/speech, asylum, migration and fundamental rights issues, as well as human rights observation in places of detention (prisons, immigration detention facilities.)</w:t>
      </w:r>
    </w:p>
    <w:p w14:paraId="29FE4B25" w14:textId="1E2023EA" w:rsidR="00EC4D63" w:rsidRPr="00E55D84" w:rsidRDefault="00D435ED" w:rsidP="00EC4D63">
      <w:pPr>
        <w:spacing w:line="240" w:lineRule="auto"/>
        <w:jc w:val="both"/>
        <w:rPr>
          <w:rFonts w:ascii="Times New Roman" w:hAnsi="Times New Roman" w:cs="Times New Roman"/>
          <w:iCs/>
        </w:rPr>
      </w:pPr>
      <w:r w:rsidRPr="00E55D84">
        <w:rPr>
          <w:rFonts w:ascii="Times New Roman" w:hAnsi="Times New Roman" w:cs="Times New Roman"/>
          <w:iCs/>
        </w:rPr>
        <w:t xml:space="preserve">LCHR conducts human rights monitoring, research and policy analysis, training of different target groups, provides legal aid to victims of human rights violations, including their representation before domestic and international courts. The LCHR provides expert opinions both locally (to government, parliament, media, educational institutions, courts, and lawyers), as well as internationally. The LCHR is involved in advocacy for change, ranging from raising public awareness to specific policy or legislative change. </w:t>
      </w:r>
    </w:p>
    <w:p w14:paraId="0E6C76A8" w14:textId="554EFCB8" w:rsidR="00664413" w:rsidRPr="00E55D84" w:rsidRDefault="00664413" w:rsidP="00EC4D63">
      <w:pPr>
        <w:spacing w:line="240" w:lineRule="auto"/>
        <w:jc w:val="both"/>
        <w:rPr>
          <w:rFonts w:ascii="Times New Roman" w:hAnsi="Times New Roman" w:cs="Times New Roman"/>
          <w:b/>
          <w:bCs/>
        </w:rPr>
      </w:pPr>
      <w:r w:rsidRPr="00E55D84">
        <w:rPr>
          <w:rFonts w:ascii="Times New Roman" w:hAnsi="Times New Roman" w:cs="Times New Roman"/>
          <w:b/>
          <w:bCs/>
        </w:rPr>
        <w:t>Key development and concerns</w:t>
      </w:r>
    </w:p>
    <w:p w14:paraId="64C06283" w14:textId="5AE54E6B" w:rsidR="00EC4D63" w:rsidRPr="00E55D84" w:rsidRDefault="00EC4D63" w:rsidP="00EC4D63">
      <w:pPr>
        <w:spacing w:line="240" w:lineRule="auto"/>
        <w:jc w:val="both"/>
        <w:rPr>
          <w:rFonts w:ascii="Times New Roman" w:hAnsi="Times New Roman" w:cs="Times New Roman"/>
        </w:rPr>
      </w:pPr>
      <w:r w:rsidRPr="00E55D84">
        <w:rPr>
          <w:rFonts w:ascii="Times New Roman" w:hAnsi="Times New Roman" w:cs="Times New Roman"/>
        </w:rPr>
        <w:t xml:space="preserve">Tragic events in </w:t>
      </w:r>
      <w:proofErr w:type="spellStart"/>
      <w:r w:rsidRPr="00E55D84">
        <w:rPr>
          <w:rFonts w:ascii="Times New Roman" w:hAnsi="Times New Roman" w:cs="Times New Roman"/>
        </w:rPr>
        <w:t>Jēkabpils</w:t>
      </w:r>
      <w:proofErr w:type="spellEnd"/>
      <w:r w:rsidRPr="00E55D84">
        <w:rPr>
          <w:rFonts w:ascii="Times New Roman" w:hAnsi="Times New Roman" w:cs="Times New Roman"/>
        </w:rPr>
        <w:t xml:space="preserve"> and </w:t>
      </w:r>
      <w:proofErr w:type="spellStart"/>
      <w:r w:rsidRPr="00E55D84">
        <w:rPr>
          <w:rFonts w:ascii="Times New Roman" w:hAnsi="Times New Roman" w:cs="Times New Roman"/>
        </w:rPr>
        <w:t>Krāslava</w:t>
      </w:r>
      <w:proofErr w:type="spellEnd"/>
      <w:r w:rsidRPr="00E55D84">
        <w:rPr>
          <w:rFonts w:ascii="Times New Roman" w:hAnsi="Times New Roman" w:cs="Times New Roman"/>
        </w:rPr>
        <w:t xml:space="preserve"> in 2023 led responsible institutions to further strengthen victim protection against domestic violence, with Latvia finally ratifying the Istanbul Convention in November 2023. The construction of the new </w:t>
      </w:r>
      <w:proofErr w:type="spellStart"/>
      <w:r w:rsidRPr="00E55D84">
        <w:rPr>
          <w:rFonts w:ascii="Times New Roman" w:hAnsi="Times New Roman" w:cs="Times New Roman"/>
        </w:rPr>
        <w:t>Liepāja</w:t>
      </w:r>
      <w:proofErr w:type="spellEnd"/>
      <w:r w:rsidRPr="00E55D84">
        <w:rPr>
          <w:rFonts w:ascii="Times New Roman" w:hAnsi="Times New Roman" w:cs="Times New Roman"/>
        </w:rPr>
        <w:t xml:space="preserve"> prison was started in 2023, while the Council of Europe's Committee for the Prevention of Torture stated in its 2022 report that the situation of "untouchables" (the lowest caste in the prisoner hierarchy) in Latvia could be considered a violation of Article 3 of the European Convention on Human Rights. Latvia ratified the Optional Protocol to the UN Convention Against Torture (OPCAT) in December 2021, and the Ombudsman’s Office was designated as the national preventive mechanism. The issue of Jewish </w:t>
      </w:r>
      <w:r w:rsidRPr="00E55D84">
        <w:rPr>
          <w:rFonts w:ascii="Times New Roman" w:hAnsi="Times New Roman" w:cs="Times New Roman"/>
        </w:rPr>
        <w:lastRenderedPageBreak/>
        <w:t>property restitution was resolved when the Latvian Parliament passed the law "On Goodwill Compensation for the Latvian Jewish Community" in February 2022.</w:t>
      </w:r>
    </w:p>
    <w:p w14:paraId="43902EC1" w14:textId="15C3B1B1" w:rsidR="00EC4D63" w:rsidRPr="00E55D84" w:rsidRDefault="00EC4D63" w:rsidP="00EC4D63">
      <w:pPr>
        <w:spacing w:line="240" w:lineRule="auto"/>
        <w:jc w:val="both"/>
        <w:rPr>
          <w:rFonts w:ascii="Times New Roman" w:hAnsi="Times New Roman" w:cs="Times New Roman"/>
        </w:rPr>
      </w:pPr>
      <w:r w:rsidRPr="00E55D84">
        <w:rPr>
          <w:rFonts w:ascii="Times New Roman" w:hAnsi="Times New Roman" w:cs="Times New Roman"/>
        </w:rPr>
        <w:t xml:space="preserve">In 2022, Latvia mandated a full transition to the Latvian language in all state, municipal, and private educational institutions, including minority schools, </w:t>
      </w:r>
      <w:r w:rsidR="00814096" w:rsidRPr="00E55D84">
        <w:rPr>
          <w:rFonts w:ascii="Times New Roman" w:hAnsi="Times New Roman" w:cs="Times New Roman"/>
        </w:rPr>
        <w:t>effectively discontinuing</w:t>
      </w:r>
      <w:r w:rsidRPr="00E55D84">
        <w:rPr>
          <w:rFonts w:ascii="Times New Roman" w:hAnsi="Times New Roman" w:cs="Times New Roman"/>
        </w:rPr>
        <w:t xml:space="preserve"> bilingual education </w:t>
      </w:r>
      <w:proofErr w:type="spellStart"/>
      <w:r w:rsidRPr="00E55D84">
        <w:rPr>
          <w:rFonts w:ascii="Times New Roman" w:hAnsi="Times New Roman" w:cs="Times New Roman"/>
        </w:rPr>
        <w:t>programmes</w:t>
      </w:r>
      <w:proofErr w:type="spellEnd"/>
      <w:r w:rsidRPr="00E55D84">
        <w:rPr>
          <w:rFonts w:ascii="Times New Roman" w:hAnsi="Times New Roman" w:cs="Times New Roman"/>
        </w:rPr>
        <w:t xml:space="preserve">. The Roma community remains one of the most socially vulnerable groups in Latvia, with a significant proportion of Roma children still placed in special education </w:t>
      </w:r>
      <w:proofErr w:type="spellStart"/>
      <w:r w:rsidRPr="00E55D84">
        <w:rPr>
          <w:rFonts w:ascii="Times New Roman" w:hAnsi="Times New Roman" w:cs="Times New Roman"/>
        </w:rPr>
        <w:t>program</w:t>
      </w:r>
      <w:r w:rsidR="00B41C68" w:rsidRPr="00E55D84">
        <w:rPr>
          <w:rFonts w:ascii="Times New Roman" w:hAnsi="Times New Roman" w:cs="Times New Roman"/>
        </w:rPr>
        <w:t>me</w:t>
      </w:r>
      <w:r w:rsidRPr="00E55D84">
        <w:rPr>
          <w:rFonts w:ascii="Times New Roman" w:hAnsi="Times New Roman" w:cs="Times New Roman"/>
        </w:rPr>
        <w:t>s</w:t>
      </w:r>
      <w:proofErr w:type="spellEnd"/>
      <w:r w:rsidRPr="00E55D84">
        <w:rPr>
          <w:rFonts w:ascii="Times New Roman" w:hAnsi="Times New Roman" w:cs="Times New Roman"/>
        </w:rPr>
        <w:t xml:space="preserve">. Hate speech increased during both the COVID-19 pandemic and Russia’s invasion of Ukraine, particularly online. Law enforcement authorities took stricter actions against any support for Russia’s aggression in Ukraine. Meanwhile, the European Court of Human Rights ruled in the case of </w:t>
      </w:r>
      <w:r w:rsidRPr="00E55D84">
        <w:rPr>
          <w:rFonts w:ascii="Times New Roman" w:hAnsi="Times New Roman" w:cs="Times New Roman"/>
          <w:i/>
          <w:iCs/>
        </w:rPr>
        <w:t>Hanovs v. Latvia</w:t>
      </w:r>
      <w:r w:rsidRPr="00E55D84">
        <w:rPr>
          <w:rFonts w:ascii="Times New Roman" w:hAnsi="Times New Roman" w:cs="Times New Roman"/>
        </w:rPr>
        <w:t xml:space="preserve"> regarding homophobic violence</w:t>
      </w:r>
      <w:r w:rsidR="0029670F" w:rsidRPr="00E55D84">
        <w:rPr>
          <w:rFonts w:ascii="Times New Roman" w:hAnsi="Times New Roman" w:cs="Times New Roman"/>
        </w:rPr>
        <w:t xml:space="preserve"> reinforcing the duty of states to thoroughly investigate and punish homophobic violence, ensuring equal protection for LGBTQ+ individuals.</w:t>
      </w:r>
    </w:p>
    <w:p w14:paraId="0D5E82ED" w14:textId="245DAEB0" w:rsidR="00EC4D63" w:rsidRPr="00E55D84" w:rsidRDefault="00EC4D63" w:rsidP="00EC4D63">
      <w:pPr>
        <w:spacing w:line="240" w:lineRule="auto"/>
        <w:jc w:val="both"/>
        <w:rPr>
          <w:rFonts w:ascii="Times New Roman" w:hAnsi="Times New Roman" w:cs="Times New Roman"/>
        </w:rPr>
      </w:pPr>
      <w:r w:rsidRPr="00E55D84">
        <w:rPr>
          <w:rFonts w:ascii="Times New Roman" w:hAnsi="Times New Roman" w:cs="Times New Roman"/>
        </w:rPr>
        <w:t>Belarusian authoritarian leader A. Lukashenko, in response to EU-imposed sanctions, encouraged an increase in the number of third-country nationals at the EU-Belarus border. Since Latvia declared a state of emergency at the Latvia-Belarus border in August 2021</w:t>
      </w:r>
      <w:r w:rsidR="002B61C4" w:rsidRPr="00E55D84">
        <w:rPr>
          <w:rFonts w:ascii="Times New Roman" w:hAnsi="Times New Roman" w:cs="Times New Roman"/>
        </w:rPr>
        <w:t xml:space="preserve"> and introduced a special regime in 2024</w:t>
      </w:r>
      <w:r w:rsidRPr="00E55D84">
        <w:rPr>
          <w:rFonts w:ascii="Times New Roman" w:hAnsi="Times New Roman" w:cs="Times New Roman"/>
        </w:rPr>
        <w:t xml:space="preserve">, access to the territory and asylum procedures has been significantly affected. Latvia’s government, municipal institutions, NGOs, and society as a whole have made extensive efforts to support Ukraine and accommodate approximately 45,000 Ukrainian refugees. However, it is evident that the support available to Ukrainian civilians is much broader than that provided to individuals with refugee or alternative status, who also flee wars and persecution. In compliance with two Constitutional Court rulings, Latvia adopted a partnership </w:t>
      </w:r>
      <w:r w:rsidR="007E27F3" w:rsidRPr="00E55D84">
        <w:rPr>
          <w:rFonts w:ascii="Times New Roman" w:hAnsi="Times New Roman" w:cs="Times New Roman"/>
        </w:rPr>
        <w:t>legal framework</w:t>
      </w:r>
      <w:r w:rsidRPr="00E55D84">
        <w:rPr>
          <w:rFonts w:ascii="Times New Roman" w:hAnsi="Times New Roman" w:cs="Times New Roman"/>
        </w:rPr>
        <w:t>, including provisions for same-sex partnerships, which came into force on 1 July 2024.</w:t>
      </w:r>
    </w:p>
    <w:p w14:paraId="7DD16548" w14:textId="77777777" w:rsidR="00EC4D63" w:rsidRPr="00E55D84" w:rsidRDefault="00EC4D63" w:rsidP="00EC4D63">
      <w:pPr>
        <w:spacing w:line="240" w:lineRule="auto"/>
        <w:jc w:val="both"/>
        <w:rPr>
          <w:rFonts w:ascii="Times New Roman" w:hAnsi="Times New Roman" w:cs="Times New Roman"/>
        </w:rPr>
      </w:pPr>
      <w:r w:rsidRPr="00E55D84">
        <w:rPr>
          <w:rFonts w:ascii="Times New Roman" w:hAnsi="Times New Roman" w:cs="Times New Roman"/>
        </w:rPr>
        <w:t xml:space="preserve">Public media and investigative journalists increasingly addressed human rights issues, while surveys indicated that 78% of them experienced humiliating or hateful speech, 72% faced public discrediting of their work, and 14% suffered harassment. In response to the war in Ukraine, Latvia reinstated mandatory military service, which includes an alternative service option for individuals who cannot serve in the military due to their beliefs, conscience, or religious convictions. Concerns over access to credible, fact-checked information for Russian speakers, potentially exposing them to disinformation and propaganda have been raised about the impact of Latvia's National Security Concept, which mandates that all public media content from January 1, 2026, must be in Latvian or languages belonging to the European cultural space. </w:t>
      </w:r>
    </w:p>
    <w:p w14:paraId="3F581A0E" w14:textId="020DCF7C" w:rsidR="003A081C" w:rsidRPr="00E55D84" w:rsidRDefault="003A081C" w:rsidP="009768D9">
      <w:pPr>
        <w:jc w:val="both"/>
        <w:rPr>
          <w:rFonts w:ascii="Times New Roman" w:hAnsi="Times New Roman" w:cs="Times New Roman"/>
          <w:b/>
          <w:bCs/>
          <w:i/>
          <w:iCs/>
        </w:rPr>
      </w:pPr>
      <w:r w:rsidRPr="00E55D84">
        <w:rPr>
          <w:rFonts w:ascii="Times New Roman" w:hAnsi="Times New Roman" w:cs="Times New Roman"/>
          <w:b/>
          <w:bCs/>
          <w:i/>
          <w:iCs/>
        </w:rPr>
        <w:t>Non-discrimination</w:t>
      </w:r>
    </w:p>
    <w:p w14:paraId="43D29C46" w14:textId="2A23ED6C" w:rsidR="006438B0" w:rsidRPr="00E55D84" w:rsidRDefault="00161BC9" w:rsidP="009768D9">
      <w:pPr>
        <w:jc w:val="both"/>
        <w:rPr>
          <w:rFonts w:ascii="Times New Roman" w:hAnsi="Times New Roman" w:cs="Times New Roman"/>
          <w:i/>
          <w:iCs/>
        </w:rPr>
      </w:pPr>
      <w:r w:rsidRPr="00E55D84">
        <w:rPr>
          <w:rFonts w:ascii="Times New Roman" w:hAnsi="Times New Roman" w:cs="Times New Roman"/>
          <w:i/>
          <w:iCs/>
        </w:rPr>
        <w:t>Hate Crimes/Hate Speech</w:t>
      </w:r>
    </w:p>
    <w:p w14:paraId="066E6BD1" w14:textId="4720CA45" w:rsidR="00161BC9" w:rsidRPr="00E55D84" w:rsidRDefault="00161BC9" w:rsidP="00161BC9">
      <w:pPr>
        <w:spacing w:line="240" w:lineRule="auto"/>
        <w:jc w:val="both"/>
        <w:rPr>
          <w:rFonts w:ascii="Times New Roman" w:hAnsi="Times New Roman" w:cs="Times New Roman"/>
        </w:rPr>
      </w:pPr>
      <w:r w:rsidRPr="00E55D84">
        <w:rPr>
          <w:rFonts w:ascii="Times New Roman" w:hAnsi="Times New Roman" w:cs="Times New Roman"/>
        </w:rPr>
        <w:t xml:space="preserve">On 6 July 2021, the </w:t>
      </w:r>
      <w:proofErr w:type="spellStart"/>
      <w:r w:rsidRPr="00E55D84">
        <w:rPr>
          <w:rFonts w:ascii="Times New Roman" w:hAnsi="Times New Roman" w:cs="Times New Roman"/>
        </w:rPr>
        <w:t>Saeima</w:t>
      </w:r>
      <w:proofErr w:type="spellEnd"/>
      <w:r w:rsidRPr="00E55D84">
        <w:rPr>
          <w:rFonts w:ascii="Times New Roman" w:hAnsi="Times New Roman" w:cs="Times New Roman"/>
        </w:rPr>
        <w:t xml:space="preserve"> (parliament) adopted amendments to Article 48, Paragraph 14 of the Criminal Law, adding "social hatred" as an aggravating circumstance for criminal offences. Previously, the law </w:t>
      </w:r>
      <w:proofErr w:type="spellStart"/>
      <w:r w:rsidRPr="00E55D84">
        <w:rPr>
          <w:rFonts w:ascii="Times New Roman" w:hAnsi="Times New Roman" w:cs="Times New Roman"/>
        </w:rPr>
        <w:t>recognised</w:t>
      </w:r>
      <w:proofErr w:type="spellEnd"/>
      <w:r w:rsidRPr="00E55D84">
        <w:rPr>
          <w:rFonts w:ascii="Times New Roman" w:hAnsi="Times New Roman" w:cs="Times New Roman"/>
        </w:rPr>
        <w:t xml:space="preserve"> racist, national, ethnic, and religious motives as aggravating factors. "Social hatred" covers characteristics mentioned in Article 150 of the Criminal Law, including gender, disability, age, or any other attributes. Judicial practice has expanded this interpretation to include sexual orientation and migrant status. To date there have been several attempts to amend the law to explicitly include sexual orientation as a hate motive. However, due to insufficient political support, the proposed amendments were not adopted.</w:t>
      </w:r>
    </w:p>
    <w:p w14:paraId="34C99020" w14:textId="4FF0247D" w:rsidR="00EA76DB" w:rsidRPr="00E55D84" w:rsidRDefault="00161BC9" w:rsidP="00161BC9">
      <w:pPr>
        <w:spacing w:line="240" w:lineRule="auto"/>
        <w:jc w:val="both"/>
        <w:rPr>
          <w:rFonts w:ascii="Times New Roman" w:hAnsi="Times New Roman" w:cs="Times New Roman"/>
        </w:rPr>
      </w:pPr>
      <w:r w:rsidRPr="00E55D84">
        <w:rPr>
          <w:rFonts w:ascii="Times New Roman" w:hAnsi="Times New Roman" w:cs="Times New Roman"/>
        </w:rPr>
        <w:lastRenderedPageBreak/>
        <w:t>Hate speech has been identified as a significant concern</w:t>
      </w:r>
      <w:r w:rsidR="0059668B" w:rsidRPr="00E55D84">
        <w:rPr>
          <w:rFonts w:ascii="Times New Roman" w:hAnsi="Times New Roman" w:cs="Times New Roman"/>
        </w:rPr>
        <w:t xml:space="preserve"> for some time</w:t>
      </w:r>
      <w:r w:rsidRPr="00E55D84">
        <w:rPr>
          <w:rFonts w:ascii="Times New Roman" w:hAnsi="Times New Roman" w:cs="Times New Roman"/>
        </w:rPr>
        <w:t xml:space="preserve">. In 2022, after Russian invasion in Ukraine the State Police Commissioner announced a zero-tolerance policy towards manifestations of hate speech and hate crime, justification of Russian aggression. </w:t>
      </w:r>
      <w:r w:rsidR="00DE30EF" w:rsidRPr="00E55D84">
        <w:rPr>
          <w:rFonts w:ascii="Times New Roman" w:hAnsi="Times New Roman" w:cs="Times New Roman"/>
        </w:rPr>
        <w:t>Against the background of war in Ukraine combatting hate crimes/hate speech has for the first time been included among the priorities of the State Police in the Strategy of the Ministry of Interior 2023-2027.</w:t>
      </w:r>
      <w:r w:rsidR="00DE30EF" w:rsidRPr="00E55D84">
        <w:rPr>
          <w:rStyle w:val="FootnoteReference"/>
          <w:rFonts w:ascii="Times New Roman" w:hAnsi="Times New Roman" w:cs="Times New Roman"/>
        </w:rPr>
        <w:footnoteReference w:id="1"/>
      </w:r>
      <w:r w:rsidR="00DE30EF" w:rsidRPr="00E55D84">
        <w:rPr>
          <w:rFonts w:ascii="Times New Roman" w:hAnsi="Times New Roman" w:cs="Times New Roman"/>
        </w:rPr>
        <w:t xml:space="preserve"> </w:t>
      </w:r>
    </w:p>
    <w:p w14:paraId="1B959FCF" w14:textId="77777777" w:rsidR="002821E1" w:rsidRPr="00E55D84" w:rsidRDefault="002821E1" w:rsidP="002821E1">
      <w:pPr>
        <w:jc w:val="both"/>
        <w:rPr>
          <w:rFonts w:ascii="Times New Roman" w:hAnsi="Times New Roman" w:cs="Times New Roman"/>
          <w:i/>
          <w:iCs/>
        </w:rPr>
      </w:pPr>
      <w:r w:rsidRPr="00E55D84">
        <w:rPr>
          <w:rFonts w:ascii="Times New Roman" w:hAnsi="Times New Roman" w:cs="Times New Roman"/>
          <w:i/>
          <w:iCs/>
        </w:rPr>
        <w:t>Official data</w:t>
      </w:r>
    </w:p>
    <w:p w14:paraId="5620765B" w14:textId="7AF60A08" w:rsidR="002821E1" w:rsidRPr="00E55D84" w:rsidRDefault="002821E1" w:rsidP="002821E1">
      <w:pPr>
        <w:spacing w:line="240" w:lineRule="auto"/>
        <w:jc w:val="both"/>
        <w:rPr>
          <w:rFonts w:ascii="Times New Roman" w:hAnsi="Times New Roman" w:cs="Times New Roman"/>
        </w:rPr>
      </w:pPr>
      <w:r w:rsidRPr="00E55D84">
        <w:rPr>
          <w:rFonts w:ascii="Times New Roman" w:hAnsi="Times New Roman" w:cs="Times New Roman"/>
        </w:rPr>
        <w:t>According to the criminal statistics of the Information Centre of the Ministry of the Interior</w:t>
      </w:r>
      <w:r w:rsidRPr="00E55D84">
        <w:rPr>
          <w:rStyle w:val="FootnoteReference"/>
          <w:rFonts w:ascii="Times New Roman" w:hAnsi="Times New Roman" w:cs="Times New Roman"/>
        </w:rPr>
        <w:footnoteReference w:id="2"/>
      </w:r>
      <w:r w:rsidRPr="00E55D84">
        <w:rPr>
          <w:rFonts w:ascii="Times New Roman" w:hAnsi="Times New Roman" w:cs="Times New Roman"/>
        </w:rPr>
        <w:t>, in 2024, 18 criminal proceedings were initiated under Article 74.1, 26 - under Article 78, and four - under Article 150. The statistics do not distinguish between hate crime and hate speech.</w:t>
      </w:r>
      <w:r w:rsidRPr="00E55D84">
        <w:rPr>
          <w:rStyle w:val="FootnoteReference"/>
          <w:rFonts w:ascii="Times New Roman" w:hAnsi="Times New Roman" w:cs="Times New Roman"/>
        </w:rPr>
        <w:footnoteReference w:id="3"/>
      </w:r>
    </w:p>
    <w:p w14:paraId="6C5BEFB8" w14:textId="77777777" w:rsidR="00C97FE2" w:rsidRPr="00E55D84" w:rsidRDefault="00C97FE2" w:rsidP="002821E1">
      <w:pPr>
        <w:spacing w:line="240" w:lineRule="auto"/>
        <w:jc w:val="both"/>
        <w:rPr>
          <w:rFonts w:ascii="Times New Roman" w:hAnsi="Times New Roman" w:cs="Times New Roman"/>
        </w:rPr>
      </w:pPr>
    </w:p>
    <w:p w14:paraId="65005661" w14:textId="3F111F3B" w:rsidR="00C97FE2" w:rsidRPr="00E55D84" w:rsidRDefault="00C97FE2" w:rsidP="002821E1">
      <w:pPr>
        <w:spacing w:line="240" w:lineRule="auto"/>
        <w:jc w:val="both"/>
        <w:rPr>
          <w:rFonts w:ascii="Times New Roman" w:hAnsi="Times New Roman" w:cs="Times New Roman"/>
        </w:rPr>
      </w:pPr>
      <w:r w:rsidRPr="00E55D84">
        <w:rPr>
          <w:rFonts w:ascii="Times New Roman" w:hAnsi="Times New Roman" w:cs="Times New Roman"/>
          <w:noProof/>
        </w:rPr>
        <w:drawing>
          <wp:inline distT="0" distB="0" distL="0" distR="0" wp14:anchorId="0EE7F014" wp14:editId="4DA0AE66">
            <wp:extent cx="5943600" cy="3830320"/>
            <wp:effectExtent l="0" t="0" r="0" b="17780"/>
            <wp:docPr id="611158858" name="Chart 1">
              <a:extLst xmlns:a="http://schemas.openxmlformats.org/drawingml/2006/main">
                <a:ext uri="{FF2B5EF4-FFF2-40B4-BE49-F238E27FC236}">
                  <a16:creationId xmlns:a16="http://schemas.microsoft.com/office/drawing/2014/main" id="{2A7605D6-C1DD-4194-9B78-983BF61883A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430BEE6F" w14:textId="77777777" w:rsidR="00C97FE2" w:rsidRPr="00E55D84" w:rsidRDefault="00C97FE2" w:rsidP="00FB6874">
      <w:pPr>
        <w:spacing w:line="240" w:lineRule="auto"/>
        <w:jc w:val="both"/>
        <w:rPr>
          <w:rFonts w:ascii="Times New Roman" w:hAnsi="Times New Roman" w:cs="Times New Roman"/>
        </w:rPr>
      </w:pPr>
    </w:p>
    <w:p w14:paraId="42B49436" w14:textId="71D56C75" w:rsidR="00C97FE2" w:rsidRPr="00E55D84" w:rsidRDefault="00FB6874" w:rsidP="00C97FE2">
      <w:pPr>
        <w:spacing w:line="240" w:lineRule="auto"/>
        <w:jc w:val="both"/>
        <w:rPr>
          <w:rFonts w:ascii="Times New Roman" w:hAnsi="Times New Roman" w:cs="Times New Roman"/>
        </w:rPr>
      </w:pPr>
      <w:r w:rsidRPr="00E55D84">
        <w:rPr>
          <w:rFonts w:ascii="Times New Roman" w:hAnsi="Times New Roman" w:cs="Times New Roman"/>
        </w:rPr>
        <w:t xml:space="preserve">At the end of April 2024, the </w:t>
      </w:r>
      <w:r w:rsidRPr="00E55D84">
        <w:rPr>
          <w:rFonts w:ascii="Times New Roman" w:hAnsi="Times New Roman" w:cs="Times New Roman"/>
          <w:b/>
          <w:bCs/>
        </w:rPr>
        <w:t>State Security Service (</w:t>
      </w:r>
      <w:proofErr w:type="spellStart"/>
      <w:r w:rsidRPr="00E55D84">
        <w:rPr>
          <w:rFonts w:ascii="Times New Roman" w:hAnsi="Times New Roman" w:cs="Times New Roman"/>
          <w:b/>
          <w:bCs/>
          <w:i/>
          <w:iCs/>
        </w:rPr>
        <w:t>Valsts</w:t>
      </w:r>
      <w:proofErr w:type="spellEnd"/>
      <w:r w:rsidRPr="00E55D84">
        <w:rPr>
          <w:rFonts w:ascii="Times New Roman" w:hAnsi="Times New Roman" w:cs="Times New Roman"/>
          <w:b/>
          <w:bCs/>
          <w:i/>
          <w:iCs/>
        </w:rPr>
        <w:t xml:space="preserve"> </w:t>
      </w:r>
      <w:proofErr w:type="spellStart"/>
      <w:r w:rsidRPr="00E55D84">
        <w:rPr>
          <w:rFonts w:ascii="Times New Roman" w:hAnsi="Times New Roman" w:cs="Times New Roman"/>
          <w:b/>
          <w:bCs/>
          <w:i/>
          <w:iCs/>
        </w:rPr>
        <w:t>drošības</w:t>
      </w:r>
      <w:proofErr w:type="spellEnd"/>
      <w:r w:rsidRPr="00E55D84">
        <w:rPr>
          <w:rFonts w:ascii="Times New Roman" w:hAnsi="Times New Roman" w:cs="Times New Roman"/>
          <w:b/>
          <w:bCs/>
          <w:i/>
          <w:iCs/>
        </w:rPr>
        <w:t xml:space="preserve"> </w:t>
      </w:r>
      <w:proofErr w:type="spellStart"/>
      <w:r w:rsidRPr="00E55D84">
        <w:rPr>
          <w:rFonts w:ascii="Times New Roman" w:hAnsi="Times New Roman" w:cs="Times New Roman"/>
          <w:b/>
          <w:bCs/>
          <w:i/>
          <w:iCs/>
        </w:rPr>
        <w:t>dienests</w:t>
      </w:r>
      <w:proofErr w:type="spellEnd"/>
      <w:r w:rsidR="007E27F3" w:rsidRPr="00E55D84">
        <w:rPr>
          <w:rFonts w:ascii="Times New Roman" w:hAnsi="Times New Roman" w:cs="Times New Roman"/>
          <w:b/>
          <w:bCs/>
          <w:i/>
          <w:iCs/>
        </w:rPr>
        <w:t>, VDD</w:t>
      </w:r>
      <w:r w:rsidRPr="00E55D84">
        <w:rPr>
          <w:rFonts w:ascii="Times New Roman" w:hAnsi="Times New Roman" w:cs="Times New Roman"/>
          <w:b/>
          <w:bCs/>
        </w:rPr>
        <w:t>) warned about the risks of increasing right-wing extremism</w:t>
      </w:r>
      <w:r w:rsidRPr="00E55D84">
        <w:rPr>
          <w:rStyle w:val="FootnoteReference"/>
          <w:rFonts w:ascii="Times New Roman" w:hAnsi="Times New Roman" w:cs="Times New Roman"/>
          <w:b/>
          <w:bCs/>
        </w:rPr>
        <w:footnoteReference w:id="4"/>
      </w:r>
      <w:r w:rsidRPr="00E55D84">
        <w:rPr>
          <w:rFonts w:ascii="Times New Roman" w:hAnsi="Times New Roman" w:cs="Times New Roman"/>
          <w:b/>
          <w:bCs/>
        </w:rPr>
        <w:t xml:space="preserve"> in society, especially among young people. </w:t>
      </w:r>
      <w:r w:rsidRPr="00E55D84">
        <w:rPr>
          <w:rFonts w:ascii="Times New Roman" w:hAnsi="Times New Roman" w:cs="Times New Roman"/>
        </w:rPr>
        <w:t>According to the VDD’s assessment, this trend is linked to the rise in the number of immigrants in Latvia,</w:t>
      </w:r>
      <w:r w:rsidR="00A70360" w:rsidRPr="00E55D84">
        <w:rPr>
          <w:rFonts w:ascii="Times New Roman" w:hAnsi="Times New Roman" w:cs="Times New Roman"/>
        </w:rPr>
        <w:t xml:space="preserve"> </w:t>
      </w:r>
      <w:r w:rsidRPr="00E55D84">
        <w:rPr>
          <w:rFonts w:ascii="Times New Roman" w:hAnsi="Times New Roman" w:cs="Times New Roman"/>
        </w:rPr>
        <w:t>whom right-wing extremists are targeting. Overall, in 2024, 11 skinheads were detained, including the leaders of two informal skinhead groups, who remain in custody.</w:t>
      </w:r>
      <w:r w:rsidR="00A70360" w:rsidRPr="00E55D84">
        <w:rPr>
          <w:rStyle w:val="FootnoteReference"/>
          <w:rFonts w:ascii="Times New Roman" w:hAnsi="Times New Roman" w:cs="Times New Roman"/>
        </w:rPr>
        <w:footnoteReference w:id="5"/>
      </w:r>
    </w:p>
    <w:p w14:paraId="0183D3AD" w14:textId="768370CE" w:rsidR="007E27F3" w:rsidRPr="00E55D84" w:rsidRDefault="00227F4E" w:rsidP="00C97FE2">
      <w:pPr>
        <w:spacing w:line="240" w:lineRule="auto"/>
        <w:jc w:val="both"/>
        <w:rPr>
          <w:rFonts w:ascii="Times New Roman" w:hAnsi="Times New Roman" w:cs="Times New Roman"/>
        </w:rPr>
      </w:pPr>
      <w:r w:rsidRPr="00E55D84">
        <w:rPr>
          <w:rFonts w:ascii="Times New Roman" w:hAnsi="Times New Roman" w:cs="Times New Roman"/>
        </w:rPr>
        <w:t>As a result of State Police structural reforms, the State Police Riga Regional Department</w:t>
      </w:r>
      <w:r w:rsidR="00346A41" w:rsidRPr="00E55D84">
        <w:rPr>
          <w:rFonts w:ascii="Times New Roman" w:hAnsi="Times New Roman" w:cs="Times New Roman"/>
        </w:rPr>
        <w:t xml:space="preserve"> Criminal Police department has been </w:t>
      </w:r>
      <w:proofErr w:type="spellStart"/>
      <w:r w:rsidR="00346A41" w:rsidRPr="00E55D84">
        <w:rPr>
          <w:rFonts w:ascii="Times New Roman" w:hAnsi="Times New Roman" w:cs="Times New Roman"/>
        </w:rPr>
        <w:t>re</w:t>
      </w:r>
      <w:r w:rsidR="00A272CD" w:rsidRPr="00E55D84">
        <w:rPr>
          <w:rFonts w:ascii="Times New Roman" w:hAnsi="Times New Roman" w:cs="Times New Roman"/>
        </w:rPr>
        <w:t>organised</w:t>
      </w:r>
      <w:proofErr w:type="spellEnd"/>
      <w:r w:rsidR="00346A41" w:rsidRPr="00E55D84">
        <w:rPr>
          <w:rFonts w:ascii="Times New Roman" w:hAnsi="Times New Roman" w:cs="Times New Roman"/>
        </w:rPr>
        <w:t xml:space="preserve">, and since 1 January 2023, the department’s </w:t>
      </w:r>
      <w:r w:rsidR="001524AB" w:rsidRPr="00E55D84">
        <w:rPr>
          <w:rFonts w:ascii="Times New Roman" w:hAnsi="Times New Roman" w:cs="Times New Roman"/>
        </w:rPr>
        <w:t>Multi-branch criminal investigation bureau is responsible for the centralized investigation of hate crimes in the Riga region.</w:t>
      </w:r>
      <w:r w:rsidR="00F05B02" w:rsidRPr="00E55D84">
        <w:rPr>
          <w:rStyle w:val="FootnoteReference"/>
          <w:rFonts w:ascii="Times New Roman" w:hAnsi="Times New Roman" w:cs="Times New Roman"/>
          <w:spacing w:val="11"/>
          <w:bdr w:val="none" w:sz="0" w:space="0" w:color="auto" w:frame="1"/>
          <w:lang w:val="en-GB"/>
        </w:rPr>
        <w:footnoteReference w:id="6"/>
      </w:r>
    </w:p>
    <w:p w14:paraId="24648F7F" w14:textId="2B8B835A" w:rsidR="00F05B02" w:rsidRPr="00E55D84" w:rsidRDefault="00313D39" w:rsidP="007E27F3">
      <w:pPr>
        <w:spacing w:line="240" w:lineRule="auto"/>
        <w:rPr>
          <w:rStyle w:val="Strong"/>
          <w:rFonts w:ascii="Times New Roman" w:hAnsi="Times New Roman" w:cs="Times New Roman"/>
          <w:b w:val="0"/>
          <w:bCs w:val="0"/>
        </w:rPr>
      </w:pPr>
      <w:r w:rsidRPr="00E55D84">
        <w:rPr>
          <w:rFonts w:ascii="Times New Roman" w:hAnsi="Times New Roman" w:cs="Times New Roman"/>
          <w:bdr w:val="none" w:sz="0" w:space="0" w:color="auto" w:frame="1"/>
        </w:rPr>
        <w:t xml:space="preserve">However, there is </w:t>
      </w:r>
      <w:r w:rsidRPr="00E55D84">
        <w:rPr>
          <w:rFonts w:ascii="Times New Roman" w:hAnsi="Times New Roman" w:cs="Times New Roman"/>
          <w:b/>
          <w:bCs/>
          <w:bdr w:val="none" w:sz="0" w:space="0" w:color="auto" w:frame="1"/>
        </w:rPr>
        <w:t>no equivalent unit</w:t>
      </w:r>
      <w:r w:rsidRPr="00E55D84">
        <w:rPr>
          <w:rFonts w:ascii="Times New Roman" w:hAnsi="Times New Roman" w:cs="Times New Roman"/>
          <w:bdr w:val="none" w:sz="0" w:space="0" w:color="auto" w:frame="1"/>
        </w:rPr>
        <w:t xml:space="preserve"> responsible for overseeing hate crime investigations at the </w:t>
      </w:r>
      <w:r w:rsidRPr="00E55D84">
        <w:rPr>
          <w:rFonts w:ascii="Times New Roman" w:hAnsi="Times New Roman" w:cs="Times New Roman"/>
          <w:b/>
          <w:bCs/>
          <w:bdr w:val="none" w:sz="0" w:space="0" w:color="auto" w:frame="1"/>
        </w:rPr>
        <w:t>national level</w:t>
      </w:r>
      <w:r w:rsidRPr="00E55D84">
        <w:rPr>
          <w:rFonts w:ascii="Times New Roman" w:hAnsi="Times New Roman" w:cs="Times New Roman"/>
          <w:bdr w:val="none" w:sz="0" w:space="0" w:color="auto" w:frame="1"/>
        </w:rPr>
        <w:t xml:space="preserve"> across Latvia.</w:t>
      </w:r>
    </w:p>
    <w:p w14:paraId="3E503929" w14:textId="096D3662" w:rsidR="00EA76DB" w:rsidRPr="00E55D84" w:rsidRDefault="00FB6874" w:rsidP="00D5539B">
      <w:pPr>
        <w:spacing w:line="240" w:lineRule="auto"/>
        <w:jc w:val="both"/>
        <w:rPr>
          <w:rFonts w:ascii="Times New Roman" w:hAnsi="Times New Roman" w:cs="Times New Roman"/>
          <w:b/>
          <w:bCs/>
          <w:i/>
          <w:iCs/>
        </w:rPr>
      </w:pPr>
      <w:r w:rsidRPr="00E55D84">
        <w:rPr>
          <w:rFonts w:ascii="Times New Roman" w:hAnsi="Times New Roman" w:cs="Times New Roman"/>
          <w:b/>
          <w:bCs/>
          <w:i/>
          <w:iCs/>
        </w:rPr>
        <w:t xml:space="preserve">Selected </w:t>
      </w:r>
      <w:r w:rsidR="00A70360" w:rsidRPr="00E55D84">
        <w:rPr>
          <w:rFonts w:ascii="Times New Roman" w:hAnsi="Times New Roman" w:cs="Times New Roman"/>
          <w:b/>
          <w:bCs/>
          <w:i/>
          <w:iCs/>
        </w:rPr>
        <w:t xml:space="preserve">hate crime </w:t>
      </w:r>
      <w:r w:rsidR="00E433D5" w:rsidRPr="00E55D84">
        <w:rPr>
          <w:rFonts w:ascii="Times New Roman" w:hAnsi="Times New Roman" w:cs="Times New Roman"/>
          <w:b/>
          <w:bCs/>
          <w:i/>
          <w:iCs/>
        </w:rPr>
        <w:t xml:space="preserve">(racist) </w:t>
      </w:r>
      <w:r w:rsidR="00A70360" w:rsidRPr="00E55D84">
        <w:rPr>
          <w:rFonts w:ascii="Times New Roman" w:hAnsi="Times New Roman" w:cs="Times New Roman"/>
          <w:b/>
          <w:bCs/>
          <w:i/>
          <w:iCs/>
        </w:rPr>
        <w:t>cases</w:t>
      </w:r>
    </w:p>
    <w:p w14:paraId="17608F57" w14:textId="72A8CB74" w:rsidR="00EA0987" w:rsidRPr="00E55D84" w:rsidRDefault="00D160A6" w:rsidP="00EA0987">
      <w:pPr>
        <w:spacing w:line="240" w:lineRule="auto"/>
        <w:jc w:val="both"/>
        <w:rPr>
          <w:rFonts w:ascii="Times New Roman" w:hAnsi="Times New Roman" w:cs="Times New Roman"/>
        </w:rPr>
      </w:pPr>
      <w:r w:rsidRPr="00E55D84">
        <w:rPr>
          <w:rFonts w:ascii="Times New Roman" w:hAnsi="Times New Roman" w:cs="Times New Roman"/>
        </w:rPr>
        <w:t xml:space="preserve">On March 19, 2023, a group of five to seven youths, allegedly skinheads, attacked an Indian man near the supermarket "Barona </w:t>
      </w:r>
      <w:proofErr w:type="spellStart"/>
      <w:r w:rsidRPr="00E55D84">
        <w:rPr>
          <w:rFonts w:ascii="Times New Roman" w:hAnsi="Times New Roman" w:cs="Times New Roman"/>
        </w:rPr>
        <w:t>Centrs</w:t>
      </w:r>
      <w:proofErr w:type="spellEnd"/>
      <w:r w:rsidRPr="00E55D84">
        <w:rPr>
          <w:rFonts w:ascii="Times New Roman" w:hAnsi="Times New Roman" w:cs="Times New Roman"/>
        </w:rPr>
        <w:t>" in Riga. The attack was reported to the State Police by a witness. However, the next day, police informed the victim that criminal proceedings would not be opened. Later</w:t>
      </w:r>
      <w:r w:rsidR="007E27F3" w:rsidRPr="00E55D84">
        <w:rPr>
          <w:rFonts w:ascii="Times New Roman" w:hAnsi="Times New Roman" w:cs="Times New Roman"/>
        </w:rPr>
        <w:t xml:space="preserve"> </w:t>
      </w:r>
      <w:r w:rsidRPr="00E55D84">
        <w:rPr>
          <w:rFonts w:ascii="Times New Roman" w:hAnsi="Times New Roman" w:cs="Times New Roman"/>
        </w:rPr>
        <w:t xml:space="preserve">another person </w:t>
      </w:r>
      <w:r w:rsidR="007E27F3" w:rsidRPr="00E55D84">
        <w:rPr>
          <w:rFonts w:ascii="Times New Roman" w:hAnsi="Times New Roman" w:cs="Times New Roman"/>
        </w:rPr>
        <w:t>from Cameroon was</w:t>
      </w:r>
      <w:r w:rsidRPr="00E55D84">
        <w:rPr>
          <w:rFonts w:ascii="Times New Roman" w:hAnsi="Times New Roman" w:cs="Times New Roman"/>
        </w:rPr>
        <w:t xml:space="preserve"> attacked by the same group on the same evening. The Latvian Centre for Human Rights (LCHR) was notified of the incident, but the victim chose not to appeal the police decision. In response, the NGO decided to report the case to the State Police Commissioner. Following a disciplinary investigation, the State Police Riga Region Department Disciplinary Oversight Unit issued disciplinary sanctions to two patrol officers and launched further investigations into two others. The State Police </w:t>
      </w:r>
      <w:proofErr w:type="spellStart"/>
      <w:r w:rsidRPr="00E55D84">
        <w:rPr>
          <w:rFonts w:ascii="Times New Roman" w:hAnsi="Times New Roman" w:cs="Times New Roman"/>
        </w:rPr>
        <w:t>apologi</w:t>
      </w:r>
      <w:r w:rsidR="007E27F3" w:rsidRPr="00E55D84">
        <w:rPr>
          <w:rFonts w:ascii="Times New Roman" w:hAnsi="Times New Roman" w:cs="Times New Roman"/>
        </w:rPr>
        <w:t>s</w:t>
      </w:r>
      <w:r w:rsidRPr="00E55D84">
        <w:rPr>
          <w:rFonts w:ascii="Times New Roman" w:hAnsi="Times New Roman" w:cs="Times New Roman"/>
        </w:rPr>
        <w:t>ed</w:t>
      </w:r>
      <w:proofErr w:type="spellEnd"/>
      <w:r w:rsidRPr="00E55D84">
        <w:rPr>
          <w:rFonts w:ascii="Times New Roman" w:hAnsi="Times New Roman" w:cs="Times New Roman"/>
        </w:rPr>
        <w:t xml:space="preserve"> for the unprofessional conduct of their officers.</w:t>
      </w:r>
      <w:r w:rsidRPr="00E55D84">
        <w:rPr>
          <w:rStyle w:val="FootnoteReference"/>
          <w:rFonts w:ascii="Times New Roman" w:hAnsi="Times New Roman" w:cs="Times New Roman"/>
        </w:rPr>
        <w:footnoteReference w:id="7"/>
      </w:r>
      <w:r w:rsidRPr="00E55D84">
        <w:rPr>
          <w:rFonts w:ascii="Times New Roman" w:hAnsi="Times New Roman" w:cs="Times New Roman"/>
        </w:rPr>
        <w:t xml:space="preserve"> Eventually, criminal proceedings were opened concerning the alleged racially motivated attacks</w:t>
      </w:r>
      <w:r w:rsidR="008278C0" w:rsidRPr="00E55D84">
        <w:rPr>
          <w:rFonts w:ascii="Times New Roman" w:hAnsi="Times New Roman" w:cs="Times New Roman"/>
        </w:rPr>
        <w:t xml:space="preserve"> and </w:t>
      </w:r>
      <w:r w:rsidR="00F7424E" w:rsidRPr="00E55D84">
        <w:rPr>
          <w:rFonts w:ascii="Times New Roman" w:hAnsi="Times New Roman" w:cs="Times New Roman"/>
        </w:rPr>
        <w:t xml:space="preserve">the case has reached the trial stage. </w:t>
      </w:r>
    </w:p>
    <w:p w14:paraId="08F9FAC1" w14:textId="530F4D36" w:rsidR="00DE30EF" w:rsidRPr="00E55D84" w:rsidRDefault="00DE30EF" w:rsidP="00EA0987">
      <w:pPr>
        <w:spacing w:line="240" w:lineRule="auto"/>
        <w:jc w:val="both"/>
        <w:rPr>
          <w:rFonts w:ascii="Times New Roman" w:hAnsi="Times New Roman" w:cs="Times New Roman"/>
        </w:rPr>
      </w:pPr>
      <w:r w:rsidRPr="00E55D84">
        <w:rPr>
          <w:rFonts w:ascii="Times New Roman" w:hAnsi="Times New Roman" w:cs="Times New Roman"/>
        </w:rPr>
        <w:t xml:space="preserve">In January 2024, two Indian men were brutally attacked in a suspected racist attack, and one of them was </w:t>
      </w:r>
      <w:r w:rsidR="007E27F3" w:rsidRPr="00E55D84">
        <w:rPr>
          <w:rFonts w:ascii="Times New Roman" w:hAnsi="Times New Roman" w:cs="Times New Roman"/>
        </w:rPr>
        <w:t>hospitalized.</w:t>
      </w:r>
      <w:r w:rsidRPr="00E55D84">
        <w:rPr>
          <w:rStyle w:val="FootnoteReference"/>
          <w:rFonts w:ascii="Times New Roman" w:hAnsi="Times New Roman" w:cs="Times New Roman"/>
        </w:rPr>
        <w:footnoteReference w:id="8"/>
      </w:r>
      <w:r w:rsidRPr="00E55D84">
        <w:rPr>
          <w:rFonts w:ascii="Times New Roman" w:hAnsi="Times New Roman" w:cs="Times New Roman"/>
        </w:rPr>
        <w:t xml:space="preserve"> </w:t>
      </w:r>
      <w:r w:rsidRPr="00E55D84">
        <w:rPr>
          <w:rFonts w:ascii="Times New Roman" w:hAnsi="Times New Roman" w:cs="Times New Roman"/>
          <w:color w:val="2B292A"/>
          <w:shd w:val="clear" w:color="auto" w:fill="FFFFFF"/>
        </w:rPr>
        <w:t xml:space="preserve">He required surgery for a broken jaw, broken nose and other facial injuries and received a facial implant after the attack. His friend flew home for medical treatment. The police have opened criminal proceedings. </w:t>
      </w:r>
    </w:p>
    <w:p w14:paraId="3C2799D5" w14:textId="311079BF" w:rsidR="00EA0987" w:rsidRPr="00E55D84" w:rsidRDefault="00EA0987" w:rsidP="00EA0987">
      <w:pPr>
        <w:spacing w:line="240" w:lineRule="auto"/>
        <w:jc w:val="both"/>
        <w:rPr>
          <w:rFonts w:ascii="Times New Roman" w:hAnsi="Times New Roman" w:cs="Times New Roman"/>
        </w:rPr>
      </w:pPr>
      <w:r w:rsidRPr="00E55D84">
        <w:rPr>
          <w:rFonts w:ascii="Times New Roman" w:hAnsi="Times New Roman" w:cs="Times New Roman"/>
        </w:rPr>
        <w:t xml:space="preserve">On July 31, police officers of the Riga Regional Criminal Police Department of the State Police in cooperation with the State Security Service and with the support of the Special Task Battalion of the State Police, detained six skinheads in the capital Riga in connection with an attack on food </w:t>
      </w:r>
      <w:r w:rsidRPr="00E55D84">
        <w:rPr>
          <w:rFonts w:ascii="Times New Roman" w:hAnsi="Times New Roman" w:cs="Times New Roman"/>
        </w:rPr>
        <w:lastRenderedPageBreak/>
        <w:t>delivery couriers.</w:t>
      </w:r>
      <w:r w:rsidRPr="00E55D84">
        <w:rPr>
          <w:rStyle w:val="FootnoteReference"/>
          <w:rFonts w:ascii="Times New Roman" w:hAnsi="Times New Roman" w:cs="Times New Roman"/>
        </w:rPr>
        <w:footnoteReference w:id="9"/>
      </w:r>
      <w:r w:rsidRPr="00E55D84">
        <w:rPr>
          <w:rFonts w:ascii="Times New Roman" w:hAnsi="Times New Roman" w:cs="Times New Roman"/>
        </w:rPr>
        <w:t xml:space="preserve"> Searches were also conducted in several residences. On August 1, Riga Regional Criminal Police Department of the State Police detained another person also in connection with an attack on food delivery couriers. In total, seven individuals were detained, born in 2005, 2006, 2008, 2009, and 2010. Of those, five were remanded in custody. Criminal proceedings have been initiated under Section 78, Part 3 of the Criminal Law, specifically for actions aimed at inciting national, ethnic, racial, or religious hatred or discord, if associated with violence or threats, or if committed by an organized group. Such an offense is punishable by imprisonment for up to ten years, along with probation supervision for up to three years, or without it.</w:t>
      </w:r>
    </w:p>
    <w:p w14:paraId="08543312" w14:textId="1AFA15D9" w:rsidR="00196AD2" w:rsidRPr="00E55D84" w:rsidRDefault="00196AD2" w:rsidP="00EA0987">
      <w:pPr>
        <w:spacing w:line="240" w:lineRule="auto"/>
        <w:jc w:val="both"/>
        <w:rPr>
          <w:rFonts w:ascii="Times New Roman" w:hAnsi="Times New Roman" w:cs="Times New Roman"/>
          <w:b/>
          <w:bCs/>
          <w:i/>
          <w:iCs/>
        </w:rPr>
      </w:pPr>
      <w:r w:rsidRPr="00E55D84">
        <w:rPr>
          <w:rFonts w:ascii="Times New Roman" w:hAnsi="Times New Roman" w:cs="Times New Roman"/>
          <w:b/>
          <w:bCs/>
          <w:i/>
          <w:iCs/>
        </w:rPr>
        <w:t>Court cases</w:t>
      </w:r>
    </w:p>
    <w:p w14:paraId="0AC0FAF1" w14:textId="1CABBEB3" w:rsidR="00196AD2" w:rsidRPr="00E55D84" w:rsidRDefault="00196AD2" w:rsidP="00196AD2">
      <w:pPr>
        <w:spacing w:line="240" w:lineRule="auto"/>
        <w:jc w:val="both"/>
        <w:rPr>
          <w:rFonts w:ascii="Times New Roman" w:hAnsi="Times New Roman" w:cs="Times New Roman"/>
        </w:rPr>
      </w:pPr>
      <w:r w:rsidRPr="00E55D84">
        <w:rPr>
          <w:rFonts w:ascii="Times New Roman" w:hAnsi="Times New Roman" w:cs="Times New Roman"/>
        </w:rPr>
        <w:t>On April 9, 2024, the Kurzeme Regional Court sentenced a person to imprisonment for attacking a young man on May 20, 2022</w:t>
      </w:r>
      <w:r w:rsidR="00C52949" w:rsidRPr="00E55D84">
        <w:rPr>
          <w:rStyle w:val="FootnoteReference"/>
          <w:rFonts w:ascii="Times New Roman" w:hAnsi="Times New Roman" w:cs="Times New Roman"/>
        </w:rPr>
        <w:footnoteReference w:id="10"/>
      </w:r>
      <w:r w:rsidRPr="00E55D84">
        <w:rPr>
          <w:rFonts w:ascii="Times New Roman" w:hAnsi="Times New Roman" w:cs="Times New Roman"/>
        </w:rPr>
        <w:t>, who had a Ukrainian flag draped over his shoulders. The regional court overturned the initial court ruling that had imposed a suspended sentence and instead sentenced the accused to two years of imprisonment. The court concluded that a suspended sentence for the accused would not lead to a fair resolution of criminal legal relations and would not meet the purpose of punishment.</w:t>
      </w:r>
      <w:r w:rsidRPr="00E55D84">
        <w:rPr>
          <w:rStyle w:val="FootnoteReference"/>
          <w:rFonts w:ascii="Times New Roman" w:hAnsi="Times New Roman" w:cs="Times New Roman"/>
        </w:rPr>
        <w:footnoteReference w:id="11"/>
      </w:r>
      <w:r w:rsidRPr="00E55D84">
        <w:rPr>
          <w:rFonts w:ascii="Times New Roman" w:hAnsi="Times New Roman" w:cs="Times New Roman"/>
        </w:rPr>
        <w:t xml:space="preserve"> The Senate of the Supreme Court rejected the accused's request for cassation proceedings, thereby making the court ruling final.</w:t>
      </w:r>
      <w:r w:rsidRPr="00E55D84">
        <w:rPr>
          <w:rStyle w:val="FootnoteReference"/>
          <w:rFonts w:ascii="Times New Roman" w:hAnsi="Times New Roman" w:cs="Times New Roman"/>
        </w:rPr>
        <w:footnoteReference w:id="12"/>
      </w:r>
    </w:p>
    <w:p w14:paraId="2867B89C" w14:textId="77777777" w:rsidR="00196AD2" w:rsidRPr="00E55D84" w:rsidRDefault="00196AD2" w:rsidP="00196AD2">
      <w:pPr>
        <w:spacing w:line="240" w:lineRule="auto"/>
        <w:jc w:val="both"/>
        <w:rPr>
          <w:rFonts w:ascii="Times New Roman" w:hAnsi="Times New Roman" w:cs="Times New Roman"/>
        </w:rPr>
      </w:pPr>
      <w:r w:rsidRPr="00E55D84">
        <w:rPr>
          <w:rFonts w:ascii="Times New Roman" w:hAnsi="Times New Roman" w:cs="Times New Roman"/>
        </w:rPr>
        <w:t xml:space="preserve">On August 19, 2024, the Riga City Court examined a criminal case involving two individuals affiliated with the skinhead subculture, who were held criminally liable for inciting national, ethnic, and racial hatred and discord within a group. According to the charges, the two young individuals, identifying as part of the radical “neo-Nazi skinheads” movement, assaulted and threatened two other youths in </w:t>
      </w:r>
      <w:proofErr w:type="spellStart"/>
      <w:r w:rsidRPr="00E55D84">
        <w:rPr>
          <w:rFonts w:ascii="Times New Roman" w:hAnsi="Times New Roman" w:cs="Times New Roman"/>
        </w:rPr>
        <w:t>Vērmanes</w:t>
      </w:r>
      <w:proofErr w:type="spellEnd"/>
      <w:r w:rsidRPr="00E55D84">
        <w:rPr>
          <w:rFonts w:ascii="Times New Roman" w:hAnsi="Times New Roman" w:cs="Times New Roman"/>
        </w:rPr>
        <w:t xml:space="preserve"> Garden, Riga, on February 22, 2024. While filming the incident, they forced the victims to perform the Nazi salute and praise Adolf Hitler, later distributing the footage via a Telegram channel. As a result, the court sentenced the adult perpetrator to 1 year and 6 months of imprisonment, followed by 2 years of probation supervision. Meanwhile, the minor was sentenced to 4 years of probation supervision.</w:t>
      </w:r>
      <w:r w:rsidRPr="00E55D84">
        <w:rPr>
          <w:rStyle w:val="FootnoteReference"/>
          <w:rFonts w:ascii="Times New Roman" w:hAnsi="Times New Roman" w:cs="Times New Roman"/>
        </w:rPr>
        <w:footnoteReference w:id="13"/>
      </w:r>
    </w:p>
    <w:p w14:paraId="66FFD8E1" w14:textId="77777777" w:rsidR="00196AD2" w:rsidRPr="00E55D84" w:rsidRDefault="00196AD2" w:rsidP="00196AD2">
      <w:pPr>
        <w:spacing w:line="240" w:lineRule="auto"/>
        <w:jc w:val="both"/>
        <w:rPr>
          <w:rFonts w:ascii="Times New Roman" w:hAnsi="Times New Roman" w:cs="Times New Roman"/>
        </w:rPr>
      </w:pPr>
      <w:r w:rsidRPr="00E55D84">
        <w:rPr>
          <w:rFonts w:ascii="Times New Roman" w:hAnsi="Times New Roman" w:cs="Times New Roman"/>
        </w:rPr>
        <w:t xml:space="preserve">On 5 December 2024, the Vidzeme District Court sentenced a man to one-and-a-half-year imprisonment for a racially motivated attack. He will also have to perform 96 years of community service after serving the prison sentence. The racially motivated incident occurred in a restaurant in the resort town of </w:t>
      </w:r>
      <w:proofErr w:type="spellStart"/>
      <w:r w:rsidRPr="00E55D84">
        <w:rPr>
          <w:rFonts w:ascii="Times New Roman" w:hAnsi="Times New Roman" w:cs="Times New Roman"/>
        </w:rPr>
        <w:t>Jūrmala</w:t>
      </w:r>
      <w:proofErr w:type="spellEnd"/>
      <w:r w:rsidRPr="00E55D84">
        <w:rPr>
          <w:rFonts w:ascii="Times New Roman" w:hAnsi="Times New Roman" w:cs="Times New Roman"/>
        </w:rPr>
        <w:t xml:space="preserve"> on 13 June. A man who was intoxicated aggressively approached two men were sitting at the table and who were of different racial and ethnic origin. He delivered a powerful kick to the back of the head of one man, then grabbed him by the hair and, pulling </w:t>
      </w:r>
      <w:r w:rsidRPr="00E55D84">
        <w:rPr>
          <w:rFonts w:ascii="Times New Roman" w:hAnsi="Times New Roman" w:cs="Times New Roman"/>
        </w:rPr>
        <w:lastRenderedPageBreak/>
        <w:t xml:space="preserve">backward, toppled him to the floor along with the chair on the terrace. The racial motive was also confirmed by witnesses, other restaurant clients and staff. The victim sustained light injuries. The court concluded that “[g] </w:t>
      </w:r>
      <w:proofErr w:type="spellStart"/>
      <w:r w:rsidRPr="00E55D84">
        <w:rPr>
          <w:rFonts w:ascii="Times New Roman" w:hAnsi="Times New Roman" w:cs="Times New Roman"/>
        </w:rPr>
        <w:t>iven</w:t>
      </w:r>
      <w:proofErr w:type="spellEnd"/>
      <w:r w:rsidRPr="00E55D84">
        <w:rPr>
          <w:rFonts w:ascii="Times New Roman" w:hAnsi="Times New Roman" w:cs="Times New Roman"/>
        </w:rPr>
        <w:t xml:space="preserve"> that a deliberate and serious crime was committed with racist motives and involved violence, the defendant has shown no remorse for his actions. Furthermore, he has later committed other criminal offenses for which he has been convicted and is currently serving a sentence. Therefore, the court considers that he should be punished with actual imprisonment.”</w:t>
      </w:r>
      <w:r w:rsidRPr="00E55D84">
        <w:rPr>
          <w:rStyle w:val="FootnoteReference"/>
          <w:rFonts w:ascii="Times New Roman" w:hAnsi="Times New Roman" w:cs="Times New Roman"/>
        </w:rPr>
        <w:footnoteReference w:id="14"/>
      </w:r>
      <w:r w:rsidRPr="00E55D84">
        <w:rPr>
          <w:rFonts w:ascii="Times New Roman" w:hAnsi="Times New Roman" w:cs="Times New Roman"/>
        </w:rPr>
        <w:t xml:space="preserve"> (Articles 48, 231). </w:t>
      </w:r>
    </w:p>
    <w:p w14:paraId="4D1325A4" w14:textId="5E88DF13" w:rsidR="00B349ED" w:rsidRPr="00E55D84" w:rsidRDefault="00B349ED" w:rsidP="00196AD2">
      <w:pPr>
        <w:spacing w:line="240" w:lineRule="auto"/>
        <w:jc w:val="both"/>
        <w:rPr>
          <w:rFonts w:ascii="Times New Roman" w:hAnsi="Times New Roman" w:cs="Times New Roman"/>
          <w:i/>
          <w:iCs/>
        </w:rPr>
      </w:pPr>
      <w:r w:rsidRPr="00E55D84">
        <w:rPr>
          <w:rFonts w:ascii="Times New Roman" w:hAnsi="Times New Roman" w:cs="Times New Roman"/>
          <w:i/>
          <w:iCs/>
        </w:rPr>
        <w:t xml:space="preserve">Homophobic </w:t>
      </w:r>
      <w:r w:rsidR="00E72292" w:rsidRPr="00E55D84">
        <w:rPr>
          <w:rFonts w:ascii="Times New Roman" w:hAnsi="Times New Roman" w:cs="Times New Roman"/>
          <w:i/>
          <w:iCs/>
        </w:rPr>
        <w:t xml:space="preserve">violence </w:t>
      </w:r>
      <w:r w:rsidRPr="00E55D84">
        <w:rPr>
          <w:rFonts w:ascii="Times New Roman" w:hAnsi="Times New Roman" w:cs="Times New Roman"/>
          <w:i/>
          <w:iCs/>
        </w:rPr>
        <w:t>cases</w:t>
      </w:r>
    </w:p>
    <w:p w14:paraId="02C56A73" w14:textId="40A31BE0" w:rsidR="00E17BA2" w:rsidRPr="00E55D84" w:rsidRDefault="003713A0" w:rsidP="00E17BA2">
      <w:pPr>
        <w:spacing w:line="240" w:lineRule="auto"/>
        <w:jc w:val="both"/>
        <w:rPr>
          <w:rFonts w:ascii="Times New Roman" w:hAnsi="Times New Roman" w:cs="Times New Roman"/>
        </w:rPr>
      </w:pPr>
      <w:r w:rsidRPr="00E55D84">
        <w:rPr>
          <w:rFonts w:ascii="Times New Roman" w:hAnsi="Times New Roman" w:cs="Times New Roman"/>
        </w:rPr>
        <w:t xml:space="preserve">In January 2024, </w:t>
      </w:r>
      <w:r w:rsidR="00FA0E90" w:rsidRPr="00E55D84">
        <w:rPr>
          <w:rFonts w:ascii="Times New Roman" w:hAnsi="Times New Roman" w:cs="Times New Roman"/>
        </w:rPr>
        <w:t xml:space="preserve">a </w:t>
      </w:r>
      <w:r w:rsidRPr="00E55D84">
        <w:rPr>
          <w:rFonts w:ascii="Times New Roman" w:hAnsi="Times New Roman" w:cs="Times New Roman"/>
        </w:rPr>
        <w:t>trial hearing began in the case of a homophobic attack in the city of Daugavpils.</w:t>
      </w:r>
      <w:r w:rsidRPr="00E55D84">
        <w:rPr>
          <w:rStyle w:val="FootnoteReference"/>
          <w:rFonts w:ascii="Times New Roman" w:hAnsi="Times New Roman" w:cs="Times New Roman"/>
        </w:rPr>
        <w:footnoteReference w:id="15"/>
      </w:r>
      <w:r w:rsidRPr="00E55D84">
        <w:rPr>
          <w:rFonts w:ascii="Times New Roman" w:hAnsi="Times New Roman" w:cs="Times New Roman"/>
        </w:rPr>
        <w:t xml:space="preserve"> There are two victims to the case. In May 2023 the victim was attacked by a drunk person after learning that the victim </w:t>
      </w:r>
      <w:r w:rsidR="0044601D" w:rsidRPr="00E55D84">
        <w:rPr>
          <w:rFonts w:ascii="Times New Roman" w:hAnsi="Times New Roman" w:cs="Times New Roman"/>
        </w:rPr>
        <w:t>is gay</w:t>
      </w:r>
      <w:r w:rsidRPr="00E55D84">
        <w:rPr>
          <w:rFonts w:ascii="Times New Roman" w:hAnsi="Times New Roman" w:cs="Times New Roman"/>
        </w:rPr>
        <w:t>. The victim received more than 20 blows to the head. Initially the police terminated criminal proceedings upon the instruction of the prosecutor. The Prosecutor General</w:t>
      </w:r>
      <w:r w:rsidR="00C0491D" w:rsidRPr="00E55D84">
        <w:rPr>
          <w:rFonts w:ascii="Times New Roman" w:hAnsi="Times New Roman" w:cs="Times New Roman"/>
        </w:rPr>
        <w:t xml:space="preserve"> </w:t>
      </w:r>
      <w:r w:rsidRPr="00E55D84">
        <w:rPr>
          <w:rFonts w:ascii="Times New Roman" w:hAnsi="Times New Roman" w:cs="Times New Roman"/>
        </w:rPr>
        <w:t xml:space="preserve">intervened, the Latvian Centre for Human Rights </w:t>
      </w:r>
      <w:r w:rsidR="0018462D" w:rsidRPr="00E55D84">
        <w:rPr>
          <w:rFonts w:ascii="Times New Roman" w:hAnsi="Times New Roman" w:cs="Times New Roman"/>
        </w:rPr>
        <w:t xml:space="preserve">also </w:t>
      </w:r>
      <w:r w:rsidRPr="00E55D84">
        <w:rPr>
          <w:rFonts w:ascii="Times New Roman" w:hAnsi="Times New Roman" w:cs="Times New Roman"/>
        </w:rPr>
        <w:t xml:space="preserve">helped the victim appeal the decision, and criminal proceedings were </w:t>
      </w:r>
      <w:r w:rsidR="00125438" w:rsidRPr="00E55D84">
        <w:rPr>
          <w:rFonts w:ascii="Times New Roman" w:hAnsi="Times New Roman" w:cs="Times New Roman"/>
        </w:rPr>
        <w:t>re-</w:t>
      </w:r>
      <w:r w:rsidRPr="00E55D84">
        <w:rPr>
          <w:rFonts w:ascii="Times New Roman" w:hAnsi="Times New Roman" w:cs="Times New Roman"/>
        </w:rPr>
        <w:t>opened.</w:t>
      </w:r>
      <w:r w:rsidR="00E17BA2" w:rsidRPr="00E55D84">
        <w:rPr>
          <w:rFonts w:ascii="Times New Roman" w:hAnsi="Times New Roman" w:cs="Times New Roman"/>
        </w:rPr>
        <w:t xml:space="preserve"> </w:t>
      </w:r>
    </w:p>
    <w:p w14:paraId="0064F56A" w14:textId="22BB0F7A" w:rsidR="00EA0987" w:rsidRPr="00E55D84" w:rsidRDefault="00E17BA2" w:rsidP="00764E1B">
      <w:pPr>
        <w:spacing w:line="240" w:lineRule="auto"/>
        <w:jc w:val="both"/>
        <w:rPr>
          <w:rFonts w:ascii="Times New Roman" w:hAnsi="Times New Roman" w:cs="Times New Roman"/>
        </w:rPr>
      </w:pPr>
      <w:r w:rsidRPr="00E55D84">
        <w:rPr>
          <w:rFonts w:ascii="Times New Roman" w:hAnsi="Times New Roman" w:cs="Times New Roman"/>
        </w:rPr>
        <w:t xml:space="preserve">On October 14, 2024, the Latgale District Court delivered a verdict in a case concerning a homophobic attack on L. A. and his partner in Daugavpils on May 4, 2023. The court found the defendant guilty of committing a criminal offense under Article 231, Part 2 of the Criminal Law (hooliganism) and sentenced him to seven months of imprisonment. The court partially granted the victims' claims for moral damages, ordering the defendant to pay L. A. €2,500 in compensation and €2,000 to the second victim. In 2025, the case </w:t>
      </w:r>
      <w:r w:rsidR="0044601D" w:rsidRPr="00E55D84">
        <w:rPr>
          <w:rFonts w:ascii="Times New Roman" w:hAnsi="Times New Roman" w:cs="Times New Roman"/>
        </w:rPr>
        <w:t>was</w:t>
      </w:r>
      <w:r w:rsidRPr="00E55D84">
        <w:rPr>
          <w:rFonts w:ascii="Times New Roman" w:hAnsi="Times New Roman" w:cs="Times New Roman"/>
        </w:rPr>
        <w:t xml:space="preserve"> reviewed in the appeals instance following a protest by the prosecutor, as well as appeals from both the victims and the defendant</w:t>
      </w:r>
      <w:r w:rsidR="0044601D" w:rsidRPr="00E55D84">
        <w:rPr>
          <w:rFonts w:ascii="Times New Roman" w:hAnsi="Times New Roman" w:cs="Times New Roman"/>
        </w:rPr>
        <w:t xml:space="preserve"> and the prison sentence was raised to ten months</w:t>
      </w:r>
      <w:r w:rsidRPr="00E55D84">
        <w:rPr>
          <w:rFonts w:ascii="Times New Roman" w:hAnsi="Times New Roman" w:cs="Times New Roman"/>
        </w:rPr>
        <w:t>.</w:t>
      </w:r>
    </w:p>
    <w:p w14:paraId="0BB85540" w14:textId="77777777" w:rsidR="00990D0C" w:rsidRPr="00E55D84" w:rsidRDefault="00990D0C" w:rsidP="00990D0C">
      <w:pPr>
        <w:spacing w:line="240" w:lineRule="auto"/>
        <w:jc w:val="both"/>
        <w:rPr>
          <w:rFonts w:ascii="Times New Roman" w:hAnsi="Times New Roman" w:cs="Times New Roman"/>
          <w:lang w:val="en-GB"/>
        </w:rPr>
      </w:pPr>
      <w:r w:rsidRPr="00E55D84">
        <w:rPr>
          <w:rFonts w:ascii="Times New Roman" w:hAnsi="Times New Roman" w:cs="Times New Roman"/>
          <w:lang w:val="en-GB"/>
        </w:rPr>
        <w:t xml:space="preserve">In July 2023, the European Court of Human Rights (ECHR) issued a ruling in the case Hanovs v. Latvia where it clarified the positive obligations of states in cases involving homophobic attacks. The Latvian authorities failed to investigate it as a hate crime, despite clear evidence that the perpetrators targeted the victim based on his sexual orientation. The court emphasised that Latvia had a duty to thoroughly investigate and prosecute hate crimes, ensuring that victims receive justice and protection. The ruling reinforced that states must actively combat discrimination, sending a clear message that homophobic violence will not be tolerated. The victim was awarded EUR 10,000. The victim was represented by the Latvian Centre for Human Rights who assisted the victim in appealing five decisions of the police and prosecutor’s decisions and filing the case with the ECHR. </w:t>
      </w:r>
    </w:p>
    <w:p w14:paraId="4B0DF7F0" w14:textId="6E37AC9F" w:rsidR="00990D0C" w:rsidRPr="00E55D84" w:rsidRDefault="00990D0C" w:rsidP="00990D0C">
      <w:pPr>
        <w:spacing w:line="240" w:lineRule="auto"/>
        <w:jc w:val="both"/>
        <w:rPr>
          <w:rFonts w:ascii="Times New Roman" w:hAnsi="Times New Roman" w:cs="Times New Roman"/>
          <w:lang w:val="en-GB"/>
        </w:rPr>
      </w:pPr>
      <w:r w:rsidRPr="00E55D84">
        <w:rPr>
          <w:rFonts w:ascii="Times New Roman" w:hAnsi="Times New Roman" w:cs="Times New Roman"/>
          <w:lang w:val="en-GB"/>
        </w:rPr>
        <w:t xml:space="preserve">Following the ruling the Ministry of Justice </w:t>
      </w:r>
      <w:r w:rsidR="00D24F04" w:rsidRPr="00E55D84">
        <w:rPr>
          <w:rFonts w:ascii="Times New Roman" w:hAnsi="Times New Roman" w:cs="Times New Roman"/>
          <w:lang w:val="en-GB"/>
        </w:rPr>
        <w:t xml:space="preserve">has twice </w:t>
      </w:r>
      <w:r w:rsidRPr="00E55D84">
        <w:rPr>
          <w:rFonts w:ascii="Times New Roman" w:hAnsi="Times New Roman" w:cs="Times New Roman"/>
          <w:lang w:val="en-GB"/>
        </w:rPr>
        <w:t>issued circulars</w:t>
      </w:r>
      <w:r w:rsidR="00D24F04" w:rsidRPr="00E55D84">
        <w:rPr>
          <w:rFonts w:ascii="Times New Roman" w:hAnsi="Times New Roman" w:cs="Times New Roman"/>
          <w:lang w:val="en-GB"/>
        </w:rPr>
        <w:t>, including in 2025</w:t>
      </w:r>
      <w:r w:rsidR="00F55295" w:rsidRPr="00E55D84">
        <w:rPr>
          <w:rStyle w:val="FootnoteReference"/>
          <w:rFonts w:ascii="Times New Roman" w:hAnsi="Times New Roman" w:cs="Times New Roman"/>
          <w:lang w:val="en-GB"/>
        </w:rPr>
        <w:footnoteReference w:id="16"/>
      </w:r>
      <w:r w:rsidR="00D24F04" w:rsidRPr="00E55D84">
        <w:rPr>
          <w:rFonts w:ascii="Times New Roman" w:hAnsi="Times New Roman" w:cs="Times New Roman"/>
          <w:lang w:val="en-GB"/>
        </w:rPr>
        <w:t>,</w:t>
      </w:r>
      <w:r w:rsidRPr="00E55D84">
        <w:rPr>
          <w:rFonts w:ascii="Times New Roman" w:hAnsi="Times New Roman" w:cs="Times New Roman"/>
          <w:lang w:val="en-GB"/>
        </w:rPr>
        <w:t xml:space="preserve"> to assist the police in identifying and investigation homophobic crimes. </w:t>
      </w:r>
    </w:p>
    <w:p w14:paraId="7FA46DAD" w14:textId="536EEDFE" w:rsidR="00D160A6" w:rsidRPr="00E55D84" w:rsidRDefault="00D160A6" w:rsidP="008E02E4">
      <w:pPr>
        <w:spacing w:line="240" w:lineRule="auto"/>
        <w:jc w:val="both"/>
        <w:rPr>
          <w:rFonts w:ascii="Times New Roman" w:hAnsi="Times New Roman" w:cs="Times New Roman"/>
          <w:b/>
          <w:bCs/>
          <w:i/>
          <w:iCs/>
        </w:rPr>
      </w:pPr>
      <w:r w:rsidRPr="00E55D84">
        <w:rPr>
          <w:rFonts w:ascii="Times New Roman" w:hAnsi="Times New Roman" w:cs="Times New Roman"/>
          <w:b/>
          <w:bCs/>
          <w:i/>
          <w:iCs/>
        </w:rPr>
        <w:t>Hate speech</w:t>
      </w:r>
    </w:p>
    <w:p w14:paraId="5020A1F9" w14:textId="05C3E76C" w:rsidR="00D160A6" w:rsidRPr="00E55D84" w:rsidRDefault="00D160A6" w:rsidP="00C97FE2">
      <w:pPr>
        <w:spacing w:line="240" w:lineRule="auto"/>
        <w:jc w:val="both"/>
        <w:rPr>
          <w:rFonts w:ascii="Times New Roman" w:hAnsi="Times New Roman" w:cs="Times New Roman"/>
          <w:lang w:val="lv-LV"/>
        </w:rPr>
      </w:pPr>
      <w:r w:rsidRPr="00E55D84">
        <w:rPr>
          <w:rFonts w:ascii="Times New Roman" w:hAnsi="Times New Roman" w:cs="Times New Roman"/>
          <w:lang w:val="lv-LV"/>
        </w:rPr>
        <w:lastRenderedPageBreak/>
        <w:t xml:space="preserve">From </w:t>
      </w:r>
      <w:r w:rsidRPr="00E55D84">
        <w:rPr>
          <w:rFonts w:ascii="Times New Roman" w:hAnsi="Times New Roman" w:cs="Times New Roman"/>
          <w:b/>
          <w:bCs/>
          <w:lang w:val="lv-LV"/>
        </w:rPr>
        <w:t>January 2021 until November 2023</w:t>
      </w:r>
      <w:r w:rsidRPr="00E55D84">
        <w:rPr>
          <w:rFonts w:ascii="Times New Roman" w:hAnsi="Times New Roman" w:cs="Times New Roman"/>
          <w:lang w:val="lv-LV"/>
        </w:rPr>
        <w:t xml:space="preserve">, </w:t>
      </w:r>
      <w:r w:rsidR="00D05121" w:rsidRPr="00E55D84">
        <w:rPr>
          <w:rFonts w:ascii="Times New Roman" w:hAnsi="Times New Roman" w:cs="Times New Roman"/>
          <w:lang w:val="lv-LV"/>
        </w:rPr>
        <w:t>Latvian Centre for Human Rights</w:t>
      </w:r>
      <w:r w:rsidRPr="00E55D84">
        <w:rPr>
          <w:rStyle w:val="FootnoteReference"/>
          <w:rFonts w:ascii="Times New Roman" w:hAnsi="Times New Roman" w:cs="Times New Roman"/>
          <w:lang w:val="lv-LV"/>
        </w:rPr>
        <w:footnoteReference w:id="17"/>
      </w:r>
      <w:r w:rsidRPr="00E55D84">
        <w:rPr>
          <w:rFonts w:ascii="Times New Roman" w:hAnsi="Times New Roman" w:cs="Times New Roman"/>
          <w:lang w:val="lv-LV"/>
        </w:rPr>
        <w:t xml:space="preserve"> identified </w:t>
      </w:r>
      <w:r w:rsidRPr="00E55D84">
        <w:rPr>
          <w:rFonts w:ascii="Times New Roman" w:hAnsi="Times New Roman" w:cs="Times New Roman"/>
          <w:b/>
          <w:bCs/>
          <w:lang w:val="lv-LV"/>
        </w:rPr>
        <w:t>2 414 instances of hate speech</w:t>
      </w:r>
      <w:r w:rsidRPr="00E55D84">
        <w:rPr>
          <w:rFonts w:ascii="Times New Roman" w:hAnsi="Times New Roman" w:cs="Times New Roman"/>
          <w:lang w:val="lv-LV"/>
        </w:rPr>
        <w:t xml:space="preserve"> in the user generated content on Latvian internet sites (or in connection with the content generated by Latvian internet users) in Latvian and Russian. The majority of hate speech cases were identified on </w:t>
      </w:r>
      <w:r w:rsidRPr="00E55D84">
        <w:rPr>
          <w:rFonts w:ascii="Times New Roman" w:hAnsi="Times New Roman" w:cs="Times New Roman"/>
          <w:b/>
          <w:bCs/>
          <w:lang w:val="lv-LV"/>
        </w:rPr>
        <w:t>global social networks</w:t>
      </w:r>
      <w:r w:rsidRPr="00E55D84">
        <w:rPr>
          <w:rFonts w:ascii="Times New Roman" w:hAnsi="Times New Roman" w:cs="Times New Roman"/>
          <w:lang w:val="lv-LV"/>
        </w:rPr>
        <w:t xml:space="preserve"> Facebook (Meta), TikTok, Twitter (X), Youtube and Instragram – </w:t>
      </w:r>
      <w:r w:rsidRPr="00E55D84">
        <w:rPr>
          <w:rFonts w:ascii="Times New Roman" w:hAnsi="Times New Roman" w:cs="Times New Roman"/>
          <w:b/>
          <w:bCs/>
          <w:lang w:val="lv-LV"/>
        </w:rPr>
        <w:t>1 607</w:t>
      </w:r>
      <w:r w:rsidRPr="00E55D84">
        <w:rPr>
          <w:rFonts w:ascii="Times New Roman" w:hAnsi="Times New Roman" w:cs="Times New Roman"/>
          <w:lang w:val="lv-LV"/>
        </w:rPr>
        <w:t xml:space="preserve">, while </w:t>
      </w:r>
      <w:r w:rsidRPr="00E55D84">
        <w:rPr>
          <w:rFonts w:ascii="Times New Roman" w:hAnsi="Times New Roman" w:cs="Times New Roman"/>
          <w:b/>
          <w:bCs/>
          <w:lang w:val="lv-LV"/>
        </w:rPr>
        <w:t>807 cases</w:t>
      </w:r>
      <w:r w:rsidRPr="00E55D84">
        <w:rPr>
          <w:rFonts w:ascii="Times New Roman" w:hAnsi="Times New Roman" w:cs="Times New Roman"/>
          <w:lang w:val="lv-LV"/>
        </w:rPr>
        <w:t xml:space="preserve"> of hate speech were identified on </w:t>
      </w:r>
      <w:r w:rsidRPr="00E55D84">
        <w:rPr>
          <w:rFonts w:ascii="Times New Roman" w:hAnsi="Times New Roman" w:cs="Times New Roman"/>
          <w:b/>
          <w:bCs/>
          <w:lang w:val="lv-LV"/>
        </w:rPr>
        <w:t>Latvian internet news sites</w:t>
      </w:r>
      <w:r w:rsidRPr="00E55D84">
        <w:rPr>
          <w:rFonts w:ascii="Times New Roman" w:hAnsi="Times New Roman" w:cs="Times New Roman"/>
          <w:lang w:val="lv-LV"/>
        </w:rPr>
        <w:t xml:space="preserve"> (the largest part on nra.lv, neatkariga.nra.lv). Hate speech was identified through pro-active monitoring of the internet</w:t>
      </w:r>
      <w:r w:rsidRPr="00E55D84">
        <w:rPr>
          <w:rStyle w:val="FootnoteReference"/>
          <w:rFonts w:ascii="Times New Roman" w:hAnsi="Times New Roman" w:cs="Times New Roman"/>
          <w:lang w:val="lv-LV"/>
        </w:rPr>
        <w:footnoteReference w:id="18"/>
      </w:r>
      <w:r w:rsidRPr="00E55D84">
        <w:rPr>
          <w:rFonts w:ascii="Times New Roman" w:hAnsi="Times New Roman" w:cs="Times New Roman"/>
          <w:lang w:val="lv-LV"/>
        </w:rPr>
        <w:t xml:space="preserve"> or from received complaints. Hate speech removal rates were monitored with regard to global social networks as they are bound by the EU Code of Conduct on countering illegal hate speech online. </w:t>
      </w:r>
    </w:p>
    <w:p w14:paraId="4CC4F605" w14:textId="77777777" w:rsidR="00444B28" w:rsidRPr="00E55D84" w:rsidRDefault="00444B28" w:rsidP="00C97FE2">
      <w:pPr>
        <w:spacing w:line="240" w:lineRule="auto"/>
        <w:jc w:val="both"/>
        <w:rPr>
          <w:rFonts w:ascii="Times New Roman" w:hAnsi="Times New Roman" w:cs="Times New Roman"/>
          <w:lang w:val="lv-LV"/>
        </w:rPr>
      </w:pPr>
      <w:r w:rsidRPr="00E55D84">
        <w:rPr>
          <w:rFonts w:ascii="Times New Roman" w:hAnsi="Times New Roman" w:cs="Times New Roman"/>
          <w:lang w:val="lv-LV"/>
        </w:rPr>
        <w:t xml:space="preserve">Concerning the types of hate speech, 30% were calls for violence, murder against different groups or the justification of such acts. 28% were different types of insults, 26% - dehumanisation of different groups of people, 8% - calls for discrimination, 6% - dissemination of prejuce, generalisations to create fear against specific groups of people. In 2% of cases hate speech was manifested as denial, trivialisation of war crimes, crimes against humanity, including Holocaust denial.  </w:t>
      </w:r>
    </w:p>
    <w:p w14:paraId="52F1BE7E" w14:textId="5F519083" w:rsidR="00C97FE2" w:rsidRPr="00E55D84" w:rsidRDefault="00444B28" w:rsidP="00D160A6">
      <w:pPr>
        <w:spacing w:line="240" w:lineRule="auto"/>
        <w:jc w:val="both"/>
        <w:rPr>
          <w:rFonts w:ascii="Times New Roman" w:hAnsi="Times New Roman" w:cs="Times New Roman"/>
          <w:lang w:val="en-GB"/>
        </w:rPr>
      </w:pPr>
      <w:r w:rsidRPr="00E55D84">
        <w:rPr>
          <w:rFonts w:ascii="Times New Roman" w:hAnsi="Times New Roman" w:cs="Times New Roman"/>
          <w:lang w:val="en-GB"/>
        </w:rPr>
        <w:t xml:space="preserve">50% of the identified hate speech was against LGBT+ (45% against gays and lesbians, 5% against trans people), 20% was hate speech due to ethnic or national origin; 18% - xenophobia, 6% - racism (skin colour), 2% against a religious group, 1% due to gender, while 3% against other social groups. </w:t>
      </w:r>
      <w:proofErr w:type="spellStart"/>
      <w:r w:rsidR="00E3366D" w:rsidRPr="00E55D84">
        <w:rPr>
          <w:rFonts w:ascii="Times New Roman" w:hAnsi="Times New Roman" w:cs="Times New Roman"/>
          <w:lang w:val="en-GB"/>
        </w:rPr>
        <w:t>Anti-semitic</w:t>
      </w:r>
      <w:proofErr w:type="spellEnd"/>
      <w:r w:rsidR="00E3366D" w:rsidRPr="00E55D84">
        <w:rPr>
          <w:rFonts w:ascii="Times New Roman" w:hAnsi="Times New Roman" w:cs="Times New Roman"/>
          <w:lang w:val="en-GB"/>
        </w:rPr>
        <w:t xml:space="preserve"> comments related to Latvia on global social networks were limited</w:t>
      </w:r>
      <w:r w:rsidR="00D05121" w:rsidRPr="00E55D84">
        <w:rPr>
          <w:rFonts w:ascii="Times New Roman" w:hAnsi="Times New Roman" w:cs="Times New Roman"/>
          <w:lang w:val="en-GB"/>
        </w:rPr>
        <w:t>,</w:t>
      </w:r>
      <w:r w:rsidR="00853A3F" w:rsidRPr="00E55D84">
        <w:rPr>
          <w:rFonts w:ascii="Times New Roman" w:hAnsi="Times New Roman" w:cs="Times New Roman"/>
          <w:lang w:val="en-GB"/>
        </w:rPr>
        <w:t xml:space="preserve"> </w:t>
      </w:r>
      <w:r w:rsidR="00D05121" w:rsidRPr="00E55D84">
        <w:rPr>
          <w:rFonts w:ascii="Times New Roman" w:hAnsi="Times New Roman" w:cs="Times New Roman"/>
          <w:lang w:val="en-GB"/>
        </w:rPr>
        <w:t>however, a significant number</w:t>
      </w:r>
      <w:r w:rsidR="00A45586" w:rsidRPr="00E55D84">
        <w:rPr>
          <w:rFonts w:ascii="Times New Roman" w:hAnsi="Times New Roman" w:cs="Times New Roman"/>
          <w:lang w:val="en-GB"/>
        </w:rPr>
        <w:t xml:space="preserve"> were </w:t>
      </w:r>
      <w:r w:rsidR="00346287" w:rsidRPr="00E55D84">
        <w:rPr>
          <w:rFonts w:ascii="Times New Roman" w:hAnsi="Times New Roman" w:cs="Times New Roman"/>
          <w:lang w:val="en-GB"/>
        </w:rPr>
        <w:t>mostly</w:t>
      </w:r>
      <w:r w:rsidR="00A45586" w:rsidRPr="00E55D84">
        <w:rPr>
          <w:rFonts w:ascii="Times New Roman" w:hAnsi="Times New Roman" w:cs="Times New Roman"/>
          <w:lang w:val="en-GB"/>
        </w:rPr>
        <w:t xml:space="preserve"> found on two Latvian newspaper </w:t>
      </w:r>
      <w:r w:rsidR="00346287" w:rsidRPr="00E55D84">
        <w:rPr>
          <w:rFonts w:ascii="Times New Roman" w:hAnsi="Times New Roman" w:cs="Times New Roman"/>
          <w:lang w:val="en-GB"/>
        </w:rPr>
        <w:t xml:space="preserve">internet </w:t>
      </w:r>
      <w:r w:rsidR="00A45586" w:rsidRPr="00E55D84">
        <w:rPr>
          <w:rFonts w:ascii="Times New Roman" w:hAnsi="Times New Roman" w:cs="Times New Roman"/>
          <w:lang w:val="en-GB"/>
        </w:rPr>
        <w:t>sites</w:t>
      </w:r>
      <w:r w:rsidR="00E3366D" w:rsidRPr="00E55D84">
        <w:rPr>
          <w:rFonts w:ascii="Times New Roman" w:hAnsi="Times New Roman" w:cs="Times New Roman"/>
          <w:lang w:val="en-GB"/>
        </w:rPr>
        <w:t>. 30,7% of hate speech cases were against Russians. After the Russian invasion of Ukraine hate speech against Ukrainians increased and constituted 13,4% of all identified cases. 6,2% of hate speech cases were against ethnic Latvians, 3% - against Roma.</w:t>
      </w:r>
    </w:p>
    <w:p w14:paraId="788D9649" w14:textId="77777777" w:rsidR="00C6125E" w:rsidRPr="00E55D84" w:rsidRDefault="003056A0" w:rsidP="00C6125E">
      <w:pPr>
        <w:spacing w:before="280" w:after="280" w:line="240" w:lineRule="auto"/>
        <w:jc w:val="both"/>
        <w:rPr>
          <w:rFonts w:ascii="Times New Roman" w:hAnsi="Times New Roman" w:cs="Times New Roman"/>
          <w:iCs/>
          <w:color w:val="000000"/>
        </w:rPr>
      </w:pPr>
      <w:r w:rsidRPr="00E55D84">
        <w:rPr>
          <w:rFonts w:ascii="Times New Roman" w:hAnsi="Times New Roman" w:cs="Times New Roman"/>
          <w:iCs/>
          <w:color w:val="000000"/>
        </w:rPr>
        <w:t>On 2 December 2024, the Latvian Radio issued a statement denouncing attacks against journalists due to their ethnic background or citizenship as unacceptable</w:t>
      </w:r>
      <w:r w:rsidRPr="00E55D84">
        <w:rPr>
          <w:rStyle w:val="FootnoteReference"/>
          <w:rFonts w:ascii="Times New Roman" w:hAnsi="Times New Roman" w:cs="Times New Roman"/>
          <w:iCs/>
          <w:color w:val="000000"/>
        </w:rPr>
        <w:footnoteReference w:id="19"/>
      </w:r>
      <w:r w:rsidRPr="00E55D84">
        <w:rPr>
          <w:rFonts w:ascii="Times New Roman" w:hAnsi="Times New Roman" w:cs="Times New Roman"/>
          <w:iCs/>
          <w:color w:val="000000"/>
        </w:rPr>
        <w:t xml:space="preserve">. It stated that “there have been deliberate and massive attacks on Latvian Radio, discrediting the journalists of the minority language broadcasting programs of Latvian Radio 4 (LR4) and questioning the compliance of the content created by colleagues with the editorial standards of the public media." The case concerned a radio </w:t>
      </w:r>
      <w:proofErr w:type="spellStart"/>
      <w:r w:rsidRPr="00E55D84">
        <w:rPr>
          <w:rFonts w:ascii="Times New Roman" w:hAnsi="Times New Roman" w:cs="Times New Roman"/>
          <w:iCs/>
          <w:color w:val="000000"/>
        </w:rPr>
        <w:t>programme</w:t>
      </w:r>
      <w:proofErr w:type="spellEnd"/>
      <w:r w:rsidRPr="00E55D84">
        <w:rPr>
          <w:rFonts w:ascii="Times New Roman" w:hAnsi="Times New Roman" w:cs="Times New Roman"/>
          <w:iCs/>
          <w:color w:val="000000"/>
        </w:rPr>
        <w:t xml:space="preserve"> hosted by a Russian journalist where an out-of-context phrase concerning the Latvian language was attributed by the listener to the program host and then published on the platform "YouTube".</w:t>
      </w:r>
    </w:p>
    <w:p w14:paraId="0C4B39C1" w14:textId="4558BE69" w:rsidR="00981A29" w:rsidRPr="00E55D84" w:rsidRDefault="00981A29" w:rsidP="00C6125E">
      <w:pPr>
        <w:spacing w:before="280" w:after="280" w:line="240" w:lineRule="auto"/>
        <w:jc w:val="both"/>
        <w:rPr>
          <w:rFonts w:ascii="Times New Roman" w:hAnsi="Times New Roman" w:cs="Times New Roman"/>
          <w:iCs/>
          <w:color w:val="000000"/>
        </w:rPr>
      </w:pPr>
      <w:r w:rsidRPr="00E55D84">
        <w:rPr>
          <w:rFonts w:ascii="Times New Roman" w:hAnsi="Times New Roman" w:cs="Times New Roman"/>
        </w:rPr>
        <w:t>The Latvian Journalists' Association (</w:t>
      </w:r>
      <w:proofErr w:type="spellStart"/>
      <w:r w:rsidRPr="00E55D84">
        <w:rPr>
          <w:rFonts w:ascii="Times New Roman" w:hAnsi="Times New Roman" w:cs="Times New Roman"/>
          <w:i/>
          <w:iCs/>
        </w:rPr>
        <w:t>Latvijas</w:t>
      </w:r>
      <w:proofErr w:type="spellEnd"/>
      <w:r w:rsidRPr="00E55D84">
        <w:rPr>
          <w:rFonts w:ascii="Times New Roman" w:hAnsi="Times New Roman" w:cs="Times New Roman"/>
          <w:i/>
          <w:iCs/>
        </w:rPr>
        <w:t xml:space="preserve"> </w:t>
      </w:r>
      <w:proofErr w:type="spellStart"/>
      <w:r w:rsidRPr="00E55D84">
        <w:rPr>
          <w:rFonts w:ascii="Times New Roman" w:hAnsi="Times New Roman" w:cs="Times New Roman"/>
          <w:i/>
          <w:iCs/>
        </w:rPr>
        <w:t>Žurnālistu</w:t>
      </w:r>
      <w:proofErr w:type="spellEnd"/>
      <w:r w:rsidRPr="00E55D84">
        <w:rPr>
          <w:rFonts w:ascii="Times New Roman" w:hAnsi="Times New Roman" w:cs="Times New Roman"/>
          <w:i/>
          <w:iCs/>
        </w:rPr>
        <w:t xml:space="preserve"> </w:t>
      </w:r>
      <w:proofErr w:type="spellStart"/>
      <w:r w:rsidRPr="00E55D84">
        <w:rPr>
          <w:rFonts w:ascii="Times New Roman" w:hAnsi="Times New Roman" w:cs="Times New Roman"/>
          <w:i/>
          <w:iCs/>
        </w:rPr>
        <w:t>asociācija</w:t>
      </w:r>
      <w:proofErr w:type="spellEnd"/>
      <w:r w:rsidRPr="00E55D84">
        <w:rPr>
          <w:rFonts w:ascii="Times New Roman" w:hAnsi="Times New Roman" w:cs="Times New Roman"/>
        </w:rPr>
        <w:t xml:space="preserve">) has created a platform where anyone, including journalists themselves, can report instances of hate speech, violence, harassment, and intimidation directed at journalists and other media professionals—whether on social media or in everyday life. The LŽA website features a dedicated “alert button” (https://latvijaszurnalisti.lv/uzbrukumi-zurnalistiem/), allowing individuals to submit reports of </w:t>
      </w:r>
      <w:r w:rsidRPr="00E55D84">
        <w:rPr>
          <w:rFonts w:ascii="Times New Roman" w:hAnsi="Times New Roman" w:cs="Times New Roman"/>
        </w:rPr>
        <w:lastRenderedPageBreak/>
        <w:t>experienced violence, hate speech, or harassment. Reports can also be made anonymously. Both journalists and other observers who witness such incidents are encouraged to report them.</w:t>
      </w:r>
    </w:p>
    <w:p w14:paraId="2C25C845" w14:textId="228968C1" w:rsidR="005163D0" w:rsidRPr="00E55D84" w:rsidRDefault="005163D0" w:rsidP="00853A3F">
      <w:pPr>
        <w:spacing w:line="240" w:lineRule="auto"/>
        <w:jc w:val="both"/>
        <w:rPr>
          <w:rFonts w:ascii="Times New Roman" w:hAnsi="Times New Roman" w:cs="Times New Roman"/>
        </w:rPr>
      </w:pPr>
      <w:r w:rsidRPr="00E55D84">
        <w:rPr>
          <w:rFonts w:ascii="Times New Roman" w:hAnsi="Times New Roman" w:cs="Times New Roman"/>
          <w:lang w:val="lv-LV"/>
        </w:rPr>
        <w:t>In 2021, the European Commission instructed EU member states to develop national action plans to combat racism and antisemitism. In April 2023, the Latvian government approved the "Plan for Reducing Racism and Antisemitism in Latvia 2023." While the plan addressed hate speech and hate crime prevention, its activities included only one specific initiative—the "Project for the Prevention and Combating of Intolerance in Latvia (CALDER)."</w:t>
      </w:r>
      <w:r w:rsidR="00853A3F" w:rsidRPr="00E55D84">
        <w:rPr>
          <w:rFonts w:ascii="Times New Roman" w:hAnsi="Times New Roman" w:cs="Times New Roman"/>
          <w:lang w:val="lv-LV"/>
        </w:rPr>
        <w:t xml:space="preserve"> </w:t>
      </w:r>
      <w:r w:rsidRPr="00E55D84">
        <w:rPr>
          <w:rFonts w:ascii="Times New Roman" w:hAnsi="Times New Roman" w:cs="Times New Roman"/>
        </w:rPr>
        <w:t xml:space="preserve">In 2023, the Ministry of Culture drafted the "Plan for Reducing Racism and Antisemitism in Latvia 2024–2027," with public consultations taking place in 2024. However, the plan had not been approved by the government by May 2025. </w:t>
      </w:r>
    </w:p>
    <w:p w14:paraId="60B4F70E" w14:textId="77777777" w:rsidR="00C6125E" w:rsidRPr="00E55D84" w:rsidRDefault="00C6125E" w:rsidP="00853A3F">
      <w:pPr>
        <w:spacing w:line="240" w:lineRule="auto"/>
        <w:jc w:val="both"/>
        <w:rPr>
          <w:rFonts w:ascii="Times New Roman" w:hAnsi="Times New Roman" w:cs="Times New Roman"/>
        </w:rPr>
      </w:pPr>
    </w:p>
    <w:p w14:paraId="511C5390" w14:textId="6E1B2C42" w:rsidR="00A155F7" w:rsidRPr="00727127" w:rsidRDefault="00A155F7" w:rsidP="00853A3F">
      <w:pPr>
        <w:spacing w:line="240" w:lineRule="auto"/>
        <w:jc w:val="both"/>
        <w:rPr>
          <w:rFonts w:ascii="Times New Roman" w:hAnsi="Times New Roman" w:cs="Times New Roman"/>
          <w:b/>
          <w:bCs/>
          <w:i/>
          <w:iCs/>
        </w:rPr>
      </w:pPr>
      <w:r w:rsidRPr="00727127">
        <w:rPr>
          <w:rFonts w:ascii="Times New Roman" w:hAnsi="Times New Roman" w:cs="Times New Roman"/>
          <w:b/>
          <w:bCs/>
          <w:i/>
          <w:iCs/>
        </w:rPr>
        <w:t>Recommendation</w:t>
      </w:r>
      <w:r w:rsidR="00E75741" w:rsidRPr="00727127">
        <w:rPr>
          <w:rFonts w:ascii="Times New Roman" w:hAnsi="Times New Roman" w:cs="Times New Roman"/>
          <w:b/>
          <w:bCs/>
          <w:i/>
          <w:iCs/>
        </w:rPr>
        <w:t>s</w:t>
      </w:r>
      <w:r w:rsidRPr="00727127">
        <w:rPr>
          <w:rFonts w:ascii="Times New Roman" w:hAnsi="Times New Roman" w:cs="Times New Roman"/>
          <w:b/>
          <w:bCs/>
          <w:i/>
          <w:iCs/>
        </w:rPr>
        <w:t>:</w:t>
      </w:r>
    </w:p>
    <w:p w14:paraId="0802CF0B" w14:textId="508C1F08" w:rsidR="00C6125E" w:rsidRPr="00727127" w:rsidRDefault="00DA0119" w:rsidP="00E75741">
      <w:pPr>
        <w:pStyle w:val="ListParagraph"/>
        <w:numPr>
          <w:ilvl w:val="0"/>
          <w:numId w:val="6"/>
        </w:numPr>
        <w:spacing w:line="240" w:lineRule="auto"/>
        <w:jc w:val="both"/>
        <w:rPr>
          <w:rFonts w:ascii="Times New Roman" w:hAnsi="Times New Roman" w:cs="Times New Roman"/>
          <w:b/>
          <w:bCs/>
        </w:rPr>
      </w:pPr>
      <w:r w:rsidRPr="00727127">
        <w:rPr>
          <w:rFonts w:ascii="Times New Roman" w:hAnsi="Times New Roman" w:cs="Times New Roman"/>
          <w:b/>
          <w:bCs/>
        </w:rPr>
        <w:t>Latvia should promptly allocate the necessary funding and adopt the Plan for Reducing Racism and Antisemitism in Latvia 2024–2027 without delay.</w:t>
      </w:r>
    </w:p>
    <w:p w14:paraId="041FF68B" w14:textId="25CD47D9" w:rsidR="00E75741" w:rsidRPr="00727127" w:rsidRDefault="00E75741" w:rsidP="00E75741">
      <w:pPr>
        <w:pStyle w:val="ListParagraph"/>
        <w:numPr>
          <w:ilvl w:val="0"/>
          <w:numId w:val="6"/>
        </w:numPr>
        <w:spacing w:line="240" w:lineRule="auto"/>
        <w:jc w:val="both"/>
        <w:rPr>
          <w:rFonts w:ascii="Times New Roman" w:hAnsi="Times New Roman" w:cs="Times New Roman"/>
          <w:b/>
          <w:bCs/>
        </w:rPr>
      </w:pPr>
      <w:r w:rsidRPr="00727127">
        <w:rPr>
          <w:rFonts w:ascii="Times New Roman" w:hAnsi="Times New Roman" w:cs="Times New Roman"/>
          <w:b/>
          <w:bCs/>
        </w:rPr>
        <w:t>Ensure that all police officers receive basic training on hate crimes</w:t>
      </w:r>
    </w:p>
    <w:p w14:paraId="65931DB0" w14:textId="07163035" w:rsidR="00E75741" w:rsidRPr="00727127" w:rsidRDefault="000112B5" w:rsidP="00E75741">
      <w:pPr>
        <w:pStyle w:val="ListParagraph"/>
        <w:numPr>
          <w:ilvl w:val="0"/>
          <w:numId w:val="6"/>
        </w:numPr>
        <w:spacing w:line="240" w:lineRule="auto"/>
        <w:jc w:val="both"/>
        <w:rPr>
          <w:rFonts w:ascii="Times New Roman" w:hAnsi="Times New Roman" w:cs="Times New Roman"/>
          <w:b/>
          <w:bCs/>
        </w:rPr>
      </w:pPr>
      <w:r w:rsidRPr="00727127">
        <w:rPr>
          <w:rFonts w:ascii="Times New Roman" w:hAnsi="Times New Roman" w:cs="Times New Roman"/>
          <w:b/>
          <w:bCs/>
        </w:rPr>
        <w:t>Establish a dedicated national unit to coordinate the investigation of hate crimes</w:t>
      </w:r>
    </w:p>
    <w:p w14:paraId="462536D4" w14:textId="768B992A" w:rsidR="00972630" w:rsidRPr="00727127" w:rsidRDefault="00972630" w:rsidP="00E75741">
      <w:pPr>
        <w:pStyle w:val="ListParagraph"/>
        <w:numPr>
          <w:ilvl w:val="0"/>
          <w:numId w:val="6"/>
        </w:numPr>
        <w:spacing w:line="240" w:lineRule="auto"/>
        <w:jc w:val="both"/>
        <w:rPr>
          <w:rFonts w:ascii="Times New Roman" w:hAnsi="Times New Roman" w:cs="Times New Roman"/>
          <w:b/>
          <w:bCs/>
        </w:rPr>
      </w:pPr>
      <w:r w:rsidRPr="00727127">
        <w:rPr>
          <w:rFonts w:ascii="Times New Roman" w:hAnsi="Times New Roman" w:cs="Times New Roman"/>
          <w:b/>
          <w:bCs/>
        </w:rPr>
        <w:t>Enhance hate crime data collection by including cases where a hate motive is applied as an aggravating circumstance</w:t>
      </w:r>
    </w:p>
    <w:p w14:paraId="056FA657" w14:textId="43BE2D2E" w:rsidR="00A1166D" w:rsidRPr="00727127" w:rsidRDefault="00A1166D" w:rsidP="00E75741">
      <w:pPr>
        <w:pStyle w:val="ListParagraph"/>
        <w:numPr>
          <w:ilvl w:val="0"/>
          <w:numId w:val="6"/>
        </w:numPr>
        <w:spacing w:line="240" w:lineRule="auto"/>
        <w:jc w:val="both"/>
        <w:rPr>
          <w:rFonts w:ascii="Times New Roman" w:hAnsi="Times New Roman" w:cs="Times New Roman"/>
          <w:b/>
          <w:bCs/>
        </w:rPr>
      </w:pPr>
      <w:r w:rsidRPr="00727127">
        <w:rPr>
          <w:rFonts w:ascii="Times New Roman" w:hAnsi="Times New Roman" w:cs="Times New Roman"/>
          <w:b/>
          <w:bCs/>
        </w:rPr>
        <w:t>Support civil society efforts in monitoring online hate</w:t>
      </w:r>
    </w:p>
    <w:p w14:paraId="08CEEA62" w14:textId="77777777" w:rsidR="00DA0119" w:rsidRPr="00E55D84" w:rsidRDefault="00DA0119" w:rsidP="00853A3F">
      <w:pPr>
        <w:spacing w:line="240" w:lineRule="auto"/>
        <w:jc w:val="both"/>
        <w:rPr>
          <w:rFonts w:ascii="Times New Roman" w:hAnsi="Times New Roman" w:cs="Times New Roman"/>
          <w:lang w:val="lv-LV"/>
        </w:rPr>
      </w:pPr>
    </w:p>
    <w:p w14:paraId="7A22031C" w14:textId="57F6A2EE" w:rsidR="00724A04" w:rsidRPr="00E55D84" w:rsidRDefault="00724A04" w:rsidP="00D160A6">
      <w:pPr>
        <w:spacing w:line="240" w:lineRule="auto"/>
        <w:jc w:val="both"/>
        <w:rPr>
          <w:rFonts w:ascii="Times New Roman" w:hAnsi="Times New Roman" w:cs="Times New Roman"/>
          <w:b/>
          <w:bCs/>
          <w:i/>
          <w:iCs/>
          <w:lang w:val="lv-LV"/>
        </w:rPr>
      </w:pPr>
      <w:r w:rsidRPr="00E55D84">
        <w:rPr>
          <w:rFonts w:ascii="Times New Roman" w:hAnsi="Times New Roman" w:cs="Times New Roman"/>
          <w:b/>
          <w:bCs/>
          <w:i/>
          <w:iCs/>
          <w:lang w:val="lv-LV"/>
        </w:rPr>
        <w:t>Roma</w:t>
      </w:r>
    </w:p>
    <w:p w14:paraId="6A158E8D" w14:textId="08F4F3F3" w:rsidR="00724A04" w:rsidRPr="00E55D84" w:rsidRDefault="00724A04" w:rsidP="00724A04">
      <w:pPr>
        <w:spacing w:line="240" w:lineRule="auto"/>
        <w:jc w:val="both"/>
        <w:rPr>
          <w:rFonts w:ascii="Times New Roman" w:hAnsi="Times New Roman" w:cs="Times New Roman"/>
        </w:rPr>
      </w:pPr>
      <w:r w:rsidRPr="00E55D84">
        <w:rPr>
          <w:rFonts w:ascii="Times New Roman" w:hAnsi="Times New Roman" w:cs="Times New Roman"/>
        </w:rPr>
        <w:t xml:space="preserve">Roma remain one of the most socially vulnerable groups in Latvia. Among them, the proportion of individuals without compulsory basic education is significantly higher than the rest of the Latvian population—1.1% of all residents over the age of 25 have not completed primary school, compared to 32.5% of Roma individuals. </w:t>
      </w:r>
      <w:r w:rsidRPr="00E55D84">
        <w:rPr>
          <w:rFonts w:ascii="Times New Roman" w:hAnsi="Times New Roman" w:cs="Times New Roman"/>
          <w:b/>
          <w:bCs/>
        </w:rPr>
        <w:t>According to a 2023 survey on the Roma situation in Latvia</w:t>
      </w:r>
      <w:r w:rsidR="00524447" w:rsidRPr="00E55D84">
        <w:rPr>
          <w:rStyle w:val="FootnoteReference"/>
          <w:rFonts w:ascii="Times New Roman" w:hAnsi="Times New Roman" w:cs="Times New Roman"/>
          <w:b/>
          <w:bCs/>
        </w:rPr>
        <w:footnoteReference w:id="20"/>
      </w:r>
      <w:r w:rsidRPr="00E55D84">
        <w:rPr>
          <w:rFonts w:ascii="Times New Roman" w:hAnsi="Times New Roman" w:cs="Times New Roman"/>
          <w:b/>
          <w:bCs/>
        </w:rPr>
        <w:t>, 47.7% of Roma children do not wish to attend school due to negative attitudes from other students, 44% avoid school due to early family formation practices, and 41.4% face difficulties in studies</w:t>
      </w:r>
      <w:r w:rsidRPr="00E55D84">
        <w:rPr>
          <w:rFonts w:ascii="Times New Roman" w:hAnsi="Times New Roman" w:cs="Times New Roman"/>
        </w:rPr>
        <w:t>. Additionally, the employment rate among the Romai population is three times lower than the national average. The primary reasons for Roma unemployment include a lack of education and discrimination.</w:t>
      </w:r>
    </w:p>
    <w:p w14:paraId="580AB4A7" w14:textId="77763B73" w:rsidR="00724A04" w:rsidRPr="00E55D84" w:rsidRDefault="00724A04" w:rsidP="00724A04">
      <w:pPr>
        <w:spacing w:line="240" w:lineRule="auto"/>
        <w:jc w:val="both"/>
        <w:rPr>
          <w:rFonts w:ascii="Times New Roman" w:hAnsi="Times New Roman" w:cs="Times New Roman"/>
        </w:rPr>
      </w:pPr>
      <w:r w:rsidRPr="00E55D84">
        <w:rPr>
          <w:rFonts w:ascii="Times New Roman" w:hAnsi="Times New Roman" w:cs="Times New Roman"/>
        </w:rPr>
        <w:t>Housing conditions for the Roma community are among the worst in Latvia. For example, three out of five Roma residents live in homes without central heating, whereas only one in five residents nationwide lives under similar conditions. Furthermore, 45.3% of Roma individuals lack access to a bathroom or shower in their homes, compared to the national average of 13.8%.</w:t>
      </w:r>
    </w:p>
    <w:p w14:paraId="2DC1470E" w14:textId="3394C111" w:rsidR="00724A04" w:rsidRPr="00E55D84" w:rsidRDefault="00724A04" w:rsidP="00724A04">
      <w:pPr>
        <w:spacing w:line="240" w:lineRule="auto"/>
        <w:jc w:val="both"/>
        <w:rPr>
          <w:rFonts w:ascii="Times New Roman" w:hAnsi="Times New Roman" w:cs="Times New Roman"/>
          <w:b/>
          <w:bCs/>
        </w:rPr>
      </w:pPr>
      <w:r w:rsidRPr="00E55D84">
        <w:rPr>
          <w:rFonts w:ascii="Times New Roman" w:hAnsi="Times New Roman" w:cs="Times New Roman"/>
        </w:rPr>
        <w:t>To comply with the European Council’s Recommendation on Equality, Inclusion, and Participation of Rom</w:t>
      </w:r>
      <w:r w:rsidR="007A15B5" w:rsidRPr="00E55D84">
        <w:rPr>
          <w:rFonts w:ascii="Times New Roman" w:hAnsi="Times New Roman" w:cs="Times New Roman"/>
        </w:rPr>
        <w:t>a</w:t>
      </w:r>
      <w:r w:rsidRPr="00E55D84">
        <w:rPr>
          <w:rFonts w:ascii="Times New Roman" w:hAnsi="Times New Roman" w:cs="Times New Roman"/>
        </w:rPr>
        <w:t xml:space="preserve"> People (2021/C 93/01), adopted on 12 March 2021, the Latvian government approved a strategic framework plan for Roma-related measures for 2022-2023. The plan aims to promote Roma participation in various aspects of society, including education, employment, healthcare, </w:t>
      </w:r>
      <w:r w:rsidRPr="00E55D84">
        <w:rPr>
          <w:rFonts w:ascii="Times New Roman" w:hAnsi="Times New Roman" w:cs="Times New Roman"/>
        </w:rPr>
        <w:lastRenderedPageBreak/>
        <w:t xml:space="preserve">housing, civil society, and culture. For instance, the plan includes provisions for Romani teaching assistants in schools with Roma students, ensuring individualized collaboration with parents. It also seeks to establish a preschool monitoring mechanism to track Romani children who do not attend early education institutions. </w:t>
      </w:r>
      <w:r w:rsidRPr="00E55D84">
        <w:rPr>
          <w:rFonts w:ascii="Times New Roman" w:hAnsi="Times New Roman" w:cs="Times New Roman"/>
          <w:b/>
          <w:bCs/>
        </w:rPr>
        <w:t>However, the majority of funding for social measures within the plan comes from EU sources or general social programs intended for all residents.</w:t>
      </w:r>
    </w:p>
    <w:p w14:paraId="6ACFBC80" w14:textId="42A8172C" w:rsidR="00724A04" w:rsidRPr="00E55D84" w:rsidRDefault="00724A04" w:rsidP="00724A04">
      <w:pPr>
        <w:spacing w:line="240" w:lineRule="auto"/>
        <w:jc w:val="both"/>
        <w:rPr>
          <w:rFonts w:ascii="Times New Roman" w:hAnsi="Times New Roman" w:cs="Times New Roman"/>
          <w:b/>
          <w:bCs/>
        </w:rPr>
      </w:pPr>
      <w:r w:rsidRPr="00E55D84">
        <w:rPr>
          <w:rFonts w:ascii="Times New Roman" w:hAnsi="Times New Roman" w:cs="Times New Roman"/>
        </w:rPr>
        <w:t>The Roma population is recognized as a specific target group in multiple policy documents. The Education Development Guidelines (2021-2027)</w:t>
      </w:r>
      <w:r w:rsidR="00C350A0" w:rsidRPr="00E55D84">
        <w:rPr>
          <w:rStyle w:val="FootnoteReference"/>
          <w:rFonts w:ascii="Times New Roman" w:hAnsi="Times New Roman" w:cs="Times New Roman"/>
        </w:rPr>
        <w:footnoteReference w:id="21"/>
      </w:r>
      <w:r w:rsidRPr="00E55D84">
        <w:rPr>
          <w:rFonts w:ascii="Times New Roman" w:hAnsi="Times New Roman" w:cs="Times New Roman"/>
        </w:rPr>
        <w:t xml:space="preserve"> prioritize support for Roma students, particularly through expanding the practice of Romani teaching assistants in schools with a larger Romani student population. The Public Health Guidelines (2021-2027) emphasize improving access to healthcare support, particularly for Roma</w:t>
      </w:r>
      <w:r w:rsidR="00DF60DB" w:rsidRPr="00E55D84">
        <w:rPr>
          <w:rFonts w:ascii="Times New Roman" w:hAnsi="Times New Roman" w:cs="Times New Roman"/>
        </w:rPr>
        <w:t xml:space="preserve"> </w:t>
      </w:r>
      <w:r w:rsidRPr="00E55D84">
        <w:rPr>
          <w:rFonts w:ascii="Times New Roman" w:hAnsi="Times New Roman" w:cs="Times New Roman"/>
        </w:rPr>
        <w:t xml:space="preserve">individuals facing reproductive health issues, HIV, viral hepatitis, and limited knowledge about available healthcare services. Meanwhile, the Social Protection and </w:t>
      </w:r>
      <w:proofErr w:type="spellStart"/>
      <w:r w:rsidRPr="00E55D84">
        <w:rPr>
          <w:rFonts w:ascii="Times New Roman" w:hAnsi="Times New Roman" w:cs="Times New Roman"/>
        </w:rPr>
        <w:t>Labour</w:t>
      </w:r>
      <w:proofErr w:type="spellEnd"/>
      <w:r w:rsidRPr="00E55D84">
        <w:rPr>
          <w:rFonts w:ascii="Times New Roman" w:hAnsi="Times New Roman" w:cs="Times New Roman"/>
        </w:rPr>
        <w:t xml:space="preserve"> Market Policy Guidelines (2021-2027) acknowledge Roma people as a group at risk of poverty</w:t>
      </w:r>
      <w:r w:rsidR="00A27E0E" w:rsidRPr="00E55D84">
        <w:rPr>
          <w:rStyle w:val="FootnoteReference"/>
          <w:rFonts w:ascii="Times New Roman" w:hAnsi="Times New Roman" w:cs="Times New Roman"/>
        </w:rPr>
        <w:footnoteReference w:id="22"/>
      </w:r>
      <w:r w:rsidRPr="00E55D84">
        <w:rPr>
          <w:rFonts w:ascii="Times New Roman" w:hAnsi="Times New Roman" w:cs="Times New Roman"/>
        </w:rPr>
        <w:t xml:space="preserve">, </w:t>
      </w:r>
      <w:r w:rsidRPr="00E55D84">
        <w:rPr>
          <w:rFonts w:ascii="Times New Roman" w:hAnsi="Times New Roman" w:cs="Times New Roman"/>
          <w:b/>
          <w:bCs/>
        </w:rPr>
        <w:t>though no specific measures for their support are included in the action plan.</w:t>
      </w:r>
    </w:p>
    <w:p w14:paraId="3E7F613A" w14:textId="77777777" w:rsidR="00724A04" w:rsidRPr="00E55D84" w:rsidRDefault="00724A04" w:rsidP="00724A04">
      <w:pPr>
        <w:spacing w:line="240" w:lineRule="auto"/>
        <w:jc w:val="both"/>
        <w:rPr>
          <w:rFonts w:ascii="Times New Roman" w:hAnsi="Times New Roman" w:cs="Times New Roman"/>
        </w:rPr>
      </w:pPr>
      <w:r w:rsidRPr="00E55D84">
        <w:rPr>
          <w:rFonts w:ascii="Times New Roman" w:hAnsi="Times New Roman" w:cs="Times New Roman"/>
        </w:rPr>
        <w:t>Since 2012, Latvia’s Ministry of Culture has overseen the Consultative Council for Romani Integration Policy Implementation, which aims to foster Romani integration, evaluate policy effectiveness, strengthen cooperation between the Romani community and state institutions, and enhance Romani civic participation.</w:t>
      </w:r>
    </w:p>
    <w:p w14:paraId="37C1C91C" w14:textId="0009D9E2" w:rsidR="00724A04" w:rsidRPr="00E55D84" w:rsidRDefault="00724A04" w:rsidP="00724A04">
      <w:pPr>
        <w:spacing w:line="240" w:lineRule="auto"/>
        <w:jc w:val="both"/>
        <w:rPr>
          <w:rFonts w:ascii="Times New Roman" w:hAnsi="Times New Roman" w:cs="Times New Roman"/>
          <w:b/>
          <w:bCs/>
        </w:rPr>
      </w:pPr>
      <w:r w:rsidRPr="00E55D84">
        <w:rPr>
          <w:rFonts w:ascii="Times New Roman" w:hAnsi="Times New Roman" w:cs="Times New Roman"/>
        </w:rPr>
        <w:t xml:space="preserve">Educational monitoring data from 2016-2017 revealed that 34.2% of Romani schoolchildren followed special education programs. Romani students accounted for 22.4% in learning difficulty programs and 39% in special education programs designed for children with intellectual disabilities. The disproportionately high number of Romani children in special education raised concerns about diagnostic procedures. In 2019, the European Commission against Racism and Intolerance (ECRI) urged Latvia to address the unjustified placement of Romani children in special education. </w:t>
      </w:r>
      <w:r w:rsidR="00470C2F" w:rsidRPr="00E55D84">
        <w:rPr>
          <w:rFonts w:ascii="Times New Roman" w:hAnsi="Times New Roman" w:cs="Times New Roman"/>
        </w:rPr>
        <w:t xml:space="preserve">The share of Roma </w:t>
      </w:r>
      <w:r w:rsidR="00683534" w:rsidRPr="00E55D84">
        <w:rPr>
          <w:rFonts w:ascii="Times New Roman" w:hAnsi="Times New Roman" w:cs="Times New Roman"/>
        </w:rPr>
        <w:t xml:space="preserve">in special education </w:t>
      </w:r>
      <w:proofErr w:type="spellStart"/>
      <w:r w:rsidR="00683534" w:rsidRPr="00E55D84">
        <w:rPr>
          <w:rFonts w:ascii="Times New Roman" w:hAnsi="Times New Roman" w:cs="Times New Roman"/>
        </w:rPr>
        <w:t>programme</w:t>
      </w:r>
      <w:proofErr w:type="spellEnd"/>
      <w:r w:rsidR="00683534" w:rsidRPr="00E55D84">
        <w:rPr>
          <w:rFonts w:ascii="Times New Roman" w:hAnsi="Times New Roman" w:cs="Times New Roman"/>
        </w:rPr>
        <w:t xml:space="preserve"> has </w:t>
      </w:r>
      <w:r w:rsidR="00765EE6" w:rsidRPr="00E55D84">
        <w:rPr>
          <w:rFonts w:ascii="Times New Roman" w:hAnsi="Times New Roman" w:cs="Times New Roman"/>
        </w:rPr>
        <w:t xml:space="preserve">since </w:t>
      </w:r>
      <w:r w:rsidR="00683534" w:rsidRPr="00E55D84">
        <w:rPr>
          <w:rFonts w:ascii="Times New Roman" w:hAnsi="Times New Roman" w:cs="Times New Roman"/>
        </w:rPr>
        <w:t xml:space="preserve">diminished, however, </w:t>
      </w:r>
      <w:r w:rsidR="00683534" w:rsidRPr="00E55D84">
        <w:rPr>
          <w:rFonts w:ascii="Times New Roman" w:hAnsi="Times New Roman" w:cs="Times New Roman"/>
          <w:b/>
          <w:bCs/>
        </w:rPr>
        <w:t>i</w:t>
      </w:r>
      <w:r w:rsidRPr="00E55D84">
        <w:rPr>
          <w:rFonts w:ascii="Times New Roman" w:hAnsi="Times New Roman" w:cs="Times New Roman"/>
          <w:b/>
          <w:bCs/>
        </w:rPr>
        <w:t>n 2022, Latvia’s Ombudsman also found that Romani children were possibly being assigned to special education programs intended for those with congenital cognitive disabilities</w:t>
      </w:r>
      <w:r w:rsidR="005A7F3C" w:rsidRPr="00E55D84">
        <w:rPr>
          <w:rStyle w:val="FootnoteReference"/>
          <w:rFonts w:ascii="Times New Roman" w:hAnsi="Times New Roman" w:cs="Times New Roman"/>
          <w:b/>
          <w:bCs/>
        </w:rPr>
        <w:footnoteReference w:id="23"/>
      </w:r>
      <w:r w:rsidRPr="00E55D84">
        <w:rPr>
          <w:rFonts w:ascii="Times New Roman" w:hAnsi="Times New Roman" w:cs="Times New Roman"/>
          <w:b/>
          <w:bCs/>
        </w:rPr>
        <w:t>.</w:t>
      </w:r>
      <w:r w:rsidRPr="00E55D84">
        <w:rPr>
          <w:rFonts w:ascii="Times New Roman" w:hAnsi="Times New Roman" w:cs="Times New Roman"/>
        </w:rPr>
        <w:t xml:space="preserve"> Consequently, the Ombudsman recommended an assessment of local pedagogical-medical commissions to prevent unwarranted placement of Romani children in special education institutions or programs. </w:t>
      </w:r>
      <w:r w:rsidRPr="00E55D84">
        <w:rPr>
          <w:rFonts w:ascii="Times New Roman" w:hAnsi="Times New Roman" w:cs="Times New Roman"/>
          <w:b/>
          <w:bCs/>
        </w:rPr>
        <w:t xml:space="preserve">The study on the Romani situation in Latvia (2023) concludes that Roma student numbers </w:t>
      </w:r>
      <w:r w:rsidR="000A16A9" w:rsidRPr="00E55D84">
        <w:rPr>
          <w:rFonts w:ascii="Times New Roman" w:hAnsi="Times New Roman" w:cs="Times New Roman"/>
          <w:b/>
          <w:bCs/>
        </w:rPr>
        <w:t xml:space="preserve">in schools </w:t>
      </w:r>
      <w:r w:rsidRPr="00E55D84">
        <w:rPr>
          <w:rFonts w:ascii="Times New Roman" w:hAnsi="Times New Roman" w:cs="Times New Roman"/>
          <w:b/>
          <w:bCs/>
        </w:rPr>
        <w:t xml:space="preserve">have not been officially monitored since the 2016-2017 </w:t>
      </w:r>
      <w:r w:rsidR="000A16A9" w:rsidRPr="00E55D84">
        <w:rPr>
          <w:rFonts w:ascii="Times New Roman" w:hAnsi="Times New Roman" w:cs="Times New Roman"/>
          <w:b/>
          <w:bCs/>
        </w:rPr>
        <w:t>school</w:t>
      </w:r>
      <w:r w:rsidRPr="00E55D84">
        <w:rPr>
          <w:rFonts w:ascii="Times New Roman" w:hAnsi="Times New Roman" w:cs="Times New Roman"/>
          <w:b/>
          <w:bCs/>
        </w:rPr>
        <w:t xml:space="preserve"> year.</w:t>
      </w:r>
      <w:r w:rsidR="000A16A9" w:rsidRPr="00E55D84">
        <w:rPr>
          <w:rStyle w:val="FootnoteReference"/>
          <w:rFonts w:ascii="Times New Roman" w:hAnsi="Times New Roman" w:cs="Times New Roman"/>
          <w:b/>
          <w:bCs/>
        </w:rPr>
        <w:footnoteReference w:id="24"/>
      </w:r>
    </w:p>
    <w:p w14:paraId="204D0540" w14:textId="7EFE71EE" w:rsidR="00724A04" w:rsidRPr="00E55D84" w:rsidRDefault="00724A04" w:rsidP="00724A04">
      <w:pPr>
        <w:spacing w:line="240" w:lineRule="auto"/>
        <w:jc w:val="both"/>
        <w:rPr>
          <w:rFonts w:ascii="Times New Roman" w:hAnsi="Times New Roman" w:cs="Times New Roman"/>
        </w:rPr>
      </w:pPr>
      <w:r w:rsidRPr="00E55D84">
        <w:rPr>
          <w:rFonts w:ascii="Times New Roman" w:hAnsi="Times New Roman" w:cs="Times New Roman"/>
        </w:rPr>
        <w:t>Since 2016, with European Commission support, Latvia has developed the Latvian Romani Platform</w:t>
      </w:r>
      <w:r w:rsidR="0044601D" w:rsidRPr="00E55D84">
        <w:rPr>
          <w:rFonts w:ascii="Times New Roman" w:hAnsi="Times New Roman" w:cs="Times New Roman"/>
        </w:rPr>
        <w:t xml:space="preserve"> - </w:t>
      </w:r>
      <w:r w:rsidRPr="00E55D84">
        <w:rPr>
          <w:rFonts w:ascii="Times New Roman" w:hAnsi="Times New Roman" w:cs="Times New Roman"/>
        </w:rPr>
        <w:t xml:space="preserve">a coordination mechanism aimed at improving collaboration, communication, experience-sharing, and awareness among stakeholders in Romani integration efforts. One of the platform’s key contributions has been supporting Romani mediators in various Latvian municipalities. Local governments have recognized the positive impact of Romani mediators in facilitating communication with Romani communities. However, their work is funded through </w:t>
      </w:r>
      <w:r w:rsidRPr="00E55D84">
        <w:rPr>
          <w:rFonts w:ascii="Times New Roman" w:hAnsi="Times New Roman" w:cs="Times New Roman"/>
        </w:rPr>
        <w:lastRenderedPageBreak/>
        <w:t>project resources in a limited capacity and is generally low-paid. The Council of Europe’s Advisory Committee has recommended that Latvia allocate state funding for Romani mediators in municipalities with significant Romani populations.</w:t>
      </w:r>
    </w:p>
    <w:p w14:paraId="1906D9EF" w14:textId="6A75E2EC" w:rsidR="0044601D" w:rsidRPr="00727127" w:rsidRDefault="0044601D" w:rsidP="00724A04">
      <w:pPr>
        <w:spacing w:line="240" w:lineRule="auto"/>
        <w:jc w:val="both"/>
        <w:rPr>
          <w:rFonts w:ascii="Times New Roman" w:hAnsi="Times New Roman" w:cs="Times New Roman"/>
          <w:b/>
          <w:bCs/>
          <w:i/>
          <w:iCs/>
        </w:rPr>
      </w:pPr>
      <w:r w:rsidRPr="00727127">
        <w:rPr>
          <w:rFonts w:ascii="Times New Roman" w:hAnsi="Times New Roman" w:cs="Times New Roman"/>
          <w:b/>
          <w:bCs/>
          <w:i/>
          <w:iCs/>
        </w:rPr>
        <w:t>Recommendations</w:t>
      </w:r>
    </w:p>
    <w:p w14:paraId="0336D567" w14:textId="18A24D03" w:rsidR="00687625" w:rsidRPr="00E55D84" w:rsidRDefault="00687625" w:rsidP="009B1A08">
      <w:pPr>
        <w:pStyle w:val="ListParagraph"/>
        <w:numPr>
          <w:ilvl w:val="0"/>
          <w:numId w:val="7"/>
        </w:numPr>
        <w:spacing w:line="240" w:lineRule="auto"/>
        <w:jc w:val="both"/>
        <w:rPr>
          <w:rFonts w:ascii="Times New Roman" w:hAnsi="Times New Roman" w:cs="Times New Roman"/>
          <w:b/>
          <w:bCs/>
        </w:rPr>
      </w:pPr>
      <w:r w:rsidRPr="00E55D84">
        <w:rPr>
          <w:rFonts w:ascii="Times New Roman" w:hAnsi="Times New Roman" w:cs="Times New Roman"/>
          <w:b/>
          <w:bCs/>
        </w:rPr>
        <w:t>Implement measures specifically aimed at improving Roma employment, educational opportunities</w:t>
      </w:r>
    </w:p>
    <w:p w14:paraId="4314E0D1" w14:textId="2051F528" w:rsidR="00E368FB" w:rsidRPr="00E55D84" w:rsidRDefault="000F5BFA" w:rsidP="009B1A08">
      <w:pPr>
        <w:pStyle w:val="ListParagraph"/>
        <w:numPr>
          <w:ilvl w:val="0"/>
          <w:numId w:val="7"/>
        </w:numPr>
        <w:spacing w:line="240" w:lineRule="auto"/>
        <w:jc w:val="both"/>
        <w:rPr>
          <w:rFonts w:ascii="Times New Roman" w:hAnsi="Times New Roman" w:cs="Times New Roman"/>
          <w:b/>
          <w:bCs/>
        </w:rPr>
      </w:pPr>
      <w:r w:rsidRPr="00E55D84">
        <w:rPr>
          <w:rFonts w:ascii="Times New Roman" w:hAnsi="Times New Roman" w:cs="Times New Roman"/>
          <w:b/>
          <w:bCs/>
        </w:rPr>
        <w:t>Allocate state funding for Roma mediators in municipalities with significan</w:t>
      </w:r>
      <w:r w:rsidR="0071715E" w:rsidRPr="00E55D84">
        <w:rPr>
          <w:rFonts w:ascii="Times New Roman" w:hAnsi="Times New Roman" w:cs="Times New Roman"/>
          <w:b/>
          <w:bCs/>
        </w:rPr>
        <w:t>t Roma populations</w:t>
      </w:r>
    </w:p>
    <w:p w14:paraId="66570CFA" w14:textId="6BE195E9" w:rsidR="00385C22" w:rsidRPr="00E55D84" w:rsidRDefault="00385C22" w:rsidP="009B1A08">
      <w:pPr>
        <w:pStyle w:val="ListParagraph"/>
        <w:numPr>
          <w:ilvl w:val="0"/>
          <w:numId w:val="7"/>
        </w:numPr>
        <w:spacing w:line="240" w:lineRule="auto"/>
        <w:jc w:val="both"/>
        <w:rPr>
          <w:rFonts w:ascii="Times New Roman" w:hAnsi="Times New Roman" w:cs="Times New Roman"/>
          <w:b/>
          <w:bCs/>
        </w:rPr>
      </w:pPr>
      <w:r w:rsidRPr="00E55D84">
        <w:rPr>
          <w:rFonts w:ascii="Times New Roman" w:hAnsi="Times New Roman" w:cs="Times New Roman"/>
          <w:b/>
          <w:bCs/>
        </w:rPr>
        <w:t xml:space="preserve">Collect </w:t>
      </w:r>
      <w:proofErr w:type="spellStart"/>
      <w:r w:rsidRPr="00E55D84">
        <w:rPr>
          <w:rFonts w:ascii="Times New Roman" w:hAnsi="Times New Roman" w:cs="Times New Roman"/>
          <w:b/>
          <w:bCs/>
        </w:rPr>
        <w:t>anonymised</w:t>
      </w:r>
      <w:proofErr w:type="spellEnd"/>
      <w:r w:rsidRPr="00E55D84">
        <w:rPr>
          <w:rFonts w:ascii="Times New Roman" w:hAnsi="Times New Roman" w:cs="Times New Roman"/>
          <w:b/>
          <w:bCs/>
        </w:rPr>
        <w:t>, disaggregated data on Roma educational attainment to better assess disparities and develop targeted policies</w:t>
      </w:r>
    </w:p>
    <w:p w14:paraId="148B77C4" w14:textId="77777777" w:rsidR="0044601D" w:rsidRPr="00E55D84" w:rsidRDefault="0044601D" w:rsidP="0044601D">
      <w:pPr>
        <w:spacing w:line="240" w:lineRule="auto"/>
        <w:ind w:left="360"/>
        <w:jc w:val="both"/>
        <w:rPr>
          <w:rFonts w:ascii="Times New Roman" w:hAnsi="Times New Roman" w:cs="Times New Roman"/>
          <w:b/>
          <w:bCs/>
        </w:rPr>
      </w:pPr>
    </w:p>
    <w:p w14:paraId="63FABB6A" w14:textId="77777777" w:rsidR="005D6748" w:rsidRPr="00E55D84" w:rsidRDefault="005D6748" w:rsidP="003238B2">
      <w:pPr>
        <w:spacing w:line="240" w:lineRule="auto"/>
        <w:jc w:val="both"/>
        <w:rPr>
          <w:rFonts w:ascii="Times New Roman" w:hAnsi="Times New Roman" w:cs="Times New Roman"/>
          <w:i/>
          <w:iCs/>
        </w:rPr>
      </w:pPr>
    </w:p>
    <w:p w14:paraId="21F876F2" w14:textId="5FCA03A5" w:rsidR="003238B2" w:rsidRPr="00E55D84" w:rsidRDefault="003238B2" w:rsidP="003238B2">
      <w:pPr>
        <w:spacing w:line="240" w:lineRule="auto"/>
        <w:jc w:val="both"/>
        <w:rPr>
          <w:rFonts w:ascii="Times New Roman" w:hAnsi="Times New Roman" w:cs="Times New Roman"/>
          <w:b/>
          <w:bCs/>
          <w:i/>
          <w:iCs/>
        </w:rPr>
      </w:pPr>
      <w:r w:rsidRPr="00E55D84">
        <w:rPr>
          <w:rFonts w:ascii="Times New Roman" w:hAnsi="Times New Roman" w:cs="Times New Roman"/>
          <w:b/>
          <w:bCs/>
          <w:i/>
          <w:iCs/>
        </w:rPr>
        <w:t>Civil Partnerships</w:t>
      </w:r>
    </w:p>
    <w:p w14:paraId="53F7D52A" w14:textId="0F6F5C26" w:rsidR="003238B2" w:rsidRPr="00E55D84" w:rsidRDefault="003238B2" w:rsidP="003238B2">
      <w:pPr>
        <w:spacing w:line="240" w:lineRule="auto"/>
        <w:jc w:val="both"/>
        <w:rPr>
          <w:rFonts w:ascii="Times New Roman" w:hAnsi="Times New Roman" w:cs="Times New Roman"/>
        </w:rPr>
      </w:pPr>
      <w:r w:rsidRPr="00E55D84">
        <w:rPr>
          <w:rFonts w:ascii="Times New Roman" w:hAnsi="Times New Roman" w:cs="Times New Roman"/>
        </w:rPr>
        <w:t xml:space="preserve">On 9 November 2023, the </w:t>
      </w:r>
      <w:proofErr w:type="spellStart"/>
      <w:r w:rsidRPr="00E55D84">
        <w:rPr>
          <w:rFonts w:ascii="Times New Roman" w:hAnsi="Times New Roman" w:cs="Times New Roman"/>
        </w:rPr>
        <w:t>Saeima</w:t>
      </w:r>
      <w:proofErr w:type="spellEnd"/>
      <w:r w:rsidRPr="00E55D84">
        <w:rPr>
          <w:rFonts w:ascii="Times New Roman" w:hAnsi="Times New Roman" w:cs="Times New Roman"/>
        </w:rPr>
        <w:t xml:space="preserve"> amended eight laws</w:t>
      </w:r>
      <w:r w:rsidRPr="00E55D84">
        <w:rPr>
          <w:rStyle w:val="FootnoteReference"/>
          <w:rFonts w:ascii="Times New Roman" w:hAnsi="Times New Roman" w:cs="Times New Roman"/>
        </w:rPr>
        <w:footnoteReference w:id="25"/>
      </w:r>
      <w:r w:rsidRPr="00E55D84">
        <w:rPr>
          <w:rFonts w:ascii="Times New Roman" w:hAnsi="Times New Roman" w:cs="Times New Roman"/>
        </w:rPr>
        <w:t xml:space="preserve"> to establish a partnership institution, legally recognizing relationships between two adults, including same-sex couples. The amendments followed a Constitutional Court ruling</w:t>
      </w:r>
      <w:r w:rsidRPr="00E55D84">
        <w:rPr>
          <w:rStyle w:val="FootnoteReference"/>
          <w:rFonts w:ascii="Times New Roman" w:hAnsi="Times New Roman" w:cs="Times New Roman"/>
        </w:rPr>
        <w:footnoteReference w:id="26"/>
      </w:r>
      <w:r w:rsidRPr="00E55D84">
        <w:rPr>
          <w:rFonts w:ascii="Times New Roman" w:hAnsi="Times New Roman" w:cs="Times New Roman"/>
        </w:rPr>
        <w:t xml:space="preserve"> requiring legal protection for all families.</w:t>
      </w:r>
    </w:p>
    <w:p w14:paraId="321CB223" w14:textId="18BB6086" w:rsidR="003238B2" w:rsidRPr="00E55D84" w:rsidRDefault="003238B2" w:rsidP="003238B2">
      <w:pPr>
        <w:spacing w:line="240" w:lineRule="auto"/>
        <w:jc w:val="both"/>
        <w:rPr>
          <w:rFonts w:ascii="Times New Roman" w:hAnsi="Times New Roman" w:cs="Times New Roman"/>
        </w:rPr>
      </w:pPr>
      <w:r w:rsidRPr="00E55D84">
        <w:rPr>
          <w:rFonts w:ascii="Times New Roman" w:hAnsi="Times New Roman" w:cs="Times New Roman"/>
        </w:rPr>
        <w:t>Partnerships allow individuals to register their relationship before a notary, granting legal and social protection, though they are not equal to marriage. The changes provide medical decision-making rights, social security benefits, tax relief, and regulate conflict-of-interest rules for public officials.</w:t>
      </w:r>
    </w:p>
    <w:p w14:paraId="698019EC" w14:textId="2BF22685" w:rsidR="003D399A" w:rsidRPr="00E55D84" w:rsidRDefault="003238B2" w:rsidP="003238B2">
      <w:pPr>
        <w:spacing w:line="240" w:lineRule="auto"/>
        <w:jc w:val="both"/>
        <w:rPr>
          <w:rFonts w:ascii="Times New Roman" w:hAnsi="Times New Roman" w:cs="Times New Roman"/>
        </w:rPr>
      </w:pPr>
      <w:r w:rsidRPr="00E55D84">
        <w:rPr>
          <w:rFonts w:ascii="Times New Roman" w:hAnsi="Times New Roman" w:cs="Times New Roman"/>
        </w:rPr>
        <w:t>Opposition efforts to stall the law through a referendum failed, as only 35,191 signatures were collected—far below the required 154,241.</w:t>
      </w:r>
      <w:r w:rsidRPr="00E55D84">
        <w:rPr>
          <w:rStyle w:val="FootnoteReference"/>
          <w:rFonts w:ascii="Times New Roman" w:hAnsi="Times New Roman" w:cs="Times New Roman"/>
        </w:rPr>
        <w:footnoteReference w:id="27"/>
      </w:r>
      <w:r w:rsidRPr="00E55D84">
        <w:rPr>
          <w:rFonts w:ascii="Times New Roman" w:hAnsi="Times New Roman" w:cs="Times New Roman"/>
        </w:rPr>
        <w:t xml:space="preserve"> The amendments took effect on 1 July 2024, though the LGBT+ community argues they do not address property rights or adoption.</w:t>
      </w:r>
    </w:p>
    <w:p w14:paraId="72C1C5ED" w14:textId="423AF58B" w:rsidR="0044601D" w:rsidRPr="00727127" w:rsidRDefault="0044601D" w:rsidP="003238B2">
      <w:pPr>
        <w:spacing w:line="240" w:lineRule="auto"/>
        <w:jc w:val="both"/>
        <w:rPr>
          <w:rFonts w:ascii="Times New Roman" w:hAnsi="Times New Roman" w:cs="Times New Roman"/>
          <w:b/>
          <w:bCs/>
          <w:i/>
          <w:iCs/>
        </w:rPr>
      </w:pPr>
      <w:r w:rsidRPr="00727127">
        <w:rPr>
          <w:rFonts w:ascii="Times New Roman" w:hAnsi="Times New Roman" w:cs="Times New Roman"/>
          <w:b/>
          <w:bCs/>
          <w:i/>
          <w:iCs/>
        </w:rPr>
        <w:t xml:space="preserve">Recommendations: </w:t>
      </w:r>
    </w:p>
    <w:p w14:paraId="596BA277" w14:textId="5116DB7B" w:rsidR="00E368FB" w:rsidRPr="00E55D84" w:rsidRDefault="006B2199" w:rsidP="003238B2">
      <w:pPr>
        <w:spacing w:line="240" w:lineRule="auto"/>
        <w:jc w:val="both"/>
        <w:rPr>
          <w:rFonts w:ascii="Times New Roman" w:hAnsi="Times New Roman" w:cs="Times New Roman"/>
        </w:rPr>
      </w:pPr>
      <w:r w:rsidRPr="00E55D84">
        <w:rPr>
          <w:rFonts w:ascii="Times New Roman" w:hAnsi="Times New Roman" w:cs="Times New Roman"/>
          <w:b/>
          <w:bCs/>
        </w:rPr>
        <w:t>To enhance the legal framework, ensuring same-sex partnerships receive expanded rights and protections beyond their current limitations.</w:t>
      </w:r>
    </w:p>
    <w:p w14:paraId="6BF819A0" w14:textId="77777777" w:rsidR="00727127" w:rsidRDefault="00727127" w:rsidP="003238B2">
      <w:pPr>
        <w:spacing w:line="240" w:lineRule="auto"/>
        <w:jc w:val="both"/>
        <w:rPr>
          <w:rFonts w:ascii="Times New Roman" w:hAnsi="Times New Roman" w:cs="Times New Roman"/>
          <w:b/>
          <w:bCs/>
          <w:i/>
          <w:iCs/>
        </w:rPr>
      </w:pPr>
    </w:p>
    <w:p w14:paraId="0E11A04A" w14:textId="45A87E0A" w:rsidR="00E368FB" w:rsidRPr="00E55D84" w:rsidRDefault="00E368FB" w:rsidP="003238B2">
      <w:pPr>
        <w:spacing w:line="240" w:lineRule="auto"/>
        <w:jc w:val="both"/>
        <w:rPr>
          <w:rFonts w:ascii="Times New Roman" w:hAnsi="Times New Roman" w:cs="Times New Roman"/>
          <w:b/>
          <w:bCs/>
          <w:i/>
          <w:iCs/>
        </w:rPr>
      </w:pPr>
      <w:r w:rsidRPr="00E55D84">
        <w:rPr>
          <w:rFonts w:ascii="Times New Roman" w:hAnsi="Times New Roman" w:cs="Times New Roman"/>
          <w:b/>
          <w:bCs/>
          <w:i/>
          <w:iCs/>
        </w:rPr>
        <w:t>Liberty and security of persons</w:t>
      </w:r>
    </w:p>
    <w:p w14:paraId="3D825F69" w14:textId="77777777" w:rsidR="00E368FB" w:rsidRPr="00E55D84" w:rsidRDefault="00E368FB" w:rsidP="00E368FB">
      <w:pPr>
        <w:spacing w:line="259" w:lineRule="auto"/>
        <w:jc w:val="both"/>
        <w:rPr>
          <w:rFonts w:ascii="Times New Roman" w:hAnsi="Times New Roman" w:cs="Times New Roman"/>
        </w:rPr>
      </w:pPr>
      <w:r w:rsidRPr="00E55D84">
        <w:rPr>
          <w:rFonts w:ascii="Times New Roman" w:hAnsi="Times New Roman" w:cs="Times New Roman"/>
        </w:rPr>
        <w:t>On 11 January 2024, in the case D. v. Latvia</w:t>
      </w:r>
      <w:r w:rsidRPr="00E55D84">
        <w:rPr>
          <w:rStyle w:val="FootnoteReference"/>
          <w:rFonts w:ascii="Times New Roman" w:hAnsi="Times New Roman" w:cs="Times New Roman"/>
        </w:rPr>
        <w:footnoteReference w:id="28"/>
      </w:r>
      <w:r w:rsidRPr="00E55D84">
        <w:rPr>
          <w:rFonts w:ascii="Times New Roman" w:hAnsi="Times New Roman" w:cs="Times New Roman"/>
        </w:rPr>
        <w:t>, the ECHR found a violation of Article 3 of the Convention (prohibition of torture, inhuman and degrading treatment or punishment) due to the State authorities' failure to protect the applicant from prohibited treatment. Between 2008 and 2017, the applicant served time in various prisons and complained of inhuman treatment because of his position at the lowest level of an informal prisoner hierarchy. This hierarchy divided inmates into three castes: the "</w:t>
      </w:r>
      <w:proofErr w:type="spellStart"/>
      <w:r w:rsidRPr="00E55D84">
        <w:rPr>
          <w:rFonts w:ascii="Times New Roman" w:hAnsi="Times New Roman" w:cs="Times New Roman"/>
        </w:rPr>
        <w:t>blatnie</w:t>
      </w:r>
      <w:proofErr w:type="spellEnd"/>
      <w:r w:rsidRPr="00E55D84">
        <w:rPr>
          <w:rFonts w:ascii="Times New Roman" w:hAnsi="Times New Roman" w:cs="Times New Roman"/>
        </w:rPr>
        <w:t>" (highest), the "</w:t>
      </w:r>
      <w:proofErr w:type="spellStart"/>
      <w:r w:rsidRPr="00E55D84">
        <w:rPr>
          <w:rFonts w:ascii="Times New Roman" w:hAnsi="Times New Roman" w:cs="Times New Roman"/>
        </w:rPr>
        <w:t>mužiki</w:t>
      </w:r>
      <w:proofErr w:type="spellEnd"/>
      <w:r w:rsidRPr="00E55D84">
        <w:rPr>
          <w:rFonts w:ascii="Times New Roman" w:hAnsi="Times New Roman" w:cs="Times New Roman"/>
        </w:rPr>
        <w:t>" (middle), and the "</w:t>
      </w:r>
      <w:proofErr w:type="spellStart"/>
      <w:r w:rsidRPr="00E55D84">
        <w:rPr>
          <w:rFonts w:ascii="Times New Roman" w:hAnsi="Times New Roman" w:cs="Times New Roman"/>
        </w:rPr>
        <w:t>kreisie</w:t>
      </w:r>
      <w:proofErr w:type="spellEnd"/>
      <w:r w:rsidRPr="00E55D84">
        <w:rPr>
          <w:rFonts w:ascii="Times New Roman" w:hAnsi="Times New Roman" w:cs="Times New Roman"/>
        </w:rPr>
        <w:t>" (lowest). The applicant was placed in the lowest caste due to the nature of his offense. His complaints were dismissed by the Prison Administration and domestic courts.</w:t>
      </w:r>
    </w:p>
    <w:p w14:paraId="4D930307" w14:textId="77777777" w:rsidR="00E368FB" w:rsidRPr="00E55D84" w:rsidRDefault="00E368FB" w:rsidP="00E368FB">
      <w:pPr>
        <w:spacing w:line="259" w:lineRule="auto"/>
        <w:jc w:val="both"/>
        <w:rPr>
          <w:rFonts w:ascii="Times New Roman" w:hAnsi="Times New Roman" w:cs="Times New Roman"/>
        </w:rPr>
      </w:pPr>
      <w:r w:rsidRPr="00E55D84">
        <w:rPr>
          <w:rFonts w:ascii="Times New Roman" w:hAnsi="Times New Roman" w:cs="Times New Roman"/>
        </w:rPr>
        <w:t>This is the first ECHR case concerning Latvia where Article 46 has been applied, requiring Latvia to address the systemic issue of informal prison hierarchies, including the social segregation of "lower caste" prisoners, their subservience to criminal authorities, and inter-prisoner violence. The ECHR has outlined specific measures for Latvia's judicial system to comply with the judgment.</w:t>
      </w:r>
    </w:p>
    <w:p w14:paraId="52AFAE12" w14:textId="27047A50" w:rsidR="009320EA" w:rsidRPr="00E55D84" w:rsidRDefault="009320EA" w:rsidP="00E368FB">
      <w:pPr>
        <w:spacing w:line="259" w:lineRule="auto"/>
        <w:jc w:val="both"/>
        <w:rPr>
          <w:rFonts w:ascii="Times New Roman" w:hAnsi="Times New Roman" w:cs="Times New Roman"/>
        </w:rPr>
      </w:pPr>
      <w:r w:rsidRPr="00E55D84">
        <w:rPr>
          <w:rFonts w:ascii="Times New Roman" w:hAnsi="Times New Roman" w:cs="Times New Roman"/>
        </w:rPr>
        <w:t xml:space="preserve">Inter-prisoner violence </w:t>
      </w:r>
      <w:r w:rsidR="00BE68C7" w:rsidRPr="00E55D84">
        <w:rPr>
          <w:rFonts w:ascii="Times New Roman" w:hAnsi="Times New Roman" w:cs="Times New Roman"/>
        </w:rPr>
        <w:t xml:space="preserve">was also addressed by the European Committee against the Prevention of Torture (CPT) in its 2022 visit to Latvia. he CPT expressed serious concerns about the lack of progress in reducing violence among prisoners and acknowledged that </w:t>
      </w:r>
      <w:r w:rsidR="00C53685" w:rsidRPr="00E55D84">
        <w:rPr>
          <w:rFonts w:ascii="Times New Roman" w:hAnsi="Times New Roman" w:cs="Times New Roman"/>
        </w:rPr>
        <w:t>prisoner</w:t>
      </w:r>
      <w:r w:rsidR="00BE68C7" w:rsidRPr="00E55D84">
        <w:rPr>
          <w:rFonts w:ascii="Times New Roman" w:hAnsi="Times New Roman" w:cs="Times New Roman"/>
        </w:rPr>
        <w:t xml:space="preserve"> violence remains a significant problem in Jelgava and </w:t>
      </w:r>
      <w:proofErr w:type="spellStart"/>
      <w:r w:rsidR="00BE68C7" w:rsidRPr="00E55D84">
        <w:rPr>
          <w:rFonts w:ascii="Times New Roman" w:hAnsi="Times New Roman" w:cs="Times New Roman"/>
        </w:rPr>
        <w:t>Daugavgrīva</w:t>
      </w:r>
      <w:proofErr w:type="spellEnd"/>
      <w:r w:rsidR="00BE68C7" w:rsidRPr="00E55D84">
        <w:rPr>
          <w:rFonts w:ascii="Times New Roman" w:hAnsi="Times New Roman" w:cs="Times New Roman"/>
        </w:rPr>
        <w:t xml:space="preserve"> prisons. The CPT concluded that the informal inmate hierarchy (or caste system) continues to be the foundation of prisoner life in the three visited prisons, with its traditions dictating internal order and taking precedence over official regulations. In the Committee's view, the situation of "untouchable" prisoners in Latvia could be considered a violation of Article 3 of the European Convention on Human Rights (ECHR).</w:t>
      </w:r>
    </w:p>
    <w:p w14:paraId="05D07D0F" w14:textId="523D655B" w:rsidR="00BE68C7" w:rsidRPr="00E55D84" w:rsidRDefault="00864C72" w:rsidP="00E368FB">
      <w:pPr>
        <w:spacing w:line="259" w:lineRule="auto"/>
        <w:jc w:val="both"/>
        <w:rPr>
          <w:rFonts w:ascii="Times New Roman" w:hAnsi="Times New Roman" w:cs="Times New Roman"/>
        </w:rPr>
      </w:pPr>
      <w:r w:rsidRPr="00E55D84">
        <w:rPr>
          <w:rFonts w:ascii="Times New Roman" w:hAnsi="Times New Roman" w:cs="Times New Roman"/>
        </w:rPr>
        <w:t>In 2023, representatives of the Ombudsman's Office</w:t>
      </w:r>
      <w:r w:rsidRPr="00E55D84">
        <w:rPr>
          <w:rStyle w:val="FootnoteReference"/>
          <w:rFonts w:ascii="Times New Roman" w:hAnsi="Times New Roman" w:cs="Times New Roman"/>
        </w:rPr>
        <w:footnoteReference w:id="29"/>
      </w:r>
      <w:r w:rsidRPr="00E55D84">
        <w:rPr>
          <w:rFonts w:ascii="Times New Roman" w:hAnsi="Times New Roman" w:cs="Times New Roman"/>
        </w:rPr>
        <w:t xml:space="preserve"> visited </w:t>
      </w:r>
      <w:proofErr w:type="spellStart"/>
      <w:r w:rsidRPr="00E55D84">
        <w:rPr>
          <w:rFonts w:ascii="Times New Roman" w:hAnsi="Times New Roman" w:cs="Times New Roman"/>
        </w:rPr>
        <w:t>Jēkabpils</w:t>
      </w:r>
      <w:proofErr w:type="spellEnd"/>
      <w:r w:rsidRPr="00E55D84">
        <w:rPr>
          <w:rFonts w:ascii="Times New Roman" w:hAnsi="Times New Roman" w:cs="Times New Roman"/>
        </w:rPr>
        <w:t xml:space="preserve"> Prison and found that the inmate hierarchy and its self-governance system still existed, leading to a high risk of violence among convicted prisoners.</w:t>
      </w:r>
    </w:p>
    <w:p w14:paraId="1BE8131D" w14:textId="24F4AF9F" w:rsidR="00E368FB" w:rsidRPr="00E55D84" w:rsidRDefault="00E368FB" w:rsidP="00E368FB">
      <w:pPr>
        <w:spacing w:line="259" w:lineRule="auto"/>
        <w:jc w:val="both"/>
        <w:rPr>
          <w:rFonts w:ascii="Times New Roman" w:hAnsi="Times New Roman" w:cs="Times New Roman"/>
        </w:rPr>
      </w:pPr>
      <w:r w:rsidRPr="00E55D84">
        <w:rPr>
          <w:rFonts w:ascii="Times New Roman" w:hAnsi="Times New Roman" w:cs="Times New Roman"/>
        </w:rPr>
        <w:t>In October 2024, Ministry of Justice (</w:t>
      </w:r>
      <w:proofErr w:type="spellStart"/>
      <w:r w:rsidRPr="00E55D84">
        <w:rPr>
          <w:rFonts w:ascii="Times New Roman" w:hAnsi="Times New Roman" w:cs="Times New Roman"/>
          <w:i/>
          <w:iCs/>
        </w:rPr>
        <w:t>Tieslietu</w:t>
      </w:r>
      <w:proofErr w:type="spellEnd"/>
      <w:r w:rsidRPr="00E55D84">
        <w:rPr>
          <w:rFonts w:ascii="Times New Roman" w:hAnsi="Times New Roman" w:cs="Times New Roman"/>
          <w:i/>
          <w:iCs/>
        </w:rPr>
        <w:t xml:space="preserve"> </w:t>
      </w:r>
      <w:proofErr w:type="spellStart"/>
      <w:r w:rsidRPr="00E55D84">
        <w:rPr>
          <w:rFonts w:ascii="Times New Roman" w:hAnsi="Times New Roman" w:cs="Times New Roman"/>
          <w:i/>
          <w:iCs/>
        </w:rPr>
        <w:t>ministrija</w:t>
      </w:r>
      <w:proofErr w:type="spellEnd"/>
      <w:r w:rsidRPr="00E55D84">
        <w:rPr>
          <w:rFonts w:ascii="Times New Roman" w:hAnsi="Times New Roman" w:cs="Times New Roman"/>
        </w:rPr>
        <w:t>) prepared a report</w:t>
      </w:r>
      <w:r w:rsidRPr="00E55D84">
        <w:rPr>
          <w:rStyle w:val="FootnoteReference"/>
          <w:rFonts w:ascii="Times New Roman" w:hAnsi="Times New Roman" w:cs="Times New Roman"/>
        </w:rPr>
        <w:footnoteReference w:id="30"/>
      </w:r>
      <w:r w:rsidRPr="00E55D84">
        <w:rPr>
          <w:rFonts w:ascii="Times New Roman" w:hAnsi="Times New Roman" w:cs="Times New Roman"/>
        </w:rPr>
        <w:t xml:space="preserve">, which also highlights potential measures to address prison hierarchies. Those include prison staff capacity building measures, including four new staff training </w:t>
      </w:r>
      <w:proofErr w:type="spellStart"/>
      <w:r w:rsidRPr="00E55D84">
        <w:rPr>
          <w:rFonts w:ascii="Times New Roman" w:hAnsi="Times New Roman" w:cs="Times New Roman"/>
        </w:rPr>
        <w:t>programmes</w:t>
      </w:r>
      <w:proofErr w:type="spellEnd"/>
      <w:r w:rsidRPr="00E55D84">
        <w:rPr>
          <w:rFonts w:ascii="Times New Roman" w:hAnsi="Times New Roman" w:cs="Times New Roman"/>
        </w:rPr>
        <w:t xml:space="preserve"> in the new training </w:t>
      </w:r>
      <w:proofErr w:type="spellStart"/>
      <w:r w:rsidRPr="00E55D84">
        <w:rPr>
          <w:rFonts w:ascii="Times New Roman" w:hAnsi="Times New Roman" w:cs="Times New Roman"/>
        </w:rPr>
        <w:t>centre</w:t>
      </w:r>
      <w:proofErr w:type="spellEnd"/>
      <w:r w:rsidRPr="00E55D84">
        <w:rPr>
          <w:rFonts w:ascii="Times New Roman" w:hAnsi="Times New Roman" w:cs="Times New Roman"/>
        </w:rPr>
        <w:t xml:space="preserve">; start of a pilot project – prisoner contact person in one prison in 2025 and gradual expansion to all prisons, prison infrastructure improvement, including the accommodation of prisoners in the new </w:t>
      </w:r>
      <w:proofErr w:type="spellStart"/>
      <w:r w:rsidRPr="00E55D84">
        <w:rPr>
          <w:rFonts w:ascii="Times New Roman" w:hAnsi="Times New Roman" w:cs="Times New Roman"/>
        </w:rPr>
        <w:t>Liepāja</w:t>
      </w:r>
      <w:proofErr w:type="spellEnd"/>
      <w:r w:rsidRPr="00E55D84">
        <w:rPr>
          <w:rFonts w:ascii="Times New Roman" w:hAnsi="Times New Roman" w:cs="Times New Roman"/>
        </w:rPr>
        <w:t xml:space="preserve"> prison starting from spring 2026. On September 1, 2024, the law "Amendments to the Latvian Penal Enforcement Code" came into force, which led to the transition of the Latvian prison system into open and closed prisons</w:t>
      </w:r>
      <w:r w:rsidR="005D6748" w:rsidRPr="00E55D84">
        <w:rPr>
          <w:rFonts w:ascii="Times New Roman" w:hAnsi="Times New Roman" w:cs="Times New Roman"/>
        </w:rPr>
        <w:t>.</w:t>
      </w:r>
    </w:p>
    <w:p w14:paraId="09B45469" w14:textId="77777777" w:rsidR="00727127" w:rsidRPr="00727127" w:rsidRDefault="00D5002C" w:rsidP="00E368FB">
      <w:pPr>
        <w:spacing w:line="259" w:lineRule="auto"/>
        <w:jc w:val="both"/>
        <w:rPr>
          <w:rFonts w:ascii="Times New Roman" w:hAnsi="Times New Roman" w:cs="Times New Roman"/>
          <w:b/>
          <w:bCs/>
          <w:i/>
          <w:iCs/>
        </w:rPr>
      </w:pPr>
      <w:r w:rsidRPr="00727127">
        <w:rPr>
          <w:rFonts w:ascii="Times New Roman" w:hAnsi="Times New Roman" w:cs="Times New Roman"/>
          <w:b/>
          <w:bCs/>
          <w:i/>
          <w:iCs/>
        </w:rPr>
        <w:t xml:space="preserve">Recommendation: </w:t>
      </w:r>
    </w:p>
    <w:p w14:paraId="66A18F52" w14:textId="27FC00B8" w:rsidR="00D5002C" w:rsidRPr="00E55D84" w:rsidRDefault="00D5002C" w:rsidP="00E368FB">
      <w:pPr>
        <w:spacing w:line="259" w:lineRule="auto"/>
        <w:jc w:val="both"/>
        <w:rPr>
          <w:rFonts w:ascii="Times New Roman" w:hAnsi="Times New Roman" w:cs="Times New Roman"/>
          <w:b/>
          <w:bCs/>
        </w:rPr>
      </w:pPr>
      <w:r w:rsidRPr="00E55D84">
        <w:rPr>
          <w:rFonts w:ascii="Times New Roman" w:hAnsi="Times New Roman" w:cs="Times New Roman"/>
          <w:b/>
          <w:bCs/>
        </w:rPr>
        <w:lastRenderedPageBreak/>
        <w:t xml:space="preserve">Continue strengthening and implementing measures in </w:t>
      </w:r>
      <w:proofErr w:type="spellStart"/>
      <w:r w:rsidRPr="00E55D84">
        <w:rPr>
          <w:rFonts w:ascii="Times New Roman" w:hAnsi="Times New Roman" w:cs="Times New Roman"/>
          <w:b/>
          <w:bCs/>
        </w:rPr>
        <w:t>practise</w:t>
      </w:r>
      <w:proofErr w:type="spellEnd"/>
      <w:r w:rsidRPr="00E55D84">
        <w:rPr>
          <w:rFonts w:ascii="Times New Roman" w:hAnsi="Times New Roman" w:cs="Times New Roman"/>
          <w:b/>
          <w:bCs/>
        </w:rPr>
        <w:t xml:space="preserve"> to effectively reduce inter-prisoner violence </w:t>
      </w:r>
    </w:p>
    <w:p w14:paraId="1E845E86" w14:textId="77777777" w:rsidR="005D6748" w:rsidRPr="00E55D84" w:rsidRDefault="005D6748" w:rsidP="00E368FB">
      <w:pPr>
        <w:spacing w:line="259" w:lineRule="auto"/>
        <w:jc w:val="both"/>
        <w:rPr>
          <w:rFonts w:ascii="Times New Roman" w:hAnsi="Times New Roman" w:cs="Times New Roman"/>
        </w:rPr>
      </w:pPr>
    </w:p>
    <w:p w14:paraId="7689E993" w14:textId="252A3F90" w:rsidR="007C234B" w:rsidRPr="00E55D84" w:rsidRDefault="007C234B" w:rsidP="00E368FB">
      <w:pPr>
        <w:spacing w:line="259" w:lineRule="auto"/>
        <w:jc w:val="both"/>
        <w:rPr>
          <w:rFonts w:ascii="Times New Roman" w:hAnsi="Times New Roman" w:cs="Times New Roman"/>
          <w:b/>
          <w:bCs/>
          <w:i/>
          <w:iCs/>
        </w:rPr>
      </w:pPr>
      <w:r w:rsidRPr="00E55D84">
        <w:rPr>
          <w:rFonts w:ascii="Times New Roman" w:hAnsi="Times New Roman" w:cs="Times New Roman"/>
          <w:b/>
          <w:bCs/>
          <w:i/>
          <w:iCs/>
        </w:rPr>
        <w:t>Treatment of aliens, including migrants, refugees and asylum seekers</w:t>
      </w:r>
    </w:p>
    <w:p w14:paraId="6386B460" w14:textId="17C1C9FD" w:rsidR="007B1F64" w:rsidRPr="00E55D84" w:rsidRDefault="007B1F64" w:rsidP="00E368FB">
      <w:pPr>
        <w:spacing w:line="259" w:lineRule="auto"/>
        <w:jc w:val="both"/>
        <w:rPr>
          <w:rFonts w:ascii="Times New Roman" w:hAnsi="Times New Roman" w:cs="Times New Roman"/>
        </w:rPr>
      </w:pPr>
      <w:r w:rsidRPr="00E55D84">
        <w:rPr>
          <w:rFonts w:ascii="Times New Roman" w:hAnsi="Times New Roman" w:cs="Times New Roman"/>
        </w:rPr>
        <w:t>The Latvian state, municipal institutions, the NGO sector, and society as a whole have made and continue to make tremendous efforts in showing solidarity with Ukraine, welcoming nearly 45,000 Ukrainian refugees. However, it is evident that the support available to Ukrainian civilians is significantly broader than that provided to individuals with refugee or alternative status, who are also fleeing wars and conflicts or facing persecution due to their beliefs.</w:t>
      </w:r>
    </w:p>
    <w:p w14:paraId="10CBDD7A" w14:textId="0FE596C9" w:rsidR="00B20184" w:rsidRPr="00E55D84" w:rsidRDefault="00B20184" w:rsidP="008713C8">
      <w:pPr>
        <w:spacing w:line="259" w:lineRule="auto"/>
        <w:jc w:val="both"/>
        <w:rPr>
          <w:rFonts w:ascii="Times New Roman" w:hAnsi="Times New Roman" w:cs="Times New Roman"/>
        </w:rPr>
      </w:pPr>
      <w:r w:rsidRPr="00E55D84">
        <w:rPr>
          <w:rFonts w:ascii="Times New Roman" w:hAnsi="Times New Roman" w:cs="Times New Roman"/>
        </w:rPr>
        <w:t xml:space="preserve">As Belarusian authoritarian leader A. Lukashenko responded to EU-imposed sanctions by facilitating an increase in the number of third-country nationals at the EU-Belarus border, a state of emergency was introduced in August 2021, followed by a special regime in 2024 in the border areas with Belarus. Consequently, access to the territory for asylum seekers </w:t>
      </w:r>
      <w:r w:rsidR="00121807" w:rsidRPr="00E55D84">
        <w:rPr>
          <w:rFonts w:ascii="Times New Roman" w:hAnsi="Times New Roman" w:cs="Times New Roman"/>
        </w:rPr>
        <w:t xml:space="preserve">has </w:t>
      </w:r>
      <w:r w:rsidRPr="00E55D84">
        <w:rPr>
          <w:rFonts w:ascii="Times New Roman" w:hAnsi="Times New Roman" w:cs="Times New Roman"/>
        </w:rPr>
        <w:t>remain</w:t>
      </w:r>
      <w:r w:rsidR="00121807" w:rsidRPr="00E55D84">
        <w:rPr>
          <w:rFonts w:ascii="Times New Roman" w:hAnsi="Times New Roman" w:cs="Times New Roman"/>
        </w:rPr>
        <w:t>ed</w:t>
      </w:r>
      <w:r w:rsidRPr="00E55D84">
        <w:rPr>
          <w:rFonts w:ascii="Times New Roman" w:hAnsi="Times New Roman" w:cs="Times New Roman"/>
        </w:rPr>
        <w:t xml:space="preserve"> a </w:t>
      </w:r>
      <w:r w:rsidR="00121807" w:rsidRPr="00E55D84">
        <w:rPr>
          <w:rFonts w:ascii="Times New Roman" w:hAnsi="Times New Roman" w:cs="Times New Roman"/>
        </w:rPr>
        <w:t>serious</w:t>
      </w:r>
      <w:r w:rsidRPr="00E55D84">
        <w:rPr>
          <w:rFonts w:ascii="Times New Roman" w:hAnsi="Times New Roman" w:cs="Times New Roman"/>
        </w:rPr>
        <w:t xml:space="preserve"> concern.</w:t>
      </w:r>
    </w:p>
    <w:p w14:paraId="5EEF750D" w14:textId="34AAB68C" w:rsidR="008713C8" w:rsidRPr="00E55D84" w:rsidRDefault="008713C8" w:rsidP="008713C8">
      <w:pPr>
        <w:spacing w:line="259" w:lineRule="auto"/>
        <w:jc w:val="both"/>
        <w:rPr>
          <w:rFonts w:ascii="Times New Roman" w:hAnsi="Times New Roman" w:cs="Times New Roman"/>
        </w:rPr>
      </w:pPr>
      <w:r w:rsidRPr="00E55D84">
        <w:rPr>
          <w:rFonts w:ascii="Times New Roman" w:hAnsi="Times New Roman" w:cs="Times New Roman"/>
        </w:rPr>
        <w:t>In the public sphere, reports repeatedly surfaced regarding alleged violence against asylum seekers by Latvian state authorities.</w:t>
      </w:r>
      <w:r w:rsidR="00E53098" w:rsidRPr="00E55D84">
        <w:rPr>
          <w:rStyle w:val="FootnoteReference"/>
          <w:rFonts w:ascii="Times New Roman" w:hAnsi="Times New Roman" w:cs="Times New Roman"/>
        </w:rPr>
        <w:footnoteReference w:id="31"/>
      </w:r>
      <w:r w:rsidRPr="00E55D84">
        <w:rPr>
          <w:rFonts w:ascii="Times New Roman" w:hAnsi="Times New Roman" w:cs="Times New Roman"/>
        </w:rPr>
        <w:t xml:space="preserve"> The conclusions of</w:t>
      </w:r>
      <w:r w:rsidR="00121807" w:rsidRPr="00E55D84">
        <w:rPr>
          <w:rFonts w:ascii="Times New Roman" w:hAnsi="Times New Roman" w:cs="Times New Roman"/>
        </w:rPr>
        <w:t xml:space="preserve"> these</w:t>
      </w:r>
      <w:r w:rsidRPr="00E55D84">
        <w:rPr>
          <w:rFonts w:ascii="Times New Roman" w:hAnsi="Times New Roman" w:cs="Times New Roman"/>
        </w:rPr>
        <w:t xml:space="preserve"> reports were disputed by the Ombudsman</w:t>
      </w:r>
      <w:r w:rsidR="00632E02" w:rsidRPr="00E55D84">
        <w:rPr>
          <w:rStyle w:val="FootnoteReference"/>
          <w:rFonts w:ascii="Times New Roman" w:hAnsi="Times New Roman" w:cs="Times New Roman"/>
        </w:rPr>
        <w:footnoteReference w:id="32"/>
      </w:r>
      <w:r w:rsidRPr="00E55D84">
        <w:rPr>
          <w:rFonts w:ascii="Times New Roman" w:hAnsi="Times New Roman" w:cs="Times New Roman"/>
        </w:rPr>
        <w:t xml:space="preserve"> and the State Border Guard (VRS), who respectively questioned the criticisms outlined in them.</w:t>
      </w:r>
    </w:p>
    <w:p w14:paraId="236A69BD" w14:textId="425BB297" w:rsidR="008713C8" w:rsidRPr="00E55D84" w:rsidRDefault="008713C8" w:rsidP="008713C8">
      <w:pPr>
        <w:spacing w:line="259" w:lineRule="auto"/>
        <w:jc w:val="both"/>
        <w:rPr>
          <w:rFonts w:ascii="Times New Roman" w:hAnsi="Times New Roman" w:cs="Times New Roman"/>
        </w:rPr>
      </w:pPr>
      <w:r w:rsidRPr="00E55D84">
        <w:rPr>
          <w:rFonts w:ascii="Times New Roman" w:hAnsi="Times New Roman" w:cs="Times New Roman"/>
        </w:rPr>
        <w:t>The Internal Security Bureau launched an investigation into reports of possible mistreatment of individuals who attempted to enter Latvia illegally from Belarus in 2021. However, no violations by border guards were found. No other official public information on the investigation results is available, except for media reports from the IDB. Two NGOs—"</w:t>
      </w:r>
      <w:proofErr w:type="spellStart"/>
      <w:r w:rsidRPr="00E55D84">
        <w:rPr>
          <w:rFonts w:ascii="Times New Roman" w:hAnsi="Times New Roman" w:cs="Times New Roman"/>
        </w:rPr>
        <w:t>Providus</w:t>
      </w:r>
      <w:proofErr w:type="spellEnd"/>
      <w:r w:rsidRPr="00E55D84">
        <w:rPr>
          <w:rFonts w:ascii="Times New Roman" w:hAnsi="Times New Roman" w:cs="Times New Roman"/>
        </w:rPr>
        <w:t>" and "I Want to Help Refugees"—submitted a complaint to the Prosecutor’s Office</w:t>
      </w:r>
      <w:r w:rsidR="00747BB6" w:rsidRPr="00E55D84">
        <w:rPr>
          <w:rStyle w:val="FootnoteReference"/>
          <w:rFonts w:ascii="Times New Roman" w:hAnsi="Times New Roman" w:cs="Times New Roman"/>
        </w:rPr>
        <w:footnoteReference w:id="33"/>
      </w:r>
      <w:r w:rsidRPr="00E55D84">
        <w:rPr>
          <w:rFonts w:ascii="Times New Roman" w:hAnsi="Times New Roman" w:cs="Times New Roman"/>
        </w:rPr>
        <w:t>, based on accounts from illegal migrants about their experiences on the Latvian–Belarusian border. The findings of the investigations and reviews conducted by the Prosecutor General’s Office are not publicly available.</w:t>
      </w:r>
    </w:p>
    <w:p w14:paraId="1F34CFE4" w14:textId="5BE66933" w:rsidR="002773D4" w:rsidRPr="00E55D84" w:rsidRDefault="002773D4" w:rsidP="008713C8">
      <w:pPr>
        <w:spacing w:line="259" w:lineRule="auto"/>
        <w:jc w:val="both"/>
        <w:rPr>
          <w:rFonts w:ascii="Times New Roman" w:hAnsi="Times New Roman" w:cs="Times New Roman"/>
        </w:rPr>
      </w:pPr>
      <w:r w:rsidRPr="00E55D84">
        <w:rPr>
          <w:rFonts w:ascii="Times New Roman" w:hAnsi="Times New Roman" w:cs="Times New Roman"/>
        </w:rPr>
        <w:t>In July 2023, the European Committee against Torture published its 2022 visit report to Latvia.</w:t>
      </w:r>
      <w:r w:rsidRPr="00E55D84">
        <w:rPr>
          <w:rStyle w:val="FootnoteReference"/>
          <w:rFonts w:ascii="Times New Roman" w:hAnsi="Times New Roman" w:cs="Times New Roman"/>
        </w:rPr>
        <w:footnoteReference w:id="34"/>
      </w:r>
      <w:r w:rsidRPr="00E55D84">
        <w:rPr>
          <w:rFonts w:ascii="Times New Roman" w:hAnsi="Times New Roman" w:cs="Times New Roman"/>
        </w:rPr>
        <w:t xml:space="preserve">  CPT recommended that the Latvian authorities take the necessary measures to ensure that irregular migrants arriving at the border or present in the territory of Latvia are not forcibly returned to Belarus prior to an </w:t>
      </w:r>
      <w:proofErr w:type="spellStart"/>
      <w:r w:rsidRPr="00E55D84">
        <w:rPr>
          <w:rFonts w:ascii="Times New Roman" w:hAnsi="Times New Roman" w:cs="Times New Roman"/>
        </w:rPr>
        <w:t>individualised</w:t>
      </w:r>
      <w:proofErr w:type="spellEnd"/>
      <w:r w:rsidRPr="00E55D84">
        <w:rPr>
          <w:rFonts w:ascii="Times New Roman" w:hAnsi="Times New Roman" w:cs="Times New Roman"/>
        </w:rPr>
        <w:t xml:space="preserve"> screening with a view to identifying persons in need of protection, assessing those needs, and taking appropriate action. CPT also </w:t>
      </w:r>
      <w:proofErr w:type="spellStart"/>
      <w:r w:rsidRPr="00E55D84">
        <w:rPr>
          <w:rFonts w:ascii="Times New Roman" w:hAnsi="Times New Roman" w:cs="Times New Roman"/>
        </w:rPr>
        <w:t>emphasi</w:t>
      </w:r>
      <w:r w:rsidR="00747BB6" w:rsidRPr="00E55D84">
        <w:rPr>
          <w:rFonts w:ascii="Times New Roman" w:hAnsi="Times New Roman" w:cs="Times New Roman"/>
        </w:rPr>
        <w:t>s</w:t>
      </w:r>
      <w:r w:rsidRPr="00E55D84">
        <w:rPr>
          <w:rFonts w:ascii="Times New Roman" w:hAnsi="Times New Roman" w:cs="Times New Roman"/>
        </w:rPr>
        <w:t>ed</w:t>
      </w:r>
      <w:proofErr w:type="spellEnd"/>
      <w:r w:rsidRPr="00E55D84">
        <w:rPr>
          <w:rFonts w:ascii="Times New Roman" w:hAnsi="Times New Roman" w:cs="Times New Roman"/>
        </w:rPr>
        <w:t xml:space="preserve"> that it is essential that foreign nationals have effective access to an asylum procedure (or other residence procedure) which involves an individual assessment of the risk of ill-treatment in case of expulsion </w:t>
      </w:r>
      <w:r w:rsidRPr="00E55D84">
        <w:rPr>
          <w:rFonts w:ascii="Times New Roman" w:hAnsi="Times New Roman" w:cs="Times New Roman"/>
        </w:rPr>
        <w:lastRenderedPageBreak/>
        <w:t>of the person concerned to the country of origin or a third country, on the basis of an objective and independent analysis of the human rights situation in the countries concerned.</w:t>
      </w:r>
    </w:p>
    <w:p w14:paraId="1FBE0D2B" w14:textId="36BBCBB2" w:rsidR="00C50A75" w:rsidRPr="00E55D84" w:rsidRDefault="008713C8" w:rsidP="00E368FB">
      <w:pPr>
        <w:spacing w:line="259" w:lineRule="auto"/>
        <w:jc w:val="both"/>
        <w:rPr>
          <w:rFonts w:ascii="Times New Roman" w:hAnsi="Times New Roman" w:cs="Times New Roman"/>
        </w:rPr>
      </w:pPr>
      <w:r w:rsidRPr="00E55D84">
        <w:rPr>
          <w:rFonts w:ascii="Times New Roman" w:hAnsi="Times New Roman" w:cs="Times New Roman"/>
        </w:rPr>
        <w:t>CPT highlighted</w:t>
      </w:r>
      <w:r w:rsidR="004D403A" w:rsidRPr="00E55D84">
        <w:rPr>
          <w:rFonts w:ascii="Times New Roman" w:hAnsi="Times New Roman" w:cs="Times New Roman"/>
        </w:rPr>
        <w:t xml:space="preserve"> </w:t>
      </w:r>
      <w:r w:rsidRPr="00E55D84">
        <w:rPr>
          <w:rFonts w:ascii="Times New Roman" w:hAnsi="Times New Roman" w:cs="Times New Roman"/>
        </w:rPr>
        <w:t xml:space="preserve">complaints from detained foreign nationals about </w:t>
      </w:r>
      <w:r w:rsidR="001A4B54" w:rsidRPr="00E55D84">
        <w:rPr>
          <w:rFonts w:ascii="Times New Roman" w:hAnsi="Times New Roman" w:cs="Times New Roman"/>
        </w:rPr>
        <w:t>ill-</w:t>
      </w:r>
      <w:r w:rsidRPr="00E55D84">
        <w:rPr>
          <w:rFonts w:ascii="Times New Roman" w:hAnsi="Times New Roman" w:cs="Times New Roman"/>
        </w:rPr>
        <w:t>treatment during the period from August 2021 to March 2022. Allegations of mistreatment were linked to Latvian special police forces patrolling the border area and were reportedly carried out with the intention of forcing individuals to return to Belarus. Witness testimonies mainly described being punched, kicked, beaten with batons, and subjected to electric shocks on various parts of the body (including the genitals) either at the time of detention or shortly thereafter. The</w:t>
      </w:r>
      <w:r w:rsidR="00AA5059" w:rsidRPr="00E55D84">
        <w:rPr>
          <w:rFonts w:ascii="Times New Roman" w:hAnsi="Times New Roman" w:cs="Times New Roman"/>
        </w:rPr>
        <w:t xml:space="preserve"> </w:t>
      </w:r>
      <w:r w:rsidRPr="00E55D84">
        <w:rPr>
          <w:rFonts w:ascii="Times New Roman" w:hAnsi="Times New Roman" w:cs="Times New Roman"/>
        </w:rPr>
        <w:t xml:space="preserve">CPT recommended that all relevant law enforcement agencies regularly issue a clear and firm message that any excessive use of force is illegal and will be punished accordingly. Furthermore, it advised that practical training on proportional force application, including restraint techniques for detaining foreign nationals at the border, should be enhanced. </w:t>
      </w:r>
    </w:p>
    <w:p w14:paraId="6B9ACFAE" w14:textId="22F61E53" w:rsidR="00C50A75" w:rsidRPr="00E55D84" w:rsidRDefault="00C50A75" w:rsidP="00C50A75">
      <w:pPr>
        <w:spacing w:before="280" w:after="280" w:line="259" w:lineRule="auto"/>
        <w:jc w:val="both"/>
        <w:rPr>
          <w:rFonts w:ascii="Times New Roman" w:hAnsi="Times New Roman" w:cs="Times New Roman"/>
          <w:iCs/>
        </w:rPr>
      </w:pPr>
      <w:r w:rsidRPr="00E55D84">
        <w:rPr>
          <w:rFonts w:ascii="Times New Roman" w:hAnsi="Times New Roman" w:cs="Times New Roman"/>
          <w:iCs/>
        </w:rPr>
        <w:t xml:space="preserve">Criminal proceedings against human rights defender Ieva </w:t>
      </w:r>
      <w:proofErr w:type="spellStart"/>
      <w:r w:rsidRPr="00E55D84">
        <w:rPr>
          <w:rFonts w:ascii="Times New Roman" w:hAnsi="Times New Roman" w:cs="Times New Roman"/>
          <w:iCs/>
        </w:rPr>
        <w:t>Raubiško</w:t>
      </w:r>
      <w:proofErr w:type="spellEnd"/>
      <w:r w:rsidRPr="00E55D84">
        <w:rPr>
          <w:rFonts w:ascii="Times New Roman" w:hAnsi="Times New Roman" w:cs="Times New Roman"/>
          <w:iCs/>
        </w:rPr>
        <w:t xml:space="preserve"> from the NGO "I Want to Help Refugees" (</w:t>
      </w:r>
      <w:proofErr w:type="spellStart"/>
      <w:r w:rsidRPr="00E55D84">
        <w:rPr>
          <w:rFonts w:ascii="Times New Roman" w:hAnsi="Times New Roman" w:cs="Times New Roman"/>
          <w:iCs/>
        </w:rPr>
        <w:t>Gribu</w:t>
      </w:r>
      <w:proofErr w:type="spellEnd"/>
      <w:r w:rsidRPr="00E55D84">
        <w:rPr>
          <w:rFonts w:ascii="Times New Roman" w:hAnsi="Times New Roman" w:cs="Times New Roman"/>
          <w:iCs/>
        </w:rPr>
        <w:t xml:space="preserve"> </w:t>
      </w:r>
      <w:proofErr w:type="spellStart"/>
      <w:r w:rsidRPr="00E55D84">
        <w:rPr>
          <w:rFonts w:ascii="Times New Roman" w:hAnsi="Times New Roman" w:cs="Times New Roman"/>
          <w:iCs/>
        </w:rPr>
        <w:t>palīdzēt</w:t>
      </w:r>
      <w:proofErr w:type="spellEnd"/>
      <w:r w:rsidRPr="00E55D84">
        <w:rPr>
          <w:rFonts w:ascii="Times New Roman" w:hAnsi="Times New Roman" w:cs="Times New Roman"/>
          <w:iCs/>
        </w:rPr>
        <w:t xml:space="preserve"> </w:t>
      </w:r>
      <w:proofErr w:type="spellStart"/>
      <w:r w:rsidRPr="00E55D84">
        <w:rPr>
          <w:rFonts w:ascii="Times New Roman" w:hAnsi="Times New Roman" w:cs="Times New Roman"/>
          <w:iCs/>
        </w:rPr>
        <w:t>bēgļiem</w:t>
      </w:r>
      <w:proofErr w:type="spellEnd"/>
      <w:r w:rsidRPr="00E55D84">
        <w:rPr>
          <w:rFonts w:ascii="Times New Roman" w:hAnsi="Times New Roman" w:cs="Times New Roman"/>
          <w:iCs/>
        </w:rPr>
        <w:t>) continued in 20</w:t>
      </w:r>
      <w:r w:rsidR="00044AE5" w:rsidRPr="00E55D84">
        <w:rPr>
          <w:rFonts w:ascii="Times New Roman" w:hAnsi="Times New Roman" w:cs="Times New Roman"/>
          <w:iCs/>
        </w:rPr>
        <w:t>24</w:t>
      </w:r>
      <w:r w:rsidRPr="00E55D84">
        <w:rPr>
          <w:rFonts w:ascii="Times New Roman" w:hAnsi="Times New Roman" w:cs="Times New Roman"/>
          <w:iCs/>
        </w:rPr>
        <w:t>. The trial began in February 2024</w:t>
      </w:r>
      <w:r w:rsidRPr="00E55D84">
        <w:rPr>
          <w:rStyle w:val="FootnoteReference"/>
          <w:rFonts w:ascii="Times New Roman" w:hAnsi="Times New Roman" w:cs="Times New Roman"/>
          <w:iCs/>
        </w:rPr>
        <w:footnoteReference w:id="35"/>
      </w:r>
      <w:r w:rsidRPr="00E55D84">
        <w:rPr>
          <w:rFonts w:ascii="Times New Roman" w:hAnsi="Times New Roman" w:cs="Times New Roman"/>
          <w:iCs/>
        </w:rPr>
        <w:t xml:space="preserve">, with Ieva </w:t>
      </w:r>
      <w:proofErr w:type="spellStart"/>
      <w:r w:rsidRPr="00E55D84">
        <w:rPr>
          <w:rFonts w:ascii="Times New Roman" w:hAnsi="Times New Roman" w:cs="Times New Roman"/>
          <w:iCs/>
        </w:rPr>
        <w:t>Raubiško</w:t>
      </w:r>
      <w:proofErr w:type="spellEnd"/>
      <w:r w:rsidRPr="00E55D84">
        <w:rPr>
          <w:rFonts w:ascii="Times New Roman" w:hAnsi="Times New Roman" w:cs="Times New Roman"/>
          <w:iCs/>
        </w:rPr>
        <w:t xml:space="preserve"> facing charges of organizing the illegal movement of a group of people across the Belarus-Latvia border. The charges stem from her assistance to five asylum seekers who had been granted an interim measure by the ECtHR, instructing the Latvian government to refrain from pushing them back to Belarus and to provide basic humanitarian aid. Ieva Raubiško and her colleague Egils </w:t>
      </w:r>
      <w:proofErr w:type="spellStart"/>
      <w:r w:rsidRPr="00E55D84">
        <w:rPr>
          <w:rFonts w:ascii="Times New Roman" w:hAnsi="Times New Roman" w:cs="Times New Roman"/>
          <w:iCs/>
        </w:rPr>
        <w:t>Grasmanis</w:t>
      </w:r>
      <w:proofErr w:type="spellEnd"/>
      <w:r w:rsidRPr="00E55D84">
        <w:rPr>
          <w:rFonts w:ascii="Times New Roman" w:hAnsi="Times New Roman" w:cs="Times New Roman"/>
          <w:iCs/>
        </w:rPr>
        <w:t xml:space="preserve"> were detained by border guards while visiting the border area to ensure compliance with the ECHR ruling. The trial continue</w:t>
      </w:r>
      <w:r w:rsidR="00892D73" w:rsidRPr="00E55D84">
        <w:rPr>
          <w:rFonts w:ascii="Times New Roman" w:hAnsi="Times New Roman" w:cs="Times New Roman"/>
          <w:iCs/>
        </w:rPr>
        <w:t>d</w:t>
      </w:r>
      <w:r w:rsidRPr="00E55D84">
        <w:rPr>
          <w:rFonts w:ascii="Times New Roman" w:hAnsi="Times New Roman" w:cs="Times New Roman"/>
          <w:iCs/>
        </w:rPr>
        <w:t xml:space="preserve"> in March 2025. Proceedings were dropped against </w:t>
      </w:r>
      <w:proofErr w:type="spellStart"/>
      <w:r w:rsidRPr="00E55D84">
        <w:rPr>
          <w:rFonts w:ascii="Times New Roman" w:hAnsi="Times New Roman" w:cs="Times New Roman"/>
          <w:iCs/>
        </w:rPr>
        <w:t>Grasmanis</w:t>
      </w:r>
      <w:proofErr w:type="spellEnd"/>
      <w:r w:rsidRPr="00E55D84">
        <w:rPr>
          <w:rFonts w:ascii="Times New Roman" w:hAnsi="Times New Roman" w:cs="Times New Roman"/>
          <w:iCs/>
        </w:rPr>
        <w:t xml:space="preserve">. </w:t>
      </w:r>
    </w:p>
    <w:p w14:paraId="59FD7A85" w14:textId="735376FE" w:rsidR="006B2199" w:rsidRPr="00727127" w:rsidRDefault="006B2199" w:rsidP="00C50A75">
      <w:pPr>
        <w:spacing w:before="280" w:after="280" w:line="259" w:lineRule="auto"/>
        <w:jc w:val="both"/>
        <w:rPr>
          <w:rFonts w:ascii="Times New Roman" w:hAnsi="Times New Roman" w:cs="Times New Roman"/>
          <w:i/>
        </w:rPr>
      </w:pPr>
      <w:r w:rsidRPr="00727127">
        <w:rPr>
          <w:rFonts w:ascii="Times New Roman" w:hAnsi="Times New Roman" w:cs="Times New Roman"/>
          <w:b/>
          <w:bCs/>
          <w:i/>
        </w:rPr>
        <w:t>Recommendation</w:t>
      </w:r>
      <w:r w:rsidRPr="00727127">
        <w:rPr>
          <w:rFonts w:ascii="Times New Roman" w:hAnsi="Times New Roman" w:cs="Times New Roman"/>
          <w:i/>
        </w:rPr>
        <w:t>s</w:t>
      </w:r>
    </w:p>
    <w:p w14:paraId="431F4DC2" w14:textId="53AD631C" w:rsidR="006B2199" w:rsidRPr="00E55D84" w:rsidRDefault="006B2199" w:rsidP="00C50A75">
      <w:pPr>
        <w:spacing w:before="280" w:after="280" w:line="259" w:lineRule="auto"/>
        <w:jc w:val="both"/>
        <w:rPr>
          <w:rFonts w:ascii="Times New Roman" w:hAnsi="Times New Roman" w:cs="Times New Roman"/>
          <w:b/>
          <w:bCs/>
          <w:iCs/>
        </w:rPr>
      </w:pPr>
      <w:r w:rsidRPr="00E55D84">
        <w:rPr>
          <w:rFonts w:ascii="Times New Roman" w:hAnsi="Times New Roman" w:cs="Times New Roman"/>
          <w:b/>
          <w:bCs/>
          <w:iCs/>
        </w:rPr>
        <w:t>To continue expanding and improving Latvian language training programs across various proficiency levels to all beneficiaries of international protection. Ensuring accessible courses, tailored curricula, and sufficient resources will enhance integration, employment prospects, and social participation.</w:t>
      </w:r>
    </w:p>
    <w:p w14:paraId="3BFDC3DB" w14:textId="60C54CD5" w:rsidR="006B2199" w:rsidRDefault="006B2199" w:rsidP="00C50A75">
      <w:pPr>
        <w:spacing w:before="280" w:after="280" w:line="259" w:lineRule="auto"/>
        <w:jc w:val="both"/>
        <w:rPr>
          <w:rFonts w:ascii="Times New Roman" w:hAnsi="Times New Roman" w:cs="Times New Roman"/>
          <w:b/>
          <w:bCs/>
          <w:iCs/>
        </w:rPr>
      </w:pPr>
      <w:r w:rsidRPr="00E55D84">
        <w:rPr>
          <w:rFonts w:ascii="Times New Roman" w:hAnsi="Times New Roman" w:cs="Times New Roman"/>
          <w:b/>
          <w:bCs/>
          <w:iCs/>
        </w:rPr>
        <w:t>Providing humanitarian aid (particularly emergency assistance) to asylum seekers arriving at the Latvian-Belarus border</w:t>
      </w:r>
    </w:p>
    <w:p w14:paraId="4884C4A8" w14:textId="54287DDF" w:rsidR="008A2F3E" w:rsidRPr="00E55D84" w:rsidRDefault="008A2F3E" w:rsidP="00C50A75">
      <w:pPr>
        <w:spacing w:before="280" w:after="280" w:line="259" w:lineRule="auto"/>
        <w:jc w:val="both"/>
        <w:rPr>
          <w:rFonts w:ascii="Times New Roman" w:hAnsi="Times New Roman" w:cs="Times New Roman"/>
          <w:b/>
          <w:bCs/>
          <w:iCs/>
        </w:rPr>
      </w:pPr>
      <w:r w:rsidRPr="008A2F3E">
        <w:rPr>
          <w:rFonts w:ascii="Times New Roman" w:hAnsi="Times New Roman" w:cs="Times New Roman"/>
          <w:b/>
          <w:bCs/>
          <w:iCs/>
        </w:rPr>
        <w:t>Ensure that foreign nationals have effective access to an asylum procedure that includes an individual assessment of the risk of ill-treatment if expelled to their country of origin or a third country.</w:t>
      </w:r>
    </w:p>
    <w:p w14:paraId="7BF3EC6D" w14:textId="4FC01A95" w:rsidR="006B2199" w:rsidRPr="00E55D84" w:rsidRDefault="00E55D84" w:rsidP="00C50A75">
      <w:pPr>
        <w:spacing w:before="280" w:after="280" w:line="259" w:lineRule="auto"/>
        <w:jc w:val="both"/>
        <w:rPr>
          <w:rFonts w:ascii="Times New Roman" w:hAnsi="Times New Roman" w:cs="Times New Roman"/>
          <w:b/>
          <w:bCs/>
          <w:iCs/>
        </w:rPr>
      </w:pPr>
      <w:r w:rsidRPr="00E55D84">
        <w:rPr>
          <w:rFonts w:ascii="Times New Roman" w:hAnsi="Times New Roman" w:cs="Times New Roman"/>
          <w:b/>
          <w:bCs/>
          <w:iCs/>
        </w:rPr>
        <w:t>To the Ombudsman: Enhance the monitoring of human rights observance at the border, with particular attention to preventing risks of ill-treatment.</w:t>
      </w:r>
    </w:p>
    <w:p w14:paraId="096E8535" w14:textId="3AC7BFE2" w:rsidR="006B2199" w:rsidRPr="00E55D84" w:rsidRDefault="00E55D84" w:rsidP="00C50A75">
      <w:pPr>
        <w:spacing w:before="280" w:after="280" w:line="259" w:lineRule="auto"/>
        <w:jc w:val="both"/>
        <w:rPr>
          <w:rFonts w:ascii="Times New Roman" w:hAnsi="Times New Roman" w:cs="Times New Roman"/>
          <w:b/>
          <w:bCs/>
          <w:iCs/>
        </w:rPr>
      </w:pPr>
      <w:r w:rsidRPr="00E55D84">
        <w:rPr>
          <w:rFonts w:ascii="Times New Roman" w:hAnsi="Times New Roman" w:cs="Times New Roman"/>
          <w:b/>
          <w:bCs/>
          <w:iCs/>
        </w:rPr>
        <w:lastRenderedPageBreak/>
        <w:t xml:space="preserve">To </w:t>
      </w:r>
      <w:proofErr w:type="spellStart"/>
      <w:r w:rsidRPr="00E55D84">
        <w:rPr>
          <w:rFonts w:ascii="Times New Roman" w:hAnsi="Times New Roman" w:cs="Times New Roman"/>
          <w:b/>
          <w:bCs/>
          <w:iCs/>
        </w:rPr>
        <w:t>decriminalise</w:t>
      </w:r>
      <w:proofErr w:type="spellEnd"/>
      <w:r w:rsidRPr="00E55D84">
        <w:rPr>
          <w:rFonts w:ascii="Times New Roman" w:hAnsi="Times New Roman" w:cs="Times New Roman"/>
          <w:b/>
          <w:bCs/>
          <w:iCs/>
        </w:rPr>
        <w:t xml:space="preserve"> the provision of humanitarian aid to asylum seekers at the border, ensuring that individuals and </w:t>
      </w:r>
      <w:proofErr w:type="spellStart"/>
      <w:r w:rsidRPr="00E55D84">
        <w:rPr>
          <w:rFonts w:ascii="Times New Roman" w:hAnsi="Times New Roman" w:cs="Times New Roman"/>
          <w:b/>
          <w:bCs/>
          <w:iCs/>
        </w:rPr>
        <w:t>organisations</w:t>
      </w:r>
      <w:proofErr w:type="spellEnd"/>
      <w:r w:rsidRPr="00E55D84">
        <w:rPr>
          <w:rFonts w:ascii="Times New Roman" w:hAnsi="Times New Roman" w:cs="Times New Roman"/>
          <w:b/>
          <w:bCs/>
          <w:iCs/>
        </w:rPr>
        <w:t xml:space="preserve"> offering vital assistance—such as food, water, medical care, and shelter—are protected from legal penalties. Clear legal frameworks should distinguish humanitarian aid from activities linked to irregular migration, allowing legitimate support without fear of prosecution.</w:t>
      </w:r>
    </w:p>
    <w:p w14:paraId="115AB28B" w14:textId="44A80D05" w:rsidR="005163D0" w:rsidRPr="00E55D84" w:rsidRDefault="00D21295" w:rsidP="005163D0">
      <w:pPr>
        <w:spacing w:line="240" w:lineRule="auto"/>
        <w:jc w:val="both"/>
        <w:rPr>
          <w:rFonts w:ascii="Times New Roman" w:hAnsi="Times New Roman" w:cs="Times New Roman"/>
          <w:b/>
          <w:bCs/>
          <w:i/>
          <w:iCs/>
        </w:rPr>
      </w:pPr>
      <w:r w:rsidRPr="00E55D84">
        <w:rPr>
          <w:rFonts w:ascii="Times New Roman" w:hAnsi="Times New Roman" w:cs="Times New Roman"/>
          <w:b/>
          <w:bCs/>
          <w:i/>
          <w:iCs/>
        </w:rPr>
        <w:t xml:space="preserve">Freedom of </w:t>
      </w:r>
      <w:r w:rsidR="006A757F" w:rsidRPr="00E55D84">
        <w:rPr>
          <w:rFonts w:ascii="Times New Roman" w:hAnsi="Times New Roman" w:cs="Times New Roman"/>
          <w:b/>
          <w:bCs/>
          <w:i/>
          <w:iCs/>
        </w:rPr>
        <w:t>expression</w:t>
      </w:r>
    </w:p>
    <w:p w14:paraId="78B6CFA8" w14:textId="735E301D" w:rsidR="00D07E33" w:rsidRPr="00E55D84" w:rsidRDefault="00D07E33" w:rsidP="005163D0">
      <w:pPr>
        <w:spacing w:line="240" w:lineRule="auto"/>
        <w:jc w:val="both"/>
        <w:rPr>
          <w:rFonts w:ascii="Times New Roman" w:hAnsi="Times New Roman" w:cs="Times New Roman"/>
          <w:b/>
          <w:bCs/>
          <w:i/>
          <w:iCs/>
        </w:rPr>
      </w:pPr>
      <w:r w:rsidRPr="00E55D84">
        <w:rPr>
          <w:rFonts w:ascii="Times New Roman" w:hAnsi="Times New Roman" w:cs="Times New Roman"/>
          <w:b/>
          <w:bCs/>
          <w:i/>
          <w:iCs/>
        </w:rPr>
        <w:t>Media freedom</w:t>
      </w:r>
    </w:p>
    <w:p w14:paraId="0EC9E710" w14:textId="77777777" w:rsidR="000C6007" w:rsidRPr="00E55D84" w:rsidRDefault="00D07E33" w:rsidP="000C6007">
      <w:pPr>
        <w:spacing w:line="240" w:lineRule="auto"/>
        <w:jc w:val="both"/>
        <w:rPr>
          <w:rFonts w:ascii="Times New Roman" w:hAnsi="Times New Roman" w:cs="Times New Roman"/>
        </w:rPr>
      </w:pPr>
      <w:r w:rsidRPr="00E55D84">
        <w:rPr>
          <w:rFonts w:ascii="Times New Roman" w:hAnsi="Times New Roman" w:cs="Times New Roman"/>
        </w:rPr>
        <w:t>During the reporting period, Latvia improved its ranking in the Press Freedom Index. In 2019, the country held 24th place, while for three consecutive years—2020, 2021, and 2022—it ranked 22nd. In 2023, Latvia moved up to 16th place</w:t>
      </w:r>
      <w:r w:rsidR="00A05CAB" w:rsidRPr="00E55D84">
        <w:rPr>
          <w:rFonts w:ascii="Times New Roman" w:hAnsi="Times New Roman" w:cs="Times New Roman"/>
        </w:rPr>
        <w:t xml:space="preserve">. In 2025, </w:t>
      </w:r>
      <w:r w:rsidR="00A05CAB" w:rsidRPr="00E55D84">
        <w:rPr>
          <w:rFonts w:ascii="Times New Roman" w:hAnsi="Times New Roman" w:cs="Times New Roman"/>
          <w:b/>
          <w:bCs/>
        </w:rPr>
        <w:t xml:space="preserve">Latvia ranked 15th in the </w:t>
      </w:r>
      <w:r w:rsidR="00F63B54" w:rsidRPr="00E55D84">
        <w:rPr>
          <w:rFonts w:ascii="Times New Roman" w:hAnsi="Times New Roman" w:cs="Times New Roman"/>
          <w:b/>
          <w:bCs/>
        </w:rPr>
        <w:t>w</w:t>
      </w:r>
      <w:r w:rsidR="00A05CAB" w:rsidRPr="00E55D84">
        <w:rPr>
          <w:rFonts w:ascii="Times New Roman" w:hAnsi="Times New Roman" w:cs="Times New Roman"/>
          <w:b/>
          <w:bCs/>
        </w:rPr>
        <w:t>orld</w:t>
      </w:r>
      <w:r w:rsidR="00A05CAB" w:rsidRPr="00E55D84">
        <w:rPr>
          <w:rFonts w:ascii="Times New Roman" w:hAnsi="Times New Roman" w:cs="Times New Roman"/>
        </w:rPr>
        <w:t xml:space="preserve">, slightly lower than its 13th place in 2024. </w:t>
      </w:r>
      <w:r w:rsidRPr="00E55D84">
        <w:rPr>
          <w:rFonts w:ascii="Times New Roman" w:hAnsi="Times New Roman" w:cs="Times New Roman"/>
        </w:rPr>
        <w:t>The highest</w:t>
      </w:r>
      <w:r w:rsidR="00A05CAB" w:rsidRPr="00E55D84">
        <w:rPr>
          <w:rFonts w:ascii="Times New Roman" w:hAnsi="Times New Roman" w:cs="Times New Roman"/>
        </w:rPr>
        <w:t>-</w:t>
      </w:r>
      <w:r w:rsidRPr="00E55D84">
        <w:rPr>
          <w:rFonts w:ascii="Times New Roman" w:hAnsi="Times New Roman" w:cs="Times New Roman"/>
        </w:rPr>
        <w:t>ranking Latvia has achieved so far was in 2008, when it reached 7th place.</w:t>
      </w:r>
    </w:p>
    <w:p w14:paraId="6ADC590D" w14:textId="77777777" w:rsidR="000C6007" w:rsidRPr="00E55D84" w:rsidRDefault="00910CD5" w:rsidP="000C6007">
      <w:pPr>
        <w:spacing w:line="240" w:lineRule="auto"/>
        <w:jc w:val="both"/>
        <w:rPr>
          <w:rFonts w:ascii="Times New Roman" w:hAnsi="Times New Roman" w:cs="Times New Roman"/>
        </w:rPr>
      </w:pPr>
      <w:r w:rsidRPr="00E55D84">
        <w:rPr>
          <w:rFonts w:ascii="Times New Roman" w:hAnsi="Times New Roman" w:cs="Times New Roman"/>
        </w:rPr>
        <w:t>Latvian journalists continue to work in a fairly free and safe environment, but access to reliable and pluralistic information, especially for the Russian-speaking population, remains a challenge.</w:t>
      </w:r>
      <w:r w:rsidR="000C6007" w:rsidRPr="00E55D84">
        <w:rPr>
          <w:rFonts w:ascii="Times New Roman" w:hAnsi="Times New Roman" w:cs="Times New Roman"/>
        </w:rPr>
        <w:t xml:space="preserve"> </w:t>
      </w:r>
    </w:p>
    <w:p w14:paraId="3EED37CE" w14:textId="4B9676C8" w:rsidR="00FA02AC" w:rsidRPr="00E55D84" w:rsidRDefault="000C6007" w:rsidP="008A2F3E">
      <w:pPr>
        <w:spacing w:after="0" w:line="240" w:lineRule="auto"/>
        <w:jc w:val="both"/>
        <w:rPr>
          <w:rFonts w:ascii="Times New Roman" w:hAnsi="Times New Roman" w:cs="Times New Roman"/>
          <w:spacing w:val="4"/>
          <w:shd w:val="clear" w:color="auto" w:fill="FFFFFF"/>
        </w:rPr>
      </w:pPr>
      <w:r w:rsidRPr="00E55D84">
        <w:rPr>
          <w:rFonts w:ascii="Times New Roman" w:hAnsi="Times New Roman" w:cs="Times New Roman"/>
          <w:spacing w:val="4"/>
          <w:shd w:val="clear" w:color="auto" w:fill="FFFFFF"/>
        </w:rPr>
        <w:t>On 6 October 2023, the Council of Europe Safety of Journalists platform</w:t>
      </w:r>
      <w:r w:rsidRPr="00E55D84">
        <w:rPr>
          <w:rStyle w:val="FootnoteReference"/>
          <w:rFonts w:ascii="Times New Roman" w:hAnsi="Times New Roman" w:cs="Times New Roman"/>
          <w:spacing w:val="4"/>
          <w:shd w:val="clear" w:color="auto" w:fill="FFFFFF"/>
        </w:rPr>
        <w:footnoteReference w:id="36"/>
      </w:r>
      <w:r w:rsidRPr="00E55D84">
        <w:rPr>
          <w:rFonts w:ascii="Times New Roman" w:hAnsi="Times New Roman" w:cs="Times New Roman"/>
          <w:spacing w:val="4"/>
          <w:shd w:val="clear" w:color="auto" w:fill="FFFFFF"/>
        </w:rPr>
        <w:t xml:space="preserve"> published Level 2 alert – a statement by six media freedom and journalists organisations</w:t>
      </w:r>
      <w:r w:rsidRPr="00E55D84">
        <w:rPr>
          <w:rStyle w:val="FootnoteReference"/>
          <w:rFonts w:ascii="Times New Roman" w:hAnsi="Times New Roman" w:cs="Times New Roman"/>
          <w:spacing w:val="4"/>
          <w:shd w:val="clear" w:color="auto" w:fill="FFFFFF"/>
        </w:rPr>
        <w:footnoteReference w:id="37"/>
      </w:r>
      <w:r w:rsidRPr="00E55D84">
        <w:rPr>
          <w:rFonts w:ascii="Times New Roman" w:hAnsi="Times New Roman" w:cs="Times New Roman"/>
          <w:spacing w:val="4"/>
          <w:shd w:val="clear" w:color="auto" w:fill="FFFFFF"/>
        </w:rPr>
        <w:t xml:space="preserve"> the 'National Security Concept' approved by the Latvian Parliament (</w:t>
      </w:r>
      <w:proofErr w:type="spellStart"/>
      <w:r w:rsidRPr="00E55D84">
        <w:rPr>
          <w:rFonts w:ascii="Times New Roman" w:hAnsi="Times New Roman" w:cs="Times New Roman"/>
          <w:spacing w:val="4"/>
          <w:shd w:val="clear" w:color="auto" w:fill="FFFFFF"/>
        </w:rPr>
        <w:t>Saeima</w:t>
      </w:r>
      <w:proofErr w:type="spellEnd"/>
      <w:r w:rsidRPr="00E55D84">
        <w:rPr>
          <w:rFonts w:ascii="Times New Roman" w:hAnsi="Times New Roman" w:cs="Times New Roman"/>
          <w:spacing w:val="4"/>
          <w:shd w:val="clear" w:color="auto" w:fill="FFFFFF"/>
        </w:rPr>
        <w:t>) on 28 September 2023, a policy-planning document, according to which all content created by the public media after 1 January 2026 must only be in Latvian language or other languages belonging to the European cultural space, i.e. EU, candidate countries and European Economic Area (EEA).</w:t>
      </w:r>
      <w:r w:rsidRPr="00E55D84">
        <w:rPr>
          <w:rStyle w:val="FootnoteReference"/>
          <w:rFonts w:ascii="Times New Roman" w:hAnsi="Times New Roman" w:cs="Times New Roman"/>
          <w:spacing w:val="4"/>
          <w:shd w:val="clear" w:color="auto" w:fill="FFFFFF"/>
        </w:rPr>
        <w:footnoteReference w:id="38"/>
      </w:r>
      <w:r w:rsidRPr="00E55D84">
        <w:rPr>
          <w:rFonts w:ascii="Times New Roman" w:hAnsi="Times New Roman" w:cs="Times New Roman"/>
          <w:spacing w:val="4"/>
          <w:shd w:val="clear" w:color="auto" w:fill="FFFFFF"/>
        </w:rPr>
        <w:t xml:space="preserve"> The move would essentially prohibit Latvian TV and Latvia Radio from producing content in Russian language as of 2026. Currently Latvian TV and Latvian Radio provide content in a range of minority languages through a variety of platforms, including the RUS.LSM</w:t>
      </w:r>
      <w:r w:rsidR="008A2F3E">
        <w:rPr>
          <w:rFonts w:ascii="Times New Roman" w:hAnsi="Times New Roman" w:cs="Times New Roman"/>
          <w:spacing w:val="4"/>
          <w:shd w:val="clear" w:color="auto" w:fill="FFFFFF"/>
        </w:rPr>
        <w:t>.LV</w:t>
      </w:r>
      <w:r w:rsidRPr="00E55D84">
        <w:rPr>
          <w:rFonts w:ascii="Times New Roman" w:hAnsi="Times New Roman" w:cs="Times New Roman"/>
          <w:spacing w:val="4"/>
          <w:shd w:val="clear" w:color="auto" w:fill="FFFFFF"/>
        </w:rPr>
        <w:t xml:space="preserve"> </w:t>
      </w:r>
      <w:r w:rsidR="008A2F3E">
        <w:rPr>
          <w:rFonts w:ascii="Times New Roman" w:hAnsi="Times New Roman" w:cs="Times New Roman"/>
          <w:spacing w:val="4"/>
          <w:shd w:val="clear" w:color="auto" w:fill="FFFFFF"/>
        </w:rPr>
        <w:t xml:space="preserve">(LSM+ as of 1 September 2024) </w:t>
      </w:r>
      <w:r w:rsidRPr="00E55D84">
        <w:rPr>
          <w:rFonts w:ascii="Times New Roman" w:hAnsi="Times New Roman" w:cs="Times New Roman"/>
          <w:spacing w:val="4"/>
          <w:shd w:val="clear" w:color="auto" w:fill="FFFFFF"/>
        </w:rPr>
        <w:t>portal and Latvia Radio 4 which reaches around 150,000 listeners a week and has around 1.3 million listeners per year to their podcasts. The authors of the statement express</w:t>
      </w:r>
      <w:r w:rsidR="008115EB" w:rsidRPr="00E55D84">
        <w:rPr>
          <w:rFonts w:ascii="Times New Roman" w:hAnsi="Times New Roman" w:cs="Times New Roman"/>
          <w:spacing w:val="4"/>
          <w:shd w:val="clear" w:color="auto" w:fill="FFFFFF"/>
        </w:rPr>
        <w:t>ed</w:t>
      </w:r>
      <w:r w:rsidRPr="00E55D84">
        <w:rPr>
          <w:rFonts w:ascii="Times New Roman" w:hAnsi="Times New Roman" w:cs="Times New Roman"/>
          <w:spacing w:val="4"/>
          <w:shd w:val="clear" w:color="auto" w:fill="FFFFFF"/>
        </w:rPr>
        <w:t xml:space="preserve"> their concern that this change risks depriving Russian speakers in Latvia of access to credible and fact-checked information, leaving them exposed to disinformation and propaganda which is especially critical in light of the Russian war of aggression in Ukraine. </w:t>
      </w:r>
      <w:r w:rsidR="00FA02AC" w:rsidRPr="00E55D84">
        <w:rPr>
          <w:rFonts w:ascii="Times New Roman" w:hAnsi="Times New Roman" w:cs="Times New Roman"/>
          <w:spacing w:val="4"/>
          <w:shd w:val="clear" w:color="auto" w:fill="FFFFFF"/>
        </w:rPr>
        <w:t>While the final decision on this policy has not yet been made, concerns about its potential impact remain high.</w:t>
      </w:r>
    </w:p>
    <w:p w14:paraId="529C012B" w14:textId="77777777" w:rsidR="00767203" w:rsidRPr="00E55D84" w:rsidRDefault="00767203" w:rsidP="00767203">
      <w:pPr>
        <w:spacing w:after="0" w:line="240" w:lineRule="auto"/>
        <w:jc w:val="both"/>
        <w:rPr>
          <w:rFonts w:ascii="Times New Roman" w:hAnsi="Times New Roman" w:cs="Times New Roman"/>
          <w:spacing w:val="4"/>
          <w:shd w:val="clear" w:color="auto" w:fill="FFFFFF"/>
        </w:rPr>
      </w:pPr>
    </w:p>
    <w:p w14:paraId="234139D0" w14:textId="2E377E41" w:rsidR="00A856EC" w:rsidRPr="00E55D84" w:rsidRDefault="00A856EC" w:rsidP="00FA02AC">
      <w:pPr>
        <w:spacing w:line="240" w:lineRule="auto"/>
        <w:jc w:val="both"/>
        <w:rPr>
          <w:rFonts w:ascii="Times New Roman" w:hAnsi="Times New Roman" w:cs="Times New Roman"/>
          <w:spacing w:val="4"/>
          <w:shd w:val="clear" w:color="auto" w:fill="FFFFFF"/>
        </w:rPr>
      </w:pPr>
      <w:r w:rsidRPr="00E55D84">
        <w:rPr>
          <w:rFonts w:ascii="Times New Roman" w:hAnsi="Times New Roman" w:cs="Times New Roman"/>
          <w:spacing w:val="4"/>
          <w:shd w:val="clear" w:color="auto" w:fill="FFFFFF"/>
        </w:rPr>
        <w:t xml:space="preserve">Several incidents have raised concerns about attempts by </w:t>
      </w:r>
      <w:r w:rsidR="00597CEC" w:rsidRPr="00E55D84">
        <w:rPr>
          <w:rFonts w:ascii="Times New Roman" w:hAnsi="Times New Roman" w:cs="Times New Roman"/>
          <w:spacing w:val="4"/>
          <w:shd w:val="clear" w:color="auto" w:fill="FFFFFF"/>
        </w:rPr>
        <w:t>certain</w:t>
      </w:r>
      <w:r w:rsidRPr="00E55D84">
        <w:rPr>
          <w:rFonts w:ascii="Times New Roman" w:hAnsi="Times New Roman" w:cs="Times New Roman"/>
          <w:spacing w:val="4"/>
          <w:shd w:val="clear" w:color="auto" w:fill="FFFFFF"/>
        </w:rPr>
        <w:t xml:space="preserve"> authorities to restrict media freedom.</w:t>
      </w:r>
    </w:p>
    <w:p w14:paraId="5F803FAF" w14:textId="0F8302C5" w:rsidR="005163D0" w:rsidRPr="00E55D84" w:rsidRDefault="005163D0" w:rsidP="00FA02AC">
      <w:pPr>
        <w:spacing w:line="240" w:lineRule="auto"/>
        <w:jc w:val="both"/>
        <w:rPr>
          <w:rFonts w:ascii="Times New Roman" w:hAnsi="Times New Roman" w:cs="Times New Roman"/>
          <w:color w:val="333333"/>
          <w:spacing w:val="-5"/>
          <w:lang w:val="lv-LV"/>
        </w:rPr>
      </w:pPr>
      <w:r w:rsidRPr="00E55D84">
        <w:rPr>
          <w:rFonts w:ascii="Times New Roman" w:hAnsi="Times New Roman" w:cs="Times New Roman"/>
          <w:color w:val="2B292A"/>
          <w:lang w:val="lv-LV"/>
        </w:rPr>
        <w:t xml:space="preserve">The National Electronic Mass Media Council (NEPLP) imposed an administrative fine EUR 8,500 on the Internet news portal </w:t>
      </w:r>
      <w:r w:rsidR="008A2F3E">
        <w:rPr>
          <w:rFonts w:ascii="Times New Roman" w:hAnsi="Times New Roman" w:cs="Times New Roman"/>
          <w:color w:val="2B292A"/>
          <w:lang w:val="lv-LV"/>
        </w:rPr>
        <w:t>TVNET</w:t>
      </w:r>
      <w:r w:rsidRPr="00E55D84">
        <w:rPr>
          <w:rFonts w:ascii="Times New Roman" w:hAnsi="Times New Roman" w:cs="Times New Roman"/>
          <w:color w:val="2B292A"/>
          <w:lang w:val="lv-LV"/>
        </w:rPr>
        <w:t>.</w:t>
      </w:r>
      <w:r w:rsidR="008A2F3E">
        <w:rPr>
          <w:rFonts w:ascii="Times New Roman" w:hAnsi="Times New Roman" w:cs="Times New Roman"/>
          <w:color w:val="2B292A"/>
          <w:lang w:val="lv-LV"/>
        </w:rPr>
        <w:t>LV</w:t>
      </w:r>
      <w:r w:rsidRPr="00E55D84">
        <w:rPr>
          <w:rStyle w:val="FootnoteReference"/>
          <w:rFonts w:ascii="Times New Roman" w:hAnsi="Times New Roman" w:cs="Times New Roman"/>
          <w:color w:val="2B292A"/>
          <w:lang w:val="lv-LV"/>
        </w:rPr>
        <w:footnoteReference w:id="39"/>
      </w:r>
      <w:r w:rsidRPr="00E55D84">
        <w:rPr>
          <w:rFonts w:ascii="Times New Roman" w:hAnsi="Times New Roman" w:cs="Times New Roman"/>
          <w:color w:val="2B292A"/>
          <w:lang w:val="lv-LV"/>
        </w:rPr>
        <w:t> for the alleged misuse of the word “deportation”</w:t>
      </w:r>
      <w:r w:rsidRPr="00E55D84">
        <w:rPr>
          <w:rStyle w:val="FootnoteReference"/>
          <w:rFonts w:ascii="Times New Roman" w:hAnsi="Times New Roman" w:cs="Times New Roman"/>
          <w:color w:val="2B292A"/>
          <w:lang w:val="lv-LV"/>
        </w:rPr>
        <w:footnoteReference w:id="40"/>
      </w:r>
      <w:r w:rsidRPr="00E55D84">
        <w:rPr>
          <w:rFonts w:ascii="Times New Roman" w:hAnsi="Times New Roman" w:cs="Times New Roman"/>
          <w:color w:val="2B292A"/>
          <w:lang w:val="lv-LV"/>
        </w:rPr>
        <w:t xml:space="preserve">, by </w:t>
      </w:r>
      <w:r w:rsidRPr="00E55D84">
        <w:rPr>
          <w:rFonts w:ascii="Times New Roman" w:hAnsi="Times New Roman" w:cs="Times New Roman"/>
          <w:color w:val="333333"/>
          <w:spacing w:val="-5"/>
          <w:lang w:val="lv-LV"/>
        </w:rPr>
        <w:lastRenderedPageBreak/>
        <w:t>stating that amendments to the Immigration Law would lead to deportations of Latvian residents who failed to meet language proficiency and EU permanent resident status requirements.</w:t>
      </w:r>
      <w:r w:rsidRPr="00E55D84">
        <w:rPr>
          <w:rFonts w:ascii="Times New Roman" w:hAnsi="Times New Roman" w:cs="Times New Roman"/>
          <w:color w:val="2B292A"/>
          <w:lang w:val="lv-LV"/>
        </w:rPr>
        <w:t>The word was not used by the Tvnet.lv but by the interviewee</w:t>
      </w:r>
      <w:r w:rsidRPr="00E55D84">
        <w:rPr>
          <w:rFonts w:ascii="Times New Roman" w:hAnsi="Times New Roman" w:cs="Times New Roman"/>
          <w:color w:val="333333"/>
          <w:spacing w:val="-5"/>
          <w:lang w:val="lv-LV"/>
        </w:rPr>
        <w:t xml:space="preserve"> Saeima MP Aleksejs Roslikovs on a webcast carried by TVNet.lv, in which he referenced a nationalist party in the Latvian government as trying to inaugurate "the first wave of deportations in the history of the re-independent Latvia." </w:t>
      </w:r>
    </w:p>
    <w:p w14:paraId="5617F776" w14:textId="77777777" w:rsidR="005163D0" w:rsidRPr="00E55D84" w:rsidRDefault="005163D0" w:rsidP="005163D0">
      <w:pPr>
        <w:pStyle w:val="NormalWeb"/>
        <w:spacing w:before="216" w:beforeAutospacing="0" w:after="216" w:afterAutospacing="0"/>
        <w:jc w:val="both"/>
        <w:rPr>
          <w:color w:val="333333"/>
          <w:spacing w:val="-5"/>
          <w:lang w:val="lv-LV"/>
        </w:rPr>
      </w:pPr>
      <w:r w:rsidRPr="00E55D84">
        <w:rPr>
          <w:color w:val="333333"/>
          <w:spacing w:val="-5"/>
          <w:lang w:val="lv-LV"/>
        </w:rPr>
        <w:t>NEPLP argued that "expulsion" was the correct term for Russian and Belarusian citizens who did not comply. The news portal was penalized for lack of precision and neutrality, as it did not correct or clarify the term during the discussion. The editor-in-chief defended the use of "deportation," citing its relevance to immigration policy beyond historical contexts. The Latvian Media Ethics Council criticized the fine as disproportionate, undemocratic, and bureaucratic.</w:t>
      </w:r>
      <w:r w:rsidRPr="00E55D84">
        <w:rPr>
          <w:rStyle w:val="FootnoteReference"/>
          <w:color w:val="2B292A"/>
        </w:rPr>
        <w:footnoteReference w:id="41"/>
      </w:r>
    </w:p>
    <w:p w14:paraId="707D505E" w14:textId="77777777" w:rsidR="005163D0" w:rsidRDefault="005163D0" w:rsidP="005163D0">
      <w:pPr>
        <w:pStyle w:val="NormalWeb"/>
        <w:spacing w:before="216" w:beforeAutospacing="0" w:after="216" w:afterAutospacing="0"/>
        <w:jc w:val="both"/>
        <w:rPr>
          <w:b/>
          <w:bCs/>
          <w:color w:val="333333"/>
          <w:spacing w:val="-5"/>
          <w:lang w:val="en-US"/>
        </w:rPr>
      </w:pPr>
      <w:r w:rsidRPr="00E55D84">
        <w:rPr>
          <w:color w:val="333333"/>
          <w:spacing w:val="-5"/>
          <w:lang w:val="en-US"/>
        </w:rPr>
        <w:t xml:space="preserve">In May 2025, Corruption Prevention and Combating Bureau (KNAB) requested information from the national news agency LETA and the Baltic Centre for Investigative Journalism </w:t>
      </w:r>
      <w:proofErr w:type="spellStart"/>
      <w:r w:rsidRPr="00E55D84">
        <w:rPr>
          <w:color w:val="333333"/>
          <w:spacing w:val="-5"/>
          <w:lang w:val="en-US"/>
        </w:rPr>
        <w:t>Re:Baltica</w:t>
      </w:r>
      <w:proofErr w:type="spellEnd"/>
      <w:r w:rsidRPr="00E55D84">
        <w:rPr>
          <w:color w:val="333333"/>
          <w:spacing w:val="-5"/>
          <w:lang w:val="en-US"/>
        </w:rPr>
        <w:t xml:space="preserve"> regarding published content related to the 7 June 2025 municipal elections. The International and European Federations of Journalists (IFJ/EFJ)</w:t>
      </w:r>
      <w:r w:rsidRPr="00E55D84">
        <w:rPr>
          <w:rStyle w:val="FootnoteReference"/>
          <w:color w:val="333333"/>
          <w:spacing w:val="-5"/>
          <w:lang w:val="en-US"/>
        </w:rPr>
        <w:footnoteReference w:id="42"/>
      </w:r>
      <w:r w:rsidRPr="00E55D84">
        <w:rPr>
          <w:color w:val="333333"/>
          <w:spacing w:val="-5"/>
          <w:lang w:val="en-US"/>
        </w:rPr>
        <w:t xml:space="preserve"> and the Latvian Journalists’ Association (LŽA)</w:t>
      </w:r>
      <w:r w:rsidRPr="00E55D84">
        <w:rPr>
          <w:rStyle w:val="FootnoteReference"/>
          <w:color w:val="333333"/>
          <w:spacing w:val="-5"/>
          <w:lang w:val="en-US"/>
        </w:rPr>
        <w:footnoteReference w:id="43"/>
      </w:r>
      <w:r w:rsidRPr="00E55D84">
        <w:rPr>
          <w:color w:val="333333"/>
          <w:spacing w:val="-5"/>
          <w:lang w:val="en-US"/>
        </w:rPr>
        <w:t xml:space="preserve"> raised concerns about state interference in editorial decisions. On 14–15 May 2025, KNAB sent letters asking for details on editorial processes, including party selection criteria, interviewees, publication coordination, and funding sources. </w:t>
      </w:r>
      <w:proofErr w:type="spellStart"/>
      <w:r w:rsidRPr="00E55D84">
        <w:rPr>
          <w:color w:val="333333"/>
          <w:spacing w:val="-5"/>
          <w:lang w:val="en-US"/>
        </w:rPr>
        <w:t>Re:Baltica</w:t>
      </w:r>
      <w:proofErr w:type="spellEnd"/>
      <w:r w:rsidRPr="00E55D84">
        <w:rPr>
          <w:color w:val="333333"/>
          <w:spacing w:val="-5"/>
          <w:lang w:val="en-US"/>
        </w:rPr>
        <w:t xml:space="preserve"> was also questioned about future publication plans. Both outlets asserted their editorial freedom, with LŽA condemning KNAB’s implications as offensive and dangerous. KNAB cited complaints about hidden agitation, denying any intent to evaluate content. The IFJ/EFJ and LŽA criticized the lack of transparency, questioning KNAB’s understanding of independent media. LŽA officially appealed, urging KNAB to explain its actions. </w:t>
      </w:r>
      <w:r w:rsidRPr="00E55D84">
        <w:rPr>
          <w:b/>
          <w:bCs/>
          <w:color w:val="333333"/>
          <w:spacing w:val="-5"/>
          <w:lang w:val="en-US"/>
        </w:rPr>
        <w:t>The federations called the request intimidation, warning it threatens media independence and public trust.</w:t>
      </w:r>
    </w:p>
    <w:p w14:paraId="2F1E26E8" w14:textId="272798BA" w:rsidR="00E55D84" w:rsidRPr="00727127" w:rsidRDefault="008A2F3E" w:rsidP="005163D0">
      <w:pPr>
        <w:pStyle w:val="NormalWeb"/>
        <w:spacing w:before="216" w:beforeAutospacing="0" w:after="216" w:afterAutospacing="0"/>
        <w:jc w:val="both"/>
        <w:rPr>
          <w:b/>
          <w:bCs/>
          <w:i/>
          <w:iCs/>
          <w:color w:val="333333"/>
          <w:spacing w:val="-5"/>
          <w:lang w:val="en-US"/>
        </w:rPr>
      </w:pPr>
      <w:r w:rsidRPr="00727127">
        <w:rPr>
          <w:b/>
          <w:bCs/>
          <w:i/>
          <w:iCs/>
          <w:color w:val="333333"/>
          <w:spacing w:val="-5"/>
          <w:lang w:val="en-US"/>
        </w:rPr>
        <w:t>Recommendations:</w:t>
      </w:r>
    </w:p>
    <w:p w14:paraId="5DEEF827" w14:textId="5E755493" w:rsidR="009768D9" w:rsidRPr="00A336E2" w:rsidRDefault="008A2F3E" w:rsidP="00A336E2">
      <w:pPr>
        <w:pStyle w:val="NormalWeb"/>
        <w:spacing w:before="216" w:beforeAutospacing="0" w:after="216" w:afterAutospacing="0"/>
        <w:jc w:val="both"/>
        <w:rPr>
          <w:b/>
          <w:bCs/>
          <w:color w:val="333333"/>
          <w:spacing w:val="-5"/>
          <w:lang w:val="en-US"/>
        </w:rPr>
      </w:pPr>
      <w:r>
        <w:rPr>
          <w:b/>
          <w:bCs/>
          <w:color w:val="333333"/>
          <w:spacing w:val="-5"/>
          <w:lang w:val="en-US"/>
        </w:rPr>
        <w:t>To combat Russian disinformation by e</w:t>
      </w:r>
      <w:r w:rsidRPr="008A2F3E">
        <w:rPr>
          <w:b/>
          <w:bCs/>
          <w:color w:val="333333"/>
          <w:spacing w:val="-5"/>
          <w:lang w:val="en-US"/>
        </w:rPr>
        <w:t>nsur</w:t>
      </w:r>
      <w:r>
        <w:rPr>
          <w:b/>
          <w:bCs/>
          <w:color w:val="333333"/>
          <w:spacing w:val="-5"/>
          <w:lang w:val="en-US"/>
        </w:rPr>
        <w:t>ing</w:t>
      </w:r>
      <w:r w:rsidRPr="008A2F3E">
        <w:rPr>
          <w:b/>
          <w:bCs/>
          <w:color w:val="333333"/>
          <w:spacing w:val="-5"/>
          <w:lang w:val="en-US"/>
        </w:rPr>
        <w:t xml:space="preserve"> that </w:t>
      </w:r>
      <w:r>
        <w:rPr>
          <w:b/>
          <w:bCs/>
          <w:color w:val="333333"/>
          <w:spacing w:val="-5"/>
          <w:lang w:val="en-US"/>
        </w:rPr>
        <w:t xml:space="preserve">representatives of </w:t>
      </w:r>
      <w:r w:rsidRPr="008A2F3E">
        <w:rPr>
          <w:b/>
          <w:bCs/>
          <w:color w:val="333333"/>
          <w:spacing w:val="-5"/>
          <w:lang w:val="en-US"/>
        </w:rPr>
        <w:t>national minorities have access to credible, fact-checked information through public media, including</w:t>
      </w:r>
      <w:r>
        <w:rPr>
          <w:b/>
          <w:bCs/>
          <w:color w:val="333333"/>
          <w:spacing w:val="-5"/>
          <w:lang w:val="en-US"/>
        </w:rPr>
        <w:t xml:space="preserve"> content</w:t>
      </w:r>
      <w:r w:rsidRPr="008A2F3E">
        <w:rPr>
          <w:b/>
          <w:bCs/>
          <w:color w:val="333333"/>
          <w:spacing w:val="-5"/>
          <w:lang w:val="en-US"/>
        </w:rPr>
        <w:t xml:space="preserve"> in Russian, Ukrainian, and Belarusian</w:t>
      </w:r>
    </w:p>
    <w:sectPr w:rsidR="009768D9" w:rsidRPr="00A336E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8377E9" w14:textId="77777777" w:rsidR="001C3881" w:rsidRDefault="001C3881" w:rsidP="008E02E4">
      <w:pPr>
        <w:spacing w:after="0" w:line="240" w:lineRule="auto"/>
      </w:pPr>
      <w:r>
        <w:separator/>
      </w:r>
    </w:p>
  </w:endnote>
  <w:endnote w:type="continuationSeparator" w:id="0">
    <w:p w14:paraId="12A7BE15" w14:textId="77777777" w:rsidR="001C3881" w:rsidRDefault="001C3881" w:rsidP="008E02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06D21D" w14:textId="77777777" w:rsidR="001C3881" w:rsidRDefault="001C3881" w:rsidP="008E02E4">
      <w:pPr>
        <w:spacing w:after="0" w:line="240" w:lineRule="auto"/>
      </w:pPr>
      <w:r>
        <w:separator/>
      </w:r>
    </w:p>
  </w:footnote>
  <w:footnote w:type="continuationSeparator" w:id="0">
    <w:p w14:paraId="6289C568" w14:textId="77777777" w:rsidR="001C3881" w:rsidRDefault="001C3881" w:rsidP="008E02E4">
      <w:pPr>
        <w:spacing w:after="0" w:line="240" w:lineRule="auto"/>
      </w:pPr>
      <w:r>
        <w:continuationSeparator/>
      </w:r>
    </w:p>
  </w:footnote>
  <w:footnote w:id="1">
    <w:p w14:paraId="15D9370A" w14:textId="77777777" w:rsidR="00DE30EF" w:rsidRPr="00A336E2" w:rsidRDefault="00DE30EF" w:rsidP="00A336E2">
      <w:pPr>
        <w:spacing w:after="0" w:line="240" w:lineRule="auto"/>
        <w:rPr>
          <w:rFonts w:ascii="Times New Roman" w:hAnsi="Times New Roman" w:cs="Times New Roman"/>
          <w:sz w:val="20"/>
          <w:szCs w:val="20"/>
        </w:rPr>
      </w:pPr>
      <w:r w:rsidRPr="00A336E2">
        <w:rPr>
          <w:rStyle w:val="FootnoteReference"/>
          <w:rFonts w:ascii="Times New Roman" w:hAnsi="Times New Roman" w:cs="Times New Roman"/>
          <w:sz w:val="20"/>
          <w:szCs w:val="20"/>
        </w:rPr>
        <w:footnoteRef/>
      </w:r>
      <w:r w:rsidRPr="00A336E2">
        <w:rPr>
          <w:rFonts w:ascii="Times New Roman" w:hAnsi="Times New Roman" w:cs="Times New Roman"/>
          <w:sz w:val="20"/>
          <w:szCs w:val="20"/>
        </w:rPr>
        <w:t xml:space="preserve"> </w:t>
      </w:r>
      <w:hyperlink r:id="rId1" w:history="1">
        <w:r w:rsidRPr="00A336E2">
          <w:rPr>
            <w:rStyle w:val="Hyperlink"/>
            <w:rFonts w:ascii="Times New Roman" w:hAnsi="Times New Roman" w:cs="Times New Roman"/>
            <w:sz w:val="20"/>
            <w:szCs w:val="20"/>
            <w:lang w:val="lv-LV"/>
          </w:rPr>
          <w:t>https://www.iem.gov.lv/lv/media/9988/download?attachment</w:t>
        </w:r>
      </w:hyperlink>
      <w:r w:rsidRPr="00A336E2">
        <w:rPr>
          <w:rFonts w:ascii="Times New Roman" w:hAnsi="Times New Roman" w:cs="Times New Roman"/>
          <w:sz w:val="20"/>
          <w:szCs w:val="20"/>
          <w:lang w:val="lv-LV"/>
        </w:rPr>
        <w:t xml:space="preserve"> </w:t>
      </w:r>
    </w:p>
  </w:footnote>
  <w:footnote w:id="2">
    <w:p w14:paraId="366956B4" w14:textId="77777777" w:rsidR="002821E1" w:rsidRPr="00A336E2" w:rsidRDefault="002821E1" w:rsidP="00A336E2">
      <w:pPr>
        <w:spacing w:after="0" w:line="240" w:lineRule="auto"/>
        <w:rPr>
          <w:rFonts w:ascii="Times New Roman" w:hAnsi="Times New Roman" w:cs="Times New Roman"/>
          <w:sz w:val="20"/>
          <w:szCs w:val="20"/>
        </w:rPr>
      </w:pPr>
      <w:r w:rsidRPr="00A336E2">
        <w:rPr>
          <w:rStyle w:val="FootnoteReference"/>
          <w:rFonts w:ascii="Times New Roman" w:hAnsi="Times New Roman" w:cs="Times New Roman"/>
          <w:sz w:val="20"/>
          <w:szCs w:val="20"/>
        </w:rPr>
        <w:footnoteRef/>
      </w:r>
      <w:r w:rsidRPr="00A336E2">
        <w:rPr>
          <w:rFonts w:ascii="Times New Roman" w:hAnsi="Times New Roman" w:cs="Times New Roman"/>
          <w:sz w:val="20"/>
          <w:szCs w:val="20"/>
        </w:rPr>
        <w:t xml:space="preserve"> Ministry of Interior Information Centre (2024). Criminal statistics, </w:t>
      </w:r>
      <w:hyperlink r:id="rId2" w:history="1">
        <w:r w:rsidRPr="00A336E2">
          <w:rPr>
            <w:rStyle w:val="Hyperlink"/>
            <w:rFonts w:ascii="Times New Roman" w:hAnsi="Times New Roman" w:cs="Times New Roman"/>
            <w:sz w:val="20"/>
            <w:szCs w:val="20"/>
          </w:rPr>
          <w:t>https://www.ic.iem.gov.lv/lv/kriminala-statistika</w:t>
        </w:r>
      </w:hyperlink>
      <w:r w:rsidRPr="00A336E2">
        <w:rPr>
          <w:rFonts w:ascii="Times New Roman" w:hAnsi="Times New Roman" w:cs="Times New Roman"/>
          <w:sz w:val="20"/>
          <w:szCs w:val="20"/>
        </w:rPr>
        <w:t xml:space="preserve"> </w:t>
      </w:r>
    </w:p>
  </w:footnote>
  <w:footnote w:id="3">
    <w:p w14:paraId="0BFD7A7D" w14:textId="01B61A95" w:rsidR="002821E1" w:rsidRPr="00A336E2" w:rsidRDefault="002821E1" w:rsidP="00A336E2">
      <w:pPr>
        <w:spacing w:after="0" w:line="240" w:lineRule="auto"/>
        <w:rPr>
          <w:rFonts w:ascii="Times New Roman" w:hAnsi="Times New Roman" w:cs="Times New Roman"/>
          <w:sz w:val="20"/>
          <w:szCs w:val="20"/>
        </w:rPr>
      </w:pPr>
      <w:r w:rsidRPr="00A336E2">
        <w:rPr>
          <w:rStyle w:val="FootnoteReference"/>
          <w:rFonts w:ascii="Times New Roman" w:hAnsi="Times New Roman" w:cs="Times New Roman"/>
          <w:sz w:val="20"/>
          <w:szCs w:val="20"/>
        </w:rPr>
        <w:footnoteRef/>
      </w:r>
      <w:r w:rsidRPr="00A336E2">
        <w:rPr>
          <w:rFonts w:ascii="Times New Roman" w:hAnsi="Times New Roman" w:cs="Times New Roman"/>
          <w:sz w:val="20"/>
          <w:szCs w:val="20"/>
        </w:rPr>
        <w:t xml:space="preserve"> </w:t>
      </w:r>
      <w:r w:rsidR="007E27F3" w:rsidRPr="00A336E2">
        <w:rPr>
          <w:rFonts w:ascii="Times New Roman" w:hAnsi="Times New Roman" w:cs="Times New Roman"/>
          <w:sz w:val="20"/>
          <w:szCs w:val="20"/>
        </w:rPr>
        <w:t>The Information Centre of the Ministry of the Interior compiles statistical reports on criminal cases initiated under specific articles of the Criminal Law. These include: Article 74.1: Justification of genocide, crimes against humanity, crimes against peace, and war crimes; Article 78: Incitement of national, ethnic, and racial hatred; Article 150: Incitement of social hatred and discord; If the hate motive is considered an aggravating circumstance but the case is classified under another article of the Special Part of the Criminal Law, such potential hate crimes are not recorded in the IIC statistics. Information on initiated criminal cases under Articles 74.1 and 78 is available in the annual reports of the State Security Service (VDD), while data on Articles 78 and 150 can also be found in the annual reports of the State Police (VP).</w:t>
      </w:r>
    </w:p>
  </w:footnote>
  <w:footnote w:id="4">
    <w:p w14:paraId="682E121C" w14:textId="77777777" w:rsidR="00FB6874" w:rsidRPr="00A336E2" w:rsidRDefault="00FB6874" w:rsidP="00A336E2">
      <w:pPr>
        <w:spacing w:after="0" w:line="240" w:lineRule="auto"/>
        <w:rPr>
          <w:rFonts w:ascii="Times New Roman" w:hAnsi="Times New Roman" w:cs="Times New Roman"/>
          <w:b/>
          <w:bCs/>
          <w:sz w:val="20"/>
          <w:szCs w:val="20"/>
        </w:rPr>
      </w:pPr>
      <w:r w:rsidRPr="00A336E2">
        <w:rPr>
          <w:rStyle w:val="FootnoteReference"/>
          <w:rFonts w:ascii="Times New Roman" w:hAnsi="Times New Roman" w:cs="Times New Roman"/>
          <w:sz w:val="20"/>
          <w:szCs w:val="20"/>
        </w:rPr>
        <w:footnoteRef/>
      </w:r>
      <w:r w:rsidRPr="00A336E2">
        <w:rPr>
          <w:rFonts w:ascii="Times New Roman" w:hAnsi="Times New Roman" w:cs="Times New Roman"/>
          <w:sz w:val="20"/>
          <w:szCs w:val="20"/>
        </w:rPr>
        <w:t xml:space="preserve"> LSM.LV (2024). The Security Service warns about the increasing risks posed by right-wing extremism in society (</w:t>
      </w:r>
      <w:proofErr w:type="spellStart"/>
      <w:r w:rsidRPr="00A336E2">
        <w:rPr>
          <w:rFonts w:ascii="Times New Roman" w:hAnsi="Times New Roman" w:cs="Times New Roman"/>
          <w:i/>
          <w:iCs/>
          <w:sz w:val="20"/>
          <w:szCs w:val="20"/>
        </w:rPr>
        <w:t>Drošības</w:t>
      </w:r>
      <w:proofErr w:type="spellEnd"/>
      <w:r w:rsidRPr="00A336E2">
        <w:rPr>
          <w:rFonts w:ascii="Times New Roman" w:hAnsi="Times New Roman" w:cs="Times New Roman"/>
          <w:i/>
          <w:iCs/>
          <w:sz w:val="20"/>
          <w:szCs w:val="20"/>
        </w:rPr>
        <w:t xml:space="preserve"> </w:t>
      </w:r>
      <w:proofErr w:type="spellStart"/>
      <w:r w:rsidRPr="00A336E2">
        <w:rPr>
          <w:rFonts w:ascii="Times New Roman" w:hAnsi="Times New Roman" w:cs="Times New Roman"/>
          <w:i/>
          <w:iCs/>
          <w:sz w:val="20"/>
          <w:szCs w:val="20"/>
        </w:rPr>
        <w:t>dienests</w:t>
      </w:r>
      <w:proofErr w:type="spellEnd"/>
      <w:r w:rsidRPr="00A336E2">
        <w:rPr>
          <w:rFonts w:ascii="Times New Roman" w:hAnsi="Times New Roman" w:cs="Times New Roman"/>
          <w:i/>
          <w:iCs/>
          <w:sz w:val="20"/>
          <w:szCs w:val="20"/>
        </w:rPr>
        <w:t xml:space="preserve"> </w:t>
      </w:r>
      <w:proofErr w:type="spellStart"/>
      <w:r w:rsidRPr="00A336E2">
        <w:rPr>
          <w:rFonts w:ascii="Times New Roman" w:hAnsi="Times New Roman" w:cs="Times New Roman"/>
          <w:i/>
          <w:iCs/>
          <w:sz w:val="20"/>
          <w:szCs w:val="20"/>
        </w:rPr>
        <w:t>brīdina</w:t>
      </w:r>
      <w:proofErr w:type="spellEnd"/>
      <w:r w:rsidRPr="00A336E2">
        <w:rPr>
          <w:rFonts w:ascii="Times New Roman" w:hAnsi="Times New Roman" w:cs="Times New Roman"/>
          <w:i/>
          <w:iCs/>
          <w:sz w:val="20"/>
          <w:szCs w:val="20"/>
        </w:rPr>
        <w:t xml:space="preserve"> par </w:t>
      </w:r>
      <w:proofErr w:type="spellStart"/>
      <w:r w:rsidRPr="00A336E2">
        <w:rPr>
          <w:rFonts w:ascii="Times New Roman" w:hAnsi="Times New Roman" w:cs="Times New Roman"/>
          <w:i/>
          <w:iCs/>
          <w:sz w:val="20"/>
          <w:szCs w:val="20"/>
        </w:rPr>
        <w:t>labējā</w:t>
      </w:r>
      <w:proofErr w:type="spellEnd"/>
      <w:r w:rsidRPr="00A336E2">
        <w:rPr>
          <w:rFonts w:ascii="Times New Roman" w:hAnsi="Times New Roman" w:cs="Times New Roman"/>
          <w:i/>
          <w:iCs/>
          <w:sz w:val="20"/>
          <w:szCs w:val="20"/>
        </w:rPr>
        <w:t xml:space="preserve"> </w:t>
      </w:r>
      <w:proofErr w:type="spellStart"/>
      <w:r w:rsidRPr="00A336E2">
        <w:rPr>
          <w:rFonts w:ascii="Times New Roman" w:hAnsi="Times New Roman" w:cs="Times New Roman"/>
          <w:i/>
          <w:iCs/>
          <w:sz w:val="20"/>
          <w:szCs w:val="20"/>
        </w:rPr>
        <w:t>ekstrēmisma</w:t>
      </w:r>
      <w:proofErr w:type="spellEnd"/>
      <w:r w:rsidRPr="00A336E2">
        <w:rPr>
          <w:rFonts w:ascii="Times New Roman" w:hAnsi="Times New Roman" w:cs="Times New Roman"/>
          <w:i/>
          <w:iCs/>
          <w:sz w:val="20"/>
          <w:szCs w:val="20"/>
        </w:rPr>
        <w:t xml:space="preserve"> </w:t>
      </w:r>
      <w:proofErr w:type="spellStart"/>
      <w:r w:rsidRPr="00A336E2">
        <w:rPr>
          <w:rFonts w:ascii="Times New Roman" w:hAnsi="Times New Roman" w:cs="Times New Roman"/>
          <w:i/>
          <w:iCs/>
          <w:sz w:val="20"/>
          <w:szCs w:val="20"/>
        </w:rPr>
        <w:t>radīto</w:t>
      </w:r>
      <w:proofErr w:type="spellEnd"/>
      <w:r w:rsidRPr="00A336E2">
        <w:rPr>
          <w:rFonts w:ascii="Times New Roman" w:hAnsi="Times New Roman" w:cs="Times New Roman"/>
          <w:i/>
          <w:iCs/>
          <w:sz w:val="20"/>
          <w:szCs w:val="20"/>
        </w:rPr>
        <w:t xml:space="preserve"> </w:t>
      </w:r>
      <w:proofErr w:type="spellStart"/>
      <w:r w:rsidRPr="00A336E2">
        <w:rPr>
          <w:rFonts w:ascii="Times New Roman" w:hAnsi="Times New Roman" w:cs="Times New Roman"/>
          <w:i/>
          <w:iCs/>
          <w:sz w:val="20"/>
          <w:szCs w:val="20"/>
        </w:rPr>
        <w:t>risku</w:t>
      </w:r>
      <w:proofErr w:type="spellEnd"/>
      <w:r w:rsidRPr="00A336E2">
        <w:rPr>
          <w:rFonts w:ascii="Times New Roman" w:hAnsi="Times New Roman" w:cs="Times New Roman"/>
          <w:i/>
          <w:iCs/>
          <w:sz w:val="20"/>
          <w:szCs w:val="20"/>
        </w:rPr>
        <w:t xml:space="preserve"> </w:t>
      </w:r>
      <w:proofErr w:type="spellStart"/>
      <w:r w:rsidRPr="00A336E2">
        <w:rPr>
          <w:rFonts w:ascii="Times New Roman" w:hAnsi="Times New Roman" w:cs="Times New Roman"/>
          <w:i/>
          <w:iCs/>
          <w:sz w:val="20"/>
          <w:szCs w:val="20"/>
        </w:rPr>
        <w:t>pieaugumu</w:t>
      </w:r>
      <w:proofErr w:type="spellEnd"/>
      <w:r w:rsidRPr="00A336E2">
        <w:rPr>
          <w:rFonts w:ascii="Times New Roman" w:hAnsi="Times New Roman" w:cs="Times New Roman"/>
          <w:i/>
          <w:iCs/>
          <w:sz w:val="20"/>
          <w:szCs w:val="20"/>
        </w:rPr>
        <w:t xml:space="preserve"> </w:t>
      </w:r>
      <w:proofErr w:type="spellStart"/>
      <w:r w:rsidRPr="00A336E2">
        <w:rPr>
          <w:rFonts w:ascii="Times New Roman" w:hAnsi="Times New Roman" w:cs="Times New Roman"/>
          <w:i/>
          <w:iCs/>
          <w:sz w:val="20"/>
          <w:szCs w:val="20"/>
        </w:rPr>
        <w:t>sabiedrībā</w:t>
      </w:r>
      <w:proofErr w:type="spellEnd"/>
      <w:r w:rsidRPr="00A336E2">
        <w:rPr>
          <w:rFonts w:ascii="Times New Roman" w:hAnsi="Times New Roman" w:cs="Times New Roman"/>
          <w:sz w:val="20"/>
          <w:szCs w:val="20"/>
        </w:rPr>
        <w:t xml:space="preserve">), 22.04, </w:t>
      </w:r>
      <w:hyperlink r:id="rId3" w:history="1">
        <w:r w:rsidRPr="00A336E2">
          <w:rPr>
            <w:rStyle w:val="Hyperlink"/>
            <w:rFonts w:ascii="Times New Roman" w:hAnsi="Times New Roman" w:cs="Times New Roman"/>
            <w:sz w:val="20"/>
            <w:szCs w:val="20"/>
          </w:rPr>
          <w:t>https://www.lsm.lv/raksts/zinas/latvija/22.04.2024-drosibas-dienests-bridina-par-labeja-ekstremisma-radito-risku-pieaugumu-sabiedriba.a551340/</w:t>
        </w:r>
      </w:hyperlink>
      <w:r w:rsidRPr="00A336E2">
        <w:rPr>
          <w:rFonts w:ascii="Times New Roman" w:hAnsi="Times New Roman" w:cs="Times New Roman"/>
          <w:sz w:val="20"/>
          <w:szCs w:val="20"/>
        </w:rPr>
        <w:t xml:space="preserve"> </w:t>
      </w:r>
    </w:p>
  </w:footnote>
  <w:footnote w:id="5">
    <w:p w14:paraId="46296C88" w14:textId="77777777" w:rsidR="00A70360" w:rsidRPr="00A336E2" w:rsidRDefault="00A70360" w:rsidP="00A336E2">
      <w:pPr>
        <w:spacing w:after="0" w:line="240" w:lineRule="auto"/>
        <w:rPr>
          <w:rFonts w:ascii="Times New Roman" w:hAnsi="Times New Roman" w:cs="Times New Roman"/>
          <w:sz w:val="20"/>
          <w:szCs w:val="20"/>
        </w:rPr>
      </w:pPr>
      <w:r w:rsidRPr="00A336E2">
        <w:rPr>
          <w:rStyle w:val="FootnoteReference"/>
          <w:rFonts w:ascii="Times New Roman" w:hAnsi="Times New Roman" w:cs="Times New Roman"/>
          <w:sz w:val="20"/>
          <w:szCs w:val="20"/>
        </w:rPr>
        <w:footnoteRef/>
      </w:r>
      <w:r w:rsidRPr="00A336E2">
        <w:rPr>
          <w:rFonts w:ascii="Times New Roman" w:hAnsi="Times New Roman" w:cs="Times New Roman"/>
          <w:sz w:val="20"/>
          <w:szCs w:val="20"/>
        </w:rPr>
        <w:t xml:space="preserve"> Latvian State Security Service (2024). Annual Report 2024, </w:t>
      </w:r>
      <w:hyperlink r:id="rId4" w:history="1">
        <w:r w:rsidRPr="00A336E2">
          <w:rPr>
            <w:rStyle w:val="Hyperlink"/>
            <w:rFonts w:ascii="Times New Roman" w:hAnsi="Times New Roman" w:cs="Times New Roman"/>
            <w:sz w:val="20"/>
            <w:szCs w:val="20"/>
          </w:rPr>
          <w:t>https://vdd.gov.lv/uploads/materials/40/en/annual-report-2024.pdf</w:t>
        </w:r>
      </w:hyperlink>
      <w:r w:rsidRPr="00A336E2">
        <w:rPr>
          <w:rFonts w:ascii="Times New Roman" w:hAnsi="Times New Roman" w:cs="Times New Roman"/>
          <w:sz w:val="20"/>
          <w:szCs w:val="20"/>
        </w:rPr>
        <w:t xml:space="preserve">  </w:t>
      </w:r>
    </w:p>
  </w:footnote>
  <w:footnote w:id="6">
    <w:p w14:paraId="2FDFED15" w14:textId="5D2489E2" w:rsidR="00F05B02" w:rsidRPr="00A336E2" w:rsidRDefault="00F05B02" w:rsidP="00A336E2">
      <w:pPr>
        <w:spacing w:after="0" w:line="240" w:lineRule="auto"/>
        <w:rPr>
          <w:rFonts w:ascii="Times New Roman" w:hAnsi="Times New Roman" w:cs="Times New Roman"/>
          <w:b/>
          <w:bCs/>
          <w:spacing w:val="-12"/>
          <w:sz w:val="20"/>
          <w:szCs w:val="20"/>
        </w:rPr>
      </w:pPr>
      <w:r w:rsidRPr="00A336E2">
        <w:rPr>
          <w:rStyle w:val="FootnoteReference"/>
          <w:rFonts w:ascii="Times New Roman" w:hAnsi="Times New Roman" w:cs="Times New Roman"/>
          <w:b/>
          <w:bCs/>
          <w:sz w:val="20"/>
          <w:szCs w:val="20"/>
        </w:rPr>
        <w:footnoteRef/>
      </w:r>
      <w:r w:rsidRPr="00A336E2">
        <w:rPr>
          <w:rFonts w:ascii="Times New Roman" w:hAnsi="Times New Roman" w:cs="Times New Roman"/>
          <w:sz w:val="20"/>
          <w:szCs w:val="20"/>
        </w:rPr>
        <w:t xml:space="preserve"> Lvportals.lv (2023). </w:t>
      </w:r>
      <w:proofErr w:type="spellStart"/>
      <w:r w:rsidRPr="00A336E2">
        <w:rPr>
          <w:rFonts w:ascii="Times New Roman" w:hAnsi="Times New Roman" w:cs="Times New Roman"/>
          <w:spacing w:val="-12"/>
          <w:sz w:val="20"/>
          <w:szCs w:val="20"/>
        </w:rPr>
        <w:t>Valsts</w:t>
      </w:r>
      <w:proofErr w:type="spellEnd"/>
      <w:r w:rsidRPr="00A336E2">
        <w:rPr>
          <w:rFonts w:ascii="Times New Roman" w:hAnsi="Times New Roman" w:cs="Times New Roman"/>
          <w:spacing w:val="-12"/>
          <w:sz w:val="20"/>
          <w:szCs w:val="20"/>
        </w:rPr>
        <w:t xml:space="preserve"> </w:t>
      </w:r>
      <w:proofErr w:type="spellStart"/>
      <w:r w:rsidRPr="00A336E2">
        <w:rPr>
          <w:rFonts w:ascii="Times New Roman" w:hAnsi="Times New Roman" w:cs="Times New Roman"/>
          <w:spacing w:val="-12"/>
          <w:sz w:val="20"/>
          <w:szCs w:val="20"/>
        </w:rPr>
        <w:t>policijas</w:t>
      </w:r>
      <w:proofErr w:type="spellEnd"/>
      <w:r w:rsidRPr="00A336E2">
        <w:rPr>
          <w:rFonts w:ascii="Times New Roman" w:hAnsi="Times New Roman" w:cs="Times New Roman"/>
          <w:spacing w:val="-12"/>
          <w:sz w:val="20"/>
          <w:szCs w:val="20"/>
        </w:rPr>
        <w:t xml:space="preserve"> </w:t>
      </w:r>
      <w:proofErr w:type="spellStart"/>
      <w:r w:rsidRPr="00A336E2">
        <w:rPr>
          <w:rFonts w:ascii="Times New Roman" w:hAnsi="Times New Roman" w:cs="Times New Roman"/>
          <w:spacing w:val="-12"/>
          <w:sz w:val="20"/>
          <w:szCs w:val="20"/>
        </w:rPr>
        <w:t>strukturālās</w:t>
      </w:r>
      <w:proofErr w:type="spellEnd"/>
      <w:r w:rsidRPr="00A336E2">
        <w:rPr>
          <w:rFonts w:ascii="Times New Roman" w:hAnsi="Times New Roman" w:cs="Times New Roman"/>
          <w:spacing w:val="-12"/>
          <w:sz w:val="20"/>
          <w:szCs w:val="20"/>
        </w:rPr>
        <w:t xml:space="preserve"> </w:t>
      </w:r>
      <w:proofErr w:type="spellStart"/>
      <w:r w:rsidRPr="00A336E2">
        <w:rPr>
          <w:rFonts w:ascii="Times New Roman" w:hAnsi="Times New Roman" w:cs="Times New Roman"/>
          <w:spacing w:val="-12"/>
          <w:sz w:val="20"/>
          <w:szCs w:val="20"/>
        </w:rPr>
        <w:t>reformas</w:t>
      </w:r>
      <w:proofErr w:type="spellEnd"/>
      <w:r w:rsidRPr="00A336E2">
        <w:rPr>
          <w:rFonts w:ascii="Times New Roman" w:hAnsi="Times New Roman" w:cs="Times New Roman"/>
          <w:spacing w:val="-12"/>
          <w:sz w:val="20"/>
          <w:szCs w:val="20"/>
        </w:rPr>
        <w:t xml:space="preserve"> </w:t>
      </w:r>
      <w:proofErr w:type="spellStart"/>
      <w:r w:rsidRPr="00A336E2">
        <w:rPr>
          <w:rFonts w:ascii="Times New Roman" w:hAnsi="Times New Roman" w:cs="Times New Roman"/>
          <w:spacing w:val="-12"/>
          <w:sz w:val="20"/>
          <w:szCs w:val="20"/>
        </w:rPr>
        <w:t>turpinās</w:t>
      </w:r>
      <w:proofErr w:type="spellEnd"/>
      <w:r w:rsidRPr="00A336E2">
        <w:rPr>
          <w:rFonts w:ascii="Times New Roman" w:hAnsi="Times New Roman" w:cs="Times New Roman"/>
          <w:spacing w:val="-12"/>
          <w:sz w:val="20"/>
          <w:szCs w:val="20"/>
        </w:rPr>
        <w:t xml:space="preserve"> </w:t>
      </w:r>
      <w:proofErr w:type="spellStart"/>
      <w:r w:rsidRPr="00A336E2">
        <w:rPr>
          <w:rFonts w:ascii="Times New Roman" w:hAnsi="Times New Roman" w:cs="Times New Roman"/>
          <w:spacing w:val="-12"/>
          <w:sz w:val="20"/>
          <w:szCs w:val="20"/>
        </w:rPr>
        <w:t>ar</w:t>
      </w:r>
      <w:proofErr w:type="spellEnd"/>
      <w:r w:rsidRPr="00A336E2">
        <w:rPr>
          <w:rFonts w:ascii="Times New Roman" w:hAnsi="Times New Roman" w:cs="Times New Roman"/>
          <w:spacing w:val="-12"/>
          <w:sz w:val="20"/>
          <w:szCs w:val="20"/>
        </w:rPr>
        <w:t xml:space="preserve"> </w:t>
      </w:r>
      <w:proofErr w:type="spellStart"/>
      <w:r w:rsidRPr="00A336E2">
        <w:rPr>
          <w:rFonts w:ascii="Times New Roman" w:hAnsi="Times New Roman" w:cs="Times New Roman"/>
          <w:spacing w:val="-12"/>
          <w:sz w:val="20"/>
          <w:szCs w:val="20"/>
        </w:rPr>
        <w:t>pārmaiņām</w:t>
      </w:r>
      <w:proofErr w:type="spellEnd"/>
      <w:r w:rsidRPr="00A336E2">
        <w:rPr>
          <w:rFonts w:ascii="Times New Roman" w:hAnsi="Times New Roman" w:cs="Times New Roman"/>
          <w:spacing w:val="-12"/>
          <w:sz w:val="20"/>
          <w:szCs w:val="20"/>
        </w:rPr>
        <w:t xml:space="preserve"> </w:t>
      </w:r>
      <w:proofErr w:type="spellStart"/>
      <w:r w:rsidRPr="00A336E2">
        <w:rPr>
          <w:rFonts w:ascii="Times New Roman" w:hAnsi="Times New Roman" w:cs="Times New Roman"/>
          <w:spacing w:val="-12"/>
          <w:sz w:val="20"/>
          <w:szCs w:val="20"/>
        </w:rPr>
        <w:t>Rīgas</w:t>
      </w:r>
      <w:proofErr w:type="spellEnd"/>
      <w:r w:rsidRPr="00A336E2">
        <w:rPr>
          <w:rFonts w:ascii="Times New Roman" w:hAnsi="Times New Roman" w:cs="Times New Roman"/>
          <w:spacing w:val="-12"/>
          <w:sz w:val="20"/>
          <w:szCs w:val="20"/>
        </w:rPr>
        <w:t xml:space="preserve"> </w:t>
      </w:r>
      <w:proofErr w:type="spellStart"/>
      <w:r w:rsidRPr="00A336E2">
        <w:rPr>
          <w:rFonts w:ascii="Times New Roman" w:hAnsi="Times New Roman" w:cs="Times New Roman"/>
          <w:spacing w:val="-12"/>
          <w:sz w:val="20"/>
          <w:szCs w:val="20"/>
        </w:rPr>
        <w:t>reģiona</w:t>
      </w:r>
      <w:proofErr w:type="spellEnd"/>
      <w:r w:rsidRPr="00A336E2">
        <w:rPr>
          <w:rFonts w:ascii="Times New Roman" w:hAnsi="Times New Roman" w:cs="Times New Roman"/>
          <w:spacing w:val="-12"/>
          <w:sz w:val="20"/>
          <w:szCs w:val="20"/>
        </w:rPr>
        <w:t xml:space="preserve"> </w:t>
      </w:r>
      <w:proofErr w:type="spellStart"/>
      <w:r w:rsidRPr="00A336E2">
        <w:rPr>
          <w:rFonts w:ascii="Times New Roman" w:hAnsi="Times New Roman" w:cs="Times New Roman"/>
          <w:spacing w:val="-12"/>
          <w:sz w:val="20"/>
          <w:szCs w:val="20"/>
        </w:rPr>
        <w:t>pārvaldes</w:t>
      </w:r>
      <w:proofErr w:type="spellEnd"/>
      <w:r w:rsidRPr="00A336E2">
        <w:rPr>
          <w:rFonts w:ascii="Times New Roman" w:hAnsi="Times New Roman" w:cs="Times New Roman"/>
          <w:spacing w:val="-12"/>
          <w:sz w:val="20"/>
          <w:szCs w:val="20"/>
        </w:rPr>
        <w:t xml:space="preserve"> </w:t>
      </w:r>
      <w:proofErr w:type="spellStart"/>
      <w:r w:rsidRPr="00A336E2">
        <w:rPr>
          <w:rFonts w:ascii="Times New Roman" w:hAnsi="Times New Roman" w:cs="Times New Roman"/>
          <w:spacing w:val="-12"/>
          <w:sz w:val="20"/>
          <w:szCs w:val="20"/>
        </w:rPr>
        <w:t>Kriminālpolicijas</w:t>
      </w:r>
      <w:proofErr w:type="spellEnd"/>
      <w:r w:rsidRPr="00A336E2">
        <w:rPr>
          <w:rFonts w:ascii="Times New Roman" w:hAnsi="Times New Roman" w:cs="Times New Roman"/>
          <w:spacing w:val="-12"/>
          <w:sz w:val="20"/>
          <w:szCs w:val="20"/>
        </w:rPr>
        <w:t xml:space="preserve"> </w:t>
      </w:r>
      <w:proofErr w:type="spellStart"/>
      <w:r w:rsidRPr="00A336E2">
        <w:rPr>
          <w:rFonts w:ascii="Times New Roman" w:hAnsi="Times New Roman" w:cs="Times New Roman"/>
          <w:spacing w:val="-12"/>
          <w:sz w:val="20"/>
          <w:szCs w:val="20"/>
        </w:rPr>
        <w:t>pārvaldē</w:t>
      </w:r>
      <w:proofErr w:type="spellEnd"/>
      <w:r w:rsidRPr="00A336E2">
        <w:rPr>
          <w:rFonts w:ascii="Times New Roman" w:hAnsi="Times New Roman" w:cs="Times New Roman"/>
          <w:spacing w:val="-12"/>
          <w:sz w:val="20"/>
          <w:szCs w:val="20"/>
        </w:rPr>
        <w:t xml:space="preserve">, 2.janvāris </w:t>
      </w:r>
      <w:hyperlink r:id="rId5" w:history="1">
        <w:r w:rsidRPr="00A336E2">
          <w:rPr>
            <w:rStyle w:val="Hyperlink"/>
            <w:rFonts w:ascii="Times New Roman" w:hAnsi="Times New Roman" w:cs="Times New Roman"/>
            <w:spacing w:val="-12"/>
            <w:sz w:val="20"/>
            <w:szCs w:val="20"/>
          </w:rPr>
          <w:t>https://lvportals.lv/dienaskartiba/347788-valsts-policijas-strukturalas-reformas-turpinas-ar-parmainam-rigas-regiona-parvaldes-kriminalpolicijas-parvalde-2023</w:t>
        </w:r>
      </w:hyperlink>
      <w:r w:rsidRPr="00A336E2">
        <w:rPr>
          <w:rFonts w:ascii="Times New Roman" w:hAnsi="Times New Roman" w:cs="Times New Roman"/>
          <w:spacing w:val="-12"/>
          <w:sz w:val="20"/>
          <w:szCs w:val="20"/>
        </w:rPr>
        <w:t xml:space="preserve"> </w:t>
      </w:r>
    </w:p>
  </w:footnote>
  <w:footnote w:id="7">
    <w:p w14:paraId="266A3DE2" w14:textId="76996A6A" w:rsidR="00D160A6" w:rsidRPr="00A336E2" w:rsidRDefault="00D160A6" w:rsidP="00A336E2">
      <w:pPr>
        <w:spacing w:after="0" w:line="240" w:lineRule="auto"/>
        <w:rPr>
          <w:rFonts w:ascii="Times New Roman" w:hAnsi="Times New Roman" w:cs="Times New Roman"/>
          <w:sz w:val="20"/>
          <w:szCs w:val="20"/>
        </w:rPr>
      </w:pPr>
      <w:r w:rsidRPr="00A336E2">
        <w:rPr>
          <w:rStyle w:val="FootnoteReference"/>
          <w:rFonts w:ascii="Times New Roman" w:hAnsi="Times New Roman" w:cs="Times New Roman"/>
          <w:sz w:val="20"/>
          <w:szCs w:val="20"/>
        </w:rPr>
        <w:footnoteRef/>
      </w:r>
      <w:r w:rsidRPr="00A336E2">
        <w:rPr>
          <w:rFonts w:ascii="Times New Roman" w:hAnsi="Times New Roman" w:cs="Times New Roman"/>
          <w:sz w:val="20"/>
          <w:szCs w:val="20"/>
        </w:rPr>
        <w:t xml:space="preserve"> Letter No Nr.20/10/6-</w:t>
      </w:r>
      <w:r w:rsidRPr="00A336E2">
        <w:rPr>
          <w:rFonts w:ascii="Times New Roman" w:hAnsi="Times New Roman" w:cs="Times New Roman"/>
          <w:noProof/>
          <w:sz w:val="20"/>
          <w:szCs w:val="20"/>
        </w:rPr>
        <w:t xml:space="preserve">RRPnos/87959 to the LCHR by Riga Region Police. </w:t>
      </w:r>
    </w:p>
  </w:footnote>
  <w:footnote w:id="8">
    <w:p w14:paraId="26C1B8BA" w14:textId="77777777" w:rsidR="00DE30EF" w:rsidRPr="00A336E2" w:rsidRDefault="00DE30EF" w:rsidP="00A336E2">
      <w:pPr>
        <w:spacing w:after="0" w:line="240" w:lineRule="auto"/>
        <w:rPr>
          <w:rFonts w:ascii="Times New Roman" w:hAnsi="Times New Roman" w:cs="Times New Roman"/>
          <w:b/>
          <w:bCs/>
          <w:sz w:val="20"/>
          <w:szCs w:val="20"/>
        </w:rPr>
      </w:pPr>
      <w:r w:rsidRPr="00A336E2">
        <w:rPr>
          <w:rStyle w:val="FootnoteReference"/>
          <w:rFonts w:ascii="Times New Roman" w:hAnsi="Times New Roman" w:cs="Times New Roman"/>
          <w:b/>
          <w:bCs/>
          <w:sz w:val="20"/>
          <w:szCs w:val="20"/>
        </w:rPr>
        <w:footnoteRef/>
      </w:r>
      <w:r w:rsidRPr="00A336E2">
        <w:rPr>
          <w:rFonts w:ascii="Times New Roman" w:hAnsi="Times New Roman" w:cs="Times New Roman"/>
          <w:sz w:val="20"/>
          <w:szCs w:val="20"/>
        </w:rPr>
        <w:t xml:space="preserve"> ENG.LSM.LV (2024). </w:t>
      </w:r>
      <w:hyperlink r:id="rId6" w:history="1">
        <w:r w:rsidRPr="00A336E2">
          <w:rPr>
            <w:rStyle w:val="Hyperlink"/>
            <w:rFonts w:ascii="Times New Roman" w:hAnsi="Times New Roman" w:cs="Times New Roman"/>
            <w:color w:val="auto"/>
            <w:sz w:val="20"/>
            <w:szCs w:val="20"/>
          </w:rPr>
          <w:t xml:space="preserve">Indian businessman </w:t>
        </w:r>
        <w:proofErr w:type="spellStart"/>
        <w:r w:rsidRPr="00A336E2">
          <w:rPr>
            <w:rStyle w:val="Hyperlink"/>
            <w:rFonts w:ascii="Times New Roman" w:hAnsi="Times New Roman" w:cs="Times New Roman"/>
            <w:color w:val="auto"/>
            <w:sz w:val="20"/>
            <w:szCs w:val="20"/>
          </w:rPr>
          <w:t>hospitalised</w:t>
        </w:r>
        <w:proofErr w:type="spellEnd"/>
        <w:r w:rsidRPr="00A336E2">
          <w:rPr>
            <w:rStyle w:val="Hyperlink"/>
            <w:rFonts w:ascii="Times New Roman" w:hAnsi="Times New Roman" w:cs="Times New Roman"/>
            <w:color w:val="auto"/>
            <w:sz w:val="20"/>
            <w:szCs w:val="20"/>
          </w:rPr>
          <w:t xml:space="preserve"> by suspected racist attack in Rīga</w:t>
        </w:r>
      </w:hyperlink>
      <w:r w:rsidRPr="00A336E2">
        <w:rPr>
          <w:rFonts w:ascii="Times New Roman" w:hAnsi="Times New Roman" w:cs="Times New Roman"/>
          <w:sz w:val="20"/>
          <w:szCs w:val="20"/>
        </w:rPr>
        <w:t xml:space="preserve">, 3 February. </w:t>
      </w:r>
    </w:p>
  </w:footnote>
  <w:footnote w:id="9">
    <w:p w14:paraId="3BD9EAF7" w14:textId="77777777" w:rsidR="00EA0987" w:rsidRPr="00A336E2" w:rsidRDefault="00EA0987" w:rsidP="00A336E2">
      <w:pPr>
        <w:spacing w:after="0" w:line="240" w:lineRule="auto"/>
        <w:rPr>
          <w:rFonts w:ascii="Times New Roman" w:hAnsi="Times New Roman" w:cs="Times New Roman"/>
          <w:sz w:val="20"/>
          <w:szCs w:val="20"/>
        </w:rPr>
      </w:pPr>
      <w:r w:rsidRPr="00A336E2">
        <w:rPr>
          <w:rStyle w:val="FootnoteReference"/>
          <w:rFonts w:ascii="Times New Roman" w:hAnsi="Times New Roman" w:cs="Times New Roman"/>
          <w:sz w:val="20"/>
          <w:szCs w:val="20"/>
        </w:rPr>
        <w:footnoteRef/>
      </w:r>
      <w:r w:rsidRPr="00A336E2">
        <w:rPr>
          <w:rFonts w:ascii="Times New Roman" w:hAnsi="Times New Roman" w:cs="Times New Roman"/>
          <w:sz w:val="20"/>
          <w:szCs w:val="20"/>
        </w:rPr>
        <w:t xml:space="preserve"> State Police (2024). Six representatives of the skinhead subculture have been detained for committing a particularly serious crime, 03.08, (in Latvia) at </w:t>
      </w:r>
      <w:hyperlink r:id="rId7" w:history="1">
        <w:r w:rsidRPr="00A336E2">
          <w:rPr>
            <w:rStyle w:val="Hyperlink"/>
            <w:rFonts w:ascii="Times New Roman" w:hAnsi="Times New Roman" w:cs="Times New Roman"/>
            <w:color w:val="auto"/>
            <w:sz w:val="20"/>
            <w:szCs w:val="20"/>
          </w:rPr>
          <w:t>https://www.vp.gov.lv/lv/jaunums/papildinats-par-seviski-smaga-nozieguma-izdarisanu-aiztureti-6-skinhedu-subkulturas-parstavji</w:t>
        </w:r>
      </w:hyperlink>
      <w:r w:rsidRPr="00A336E2">
        <w:rPr>
          <w:rFonts w:ascii="Times New Roman" w:hAnsi="Times New Roman" w:cs="Times New Roman"/>
          <w:sz w:val="20"/>
          <w:szCs w:val="20"/>
        </w:rPr>
        <w:t xml:space="preserve">; ENG.LSM.LV (2024). Racist attacks on delivery drivers more common than they seem, say police, 12.08, </w:t>
      </w:r>
      <w:hyperlink r:id="rId8" w:history="1">
        <w:r w:rsidRPr="00A336E2">
          <w:rPr>
            <w:rStyle w:val="Hyperlink"/>
            <w:rFonts w:ascii="Times New Roman" w:hAnsi="Times New Roman" w:cs="Times New Roman"/>
            <w:color w:val="auto"/>
            <w:sz w:val="20"/>
            <w:szCs w:val="20"/>
          </w:rPr>
          <w:t>https://eng.lsm.lv/article/society/crime/12.08.2024-racist-attacks-on-delivery-drivers-more-common-than-they-seem-say-police.a564677/</w:t>
        </w:r>
      </w:hyperlink>
      <w:r w:rsidRPr="00A336E2">
        <w:rPr>
          <w:rFonts w:ascii="Times New Roman" w:hAnsi="Times New Roman" w:cs="Times New Roman"/>
          <w:sz w:val="20"/>
          <w:szCs w:val="20"/>
        </w:rPr>
        <w:t xml:space="preserve"> </w:t>
      </w:r>
    </w:p>
    <w:p w14:paraId="3217DD66" w14:textId="77777777" w:rsidR="00EA0987" w:rsidRPr="00A336E2" w:rsidRDefault="00EA0987" w:rsidP="00A336E2">
      <w:pPr>
        <w:spacing w:after="0" w:line="240" w:lineRule="auto"/>
        <w:rPr>
          <w:rFonts w:ascii="Times New Roman" w:hAnsi="Times New Roman" w:cs="Times New Roman"/>
          <w:sz w:val="20"/>
          <w:szCs w:val="20"/>
        </w:rPr>
      </w:pPr>
    </w:p>
  </w:footnote>
  <w:footnote w:id="10">
    <w:p w14:paraId="03BF8FA7" w14:textId="724D172C" w:rsidR="00C52949" w:rsidRPr="00A336E2" w:rsidRDefault="00C52949" w:rsidP="00A336E2">
      <w:pPr>
        <w:spacing w:after="0" w:line="240" w:lineRule="auto"/>
        <w:rPr>
          <w:rFonts w:ascii="Times New Roman" w:hAnsi="Times New Roman" w:cs="Times New Roman"/>
          <w:sz w:val="20"/>
          <w:szCs w:val="20"/>
        </w:rPr>
      </w:pPr>
      <w:r w:rsidRPr="00A336E2">
        <w:rPr>
          <w:rStyle w:val="FootnoteReference"/>
          <w:rFonts w:ascii="Times New Roman" w:hAnsi="Times New Roman" w:cs="Times New Roman"/>
          <w:sz w:val="20"/>
          <w:szCs w:val="20"/>
        </w:rPr>
        <w:footnoteRef/>
      </w:r>
      <w:r w:rsidRPr="00A336E2">
        <w:rPr>
          <w:rFonts w:ascii="Times New Roman" w:hAnsi="Times New Roman" w:cs="Times New Roman"/>
          <w:sz w:val="20"/>
          <w:szCs w:val="20"/>
        </w:rPr>
        <w:t xml:space="preserve"> </w:t>
      </w:r>
      <w:r w:rsidR="007A15B5" w:rsidRPr="00A336E2">
        <w:rPr>
          <w:rFonts w:ascii="Times New Roman" w:hAnsi="Times New Roman" w:cs="Times New Roman"/>
          <w:sz w:val="20"/>
          <w:szCs w:val="20"/>
        </w:rPr>
        <w:t>The accused compensated the victim for moral damage in the amount of €6034.55.</w:t>
      </w:r>
    </w:p>
  </w:footnote>
  <w:footnote w:id="11">
    <w:p w14:paraId="00301D23" w14:textId="77777777" w:rsidR="00196AD2" w:rsidRPr="00A336E2" w:rsidRDefault="00196AD2" w:rsidP="00A336E2">
      <w:pPr>
        <w:spacing w:after="0" w:line="240" w:lineRule="auto"/>
        <w:rPr>
          <w:rFonts w:ascii="Times New Roman" w:hAnsi="Times New Roman" w:cs="Times New Roman"/>
          <w:sz w:val="20"/>
          <w:szCs w:val="20"/>
        </w:rPr>
      </w:pPr>
      <w:r w:rsidRPr="00A336E2">
        <w:rPr>
          <w:rStyle w:val="FootnoteReference"/>
          <w:rFonts w:ascii="Times New Roman" w:hAnsi="Times New Roman" w:cs="Times New Roman"/>
          <w:sz w:val="20"/>
          <w:szCs w:val="20"/>
        </w:rPr>
        <w:footnoteRef/>
      </w:r>
      <w:r w:rsidRPr="00A336E2">
        <w:rPr>
          <w:rFonts w:ascii="Times New Roman" w:hAnsi="Times New Roman" w:cs="Times New Roman"/>
          <w:sz w:val="20"/>
          <w:szCs w:val="20"/>
        </w:rPr>
        <w:t xml:space="preserve"> Kurzeme Regional Court (2024). Case No. KA02-0046-24/9;  ECLI:LV:KUAT:2024:0409.11095055222.5.S, 09.04, </w:t>
      </w:r>
      <w:proofErr w:type="spellStart"/>
      <w:r w:rsidRPr="00A336E2">
        <w:rPr>
          <w:rFonts w:ascii="Times New Roman" w:hAnsi="Times New Roman" w:cs="Times New Roman"/>
          <w:sz w:val="20"/>
          <w:szCs w:val="20"/>
        </w:rPr>
        <w:t>Liepāja</w:t>
      </w:r>
      <w:proofErr w:type="spellEnd"/>
      <w:r w:rsidRPr="00A336E2">
        <w:rPr>
          <w:rFonts w:ascii="Times New Roman" w:hAnsi="Times New Roman" w:cs="Times New Roman"/>
          <w:sz w:val="20"/>
          <w:szCs w:val="20"/>
        </w:rPr>
        <w:t>.</w:t>
      </w:r>
    </w:p>
  </w:footnote>
  <w:footnote w:id="12">
    <w:p w14:paraId="50DA82AF" w14:textId="77777777" w:rsidR="00196AD2" w:rsidRPr="00A336E2" w:rsidRDefault="00196AD2" w:rsidP="00A336E2">
      <w:pPr>
        <w:spacing w:after="0" w:line="240" w:lineRule="auto"/>
        <w:rPr>
          <w:rFonts w:ascii="Times New Roman" w:hAnsi="Times New Roman" w:cs="Times New Roman"/>
          <w:sz w:val="20"/>
          <w:szCs w:val="20"/>
        </w:rPr>
      </w:pPr>
      <w:r w:rsidRPr="00A336E2">
        <w:rPr>
          <w:rStyle w:val="FootnoteReference"/>
          <w:rFonts w:ascii="Times New Roman" w:hAnsi="Times New Roman" w:cs="Times New Roman"/>
          <w:sz w:val="20"/>
          <w:szCs w:val="20"/>
        </w:rPr>
        <w:footnoteRef/>
      </w:r>
      <w:r w:rsidRPr="00A336E2">
        <w:rPr>
          <w:rFonts w:ascii="Times New Roman" w:hAnsi="Times New Roman" w:cs="Times New Roman"/>
          <w:sz w:val="20"/>
          <w:szCs w:val="20"/>
        </w:rPr>
        <w:t xml:space="preserve"> Republic of Latvia Senate Decision (2024). Criminal Cases Department, ECLI:LV:AT:2024:0725.11095055222.6.L / Case No. 11095055222, SKK-391/2024</w:t>
      </w:r>
    </w:p>
  </w:footnote>
  <w:footnote w:id="13">
    <w:p w14:paraId="69D44B8A" w14:textId="3B00C56C" w:rsidR="00196AD2" w:rsidRPr="00A336E2" w:rsidRDefault="00196AD2" w:rsidP="00A336E2">
      <w:pPr>
        <w:spacing w:after="0" w:line="240" w:lineRule="auto"/>
        <w:rPr>
          <w:rFonts w:ascii="Times New Roman" w:hAnsi="Times New Roman" w:cs="Times New Roman"/>
          <w:sz w:val="20"/>
          <w:szCs w:val="20"/>
        </w:rPr>
      </w:pPr>
      <w:r w:rsidRPr="00A336E2">
        <w:rPr>
          <w:rStyle w:val="FootnoteReference"/>
          <w:rFonts w:ascii="Times New Roman" w:hAnsi="Times New Roman" w:cs="Times New Roman"/>
          <w:sz w:val="20"/>
          <w:szCs w:val="20"/>
        </w:rPr>
        <w:footnoteRef/>
      </w:r>
      <w:r w:rsidRPr="00A336E2">
        <w:rPr>
          <w:rFonts w:ascii="Times New Roman" w:hAnsi="Times New Roman" w:cs="Times New Roman"/>
          <w:sz w:val="20"/>
          <w:szCs w:val="20"/>
        </w:rPr>
        <w:t xml:space="preserve"> </w:t>
      </w:r>
      <w:r w:rsidR="0044601D" w:rsidRPr="00A336E2">
        <w:rPr>
          <w:rFonts w:ascii="Times New Roman" w:hAnsi="Times New Roman" w:cs="Times New Roman"/>
          <w:sz w:val="20"/>
          <w:szCs w:val="20"/>
        </w:rPr>
        <w:t xml:space="preserve">LSM.LV (2024). Par </w:t>
      </w:r>
      <w:proofErr w:type="spellStart"/>
      <w:r w:rsidR="0044601D" w:rsidRPr="00A336E2">
        <w:rPr>
          <w:rFonts w:ascii="Times New Roman" w:hAnsi="Times New Roman" w:cs="Times New Roman"/>
          <w:sz w:val="20"/>
          <w:szCs w:val="20"/>
        </w:rPr>
        <w:t>naida</w:t>
      </w:r>
      <w:proofErr w:type="spellEnd"/>
      <w:r w:rsidR="0044601D" w:rsidRPr="00A336E2">
        <w:rPr>
          <w:rFonts w:ascii="Times New Roman" w:hAnsi="Times New Roman" w:cs="Times New Roman"/>
          <w:sz w:val="20"/>
          <w:szCs w:val="20"/>
        </w:rPr>
        <w:t xml:space="preserve"> </w:t>
      </w:r>
      <w:proofErr w:type="spellStart"/>
      <w:r w:rsidR="0044601D" w:rsidRPr="00A336E2">
        <w:rPr>
          <w:rFonts w:ascii="Times New Roman" w:hAnsi="Times New Roman" w:cs="Times New Roman"/>
          <w:sz w:val="20"/>
          <w:szCs w:val="20"/>
        </w:rPr>
        <w:t>noziegumu</w:t>
      </w:r>
      <w:proofErr w:type="spellEnd"/>
      <w:r w:rsidR="0044601D" w:rsidRPr="00A336E2">
        <w:rPr>
          <w:rFonts w:ascii="Times New Roman" w:hAnsi="Times New Roman" w:cs="Times New Roman"/>
          <w:sz w:val="20"/>
          <w:szCs w:val="20"/>
        </w:rPr>
        <w:t xml:space="preserve"> </w:t>
      </w:r>
      <w:proofErr w:type="spellStart"/>
      <w:r w:rsidR="0044601D" w:rsidRPr="00A336E2">
        <w:rPr>
          <w:rFonts w:ascii="Times New Roman" w:hAnsi="Times New Roman" w:cs="Times New Roman"/>
          <w:sz w:val="20"/>
          <w:szCs w:val="20"/>
        </w:rPr>
        <w:t>notiesā</w:t>
      </w:r>
      <w:proofErr w:type="spellEnd"/>
      <w:r w:rsidR="0044601D" w:rsidRPr="00A336E2">
        <w:rPr>
          <w:rFonts w:ascii="Times New Roman" w:hAnsi="Times New Roman" w:cs="Times New Roman"/>
          <w:sz w:val="20"/>
          <w:szCs w:val="20"/>
        </w:rPr>
        <w:t xml:space="preserve"> </w:t>
      </w:r>
      <w:proofErr w:type="spellStart"/>
      <w:r w:rsidR="0044601D" w:rsidRPr="00A336E2">
        <w:rPr>
          <w:rFonts w:ascii="Times New Roman" w:hAnsi="Times New Roman" w:cs="Times New Roman"/>
          <w:sz w:val="20"/>
          <w:szCs w:val="20"/>
        </w:rPr>
        <w:t>divus</w:t>
      </w:r>
      <w:proofErr w:type="spellEnd"/>
      <w:r w:rsidR="0044601D" w:rsidRPr="00A336E2">
        <w:rPr>
          <w:rFonts w:ascii="Times New Roman" w:hAnsi="Times New Roman" w:cs="Times New Roman"/>
          <w:sz w:val="20"/>
          <w:szCs w:val="20"/>
        </w:rPr>
        <w:t xml:space="preserve"> </w:t>
      </w:r>
      <w:proofErr w:type="spellStart"/>
      <w:r w:rsidR="0044601D" w:rsidRPr="00A336E2">
        <w:rPr>
          <w:rFonts w:ascii="Times New Roman" w:hAnsi="Times New Roman" w:cs="Times New Roman"/>
          <w:sz w:val="20"/>
          <w:szCs w:val="20"/>
        </w:rPr>
        <w:t>skinhedus</w:t>
      </w:r>
      <w:proofErr w:type="spellEnd"/>
      <w:r w:rsidR="0044601D" w:rsidRPr="00A336E2">
        <w:rPr>
          <w:rFonts w:ascii="Times New Roman" w:hAnsi="Times New Roman" w:cs="Times New Roman"/>
          <w:sz w:val="20"/>
          <w:szCs w:val="20"/>
        </w:rPr>
        <w:t xml:space="preserve">, 02.09, </w:t>
      </w:r>
      <w:hyperlink r:id="rId9" w:history="1">
        <w:r w:rsidR="0044601D" w:rsidRPr="00A336E2">
          <w:rPr>
            <w:rStyle w:val="Hyperlink"/>
            <w:rFonts w:ascii="Times New Roman" w:hAnsi="Times New Roman" w:cs="Times New Roman"/>
            <w:sz w:val="20"/>
            <w:szCs w:val="20"/>
          </w:rPr>
          <w:t>https://www.lsm.lv/raksts/zinas/latvija/02.09.2024-par-naida-noziegumu-notiesa-divus-skinhedus.a567201/</w:t>
        </w:r>
      </w:hyperlink>
      <w:r w:rsidR="0044601D" w:rsidRPr="00A336E2">
        <w:rPr>
          <w:rFonts w:ascii="Times New Roman" w:hAnsi="Times New Roman" w:cs="Times New Roman"/>
          <w:sz w:val="20"/>
          <w:szCs w:val="20"/>
        </w:rPr>
        <w:t xml:space="preserve"> </w:t>
      </w:r>
    </w:p>
  </w:footnote>
  <w:footnote w:id="14">
    <w:p w14:paraId="3C0A2701" w14:textId="77777777" w:rsidR="00196AD2" w:rsidRPr="00A336E2" w:rsidRDefault="00196AD2" w:rsidP="00A336E2">
      <w:pPr>
        <w:spacing w:after="0" w:line="240" w:lineRule="auto"/>
        <w:rPr>
          <w:rFonts w:ascii="Times New Roman" w:hAnsi="Times New Roman" w:cs="Times New Roman"/>
          <w:sz w:val="20"/>
          <w:szCs w:val="20"/>
        </w:rPr>
      </w:pPr>
      <w:r w:rsidRPr="00A336E2">
        <w:rPr>
          <w:rStyle w:val="FootnoteReference"/>
          <w:rFonts w:ascii="Times New Roman" w:hAnsi="Times New Roman" w:cs="Times New Roman"/>
          <w:sz w:val="20"/>
          <w:szCs w:val="20"/>
        </w:rPr>
        <w:footnoteRef/>
      </w:r>
      <w:r w:rsidRPr="00A336E2">
        <w:rPr>
          <w:rFonts w:ascii="Times New Roman" w:hAnsi="Times New Roman" w:cs="Times New Roman"/>
          <w:sz w:val="20"/>
          <w:szCs w:val="20"/>
        </w:rPr>
        <w:t xml:space="preserve"> </w:t>
      </w:r>
      <w:proofErr w:type="spellStart"/>
      <w:r w:rsidRPr="00A336E2">
        <w:rPr>
          <w:rFonts w:ascii="Times New Roman" w:hAnsi="Times New Roman" w:cs="Times New Roman"/>
          <w:sz w:val="20"/>
          <w:szCs w:val="20"/>
        </w:rPr>
        <w:t>Vidzemes</w:t>
      </w:r>
      <w:proofErr w:type="spellEnd"/>
      <w:r w:rsidRPr="00A336E2">
        <w:rPr>
          <w:rFonts w:ascii="Times New Roman" w:hAnsi="Times New Roman" w:cs="Times New Roman"/>
          <w:sz w:val="20"/>
          <w:szCs w:val="20"/>
        </w:rPr>
        <w:t xml:space="preserve"> District Court in Madona, Case archive No K71-0334-24/18,  ECLI:LV:VRT:2024:1205.14100079823.2.S, 05.12.2024 </w:t>
      </w:r>
    </w:p>
  </w:footnote>
  <w:footnote w:id="15">
    <w:p w14:paraId="32F8E7C4" w14:textId="77777777" w:rsidR="003713A0" w:rsidRPr="00A336E2" w:rsidRDefault="003713A0" w:rsidP="00A336E2">
      <w:pPr>
        <w:spacing w:after="0" w:line="240" w:lineRule="auto"/>
        <w:rPr>
          <w:rFonts w:ascii="Times New Roman" w:hAnsi="Times New Roman" w:cs="Times New Roman"/>
          <w:sz w:val="20"/>
          <w:szCs w:val="20"/>
        </w:rPr>
      </w:pPr>
      <w:r w:rsidRPr="00A336E2">
        <w:rPr>
          <w:rStyle w:val="FootnoteReference"/>
          <w:rFonts w:ascii="Times New Roman" w:hAnsi="Times New Roman" w:cs="Times New Roman"/>
          <w:sz w:val="20"/>
          <w:szCs w:val="20"/>
        </w:rPr>
        <w:footnoteRef/>
      </w:r>
      <w:r w:rsidRPr="00A336E2">
        <w:rPr>
          <w:rFonts w:ascii="Times New Roman" w:hAnsi="Times New Roman" w:cs="Times New Roman"/>
          <w:sz w:val="20"/>
          <w:szCs w:val="20"/>
        </w:rPr>
        <w:t xml:space="preserve"> </w:t>
      </w:r>
      <w:hyperlink r:id="rId10" w:history="1">
        <w:r w:rsidRPr="00A336E2">
          <w:rPr>
            <w:rStyle w:val="Hyperlink"/>
            <w:rFonts w:ascii="Times New Roman" w:hAnsi="Times New Roman" w:cs="Times New Roman"/>
            <w:sz w:val="20"/>
            <w:szCs w:val="20"/>
          </w:rPr>
          <w:t>https://eng.lsm.lv/article/features/features/26.06.2023-latvian-radio-investigates-lgbt-issues-in-eastern-latvia.a514236/</w:t>
        </w:r>
      </w:hyperlink>
      <w:r w:rsidRPr="00A336E2">
        <w:rPr>
          <w:rFonts w:ascii="Times New Roman" w:hAnsi="Times New Roman" w:cs="Times New Roman"/>
          <w:sz w:val="20"/>
          <w:szCs w:val="20"/>
        </w:rPr>
        <w:t xml:space="preserve"> </w:t>
      </w:r>
    </w:p>
  </w:footnote>
  <w:footnote w:id="16">
    <w:p w14:paraId="68E63357" w14:textId="459C09C6" w:rsidR="00F55295" w:rsidRPr="00A336E2" w:rsidRDefault="00F55295" w:rsidP="00A336E2">
      <w:pPr>
        <w:spacing w:after="0" w:line="240" w:lineRule="auto"/>
        <w:rPr>
          <w:rFonts w:ascii="Times New Roman" w:hAnsi="Times New Roman" w:cs="Times New Roman"/>
          <w:sz w:val="20"/>
          <w:szCs w:val="20"/>
        </w:rPr>
      </w:pPr>
      <w:r w:rsidRPr="00A336E2">
        <w:rPr>
          <w:rStyle w:val="FootnoteReference"/>
          <w:rFonts w:ascii="Times New Roman" w:hAnsi="Times New Roman" w:cs="Times New Roman"/>
          <w:sz w:val="20"/>
          <w:szCs w:val="20"/>
        </w:rPr>
        <w:footnoteRef/>
      </w:r>
      <w:r w:rsidRPr="00A336E2">
        <w:rPr>
          <w:rFonts w:ascii="Times New Roman" w:hAnsi="Times New Roman" w:cs="Times New Roman"/>
          <w:sz w:val="20"/>
          <w:szCs w:val="20"/>
        </w:rPr>
        <w:t xml:space="preserve"> </w:t>
      </w:r>
      <w:proofErr w:type="spellStart"/>
      <w:r w:rsidR="000C0977" w:rsidRPr="00A336E2">
        <w:rPr>
          <w:rFonts w:ascii="Times New Roman" w:hAnsi="Times New Roman" w:cs="Times New Roman"/>
          <w:sz w:val="20"/>
          <w:szCs w:val="20"/>
        </w:rPr>
        <w:t>Tieslietu</w:t>
      </w:r>
      <w:proofErr w:type="spellEnd"/>
      <w:r w:rsidR="000C0977" w:rsidRPr="00A336E2">
        <w:rPr>
          <w:rFonts w:ascii="Times New Roman" w:hAnsi="Times New Roman" w:cs="Times New Roman"/>
          <w:sz w:val="20"/>
          <w:szCs w:val="20"/>
        </w:rPr>
        <w:t xml:space="preserve"> </w:t>
      </w:r>
      <w:proofErr w:type="spellStart"/>
      <w:r w:rsidR="000C0977" w:rsidRPr="00A336E2">
        <w:rPr>
          <w:rFonts w:ascii="Times New Roman" w:hAnsi="Times New Roman" w:cs="Times New Roman"/>
          <w:sz w:val="20"/>
          <w:szCs w:val="20"/>
        </w:rPr>
        <w:t>ministrija</w:t>
      </w:r>
      <w:proofErr w:type="spellEnd"/>
      <w:r w:rsidRPr="00A336E2">
        <w:rPr>
          <w:rFonts w:ascii="Times New Roman" w:hAnsi="Times New Roman" w:cs="Times New Roman"/>
          <w:sz w:val="20"/>
          <w:szCs w:val="20"/>
        </w:rPr>
        <w:t xml:space="preserve"> (2025). </w:t>
      </w:r>
      <w:proofErr w:type="spellStart"/>
      <w:r w:rsidR="000C0977" w:rsidRPr="00A336E2">
        <w:rPr>
          <w:rFonts w:ascii="Times New Roman" w:hAnsi="Times New Roman" w:cs="Times New Roman"/>
          <w:b/>
          <w:bCs/>
          <w:sz w:val="20"/>
          <w:szCs w:val="20"/>
        </w:rPr>
        <w:t>A</w:t>
      </w:r>
      <w:r w:rsidR="000C0977" w:rsidRPr="00A336E2">
        <w:rPr>
          <w:rFonts w:ascii="Times New Roman" w:hAnsi="Times New Roman" w:cs="Times New Roman"/>
          <w:sz w:val="20"/>
          <w:szCs w:val="20"/>
        </w:rPr>
        <w:t>ktualizēts</w:t>
      </w:r>
      <w:proofErr w:type="spellEnd"/>
      <w:r w:rsidR="000C0977" w:rsidRPr="00A336E2">
        <w:rPr>
          <w:rFonts w:ascii="Times New Roman" w:hAnsi="Times New Roman" w:cs="Times New Roman"/>
          <w:sz w:val="20"/>
          <w:szCs w:val="20"/>
        </w:rPr>
        <w:t xml:space="preserve"> </w:t>
      </w:r>
      <w:proofErr w:type="spellStart"/>
      <w:r w:rsidR="000C0977" w:rsidRPr="00A336E2">
        <w:rPr>
          <w:rFonts w:ascii="Times New Roman" w:hAnsi="Times New Roman" w:cs="Times New Roman"/>
          <w:sz w:val="20"/>
          <w:szCs w:val="20"/>
        </w:rPr>
        <w:t>skaidrojums</w:t>
      </w:r>
      <w:proofErr w:type="spellEnd"/>
      <w:r w:rsidR="000C0977" w:rsidRPr="00A336E2">
        <w:rPr>
          <w:rFonts w:ascii="Times New Roman" w:hAnsi="Times New Roman" w:cs="Times New Roman"/>
          <w:sz w:val="20"/>
          <w:szCs w:val="20"/>
        </w:rPr>
        <w:t xml:space="preserve"> par </w:t>
      </w:r>
      <w:proofErr w:type="spellStart"/>
      <w:r w:rsidR="000C0977" w:rsidRPr="00A336E2">
        <w:rPr>
          <w:rFonts w:ascii="Times New Roman" w:hAnsi="Times New Roman" w:cs="Times New Roman"/>
          <w:sz w:val="20"/>
          <w:szCs w:val="20"/>
        </w:rPr>
        <w:t>naida</w:t>
      </w:r>
      <w:proofErr w:type="spellEnd"/>
      <w:r w:rsidR="000C0977" w:rsidRPr="00A336E2">
        <w:rPr>
          <w:rFonts w:ascii="Times New Roman" w:hAnsi="Times New Roman" w:cs="Times New Roman"/>
          <w:sz w:val="20"/>
          <w:szCs w:val="20"/>
        </w:rPr>
        <w:t xml:space="preserve"> </w:t>
      </w:r>
      <w:proofErr w:type="spellStart"/>
      <w:r w:rsidR="000C0977" w:rsidRPr="00A336E2">
        <w:rPr>
          <w:rFonts w:ascii="Times New Roman" w:hAnsi="Times New Roman" w:cs="Times New Roman"/>
          <w:sz w:val="20"/>
          <w:szCs w:val="20"/>
        </w:rPr>
        <w:t>noziegumu</w:t>
      </w:r>
      <w:proofErr w:type="spellEnd"/>
      <w:r w:rsidR="000C0977" w:rsidRPr="00A336E2">
        <w:rPr>
          <w:rFonts w:ascii="Times New Roman" w:hAnsi="Times New Roman" w:cs="Times New Roman"/>
          <w:sz w:val="20"/>
          <w:szCs w:val="20"/>
        </w:rPr>
        <w:t xml:space="preserve"> </w:t>
      </w:r>
      <w:proofErr w:type="spellStart"/>
      <w:r w:rsidR="000C0977" w:rsidRPr="00A336E2">
        <w:rPr>
          <w:rFonts w:ascii="Times New Roman" w:hAnsi="Times New Roman" w:cs="Times New Roman"/>
          <w:sz w:val="20"/>
          <w:szCs w:val="20"/>
        </w:rPr>
        <w:t>kvalifikāciju</w:t>
      </w:r>
      <w:proofErr w:type="spellEnd"/>
      <w:r w:rsidR="000C0977" w:rsidRPr="00A336E2">
        <w:rPr>
          <w:rFonts w:ascii="Times New Roman" w:hAnsi="Times New Roman" w:cs="Times New Roman"/>
          <w:sz w:val="20"/>
          <w:szCs w:val="20"/>
        </w:rPr>
        <w:t xml:space="preserve">, 01.04, </w:t>
      </w:r>
      <w:hyperlink r:id="rId11" w:history="1">
        <w:r w:rsidR="00BC6801" w:rsidRPr="00A336E2">
          <w:rPr>
            <w:rStyle w:val="Hyperlink"/>
            <w:rFonts w:ascii="Times New Roman" w:hAnsi="Times New Roman" w:cs="Times New Roman"/>
            <w:sz w:val="20"/>
            <w:szCs w:val="20"/>
          </w:rPr>
          <w:t>https://m.juristavards.lv/zurnals/286530-aktualizets-skaidrojums-par-naida-noziegumu-kvalifikaciju/</w:t>
        </w:r>
      </w:hyperlink>
      <w:r w:rsidR="00BC6801" w:rsidRPr="00A336E2">
        <w:rPr>
          <w:rFonts w:ascii="Times New Roman" w:hAnsi="Times New Roman" w:cs="Times New Roman"/>
          <w:sz w:val="20"/>
          <w:szCs w:val="20"/>
        </w:rPr>
        <w:t xml:space="preserve"> </w:t>
      </w:r>
    </w:p>
  </w:footnote>
  <w:footnote w:id="17">
    <w:p w14:paraId="0EF2B96F" w14:textId="529AEBC6" w:rsidR="00D160A6" w:rsidRPr="00A336E2" w:rsidRDefault="00D160A6" w:rsidP="00A336E2">
      <w:pPr>
        <w:spacing w:after="0" w:line="240" w:lineRule="auto"/>
        <w:rPr>
          <w:rFonts w:ascii="Times New Roman" w:hAnsi="Times New Roman" w:cs="Times New Roman"/>
          <w:sz w:val="20"/>
          <w:szCs w:val="20"/>
        </w:rPr>
      </w:pPr>
      <w:r w:rsidRPr="00A336E2">
        <w:rPr>
          <w:rStyle w:val="FootnoteReference"/>
          <w:rFonts w:ascii="Times New Roman" w:hAnsi="Times New Roman" w:cs="Times New Roman"/>
          <w:sz w:val="20"/>
          <w:szCs w:val="20"/>
        </w:rPr>
        <w:footnoteRef/>
      </w:r>
      <w:r w:rsidRPr="00A336E2">
        <w:rPr>
          <w:rFonts w:ascii="Times New Roman" w:hAnsi="Times New Roman" w:cs="Times New Roman"/>
          <w:sz w:val="20"/>
          <w:szCs w:val="20"/>
        </w:rPr>
        <w:t xml:space="preserve"> Latvian Centre for Human Rights (2024). Trends in hate speech in Latvia. </w:t>
      </w:r>
    </w:p>
  </w:footnote>
  <w:footnote w:id="18">
    <w:p w14:paraId="10C097FE" w14:textId="77777777" w:rsidR="00D160A6" w:rsidRPr="00A336E2" w:rsidRDefault="00D160A6" w:rsidP="00A336E2">
      <w:pPr>
        <w:spacing w:after="0" w:line="240" w:lineRule="auto"/>
        <w:rPr>
          <w:rFonts w:ascii="Times New Roman" w:hAnsi="Times New Roman" w:cs="Times New Roman"/>
          <w:sz w:val="20"/>
          <w:szCs w:val="20"/>
        </w:rPr>
      </w:pPr>
      <w:r w:rsidRPr="00A336E2">
        <w:rPr>
          <w:rStyle w:val="FootnoteReference"/>
          <w:rFonts w:ascii="Times New Roman" w:hAnsi="Times New Roman" w:cs="Times New Roman"/>
          <w:sz w:val="20"/>
          <w:szCs w:val="20"/>
        </w:rPr>
        <w:footnoteRef/>
      </w:r>
      <w:r w:rsidRPr="00A336E2">
        <w:rPr>
          <w:rFonts w:ascii="Times New Roman" w:hAnsi="Times New Roman" w:cs="Times New Roman"/>
          <w:sz w:val="20"/>
          <w:szCs w:val="20"/>
        </w:rPr>
        <w:t xml:space="preserve"> In EC monitoring exercises as LCHR has a trusted flagger status with the largest social global networks who have signed the Code of Conduct, and projects “On a Way to a More Tolerant Society” supported by EEA/Norway grant scheme.</w:t>
      </w:r>
    </w:p>
  </w:footnote>
  <w:footnote w:id="19">
    <w:p w14:paraId="58D01E15" w14:textId="77777777" w:rsidR="003056A0" w:rsidRPr="00A336E2" w:rsidRDefault="003056A0" w:rsidP="00A336E2">
      <w:pPr>
        <w:spacing w:after="0" w:line="240" w:lineRule="auto"/>
        <w:rPr>
          <w:rFonts w:ascii="Times New Roman" w:hAnsi="Times New Roman" w:cs="Times New Roman"/>
          <w:sz w:val="20"/>
          <w:szCs w:val="20"/>
        </w:rPr>
      </w:pPr>
      <w:r w:rsidRPr="00A336E2">
        <w:rPr>
          <w:rStyle w:val="FootnoteReference"/>
          <w:rFonts w:ascii="Times New Roman" w:hAnsi="Times New Roman" w:cs="Times New Roman"/>
          <w:sz w:val="20"/>
          <w:szCs w:val="20"/>
        </w:rPr>
        <w:footnoteRef/>
      </w:r>
      <w:r w:rsidRPr="00A336E2">
        <w:rPr>
          <w:rFonts w:ascii="Times New Roman" w:hAnsi="Times New Roman" w:cs="Times New Roman"/>
          <w:sz w:val="20"/>
          <w:szCs w:val="20"/>
        </w:rPr>
        <w:t xml:space="preserve"> Latvijas Radio (2024). Latvian Radio: attacks against journalists due to their ethnic background or nationality, are unacceptable (</w:t>
      </w:r>
      <w:proofErr w:type="spellStart"/>
      <w:r>
        <w:fldChar w:fldCharType="begin"/>
      </w:r>
      <w:r>
        <w:instrText>HYPERLINK "https://latvijasradio.lsm.lv/lv/par-mums/informacija-presei/?id=1036"</w:instrText>
      </w:r>
      <w:r>
        <w:fldChar w:fldCharType="separate"/>
      </w:r>
      <w:r w:rsidRPr="00A336E2">
        <w:rPr>
          <w:rStyle w:val="Hyperlink"/>
          <w:rFonts w:ascii="Times New Roman" w:hAnsi="Times New Roman" w:cs="Times New Roman"/>
          <w:i/>
          <w:iCs/>
          <w:sz w:val="20"/>
          <w:szCs w:val="20"/>
        </w:rPr>
        <w:t>Latvijas</w:t>
      </w:r>
      <w:proofErr w:type="spellEnd"/>
      <w:r w:rsidRPr="00A336E2">
        <w:rPr>
          <w:rStyle w:val="Hyperlink"/>
          <w:rFonts w:ascii="Times New Roman" w:hAnsi="Times New Roman" w:cs="Times New Roman"/>
          <w:i/>
          <w:iCs/>
          <w:sz w:val="20"/>
          <w:szCs w:val="20"/>
        </w:rPr>
        <w:t xml:space="preserve"> Radio: </w:t>
      </w:r>
      <w:proofErr w:type="spellStart"/>
      <w:r w:rsidRPr="00A336E2">
        <w:rPr>
          <w:rStyle w:val="Hyperlink"/>
          <w:rFonts w:ascii="Times New Roman" w:hAnsi="Times New Roman" w:cs="Times New Roman"/>
          <w:i/>
          <w:iCs/>
          <w:sz w:val="20"/>
          <w:szCs w:val="20"/>
        </w:rPr>
        <w:t>uzbrukumi</w:t>
      </w:r>
      <w:proofErr w:type="spellEnd"/>
      <w:r w:rsidRPr="00A336E2">
        <w:rPr>
          <w:rStyle w:val="Hyperlink"/>
          <w:rFonts w:ascii="Times New Roman" w:hAnsi="Times New Roman" w:cs="Times New Roman"/>
          <w:i/>
          <w:iCs/>
          <w:sz w:val="20"/>
          <w:szCs w:val="20"/>
        </w:rPr>
        <w:t xml:space="preserve"> </w:t>
      </w:r>
      <w:proofErr w:type="spellStart"/>
      <w:r w:rsidRPr="00A336E2">
        <w:rPr>
          <w:rStyle w:val="Hyperlink"/>
          <w:rFonts w:ascii="Times New Roman" w:hAnsi="Times New Roman" w:cs="Times New Roman"/>
          <w:i/>
          <w:iCs/>
          <w:sz w:val="20"/>
          <w:szCs w:val="20"/>
        </w:rPr>
        <w:t>žurnālistiem</w:t>
      </w:r>
      <w:proofErr w:type="spellEnd"/>
      <w:r w:rsidRPr="00A336E2">
        <w:rPr>
          <w:rStyle w:val="Hyperlink"/>
          <w:rFonts w:ascii="Times New Roman" w:hAnsi="Times New Roman" w:cs="Times New Roman"/>
          <w:i/>
          <w:iCs/>
          <w:sz w:val="20"/>
          <w:szCs w:val="20"/>
        </w:rPr>
        <w:t xml:space="preserve">, kas </w:t>
      </w:r>
      <w:proofErr w:type="spellStart"/>
      <w:r w:rsidRPr="00A336E2">
        <w:rPr>
          <w:rStyle w:val="Hyperlink"/>
          <w:rFonts w:ascii="Times New Roman" w:hAnsi="Times New Roman" w:cs="Times New Roman"/>
          <w:i/>
          <w:iCs/>
          <w:sz w:val="20"/>
          <w:szCs w:val="20"/>
        </w:rPr>
        <w:t>balstīti</w:t>
      </w:r>
      <w:proofErr w:type="spellEnd"/>
      <w:r w:rsidRPr="00A336E2">
        <w:rPr>
          <w:rStyle w:val="Hyperlink"/>
          <w:rFonts w:ascii="Times New Roman" w:hAnsi="Times New Roman" w:cs="Times New Roman"/>
          <w:i/>
          <w:iCs/>
          <w:sz w:val="20"/>
          <w:szCs w:val="20"/>
        </w:rPr>
        <w:t xml:space="preserve"> </w:t>
      </w:r>
      <w:proofErr w:type="spellStart"/>
      <w:r w:rsidRPr="00A336E2">
        <w:rPr>
          <w:rStyle w:val="Hyperlink"/>
          <w:rFonts w:ascii="Times New Roman" w:hAnsi="Times New Roman" w:cs="Times New Roman"/>
          <w:i/>
          <w:iCs/>
          <w:sz w:val="20"/>
          <w:szCs w:val="20"/>
        </w:rPr>
        <w:t>piederībā</w:t>
      </w:r>
      <w:proofErr w:type="spellEnd"/>
      <w:r w:rsidRPr="00A336E2">
        <w:rPr>
          <w:rStyle w:val="Hyperlink"/>
          <w:rFonts w:ascii="Times New Roman" w:hAnsi="Times New Roman" w:cs="Times New Roman"/>
          <w:i/>
          <w:iCs/>
          <w:sz w:val="20"/>
          <w:szCs w:val="20"/>
        </w:rPr>
        <w:t xml:space="preserve"> </w:t>
      </w:r>
      <w:proofErr w:type="spellStart"/>
      <w:r w:rsidRPr="00A336E2">
        <w:rPr>
          <w:rStyle w:val="Hyperlink"/>
          <w:rFonts w:ascii="Times New Roman" w:hAnsi="Times New Roman" w:cs="Times New Roman"/>
          <w:i/>
          <w:iCs/>
          <w:sz w:val="20"/>
          <w:szCs w:val="20"/>
        </w:rPr>
        <w:t>tautībai</w:t>
      </w:r>
      <w:proofErr w:type="spellEnd"/>
      <w:r w:rsidRPr="00A336E2">
        <w:rPr>
          <w:rStyle w:val="Hyperlink"/>
          <w:rFonts w:ascii="Times New Roman" w:hAnsi="Times New Roman" w:cs="Times New Roman"/>
          <w:i/>
          <w:iCs/>
          <w:sz w:val="20"/>
          <w:szCs w:val="20"/>
        </w:rPr>
        <w:t xml:space="preserve"> </w:t>
      </w:r>
      <w:proofErr w:type="spellStart"/>
      <w:r w:rsidRPr="00A336E2">
        <w:rPr>
          <w:rStyle w:val="Hyperlink"/>
          <w:rFonts w:ascii="Times New Roman" w:hAnsi="Times New Roman" w:cs="Times New Roman"/>
          <w:i/>
          <w:iCs/>
          <w:sz w:val="20"/>
          <w:szCs w:val="20"/>
        </w:rPr>
        <w:t>vai</w:t>
      </w:r>
      <w:proofErr w:type="spellEnd"/>
      <w:r w:rsidRPr="00A336E2">
        <w:rPr>
          <w:rStyle w:val="Hyperlink"/>
          <w:rFonts w:ascii="Times New Roman" w:hAnsi="Times New Roman" w:cs="Times New Roman"/>
          <w:i/>
          <w:iCs/>
          <w:sz w:val="20"/>
          <w:szCs w:val="20"/>
        </w:rPr>
        <w:t xml:space="preserve"> </w:t>
      </w:r>
      <w:proofErr w:type="spellStart"/>
      <w:r w:rsidRPr="00A336E2">
        <w:rPr>
          <w:rStyle w:val="Hyperlink"/>
          <w:rFonts w:ascii="Times New Roman" w:hAnsi="Times New Roman" w:cs="Times New Roman"/>
          <w:i/>
          <w:iCs/>
          <w:sz w:val="20"/>
          <w:szCs w:val="20"/>
        </w:rPr>
        <w:t>valstspiederībai</w:t>
      </w:r>
      <w:proofErr w:type="spellEnd"/>
      <w:r w:rsidRPr="00A336E2">
        <w:rPr>
          <w:rStyle w:val="Hyperlink"/>
          <w:rFonts w:ascii="Times New Roman" w:hAnsi="Times New Roman" w:cs="Times New Roman"/>
          <w:i/>
          <w:iCs/>
          <w:sz w:val="20"/>
          <w:szCs w:val="20"/>
        </w:rPr>
        <w:t xml:space="preserve">, </w:t>
      </w:r>
      <w:proofErr w:type="spellStart"/>
      <w:r w:rsidRPr="00A336E2">
        <w:rPr>
          <w:rStyle w:val="Hyperlink"/>
          <w:rFonts w:ascii="Times New Roman" w:hAnsi="Times New Roman" w:cs="Times New Roman"/>
          <w:i/>
          <w:iCs/>
          <w:sz w:val="20"/>
          <w:szCs w:val="20"/>
        </w:rPr>
        <w:t>ir</w:t>
      </w:r>
      <w:proofErr w:type="spellEnd"/>
      <w:r w:rsidRPr="00A336E2">
        <w:rPr>
          <w:rStyle w:val="Hyperlink"/>
          <w:rFonts w:ascii="Times New Roman" w:hAnsi="Times New Roman" w:cs="Times New Roman"/>
          <w:i/>
          <w:iCs/>
          <w:sz w:val="20"/>
          <w:szCs w:val="20"/>
        </w:rPr>
        <w:t xml:space="preserve"> </w:t>
      </w:r>
      <w:proofErr w:type="spellStart"/>
      <w:r w:rsidRPr="00A336E2">
        <w:rPr>
          <w:rStyle w:val="Hyperlink"/>
          <w:rFonts w:ascii="Times New Roman" w:hAnsi="Times New Roman" w:cs="Times New Roman"/>
          <w:i/>
          <w:iCs/>
          <w:sz w:val="20"/>
          <w:szCs w:val="20"/>
        </w:rPr>
        <w:t>nepieņemami</w:t>
      </w:r>
      <w:proofErr w:type="spellEnd"/>
      <w:r w:rsidRPr="00A336E2">
        <w:rPr>
          <w:rStyle w:val="Hyperlink"/>
          <w:rFonts w:ascii="Times New Roman" w:hAnsi="Times New Roman" w:cs="Times New Roman"/>
          <w:sz w:val="20"/>
          <w:szCs w:val="20"/>
        </w:rPr>
        <w:t>)</w:t>
      </w:r>
      <w:r>
        <w:fldChar w:fldCharType="end"/>
      </w:r>
      <w:r w:rsidRPr="00A336E2">
        <w:rPr>
          <w:rFonts w:ascii="Times New Roman" w:hAnsi="Times New Roman" w:cs="Times New Roman"/>
          <w:sz w:val="20"/>
          <w:szCs w:val="20"/>
        </w:rPr>
        <w:t xml:space="preserve">, 2 December. </w:t>
      </w:r>
    </w:p>
    <w:p w14:paraId="431EEFF5" w14:textId="77777777" w:rsidR="003056A0" w:rsidRPr="00A336E2" w:rsidRDefault="003056A0" w:rsidP="00A336E2">
      <w:pPr>
        <w:spacing w:after="0" w:line="240" w:lineRule="auto"/>
        <w:rPr>
          <w:rFonts w:ascii="Times New Roman" w:hAnsi="Times New Roman" w:cs="Times New Roman"/>
          <w:sz w:val="20"/>
          <w:szCs w:val="20"/>
        </w:rPr>
      </w:pPr>
    </w:p>
  </w:footnote>
  <w:footnote w:id="20">
    <w:p w14:paraId="383F75B0" w14:textId="154E6F8C" w:rsidR="00524447" w:rsidRPr="00A336E2" w:rsidRDefault="00524447" w:rsidP="00A336E2">
      <w:pPr>
        <w:spacing w:after="0" w:line="240" w:lineRule="auto"/>
        <w:rPr>
          <w:rFonts w:ascii="Times New Roman" w:hAnsi="Times New Roman" w:cs="Times New Roman"/>
          <w:sz w:val="20"/>
          <w:szCs w:val="20"/>
        </w:rPr>
      </w:pPr>
      <w:r w:rsidRPr="00A336E2">
        <w:rPr>
          <w:rStyle w:val="FootnoteReference"/>
          <w:rFonts w:ascii="Times New Roman" w:hAnsi="Times New Roman" w:cs="Times New Roman"/>
          <w:sz w:val="20"/>
          <w:szCs w:val="20"/>
        </w:rPr>
        <w:footnoteRef/>
      </w:r>
      <w:r w:rsidR="008B7508" w:rsidRPr="00A336E2">
        <w:rPr>
          <w:rFonts w:ascii="Times New Roman" w:hAnsi="Times New Roman" w:cs="Times New Roman"/>
          <w:sz w:val="20"/>
          <w:szCs w:val="20"/>
        </w:rPr>
        <w:t xml:space="preserve"> </w:t>
      </w:r>
      <w:proofErr w:type="spellStart"/>
      <w:r w:rsidR="008B7508" w:rsidRPr="00A336E2">
        <w:rPr>
          <w:rFonts w:ascii="Times New Roman" w:hAnsi="Times New Roman" w:cs="Times New Roman"/>
          <w:sz w:val="20"/>
          <w:szCs w:val="20"/>
        </w:rPr>
        <w:t>Civitta</w:t>
      </w:r>
      <w:proofErr w:type="spellEnd"/>
      <w:r w:rsidR="008B7508" w:rsidRPr="00A336E2">
        <w:rPr>
          <w:rFonts w:ascii="Times New Roman" w:hAnsi="Times New Roman" w:cs="Times New Roman"/>
          <w:sz w:val="20"/>
          <w:szCs w:val="20"/>
        </w:rPr>
        <w:t xml:space="preserve"> (2023). </w:t>
      </w:r>
      <w:r w:rsidRPr="00A336E2">
        <w:rPr>
          <w:rFonts w:ascii="Times New Roman" w:hAnsi="Times New Roman" w:cs="Times New Roman"/>
          <w:sz w:val="20"/>
          <w:szCs w:val="20"/>
        </w:rPr>
        <w:t xml:space="preserve"> </w:t>
      </w:r>
      <w:r w:rsidR="008A4C74" w:rsidRPr="00A336E2">
        <w:rPr>
          <w:rFonts w:ascii="Times New Roman" w:hAnsi="Times New Roman" w:cs="Times New Roman"/>
          <w:sz w:val="20"/>
          <w:szCs w:val="20"/>
        </w:rPr>
        <w:t xml:space="preserve">PĒTĪJUMS PAR ROMU SITUĀCIJU LATVIJĀ (in Latvian), </w:t>
      </w:r>
      <w:hyperlink r:id="rId12" w:history="1">
        <w:r w:rsidR="00C350A0" w:rsidRPr="00A336E2">
          <w:rPr>
            <w:rStyle w:val="Hyperlink"/>
            <w:rFonts w:ascii="Times New Roman" w:hAnsi="Times New Roman" w:cs="Times New Roman"/>
            <w:sz w:val="20"/>
            <w:szCs w:val="20"/>
          </w:rPr>
          <w:t>https://www.km.gov.lv/lv/media/35865/download?attachment</w:t>
        </w:r>
      </w:hyperlink>
      <w:r w:rsidR="008B7508" w:rsidRPr="00A336E2">
        <w:rPr>
          <w:rFonts w:ascii="Times New Roman" w:hAnsi="Times New Roman" w:cs="Times New Roman"/>
          <w:sz w:val="20"/>
          <w:szCs w:val="20"/>
        </w:rPr>
        <w:t xml:space="preserve"> </w:t>
      </w:r>
    </w:p>
  </w:footnote>
  <w:footnote w:id="21">
    <w:p w14:paraId="1FA3858A" w14:textId="23CE415C" w:rsidR="00C350A0" w:rsidRPr="00A336E2" w:rsidRDefault="00C350A0" w:rsidP="00A336E2">
      <w:pPr>
        <w:spacing w:after="0" w:line="240" w:lineRule="auto"/>
        <w:rPr>
          <w:rFonts w:ascii="Times New Roman" w:hAnsi="Times New Roman" w:cs="Times New Roman"/>
          <w:sz w:val="20"/>
          <w:szCs w:val="20"/>
        </w:rPr>
      </w:pPr>
      <w:r w:rsidRPr="00A336E2">
        <w:rPr>
          <w:rStyle w:val="FootnoteReference"/>
          <w:rFonts w:ascii="Times New Roman" w:hAnsi="Times New Roman" w:cs="Times New Roman"/>
          <w:sz w:val="20"/>
          <w:szCs w:val="20"/>
        </w:rPr>
        <w:footnoteRef/>
      </w:r>
      <w:r w:rsidRPr="00A336E2">
        <w:rPr>
          <w:rFonts w:ascii="Times New Roman" w:hAnsi="Times New Roman" w:cs="Times New Roman"/>
          <w:sz w:val="20"/>
          <w:szCs w:val="20"/>
        </w:rPr>
        <w:t xml:space="preserve"> </w:t>
      </w:r>
      <w:hyperlink r:id="rId13" w:history="1">
        <w:r w:rsidRPr="00A336E2">
          <w:rPr>
            <w:rStyle w:val="Hyperlink"/>
            <w:rFonts w:ascii="Times New Roman" w:hAnsi="Times New Roman" w:cs="Times New Roman"/>
            <w:sz w:val="20"/>
            <w:szCs w:val="20"/>
          </w:rPr>
          <w:t>https://likumi.lv/ta/id/324332-par-izglitibas-attistibas-pamatnostadnem-20212027-gadam</w:t>
        </w:r>
      </w:hyperlink>
      <w:r w:rsidRPr="00A336E2">
        <w:rPr>
          <w:rFonts w:ascii="Times New Roman" w:hAnsi="Times New Roman" w:cs="Times New Roman"/>
          <w:sz w:val="20"/>
          <w:szCs w:val="20"/>
        </w:rPr>
        <w:t xml:space="preserve"> </w:t>
      </w:r>
    </w:p>
  </w:footnote>
  <w:footnote w:id="22">
    <w:p w14:paraId="458DDA9C" w14:textId="34F13F1E" w:rsidR="00A27E0E" w:rsidRPr="00A336E2" w:rsidRDefault="00A27E0E" w:rsidP="00A336E2">
      <w:pPr>
        <w:spacing w:after="0" w:line="240" w:lineRule="auto"/>
        <w:rPr>
          <w:rFonts w:ascii="Times New Roman" w:hAnsi="Times New Roman" w:cs="Times New Roman"/>
          <w:sz w:val="20"/>
          <w:szCs w:val="20"/>
        </w:rPr>
      </w:pPr>
      <w:r w:rsidRPr="00A336E2">
        <w:rPr>
          <w:rStyle w:val="FootnoteReference"/>
          <w:rFonts w:ascii="Times New Roman" w:hAnsi="Times New Roman" w:cs="Times New Roman"/>
          <w:sz w:val="20"/>
          <w:szCs w:val="20"/>
        </w:rPr>
        <w:footnoteRef/>
      </w:r>
      <w:r w:rsidRPr="00A336E2">
        <w:rPr>
          <w:rFonts w:ascii="Times New Roman" w:hAnsi="Times New Roman" w:cs="Times New Roman"/>
          <w:sz w:val="20"/>
          <w:szCs w:val="20"/>
        </w:rPr>
        <w:t xml:space="preserve"> </w:t>
      </w:r>
      <w:hyperlink r:id="rId14" w:history="1">
        <w:r w:rsidRPr="00A336E2">
          <w:rPr>
            <w:rStyle w:val="Hyperlink"/>
            <w:rFonts w:ascii="Times New Roman" w:hAnsi="Times New Roman" w:cs="Times New Roman"/>
            <w:sz w:val="20"/>
            <w:szCs w:val="20"/>
          </w:rPr>
          <w:t>https://likumi.lv/ta/id/325828-par-socialas-aizsardzibas-un-darba-tirgus-politikas-pamatnostadnem-2021-2027-gadam</w:t>
        </w:r>
      </w:hyperlink>
      <w:r w:rsidRPr="00A336E2">
        <w:rPr>
          <w:rFonts w:ascii="Times New Roman" w:hAnsi="Times New Roman" w:cs="Times New Roman"/>
          <w:sz w:val="20"/>
          <w:szCs w:val="20"/>
        </w:rPr>
        <w:t xml:space="preserve"> </w:t>
      </w:r>
    </w:p>
  </w:footnote>
  <w:footnote w:id="23">
    <w:p w14:paraId="52662C92" w14:textId="7F3D81D9" w:rsidR="005A7F3C" w:rsidRPr="00A336E2" w:rsidRDefault="005A7F3C" w:rsidP="00A336E2">
      <w:pPr>
        <w:spacing w:after="0" w:line="240" w:lineRule="auto"/>
        <w:rPr>
          <w:rFonts w:ascii="Times New Roman" w:hAnsi="Times New Roman" w:cs="Times New Roman"/>
          <w:sz w:val="20"/>
          <w:szCs w:val="20"/>
        </w:rPr>
      </w:pPr>
      <w:r w:rsidRPr="00A336E2">
        <w:rPr>
          <w:rStyle w:val="FootnoteReference"/>
          <w:rFonts w:ascii="Times New Roman" w:hAnsi="Times New Roman" w:cs="Times New Roman"/>
          <w:sz w:val="20"/>
          <w:szCs w:val="20"/>
        </w:rPr>
        <w:footnoteRef/>
      </w:r>
      <w:r w:rsidRPr="00A336E2">
        <w:rPr>
          <w:rFonts w:ascii="Times New Roman" w:hAnsi="Times New Roman" w:cs="Times New Roman"/>
          <w:sz w:val="20"/>
          <w:szCs w:val="20"/>
        </w:rPr>
        <w:t xml:space="preserve"> https://www.tiesibsargs.lv/wp-content/uploads/2022/07/romu_situacija_latvija_2022_1648646871.pdf</w:t>
      </w:r>
    </w:p>
  </w:footnote>
  <w:footnote w:id="24">
    <w:p w14:paraId="241D00E4" w14:textId="3F9D55AE" w:rsidR="000A16A9" w:rsidRPr="00A336E2" w:rsidRDefault="000A16A9" w:rsidP="00A336E2">
      <w:pPr>
        <w:spacing w:after="0" w:line="240" w:lineRule="auto"/>
        <w:rPr>
          <w:rFonts w:ascii="Times New Roman" w:hAnsi="Times New Roman" w:cs="Times New Roman"/>
          <w:sz w:val="20"/>
          <w:szCs w:val="20"/>
        </w:rPr>
      </w:pPr>
      <w:r w:rsidRPr="00A336E2">
        <w:rPr>
          <w:rStyle w:val="FootnoteReference"/>
          <w:rFonts w:ascii="Times New Roman" w:hAnsi="Times New Roman" w:cs="Times New Roman"/>
          <w:sz w:val="20"/>
          <w:szCs w:val="20"/>
        </w:rPr>
        <w:footnoteRef/>
      </w:r>
      <w:r w:rsidRPr="00A336E2">
        <w:rPr>
          <w:rFonts w:ascii="Times New Roman" w:hAnsi="Times New Roman" w:cs="Times New Roman"/>
          <w:sz w:val="20"/>
          <w:szCs w:val="20"/>
        </w:rPr>
        <w:t xml:space="preserve"> </w:t>
      </w:r>
      <w:proofErr w:type="spellStart"/>
      <w:r w:rsidRPr="00A336E2">
        <w:rPr>
          <w:rFonts w:ascii="Times New Roman" w:hAnsi="Times New Roman" w:cs="Times New Roman"/>
          <w:sz w:val="20"/>
          <w:szCs w:val="20"/>
        </w:rPr>
        <w:t>Civitta</w:t>
      </w:r>
      <w:proofErr w:type="spellEnd"/>
      <w:r w:rsidRPr="00A336E2">
        <w:rPr>
          <w:rFonts w:ascii="Times New Roman" w:hAnsi="Times New Roman" w:cs="Times New Roman"/>
          <w:sz w:val="20"/>
          <w:szCs w:val="20"/>
        </w:rPr>
        <w:t xml:space="preserve"> (2023).  PĒTĪJUMS PAR ROMU SITUĀCIJU LATVIJĀ (in Latvian), </w:t>
      </w:r>
      <w:hyperlink r:id="rId15" w:history="1">
        <w:r w:rsidRPr="00A336E2">
          <w:rPr>
            <w:rStyle w:val="Hyperlink"/>
            <w:rFonts w:ascii="Times New Roman" w:hAnsi="Times New Roman" w:cs="Times New Roman"/>
            <w:sz w:val="20"/>
            <w:szCs w:val="20"/>
          </w:rPr>
          <w:t>https://www.km.gov.lv/lv/media/35865/download?attachment</w:t>
        </w:r>
      </w:hyperlink>
    </w:p>
  </w:footnote>
  <w:footnote w:id="25">
    <w:p w14:paraId="3E2ECC8F" w14:textId="02809E53" w:rsidR="003238B2" w:rsidRPr="00A336E2" w:rsidRDefault="003238B2" w:rsidP="00A336E2">
      <w:pPr>
        <w:spacing w:after="0" w:line="240" w:lineRule="auto"/>
        <w:rPr>
          <w:rFonts w:ascii="Times New Roman" w:hAnsi="Times New Roman" w:cs="Times New Roman"/>
          <w:sz w:val="20"/>
          <w:szCs w:val="20"/>
        </w:rPr>
      </w:pPr>
      <w:r w:rsidRPr="00A336E2">
        <w:rPr>
          <w:rStyle w:val="FootnoteReference"/>
          <w:rFonts w:ascii="Times New Roman" w:hAnsi="Times New Roman" w:cs="Times New Roman"/>
          <w:sz w:val="20"/>
          <w:szCs w:val="20"/>
        </w:rPr>
        <w:footnoteRef/>
      </w:r>
      <w:r w:rsidRPr="00A336E2">
        <w:rPr>
          <w:rFonts w:ascii="Times New Roman" w:hAnsi="Times New Roman" w:cs="Times New Roman"/>
          <w:sz w:val="20"/>
          <w:szCs w:val="20"/>
        </w:rPr>
        <w:t xml:space="preserve"> </w:t>
      </w:r>
      <w:proofErr w:type="spellStart"/>
      <w:r w:rsidRPr="00A336E2">
        <w:rPr>
          <w:rFonts w:ascii="Times New Roman" w:hAnsi="Times New Roman" w:cs="Times New Roman"/>
          <w:sz w:val="20"/>
          <w:szCs w:val="20"/>
        </w:rPr>
        <w:t>Saeima</w:t>
      </w:r>
      <w:proofErr w:type="spellEnd"/>
      <w:r w:rsidRPr="00A336E2">
        <w:rPr>
          <w:rFonts w:ascii="Times New Roman" w:hAnsi="Times New Roman" w:cs="Times New Roman"/>
          <w:sz w:val="20"/>
          <w:szCs w:val="20"/>
        </w:rPr>
        <w:t xml:space="preserve"> (2023). Amendments to the </w:t>
      </w:r>
      <w:proofErr w:type="spellStart"/>
      <w:r w:rsidRPr="00A336E2">
        <w:rPr>
          <w:rFonts w:ascii="Times New Roman" w:hAnsi="Times New Roman" w:cs="Times New Roman"/>
          <w:sz w:val="20"/>
          <w:szCs w:val="20"/>
        </w:rPr>
        <w:t>Notariate</w:t>
      </w:r>
      <w:proofErr w:type="spellEnd"/>
      <w:r w:rsidRPr="00A336E2">
        <w:rPr>
          <w:rFonts w:ascii="Times New Roman" w:hAnsi="Times New Roman" w:cs="Times New Roman"/>
          <w:sz w:val="20"/>
          <w:szCs w:val="20"/>
        </w:rPr>
        <w:t xml:space="preserve"> Law (</w:t>
      </w:r>
      <w:proofErr w:type="spellStart"/>
      <w:r w:rsidRPr="00A336E2">
        <w:rPr>
          <w:rFonts w:ascii="Times New Roman" w:hAnsi="Times New Roman" w:cs="Times New Roman"/>
          <w:i/>
          <w:iCs/>
          <w:sz w:val="20"/>
          <w:szCs w:val="20"/>
        </w:rPr>
        <w:t>Grozījumi</w:t>
      </w:r>
      <w:proofErr w:type="spellEnd"/>
      <w:r w:rsidRPr="00A336E2">
        <w:rPr>
          <w:rFonts w:ascii="Times New Roman" w:hAnsi="Times New Roman" w:cs="Times New Roman"/>
          <w:i/>
          <w:iCs/>
          <w:sz w:val="20"/>
          <w:szCs w:val="20"/>
        </w:rPr>
        <w:t xml:space="preserve"> </w:t>
      </w:r>
      <w:proofErr w:type="spellStart"/>
      <w:r w:rsidRPr="00A336E2">
        <w:rPr>
          <w:rFonts w:ascii="Times New Roman" w:hAnsi="Times New Roman" w:cs="Times New Roman"/>
          <w:i/>
          <w:iCs/>
          <w:sz w:val="20"/>
          <w:szCs w:val="20"/>
        </w:rPr>
        <w:t>Notariāta</w:t>
      </w:r>
      <w:proofErr w:type="spellEnd"/>
      <w:r w:rsidRPr="00A336E2">
        <w:rPr>
          <w:rFonts w:ascii="Times New Roman" w:hAnsi="Times New Roman" w:cs="Times New Roman"/>
          <w:i/>
          <w:iCs/>
          <w:sz w:val="20"/>
          <w:szCs w:val="20"/>
        </w:rPr>
        <w:t xml:space="preserve"> </w:t>
      </w:r>
      <w:proofErr w:type="spellStart"/>
      <w:r w:rsidRPr="00A336E2">
        <w:rPr>
          <w:rFonts w:ascii="Times New Roman" w:hAnsi="Times New Roman" w:cs="Times New Roman"/>
          <w:i/>
          <w:iCs/>
          <w:sz w:val="20"/>
          <w:szCs w:val="20"/>
        </w:rPr>
        <w:t>likumā</w:t>
      </w:r>
      <w:proofErr w:type="spellEnd"/>
      <w:r w:rsidRPr="00A336E2">
        <w:rPr>
          <w:rFonts w:ascii="Times New Roman" w:hAnsi="Times New Roman" w:cs="Times New Roman"/>
          <w:sz w:val="20"/>
          <w:szCs w:val="20"/>
        </w:rPr>
        <w:t xml:space="preserve">), </w:t>
      </w:r>
      <w:hyperlink r:id="rId16" w:history="1">
        <w:r w:rsidRPr="00A336E2">
          <w:rPr>
            <w:rStyle w:val="Hyperlink"/>
            <w:rFonts w:ascii="Times New Roman" w:hAnsi="Times New Roman" w:cs="Times New Roman"/>
            <w:sz w:val="20"/>
            <w:szCs w:val="20"/>
          </w:rPr>
          <w:t>https://titania.saeima.lv/LIVS14/saeimalivs14.nsf/0/F3275831F10924A0C2258AA9002B6B98?OpenDocument</w:t>
        </w:r>
      </w:hyperlink>
      <w:r w:rsidRPr="00A336E2">
        <w:rPr>
          <w:rFonts w:ascii="Times New Roman" w:hAnsi="Times New Roman" w:cs="Times New Roman"/>
          <w:sz w:val="20"/>
          <w:szCs w:val="20"/>
        </w:rPr>
        <w:t xml:space="preserve">; </w:t>
      </w:r>
      <w:proofErr w:type="spellStart"/>
      <w:r w:rsidRPr="00A336E2">
        <w:rPr>
          <w:rFonts w:ascii="Times New Roman" w:hAnsi="Times New Roman" w:cs="Times New Roman"/>
          <w:sz w:val="20"/>
          <w:szCs w:val="20"/>
        </w:rPr>
        <w:t>Saeima</w:t>
      </w:r>
      <w:proofErr w:type="spellEnd"/>
      <w:r w:rsidRPr="00A336E2">
        <w:rPr>
          <w:rFonts w:ascii="Times New Roman" w:hAnsi="Times New Roman" w:cs="Times New Roman"/>
          <w:sz w:val="20"/>
          <w:szCs w:val="20"/>
        </w:rPr>
        <w:t xml:space="preserve"> (2023). Amendments to the Law on the Rights of Patients (</w:t>
      </w:r>
      <w:proofErr w:type="spellStart"/>
      <w:r w:rsidRPr="00A336E2">
        <w:rPr>
          <w:rFonts w:ascii="Times New Roman" w:hAnsi="Times New Roman" w:cs="Times New Roman"/>
          <w:i/>
          <w:iCs/>
          <w:sz w:val="20"/>
          <w:szCs w:val="20"/>
        </w:rPr>
        <w:t>Grozījumi</w:t>
      </w:r>
      <w:proofErr w:type="spellEnd"/>
      <w:r w:rsidRPr="00A336E2">
        <w:rPr>
          <w:rFonts w:ascii="Times New Roman" w:hAnsi="Times New Roman" w:cs="Times New Roman"/>
          <w:i/>
          <w:iCs/>
          <w:sz w:val="20"/>
          <w:szCs w:val="20"/>
        </w:rPr>
        <w:t xml:space="preserve"> </w:t>
      </w:r>
      <w:proofErr w:type="spellStart"/>
      <w:r w:rsidRPr="00A336E2">
        <w:rPr>
          <w:rFonts w:ascii="Times New Roman" w:hAnsi="Times New Roman" w:cs="Times New Roman"/>
          <w:i/>
          <w:iCs/>
          <w:sz w:val="20"/>
          <w:szCs w:val="20"/>
        </w:rPr>
        <w:t>Pacientu</w:t>
      </w:r>
      <w:proofErr w:type="spellEnd"/>
      <w:r w:rsidRPr="00A336E2">
        <w:rPr>
          <w:rFonts w:ascii="Times New Roman" w:hAnsi="Times New Roman" w:cs="Times New Roman"/>
          <w:i/>
          <w:iCs/>
          <w:sz w:val="20"/>
          <w:szCs w:val="20"/>
        </w:rPr>
        <w:t xml:space="preserve"> </w:t>
      </w:r>
      <w:proofErr w:type="spellStart"/>
      <w:r w:rsidRPr="00A336E2">
        <w:rPr>
          <w:rFonts w:ascii="Times New Roman" w:hAnsi="Times New Roman" w:cs="Times New Roman"/>
          <w:i/>
          <w:iCs/>
          <w:sz w:val="20"/>
          <w:szCs w:val="20"/>
        </w:rPr>
        <w:t>tiesību</w:t>
      </w:r>
      <w:proofErr w:type="spellEnd"/>
      <w:r w:rsidRPr="00A336E2">
        <w:rPr>
          <w:rFonts w:ascii="Times New Roman" w:hAnsi="Times New Roman" w:cs="Times New Roman"/>
          <w:i/>
          <w:iCs/>
          <w:sz w:val="20"/>
          <w:szCs w:val="20"/>
        </w:rPr>
        <w:t xml:space="preserve"> </w:t>
      </w:r>
      <w:proofErr w:type="spellStart"/>
      <w:r w:rsidRPr="00A336E2">
        <w:rPr>
          <w:rFonts w:ascii="Times New Roman" w:hAnsi="Times New Roman" w:cs="Times New Roman"/>
          <w:i/>
          <w:iCs/>
          <w:sz w:val="20"/>
          <w:szCs w:val="20"/>
        </w:rPr>
        <w:t>likumā</w:t>
      </w:r>
      <w:proofErr w:type="spellEnd"/>
      <w:r w:rsidRPr="00A336E2">
        <w:rPr>
          <w:rFonts w:ascii="Times New Roman" w:hAnsi="Times New Roman" w:cs="Times New Roman"/>
          <w:sz w:val="20"/>
          <w:szCs w:val="20"/>
        </w:rPr>
        <w:t xml:space="preserve">), </w:t>
      </w:r>
      <w:hyperlink r:id="rId17" w:history="1">
        <w:r w:rsidRPr="00A336E2">
          <w:rPr>
            <w:rStyle w:val="Hyperlink"/>
            <w:rFonts w:ascii="Times New Roman" w:hAnsi="Times New Roman" w:cs="Times New Roman"/>
            <w:sz w:val="20"/>
            <w:szCs w:val="20"/>
          </w:rPr>
          <w:t>https://titania.saeima.lv/LIVS14/saeimalivs14.nsf/0/D25C5D65D01EA5A9C2258A6E00512464?OpenDocument</w:t>
        </w:r>
      </w:hyperlink>
      <w:r w:rsidRPr="00A336E2">
        <w:rPr>
          <w:rFonts w:ascii="Times New Roman" w:hAnsi="Times New Roman" w:cs="Times New Roman"/>
          <w:sz w:val="20"/>
          <w:szCs w:val="20"/>
        </w:rPr>
        <w:t xml:space="preserve"> ; </w:t>
      </w:r>
      <w:proofErr w:type="spellStart"/>
      <w:r w:rsidRPr="00A336E2">
        <w:rPr>
          <w:rFonts w:ascii="Times New Roman" w:hAnsi="Times New Roman" w:cs="Times New Roman"/>
          <w:sz w:val="20"/>
          <w:szCs w:val="20"/>
        </w:rPr>
        <w:t>Saeima</w:t>
      </w:r>
      <w:proofErr w:type="spellEnd"/>
      <w:r w:rsidRPr="00A336E2">
        <w:rPr>
          <w:rFonts w:ascii="Times New Roman" w:hAnsi="Times New Roman" w:cs="Times New Roman"/>
          <w:sz w:val="20"/>
          <w:szCs w:val="20"/>
        </w:rPr>
        <w:t xml:space="preserve"> (2023). Amendment to the Law on Personal Income Tax (</w:t>
      </w:r>
      <w:proofErr w:type="spellStart"/>
      <w:r w:rsidRPr="00A336E2">
        <w:rPr>
          <w:rFonts w:ascii="Times New Roman" w:hAnsi="Times New Roman" w:cs="Times New Roman"/>
          <w:i/>
          <w:iCs/>
          <w:sz w:val="20"/>
          <w:szCs w:val="20"/>
        </w:rPr>
        <w:t>Grozījums</w:t>
      </w:r>
      <w:proofErr w:type="spellEnd"/>
      <w:r w:rsidRPr="00A336E2">
        <w:rPr>
          <w:rFonts w:ascii="Times New Roman" w:hAnsi="Times New Roman" w:cs="Times New Roman"/>
          <w:i/>
          <w:iCs/>
          <w:sz w:val="20"/>
          <w:szCs w:val="20"/>
        </w:rPr>
        <w:t xml:space="preserve"> </w:t>
      </w:r>
      <w:proofErr w:type="spellStart"/>
      <w:r w:rsidRPr="00A336E2">
        <w:rPr>
          <w:rFonts w:ascii="Times New Roman" w:hAnsi="Times New Roman" w:cs="Times New Roman"/>
          <w:i/>
          <w:iCs/>
          <w:sz w:val="20"/>
          <w:szCs w:val="20"/>
        </w:rPr>
        <w:t>likumā</w:t>
      </w:r>
      <w:proofErr w:type="spellEnd"/>
      <w:r w:rsidRPr="00A336E2">
        <w:rPr>
          <w:rFonts w:ascii="Times New Roman" w:hAnsi="Times New Roman" w:cs="Times New Roman"/>
          <w:i/>
          <w:iCs/>
          <w:sz w:val="20"/>
          <w:szCs w:val="20"/>
        </w:rPr>
        <w:t xml:space="preserve"> “Par </w:t>
      </w:r>
      <w:proofErr w:type="spellStart"/>
      <w:r w:rsidRPr="00A336E2">
        <w:rPr>
          <w:rFonts w:ascii="Times New Roman" w:hAnsi="Times New Roman" w:cs="Times New Roman"/>
          <w:i/>
          <w:iCs/>
          <w:sz w:val="20"/>
          <w:szCs w:val="20"/>
        </w:rPr>
        <w:t>iedzīvotāju</w:t>
      </w:r>
      <w:proofErr w:type="spellEnd"/>
      <w:r w:rsidRPr="00A336E2">
        <w:rPr>
          <w:rFonts w:ascii="Times New Roman" w:hAnsi="Times New Roman" w:cs="Times New Roman"/>
          <w:i/>
          <w:iCs/>
          <w:sz w:val="20"/>
          <w:szCs w:val="20"/>
        </w:rPr>
        <w:t xml:space="preserve"> </w:t>
      </w:r>
      <w:proofErr w:type="spellStart"/>
      <w:r w:rsidRPr="00A336E2">
        <w:rPr>
          <w:rFonts w:ascii="Times New Roman" w:hAnsi="Times New Roman" w:cs="Times New Roman"/>
          <w:i/>
          <w:iCs/>
          <w:sz w:val="20"/>
          <w:szCs w:val="20"/>
        </w:rPr>
        <w:t>ienākuma</w:t>
      </w:r>
      <w:proofErr w:type="spellEnd"/>
      <w:r w:rsidRPr="00A336E2">
        <w:rPr>
          <w:rFonts w:ascii="Times New Roman" w:hAnsi="Times New Roman" w:cs="Times New Roman"/>
          <w:i/>
          <w:iCs/>
          <w:sz w:val="20"/>
          <w:szCs w:val="20"/>
        </w:rPr>
        <w:t xml:space="preserve"> </w:t>
      </w:r>
      <w:proofErr w:type="spellStart"/>
      <w:r w:rsidRPr="00A336E2">
        <w:rPr>
          <w:rFonts w:ascii="Times New Roman" w:hAnsi="Times New Roman" w:cs="Times New Roman"/>
          <w:i/>
          <w:iCs/>
          <w:sz w:val="20"/>
          <w:szCs w:val="20"/>
        </w:rPr>
        <w:t>nodokli</w:t>
      </w:r>
      <w:proofErr w:type="spellEnd"/>
      <w:r w:rsidRPr="00A336E2">
        <w:rPr>
          <w:rFonts w:ascii="Times New Roman" w:hAnsi="Times New Roman" w:cs="Times New Roman"/>
          <w:i/>
          <w:iCs/>
          <w:sz w:val="20"/>
          <w:szCs w:val="20"/>
        </w:rPr>
        <w:t>”</w:t>
      </w:r>
      <w:r w:rsidRPr="00A336E2">
        <w:rPr>
          <w:rFonts w:ascii="Times New Roman" w:hAnsi="Times New Roman" w:cs="Times New Roman"/>
          <w:sz w:val="20"/>
          <w:szCs w:val="20"/>
        </w:rPr>
        <w:t xml:space="preserve">), </w:t>
      </w:r>
      <w:hyperlink r:id="rId18" w:history="1">
        <w:r w:rsidRPr="00A336E2">
          <w:rPr>
            <w:rStyle w:val="Hyperlink"/>
            <w:rFonts w:ascii="Times New Roman" w:hAnsi="Times New Roman" w:cs="Times New Roman"/>
            <w:sz w:val="20"/>
            <w:szCs w:val="20"/>
          </w:rPr>
          <w:t>https://titania.saeima.lv/LIVS14/saeimalivs14.nsf/0/B67C6E0B6FEF283EC2258A6E00507B6C?OpenDocument</w:t>
        </w:r>
      </w:hyperlink>
      <w:r w:rsidRPr="00A336E2">
        <w:rPr>
          <w:rFonts w:ascii="Times New Roman" w:hAnsi="Times New Roman" w:cs="Times New Roman"/>
          <w:sz w:val="20"/>
          <w:szCs w:val="20"/>
        </w:rPr>
        <w:t xml:space="preserve">; </w:t>
      </w:r>
      <w:proofErr w:type="spellStart"/>
      <w:r w:rsidRPr="00A336E2">
        <w:rPr>
          <w:rFonts w:ascii="Times New Roman" w:hAnsi="Times New Roman" w:cs="Times New Roman"/>
          <w:sz w:val="20"/>
          <w:szCs w:val="20"/>
        </w:rPr>
        <w:t>Saeima</w:t>
      </w:r>
      <w:proofErr w:type="spellEnd"/>
      <w:r w:rsidRPr="00A336E2">
        <w:rPr>
          <w:rFonts w:ascii="Times New Roman" w:hAnsi="Times New Roman" w:cs="Times New Roman"/>
          <w:sz w:val="20"/>
          <w:szCs w:val="20"/>
        </w:rPr>
        <w:t xml:space="preserve"> (2023). Amendments to the Law on State Pensions (</w:t>
      </w:r>
      <w:proofErr w:type="spellStart"/>
      <w:r w:rsidRPr="00A336E2">
        <w:rPr>
          <w:rFonts w:ascii="Times New Roman" w:hAnsi="Times New Roman" w:cs="Times New Roman"/>
          <w:i/>
          <w:iCs/>
          <w:sz w:val="20"/>
          <w:szCs w:val="20"/>
        </w:rPr>
        <w:t>Grozījumi</w:t>
      </w:r>
      <w:proofErr w:type="spellEnd"/>
      <w:r w:rsidRPr="00A336E2">
        <w:rPr>
          <w:rFonts w:ascii="Times New Roman" w:hAnsi="Times New Roman" w:cs="Times New Roman"/>
          <w:i/>
          <w:iCs/>
          <w:sz w:val="20"/>
          <w:szCs w:val="20"/>
        </w:rPr>
        <w:t xml:space="preserve"> </w:t>
      </w:r>
      <w:proofErr w:type="spellStart"/>
      <w:r w:rsidRPr="00A336E2">
        <w:rPr>
          <w:rFonts w:ascii="Times New Roman" w:hAnsi="Times New Roman" w:cs="Times New Roman"/>
          <w:i/>
          <w:iCs/>
          <w:sz w:val="20"/>
          <w:szCs w:val="20"/>
        </w:rPr>
        <w:t>likumā</w:t>
      </w:r>
      <w:proofErr w:type="spellEnd"/>
      <w:r w:rsidRPr="00A336E2">
        <w:rPr>
          <w:rFonts w:ascii="Times New Roman" w:hAnsi="Times New Roman" w:cs="Times New Roman"/>
          <w:i/>
          <w:iCs/>
          <w:sz w:val="20"/>
          <w:szCs w:val="20"/>
        </w:rPr>
        <w:t xml:space="preserve"> par </w:t>
      </w:r>
      <w:proofErr w:type="spellStart"/>
      <w:r w:rsidRPr="00A336E2">
        <w:rPr>
          <w:rFonts w:ascii="Times New Roman" w:hAnsi="Times New Roman" w:cs="Times New Roman"/>
          <w:i/>
          <w:iCs/>
          <w:sz w:val="20"/>
          <w:szCs w:val="20"/>
        </w:rPr>
        <w:t>valsts</w:t>
      </w:r>
      <w:proofErr w:type="spellEnd"/>
      <w:r w:rsidRPr="00A336E2">
        <w:rPr>
          <w:rFonts w:ascii="Times New Roman" w:hAnsi="Times New Roman" w:cs="Times New Roman"/>
          <w:i/>
          <w:iCs/>
          <w:sz w:val="20"/>
          <w:szCs w:val="20"/>
        </w:rPr>
        <w:t xml:space="preserve"> </w:t>
      </w:r>
      <w:proofErr w:type="spellStart"/>
      <w:r w:rsidRPr="00A336E2">
        <w:rPr>
          <w:rFonts w:ascii="Times New Roman" w:hAnsi="Times New Roman" w:cs="Times New Roman"/>
          <w:i/>
          <w:iCs/>
          <w:sz w:val="20"/>
          <w:szCs w:val="20"/>
        </w:rPr>
        <w:t>pensijām</w:t>
      </w:r>
      <w:proofErr w:type="spellEnd"/>
      <w:r w:rsidRPr="00A336E2">
        <w:rPr>
          <w:rFonts w:ascii="Times New Roman" w:hAnsi="Times New Roman" w:cs="Times New Roman"/>
          <w:sz w:val="20"/>
          <w:szCs w:val="20"/>
        </w:rPr>
        <w:t xml:space="preserve">), </w:t>
      </w:r>
      <w:hyperlink r:id="rId19" w:history="1">
        <w:r w:rsidRPr="00A336E2">
          <w:rPr>
            <w:rStyle w:val="Hyperlink"/>
            <w:rFonts w:ascii="Times New Roman" w:hAnsi="Times New Roman" w:cs="Times New Roman"/>
            <w:sz w:val="20"/>
            <w:szCs w:val="20"/>
          </w:rPr>
          <w:t>https://titania.saeima.lv/LIVS14/saeimalivs14.nsf/0/546F9D28345ACCC0C2258A6E004FE76B?OpenDocument</w:t>
        </w:r>
      </w:hyperlink>
      <w:r w:rsidRPr="00A336E2">
        <w:rPr>
          <w:rFonts w:ascii="Times New Roman" w:hAnsi="Times New Roman" w:cs="Times New Roman"/>
          <w:sz w:val="20"/>
          <w:szCs w:val="20"/>
        </w:rPr>
        <w:t xml:space="preserve"> ; </w:t>
      </w:r>
      <w:proofErr w:type="spellStart"/>
      <w:r w:rsidRPr="00A336E2">
        <w:rPr>
          <w:rFonts w:ascii="Times New Roman" w:hAnsi="Times New Roman" w:cs="Times New Roman"/>
          <w:sz w:val="20"/>
          <w:szCs w:val="20"/>
        </w:rPr>
        <w:t>Saeima</w:t>
      </w:r>
      <w:proofErr w:type="spellEnd"/>
      <w:r w:rsidRPr="00A336E2">
        <w:rPr>
          <w:rFonts w:ascii="Times New Roman" w:hAnsi="Times New Roman" w:cs="Times New Roman"/>
          <w:sz w:val="20"/>
          <w:szCs w:val="20"/>
        </w:rPr>
        <w:t xml:space="preserve"> (2023). Amendments to the </w:t>
      </w:r>
      <w:r w:rsidRPr="00A336E2">
        <w:rPr>
          <w:rFonts w:ascii="Times New Roman" w:hAnsi="Times New Roman" w:cs="Times New Roman"/>
          <w:color w:val="000000"/>
          <w:sz w:val="20"/>
          <w:szCs w:val="20"/>
        </w:rPr>
        <w:t>law On Prevention of Conflict of Interest in Activities of Public Officials (</w:t>
      </w:r>
      <w:proofErr w:type="spellStart"/>
      <w:r w:rsidRPr="00A336E2">
        <w:rPr>
          <w:rFonts w:ascii="Times New Roman" w:hAnsi="Times New Roman" w:cs="Times New Roman"/>
          <w:i/>
          <w:iCs/>
          <w:color w:val="000000"/>
          <w:sz w:val="20"/>
          <w:szCs w:val="20"/>
        </w:rPr>
        <w:t>Grozījumi</w:t>
      </w:r>
      <w:proofErr w:type="spellEnd"/>
      <w:r w:rsidRPr="00A336E2">
        <w:rPr>
          <w:rFonts w:ascii="Times New Roman" w:hAnsi="Times New Roman" w:cs="Times New Roman"/>
          <w:i/>
          <w:iCs/>
          <w:color w:val="000000"/>
          <w:sz w:val="20"/>
          <w:szCs w:val="20"/>
        </w:rPr>
        <w:t xml:space="preserve"> </w:t>
      </w:r>
      <w:proofErr w:type="spellStart"/>
      <w:r w:rsidRPr="00A336E2">
        <w:rPr>
          <w:rFonts w:ascii="Times New Roman" w:hAnsi="Times New Roman" w:cs="Times New Roman"/>
          <w:i/>
          <w:iCs/>
          <w:color w:val="000000"/>
          <w:sz w:val="20"/>
          <w:szCs w:val="20"/>
        </w:rPr>
        <w:t>likumā</w:t>
      </w:r>
      <w:proofErr w:type="spellEnd"/>
      <w:r w:rsidRPr="00A336E2">
        <w:rPr>
          <w:rFonts w:ascii="Times New Roman" w:hAnsi="Times New Roman" w:cs="Times New Roman"/>
          <w:i/>
          <w:iCs/>
          <w:color w:val="000000"/>
          <w:sz w:val="20"/>
          <w:szCs w:val="20"/>
        </w:rPr>
        <w:t xml:space="preserve"> “Par </w:t>
      </w:r>
      <w:proofErr w:type="spellStart"/>
      <w:r w:rsidRPr="00A336E2">
        <w:rPr>
          <w:rFonts w:ascii="Times New Roman" w:hAnsi="Times New Roman" w:cs="Times New Roman"/>
          <w:i/>
          <w:iCs/>
          <w:color w:val="000000"/>
          <w:sz w:val="20"/>
          <w:szCs w:val="20"/>
        </w:rPr>
        <w:t>interešu</w:t>
      </w:r>
      <w:proofErr w:type="spellEnd"/>
      <w:r w:rsidRPr="00A336E2">
        <w:rPr>
          <w:rFonts w:ascii="Times New Roman" w:hAnsi="Times New Roman" w:cs="Times New Roman"/>
          <w:i/>
          <w:iCs/>
          <w:color w:val="000000"/>
          <w:sz w:val="20"/>
          <w:szCs w:val="20"/>
        </w:rPr>
        <w:t xml:space="preserve"> </w:t>
      </w:r>
      <w:proofErr w:type="spellStart"/>
      <w:r w:rsidRPr="00A336E2">
        <w:rPr>
          <w:rFonts w:ascii="Times New Roman" w:hAnsi="Times New Roman" w:cs="Times New Roman"/>
          <w:i/>
          <w:iCs/>
          <w:color w:val="000000"/>
          <w:sz w:val="20"/>
          <w:szCs w:val="20"/>
        </w:rPr>
        <w:t>konflikta</w:t>
      </w:r>
      <w:proofErr w:type="spellEnd"/>
      <w:r w:rsidRPr="00A336E2">
        <w:rPr>
          <w:rFonts w:ascii="Times New Roman" w:hAnsi="Times New Roman" w:cs="Times New Roman"/>
          <w:i/>
          <w:iCs/>
          <w:color w:val="000000"/>
          <w:sz w:val="20"/>
          <w:szCs w:val="20"/>
        </w:rPr>
        <w:t xml:space="preserve"> </w:t>
      </w:r>
      <w:proofErr w:type="spellStart"/>
      <w:r w:rsidRPr="00A336E2">
        <w:rPr>
          <w:rFonts w:ascii="Times New Roman" w:hAnsi="Times New Roman" w:cs="Times New Roman"/>
          <w:i/>
          <w:iCs/>
          <w:color w:val="000000"/>
          <w:sz w:val="20"/>
          <w:szCs w:val="20"/>
        </w:rPr>
        <w:t>novēršanu</w:t>
      </w:r>
      <w:proofErr w:type="spellEnd"/>
      <w:r w:rsidRPr="00A336E2">
        <w:rPr>
          <w:rFonts w:ascii="Times New Roman" w:hAnsi="Times New Roman" w:cs="Times New Roman"/>
          <w:i/>
          <w:iCs/>
          <w:color w:val="000000"/>
          <w:sz w:val="20"/>
          <w:szCs w:val="20"/>
        </w:rPr>
        <w:t xml:space="preserve"> </w:t>
      </w:r>
      <w:proofErr w:type="spellStart"/>
      <w:r w:rsidRPr="00A336E2">
        <w:rPr>
          <w:rFonts w:ascii="Times New Roman" w:hAnsi="Times New Roman" w:cs="Times New Roman"/>
          <w:i/>
          <w:iCs/>
          <w:color w:val="000000"/>
          <w:sz w:val="20"/>
          <w:szCs w:val="20"/>
        </w:rPr>
        <w:t>valsts</w:t>
      </w:r>
      <w:proofErr w:type="spellEnd"/>
      <w:r w:rsidRPr="00A336E2">
        <w:rPr>
          <w:rFonts w:ascii="Times New Roman" w:hAnsi="Times New Roman" w:cs="Times New Roman"/>
          <w:i/>
          <w:iCs/>
          <w:color w:val="000000"/>
          <w:sz w:val="20"/>
          <w:szCs w:val="20"/>
        </w:rPr>
        <w:t xml:space="preserve"> </w:t>
      </w:r>
      <w:proofErr w:type="spellStart"/>
      <w:r w:rsidRPr="00A336E2">
        <w:rPr>
          <w:rFonts w:ascii="Times New Roman" w:hAnsi="Times New Roman" w:cs="Times New Roman"/>
          <w:i/>
          <w:iCs/>
          <w:color w:val="000000"/>
          <w:sz w:val="20"/>
          <w:szCs w:val="20"/>
        </w:rPr>
        <w:t>amatpersonu</w:t>
      </w:r>
      <w:proofErr w:type="spellEnd"/>
      <w:r w:rsidRPr="00A336E2">
        <w:rPr>
          <w:rFonts w:ascii="Times New Roman" w:hAnsi="Times New Roman" w:cs="Times New Roman"/>
          <w:i/>
          <w:iCs/>
          <w:color w:val="000000"/>
          <w:sz w:val="20"/>
          <w:szCs w:val="20"/>
        </w:rPr>
        <w:t xml:space="preserve"> </w:t>
      </w:r>
      <w:proofErr w:type="spellStart"/>
      <w:r w:rsidRPr="00A336E2">
        <w:rPr>
          <w:rFonts w:ascii="Times New Roman" w:hAnsi="Times New Roman" w:cs="Times New Roman"/>
          <w:i/>
          <w:iCs/>
          <w:color w:val="000000"/>
          <w:sz w:val="20"/>
          <w:szCs w:val="20"/>
        </w:rPr>
        <w:t>darbībā</w:t>
      </w:r>
      <w:proofErr w:type="spellEnd"/>
      <w:r w:rsidRPr="00A336E2">
        <w:rPr>
          <w:rFonts w:ascii="Times New Roman" w:hAnsi="Times New Roman" w:cs="Times New Roman"/>
          <w:i/>
          <w:iCs/>
          <w:color w:val="000000"/>
          <w:sz w:val="20"/>
          <w:szCs w:val="20"/>
        </w:rPr>
        <w:t>”</w:t>
      </w:r>
      <w:r w:rsidRPr="00A336E2">
        <w:rPr>
          <w:rFonts w:ascii="Times New Roman" w:hAnsi="Times New Roman" w:cs="Times New Roman"/>
          <w:color w:val="000000"/>
          <w:sz w:val="20"/>
          <w:szCs w:val="20"/>
        </w:rPr>
        <w:t xml:space="preserve">), </w:t>
      </w:r>
      <w:r w:rsidRPr="00A336E2">
        <w:rPr>
          <w:rFonts w:ascii="Times New Roman" w:hAnsi="Times New Roman" w:cs="Times New Roman"/>
          <w:sz w:val="20"/>
          <w:szCs w:val="20"/>
        </w:rPr>
        <w:t xml:space="preserve"> </w:t>
      </w:r>
      <w:hyperlink r:id="rId20" w:history="1">
        <w:r w:rsidRPr="00A336E2">
          <w:rPr>
            <w:rStyle w:val="Hyperlink"/>
            <w:rFonts w:ascii="Times New Roman" w:hAnsi="Times New Roman" w:cs="Times New Roman"/>
            <w:sz w:val="20"/>
            <w:szCs w:val="20"/>
          </w:rPr>
          <w:t>https://titania.saeima.lv/LIVS14/saeimalivs14.nsf/0/195910ECBBF3FA28C2258A6E0050F5D8?OpenDocument</w:t>
        </w:r>
      </w:hyperlink>
    </w:p>
  </w:footnote>
  <w:footnote w:id="26">
    <w:p w14:paraId="1CBA3BE3" w14:textId="6B2219DD" w:rsidR="003238B2" w:rsidRPr="00A336E2" w:rsidRDefault="003238B2" w:rsidP="00A336E2">
      <w:pPr>
        <w:spacing w:after="0" w:line="240" w:lineRule="auto"/>
        <w:rPr>
          <w:rFonts w:ascii="Times New Roman" w:hAnsi="Times New Roman" w:cs="Times New Roman"/>
          <w:sz w:val="20"/>
          <w:szCs w:val="20"/>
        </w:rPr>
      </w:pPr>
      <w:r w:rsidRPr="00A336E2">
        <w:rPr>
          <w:rStyle w:val="FootnoteReference"/>
          <w:rFonts w:ascii="Times New Roman" w:hAnsi="Times New Roman" w:cs="Times New Roman"/>
          <w:sz w:val="20"/>
          <w:szCs w:val="20"/>
        </w:rPr>
        <w:footnoteRef/>
      </w:r>
      <w:r w:rsidRPr="00A336E2">
        <w:rPr>
          <w:rFonts w:ascii="Times New Roman" w:hAnsi="Times New Roman" w:cs="Times New Roman"/>
          <w:sz w:val="20"/>
          <w:szCs w:val="20"/>
        </w:rPr>
        <w:t xml:space="preserve"> Constitutional Court of the Republic of Latvia (2021). </w:t>
      </w:r>
      <w:hyperlink r:id="rId21" w:history="1">
        <w:r w:rsidRPr="00A336E2">
          <w:rPr>
            <w:rStyle w:val="Hyperlink"/>
            <w:rFonts w:ascii="Times New Roman" w:hAnsi="Times New Roman" w:cs="Times New Roman"/>
            <w:sz w:val="20"/>
            <w:szCs w:val="20"/>
          </w:rPr>
          <w:t>Case No 2020-34-03</w:t>
        </w:r>
      </w:hyperlink>
      <w:r w:rsidRPr="00A336E2">
        <w:rPr>
          <w:rFonts w:ascii="Times New Roman" w:hAnsi="Times New Roman" w:cs="Times New Roman"/>
          <w:sz w:val="20"/>
          <w:szCs w:val="20"/>
        </w:rPr>
        <w:t>, 8 April.</w:t>
      </w:r>
    </w:p>
  </w:footnote>
  <w:footnote w:id="27">
    <w:p w14:paraId="17080FF4" w14:textId="694FDB40" w:rsidR="003238B2" w:rsidRPr="00A336E2" w:rsidRDefault="003238B2" w:rsidP="00A336E2">
      <w:pPr>
        <w:spacing w:after="0" w:line="240" w:lineRule="auto"/>
        <w:rPr>
          <w:rFonts w:ascii="Times New Roman" w:hAnsi="Times New Roman" w:cs="Times New Roman"/>
          <w:sz w:val="20"/>
          <w:szCs w:val="20"/>
        </w:rPr>
      </w:pPr>
      <w:r w:rsidRPr="00A336E2">
        <w:rPr>
          <w:rStyle w:val="FootnoteReference"/>
          <w:rFonts w:ascii="Times New Roman" w:hAnsi="Times New Roman" w:cs="Times New Roman"/>
          <w:sz w:val="20"/>
          <w:szCs w:val="20"/>
        </w:rPr>
        <w:footnoteRef/>
      </w:r>
      <w:r w:rsidRPr="00A336E2">
        <w:rPr>
          <w:rFonts w:ascii="Times New Roman" w:hAnsi="Times New Roman" w:cs="Times New Roman"/>
          <w:sz w:val="20"/>
          <w:szCs w:val="20"/>
        </w:rPr>
        <w:t xml:space="preserve"> Central Electoral Commission (2024). </w:t>
      </w:r>
      <w:hyperlink r:id="rId22" w:history="1">
        <w:proofErr w:type="spellStart"/>
        <w:r w:rsidRPr="00A336E2">
          <w:rPr>
            <w:rStyle w:val="Hyperlink"/>
            <w:rFonts w:ascii="Times New Roman" w:hAnsi="Times New Roman" w:cs="Times New Roman"/>
            <w:sz w:val="20"/>
            <w:szCs w:val="20"/>
          </w:rPr>
          <w:t>Tautas</w:t>
        </w:r>
        <w:proofErr w:type="spellEnd"/>
        <w:r w:rsidRPr="00A336E2">
          <w:rPr>
            <w:rStyle w:val="Hyperlink"/>
            <w:rFonts w:ascii="Times New Roman" w:hAnsi="Times New Roman" w:cs="Times New Roman"/>
            <w:sz w:val="20"/>
            <w:szCs w:val="20"/>
          </w:rPr>
          <w:t xml:space="preserve"> </w:t>
        </w:r>
        <w:proofErr w:type="spellStart"/>
        <w:r w:rsidRPr="00A336E2">
          <w:rPr>
            <w:rStyle w:val="Hyperlink"/>
            <w:rFonts w:ascii="Times New Roman" w:hAnsi="Times New Roman" w:cs="Times New Roman"/>
            <w:sz w:val="20"/>
            <w:szCs w:val="20"/>
          </w:rPr>
          <w:t>nobalsošana</w:t>
        </w:r>
        <w:proofErr w:type="spellEnd"/>
        <w:r w:rsidRPr="00A336E2">
          <w:rPr>
            <w:rStyle w:val="Hyperlink"/>
            <w:rFonts w:ascii="Times New Roman" w:hAnsi="Times New Roman" w:cs="Times New Roman"/>
            <w:sz w:val="20"/>
            <w:szCs w:val="20"/>
          </w:rPr>
          <w:t xml:space="preserve"> par </w:t>
        </w:r>
        <w:proofErr w:type="spellStart"/>
        <w:r w:rsidRPr="00A336E2">
          <w:rPr>
            <w:rStyle w:val="Hyperlink"/>
            <w:rFonts w:ascii="Times New Roman" w:hAnsi="Times New Roman" w:cs="Times New Roman"/>
            <w:sz w:val="20"/>
            <w:szCs w:val="20"/>
          </w:rPr>
          <w:t>apturētā</w:t>
        </w:r>
        <w:proofErr w:type="spellEnd"/>
        <w:r w:rsidRPr="00A336E2">
          <w:rPr>
            <w:rStyle w:val="Hyperlink"/>
            <w:rFonts w:ascii="Times New Roman" w:hAnsi="Times New Roman" w:cs="Times New Roman"/>
            <w:sz w:val="20"/>
            <w:szCs w:val="20"/>
          </w:rPr>
          <w:t xml:space="preserve"> </w:t>
        </w:r>
        <w:proofErr w:type="spellStart"/>
        <w:r w:rsidRPr="00A336E2">
          <w:rPr>
            <w:rStyle w:val="Hyperlink"/>
            <w:rFonts w:ascii="Times New Roman" w:hAnsi="Times New Roman" w:cs="Times New Roman"/>
            <w:sz w:val="20"/>
            <w:szCs w:val="20"/>
          </w:rPr>
          <w:t>likuma</w:t>
        </w:r>
        <w:proofErr w:type="spellEnd"/>
        <w:r w:rsidRPr="00A336E2">
          <w:rPr>
            <w:rStyle w:val="Hyperlink"/>
            <w:rFonts w:ascii="Times New Roman" w:hAnsi="Times New Roman" w:cs="Times New Roman"/>
            <w:sz w:val="20"/>
            <w:szCs w:val="20"/>
          </w:rPr>
          <w:t xml:space="preserve"> “</w:t>
        </w:r>
        <w:proofErr w:type="spellStart"/>
        <w:r w:rsidRPr="00A336E2">
          <w:rPr>
            <w:rStyle w:val="Hyperlink"/>
            <w:rFonts w:ascii="Times New Roman" w:hAnsi="Times New Roman" w:cs="Times New Roman"/>
            <w:sz w:val="20"/>
            <w:szCs w:val="20"/>
          </w:rPr>
          <w:t>Grozījumi</w:t>
        </w:r>
        <w:proofErr w:type="spellEnd"/>
        <w:r w:rsidRPr="00A336E2">
          <w:rPr>
            <w:rStyle w:val="Hyperlink"/>
            <w:rFonts w:ascii="Times New Roman" w:hAnsi="Times New Roman" w:cs="Times New Roman"/>
            <w:sz w:val="20"/>
            <w:szCs w:val="20"/>
          </w:rPr>
          <w:t xml:space="preserve"> </w:t>
        </w:r>
        <w:proofErr w:type="spellStart"/>
        <w:r w:rsidRPr="00A336E2">
          <w:rPr>
            <w:rStyle w:val="Hyperlink"/>
            <w:rFonts w:ascii="Times New Roman" w:hAnsi="Times New Roman" w:cs="Times New Roman"/>
            <w:sz w:val="20"/>
            <w:szCs w:val="20"/>
          </w:rPr>
          <w:t>Notariāta</w:t>
        </w:r>
        <w:proofErr w:type="spellEnd"/>
        <w:r w:rsidRPr="00A336E2">
          <w:rPr>
            <w:rStyle w:val="Hyperlink"/>
            <w:rFonts w:ascii="Times New Roman" w:hAnsi="Times New Roman" w:cs="Times New Roman"/>
            <w:sz w:val="20"/>
            <w:szCs w:val="20"/>
          </w:rPr>
          <w:t xml:space="preserve"> </w:t>
        </w:r>
        <w:proofErr w:type="spellStart"/>
        <w:r w:rsidRPr="00A336E2">
          <w:rPr>
            <w:rStyle w:val="Hyperlink"/>
            <w:rFonts w:ascii="Times New Roman" w:hAnsi="Times New Roman" w:cs="Times New Roman"/>
            <w:sz w:val="20"/>
            <w:szCs w:val="20"/>
          </w:rPr>
          <w:t>likumā</w:t>
        </w:r>
        <w:proofErr w:type="spellEnd"/>
        <w:r w:rsidRPr="00A336E2">
          <w:rPr>
            <w:rStyle w:val="Hyperlink"/>
            <w:rFonts w:ascii="Times New Roman" w:hAnsi="Times New Roman" w:cs="Times New Roman"/>
            <w:sz w:val="20"/>
            <w:szCs w:val="20"/>
          </w:rPr>
          <w:t xml:space="preserve">” </w:t>
        </w:r>
        <w:proofErr w:type="spellStart"/>
        <w:r w:rsidRPr="00A336E2">
          <w:rPr>
            <w:rStyle w:val="Hyperlink"/>
            <w:rFonts w:ascii="Times New Roman" w:hAnsi="Times New Roman" w:cs="Times New Roman"/>
            <w:sz w:val="20"/>
            <w:szCs w:val="20"/>
          </w:rPr>
          <w:t>atcelšanu</w:t>
        </w:r>
        <w:proofErr w:type="spellEnd"/>
        <w:r w:rsidRPr="00A336E2">
          <w:rPr>
            <w:rStyle w:val="Hyperlink"/>
            <w:rFonts w:ascii="Times New Roman" w:hAnsi="Times New Roman" w:cs="Times New Roman"/>
            <w:sz w:val="20"/>
            <w:szCs w:val="20"/>
          </w:rPr>
          <w:t xml:space="preserve"> </w:t>
        </w:r>
        <w:proofErr w:type="spellStart"/>
        <w:r w:rsidRPr="00A336E2">
          <w:rPr>
            <w:rStyle w:val="Hyperlink"/>
            <w:rFonts w:ascii="Times New Roman" w:hAnsi="Times New Roman" w:cs="Times New Roman"/>
            <w:sz w:val="20"/>
            <w:szCs w:val="20"/>
          </w:rPr>
          <w:t>netiks</w:t>
        </w:r>
        <w:proofErr w:type="spellEnd"/>
        <w:r w:rsidRPr="00A336E2">
          <w:rPr>
            <w:rStyle w:val="Hyperlink"/>
            <w:rFonts w:ascii="Times New Roman" w:hAnsi="Times New Roman" w:cs="Times New Roman"/>
            <w:sz w:val="20"/>
            <w:szCs w:val="20"/>
          </w:rPr>
          <w:t xml:space="preserve"> </w:t>
        </w:r>
        <w:proofErr w:type="spellStart"/>
        <w:r w:rsidRPr="00A336E2">
          <w:rPr>
            <w:rStyle w:val="Hyperlink"/>
            <w:rFonts w:ascii="Times New Roman" w:hAnsi="Times New Roman" w:cs="Times New Roman"/>
            <w:sz w:val="20"/>
            <w:szCs w:val="20"/>
          </w:rPr>
          <w:t>rīkota</w:t>
        </w:r>
        <w:proofErr w:type="spellEnd"/>
      </w:hyperlink>
      <w:r w:rsidRPr="00A336E2">
        <w:rPr>
          <w:rFonts w:ascii="Times New Roman" w:hAnsi="Times New Roman" w:cs="Times New Roman"/>
          <w:sz w:val="20"/>
          <w:szCs w:val="20"/>
        </w:rPr>
        <w:t xml:space="preserve">, 11 January. </w:t>
      </w:r>
    </w:p>
  </w:footnote>
  <w:footnote w:id="28">
    <w:p w14:paraId="313204C5" w14:textId="77777777" w:rsidR="00E368FB" w:rsidRPr="00A336E2" w:rsidRDefault="00E368FB" w:rsidP="00A336E2">
      <w:pPr>
        <w:spacing w:after="0" w:line="240" w:lineRule="auto"/>
        <w:rPr>
          <w:rFonts w:ascii="Times New Roman" w:hAnsi="Times New Roman" w:cs="Times New Roman"/>
          <w:sz w:val="20"/>
          <w:szCs w:val="20"/>
        </w:rPr>
      </w:pPr>
      <w:r w:rsidRPr="00A336E2">
        <w:rPr>
          <w:rStyle w:val="FootnoteReference"/>
          <w:rFonts w:ascii="Times New Roman" w:hAnsi="Times New Roman" w:cs="Times New Roman"/>
          <w:sz w:val="20"/>
          <w:szCs w:val="20"/>
        </w:rPr>
        <w:footnoteRef/>
      </w:r>
      <w:r w:rsidRPr="00A336E2">
        <w:rPr>
          <w:rFonts w:ascii="Times New Roman" w:hAnsi="Times New Roman" w:cs="Times New Roman"/>
          <w:sz w:val="20"/>
          <w:szCs w:val="20"/>
        </w:rPr>
        <w:t xml:space="preserve"> ECHR, D. v. Latvia (</w:t>
      </w:r>
      <w:r w:rsidRPr="00A336E2">
        <w:rPr>
          <w:rFonts w:ascii="Times New Roman" w:hAnsi="Times New Roman" w:cs="Times New Roman"/>
          <w:i/>
          <w:iCs/>
          <w:sz w:val="20"/>
          <w:szCs w:val="20"/>
        </w:rPr>
        <w:t>(Application no. </w:t>
      </w:r>
      <w:hyperlink r:id="rId23" w:anchor="{%22appno%22:[%2276680/17%22]}" w:tgtFrame="_blank" w:history="1">
        <w:r w:rsidRPr="00A336E2">
          <w:rPr>
            <w:rStyle w:val="Hyperlink"/>
            <w:rFonts w:ascii="Times New Roman" w:hAnsi="Times New Roman" w:cs="Times New Roman"/>
            <w:i/>
            <w:iCs/>
            <w:sz w:val="20"/>
            <w:szCs w:val="20"/>
          </w:rPr>
          <w:t>76680/17</w:t>
        </w:r>
      </w:hyperlink>
      <w:r w:rsidRPr="00A336E2">
        <w:rPr>
          <w:rFonts w:ascii="Times New Roman" w:hAnsi="Times New Roman" w:cs="Times New Roman"/>
          <w:i/>
          <w:iCs/>
          <w:sz w:val="20"/>
          <w:szCs w:val="20"/>
        </w:rPr>
        <w:t>)</w:t>
      </w:r>
      <w:r w:rsidRPr="00A336E2">
        <w:rPr>
          <w:rFonts w:ascii="Times New Roman" w:hAnsi="Times New Roman" w:cs="Times New Roman"/>
          <w:sz w:val="20"/>
          <w:szCs w:val="20"/>
        </w:rPr>
        <w:t>, 11 January, https://hudoc.echr.coe.int/fre?i=001-229928</w:t>
      </w:r>
    </w:p>
  </w:footnote>
  <w:footnote w:id="29">
    <w:p w14:paraId="18664308" w14:textId="481F7601" w:rsidR="00864C72" w:rsidRPr="00A336E2" w:rsidRDefault="00864C72" w:rsidP="00A336E2">
      <w:pPr>
        <w:spacing w:after="0" w:line="240" w:lineRule="auto"/>
        <w:rPr>
          <w:rFonts w:ascii="Times New Roman" w:hAnsi="Times New Roman" w:cs="Times New Roman"/>
          <w:sz w:val="20"/>
          <w:szCs w:val="20"/>
        </w:rPr>
      </w:pPr>
      <w:r w:rsidRPr="00A336E2">
        <w:rPr>
          <w:rStyle w:val="FootnoteReference"/>
          <w:rFonts w:ascii="Times New Roman" w:hAnsi="Times New Roman" w:cs="Times New Roman"/>
          <w:sz w:val="20"/>
          <w:szCs w:val="20"/>
        </w:rPr>
        <w:footnoteRef/>
      </w:r>
      <w:r w:rsidRPr="00A336E2">
        <w:rPr>
          <w:rFonts w:ascii="Times New Roman" w:hAnsi="Times New Roman" w:cs="Times New Roman"/>
          <w:sz w:val="20"/>
          <w:szCs w:val="20"/>
        </w:rPr>
        <w:t xml:space="preserve"> </w:t>
      </w:r>
      <w:r w:rsidR="00121807" w:rsidRPr="00A336E2">
        <w:rPr>
          <w:rFonts w:ascii="Times New Roman" w:hAnsi="Times New Roman" w:cs="Times New Roman"/>
          <w:sz w:val="20"/>
          <w:szCs w:val="20"/>
        </w:rPr>
        <w:t>https://www.tiesibsargs.lv/wp-content/uploads/2024/01/par-institucionalo-kulturu-jekabpils-cietuma.pdf</w:t>
      </w:r>
    </w:p>
  </w:footnote>
  <w:footnote w:id="30">
    <w:p w14:paraId="66EDCD1C" w14:textId="77777777" w:rsidR="00E368FB" w:rsidRPr="00A336E2" w:rsidRDefault="00E368FB" w:rsidP="00A336E2">
      <w:pPr>
        <w:spacing w:after="0" w:line="240" w:lineRule="auto"/>
        <w:rPr>
          <w:rFonts w:ascii="Times New Roman" w:hAnsi="Times New Roman" w:cs="Times New Roman"/>
          <w:sz w:val="20"/>
          <w:szCs w:val="20"/>
        </w:rPr>
      </w:pPr>
      <w:r w:rsidRPr="00A336E2">
        <w:rPr>
          <w:rStyle w:val="FootnoteReference"/>
          <w:rFonts w:ascii="Times New Roman" w:hAnsi="Times New Roman" w:cs="Times New Roman"/>
          <w:sz w:val="20"/>
          <w:szCs w:val="20"/>
        </w:rPr>
        <w:footnoteRef/>
      </w:r>
      <w:r w:rsidRPr="00A336E2">
        <w:rPr>
          <w:rFonts w:ascii="Times New Roman" w:hAnsi="Times New Roman" w:cs="Times New Roman"/>
          <w:sz w:val="20"/>
          <w:szCs w:val="20"/>
        </w:rPr>
        <w:t xml:space="preserve"> Ministry of Justice (2024). Informative Report “On Action to Reduce Informal Prisoner Hierarchies Informatīvais ziņojums “Par rīcību ieslodzīto neformālās hierarhijas mazināšanai ieslodzījuma vietās” </w:t>
      </w:r>
    </w:p>
    <w:p w14:paraId="4BE29951" w14:textId="77777777" w:rsidR="00E368FB" w:rsidRPr="00A336E2" w:rsidRDefault="00E368FB" w:rsidP="00A336E2">
      <w:pPr>
        <w:spacing w:after="0" w:line="240" w:lineRule="auto"/>
        <w:rPr>
          <w:rFonts w:ascii="Times New Roman" w:hAnsi="Times New Roman" w:cs="Times New Roman"/>
          <w:sz w:val="20"/>
          <w:szCs w:val="20"/>
          <w:lang w:val="lv-LV"/>
        </w:rPr>
      </w:pPr>
    </w:p>
  </w:footnote>
  <w:footnote w:id="31">
    <w:p w14:paraId="5A2ECB61" w14:textId="4C975A54" w:rsidR="00E53098" w:rsidRPr="00A336E2" w:rsidRDefault="00E53098" w:rsidP="00A336E2">
      <w:pPr>
        <w:spacing w:after="0" w:line="240" w:lineRule="auto"/>
        <w:rPr>
          <w:rFonts w:ascii="Times New Roman" w:hAnsi="Times New Roman" w:cs="Times New Roman"/>
          <w:sz w:val="20"/>
          <w:szCs w:val="20"/>
        </w:rPr>
      </w:pPr>
      <w:r w:rsidRPr="00A336E2">
        <w:rPr>
          <w:rStyle w:val="FootnoteReference"/>
          <w:rFonts w:ascii="Times New Roman" w:hAnsi="Times New Roman" w:cs="Times New Roman"/>
          <w:sz w:val="20"/>
          <w:szCs w:val="20"/>
        </w:rPr>
        <w:footnoteRef/>
      </w:r>
      <w:r w:rsidRPr="00A336E2">
        <w:rPr>
          <w:rFonts w:ascii="Times New Roman" w:hAnsi="Times New Roman" w:cs="Times New Roman"/>
          <w:sz w:val="20"/>
          <w:szCs w:val="20"/>
        </w:rPr>
        <w:t xml:space="preserve"> Allegations of torture and inhumane treatment in the forest were made by </w:t>
      </w:r>
      <w:proofErr w:type="spellStart"/>
      <w:r w:rsidRPr="00A336E2">
        <w:rPr>
          <w:rFonts w:ascii="Times New Roman" w:hAnsi="Times New Roman" w:cs="Times New Roman"/>
          <w:sz w:val="20"/>
          <w:szCs w:val="20"/>
        </w:rPr>
        <w:t>A.Jolkina</w:t>
      </w:r>
      <w:proofErr w:type="spellEnd"/>
      <w:r w:rsidRPr="00A336E2">
        <w:rPr>
          <w:rFonts w:ascii="Times New Roman" w:hAnsi="Times New Roman" w:cs="Times New Roman"/>
          <w:sz w:val="20"/>
          <w:szCs w:val="20"/>
        </w:rPr>
        <w:t xml:space="preserve"> in her research. Shortly thereafter, on 25 August 2022, Amnesty International released a report that similarly </w:t>
      </w:r>
      <w:proofErr w:type="spellStart"/>
      <w:r w:rsidRPr="00A336E2">
        <w:rPr>
          <w:rFonts w:ascii="Times New Roman" w:hAnsi="Times New Roman" w:cs="Times New Roman"/>
          <w:sz w:val="20"/>
          <w:szCs w:val="20"/>
        </w:rPr>
        <w:t>criticised</w:t>
      </w:r>
      <w:proofErr w:type="spellEnd"/>
      <w:r w:rsidRPr="00A336E2">
        <w:rPr>
          <w:rFonts w:ascii="Times New Roman" w:hAnsi="Times New Roman" w:cs="Times New Roman"/>
          <w:sz w:val="20"/>
          <w:szCs w:val="20"/>
        </w:rPr>
        <w:t xml:space="preserve"> Latvian state institutions and claimed that physical force had been used against asylum seekers.</w:t>
      </w:r>
    </w:p>
  </w:footnote>
  <w:footnote w:id="32">
    <w:p w14:paraId="1429E690" w14:textId="0BD61C3D" w:rsidR="00632E02" w:rsidRPr="00A336E2" w:rsidRDefault="00632E02" w:rsidP="00A336E2">
      <w:pPr>
        <w:spacing w:after="0" w:line="240" w:lineRule="auto"/>
        <w:rPr>
          <w:rFonts w:ascii="Times New Roman" w:hAnsi="Times New Roman" w:cs="Times New Roman"/>
          <w:sz w:val="20"/>
          <w:szCs w:val="20"/>
        </w:rPr>
      </w:pPr>
      <w:r w:rsidRPr="00A336E2">
        <w:rPr>
          <w:rStyle w:val="FootnoteReference"/>
          <w:rFonts w:ascii="Times New Roman" w:hAnsi="Times New Roman" w:cs="Times New Roman"/>
          <w:sz w:val="20"/>
          <w:szCs w:val="20"/>
        </w:rPr>
        <w:footnoteRef/>
      </w:r>
      <w:r w:rsidRPr="00A336E2">
        <w:rPr>
          <w:rFonts w:ascii="Times New Roman" w:hAnsi="Times New Roman" w:cs="Times New Roman"/>
          <w:sz w:val="20"/>
          <w:szCs w:val="20"/>
        </w:rPr>
        <w:t xml:space="preserve"> </w:t>
      </w:r>
      <w:hyperlink r:id="rId24" w:history="1">
        <w:r w:rsidRPr="00A336E2">
          <w:rPr>
            <w:rStyle w:val="Hyperlink"/>
            <w:rFonts w:ascii="Times New Roman" w:hAnsi="Times New Roman" w:cs="Times New Roman"/>
            <w:sz w:val="20"/>
            <w:szCs w:val="20"/>
          </w:rPr>
          <w:t>https://www.lsm.lv/raksts/zinas/latvija/tiesibsargs-amnesty-international-zinojums-par-latvijas-slikto-izturesanos-pret-migrantiem--meligs.a468734/</w:t>
        </w:r>
      </w:hyperlink>
      <w:r w:rsidRPr="00A336E2">
        <w:rPr>
          <w:rFonts w:ascii="Times New Roman" w:hAnsi="Times New Roman" w:cs="Times New Roman"/>
          <w:sz w:val="20"/>
          <w:szCs w:val="20"/>
        </w:rPr>
        <w:t xml:space="preserve"> </w:t>
      </w:r>
    </w:p>
  </w:footnote>
  <w:footnote w:id="33">
    <w:p w14:paraId="52DF1243" w14:textId="6973BE59" w:rsidR="00747BB6" w:rsidRPr="00A336E2" w:rsidRDefault="00747BB6" w:rsidP="00A336E2">
      <w:pPr>
        <w:spacing w:after="0" w:line="240" w:lineRule="auto"/>
        <w:rPr>
          <w:rFonts w:ascii="Times New Roman" w:hAnsi="Times New Roman" w:cs="Times New Roman"/>
          <w:sz w:val="20"/>
          <w:szCs w:val="20"/>
        </w:rPr>
      </w:pPr>
      <w:r w:rsidRPr="00A336E2">
        <w:rPr>
          <w:rStyle w:val="FootnoteReference"/>
          <w:rFonts w:ascii="Times New Roman" w:hAnsi="Times New Roman" w:cs="Times New Roman"/>
          <w:sz w:val="20"/>
          <w:szCs w:val="20"/>
        </w:rPr>
        <w:footnoteRef/>
      </w:r>
      <w:r w:rsidRPr="00A336E2">
        <w:rPr>
          <w:rFonts w:ascii="Times New Roman" w:hAnsi="Times New Roman" w:cs="Times New Roman"/>
          <w:sz w:val="20"/>
          <w:szCs w:val="20"/>
        </w:rPr>
        <w:t xml:space="preserve"> </w:t>
      </w:r>
      <w:hyperlink r:id="rId25" w:history="1">
        <w:r w:rsidRPr="00A336E2">
          <w:rPr>
            <w:rStyle w:val="Hyperlink"/>
            <w:rFonts w:ascii="Times New Roman" w:hAnsi="Times New Roman" w:cs="Times New Roman"/>
            <w:sz w:val="20"/>
            <w:szCs w:val="20"/>
          </w:rPr>
          <w:t>https://www.lsm.lv/raksts/zinas/latvija/ieksejas-drosibas-birojs-parbauda-zinas-par-vardarbibu-pret-irakiesiem-uz-robezas-ar-baltkrieviju.a462663/</w:t>
        </w:r>
      </w:hyperlink>
      <w:r w:rsidRPr="00A336E2">
        <w:rPr>
          <w:rFonts w:ascii="Times New Roman" w:hAnsi="Times New Roman" w:cs="Times New Roman"/>
          <w:sz w:val="20"/>
          <w:szCs w:val="20"/>
        </w:rPr>
        <w:t xml:space="preserve"> </w:t>
      </w:r>
    </w:p>
  </w:footnote>
  <w:footnote w:id="34">
    <w:p w14:paraId="62592118" w14:textId="77777777" w:rsidR="002773D4" w:rsidRPr="00A336E2" w:rsidRDefault="002773D4" w:rsidP="00A336E2">
      <w:pPr>
        <w:spacing w:after="0" w:line="240" w:lineRule="auto"/>
        <w:rPr>
          <w:rFonts w:ascii="Times New Roman" w:hAnsi="Times New Roman" w:cs="Times New Roman"/>
          <w:sz w:val="20"/>
          <w:szCs w:val="20"/>
        </w:rPr>
      </w:pPr>
      <w:r w:rsidRPr="00A336E2">
        <w:rPr>
          <w:rStyle w:val="FootnoteReference"/>
          <w:rFonts w:ascii="Times New Roman" w:hAnsi="Times New Roman" w:cs="Times New Roman"/>
          <w:sz w:val="20"/>
          <w:szCs w:val="20"/>
        </w:rPr>
        <w:footnoteRef/>
      </w:r>
      <w:r w:rsidRPr="00A336E2">
        <w:rPr>
          <w:rFonts w:ascii="Times New Roman" w:hAnsi="Times New Roman" w:cs="Times New Roman"/>
          <w:sz w:val="20"/>
          <w:szCs w:val="20"/>
        </w:rPr>
        <w:t xml:space="preserve"> European Committee for the Prevention of Torture and Inhuman and Degrading Treatment (2023). CPT/Inf (2023) 16. </w:t>
      </w:r>
      <w:hyperlink r:id="rId26" w:history="1">
        <w:r w:rsidRPr="00A336E2">
          <w:rPr>
            <w:rStyle w:val="Hyperlink"/>
            <w:rFonts w:ascii="Times New Roman" w:hAnsi="Times New Roman" w:cs="Times New Roman"/>
            <w:sz w:val="20"/>
            <w:szCs w:val="20"/>
          </w:rPr>
          <w:t>Report to the Latvian Government on the periodic visit to Latvia carried out by the European Committee for the Prevention of Torture and Inhuman or Degrading Treatment or Punishment (CPT) from 10 to 20 May 2022</w:t>
        </w:r>
      </w:hyperlink>
      <w:r w:rsidRPr="00A336E2">
        <w:rPr>
          <w:rFonts w:ascii="Times New Roman" w:hAnsi="Times New Roman" w:cs="Times New Roman"/>
          <w:sz w:val="20"/>
          <w:szCs w:val="20"/>
        </w:rPr>
        <w:t xml:space="preserve">. </w:t>
      </w:r>
    </w:p>
  </w:footnote>
  <w:footnote w:id="35">
    <w:p w14:paraId="7969D153" w14:textId="30780218" w:rsidR="00C50A75" w:rsidRPr="00A336E2" w:rsidRDefault="00C50A75" w:rsidP="00A336E2">
      <w:pPr>
        <w:spacing w:after="0" w:line="240" w:lineRule="auto"/>
        <w:rPr>
          <w:rFonts w:ascii="Times New Roman" w:hAnsi="Times New Roman" w:cs="Times New Roman"/>
          <w:sz w:val="20"/>
          <w:szCs w:val="20"/>
        </w:rPr>
      </w:pPr>
      <w:r w:rsidRPr="00A336E2">
        <w:rPr>
          <w:rStyle w:val="FootnoteReference"/>
          <w:rFonts w:ascii="Times New Roman" w:hAnsi="Times New Roman" w:cs="Times New Roman"/>
          <w:sz w:val="20"/>
          <w:szCs w:val="20"/>
        </w:rPr>
        <w:footnoteRef/>
      </w:r>
      <w:r w:rsidRPr="00A336E2">
        <w:rPr>
          <w:rFonts w:ascii="Times New Roman" w:hAnsi="Times New Roman" w:cs="Times New Roman"/>
          <w:sz w:val="20"/>
          <w:szCs w:val="20"/>
        </w:rPr>
        <w:t xml:space="preserve"> ENG.LSM.LV (2024). </w:t>
      </w:r>
      <w:hyperlink r:id="rId27" w:history="1">
        <w:r w:rsidRPr="00A336E2">
          <w:rPr>
            <w:rStyle w:val="Hyperlink"/>
            <w:rFonts w:ascii="Times New Roman" w:hAnsi="Times New Roman" w:cs="Times New Roman"/>
            <w:sz w:val="20"/>
            <w:szCs w:val="20"/>
          </w:rPr>
          <w:t>Human rights activist accused of organizing illegal border crossing in Latvia</w:t>
        </w:r>
      </w:hyperlink>
      <w:r w:rsidRPr="00A336E2">
        <w:rPr>
          <w:rFonts w:ascii="Times New Roman" w:hAnsi="Times New Roman" w:cs="Times New Roman"/>
          <w:sz w:val="20"/>
          <w:szCs w:val="20"/>
        </w:rPr>
        <w:t>, 3 October.</w:t>
      </w:r>
    </w:p>
  </w:footnote>
  <w:footnote w:id="36">
    <w:p w14:paraId="54FE0F75" w14:textId="47E7CAB8" w:rsidR="000C6007" w:rsidRPr="00A336E2" w:rsidRDefault="000C6007" w:rsidP="00A336E2">
      <w:pPr>
        <w:spacing w:after="0" w:line="240" w:lineRule="auto"/>
        <w:rPr>
          <w:rFonts w:ascii="Times New Roman" w:hAnsi="Times New Roman" w:cs="Times New Roman"/>
          <w:sz w:val="20"/>
          <w:szCs w:val="20"/>
        </w:rPr>
      </w:pPr>
      <w:r w:rsidRPr="00A336E2">
        <w:rPr>
          <w:rStyle w:val="FootnoteReference"/>
          <w:rFonts w:ascii="Times New Roman" w:hAnsi="Times New Roman" w:cs="Times New Roman"/>
          <w:sz w:val="20"/>
          <w:szCs w:val="20"/>
        </w:rPr>
        <w:footnoteRef/>
      </w:r>
      <w:hyperlink r:id="rId28" w:history="1">
        <w:r w:rsidR="00767203" w:rsidRPr="00A336E2">
          <w:rPr>
            <w:rStyle w:val="Hyperlink"/>
            <w:rFonts w:ascii="Times New Roman" w:hAnsi="Times New Roman" w:cs="Times New Roman"/>
            <w:sz w:val="20"/>
            <w:szCs w:val="20"/>
          </w:rPr>
          <w:t>https://fom.coe.int/en/alerte/detail/107640028</w:t>
        </w:r>
      </w:hyperlink>
      <w:r w:rsidRPr="00A336E2">
        <w:rPr>
          <w:rFonts w:ascii="Times New Roman" w:hAnsi="Times New Roman" w:cs="Times New Roman"/>
          <w:sz w:val="20"/>
          <w:szCs w:val="20"/>
        </w:rPr>
        <w:t xml:space="preserve"> </w:t>
      </w:r>
    </w:p>
  </w:footnote>
  <w:footnote w:id="37">
    <w:p w14:paraId="31A3E4EE" w14:textId="77777777" w:rsidR="000C6007" w:rsidRPr="00A336E2" w:rsidRDefault="000C6007" w:rsidP="00A336E2">
      <w:pPr>
        <w:spacing w:after="0" w:line="240" w:lineRule="auto"/>
        <w:rPr>
          <w:rFonts w:ascii="Times New Roman" w:hAnsi="Times New Roman" w:cs="Times New Roman"/>
          <w:sz w:val="20"/>
          <w:szCs w:val="20"/>
        </w:rPr>
      </w:pPr>
      <w:r w:rsidRPr="00A336E2">
        <w:rPr>
          <w:rStyle w:val="FootnoteReference"/>
          <w:rFonts w:ascii="Times New Roman" w:hAnsi="Times New Roman" w:cs="Times New Roman"/>
          <w:sz w:val="20"/>
          <w:szCs w:val="20"/>
        </w:rPr>
        <w:footnoteRef/>
      </w:r>
      <w:r w:rsidRPr="00A336E2">
        <w:rPr>
          <w:rFonts w:ascii="Times New Roman" w:hAnsi="Times New Roman" w:cs="Times New Roman"/>
          <w:sz w:val="20"/>
          <w:szCs w:val="20"/>
        </w:rPr>
        <w:t xml:space="preserve"> RSF (2023), </w:t>
      </w:r>
      <w:hyperlink r:id="rId29" w:history="1">
        <w:r w:rsidRPr="00A336E2">
          <w:rPr>
            <w:rStyle w:val="Hyperlink"/>
            <w:rFonts w:ascii="Times New Roman" w:hAnsi="Times New Roman" w:cs="Times New Roman"/>
            <w:spacing w:val="12"/>
            <w:sz w:val="20"/>
            <w:szCs w:val="20"/>
          </w:rPr>
          <w:t>RSF and its partners are extremely concerned by Latvian proposal to ban Russian-language content on public service media</w:t>
        </w:r>
      </w:hyperlink>
      <w:r w:rsidRPr="00A336E2">
        <w:rPr>
          <w:rFonts w:ascii="Times New Roman" w:hAnsi="Times New Roman" w:cs="Times New Roman"/>
          <w:color w:val="141414"/>
          <w:spacing w:val="12"/>
          <w:sz w:val="20"/>
          <w:szCs w:val="20"/>
        </w:rPr>
        <w:t xml:space="preserve">. </w:t>
      </w:r>
    </w:p>
  </w:footnote>
  <w:footnote w:id="38">
    <w:p w14:paraId="779247BD" w14:textId="77777777" w:rsidR="000C6007" w:rsidRPr="00A336E2" w:rsidRDefault="000C6007" w:rsidP="00A336E2">
      <w:pPr>
        <w:spacing w:after="0" w:line="240" w:lineRule="auto"/>
        <w:rPr>
          <w:rFonts w:ascii="Times New Roman" w:hAnsi="Times New Roman" w:cs="Times New Roman"/>
          <w:sz w:val="20"/>
          <w:szCs w:val="20"/>
        </w:rPr>
      </w:pPr>
      <w:r w:rsidRPr="00A336E2">
        <w:rPr>
          <w:rStyle w:val="FootnoteReference"/>
          <w:rFonts w:ascii="Times New Roman" w:hAnsi="Times New Roman" w:cs="Times New Roman"/>
          <w:sz w:val="20"/>
          <w:szCs w:val="20"/>
        </w:rPr>
        <w:footnoteRef/>
      </w:r>
      <w:r w:rsidRPr="00A336E2">
        <w:rPr>
          <w:rFonts w:ascii="Times New Roman" w:hAnsi="Times New Roman" w:cs="Times New Roman"/>
          <w:sz w:val="20"/>
          <w:szCs w:val="20"/>
        </w:rPr>
        <w:t xml:space="preserve"> Vestnesis.lv (2023). </w:t>
      </w:r>
      <w:hyperlink r:id="rId30" w:history="1">
        <w:r w:rsidRPr="00A336E2">
          <w:rPr>
            <w:rStyle w:val="Hyperlink"/>
            <w:rFonts w:ascii="Times New Roman" w:hAnsi="Times New Roman" w:cs="Times New Roman"/>
            <w:sz w:val="20"/>
            <w:szCs w:val="20"/>
          </w:rPr>
          <w:t xml:space="preserve">Par </w:t>
        </w:r>
        <w:proofErr w:type="spellStart"/>
        <w:r w:rsidRPr="00A336E2">
          <w:rPr>
            <w:rStyle w:val="Hyperlink"/>
            <w:rFonts w:ascii="Times New Roman" w:hAnsi="Times New Roman" w:cs="Times New Roman"/>
            <w:sz w:val="20"/>
            <w:szCs w:val="20"/>
          </w:rPr>
          <w:t>Nacionālās</w:t>
        </w:r>
        <w:proofErr w:type="spellEnd"/>
        <w:r w:rsidRPr="00A336E2">
          <w:rPr>
            <w:rStyle w:val="Hyperlink"/>
            <w:rFonts w:ascii="Times New Roman" w:hAnsi="Times New Roman" w:cs="Times New Roman"/>
            <w:sz w:val="20"/>
            <w:szCs w:val="20"/>
          </w:rPr>
          <w:t xml:space="preserve"> </w:t>
        </w:r>
        <w:proofErr w:type="spellStart"/>
        <w:r w:rsidRPr="00A336E2">
          <w:rPr>
            <w:rStyle w:val="Hyperlink"/>
            <w:rFonts w:ascii="Times New Roman" w:hAnsi="Times New Roman" w:cs="Times New Roman"/>
            <w:sz w:val="20"/>
            <w:szCs w:val="20"/>
          </w:rPr>
          <w:t>drošības</w:t>
        </w:r>
        <w:proofErr w:type="spellEnd"/>
        <w:r w:rsidRPr="00A336E2">
          <w:rPr>
            <w:rStyle w:val="Hyperlink"/>
            <w:rFonts w:ascii="Times New Roman" w:hAnsi="Times New Roman" w:cs="Times New Roman"/>
            <w:sz w:val="20"/>
            <w:szCs w:val="20"/>
          </w:rPr>
          <w:t xml:space="preserve"> </w:t>
        </w:r>
        <w:proofErr w:type="spellStart"/>
        <w:r w:rsidRPr="00A336E2">
          <w:rPr>
            <w:rStyle w:val="Hyperlink"/>
            <w:rFonts w:ascii="Times New Roman" w:hAnsi="Times New Roman" w:cs="Times New Roman"/>
            <w:sz w:val="20"/>
            <w:szCs w:val="20"/>
          </w:rPr>
          <w:t>koncepcijas</w:t>
        </w:r>
        <w:proofErr w:type="spellEnd"/>
        <w:r w:rsidRPr="00A336E2">
          <w:rPr>
            <w:rStyle w:val="Hyperlink"/>
            <w:rFonts w:ascii="Times New Roman" w:hAnsi="Times New Roman" w:cs="Times New Roman"/>
            <w:sz w:val="20"/>
            <w:szCs w:val="20"/>
          </w:rPr>
          <w:t xml:space="preserve"> </w:t>
        </w:r>
        <w:proofErr w:type="spellStart"/>
        <w:r w:rsidRPr="00A336E2">
          <w:rPr>
            <w:rStyle w:val="Hyperlink"/>
            <w:rFonts w:ascii="Times New Roman" w:hAnsi="Times New Roman" w:cs="Times New Roman"/>
            <w:sz w:val="20"/>
            <w:szCs w:val="20"/>
          </w:rPr>
          <w:t>apstiprināšanu</w:t>
        </w:r>
        <w:proofErr w:type="spellEnd"/>
      </w:hyperlink>
      <w:r w:rsidRPr="00A336E2">
        <w:rPr>
          <w:rFonts w:ascii="Times New Roman" w:hAnsi="Times New Roman" w:cs="Times New Roman"/>
          <w:sz w:val="20"/>
          <w:szCs w:val="20"/>
        </w:rPr>
        <w:t xml:space="preserve">, 28 September. </w:t>
      </w:r>
    </w:p>
  </w:footnote>
  <w:footnote w:id="39">
    <w:p w14:paraId="7CB23E95" w14:textId="77777777" w:rsidR="005163D0" w:rsidRPr="00A336E2" w:rsidRDefault="005163D0" w:rsidP="00A336E2">
      <w:pPr>
        <w:spacing w:after="0" w:line="240" w:lineRule="auto"/>
        <w:rPr>
          <w:rFonts w:ascii="Times New Roman" w:hAnsi="Times New Roman" w:cs="Times New Roman"/>
          <w:sz w:val="20"/>
          <w:szCs w:val="20"/>
        </w:rPr>
      </w:pPr>
      <w:r w:rsidRPr="00A336E2">
        <w:rPr>
          <w:rStyle w:val="FootnoteReference"/>
          <w:rFonts w:ascii="Times New Roman" w:hAnsi="Times New Roman" w:cs="Times New Roman"/>
          <w:sz w:val="20"/>
          <w:szCs w:val="20"/>
        </w:rPr>
        <w:footnoteRef/>
      </w:r>
      <w:r w:rsidRPr="00A336E2">
        <w:rPr>
          <w:rFonts w:ascii="Times New Roman" w:hAnsi="Times New Roman" w:cs="Times New Roman"/>
          <w:sz w:val="20"/>
          <w:szCs w:val="20"/>
        </w:rPr>
        <w:t xml:space="preserve"> LSM.LV (2023). </w:t>
      </w:r>
      <w:hyperlink r:id="rId31" w:history="1">
        <w:r w:rsidRPr="00A336E2">
          <w:rPr>
            <w:rStyle w:val="Hyperlink"/>
            <w:rFonts w:ascii="Times New Roman" w:eastAsia="Times New Roman" w:hAnsi="Times New Roman" w:cs="Times New Roman"/>
            <w:kern w:val="36"/>
            <w:sz w:val="20"/>
            <w:szCs w:val="20"/>
          </w:rPr>
          <w:t>Media watchdog fines news portal for alleged word misuse</w:t>
        </w:r>
      </w:hyperlink>
      <w:r w:rsidRPr="00A336E2">
        <w:rPr>
          <w:rFonts w:ascii="Times New Roman" w:eastAsia="Times New Roman" w:hAnsi="Times New Roman" w:cs="Times New Roman"/>
          <w:kern w:val="36"/>
          <w:sz w:val="20"/>
          <w:szCs w:val="20"/>
        </w:rPr>
        <w:t>, May 23</w:t>
      </w:r>
      <w:r w:rsidRPr="00A336E2">
        <w:rPr>
          <w:rFonts w:ascii="Times New Roman" w:eastAsia="Times New Roman" w:hAnsi="Times New Roman" w:cs="Times New Roman"/>
          <w:color w:val="2B292A"/>
          <w:kern w:val="36"/>
          <w:sz w:val="20"/>
          <w:szCs w:val="20"/>
        </w:rPr>
        <w:t>.</w:t>
      </w:r>
    </w:p>
  </w:footnote>
  <w:footnote w:id="40">
    <w:p w14:paraId="5D17C846" w14:textId="77777777" w:rsidR="005163D0" w:rsidRPr="00A336E2" w:rsidRDefault="005163D0" w:rsidP="00A336E2">
      <w:pPr>
        <w:spacing w:after="0" w:line="240" w:lineRule="auto"/>
        <w:rPr>
          <w:rFonts w:ascii="Times New Roman" w:hAnsi="Times New Roman" w:cs="Times New Roman"/>
          <w:sz w:val="20"/>
          <w:szCs w:val="20"/>
        </w:rPr>
      </w:pPr>
      <w:r w:rsidRPr="00A336E2">
        <w:rPr>
          <w:rStyle w:val="FootnoteReference"/>
          <w:rFonts w:ascii="Times New Roman" w:hAnsi="Times New Roman" w:cs="Times New Roman"/>
          <w:sz w:val="20"/>
          <w:szCs w:val="20"/>
        </w:rPr>
        <w:footnoteRef/>
      </w:r>
      <w:r w:rsidRPr="00A336E2">
        <w:rPr>
          <w:rFonts w:ascii="Times New Roman" w:hAnsi="Times New Roman" w:cs="Times New Roman"/>
          <w:sz w:val="20"/>
          <w:szCs w:val="20"/>
        </w:rPr>
        <w:t xml:space="preserve"> The word “deportation” is strongly associated with the mass deportations of the Baltic people to Gulag camps by the Soviet regime in 1941 and 1949</w:t>
      </w:r>
    </w:p>
  </w:footnote>
  <w:footnote w:id="41">
    <w:p w14:paraId="746AFFDE" w14:textId="77777777" w:rsidR="005163D0" w:rsidRPr="00A336E2" w:rsidRDefault="005163D0" w:rsidP="00A336E2">
      <w:pPr>
        <w:spacing w:after="0" w:line="240" w:lineRule="auto"/>
        <w:rPr>
          <w:rFonts w:ascii="Times New Roman" w:eastAsia="Times New Roman" w:hAnsi="Times New Roman" w:cs="Times New Roman"/>
          <w:spacing w:val="-5"/>
          <w:kern w:val="36"/>
          <w:sz w:val="20"/>
          <w:szCs w:val="20"/>
        </w:rPr>
      </w:pPr>
      <w:r w:rsidRPr="00A336E2">
        <w:rPr>
          <w:rStyle w:val="FootnoteReference"/>
          <w:rFonts w:ascii="Times New Roman" w:hAnsi="Times New Roman" w:cs="Times New Roman"/>
          <w:sz w:val="20"/>
          <w:szCs w:val="20"/>
        </w:rPr>
        <w:footnoteRef/>
      </w:r>
      <w:r w:rsidRPr="00A336E2">
        <w:rPr>
          <w:rFonts w:ascii="Times New Roman" w:hAnsi="Times New Roman" w:cs="Times New Roman"/>
          <w:sz w:val="20"/>
          <w:szCs w:val="20"/>
        </w:rPr>
        <w:t xml:space="preserve"> </w:t>
      </w:r>
      <w:proofErr w:type="spellStart"/>
      <w:r w:rsidRPr="00A336E2">
        <w:rPr>
          <w:rFonts w:ascii="Times New Roman" w:hAnsi="Times New Roman" w:cs="Times New Roman"/>
          <w:sz w:val="20"/>
          <w:szCs w:val="20"/>
        </w:rPr>
        <w:t>Latvijas</w:t>
      </w:r>
      <w:proofErr w:type="spellEnd"/>
      <w:r w:rsidRPr="00A336E2">
        <w:rPr>
          <w:rFonts w:ascii="Times New Roman" w:hAnsi="Times New Roman" w:cs="Times New Roman"/>
          <w:sz w:val="20"/>
          <w:szCs w:val="20"/>
        </w:rPr>
        <w:t xml:space="preserve"> </w:t>
      </w:r>
      <w:proofErr w:type="spellStart"/>
      <w:r w:rsidRPr="00A336E2">
        <w:rPr>
          <w:rFonts w:ascii="Times New Roman" w:hAnsi="Times New Roman" w:cs="Times New Roman"/>
          <w:sz w:val="20"/>
          <w:szCs w:val="20"/>
        </w:rPr>
        <w:t>Mēdiju</w:t>
      </w:r>
      <w:proofErr w:type="spellEnd"/>
      <w:r w:rsidRPr="00A336E2">
        <w:rPr>
          <w:rFonts w:ascii="Times New Roman" w:hAnsi="Times New Roman" w:cs="Times New Roman"/>
          <w:sz w:val="20"/>
          <w:szCs w:val="20"/>
        </w:rPr>
        <w:t xml:space="preserve"> </w:t>
      </w:r>
      <w:proofErr w:type="spellStart"/>
      <w:r w:rsidRPr="00A336E2">
        <w:rPr>
          <w:rFonts w:ascii="Times New Roman" w:hAnsi="Times New Roman" w:cs="Times New Roman"/>
          <w:sz w:val="20"/>
          <w:szCs w:val="20"/>
        </w:rPr>
        <w:t>Ētikas</w:t>
      </w:r>
      <w:proofErr w:type="spellEnd"/>
      <w:r w:rsidRPr="00A336E2">
        <w:rPr>
          <w:rFonts w:ascii="Times New Roman" w:hAnsi="Times New Roman" w:cs="Times New Roman"/>
          <w:sz w:val="20"/>
          <w:szCs w:val="20"/>
        </w:rPr>
        <w:t xml:space="preserve"> </w:t>
      </w:r>
      <w:proofErr w:type="spellStart"/>
      <w:r w:rsidRPr="00A336E2">
        <w:rPr>
          <w:rFonts w:ascii="Times New Roman" w:hAnsi="Times New Roman" w:cs="Times New Roman"/>
          <w:sz w:val="20"/>
          <w:szCs w:val="20"/>
        </w:rPr>
        <w:t>padome</w:t>
      </w:r>
      <w:proofErr w:type="spellEnd"/>
      <w:r w:rsidRPr="00A336E2">
        <w:rPr>
          <w:rFonts w:ascii="Times New Roman" w:hAnsi="Times New Roman" w:cs="Times New Roman"/>
          <w:sz w:val="20"/>
          <w:szCs w:val="20"/>
        </w:rPr>
        <w:t xml:space="preserve"> (2023). </w:t>
      </w:r>
      <w:hyperlink r:id="rId32" w:history="1">
        <w:proofErr w:type="spellStart"/>
        <w:r w:rsidRPr="00A336E2">
          <w:rPr>
            <w:rStyle w:val="Hyperlink"/>
            <w:rFonts w:ascii="Times New Roman" w:eastAsia="Times New Roman" w:hAnsi="Times New Roman" w:cs="Times New Roman"/>
            <w:spacing w:val="-5"/>
            <w:kern w:val="36"/>
            <w:sz w:val="20"/>
            <w:szCs w:val="20"/>
          </w:rPr>
          <w:t>Latvijas</w:t>
        </w:r>
        <w:proofErr w:type="spellEnd"/>
        <w:r w:rsidRPr="00A336E2">
          <w:rPr>
            <w:rStyle w:val="Hyperlink"/>
            <w:rFonts w:ascii="Times New Roman" w:eastAsia="Times New Roman" w:hAnsi="Times New Roman" w:cs="Times New Roman"/>
            <w:spacing w:val="-5"/>
            <w:kern w:val="36"/>
            <w:sz w:val="20"/>
            <w:szCs w:val="20"/>
          </w:rPr>
          <w:t xml:space="preserve"> </w:t>
        </w:r>
        <w:proofErr w:type="spellStart"/>
        <w:r w:rsidRPr="00A336E2">
          <w:rPr>
            <w:rStyle w:val="Hyperlink"/>
            <w:rFonts w:ascii="Times New Roman" w:eastAsia="Times New Roman" w:hAnsi="Times New Roman" w:cs="Times New Roman"/>
            <w:spacing w:val="-5"/>
            <w:kern w:val="36"/>
            <w:sz w:val="20"/>
            <w:szCs w:val="20"/>
          </w:rPr>
          <w:t>Mediju</w:t>
        </w:r>
        <w:proofErr w:type="spellEnd"/>
        <w:r w:rsidRPr="00A336E2">
          <w:rPr>
            <w:rStyle w:val="Hyperlink"/>
            <w:rFonts w:ascii="Times New Roman" w:eastAsia="Times New Roman" w:hAnsi="Times New Roman" w:cs="Times New Roman"/>
            <w:spacing w:val="-5"/>
            <w:kern w:val="36"/>
            <w:sz w:val="20"/>
            <w:szCs w:val="20"/>
          </w:rPr>
          <w:t xml:space="preserve"> </w:t>
        </w:r>
        <w:proofErr w:type="spellStart"/>
        <w:r w:rsidRPr="00A336E2">
          <w:rPr>
            <w:rStyle w:val="Hyperlink"/>
            <w:rFonts w:ascii="Times New Roman" w:eastAsia="Times New Roman" w:hAnsi="Times New Roman" w:cs="Times New Roman"/>
            <w:spacing w:val="-5"/>
            <w:kern w:val="36"/>
            <w:sz w:val="20"/>
            <w:szCs w:val="20"/>
          </w:rPr>
          <w:t>ētikas</w:t>
        </w:r>
        <w:proofErr w:type="spellEnd"/>
        <w:r w:rsidRPr="00A336E2">
          <w:rPr>
            <w:rStyle w:val="Hyperlink"/>
            <w:rFonts w:ascii="Times New Roman" w:eastAsia="Times New Roman" w:hAnsi="Times New Roman" w:cs="Times New Roman"/>
            <w:spacing w:val="-5"/>
            <w:kern w:val="36"/>
            <w:sz w:val="20"/>
            <w:szCs w:val="20"/>
          </w:rPr>
          <w:t xml:space="preserve"> </w:t>
        </w:r>
        <w:proofErr w:type="spellStart"/>
        <w:r w:rsidRPr="00A336E2">
          <w:rPr>
            <w:rStyle w:val="Hyperlink"/>
            <w:rFonts w:ascii="Times New Roman" w:eastAsia="Times New Roman" w:hAnsi="Times New Roman" w:cs="Times New Roman"/>
            <w:spacing w:val="-5"/>
            <w:kern w:val="36"/>
            <w:sz w:val="20"/>
            <w:szCs w:val="20"/>
          </w:rPr>
          <w:t>padome</w:t>
        </w:r>
        <w:proofErr w:type="spellEnd"/>
        <w:r w:rsidRPr="00A336E2">
          <w:rPr>
            <w:rStyle w:val="Hyperlink"/>
            <w:rFonts w:ascii="Times New Roman" w:eastAsia="Times New Roman" w:hAnsi="Times New Roman" w:cs="Times New Roman"/>
            <w:spacing w:val="-5"/>
            <w:kern w:val="36"/>
            <w:sz w:val="20"/>
            <w:szCs w:val="20"/>
          </w:rPr>
          <w:t xml:space="preserve"> </w:t>
        </w:r>
        <w:proofErr w:type="spellStart"/>
        <w:r w:rsidRPr="00A336E2">
          <w:rPr>
            <w:rStyle w:val="Hyperlink"/>
            <w:rFonts w:ascii="Times New Roman" w:eastAsia="Times New Roman" w:hAnsi="Times New Roman" w:cs="Times New Roman"/>
            <w:spacing w:val="-5"/>
            <w:kern w:val="36"/>
            <w:sz w:val="20"/>
            <w:szCs w:val="20"/>
          </w:rPr>
          <w:t>uzskata</w:t>
        </w:r>
        <w:proofErr w:type="spellEnd"/>
        <w:r w:rsidRPr="00A336E2">
          <w:rPr>
            <w:rStyle w:val="Hyperlink"/>
            <w:rFonts w:ascii="Times New Roman" w:eastAsia="Times New Roman" w:hAnsi="Times New Roman" w:cs="Times New Roman"/>
            <w:spacing w:val="-5"/>
            <w:kern w:val="36"/>
            <w:sz w:val="20"/>
            <w:szCs w:val="20"/>
          </w:rPr>
          <w:t xml:space="preserve"> par </w:t>
        </w:r>
        <w:proofErr w:type="spellStart"/>
        <w:r w:rsidRPr="00A336E2">
          <w:rPr>
            <w:rStyle w:val="Hyperlink"/>
            <w:rFonts w:ascii="Times New Roman" w:eastAsia="Times New Roman" w:hAnsi="Times New Roman" w:cs="Times New Roman"/>
            <w:spacing w:val="-5"/>
            <w:kern w:val="36"/>
            <w:sz w:val="20"/>
            <w:szCs w:val="20"/>
          </w:rPr>
          <w:t>nesamērīgu</w:t>
        </w:r>
        <w:proofErr w:type="spellEnd"/>
        <w:r w:rsidRPr="00A336E2">
          <w:rPr>
            <w:rStyle w:val="Hyperlink"/>
            <w:rFonts w:ascii="Times New Roman" w:eastAsia="Times New Roman" w:hAnsi="Times New Roman" w:cs="Times New Roman"/>
            <w:spacing w:val="-5"/>
            <w:kern w:val="36"/>
            <w:sz w:val="20"/>
            <w:szCs w:val="20"/>
          </w:rPr>
          <w:t xml:space="preserve">, </w:t>
        </w:r>
        <w:proofErr w:type="spellStart"/>
        <w:r w:rsidRPr="00A336E2">
          <w:rPr>
            <w:rStyle w:val="Hyperlink"/>
            <w:rFonts w:ascii="Times New Roman" w:eastAsia="Times New Roman" w:hAnsi="Times New Roman" w:cs="Times New Roman"/>
            <w:spacing w:val="-5"/>
            <w:kern w:val="36"/>
            <w:sz w:val="20"/>
            <w:szCs w:val="20"/>
          </w:rPr>
          <w:t>nedemokrātisku</w:t>
        </w:r>
        <w:proofErr w:type="spellEnd"/>
        <w:r w:rsidRPr="00A336E2">
          <w:rPr>
            <w:rStyle w:val="Hyperlink"/>
            <w:rFonts w:ascii="Times New Roman" w:eastAsia="Times New Roman" w:hAnsi="Times New Roman" w:cs="Times New Roman"/>
            <w:spacing w:val="-5"/>
            <w:kern w:val="36"/>
            <w:sz w:val="20"/>
            <w:szCs w:val="20"/>
          </w:rPr>
          <w:t xml:space="preserve"> un </w:t>
        </w:r>
        <w:proofErr w:type="spellStart"/>
        <w:r w:rsidRPr="00A336E2">
          <w:rPr>
            <w:rStyle w:val="Hyperlink"/>
            <w:rFonts w:ascii="Times New Roman" w:eastAsia="Times New Roman" w:hAnsi="Times New Roman" w:cs="Times New Roman"/>
            <w:spacing w:val="-5"/>
            <w:kern w:val="36"/>
            <w:sz w:val="20"/>
            <w:szCs w:val="20"/>
          </w:rPr>
          <w:t>birokrātisku</w:t>
        </w:r>
        <w:proofErr w:type="spellEnd"/>
        <w:r w:rsidRPr="00A336E2">
          <w:rPr>
            <w:rStyle w:val="Hyperlink"/>
            <w:rFonts w:ascii="Times New Roman" w:eastAsia="Times New Roman" w:hAnsi="Times New Roman" w:cs="Times New Roman"/>
            <w:spacing w:val="-5"/>
            <w:kern w:val="36"/>
            <w:sz w:val="20"/>
            <w:szCs w:val="20"/>
          </w:rPr>
          <w:t xml:space="preserve"> NEPLP </w:t>
        </w:r>
        <w:proofErr w:type="spellStart"/>
        <w:r w:rsidRPr="00A336E2">
          <w:rPr>
            <w:rStyle w:val="Hyperlink"/>
            <w:rFonts w:ascii="Times New Roman" w:eastAsia="Times New Roman" w:hAnsi="Times New Roman" w:cs="Times New Roman"/>
            <w:spacing w:val="-5"/>
            <w:kern w:val="36"/>
            <w:sz w:val="20"/>
            <w:szCs w:val="20"/>
          </w:rPr>
          <w:t>lēmumu</w:t>
        </w:r>
        <w:proofErr w:type="spellEnd"/>
        <w:r w:rsidRPr="00A336E2">
          <w:rPr>
            <w:rStyle w:val="Hyperlink"/>
            <w:rFonts w:ascii="Times New Roman" w:eastAsia="Times New Roman" w:hAnsi="Times New Roman" w:cs="Times New Roman"/>
            <w:spacing w:val="-5"/>
            <w:kern w:val="36"/>
            <w:sz w:val="20"/>
            <w:szCs w:val="20"/>
          </w:rPr>
          <w:t xml:space="preserve"> par TVNET </w:t>
        </w:r>
        <w:proofErr w:type="spellStart"/>
        <w:r w:rsidRPr="00A336E2">
          <w:rPr>
            <w:rStyle w:val="Hyperlink"/>
            <w:rFonts w:ascii="Times New Roman" w:eastAsia="Times New Roman" w:hAnsi="Times New Roman" w:cs="Times New Roman"/>
            <w:spacing w:val="-5"/>
            <w:kern w:val="36"/>
            <w:sz w:val="20"/>
            <w:szCs w:val="20"/>
          </w:rPr>
          <w:t>piemēroto</w:t>
        </w:r>
        <w:proofErr w:type="spellEnd"/>
        <w:r w:rsidRPr="00A336E2">
          <w:rPr>
            <w:rStyle w:val="Hyperlink"/>
            <w:rFonts w:ascii="Times New Roman" w:eastAsia="Times New Roman" w:hAnsi="Times New Roman" w:cs="Times New Roman"/>
            <w:spacing w:val="-5"/>
            <w:kern w:val="36"/>
            <w:sz w:val="20"/>
            <w:szCs w:val="20"/>
          </w:rPr>
          <w:t xml:space="preserve"> </w:t>
        </w:r>
        <w:proofErr w:type="spellStart"/>
        <w:r w:rsidRPr="00A336E2">
          <w:rPr>
            <w:rStyle w:val="Hyperlink"/>
            <w:rFonts w:ascii="Times New Roman" w:eastAsia="Times New Roman" w:hAnsi="Times New Roman" w:cs="Times New Roman"/>
            <w:spacing w:val="-5"/>
            <w:kern w:val="36"/>
            <w:sz w:val="20"/>
            <w:szCs w:val="20"/>
          </w:rPr>
          <w:t>sodu</w:t>
        </w:r>
        <w:proofErr w:type="spellEnd"/>
      </w:hyperlink>
      <w:r w:rsidRPr="00A336E2">
        <w:rPr>
          <w:rFonts w:ascii="Times New Roman" w:eastAsia="Times New Roman" w:hAnsi="Times New Roman" w:cs="Times New Roman"/>
          <w:spacing w:val="-5"/>
          <w:kern w:val="36"/>
          <w:sz w:val="20"/>
          <w:szCs w:val="20"/>
        </w:rPr>
        <w:t>, 24 May</w:t>
      </w:r>
    </w:p>
  </w:footnote>
  <w:footnote w:id="42">
    <w:p w14:paraId="47E6CAB4" w14:textId="77777777" w:rsidR="005163D0" w:rsidRPr="00A336E2" w:rsidRDefault="005163D0" w:rsidP="00A336E2">
      <w:pPr>
        <w:spacing w:after="0" w:line="240" w:lineRule="auto"/>
        <w:rPr>
          <w:rFonts w:ascii="Times New Roman" w:hAnsi="Times New Roman" w:cs="Times New Roman"/>
          <w:sz w:val="20"/>
          <w:szCs w:val="20"/>
        </w:rPr>
      </w:pPr>
      <w:r w:rsidRPr="00A336E2">
        <w:rPr>
          <w:rStyle w:val="FootnoteReference"/>
          <w:rFonts w:ascii="Times New Roman" w:hAnsi="Times New Roman" w:cs="Times New Roman"/>
          <w:sz w:val="20"/>
          <w:szCs w:val="20"/>
        </w:rPr>
        <w:footnoteRef/>
      </w:r>
      <w:r w:rsidRPr="00A336E2">
        <w:rPr>
          <w:rFonts w:ascii="Times New Roman" w:hAnsi="Times New Roman" w:cs="Times New Roman"/>
          <w:sz w:val="20"/>
          <w:szCs w:val="20"/>
        </w:rPr>
        <w:t xml:space="preserve"> International Federation of Journalists (2025). Latvia: Anti-Corruption Bureau’s requests to media outlets ahead of municipal election threatens editorial independence, 23 May</w:t>
      </w:r>
    </w:p>
    <w:p w14:paraId="7BFB3A52" w14:textId="3DE0FD92" w:rsidR="005163D0" w:rsidRPr="00A336E2" w:rsidRDefault="00727127" w:rsidP="00A336E2">
      <w:pPr>
        <w:spacing w:after="0" w:line="240" w:lineRule="auto"/>
        <w:rPr>
          <w:rFonts w:ascii="Times New Roman" w:hAnsi="Times New Roman" w:cs="Times New Roman"/>
          <w:sz w:val="20"/>
          <w:szCs w:val="20"/>
        </w:rPr>
      </w:pPr>
      <w:hyperlink r:id="rId33" w:history="1">
        <w:r w:rsidRPr="00A336E2">
          <w:rPr>
            <w:rStyle w:val="Hyperlink"/>
            <w:rFonts w:ascii="Times New Roman" w:hAnsi="Times New Roman" w:cs="Times New Roman"/>
            <w:sz w:val="20"/>
            <w:szCs w:val="20"/>
          </w:rPr>
          <w:t>https://www.ifj.org/media-centre/news/detail/category/press-freedom/article/latvia-anti-corruption-bureaus-requests-to-media-outlets-ahead-of-municipal-election-threatens-editorial-independence</w:t>
        </w:r>
      </w:hyperlink>
      <w:r w:rsidRPr="00A336E2">
        <w:rPr>
          <w:rFonts w:ascii="Times New Roman" w:hAnsi="Times New Roman" w:cs="Times New Roman"/>
          <w:sz w:val="20"/>
          <w:szCs w:val="20"/>
        </w:rPr>
        <w:t xml:space="preserve"> </w:t>
      </w:r>
    </w:p>
  </w:footnote>
  <w:footnote w:id="43">
    <w:p w14:paraId="6FF9614F" w14:textId="77777777" w:rsidR="005163D0" w:rsidRPr="00A336E2" w:rsidRDefault="005163D0" w:rsidP="00A336E2">
      <w:pPr>
        <w:spacing w:after="0" w:line="240" w:lineRule="auto"/>
        <w:rPr>
          <w:rFonts w:ascii="Times New Roman" w:hAnsi="Times New Roman" w:cs="Times New Roman"/>
          <w:sz w:val="20"/>
          <w:szCs w:val="20"/>
        </w:rPr>
      </w:pPr>
      <w:r w:rsidRPr="00A336E2">
        <w:rPr>
          <w:rStyle w:val="FootnoteReference"/>
          <w:rFonts w:ascii="Times New Roman" w:hAnsi="Times New Roman" w:cs="Times New Roman"/>
          <w:sz w:val="20"/>
          <w:szCs w:val="20"/>
        </w:rPr>
        <w:footnoteRef/>
      </w:r>
      <w:r w:rsidRPr="00A336E2">
        <w:rPr>
          <w:rFonts w:ascii="Times New Roman" w:hAnsi="Times New Roman" w:cs="Times New Roman"/>
          <w:sz w:val="20"/>
          <w:szCs w:val="20"/>
        </w:rPr>
        <w:t xml:space="preserve"> </w:t>
      </w:r>
      <w:proofErr w:type="spellStart"/>
      <w:r w:rsidRPr="00A336E2">
        <w:rPr>
          <w:rFonts w:ascii="Times New Roman" w:hAnsi="Times New Roman" w:cs="Times New Roman"/>
          <w:sz w:val="20"/>
          <w:szCs w:val="20"/>
        </w:rPr>
        <w:t>Latvijas</w:t>
      </w:r>
      <w:proofErr w:type="spellEnd"/>
      <w:r w:rsidRPr="00A336E2">
        <w:rPr>
          <w:rFonts w:ascii="Times New Roman" w:hAnsi="Times New Roman" w:cs="Times New Roman"/>
          <w:sz w:val="20"/>
          <w:szCs w:val="20"/>
        </w:rPr>
        <w:t xml:space="preserve"> </w:t>
      </w:r>
      <w:proofErr w:type="spellStart"/>
      <w:r w:rsidRPr="00A336E2">
        <w:rPr>
          <w:rFonts w:ascii="Times New Roman" w:hAnsi="Times New Roman" w:cs="Times New Roman"/>
          <w:sz w:val="20"/>
          <w:szCs w:val="20"/>
        </w:rPr>
        <w:t>Žurnālistu</w:t>
      </w:r>
      <w:proofErr w:type="spellEnd"/>
      <w:r w:rsidRPr="00A336E2">
        <w:rPr>
          <w:rFonts w:ascii="Times New Roman" w:hAnsi="Times New Roman" w:cs="Times New Roman"/>
          <w:sz w:val="20"/>
          <w:szCs w:val="20"/>
        </w:rPr>
        <w:t xml:space="preserve"> </w:t>
      </w:r>
      <w:proofErr w:type="spellStart"/>
      <w:r w:rsidRPr="00A336E2">
        <w:rPr>
          <w:rFonts w:ascii="Times New Roman" w:hAnsi="Times New Roman" w:cs="Times New Roman"/>
          <w:sz w:val="20"/>
          <w:szCs w:val="20"/>
        </w:rPr>
        <w:t>asociācija</w:t>
      </w:r>
      <w:proofErr w:type="spellEnd"/>
      <w:r w:rsidRPr="00A336E2">
        <w:rPr>
          <w:rFonts w:ascii="Times New Roman" w:hAnsi="Times New Roman" w:cs="Times New Roman"/>
          <w:sz w:val="20"/>
          <w:szCs w:val="20"/>
        </w:rPr>
        <w:t xml:space="preserve"> (2025). LŽA </w:t>
      </w:r>
      <w:proofErr w:type="spellStart"/>
      <w:r w:rsidRPr="00A336E2">
        <w:rPr>
          <w:rFonts w:ascii="Times New Roman" w:hAnsi="Times New Roman" w:cs="Times New Roman"/>
          <w:sz w:val="20"/>
          <w:szCs w:val="20"/>
        </w:rPr>
        <w:t>aicina</w:t>
      </w:r>
      <w:proofErr w:type="spellEnd"/>
      <w:r w:rsidRPr="00A336E2">
        <w:rPr>
          <w:rFonts w:ascii="Times New Roman" w:hAnsi="Times New Roman" w:cs="Times New Roman"/>
          <w:sz w:val="20"/>
          <w:szCs w:val="20"/>
        </w:rPr>
        <w:t xml:space="preserve"> KNAB </w:t>
      </w:r>
      <w:proofErr w:type="spellStart"/>
      <w:r w:rsidRPr="00A336E2">
        <w:rPr>
          <w:rFonts w:ascii="Times New Roman" w:hAnsi="Times New Roman" w:cs="Times New Roman"/>
          <w:sz w:val="20"/>
          <w:szCs w:val="20"/>
        </w:rPr>
        <w:t>skaidrot</w:t>
      </w:r>
      <w:proofErr w:type="spellEnd"/>
      <w:r w:rsidRPr="00A336E2">
        <w:rPr>
          <w:rFonts w:ascii="Times New Roman" w:hAnsi="Times New Roman" w:cs="Times New Roman"/>
          <w:sz w:val="20"/>
          <w:szCs w:val="20"/>
        </w:rPr>
        <w:t xml:space="preserve"> </w:t>
      </w:r>
      <w:proofErr w:type="spellStart"/>
      <w:r w:rsidRPr="00A336E2">
        <w:rPr>
          <w:rFonts w:ascii="Times New Roman" w:hAnsi="Times New Roman" w:cs="Times New Roman"/>
          <w:sz w:val="20"/>
          <w:szCs w:val="20"/>
        </w:rPr>
        <w:t>medijiem</w:t>
      </w:r>
      <w:proofErr w:type="spellEnd"/>
      <w:r w:rsidRPr="00A336E2">
        <w:rPr>
          <w:rFonts w:ascii="Times New Roman" w:hAnsi="Times New Roman" w:cs="Times New Roman"/>
          <w:sz w:val="20"/>
          <w:szCs w:val="20"/>
        </w:rPr>
        <w:t xml:space="preserve"> </w:t>
      </w:r>
      <w:proofErr w:type="spellStart"/>
      <w:r w:rsidRPr="00A336E2">
        <w:rPr>
          <w:rFonts w:ascii="Times New Roman" w:hAnsi="Times New Roman" w:cs="Times New Roman"/>
          <w:sz w:val="20"/>
          <w:szCs w:val="20"/>
        </w:rPr>
        <w:t>izsūtītos</w:t>
      </w:r>
      <w:proofErr w:type="spellEnd"/>
      <w:r w:rsidRPr="00A336E2">
        <w:rPr>
          <w:rFonts w:ascii="Times New Roman" w:hAnsi="Times New Roman" w:cs="Times New Roman"/>
          <w:sz w:val="20"/>
          <w:szCs w:val="20"/>
        </w:rPr>
        <w:t xml:space="preserve"> </w:t>
      </w:r>
      <w:proofErr w:type="spellStart"/>
      <w:r w:rsidRPr="00A336E2">
        <w:rPr>
          <w:rFonts w:ascii="Times New Roman" w:hAnsi="Times New Roman" w:cs="Times New Roman"/>
          <w:sz w:val="20"/>
          <w:szCs w:val="20"/>
        </w:rPr>
        <w:t>jautājumus</w:t>
      </w:r>
      <w:proofErr w:type="spellEnd"/>
      <w:r w:rsidRPr="00A336E2">
        <w:rPr>
          <w:rFonts w:ascii="Times New Roman" w:hAnsi="Times New Roman" w:cs="Times New Roman"/>
          <w:sz w:val="20"/>
          <w:szCs w:val="20"/>
        </w:rPr>
        <w:t xml:space="preserve"> par </w:t>
      </w:r>
      <w:proofErr w:type="spellStart"/>
      <w:r w:rsidRPr="00A336E2">
        <w:rPr>
          <w:rFonts w:ascii="Times New Roman" w:hAnsi="Times New Roman" w:cs="Times New Roman"/>
          <w:sz w:val="20"/>
          <w:szCs w:val="20"/>
        </w:rPr>
        <w:t>priekšvēlēšanu</w:t>
      </w:r>
      <w:proofErr w:type="spellEnd"/>
      <w:r w:rsidRPr="00A336E2">
        <w:rPr>
          <w:rFonts w:ascii="Times New Roman" w:hAnsi="Times New Roman" w:cs="Times New Roman"/>
          <w:sz w:val="20"/>
          <w:szCs w:val="20"/>
        </w:rPr>
        <w:t xml:space="preserve"> </w:t>
      </w:r>
      <w:proofErr w:type="spellStart"/>
      <w:r w:rsidRPr="00A336E2">
        <w:rPr>
          <w:rFonts w:ascii="Times New Roman" w:hAnsi="Times New Roman" w:cs="Times New Roman"/>
          <w:sz w:val="20"/>
          <w:szCs w:val="20"/>
        </w:rPr>
        <w:t>saturu</w:t>
      </w:r>
      <w:proofErr w:type="spellEnd"/>
      <w:r w:rsidRPr="00A336E2">
        <w:rPr>
          <w:rFonts w:ascii="Times New Roman" w:hAnsi="Times New Roman" w:cs="Times New Roman"/>
          <w:sz w:val="20"/>
          <w:szCs w:val="20"/>
        </w:rPr>
        <w:t xml:space="preserve">, 20 May (in Latvian) </w:t>
      </w:r>
      <w:hyperlink r:id="rId34" w:history="1">
        <w:r w:rsidRPr="00A336E2">
          <w:rPr>
            <w:rStyle w:val="Hyperlink"/>
            <w:rFonts w:ascii="Times New Roman" w:hAnsi="Times New Roman" w:cs="Times New Roman"/>
            <w:sz w:val="20"/>
            <w:szCs w:val="20"/>
          </w:rPr>
          <w:t>https://latvijaszurnalisti.lv/lza-aicina-knab-skaidrot-medijiem-izsutito-jautajumus-par-prieksvelesanu-saturu/</w:t>
        </w:r>
      </w:hyperlink>
      <w:r w:rsidRPr="00A336E2">
        <w:rPr>
          <w:rFonts w:ascii="Times New Roman" w:hAnsi="Times New Roman" w:cs="Times New Roman"/>
          <w:sz w:val="20"/>
          <w:szCs w:val="20"/>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1579DC"/>
    <w:multiLevelType w:val="multilevel"/>
    <w:tmpl w:val="69D21D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61F4EAA"/>
    <w:multiLevelType w:val="hybridMultilevel"/>
    <w:tmpl w:val="CC962A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8651382"/>
    <w:multiLevelType w:val="multilevel"/>
    <w:tmpl w:val="4F2A8A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A832CA2"/>
    <w:multiLevelType w:val="hybridMultilevel"/>
    <w:tmpl w:val="A78E68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71675AA8"/>
    <w:multiLevelType w:val="multilevel"/>
    <w:tmpl w:val="6750C6B6"/>
    <w:lvl w:ilvl="0">
      <w:start w:val="1"/>
      <w:numFmt w:val="bullet"/>
      <w:lvlText w:val="⇒"/>
      <w:lvlJc w:val="left"/>
      <w:pPr>
        <w:ind w:left="360" w:hanging="360"/>
      </w:pPr>
      <w:rPr>
        <w:rFonts w:ascii="Noto Sans Symbols" w:eastAsia="Noto Sans Symbols" w:hAnsi="Noto Sans Symbols" w:cs="Noto Sans Symbols"/>
        <w:color w:val="000000"/>
      </w:rPr>
    </w:lvl>
    <w:lvl w:ilvl="1">
      <w:start w:val="1"/>
      <w:numFmt w:val="decimal"/>
      <w:lvlText w:val="%2."/>
      <w:lvlJc w:val="left"/>
      <w:pPr>
        <w:ind w:left="1080" w:hanging="360"/>
      </w:pPr>
    </w:lvl>
    <w:lvl w:ilvl="2">
      <w:start w:val="1"/>
      <w:numFmt w:val="decimal"/>
      <w:lvlText w:val="%3."/>
      <w:lvlJc w:val="left"/>
      <w:pPr>
        <w:ind w:left="1800" w:hanging="360"/>
      </w:pPr>
    </w:lvl>
    <w:lvl w:ilvl="3">
      <w:start w:val="1"/>
      <w:numFmt w:val="decimal"/>
      <w:lvlText w:val="%4."/>
      <w:lvlJc w:val="left"/>
      <w:pPr>
        <w:ind w:left="2520" w:hanging="360"/>
      </w:pPr>
    </w:lvl>
    <w:lvl w:ilvl="4">
      <w:start w:val="1"/>
      <w:numFmt w:val="decimal"/>
      <w:lvlText w:val="%5."/>
      <w:lvlJc w:val="left"/>
      <w:pPr>
        <w:ind w:left="3240" w:hanging="360"/>
      </w:pPr>
    </w:lvl>
    <w:lvl w:ilvl="5">
      <w:start w:val="1"/>
      <w:numFmt w:val="decimal"/>
      <w:lvlText w:val="%6."/>
      <w:lvlJc w:val="left"/>
      <w:pPr>
        <w:ind w:left="3960" w:hanging="360"/>
      </w:pPr>
    </w:lvl>
    <w:lvl w:ilvl="6">
      <w:start w:val="1"/>
      <w:numFmt w:val="decimal"/>
      <w:lvlText w:val="%7."/>
      <w:lvlJc w:val="left"/>
      <w:pPr>
        <w:ind w:left="4680" w:hanging="360"/>
      </w:pPr>
    </w:lvl>
    <w:lvl w:ilvl="7">
      <w:start w:val="1"/>
      <w:numFmt w:val="decimal"/>
      <w:lvlText w:val="%8."/>
      <w:lvlJc w:val="left"/>
      <w:pPr>
        <w:ind w:left="5400" w:hanging="360"/>
      </w:pPr>
    </w:lvl>
    <w:lvl w:ilvl="8">
      <w:start w:val="1"/>
      <w:numFmt w:val="decimal"/>
      <w:lvlText w:val="%9."/>
      <w:lvlJc w:val="left"/>
      <w:pPr>
        <w:ind w:left="6120" w:hanging="360"/>
      </w:pPr>
    </w:lvl>
  </w:abstractNum>
  <w:abstractNum w:abstractNumId="5" w15:restartNumberingAfterBreak="0">
    <w:nsid w:val="748018DB"/>
    <w:multiLevelType w:val="hybridMultilevel"/>
    <w:tmpl w:val="2834BD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7D7D7A73"/>
    <w:multiLevelType w:val="hybridMultilevel"/>
    <w:tmpl w:val="9EB87B58"/>
    <w:lvl w:ilvl="0" w:tplc="5900A912">
      <w:start w:val="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493684683">
    <w:abstractNumId w:val="0"/>
  </w:num>
  <w:num w:numId="2" w16cid:durableId="1518033007">
    <w:abstractNumId w:val="4"/>
  </w:num>
  <w:num w:numId="3" w16cid:durableId="1449545011">
    <w:abstractNumId w:val="3"/>
  </w:num>
  <w:num w:numId="4" w16cid:durableId="1914967058">
    <w:abstractNumId w:val="6"/>
  </w:num>
  <w:num w:numId="5" w16cid:durableId="1071850568">
    <w:abstractNumId w:val="2"/>
  </w:num>
  <w:num w:numId="6" w16cid:durableId="1613976117">
    <w:abstractNumId w:val="5"/>
  </w:num>
  <w:num w:numId="7" w16cid:durableId="1064822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68D9"/>
    <w:rsid w:val="0000296E"/>
    <w:rsid w:val="000112B5"/>
    <w:rsid w:val="00021E38"/>
    <w:rsid w:val="00033244"/>
    <w:rsid w:val="00035367"/>
    <w:rsid w:val="00044AE5"/>
    <w:rsid w:val="000770DB"/>
    <w:rsid w:val="000A16A9"/>
    <w:rsid w:val="000B3288"/>
    <w:rsid w:val="000C0977"/>
    <w:rsid w:val="000C6007"/>
    <w:rsid w:val="000D579E"/>
    <w:rsid w:val="000F5BFA"/>
    <w:rsid w:val="001103E8"/>
    <w:rsid w:val="00121807"/>
    <w:rsid w:val="00125438"/>
    <w:rsid w:val="001524AB"/>
    <w:rsid w:val="00161BC9"/>
    <w:rsid w:val="001845C3"/>
    <w:rsid w:val="0018462D"/>
    <w:rsid w:val="00196AD2"/>
    <w:rsid w:val="001A4B54"/>
    <w:rsid w:val="001B7666"/>
    <w:rsid w:val="001C3881"/>
    <w:rsid w:val="001C7320"/>
    <w:rsid w:val="001D5FD8"/>
    <w:rsid w:val="002020C5"/>
    <w:rsid w:val="002034F9"/>
    <w:rsid w:val="00227F4E"/>
    <w:rsid w:val="002632F4"/>
    <w:rsid w:val="002773D4"/>
    <w:rsid w:val="002821E1"/>
    <w:rsid w:val="0029670F"/>
    <w:rsid w:val="002B1AED"/>
    <w:rsid w:val="002B2553"/>
    <w:rsid w:val="002B5BA1"/>
    <w:rsid w:val="002B61C4"/>
    <w:rsid w:val="003056A0"/>
    <w:rsid w:val="003074B1"/>
    <w:rsid w:val="00313D39"/>
    <w:rsid w:val="0031583B"/>
    <w:rsid w:val="003238B2"/>
    <w:rsid w:val="00324A95"/>
    <w:rsid w:val="00341A96"/>
    <w:rsid w:val="00346287"/>
    <w:rsid w:val="00346A41"/>
    <w:rsid w:val="003517BE"/>
    <w:rsid w:val="003713A0"/>
    <w:rsid w:val="00380E82"/>
    <w:rsid w:val="00385C22"/>
    <w:rsid w:val="00387A92"/>
    <w:rsid w:val="003A081C"/>
    <w:rsid w:val="003A7C38"/>
    <w:rsid w:val="003D1957"/>
    <w:rsid w:val="003D399A"/>
    <w:rsid w:val="00430941"/>
    <w:rsid w:val="0043548B"/>
    <w:rsid w:val="00444B28"/>
    <w:rsid w:val="0044601D"/>
    <w:rsid w:val="00470C2F"/>
    <w:rsid w:val="0047144A"/>
    <w:rsid w:val="004D403A"/>
    <w:rsid w:val="004E00AD"/>
    <w:rsid w:val="005163D0"/>
    <w:rsid w:val="00524447"/>
    <w:rsid w:val="005359E9"/>
    <w:rsid w:val="0054676C"/>
    <w:rsid w:val="0057746D"/>
    <w:rsid w:val="00583D21"/>
    <w:rsid w:val="005943AC"/>
    <w:rsid w:val="0059668B"/>
    <w:rsid w:val="00597CEC"/>
    <w:rsid w:val="005A7F3C"/>
    <w:rsid w:val="005D6748"/>
    <w:rsid w:val="005D7C76"/>
    <w:rsid w:val="005F3F7C"/>
    <w:rsid w:val="005F7417"/>
    <w:rsid w:val="00616A24"/>
    <w:rsid w:val="00632E02"/>
    <w:rsid w:val="006438B0"/>
    <w:rsid w:val="00645A60"/>
    <w:rsid w:val="0065209D"/>
    <w:rsid w:val="00664413"/>
    <w:rsid w:val="00683534"/>
    <w:rsid w:val="00687625"/>
    <w:rsid w:val="0069298B"/>
    <w:rsid w:val="006A757F"/>
    <w:rsid w:val="006B2199"/>
    <w:rsid w:val="006D7782"/>
    <w:rsid w:val="006E1D0E"/>
    <w:rsid w:val="0071715E"/>
    <w:rsid w:val="00724A04"/>
    <w:rsid w:val="00727127"/>
    <w:rsid w:val="0074663C"/>
    <w:rsid w:val="00747BB6"/>
    <w:rsid w:val="007519A1"/>
    <w:rsid w:val="00763A26"/>
    <w:rsid w:val="00764E1B"/>
    <w:rsid w:val="00765EE6"/>
    <w:rsid w:val="00767203"/>
    <w:rsid w:val="007A15B5"/>
    <w:rsid w:val="007B1F64"/>
    <w:rsid w:val="007C234B"/>
    <w:rsid w:val="007C3D2F"/>
    <w:rsid w:val="007E27F3"/>
    <w:rsid w:val="008115EB"/>
    <w:rsid w:val="00814096"/>
    <w:rsid w:val="008278C0"/>
    <w:rsid w:val="00853A3F"/>
    <w:rsid w:val="0086391E"/>
    <w:rsid w:val="00864C72"/>
    <w:rsid w:val="008713C8"/>
    <w:rsid w:val="00892D73"/>
    <w:rsid w:val="008A2F3E"/>
    <w:rsid w:val="008A4C74"/>
    <w:rsid w:val="008A79C4"/>
    <w:rsid w:val="008B7508"/>
    <w:rsid w:val="008C7682"/>
    <w:rsid w:val="008E02E4"/>
    <w:rsid w:val="00910CD5"/>
    <w:rsid w:val="009320EA"/>
    <w:rsid w:val="00972630"/>
    <w:rsid w:val="009768D9"/>
    <w:rsid w:val="00981A29"/>
    <w:rsid w:val="00990D0C"/>
    <w:rsid w:val="009A2CEA"/>
    <w:rsid w:val="009A5135"/>
    <w:rsid w:val="009B1A08"/>
    <w:rsid w:val="009C0585"/>
    <w:rsid w:val="009C66EB"/>
    <w:rsid w:val="00A03529"/>
    <w:rsid w:val="00A03E1C"/>
    <w:rsid w:val="00A05CAB"/>
    <w:rsid w:val="00A077A4"/>
    <w:rsid w:val="00A1166D"/>
    <w:rsid w:val="00A155F7"/>
    <w:rsid w:val="00A272CD"/>
    <w:rsid w:val="00A27E0E"/>
    <w:rsid w:val="00A30F29"/>
    <w:rsid w:val="00A336E2"/>
    <w:rsid w:val="00A45586"/>
    <w:rsid w:val="00A514FD"/>
    <w:rsid w:val="00A551B2"/>
    <w:rsid w:val="00A57D56"/>
    <w:rsid w:val="00A70360"/>
    <w:rsid w:val="00A856EC"/>
    <w:rsid w:val="00A85C9C"/>
    <w:rsid w:val="00AA5059"/>
    <w:rsid w:val="00AB6C0E"/>
    <w:rsid w:val="00AE39A3"/>
    <w:rsid w:val="00B20184"/>
    <w:rsid w:val="00B306C3"/>
    <w:rsid w:val="00B349ED"/>
    <w:rsid w:val="00B41C68"/>
    <w:rsid w:val="00B54BB9"/>
    <w:rsid w:val="00B74737"/>
    <w:rsid w:val="00B909FC"/>
    <w:rsid w:val="00BC3924"/>
    <w:rsid w:val="00BC6801"/>
    <w:rsid w:val="00BD5979"/>
    <w:rsid w:val="00BE68C7"/>
    <w:rsid w:val="00BF22B2"/>
    <w:rsid w:val="00C0456D"/>
    <w:rsid w:val="00C0491D"/>
    <w:rsid w:val="00C350A0"/>
    <w:rsid w:val="00C50A75"/>
    <w:rsid w:val="00C52949"/>
    <w:rsid w:val="00C53685"/>
    <w:rsid w:val="00C6125E"/>
    <w:rsid w:val="00C97FE2"/>
    <w:rsid w:val="00CB119A"/>
    <w:rsid w:val="00CE091D"/>
    <w:rsid w:val="00CE5DA8"/>
    <w:rsid w:val="00CF526F"/>
    <w:rsid w:val="00D05121"/>
    <w:rsid w:val="00D0796C"/>
    <w:rsid w:val="00D07E33"/>
    <w:rsid w:val="00D160A6"/>
    <w:rsid w:val="00D21295"/>
    <w:rsid w:val="00D23596"/>
    <w:rsid w:val="00D24F04"/>
    <w:rsid w:val="00D4148D"/>
    <w:rsid w:val="00D435ED"/>
    <w:rsid w:val="00D5002C"/>
    <w:rsid w:val="00D5539B"/>
    <w:rsid w:val="00D873A8"/>
    <w:rsid w:val="00DA0119"/>
    <w:rsid w:val="00DA3363"/>
    <w:rsid w:val="00DE30EF"/>
    <w:rsid w:val="00DF60DB"/>
    <w:rsid w:val="00E06A4D"/>
    <w:rsid w:val="00E10CFA"/>
    <w:rsid w:val="00E17BA2"/>
    <w:rsid w:val="00E3366D"/>
    <w:rsid w:val="00E368FB"/>
    <w:rsid w:val="00E433D5"/>
    <w:rsid w:val="00E4759A"/>
    <w:rsid w:val="00E53098"/>
    <w:rsid w:val="00E55D84"/>
    <w:rsid w:val="00E72292"/>
    <w:rsid w:val="00E75741"/>
    <w:rsid w:val="00E94D71"/>
    <w:rsid w:val="00EA0987"/>
    <w:rsid w:val="00EA1108"/>
    <w:rsid w:val="00EA76DB"/>
    <w:rsid w:val="00EC4D63"/>
    <w:rsid w:val="00EE4E7F"/>
    <w:rsid w:val="00EF4BCC"/>
    <w:rsid w:val="00F0467B"/>
    <w:rsid w:val="00F05B02"/>
    <w:rsid w:val="00F20868"/>
    <w:rsid w:val="00F210B4"/>
    <w:rsid w:val="00F2197A"/>
    <w:rsid w:val="00F5269D"/>
    <w:rsid w:val="00F55295"/>
    <w:rsid w:val="00F63B54"/>
    <w:rsid w:val="00F72ACF"/>
    <w:rsid w:val="00F7424E"/>
    <w:rsid w:val="00F75F35"/>
    <w:rsid w:val="00FA02AC"/>
    <w:rsid w:val="00FA0E90"/>
    <w:rsid w:val="00FA496D"/>
    <w:rsid w:val="00FB687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14:docId w14:val="2D31C879"/>
  <w15:chartTrackingRefBased/>
  <w15:docId w15:val="{B6FB2DAA-A657-4285-8059-CC0C6257C5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768D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768D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768D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768D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768D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768D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768D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768D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768D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768D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768D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768D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768D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768D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768D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768D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768D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768D9"/>
    <w:rPr>
      <w:rFonts w:eastAsiaTheme="majorEastAsia" w:cstheme="majorBidi"/>
      <w:color w:val="272727" w:themeColor="text1" w:themeTint="D8"/>
    </w:rPr>
  </w:style>
  <w:style w:type="paragraph" w:styleId="Title">
    <w:name w:val="Title"/>
    <w:basedOn w:val="Normal"/>
    <w:next w:val="Normal"/>
    <w:link w:val="TitleChar"/>
    <w:uiPriority w:val="10"/>
    <w:qFormat/>
    <w:rsid w:val="009768D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768D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768D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768D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768D9"/>
    <w:pPr>
      <w:spacing w:before="160"/>
      <w:jc w:val="center"/>
    </w:pPr>
    <w:rPr>
      <w:i/>
      <w:iCs/>
      <w:color w:val="404040" w:themeColor="text1" w:themeTint="BF"/>
    </w:rPr>
  </w:style>
  <w:style w:type="character" w:customStyle="1" w:styleId="QuoteChar">
    <w:name w:val="Quote Char"/>
    <w:basedOn w:val="DefaultParagraphFont"/>
    <w:link w:val="Quote"/>
    <w:uiPriority w:val="29"/>
    <w:rsid w:val="009768D9"/>
    <w:rPr>
      <w:i/>
      <w:iCs/>
      <w:color w:val="404040" w:themeColor="text1" w:themeTint="BF"/>
    </w:rPr>
  </w:style>
  <w:style w:type="paragraph" w:styleId="ListParagraph">
    <w:name w:val="List Paragraph"/>
    <w:basedOn w:val="Normal"/>
    <w:uiPriority w:val="34"/>
    <w:qFormat/>
    <w:rsid w:val="009768D9"/>
    <w:pPr>
      <w:ind w:left="720"/>
      <w:contextualSpacing/>
    </w:pPr>
  </w:style>
  <w:style w:type="character" w:styleId="IntenseEmphasis">
    <w:name w:val="Intense Emphasis"/>
    <w:basedOn w:val="DefaultParagraphFont"/>
    <w:uiPriority w:val="21"/>
    <w:qFormat/>
    <w:rsid w:val="009768D9"/>
    <w:rPr>
      <w:i/>
      <w:iCs/>
      <w:color w:val="0F4761" w:themeColor="accent1" w:themeShade="BF"/>
    </w:rPr>
  </w:style>
  <w:style w:type="paragraph" w:styleId="IntenseQuote">
    <w:name w:val="Intense Quote"/>
    <w:basedOn w:val="Normal"/>
    <w:next w:val="Normal"/>
    <w:link w:val="IntenseQuoteChar"/>
    <w:uiPriority w:val="30"/>
    <w:qFormat/>
    <w:rsid w:val="009768D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768D9"/>
    <w:rPr>
      <w:i/>
      <w:iCs/>
      <w:color w:val="0F4761" w:themeColor="accent1" w:themeShade="BF"/>
    </w:rPr>
  </w:style>
  <w:style w:type="character" w:styleId="IntenseReference">
    <w:name w:val="Intense Reference"/>
    <w:basedOn w:val="DefaultParagraphFont"/>
    <w:uiPriority w:val="32"/>
    <w:qFormat/>
    <w:rsid w:val="009768D9"/>
    <w:rPr>
      <w:b/>
      <w:bCs/>
      <w:smallCaps/>
      <w:color w:val="0F4761" w:themeColor="accent1" w:themeShade="BF"/>
      <w:spacing w:val="5"/>
    </w:rPr>
  </w:style>
  <w:style w:type="paragraph" w:styleId="FootnoteText">
    <w:name w:val="footnote text"/>
    <w:aliases w:val="footnotes,Footnote Text Char2 Char,Footnote Text Char Char1 Char,Footnote Text Char2 Char Char Char,Footnote Text Char1 Char Char Char Char,Footnote Text Char Char Char Char Char Char,tizesesTNRoman,BESEDILO OPOMB,FA,Fußnotentext RAXEN,o,f"/>
    <w:basedOn w:val="Normal"/>
    <w:link w:val="FootnoteTextChar"/>
    <w:uiPriority w:val="99"/>
    <w:unhideWhenUsed/>
    <w:qFormat/>
    <w:rsid w:val="008E02E4"/>
    <w:pPr>
      <w:spacing w:after="0" w:line="240" w:lineRule="auto"/>
    </w:pPr>
    <w:rPr>
      <w:sz w:val="20"/>
      <w:szCs w:val="20"/>
    </w:rPr>
  </w:style>
  <w:style w:type="character" w:customStyle="1" w:styleId="FootnoteTextChar">
    <w:name w:val="Footnote Text Char"/>
    <w:aliases w:val="footnotes Char,Footnote Text Char2 Char Char,Footnote Text Char Char1 Char Char,Footnote Text Char2 Char Char Char Char,Footnote Text Char1 Char Char Char Char Char,Footnote Text Char Char Char Char Char Char Char,tizesesTNRoman Char"/>
    <w:basedOn w:val="DefaultParagraphFont"/>
    <w:link w:val="FootnoteText"/>
    <w:uiPriority w:val="99"/>
    <w:rsid w:val="008E02E4"/>
    <w:rPr>
      <w:sz w:val="20"/>
      <w:szCs w:val="20"/>
    </w:rPr>
  </w:style>
  <w:style w:type="character" w:styleId="FootnoteReference">
    <w:name w:val="footnote reference"/>
    <w:aliases w:val="Footnote Refernece,Footnotes refss,OZNAKA OPOMBE,FZ,callout,4_G,Footnote Ref,16 Point,Superscript 6 Point,ftref,Footnote Reference Superscript,BVI fnr,Footnote symbol,Footnote symboFußnotenzeichen,Footnote sign,Appel note de bas de p."/>
    <w:basedOn w:val="DefaultParagraphFont"/>
    <w:link w:val="BVIfnrCharCharCharChar"/>
    <w:uiPriority w:val="99"/>
    <w:unhideWhenUsed/>
    <w:qFormat/>
    <w:rsid w:val="008E02E4"/>
    <w:rPr>
      <w:vertAlign w:val="superscript"/>
    </w:rPr>
  </w:style>
  <w:style w:type="character" w:styleId="Hyperlink">
    <w:name w:val="Hyperlink"/>
    <w:basedOn w:val="DefaultParagraphFont"/>
    <w:uiPriority w:val="99"/>
    <w:unhideWhenUsed/>
    <w:rsid w:val="008E02E4"/>
    <w:rPr>
      <w:color w:val="467886" w:themeColor="hyperlink"/>
      <w:u w:val="single"/>
    </w:rPr>
  </w:style>
  <w:style w:type="paragraph" w:customStyle="1" w:styleId="BVIfnrCharCharCharChar">
    <w:name w:val="BVI fnr Char Char Char Char"/>
    <w:aliases w:val="BVI fnr Char Char1 Char Char,BVI fnr Car Car Char Char Char Char,BVI fnr Car Char Char Char Char,BVI fnr Car Car Car Car Char Char Char1 Char,BVI fnr Car Car Car Car Char Char Char Char Char Char"/>
    <w:basedOn w:val="Normal"/>
    <w:link w:val="FootnoteReference"/>
    <w:uiPriority w:val="99"/>
    <w:rsid w:val="00D160A6"/>
    <w:pPr>
      <w:spacing w:after="0" w:line="240" w:lineRule="exact"/>
    </w:pPr>
    <w:rPr>
      <w:vertAlign w:val="superscript"/>
    </w:rPr>
  </w:style>
  <w:style w:type="character" w:styleId="UnresolvedMention">
    <w:name w:val="Unresolved Mention"/>
    <w:basedOn w:val="DefaultParagraphFont"/>
    <w:uiPriority w:val="99"/>
    <w:semiHidden/>
    <w:unhideWhenUsed/>
    <w:rsid w:val="003238B2"/>
    <w:rPr>
      <w:color w:val="605E5C"/>
      <w:shd w:val="clear" w:color="auto" w:fill="E1DFDD"/>
    </w:rPr>
  </w:style>
  <w:style w:type="paragraph" w:styleId="NormalWeb">
    <w:name w:val="Normal (Web)"/>
    <w:basedOn w:val="Normal"/>
    <w:uiPriority w:val="99"/>
    <w:unhideWhenUsed/>
    <w:rsid w:val="009A2CEA"/>
    <w:pPr>
      <w:spacing w:before="100" w:beforeAutospacing="1" w:after="100" w:afterAutospacing="1" w:line="240" w:lineRule="auto"/>
    </w:pPr>
    <w:rPr>
      <w:rFonts w:ascii="Times New Roman" w:eastAsia="Times New Roman" w:hAnsi="Times New Roman" w:cs="Times New Roman"/>
      <w:kern w:val="0"/>
      <w:lang w:val="en-GB" w:eastAsia="en-GB"/>
      <w14:ligatures w14:val="none"/>
    </w:rPr>
  </w:style>
  <w:style w:type="paragraph" w:customStyle="1" w:styleId="FootnoteReferneceCharChar1Char">
    <w:name w:val="Footnote Refernece Char Char1 Char"/>
    <w:aliases w:val="Footnote Reference Superscript Char Char1 Char,Footnote Refernece Char Char Char Char Char,Footnote Reference Superscript Char Char Char Char Char,Footnote Reference Number Char Char Char Char Char"/>
    <w:basedOn w:val="Normal"/>
    <w:uiPriority w:val="99"/>
    <w:rsid w:val="006438B0"/>
    <w:pPr>
      <w:spacing w:line="240" w:lineRule="exact"/>
      <w:jc w:val="both"/>
    </w:pPr>
    <w:rPr>
      <w:rFonts w:ascii="Calibri" w:eastAsia="Calibri" w:hAnsi="Calibri" w:cs="Calibri"/>
      <w:kern w:val="0"/>
      <w:vertAlign w:val="superscript"/>
      <w:lang w:val="en-GB"/>
      <w14:ligatures w14:val="none"/>
    </w:rPr>
  </w:style>
  <w:style w:type="paragraph" w:customStyle="1" w:styleId="text-align-justify">
    <w:name w:val="text-align-justify"/>
    <w:basedOn w:val="Normal"/>
    <w:rsid w:val="00DE30EF"/>
    <w:pPr>
      <w:spacing w:before="100" w:beforeAutospacing="1" w:after="100" w:afterAutospacing="1" w:line="240" w:lineRule="auto"/>
      <w:jc w:val="both"/>
    </w:pPr>
    <w:rPr>
      <w:rFonts w:ascii="Times New Roman" w:eastAsia="Times New Roman" w:hAnsi="Times New Roman" w:cs="Times New Roman"/>
      <w:kern w:val="0"/>
      <w:lang w:val="lv-LV" w:eastAsia="lv-LV"/>
      <w14:ligatures w14:val="none"/>
    </w:rPr>
  </w:style>
  <w:style w:type="character" w:styleId="Strong">
    <w:name w:val="Strong"/>
    <w:basedOn w:val="DefaultParagraphFont"/>
    <w:uiPriority w:val="22"/>
    <w:qFormat/>
    <w:rsid w:val="00F05B02"/>
    <w:rPr>
      <w:b/>
      <w:bCs/>
    </w:rPr>
  </w:style>
  <w:style w:type="paragraph" w:styleId="Header">
    <w:name w:val="header"/>
    <w:basedOn w:val="Normal"/>
    <w:link w:val="HeaderChar"/>
    <w:rsid w:val="00A336E2"/>
    <w:pPr>
      <w:tabs>
        <w:tab w:val="center" w:pos="4320"/>
        <w:tab w:val="right" w:pos="8640"/>
      </w:tabs>
      <w:spacing w:after="0" w:line="240" w:lineRule="auto"/>
    </w:pPr>
    <w:rPr>
      <w:rFonts w:ascii="Times New Roman" w:eastAsia="Times New Roman" w:hAnsi="Times New Roman" w:cs="Times New Roman"/>
      <w:kern w:val="0"/>
      <w:szCs w:val="20"/>
      <w:lang w:eastAsia="lv-LV"/>
      <w14:ligatures w14:val="none"/>
    </w:rPr>
  </w:style>
  <w:style w:type="character" w:customStyle="1" w:styleId="HeaderChar">
    <w:name w:val="Header Char"/>
    <w:basedOn w:val="DefaultParagraphFont"/>
    <w:link w:val="Header"/>
    <w:rsid w:val="00A336E2"/>
    <w:rPr>
      <w:rFonts w:ascii="Times New Roman" w:eastAsia="Times New Roman" w:hAnsi="Times New Roman" w:cs="Times New Roman"/>
      <w:kern w:val="0"/>
      <w:szCs w:val="20"/>
      <w:lang w:eastAsia="lv-LV"/>
      <w14:ligatures w14:val="none"/>
    </w:rPr>
  </w:style>
  <w:style w:type="paragraph" w:styleId="Footer">
    <w:name w:val="footer"/>
    <w:basedOn w:val="Normal"/>
    <w:link w:val="FooterChar"/>
    <w:rsid w:val="00A336E2"/>
    <w:pPr>
      <w:tabs>
        <w:tab w:val="center" w:pos="4320"/>
        <w:tab w:val="right" w:pos="8640"/>
      </w:tabs>
      <w:spacing w:after="0" w:line="240" w:lineRule="auto"/>
    </w:pPr>
    <w:rPr>
      <w:rFonts w:ascii="Times New Roman" w:eastAsia="Times New Roman" w:hAnsi="Times New Roman" w:cs="Times New Roman"/>
      <w:kern w:val="0"/>
      <w:szCs w:val="20"/>
      <w:lang w:eastAsia="lv-LV"/>
      <w14:ligatures w14:val="none"/>
    </w:rPr>
  </w:style>
  <w:style w:type="character" w:customStyle="1" w:styleId="FooterChar">
    <w:name w:val="Footer Char"/>
    <w:basedOn w:val="DefaultParagraphFont"/>
    <w:link w:val="Footer"/>
    <w:rsid w:val="00A336E2"/>
    <w:rPr>
      <w:rFonts w:ascii="Times New Roman" w:eastAsia="Times New Roman" w:hAnsi="Times New Roman" w:cs="Times New Roman"/>
      <w:kern w:val="0"/>
      <w:szCs w:val="20"/>
      <w:lang w:eastAsia="lv-LV"/>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7268">
      <w:bodyDiv w:val="1"/>
      <w:marLeft w:val="0"/>
      <w:marRight w:val="0"/>
      <w:marTop w:val="0"/>
      <w:marBottom w:val="0"/>
      <w:divBdr>
        <w:top w:val="none" w:sz="0" w:space="0" w:color="auto"/>
        <w:left w:val="none" w:sz="0" w:space="0" w:color="auto"/>
        <w:bottom w:val="none" w:sz="0" w:space="0" w:color="auto"/>
        <w:right w:val="none" w:sz="0" w:space="0" w:color="auto"/>
      </w:divBdr>
      <w:divsChild>
        <w:div w:id="1127167827">
          <w:marLeft w:val="0"/>
          <w:marRight w:val="0"/>
          <w:marTop w:val="0"/>
          <w:marBottom w:val="0"/>
          <w:divBdr>
            <w:top w:val="none" w:sz="0" w:space="0" w:color="auto"/>
            <w:left w:val="none" w:sz="0" w:space="0" w:color="auto"/>
            <w:bottom w:val="none" w:sz="0" w:space="0" w:color="auto"/>
            <w:right w:val="none" w:sz="0" w:space="0" w:color="auto"/>
          </w:divBdr>
          <w:divsChild>
            <w:div w:id="624237104">
              <w:marLeft w:val="0"/>
              <w:marRight w:val="0"/>
              <w:marTop w:val="0"/>
              <w:marBottom w:val="0"/>
              <w:divBdr>
                <w:top w:val="none" w:sz="0" w:space="0" w:color="auto"/>
                <w:left w:val="none" w:sz="0" w:space="0" w:color="auto"/>
                <w:bottom w:val="none" w:sz="0" w:space="0" w:color="auto"/>
                <w:right w:val="none" w:sz="0" w:space="0" w:color="auto"/>
              </w:divBdr>
              <w:divsChild>
                <w:div w:id="612714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4190371">
          <w:marLeft w:val="0"/>
          <w:marRight w:val="0"/>
          <w:marTop w:val="0"/>
          <w:marBottom w:val="0"/>
          <w:divBdr>
            <w:top w:val="none" w:sz="0" w:space="0" w:color="auto"/>
            <w:left w:val="none" w:sz="0" w:space="0" w:color="auto"/>
            <w:bottom w:val="none" w:sz="0" w:space="0" w:color="auto"/>
            <w:right w:val="none" w:sz="0" w:space="0" w:color="auto"/>
          </w:divBdr>
          <w:divsChild>
            <w:div w:id="9837552">
              <w:marLeft w:val="0"/>
              <w:marRight w:val="0"/>
              <w:marTop w:val="0"/>
              <w:marBottom w:val="0"/>
              <w:divBdr>
                <w:top w:val="none" w:sz="0" w:space="0" w:color="auto"/>
                <w:left w:val="none" w:sz="0" w:space="0" w:color="auto"/>
                <w:bottom w:val="none" w:sz="0" w:space="0" w:color="auto"/>
                <w:right w:val="none" w:sz="0" w:space="0" w:color="auto"/>
              </w:divBdr>
              <w:divsChild>
                <w:div w:id="514882575">
                  <w:marLeft w:val="0"/>
                  <w:marRight w:val="0"/>
                  <w:marTop w:val="0"/>
                  <w:marBottom w:val="0"/>
                  <w:divBdr>
                    <w:top w:val="none" w:sz="0" w:space="0" w:color="auto"/>
                    <w:left w:val="none" w:sz="0" w:space="0" w:color="auto"/>
                    <w:bottom w:val="none" w:sz="0" w:space="0" w:color="auto"/>
                    <w:right w:val="none" w:sz="0" w:space="0" w:color="auto"/>
                  </w:divBdr>
                  <w:divsChild>
                    <w:div w:id="2096706361">
                      <w:marLeft w:val="0"/>
                      <w:marRight w:val="0"/>
                      <w:marTop w:val="0"/>
                      <w:marBottom w:val="0"/>
                      <w:divBdr>
                        <w:top w:val="none" w:sz="0" w:space="0" w:color="auto"/>
                        <w:left w:val="none" w:sz="0" w:space="0" w:color="auto"/>
                        <w:bottom w:val="none" w:sz="0" w:space="0" w:color="auto"/>
                        <w:right w:val="none" w:sz="0" w:space="0" w:color="auto"/>
                      </w:divBdr>
                      <w:divsChild>
                        <w:div w:id="329481528">
                          <w:marLeft w:val="0"/>
                          <w:marRight w:val="0"/>
                          <w:marTop w:val="0"/>
                          <w:marBottom w:val="0"/>
                          <w:divBdr>
                            <w:top w:val="none" w:sz="0" w:space="0" w:color="auto"/>
                            <w:left w:val="none" w:sz="0" w:space="0" w:color="auto"/>
                            <w:bottom w:val="none" w:sz="0" w:space="0" w:color="auto"/>
                            <w:right w:val="none" w:sz="0" w:space="0" w:color="auto"/>
                          </w:divBdr>
                          <w:divsChild>
                            <w:div w:id="1992830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6919527">
      <w:bodyDiv w:val="1"/>
      <w:marLeft w:val="0"/>
      <w:marRight w:val="0"/>
      <w:marTop w:val="0"/>
      <w:marBottom w:val="0"/>
      <w:divBdr>
        <w:top w:val="none" w:sz="0" w:space="0" w:color="auto"/>
        <w:left w:val="none" w:sz="0" w:space="0" w:color="auto"/>
        <w:bottom w:val="none" w:sz="0" w:space="0" w:color="auto"/>
        <w:right w:val="none" w:sz="0" w:space="0" w:color="auto"/>
      </w:divBdr>
    </w:div>
    <w:div w:id="179126922">
      <w:bodyDiv w:val="1"/>
      <w:marLeft w:val="0"/>
      <w:marRight w:val="0"/>
      <w:marTop w:val="0"/>
      <w:marBottom w:val="0"/>
      <w:divBdr>
        <w:top w:val="none" w:sz="0" w:space="0" w:color="auto"/>
        <w:left w:val="none" w:sz="0" w:space="0" w:color="auto"/>
        <w:bottom w:val="none" w:sz="0" w:space="0" w:color="auto"/>
        <w:right w:val="none" w:sz="0" w:space="0" w:color="auto"/>
      </w:divBdr>
    </w:div>
    <w:div w:id="219903810">
      <w:bodyDiv w:val="1"/>
      <w:marLeft w:val="0"/>
      <w:marRight w:val="0"/>
      <w:marTop w:val="0"/>
      <w:marBottom w:val="0"/>
      <w:divBdr>
        <w:top w:val="none" w:sz="0" w:space="0" w:color="auto"/>
        <w:left w:val="none" w:sz="0" w:space="0" w:color="auto"/>
        <w:bottom w:val="none" w:sz="0" w:space="0" w:color="auto"/>
        <w:right w:val="none" w:sz="0" w:space="0" w:color="auto"/>
      </w:divBdr>
      <w:divsChild>
        <w:div w:id="210728983">
          <w:marLeft w:val="0"/>
          <w:marRight w:val="0"/>
          <w:marTop w:val="0"/>
          <w:marBottom w:val="0"/>
          <w:divBdr>
            <w:top w:val="single" w:sz="2" w:space="0" w:color="E5E7EB"/>
            <w:left w:val="single" w:sz="2" w:space="0" w:color="E5E7EB"/>
            <w:bottom w:val="single" w:sz="2" w:space="0" w:color="E5E7EB"/>
            <w:right w:val="single" w:sz="2" w:space="0" w:color="E5E7EB"/>
          </w:divBdr>
        </w:div>
        <w:div w:id="804201441">
          <w:marLeft w:val="0"/>
          <w:marRight w:val="0"/>
          <w:marTop w:val="0"/>
          <w:marBottom w:val="0"/>
          <w:divBdr>
            <w:top w:val="single" w:sz="2" w:space="0" w:color="E5E7EB"/>
            <w:left w:val="single" w:sz="2" w:space="0" w:color="E5E7EB"/>
            <w:bottom w:val="single" w:sz="2" w:space="0" w:color="E5E7EB"/>
            <w:right w:val="single" w:sz="2" w:space="0" w:color="E5E7EB"/>
          </w:divBdr>
          <w:divsChild>
            <w:div w:id="897980906">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263736052">
      <w:bodyDiv w:val="1"/>
      <w:marLeft w:val="0"/>
      <w:marRight w:val="0"/>
      <w:marTop w:val="0"/>
      <w:marBottom w:val="0"/>
      <w:divBdr>
        <w:top w:val="none" w:sz="0" w:space="0" w:color="auto"/>
        <w:left w:val="none" w:sz="0" w:space="0" w:color="auto"/>
        <w:bottom w:val="none" w:sz="0" w:space="0" w:color="auto"/>
        <w:right w:val="none" w:sz="0" w:space="0" w:color="auto"/>
      </w:divBdr>
    </w:div>
    <w:div w:id="278268553">
      <w:bodyDiv w:val="1"/>
      <w:marLeft w:val="0"/>
      <w:marRight w:val="0"/>
      <w:marTop w:val="0"/>
      <w:marBottom w:val="0"/>
      <w:divBdr>
        <w:top w:val="none" w:sz="0" w:space="0" w:color="auto"/>
        <w:left w:val="none" w:sz="0" w:space="0" w:color="auto"/>
        <w:bottom w:val="none" w:sz="0" w:space="0" w:color="auto"/>
        <w:right w:val="none" w:sz="0" w:space="0" w:color="auto"/>
      </w:divBdr>
    </w:div>
    <w:div w:id="540166650">
      <w:bodyDiv w:val="1"/>
      <w:marLeft w:val="0"/>
      <w:marRight w:val="0"/>
      <w:marTop w:val="0"/>
      <w:marBottom w:val="0"/>
      <w:divBdr>
        <w:top w:val="none" w:sz="0" w:space="0" w:color="auto"/>
        <w:left w:val="none" w:sz="0" w:space="0" w:color="auto"/>
        <w:bottom w:val="none" w:sz="0" w:space="0" w:color="auto"/>
        <w:right w:val="none" w:sz="0" w:space="0" w:color="auto"/>
      </w:divBdr>
    </w:div>
    <w:div w:id="572665966">
      <w:bodyDiv w:val="1"/>
      <w:marLeft w:val="0"/>
      <w:marRight w:val="0"/>
      <w:marTop w:val="0"/>
      <w:marBottom w:val="0"/>
      <w:divBdr>
        <w:top w:val="none" w:sz="0" w:space="0" w:color="auto"/>
        <w:left w:val="none" w:sz="0" w:space="0" w:color="auto"/>
        <w:bottom w:val="none" w:sz="0" w:space="0" w:color="auto"/>
        <w:right w:val="none" w:sz="0" w:space="0" w:color="auto"/>
      </w:divBdr>
    </w:div>
    <w:div w:id="703025317">
      <w:bodyDiv w:val="1"/>
      <w:marLeft w:val="0"/>
      <w:marRight w:val="0"/>
      <w:marTop w:val="0"/>
      <w:marBottom w:val="0"/>
      <w:divBdr>
        <w:top w:val="none" w:sz="0" w:space="0" w:color="auto"/>
        <w:left w:val="none" w:sz="0" w:space="0" w:color="auto"/>
        <w:bottom w:val="none" w:sz="0" w:space="0" w:color="auto"/>
        <w:right w:val="none" w:sz="0" w:space="0" w:color="auto"/>
      </w:divBdr>
    </w:div>
    <w:div w:id="722290496">
      <w:bodyDiv w:val="1"/>
      <w:marLeft w:val="0"/>
      <w:marRight w:val="0"/>
      <w:marTop w:val="0"/>
      <w:marBottom w:val="0"/>
      <w:divBdr>
        <w:top w:val="none" w:sz="0" w:space="0" w:color="auto"/>
        <w:left w:val="none" w:sz="0" w:space="0" w:color="auto"/>
        <w:bottom w:val="none" w:sz="0" w:space="0" w:color="auto"/>
        <w:right w:val="none" w:sz="0" w:space="0" w:color="auto"/>
      </w:divBdr>
    </w:div>
    <w:div w:id="857045252">
      <w:bodyDiv w:val="1"/>
      <w:marLeft w:val="0"/>
      <w:marRight w:val="0"/>
      <w:marTop w:val="0"/>
      <w:marBottom w:val="0"/>
      <w:divBdr>
        <w:top w:val="none" w:sz="0" w:space="0" w:color="auto"/>
        <w:left w:val="none" w:sz="0" w:space="0" w:color="auto"/>
        <w:bottom w:val="none" w:sz="0" w:space="0" w:color="auto"/>
        <w:right w:val="none" w:sz="0" w:space="0" w:color="auto"/>
      </w:divBdr>
    </w:div>
    <w:div w:id="949513549">
      <w:bodyDiv w:val="1"/>
      <w:marLeft w:val="0"/>
      <w:marRight w:val="0"/>
      <w:marTop w:val="0"/>
      <w:marBottom w:val="0"/>
      <w:divBdr>
        <w:top w:val="none" w:sz="0" w:space="0" w:color="auto"/>
        <w:left w:val="none" w:sz="0" w:space="0" w:color="auto"/>
        <w:bottom w:val="none" w:sz="0" w:space="0" w:color="auto"/>
        <w:right w:val="none" w:sz="0" w:space="0" w:color="auto"/>
      </w:divBdr>
      <w:divsChild>
        <w:div w:id="1897620645">
          <w:marLeft w:val="0"/>
          <w:marRight w:val="0"/>
          <w:marTop w:val="0"/>
          <w:marBottom w:val="0"/>
          <w:divBdr>
            <w:top w:val="none" w:sz="0" w:space="0" w:color="auto"/>
            <w:left w:val="none" w:sz="0" w:space="0" w:color="auto"/>
            <w:bottom w:val="none" w:sz="0" w:space="0" w:color="auto"/>
            <w:right w:val="none" w:sz="0" w:space="0" w:color="auto"/>
          </w:divBdr>
          <w:divsChild>
            <w:div w:id="1992368874">
              <w:marLeft w:val="0"/>
              <w:marRight w:val="0"/>
              <w:marTop w:val="0"/>
              <w:marBottom w:val="0"/>
              <w:divBdr>
                <w:top w:val="none" w:sz="0" w:space="0" w:color="auto"/>
                <w:left w:val="none" w:sz="0" w:space="0" w:color="auto"/>
                <w:bottom w:val="none" w:sz="0" w:space="0" w:color="auto"/>
                <w:right w:val="none" w:sz="0" w:space="0" w:color="auto"/>
              </w:divBdr>
              <w:divsChild>
                <w:div w:id="1238131308">
                  <w:marLeft w:val="0"/>
                  <w:marRight w:val="0"/>
                  <w:marTop w:val="0"/>
                  <w:marBottom w:val="0"/>
                  <w:divBdr>
                    <w:top w:val="none" w:sz="0" w:space="0" w:color="auto"/>
                    <w:left w:val="none" w:sz="0" w:space="0" w:color="auto"/>
                    <w:bottom w:val="none" w:sz="0" w:space="0" w:color="auto"/>
                    <w:right w:val="none" w:sz="0" w:space="0" w:color="auto"/>
                  </w:divBdr>
                  <w:divsChild>
                    <w:div w:id="1453093698">
                      <w:marLeft w:val="0"/>
                      <w:marRight w:val="0"/>
                      <w:marTop w:val="0"/>
                      <w:marBottom w:val="0"/>
                      <w:divBdr>
                        <w:top w:val="none" w:sz="0" w:space="0" w:color="auto"/>
                        <w:left w:val="none" w:sz="0" w:space="0" w:color="auto"/>
                        <w:bottom w:val="none" w:sz="0" w:space="0" w:color="auto"/>
                        <w:right w:val="none" w:sz="0" w:space="0" w:color="auto"/>
                      </w:divBdr>
                      <w:divsChild>
                        <w:div w:id="728919744">
                          <w:marLeft w:val="0"/>
                          <w:marRight w:val="0"/>
                          <w:marTop w:val="0"/>
                          <w:marBottom w:val="0"/>
                          <w:divBdr>
                            <w:top w:val="none" w:sz="0" w:space="0" w:color="auto"/>
                            <w:left w:val="none" w:sz="0" w:space="0" w:color="auto"/>
                            <w:bottom w:val="none" w:sz="0" w:space="0" w:color="auto"/>
                            <w:right w:val="none" w:sz="0" w:space="0" w:color="auto"/>
                          </w:divBdr>
                          <w:divsChild>
                            <w:div w:id="1870334561">
                              <w:marLeft w:val="0"/>
                              <w:marRight w:val="0"/>
                              <w:marTop w:val="0"/>
                              <w:marBottom w:val="0"/>
                              <w:divBdr>
                                <w:top w:val="none" w:sz="0" w:space="0" w:color="auto"/>
                                <w:left w:val="none" w:sz="0" w:space="0" w:color="auto"/>
                                <w:bottom w:val="none" w:sz="0" w:space="0" w:color="auto"/>
                                <w:right w:val="none" w:sz="0" w:space="0" w:color="auto"/>
                              </w:divBdr>
                              <w:divsChild>
                                <w:div w:id="363362779">
                                  <w:marLeft w:val="0"/>
                                  <w:marRight w:val="0"/>
                                  <w:marTop w:val="0"/>
                                  <w:marBottom w:val="0"/>
                                  <w:divBdr>
                                    <w:top w:val="none" w:sz="0" w:space="0" w:color="auto"/>
                                    <w:left w:val="none" w:sz="0" w:space="0" w:color="auto"/>
                                    <w:bottom w:val="none" w:sz="0" w:space="0" w:color="auto"/>
                                    <w:right w:val="none" w:sz="0" w:space="0" w:color="auto"/>
                                  </w:divBdr>
                                  <w:divsChild>
                                    <w:div w:id="1805999104">
                                      <w:marLeft w:val="0"/>
                                      <w:marRight w:val="0"/>
                                      <w:marTop w:val="0"/>
                                      <w:marBottom w:val="0"/>
                                      <w:divBdr>
                                        <w:top w:val="none" w:sz="0" w:space="0" w:color="auto"/>
                                        <w:left w:val="none" w:sz="0" w:space="0" w:color="auto"/>
                                        <w:bottom w:val="none" w:sz="0" w:space="0" w:color="auto"/>
                                        <w:right w:val="none" w:sz="0" w:space="0" w:color="auto"/>
                                      </w:divBdr>
                                      <w:divsChild>
                                        <w:div w:id="2099907317">
                                          <w:marLeft w:val="0"/>
                                          <w:marRight w:val="0"/>
                                          <w:marTop w:val="0"/>
                                          <w:marBottom w:val="0"/>
                                          <w:divBdr>
                                            <w:top w:val="none" w:sz="0" w:space="0" w:color="auto"/>
                                            <w:left w:val="none" w:sz="0" w:space="0" w:color="auto"/>
                                            <w:bottom w:val="none" w:sz="0" w:space="0" w:color="auto"/>
                                            <w:right w:val="none" w:sz="0" w:space="0" w:color="auto"/>
                                          </w:divBdr>
                                          <w:divsChild>
                                            <w:div w:id="1470201548">
                                              <w:marLeft w:val="0"/>
                                              <w:marRight w:val="0"/>
                                              <w:marTop w:val="0"/>
                                              <w:marBottom w:val="0"/>
                                              <w:divBdr>
                                                <w:top w:val="none" w:sz="0" w:space="0" w:color="auto"/>
                                                <w:left w:val="none" w:sz="0" w:space="0" w:color="auto"/>
                                                <w:bottom w:val="none" w:sz="0" w:space="0" w:color="auto"/>
                                                <w:right w:val="none" w:sz="0" w:space="0" w:color="auto"/>
                                              </w:divBdr>
                                              <w:divsChild>
                                                <w:div w:id="1007903510">
                                                  <w:marLeft w:val="0"/>
                                                  <w:marRight w:val="0"/>
                                                  <w:marTop w:val="0"/>
                                                  <w:marBottom w:val="0"/>
                                                  <w:divBdr>
                                                    <w:top w:val="none" w:sz="0" w:space="0" w:color="auto"/>
                                                    <w:left w:val="none" w:sz="0" w:space="0" w:color="auto"/>
                                                    <w:bottom w:val="none" w:sz="0" w:space="0" w:color="auto"/>
                                                    <w:right w:val="none" w:sz="0" w:space="0" w:color="auto"/>
                                                  </w:divBdr>
                                                  <w:divsChild>
                                                    <w:div w:id="1608460265">
                                                      <w:marLeft w:val="0"/>
                                                      <w:marRight w:val="0"/>
                                                      <w:marTop w:val="0"/>
                                                      <w:marBottom w:val="0"/>
                                                      <w:divBdr>
                                                        <w:top w:val="none" w:sz="0" w:space="0" w:color="auto"/>
                                                        <w:left w:val="none" w:sz="0" w:space="0" w:color="auto"/>
                                                        <w:bottom w:val="none" w:sz="0" w:space="0" w:color="auto"/>
                                                        <w:right w:val="none" w:sz="0" w:space="0" w:color="auto"/>
                                                      </w:divBdr>
                                                      <w:divsChild>
                                                        <w:div w:id="1733311852">
                                                          <w:marLeft w:val="0"/>
                                                          <w:marRight w:val="0"/>
                                                          <w:marTop w:val="0"/>
                                                          <w:marBottom w:val="0"/>
                                                          <w:divBdr>
                                                            <w:top w:val="none" w:sz="0" w:space="0" w:color="auto"/>
                                                            <w:left w:val="none" w:sz="0" w:space="0" w:color="auto"/>
                                                            <w:bottom w:val="none" w:sz="0" w:space="0" w:color="auto"/>
                                                            <w:right w:val="none" w:sz="0" w:space="0" w:color="auto"/>
                                                          </w:divBdr>
                                                          <w:divsChild>
                                                            <w:div w:id="609169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981695804">
      <w:bodyDiv w:val="1"/>
      <w:marLeft w:val="0"/>
      <w:marRight w:val="0"/>
      <w:marTop w:val="0"/>
      <w:marBottom w:val="0"/>
      <w:divBdr>
        <w:top w:val="none" w:sz="0" w:space="0" w:color="auto"/>
        <w:left w:val="none" w:sz="0" w:space="0" w:color="auto"/>
        <w:bottom w:val="none" w:sz="0" w:space="0" w:color="auto"/>
        <w:right w:val="none" w:sz="0" w:space="0" w:color="auto"/>
      </w:divBdr>
      <w:divsChild>
        <w:div w:id="210046481">
          <w:marLeft w:val="0"/>
          <w:marRight w:val="0"/>
          <w:marTop w:val="0"/>
          <w:marBottom w:val="0"/>
          <w:divBdr>
            <w:top w:val="none" w:sz="0" w:space="0" w:color="auto"/>
            <w:left w:val="none" w:sz="0" w:space="0" w:color="auto"/>
            <w:bottom w:val="none" w:sz="0" w:space="0" w:color="auto"/>
            <w:right w:val="none" w:sz="0" w:space="0" w:color="auto"/>
          </w:divBdr>
          <w:divsChild>
            <w:div w:id="1883446401">
              <w:marLeft w:val="0"/>
              <w:marRight w:val="0"/>
              <w:marTop w:val="0"/>
              <w:marBottom w:val="0"/>
              <w:divBdr>
                <w:top w:val="none" w:sz="0" w:space="0" w:color="auto"/>
                <w:left w:val="none" w:sz="0" w:space="0" w:color="auto"/>
                <w:bottom w:val="none" w:sz="0" w:space="0" w:color="auto"/>
                <w:right w:val="none" w:sz="0" w:space="0" w:color="auto"/>
              </w:divBdr>
              <w:divsChild>
                <w:div w:id="1811054537">
                  <w:marLeft w:val="0"/>
                  <w:marRight w:val="0"/>
                  <w:marTop w:val="0"/>
                  <w:marBottom w:val="0"/>
                  <w:divBdr>
                    <w:top w:val="none" w:sz="0" w:space="0" w:color="auto"/>
                    <w:left w:val="none" w:sz="0" w:space="0" w:color="auto"/>
                    <w:bottom w:val="none" w:sz="0" w:space="0" w:color="auto"/>
                    <w:right w:val="none" w:sz="0" w:space="0" w:color="auto"/>
                  </w:divBdr>
                  <w:divsChild>
                    <w:div w:id="426928165">
                      <w:marLeft w:val="0"/>
                      <w:marRight w:val="0"/>
                      <w:marTop w:val="0"/>
                      <w:marBottom w:val="0"/>
                      <w:divBdr>
                        <w:top w:val="none" w:sz="0" w:space="0" w:color="auto"/>
                        <w:left w:val="none" w:sz="0" w:space="0" w:color="auto"/>
                        <w:bottom w:val="none" w:sz="0" w:space="0" w:color="auto"/>
                        <w:right w:val="none" w:sz="0" w:space="0" w:color="auto"/>
                      </w:divBdr>
                      <w:divsChild>
                        <w:div w:id="1505826107">
                          <w:marLeft w:val="0"/>
                          <w:marRight w:val="0"/>
                          <w:marTop w:val="0"/>
                          <w:marBottom w:val="0"/>
                          <w:divBdr>
                            <w:top w:val="none" w:sz="0" w:space="0" w:color="auto"/>
                            <w:left w:val="none" w:sz="0" w:space="0" w:color="auto"/>
                            <w:bottom w:val="none" w:sz="0" w:space="0" w:color="auto"/>
                            <w:right w:val="none" w:sz="0" w:space="0" w:color="auto"/>
                          </w:divBdr>
                          <w:divsChild>
                            <w:div w:id="1670599735">
                              <w:marLeft w:val="0"/>
                              <w:marRight w:val="0"/>
                              <w:marTop w:val="0"/>
                              <w:marBottom w:val="0"/>
                              <w:divBdr>
                                <w:top w:val="none" w:sz="0" w:space="0" w:color="auto"/>
                                <w:left w:val="none" w:sz="0" w:space="0" w:color="auto"/>
                                <w:bottom w:val="none" w:sz="0" w:space="0" w:color="auto"/>
                                <w:right w:val="none" w:sz="0" w:space="0" w:color="auto"/>
                              </w:divBdr>
                              <w:divsChild>
                                <w:div w:id="620309289">
                                  <w:marLeft w:val="0"/>
                                  <w:marRight w:val="0"/>
                                  <w:marTop w:val="0"/>
                                  <w:marBottom w:val="0"/>
                                  <w:divBdr>
                                    <w:top w:val="none" w:sz="0" w:space="0" w:color="auto"/>
                                    <w:left w:val="none" w:sz="0" w:space="0" w:color="auto"/>
                                    <w:bottom w:val="none" w:sz="0" w:space="0" w:color="auto"/>
                                    <w:right w:val="none" w:sz="0" w:space="0" w:color="auto"/>
                                  </w:divBdr>
                                  <w:divsChild>
                                    <w:div w:id="1879126551">
                                      <w:marLeft w:val="0"/>
                                      <w:marRight w:val="0"/>
                                      <w:marTop w:val="0"/>
                                      <w:marBottom w:val="0"/>
                                      <w:divBdr>
                                        <w:top w:val="none" w:sz="0" w:space="0" w:color="auto"/>
                                        <w:left w:val="none" w:sz="0" w:space="0" w:color="auto"/>
                                        <w:bottom w:val="none" w:sz="0" w:space="0" w:color="auto"/>
                                        <w:right w:val="none" w:sz="0" w:space="0" w:color="auto"/>
                                      </w:divBdr>
                                      <w:divsChild>
                                        <w:div w:id="368603497">
                                          <w:marLeft w:val="0"/>
                                          <w:marRight w:val="0"/>
                                          <w:marTop w:val="0"/>
                                          <w:marBottom w:val="0"/>
                                          <w:divBdr>
                                            <w:top w:val="none" w:sz="0" w:space="0" w:color="auto"/>
                                            <w:left w:val="none" w:sz="0" w:space="0" w:color="auto"/>
                                            <w:bottom w:val="none" w:sz="0" w:space="0" w:color="auto"/>
                                            <w:right w:val="none" w:sz="0" w:space="0" w:color="auto"/>
                                          </w:divBdr>
                                          <w:divsChild>
                                            <w:div w:id="1551185984">
                                              <w:marLeft w:val="0"/>
                                              <w:marRight w:val="0"/>
                                              <w:marTop w:val="0"/>
                                              <w:marBottom w:val="0"/>
                                              <w:divBdr>
                                                <w:top w:val="none" w:sz="0" w:space="0" w:color="auto"/>
                                                <w:left w:val="none" w:sz="0" w:space="0" w:color="auto"/>
                                                <w:bottom w:val="none" w:sz="0" w:space="0" w:color="auto"/>
                                                <w:right w:val="none" w:sz="0" w:space="0" w:color="auto"/>
                                              </w:divBdr>
                                              <w:divsChild>
                                                <w:div w:id="490366782">
                                                  <w:marLeft w:val="0"/>
                                                  <w:marRight w:val="0"/>
                                                  <w:marTop w:val="0"/>
                                                  <w:marBottom w:val="0"/>
                                                  <w:divBdr>
                                                    <w:top w:val="none" w:sz="0" w:space="0" w:color="auto"/>
                                                    <w:left w:val="none" w:sz="0" w:space="0" w:color="auto"/>
                                                    <w:bottom w:val="none" w:sz="0" w:space="0" w:color="auto"/>
                                                    <w:right w:val="none" w:sz="0" w:space="0" w:color="auto"/>
                                                  </w:divBdr>
                                                  <w:divsChild>
                                                    <w:div w:id="894387109">
                                                      <w:marLeft w:val="0"/>
                                                      <w:marRight w:val="0"/>
                                                      <w:marTop w:val="0"/>
                                                      <w:marBottom w:val="0"/>
                                                      <w:divBdr>
                                                        <w:top w:val="none" w:sz="0" w:space="0" w:color="auto"/>
                                                        <w:left w:val="none" w:sz="0" w:space="0" w:color="auto"/>
                                                        <w:bottom w:val="none" w:sz="0" w:space="0" w:color="auto"/>
                                                        <w:right w:val="none" w:sz="0" w:space="0" w:color="auto"/>
                                                      </w:divBdr>
                                                      <w:divsChild>
                                                        <w:div w:id="2144420920">
                                                          <w:marLeft w:val="0"/>
                                                          <w:marRight w:val="0"/>
                                                          <w:marTop w:val="0"/>
                                                          <w:marBottom w:val="0"/>
                                                          <w:divBdr>
                                                            <w:top w:val="none" w:sz="0" w:space="0" w:color="auto"/>
                                                            <w:left w:val="none" w:sz="0" w:space="0" w:color="auto"/>
                                                            <w:bottom w:val="none" w:sz="0" w:space="0" w:color="auto"/>
                                                            <w:right w:val="none" w:sz="0" w:space="0" w:color="auto"/>
                                                          </w:divBdr>
                                                          <w:divsChild>
                                                            <w:div w:id="1621571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040476834">
      <w:bodyDiv w:val="1"/>
      <w:marLeft w:val="0"/>
      <w:marRight w:val="0"/>
      <w:marTop w:val="0"/>
      <w:marBottom w:val="0"/>
      <w:divBdr>
        <w:top w:val="none" w:sz="0" w:space="0" w:color="auto"/>
        <w:left w:val="none" w:sz="0" w:space="0" w:color="auto"/>
        <w:bottom w:val="none" w:sz="0" w:space="0" w:color="auto"/>
        <w:right w:val="none" w:sz="0" w:space="0" w:color="auto"/>
      </w:divBdr>
    </w:div>
    <w:div w:id="1176380918">
      <w:bodyDiv w:val="1"/>
      <w:marLeft w:val="0"/>
      <w:marRight w:val="0"/>
      <w:marTop w:val="0"/>
      <w:marBottom w:val="0"/>
      <w:divBdr>
        <w:top w:val="none" w:sz="0" w:space="0" w:color="auto"/>
        <w:left w:val="none" w:sz="0" w:space="0" w:color="auto"/>
        <w:bottom w:val="none" w:sz="0" w:space="0" w:color="auto"/>
        <w:right w:val="none" w:sz="0" w:space="0" w:color="auto"/>
      </w:divBdr>
    </w:div>
    <w:div w:id="1218083093">
      <w:bodyDiv w:val="1"/>
      <w:marLeft w:val="0"/>
      <w:marRight w:val="0"/>
      <w:marTop w:val="0"/>
      <w:marBottom w:val="0"/>
      <w:divBdr>
        <w:top w:val="none" w:sz="0" w:space="0" w:color="auto"/>
        <w:left w:val="none" w:sz="0" w:space="0" w:color="auto"/>
        <w:bottom w:val="none" w:sz="0" w:space="0" w:color="auto"/>
        <w:right w:val="none" w:sz="0" w:space="0" w:color="auto"/>
      </w:divBdr>
    </w:div>
    <w:div w:id="1351881584">
      <w:bodyDiv w:val="1"/>
      <w:marLeft w:val="0"/>
      <w:marRight w:val="0"/>
      <w:marTop w:val="0"/>
      <w:marBottom w:val="0"/>
      <w:divBdr>
        <w:top w:val="none" w:sz="0" w:space="0" w:color="auto"/>
        <w:left w:val="none" w:sz="0" w:space="0" w:color="auto"/>
        <w:bottom w:val="none" w:sz="0" w:space="0" w:color="auto"/>
        <w:right w:val="none" w:sz="0" w:space="0" w:color="auto"/>
      </w:divBdr>
    </w:div>
    <w:div w:id="1417942875">
      <w:bodyDiv w:val="1"/>
      <w:marLeft w:val="0"/>
      <w:marRight w:val="0"/>
      <w:marTop w:val="0"/>
      <w:marBottom w:val="0"/>
      <w:divBdr>
        <w:top w:val="none" w:sz="0" w:space="0" w:color="auto"/>
        <w:left w:val="none" w:sz="0" w:space="0" w:color="auto"/>
        <w:bottom w:val="none" w:sz="0" w:space="0" w:color="auto"/>
        <w:right w:val="none" w:sz="0" w:space="0" w:color="auto"/>
      </w:divBdr>
    </w:div>
    <w:div w:id="1456488684">
      <w:bodyDiv w:val="1"/>
      <w:marLeft w:val="0"/>
      <w:marRight w:val="0"/>
      <w:marTop w:val="0"/>
      <w:marBottom w:val="0"/>
      <w:divBdr>
        <w:top w:val="none" w:sz="0" w:space="0" w:color="auto"/>
        <w:left w:val="none" w:sz="0" w:space="0" w:color="auto"/>
        <w:bottom w:val="none" w:sz="0" w:space="0" w:color="auto"/>
        <w:right w:val="none" w:sz="0" w:space="0" w:color="auto"/>
      </w:divBdr>
    </w:div>
    <w:div w:id="1538853403">
      <w:bodyDiv w:val="1"/>
      <w:marLeft w:val="0"/>
      <w:marRight w:val="0"/>
      <w:marTop w:val="0"/>
      <w:marBottom w:val="0"/>
      <w:divBdr>
        <w:top w:val="none" w:sz="0" w:space="0" w:color="auto"/>
        <w:left w:val="none" w:sz="0" w:space="0" w:color="auto"/>
        <w:bottom w:val="none" w:sz="0" w:space="0" w:color="auto"/>
        <w:right w:val="none" w:sz="0" w:space="0" w:color="auto"/>
      </w:divBdr>
      <w:divsChild>
        <w:div w:id="661008597">
          <w:marLeft w:val="0"/>
          <w:marRight w:val="0"/>
          <w:marTop w:val="0"/>
          <w:marBottom w:val="0"/>
          <w:divBdr>
            <w:top w:val="single" w:sz="2" w:space="0" w:color="E5E7EB"/>
            <w:left w:val="single" w:sz="2" w:space="0" w:color="E5E7EB"/>
            <w:bottom w:val="single" w:sz="2" w:space="0" w:color="E5E7EB"/>
            <w:right w:val="single" w:sz="2" w:space="0" w:color="E5E7EB"/>
          </w:divBdr>
        </w:div>
        <w:div w:id="784428866">
          <w:marLeft w:val="0"/>
          <w:marRight w:val="0"/>
          <w:marTop w:val="0"/>
          <w:marBottom w:val="0"/>
          <w:divBdr>
            <w:top w:val="single" w:sz="2" w:space="0" w:color="E5E7EB"/>
            <w:left w:val="single" w:sz="2" w:space="0" w:color="E5E7EB"/>
            <w:bottom w:val="single" w:sz="2" w:space="0" w:color="E5E7EB"/>
            <w:right w:val="single" w:sz="2" w:space="0" w:color="E5E7EB"/>
          </w:divBdr>
          <w:divsChild>
            <w:div w:id="1721442307">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1600521680">
      <w:bodyDiv w:val="1"/>
      <w:marLeft w:val="0"/>
      <w:marRight w:val="0"/>
      <w:marTop w:val="0"/>
      <w:marBottom w:val="0"/>
      <w:divBdr>
        <w:top w:val="none" w:sz="0" w:space="0" w:color="auto"/>
        <w:left w:val="none" w:sz="0" w:space="0" w:color="auto"/>
        <w:bottom w:val="none" w:sz="0" w:space="0" w:color="auto"/>
        <w:right w:val="none" w:sz="0" w:space="0" w:color="auto"/>
      </w:divBdr>
    </w:div>
    <w:div w:id="1646006511">
      <w:bodyDiv w:val="1"/>
      <w:marLeft w:val="0"/>
      <w:marRight w:val="0"/>
      <w:marTop w:val="0"/>
      <w:marBottom w:val="0"/>
      <w:divBdr>
        <w:top w:val="none" w:sz="0" w:space="0" w:color="auto"/>
        <w:left w:val="none" w:sz="0" w:space="0" w:color="auto"/>
        <w:bottom w:val="none" w:sz="0" w:space="0" w:color="auto"/>
        <w:right w:val="none" w:sz="0" w:space="0" w:color="auto"/>
      </w:divBdr>
    </w:div>
    <w:div w:id="1683167799">
      <w:bodyDiv w:val="1"/>
      <w:marLeft w:val="0"/>
      <w:marRight w:val="0"/>
      <w:marTop w:val="0"/>
      <w:marBottom w:val="0"/>
      <w:divBdr>
        <w:top w:val="none" w:sz="0" w:space="0" w:color="auto"/>
        <w:left w:val="none" w:sz="0" w:space="0" w:color="auto"/>
        <w:bottom w:val="none" w:sz="0" w:space="0" w:color="auto"/>
        <w:right w:val="none" w:sz="0" w:space="0" w:color="auto"/>
      </w:divBdr>
    </w:div>
    <w:div w:id="1731267868">
      <w:bodyDiv w:val="1"/>
      <w:marLeft w:val="0"/>
      <w:marRight w:val="0"/>
      <w:marTop w:val="0"/>
      <w:marBottom w:val="0"/>
      <w:divBdr>
        <w:top w:val="none" w:sz="0" w:space="0" w:color="auto"/>
        <w:left w:val="none" w:sz="0" w:space="0" w:color="auto"/>
        <w:bottom w:val="none" w:sz="0" w:space="0" w:color="auto"/>
        <w:right w:val="none" w:sz="0" w:space="0" w:color="auto"/>
      </w:divBdr>
    </w:div>
    <w:div w:id="1758090686">
      <w:bodyDiv w:val="1"/>
      <w:marLeft w:val="0"/>
      <w:marRight w:val="0"/>
      <w:marTop w:val="0"/>
      <w:marBottom w:val="0"/>
      <w:divBdr>
        <w:top w:val="none" w:sz="0" w:space="0" w:color="auto"/>
        <w:left w:val="none" w:sz="0" w:space="0" w:color="auto"/>
        <w:bottom w:val="none" w:sz="0" w:space="0" w:color="auto"/>
        <w:right w:val="none" w:sz="0" w:space="0" w:color="auto"/>
      </w:divBdr>
    </w:div>
    <w:div w:id="1933317806">
      <w:bodyDiv w:val="1"/>
      <w:marLeft w:val="0"/>
      <w:marRight w:val="0"/>
      <w:marTop w:val="0"/>
      <w:marBottom w:val="0"/>
      <w:divBdr>
        <w:top w:val="none" w:sz="0" w:space="0" w:color="auto"/>
        <w:left w:val="none" w:sz="0" w:space="0" w:color="auto"/>
        <w:bottom w:val="none" w:sz="0" w:space="0" w:color="auto"/>
        <w:right w:val="none" w:sz="0" w:space="0" w:color="auto"/>
      </w:divBdr>
    </w:div>
    <w:div w:id="1983458289">
      <w:bodyDiv w:val="1"/>
      <w:marLeft w:val="0"/>
      <w:marRight w:val="0"/>
      <w:marTop w:val="0"/>
      <w:marBottom w:val="0"/>
      <w:divBdr>
        <w:top w:val="none" w:sz="0" w:space="0" w:color="auto"/>
        <w:left w:val="none" w:sz="0" w:space="0" w:color="auto"/>
        <w:bottom w:val="none" w:sz="0" w:space="0" w:color="auto"/>
        <w:right w:val="none" w:sz="0" w:space="0" w:color="auto"/>
      </w:divBdr>
    </w:div>
    <w:div w:id="2093310602">
      <w:bodyDiv w:val="1"/>
      <w:marLeft w:val="0"/>
      <w:marRight w:val="0"/>
      <w:marTop w:val="0"/>
      <w:marBottom w:val="0"/>
      <w:divBdr>
        <w:top w:val="none" w:sz="0" w:space="0" w:color="auto"/>
        <w:left w:val="none" w:sz="0" w:space="0" w:color="auto"/>
        <w:bottom w:val="none" w:sz="0" w:space="0" w:color="auto"/>
        <w:right w:val="none" w:sz="0" w:space="0" w:color="auto"/>
      </w:divBdr>
      <w:divsChild>
        <w:div w:id="1184705212">
          <w:marLeft w:val="0"/>
          <w:marRight w:val="0"/>
          <w:marTop w:val="0"/>
          <w:marBottom w:val="0"/>
          <w:divBdr>
            <w:top w:val="none" w:sz="0" w:space="0" w:color="auto"/>
            <w:left w:val="none" w:sz="0" w:space="0" w:color="auto"/>
            <w:bottom w:val="none" w:sz="0" w:space="0" w:color="auto"/>
            <w:right w:val="none" w:sz="0" w:space="0" w:color="auto"/>
          </w:divBdr>
          <w:divsChild>
            <w:div w:id="1537237901">
              <w:marLeft w:val="0"/>
              <w:marRight w:val="0"/>
              <w:marTop w:val="0"/>
              <w:marBottom w:val="0"/>
              <w:divBdr>
                <w:top w:val="none" w:sz="0" w:space="0" w:color="auto"/>
                <w:left w:val="none" w:sz="0" w:space="0" w:color="auto"/>
                <w:bottom w:val="none" w:sz="0" w:space="0" w:color="auto"/>
                <w:right w:val="none" w:sz="0" w:space="0" w:color="auto"/>
              </w:divBdr>
              <w:divsChild>
                <w:div w:id="1478298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3427019">
          <w:marLeft w:val="0"/>
          <w:marRight w:val="0"/>
          <w:marTop w:val="0"/>
          <w:marBottom w:val="0"/>
          <w:divBdr>
            <w:top w:val="none" w:sz="0" w:space="0" w:color="auto"/>
            <w:left w:val="none" w:sz="0" w:space="0" w:color="auto"/>
            <w:bottom w:val="none" w:sz="0" w:space="0" w:color="auto"/>
            <w:right w:val="none" w:sz="0" w:space="0" w:color="auto"/>
          </w:divBdr>
          <w:divsChild>
            <w:div w:id="672150124">
              <w:marLeft w:val="0"/>
              <w:marRight w:val="0"/>
              <w:marTop w:val="0"/>
              <w:marBottom w:val="0"/>
              <w:divBdr>
                <w:top w:val="none" w:sz="0" w:space="0" w:color="auto"/>
                <w:left w:val="none" w:sz="0" w:space="0" w:color="auto"/>
                <w:bottom w:val="none" w:sz="0" w:space="0" w:color="auto"/>
                <w:right w:val="none" w:sz="0" w:space="0" w:color="auto"/>
              </w:divBdr>
              <w:divsChild>
                <w:div w:id="278150076">
                  <w:marLeft w:val="0"/>
                  <w:marRight w:val="0"/>
                  <w:marTop w:val="0"/>
                  <w:marBottom w:val="0"/>
                  <w:divBdr>
                    <w:top w:val="none" w:sz="0" w:space="0" w:color="auto"/>
                    <w:left w:val="none" w:sz="0" w:space="0" w:color="auto"/>
                    <w:bottom w:val="none" w:sz="0" w:space="0" w:color="auto"/>
                    <w:right w:val="none" w:sz="0" w:space="0" w:color="auto"/>
                  </w:divBdr>
                  <w:divsChild>
                    <w:div w:id="1838643732">
                      <w:marLeft w:val="0"/>
                      <w:marRight w:val="0"/>
                      <w:marTop w:val="0"/>
                      <w:marBottom w:val="0"/>
                      <w:divBdr>
                        <w:top w:val="none" w:sz="0" w:space="0" w:color="auto"/>
                        <w:left w:val="none" w:sz="0" w:space="0" w:color="auto"/>
                        <w:bottom w:val="none" w:sz="0" w:space="0" w:color="auto"/>
                        <w:right w:val="none" w:sz="0" w:space="0" w:color="auto"/>
                      </w:divBdr>
                      <w:divsChild>
                        <w:div w:id="443158959">
                          <w:marLeft w:val="0"/>
                          <w:marRight w:val="0"/>
                          <w:marTop w:val="0"/>
                          <w:marBottom w:val="0"/>
                          <w:divBdr>
                            <w:top w:val="none" w:sz="0" w:space="0" w:color="auto"/>
                            <w:left w:val="none" w:sz="0" w:space="0" w:color="auto"/>
                            <w:bottom w:val="none" w:sz="0" w:space="0" w:color="auto"/>
                            <w:right w:val="none" w:sz="0" w:space="0" w:color="auto"/>
                          </w:divBdr>
                          <w:divsChild>
                            <w:div w:id="244387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chart" Target="charts/chart1.xml"/></Relationships>
</file>

<file path=word/_rels/footnotes.xml.rels><?xml version="1.0" encoding="UTF-8" standalone="yes"?>
<Relationships xmlns="http://schemas.openxmlformats.org/package/2006/relationships"><Relationship Id="rId13" Type="http://schemas.openxmlformats.org/officeDocument/2006/relationships/hyperlink" Target="https://likumi.lv/ta/id/324332-par-izglitibas-attistibas-pamatnostadnem-20212027-gadam" TargetMode="External"/><Relationship Id="rId18" Type="http://schemas.openxmlformats.org/officeDocument/2006/relationships/hyperlink" Target="https://titania.saeima.lv/LIVS14/saeimalivs14.nsf/0/B67C6E0B6FEF283EC2258A6E00507B6C?OpenDocument" TargetMode="External"/><Relationship Id="rId26" Type="http://schemas.openxmlformats.org/officeDocument/2006/relationships/hyperlink" Target="https://rm.coe.int/1680abe944" TargetMode="External"/><Relationship Id="rId3" Type="http://schemas.openxmlformats.org/officeDocument/2006/relationships/hyperlink" Target="https://www.lsm.lv/raksts/zinas/latvija/22.04.2024-drosibas-dienests-bridina-par-labeja-ekstremisma-radito-risku-pieaugumu-sabiedriba.a551340/" TargetMode="External"/><Relationship Id="rId21" Type="http://schemas.openxmlformats.org/officeDocument/2006/relationships/hyperlink" Target="https://www.satv.tiesa.gov.lv/wp-content/uploads/2020/07/2020-34-03_spriedums.pdf" TargetMode="External"/><Relationship Id="rId34" Type="http://schemas.openxmlformats.org/officeDocument/2006/relationships/hyperlink" Target="https://latvijaszurnalisti.lv/lza-aicina-knab-skaidrot-medijiem-izsutito-jautajumus-par-prieksvelesanu-saturu/" TargetMode="External"/><Relationship Id="rId7" Type="http://schemas.openxmlformats.org/officeDocument/2006/relationships/hyperlink" Target="https://www.vp.gov.lv/lv/jaunums/papildinats-par-seviski-smaga-nozieguma-izdarisanu-aiztureti-6-skinhedu-subkulturas-parstavji" TargetMode="External"/><Relationship Id="rId12" Type="http://schemas.openxmlformats.org/officeDocument/2006/relationships/hyperlink" Target="https://www.km.gov.lv/lv/media/35865/download?attachment" TargetMode="External"/><Relationship Id="rId17" Type="http://schemas.openxmlformats.org/officeDocument/2006/relationships/hyperlink" Target="https://titania.saeima.lv/LIVS14/saeimalivs14.nsf/0/D25C5D65D01EA5A9C2258A6E00512464?OpenDocument" TargetMode="External"/><Relationship Id="rId25" Type="http://schemas.openxmlformats.org/officeDocument/2006/relationships/hyperlink" Target="https://www.lsm.lv/raksts/zinas/latvija/ieksejas-drosibas-birojs-parbauda-zinas-par-vardarbibu-pret-irakiesiem-uz-robezas-ar-baltkrieviju.a462663/" TargetMode="External"/><Relationship Id="rId33" Type="http://schemas.openxmlformats.org/officeDocument/2006/relationships/hyperlink" Target="https://www.ifj.org/media-centre/news/detail/category/press-freedom/article/latvia-anti-corruption-bureaus-requests-to-media-outlets-ahead-of-municipal-election-threatens-editorial-independence" TargetMode="External"/><Relationship Id="rId2" Type="http://schemas.openxmlformats.org/officeDocument/2006/relationships/hyperlink" Target="https://www.ic.iem.gov.lv/lv/kriminala-statistika" TargetMode="External"/><Relationship Id="rId16" Type="http://schemas.openxmlformats.org/officeDocument/2006/relationships/hyperlink" Target="https://titania.saeima.lv/LIVS14/saeimalivs14.nsf/0/F3275831F10924A0C2258AA9002B6B98?OpenDocument" TargetMode="External"/><Relationship Id="rId20" Type="http://schemas.openxmlformats.org/officeDocument/2006/relationships/hyperlink" Target="https://titania.saeima.lv/LIVS14/saeimalivs14.nsf/0/195910ECBBF3FA28C2258A6E0050F5D8?OpenDocument" TargetMode="External"/><Relationship Id="rId29" Type="http://schemas.openxmlformats.org/officeDocument/2006/relationships/hyperlink" Target="https://rsf.org/en/rsf-and-its-partners-are-extremely-concerned-latvian-proposal-ban-russian-language-content-public" TargetMode="External"/><Relationship Id="rId1" Type="http://schemas.openxmlformats.org/officeDocument/2006/relationships/hyperlink" Target="https://www.iem.gov.lv/lv/media/9988/download?attachment" TargetMode="External"/><Relationship Id="rId6" Type="http://schemas.openxmlformats.org/officeDocument/2006/relationships/hyperlink" Target="https://eng.lsm.lv/article/society/crime/03.02.2024-indian-businessman-hospitalised-by-suspected-racist-attack-in-riga.a541494/" TargetMode="External"/><Relationship Id="rId11" Type="http://schemas.openxmlformats.org/officeDocument/2006/relationships/hyperlink" Target="https://m.juristavards.lv/zurnals/286530-aktualizets-skaidrojums-par-naida-noziegumu-kvalifikaciju/" TargetMode="External"/><Relationship Id="rId24" Type="http://schemas.openxmlformats.org/officeDocument/2006/relationships/hyperlink" Target="https://www.lsm.lv/raksts/zinas/latvija/tiesibsargs-amnesty-international-zinojums-par-latvijas-slikto-izturesanos-pret-migrantiem--meligs.a468734/" TargetMode="External"/><Relationship Id="rId32" Type="http://schemas.openxmlformats.org/officeDocument/2006/relationships/hyperlink" Target="https://www.lmepadome.lv/jaunumi/params/post/4294691/latvijas-mediju-etikas-padome-uzskata-par-nesamerigu-nedemokratisku-un-biro" TargetMode="External"/><Relationship Id="rId5" Type="http://schemas.openxmlformats.org/officeDocument/2006/relationships/hyperlink" Target="https://lvportals.lv/dienaskartiba/347788-valsts-policijas-strukturalas-reformas-turpinas-ar-parmainam-rigas-regiona-parvaldes-kriminalpolicijas-parvalde-2023" TargetMode="External"/><Relationship Id="rId15" Type="http://schemas.openxmlformats.org/officeDocument/2006/relationships/hyperlink" Target="https://www.km.gov.lv/lv/media/35865/download?attachment" TargetMode="External"/><Relationship Id="rId23" Type="http://schemas.openxmlformats.org/officeDocument/2006/relationships/hyperlink" Target="https://hudoc.echr.coe.int/eng" TargetMode="External"/><Relationship Id="rId28" Type="http://schemas.openxmlformats.org/officeDocument/2006/relationships/hyperlink" Target="https://fom.coe.int/en/alerte/detail/107640028" TargetMode="External"/><Relationship Id="rId10" Type="http://schemas.openxmlformats.org/officeDocument/2006/relationships/hyperlink" Target="https://eng.lsm.lv/article/features/features/26.06.2023-latvian-radio-investigates-lgbt-issues-in-eastern-latvia.a514236/" TargetMode="External"/><Relationship Id="rId19" Type="http://schemas.openxmlformats.org/officeDocument/2006/relationships/hyperlink" Target="https://titania.saeima.lv/LIVS14/saeimalivs14.nsf/0/546F9D28345ACCC0C2258A6E004FE76B?OpenDocument" TargetMode="External"/><Relationship Id="rId31" Type="http://schemas.openxmlformats.org/officeDocument/2006/relationships/hyperlink" Target="https://eng.lsm.lv/article/features/media-literacy/23.05.2023-media-watchdog-fines-news-portal-for-alleged-word-misuse.a509838/" TargetMode="External"/><Relationship Id="rId4" Type="http://schemas.openxmlformats.org/officeDocument/2006/relationships/hyperlink" Target="https://vdd.gov.lv/uploads/materials/40/en/annual-report-2024.pdf" TargetMode="External"/><Relationship Id="rId9" Type="http://schemas.openxmlformats.org/officeDocument/2006/relationships/hyperlink" Target="https://www.lsm.lv/raksts/zinas/latvija/02.09.2024-par-naida-noziegumu-notiesa-divus-skinhedus.a567201/" TargetMode="External"/><Relationship Id="rId14" Type="http://schemas.openxmlformats.org/officeDocument/2006/relationships/hyperlink" Target="https://likumi.lv/ta/id/325828-par-socialas-aizsardzibas-un-darba-tirgus-politikas-pamatnostadnem-2021-2027-gadam" TargetMode="External"/><Relationship Id="rId22" Type="http://schemas.openxmlformats.org/officeDocument/2006/relationships/hyperlink" Target="https://www.cvk.lv/lv/jaunums/tautas-nobalsosana-par-aptureta-likuma-grozijumi-notariata-likuma-atcelsanu-netiks-rikota" TargetMode="External"/><Relationship Id="rId27" Type="http://schemas.openxmlformats.org/officeDocument/2006/relationships/hyperlink" Target="https://eng.lsm.lv/article/society/society/03.10.2024-human-rights-activist-accused-of-organizing-illegal-border-crossing-in-latvia.a571162/" TargetMode="External"/><Relationship Id="rId30" Type="http://schemas.openxmlformats.org/officeDocument/2006/relationships/hyperlink" Target="https://www.vestnesis.lv/op/2023/189.1" TargetMode="External"/><Relationship Id="rId8" Type="http://schemas.openxmlformats.org/officeDocument/2006/relationships/hyperlink" Target="https://eng.lsm.lv/article/society/crime/12.08.2024-racist-attacks-on-delivery-drivers-more-common-than-they-seem-say-police.a564677/"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file:///C:\Users\angel\Downloads\statistika_eng.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lv-LV" sz="1400" b="1" i="0" u="none" strike="noStrike" kern="1200" spc="0" baseline="0">
                <a:solidFill>
                  <a:sysClr val="windowText" lastClr="000000">
                    <a:lumMod val="65000"/>
                    <a:lumOff val="35000"/>
                  </a:sysClr>
                </a:solidFill>
              </a:rPr>
              <a:t>Number of initiated criminal proceedings</a:t>
            </a:r>
          </a:p>
          <a:p>
            <a:pPr>
              <a:defRPr/>
            </a:pPr>
            <a:r>
              <a:rPr lang="lv-LV" sz="1100" b="1" i="0" u="none" strike="noStrike" kern="1200" spc="0" baseline="0">
                <a:solidFill>
                  <a:sysClr val="windowText" lastClr="000000">
                    <a:lumMod val="65000"/>
                    <a:lumOff val="35000"/>
                  </a:sysClr>
                </a:solidFill>
              </a:rPr>
              <a:t>Source: I</a:t>
            </a:r>
            <a:r>
              <a:rPr lang="en-GB" sz="1100" b="1" i="0" u="none" strike="noStrike" kern="1200" spc="0" baseline="0">
                <a:solidFill>
                  <a:sysClr val="windowText" lastClr="000000">
                    <a:lumMod val="65000"/>
                    <a:lumOff val="35000"/>
                  </a:sysClr>
                </a:solidFill>
                <a:effectLst/>
              </a:rPr>
              <a:t>nformation Centre of the Ministry of the Interior</a:t>
            </a:r>
            <a:r>
              <a:rPr lang="lv-LV" sz="1100" b="1" i="0" u="none" strike="noStrike" kern="1200" spc="0" baseline="0">
                <a:solidFill>
                  <a:sysClr val="windowText" lastClr="000000">
                    <a:lumMod val="65000"/>
                    <a:lumOff val="35000"/>
                  </a:sysClr>
                </a:solidFill>
                <a:effectLst/>
              </a:rPr>
              <a:t>, Criminal statistics </a:t>
            </a:r>
            <a:endParaRPr lang="en-GB" sz="1100" b="1" i="0" u="none" strike="noStrike" kern="1200" spc="0" baseline="0">
              <a:solidFill>
                <a:sysClr val="windowText" lastClr="000000">
                  <a:lumMod val="65000"/>
                  <a:lumOff val="35000"/>
                </a:sysClr>
              </a:solidFill>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[1]Sheet2!$D$6</c:f>
              <c:strCache>
                <c:ptCount val="1"/>
                <c:pt idx="0">
                  <c:v>Article 78</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[1]Sheet2!$E$5:$N$5</c:f>
              <c:numCache>
                <c:formatCode>General</c:formatCode>
                <c:ptCount val="10"/>
                <c:pt idx="0">
                  <c:v>2015</c:v>
                </c:pt>
                <c:pt idx="1">
                  <c:v>2016</c:v>
                </c:pt>
                <c:pt idx="2">
                  <c:v>2017</c:v>
                </c:pt>
                <c:pt idx="3">
                  <c:v>2018</c:v>
                </c:pt>
                <c:pt idx="4">
                  <c:v>2019</c:v>
                </c:pt>
                <c:pt idx="5">
                  <c:v>2020</c:v>
                </c:pt>
                <c:pt idx="6">
                  <c:v>2021</c:v>
                </c:pt>
                <c:pt idx="7">
                  <c:v>2022</c:v>
                </c:pt>
                <c:pt idx="8">
                  <c:v>2023</c:v>
                </c:pt>
                <c:pt idx="9">
                  <c:v>2024</c:v>
                </c:pt>
              </c:numCache>
            </c:numRef>
          </c:cat>
          <c:val>
            <c:numRef>
              <c:f>[1]Sheet2!$E$6:$N$6</c:f>
              <c:numCache>
                <c:formatCode>General</c:formatCode>
                <c:ptCount val="10"/>
                <c:pt idx="0">
                  <c:v>10</c:v>
                </c:pt>
                <c:pt idx="1">
                  <c:v>6</c:v>
                </c:pt>
                <c:pt idx="2">
                  <c:v>1</c:v>
                </c:pt>
                <c:pt idx="3">
                  <c:v>7</c:v>
                </c:pt>
                <c:pt idx="4">
                  <c:v>5</c:v>
                </c:pt>
                <c:pt idx="5">
                  <c:v>5</c:v>
                </c:pt>
                <c:pt idx="6">
                  <c:v>4</c:v>
                </c:pt>
                <c:pt idx="7">
                  <c:v>32</c:v>
                </c:pt>
                <c:pt idx="8">
                  <c:v>10</c:v>
                </c:pt>
                <c:pt idx="9">
                  <c:v>26</c:v>
                </c:pt>
              </c:numCache>
            </c:numRef>
          </c:val>
          <c:extLst>
            <c:ext xmlns:c16="http://schemas.microsoft.com/office/drawing/2014/chart" uri="{C3380CC4-5D6E-409C-BE32-E72D297353CC}">
              <c16:uniqueId val="{00000000-0D22-4351-849B-3AB620D2B446}"/>
            </c:ext>
          </c:extLst>
        </c:ser>
        <c:ser>
          <c:idx val="1"/>
          <c:order val="1"/>
          <c:tx>
            <c:strRef>
              <c:f>[1]Sheet2!$D$7</c:f>
              <c:strCache>
                <c:ptCount val="1"/>
                <c:pt idx="0">
                  <c:v>Article 150</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[1]Sheet2!$E$5:$N$5</c:f>
              <c:numCache>
                <c:formatCode>General</c:formatCode>
                <c:ptCount val="10"/>
                <c:pt idx="0">
                  <c:v>2015</c:v>
                </c:pt>
                <c:pt idx="1">
                  <c:v>2016</c:v>
                </c:pt>
                <c:pt idx="2">
                  <c:v>2017</c:v>
                </c:pt>
                <c:pt idx="3">
                  <c:v>2018</c:v>
                </c:pt>
                <c:pt idx="4">
                  <c:v>2019</c:v>
                </c:pt>
                <c:pt idx="5">
                  <c:v>2020</c:v>
                </c:pt>
                <c:pt idx="6">
                  <c:v>2021</c:v>
                </c:pt>
                <c:pt idx="7">
                  <c:v>2022</c:v>
                </c:pt>
                <c:pt idx="8">
                  <c:v>2023</c:v>
                </c:pt>
                <c:pt idx="9">
                  <c:v>2024</c:v>
                </c:pt>
              </c:numCache>
            </c:numRef>
          </c:cat>
          <c:val>
            <c:numRef>
              <c:f>[1]Sheet2!$E$7:$N$7</c:f>
              <c:numCache>
                <c:formatCode>General</c:formatCode>
                <c:ptCount val="10"/>
                <c:pt idx="0">
                  <c:v>1</c:v>
                </c:pt>
                <c:pt idx="1">
                  <c:v>5</c:v>
                </c:pt>
                <c:pt idx="2">
                  <c:v>2</c:v>
                </c:pt>
                <c:pt idx="3">
                  <c:v>0</c:v>
                </c:pt>
                <c:pt idx="4">
                  <c:v>2</c:v>
                </c:pt>
                <c:pt idx="5">
                  <c:v>11</c:v>
                </c:pt>
                <c:pt idx="6">
                  <c:v>6</c:v>
                </c:pt>
                <c:pt idx="7">
                  <c:v>6</c:v>
                </c:pt>
                <c:pt idx="8">
                  <c:v>1</c:v>
                </c:pt>
                <c:pt idx="9">
                  <c:v>4</c:v>
                </c:pt>
              </c:numCache>
            </c:numRef>
          </c:val>
          <c:extLst>
            <c:ext xmlns:c16="http://schemas.microsoft.com/office/drawing/2014/chart" uri="{C3380CC4-5D6E-409C-BE32-E72D297353CC}">
              <c16:uniqueId val="{00000001-0D22-4351-849B-3AB620D2B446}"/>
            </c:ext>
          </c:extLst>
        </c:ser>
        <c:ser>
          <c:idx val="2"/>
          <c:order val="2"/>
          <c:tx>
            <c:strRef>
              <c:f>[1]Sheet2!$D$8</c:f>
              <c:strCache>
                <c:ptCount val="1"/>
                <c:pt idx="0">
                  <c:v>Article 74.1</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[1]Sheet2!$E$5:$N$5</c:f>
              <c:numCache>
                <c:formatCode>General</c:formatCode>
                <c:ptCount val="10"/>
                <c:pt idx="0">
                  <c:v>2015</c:v>
                </c:pt>
                <c:pt idx="1">
                  <c:v>2016</c:v>
                </c:pt>
                <c:pt idx="2">
                  <c:v>2017</c:v>
                </c:pt>
                <c:pt idx="3">
                  <c:v>2018</c:v>
                </c:pt>
                <c:pt idx="4">
                  <c:v>2019</c:v>
                </c:pt>
                <c:pt idx="5">
                  <c:v>2020</c:v>
                </c:pt>
                <c:pt idx="6">
                  <c:v>2021</c:v>
                </c:pt>
                <c:pt idx="7">
                  <c:v>2022</c:v>
                </c:pt>
                <c:pt idx="8">
                  <c:v>2023</c:v>
                </c:pt>
                <c:pt idx="9">
                  <c:v>2024</c:v>
                </c:pt>
              </c:numCache>
            </c:numRef>
          </c:cat>
          <c:val>
            <c:numRef>
              <c:f>[1]Sheet2!$E$8:$N$8</c:f>
              <c:numCache>
                <c:formatCode>General</c:formatCode>
                <c:ptCount val="10"/>
                <c:pt idx="1">
                  <c:v>0</c:v>
                </c:pt>
                <c:pt idx="2">
                  <c:v>0</c:v>
                </c:pt>
                <c:pt idx="3">
                  <c:v>2</c:v>
                </c:pt>
                <c:pt idx="4">
                  <c:v>2</c:v>
                </c:pt>
                <c:pt idx="5">
                  <c:v>1</c:v>
                </c:pt>
                <c:pt idx="6">
                  <c:v>1</c:v>
                </c:pt>
                <c:pt idx="7">
                  <c:v>28</c:v>
                </c:pt>
                <c:pt idx="8">
                  <c:v>14</c:v>
                </c:pt>
                <c:pt idx="9">
                  <c:v>18</c:v>
                </c:pt>
              </c:numCache>
            </c:numRef>
          </c:val>
          <c:extLst>
            <c:ext xmlns:c16="http://schemas.microsoft.com/office/drawing/2014/chart" uri="{C3380CC4-5D6E-409C-BE32-E72D297353CC}">
              <c16:uniqueId val="{00000002-0D22-4351-849B-3AB620D2B446}"/>
            </c:ext>
          </c:extLst>
        </c:ser>
        <c:dLbls>
          <c:dLblPos val="outEnd"/>
          <c:showLegendKey val="0"/>
          <c:showVal val="1"/>
          <c:showCatName val="0"/>
          <c:showSerName val="0"/>
          <c:showPercent val="0"/>
          <c:showBubbleSize val="0"/>
        </c:dLbls>
        <c:gapWidth val="219"/>
        <c:overlap val="-27"/>
        <c:axId val="1245882015"/>
        <c:axId val="1245880575"/>
      </c:barChart>
      <c:catAx>
        <c:axId val="1245882015"/>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45880575"/>
        <c:crosses val="autoZero"/>
        <c:auto val="1"/>
        <c:lblAlgn val="ctr"/>
        <c:lblOffset val="100"/>
        <c:noMultiLvlLbl val="0"/>
      </c:catAx>
      <c:valAx>
        <c:axId val="1245880575"/>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45882015"/>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2AAB17-D513-473A-8BDE-B7BC6319F9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5780</Words>
  <Characters>32946</Characters>
  <Application>Microsoft Office Word</Application>
  <DocSecurity>0</DocSecurity>
  <Lines>274</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Anhelita Kamenska</dc:creator>
  <cp:keywords/>
  <dc:description/>
  <cp:lastModifiedBy>Anhelita Kamenska</cp:lastModifiedBy>
  <cp:revision>3</cp:revision>
  <dcterms:created xsi:type="dcterms:W3CDTF">2025-05-26T17:19:00Z</dcterms:created>
  <dcterms:modified xsi:type="dcterms:W3CDTF">2025-05-26T17:20:00Z</dcterms:modified>
</cp:coreProperties>
</file>