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5575C694" w14:textId="4BC743E7" w:rsidR="00337976" w:rsidRPr="00337976" w:rsidRDefault="00337976" w:rsidP="00BF0969">
      <w:pPr>
        <w:rPr>
          <w:b/>
          <w:sz w:val="28"/>
          <w:szCs w:val="28"/>
          <w:u w:val="single"/>
        </w:rPr>
      </w:pPr>
    </w:p>
    <w:p w14:paraId="22500A49" w14:textId="34B1289F" w:rsidR="00767639" w:rsidRDefault="00E24EB5" w:rsidP="00E24EB5">
      <w:pPr>
        <w:jc w:val="center"/>
      </w:pPr>
      <w:r w:rsidRPr="00FE1332">
        <w:rPr>
          <w:b/>
          <w:sz w:val="28"/>
          <w:szCs w:val="28"/>
        </w:rPr>
        <w:t>BRIEFING ON</w:t>
      </w:r>
      <w:r w:rsidR="00B36535">
        <w:rPr>
          <w:b/>
          <w:sz w:val="28"/>
          <w:szCs w:val="28"/>
        </w:rPr>
        <w:t xml:space="preserve"> </w:t>
      </w:r>
      <w:r w:rsidR="00A71E86">
        <w:rPr>
          <w:b/>
          <w:sz w:val="28"/>
          <w:szCs w:val="28"/>
          <w:u w:val="single"/>
        </w:rPr>
        <w:t>UNITED ARAB EMIRATES</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A50D4">
        <w:rPr>
          <w:b/>
          <w:sz w:val="28"/>
          <w:szCs w:val="28"/>
          <w:u w:val="single"/>
        </w:rPr>
        <w:t>February 201</w:t>
      </w:r>
      <w:r w:rsidR="00C80D14">
        <w:rPr>
          <w:b/>
          <w:sz w:val="28"/>
          <w:szCs w:val="28"/>
          <w:u w:val="single"/>
        </w:rPr>
        <w:t>5</w:t>
      </w:r>
    </w:p>
    <w:p w14:paraId="73A76949" w14:textId="77777777"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14:paraId="787EFC65" w14:textId="77777777" w:rsidR="00065B23" w:rsidRDefault="002A4BF8" w:rsidP="00E24EB5">
      <w:pPr>
        <w:jc w:val="center"/>
        <w:rPr>
          <w:rStyle w:val="Hyperlink"/>
          <w:i/>
        </w:rPr>
      </w:pPr>
      <w:hyperlink r:id="rId13" w:history="1">
        <w:r w:rsidR="00767639">
          <w:rPr>
            <w:rStyle w:val="Hyperlink"/>
            <w:i/>
          </w:rPr>
          <w:t>info@endcorporalpunishment.org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2004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200400"/>
                        </a:xfrm>
                        <a:prstGeom prst="rect">
                          <a:avLst/>
                        </a:prstGeom>
                        <a:solidFill>
                          <a:srgbClr val="FFFFFF"/>
                        </a:solidFill>
                        <a:ln w="9525">
                          <a:solidFill>
                            <a:srgbClr val="000000"/>
                          </a:solidFill>
                          <a:miter lim="800000"/>
                          <a:headEnd/>
                          <a:tailEnd/>
                        </a:ln>
                      </wps:spPr>
                      <wps:txbx>
                        <w:txbxContent>
                          <w:p w14:paraId="1504B5FD" w14:textId="6E84D2AB" w:rsidR="000A7C30" w:rsidRPr="00BD0C3F" w:rsidRDefault="000A7C30"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the United Arab Emirates</w:t>
                            </w:r>
                            <w:r w:rsidRPr="00BD0C3F">
                              <w:rPr>
                                <w:b/>
                                <w:sz w:val="26"/>
                                <w:szCs w:val="26"/>
                              </w:rPr>
                              <w:t xml:space="preserve">. In light of the Committee’s General Comment No. 8 on “The right of the child to protection from corporal punishment and other cruel or degrading forms of punishment”, </w:t>
                            </w:r>
                            <w:r>
                              <w:rPr>
                                <w:b/>
                                <w:sz w:val="26"/>
                                <w:szCs w:val="26"/>
                              </w:rPr>
                              <w:t xml:space="preserve">the Committee’s previous recommendations on the issue and recommendations made during the UPR in 2008 and 2013,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5D9B29EA" w:rsidR="000A7C30" w:rsidRPr="00BD0C3F" w:rsidRDefault="000A7C30" w:rsidP="001C0859">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the United Arab Emirates</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prohibiting corporal punishment of children in all settings, including in the home,</w:t>
                            </w:r>
                          </w:p>
                          <w:p w14:paraId="07E8AD91" w14:textId="7892CB73" w:rsidR="000A7C30" w:rsidRPr="000B7AB8" w:rsidRDefault="000A7C30"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 xml:space="preserve">second/third </w:t>
                            </w:r>
                            <w:r w:rsidRPr="000B7AB8">
                              <w:rPr>
                                <w:b/>
                                <w:iCs/>
                                <w:sz w:val="26"/>
                                <w:szCs w:val="26"/>
                              </w:rPr>
                              <w:t xml:space="preserve">report of </w:t>
                            </w:r>
                            <w:r>
                              <w:rPr>
                                <w:b/>
                                <w:iCs/>
                                <w:sz w:val="26"/>
                                <w:szCs w:val="26"/>
                              </w:rPr>
                              <w:t>the United Arab Emirates</w:t>
                            </w:r>
                            <w:r w:rsidRPr="000B7AB8">
                              <w:rPr>
                                <w:b/>
                                <w:iCs/>
                                <w:sz w:val="26"/>
                                <w:szCs w:val="26"/>
                              </w:rPr>
                              <w:t xml:space="preserve">, </w:t>
                            </w:r>
                            <w:r>
                              <w:rPr>
                                <w:b/>
                                <w:sz w:val="26"/>
                                <w:szCs w:val="26"/>
                              </w:rPr>
                              <w:t>recommend</w:t>
                            </w:r>
                            <w:r w:rsidRPr="000B7AB8">
                              <w:rPr>
                                <w:b/>
                                <w:sz w:val="26"/>
                                <w:szCs w:val="26"/>
                              </w:rPr>
                              <w:t xml:space="preserve"> that </w:t>
                            </w:r>
                            <w:r>
                              <w:rPr>
                                <w:b/>
                                <w:sz w:val="26"/>
                                <w:szCs w:val="26"/>
                              </w:rPr>
                              <w:t>corporal punishment be prohibited by law in the home and all other settings and that the parental right of chastisement in article 53 of the Penal Code be explicitly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5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">
                <v:textbox style="mso-fit-shape-to-text:t">
                  <w:txbxContent>
                    <w:p w14:paraId="1504B5FD" w14:textId="6E84D2AB" w:rsidR="000A7C30" w:rsidRPr="00BD0C3F" w:rsidRDefault="000A7C30"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the United Arab Emirates</w:t>
                      </w:r>
                      <w:r w:rsidRPr="00BD0C3F">
                        <w:rPr>
                          <w:b/>
                          <w:sz w:val="26"/>
                          <w:szCs w:val="26"/>
                        </w:rPr>
                        <w:t xml:space="preserve">. In light of the Committee’s General Comment No. 8 on “The right of the child to protection from corporal punishment and other cruel or degrading forms of punishment”, </w:t>
                      </w:r>
                      <w:r>
                        <w:rPr>
                          <w:b/>
                          <w:sz w:val="26"/>
                          <w:szCs w:val="26"/>
                        </w:rPr>
                        <w:t xml:space="preserve">the Committee’s previous recommendations on the issue and recommendations made during the UPR in 2008 and 2013, </w:t>
                      </w:r>
                      <w:r w:rsidRPr="00BD0C3F">
                        <w:rPr>
                          <w:b/>
                          <w:sz w:val="26"/>
                          <w:szCs w:val="26"/>
                        </w:rPr>
                        <w:t>the importance of eradicating this form of violence given by the UN Secretary General’s Study on Violence against Children, w</w:t>
                      </w:r>
                      <w:r w:rsidRPr="00BD0C3F">
                        <w:rPr>
                          <w:b/>
                          <w:iCs/>
                          <w:sz w:val="26"/>
                          <w:szCs w:val="26"/>
                        </w:rPr>
                        <w:t>e hope the Committee will:</w:t>
                      </w:r>
                    </w:p>
                    <w:p w14:paraId="70C670F7" w14:textId="5D9B29EA" w:rsidR="000A7C30" w:rsidRPr="00BD0C3F" w:rsidRDefault="000A7C30" w:rsidP="001C0859">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the United Arab Emirates</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prohibiting corporal punishment of children in all settings, including in the home,</w:t>
                      </w:r>
                    </w:p>
                    <w:p w14:paraId="07E8AD91" w14:textId="7892CB73" w:rsidR="000A7C30" w:rsidRPr="000B7AB8" w:rsidRDefault="000A7C30"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 xml:space="preserve">second/third </w:t>
                      </w:r>
                      <w:r w:rsidRPr="000B7AB8">
                        <w:rPr>
                          <w:b/>
                          <w:iCs/>
                          <w:sz w:val="26"/>
                          <w:szCs w:val="26"/>
                        </w:rPr>
                        <w:t xml:space="preserve">report of </w:t>
                      </w:r>
                      <w:r>
                        <w:rPr>
                          <w:b/>
                          <w:iCs/>
                          <w:sz w:val="26"/>
                          <w:szCs w:val="26"/>
                        </w:rPr>
                        <w:t>the United Arab Emirates</w:t>
                      </w:r>
                      <w:r w:rsidRPr="000B7AB8">
                        <w:rPr>
                          <w:b/>
                          <w:iCs/>
                          <w:sz w:val="26"/>
                          <w:szCs w:val="26"/>
                        </w:rPr>
                        <w:t xml:space="preserve">, </w:t>
                      </w:r>
                      <w:r>
                        <w:rPr>
                          <w:b/>
                          <w:sz w:val="26"/>
                          <w:szCs w:val="26"/>
                        </w:rPr>
                        <w:t>recommend</w:t>
                      </w:r>
                      <w:r w:rsidRPr="000B7AB8">
                        <w:rPr>
                          <w:b/>
                          <w:sz w:val="26"/>
                          <w:szCs w:val="26"/>
                        </w:rPr>
                        <w:t xml:space="preserve"> that </w:t>
                      </w:r>
                      <w:r>
                        <w:rPr>
                          <w:b/>
                          <w:sz w:val="26"/>
                          <w:szCs w:val="26"/>
                        </w:rPr>
                        <w:t>corporal punishment be prohibited by law in the home and all other settings and that the parental right of chastisement in article 53 of the Penal Code be explicitly repealed.</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4EFD2482" w:rsidR="008B273F" w:rsidRPr="00F01BFF" w:rsidRDefault="00B9701A" w:rsidP="00B9701A">
      <w:pPr>
        <w:spacing w:after="120"/>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A71E86">
        <w:rPr>
          <w:b/>
          <w:sz w:val="28"/>
          <w:szCs w:val="28"/>
        </w:rPr>
        <w:t>the United Arab Emirates</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2332182" w14:textId="3037E409" w:rsidR="006D039B" w:rsidRDefault="002C03E0" w:rsidP="002C03E0">
      <w:pPr>
        <w:pStyle w:val="Header"/>
        <w:spacing w:after="120"/>
        <w:ind w:left="482" w:hanging="482"/>
      </w:pPr>
      <w:r>
        <w:t xml:space="preserve">1.1 </w:t>
      </w:r>
      <w:r w:rsidR="00A71E86">
        <w:t>At the time of preparing this briefing, t</w:t>
      </w:r>
      <w:r w:rsidR="00554CE8">
        <w:t xml:space="preserve">he second/third report of </w:t>
      </w:r>
      <w:r w:rsidR="00A71E86">
        <w:t>UAE to the Committee on the Rights of the Child is available only in Arabic.</w:t>
      </w:r>
    </w:p>
    <w:p w14:paraId="1C1C933C" w14:textId="77777777" w:rsidR="007709F0" w:rsidRPr="00F318C2" w:rsidRDefault="007709F0" w:rsidP="002C03E0">
      <w:pPr>
        <w:spacing w:after="120"/>
        <w:ind w:left="482" w:hanging="482"/>
      </w:pPr>
    </w:p>
    <w:p w14:paraId="001C6B0F" w14:textId="31A3FB9E" w:rsidR="008B273F" w:rsidRPr="00F01BFF" w:rsidRDefault="00EB388E" w:rsidP="005E7FE5">
      <w:pPr>
        <w:spacing w:after="120"/>
        <w:ind w:left="482" w:hanging="482"/>
        <w:rPr>
          <w:sz w:val="28"/>
          <w:szCs w:val="28"/>
        </w:rPr>
      </w:pPr>
      <w:r>
        <w:rPr>
          <w:b/>
          <w:sz w:val="28"/>
          <w:szCs w:val="28"/>
        </w:rPr>
        <w:t xml:space="preserve">2 The legality </w:t>
      </w:r>
      <w:r w:rsidR="008B273F">
        <w:rPr>
          <w:b/>
          <w:sz w:val="28"/>
          <w:szCs w:val="28"/>
        </w:rPr>
        <w:t>of c</w:t>
      </w:r>
      <w:r w:rsidR="008B273F" w:rsidRPr="00F01BFF">
        <w:rPr>
          <w:b/>
          <w:sz w:val="28"/>
          <w:szCs w:val="28"/>
        </w:rPr>
        <w:t xml:space="preserve">orporal punishment of children in </w:t>
      </w:r>
      <w:r w:rsidR="00A71E86">
        <w:rPr>
          <w:b/>
          <w:sz w:val="28"/>
          <w:szCs w:val="28"/>
        </w:rPr>
        <w:t>the United Arab Emirates</w:t>
      </w:r>
    </w:p>
    <w:p w14:paraId="5D43CBEE" w14:textId="32D0A459" w:rsidR="00C05A6B" w:rsidRPr="00E66E76" w:rsidRDefault="005E7FE5" w:rsidP="000A7C30">
      <w:pPr>
        <w:spacing w:after="120"/>
        <w:ind w:left="482" w:hanging="482"/>
      </w:pPr>
      <w:r w:rsidRPr="00E66E76">
        <w:t>2</w:t>
      </w:r>
      <w:r w:rsidR="00E105D0" w:rsidRPr="00E66E76">
        <w:t xml:space="preserve">.1 </w:t>
      </w:r>
      <w:r w:rsidR="00E105D0" w:rsidRPr="002A4BF8">
        <w:rPr>
          <w:b/>
          <w:i/>
        </w:rPr>
        <w:t>Summary:</w:t>
      </w:r>
      <w:r w:rsidR="002E70F4" w:rsidRPr="00E66E76">
        <w:t xml:space="preserve"> </w:t>
      </w:r>
      <w:r w:rsidR="00E66E76" w:rsidRPr="00E66E76">
        <w:t xml:space="preserve">Corporal punishment of children in </w:t>
      </w:r>
      <w:r w:rsidR="00D313EB">
        <w:t>the United Arab Emirates is unlawful in schools and possibly in penal institutions but it is lawful in the home, alternative care setting</w:t>
      </w:r>
      <w:r w:rsidR="000A7C30">
        <w:t>s</w:t>
      </w:r>
      <w:r w:rsidR="00BF0969">
        <w:t xml:space="preserve"> and</w:t>
      </w:r>
      <w:r w:rsidR="00D313EB">
        <w:t xml:space="preserve"> day care and as a sentence for crime under Shari</w:t>
      </w:r>
      <w:r w:rsidR="00BF0969">
        <w:t>’</w:t>
      </w:r>
      <w:r w:rsidR="00D313EB">
        <w:t>a law</w:t>
      </w:r>
      <w:r w:rsidR="00EB388E">
        <w:t>.</w:t>
      </w:r>
    </w:p>
    <w:p w14:paraId="0BEF6F8A" w14:textId="7B3CD1F0" w:rsidR="000A7C30" w:rsidRDefault="002E70F4" w:rsidP="000A7C30">
      <w:pPr>
        <w:autoSpaceDE w:val="0"/>
        <w:autoSpaceDN w:val="0"/>
        <w:adjustRightInd w:val="0"/>
        <w:spacing w:after="120"/>
        <w:ind w:left="482" w:hanging="482"/>
      </w:pPr>
      <w:r w:rsidRPr="00E66E76">
        <w:t xml:space="preserve">2.2 </w:t>
      </w:r>
      <w:r w:rsidRPr="002A4BF8">
        <w:rPr>
          <w:b/>
          <w:i/>
        </w:rPr>
        <w:t>Home (</w:t>
      </w:r>
      <w:r w:rsidRPr="002A4BF8">
        <w:rPr>
          <w:b/>
          <w:i/>
          <w:u w:val="single"/>
        </w:rPr>
        <w:t>lawful</w:t>
      </w:r>
      <w:r w:rsidRPr="002A4BF8">
        <w:rPr>
          <w:b/>
          <w:i/>
        </w:rPr>
        <w:t>):</w:t>
      </w:r>
      <w:r w:rsidRPr="00E66E76">
        <w:t xml:space="preserve"> </w:t>
      </w:r>
      <w:r w:rsidR="000A7C30" w:rsidRPr="00BD0C7D">
        <w:t xml:space="preserve">The Penal Code 1987 </w:t>
      </w:r>
      <w:r w:rsidR="000A7C30">
        <w:t xml:space="preserve">states in article 53: “There is no crime if the act takes place in good faith in the use of a right provided for in the law and within the limits set for such right. </w:t>
      </w:r>
      <w:r w:rsidR="000A7C30">
        <w:lastRenderedPageBreak/>
        <w:t xml:space="preserve">The following shall be considered as a use of right: (1) Chastisement by a husband to his wife and chastisement of the parents, or whoever acts in their stead, to the minor children within the limits prescribed by Shari’a or by law….” Article 59 states: “Exceeding the legitimate limits in good faith shall be considered an extenuating excuse and a judgment of acquittal may be rendered if deemed appropriate by the judge.” A </w:t>
      </w:r>
      <w:r w:rsidR="000A7C30" w:rsidRPr="00BD0C7D">
        <w:t>2010 judgment by the Federal Supreme Court reportedly upheld a husband’s right to “chastise” his wife and children provided that beating and other forms of puni</w:t>
      </w:r>
      <w:r w:rsidR="000A7C30">
        <w:t>shment leave no physical marks</w:t>
      </w:r>
      <w:r w:rsidR="000A7C30" w:rsidRPr="00BD0C7D">
        <w:t>.</w:t>
      </w:r>
      <w:r w:rsidR="000A7C30">
        <w:rPr>
          <w:rStyle w:val="FootnoteReference"/>
        </w:rPr>
        <w:footnoteReference w:id="1"/>
      </w:r>
      <w:r w:rsidR="000A7C30" w:rsidRPr="00BD0C7D">
        <w:t xml:space="preserve"> </w:t>
      </w:r>
    </w:p>
    <w:p w14:paraId="6110E876" w14:textId="6AE5B6ED" w:rsidR="00E66E76" w:rsidRPr="006303D1" w:rsidRDefault="000A7C30" w:rsidP="000A7C30">
      <w:pPr>
        <w:autoSpaceDE w:val="0"/>
        <w:autoSpaceDN w:val="0"/>
        <w:adjustRightInd w:val="0"/>
        <w:spacing w:after="120"/>
        <w:ind w:left="482" w:hanging="482"/>
      </w:pPr>
      <w:r>
        <w:t>2.3 In January 2014, the Federal National Council passed the Child Rights Law; as a</w:t>
      </w:r>
      <w:r w:rsidR="00BF0969">
        <w:t>t September 2014, the new Law was</w:t>
      </w:r>
      <w:r>
        <w:t xml:space="preserve"> awaiting final approval from the President before publication in the Official Gazette.</w:t>
      </w:r>
      <w:r>
        <w:rPr>
          <w:rStyle w:val="FootnoteReference"/>
        </w:rPr>
        <w:footnoteReference w:id="2"/>
      </w:r>
      <w:r>
        <w:t xml:space="preserve"> The Law reportedly protects children from all forms of violence.</w:t>
      </w:r>
      <w:r>
        <w:rPr>
          <w:rStyle w:val="FootnoteReference"/>
        </w:rPr>
        <w:footnoteReference w:id="3"/>
      </w:r>
      <w:r>
        <w:t xml:space="preserve"> We have yet to establish if it prohibits corporal punishment but have seen no indications that it includes prohibition </w:t>
      </w:r>
      <w:r w:rsidR="00BF0969">
        <w:t>or</w:t>
      </w:r>
      <w:r>
        <w:t xml:space="preserve"> that it repeals the right of chastisement.</w:t>
      </w:r>
    </w:p>
    <w:p w14:paraId="655917AD" w14:textId="62F215D1" w:rsidR="000A7C30" w:rsidRPr="00BD0C7D" w:rsidRDefault="00DA50D4" w:rsidP="000A7C30">
      <w:pPr>
        <w:spacing w:after="120"/>
        <w:ind w:left="482" w:hanging="482"/>
      </w:pPr>
      <w:r w:rsidRPr="00E66E76">
        <w:t>2.</w:t>
      </w:r>
      <w:r w:rsidR="000A7C30">
        <w:t>4</w:t>
      </w:r>
      <w:r w:rsidRPr="00E66E76">
        <w:t xml:space="preserve"> </w:t>
      </w:r>
      <w:r w:rsidRPr="002A4BF8">
        <w:rPr>
          <w:b/>
          <w:i/>
        </w:rPr>
        <w:t>Alternative care settings (</w:t>
      </w:r>
      <w:r w:rsidR="00EB388E" w:rsidRPr="002A4BF8">
        <w:rPr>
          <w:b/>
          <w:i/>
          <w:u w:val="single"/>
        </w:rPr>
        <w:t>lawful</w:t>
      </w:r>
      <w:r w:rsidRPr="002A4BF8">
        <w:rPr>
          <w:b/>
          <w:i/>
        </w:rPr>
        <w:t>):</w:t>
      </w:r>
      <w:r w:rsidRPr="00E66E76">
        <w:rPr>
          <w:i/>
        </w:rPr>
        <w:t xml:space="preserve"> </w:t>
      </w:r>
      <w:r w:rsidR="000A7C30" w:rsidRPr="00BD0C7D">
        <w:t xml:space="preserve">There is no explicit prohibition of corporal punishment in alternative care settings, where corporal punishment is lawful as for parents </w:t>
      </w:r>
      <w:r w:rsidR="000A7C30">
        <w:t>under the right of chastisement in article 53 of the Penal Code 1987</w:t>
      </w:r>
      <w:r w:rsidR="000A7C30" w:rsidRPr="00BD0C7D">
        <w:t>.</w:t>
      </w:r>
    </w:p>
    <w:p w14:paraId="77CF33A6" w14:textId="46C54729" w:rsidR="00EB388E" w:rsidRPr="005475F0" w:rsidRDefault="00DA50D4" w:rsidP="000A7C30">
      <w:pPr>
        <w:spacing w:after="120"/>
        <w:ind w:left="482" w:hanging="482"/>
      </w:pPr>
      <w:r w:rsidRPr="00E66E76">
        <w:t>2.</w:t>
      </w:r>
      <w:r w:rsidR="000A7C30">
        <w:t>5</w:t>
      </w:r>
      <w:r w:rsidRPr="00E66E76">
        <w:t xml:space="preserve"> </w:t>
      </w:r>
      <w:r w:rsidRPr="002A4BF8">
        <w:rPr>
          <w:b/>
          <w:i/>
        </w:rPr>
        <w:t>Day care (</w:t>
      </w:r>
      <w:r w:rsidR="00EB388E" w:rsidRPr="002A4BF8">
        <w:rPr>
          <w:b/>
          <w:i/>
          <w:u w:val="single"/>
        </w:rPr>
        <w:t>lawful</w:t>
      </w:r>
      <w:r w:rsidRPr="002A4BF8">
        <w:rPr>
          <w:b/>
          <w:i/>
        </w:rPr>
        <w:t>):</w:t>
      </w:r>
      <w:r w:rsidRPr="00E66E76">
        <w:rPr>
          <w:i/>
        </w:rPr>
        <w:t xml:space="preserve"> </w:t>
      </w:r>
      <w:r w:rsidR="000A7C30" w:rsidRPr="00BD0C7D">
        <w:t>There is no explicit prohibition of corporal punishment in early childhood care or in day care for older children.</w:t>
      </w:r>
      <w:r w:rsidR="000A7C30">
        <w:t xml:space="preserve"> It is lawful as for parents under the right of chastisement in article 53 of the Penal Code 1987.</w:t>
      </w:r>
    </w:p>
    <w:p w14:paraId="3B0BB0D4" w14:textId="77777777" w:rsidR="000A7C30" w:rsidRDefault="002F0ECE" w:rsidP="000A7C30">
      <w:pPr>
        <w:spacing w:after="120"/>
        <w:ind w:left="482" w:hanging="482"/>
      </w:pPr>
      <w:r w:rsidRPr="00E66E76">
        <w:t>2.</w:t>
      </w:r>
      <w:r w:rsidR="000A7C30">
        <w:t>6</w:t>
      </w:r>
      <w:r w:rsidRPr="00E66E76">
        <w:t xml:space="preserve"> </w:t>
      </w:r>
      <w:r w:rsidRPr="002A4BF8">
        <w:rPr>
          <w:b/>
          <w:i/>
        </w:rPr>
        <w:t>Schools (</w:t>
      </w:r>
      <w:r w:rsidR="000A7C30" w:rsidRPr="002A4BF8">
        <w:rPr>
          <w:b/>
          <w:i/>
          <w:u w:val="single"/>
        </w:rPr>
        <w:t>unl</w:t>
      </w:r>
      <w:r w:rsidR="00DA50D4" w:rsidRPr="002A4BF8">
        <w:rPr>
          <w:b/>
          <w:i/>
          <w:u w:val="single"/>
        </w:rPr>
        <w:t>awful</w:t>
      </w:r>
      <w:r w:rsidRPr="002A4BF8">
        <w:rPr>
          <w:b/>
          <w:i/>
        </w:rPr>
        <w:t>):</w:t>
      </w:r>
      <w:r w:rsidRPr="00E66E76">
        <w:t xml:space="preserve"> </w:t>
      </w:r>
      <w:r w:rsidR="000A7C30" w:rsidRPr="00BD0C7D">
        <w:t>Corporal punishment is prohibited in schools under article 9 o</w:t>
      </w:r>
      <w:r w:rsidR="000A7C30">
        <w:t>f Ministerial Decision No. 454 1998</w:t>
      </w:r>
      <w:r w:rsidR="000A7C30" w:rsidRPr="00BD0C7D">
        <w:t xml:space="preserve">. It is considered unlawful in private schools under the Regulation of Behavioural Direction for Private School Students, which states that schools should not resort to non-pedagogic methods for modifying student behaviour, but there is no explicit prohibition. In 2010, the Ministry of Education was reportedly developing a new code of conduct for public schools and private schools were being urged to do likewise, and calls were being made for it to explicitly forbid </w:t>
      </w:r>
      <w:r w:rsidR="000A7C30">
        <w:t>the use of corporal punishment</w:t>
      </w:r>
      <w:r w:rsidR="000A7C30" w:rsidRPr="00BD0C7D">
        <w:t>.</w:t>
      </w:r>
      <w:r w:rsidR="000A7C30">
        <w:rPr>
          <w:rStyle w:val="FootnoteReference"/>
        </w:rPr>
        <w:footnoteReference w:id="4"/>
      </w:r>
    </w:p>
    <w:p w14:paraId="5EEDE2E4" w14:textId="09A7A048" w:rsidR="00E66E76" w:rsidRPr="00E66E76" w:rsidRDefault="00DA50D4" w:rsidP="000A7C30">
      <w:pPr>
        <w:spacing w:after="120"/>
        <w:ind w:left="482" w:hanging="482"/>
      </w:pPr>
      <w:r w:rsidRPr="00E66E76">
        <w:t>2.</w:t>
      </w:r>
      <w:r w:rsidR="000A7C30">
        <w:t>7</w:t>
      </w:r>
      <w:r w:rsidRPr="00E66E76">
        <w:t xml:space="preserve"> </w:t>
      </w:r>
      <w:r w:rsidRPr="002A4BF8">
        <w:rPr>
          <w:b/>
          <w:i/>
        </w:rPr>
        <w:t>Penal institutions (</w:t>
      </w:r>
      <w:proofErr w:type="gramStart"/>
      <w:r w:rsidR="000A7C30" w:rsidRPr="002A4BF8">
        <w:rPr>
          <w:b/>
          <w:i/>
        </w:rPr>
        <w:t>?</w:t>
      </w:r>
      <w:r w:rsidR="00823F58" w:rsidRPr="002A4BF8">
        <w:rPr>
          <w:b/>
          <w:i/>
          <w:u w:val="single"/>
        </w:rPr>
        <w:t>unl</w:t>
      </w:r>
      <w:r w:rsidRPr="002A4BF8">
        <w:rPr>
          <w:b/>
          <w:i/>
          <w:u w:val="single"/>
        </w:rPr>
        <w:t>awful</w:t>
      </w:r>
      <w:proofErr w:type="gramEnd"/>
      <w:r w:rsidR="00BF0969" w:rsidRPr="002A4BF8">
        <w:rPr>
          <w:b/>
          <w:i/>
          <w:u w:val="single"/>
        </w:rPr>
        <w:t>)</w:t>
      </w:r>
      <w:r w:rsidR="00BF0969" w:rsidRPr="002A4BF8">
        <w:rPr>
          <w:b/>
          <w:i/>
        </w:rPr>
        <w:t>:</w:t>
      </w:r>
      <w:r w:rsidR="000A7C30" w:rsidRPr="000A7C30">
        <w:t xml:space="preserve"> </w:t>
      </w:r>
      <w:r w:rsidR="000A7C30" w:rsidRPr="00BD0C7D">
        <w:t>It appears that corporal punishment is unlawful as a disciplinary measure in penal institutions. Penal institutions are regulated by Ministerial Decree No. 471 1995 on the Promulgation of the Executive Regu</w:t>
      </w:r>
      <w:r w:rsidR="000A7C30">
        <w:t>lations for Federal Act No. 43 1992</w:t>
      </w:r>
      <w:r w:rsidR="000A7C30" w:rsidRPr="00BD0C7D">
        <w:t xml:space="preserve"> Regulating Penitentiaries 1995. Article 86(1) states: “Cruelty, beating, torture or any other manifestation of material aggression against a prisoner shall not be authorised. Any form of psychological abuse shall also be prohibited. Disciplinary action against a prisoner shall be within the limits of specified penalties which are in accordance with the provisions of the law and text of this chapter.” The</w:t>
      </w:r>
      <w:r w:rsidR="000A7C30">
        <w:t>re is no provision for corporal punishment among the disciplinary measures permitted for juveniles.</w:t>
      </w:r>
    </w:p>
    <w:p w14:paraId="10EAA3CE" w14:textId="7C978B44" w:rsidR="000A7C30" w:rsidRPr="00BD0C7D" w:rsidRDefault="00DA50D4" w:rsidP="000A7C30">
      <w:pPr>
        <w:autoSpaceDE w:val="0"/>
        <w:spacing w:after="120"/>
        <w:ind w:left="482" w:hanging="482"/>
      </w:pPr>
      <w:r w:rsidRPr="00E66E76">
        <w:t>2.</w:t>
      </w:r>
      <w:r w:rsidR="000A7C30">
        <w:t>8</w:t>
      </w:r>
      <w:r w:rsidRPr="00E66E76">
        <w:t xml:space="preserve"> </w:t>
      </w:r>
      <w:r w:rsidRPr="002A4BF8">
        <w:rPr>
          <w:b/>
          <w:i/>
        </w:rPr>
        <w:t>Sentence for crime (</w:t>
      </w:r>
      <w:r w:rsidR="00BB008E" w:rsidRPr="002A4BF8">
        <w:rPr>
          <w:b/>
          <w:i/>
          <w:u w:val="single"/>
        </w:rPr>
        <w:t>l</w:t>
      </w:r>
      <w:r w:rsidRPr="002A4BF8">
        <w:rPr>
          <w:b/>
          <w:i/>
          <w:u w:val="single"/>
        </w:rPr>
        <w:t>awful</w:t>
      </w:r>
      <w:r w:rsidRPr="002A4BF8">
        <w:rPr>
          <w:b/>
          <w:i/>
        </w:rPr>
        <w:t xml:space="preserve">): </w:t>
      </w:r>
      <w:r w:rsidR="000A7C30" w:rsidRPr="00BD0C7D">
        <w:t>The main federal laws governing juvenile justice are the Penal Code</w:t>
      </w:r>
      <w:r w:rsidR="000A7C30">
        <w:t xml:space="preserve"> 1987</w:t>
      </w:r>
      <w:r w:rsidR="000A7C30" w:rsidRPr="00BD0C7D">
        <w:t xml:space="preserve">, the Criminal Procedure Code 1992, the Law of Evidence 1992, and the Juvenile Delinquents and Vagrants Act 1976. These criminal laws apply to non-Islamic offences and to most </w:t>
      </w:r>
      <w:proofErr w:type="spellStart"/>
      <w:r w:rsidR="000A7C30" w:rsidRPr="00BD0C7D">
        <w:rPr>
          <w:i/>
        </w:rPr>
        <w:t>ta’zir</w:t>
      </w:r>
      <w:proofErr w:type="spellEnd"/>
      <w:r w:rsidR="000A7C30" w:rsidRPr="00BD0C7D">
        <w:t xml:space="preserve"> (discretionary punishment) offences, but not to </w:t>
      </w:r>
      <w:proofErr w:type="spellStart"/>
      <w:r w:rsidR="000A7C30" w:rsidRPr="00BD0C7D">
        <w:rPr>
          <w:i/>
        </w:rPr>
        <w:t>hadd</w:t>
      </w:r>
      <w:proofErr w:type="spellEnd"/>
      <w:r w:rsidR="000A7C30" w:rsidRPr="00BD0C7D">
        <w:rPr>
          <w:i/>
        </w:rPr>
        <w:t xml:space="preserve"> </w:t>
      </w:r>
      <w:r w:rsidR="000A7C30" w:rsidRPr="00BD0C7D">
        <w:t xml:space="preserve">(mandatory punishments), </w:t>
      </w:r>
      <w:proofErr w:type="spellStart"/>
      <w:r w:rsidR="000A7C30" w:rsidRPr="00BD0C7D">
        <w:rPr>
          <w:i/>
        </w:rPr>
        <w:t>qisas</w:t>
      </w:r>
      <w:proofErr w:type="spellEnd"/>
      <w:r w:rsidR="000A7C30" w:rsidRPr="00BD0C7D">
        <w:t xml:space="preserve"> (punished by retaliation) and </w:t>
      </w:r>
      <w:proofErr w:type="spellStart"/>
      <w:r w:rsidR="000A7C30" w:rsidRPr="00BD0C7D">
        <w:rPr>
          <w:i/>
        </w:rPr>
        <w:t>diyah</w:t>
      </w:r>
      <w:proofErr w:type="spellEnd"/>
      <w:r w:rsidR="000A7C30" w:rsidRPr="00BD0C7D">
        <w:t xml:space="preserve"> offences (requiring compensation of victims), which are governed solely by </w:t>
      </w:r>
      <w:r w:rsidR="000A7C30" w:rsidRPr="0061632A">
        <w:t xml:space="preserve">Shari’a law. </w:t>
      </w:r>
    </w:p>
    <w:p w14:paraId="1029FF3F" w14:textId="41049745" w:rsidR="000A7C30" w:rsidRPr="00BD0C7D" w:rsidRDefault="000A7C30" w:rsidP="00241081">
      <w:pPr>
        <w:spacing w:after="120"/>
        <w:ind w:left="482" w:hanging="482"/>
      </w:pPr>
      <w:r>
        <w:t xml:space="preserve">2.9 </w:t>
      </w:r>
      <w:r w:rsidRPr="00BD0C7D">
        <w:t xml:space="preserve">The Constitution prohibits torture </w:t>
      </w:r>
      <w:r>
        <w:t>and degrading treatment (art.</w:t>
      </w:r>
      <w:r w:rsidRPr="00BD0C7D">
        <w:t xml:space="preserve"> 26) and there is no provision for corporal punishment as a sentence of the courts in the Penal Code</w:t>
      </w:r>
      <w:r>
        <w:t xml:space="preserve"> 1987</w:t>
      </w:r>
      <w:r w:rsidRPr="00BD0C7D">
        <w:t xml:space="preserve">, the Juvenile Delinquents </w:t>
      </w:r>
      <w:r w:rsidRPr="00BD0C7D">
        <w:lastRenderedPageBreak/>
        <w:t xml:space="preserve">and Vagrants Act 1976 or other criminal law. However, </w:t>
      </w:r>
      <w:r w:rsidR="00241081">
        <w:t>t</w:t>
      </w:r>
      <w:r w:rsidRPr="0061632A">
        <w:t>he Sharia Courts Act 1996 provides for Shari’a courts to try cases concerning crimes allegedly committed by juveniles, and states that Shari’a punishments</w:t>
      </w:r>
      <w:r>
        <w:t xml:space="preserve"> shall apply (art</w:t>
      </w:r>
      <w:r w:rsidRPr="00BD0C7D">
        <w:t>s</w:t>
      </w:r>
      <w:r>
        <w:t>.</w:t>
      </w:r>
      <w:r w:rsidRPr="00BD0C7D">
        <w:t xml:space="preserve"> 1 and 2).</w:t>
      </w:r>
      <w:r w:rsidR="00241081">
        <w:t xml:space="preserve"> </w:t>
      </w:r>
      <w:r>
        <w:t xml:space="preserve">We note that in </w:t>
      </w:r>
      <w:r w:rsidRPr="00BD0C7D">
        <w:t>2012, the United Arab Emirates acceded to the Convention against Torture and Other Cruel, Inhuman or Degrading Treatment or Punishment, but in doing so declared that “the lawful sanctions applicable under national law, or pain or suffering arising from or associated with or incidental to these lawful sanctions, do not fall under the concept of ‘torture’ as defined in article 1 of this Convention or under the concept of cruel, inhuman or degrading treatment or punishment mentioned in this Convention”.</w:t>
      </w:r>
    </w:p>
    <w:p w14:paraId="31E1C81E" w14:textId="5613695C" w:rsidR="000A7C30" w:rsidRPr="00241081" w:rsidRDefault="00241081" w:rsidP="00241081">
      <w:pPr>
        <w:spacing w:after="120"/>
        <w:ind w:left="482" w:hanging="482"/>
        <w:rPr>
          <w:b/>
          <w:i/>
        </w:rPr>
      </w:pPr>
      <w:r>
        <w:t xml:space="preserve">2.10 </w:t>
      </w:r>
      <w:r w:rsidR="000A7C30" w:rsidRPr="00BD0C7D">
        <w:t>Article 1 of the Penal Code states: “In crimes of doctrinal punishment (</w:t>
      </w:r>
      <w:proofErr w:type="spellStart"/>
      <w:r w:rsidR="000A7C30" w:rsidRPr="00BD0C7D">
        <w:rPr>
          <w:i/>
        </w:rPr>
        <w:t>Hadud</w:t>
      </w:r>
      <w:proofErr w:type="spellEnd"/>
      <w:r w:rsidR="000A7C30" w:rsidRPr="00BD0C7D">
        <w:t>), retaliation (</w:t>
      </w:r>
      <w:proofErr w:type="spellStart"/>
      <w:r w:rsidR="000A7C30" w:rsidRPr="00BD0C7D">
        <w:rPr>
          <w:i/>
        </w:rPr>
        <w:t>Qisas</w:t>
      </w:r>
      <w:proofErr w:type="spellEnd"/>
      <w:r w:rsidR="000A7C30" w:rsidRPr="00BD0C7D">
        <w:t>), and blood money (</w:t>
      </w:r>
      <w:proofErr w:type="spellStart"/>
      <w:r w:rsidR="000A7C30" w:rsidRPr="00BD0C7D">
        <w:rPr>
          <w:i/>
        </w:rPr>
        <w:t>Diyah</w:t>
      </w:r>
      <w:proofErr w:type="spellEnd"/>
      <w:r w:rsidR="000A7C30" w:rsidRPr="00BD0C7D">
        <w:t xml:space="preserve">), the provisions of </w:t>
      </w:r>
      <w:r w:rsidR="000A7C30" w:rsidRPr="0061632A">
        <w:t>Islamic Shari’a shall</w:t>
      </w:r>
      <w:r w:rsidR="000A7C30" w:rsidRPr="00BD0C7D">
        <w:t xml:space="preserve"> be applied. The crimes and disciplinary punishments (</w:t>
      </w:r>
      <w:proofErr w:type="spellStart"/>
      <w:r w:rsidR="000A7C30" w:rsidRPr="00BD0C7D">
        <w:rPr>
          <w:i/>
        </w:rPr>
        <w:t>Ta’azir</w:t>
      </w:r>
      <w:proofErr w:type="spellEnd"/>
      <w:r w:rsidR="000A7C30" w:rsidRPr="00BD0C7D">
        <w:t xml:space="preserve">) shall be determined according to the provisions of this Code and other criminal statutes.” While the Penal Code itself does not provide for corporal punishment, according to </w:t>
      </w:r>
      <w:r w:rsidR="000A7C30" w:rsidRPr="0061632A">
        <w:t>Shari’a</w:t>
      </w:r>
      <w:r w:rsidR="000A7C30" w:rsidRPr="00BD0C7D">
        <w:t xml:space="preserve"> law, </w:t>
      </w:r>
      <w:proofErr w:type="spellStart"/>
      <w:r w:rsidR="000A7C30" w:rsidRPr="00BD0C7D">
        <w:rPr>
          <w:i/>
        </w:rPr>
        <w:t>ta’zir</w:t>
      </w:r>
      <w:proofErr w:type="spellEnd"/>
      <w:r w:rsidR="000A7C30" w:rsidRPr="00BD0C7D">
        <w:t xml:space="preserve"> punishments should be based on the </w:t>
      </w:r>
      <w:proofErr w:type="spellStart"/>
      <w:r w:rsidR="000A7C30" w:rsidRPr="00BD0C7D">
        <w:rPr>
          <w:i/>
        </w:rPr>
        <w:t>hadd</w:t>
      </w:r>
      <w:proofErr w:type="spellEnd"/>
      <w:r w:rsidR="000A7C30" w:rsidRPr="00BD0C7D">
        <w:t xml:space="preserve"> </w:t>
      </w:r>
      <w:proofErr w:type="gramStart"/>
      <w:r w:rsidR="000A7C30" w:rsidRPr="00BD0C7D">
        <w:t>punishments which</w:t>
      </w:r>
      <w:proofErr w:type="gramEnd"/>
      <w:r w:rsidR="000A7C30" w:rsidRPr="00BD0C7D">
        <w:t xml:space="preserve"> would be relevant for similar cases, and in practice persons charged under the Code have therefore been se</w:t>
      </w:r>
      <w:r w:rsidR="000A7C30">
        <w:t>ntenced to corporal punishment</w:t>
      </w:r>
      <w:r w:rsidR="000A7C30" w:rsidRPr="00BD0C7D">
        <w:t>.</w:t>
      </w:r>
      <w:r w:rsidR="000A7C30">
        <w:rPr>
          <w:rStyle w:val="FootnoteReference"/>
        </w:rPr>
        <w:footnoteReference w:id="5"/>
      </w:r>
      <w:r w:rsidR="000A7C30" w:rsidRPr="00BD0C7D">
        <w:t xml:space="preserve"> The Federal Supreme Court has confirmed that for </w:t>
      </w:r>
      <w:proofErr w:type="spellStart"/>
      <w:r w:rsidR="000A7C30" w:rsidRPr="00BD0C7D">
        <w:rPr>
          <w:i/>
        </w:rPr>
        <w:t>ta’zir</w:t>
      </w:r>
      <w:proofErr w:type="spellEnd"/>
      <w:r w:rsidR="000A7C30" w:rsidRPr="00BD0C7D">
        <w:t xml:space="preserve"> </w:t>
      </w:r>
      <w:proofErr w:type="gramStart"/>
      <w:r w:rsidR="000A7C30" w:rsidRPr="00BD0C7D">
        <w:t>offences which</w:t>
      </w:r>
      <w:proofErr w:type="gramEnd"/>
      <w:r w:rsidR="000A7C30" w:rsidRPr="00BD0C7D">
        <w:t xml:space="preserve"> are related to </w:t>
      </w:r>
      <w:proofErr w:type="spellStart"/>
      <w:r w:rsidR="000A7C30" w:rsidRPr="00BD0C7D">
        <w:rPr>
          <w:i/>
        </w:rPr>
        <w:t>hadd</w:t>
      </w:r>
      <w:proofErr w:type="spellEnd"/>
      <w:r w:rsidR="000A7C30" w:rsidRPr="00BD0C7D">
        <w:t xml:space="preserve"> offences that are not covered by the Penal Code, judges have discretion to specify </w:t>
      </w:r>
      <w:proofErr w:type="spellStart"/>
      <w:r w:rsidR="000A7C30" w:rsidRPr="00BD0C7D">
        <w:rPr>
          <w:i/>
        </w:rPr>
        <w:t>hadd</w:t>
      </w:r>
      <w:proofErr w:type="spellEnd"/>
      <w:r w:rsidR="000A7C30" w:rsidRPr="00BD0C7D">
        <w:rPr>
          <w:i/>
        </w:rPr>
        <w:t xml:space="preserve"> </w:t>
      </w:r>
      <w:r w:rsidR="000A7C30" w:rsidRPr="00BD0C7D">
        <w:t>p</w:t>
      </w:r>
      <w:r w:rsidR="000A7C30">
        <w:t>unishments, including flogging</w:t>
      </w:r>
      <w:r w:rsidR="000A7C30" w:rsidRPr="00BD0C7D">
        <w:t>.</w:t>
      </w:r>
      <w:bookmarkStart w:id="0" w:name="uk"/>
      <w:bookmarkEnd w:id="0"/>
      <w:r w:rsidR="000A7C30">
        <w:rPr>
          <w:rStyle w:val="FootnoteReference"/>
        </w:rPr>
        <w:footnoteReference w:id="6"/>
      </w:r>
      <w:r w:rsidR="000A7C30" w:rsidRPr="00BD0C7D">
        <w:t xml:space="preserve"> According to Amnesty International, in 2007, a court in al-‘Ain sentenced a teenage girl to 60 lashes for having “illicit sex” with a man when she was 14; the se</w:t>
      </w:r>
      <w:r w:rsidR="000A7C30">
        <w:t>ntence was upheld in June 2007</w:t>
      </w:r>
      <w:r w:rsidR="000A7C30" w:rsidRPr="00BD0C7D">
        <w:t>.</w:t>
      </w:r>
      <w:r w:rsidR="000A7C30">
        <w:rPr>
          <w:rStyle w:val="FootnoteReference"/>
        </w:rPr>
        <w:footnoteReference w:id="7"/>
      </w:r>
    </w:p>
    <w:p w14:paraId="1DDB9239" w14:textId="77777777" w:rsidR="00C05A6B" w:rsidRPr="00E66E76" w:rsidRDefault="00C05A6B" w:rsidP="00241081">
      <w:pPr>
        <w:spacing w:after="120"/>
      </w:pPr>
    </w:p>
    <w:p w14:paraId="157746B7" w14:textId="36269F91" w:rsidR="008B273F" w:rsidRPr="00B902F0" w:rsidRDefault="009F2B86" w:rsidP="005E7FE5">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AD7215" w14:textId="3CA83177" w:rsidR="00E66E76" w:rsidRPr="00E66E76" w:rsidRDefault="009F2B86" w:rsidP="00241081">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3</w:t>
      </w:r>
      <w:r w:rsidR="00065B23" w:rsidRPr="00E66E76">
        <w:t xml:space="preserve">.1 </w:t>
      </w:r>
      <w:r w:rsidR="00065B23" w:rsidRPr="002A4BF8">
        <w:rPr>
          <w:b/>
          <w:i/>
        </w:rPr>
        <w:t>CRC:</w:t>
      </w:r>
      <w:r w:rsidR="00065B23" w:rsidRPr="00E66E76">
        <w:t xml:space="preserve"> </w:t>
      </w:r>
      <w:r w:rsidR="00EB388E">
        <w:t>In 2</w:t>
      </w:r>
      <w:r w:rsidR="000A7C30">
        <w:t>002</w:t>
      </w:r>
      <w:r w:rsidR="00EB388E">
        <w:t xml:space="preserve">, the Committee on the Rights of the Child recommended to </w:t>
      </w:r>
      <w:r w:rsidR="000A7C30">
        <w:t>the United Arab Emirates</w:t>
      </w:r>
      <w:r w:rsidR="00EB388E">
        <w:t xml:space="preserve"> that corporal punishment be prohibited in all settings</w:t>
      </w:r>
      <w:r w:rsidR="000A7C30">
        <w:t>, including the family, schools and institutions and as a sentence for crime</w:t>
      </w:r>
      <w:r w:rsidR="00EB388E">
        <w:t>.</w:t>
      </w:r>
      <w:r w:rsidR="000A7C30">
        <w:rPr>
          <w:rStyle w:val="FootnoteReference"/>
        </w:rPr>
        <w:footnoteReference w:id="8"/>
      </w:r>
    </w:p>
    <w:p w14:paraId="16CE56AE" w14:textId="3557373E" w:rsidR="00EB388E" w:rsidRDefault="00D05FD2" w:rsidP="00241081">
      <w:pPr>
        <w:spacing w:after="120"/>
        <w:ind w:left="482" w:hanging="482"/>
      </w:pPr>
      <w:r w:rsidRPr="00E66E76">
        <w:t>3</w:t>
      </w:r>
      <w:r w:rsidR="000A7C30">
        <w:t>.2</w:t>
      </w:r>
      <w:r w:rsidR="00065B23" w:rsidRPr="00E66E76">
        <w:t xml:space="preserve"> </w:t>
      </w:r>
      <w:bookmarkStart w:id="1" w:name="_GoBack"/>
      <w:r w:rsidR="005E7FE5" w:rsidRPr="002A4BF8">
        <w:rPr>
          <w:b/>
          <w:i/>
        </w:rPr>
        <w:t>UPR</w:t>
      </w:r>
      <w:r w:rsidR="00065B23" w:rsidRPr="002A4BF8">
        <w:rPr>
          <w:b/>
          <w:i/>
        </w:rPr>
        <w:t>:</w:t>
      </w:r>
      <w:r w:rsidR="00065B23" w:rsidRPr="002A4BF8">
        <w:rPr>
          <w:b/>
        </w:rPr>
        <w:t xml:space="preserve"> </w:t>
      </w:r>
      <w:bookmarkEnd w:id="1"/>
      <w:r w:rsidR="000A7C30" w:rsidRPr="00BD0C7D">
        <w:t>The United Arab Emirates was reviewed in the first cycle of the Universal Periodic Review in 2008 (session 3). The Governme</w:t>
      </w:r>
      <w:r w:rsidR="000A7C30">
        <w:t>nt rejected the recommendation to repeal provisions for judicial corporal punishment</w:t>
      </w:r>
      <w:r w:rsidR="000A7C30" w:rsidRPr="00BD0C7D">
        <w:t>.</w:t>
      </w:r>
      <w:r w:rsidR="000A7C30">
        <w:rPr>
          <w:rStyle w:val="FootnoteReference"/>
        </w:rPr>
        <w:footnoteReference w:id="9"/>
      </w:r>
      <w:r w:rsidR="000A7C30" w:rsidRPr="00BD0C7D">
        <w:t xml:space="preserve"> </w:t>
      </w:r>
      <w:r w:rsidR="000A7C30">
        <w:t>At the second cycle review in 2013 (session 15) recommendations were made to prohibit corporal punishment as a sentence for crime and in all settings.</w:t>
      </w:r>
      <w:r w:rsidR="000A7C30">
        <w:rPr>
          <w:rStyle w:val="FootnoteReference"/>
        </w:rPr>
        <w:footnoteReference w:id="10"/>
      </w:r>
      <w:r w:rsidR="000A7C30">
        <w:t xml:space="preserve"> </w:t>
      </w:r>
      <w:r w:rsidR="000A7C30" w:rsidRPr="00BD0C7D">
        <w:t xml:space="preserve">The Government rejected the recommendation to prohibit corporal punishment as a sentence and “took note of” </w:t>
      </w:r>
      <w:r w:rsidR="000A7C30">
        <w:t xml:space="preserve">the </w:t>
      </w:r>
      <w:r w:rsidR="000A7C30" w:rsidRPr="00BD0C7D">
        <w:t>recommendation to prohibit it in all settings.</w:t>
      </w:r>
      <w:r w:rsidR="000A7C30">
        <w:rPr>
          <w:rStyle w:val="FootnoteReference"/>
        </w:rPr>
        <w:footnoteReference w:id="11"/>
      </w:r>
    </w:p>
    <w:p w14:paraId="6DEF274D" w14:textId="77777777" w:rsidR="00241081" w:rsidRPr="000A7C30" w:rsidRDefault="00241081" w:rsidP="00241081">
      <w:pPr>
        <w:spacing w:after="120"/>
        <w:ind w:left="482" w:hanging="482"/>
      </w:pPr>
    </w:p>
    <w:p w14:paraId="32387731" w14:textId="2013B91E" w:rsidR="00C901EC" w:rsidRDefault="00BF0969"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4D4FA1B4" w14:textId="77777777" w:rsidR="000A7C30" w:rsidRDefault="002A4BF8" w:rsidP="00E67717">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44955703" w:rsidR="009F4B59" w:rsidRPr="00E67717" w:rsidRDefault="00BF0969" w:rsidP="00E67717">
      <w:pPr>
        <w:tabs>
          <w:tab w:val="left" w:pos="8244"/>
          <w:tab w:val="left" w:pos="9160"/>
          <w:tab w:val="left" w:pos="10076"/>
          <w:tab w:val="left" w:pos="10992"/>
          <w:tab w:val="left" w:pos="11908"/>
          <w:tab w:val="left" w:pos="12824"/>
          <w:tab w:val="left" w:pos="13740"/>
          <w:tab w:val="left" w:pos="14656"/>
        </w:tabs>
        <w:rPr>
          <w:i/>
        </w:rPr>
      </w:pPr>
      <w:r>
        <w:rPr>
          <w:i/>
        </w:rPr>
        <w:t>October</w:t>
      </w:r>
      <w:r w:rsidR="00BD0C3F">
        <w:rPr>
          <w:i/>
        </w:rPr>
        <w:t xml:space="preserve"> 2014</w:t>
      </w:r>
    </w:p>
    <w:sectPr w:rsidR="009F4B59" w:rsidRPr="00E67717"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0A7C30" w:rsidRDefault="000A7C30">
      <w:r>
        <w:separator/>
      </w:r>
    </w:p>
  </w:endnote>
  <w:endnote w:type="continuationSeparator" w:id="0">
    <w:p w14:paraId="099F8A8B" w14:textId="77777777" w:rsidR="000A7C30" w:rsidRDefault="000A7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A7C30" w:rsidRDefault="000A7C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7C30" w:rsidRDefault="000A7C3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A7C30" w:rsidRDefault="000A7C30">
    <w:pPr>
      <w:pStyle w:val="Footer"/>
      <w:jc w:val="center"/>
    </w:pPr>
    <w:r>
      <w:fldChar w:fldCharType="begin"/>
    </w:r>
    <w:r>
      <w:instrText xml:space="preserve"> PAGE   \* MERGEFORMAT </w:instrText>
    </w:r>
    <w:r>
      <w:fldChar w:fldCharType="separate"/>
    </w:r>
    <w:r w:rsidR="002A4BF8">
      <w:rPr>
        <w:noProof/>
      </w:rPr>
      <w:t>2</w:t>
    </w:r>
    <w:r>
      <w:rPr>
        <w:noProof/>
      </w:rPr>
      <w:fldChar w:fldCharType="end"/>
    </w:r>
  </w:p>
  <w:p w14:paraId="44F681E0" w14:textId="77777777" w:rsidR="000A7C30" w:rsidRDefault="000A7C3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26E89" w14:textId="77777777" w:rsidR="00BF0969" w:rsidRDefault="00BF09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0A7C30" w:rsidRDefault="000A7C30">
      <w:r>
        <w:separator/>
      </w:r>
    </w:p>
  </w:footnote>
  <w:footnote w:type="continuationSeparator" w:id="0">
    <w:p w14:paraId="0E4CCE60" w14:textId="77777777" w:rsidR="000A7C30" w:rsidRDefault="000A7C30">
      <w:r>
        <w:continuationSeparator/>
      </w:r>
    </w:p>
  </w:footnote>
  <w:footnote w:id="1">
    <w:p w14:paraId="608D0B7B" w14:textId="77777777" w:rsidR="000A7C30" w:rsidRPr="00241081" w:rsidRDefault="000A7C30" w:rsidP="000A7C30">
      <w:pPr>
        <w:pStyle w:val="FootnoteText"/>
        <w:rPr>
          <w:lang w:val="en-US"/>
        </w:rPr>
      </w:pPr>
      <w:r w:rsidRPr="00241081">
        <w:rPr>
          <w:rStyle w:val="FootnoteReference"/>
        </w:rPr>
        <w:footnoteRef/>
      </w:r>
      <w:r w:rsidRPr="00241081">
        <w:t xml:space="preserve"> Joint submission to the UPR, 2013, from Human Rights Watch, Network for Human Rights Information, Gulf Centre for Human Rights, and Index on Censorship; Submission to the UPR, 2013, from Amnesty International</w:t>
      </w:r>
    </w:p>
  </w:footnote>
  <w:footnote w:id="2">
    <w:p w14:paraId="1DFE4653" w14:textId="77777777" w:rsidR="000A7C30" w:rsidRPr="00241081" w:rsidRDefault="000A7C30" w:rsidP="000A7C30">
      <w:pPr>
        <w:pStyle w:val="FootnoteText"/>
        <w:rPr>
          <w:lang w:val="en-US"/>
        </w:rPr>
      </w:pPr>
      <w:r w:rsidRPr="00241081">
        <w:rPr>
          <w:rStyle w:val="FootnoteReference"/>
        </w:rPr>
        <w:footnoteRef/>
      </w:r>
      <w:r w:rsidRPr="00241081">
        <w:t xml:space="preserve"> </w:t>
      </w:r>
      <w:hyperlink r:id="rId1" w:history="1">
        <w:r w:rsidRPr="00241081">
          <w:rPr>
            <w:rStyle w:val="Hyperlink"/>
          </w:rPr>
          <w:t>http://www.thenational.ae/uae/government/fnc-passes-child-rights-law-after-three-day-debate</w:t>
        </w:r>
      </w:hyperlink>
      <w:r w:rsidRPr="00241081">
        <w:t xml:space="preserve">, accessed 16 September 2014; </w:t>
      </w:r>
      <w:hyperlink r:id="rId2" w:history="1">
        <w:r w:rsidRPr="00241081">
          <w:rPr>
            <w:rStyle w:val="Hyperlink"/>
          </w:rPr>
          <w:t>http://gulfnews.com/news/gulf/uae/general/parental-neglect-is-tantamount-to-child-abuse-says-official-1.1385380</w:t>
        </w:r>
      </w:hyperlink>
      <w:r w:rsidRPr="00241081">
        <w:t>, accessed 16 September 2014</w:t>
      </w:r>
    </w:p>
  </w:footnote>
  <w:footnote w:id="3">
    <w:p w14:paraId="3EDCB36C" w14:textId="77777777" w:rsidR="000A7C30" w:rsidRPr="00241081" w:rsidRDefault="000A7C30" w:rsidP="000A7C30">
      <w:pPr>
        <w:pStyle w:val="FootnoteText"/>
        <w:rPr>
          <w:lang w:val="en-US"/>
        </w:rPr>
      </w:pPr>
      <w:r w:rsidRPr="00241081">
        <w:rPr>
          <w:rStyle w:val="FootnoteReference"/>
        </w:rPr>
        <w:footnoteRef/>
      </w:r>
      <w:r w:rsidRPr="00241081">
        <w:t xml:space="preserve"> </w:t>
      </w:r>
      <w:hyperlink r:id="rId3" w:history="1">
        <w:r w:rsidRPr="00241081">
          <w:rPr>
            <w:rStyle w:val="Hyperlink"/>
          </w:rPr>
          <w:t>http://www.uaeinteract.com/docs/FNC_approves_draft_law_on_child_rights/60166.htm</w:t>
        </w:r>
      </w:hyperlink>
      <w:r w:rsidRPr="00241081">
        <w:t>, accessed 16 September 2014</w:t>
      </w:r>
    </w:p>
  </w:footnote>
  <w:footnote w:id="4">
    <w:p w14:paraId="157958A3" w14:textId="77777777" w:rsidR="000A7C30" w:rsidRPr="00241081" w:rsidRDefault="000A7C30" w:rsidP="000A7C30">
      <w:pPr>
        <w:pStyle w:val="FootnoteText"/>
        <w:rPr>
          <w:lang w:val="en-US"/>
        </w:rPr>
      </w:pPr>
      <w:r w:rsidRPr="00241081">
        <w:rPr>
          <w:rStyle w:val="FootnoteReference"/>
        </w:rPr>
        <w:footnoteRef/>
      </w:r>
      <w:r w:rsidRPr="00241081">
        <w:t xml:space="preserve"> </w:t>
      </w:r>
      <w:proofErr w:type="spellStart"/>
      <w:r w:rsidRPr="00241081">
        <w:rPr>
          <w:i/>
        </w:rPr>
        <w:t>DaijiWorld</w:t>
      </w:r>
      <w:proofErr w:type="spellEnd"/>
      <w:r w:rsidRPr="00241081">
        <w:t>, 3 February 2010</w:t>
      </w:r>
    </w:p>
  </w:footnote>
  <w:footnote w:id="5">
    <w:p w14:paraId="1551D166" w14:textId="77777777" w:rsidR="000A7C30" w:rsidRPr="00241081" w:rsidRDefault="000A7C30" w:rsidP="000A7C30">
      <w:pPr>
        <w:pStyle w:val="FootnoteText"/>
        <w:rPr>
          <w:lang w:val="en-US"/>
        </w:rPr>
      </w:pPr>
      <w:r w:rsidRPr="00241081">
        <w:rPr>
          <w:rStyle w:val="FootnoteReference"/>
        </w:rPr>
        <w:footnoteRef/>
      </w:r>
      <w:r w:rsidRPr="00241081">
        <w:t xml:space="preserve"> Al-</w:t>
      </w:r>
      <w:proofErr w:type="spellStart"/>
      <w:r w:rsidRPr="00241081">
        <w:t>Muhairi</w:t>
      </w:r>
      <w:proofErr w:type="spellEnd"/>
      <w:r w:rsidRPr="00241081">
        <w:t xml:space="preserve">, B.S.B.A. (1997), “The Incompatibility of the Penal Code with Shari’a”, </w:t>
      </w:r>
      <w:r w:rsidRPr="00241081">
        <w:rPr>
          <w:i/>
        </w:rPr>
        <w:t>Arab Law Quarterly</w:t>
      </w:r>
      <w:r w:rsidRPr="00241081">
        <w:t>, 12 (3), 307-329</w:t>
      </w:r>
    </w:p>
  </w:footnote>
  <w:footnote w:id="6">
    <w:p w14:paraId="7EDAE34F" w14:textId="77777777" w:rsidR="000A7C30" w:rsidRPr="00241081" w:rsidRDefault="000A7C30" w:rsidP="000A7C30">
      <w:pPr>
        <w:pStyle w:val="FootnoteText"/>
        <w:rPr>
          <w:lang w:val="en-US"/>
        </w:rPr>
      </w:pPr>
      <w:r w:rsidRPr="00241081">
        <w:rPr>
          <w:rStyle w:val="FootnoteReference"/>
        </w:rPr>
        <w:footnoteRef/>
      </w:r>
      <w:r w:rsidRPr="00241081">
        <w:t xml:space="preserve"> The Ahmad Malik case – Unpublished Shari’a Criminal Cassation Case No. 44 Year 14, on 30 January 1993</w:t>
      </w:r>
    </w:p>
  </w:footnote>
  <w:footnote w:id="7">
    <w:p w14:paraId="2E4F42D0" w14:textId="77777777" w:rsidR="000A7C30" w:rsidRPr="00241081" w:rsidRDefault="000A7C30" w:rsidP="000A7C30">
      <w:pPr>
        <w:pStyle w:val="FootnoteText"/>
        <w:rPr>
          <w:lang w:val="en-US"/>
        </w:rPr>
      </w:pPr>
      <w:r w:rsidRPr="00241081">
        <w:rPr>
          <w:rStyle w:val="FootnoteReference"/>
        </w:rPr>
        <w:footnoteRef/>
      </w:r>
      <w:r w:rsidRPr="00241081">
        <w:t xml:space="preserve"> </w:t>
      </w:r>
      <w:r w:rsidRPr="00241081">
        <w:rPr>
          <w:i/>
        </w:rPr>
        <w:t>Amnesty International Report 2007: The State of the World’s Human Rights</w:t>
      </w:r>
      <w:r w:rsidRPr="00241081">
        <w:t>, London: Amnesty International Publications</w:t>
      </w:r>
    </w:p>
  </w:footnote>
  <w:footnote w:id="8">
    <w:p w14:paraId="2FC072D3" w14:textId="69296D9A" w:rsidR="000A7C30" w:rsidRPr="00241081" w:rsidRDefault="000A7C30">
      <w:pPr>
        <w:pStyle w:val="FootnoteText"/>
        <w:rPr>
          <w:lang w:val="en-US"/>
        </w:rPr>
      </w:pPr>
      <w:r w:rsidRPr="00241081">
        <w:rPr>
          <w:rStyle w:val="FootnoteReference"/>
        </w:rPr>
        <w:footnoteRef/>
      </w:r>
      <w:r w:rsidRPr="00241081">
        <w:t xml:space="preserve"> 13 June 2002, CRC/C/15/Add.183, Concluding observations on initial report, </w:t>
      </w:r>
      <w:proofErr w:type="spellStart"/>
      <w:r w:rsidRPr="00241081">
        <w:t>paras</w:t>
      </w:r>
      <w:proofErr w:type="spellEnd"/>
      <w:r w:rsidRPr="00241081">
        <w:t>. 32, 33, 34 and 35</w:t>
      </w:r>
    </w:p>
  </w:footnote>
  <w:footnote w:id="9">
    <w:p w14:paraId="228BB05F" w14:textId="56CD0297" w:rsidR="000A7C30" w:rsidRPr="00241081" w:rsidRDefault="000A7C30" w:rsidP="000A7C30">
      <w:pPr>
        <w:pStyle w:val="FootnoteText"/>
        <w:rPr>
          <w:lang w:val="en-US"/>
        </w:rPr>
      </w:pPr>
      <w:r w:rsidRPr="00241081">
        <w:rPr>
          <w:rStyle w:val="FootnoteReference"/>
        </w:rPr>
        <w:footnoteRef/>
      </w:r>
      <w:r w:rsidRPr="00241081">
        <w:t xml:space="preserve"> </w:t>
      </w:r>
      <w:proofErr w:type="gramStart"/>
      <w:r w:rsidRPr="00241081">
        <w:t xml:space="preserve">12 January 2009, A/HRC/10/75, Report of the working group, </w:t>
      </w:r>
      <w:proofErr w:type="spellStart"/>
      <w:r w:rsidRPr="00241081">
        <w:t>paras</w:t>
      </w:r>
      <w:proofErr w:type="spellEnd"/>
      <w:r w:rsidRPr="00241081">
        <w:t>.</w:t>
      </w:r>
      <w:proofErr w:type="gramEnd"/>
      <w:r w:rsidRPr="00241081">
        <w:t xml:space="preserve"> 62 and 93</w:t>
      </w:r>
    </w:p>
  </w:footnote>
  <w:footnote w:id="10">
    <w:p w14:paraId="4B92D1A9" w14:textId="77777777" w:rsidR="000A7C30" w:rsidRPr="00241081" w:rsidRDefault="000A7C30" w:rsidP="000A7C30">
      <w:pPr>
        <w:pStyle w:val="FootnoteText"/>
        <w:rPr>
          <w:lang w:val="en-US"/>
        </w:rPr>
      </w:pPr>
      <w:r w:rsidRPr="00241081">
        <w:rPr>
          <w:rStyle w:val="FootnoteReference"/>
        </w:rPr>
        <w:footnoteRef/>
      </w:r>
      <w:r w:rsidRPr="00241081">
        <w:t xml:space="preserve"> </w:t>
      </w:r>
      <w:proofErr w:type="gramStart"/>
      <w:r w:rsidRPr="00241081">
        <w:t xml:space="preserve">21 March 2013, A/HRC/23/13, Report of the working group, </w:t>
      </w:r>
      <w:proofErr w:type="spellStart"/>
      <w:r w:rsidRPr="00241081">
        <w:t>paras</w:t>
      </w:r>
      <w:proofErr w:type="spellEnd"/>
      <w:r w:rsidRPr="00241081">
        <w:t>.</w:t>
      </w:r>
      <w:proofErr w:type="gramEnd"/>
      <w:r w:rsidRPr="00241081">
        <w:t xml:space="preserve"> 128(127) and 128(133)</w:t>
      </w:r>
    </w:p>
  </w:footnote>
  <w:footnote w:id="11">
    <w:p w14:paraId="5A822000" w14:textId="77777777" w:rsidR="000A7C30" w:rsidRPr="00241081" w:rsidRDefault="000A7C30" w:rsidP="000A7C30">
      <w:pPr>
        <w:pStyle w:val="FootnoteText"/>
        <w:rPr>
          <w:lang w:val="en-US"/>
        </w:rPr>
      </w:pPr>
      <w:r w:rsidRPr="00241081">
        <w:rPr>
          <w:rStyle w:val="FootnoteReference"/>
        </w:rPr>
        <w:footnoteRef/>
      </w:r>
      <w:r w:rsidRPr="00241081">
        <w:t xml:space="preserve"> 4 June 2013, A/HRC/23/13/Add.1, Report of the working group: Addendum, </w:t>
      </w:r>
      <w:proofErr w:type="spellStart"/>
      <w:r w:rsidRPr="00241081">
        <w:t>paras</w:t>
      </w:r>
      <w:proofErr w:type="spellEnd"/>
      <w:r w:rsidRPr="00241081">
        <w:t>. 3 and 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D6AB9" w14:textId="77777777" w:rsidR="00BF0969" w:rsidRDefault="00BF096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447DE386" w:rsidR="000A7C30" w:rsidRDefault="000A7C3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1C6FF" w14:textId="77777777" w:rsidR="00BF0969" w:rsidRDefault="00BF096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54E934FE"/>
    <w:multiLevelType w:val="multilevel"/>
    <w:tmpl w:val="7172C7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F190C3A"/>
    <w:multiLevelType w:val="multilevel"/>
    <w:tmpl w:val="8CC043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3"/>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57B2"/>
    <w:rsid w:val="000622FD"/>
    <w:rsid w:val="00065B23"/>
    <w:rsid w:val="00095574"/>
    <w:rsid w:val="000A2278"/>
    <w:rsid w:val="000A7C30"/>
    <w:rsid w:val="000B7AB8"/>
    <w:rsid w:val="000C258F"/>
    <w:rsid w:val="000C2E75"/>
    <w:rsid w:val="000C4E7B"/>
    <w:rsid w:val="000D2264"/>
    <w:rsid w:val="000D3716"/>
    <w:rsid w:val="000D4D6D"/>
    <w:rsid w:val="001174EC"/>
    <w:rsid w:val="00131A88"/>
    <w:rsid w:val="001356A2"/>
    <w:rsid w:val="0014488F"/>
    <w:rsid w:val="00147F85"/>
    <w:rsid w:val="00150855"/>
    <w:rsid w:val="001611DB"/>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1081"/>
    <w:rsid w:val="00242520"/>
    <w:rsid w:val="002638C7"/>
    <w:rsid w:val="00264AF9"/>
    <w:rsid w:val="00271D9D"/>
    <w:rsid w:val="00272F68"/>
    <w:rsid w:val="002A01E3"/>
    <w:rsid w:val="002A06FC"/>
    <w:rsid w:val="002A4BF8"/>
    <w:rsid w:val="002A7206"/>
    <w:rsid w:val="002C03E0"/>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B6080"/>
    <w:rsid w:val="003B74D4"/>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ABF"/>
    <w:rsid w:val="00525B63"/>
    <w:rsid w:val="00526CB7"/>
    <w:rsid w:val="005308FC"/>
    <w:rsid w:val="00542775"/>
    <w:rsid w:val="00543B9A"/>
    <w:rsid w:val="0055414A"/>
    <w:rsid w:val="00554CE8"/>
    <w:rsid w:val="0056432B"/>
    <w:rsid w:val="00574FE3"/>
    <w:rsid w:val="00580183"/>
    <w:rsid w:val="00581B3E"/>
    <w:rsid w:val="00581D48"/>
    <w:rsid w:val="00591D0B"/>
    <w:rsid w:val="00597780"/>
    <w:rsid w:val="00597BD9"/>
    <w:rsid w:val="005A66D2"/>
    <w:rsid w:val="005B26CA"/>
    <w:rsid w:val="005C327C"/>
    <w:rsid w:val="005C4DDD"/>
    <w:rsid w:val="005D6DF9"/>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03D1"/>
    <w:rsid w:val="00635B11"/>
    <w:rsid w:val="00655F1A"/>
    <w:rsid w:val="00664DF4"/>
    <w:rsid w:val="00681915"/>
    <w:rsid w:val="00683622"/>
    <w:rsid w:val="006A2DC8"/>
    <w:rsid w:val="006B237E"/>
    <w:rsid w:val="006B76CE"/>
    <w:rsid w:val="006C25C8"/>
    <w:rsid w:val="006C6EBB"/>
    <w:rsid w:val="006D039B"/>
    <w:rsid w:val="006D40C4"/>
    <w:rsid w:val="006E3A2C"/>
    <w:rsid w:val="006E6660"/>
    <w:rsid w:val="00714F5D"/>
    <w:rsid w:val="00716CCE"/>
    <w:rsid w:val="00721E73"/>
    <w:rsid w:val="00723CE2"/>
    <w:rsid w:val="0072545C"/>
    <w:rsid w:val="00737E41"/>
    <w:rsid w:val="00745D1B"/>
    <w:rsid w:val="007604D4"/>
    <w:rsid w:val="00766D98"/>
    <w:rsid w:val="00767639"/>
    <w:rsid w:val="007709F0"/>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3F58"/>
    <w:rsid w:val="00825FA5"/>
    <w:rsid w:val="00827320"/>
    <w:rsid w:val="008320BF"/>
    <w:rsid w:val="008331E5"/>
    <w:rsid w:val="00835EFC"/>
    <w:rsid w:val="00841425"/>
    <w:rsid w:val="00847A77"/>
    <w:rsid w:val="00861D14"/>
    <w:rsid w:val="00862E6D"/>
    <w:rsid w:val="008644FA"/>
    <w:rsid w:val="00865B9B"/>
    <w:rsid w:val="0087342C"/>
    <w:rsid w:val="00877672"/>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2B86"/>
    <w:rsid w:val="009F4B59"/>
    <w:rsid w:val="009F5901"/>
    <w:rsid w:val="00A1392E"/>
    <w:rsid w:val="00A436C7"/>
    <w:rsid w:val="00A460B6"/>
    <w:rsid w:val="00A50D1D"/>
    <w:rsid w:val="00A52185"/>
    <w:rsid w:val="00A561D3"/>
    <w:rsid w:val="00A66237"/>
    <w:rsid w:val="00A66F36"/>
    <w:rsid w:val="00A67294"/>
    <w:rsid w:val="00A71E86"/>
    <w:rsid w:val="00AA7C64"/>
    <w:rsid w:val="00AB131E"/>
    <w:rsid w:val="00AB1753"/>
    <w:rsid w:val="00AD0424"/>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3987"/>
    <w:rsid w:val="00B87C69"/>
    <w:rsid w:val="00B95040"/>
    <w:rsid w:val="00B9545D"/>
    <w:rsid w:val="00B9701A"/>
    <w:rsid w:val="00BA2A8D"/>
    <w:rsid w:val="00BB008E"/>
    <w:rsid w:val="00BB5726"/>
    <w:rsid w:val="00BB7182"/>
    <w:rsid w:val="00BD0C3F"/>
    <w:rsid w:val="00BD259A"/>
    <w:rsid w:val="00BD4B13"/>
    <w:rsid w:val="00BD7AAF"/>
    <w:rsid w:val="00BE6AA8"/>
    <w:rsid w:val="00BE7238"/>
    <w:rsid w:val="00BF0969"/>
    <w:rsid w:val="00C02A56"/>
    <w:rsid w:val="00C05A6B"/>
    <w:rsid w:val="00C17385"/>
    <w:rsid w:val="00C252DE"/>
    <w:rsid w:val="00C3536A"/>
    <w:rsid w:val="00C37622"/>
    <w:rsid w:val="00C45951"/>
    <w:rsid w:val="00C518E3"/>
    <w:rsid w:val="00C61D88"/>
    <w:rsid w:val="00C63547"/>
    <w:rsid w:val="00C7296B"/>
    <w:rsid w:val="00C75CE9"/>
    <w:rsid w:val="00C770C5"/>
    <w:rsid w:val="00C80D14"/>
    <w:rsid w:val="00C901EC"/>
    <w:rsid w:val="00C90493"/>
    <w:rsid w:val="00C91BB2"/>
    <w:rsid w:val="00C97C42"/>
    <w:rsid w:val="00CC27CD"/>
    <w:rsid w:val="00CF3C9D"/>
    <w:rsid w:val="00CF6F86"/>
    <w:rsid w:val="00D04D81"/>
    <w:rsid w:val="00D05FD2"/>
    <w:rsid w:val="00D067F0"/>
    <w:rsid w:val="00D146FD"/>
    <w:rsid w:val="00D14AE4"/>
    <w:rsid w:val="00D313EB"/>
    <w:rsid w:val="00D3304F"/>
    <w:rsid w:val="00D35287"/>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2699"/>
    <w:rsid w:val="00E24EB5"/>
    <w:rsid w:val="00E262BB"/>
    <w:rsid w:val="00E348D1"/>
    <w:rsid w:val="00E34B78"/>
    <w:rsid w:val="00E37399"/>
    <w:rsid w:val="00E376CA"/>
    <w:rsid w:val="00E37F64"/>
    <w:rsid w:val="00E40781"/>
    <w:rsid w:val="00E520EF"/>
    <w:rsid w:val="00E53F53"/>
    <w:rsid w:val="00E66E76"/>
    <w:rsid w:val="00E67717"/>
    <w:rsid w:val="00E745E0"/>
    <w:rsid w:val="00E74E94"/>
    <w:rsid w:val="00E8745C"/>
    <w:rsid w:val="00E90F1D"/>
    <w:rsid w:val="00EB388E"/>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E24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thenational.ae/uae/government/fnc-passes-child-rights-law-after-three-day-debate" TargetMode="External"/><Relationship Id="rId2" Type="http://schemas.openxmlformats.org/officeDocument/2006/relationships/hyperlink" Target="http://gulfnews.com/news/gulf/uae/general/parental-neglect-is-tantamount-to-child-abuse-says-official-1.1385380" TargetMode="External"/><Relationship Id="rId3" Type="http://schemas.openxmlformats.org/officeDocument/2006/relationships/hyperlink" Target="http://www.uaeinteract.com/docs/FNC_approves_draft_law_on_child_rights/6016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3E890-37D4-8646-8CDE-D7ECE88A7031}"/>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F151F8F-0752-4478-8C27-9577E5912AB1}"/>
</file>

<file path=docProps/app.xml><?xml version="1.0" encoding="utf-8"?>
<Properties xmlns="http://schemas.openxmlformats.org/officeDocument/2006/extended-properties" xmlns:vt="http://schemas.openxmlformats.org/officeDocument/2006/docPropsVTypes">
  <Template>Normal.dotm</Template>
  <TotalTime>7</TotalTime>
  <Pages>3</Pages>
  <Words>1133</Words>
  <Characters>6462</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7580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2014-10-28T21:24:00Z</dcterms:created>
  <dcterms:modified xsi:type="dcterms:W3CDTF">2014-10-28T21:36:00Z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