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5B5B0" w14:textId="77777777" w:rsidR="00515E72" w:rsidRPr="007F03F7" w:rsidRDefault="00515E72" w:rsidP="00515E72">
      <w:pPr>
        <w:spacing w:after="0" w:line="240" w:lineRule="auto"/>
        <w:jc w:val="center"/>
        <w:rPr>
          <w:lang w:val="en-GB"/>
        </w:rPr>
      </w:pPr>
      <w:bookmarkStart w:id="0" w:name="_GoBack"/>
      <w:bookmarkEnd w:id="0"/>
    </w:p>
    <w:p w14:paraId="6527D8D5" w14:textId="77777777" w:rsidR="00515E72" w:rsidRPr="007F03F7" w:rsidRDefault="00515E72" w:rsidP="00515E72">
      <w:pPr>
        <w:spacing w:after="0" w:line="240" w:lineRule="auto"/>
        <w:jc w:val="center"/>
        <w:rPr>
          <w:lang w:val="en-GB"/>
        </w:rPr>
      </w:pPr>
    </w:p>
    <w:p w14:paraId="44B6508D" w14:textId="77777777" w:rsidR="00515E72" w:rsidRPr="007F03F7" w:rsidRDefault="00515E72" w:rsidP="00515E72">
      <w:pPr>
        <w:spacing w:after="0" w:line="240" w:lineRule="auto"/>
        <w:jc w:val="center"/>
        <w:rPr>
          <w:lang w:val="en-GB"/>
        </w:rPr>
      </w:pPr>
      <w:r w:rsidRPr="007F03F7">
        <w:rPr>
          <w:lang w:val="en-GB"/>
        </w:rPr>
        <w:t xml:space="preserve">Thematic report on the implementation of the Convention on the Rights of the Child and the Optional Protocol on the sale of children, child prostitution and child pornography </w:t>
      </w:r>
    </w:p>
    <w:p w14:paraId="213CFDA7" w14:textId="77777777" w:rsidR="00515E72" w:rsidRPr="007F03F7" w:rsidRDefault="00515E72" w:rsidP="00515E72">
      <w:pPr>
        <w:spacing w:after="0" w:line="240" w:lineRule="auto"/>
        <w:jc w:val="center"/>
        <w:rPr>
          <w:lang w:val="en-GB"/>
        </w:rPr>
      </w:pPr>
      <w:r w:rsidRPr="007F03F7">
        <w:rPr>
          <w:lang w:val="en-GB"/>
        </w:rPr>
        <w:t>in the context of the Simplified Reporting Procedure (SRP)</w:t>
      </w:r>
    </w:p>
    <w:p w14:paraId="3BDBADA2" w14:textId="77777777" w:rsidR="00515E72" w:rsidRPr="007F03F7" w:rsidRDefault="00515E72" w:rsidP="00515E72">
      <w:pPr>
        <w:spacing w:after="0" w:line="240" w:lineRule="auto"/>
        <w:jc w:val="center"/>
        <w:rPr>
          <w:b/>
          <w:lang w:val="en-GB"/>
        </w:rPr>
      </w:pPr>
    </w:p>
    <w:p w14:paraId="75A10201" w14:textId="14890D9D" w:rsidR="00515E72" w:rsidRPr="007F03F7" w:rsidRDefault="00515E72" w:rsidP="00515E72">
      <w:pPr>
        <w:spacing w:after="0" w:line="240" w:lineRule="auto"/>
        <w:jc w:val="center"/>
        <w:rPr>
          <w:b/>
          <w:lang w:val="en-GB"/>
        </w:rPr>
      </w:pPr>
      <w:r w:rsidRPr="007F03F7">
        <w:rPr>
          <w:b/>
          <w:lang w:val="en-GB"/>
        </w:rPr>
        <w:t xml:space="preserve">“Sexual Exploitation of Children in </w:t>
      </w:r>
      <w:r w:rsidR="004D12E3">
        <w:rPr>
          <w:b/>
          <w:lang w:val="en-GB"/>
        </w:rPr>
        <w:t xml:space="preserve">The </w:t>
      </w:r>
      <w:r w:rsidRPr="007F03F7">
        <w:rPr>
          <w:b/>
          <w:lang w:val="en-GB"/>
        </w:rPr>
        <w:t>Gambia”</w:t>
      </w:r>
    </w:p>
    <w:p w14:paraId="3CD6DE9E" w14:textId="77777777" w:rsidR="00515E72" w:rsidRPr="007F03F7" w:rsidRDefault="00515E72" w:rsidP="00515E72">
      <w:pPr>
        <w:spacing w:after="0" w:line="240" w:lineRule="auto"/>
        <w:jc w:val="center"/>
        <w:rPr>
          <w:b/>
          <w:lang w:val="en-GB"/>
        </w:rPr>
      </w:pPr>
    </w:p>
    <w:p w14:paraId="1A272FCA" w14:textId="77777777" w:rsidR="00515E72" w:rsidRPr="007F03F7" w:rsidRDefault="00515E72" w:rsidP="00515E72">
      <w:pPr>
        <w:spacing w:after="0" w:line="240" w:lineRule="auto"/>
        <w:jc w:val="center"/>
        <w:rPr>
          <w:b/>
          <w:lang w:val="en-GB"/>
        </w:rPr>
      </w:pPr>
    </w:p>
    <w:p w14:paraId="6C610A6F" w14:textId="77777777" w:rsidR="00515E72" w:rsidRPr="007F03F7" w:rsidRDefault="00515E72" w:rsidP="00515E72">
      <w:pPr>
        <w:spacing w:after="0" w:line="240" w:lineRule="auto"/>
        <w:jc w:val="center"/>
        <w:rPr>
          <w:b/>
          <w:lang w:val="en-GB"/>
        </w:rPr>
      </w:pPr>
    </w:p>
    <w:p w14:paraId="61DA2B0D" w14:textId="77777777" w:rsidR="00515E72" w:rsidRPr="007F03F7" w:rsidRDefault="00515E72" w:rsidP="00515E72">
      <w:pPr>
        <w:spacing w:after="0" w:line="240" w:lineRule="auto"/>
        <w:jc w:val="center"/>
        <w:rPr>
          <w:b/>
          <w:lang w:val="en-GB"/>
        </w:rPr>
      </w:pPr>
    </w:p>
    <w:p w14:paraId="09B26CC4" w14:textId="77777777" w:rsidR="00515E72" w:rsidRPr="007F03F7" w:rsidRDefault="00515E72" w:rsidP="00515E72">
      <w:pPr>
        <w:spacing w:after="0" w:line="240" w:lineRule="auto"/>
        <w:jc w:val="center"/>
        <w:rPr>
          <w:b/>
          <w:lang w:val="en-GB"/>
        </w:rPr>
      </w:pPr>
    </w:p>
    <w:p w14:paraId="1D0342EB" w14:textId="77777777" w:rsidR="00515E72" w:rsidRPr="007F03F7" w:rsidRDefault="00515E72" w:rsidP="00515E72">
      <w:pPr>
        <w:spacing w:after="0" w:line="240" w:lineRule="auto"/>
        <w:jc w:val="center"/>
        <w:rPr>
          <w:b/>
          <w:lang w:val="en-GB"/>
        </w:rPr>
      </w:pPr>
    </w:p>
    <w:p w14:paraId="212AEF30" w14:textId="77777777" w:rsidR="00515E72" w:rsidRPr="007F03F7" w:rsidRDefault="00515E72" w:rsidP="00515E72">
      <w:pPr>
        <w:spacing w:after="0" w:line="240" w:lineRule="auto"/>
        <w:jc w:val="center"/>
        <w:rPr>
          <w:b/>
          <w:lang w:val="en-GB"/>
        </w:rPr>
      </w:pPr>
    </w:p>
    <w:p w14:paraId="0726D8A9" w14:textId="77777777" w:rsidR="00515E72" w:rsidRPr="007F03F7" w:rsidRDefault="00515E72" w:rsidP="00515E72">
      <w:pPr>
        <w:spacing w:after="0" w:line="240" w:lineRule="auto"/>
        <w:jc w:val="center"/>
        <w:rPr>
          <w:lang w:val="en-GB"/>
        </w:rPr>
      </w:pPr>
      <w:r w:rsidRPr="007F03F7">
        <w:rPr>
          <w:lang w:val="en-GB"/>
        </w:rPr>
        <w:t>Submitted by</w:t>
      </w:r>
    </w:p>
    <w:p w14:paraId="78528529" w14:textId="77777777" w:rsidR="00515E72" w:rsidRPr="007F03F7" w:rsidRDefault="00515E72" w:rsidP="007F03F7">
      <w:pPr>
        <w:spacing w:after="0" w:line="240" w:lineRule="auto"/>
        <w:contextualSpacing/>
        <w:jc w:val="center"/>
        <w:rPr>
          <w:rFonts w:cstheme="minorHAnsi"/>
          <w:b/>
          <w:bCs/>
        </w:rPr>
      </w:pPr>
      <w:r w:rsidRPr="007F03F7">
        <w:rPr>
          <w:rFonts w:cstheme="minorHAnsi"/>
          <w:b/>
          <w:bCs/>
        </w:rPr>
        <w:t>Child Protection Alliance (CPA) – The Gambia</w:t>
      </w:r>
    </w:p>
    <w:p w14:paraId="25A8D146" w14:textId="77777777" w:rsidR="001401C9" w:rsidRPr="007F03F7" w:rsidRDefault="00515E72" w:rsidP="007F03F7">
      <w:pPr>
        <w:spacing w:after="120"/>
        <w:contextualSpacing/>
        <w:jc w:val="center"/>
        <w:rPr>
          <w:rFonts w:cstheme="minorHAnsi"/>
          <w:b/>
          <w:bCs/>
        </w:rPr>
      </w:pPr>
      <w:r w:rsidRPr="007F03F7">
        <w:rPr>
          <w:rFonts w:cstheme="minorHAnsi"/>
        </w:rPr>
        <w:t>and</w:t>
      </w:r>
      <w:r w:rsidRPr="007F03F7">
        <w:rPr>
          <w:rFonts w:cstheme="minorHAnsi"/>
          <w:b/>
          <w:bCs/>
        </w:rPr>
        <w:t xml:space="preserve"> </w:t>
      </w:r>
    </w:p>
    <w:p w14:paraId="10CB77D3" w14:textId="177CB141" w:rsidR="00515E72" w:rsidRPr="007F03F7" w:rsidRDefault="00515E72" w:rsidP="007F03F7">
      <w:pPr>
        <w:spacing w:after="120"/>
        <w:contextualSpacing/>
        <w:jc w:val="center"/>
        <w:rPr>
          <w:rFonts w:cstheme="minorHAnsi"/>
          <w:b/>
          <w:bCs/>
        </w:rPr>
      </w:pPr>
      <w:r w:rsidRPr="007F03F7">
        <w:rPr>
          <w:rFonts w:cstheme="minorHAnsi"/>
          <w:b/>
          <w:bCs/>
        </w:rPr>
        <w:t>ECPAT International</w:t>
      </w:r>
    </w:p>
    <w:p w14:paraId="68C08BED" w14:textId="77777777" w:rsidR="00515E72" w:rsidRPr="007F03F7" w:rsidRDefault="00515E72" w:rsidP="00515E72">
      <w:pPr>
        <w:spacing w:after="0" w:line="240" w:lineRule="auto"/>
        <w:jc w:val="center"/>
        <w:rPr>
          <w:lang w:val="en-GB"/>
        </w:rPr>
      </w:pPr>
      <w:r w:rsidRPr="007F03F7">
        <w:rPr>
          <w:lang w:val="en-GB"/>
        </w:rPr>
        <w:t>1 November 2019</w:t>
      </w:r>
    </w:p>
    <w:p w14:paraId="3DC4FEBB" w14:textId="77777777" w:rsidR="00515E72" w:rsidRPr="007F03F7" w:rsidRDefault="00515E72" w:rsidP="00515E72">
      <w:pPr>
        <w:spacing w:after="0" w:line="240" w:lineRule="auto"/>
        <w:jc w:val="center"/>
        <w:rPr>
          <w:lang w:val="en-GB"/>
        </w:rPr>
      </w:pPr>
    </w:p>
    <w:p w14:paraId="496D1A88" w14:textId="77777777" w:rsidR="00515E72" w:rsidRPr="007F03F7" w:rsidRDefault="00515E72" w:rsidP="00515E72">
      <w:pPr>
        <w:spacing w:after="0" w:line="240" w:lineRule="auto"/>
        <w:rPr>
          <w:lang w:val="en-GB"/>
        </w:rPr>
      </w:pPr>
    </w:p>
    <w:p w14:paraId="799FC1FF" w14:textId="77777777" w:rsidR="00515E72" w:rsidRPr="007F03F7" w:rsidRDefault="00515E72" w:rsidP="00515E72">
      <w:pPr>
        <w:spacing w:after="0" w:line="240" w:lineRule="auto"/>
        <w:jc w:val="center"/>
        <w:rPr>
          <w:lang w:val="en-GB"/>
        </w:rPr>
      </w:pPr>
    </w:p>
    <w:p w14:paraId="00E257BD" w14:textId="77777777" w:rsidR="00515E72" w:rsidRPr="007F03F7" w:rsidRDefault="00515E72" w:rsidP="00515E72">
      <w:pPr>
        <w:spacing w:after="0" w:line="240" w:lineRule="auto"/>
        <w:jc w:val="center"/>
        <w:rPr>
          <w:b/>
          <w:lang w:val="en-GB"/>
        </w:rPr>
      </w:pPr>
      <w:r w:rsidRPr="007F03F7">
        <w:rPr>
          <w:lang w:val="en-GB"/>
        </w:rPr>
        <w:t xml:space="preserve">to the </w:t>
      </w:r>
      <w:r w:rsidRPr="007F03F7">
        <w:rPr>
          <w:b/>
          <w:lang w:val="en-GB"/>
        </w:rPr>
        <w:t>Committee on the Rights of the Child</w:t>
      </w:r>
    </w:p>
    <w:p w14:paraId="064CAA22" w14:textId="77777777" w:rsidR="00515E72" w:rsidRPr="007F03F7" w:rsidRDefault="00515E72" w:rsidP="00515E72">
      <w:pPr>
        <w:spacing w:after="0" w:line="240" w:lineRule="auto"/>
        <w:jc w:val="center"/>
        <w:rPr>
          <w:lang w:val="en-GB"/>
        </w:rPr>
      </w:pPr>
      <w:r w:rsidRPr="007F03F7">
        <w:rPr>
          <w:lang w:val="en-GB"/>
        </w:rPr>
        <w:t xml:space="preserve">85th Pre-session </w:t>
      </w:r>
    </w:p>
    <w:p w14:paraId="46277DDE" w14:textId="77777777" w:rsidR="00515E72" w:rsidRPr="007F03F7" w:rsidRDefault="00515E72" w:rsidP="00515E72">
      <w:pPr>
        <w:spacing w:after="0" w:line="240" w:lineRule="auto"/>
        <w:jc w:val="center"/>
        <w:rPr>
          <w:lang w:val="en-GB"/>
        </w:rPr>
      </w:pPr>
      <w:r w:rsidRPr="007F03F7">
        <w:rPr>
          <w:lang w:val="en-GB"/>
        </w:rPr>
        <w:t xml:space="preserve">(3 – 7 February 2020) </w:t>
      </w:r>
    </w:p>
    <w:p w14:paraId="741496BA" w14:textId="77777777" w:rsidR="00515E72" w:rsidRPr="007F03F7" w:rsidRDefault="00515E72" w:rsidP="00515E72">
      <w:pPr>
        <w:spacing w:after="0" w:line="240" w:lineRule="auto"/>
        <w:rPr>
          <w:noProof/>
          <w:highlight w:val="green"/>
          <w:lang w:val="en-GB" w:eastAsia="zh-CN"/>
        </w:rPr>
      </w:pPr>
      <w:r w:rsidRPr="007F03F7">
        <w:rPr>
          <w:noProof/>
          <w:highlight w:val="green"/>
          <w:lang w:val="en-GB" w:eastAsia="zh-CN"/>
        </w:rPr>
        <w:br w:type="page"/>
      </w:r>
    </w:p>
    <w:p w14:paraId="54E75FCB" w14:textId="77777777" w:rsidR="00515E72" w:rsidRPr="007F03F7" w:rsidRDefault="00AE42A3" w:rsidP="00B337BB">
      <w:r w:rsidRPr="007F03F7">
        <w:rPr>
          <w:rFonts w:cstheme="minorHAnsi"/>
          <w:noProof/>
          <w:lang w:val="en-GB" w:eastAsia="en-GB"/>
        </w:rPr>
        <w:lastRenderedPageBreak/>
        <w:drawing>
          <wp:anchor distT="0" distB="0" distL="114300" distR="114300" simplePos="0" relativeHeight="251663360" behindDoc="0" locked="0" layoutInCell="1" allowOverlap="1" wp14:anchorId="66D10DEF" wp14:editId="7D1083BB">
            <wp:simplePos x="0" y="0"/>
            <wp:positionH relativeFrom="margin">
              <wp:posOffset>98612</wp:posOffset>
            </wp:positionH>
            <wp:positionV relativeFrom="margin">
              <wp:posOffset>114786</wp:posOffset>
            </wp:positionV>
            <wp:extent cx="1216660" cy="1060450"/>
            <wp:effectExtent l="0" t="0" r="254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6660" cy="1060450"/>
                    </a:xfrm>
                    <a:prstGeom prst="rect">
                      <a:avLst/>
                    </a:prstGeom>
                    <a:noFill/>
                    <a:ln>
                      <a:noFill/>
                    </a:ln>
                  </pic:spPr>
                </pic:pic>
              </a:graphicData>
            </a:graphic>
          </wp:anchor>
        </w:drawing>
      </w:r>
      <w:r w:rsidRPr="007F03F7">
        <w:rPr>
          <w:rFonts w:cstheme="minorHAnsi"/>
          <w:noProof/>
          <w:lang w:val="en-GB" w:eastAsia="en-GB"/>
        </w:rPr>
        <w:drawing>
          <wp:anchor distT="0" distB="0" distL="114935" distR="114935" simplePos="0" relativeHeight="251661312" behindDoc="0" locked="0" layoutInCell="1" allowOverlap="1" wp14:anchorId="7D9A8B13" wp14:editId="2CD658B5">
            <wp:simplePos x="0" y="0"/>
            <wp:positionH relativeFrom="column">
              <wp:posOffset>2849656</wp:posOffset>
            </wp:positionH>
            <wp:positionV relativeFrom="paragraph">
              <wp:posOffset>38</wp:posOffset>
            </wp:positionV>
            <wp:extent cx="1075690" cy="1159510"/>
            <wp:effectExtent l="0" t="0" r="3810" b="0"/>
            <wp:wrapThrough wrapText="bothSides">
              <wp:wrapPolygon edited="0">
                <wp:start x="0" y="0"/>
                <wp:lineTo x="0" y="21292"/>
                <wp:lineTo x="21421" y="21292"/>
                <wp:lineTo x="2142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5690" cy="1159510"/>
                    </a:xfrm>
                    <a:prstGeom prst="rect">
                      <a:avLst/>
                    </a:prstGeom>
                    <a:solidFill>
                      <a:srgbClr val="FFFFFF"/>
                    </a:solidFill>
                    <a:ln>
                      <a:noFill/>
                    </a:ln>
                  </pic:spPr>
                </pic:pic>
              </a:graphicData>
            </a:graphic>
          </wp:anchor>
        </w:drawing>
      </w:r>
    </w:p>
    <w:p w14:paraId="4B52E342" w14:textId="77777777" w:rsidR="00515E72" w:rsidRPr="007F03F7" w:rsidRDefault="00515E72" w:rsidP="00B337BB">
      <w:pPr>
        <w:pStyle w:val="Heading1"/>
      </w:pPr>
      <w:bookmarkStart w:id="1" w:name="_Toc516673132"/>
      <w:bookmarkStart w:id="2" w:name="_Toc527017699"/>
      <w:bookmarkStart w:id="3" w:name="_Toc1119717"/>
    </w:p>
    <w:tbl>
      <w:tblPr>
        <w:tblStyle w:val="TableGrid"/>
        <w:tblpPr w:leftFromText="180" w:rightFromText="180" w:vertAnchor="page" w:horzAnchor="margin" w:tblpY="27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36"/>
      </w:tblGrid>
      <w:tr w:rsidR="00515E72" w:rsidRPr="007F03F7" w14:paraId="29B78917" w14:textId="77777777" w:rsidTr="00515E72">
        <w:tc>
          <w:tcPr>
            <w:tcW w:w="4395" w:type="dxa"/>
          </w:tcPr>
          <w:p w14:paraId="45E54620" w14:textId="77777777" w:rsidR="00AE42A3" w:rsidRPr="007F03F7" w:rsidRDefault="00AE42A3" w:rsidP="00515E72">
            <w:pPr>
              <w:rPr>
                <w:rFonts w:cstheme="minorHAnsi"/>
                <w:b/>
                <w:bCs/>
              </w:rPr>
            </w:pPr>
          </w:p>
          <w:p w14:paraId="07C009BA" w14:textId="77777777" w:rsidR="00AE42A3" w:rsidRPr="007F03F7" w:rsidRDefault="00AE42A3" w:rsidP="00515E72">
            <w:pPr>
              <w:rPr>
                <w:rFonts w:cstheme="minorHAnsi"/>
                <w:b/>
                <w:bCs/>
              </w:rPr>
            </w:pPr>
          </w:p>
          <w:p w14:paraId="6D41DEB6" w14:textId="77777777" w:rsidR="00AE42A3" w:rsidRPr="007F03F7" w:rsidRDefault="00AE42A3" w:rsidP="00515E72">
            <w:pPr>
              <w:rPr>
                <w:rFonts w:cstheme="minorHAnsi"/>
                <w:b/>
                <w:bCs/>
              </w:rPr>
            </w:pPr>
          </w:p>
          <w:p w14:paraId="1309EA86" w14:textId="77777777" w:rsidR="00AE42A3" w:rsidRPr="007F03F7" w:rsidRDefault="00AE42A3" w:rsidP="00515E72">
            <w:pPr>
              <w:rPr>
                <w:rFonts w:cstheme="minorHAnsi"/>
                <w:b/>
                <w:bCs/>
              </w:rPr>
            </w:pPr>
          </w:p>
          <w:p w14:paraId="7E76DAA3" w14:textId="77777777" w:rsidR="00515E72" w:rsidRPr="007F03F7" w:rsidRDefault="00515E72" w:rsidP="00515E72">
            <w:pPr>
              <w:rPr>
                <w:rFonts w:cstheme="minorHAnsi"/>
                <w:b/>
              </w:rPr>
            </w:pPr>
            <w:r w:rsidRPr="007F03F7">
              <w:rPr>
                <w:rFonts w:cstheme="minorHAnsi"/>
                <w:b/>
                <w:bCs/>
              </w:rPr>
              <w:t>Child Protection Alliance (CPA) – The Gambia</w:t>
            </w:r>
          </w:p>
          <w:p w14:paraId="30AE95C1" w14:textId="77777777" w:rsidR="00515E72" w:rsidRPr="007F03F7" w:rsidRDefault="00515E72" w:rsidP="00515E72">
            <w:pPr>
              <w:rPr>
                <w:rFonts w:cstheme="minorHAnsi"/>
              </w:rPr>
            </w:pPr>
          </w:p>
          <w:p w14:paraId="34B3CE60" w14:textId="77777777" w:rsidR="00515E72" w:rsidRPr="007F03F7" w:rsidRDefault="00515E72" w:rsidP="00515E72">
            <w:pPr>
              <w:rPr>
                <w:rFonts w:cstheme="minorHAnsi"/>
              </w:rPr>
            </w:pPr>
          </w:p>
          <w:p w14:paraId="71011ABB" w14:textId="6CE31160" w:rsidR="00515E72" w:rsidRPr="007F03F7" w:rsidRDefault="00515E72" w:rsidP="00515E72">
            <w:pPr>
              <w:rPr>
                <w:rFonts w:cstheme="minorHAnsi"/>
              </w:rPr>
            </w:pPr>
            <w:r w:rsidRPr="007F03F7">
              <w:rPr>
                <w:rFonts w:cstheme="minorHAnsi"/>
              </w:rPr>
              <w:t xml:space="preserve">Contact: Mr. </w:t>
            </w:r>
            <w:r w:rsidR="00586CD5" w:rsidRPr="007F03F7">
              <w:rPr>
                <w:rFonts w:cstheme="minorHAnsi"/>
              </w:rPr>
              <w:t>Lamin Fatty</w:t>
            </w:r>
            <w:r w:rsidRPr="007F03F7">
              <w:rPr>
                <w:rFonts w:cstheme="minorHAnsi"/>
              </w:rPr>
              <w:br/>
              <w:t xml:space="preserve">Address: </w:t>
            </w:r>
            <w:r w:rsidR="004210E8" w:rsidRPr="007F03F7">
              <w:rPr>
                <w:rFonts w:cstheme="minorHAnsi"/>
              </w:rPr>
              <w:t>Former SOS Regional Office</w:t>
            </w:r>
            <w:r w:rsidRPr="007F03F7">
              <w:rPr>
                <w:rFonts w:cstheme="minorHAnsi"/>
              </w:rPr>
              <w:t xml:space="preserve">, </w:t>
            </w:r>
            <w:r w:rsidR="004210E8" w:rsidRPr="007F03F7">
              <w:rPr>
                <w:rFonts w:cstheme="minorHAnsi"/>
              </w:rPr>
              <w:t>Bakoteh</w:t>
            </w:r>
            <w:r w:rsidRPr="007F03F7">
              <w:rPr>
                <w:rFonts w:cstheme="minorHAnsi"/>
              </w:rPr>
              <w:t>, Kanifing Municipality, Ksmd, The Gambia</w:t>
            </w:r>
            <w:r w:rsidRPr="007F03F7">
              <w:rPr>
                <w:rFonts w:cstheme="minorHAnsi"/>
              </w:rPr>
              <w:br/>
              <w:t xml:space="preserve">Phone: +220 </w:t>
            </w:r>
            <w:r w:rsidR="004210E8" w:rsidRPr="007F03F7">
              <w:rPr>
                <w:rFonts w:cstheme="minorHAnsi"/>
              </w:rPr>
              <w:t>7643558/3030063</w:t>
            </w:r>
            <w:r w:rsidRPr="007F03F7">
              <w:rPr>
                <w:rFonts w:cstheme="minorHAnsi"/>
              </w:rPr>
              <w:br/>
              <w:t xml:space="preserve">Email: </w:t>
            </w:r>
            <w:hyperlink r:id="rId10" w:history="1">
              <w:r w:rsidRPr="007F03F7">
                <w:rPr>
                  <w:rStyle w:val="Hyperlink"/>
                  <w:rFonts w:cstheme="minorHAnsi"/>
                </w:rPr>
                <w:t>cpagambia@yahoo.com</w:t>
              </w:r>
            </w:hyperlink>
            <w:r w:rsidRPr="007F03F7">
              <w:rPr>
                <w:rFonts w:cstheme="minorHAnsi"/>
              </w:rPr>
              <w:t xml:space="preserve"> </w:t>
            </w:r>
            <w:r w:rsidRPr="007F03F7">
              <w:rPr>
                <w:rFonts w:cstheme="minorHAnsi"/>
              </w:rPr>
              <w:br/>
              <w:t xml:space="preserve">Website: </w:t>
            </w:r>
            <w:hyperlink r:id="rId11" w:history="1">
              <w:r w:rsidRPr="007F03F7">
                <w:rPr>
                  <w:rStyle w:val="Hyperlink"/>
                  <w:rFonts w:cstheme="minorHAnsi"/>
                </w:rPr>
                <w:t>www.cpagambia.org</w:t>
              </w:r>
            </w:hyperlink>
            <w:r w:rsidRPr="007F03F7">
              <w:rPr>
                <w:rFonts w:cstheme="minorHAnsi"/>
              </w:rPr>
              <w:t xml:space="preserve"> </w:t>
            </w:r>
          </w:p>
          <w:p w14:paraId="526B5A50" w14:textId="77777777" w:rsidR="00515E72" w:rsidRPr="007F03F7" w:rsidRDefault="00515E72" w:rsidP="00515E72">
            <w:pPr>
              <w:rPr>
                <w:rFonts w:cstheme="minorHAnsi"/>
                <w:noProof/>
                <w:lang w:eastAsia="zh-CN"/>
              </w:rPr>
            </w:pPr>
          </w:p>
          <w:p w14:paraId="7B749BEE" w14:textId="5E1E7FF7" w:rsidR="00515E72" w:rsidRPr="007F03F7" w:rsidRDefault="00515E72" w:rsidP="00515E72">
            <w:pPr>
              <w:jc w:val="both"/>
              <w:rPr>
                <w:rFonts w:cstheme="minorHAnsi"/>
                <w:i/>
              </w:rPr>
            </w:pPr>
            <w:r w:rsidRPr="007F03F7">
              <w:rPr>
                <w:rFonts w:cstheme="minorHAnsi"/>
                <w:i/>
              </w:rPr>
              <w:t>The C</w:t>
            </w:r>
            <w:r w:rsidR="004210E8" w:rsidRPr="007F03F7">
              <w:rPr>
                <w:rFonts w:cstheme="minorHAnsi"/>
                <w:i/>
              </w:rPr>
              <w:t>PA</w:t>
            </w:r>
            <w:r w:rsidRPr="007F03F7">
              <w:rPr>
                <w:rFonts w:cstheme="minorHAnsi"/>
                <w:i/>
              </w:rPr>
              <w:t xml:space="preserve"> was established in Banjul on the 26th April 2001 and is a nationwide grouping of almost 36 institutions focused on the promotion and preservation of children's rights in Gambia.</w:t>
            </w:r>
            <w:r w:rsidRPr="007F03F7">
              <w:rPr>
                <w:rFonts w:cstheme="minorHAnsi"/>
                <w:color w:val="333333"/>
              </w:rPr>
              <w:t xml:space="preserve"> </w:t>
            </w:r>
            <w:r w:rsidRPr="007F03F7">
              <w:rPr>
                <w:rFonts w:cstheme="minorHAnsi"/>
                <w:i/>
              </w:rPr>
              <w:t>The CPA was founded to fill the vacuum in child protection and rights and to promote and sensitize people and increase understanding of issues pertinent to children. It also lobbies for adequate legislative changes to address issues of concern and follow-up on their effectiveness. The CPA also actively encourages the participation of children on issues affecting them. It actively engages the media, politicians, and policymakers as well as promoting their rights in Gambian society. The CPA is also engaged in awareness training and capacity building for youth to make them less vulnerable to exploitation.</w:t>
            </w:r>
          </w:p>
          <w:p w14:paraId="438EF6BE" w14:textId="77777777" w:rsidR="00515E72" w:rsidRPr="007F03F7" w:rsidRDefault="00515E72" w:rsidP="00515E72">
            <w:pPr>
              <w:rPr>
                <w:rFonts w:cstheme="minorHAnsi"/>
                <w:noProof/>
                <w:lang w:eastAsia="zh-CN"/>
              </w:rPr>
            </w:pPr>
          </w:p>
        </w:tc>
        <w:tc>
          <w:tcPr>
            <w:tcW w:w="4536" w:type="dxa"/>
          </w:tcPr>
          <w:p w14:paraId="5E9CA579" w14:textId="77777777" w:rsidR="00AE42A3" w:rsidRPr="007F03F7" w:rsidRDefault="00AE42A3" w:rsidP="00515E72">
            <w:pPr>
              <w:ind w:left="178"/>
              <w:rPr>
                <w:rFonts w:cstheme="minorHAnsi"/>
                <w:b/>
                <w:bCs/>
              </w:rPr>
            </w:pPr>
          </w:p>
          <w:p w14:paraId="3A84F39D" w14:textId="77777777" w:rsidR="00AE42A3" w:rsidRPr="007F03F7" w:rsidRDefault="00AE42A3" w:rsidP="00515E72">
            <w:pPr>
              <w:ind w:left="178"/>
              <w:rPr>
                <w:rFonts w:cstheme="minorHAnsi"/>
                <w:b/>
                <w:bCs/>
              </w:rPr>
            </w:pPr>
          </w:p>
          <w:p w14:paraId="1982B404" w14:textId="77777777" w:rsidR="00AE42A3" w:rsidRPr="007F03F7" w:rsidRDefault="00AE42A3" w:rsidP="00515E72">
            <w:pPr>
              <w:ind w:left="178"/>
              <w:rPr>
                <w:rFonts w:cstheme="minorHAnsi"/>
                <w:b/>
                <w:bCs/>
              </w:rPr>
            </w:pPr>
          </w:p>
          <w:p w14:paraId="4640B919" w14:textId="77777777" w:rsidR="00AE42A3" w:rsidRPr="007F03F7" w:rsidRDefault="00AE42A3" w:rsidP="00515E72">
            <w:pPr>
              <w:ind w:left="178"/>
              <w:rPr>
                <w:rFonts w:cstheme="minorHAnsi"/>
                <w:b/>
                <w:bCs/>
              </w:rPr>
            </w:pPr>
          </w:p>
          <w:p w14:paraId="3C09BE09" w14:textId="77777777" w:rsidR="00515E72" w:rsidRPr="007F03F7" w:rsidRDefault="00515E72" w:rsidP="00515E72">
            <w:pPr>
              <w:ind w:left="178"/>
              <w:rPr>
                <w:rFonts w:cstheme="minorHAnsi"/>
                <w:b/>
                <w:bCs/>
              </w:rPr>
            </w:pPr>
            <w:r w:rsidRPr="007F03F7">
              <w:rPr>
                <w:rFonts w:cstheme="minorHAnsi"/>
                <w:b/>
                <w:bCs/>
              </w:rPr>
              <w:t>ECPAT International</w:t>
            </w:r>
          </w:p>
          <w:p w14:paraId="5CCC43D2" w14:textId="77777777" w:rsidR="00515E72" w:rsidRPr="007F03F7" w:rsidRDefault="00515E72" w:rsidP="00515E72">
            <w:pPr>
              <w:ind w:left="178"/>
              <w:rPr>
                <w:rFonts w:cstheme="minorHAnsi"/>
                <w:bCs/>
                <w:u w:val="single"/>
              </w:rPr>
            </w:pPr>
            <w:r w:rsidRPr="007F03F7">
              <w:rPr>
                <w:rFonts w:cstheme="minorHAnsi"/>
                <w:bCs/>
                <w:u w:val="single"/>
              </w:rPr>
              <w:t>Special consultative status</w:t>
            </w:r>
          </w:p>
          <w:p w14:paraId="2352C65A" w14:textId="77777777" w:rsidR="00515E72" w:rsidRPr="007F03F7" w:rsidRDefault="00515E72" w:rsidP="00515E72">
            <w:pPr>
              <w:ind w:left="178"/>
              <w:rPr>
                <w:rFonts w:cstheme="minorHAnsi"/>
              </w:rPr>
            </w:pPr>
          </w:p>
          <w:p w14:paraId="39903639" w14:textId="77777777" w:rsidR="00515E72" w:rsidRPr="007F03F7" w:rsidRDefault="00515E72" w:rsidP="00515E72">
            <w:pPr>
              <w:ind w:left="178"/>
              <w:rPr>
                <w:rFonts w:cstheme="minorHAnsi"/>
              </w:rPr>
            </w:pPr>
            <w:r w:rsidRPr="007F03F7">
              <w:rPr>
                <w:rFonts w:cstheme="minorHAnsi"/>
              </w:rPr>
              <w:t>Executive Director: Mr. Robbert van den Berg</w:t>
            </w:r>
          </w:p>
          <w:p w14:paraId="6C7D0624" w14:textId="77777777" w:rsidR="00515E72" w:rsidRPr="007F03F7" w:rsidRDefault="00515E72" w:rsidP="00515E72">
            <w:pPr>
              <w:ind w:left="178"/>
              <w:rPr>
                <w:rFonts w:cstheme="minorHAnsi"/>
              </w:rPr>
            </w:pPr>
            <w:r w:rsidRPr="007F03F7">
              <w:rPr>
                <w:rFonts w:cstheme="minorHAnsi"/>
              </w:rPr>
              <w:t xml:space="preserve">Address: 328/1 Phayathai Road, Ratchathewi, </w:t>
            </w:r>
          </w:p>
          <w:p w14:paraId="13618054" w14:textId="77777777" w:rsidR="00515E72" w:rsidRPr="007F03F7" w:rsidRDefault="00515E72" w:rsidP="00515E72">
            <w:pPr>
              <w:ind w:left="178"/>
              <w:rPr>
                <w:rFonts w:cstheme="minorHAnsi"/>
              </w:rPr>
            </w:pPr>
            <w:r w:rsidRPr="007F03F7">
              <w:rPr>
                <w:rFonts w:cstheme="minorHAnsi"/>
              </w:rPr>
              <w:t>Bangkok 10400, Thailand</w:t>
            </w:r>
          </w:p>
          <w:p w14:paraId="1E84C3B3" w14:textId="77777777" w:rsidR="00515E72" w:rsidRPr="007F03F7" w:rsidRDefault="00515E72" w:rsidP="00515E72">
            <w:pPr>
              <w:ind w:left="178"/>
              <w:rPr>
                <w:rFonts w:cstheme="minorHAnsi"/>
              </w:rPr>
            </w:pPr>
            <w:r w:rsidRPr="007F03F7">
              <w:rPr>
                <w:rFonts w:cstheme="minorHAnsi"/>
              </w:rPr>
              <w:t xml:space="preserve">Phone: </w:t>
            </w:r>
            <w:hyperlink r:id="rId12" w:tgtFrame="_blank" w:history="1">
              <w:r w:rsidRPr="007F03F7">
                <w:rPr>
                  <w:rStyle w:val="Hyperlink"/>
                  <w:rFonts w:cstheme="minorHAnsi"/>
                </w:rPr>
                <w:t>+66 2 215 3388</w:t>
              </w:r>
            </w:hyperlink>
          </w:p>
          <w:p w14:paraId="665471CE" w14:textId="77777777" w:rsidR="00515E72" w:rsidRPr="007F03F7" w:rsidRDefault="00515E72" w:rsidP="00515E72">
            <w:pPr>
              <w:ind w:left="178"/>
              <w:rPr>
                <w:rFonts w:cstheme="minorHAnsi"/>
              </w:rPr>
            </w:pPr>
            <w:r w:rsidRPr="007F03F7">
              <w:rPr>
                <w:rFonts w:cstheme="minorHAnsi"/>
              </w:rPr>
              <w:t xml:space="preserve">Email: </w:t>
            </w:r>
            <w:r w:rsidRPr="007F03F7">
              <w:rPr>
                <w:rStyle w:val="l6b"/>
                <w:rFonts w:cstheme="minorHAnsi"/>
                <w:color w:val="0000FF"/>
                <w:u w:val="single"/>
              </w:rPr>
              <w:t>info@ecpat.org</w:t>
            </w:r>
          </w:p>
          <w:p w14:paraId="509EEC7D" w14:textId="77777777" w:rsidR="00515E72" w:rsidRPr="007F03F7" w:rsidRDefault="00515E72" w:rsidP="00515E72">
            <w:pPr>
              <w:ind w:left="178"/>
              <w:rPr>
                <w:rFonts w:cstheme="minorHAnsi"/>
              </w:rPr>
            </w:pPr>
            <w:r w:rsidRPr="007F03F7">
              <w:rPr>
                <w:rFonts w:cstheme="minorHAnsi"/>
              </w:rPr>
              <w:t xml:space="preserve">Website: </w:t>
            </w:r>
            <w:hyperlink r:id="rId13" w:history="1">
              <w:r w:rsidRPr="007F03F7">
                <w:rPr>
                  <w:rStyle w:val="Hyperlink"/>
                  <w:rFonts w:cstheme="minorHAnsi"/>
                </w:rPr>
                <w:t>www.ecpat.org</w:t>
              </w:r>
            </w:hyperlink>
            <w:r w:rsidRPr="007F03F7">
              <w:rPr>
                <w:rFonts w:cstheme="minorHAnsi"/>
              </w:rPr>
              <w:t xml:space="preserve">  </w:t>
            </w:r>
          </w:p>
          <w:p w14:paraId="7BE34C86" w14:textId="77777777" w:rsidR="00515E72" w:rsidRPr="007F03F7" w:rsidRDefault="00515E72" w:rsidP="00515E72">
            <w:pPr>
              <w:ind w:left="178"/>
              <w:rPr>
                <w:rFonts w:cstheme="minorHAnsi"/>
                <w:noProof/>
                <w:lang w:eastAsia="zh-CN"/>
              </w:rPr>
            </w:pPr>
          </w:p>
          <w:p w14:paraId="59FBBE11" w14:textId="77777777" w:rsidR="00515E72" w:rsidRPr="007F03F7" w:rsidRDefault="00515E72" w:rsidP="00515E72">
            <w:pPr>
              <w:ind w:left="178"/>
              <w:jc w:val="both"/>
              <w:rPr>
                <w:rFonts w:cstheme="minorHAnsi"/>
                <w:noProof/>
                <w:lang w:eastAsia="zh-CN"/>
              </w:rPr>
            </w:pPr>
            <w:r w:rsidRPr="007F03F7">
              <w:rPr>
                <w:rFonts w:cstheme="minorHAnsi"/>
                <w:i/>
              </w:rPr>
              <w:t>ECPAT International is a global network of civil society organisations working for the eradication of all forms of sexual exploitation of children. For the past 29 years, ECPAT has acted as the international watchdog, monitoring States’ response to sexual exploitation of children, and advocating for robust international measures to protect children from sexual exploitation.</w:t>
            </w:r>
            <w:r w:rsidRPr="007F03F7">
              <w:rPr>
                <w:rFonts w:cstheme="minorHAnsi"/>
                <w:b/>
                <w:i/>
              </w:rPr>
              <w:t xml:space="preserve"> </w:t>
            </w:r>
            <w:r w:rsidRPr="007F03F7">
              <w:rPr>
                <w:rFonts w:cstheme="minorHAnsi"/>
                <w:i/>
              </w:rPr>
              <w:t>ECPAT International currently has 1</w:t>
            </w:r>
            <w:r w:rsidR="00B337BB" w:rsidRPr="007F03F7">
              <w:rPr>
                <w:rFonts w:cstheme="minorHAnsi"/>
                <w:i/>
              </w:rPr>
              <w:t>11</w:t>
            </w:r>
            <w:r w:rsidRPr="007F03F7">
              <w:rPr>
                <w:rFonts w:cstheme="minorHAnsi"/>
                <w:i/>
              </w:rPr>
              <w:t xml:space="preserve"> network members operating in 9</w:t>
            </w:r>
            <w:r w:rsidR="00B337BB" w:rsidRPr="007F03F7">
              <w:rPr>
                <w:rFonts w:cstheme="minorHAnsi"/>
                <w:i/>
              </w:rPr>
              <w:t>7</w:t>
            </w:r>
            <w:r w:rsidRPr="007F03F7">
              <w:rPr>
                <w:rFonts w:cstheme="minorHAnsi"/>
                <w:i/>
              </w:rPr>
              <w:t xml:space="preserve"> countries.</w:t>
            </w:r>
            <w:r w:rsidRPr="007F03F7">
              <w:rPr>
                <w:rFonts w:cstheme="minorHAnsi"/>
                <w:b/>
              </w:rPr>
              <w:t xml:space="preserve"> </w:t>
            </w:r>
          </w:p>
        </w:tc>
      </w:tr>
    </w:tbl>
    <w:p w14:paraId="0112F4F3" w14:textId="77777777" w:rsidR="00515E72" w:rsidRPr="007F03F7" w:rsidRDefault="00515E72" w:rsidP="00515E72">
      <w:pPr>
        <w:rPr>
          <w:rFonts w:eastAsiaTheme="majorEastAsia" w:cstheme="minorHAnsi"/>
          <w:b/>
        </w:rPr>
      </w:pPr>
      <w:r w:rsidRPr="007F03F7">
        <w:rPr>
          <w:rFonts w:cstheme="minorHAnsi"/>
        </w:rPr>
        <w:br w:type="page"/>
      </w:r>
    </w:p>
    <w:bookmarkEnd w:id="3" w:displacedByCustomXml="next"/>
    <w:bookmarkEnd w:id="2" w:displacedByCustomXml="next"/>
    <w:bookmarkEnd w:id="1" w:displacedByCustomXml="next"/>
    <w:sdt>
      <w:sdtPr>
        <w:rPr>
          <w:rFonts w:asciiTheme="minorHAnsi" w:eastAsiaTheme="minorHAnsi" w:hAnsiTheme="minorHAnsi" w:cstheme="minorBidi"/>
          <w:b w:val="0"/>
          <w:bCs w:val="0"/>
          <w:color w:val="auto"/>
          <w:sz w:val="22"/>
          <w:szCs w:val="22"/>
        </w:rPr>
        <w:id w:val="426618451"/>
        <w:docPartObj>
          <w:docPartGallery w:val="Table of Contents"/>
          <w:docPartUnique/>
        </w:docPartObj>
      </w:sdtPr>
      <w:sdtEndPr>
        <w:rPr>
          <w:noProof/>
        </w:rPr>
      </w:sdtEndPr>
      <w:sdtContent>
        <w:p w14:paraId="4F4BCD97" w14:textId="77777777" w:rsidR="00B337BB" w:rsidRPr="007F03F7" w:rsidRDefault="00B337BB">
          <w:pPr>
            <w:pStyle w:val="TOCHeading"/>
            <w:rPr>
              <w:rFonts w:asciiTheme="minorHAnsi" w:hAnsiTheme="minorHAnsi" w:cstheme="minorHAnsi"/>
              <w:color w:val="000000" w:themeColor="text1"/>
              <w:sz w:val="22"/>
              <w:szCs w:val="22"/>
            </w:rPr>
          </w:pPr>
          <w:r w:rsidRPr="007F03F7">
            <w:rPr>
              <w:rFonts w:asciiTheme="minorHAnsi" w:hAnsiTheme="minorHAnsi" w:cstheme="minorHAnsi"/>
              <w:color w:val="000000" w:themeColor="text1"/>
              <w:sz w:val="22"/>
              <w:szCs w:val="22"/>
            </w:rPr>
            <w:t>Content of this report</w:t>
          </w:r>
        </w:p>
        <w:p w14:paraId="59163DC3" w14:textId="3D040B61" w:rsidR="003B45B6" w:rsidRPr="003B45B6" w:rsidRDefault="00EC4689">
          <w:pPr>
            <w:pStyle w:val="TOC1"/>
            <w:tabs>
              <w:tab w:val="right" w:leader="dot" w:pos="9350"/>
            </w:tabs>
            <w:rPr>
              <w:rFonts w:eastAsiaTheme="minorEastAsia" w:cstheme="minorBidi"/>
              <w:b w:val="0"/>
              <w:bCs w:val="0"/>
              <w:i w:val="0"/>
              <w:iCs w:val="0"/>
              <w:noProof/>
              <w:sz w:val="22"/>
              <w:szCs w:val="22"/>
            </w:rPr>
          </w:pPr>
          <w:r w:rsidRPr="007F03F7">
            <w:rPr>
              <w:b w:val="0"/>
              <w:bCs w:val="0"/>
              <w:color w:val="000000" w:themeColor="text1"/>
              <w:sz w:val="22"/>
              <w:szCs w:val="22"/>
            </w:rPr>
            <w:fldChar w:fldCharType="begin"/>
          </w:r>
          <w:r w:rsidR="00B337BB" w:rsidRPr="007F03F7">
            <w:rPr>
              <w:b w:val="0"/>
              <w:color w:val="000000" w:themeColor="text1"/>
              <w:sz w:val="22"/>
              <w:szCs w:val="22"/>
            </w:rPr>
            <w:instrText xml:space="preserve"> TOC \o "1-3" \h \z \u </w:instrText>
          </w:r>
          <w:r w:rsidRPr="007F03F7">
            <w:rPr>
              <w:b w:val="0"/>
              <w:bCs w:val="0"/>
              <w:color w:val="000000" w:themeColor="text1"/>
              <w:sz w:val="22"/>
              <w:szCs w:val="22"/>
            </w:rPr>
            <w:fldChar w:fldCharType="separate"/>
          </w:r>
          <w:hyperlink w:anchor="_Toc23520461" w:history="1">
            <w:r w:rsidR="003B45B6" w:rsidRPr="003B45B6">
              <w:rPr>
                <w:rStyle w:val="Hyperlink"/>
                <w:b w:val="0"/>
                <w:i w:val="0"/>
                <w:noProof/>
              </w:rPr>
              <w:t>Context of this thematic report</w:t>
            </w:r>
            <w:r w:rsidR="003B45B6" w:rsidRPr="003B45B6">
              <w:rPr>
                <w:b w:val="0"/>
                <w:i w:val="0"/>
                <w:noProof/>
                <w:webHidden/>
              </w:rPr>
              <w:tab/>
            </w:r>
            <w:r w:rsidR="003B45B6" w:rsidRPr="003B45B6">
              <w:rPr>
                <w:b w:val="0"/>
                <w:i w:val="0"/>
                <w:noProof/>
                <w:webHidden/>
              </w:rPr>
              <w:fldChar w:fldCharType="begin"/>
            </w:r>
            <w:r w:rsidR="003B45B6" w:rsidRPr="003B45B6">
              <w:rPr>
                <w:b w:val="0"/>
                <w:i w:val="0"/>
                <w:noProof/>
                <w:webHidden/>
              </w:rPr>
              <w:instrText xml:space="preserve"> PAGEREF _Toc23520461 \h </w:instrText>
            </w:r>
            <w:r w:rsidR="003B45B6" w:rsidRPr="003B45B6">
              <w:rPr>
                <w:b w:val="0"/>
                <w:i w:val="0"/>
                <w:noProof/>
                <w:webHidden/>
              </w:rPr>
            </w:r>
            <w:r w:rsidR="003B45B6" w:rsidRPr="003B45B6">
              <w:rPr>
                <w:b w:val="0"/>
                <w:i w:val="0"/>
                <w:noProof/>
                <w:webHidden/>
              </w:rPr>
              <w:fldChar w:fldCharType="separate"/>
            </w:r>
            <w:r w:rsidR="003B45B6">
              <w:rPr>
                <w:b w:val="0"/>
                <w:i w:val="0"/>
                <w:noProof/>
                <w:webHidden/>
              </w:rPr>
              <w:t>4</w:t>
            </w:r>
            <w:r w:rsidR="003B45B6" w:rsidRPr="003B45B6">
              <w:rPr>
                <w:b w:val="0"/>
                <w:i w:val="0"/>
                <w:noProof/>
                <w:webHidden/>
              </w:rPr>
              <w:fldChar w:fldCharType="end"/>
            </w:r>
          </w:hyperlink>
        </w:p>
        <w:p w14:paraId="454C548E" w14:textId="1C347FA2" w:rsidR="003B45B6" w:rsidRPr="003B45B6" w:rsidRDefault="00192CC5">
          <w:pPr>
            <w:pStyle w:val="TOC1"/>
            <w:tabs>
              <w:tab w:val="right" w:leader="dot" w:pos="9350"/>
            </w:tabs>
            <w:rPr>
              <w:rFonts w:eastAsiaTheme="minorEastAsia" w:cstheme="minorBidi"/>
              <w:b w:val="0"/>
              <w:bCs w:val="0"/>
              <w:i w:val="0"/>
              <w:iCs w:val="0"/>
              <w:noProof/>
              <w:sz w:val="22"/>
              <w:szCs w:val="22"/>
            </w:rPr>
          </w:pPr>
          <w:hyperlink w:anchor="_Toc23520462" w:history="1">
            <w:r w:rsidR="003B45B6" w:rsidRPr="003B45B6">
              <w:rPr>
                <w:rStyle w:val="Hyperlink"/>
                <w:b w:val="0"/>
                <w:i w:val="0"/>
                <w:noProof/>
              </w:rPr>
              <w:t>General measures of implementation</w:t>
            </w:r>
            <w:r w:rsidR="003B45B6" w:rsidRPr="003B45B6">
              <w:rPr>
                <w:b w:val="0"/>
                <w:i w:val="0"/>
                <w:noProof/>
                <w:webHidden/>
              </w:rPr>
              <w:tab/>
            </w:r>
            <w:r w:rsidR="003B45B6" w:rsidRPr="003B45B6">
              <w:rPr>
                <w:b w:val="0"/>
                <w:i w:val="0"/>
                <w:noProof/>
                <w:webHidden/>
              </w:rPr>
              <w:fldChar w:fldCharType="begin"/>
            </w:r>
            <w:r w:rsidR="003B45B6" w:rsidRPr="003B45B6">
              <w:rPr>
                <w:b w:val="0"/>
                <w:i w:val="0"/>
                <w:noProof/>
                <w:webHidden/>
              </w:rPr>
              <w:instrText xml:space="preserve"> PAGEREF _Toc23520462 \h </w:instrText>
            </w:r>
            <w:r w:rsidR="003B45B6" w:rsidRPr="003B45B6">
              <w:rPr>
                <w:b w:val="0"/>
                <w:i w:val="0"/>
                <w:noProof/>
                <w:webHidden/>
              </w:rPr>
            </w:r>
            <w:r w:rsidR="003B45B6" w:rsidRPr="003B45B6">
              <w:rPr>
                <w:b w:val="0"/>
                <w:i w:val="0"/>
                <w:noProof/>
                <w:webHidden/>
              </w:rPr>
              <w:fldChar w:fldCharType="separate"/>
            </w:r>
            <w:r w:rsidR="003B45B6">
              <w:rPr>
                <w:b w:val="0"/>
                <w:i w:val="0"/>
                <w:noProof/>
                <w:webHidden/>
              </w:rPr>
              <w:t>5</w:t>
            </w:r>
            <w:r w:rsidR="003B45B6" w:rsidRPr="003B45B6">
              <w:rPr>
                <w:b w:val="0"/>
                <w:i w:val="0"/>
                <w:noProof/>
                <w:webHidden/>
              </w:rPr>
              <w:fldChar w:fldCharType="end"/>
            </w:r>
          </w:hyperlink>
        </w:p>
        <w:p w14:paraId="1C54A8F3" w14:textId="1DA1A58D" w:rsidR="003B45B6" w:rsidRPr="003B45B6" w:rsidRDefault="00192CC5">
          <w:pPr>
            <w:pStyle w:val="TOC1"/>
            <w:tabs>
              <w:tab w:val="right" w:leader="dot" w:pos="9350"/>
            </w:tabs>
            <w:rPr>
              <w:rFonts w:eastAsiaTheme="minorEastAsia" w:cstheme="minorBidi"/>
              <w:b w:val="0"/>
              <w:bCs w:val="0"/>
              <w:i w:val="0"/>
              <w:iCs w:val="0"/>
              <w:noProof/>
              <w:sz w:val="22"/>
              <w:szCs w:val="22"/>
            </w:rPr>
          </w:pPr>
          <w:hyperlink w:anchor="_Toc23520463" w:history="1">
            <w:r w:rsidR="003B45B6" w:rsidRPr="003B45B6">
              <w:rPr>
                <w:rStyle w:val="Hyperlink"/>
                <w:b w:val="0"/>
                <w:i w:val="0"/>
                <w:noProof/>
              </w:rPr>
              <w:t>Prohibition on exploitation of children</w:t>
            </w:r>
            <w:r w:rsidR="003B45B6" w:rsidRPr="003B45B6">
              <w:rPr>
                <w:b w:val="0"/>
                <w:i w:val="0"/>
                <w:noProof/>
                <w:webHidden/>
              </w:rPr>
              <w:tab/>
            </w:r>
            <w:r w:rsidR="003B45B6" w:rsidRPr="003B45B6">
              <w:rPr>
                <w:b w:val="0"/>
                <w:i w:val="0"/>
                <w:noProof/>
                <w:webHidden/>
              </w:rPr>
              <w:fldChar w:fldCharType="begin"/>
            </w:r>
            <w:r w:rsidR="003B45B6" w:rsidRPr="003B45B6">
              <w:rPr>
                <w:b w:val="0"/>
                <w:i w:val="0"/>
                <w:noProof/>
                <w:webHidden/>
              </w:rPr>
              <w:instrText xml:space="preserve"> PAGEREF _Toc23520463 \h </w:instrText>
            </w:r>
            <w:r w:rsidR="003B45B6" w:rsidRPr="003B45B6">
              <w:rPr>
                <w:b w:val="0"/>
                <w:i w:val="0"/>
                <w:noProof/>
                <w:webHidden/>
              </w:rPr>
            </w:r>
            <w:r w:rsidR="003B45B6" w:rsidRPr="003B45B6">
              <w:rPr>
                <w:b w:val="0"/>
                <w:i w:val="0"/>
                <w:noProof/>
                <w:webHidden/>
              </w:rPr>
              <w:fldChar w:fldCharType="separate"/>
            </w:r>
            <w:r w:rsidR="003B45B6">
              <w:rPr>
                <w:b w:val="0"/>
                <w:i w:val="0"/>
                <w:noProof/>
                <w:webHidden/>
              </w:rPr>
              <w:t>6</w:t>
            </w:r>
            <w:r w:rsidR="003B45B6" w:rsidRPr="003B45B6">
              <w:rPr>
                <w:b w:val="0"/>
                <w:i w:val="0"/>
                <w:noProof/>
                <w:webHidden/>
              </w:rPr>
              <w:fldChar w:fldCharType="end"/>
            </w:r>
          </w:hyperlink>
        </w:p>
        <w:p w14:paraId="76E23230" w14:textId="337CA07E" w:rsidR="003B45B6" w:rsidRPr="003B45B6" w:rsidRDefault="00192CC5">
          <w:pPr>
            <w:pStyle w:val="TOC1"/>
            <w:tabs>
              <w:tab w:val="right" w:leader="dot" w:pos="9350"/>
            </w:tabs>
            <w:rPr>
              <w:rFonts w:eastAsiaTheme="minorEastAsia" w:cstheme="minorBidi"/>
              <w:b w:val="0"/>
              <w:bCs w:val="0"/>
              <w:i w:val="0"/>
              <w:iCs w:val="0"/>
              <w:noProof/>
              <w:sz w:val="22"/>
              <w:szCs w:val="22"/>
            </w:rPr>
          </w:pPr>
          <w:hyperlink w:anchor="_Toc23520464" w:history="1">
            <w:r w:rsidR="003B45B6" w:rsidRPr="003B45B6">
              <w:rPr>
                <w:rStyle w:val="Hyperlink"/>
                <w:b w:val="0"/>
                <w:i w:val="0"/>
                <w:noProof/>
              </w:rPr>
              <w:t>Prevention of the rights of the child</w:t>
            </w:r>
            <w:r w:rsidR="003B45B6" w:rsidRPr="003B45B6">
              <w:rPr>
                <w:b w:val="0"/>
                <w:i w:val="0"/>
                <w:noProof/>
                <w:webHidden/>
              </w:rPr>
              <w:tab/>
            </w:r>
            <w:r w:rsidR="003B45B6" w:rsidRPr="003B45B6">
              <w:rPr>
                <w:b w:val="0"/>
                <w:i w:val="0"/>
                <w:noProof/>
                <w:webHidden/>
              </w:rPr>
              <w:fldChar w:fldCharType="begin"/>
            </w:r>
            <w:r w:rsidR="003B45B6" w:rsidRPr="003B45B6">
              <w:rPr>
                <w:b w:val="0"/>
                <w:i w:val="0"/>
                <w:noProof/>
                <w:webHidden/>
              </w:rPr>
              <w:instrText xml:space="preserve"> PAGEREF _Toc23520464 \h </w:instrText>
            </w:r>
            <w:r w:rsidR="003B45B6" w:rsidRPr="003B45B6">
              <w:rPr>
                <w:b w:val="0"/>
                <w:i w:val="0"/>
                <w:noProof/>
                <w:webHidden/>
              </w:rPr>
            </w:r>
            <w:r w:rsidR="003B45B6" w:rsidRPr="003B45B6">
              <w:rPr>
                <w:b w:val="0"/>
                <w:i w:val="0"/>
                <w:noProof/>
                <w:webHidden/>
              </w:rPr>
              <w:fldChar w:fldCharType="separate"/>
            </w:r>
            <w:r w:rsidR="003B45B6">
              <w:rPr>
                <w:b w:val="0"/>
                <w:i w:val="0"/>
                <w:noProof/>
                <w:webHidden/>
              </w:rPr>
              <w:t>8</w:t>
            </w:r>
            <w:r w:rsidR="003B45B6" w:rsidRPr="003B45B6">
              <w:rPr>
                <w:b w:val="0"/>
                <w:i w:val="0"/>
                <w:noProof/>
                <w:webHidden/>
              </w:rPr>
              <w:fldChar w:fldCharType="end"/>
            </w:r>
          </w:hyperlink>
        </w:p>
        <w:p w14:paraId="5EAC5951" w14:textId="76C95159" w:rsidR="003B45B6" w:rsidRDefault="00192CC5">
          <w:pPr>
            <w:pStyle w:val="TOC1"/>
            <w:tabs>
              <w:tab w:val="right" w:leader="dot" w:pos="9350"/>
            </w:tabs>
            <w:rPr>
              <w:rFonts w:eastAsiaTheme="minorEastAsia" w:cstheme="minorBidi"/>
              <w:b w:val="0"/>
              <w:bCs w:val="0"/>
              <w:i w:val="0"/>
              <w:iCs w:val="0"/>
              <w:noProof/>
              <w:sz w:val="22"/>
              <w:szCs w:val="22"/>
            </w:rPr>
          </w:pPr>
          <w:hyperlink w:anchor="_Toc23520465" w:history="1">
            <w:r w:rsidR="003B45B6" w:rsidRPr="003B45B6">
              <w:rPr>
                <w:rStyle w:val="Hyperlink"/>
                <w:b w:val="0"/>
                <w:i w:val="0"/>
                <w:noProof/>
              </w:rPr>
              <w:t>Protection of the rights of the child</w:t>
            </w:r>
            <w:r w:rsidR="003B45B6" w:rsidRPr="003B45B6">
              <w:rPr>
                <w:b w:val="0"/>
                <w:i w:val="0"/>
                <w:noProof/>
                <w:webHidden/>
              </w:rPr>
              <w:tab/>
            </w:r>
            <w:r w:rsidR="003B45B6" w:rsidRPr="003B45B6">
              <w:rPr>
                <w:b w:val="0"/>
                <w:i w:val="0"/>
                <w:noProof/>
                <w:webHidden/>
              </w:rPr>
              <w:fldChar w:fldCharType="begin"/>
            </w:r>
            <w:r w:rsidR="003B45B6" w:rsidRPr="003B45B6">
              <w:rPr>
                <w:b w:val="0"/>
                <w:i w:val="0"/>
                <w:noProof/>
                <w:webHidden/>
              </w:rPr>
              <w:instrText xml:space="preserve"> PAGEREF _Toc23520465 \h </w:instrText>
            </w:r>
            <w:r w:rsidR="003B45B6" w:rsidRPr="003B45B6">
              <w:rPr>
                <w:b w:val="0"/>
                <w:i w:val="0"/>
                <w:noProof/>
                <w:webHidden/>
              </w:rPr>
            </w:r>
            <w:r w:rsidR="003B45B6" w:rsidRPr="003B45B6">
              <w:rPr>
                <w:b w:val="0"/>
                <w:i w:val="0"/>
                <w:noProof/>
                <w:webHidden/>
              </w:rPr>
              <w:fldChar w:fldCharType="separate"/>
            </w:r>
            <w:r w:rsidR="003B45B6">
              <w:rPr>
                <w:b w:val="0"/>
                <w:i w:val="0"/>
                <w:noProof/>
                <w:webHidden/>
              </w:rPr>
              <w:t>8</w:t>
            </w:r>
            <w:r w:rsidR="003B45B6" w:rsidRPr="003B45B6">
              <w:rPr>
                <w:b w:val="0"/>
                <w:i w:val="0"/>
                <w:noProof/>
                <w:webHidden/>
              </w:rPr>
              <w:fldChar w:fldCharType="end"/>
            </w:r>
          </w:hyperlink>
        </w:p>
        <w:p w14:paraId="59DA13F4" w14:textId="63EB6889" w:rsidR="00B337BB" w:rsidRPr="007F03F7" w:rsidRDefault="00EC4689">
          <w:r w:rsidRPr="007F03F7">
            <w:rPr>
              <w:rFonts w:cstheme="minorHAnsi"/>
              <w:bCs/>
              <w:noProof/>
              <w:color w:val="000000" w:themeColor="text1"/>
            </w:rPr>
            <w:fldChar w:fldCharType="end"/>
          </w:r>
        </w:p>
      </w:sdtContent>
    </w:sdt>
    <w:p w14:paraId="1E3C57C7" w14:textId="77777777" w:rsidR="000C65FA" w:rsidRPr="007F03F7" w:rsidRDefault="000C65FA" w:rsidP="009740E1">
      <w:pPr>
        <w:rPr>
          <w:lang w:val="en-GB" w:eastAsia="ja-JP"/>
        </w:rPr>
      </w:pPr>
    </w:p>
    <w:p w14:paraId="0C00227F" w14:textId="77777777" w:rsidR="000C65FA" w:rsidRPr="007F03F7" w:rsidRDefault="000C65FA" w:rsidP="009740E1">
      <w:pPr>
        <w:rPr>
          <w:lang w:val="en-GB" w:eastAsia="ja-JP"/>
        </w:rPr>
      </w:pPr>
    </w:p>
    <w:p w14:paraId="7C381443" w14:textId="77777777" w:rsidR="000C65FA" w:rsidRPr="007F03F7" w:rsidRDefault="000C65FA" w:rsidP="009740E1">
      <w:pPr>
        <w:rPr>
          <w:lang w:val="en-GB" w:eastAsia="ja-JP"/>
        </w:rPr>
      </w:pPr>
    </w:p>
    <w:p w14:paraId="0E6E3C0A" w14:textId="77777777" w:rsidR="000C65FA" w:rsidRPr="007F03F7" w:rsidRDefault="000C65FA" w:rsidP="009740E1">
      <w:pPr>
        <w:rPr>
          <w:lang w:val="en-GB" w:eastAsia="ja-JP"/>
        </w:rPr>
      </w:pPr>
    </w:p>
    <w:p w14:paraId="3601FC1D" w14:textId="77777777" w:rsidR="000C65FA" w:rsidRPr="007F03F7" w:rsidRDefault="000C65FA" w:rsidP="009740E1">
      <w:pPr>
        <w:rPr>
          <w:lang w:val="en-GB" w:eastAsia="ja-JP"/>
        </w:rPr>
      </w:pPr>
    </w:p>
    <w:p w14:paraId="0531AC05" w14:textId="77777777" w:rsidR="000C65FA" w:rsidRPr="007F03F7" w:rsidRDefault="000C65FA" w:rsidP="009740E1">
      <w:pPr>
        <w:rPr>
          <w:lang w:val="en-GB" w:eastAsia="ja-JP"/>
        </w:rPr>
      </w:pPr>
    </w:p>
    <w:p w14:paraId="5DA0FA3B" w14:textId="77777777" w:rsidR="000C65FA" w:rsidRPr="007F03F7" w:rsidRDefault="000C65FA" w:rsidP="009740E1">
      <w:pPr>
        <w:rPr>
          <w:lang w:val="en-GB" w:eastAsia="ja-JP"/>
        </w:rPr>
      </w:pPr>
    </w:p>
    <w:p w14:paraId="03AC8F0A" w14:textId="77777777" w:rsidR="000C65FA" w:rsidRPr="007F03F7" w:rsidRDefault="000C65FA" w:rsidP="009740E1">
      <w:pPr>
        <w:rPr>
          <w:lang w:val="en-GB" w:eastAsia="ja-JP"/>
        </w:rPr>
      </w:pPr>
    </w:p>
    <w:p w14:paraId="0DF831CD" w14:textId="77777777" w:rsidR="000C65FA" w:rsidRPr="007F03F7" w:rsidRDefault="000C65FA" w:rsidP="009740E1">
      <w:pPr>
        <w:rPr>
          <w:lang w:val="en-GB" w:eastAsia="ja-JP"/>
        </w:rPr>
      </w:pPr>
    </w:p>
    <w:p w14:paraId="059B3DAC" w14:textId="77777777" w:rsidR="000C65FA" w:rsidRPr="007F03F7" w:rsidRDefault="000C65FA" w:rsidP="009740E1">
      <w:pPr>
        <w:rPr>
          <w:lang w:val="en-GB" w:eastAsia="ja-JP"/>
        </w:rPr>
      </w:pPr>
    </w:p>
    <w:p w14:paraId="2F99ABCE" w14:textId="77777777" w:rsidR="000C65FA" w:rsidRPr="007F03F7" w:rsidRDefault="000C65FA" w:rsidP="009740E1">
      <w:pPr>
        <w:rPr>
          <w:lang w:val="en-GB" w:eastAsia="ja-JP"/>
        </w:rPr>
      </w:pPr>
    </w:p>
    <w:p w14:paraId="3560B9C8" w14:textId="77777777" w:rsidR="000C65FA" w:rsidRPr="007F03F7" w:rsidRDefault="000C65FA" w:rsidP="009740E1">
      <w:pPr>
        <w:rPr>
          <w:lang w:val="en-GB" w:eastAsia="ja-JP"/>
        </w:rPr>
      </w:pPr>
    </w:p>
    <w:p w14:paraId="5AC3ED1F" w14:textId="77777777" w:rsidR="000C65FA" w:rsidRPr="007F03F7" w:rsidRDefault="000C65FA" w:rsidP="009740E1">
      <w:pPr>
        <w:rPr>
          <w:lang w:val="en-GB" w:eastAsia="ja-JP"/>
        </w:rPr>
      </w:pPr>
    </w:p>
    <w:p w14:paraId="296C9255" w14:textId="77777777" w:rsidR="000C65FA" w:rsidRPr="007F03F7" w:rsidRDefault="000C65FA" w:rsidP="009740E1">
      <w:pPr>
        <w:rPr>
          <w:lang w:val="en-GB" w:eastAsia="ja-JP"/>
        </w:rPr>
      </w:pPr>
    </w:p>
    <w:p w14:paraId="45369913" w14:textId="77777777" w:rsidR="000C65FA" w:rsidRPr="007F03F7" w:rsidRDefault="000C65FA" w:rsidP="009740E1">
      <w:pPr>
        <w:rPr>
          <w:lang w:val="en-GB" w:eastAsia="ja-JP"/>
        </w:rPr>
      </w:pPr>
    </w:p>
    <w:p w14:paraId="5A9B51B5" w14:textId="77777777" w:rsidR="000C65FA" w:rsidRPr="007F03F7" w:rsidRDefault="000C65FA" w:rsidP="009740E1">
      <w:pPr>
        <w:rPr>
          <w:lang w:val="en-GB" w:eastAsia="ja-JP"/>
        </w:rPr>
      </w:pPr>
    </w:p>
    <w:p w14:paraId="139A647F" w14:textId="77777777" w:rsidR="000C65FA" w:rsidRPr="007F03F7" w:rsidRDefault="000C65FA" w:rsidP="009740E1">
      <w:pPr>
        <w:rPr>
          <w:lang w:val="en-GB" w:eastAsia="ja-JP"/>
        </w:rPr>
      </w:pPr>
    </w:p>
    <w:p w14:paraId="250E2A84" w14:textId="77777777" w:rsidR="000C65FA" w:rsidRPr="007F03F7" w:rsidRDefault="000C65FA" w:rsidP="009740E1">
      <w:pPr>
        <w:rPr>
          <w:lang w:val="en-GB" w:eastAsia="ja-JP"/>
        </w:rPr>
      </w:pPr>
    </w:p>
    <w:p w14:paraId="2B81BD48" w14:textId="77777777" w:rsidR="000C65FA" w:rsidRPr="007F03F7" w:rsidRDefault="000C65FA" w:rsidP="009740E1">
      <w:pPr>
        <w:rPr>
          <w:lang w:val="en-GB" w:eastAsia="ja-JP"/>
        </w:rPr>
      </w:pPr>
    </w:p>
    <w:p w14:paraId="2B4736E5" w14:textId="77777777" w:rsidR="00AE42A3" w:rsidRPr="007F03F7" w:rsidRDefault="00AE42A3" w:rsidP="009740E1">
      <w:pPr>
        <w:rPr>
          <w:lang w:val="en-GB" w:eastAsia="ja-JP"/>
        </w:rPr>
      </w:pPr>
    </w:p>
    <w:p w14:paraId="6611AA75" w14:textId="15B432DE" w:rsidR="00B337BB" w:rsidRDefault="00B337BB" w:rsidP="000C65FA">
      <w:pPr>
        <w:pStyle w:val="Heading1"/>
      </w:pPr>
      <w:bookmarkStart w:id="4" w:name="_Toc527976438"/>
      <w:bookmarkStart w:id="5" w:name="_Toc528741805"/>
    </w:p>
    <w:p w14:paraId="3D1026D8" w14:textId="77777777" w:rsidR="003B45B6" w:rsidRPr="003B45B6" w:rsidRDefault="003B45B6" w:rsidP="003B45B6">
      <w:pPr>
        <w:rPr>
          <w:lang w:val="en-GB" w:eastAsia="ja-JP"/>
        </w:rPr>
      </w:pPr>
    </w:p>
    <w:p w14:paraId="7FF588C3" w14:textId="77777777" w:rsidR="000B4DAB" w:rsidRPr="007F03F7" w:rsidRDefault="000B4DAB" w:rsidP="007F03F7">
      <w:pPr>
        <w:pStyle w:val="Heading1"/>
        <w:spacing w:line="240" w:lineRule="auto"/>
      </w:pPr>
      <w:bookmarkStart w:id="6" w:name="_Toc23520461"/>
      <w:r w:rsidRPr="007F03F7">
        <w:lastRenderedPageBreak/>
        <w:t>Context of this thematic report</w:t>
      </w:r>
      <w:bookmarkEnd w:id="4"/>
      <w:bookmarkEnd w:id="5"/>
      <w:bookmarkEnd w:id="6"/>
    </w:p>
    <w:p w14:paraId="098C9608" w14:textId="13D09CEF" w:rsidR="00611433" w:rsidRPr="007F03F7" w:rsidRDefault="003C335D" w:rsidP="007F03F7">
      <w:pPr>
        <w:pStyle w:val="ListParagraph"/>
        <w:numPr>
          <w:ilvl w:val="0"/>
          <w:numId w:val="10"/>
        </w:numPr>
        <w:spacing w:after="0" w:line="240" w:lineRule="auto"/>
        <w:jc w:val="both"/>
        <w:rPr>
          <w:lang w:val="en-GB"/>
        </w:rPr>
      </w:pPr>
      <w:r w:rsidRPr="007F03F7">
        <w:rPr>
          <w:lang w:val="en-GB"/>
        </w:rPr>
        <w:t xml:space="preserve">In 2010, the Government of </w:t>
      </w:r>
      <w:r w:rsidR="004210E8" w:rsidRPr="007F03F7">
        <w:rPr>
          <w:lang w:val="en-GB"/>
        </w:rPr>
        <w:t>T</w:t>
      </w:r>
      <w:r w:rsidRPr="007F03F7">
        <w:rPr>
          <w:lang w:val="en-GB"/>
        </w:rPr>
        <w:t>he Gambia (GoG) signed the Optional Protocol to the Convention on the right of the Child on the sale of children, child prostitution and child pornography</w:t>
      </w:r>
      <w:r w:rsidR="00B337BB" w:rsidRPr="007F03F7">
        <w:rPr>
          <w:lang w:val="en-GB"/>
        </w:rPr>
        <w:t xml:space="preserve"> </w:t>
      </w:r>
      <w:r w:rsidRPr="007F03F7">
        <w:rPr>
          <w:lang w:val="en-GB"/>
        </w:rPr>
        <w:t>(OPSC)</w:t>
      </w:r>
      <w:r w:rsidR="00611433" w:rsidRPr="007F03F7">
        <w:rPr>
          <w:lang w:val="en-GB"/>
        </w:rPr>
        <w:t xml:space="preserve"> and thus committed explicitly to combat child sexual exploitation (SEC) in </w:t>
      </w:r>
      <w:r w:rsidR="004210E8" w:rsidRPr="007F03F7">
        <w:rPr>
          <w:lang w:val="en-GB"/>
        </w:rPr>
        <w:t>T</w:t>
      </w:r>
      <w:r w:rsidR="00611433" w:rsidRPr="007F03F7">
        <w:rPr>
          <w:lang w:val="en-GB"/>
        </w:rPr>
        <w:t>he Gambia</w:t>
      </w:r>
      <w:r w:rsidRPr="007F03F7">
        <w:rPr>
          <w:lang w:val="en-GB"/>
        </w:rPr>
        <w:t>.</w:t>
      </w:r>
      <w:r w:rsidR="00611433" w:rsidRPr="007F03F7">
        <w:rPr>
          <w:lang w:val="en-GB"/>
        </w:rPr>
        <w:t xml:space="preserve"> In September 2015, through the adoption of the 2030 agenda for Sustainable Development, the GoG re-committed explicitly to eliminate all forms of violence against children, including sexual abuse and exploitation.</w:t>
      </w:r>
      <w:r w:rsidR="00611433" w:rsidRPr="007F03F7">
        <w:rPr>
          <w:rStyle w:val="EndnoteReference"/>
          <w:lang w:val="en-GB"/>
        </w:rPr>
        <w:endnoteReference w:id="1"/>
      </w:r>
    </w:p>
    <w:p w14:paraId="716467AD" w14:textId="77777777" w:rsidR="00B337BB" w:rsidRPr="007F03F7" w:rsidRDefault="00B337BB" w:rsidP="007F03F7">
      <w:pPr>
        <w:pStyle w:val="ListParagraph"/>
        <w:spacing w:after="0" w:line="240" w:lineRule="auto"/>
        <w:ind w:left="1080"/>
        <w:jc w:val="both"/>
        <w:rPr>
          <w:lang w:val="en-GB"/>
        </w:rPr>
      </w:pPr>
    </w:p>
    <w:p w14:paraId="3EFBEB29" w14:textId="429DEC0B" w:rsidR="00B337BB" w:rsidRPr="007F03F7" w:rsidRDefault="00611433" w:rsidP="007F03F7">
      <w:pPr>
        <w:pStyle w:val="ListParagraph"/>
        <w:numPr>
          <w:ilvl w:val="0"/>
          <w:numId w:val="10"/>
        </w:numPr>
        <w:spacing w:after="0" w:line="240" w:lineRule="auto"/>
        <w:jc w:val="both"/>
        <w:rPr>
          <w:lang w:val="en-GB"/>
        </w:rPr>
      </w:pPr>
      <w:bookmarkStart w:id="7" w:name="_Toc475545794"/>
      <w:bookmarkStart w:id="8" w:name="_Toc469224846"/>
      <w:bookmarkStart w:id="9" w:name="_Toc467250034"/>
      <w:r w:rsidRPr="007F03F7">
        <w:rPr>
          <w:lang w:val="en-GB"/>
        </w:rPr>
        <w:t>This thematic report is submitted to the CRC Committee in the context of the Simplified Reporting Procedure (SRP). The purpose of the report is to provide the CRC Committee with background information and suggestions of questions for the List of Issues Prior to the Reporting (LoIPR).</w:t>
      </w:r>
      <w:bookmarkEnd w:id="7"/>
      <w:bookmarkEnd w:id="8"/>
      <w:bookmarkEnd w:id="9"/>
    </w:p>
    <w:p w14:paraId="61794A2D" w14:textId="77777777" w:rsidR="00B337BB" w:rsidRPr="007F03F7" w:rsidRDefault="00B337BB" w:rsidP="007F03F7">
      <w:pPr>
        <w:pStyle w:val="ListParagraph"/>
        <w:spacing w:after="0" w:line="240" w:lineRule="auto"/>
        <w:ind w:left="1080"/>
        <w:jc w:val="both"/>
        <w:rPr>
          <w:lang w:val="en-GB"/>
        </w:rPr>
      </w:pPr>
    </w:p>
    <w:p w14:paraId="051F88BA" w14:textId="0F03F83D" w:rsidR="00611433" w:rsidRPr="007F03F7" w:rsidRDefault="00611433" w:rsidP="007F03F7">
      <w:pPr>
        <w:pStyle w:val="ListParagraph"/>
        <w:numPr>
          <w:ilvl w:val="0"/>
          <w:numId w:val="10"/>
        </w:numPr>
        <w:spacing w:after="0" w:line="240" w:lineRule="auto"/>
        <w:jc w:val="both"/>
        <w:rPr>
          <w:lang w:val="en-GB"/>
        </w:rPr>
      </w:pPr>
      <w:r w:rsidRPr="007F03F7">
        <w:rPr>
          <w:lang w:val="en-GB"/>
        </w:rPr>
        <w:t>The content of this report is based on ECPAT International’s desk research and work experience and knowledge of Child Protection Alliance – CPA The Gambia. The scope of this thematic report is limited to sexual exploitation of children (SEC) and its different manifestations, including exploitation of children in prostitution,</w:t>
      </w:r>
      <w:r w:rsidRPr="007F03F7">
        <w:rPr>
          <w:rStyle w:val="EndnoteReference"/>
          <w:lang w:val="en-GB"/>
        </w:rPr>
        <w:endnoteReference w:id="2"/>
      </w:r>
      <w:r w:rsidRPr="007F03F7">
        <w:rPr>
          <w:lang w:val="en-GB"/>
        </w:rPr>
        <w:t xml:space="preserve"> online child sexual exploitation (OCSE), child sexual abuse materials (CSAM)</w:t>
      </w:r>
      <w:r w:rsidR="00F27A0A" w:rsidRPr="007F03F7">
        <w:rPr>
          <w:rStyle w:val="Eindnootmarkering1"/>
          <w:rFonts w:cs="Calibri"/>
        </w:rPr>
        <w:endnoteReference w:id="3"/>
      </w:r>
      <w:r w:rsidRPr="007F03F7">
        <w:rPr>
          <w:lang w:val="en-GB"/>
        </w:rPr>
        <w:t>, trafficking of children for sexual purposes</w:t>
      </w:r>
      <w:r w:rsidR="00F27A0A" w:rsidRPr="007F03F7">
        <w:rPr>
          <w:lang w:val="en-GB"/>
        </w:rPr>
        <w:t xml:space="preserve"> </w:t>
      </w:r>
      <w:r w:rsidRPr="007F03F7">
        <w:rPr>
          <w:lang w:val="en-GB"/>
        </w:rPr>
        <w:t>and sexual exploitation of children in the context of travel and tourism (SECTT)</w:t>
      </w:r>
      <w:r w:rsidR="00F27A0A" w:rsidRPr="007F03F7">
        <w:rPr>
          <w:rStyle w:val="EndnoteReference"/>
          <w:rFonts w:cs="Calibri"/>
        </w:rPr>
        <w:endnoteReference w:id="4"/>
      </w:r>
      <w:r w:rsidRPr="007F03F7">
        <w:rPr>
          <w:lang w:val="en-GB"/>
        </w:rPr>
        <w:t xml:space="preserve">  and child, early and forced marriage (CEFM).</w:t>
      </w:r>
    </w:p>
    <w:p w14:paraId="0C48BA13" w14:textId="77777777" w:rsidR="00291B65" w:rsidRPr="007F03F7" w:rsidRDefault="00291B65" w:rsidP="007F03F7">
      <w:pPr>
        <w:pStyle w:val="ListParagraph"/>
        <w:spacing w:after="0" w:line="240" w:lineRule="auto"/>
        <w:ind w:left="1080"/>
        <w:jc w:val="both"/>
        <w:rPr>
          <w:lang w:val="en-GB"/>
        </w:rPr>
      </w:pPr>
    </w:p>
    <w:p w14:paraId="25CCFC06" w14:textId="77777777" w:rsidR="00611433" w:rsidRPr="007F03F7" w:rsidRDefault="00611433" w:rsidP="007F03F7">
      <w:pPr>
        <w:spacing w:line="240" w:lineRule="auto"/>
        <w:rPr>
          <w:b/>
          <w:bCs/>
          <w:u w:val="single"/>
        </w:rPr>
      </w:pPr>
      <w:r w:rsidRPr="007F03F7">
        <w:rPr>
          <w:b/>
          <w:bCs/>
          <w:u w:val="single"/>
        </w:rPr>
        <w:t>Current status and developments of sexual exploitation of children in Gambia</w:t>
      </w:r>
    </w:p>
    <w:p w14:paraId="43ED2B5A" w14:textId="77777777" w:rsidR="00611433" w:rsidRPr="007F03F7" w:rsidRDefault="00611433" w:rsidP="007F03F7">
      <w:pPr>
        <w:pStyle w:val="ListParagraph"/>
        <w:numPr>
          <w:ilvl w:val="0"/>
          <w:numId w:val="10"/>
        </w:numPr>
        <w:spacing w:after="0" w:line="240" w:lineRule="auto"/>
        <w:jc w:val="both"/>
      </w:pPr>
      <w:r w:rsidRPr="007F03F7">
        <w:t>Children compromise approximately 51 percent of the Gambia’s total population of 2,280,000.</w:t>
      </w:r>
      <w:r w:rsidRPr="007F03F7">
        <w:rPr>
          <w:rFonts w:cstheme="minorHAnsi"/>
          <w:vertAlign w:val="superscript"/>
        </w:rPr>
        <w:endnoteReference w:id="5"/>
      </w:r>
    </w:p>
    <w:p w14:paraId="7CA4E5DF" w14:textId="77777777" w:rsidR="00B337BB" w:rsidRPr="007F03F7" w:rsidRDefault="00B337BB" w:rsidP="007F03F7">
      <w:pPr>
        <w:pStyle w:val="ListParagraph"/>
        <w:spacing w:after="0" w:line="240" w:lineRule="auto"/>
        <w:ind w:left="1080"/>
        <w:jc w:val="both"/>
      </w:pPr>
    </w:p>
    <w:p w14:paraId="5D139578" w14:textId="77777777" w:rsidR="00B337BB" w:rsidRPr="007F03F7" w:rsidRDefault="00611433" w:rsidP="007F03F7">
      <w:pPr>
        <w:pStyle w:val="ListParagraph"/>
        <w:numPr>
          <w:ilvl w:val="0"/>
          <w:numId w:val="10"/>
        </w:numPr>
        <w:spacing w:after="0" w:line="240" w:lineRule="auto"/>
        <w:contextualSpacing w:val="0"/>
        <w:jc w:val="both"/>
        <w:rPr>
          <w:rFonts w:cstheme="minorHAnsi"/>
        </w:rPr>
      </w:pPr>
      <w:r w:rsidRPr="007F03F7">
        <w:rPr>
          <w:rFonts w:cstheme="minorHAnsi"/>
        </w:rPr>
        <w:t>The United Nations High Representative for the Least Developed Countries, Landlocked Developing Countries and Small Island Developing States classifies the Gambia as one of the least developed countries in the world.</w:t>
      </w:r>
      <w:r w:rsidRPr="007F03F7">
        <w:rPr>
          <w:rStyle w:val="EndnoteReference"/>
          <w:rFonts w:cstheme="minorHAnsi"/>
        </w:rPr>
        <w:endnoteReference w:id="6"/>
      </w:r>
      <w:r w:rsidRPr="007F03F7">
        <w:rPr>
          <w:rFonts w:cstheme="minorHAnsi"/>
        </w:rPr>
        <w:t xml:space="preserve"> Almost 50 percent of the population in the Gambia lives below the poverty line,</w:t>
      </w:r>
      <w:r w:rsidRPr="007F03F7">
        <w:rPr>
          <w:rStyle w:val="EndnoteReference"/>
          <w:rFonts w:cstheme="minorHAnsi"/>
        </w:rPr>
        <w:endnoteReference w:id="7"/>
      </w:r>
      <w:r w:rsidRPr="007F03F7">
        <w:rPr>
          <w:rFonts w:cstheme="minorHAnsi"/>
        </w:rPr>
        <w:t xml:space="preserve"> making children extremely vulnerable to sexual exploitation</w:t>
      </w:r>
      <w:r w:rsidR="00B337BB" w:rsidRPr="007F03F7">
        <w:rPr>
          <w:rFonts w:cstheme="minorHAnsi"/>
        </w:rPr>
        <w:t xml:space="preserve">. </w:t>
      </w:r>
      <w:r w:rsidRPr="007F03F7">
        <w:rPr>
          <w:rFonts w:cstheme="minorHAnsi"/>
        </w:rPr>
        <w:t>SEC, and in particular SECTT and CEFM remain a continual challenge in the Gambia, where girls are more exposed and at risk than boys.</w:t>
      </w:r>
      <w:r w:rsidRPr="007F03F7">
        <w:rPr>
          <w:rStyle w:val="EndnoteReference"/>
          <w:rFonts w:cstheme="minorHAnsi"/>
        </w:rPr>
        <w:endnoteReference w:id="8"/>
      </w:r>
      <w:r w:rsidRPr="007F03F7">
        <w:rPr>
          <w:rFonts w:cstheme="minorHAnsi"/>
        </w:rPr>
        <w:t xml:space="preserve"> No research on boys being sexually exploited is available but this lack of data doesn’t imply that there is no sexual exploitation of boys.</w:t>
      </w:r>
    </w:p>
    <w:p w14:paraId="535A075E" w14:textId="77777777" w:rsidR="00B337BB" w:rsidRPr="007F03F7" w:rsidRDefault="00B337BB" w:rsidP="007F03F7">
      <w:pPr>
        <w:spacing w:after="0" w:line="240" w:lineRule="auto"/>
        <w:jc w:val="both"/>
        <w:rPr>
          <w:rFonts w:cstheme="minorHAnsi"/>
        </w:rPr>
      </w:pPr>
    </w:p>
    <w:p w14:paraId="3FD974C5" w14:textId="77777777" w:rsidR="00611433" w:rsidRPr="007F03F7" w:rsidRDefault="00611433" w:rsidP="007F03F7">
      <w:pPr>
        <w:pStyle w:val="ListParagraph"/>
        <w:numPr>
          <w:ilvl w:val="0"/>
          <w:numId w:val="10"/>
        </w:numPr>
        <w:spacing w:after="0" w:line="240" w:lineRule="auto"/>
        <w:contextualSpacing w:val="0"/>
        <w:jc w:val="both"/>
        <w:rPr>
          <w:rFonts w:cstheme="minorHAnsi"/>
        </w:rPr>
      </w:pPr>
      <w:r w:rsidRPr="007F03F7">
        <w:rPr>
          <w:rFonts w:cstheme="minorHAnsi"/>
        </w:rPr>
        <w:t>Tourism is the second highest earner of foreign revenue in the Gambia.</w:t>
      </w:r>
      <w:r w:rsidRPr="007F03F7">
        <w:rPr>
          <w:rStyle w:val="EndnoteReference"/>
          <w:rFonts w:cstheme="minorHAnsi"/>
        </w:rPr>
        <w:endnoteReference w:id="9"/>
      </w:r>
      <w:r w:rsidRPr="007F03F7">
        <w:rPr>
          <w:rFonts w:cstheme="minorHAnsi"/>
        </w:rPr>
        <w:t xml:space="preserve"> In 2017 arrivals were up to 162,000</w:t>
      </w:r>
      <w:r w:rsidRPr="007F03F7">
        <w:rPr>
          <w:rStyle w:val="EndnoteReference"/>
          <w:rFonts w:cstheme="minorHAnsi"/>
        </w:rPr>
        <w:endnoteReference w:id="10"/>
      </w:r>
      <w:r w:rsidRPr="007F03F7">
        <w:rPr>
          <w:rFonts w:cstheme="minorHAnsi"/>
        </w:rPr>
        <w:t xml:space="preserve"> and are mainly from Europe.</w:t>
      </w:r>
      <w:r w:rsidRPr="007F03F7">
        <w:rPr>
          <w:rStyle w:val="EndnoteReference"/>
          <w:rFonts w:cstheme="minorHAnsi"/>
        </w:rPr>
        <w:endnoteReference w:id="11"/>
      </w:r>
      <w:r w:rsidRPr="007F03F7">
        <w:rPr>
          <w:rFonts w:cstheme="minorHAnsi"/>
        </w:rPr>
        <w:t xml:space="preserve"> According to the Global Study on the Sexual Exploitation of Children in Travel and Tourism, SECTT is on the rise in Africa: it has been identified as a problem by stakeholders, community members and child victims in several countries, including The Gambia.</w:t>
      </w:r>
      <w:r w:rsidRPr="007F03F7">
        <w:rPr>
          <w:rStyle w:val="EndnoteReference"/>
          <w:rFonts w:cstheme="minorHAnsi"/>
        </w:rPr>
        <w:endnoteReference w:id="12"/>
      </w:r>
      <w:r w:rsidRPr="007F03F7">
        <w:rPr>
          <w:rFonts w:cstheme="minorHAnsi"/>
        </w:rPr>
        <w:t xml:space="preserve"> The Gambia has even been listed as a major destination for both male and female travelling child sex offenders.</w:t>
      </w:r>
      <w:r w:rsidRPr="007F03F7">
        <w:rPr>
          <w:rStyle w:val="EndnoteReference"/>
          <w:rFonts w:cstheme="minorHAnsi"/>
        </w:rPr>
        <w:endnoteReference w:id="13"/>
      </w:r>
      <w:r w:rsidRPr="007F03F7">
        <w:rPr>
          <w:rFonts w:cstheme="minorHAnsi"/>
        </w:rPr>
        <w:t xml:space="preserve"> The Regional Study on SECTT in Sub-Saharan Africa notes nevertheless that sexual exploitation in the Gambia comes predominantly from local men, rather than European tourists.</w:t>
      </w:r>
      <w:r w:rsidRPr="007F03F7">
        <w:rPr>
          <w:rStyle w:val="EndnoteReference"/>
          <w:rFonts w:cstheme="minorHAnsi"/>
        </w:rPr>
        <w:endnoteReference w:id="14"/>
      </w:r>
      <w:r w:rsidRPr="007F03F7">
        <w:rPr>
          <w:rFonts w:cstheme="minorHAnsi"/>
        </w:rPr>
        <w:t xml:space="preserve">  </w:t>
      </w:r>
      <w:r w:rsidRPr="007F03F7">
        <w:rPr>
          <w:rFonts w:cstheme="minorHAnsi"/>
          <w:b/>
        </w:rPr>
        <w:t>SECTT</w:t>
      </w:r>
      <w:r w:rsidRPr="007F03F7">
        <w:rPr>
          <w:rFonts w:cstheme="minorHAnsi"/>
        </w:rPr>
        <w:t xml:space="preserve"> in the Gambia involves both male and female perpetrators of child sexual offences. Most child victims of SECTT are girls (14-17 years), but there are accounts of boys too.</w:t>
      </w:r>
      <w:r w:rsidRPr="007F03F7">
        <w:rPr>
          <w:rStyle w:val="EndnoteReference"/>
          <w:rFonts w:cstheme="minorHAnsi"/>
        </w:rPr>
        <w:endnoteReference w:id="15"/>
      </w:r>
    </w:p>
    <w:p w14:paraId="14617852" w14:textId="0AFB9121" w:rsidR="00B337BB" w:rsidRPr="007F03F7" w:rsidRDefault="009527F5" w:rsidP="007F03F7">
      <w:pPr>
        <w:tabs>
          <w:tab w:val="left" w:pos="5670"/>
        </w:tabs>
        <w:spacing w:after="0" w:line="240" w:lineRule="auto"/>
        <w:jc w:val="both"/>
        <w:rPr>
          <w:szCs w:val="28"/>
          <w:lang w:bidi="th-TH"/>
        </w:rPr>
      </w:pPr>
      <w:r w:rsidRPr="007F03F7">
        <w:rPr>
          <w:rFonts w:cstheme="minorHAnsi"/>
        </w:rPr>
        <w:tab/>
      </w:r>
    </w:p>
    <w:p w14:paraId="7A519197" w14:textId="77777777" w:rsidR="00611433" w:rsidRPr="007F03F7" w:rsidRDefault="00611433" w:rsidP="007F03F7">
      <w:pPr>
        <w:pStyle w:val="ListParagraph"/>
        <w:numPr>
          <w:ilvl w:val="0"/>
          <w:numId w:val="10"/>
        </w:numPr>
        <w:spacing w:after="0" w:line="240" w:lineRule="auto"/>
        <w:contextualSpacing w:val="0"/>
        <w:jc w:val="both"/>
        <w:rPr>
          <w:rStyle w:val="Standaardalinea-lettertype1"/>
          <w:rFonts w:cstheme="minorHAnsi"/>
        </w:rPr>
      </w:pPr>
      <w:r w:rsidRPr="007F03F7">
        <w:rPr>
          <w:rFonts w:cstheme="minorHAnsi"/>
        </w:rPr>
        <w:t>In 2017, 19.8 percent of the population was using the Internet</w:t>
      </w:r>
      <w:r w:rsidRPr="007F03F7">
        <w:rPr>
          <w:rStyle w:val="EndnoteReference"/>
          <w:rFonts w:cstheme="minorHAnsi"/>
        </w:rPr>
        <w:endnoteReference w:id="16"/>
      </w:r>
      <w:r w:rsidRPr="007F03F7">
        <w:rPr>
          <w:rFonts w:cstheme="minorHAnsi"/>
        </w:rPr>
        <w:t xml:space="preserve"> but only </w:t>
      </w:r>
      <w:r w:rsidRPr="007F03F7">
        <w:rPr>
          <w:rStyle w:val="Standaardalinea-lettertype1"/>
          <w:rFonts w:cstheme="minorHAnsi"/>
        </w:rPr>
        <w:t>9.6 percent of the Gambian population have a computer at home.</w:t>
      </w:r>
      <w:r w:rsidRPr="007F03F7">
        <w:rPr>
          <w:rStyle w:val="EndnoteReference"/>
          <w:rFonts w:cstheme="minorHAnsi"/>
        </w:rPr>
        <w:endnoteReference w:id="17"/>
      </w:r>
      <w:r w:rsidRPr="007F03F7">
        <w:rPr>
          <w:rStyle w:val="Standaardalinea-lettertype1"/>
          <w:rFonts w:cstheme="minorHAnsi"/>
        </w:rPr>
        <w:t xml:space="preserve"> However, many go online through Internet </w:t>
      </w:r>
      <w:r w:rsidRPr="007F03F7">
        <w:rPr>
          <w:rStyle w:val="Standaardalinea-lettertype1"/>
          <w:rFonts w:cstheme="minorHAnsi"/>
        </w:rPr>
        <w:lastRenderedPageBreak/>
        <w:t>cafés or their mobile.</w:t>
      </w:r>
      <w:r w:rsidRPr="007F03F7">
        <w:rPr>
          <w:rStyle w:val="EndnoteReference"/>
          <w:rFonts w:cstheme="minorHAnsi"/>
        </w:rPr>
        <w:endnoteReference w:id="18"/>
      </w:r>
      <w:r w:rsidRPr="007F03F7">
        <w:rPr>
          <w:rStyle w:val="Standaardalinea-lettertype1"/>
          <w:rFonts w:cstheme="minorHAnsi"/>
        </w:rPr>
        <w:t xml:space="preserve"> Reportedly, online operators recommend and often help the customers register on dating websites, including the youth who hide their original ages and misrepresent according to the requirement of the dating sites.</w:t>
      </w:r>
      <w:r w:rsidR="00B337BB" w:rsidRPr="007F03F7">
        <w:rPr>
          <w:rStyle w:val="EndnoteReference"/>
          <w:rFonts w:cstheme="minorHAnsi"/>
        </w:rPr>
        <w:endnoteReference w:id="19"/>
      </w:r>
    </w:p>
    <w:p w14:paraId="264B49B7" w14:textId="77777777" w:rsidR="00B337BB" w:rsidRPr="007F03F7" w:rsidRDefault="00B337BB" w:rsidP="007F03F7">
      <w:pPr>
        <w:spacing w:after="0" w:line="240" w:lineRule="auto"/>
        <w:jc w:val="both"/>
        <w:rPr>
          <w:rFonts w:cstheme="minorHAnsi"/>
        </w:rPr>
      </w:pPr>
    </w:p>
    <w:p w14:paraId="3157AEB3" w14:textId="77777777" w:rsidR="00611433" w:rsidRPr="007F03F7" w:rsidRDefault="00611433" w:rsidP="007F03F7">
      <w:pPr>
        <w:pStyle w:val="ListParagraph"/>
        <w:numPr>
          <w:ilvl w:val="0"/>
          <w:numId w:val="10"/>
        </w:numPr>
        <w:spacing w:after="0" w:line="240" w:lineRule="auto"/>
        <w:contextualSpacing w:val="0"/>
        <w:jc w:val="both"/>
        <w:rPr>
          <w:rFonts w:cstheme="minorHAnsi"/>
        </w:rPr>
      </w:pPr>
      <w:r w:rsidRPr="007F03F7">
        <w:rPr>
          <w:rFonts w:cstheme="minorHAnsi"/>
        </w:rPr>
        <w:t xml:space="preserve">According to UNICEF’s </w:t>
      </w:r>
      <w:r w:rsidRPr="007F03F7">
        <w:rPr>
          <w:rFonts w:cstheme="minorHAnsi"/>
          <w:b/>
        </w:rPr>
        <w:t>child marriage</w:t>
      </w:r>
      <w:r w:rsidRPr="007F03F7">
        <w:rPr>
          <w:rFonts w:cstheme="minorHAnsi"/>
        </w:rPr>
        <w:t xml:space="preserve"> database, in 2013 about nine percent of female children were married before the age of 15 and 30 percent have been married or in a union before the age of 18.</w:t>
      </w:r>
      <w:r w:rsidRPr="007F03F7">
        <w:rPr>
          <w:rFonts w:cstheme="minorHAnsi"/>
          <w:vertAlign w:val="superscript"/>
        </w:rPr>
        <w:endnoteReference w:id="20"/>
      </w:r>
      <w:r w:rsidRPr="007F03F7">
        <w:rPr>
          <w:rFonts w:cstheme="minorHAnsi"/>
        </w:rPr>
        <w:t xml:space="preserve"> </w:t>
      </w:r>
      <w:r w:rsidRPr="007F03F7">
        <w:t>Factors increasing children’s vulnerability to CEFM include socio-cultural reasons, religion, lack of emphasis on girls’ education.</w:t>
      </w:r>
      <w:r w:rsidRPr="007F03F7">
        <w:rPr>
          <w:rStyle w:val="EndnoteReference"/>
        </w:rPr>
        <w:endnoteReference w:id="21"/>
      </w:r>
    </w:p>
    <w:p w14:paraId="0BD5CBDE" w14:textId="77777777" w:rsidR="00F44ADC" w:rsidRPr="007F03F7" w:rsidRDefault="00F44ADC" w:rsidP="007F03F7">
      <w:pPr>
        <w:spacing w:after="0" w:line="240" w:lineRule="auto"/>
        <w:jc w:val="both"/>
        <w:rPr>
          <w:rFonts w:cstheme="minorHAnsi"/>
        </w:rPr>
      </w:pPr>
    </w:p>
    <w:p w14:paraId="23FAB806" w14:textId="77777777" w:rsidR="00611433" w:rsidRPr="007F03F7" w:rsidRDefault="00611433" w:rsidP="007F03F7">
      <w:pPr>
        <w:pStyle w:val="ListParagraph"/>
        <w:numPr>
          <w:ilvl w:val="0"/>
          <w:numId w:val="10"/>
        </w:numPr>
        <w:spacing w:after="0" w:line="240" w:lineRule="auto"/>
        <w:contextualSpacing w:val="0"/>
        <w:jc w:val="both"/>
        <w:rPr>
          <w:rFonts w:cstheme="minorHAnsi"/>
        </w:rPr>
      </w:pPr>
      <w:r w:rsidRPr="007F03F7">
        <w:rPr>
          <w:rFonts w:cstheme="minorHAnsi"/>
        </w:rPr>
        <w:t xml:space="preserve">There is limited information and data on </w:t>
      </w:r>
      <w:r w:rsidRPr="007F03F7">
        <w:rPr>
          <w:rFonts w:cstheme="minorHAnsi"/>
          <w:b/>
        </w:rPr>
        <w:t>exploitation of children in prostitution</w:t>
      </w:r>
      <w:r w:rsidRPr="007F03F7">
        <w:rPr>
          <w:rFonts w:cstheme="minorHAnsi"/>
        </w:rPr>
        <w:t xml:space="preserve"> and </w:t>
      </w:r>
      <w:r w:rsidRPr="007F03F7">
        <w:rPr>
          <w:rFonts w:cstheme="minorHAnsi"/>
          <w:b/>
        </w:rPr>
        <w:t xml:space="preserve">CSAM. </w:t>
      </w:r>
      <w:r w:rsidRPr="007F03F7">
        <w:rPr>
          <w:rFonts w:cstheme="minorHAnsi"/>
        </w:rPr>
        <w:t>Cases recorded involving CSAM usually occur in connection with the other manifestations of SEC.</w:t>
      </w:r>
      <w:r w:rsidRPr="007F03F7">
        <w:rPr>
          <w:rStyle w:val="EndnoteReference"/>
          <w:rFonts w:cstheme="minorHAnsi"/>
        </w:rPr>
        <w:endnoteReference w:id="22"/>
      </w:r>
      <w:r w:rsidRPr="007F03F7">
        <w:rPr>
          <w:rFonts w:cstheme="minorHAnsi"/>
        </w:rPr>
        <w:t xml:space="preserve"> </w:t>
      </w:r>
    </w:p>
    <w:p w14:paraId="647296BE" w14:textId="77777777" w:rsidR="00F44ADC" w:rsidRPr="007F03F7" w:rsidRDefault="00F44ADC" w:rsidP="007F03F7">
      <w:pPr>
        <w:spacing w:after="0" w:line="240" w:lineRule="auto"/>
        <w:jc w:val="both"/>
        <w:rPr>
          <w:rFonts w:cstheme="minorHAnsi"/>
        </w:rPr>
      </w:pPr>
    </w:p>
    <w:p w14:paraId="1B0DEBB0" w14:textId="77777777" w:rsidR="0065419D" w:rsidRPr="007F03F7" w:rsidRDefault="00611433" w:rsidP="007F03F7">
      <w:pPr>
        <w:pStyle w:val="ListParagraph"/>
        <w:numPr>
          <w:ilvl w:val="0"/>
          <w:numId w:val="10"/>
        </w:numPr>
        <w:spacing w:after="0" w:line="240" w:lineRule="auto"/>
        <w:contextualSpacing w:val="0"/>
        <w:jc w:val="both"/>
        <w:rPr>
          <w:rFonts w:cstheme="minorHAnsi"/>
        </w:rPr>
      </w:pPr>
      <w:r w:rsidRPr="007F03F7">
        <w:rPr>
          <w:rFonts w:cstheme="minorHAnsi"/>
        </w:rPr>
        <w:t>According to the 2019 US Department of State’s Trafficking in Person’s Report, The GoG doesn’t fully meet the minimum standards for the elimination of trafficking and therefore is placed on Tier 3.</w:t>
      </w:r>
      <w:r w:rsidRPr="007F03F7">
        <w:rPr>
          <w:rStyle w:val="EndnoteReference"/>
          <w:rFonts w:cstheme="minorHAnsi"/>
        </w:rPr>
        <w:endnoteReference w:id="23"/>
      </w:r>
      <w:r w:rsidR="00F44ADC" w:rsidRPr="007F03F7">
        <w:rPr>
          <w:rFonts w:cstheme="minorHAnsi"/>
        </w:rPr>
        <w:t xml:space="preserve"> </w:t>
      </w:r>
      <w:r w:rsidRPr="007F03F7">
        <w:rPr>
          <w:rFonts w:cstheme="minorHAnsi"/>
        </w:rPr>
        <w:t>In 2015, the Committee on the Elimination of Discrimination against Women (CEDAW) noted  that there were no prosecutions under the Trafficking in Persons Act 2007 and that only one investigation was ongoing.</w:t>
      </w:r>
      <w:r w:rsidRPr="007F03F7">
        <w:rPr>
          <w:rStyle w:val="EndnoteReference"/>
          <w:rFonts w:cstheme="minorHAnsi"/>
        </w:rPr>
        <w:endnoteReference w:id="24"/>
      </w:r>
      <w:r w:rsidRPr="007F03F7">
        <w:rPr>
          <w:rFonts w:cstheme="minorHAnsi"/>
        </w:rPr>
        <w:t xml:space="preserve"> Only seven cases of trafficking were reported in 2016</w:t>
      </w:r>
      <w:r w:rsidR="00F44ADC" w:rsidRPr="007F03F7">
        <w:rPr>
          <w:rFonts w:cstheme="minorHAnsi"/>
        </w:rPr>
        <w:t>.</w:t>
      </w:r>
      <w:r w:rsidRPr="007F03F7">
        <w:rPr>
          <w:rStyle w:val="EndnoteReference"/>
          <w:rFonts w:cstheme="minorHAnsi"/>
        </w:rPr>
        <w:endnoteReference w:id="25"/>
      </w:r>
      <w:r w:rsidR="00F828C1" w:rsidRPr="007F03F7">
        <w:rPr>
          <w:rFonts w:cstheme="minorHAnsi"/>
        </w:rPr>
        <w:t xml:space="preserve"> In 2018, the GoG referred four sex trafficking victims, but no prosecutions ensued.</w:t>
      </w:r>
      <w:r w:rsidR="0065419D" w:rsidRPr="007F03F7">
        <w:rPr>
          <w:rStyle w:val="EndnoteReference"/>
          <w:rFonts w:cstheme="minorHAnsi"/>
        </w:rPr>
        <w:endnoteReference w:id="26"/>
      </w:r>
      <w:r w:rsidR="0065419D" w:rsidRPr="007F03F7">
        <w:rPr>
          <w:rFonts w:cstheme="minorHAnsi"/>
        </w:rPr>
        <w:t xml:space="preserve"> But it is impossible to provide reliable data on the number of cases reported relating to </w:t>
      </w:r>
      <w:r w:rsidR="0065419D" w:rsidRPr="007F03F7">
        <w:rPr>
          <w:rFonts w:cstheme="minorHAnsi"/>
          <w:b/>
        </w:rPr>
        <w:t>trafficking of children for sexual purposes</w:t>
      </w:r>
      <w:r w:rsidR="0065419D" w:rsidRPr="007F03F7">
        <w:rPr>
          <w:rFonts w:cstheme="minorHAnsi"/>
        </w:rPr>
        <w:t xml:space="preserve"> or the number of children sexually exploited. This is due to the lack of data collection mechanisms and limited reporting. The last national reports were done in 2003.</w:t>
      </w:r>
      <w:r w:rsidR="0065419D" w:rsidRPr="007F03F7">
        <w:rPr>
          <w:rStyle w:val="EndnoteReference"/>
          <w:rFonts w:cstheme="minorHAnsi"/>
        </w:rPr>
        <w:endnoteReference w:id="27"/>
      </w:r>
    </w:p>
    <w:p w14:paraId="001791AA" w14:textId="77777777" w:rsidR="00F44ADC" w:rsidRPr="007F03F7" w:rsidRDefault="00F44ADC" w:rsidP="007F03F7">
      <w:pPr>
        <w:spacing w:after="0" w:line="240" w:lineRule="auto"/>
        <w:jc w:val="both"/>
        <w:rPr>
          <w:rFonts w:cstheme="minorHAnsi"/>
        </w:rPr>
      </w:pPr>
    </w:p>
    <w:p w14:paraId="233BC841" w14:textId="25588EBB" w:rsidR="00F44ADC" w:rsidRPr="007F03F7" w:rsidRDefault="0065419D" w:rsidP="007F03F7">
      <w:pPr>
        <w:pStyle w:val="ListParagraph"/>
        <w:numPr>
          <w:ilvl w:val="0"/>
          <w:numId w:val="10"/>
        </w:numPr>
        <w:spacing w:after="0" w:line="240" w:lineRule="auto"/>
        <w:contextualSpacing w:val="0"/>
        <w:jc w:val="both"/>
        <w:rPr>
          <w:rFonts w:cstheme="minorHAnsi"/>
        </w:rPr>
      </w:pPr>
      <w:r w:rsidRPr="007F03F7">
        <w:rPr>
          <w:rFonts w:cstheme="minorHAnsi"/>
        </w:rPr>
        <w:t>Impunity further hampers the lack of insight in the status of SEC in The Gambia. An assessment on child justice in the country show a lack of capacity within the judiciary and among other stakeholders in administering justice for children.</w:t>
      </w:r>
      <w:r w:rsidRPr="007F03F7">
        <w:rPr>
          <w:rStyle w:val="EndnoteReference"/>
          <w:rFonts w:cstheme="minorHAnsi"/>
        </w:rPr>
        <w:endnoteReference w:id="28"/>
      </w:r>
      <w:r w:rsidRPr="007F03F7">
        <w:rPr>
          <w:rFonts w:cstheme="minorHAnsi"/>
          <w:shd w:val="clear" w:color="auto" w:fill="FFFFFF"/>
        </w:rPr>
        <w:t xml:space="preserve"> According to the CPA, people reporting sexual abuse cases are not taken up by the authorities for further action.</w:t>
      </w:r>
      <w:r w:rsidRPr="007F03F7">
        <w:rPr>
          <w:rStyle w:val="EndnoteReference"/>
          <w:rFonts w:cstheme="minorHAnsi"/>
          <w:shd w:val="clear" w:color="auto" w:fill="FFFFFF"/>
        </w:rPr>
        <w:endnoteReference w:id="29"/>
      </w:r>
      <w:r w:rsidRPr="007F03F7">
        <w:rPr>
          <w:rFonts w:cstheme="minorHAnsi"/>
        </w:rPr>
        <w:t xml:space="preserve"> Section 206 of the Children’s Act provides for a child welfare unit</w:t>
      </w:r>
      <w:r w:rsidR="009E6402" w:rsidRPr="007F03F7">
        <w:rPr>
          <w:rFonts w:cstheme="minorHAnsi"/>
        </w:rPr>
        <w:t>, a specialized unit of the police which is responsible for handling all child related cases.</w:t>
      </w:r>
      <w:r w:rsidRPr="007F03F7">
        <w:rPr>
          <w:rStyle w:val="EndnoteReference"/>
          <w:rFonts w:cstheme="minorHAnsi"/>
        </w:rPr>
        <w:endnoteReference w:id="30"/>
      </w:r>
      <w:r w:rsidRPr="007F03F7">
        <w:rPr>
          <w:rFonts w:cstheme="minorHAnsi"/>
        </w:rPr>
        <w:t xml:space="preserve"> Th</w:t>
      </w:r>
      <w:r w:rsidR="009E6402" w:rsidRPr="007F03F7">
        <w:rPr>
          <w:rFonts w:cstheme="minorHAnsi"/>
        </w:rPr>
        <w:t>e functioning of the unit is often hindered by</w:t>
      </w:r>
      <w:r w:rsidRPr="007F03F7">
        <w:rPr>
          <w:rFonts w:cstheme="minorHAnsi"/>
        </w:rPr>
        <w:t xml:space="preserve"> limited capacity.</w:t>
      </w:r>
      <w:r w:rsidRPr="007F03F7">
        <w:rPr>
          <w:rStyle w:val="EndnoteReference"/>
          <w:rFonts w:cstheme="minorHAnsi"/>
        </w:rPr>
        <w:endnoteReference w:id="31"/>
      </w:r>
    </w:p>
    <w:p w14:paraId="477E2082" w14:textId="77777777" w:rsidR="00F44ADC" w:rsidRPr="007F03F7" w:rsidRDefault="00F44ADC" w:rsidP="007F03F7">
      <w:pPr>
        <w:spacing w:after="0" w:line="240" w:lineRule="auto"/>
        <w:jc w:val="both"/>
        <w:rPr>
          <w:rFonts w:cstheme="minorHAnsi"/>
        </w:rPr>
      </w:pPr>
    </w:p>
    <w:p w14:paraId="4CB1F9DC" w14:textId="77777777" w:rsidR="0065419D" w:rsidRPr="007F03F7" w:rsidRDefault="0065419D" w:rsidP="007F03F7">
      <w:pPr>
        <w:pStyle w:val="ListParagraph"/>
        <w:numPr>
          <w:ilvl w:val="0"/>
          <w:numId w:val="10"/>
        </w:numPr>
        <w:spacing w:after="0" w:line="240" w:lineRule="auto"/>
        <w:contextualSpacing w:val="0"/>
        <w:jc w:val="both"/>
        <w:rPr>
          <w:rFonts w:cstheme="minorHAnsi"/>
        </w:rPr>
      </w:pPr>
      <w:r w:rsidRPr="007F03F7">
        <w:rPr>
          <w:rFonts w:cstheme="minorHAnsi"/>
        </w:rPr>
        <w:t>In addition, there is a high level of cases not being reported. This could be attributed to the social stigma, family pressure or indifference, and a culture of silence that inhibits reporting of cases to the police.</w:t>
      </w:r>
      <w:r w:rsidRPr="007F03F7">
        <w:rPr>
          <w:rStyle w:val="EndnoteReference"/>
          <w:rFonts w:cstheme="minorHAnsi"/>
        </w:rPr>
        <w:endnoteReference w:id="32"/>
      </w:r>
      <w:r w:rsidRPr="007F03F7">
        <w:rPr>
          <w:rFonts w:cstheme="minorHAnsi"/>
        </w:rPr>
        <w:t xml:space="preserve"> </w:t>
      </w:r>
    </w:p>
    <w:p w14:paraId="62CB5692" w14:textId="77777777" w:rsidR="00F44ADC" w:rsidRPr="007F03F7" w:rsidRDefault="00F44ADC" w:rsidP="007F03F7">
      <w:pPr>
        <w:spacing w:after="0" w:line="240" w:lineRule="auto"/>
        <w:jc w:val="both"/>
        <w:rPr>
          <w:rFonts w:cstheme="minorHAnsi"/>
        </w:rPr>
      </w:pPr>
    </w:p>
    <w:p w14:paraId="2DC4FD3A" w14:textId="77777777" w:rsidR="0065419D" w:rsidRPr="007F03F7" w:rsidRDefault="0065419D" w:rsidP="007F03F7">
      <w:pPr>
        <w:pStyle w:val="Heading1"/>
        <w:spacing w:line="240" w:lineRule="auto"/>
      </w:pPr>
      <w:bookmarkStart w:id="10" w:name="_Toc527976441"/>
      <w:bookmarkStart w:id="11" w:name="_Toc528741808"/>
      <w:bookmarkStart w:id="12" w:name="_Toc23520462"/>
      <w:r w:rsidRPr="007F03F7">
        <w:t>General measures of implementation</w:t>
      </w:r>
      <w:bookmarkEnd w:id="10"/>
      <w:bookmarkEnd w:id="11"/>
      <w:bookmarkEnd w:id="12"/>
    </w:p>
    <w:p w14:paraId="793359E8" w14:textId="0DF22D76" w:rsidR="0065419D" w:rsidRPr="007F03F7" w:rsidRDefault="0065419D" w:rsidP="007F03F7">
      <w:pPr>
        <w:pStyle w:val="ListParagraph"/>
        <w:numPr>
          <w:ilvl w:val="0"/>
          <w:numId w:val="10"/>
        </w:numPr>
        <w:spacing w:after="0" w:line="240" w:lineRule="auto"/>
        <w:contextualSpacing w:val="0"/>
        <w:jc w:val="both"/>
        <w:rPr>
          <w:rFonts w:cstheme="minorHAnsi"/>
        </w:rPr>
      </w:pPr>
      <w:r w:rsidRPr="007F03F7">
        <w:rPr>
          <w:rFonts w:cstheme="minorHAnsi"/>
        </w:rPr>
        <w:t>The lack of adequate data collection mechanisms constitutes a serious obstacle to child protection and to the prevention of SEC. Without data, it is not only impossible to estimate the scale of the problem, but also difficult to adopt evidence-based policies</w:t>
      </w:r>
      <w:r w:rsidRPr="007F03F7">
        <w:rPr>
          <w:rFonts w:cstheme="minorHAnsi"/>
          <w:shd w:val="clear" w:color="auto" w:fill="FFFFFF"/>
        </w:rPr>
        <w:t>. The need for a serious and systematic data collection system is widely recognized by child protection professionals</w:t>
      </w:r>
      <w:r w:rsidRPr="007F03F7">
        <w:rPr>
          <w:rFonts w:cstheme="minorHAnsi"/>
        </w:rPr>
        <w:t>.</w:t>
      </w:r>
      <w:r w:rsidR="00002D55" w:rsidRPr="007F03F7">
        <w:rPr>
          <w:rStyle w:val="EndnoteReference"/>
          <w:rFonts w:cstheme="minorHAnsi"/>
        </w:rPr>
        <w:endnoteReference w:id="33"/>
      </w:r>
      <w:r w:rsidRPr="007F03F7">
        <w:rPr>
          <w:rFonts w:cstheme="minorHAnsi"/>
        </w:rPr>
        <w:t xml:space="preserve"> </w:t>
      </w:r>
    </w:p>
    <w:p w14:paraId="420D1031" w14:textId="77777777" w:rsidR="00F44ADC" w:rsidRPr="007F03F7" w:rsidRDefault="00F44ADC" w:rsidP="007F03F7">
      <w:pPr>
        <w:spacing w:after="0" w:line="240" w:lineRule="auto"/>
        <w:jc w:val="both"/>
        <w:rPr>
          <w:rFonts w:cstheme="minorHAnsi"/>
        </w:rPr>
      </w:pPr>
    </w:p>
    <w:p w14:paraId="67121C04" w14:textId="60CE7D7D" w:rsidR="00447A05" w:rsidRPr="007F03F7" w:rsidRDefault="0065419D" w:rsidP="007F03F7">
      <w:pPr>
        <w:pStyle w:val="ListParagraph"/>
        <w:numPr>
          <w:ilvl w:val="0"/>
          <w:numId w:val="10"/>
        </w:numPr>
        <w:spacing w:after="200" w:line="240" w:lineRule="auto"/>
        <w:jc w:val="both"/>
        <w:rPr>
          <w:rFonts w:cstheme="minorHAnsi"/>
        </w:rPr>
      </w:pPr>
      <w:r w:rsidRPr="007F03F7">
        <w:rPr>
          <w:rFonts w:cstheme="minorHAnsi"/>
        </w:rPr>
        <w:t>In 2015, the Department of Social Welfare (DoSW) reviewed and updated its National Plan of Action against the Sexual Abuse and Exploitation of Children 2011-2015</w:t>
      </w:r>
      <w:r w:rsidRPr="007F03F7">
        <w:rPr>
          <w:rStyle w:val="EndnoteReference"/>
          <w:rFonts w:cstheme="minorHAnsi"/>
        </w:rPr>
        <w:endnoteReference w:id="34"/>
      </w:r>
      <w:r w:rsidRPr="007F03F7">
        <w:rPr>
          <w:rFonts w:cstheme="minorHAnsi"/>
        </w:rPr>
        <w:t xml:space="preserve"> but it expired four years ago and has still not been replaced.</w:t>
      </w:r>
      <w:r w:rsidR="00002D55" w:rsidRPr="007F03F7">
        <w:rPr>
          <w:rStyle w:val="EndnoteReference"/>
          <w:rFonts w:cstheme="minorHAnsi"/>
        </w:rPr>
        <w:endnoteReference w:id="35"/>
      </w:r>
      <w:r w:rsidRPr="007F03F7">
        <w:rPr>
          <w:rFonts w:cstheme="minorHAnsi"/>
        </w:rPr>
        <w:t xml:space="preserve"> The GoG should therefore work on adopting and implementing a new one.</w:t>
      </w:r>
    </w:p>
    <w:p w14:paraId="02DB2BC6" w14:textId="77777777" w:rsidR="00F44ADC" w:rsidRPr="007F03F7" w:rsidRDefault="00F44ADC" w:rsidP="007F03F7">
      <w:pPr>
        <w:pStyle w:val="ListParagraph"/>
        <w:spacing w:after="200" w:line="240" w:lineRule="auto"/>
        <w:ind w:left="1080"/>
        <w:jc w:val="both"/>
      </w:pPr>
    </w:p>
    <w:p w14:paraId="2D2AFF62" w14:textId="77777777" w:rsidR="0065419D" w:rsidRPr="007F03F7" w:rsidRDefault="0065419D" w:rsidP="007F03F7">
      <w:pPr>
        <w:pStyle w:val="ListParagraph"/>
        <w:numPr>
          <w:ilvl w:val="0"/>
          <w:numId w:val="10"/>
        </w:numPr>
        <w:spacing w:after="0" w:line="240" w:lineRule="auto"/>
        <w:contextualSpacing w:val="0"/>
        <w:jc w:val="both"/>
        <w:rPr>
          <w:rFonts w:cstheme="minorHAnsi"/>
        </w:rPr>
      </w:pPr>
      <w:r w:rsidRPr="007F03F7">
        <w:rPr>
          <w:rFonts w:cstheme="minorHAnsi"/>
        </w:rPr>
        <w:t xml:space="preserve">The Children’s Act of 2005, the Criminal Code, the Trafficking in persons Act of 2007 (TPA), the Tourism Offences Act of 2003 (TOA) and the Sexual Offences Act 2013 (SOA) have been introduced to help combat SEC. </w:t>
      </w:r>
    </w:p>
    <w:p w14:paraId="65940BC6" w14:textId="77777777" w:rsidR="009C2072" w:rsidRPr="007F03F7" w:rsidRDefault="009C2072" w:rsidP="007F03F7">
      <w:pPr>
        <w:pStyle w:val="ListParagraph"/>
        <w:spacing w:after="0" w:line="240" w:lineRule="auto"/>
        <w:ind w:left="1080"/>
        <w:contextualSpacing w:val="0"/>
        <w:jc w:val="both"/>
        <w:rPr>
          <w:rFonts w:cstheme="minorHAnsi"/>
        </w:rPr>
      </w:pPr>
    </w:p>
    <w:p w14:paraId="7B948C1C" w14:textId="77777777" w:rsidR="0065419D" w:rsidRPr="007F03F7" w:rsidRDefault="0065419D" w:rsidP="007F03F7">
      <w:pPr>
        <w:spacing w:line="240" w:lineRule="auto"/>
        <w:rPr>
          <w:i/>
          <w:iCs/>
        </w:rPr>
      </w:pPr>
      <w:r w:rsidRPr="007F03F7">
        <w:rPr>
          <w:i/>
          <w:iCs/>
        </w:rPr>
        <w:t xml:space="preserve">Coordination and evaluation </w:t>
      </w:r>
    </w:p>
    <w:p w14:paraId="51573A9A" w14:textId="0AC66892" w:rsidR="003B45B6" w:rsidRPr="003B45B6" w:rsidRDefault="00FB0338" w:rsidP="007F03F7">
      <w:pPr>
        <w:pStyle w:val="ListParagraph"/>
        <w:numPr>
          <w:ilvl w:val="0"/>
          <w:numId w:val="10"/>
        </w:numPr>
        <w:spacing w:after="0" w:line="240" w:lineRule="auto"/>
        <w:jc w:val="both"/>
      </w:pPr>
      <w:r w:rsidRPr="007F03F7">
        <w:rPr>
          <w:rFonts w:cstheme="minorHAnsi"/>
        </w:rPr>
        <w:t xml:space="preserve">The GoG has been criticized for not having a dedicated body that coordinates efforts against SEC and the coordination of child protection and also that the prevention services is weak. </w:t>
      </w:r>
      <w:r w:rsidR="003B45B6">
        <w:rPr>
          <w:rFonts w:cstheme="minorHAnsi"/>
        </w:rPr>
        <w:t>However, recently t</w:t>
      </w:r>
      <w:r w:rsidRPr="007F03F7">
        <w:rPr>
          <w:rFonts w:cstheme="minorHAnsi"/>
        </w:rPr>
        <w:t xml:space="preserve">he Department of Social Welfare(DSW) with support from UNICEF has conducted 3 training workshops on case management </w:t>
      </w:r>
      <w:r w:rsidR="003B45B6">
        <w:rPr>
          <w:rFonts w:cstheme="minorHAnsi"/>
        </w:rPr>
        <w:t xml:space="preserve">for 90 social workforce members and </w:t>
      </w:r>
      <w:r w:rsidR="003B45B6">
        <w:t>is gradually putting in place the necessary guidelines and procedures on case management coordination and cooperation.</w:t>
      </w:r>
      <w:r w:rsidRPr="007F03F7">
        <w:rPr>
          <w:rStyle w:val="EndnoteReference"/>
          <w:rFonts w:cstheme="minorHAnsi"/>
        </w:rPr>
        <w:endnoteReference w:id="36"/>
      </w:r>
    </w:p>
    <w:p w14:paraId="78A64CED" w14:textId="77777777" w:rsidR="003B45B6" w:rsidRPr="003B45B6" w:rsidRDefault="003B45B6" w:rsidP="003B45B6">
      <w:pPr>
        <w:pStyle w:val="ListParagraph"/>
        <w:spacing w:after="0" w:line="240" w:lineRule="auto"/>
        <w:ind w:left="1080"/>
        <w:jc w:val="both"/>
      </w:pPr>
    </w:p>
    <w:p w14:paraId="0CCFFE91" w14:textId="14B3D0A0" w:rsidR="0065419D" w:rsidRPr="007F03F7" w:rsidRDefault="0065419D" w:rsidP="007F03F7">
      <w:pPr>
        <w:pStyle w:val="ListParagraph"/>
        <w:numPr>
          <w:ilvl w:val="0"/>
          <w:numId w:val="10"/>
        </w:numPr>
        <w:spacing w:after="0" w:line="240" w:lineRule="auto"/>
        <w:jc w:val="both"/>
      </w:pPr>
      <w:r w:rsidRPr="007F03F7">
        <w:rPr>
          <w:rFonts w:cstheme="minorHAnsi"/>
        </w:rPr>
        <w:t>There are three main institutions responsible for providing protection from and prevention of SEC related offences. The first one is the Ministry of Women, Children and Social Welfare, created by the GoG on 26</w:t>
      </w:r>
      <w:r w:rsidRPr="007F03F7">
        <w:rPr>
          <w:rFonts w:cstheme="minorHAnsi"/>
          <w:vertAlign w:val="superscript"/>
        </w:rPr>
        <w:t>th</w:t>
      </w:r>
      <w:r w:rsidRPr="007F03F7">
        <w:rPr>
          <w:rFonts w:cstheme="minorHAnsi"/>
        </w:rPr>
        <w:t xml:space="preserve"> February 2019.The Department of Social Work (DoSW) under this ministry is the primary coordinating body for child protection. Earlier in 2015, the DoSW formed the National Child Protection Sub-Committee to coordinate child protection issues. While the mandate focused on assisting the coordination of child protection generally, the DoSW also provides specific coordination in relation to SECTT. Further, the DoSW assists with coordination in relation to child victims of trafficking.</w:t>
      </w:r>
    </w:p>
    <w:p w14:paraId="2265C5D6" w14:textId="77777777" w:rsidR="009C2072" w:rsidRPr="007F03F7" w:rsidRDefault="009C2072" w:rsidP="003B45B6">
      <w:pPr>
        <w:pStyle w:val="ListParagraph"/>
        <w:spacing w:afterLines="200" w:after="480" w:line="240" w:lineRule="auto"/>
        <w:ind w:left="1080"/>
        <w:jc w:val="both"/>
        <w:rPr>
          <w:rFonts w:cstheme="minorHAnsi"/>
        </w:rPr>
      </w:pPr>
    </w:p>
    <w:p w14:paraId="282E9E04" w14:textId="61BBE33F" w:rsidR="00447A05" w:rsidRPr="007F03F7" w:rsidRDefault="0065419D" w:rsidP="003B45B6">
      <w:pPr>
        <w:pStyle w:val="ListParagraph"/>
        <w:numPr>
          <w:ilvl w:val="0"/>
          <w:numId w:val="10"/>
        </w:numPr>
        <w:spacing w:afterLines="200" w:after="480" w:line="240" w:lineRule="auto"/>
        <w:jc w:val="both"/>
        <w:rPr>
          <w:rFonts w:cstheme="minorHAnsi"/>
        </w:rPr>
      </w:pPr>
      <w:r w:rsidRPr="007F03F7">
        <w:rPr>
          <w:rFonts w:cstheme="minorHAnsi"/>
        </w:rPr>
        <w:t xml:space="preserve">Second, </w:t>
      </w:r>
      <w:r w:rsidRPr="007F03F7">
        <w:t>The National Agency Against Trafficking In Persons (NAATIP) is the agency responsible for administering and monitoring the implementation of the Trafficking in Persons Act 2007 (Trafficking Act). Its implementing partners include the DoSW, Child Fund and Police and Immigration Departments. NAATIP does have an action plan for 2016-2020.</w:t>
      </w:r>
    </w:p>
    <w:p w14:paraId="51672837" w14:textId="77777777" w:rsidR="009C2072" w:rsidRPr="007F03F7" w:rsidRDefault="009C2072" w:rsidP="003B45B6">
      <w:pPr>
        <w:pStyle w:val="ListParagraph"/>
        <w:spacing w:afterLines="200" w:after="480" w:line="240" w:lineRule="auto"/>
        <w:ind w:left="1080"/>
        <w:jc w:val="both"/>
      </w:pPr>
    </w:p>
    <w:p w14:paraId="7D7E9E9E" w14:textId="77777777" w:rsidR="0065419D" w:rsidRPr="007F03F7" w:rsidRDefault="0065419D" w:rsidP="003B45B6">
      <w:pPr>
        <w:pStyle w:val="ListParagraph"/>
        <w:numPr>
          <w:ilvl w:val="0"/>
          <w:numId w:val="10"/>
        </w:numPr>
        <w:spacing w:afterLines="200" w:after="480" w:line="240" w:lineRule="auto"/>
        <w:jc w:val="both"/>
        <w:rPr>
          <w:rFonts w:cstheme="minorHAnsi"/>
        </w:rPr>
      </w:pPr>
      <w:r w:rsidRPr="007F03F7">
        <w:rPr>
          <w:rFonts w:cstheme="minorHAnsi"/>
        </w:rPr>
        <w:t>Finally, The Gambia Tourism Board enforces the implementation of the Tourism Offences Act 2003. The Tourism Offences Act 2003 was amended in 2014 and a special court was created in order to deal with tourism related offences, including SECTT cases.</w:t>
      </w:r>
      <w:r w:rsidRPr="007F03F7">
        <w:rPr>
          <w:rStyle w:val="EndnoteReference"/>
          <w:rFonts w:cstheme="minorHAnsi"/>
        </w:rPr>
        <w:endnoteReference w:id="37"/>
      </w:r>
    </w:p>
    <w:p w14:paraId="7D980F07" w14:textId="77777777" w:rsidR="0065419D" w:rsidRPr="007F03F7" w:rsidRDefault="0065419D" w:rsidP="003B45B6">
      <w:pPr>
        <w:pStyle w:val="Heading1"/>
        <w:spacing w:line="240" w:lineRule="auto"/>
      </w:pPr>
      <w:bookmarkStart w:id="13" w:name="_Toc23520463"/>
      <w:r w:rsidRPr="007F03F7">
        <w:t>Prohibition on exploitation of children</w:t>
      </w:r>
      <w:bookmarkEnd w:id="13"/>
    </w:p>
    <w:p w14:paraId="4D8574A8" w14:textId="77777777" w:rsidR="0065419D" w:rsidRPr="007F03F7" w:rsidRDefault="0065419D" w:rsidP="003B45B6">
      <w:pPr>
        <w:pStyle w:val="ListParagraph"/>
        <w:numPr>
          <w:ilvl w:val="0"/>
          <w:numId w:val="10"/>
        </w:numPr>
        <w:spacing w:after="0" w:line="240" w:lineRule="auto"/>
        <w:jc w:val="both"/>
        <w:rPr>
          <w:rFonts w:cstheme="minorHAnsi"/>
        </w:rPr>
      </w:pPr>
      <w:r w:rsidRPr="007F03F7">
        <w:rPr>
          <w:rFonts w:eastAsia="Times New Roman" w:cstheme="minorHAnsi"/>
          <w:lang w:eastAsia="ja-JP"/>
        </w:rPr>
        <w:t>The Gambian</w:t>
      </w:r>
      <w:r w:rsidRPr="007F03F7">
        <w:rPr>
          <w:rFonts w:eastAsia="Times New Roman" w:cstheme="minorHAnsi"/>
          <w:b/>
          <w:lang w:eastAsia="ja-JP"/>
        </w:rPr>
        <w:t xml:space="preserve"> </w:t>
      </w:r>
      <w:r w:rsidRPr="007F03F7">
        <w:rPr>
          <w:rFonts w:eastAsia="Times New Roman" w:cstheme="minorHAnsi"/>
          <w:lang w:eastAsia="ja-JP"/>
        </w:rPr>
        <w:t>Criminal Code (1990) is the primary legislation prohibiting the procurement of children for sex or prostitution.</w:t>
      </w:r>
      <w:r w:rsidRPr="007F03F7">
        <w:rPr>
          <w:rStyle w:val="EndnoteReference"/>
          <w:rFonts w:eastAsia="Times New Roman" w:cstheme="minorHAnsi"/>
          <w:lang w:eastAsia="ja-JP"/>
        </w:rPr>
        <w:endnoteReference w:id="38"/>
      </w:r>
      <w:r w:rsidRPr="007F03F7">
        <w:rPr>
          <w:rFonts w:eastAsia="Times New Roman" w:cstheme="minorHAnsi"/>
          <w:lang w:eastAsia="ja-JP"/>
        </w:rPr>
        <w:t xml:space="preserve"> In addition, there are extensive legal provisions in the Children’s Act 2005 (CA) for the protection of children from prostitution and it provides serious punishments for exploiting children in prostitution and related offences.</w:t>
      </w:r>
      <w:r w:rsidRPr="007F03F7">
        <w:rPr>
          <w:rStyle w:val="EndnoteReference"/>
          <w:rFonts w:eastAsia="Times New Roman" w:cstheme="minorHAnsi"/>
          <w:lang w:eastAsia="ja-JP"/>
        </w:rPr>
        <w:endnoteReference w:id="39"/>
      </w:r>
      <w:r w:rsidRPr="007F03F7">
        <w:rPr>
          <w:rFonts w:eastAsia="Times New Roman" w:cstheme="minorHAnsi"/>
          <w:lang w:eastAsia="ja-JP"/>
        </w:rPr>
        <w:t xml:space="preserve"> The primary offence of procuring or offering a child for prostitution mandates a penalty of up to 14 years imprisonment, without the option of a fine.</w:t>
      </w:r>
      <w:r w:rsidRPr="007F03F7">
        <w:rPr>
          <w:rStyle w:val="EndnoteReference"/>
          <w:rFonts w:eastAsia="Times New Roman" w:cstheme="minorHAnsi"/>
          <w:lang w:eastAsia="ja-JP"/>
        </w:rPr>
        <w:endnoteReference w:id="40"/>
      </w:r>
      <w:r w:rsidRPr="007F03F7">
        <w:rPr>
          <w:rFonts w:eastAsia="Times New Roman" w:cstheme="minorHAnsi"/>
          <w:lang w:eastAsia="ja-JP"/>
        </w:rPr>
        <w:t xml:space="preserve"> It includes anyone who “</w:t>
      </w:r>
      <w:r w:rsidRPr="007F03F7">
        <w:rPr>
          <w:rFonts w:eastAsia="Times New Roman" w:cstheme="minorHAnsi"/>
          <w:i/>
          <w:lang w:eastAsia="ja-JP"/>
        </w:rPr>
        <w:t>knowingly allows the child to consort with, or to enter or continue in the employment of, any prostitute or other person of known immoral character</w:t>
      </w:r>
      <w:r w:rsidRPr="007F03F7">
        <w:rPr>
          <w:rFonts w:eastAsia="Times New Roman" w:cstheme="minorHAnsi"/>
          <w:lang w:eastAsia="ja-JP"/>
        </w:rPr>
        <w:t>.”</w:t>
      </w:r>
      <w:r w:rsidRPr="007F03F7">
        <w:rPr>
          <w:rStyle w:val="EndnoteReference"/>
          <w:rFonts w:eastAsia="Times New Roman" w:cstheme="minorHAnsi"/>
          <w:lang w:eastAsia="ja-JP"/>
        </w:rPr>
        <w:endnoteReference w:id="41"/>
      </w:r>
      <w:r w:rsidRPr="007F03F7">
        <w:rPr>
          <w:rFonts w:eastAsia="Times New Roman" w:cstheme="minorHAnsi"/>
          <w:lang w:eastAsia="ja-JP"/>
        </w:rPr>
        <w:t xml:space="preserve"> It prohibits the export or import of children for the purpose of prostitution</w:t>
      </w:r>
      <w:r w:rsidRPr="007F03F7">
        <w:rPr>
          <w:rStyle w:val="EndnoteReference"/>
          <w:rFonts w:eastAsia="Times New Roman" w:cstheme="minorHAnsi"/>
          <w:lang w:eastAsia="ja-JP"/>
        </w:rPr>
        <w:endnoteReference w:id="42"/>
      </w:r>
      <w:r w:rsidRPr="007F03F7">
        <w:rPr>
          <w:rFonts w:eastAsia="Times New Roman" w:cstheme="minorHAnsi"/>
          <w:lang w:eastAsia="ja-JP"/>
        </w:rPr>
        <w:t xml:space="preserve"> and prohibits the buying, selling or hiring of a child for “</w:t>
      </w:r>
      <w:r w:rsidRPr="007F03F7">
        <w:rPr>
          <w:rFonts w:eastAsia="Times New Roman" w:cstheme="minorHAnsi"/>
          <w:i/>
          <w:lang w:eastAsia="ja-JP"/>
        </w:rPr>
        <w:t>immoral purpose</w:t>
      </w:r>
      <w:r w:rsidRPr="007F03F7">
        <w:rPr>
          <w:rFonts w:eastAsia="Times New Roman" w:cstheme="minorHAnsi"/>
          <w:lang w:eastAsia="ja-JP"/>
        </w:rPr>
        <w:t>.”</w:t>
      </w:r>
      <w:r w:rsidRPr="007F03F7">
        <w:rPr>
          <w:rStyle w:val="EndnoteReference"/>
          <w:rFonts w:eastAsia="Times New Roman" w:cstheme="minorHAnsi"/>
          <w:lang w:eastAsia="ja-JP"/>
        </w:rPr>
        <w:endnoteReference w:id="43"/>
      </w:r>
      <w:r w:rsidRPr="007F03F7">
        <w:rPr>
          <w:rFonts w:eastAsia="Times New Roman" w:cstheme="minorHAnsi"/>
          <w:lang w:eastAsia="ja-JP"/>
        </w:rPr>
        <w:t xml:space="preserve"> It includes situations where someone drugs, coerces, deceives, seduces or forces a child to have sexual intercourse with someone.</w:t>
      </w:r>
      <w:r w:rsidRPr="007F03F7">
        <w:rPr>
          <w:rStyle w:val="EndnoteReference"/>
          <w:rFonts w:eastAsia="Times New Roman" w:cstheme="minorHAnsi"/>
          <w:lang w:eastAsia="ja-JP"/>
        </w:rPr>
        <w:endnoteReference w:id="44"/>
      </w:r>
      <w:r w:rsidRPr="007F03F7">
        <w:rPr>
          <w:rFonts w:eastAsia="Times New Roman" w:cstheme="minorHAnsi"/>
          <w:lang w:eastAsia="ja-JP"/>
        </w:rPr>
        <w:t xml:space="preserve"> Section 38 of the CA is also a ‘catch all’ provision that criminalizes situations that cause, encourage, allow, procure and permit a child to be exploited through prostitution.</w:t>
      </w:r>
      <w:r w:rsidRPr="007F03F7">
        <w:rPr>
          <w:rStyle w:val="EndnoteReference"/>
          <w:rFonts w:eastAsia="Times New Roman" w:cstheme="minorHAnsi"/>
          <w:lang w:eastAsia="ja-JP"/>
        </w:rPr>
        <w:endnoteReference w:id="45"/>
      </w:r>
      <w:r w:rsidRPr="007F03F7">
        <w:rPr>
          <w:rFonts w:eastAsia="Times New Roman" w:cstheme="minorHAnsi"/>
          <w:lang w:eastAsia="ja-JP"/>
        </w:rPr>
        <w:t xml:space="preserve"> It is also a specific offence to encourage or cause a child to be prostituted or sexually assaulted if the person has custody, charge or care of the </w:t>
      </w:r>
      <w:r w:rsidRPr="007F03F7">
        <w:rPr>
          <w:rFonts w:eastAsia="Times New Roman" w:cstheme="minorHAnsi"/>
          <w:lang w:eastAsia="ja-JP"/>
        </w:rPr>
        <w:lastRenderedPageBreak/>
        <w:t>child.</w:t>
      </w:r>
      <w:r w:rsidRPr="007F03F7">
        <w:rPr>
          <w:rStyle w:val="EndnoteReference"/>
          <w:rFonts w:eastAsia="Times New Roman" w:cstheme="minorHAnsi"/>
          <w:lang w:eastAsia="ja-JP"/>
        </w:rPr>
        <w:endnoteReference w:id="46"/>
      </w:r>
      <w:r w:rsidRPr="007F03F7">
        <w:rPr>
          <w:rFonts w:eastAsia="Times New Roman" w:cstheme="minorHAnsi"/>
          <w:lang w:eastAsia="ja-JP"/>
        </w:rPr>
        <w:t xml:space="preserve"> Detaining or confining a child so they can be sexually abused or assaulted is also an offence.</w:t>
      </w:r>
      <w:r w:rsidRPr="007F03F7">
        <w:rPr>
          <w:rStyle w:val="EndnoteReference"/>
          <w:rFonts w:eastAsia="Times New Roman" w:cstheme="minorHAnsi"/>
          <w:lang w:eastAsia="ja-JP"/>
        </w:rPr>
        <w:endnoteReference w:id="47"/>
      </w:r>
      <w:r w:rsidRPr="007F03F7">
        <w:rPr>
          <w:rFonts w:eastAsia="Times New Roman" w:cstheme="minorHAnsi"/>
          <w:lang w:eastAsia="ja-JP"/>
        </w:rPr>
        <w:t xml:space="preserve"> Importantly, the CA makes procuring a child for prostitution an offence within or outside The Gambia.</w:t>
      </w:r>
      <w:r w:rsidRPr="007F03F7">
        <w:rPr>
          <w:rStyle w:val="EndnoteReference"/>
          <w:rFonts w:eastAsia="Times New Roman" w:cstheme="minorHAnsi"/>
          <w:lang w:eastAsia="ja-JP"/>
        </w:rPr>
        <w:endnoteReference w:id="48"/>
      </w:r>
      <w:r w:rsidRPr="007F03F7">
        <w:rPr>
          <w:rFonts w:eastAsia="Times New Roman" w:cstheme="minorHAnsi"/>
          <w:lang w:eastAsia="ja-JP"/>
        </w:rPr>
        <w:t xml:space="preserve"> Similarly, it an offence to “</w:t>
      </w:r>
      <w:r w:rsidRPr="007F03F7">
        <w:rPr>
          <w:rFonts w:eastAsia="Times New Roman" w:cstheme="minorHAnsi"/>
          <w:i/>
          <w:lang w:eastAsia="ja-JP"/>
        </w:rPr>
        <w:t>take away or detain</w:t>
      </w:r>
      <w:r w:rsidRPr="007F03F7">
        <w:rPr>
          <w:rFonts w:eastAsia="Times New Roman" w:cstheme="minorHAnsi"/>
          <w:lang w:eastAsia="ja-JP"/>
        </w:rPr>
        <w:t>” a child for the purpose of being sexually assaulted.</w:t>
      </w:r>
      <w:r w:rsidRPr="007F03F7">
        <w:rPr>
          <w:rStyle w:val="EndnoteReference"/>
          <w:rFonts w:eastAsia="Times New Roman" w:cstheme="minorHAnsi"/>
          <w:lang w:eastAsia="ja-JP"/>
        </w:rPr>
        <w:endnoteReference w:id="49"/>
      </w:r>
      <w:r w:rsidRPr="007F03F7">
        <w:rPr>
          <w:rFonts w:eastAsia="Times New Roman" w:cstheme="minorHAnsi"/>
          <w:lang w:eastAsia="ja-JP"/>
        </w:rPr>
        <w:t xml:space="preserve"> Section 7 of the TOA makes it an offence to procure a child for prostitution.</w:t>
      </w:r>
      <w:r w:rsidRPr="007F03F7">
        <w:rPr>
          <w:rStyle w:val="EndnoteReference"/>
          <w:rFonts w:eastAsia="Times New Roman" w:cstheme="minorHAnsi"/>
          <w:lang w:eastAsia="ja-JP"/>
        </w:rPr>
        <w:endnoteReference w:id="50"/>
      </w:r>
      <w:r w:rsidRPr="007F03F7">
        <w:rPr>
          <w:rFonts w:eastAsia="Times New Roman" w:cstheme="minorHAnsi"/>
          <w:lang w:eastAsia="ja-JP"/>
        </w:rPr>
        <w:t xml:space="preserve"> Additionally, Section 11 of the TOA makes it an offence to allow “</w:t>
      </w:r>
      <w:r w:rsidRPr="007F03F7">
        <w:rPr>
          <w:rFonts w:eastAsia="Times New Roman" w:cstheme="minorHAnsi"/>
          <w:i/>
          <w:lang w:eastAsia="ja-JP"/>
        </w:rPr>
        <w:t>your premises or any premises you manage to be used for the sexual abuse or prostitution of a child</w:t>
      </w:r>
      <w:r w:rsidRPr="007F03F7">
        <w:rPr>
          <w:rFonts w:eastAsia="Times New Roman" w:cstheme="minorHAnsi"/>
          <w:lang w:eastAsia="ja-JP"/>
        </w:rPr>
        <w:t>.”</w:t>
      </w:r>
      <w:r w:rsidRPr="007F03F7">
        <w:rPr>
          <w:rStyle w:val="EndnoteReference"/>
          <w:rFonts w:eastAsia="Times New Roman" w:cstheme="minorHAnsi"/>
          <w:lang w:eastAsia="ja-JP"/>
        </w:rPr>
        <w:endnoteReference w:id="51"/>
      </w:r>
      <w:r w:rsidRPr="007F03F7">
        <w:rPr>
          <w:rFonts w:eastAsia="Times New Roman" w:cstheme="minorHAnsi"/>
          <w:lang w:eastAsia="ja-JP"/>
        </w:rPr>
        <w:t xml:space="preserve"> </w:t>
      </w:r>
    </w:p>
    <w:p w14:paraId="13D92747" w14:textId="77777777" w:rsidR="009C2072" w:rsidRPr="007F03F7" w:rsidRDefault="009C2072" w:rsidP="003B45B6">
      <w:pPr>
        <w:pStyle w:val="ListParagraph"/>
        <w:spacing w:after="0" w:line="240" w:lineRule="auto"/>
        <w:ind w:left="1080"/>
        <w:jc w:val="both"/>
        <w:rPr>
          <w:rFonts w:cstheme="minorHAnsi"/>
        </w:rPr>
      </w:pPr>
    </w:p>
    <w:p w14:paraId="6A2AFE36" w14:textId="79111D8C" w:rsidR="009C2072" w:rsidRPr="003B45B6" w:rsidRDefault="0065419D" w:rsidP="003B45B6">
      <w:pPr>
        <w:pStyle w:val="ListParagraph"/>
        <w:numPr>
          <w:ilvl w:val="0"/>
          <w:numId w:val="10"/>
        </w:numPr>
        <w:spacing w:after="0" w:line="240" w:lineRule="auto"/>
        <w:jc w:val="both"/>
        <w:rPr>
          <w:rFonts w:cstheme="minorHAnsi"/>
          <w:i/>
        </w:rPr>
      </w:pPr>
      <w:r w:rsidRPr="007F03F7">
        <w:rPr>
          <w:rFonts w:eastAsia="Times New Roman" w:cstheme="minorHAnsi"/>
          <w:lang w:eastAsia="ja-JP"/>
        </w:rPr>
        <w:t>The Gambian Criminal Code does not contain provisions that deal with all OCSE-related offences but only for CSAM. Article 144B of the Criminal Code (Amendment) Act, 2014 No. 11 of 2014 criminalizes “</w:t>
      </w:r>
      <w:r w:rsidRPr="007F03F7">
        <w:rPr>
          <w:rFonts w:eastAsia="Times New Roman" w:cstheme="minorHAnsi"/>
          <w:i/>
          <w:lang w:eastAsia="ja-JP"/>
        </w:rPr>
        <w:t>a person who produces or participates in the production of, trafficks, publishes, broadcasts, procures, imports, exports or in any way abets pornography depicting images of children.</w:t>
      </w:r>
      <w:r w:rsidRPr="007F03F7">
        <w:rPr>
          <w:rFonts w:eastAsia="Times New Roman" w:cstheme="minorHAnsi"/>
          <w:lang w:eastAsia="ja-JP"/>
        </w:rPr>
        <w:t>”</w:t>
      </w:r>
      <w:r w:rsidRPr="007F03F7">
        <w:rPr>
          <w:rStyle w:val="EndnoteReference"/>
          <w:rFonts w:eastAsia="Times New Roman" w:cstheme="minorHAnsi"/>
          <w:lang w:eastAsia="ja-JP"/>
        </w:rPr>
        <w:endnoteReference w:id="52"/>
      </w:r>
      <w:r w:rsidRPr="007F03F7">
        <w:rPr>
          <w:rFonts w:eastAsia="Times New Roman" w:cstheme="minorHAnsi"/>
          <w:lang w:eastAsia="ja-JP"/>
        </w:rPr>
        <w:t xml:space="preserve"> However, the national legislation doesn’t contain a definition of CSAM</w:t>
      </w:r>
      <w:r w:rsidR="009C2072" w:rsidRPr="007F03F7">
        <w:rPr>
          <w:rFonts w:eastAsia="Times New Roman" w:cstheme="minorHAnsi"/>
          <w:lang w:eastAsia="ja-JP"/>
        </w:rPr>
        <w:t>, doesn’t include audio or written material</w:t>
      </w:r>
      <w:r w:rsidRPr="007F03F7">
        <w:rPr>
          <w:rFonts w:eastAsia="Times New Roman" w:cstheme="minorHAnsi"/>
          <w:lang w:eastAsia="ja-JP"/>
        </w:rPr>
        <w:t xml:space="preserve"> and doesn’t prohibit </w:t>
      </w:r>
      <w:r w:rsidR="009C2072" w:rsidRPr="007F03F7">
        <w:rPr>
          <w:rFonts w:eastAsia="Times New Roman" w:cstheme="minorHAnsi"/>
          <w:lang w:eastAsia="ja-JP"/>
        </w:rPr>
        <w:t xml:space="preserve">all the conducts criminalized by the </w:t>
      </w:r>
      <w:r w:rsidRPr="007F03F7">
        <w:rPr>
          <w:rFonts w:eastAsia="Times New Roman" w:cstheme="minorHAnsi"/>
          <w:lang w:eastAsia="ja-JP"/>
        </w:rPr>
        <w:t>OPSC.</w:t>
      </w:r>
      <w:r w:rsidR="009C2072" w:rsidRPr="007F03F7">
        <w:rPr>
          <w:rFonts w:eastAsia="Times New Roman" w:cstheme="minorHAnsi"/>
          <w:lang w:eastAsia="ja-JP"/>
        </w:rPr>
        <w:t xml:space="preserve"> </w:t>
      </w:r>
      <w:r w:rsidRPr="007F03F7">
        <w:rPr>
          <w:rFonts w:eastAsia="Times New Roman" w:cstheme="minorHAnsi"/>
          <w:lang w:eastAsia="ja-JP"/>
        </w:rPr>
        <w:t>The Gambia along with the Council of Europe has started to work on its cybercrime legislation.</w:t>
      </w:r>
      <w:r w:rsidRPr="007F03F7">
        <w:rPr>
          <w:rFonts w:cstheme="minorHAnsi"/>
          <w:vertAlign w:val="superscript"/>
          <w:lang w:eastAsia="ja-JP"/>
        </w:rPr>
        <w:endnoteReference w:id="53"/>
      </w:r>
    </w:p>
    <w:p w14:paraId="0E67403A" w14:textId="77777777" w:rsidR="009C2072" w:rsidRPr="007F03F7" w:rsidRDefault="009C2072" w:rsidP="003B45B6">
      <w:pPr>
        <w:pStyle w:val="ListParagraph"/>
        <w:spacing w:after="0" w:line="240" w:lineRule="auto"/>
        <w:ind w:left="1080"/>
        <w:jc w:val="both"/>
        <w:rPr>
          <w:rFonts w:cstheme="minorHAnsi"/>
          <w:i/>
        </w:rPr>
      </w:pPr>
    </w:p>
    <w:p w14:paraId="2A17A60C" w14:textId="77777777" w:rsidR="0065419D" w:rsidRPr="007F03F7" w:rsidRDefault="0065419D" w:rsidP="003B45B6">
      <w:pPr>
        <w:pStyle w:val="ListParagraph"/>
        <w:numPr>
          <w:ilvl w:val="0"/>
          <w:numId w:val="10"/>
        </w:numPr>
        <w:spacing w:after="0" w:line="240" w:lineRule="auto"/>
        <w:jc w:val="both"/>
        <w:rPr>
          <w:rFonts w:cstheme="minorHAnsi"/>
        </w:rPr>
      </w:pPr>
      <w:r w:rsidRPr="007F03F7">
        <w:rPr>
          <w:rFonts w:eastAsia="Times New Roman" w:cstheme="minorHAnsi"/>
          <w:lang w:eastAsia="ja-JP"/>
        </w:rPr>
        <w:t>Anti-trafficking Gambian laws are in compliance with international legal standards. The Trafficking in Persons Act was introduced in 2007 and it criminalizes all forms of exploitation indicated in the UN Protocol to Prevent, Suppress and Punish Trafficking in Persons Especially Women and Children, supplementing the United Nations Convention against Transnational Organized Crime.</w:t>
      </w:r>
      <w:r w:rsidRPr="007F03F7">
        <w:rPr>
          <w:rStyle w:val="EndnoteReference"/>
          <w:rFonts w:eastAsia="Times New Roman" w:cstheme="minorHAnsi"/>
          <w:lang w:eastAsia="ja-JP"/>
        </w:rPr>
        <w:endnoteReference w:id="54"/>
      </w:r>
      <w:r w:rsidRPr="007F03F7">
        <w:rPr>
          <w:rFonts w:eastAsia="Times New Roman" w:cstheme="minorHAnsi"/>
          <w:lang w:eastAsia="ja-JP"/>
        </w:rPr>
        <w:t xml:space="preserve"> The Trafficking in Persons (Amendment) Act of 2010 increased the penalties provided in Section 28 for trafficking, with a harsher minimum sentence of 50 years and a maximum of life imprisonment. Where the victim of trafficking is a child, an offender is liable to “the sentence of death.”</w:t>
      </w:r>
      <w:r w:rsidRPr="007F03F7">
        <w:rPr>
          <w:rStyle w:val="EndnoteReference"/>
          <w:rFonts w:eastAsia="Times New Roman" w:cstheme="minorHAnsi"/>
          <w:lang w:eastAsia="ja-JP"/>
        </w:rPr>
        <w:endnoteReference w:id="55"/>
      </w:r>
      <w:r w:rsidRPr="007F03F7">
        <w:rPr>
          <w:rFonts w:eastAsia="Times New Roman" w:cstheme="minorHAnsi"/>
          <w:lang w:eastAsia="ja-JP"/>
        </w:rPr>
        <w:t xml:space="preserve"> The CA and the TOA also have provisions criminalising the trafficking of children, whether on its own or in conjunction with the purpose of sexual exploitation or being forced or seduced into prostitution. Exploitation is defined in Section 2 of the Trafficking Act to include commercial sexual exploitation.</w:t>
      </w:r>
      <w:r w:rsidRPr="007F03F7">
        <w:rPr>
          <w:rStyle w:val="EndnoteReference"/>
          <w:rFonts w:eastAsia="Times New Roman" w:cstheme="minorHAnsi"/>
          <w:lang w:eastAsia="ja-JP"/>
        </w:rPr>
        <w:endnoteReference w:id="56"/>
      </w:r>
      <w:r w:rsidRPr="007F03F7">
        <w:rPr>
          <w:rFonts w:eastAsia="Times New Roman" w:cstheme="minorHAnsi"/>
          <w:lang w:eastAsia="ja-JP"/>
        </w:rPr>
        <w:t xml:space="preserve"> Furthermore, when the victim is a child, the means of trafficking are considered irrelevant.</w:t>
      </w:r>
      <w:r w:rsidRPr="007F03F7">
        <w:rPr>
          <w:rStyle w:val="EndnoteReference"/>
          <w:rFonts w:eastAsia="Times New Roman" w:cstheme="minorHAnsi"/>
          <w:lang w:eastAsia="ja-JP"/>
        </w:rPr>
        <w:endnoteReference w:id="57"/>
      </w:r>
      <w:r w:rsidRPr="007F03F7">
        <w:rPr>
          <w:rFonts w:eastAsia="Times New Roman" w:cstheme="minorHAnsi"/>
          <w:lang w:eastAsia="ja-JP"/>
        </w:rPr>
        <w:t xml:space="preserve"> It is also a specific offence to export a person out of The Gambia or import a person into The Gambia, knowing it is likely that the person will be prostituted, whether willingly, forced or seduced.</w:t>
      </w:r>
      <w:r w:rsidRPr="007F03F7">
        <w:rPr>
          <w:rStyle w:val="EndnoteReference"/>
          <w:rFonts w:eastAsia="Times New Roman" w:cstheme="minorHAnsi"/>
          <w:lang w:eastAsia="ja-JP"/>
        </w:rPr>
        <w:endnoteReference w:id="58"/>
      </w:r>
      <w:r w:rsidRPr="007F03F7">
        <w:rPr>
          <w:rFonts w:eastAsia="Times New Roman" w:cstheme="minorHAnsi"/>
          <w:lang w:eastAsia="ja-JP"/>
        </w:rPr>
        <w:t xml:space="preserve"> Additionally, there are serious punishments listed for anyone connected to the commission of trafficking of children. Anyone who acts as an ‘intermediary’ for the purpose of trafficking, or employs or allows a trafficking victim to work for them, is liable to a fine of 50,000 - 500,000 Dalasi (US$</w:t>
      </w:r>
      <w:r w:rsidR="009C2072" w:rsidRPr="007F03F7">
        <w:rPr>
          <w:rFonts w:eastAsia="Times New Roman" w:cstheme="minorHAnsi"/>
          <w:lang w:eastAsia="ja-JP"/>
        </w:rPr>
        <w:t>990</w:t>
      </w:r>
      <w:r w:rsidRPr="007F03F7">
        <w:rPr>
          <w:rFonts w:eastAsia="Times New Roman" w:cstheme="minorHAnsi"/>
          <w:lang w:eastAsia="ja-JP"/>
        </w:rPr>
        <w:t>-US$</w:t>
      </w:r>
      <w:r w:rsidR="009C2072" w:rsidRPr="007F03F7">
        <w:rPr>
          <w:rFonts w:eastAsia="Times New Roman" w:cstheme="minorHAnsi"/>
          <w:lang w:eastAsia="ja-JP"/>
        </w:rPr>
        <w:t>9,900</w:t>
      </w:r>
      <w:r w:rsidRPr="007F03F7">
        <w:rPr>
          <w:rFonts w:eastAsia="Times New Roman" w:cstheme="minorHAnsi"/>
          <w:lang w:eastAsia="ja-JP"/>
        </w:rPr>
        <w:t xml:space="preserve"> as of October 2019) as well as a term of imprisonment for no less than 15 years and no more than life imprisonment.</w:t>
      </w:r>
      <w:r w:rsidRPr="007F03F7">
        <w:rPr>
          <w:rStyle w:val="EndnoteReference"/>
          <w:rFonts w:eastAsia="Times New Roman" w:cstheme="minorHAnsi"/>
          <w:lang w:eastAsia="ja-JP"/>
        </w:rPr>
        <w:endnoteReference w:id="59"/>
      </w:r>
      <w:r w:rsidRPr="007F03F7">
        <w:rPr>
          <w:rFonts w:eastAsia="Times New Roman" w:cstheme="minorHAnsi"/>
          <w:lang w:eastAsia="ja-JP"/>
        </w:rPr>
        <w:t xml:space="preserve"> In fact, anyone with any information concerning trafficking who fails to notify the police is liable to pay a fine of 10,000 - 50,000 Dalasi (US$200-US$</w:t>
      </w:r>
      <w:r w:rsidR="009C2072" w:rsidRPr="007F03F7">
        <w:rPr>
          <w:rFonts w:eastAsia="Times New Roman" w:cstheme="minorHAnsi"/>
          <w:lang w:eastAsia="ja-JP"/>
        </w:rPr>
        <w:t>990</w:t>
      </w:r>
      <w:r w:rsidRPr="007F03F7">
        <w:rPr>
          <w:rFonts w:eastAsia="Times New Roman" w:cstheme="minorHAnsi"/>
          <w:lang w:eastAsia="ja-JP"/>
        </w:rPr>
        <w:t xml:space="preserve"> as of October 2019), or a term of imprisonment for no less than 12 months and no more than three years, or both.</w:t>
      </w:r>
      <w:r w:rsidRPr="007F03F7">
        <w:rPr>
          <w:rStyle w:val="EndnoteReference"/>
          <w:rFonts w:eastAsia="Times New Roman" w:cstheme="minorHAnsi"/>
          <w:lang w:eastAsia="ja-JP"/>
        </w:rPr>
        <w:endnoteReference w:id="60"/>
      </w:r>
    </w:p>
    <w:p w14:paraId="6849DDF1" w14:textId="77777777" w:rsidR="009C2072" w:rsidRPr="007F03F7" w:rsidRDefault="009C2072" w:rsidP="003B45B6">
      <w:pPr>
        <w:pStyle w:val="ListParagraph"/>
        <w:spacing w:before="240" w:line="240" w:lineRule="auto"/>
        <w:ind w:left="1080"/>
        <w:jc w:val="both"/>
        <w:rPr>
          <w:rFonts w:cstheme="minorHAnsi"/>
        </w:rPr>
      </w:pPr>
    </w:p>
    <w:p w14:paraId="358E1B4E" w14:textId="5CF1E6FA" w:rsidR="00447A05" w:rsidRPr="003B45B6" w:rsidRDefault="0065419D" w:rsidP="003B45B6">
      <w:pPr>
        <w:pStyle w:val="ListParagraph"/>
        <w:numPr>
          <w:ilvl w:val="0"/>
          <w:numId w:val="10"/>
        </w:numPr>
        <w:spacing w:line="240" w:lineRule="auto"/>
        <w:jc w:val="both"/>
        <w:rPr>
          <w:rFonts w:cstheme="minorHAnsi"/>
        </w:rPr>
      </w:pPr>
      <w:r w:rsidRPr="007F03F7">
        <w:rPr>
          <w:rFonts w:eastAsia="Times New Roman" w:cstheme="minorHAnsi"/>
          <w:lang w:eastAsia="ja-JP"/>
        </w:rPr>
        <w:t>Section 6 of the  TOA makes it is an offence for a tourist to sexually abuse a child.</w:t>
      </w:r>
      <w:r w:rsidRPr="007F03F7">
        <w:rPr>
          <w:rStyle w:val="EndnoteReference"/>
          <w:rFonts w:eastAsia="Times New Roman" w:cstheme="minorHAnsi"/>
          <w:lang w:eastAsia="ja-JP"/>
        </w:rPr>
        <w:endnoteReference w:id="61"/>
      </w:r>
      <w:r w:rsidRPr="007F03F7">
        <w:rPr>
          <w:rFonts w:eastAsia="Times New Roman" w:cstheme="minorHAnsi"/>
          <w:lang w:eastAsia="ja-JP"/>
        </w:rPr>
        <w:t xml:space="preserve"> Section 5 of the TOA makes it an offence for a person to make sexual advances towards a child.</w:t>
      </w:r>
      <w:r w:rsidRPr="007F03F7">
        <w:rPr>
          <w:rStyle w:val="EndnoteReference"/>
          <w:rFonts w:eastAsia="Times New Roman" w:cstheme="minorHAnsi"/>
          <w:lang w:eastAsia="ja-JP"/>
        </w:rPr>
        <w:endnoteReference w:id="62"/>
      </w:r>
      <w:r w:rsidRPr="007F03F7">
        <w:rPr>
          <w:rFonts w:eastAsia="Times New Roman" w:cstheme="minorHAnsi"/>
          <w:lang w:eastAsia="ja-JP"/>
        </w:rPr>
        <w:t xml:space="preserve"> Further, it is specifically prohibited for an employee in the Tourism Development Area to ‘</w:t>
      </w:r>
      <w:r w:rsidRPr="007F03F7">
        <w:rPr>
          <w:rFonts w:eastAsia="Times New Roman" w:cstheme="minorHAnsi"/>
          <w:i/>
          <w:iCs/>
          <w:lang w:eastAsia="ja-JP"/>
        </w:rPr>
        <w:t>make sexual advances, or offer any illegal service or product to a tourist.’</w:t>
      </w:r>
      <w:r w:rsidRPr="007F03F7">
        <w:rPr>
          <w:rStyle w:val="EndnoteReference"/>
          <w:rFonts w:eastAsia="Times New Roman" w:cstheme="minorHAnsi"/>
          <w:i/>
          <w:iCs/>
          <w:lang w:eastAsia="ja-JP"/>
        </w:rPr>
        <w:endnoteReference w:id="63"/>
      </w:r>
    </w:p>
    <w:p w14:paraId="7CE6CC5F" w14:textId="77777777" w:rsidR="009C2072" w:rsidRPr="007F03F7" w:rsidRDefault="009C2072" w:rsidP="003B45B6">
      <w:pPr>
        <w:pStyle w:val="ListParagraph"/>
        <w:spacing w:line="240" w:lineRule="auto"/>
        <w:ind w:left="1080"/>
        <w:jc w:val="both"/>
      </w:pPr>
    </w:p>
    <w:p w14:paraId="3D3B54BE" w14:textId="77777777" w:rsidR="007360D3" w:rsidRPr="007F03F7" w:rsidRDefault="007360D3" w:rsidP="003B45B6">
      <w:pPr>
        <w:pStyle w:val="ListParagraph"/>
        <w:widowControl w:val="0"/>
        <w:numPr>
          <w:ilvl w:val="0"/>
          <w:numId w:val="10"/>
        </w:numPr>
        <w:tabs>
          <w:tab w:val="left" w:pos="840"/>
        </w:tabs>
        <w:autoSpaceDE w:val="0"/>
        <w:autoSpaceDN w:val="0"/>
        <w:spacing w:after="0" w:line="240" w:lineRule="auto"/>
        <w:ind w:right="129"/>
        <w:contextualSpacing w:val="0"/>
        <w:jc w:val="both"/>
        <w:rPr>
          <w:rFonts w:cstheme="minorHAnsi"/>
        </w:rPr>
      </w:pPr>
      <w:r w:rsidRPr="007F03F7">
        <w:rPr>
          <w:rFonts w:eastAsia="Times New Roman" w:cstheme="minorHAnsi"/>
          <w:lang w:eastAsia="ja-JP"/>
        </w:rPr>
        <w:t xml:space="preserve">The Children’s Amendment Act 2016, bans child marriage in the Gambia </w:t>
      </w:r>
      <w:r w:rsidRPr="007F03F7">
        <w:rPr>
          <w:rFonts w:cstheme="minorHAnsi"/>
        </w:rPr>
        <w:t>and the legal age of marriage is 18.</w:t>
      </w:r>
      <w:r w:rsidR="005260DD" w:rsidRPr="007F03F7">
        <w:rPr>
          <w:rStyle w:val="EndnoteReference"/>
          <w:rFonts w:cstheme="minorHAnsi"/>
        </w:rPr>
        <w:endnoteReference w:id="64"/>
      </w:r>
      <w:r w:rsidR="00D363EB" w:rsidRPr="007F03F7">
        <w:rPr>
          <w:rFonts w:cstheme="minorHAnsi"/>
        </w:rPr>
        <w:t xml:space="preserve"> </w:t>
      </w:r>
      <w:r w:rsidRPr="007F03F7">
        <w:rPr>
          <w:rFonts w:cstheme="minorHAnsi"/>
        </w:rPr>
        <w:t>However, in 2018, the Human Rights Committee recommended to The Gambia to strengthen the enforcement of the Children’s Amendment Act of 2016 and to enhance public awareness</w:t>
      </w:r>
      <w:r w:rsidR="00717DF4" w:rsidRPr="007F03F7">
        <w:rPr>
          <w:rFonts w:cstheme="minorHAnsi"/>
        </w:rPr>
        <w:t xml:space="preserve"> on this issue</w:t>
      </w:r>
      <w:r w:rsidRPr="007F03F7">
        <w:rPr>
          <w:rFonts w:cstheme="minorHAnsi"/>
        </w:rPr>
        <w:t>.</w:t>
      </w:r>
      <w:r w:rsidRPr="007F03F7">
        <w:rPr>
          <w:rStyle w:val="EndnoteReference"/>
          <w:rFonts w:cstheme="minorHAnsi"/>
        </w:rPr>
        <w:endnoteReference w:id="65"/>
      </w:r>
    </w:p>
    <w:p w14:paraId="282EDD29" w14:textId="77777777" w:rsidR="00D363EB" w:rsidRPr="007F03F7" w:rsidRDefault="00D363EB" w:rsidP="003B45B6">
      <w:pPr>
        <w:pStyle w:val="ListParagraph"/>
        <w:widowControl w:val="0"/>
        <w:tabs>
          <w:tab w:val="left" w:pos="840"/>
        </w:tabs>
        <w:autoSpaceDE w:val="0"/>
        <w:autoSpaceDN w:val="0"/>
        <w:spacing w:after="0" w:line="240" w:lineRule="auto"/>
        <w:ind w:left="1080" w:right="129"/>
        <w:contextualSpacing w:val="0"/>
        <w:jc w:val="both"/>
        <w:rPr>
          <w:rFonts w:cstheme="minorHAnsi"/>
        </w:rPr>
      </w:pPr>
    </w:p>
    <w:p w14:paraId="28E72318" w14:textId="77777777" w:rsidR="00D363EB" w:rsidRPr="007F03F7" w:rsidRDefault="007360D3" w:rsidP="003B45B6">
      <w:pPr>
        <w:pStyle w:val="ListParagraph"/>
        <w:numPr>
          <w:ilvl w:val="0"/>
          <w:numId w:val="10"/>
        </w:numPr>
        <w:spacing w:after="0" w:line="240" w:lineRule="auto"/>
        <w:jc w:val="both"/>
        <w:rPr>
          <w:rFonts w:cstheme="minorHAnsi"/>
          <w:b/>
          <w:color w:val="385623" w:themeColor="accent6" w:themeShade="80"/>
        </w:rPr>
      </w:pPr>
      <w:r w:rsidRPr="007F03F7">
        <w:rPr>
          <w:rFonts w:cstheme="minorHAnsi"/>
        </w:rPr>
        <w:t>Extraterritoriality is dealt under the CA and the Trafficking Act. Section 26(1) of the CA prohibits the crossing of national boundaries of children for exploitation in prostitution. Section 30 and 34 of the CA prohibit the trafficking and procurement of children for sex or prostitution in and any place outside Gambia. The Trafficking Act also sets out provisions with extraterritorial effect.</w:t>
      </w:r>
      <w:r w:rsidR="001F0F5A" w:rsidRPr="007F03F7">
        <w:rPr>
          <w:rStyle w:val="EndnoteReference"/>
          <w:rFonts w:cstheme="minorHAnsi"/>
        </w:rPr>
        <w:endnoteReference w:id="66"/>
      </w:r>
      <w:r w:rsidR="001F0F5A" w:rsidRPr="007F03F7">
        <w:rPr>
          <w:rFonts w:cstheme="minorHAnsi"/>
        </w:rPr>
        <w:t xml:space="preserve"> </w:t>
      </w:r>
    </w:p>
    <w:p w14:paraId="463A2836" w14:textId="77777777" w:rsidR="00D363EB" w:rsidRPr="007F03F7" w:rsidRDefault="00D363EB" w:rsidP="003B45B6">
      <w:pPr>
        <w:spacing w:line="240" w:lineRule="auto"/>
      </w:pPr>
    </w:p>
    <w:p w14:paraId="402566F3" w14:textId="77777777" w:rsidR="00A77A94" w:rsidRPr="007F03F7" w:rsidRDefault="00A77A94" w:rsidP="003B45B6">
      <w:pPr>
        <w:pStyle w:val="Heading1"/>
        <w:spacing w:line="240" w:lineRule="auto"/>
      </w:pPr>
      <w:bookmarkStart w:id="14" w:name="_Toc513554676"/>
      <w:bookmarkStart w:id="15" w:name="_Toc527017702"/>
      <w:bookmarkStart w:id="16" w:name="_Toc1119725"/>
      <w:bookmarkStart w:id="17" w:name="_Toc23520464"/>
      <w:r w:rsidRPr="007F03F7">
        <w:t xml:space="preserve">Prevention </w:t>
      </w:r>
      <w:bookmarkEnd w:id="14"/>
      <w:bookmarkEnd w:id="15"/>
      <w:bookmarkEnd w:id="16"/>
      <w:r w:rsidR="00625E31" w:rsidRPr="007F03F7">
        <w:t>of the rights of the child</w:t>
      </w:r>
      <w:bookmarkEnd w:id="17"/>
    </w:p>
    <w:p w14:paraId="75EB4F1E" w14:textId="77777777" w:rsidR="00A77A94" w:rsidRPr="007F03F7" w:rsidRDefault="00A77A94" w:rsidP="003B45B6">
      <w:pPr>
        <w:pStyle w:val="ListParagraph"/>
        <w:numPr>
          <w:ilvl w:val="0"/>
          <w:numId w:val="10"/>
        </w:numPr>
        <w:spacing w:afterLines="200" w:after="480" w:line="240" w:lineRule="auto"/>
        <w:jc w:val="both"/>
        <w:rPr>
          <w:rFonts w:cstheme="minorHAnsi"/>
        </w:rPr>
      </w:pPr>
      <w:r w:rsidRPr="007F03F7">
        <w:rPr>
          <w:rFonts w:cstheme="minorHAnsi"/>
        </w:rPr>
        <w:t xml:space="preserve">The DoSW set up training on </w:t>
      </w:r>
      <w:r w:rsidRPr="007F03F7">
        <w:rPr>
          <w:rFonts w:cstheme="minorHAnsi"/>
          <w:lang w:eastAsia="fr-FR"/>
        </w:rPr>
        <w:t>investigation and interv</w:t>
      </w:r>
      <w:r w:rsidR="00C83472" w:rsidRPr="007F03F7">
        <w:rPr>
          <w:rFonts w:cstheme="minorHAnsi"/>
          <w:lang w:eastAsia="fr-FR"/>
        </w:rPr>
        <w:t>iewing techniques on</w:t>
      </w:r>
      <w:r w:rsidRPr="007F03F7">
        <w:rPr>
          <w:rFonts w:cstheme="minorHAnsi"/>
          <w:lang w:eastAsia="fr-FR"/>
        </w:rPr>
        <w:t xml:space="preserve"> SEC for law enforcers.</w:t>
      </w:r>
      <w:r w:rsidRPr="007F03F7">
        <w:rPr>
          <w:rStyle w:val="EndnoteReference"/>
          <w:rFonts w:cstheme="minorHAnsi"/>
          <w:lang w:eastAsia="fr-FR"/>
        </w:rPr>
        <w:endnoteReference w:id="67"/>
      </w:r>
      <w:r w:rsidRPr="007F03F7">
        <w:rPr>
          <w:rFonts w:cstheme="minorHAnsi"/>
          <w:lang w:eastAsia="fr-FR"/>
        </w:rPr>
        <w:t xml:space="preserve"> The DoSW </w:t>
      </w:r>
      <w:r w:rsidR="00C83472" w:rsidRPr="007F03F7">
        <w:rPr>
          <w:rFonts w:cstheme="minorHAnsi"/>
          <w:lang w:eastAsia="fr-FR"/>
        </w:rPr>
        <w:t>in collaboration with CPA and UNICEF has</w:t>
      </w:r>
      <w:r w:rsidRPr="007F03F7">
        <w:rPr>
          <w:rFonts w:cstheme="minorHAnsi"/>
          <w:lang w:eastAsia="fr-FR"/>
        </w:rPr>
        <w:t xml:space="preserve"> established five </w:t>
      </w:r>
      <w:r w:rsidR="00C83472" w:rsidRPr="007F03F7">
        <w:rPr>
          <w:rFonts w:cstheme="minorHAnsi"/>
          <w:lang w:eastAsia="fr-FR"/>
        </w:rPr>
        <w:t>‘Neighborhood</w:t>
      </w:r>
      <w:r w:rsidRPr="007F03F7">
        <w:rPr>
          <w:rFonts w:cstheme="minorHAnsi"/>
          <w:lang w:eastAsia="fr-FR"/>
        </w:rPr>
        <w:t xml:space="preserve"> Watch Groups</w:t>
      </w:r>
      <w:r w:rsidR="00C83472" w:rsidRPr="007F03F7">
        <w:rPr>
          <w:rFonts w:cstheme="minorHAnsi"/>
          <w:lang w:eastAsia="fr-FR"/>
        </w:rPr>
        <w:t>’</w:t>
      </w:r>
      <w:r w:rsidRPr="007F03F7">
        <w:rPr>
          <w:rFonts w:cstheme="minorHAnsi"/>
          <w:lang w:eastAsia="fr-FR"/>
        </w:rPr>
        <w:t xml:space="preserve"> within the Tourism Development Area of Senegambia.</w:t>
      </w:r>
      <w:r w:rsidRPr="007F03F7">
        <w:rPr>
          <w:rStyle w:val="EndnoteReference"/>
          <w:rFonts w:cstheme="minorHAnsi"/>
          <w:lang w:eastAsia="fr-FR"/>
        </w:rPr>
        <w:endnoteReference w:id="68"/>
      </w:r>
    </w:p>
    <w:p w14:paraId="5F471FBE" w14:textId="77777777" w:rsidR="00D363EB" w:rsidRPr="007F03F7" w:rsidRDefault="00D363EB" w:rsidP="003B45B6">
      <w:pPr>
        <w:pStyle w:val="ListParagraph"/>
        <w:spacing w:afterLines="200" w:after="480" w:line="240" w:lineRule="auto"/>
        <w:ind w:left="1080"/>
        <w:jc w:val="both"/>
        <w:rPr>
          <w:rFonts w:cstheme="minorHAnsi"/>
        </w:rPr>
      </w:pPr>
    </w:p>
    <w:p w14:paraId="4699A0F4" w14:textId="77777777" w:rsidR="00A77A94" w:rsidRPr="007F03F7" w:rsidRDefault="00A77A94" w:rsidP="003B45B6">
      <w:pPr>
        <w:pStyle w:val="ListParagraph"/>
        <w:numPr>
          <w:ilvl w:val="0"/>
          <w:numId w:val="10"/>
        </w:numPr>
        <w:spacing w:after="0" w:line="240" w:lineRule="auto"/>
        <w:contextualSpacing w:val="0"/>
        <w:jc w:val="both"/>
        <w:rPr>
          <w:rFonts w:cstheme="minorHAnsi"/>
        </w:rPr>
      </w:pPr>
      <w:r w:rsidRPr="007F03F7">
        <w:rPr>
          <w:rFonts w:cstheme="minorHAnsi"/>
        </w:rPr>
        <w:t>C</w:t>
      </w:r>
      <w:r w:rsidRPr="007F03F7">
        <w:t xml:space="preserve">PA, DoSW, UNICEF and Child Fund trained Police Child Welfare Officers on child trafficking, CEFM and SEC. However, Police Child Welfare Officers emphasized their need for </w:t>
      </w:r>
      <w:r w:rsidR="00C83472" w:rsidRPr="007F03F7">
        <w:t xml:space="preserve">further </w:t>
      </w:r>
      <w:r w:rsidRPr="007F03F7">
        <w:t>child protection training, especially in local legislation and child interviewing.</w:t>
      </w:r>
      <w:r w:rsidRPr="007F03F7">
        <w:rPr>
          <w:rStyle w:val="EndnoteReference"/>
        </w:rPr>
        <w:endnoteReference w:id="69"/>
      </w:r>
      <w:r w:rsidR="00C83472" w:rsidRPr="007F03F7">
        <w:t xml:space="preserve"> NAATIP only had limited training</w:t>
      </w:r>
      <w:r w:rsidRPr="007F03F7">
        <w:t xml:space="preserve"> but </w:t>
      </w:r>
      <w:r w:rsidR="001F0F5A" w:rsidRPr="007F03F7">
        <w:rPr>
          <w:rFonts w:cstheme="minorHAnsi"/>
        </w:rPr>
        <w:t>conducts</w:t>
      </w:r>
      <w:r w:rsidR="00C83472" w:rsidRPr="007F03F7">
        <w:rPr>
          <w:rFonts w:cstheme="minorHAnsi"/>
        </w:rPr>
        <w:t xml:space="preserve"> sensitization</w:t>
      </w:r>
      <w:r w:rsidRPr="007F03F7">
        <w:rPr>
          <w:rFonts w:cstheme="minorHAnsi"/>
        </w:rPr>
        <w:t xml:space="preserve"> and community awareness campaigns on how to id</w:t>
      </w:r>
      <w:r w:rsidR="00C83472" w:rsidRPr="007F03F7">
        <w:rPr>
          <w:rFonts w:cstheme="minorHAnsi"/>
        </w:rPr>
        <w:t>entify and combat exploitation in trafficking.</w:t>
      </w:r>
      <w:r w:rsidRPr="007F03F7">
        <w:rPr>
          <w:vertAlign w:val="superscript"/>
          <w:lang w:eastAsia="fr-FR"/>
        </w:rPr>
        <w:endnoteReference w:id="70"/>
      </w:r>
      <w:r w:rsidRPr="007F03F7">
        <w:rPr>
          <w:rFonts w:cstheme="minorHAnsi"/>
          <w:vertAlign w:val="superscript"/>
          <w:lang w:eastAsia="fr-FR"/>
        </w:rPr>
        <w:t xml:space="preserve"> </w:t>
      </w:r>
    </w:p>
    <w:p w14:paraId="0EC07DD2" w14:textId="77777777" w:rsidR="00D363EB" w:rsidRPr="007F03F7" w:rsidRDefault="00D363EB" w:rsidP="003B45B6">
      <w:pPr>
        <w:spacing w:after="0" w:line="240" w:lineRule="auto"/>
        <w:jc w:val="both"/>
        <w:rPr>
          <w:rFonts w:cstheme="minorHAnsi"/>
        </w:rPr>
      </w:pPr>
    </w:p>
    <w:p w14:paraId="7D872EEC" w14:textId="78C85E2F" w:rsidR="00D363EB" w:rsidRPr="007F03F7" w:rsidRDefault="00A77A94" w:rsidP="003B45B6">
      <w:pPr>
        <w:pStyle w:val="ListParagraph"/>
        <w:numPr>
          <w:ilvl w:val="0"/>
          <w:numId w:val="10"/>
        </w:numPr>
        <w:spacing w:after="0" w:line="240" w:lineRule="auto"/>
        <w:contextualSpacing w:val="0"/>
        <w:jc w:val="both"/>
        <w:rPr>
          <w:rFonts w:cstheme="minorHAnsi"/>
        </w:rPr>
      </w:pPr>
      <w:r w:rsidRPr="007F03F7">
        <w:rPr>
          <w:rFonts w:cstheme="minorHAnsi"/>
          <w:lang w:eastAsia="fr-FR"/>
        </w:rPr>
        <w:t>The Gambia</w:t>
      </w:r>
      <w:r w:rsidRPr="007F03F7">
        <w:rPr>
          <w:rFonts w:cstheme="minorHAnsi"/>
        </w:rPr>
        <w:t xml:space="preserve"> Tourism Board organizes </w:t>
      </w:r>
      <w:r w:rsidR="00C83472" w:rsidRPr="007F03F7">
        <w:rPr>
          <w:rFonts w:cstheme="minorHAnsi"/>
        </w:rPr>
        <w:t>sensitization</w:t>
      </w:r>
      <w:r w:rsidRPr="007F03F7">
        <w:rPr>
          <w:rFonts w:cstheme="minorHAnsi"/>
        </w:rPr>
        <w:t xml:space="preserve"> and awareness campaigns on SECTT. In collaboration with the Law Enforcement Agencies, it organizes banners, bill</w:t>
      </w:r>
      <w:r w:rsidR="00C83472" w:rsidRPr="007F03F7">
        <w:rPr>
          <w:rFonts w:cstheme="minorHAnsi"/>
        </w:rPr>
        <w:t>boards and postings in</w:t>
      </w:r>
      <w:r w:rsidRPr="007F03F7">
        <w:rPr>
          <w:rFonts w:cstheme="minorHAnsi"/>
        </w:rPr>
        <w:t xml:space="preserve"> crucial areas (airports, hotels, and highways).</w:t>
      </w:r>
      <w:r w:rsidRPr="007F03F7">
        <w:rPr>
          <w:rStyle w:val="EndnoteReference"/>
          <w:rFonts w:cstheme="minorHAnsi"/>
        </w:rPr>
        <w:endnoteReference w:id="71"/>
      </w:r>
      <w:r w:rsidRPr="007F03F7">
        <w:rPr>
          <w:rFonts w:cstheme="minorHAnsi"/>
        </w:rPr>
        <w:t xml:space="preserve"> </w:t>
      </w:r>
    </w:p>
    <w:p w14:paraId="462015BC" w14:textId="77777777" w:rsidR="00D363EB" w:rsidRPr="007F03F7" w:rsidRDefault="00D363EB" w:rsidP="003B45B6">
      <w:pPr>
        <w:pStyle w:val="ListParagraph"/>
        <w:spacing w:after="0" w:line="240" w:lineRule="auto"/>
        <w:ind w:left="1080"/>
        <w:contextualSpacing w:val="0"/>
        <w:jc w:val="both"/>
        <w:rPr>
          <w:rFonts w:cstheme="minorHAnsi"/>
        </w:rPr>
      </w:pPr>
    </w:p>
    <w:p w14:paraId="57EEACD4" w14:textId="77777777" w:rsidR="00A77A94" w:rsidRPr="007F03F7" w:rsidRDefault="00A77A94" w:rsidP="003B45B6">
      <w:pPr>
        <w:pStyle w:val="ListParagraph"/>
        <w:numPr>
          <w:ilvl w:val="0"/>
          <w:numId w:val="10"/>
        </w:numPr>
        <w:spacing w:line="240" w:lineRule="auto"/>
        <w:jc w:val="both"/>
        <w:rPr>
          <w:rFonts w:cstheme="minorHAnsi"/>
        </w:rPr>
      </w:pPr>
      <w:r w:rsidRPr="007F03F7">
        <w:rPr>
          <w:rFonts w:cstheme="minorHAnsi"/>
        </w:rPr>
        <w:t xml:space="preserve">There are several policies in </w:t>
      </w:r>
      <w:r w:rsidR="001564AF" w:rsidRPr="007F03F7">
        <w:rPr>
          <w:rFonts w:cstheme="minorHAnsi"/>
        </w:rPr>
        <w:t>t</w:t>
      </w:r>
      <w:r w:rsidRPr="007F03F7">
        <w:rPr>
          <w:rFonts w:cstheme="minorHAnsi"/>
        </w:rPr>
        <w:t>he Gambia that seek to further participation of children and youth. The last revision of the National Youth Policy</w:t>
      </w:r>
      <w:r w:rsidR="00C83472" w:rsidRPr="007F03F7">
        <w:rPr>
          <w:rFonts w:cstheme="minorHAnsi"/>
        </w:rPr>
        <w:t xml:space="preserve"> was made in 2015 and</w:t>
      </w:r>
      <w:r w:rsidRPr="007F03F7">
        <w:rPr>
          <w:rFonts w:cstheme="minorHAnsi"/>
        </w:rPr>
        <w:t xml:space="preserve"> seeks to ensure the full engagement and participation of you</w:t>
      </w:r>
      <w:r w:rsidR="00C83472" w:rsidRPr="007F03F7">
        <w:rPr>
          <w:rFonts w:cstheme="minorHAnsi"/>
        </w:rPr>
        <w:t>th</w:t>
      </w:r>
      <w:r w:rsidRPr="007F03F7">
        <w:rPr>
          <w:rFonts w:cstheme="minorHAnsi"/>
        </w:rPr>
        <w:t>.</w:t>
      </w:r>
      <w:r w:rsidR="001E103B" w:rsidRPr="007F03F7">
        <w:rPr>
          <w:rStyle w:val="EndnoteReference"/>
          <w:rFonts w:cstheme="minorHAnsi"/>
        </w:rPr>
        <w:t xml:space="preserve"> </w:t>
      </w:r>
      <w:r w:rsidR="001E103B" w:rsidRPr="007F03F7">
        <w:rPr>
          <w:rStyle w:val="EndnoteReference"/>
          <w:rFonts w:cstheme="minorHAnsi"/>
        </w:rPr>
        <w:endnoteReference w:id="72"/>
      </w:r>
    </w:p>
    <w:p w14:paraId="7A69318E" w14:textId="77777777" w:rsidR="00D363EB" w:rsidRPr="007F03F7" w:rsidRDefault="00D363EB" w:rsidP="003B45B6">
      <w:pPr>
        <w:pStyle w:val="ListParagraph"/>
        <w:spacing w:line="240" w:lineRule="auto"/>
        <w:ind w:left="1080"/>
        <w:jc w:val="both"/>
        <w:rPr>
          <w:rFonts w:cstheme="minorHAnsi"/>
        </w:rPr>
      </w:pPr>
    </w:p>
    <w:p w14:paraId="309F0E0C" w14:textId="311E5BB9" w:rsidR="00A77A94" w:rsidRPr="007F03F7" w:rsidRDefault="00A77A94" w:rsidP="003B45B6">
      <w:pPr>
        <w:pStyle w:val="ListParagraph"/>
        <w:numPr>
          <w:ilvl w:val="0"/>
          <w:numId w:val="10"/>
        </w:numPr>
        <w:spacing w:after="200" w:line="240" w:lineRule="auto"/>
        <w:contextualSpacing w:val="0"/>
        <w:jc w:val="both"/>
        <w:rPr>
          <w:rFonts w:cstheme="minorHAnsi"/>
        </w:rPr>
      </w:pPr>
      <w:r w:rsidRPr="007F03F7">
        <w:rPr>
          <w:rFonts w:cstheme="minorHAnsi"/>
        </w:rPr>
        <w:t>Thus far, child and youth participation in the planning and implementation of protection against SEC has occurred mainly within the activities provided by CPA.</w:t>
      </w:r>
      <w:r w:rsidR="003B45B6">
        <w:rPr>
          <w:rFonts w:cstheme="minorHAnsi"/>
        </w:rPr>
        <w:t xml:space="preserve"> The organisation</w:t>
      </w:r>
      <w:r w:rsidR="00007AB7" w:rsidRPr="007F03F7">
        <w:rPr>
          <w:rFonts w:cstheme="minorHAnsi"/>
        </w:rPr>
        <w:t xml:space="preserve"> is </w:t>
      </w:r>
      <w:r w:rsidRPr="007F03F7">
        <w:rPr>
          <w:rFonts w:cstheme="minorHAnsi"/>
        </w:rPr>
        <w:t xml:space="preserve">active in encouraging and enabling child and youth participation. </w:t>
      </w:r>
      <w:r w:rsidR="00C83472" w:rsidRPr="007F03F7">
        <w:rPr>
          <w:rFonts w:cstheme="minorHAnsi"/>
        </w:rPr>
        <w:t>The CPA has</w:t>
      </w:r>
      <w:r w:rsidRPr="007F03F7">
        <w:rPr>
          <w:rFonts w:cstheme="minorHAnsi"/>
        </w:rPr>
        <w:t xml:space="preserve"> established </w:t>
      </w:r>
      <w:r w:rsidR="008B0CE6" w:rsidRPr="007F03F7">
        <w:rPr>
          <w:rFonts w:cstheme="minorHAnsi"/>
        </w:rPr>
        <w:t>Community Child Protection Committees</w:t>
      </w:r>
      <w:r w:rsidRPr="007F03F7">
        <w:rPr>
          <w:rFonts w:cstheme="minorHAnsi"/>
        </w:rPr>
        <w:t xml:space="preserve">, </w:t>
      </w:r>
      <w:r w:rsidR="008B0CE6" w:rsidRPr="007F03F7">
        <w:rPr>
          <w:rFonts w:cstheme="minorHAnsi"/>
        </w:rPr>
        <w:t>and has conducted many</w:t>
      </w:r>
      <w:r w:rsidRPr="007F03F7">
        <w:rPr>
          <w:rFonts w:cstheme="minorHAnsi"/>
        </w:rPr>
        <w:t xml:space="preserve"> inter-</w:t>
      </w:r>
      <w:r w:rsidR="00EA798B" w:rsidRPr="007F03F7">
        <w:rPr>
          <w:rFonts w:cstheme="minorHAnsi"/>
        </w:rPr>
        <w:t>organizational</w:t>
      </w:r>
      <w:r w:rsidRPr="007F03F7">
        <w:rPr>
          <w:rFonts w:cstheme="minorHAnsi"/>
        </w:rPr>
        <w:t xml:space="preserve"> activities.</w:t>
      </w:r>
      <w:r w:rsidR="00BF2EA6" w:rsidRPr="007F03F7">
        <w:rPr>
          <w:rStyle w:val="EndnoteReference"/>
          <w:rFonts w:cstheme="minorHAnsi"/>
        </w:rPr>
        <w:endnoteReference w:id="73"/>
      </w:r>
      <w:r w:rsidRPr="007F03F7">
        <w:rPr>
          <w:rFonts w:cstheme="minorHAnsi"/>
        </w:rPr>
        <w:t xml:space="preserve"> Voice of the Young, a child-led advocacy group formed by CPA, is very active in social </w:t>
      </w:r>
      <w:r w:rsidR="00EA798B" w:rsidRPr="007F03F7">
        <w:rPr>
          <w:rFonts w:cstheme="minorHAnsi"/>
        </w:rPr>
        <w:t>mobilization</w:t>
      </w:r>
      <w:r w:rsidRPr="007F03F7">
        <w:rPr>
          <w:rFonts w:cstheme="minorHAnsi"/>
        </w:rPr>
        <w:t xml:space="preserve"> and capacity buildin</w:t>
      </w:r>
      <w:r w:rsidR="00C83472" w:rsidRPr="007F03F7">
        <w:rPr>
          <w:rFonts w:cstheme="minorHAnsi"/>
        </w:rPr>
        <w:t>g. Voice of the Young clubs</w:t>
      </w:r>
      <w:r w:rsidRPr="007F03F7">
        <w:rPr>
          <w:rFonts w:cstheme="minorHAnsi"/>
        </w:rPr>
        <w:t xml:space="preserve"> i</w:t>
      </w:r>
      <w:r w:rsidR="00C83472" w:rsidRPr="007F03F7">
        <w:rPr>
          <w:rFonts w:cstheme="minorHAnsi"/>
        </w:rPr>
        <w:t xml:space="preserve">n collaboration with schools </w:t>
      </w:r>
      <w:r w:rsidRPr="007F03F7">
        <w:rPr>
          <w:rFonts w:cstheme="minorHAnsi"/>
        </w:rPr>
        <w:t>raise</w:t>
      </w:r>
      <w:r w:rsidR="00C83472" w:rsidRPr="007F03F7">
        <w:rPr>
          <w:rFonts w:cstheme="minorHAnsi"/>
        </w:rPr>
        <w:t>s</w:t>
      </w:r>
      <w:r w:rsidRPr="007F03F7">
        <w:rPr>
          <w:rFonts w:cstheme="minorHAnsi"/>
        </w:rPr>
        <w:t xml:space="preserve"> awareness of child protection issues in their local areas, to make schools a safe place for children and to enhance the participation of children in school management and community </w:t>
      </w:r>
      <w:r w:rsidR="00C83472" w:rsidRPr="007F03F7">
        <w:rPr>
          <w:rFonts w:cstheme="minorHAnsi"/>
        </w:rPr>
        <w:t>development.</w:t>
      </w:r>
      <w:r w:rsidRPr="007F03F7">
        <w:rPr>
          <w:rFonts w:cstheme="minorHAnsi"/>
        </w:rPr>
        <w:t xml:space="preserve"> </w:t>
      </w:r>
      <w:r w:rsidR="00375F15" w:rsidRPr="007F03F7">
        <w:rPr>
          <w:rStyle w:val="EndnoteReference"/>
          <w:rFonts w:cstheme="minorHAnsi"/>
        </w:rPr>
        <w:endnoteReference w:id="74"/>
      </w:r>
    </w:p>
    <w:p w14:paraId="60EAA6C4" w14:textId="77777777" w:rsidR="00A77A94" w:rsidRPr="007F03F7" w:rsidRDefault="00A77A94" w:rsidP="003B45B6">
      <w:pPr>
        <w:pStyle w:val="Heading1"/>
        <w:spacing w:line="240" w:lineRule="auto"/>
      </w:pPr>
      <w:bookmarkStart w:id="18" w:name="_Toc23520465"/>
      <w:bookmarkStart w:id="19" w:name="_Toc516673137"/>
      <w:bookmarkStart w:id="20" w:name="_Toc527017704"/>
      <w:bookmarkStart w:id="21" w:name="_Toc1119731"/>
      <w:r w:rsidRPr="007F03F7">
        <w:t>Protection of the rights of the child</w:t>
      </w:r>
      <w:bookmarkEnd w:id="18"/>
      <w:r w:rsidRPr="007F03F7">
        <w:t xml:space="preserve"> </w:t>
      </w:r>
      <w:bookmarkEnd w:id="19"/>
      <w:bookmarkEnd w:id="20"/>
      <w:bookmarkEnd w:id="21"/>
    </w:p>
    <w:p w14:paraId="250CA730" w14:textId="77777777" w:rsidR="00A77A94" w:rsidRPr="007F03F7" w:rsidRDefault="00A77A94" w:rsidP="003B45B6">
      <w:pPr>
        <w:pStyle w:val="ListParagraph"/>
        <w:numPr>
          <w:ilvl w:val="0"/>
          <w:numId w:val="10"/>
        </w:numPr>
        <w:spacing w:after="0" w:line="240" w:lineRule="auto"/>
        <w:contextualSpacing w:val="0"/>
        <w:jc w:val="both"/>
        <w:rPr>
          <w:rFonts w:cstheme="minorHAnsi"/>
        </w:rPr>
      </w:pPr>
      <w:r w:rsidRPr="007F03F7">
        <w:rPr>
          <w:rFonts w:cstheme="minorHAnsi"/>
        </w:rPr>
        <w:t>The DoSW and the Police Child Welfare are responsible for receiving and investigating individual complaints of violation of the rights of children.</w:t>
      </w:r>
    </w:p>
    <w:p w14:paraId="7176AB2F" w14:textId="77777777" w:rsidR="00D363EB" w:rsidRPr="007F03F7" w:rsidRDefault="00D363EB" w:rsidP="003B45B6">
      <w:pPr>
        <w:pStyle w:val="ListParagraph"/>
        <w:spacing w:after="0" w:line="240" w:lineRule="auto"/>
        <w:ind w:left="1080"/>
        <w:contextualSpacing w:val="0"/>
        <w:jc w:val="both"/>
        <w:rPr>
          <w:rFonts w:cstheme="minorHAnsi"/>
        </w:rPr>
      </w:pPr>
    </w:p>
    <w:p w14:paraId="7092269A" w14:textId="77777777" w:rsidR="00A77A94" w:rsidRPr="007F03F7" w:rsidRDefault="00A77A94" w:rsidP="003B45B6">
      <w:pPr>
        <w:pStyle w:val="ListParagraph"/>
        <w:widowControl w:val="0"/>
        <w:numPr>
          <w:ilvl w:val="0"/>
          <w:numId w:val="10"/>
        </w:numPr>
        <w:tabs>
          <w:tab w:val="left" w:pos="840"/>
        </w:tabs>
        <w:autoSpaceDE w:val="0"/>
        <w:autoSpaceDN w:val="0"/>
        <w:spacing w:after="0" w:line="240" w:lineRule="auto"/>
        <w:ind w:right="129"/>
        <w:contextualSpacing w:val="0"/>
        <w:jc w:val="both"/>
        <w:rPr>
          <w:rFonts w:cstheme="minorHAnsi"/>
        </w:rPr>
      </w:pPr>
      <w:r w:rsidRPr="007F03F7">
        <w:rPr>
          <w:rFonts w:cstheme="minorHAnsi"/>
        </w:rPr>
        <w:t>During the country’s last UPR, Portugal recommended the GoG to ratify the Optional Protocol to the Convention on the Rights of the Child on a communications procedure.</w:t>
      </w:r>
      <w:r w:rsidRPr="007F03F7">
        <w:rPr>
          <w:rStyle w:val="EndnoteReference"/>
          <w:rFonts w:cstheme="minorHAnsi"/>
        </w:rPr>
        <w:endnoteReference w:id="75"/>
      </w:r>
      <w:r w:rsidRPr="007F03F7">
        <w:rPr>
          <w:rFonts w:cstheme="minorHAnsi"/>
        </w:rPr>
        <w:t xml:space="preserve"> To date, the GoG has not done so.</w:t>
      </w:r>
    </w:p>
    <w:p w14:paraId="31DFDDF4" w14:textId="77777777" w:rsidR="00D363EB" w:rsidRPr="007F03F7" w:rsidRDefault="00D363EB" w:rsidP="003B45B6">
      <w:pPr>
        <w:widowControl w:val="0"/>
        <w:tabs>
          <w:tab w:val="left" w:pos="840"/>
        </w:tabs>
        <w:autoSpaceDE w:val="0"/>
        <w:autoSpaceDN w:val="0"/>
        <w:spacing w:after="0" w:line="240" w:lineRule="auto"/>
        <w:ind w:right="129"/>
        <w:jc w:val="both"/>
        <w:rPr>
          <w:rFonts w:cstheme="minorHAnsi"/>
        </w:rPr>
      </w:pPr>
    </w:p>
    <w:p w14:paraId="7452A4CA" w14:textId="77777777" w:rsidR="00A77A94" w:rsidRPr="007F03F7" w:rsidRDefault="00A77A94" w:rsidP="003B45B6">
      <w:pPr>
        <w:pStyle w:val="ListParagraph"/>
        <w:numPr>
          <w:ilvl w:val="0"/>
          <w:numId w:val="10"/>
        </w:numPr>
        <w:spacing w:after="0" w:line="240" w:lineRule="auto"/>
        <w:contextualSpacing w:val="0"/>
        <w:jc w:val="both"/>
        <w:rPr>
          <w:rFonts w:cstheme="minorHAnsi"/>
        </w:rPr>
      </w:pPr>
      <w:r w:rsidRPr="007F03F7">
        <w:rPr>
          <w:rFonts w:cstheme="minorHAnsi"/>
        </w:rPr>
        <w:t>Recovery and reintegration servic</w:t>
      </w:r>
      <w:r w:rsidR="001F0F5A" w:rsidRPr="007F03F7">
        <w:rPr>
          <w:rFonts w:cstheme="minorHAnsi"/>
        </w:rPr>
        <w:t>es for SEC victims are rare in t</w:t>
      </w:r>
      <w:r w:rsidRPr="007F03F7">
        <w:rPr>
          <w:rFonts w:cstheme="minorHAnsi"/>
        </w:rPr>
        <w:t>he Gambia. The Child and Environmental Development Association – The Gambia does provide some limited assistance in the process of re-integration of trafficked children to their families and communities within the ‘Children on the Move’ project of the West African Network.</w:t>
      </w:r>
      <w:r w:rsidRPr="007F03F7">
        <w:rPr>
          <w:rStyle w:val="EndnoteReference"/>
          <w:rFonts w:cstheme="minorHAnsi"/>
        </w:rPr>
        <w:endnoteReference w:id="76"/>
      </w:r>
      <w:r w:rsidRPr="007F03F7">
        <w:rPr>
          <w:rFonts w:cstheme="minorHAnsi"/>
        </w:rPr>
        <w:t xml:space="preserve"> However, this service is only available to victims of trafficking and does not assist those who are victims of other manifestations of SEC.</w:t>
      </w:r>
    </w:p>
    <w:p w14:paraId="2188E0B5" w14:textId="77777777" w:rsidR="00D363EB" w:rsidRPr="007F03F7" w:rsidRDefault="00D363EB" w:rsidP="003B45B6">
      <w:pPr>
        <w:spacing w:after="0" w:line="240" w:lineRule="auto"/>
        <w:jc w:val="both"/>
        <w:rPr>
          <w:rFonts w:cstheme="minorHAnsi"/>
        </w:rPr>
      </w:pPr>
    </w:p>
    <w:p w14:paraId="1B213508" w14:textId="77777777" w:rsidR="00A77A94" w:rsidRPr="007F03F7" w:rsidRDefault="00A77A94" w:rsidP="003B45B6">
      <w:pPr>
        <w:pStyle w:val="ListParagraph"/>
        <w:numPr>
          <w:ilvl w:val="0"/>
          <w:numId w:val="10"/>
        </w:numPr>
        <w:spacing w:after="0" w:line="240" w:lineRule="auto"/>
        <w:contextualSpacing w:val="0"/>
        <w:jc w:val="both"/>
        <w:rPr>
          <w:rFonts w:cstheme="minorHAnsi"/>
        </w:rPr>
      </w:pPr>
      <w:r w:rsidRPr="007F03F7">
        <w:rPr>
          <w:rFonts w:cstheme="minorHAnsi"/>
        </w:rPr>
        <w:t>The DoSW is the body responsible for the protection and support of trafficking victims</w:t>
      </w:r>
      <w:r w:rsidRPr="007F03F7">
        <w:rPr>
          <w:rStyle w:val="EndnoteReference"/>
          <w:rFonts w:cstheme="minorHAnsi"/>
        </w:rPr>
        <w:endnoteReference w:id="77"/>
      </w:r>
      <w:r w:rsidRPr="007F03F7">
        <w:rPr>
          <w:rFonts w:cstheme="minorHAnsi"/>
        </w:rPr>
        <w:t xml:space="preserve"> and Section 45 of the Trafficking in Persons Act outlines how trafficking victims should be treated.</w:t>
      </w:r>
      <w:r w:rsidR="001F0F5A" w:rsidRPr="007F03F7">
        <w:rPr>
          <w:rStyle w:val="EndnoteReference"/>
          <w:rFonts w:cstheme="minorHAnsi"/>
        </w:rPr>
        <w:endnoteReference w:id="78"/>
      </w:r>
      <w:r w:rsidR="001F0F5A" w:rsidRPr="007F03F7">
        <w:rPr>
          <w:rFonts w:cstheme="minorHAnsi"/>
        </w:rPr>
        <w:t xml:space="preserve"> </w:t>
      </w:r>
      <w:r w:rsidRPr="007F03F7">
        <w:rPr>
          <w:rFonts w:cstheme="minorHAnsi"/>
        </w:rPr>
        <w:t>However, there are only a couple of examples where victims have been granted temporary residence visas for assisting authorities and in 2015, the CEDAW Committee recommended to The Gambia to better protect victims of SEC by providing free legal and psychological support, compensation, assistance and rehabilitation to them.</w:t>
      </w:r>
      <w:r w:rsidRPr="007F03F7">
        <w:rPr>
          <w:rStyle w:val="EndnoteReference"/>
          <w:rFonts w:cstheme="minorHAnsi"/>
        </w:rPr>
        <w:endnoteReference w:id="79"/>
      </w:r>
      <w:r w:rsidRPr="007F03F7">
        <w:rPr>
          <w:rFonts w:cstheme="minorHAnsi"/>
        </w:rPr>
        <w:t xml:space="preserve"> In 2015, the Committee on Economic, Social and Cultural Rights also urged The Gambia to provide protection and rehabilitation services to victims of sexual exploitation and to prosecute offenders.</w:t>
      </w:r>
      <w:r w:rsidRPr="007F03F7">
        <w:rPr>
          <w:rStyle w:val="EndnoteReference"/>
          <w:rFonts w:cstheme="minorHAnsi"/>
        </w:rPr>
        <w:endnoteReference w:id="80"/>
      </w:r>
    </w:p>
    <w:p w14:paraId="63FC2D00" w14:textId="77777777" w:rsidR="00D363EB" w:rsidRPr="007F03F7" w:rsidRDefault="00D363EB" w:rsidP="003B45B6">
      <w:pPr>
        <w:spacing w:after="0" w:line="240" w:lineRule="auto"/>
        <w:jc w:val="both"/>
        <w:rPr>
          <w:rFonts w:cstheme="minorHAnsi"/>
        </w:rPr>
      </w:pPr>
    </w:p>
    <w:p w14:paraId="5C574293" w14:textId="77777777" w:rsidR="00A77A94" w:rsidRPr="007F03F7" w:rsidRDefault="00A77A94" w:rsidP="003B45B6">
      <w:pPr>
        <w:pStyle w:val="ListParagraph"/>
        <w:numPr>
          <w:ilvl w:val="0"/>
          <w:numId w:val="10"/>
        </w:numPr>
        <w:spacing w:after="0" w:line="240" w:lineRule="auto"/>
        <w:contextualSpacing w:val="0"/>
        <w:jc w:val="both"/>
        <w:rPr>
          <w:rStyle w:val="A8"/>
          <w:rFonts w:cstheme="minorHAnsi"/>
        </w:rPr>
      </w:pPr>
      <w:r w:rsidRPr="007F03F7">
        <w:rPr>
          <w:rFonts w:cstheme="minorHAnsi"/>
        </w:rPr>
        <w:t>The Trafficking Act establishes a Fund for Victims of Trafficking and outlines how funds should be allocated.</w:t>
      </w:r>
      <w:r w:rsidRPr="007F03F7">
        <w:rPr>
          <w:rStyle w:val="EndnoteReference"/>
          <w:rFonts w:cstheme="minorHAnsi"/>
        </w:rPr>
        <w:endnoteReference w:id="81"/>
      </w:r>
      <w:r w:rsidRPr="007F03F7">
        <w:rPr>
          <w:rFonts w:cstheme="minorHAnsi"/>
        </w:rPr>
        <w:t xml:space="preserve"> However, thus far the financial support from the government to NAATIP has generally only been used for operation and programme costs. The Trafficking Act also states that a person convicted of trafficking may be ordered by the court to pay compensation to the victim.</w:t>
      </w:r>
      <w:r w:rsidRPr="007F03F7">
        <w:rPr>
          <w:rStyle w:val="EndnoteReference"/>
          <w:rFonts w:cstheme="minorHAnsi"/>
        </w:rPr>
        <w:endnoteReference w:id="82"/>
      </w:r>
      <w:r w:rsidRPr="007F03F7">
        <w:rPr>
          <w:rStyle w:val="A8"/>
          <w:rFonts w:cstheme="minorHAnsi"/>
        </w:rPr>
        <w:t xml:space="preserve"> There is no information available whether this has happened in court proceedings. </w:t>
      </w:r>
    </w:p>
    <w:p w14:paraId="7367FC61" w14:textId="77777777" w:rsidR="00625E31" w:rsidRPr="007F03F7" w:rsidRDefault="00625E31">
      <w:pPr>
        <w:spacing w:line="240" w:lineRule="auto"/>
        <w:rPr>
          <w:sz w:val="20"/>
          <w:szCs w:val="20"/>
        </w:rPr>
      </w:pPr>
    </w:p>
    <w:p w14:paraId="7749FCB6" w14:textId="77777777" w:rsidR="005A24D9" w:rsidRPr="007F03F7" w:rsidRDefault="00297ADF" w:rsidP="003B45B6">
      <w:pPr>
        <w:spacing w:line="240" w:lineRule="auto"/>
        <w:rPr>
          <w:b/>
          <w:bCs/>
          <w:u w:val="single"/>
        </w:rPr>
      </w:pPr>
      <w:r w:rsidRPr="007F03F7">
        <w:rPr>
          <w:b/>
          <w:bCs/>
          <w:u w:val="single"/>
        </w:rPr>
        <w:t>List of suggested issues</w:t>
      </w:r>
      <w:r w:rsidR="001F0F5A" w:rsidRPr="007F03F7">
        <w:rPr>
          <w:b/>
          <w:bCs/>
          <w:u w:val="single"/>
        </w:rPr>
        <w:t xml:space="preserve"> to</w:t>
      </w:r>
      <w:r w:rsidRPr="007F03F7">
        <w:rPr>
          <w:b/>
          <w:bCs/>
          <w:u w:val="single"/>
        </w:rPr>
        <w:t xml:space="preserve"> be presented to</w:t>
      </w:r>
      <w:r w:rsidR="001F0F5A" w:rsidRPr="007F03F7">
        <w:rPr>
          <w:b/>
          <w:bCs/>
          <w:u w:val="single"/>
        </w:rPr>
        <w:t xml:space="preserve"> the government of Gambia</w:t>
      </w:r>
    </w:p>
    <w:p w14:paraId="6C70CC79" w14:textId="77777777" w:rsidR="005A24D9" w:rsidRPr="007F03F7" w:rsidRDefault="005A24D9" w:rsidP="003B45B6">
      <w:pPr>
        <w:pStyle w:val="ListParagraph"/>
        <w:numPr>
          <w:ilvl w:val="0"/>
          <w:numId w:val="5"/>
        </w:numPr>
        <w:shd w:val="clear" w:color="auto" w:fill="E7E6E6" w:themeFill="background2"/>
        <w:spacing w:line="240" w:lineRule="auto"/>
      </w:pPr>
      <w:r w:rsidRPr="007F03F7">
        <w:t xml:space="preserve">What are the implementation strategies in place to strengthen the enforcement of the Children’s </w:t>
      </w:r>
      <w:r w:rsidR="003A1E85" w:rsidRPr="007F03F7">
        <w:t>(</w:t>
      </w:r>
      <w:r w:rsidRPr="007F03F7">
        <w:t>Amendment</w:t>
      </w:r>
      <w:r w:rsidR="003A1E85" w:rsidRPr="007F03F7">
        <w:t>) Act</w:t>
      </w:r>
      <w:r w:rsidRPr="007F03F7">
        <w:t xml:space="preserve"> 2016</w:t>
      </w:r>
      <w:r w:rsidR="00664F34" w:rsidRPr="007F03F7">
        <w:t xml:space="preserve"> and the Tourism Offences Act 2003</w:t>
      </w:r>
      <w:r w:rsidRPr="007F03F7">
        <w:t>?</w:t>
      </w:r>
    </w:p>
    <w:p w14:paraId="3E612FA0" w14:textId="77777777" w:rsidR="005A24D9" w:rsidRPr="007F03F7" w:rsidRDefault="005A24D9" w:rsidP="003B45B6">
      <w:pPr>
        <w:pStyle w:val="ListParagraph"/>
        <w:numPr>
          <w:ilvl w:val="0"/>
          <w:numId w:val="5"/>
        </w:numPr>
        <w:shd w:val="clear" w:color="auto" w:fill="E7E6E6" w:themeFill="background2"/>
        <w:spacing w:line="240" w:lineRule="auto"/>
      </w:pPr>
      <w:r w:rsidRPr="007F03F7">
        <w:t>What measures have been taken to criminalize all forms of online child sexual exploitation, including ‘grooming’ of children for sexual purposes?</w:t>
      </w:r>
    </w:p>
    <w:p w14:paraId="316CD5BB" w14:textId="77777777" w:rsidR="005A24D9" w:rsidRPr="007F03F7" w:rsidRDefault="005A24D9" w:rsidP="003B45B6">
      <w:pPr>
        <w:pStyle w:val="ListParagraph"/>
        <w:numPr>
          <w:ilvl w:val="0"/>
          <w:numId w:val="5"/>
        </w:numPr>
        <w:shd w:val="clear" w:color="auto" w:fill="E7E6E6" w:themeFill="background2"/>
        <w:spacing w:line="240" w:lineRule="auto"/>
      </w:pPr>
      <w:r w:rsidRPr="007F03F7">
        <w:t>What measures have been taken to amend the children’s Act 2005 to incorporate the definition of child sexual abuse material in its entirety as provided in OPSC?</w:t>
      </w:r>
    </w:p>
    <w:p w14:paraId="37504126" w14:textId="77777777" w:rsidR="005A24D9" w:rsidRPr="007F03F7" w:rsidRDefault="005A24D9" w:rsidP="003B45B6">
      <w:pPr>
        <w:pStyle w:val="ListParagraph"/>
        <w:numPr>
          <w:ilvl w:val="0"/>
          <w:numId w:val="5"/>
        </w:numPr>
        <w:shd w:val="clear" w:color="auto" w:fill="E7E6E6" w:themeFill="background2"/>
        <w:spacing w:line="240" w:lineRule="auto"/>
      </w:pPr>
      <w:r w:rsidRPr="007F03F7">
        <w:t>What steps have been taken to improve relations with the neighboring countries on child trafficking?</w:t>
      </w:r>
    </w:p>
    <w:p w14:paraId="1CE01CF5" w14:textId="77777777" w:rsidR="005A24D9" w:rsidRPr="007F03F7" w:rsidRDefault="005A24D9" w:rsidP="003B45B6">
      <w:pPr>
        <w:pStyle w:val="ListParagraph"/>
        <w:numPr>
          <w:ilvl w:val="0"/>
          <w:numId w:val="5"/>
        </w:numPr>
        <w:shd w:val="clear" w:color="auto" w:fill="E7E6E6" w:themeFill="background2"/>
        <w:spacing w:line="240" w:lineRule="auto"/>
      </w:pPr>
      <w:r w:rsidRPr="007F03F7">
        <w:t xml:space="preserve"> What are the statistical data on sexual exploitation of children annually disaggregated by manifestation, age and gender of the victim?</w:t>
      </w:r>
    </w:p>
    <w:p w14:paraId="5CC3A7C9" w14:textId="77777777" w:rsidR="005A24D9" w:rsidRPr="007F03F7" w:rsidRDefault="005A24D9" w:rsidP="003B45B6">
      <w:pPr>
        <w:pStyle w:val="ListParagraph"/>
        <w:numPr>
          <w:ilvl w:val="0"/>
          <w:numId w:val="5"/>
        </w:numPr>
        <w:shd w:val="clear" w:color="auto" w:fill="E7E6E6" w:themeFill="background2"/>
        <w:spacing w:line="240" w:lineRule="auto"/>
      </w:pPr>
      <w:r w:rsidRPr="007F03F7">
        <w:t>What are the steps taken to adopt a national action plan addressing all manifestations of sexual exploitation of children?</w:t>
      </w:r>
    </w:p>
    <w:p w14:paraId="5908C07B" w14:textId="77777777" w:rsidR="005A24D9" w:rsidRPr="007F03F7" w:rsidRDefault="005A24D9" w:rsidP="003B45B6">
      <w:pPr>
        <w:pStyle w:val="ListParagraph"/>
        <w:numPr>
          <w:ilvl w:val="0"/>
          <w:numId w:val="5"/>
        </w:numPr>
        <w:shd w:val="clear" w:color="auto" w:fill="E7E6E6" w:themeFill="background2"/>
        <w:spacing w:line="240" w:lineRule="auto"/>
      </w:pPr>
      <w:r w:rsidRPr="007F03F7">
        <w:t xml:space="preserve">What are the steps taken to implement a dedicated coordination body on sexual exploitation of children and strengthen the coordination and cooperation between child protection stakeholders? </w:t>
      </w:r>
    </w:p>
    <w:p w14:paraId="3FCD0F31" w14:textId="77777777" w:rsidR="005A24D9" w:rsidRPr="007F03F7" w:rsidRDefault="005A24D9" w:rsidP="003B45B6">
      <w:pPr>
        <w:pStyle w:val="ListParagraph"/>
        <w:numPr>
          <w:ilvl w:val="0"/>
          <w:numId w:val="5"/>
        </w:numPr>
        <w:shd w:val="clear" w:color="auto" w:fill="E7E6E6" w:themeFill="background2"/>
        <w:spacing w:line="240" w:lineRule="auto"/>
      </w:pPr>
      <w:r w:rsidRPr="007F03F7">
        <w:t>What are the awareness initiatives for on all manifestations of the sexual exploitation of children?</w:t>
      </w:r>
    </w:p>
    <w:p w14:paraId="38CCA2D8" w14:textId="77777777" w:rsidR="005A24D9" w:rsidRPr="007F03F7" w:rsidRDefault="005A24D9" w:rsidP="003B45B6">
      <w:pPr>
        <w:pStyle w:val="ListParagraph"/>
        <w:numPr>
          <w:ilvl w:val="0"/>
          <w:numId w:val="5"/>
        </w:numPr>
        <w:shd w:val="clear" w:color="auto" w:fill="E7E6E6" w:themeFill="background2"/>
        <w:spacing w:line="240" w:lineRule="auto"/>
      </w:pPr>
      <w:r w:rsidRPr="007F03F7">
        <w:t>What are the steps taken to ensure the effective and efficient functioning of shelters for children victims of SEC?</w:t>
      </w:r>
    </w:p>
    <w:p w14:paraId="1D8FFC5B" w14:textId="77777777" w:rsidR="005A24D9" w:rsidRPr="007F03F7" w:rsidRDefault="005A24D9" w:rsidP="003B45B6">
      <w:pPr>
        <w:pStyle w:val="ListParagraph"/>
        <w:numPr>
          <w:ilvl w:val="0"/>
          <w:numId w:val="5"/>
        </w:numPr>
        <w:shd w:val="clear" w:color="auto" w:fill="E7E6E6" w:themeFill="background2"/>
        <w:spacing w:line="240" w:lineRule="auto"/>
      </w:pPr>
      <w:r w:rsidRPr="007F03F7">
        <w:t>What are the steps taken to ensure that the law agencies</w:t>
      </w:r>
      <w:r w:rsidR="00664F34" w:rsidRPr="007F03F7">
        <w:t xml:space="preserve"> and child protection organs (e.g the Department of Social Welfare and NAATIP)</w:t>
      </w:r>
      <w:r w:rsidRPr="007F03F7">
        <w:t xml:space="preserve"> have the funds, resources and skills to respond to sexual exploitation of children?</w:t>
      </w:r>
    </w:p>
    <w:p w14:paraId="37D0F844" w14:textId="77777777" w:rsidR="005A24D9" w:rsidRPr="007F03F7" w:rsidRDefault="005A24D9" w:rsidP="005A24D9"/>
    <w:sectPr w:rsidR="005A24D9" w:rsidRPr="007F03F7" w:rsidSect="00EC4689">
      <w:footerReference w:type="default" r:id="rId14"/>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54E86" w14:textId="77777777" w:rsidR="00853AA3" w:rsidRDefault="00853AA3" w:rsidP="009A0045">
      <w:pPr>
        <w:spacing w:after="0" w:line="240" w:lineRule="auto"/>
      </w:pPr>
      <w:r>
        <w:separator/>
      </w:r>
    </w:p>
  </w:endnote>
  <w:endnote w:type="continuationSeparator" w:id="0">
    <w:p w14:paraId="213215C9" w14:textId="77777777" w:rsidR="00853AA3" w:rsidRDefault="00853AA3" w:rsidP="009A0045">
      <w:pPr>
        <w:spacing w:after="0" w:line="240" w:lineRule="auto"/>
      </w:pPr>
      <w:r>
        <w:continuationSeparator/>
      </w:r>
    </w:p>
  </w:endnote>
  <w:endnote w:id="1">
    <w:p w14:paraId="30A9FA2E" w14:textId="77777777" w:rsidR="00611433" w:rsidRPr="007F03F7" w:rsidRDefault="00611433" w:rsidP="00987549">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w:t>
      </w:r>
      <w:r w:rsidRPr="007F03F7">
        <w:rPr>
          <w:rFonts w:asciiTheme="minorHAnsi" w:hAnsiTheme="minorHAnsi" w:cstheme="minorHAnsi"/>
          <w:color w:val="000000"/>
          <w:szCs w:val="20"/>
          <w:lang w:val="en-GB"/>
        </w:rPr>
        <w:t>Sustainable Development Goal Targets 5</w:t>
      </w:r>
      <w:r w:rsidRPr="007F03F7">
        <w:rPr>
          <w:rFonts w:asciiTheme="minorHAnsi" w:eastAsia="Times New Roman" w:hAnsiTheme="minorHAnsi" w:cstheme="minorHAnsi"/>
          <w:color w:val="000000"/>
          <w:szCs w:val="20"/>
          <w:lang w:val="en-GB"/>
        </w:rPr>
        <w:t>.</w:t>
      </w:r>
      <w:r w:rsidRPr="007F03F7">
        <w:rPr>
          <w:rFonts w:asciiTheme="minorHAnsi" w:hAnsiTheme="minorHAnsi" w:cstheme="minorHAnsi"/>
          <w:color w:val="000000"/>
          <w:szCs w:val="20"/>
          <w:lang w:val="en-GB"/>
        </w:rPr>
        <w:t>2, 8</w:t>
      </w:r>
      <w:r w:rsidRPr="007F03F7">
        <w:rPr>
          <w:rFonts w:asciiTheme="minorHAnsi" w:eastAsia="Times New Roman" w:hAnsiTheme="minorHAnsi" w:cstheme="minorHAnsi"/>
          <w:color w:val="000000"/>
          <w:szCs w:val="20"/>
          <w:lang w:val="en-GB"/>
        </w:rPr>
        <w:t>.</w:t>
      </w:r>
      <w:r w:rsidRPr="007F03F7">
        <w:rPr>
          <w:rFonts w:asciiTheme="minorHAnsi" w:hAnsiTheme="minorHAnsi" w:cstheme="minorHAnsi"/>
          <w:color w:val="000000"/>
          <w:szCs w:val="20"/>
          <w:lang w:val="en-GB"/>
        </w:rPr>
        <w:t>7 and 16</w:t>
      </w:r>
      <w:r w:rsidRPr="007F03F7">
        <w:rPr>
          <w:rFonts w:asciiTheme="minorHAnsi" w:eastAsia="Times New Roman" w:hAnsiTheme="minorHAnsi" w:cstheme="minorHAnsi"/>
          <w:color w:val="000000"/>
          <w:szCs w:val="20"/>
          <w:lang w:val="en-GB"/>
        </w:rPr>
        <w:t>.</w:t>
      </w:r>
      <w:r w:rsidRPr="007F03F7">
        <w:rPr>
          <w:rFonts w:asciiTheme="minorHAnsi" w:hAnsiTheme="minorHAnsi" w:cstheme="minorHAnsi"/>
          <w:color w:val="000000"/>
          <w:szCs w:val="20"/>
          <w:lang w:val="en-GB"/>
        </w:rPr>
        <w:t>2.</w:t>
      </w:r>
    </w:p>
  </w:endnote>
  <w:endnote w:id="2">
    <w:p w14:paraId="03EF78BA" w14:textId="77777777" w:rsidR="00611433" w:rsidRPr="00987549" w:rsidRDefault="00611433">
      <w:pPr>
        <w:pStyle w:val="EndnoteText"/>
        <w:spacing w:after="0" w:line="240" w:lineRule="auto"/>
        <w:contextualSpacing/>
        <w:jc w:val="both"/>
        <w:rPr>
          <w:rFonts w:asciiTheme="minorHAnsi" w:hAnsiTheme="minorHAnsi" w:cstheme="minorHAnsi"/>
          <w:szCs w:val="20"/>
          <w:lang w:val="en-GB"/>
        </w:rPr>
      </w:pPr>
      <w:r w:rsidRPr="00987549">
        <w:rPr>
          <w:rStyle w:val="EndnoteReference"/>
          <w:rFonts w:asciiTheme="minorHAnsi" w:hAnsiTheme="minorHAnsi" w:cstheme="minorHAnsi"/>
          <w:szCs w:val="20"/>
          <w:lang w:val="en-GB"/>
        </w:rPr>
        <w:endnoteRef/>
      </w:r>
      <w:r w:rsidRPr="00987549">
        <w:rPr>
          <w:rFonts w:asciiTheme="minorHAnsi" w:hAnsiTheme="minorHAnsi" w:cstheme="minorHAnsi"/>
          <w:szCs w:val="20"/>
          <w:lang w:val="en-GB"/>
        </w:rPr>
        <w:t xml:space="preserve"> ECPAT prefers the term ‘</w:t>
      </w:r>
      <w:r w:rsidRPr="00987549">
        <w:rPr>
          <w:rFonts w:asciiTheme="minorHAnsi" w:hAnsiTheme="minorHAnsi" w:cstheme="minorHAnsi"/>
          <w:i/>
          <w:szCs w:val="20"/>
          <w:lang w:val="en-GB"/>
        </w:rPr>
        <w:t>exploitation of children in prostitution</w:t>
      </w:r>
      <w:r w:rsidRPr="00987549">
        <w:rPr>
          <w:rFonts w:asciiTheme="minorHAnsi" w:hAnsiTheme="minorHAnsi" w:cstheme="minorHAnsi"/>
          <w:szCs w:val="20"/>
          <w:lang w:val="en-GB"/>
        </w:rPr>
        <w:t>’ instead of ‘</w:t>
      </w:r>
      <w:r w:rsidRPr="00987549">
        <w:rPr>
          <w:rFonts w:asciiTheme="minorHAnsi" w:hAnsiTheme="minorHAnsi" w:cstheme="minorHAnsi"/>
          <w:i/>
          <w:szCs w:val="20"/>
          <w:lang w:val="en-GB"/>
        </w:rPr>
        <w:t>child prostitution</w:t>
      </w:r>
      <w:r w:rsidRPr="00987549">
        <w:rPr>
          <w:rFonts w:asciiTheme="minorHAnsi" w:hAnsiTheme="minorHAnsi" w:cstheme="minorHAnsi"/>
          <w:szCs w:val="20"/>
          <w:lang w:val="en-GB"/>
        </w:rPr>
        <w:t>’ in line with the recently widely adopted Terminology Guidelines. ECPAT International (2016). Terminology Guidelines. ECPAT International (2016), “</w:t>
      </w:r>
      <w:r w:rsidRPr="00987549">
        <w:rPr>
          <w:rFonts w:asciiTheme="minorHAnsi" w:hAnsiTheme="minorHAnsi" w:cstheme="minorHAnsi"/>
          <w:i/>
          <w:szCs w:val="20"/>
          <w:lang w:val="en-GB"/>
        </w:rPr>
        <w:t>Terminology Guidelines for the Protection of Children from Sexual Exploitation and Sexual Abuse, adopted by the Interagency Working Group in Luxembourg, 28 January 2016</w:t>
      </w:r>
      <w:r w:rsidRPr="00987549">
        <w:rPr>
          <w:rFonts w:asciiTheme="minorHAnsi" w:hAnsiTheme="minorHAnsi" w:cstheme="minorHAnsi"/>
          <w:szCs w:val="20"/>
          <w:lang w:val="en-GB"/>
        </w:rPr>
        <w:t xml:space="preserve">”, Bangkok: ECPAT, 29, accessed on 20 May 2017, </w:t>
      </w:r>
      <w:hyperlink r:id="rId1" w:history="1">
        <w:r w:rsidRPr="00987549">
          <w:rPr>
            <w:rStyle w:val="Hyperlink"/>
            <w:rFonts w:asciiTheme="minorHAnsi" w:hAnsiTheme="minorHAnsi" w:cstheme="minorHAnsi"/>
            <w:szCs w:val="20"/>
            <w:lang w:val="en-GB"/>
          </w:rPr>
          <w:t>http://luxembourgguidelines.org/</w:t>
        </w:r>
      </w:hyperlink>
      <w:r w:rsidRPr="00987549">
        <w:rPr>
          <w:rFonts w:asciiTheme="minorHAnsi" w:hAnsiTheme="minorHAnsi" w:cstheme="minorHAnsi"/>
          <w:szCs w:val="20"/>
          <w:lang w:val="en-GB"/>
        </w:rPr>
        <w:t xml:space="preserve">. </w:t>
      </w:r>
    </w:p>
  </w:endnote>
  <w:endnote w:id="3">
    <w:p w14:paraId="32D5FEB3" w14:textId="77777777" w:rsidR="00F27A0A" w:rsidRPr="00987549" w:rsidRDefault="00F27A0A">
      <w:pPr>
        <w:pStyle w:val="Endnote"/>
        <w:ind w:left="0" w:firstLine="0"/>
        <w:contextualSpacing/>
        <w:rPr>
          <w:rFonts w:asciiTheme="minorHAnsi" w:hAnsiTheme="minorHAnsi" w:cstheme="minorHAnsi"/>
          <w:lang w:val="en-GB"/>
        </w:rPr>
      </w:pPr>
      <w:r w:rsidRPr="00987549">
        <w:rPr>
          <w:rStyle w:val="EndnoteReference"/>
          <w:rFonts w:asciiTheme="minorHAnsi" w:hAnsiTheme="minorHAnsi" w:cstheme="minorHAnsi"/>
        </w:rPr>
        <w:endnoteRef/>
      </w:r>
      <w:r w:rsidRPr="00987549">
        <w:rPr>
          <w:rStyle w:val="Standaardalinea-lettertype1"/>
          <w:rFonts w:asciiTheme="minorHAnsi" w:hAnsiTheme="minorHAnsi" w:cstheme="minorHAnsi"/>
        </w:rPr>
        <w:t xml:space="preserve"> </w:t>
      </w:r>
      <w:r w:rsidRPr="00987549">
        <w:rPr>
          <w:rFonts w:asciiTheme="minorHAnsi" w:hAnsiTheme="minorHAnsi" w:cstheme="minorHAnsi"/>
          <w:lang w:val="en-GB"/>
        </w:rPr>
        <w:t xml:space="preserve">In line with the recently and widely adopted Terminology Guidelines, ECPAT prefers the term “child sexual exploitation material” or “child sexual abuse material” instead of “child pornography.” Ibid., 39. </w:t>
      </w:r>
    </w:p>
  </w:endnote>
  <w:endnote w:id="4">
    <w:p w14:paraId="63B6726F" w14:textId="77777777" w:rsidR="00F27A0A" w:rsidRPr="00987549" w:rsidRDefault="00F27A0A">
      <w:pPr>
        <w:pStyle w:val="Endnote"/>
        <w:ind w:left="0" w:firstLine="0"/>
        <w:contextualSpacing/>
        <w:rPr>
          <w:rFonts w:asciiTheme="minorHAnsi" w:hAnsiTheme="minorHAnsi" w:cstheme="minorHAnsi"/>
          <w:lang w:val="en-GB"/>
        </w:rPr>
      </w:pPr>
      <w:r w:rsidRPr="00987549">
        <w:rPr>
          <w:rStyle w:val="EndnoteReference"/>
          <w:rFonts w:asciiTheme="minorHAnsi" w:hAnsiTheme="minorHAnsi" w:cstheme="minorHAnsi"/>
        </w:rPr>
        <w:endnoteRef/>
      </w:r>
      <w:r w:rsidRPr="00987549">
        <w:rPr>
          <w:rStyle w:val="Standaardalinea-lettertype1"/>
          <w:rFonts w:asciiTheme="minorHAnsi" w:hAnsiTheme="minorHAnsi" w:cstheme="minorHAnsi"/>
        </w:rPr>
        <w:t xml:space="preserve"> </w:t>
      </w:r>
      <w:r w:rsidRPr="007F03F7">
        <w:rPr>
          <w:rStyle w:val="Standaardalinea-lettertype1"/>
          <w:rFonts w:asciiTheme="minorHAnsi" w:hAnsiTheme="minorHAnsi" w:cstheme="minorHAnsi"/>
          <w:i/>
          <w:iCs/>
        </w:rPr>
        <w:t>Ibid.,</w:t>
      </w:r>
      <w:r w:rsidRPr="00987549">
        <w:rPr>
          <w:rStyle w:val="Standaardalinea-lettertype1"/>
          <w:rFonts w:asciiTheme="minorHAnsi" w:hAnsiTheme="minorHAnsi" w:cstheme="minorHAnsi"/>
        </w:rPr>
        <w:t xml:space="preserve"> 54.</w:t>
      </w:r>
    </w:p>
  </w:endnote>
  <w:endnote w:id="5">
    <w:p w14:paraId="69609B59" w14:textId="77777777" w:rsidR="00611433" w:rsidRPr="007F03F7" w:rsidRDefault="00611433">
      <w:pPr>
        <w:pStyle w:val="NoSpacing"/>
        <w:contextualSpacing/>
        <w:rPr>
          <w:rFonts w:cstheme="minorHAnsi"/>
          <w:sz w:val="20"/>
          <w:szCs w:val="20"/>
          <w:lang w:val="en-GB"/>
        </w:rPr>
      </w:pPr>
      <w:r w:rsidRPr="00987549">
        <w:rPr>
          <w:rStyle w:val="EndnoteReference"/>
          <w:rFonts w:cstheme="minorHAnsi"/>
          <w:sz w:val="20"/>
          <w:szCs w:val="20"/>
          <w:lang w:val="en-GB"/>
        </w:rPr>
        <w:endnoteRef/>
      </w:r>
      <w:r w:rsidRPr="007F03F7">
        <w:rPr>
          <w:rFonts w:cstheme="minorHAnsi"/>
          <w:sz w:val="20"/>
          <w:szCs w:val="20"/>
          <w:lang w:val="en-GB"/>
        </w:rPr>
        <w:t xml:space="preserve"> UNFPA. (2018) </w:t>
      </w:r>
      <w:hyperlink r:id="rId2" w:history="1">
        <w:r w:rsidRPr="007F03F7">
          <w:rPr>
            <w:rStyle w:val="Hyperlink"/>
            <w:rFonts w:cstheme="minorHAnsi"/>
            <w:i/>
            <w:sz w:val="20"/>
            <w:szCs w:val="20"/>
            <w:lang w:val="en-GB"/>
          </w:rPr>
          <w:t>World Population Dashboard Gambia</w:t>
        </w:r>
      </w:hyperlink>
      <w:r w:rsidRPr="007F03F7">
        <w:rPr>
          <w:rStyle w:val="Hyperlink"/>
          <w:rFonts w:cstheme="minorHAnsi"/>
          <w:i/>
          <w:sz w:val="20"/>
          <w:szCs w:val="20"/>
          <w:lang w:val="en-GB"/>
        </w:rPr>
        <w:t>.</w:t>
      </w:r>
    </w:p>
  </w:endnote>
  <w:endnote w:id="6">
    <w:p w14:paraId="3A3495E0" w14:textId="7BF7F0F3" w:rsidR="00611433" w:rsidRPr="007F03F7" w:rsidRDefault="00611433">
      <w:pPr>
        <w:spacing w:after="0" w:line="240" w:lineRule="auto"/>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UNICEF. (2017, December). </w:t>
      </w:r>
      <w:hyperlink r:id="rId3" w:history="1">
        <w:r w:rsidRPr="007F03F7">
          <w:rPr>
            <w:rStyle w:val="Hyperlink"/>
            <w:rFonts w:cstheme="minorHAnsi"/>
            <w:i/>
            <w:sz w:val="20"/>
            <w:szCs w:val="20"/>
            <w:lang w:val="en-GB"/>
          </w:rPr>
          <w:t>The State of The World’s Children 2017</w:t>
        </w:r>
      </w:hyperlink>
      <w:r w:rsidRPr="007F03F7">
        <w:rPr>
          <w:rFonts w:cstheme="minorHAnsi"/>
          <w:sz w:val="20"/>
          <w:szCs w:val="20"/>
          <w:lang w:val="en-GB"/>
        </w:rPr>
        <w:t xml:space="preserve"> 150. New York: UNICEF. The Human Development Index </w:t>
      </w:r>
      <w:r w:rsidR="00C25169" w:rsidRPr="007F03F7">
        <w:rPr>
          <w:rFonts w:cstheme="minorHAnsi"/>
          <w:sz w:val="20"/>
          <w:szCs w:val="20"/>
          <w:lang w:val="en-GB"/>
        </w:rPr>
        <w:t>Positions</w:t>
      </w:r>
      <w:r w:rsidRPr="007F03F7">
        <w:rPr>
          <w:rFonts w:cstheme="minorHAnsi"/>
          <w:sz w:val="20"/>
          <w:szCs w:val="20"/>
          <w:lang w:val="en-GB"/>
        </w:rPr>
        <w:t xml:space="preserve"> The Gambia at 174 out of 189 countries (see: UNDP (2018). </w:t>
      </w:r>
      <w:hyperlink r:id="rId4" w:history="1">
        <w:r w:rsidRPr="007F03F7">
          <w:rPr>
            <w:rStyle w:val="Hyperlink"/>
            <w:rFonts w:cstheme="minorHAnsi"/>
            <w:i/>
            <w:sz w:val="20"/>
            <w:szCs w:val="20"/>
            <w:lang w:val="en-GB"/>
          </w:rPr>
          <w:t>Human Development Indices and Indicators: 2018 Statistical Update</w:t>
        </w:r>
      </w:hyperlink>
      <w:r w:rsidRPr="007F03F7">
        <w:rPr>
          <w:rFonts w:cstheme="minorHAnsi"/>
          <w:sz w:val="20"/>
          <w:szCs w:val="20"/>
          <w:lang w:val="en-GB"/>
        </w:rPr>
        <w:t>).</w:t>
      </w:r>
    </w:p>
  </w:endnote>
  <w:endnote w:id="7">
    <w:p w14:paraId="0E668579" w14:textId="77777777" w:rsidR="00611433" w:rsidRPr="007F03F7" w:rsidRDefault="00611433">
      <w:pPr>
        <w:pStyle w:val="NoSpacing"/>
        <w:jc w:val="both"/>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w:t>
      </w:r>
      <w:r w:rsidRPr="007F03F7">
        <w:rPr>
          <w:rFonts w:cstheme="minorHAnsi"/>
          <w:i/>
          <w:sz w:val="20"/>
          <w:szCs w:val="20"/>
          <w:lang w:val="en-GB"/>
        </w:rPr>
        <w:t>Ibid.,</w:t>
      </w:r>
      <w:r w:rsidRPr="007F03F7">
        <w:rPr>
          <w:rFonts w:cstheme="minorHAnsi"/>
          <w:sz w:val="20"/>
          <w:szCs w:val="20"/>
          <w:lang w:val="en-GB"/>
        </w:rPr>
        <w:t xml:space="preserve"> 203.</w:t>
      </w:r>
    </w:p>
  </w:endnote>
  <w:endnote w:id="8">
    <w:p w14:paraId="0E1B374C" w14:textId="77777777" w:rsidR="00611433" w:rsidRPr="007F03F7" w:rsidRDefault="00611433">
      <w:pPr>
        <w:pStyle w:val="NoSpacing"/>
        <w:rPr>
          <w:rFonts w:cstheme="minorHAnsi"/>
          <w:sz w:val="20"/>
          <w:szCs w:val="20"/>
          <w:lang w:val="en-GB"/>
        </w:rPr>
      </w:pPr>
      <w:r w:rsidRPr="007F03F7">
        <w:rPr>
          <w:rFonts w:cstheme="minorHAnsi"/>
          <w:sz w:val="20"/>
          <w:szCs w:val="20"/>
          <w:vertAlign w:val="superscript"/>
          <w:lang w:val="en-GB"/>
        </w:rPr>
        <w:endnoteRef/>
      </w:r>
      <w:r w:rsidRPr="007F03F7">
        <w:rPr>
          <w:rFonts w:cstheme="minorHAnsi"/>
          <w:sz w:val="20"/>
          <w:szCs w:val="20"/>
          <w:vertAlign w:val="superscript"/>
          <w:lang w:val="en-GB"/>
        </w:rPr>
        <w:t xml:space="preserve"> </w:t>
      </w:r>
      <w:r w:rsidRPr="007F03F7">
        <w:rPr>
          <w:rFonts w:cstheme="minorHAnsi"/>
          <w:sz w:val="20"/>
          <w:szCs w:val="20"/>
          <w:lang w:val="en-GB"/>
        </w:rPr>
        <w:t xml:space="preserve">UNICEF. </w:t>
      </w:r>
      <w:hyperlink r:id="rId5" w:history="1">
        <w:r w:rsidRPr="007F03F7">
          <w:rPr>
            <w:rStyle w:val="Hyperlink"/>
            <w:rFonts w:cstheme="minorHAnsi"/>
            <w:i/>
            <w:sz w:val="20"/>
            <w:szCs w:val="20"/>
            <w:lang w:val="en-GB"/>
          </w:rPr>
          <w:t>Child protection in The Gambia</w:t>
        </w:r>
      </w:hyperlink>
      <w:r w:rsidRPr="007F03F7">
        <w:rPr>
          <w:rFonts w:cstheme="minorHAnsi"/>
          <w:sz w:val="20"/>
          <w:szCs w:val="20"/>
          <w:lang w:val="en-GB"/>
        </w:rPr>
        <w:t>.</w:t>
      </w:r>
    </w:p>
  </w:endnote>
  <w:endnote w:id="9">
    <w:p w14:paraId="452504E6" w14:textId="77777777" w:rsidR="00611433" w:rsidRPr="007F03F7" w:rsidRDefault="00611433">
      <w:pPr>
        <w:pStyle w:val="NoSpacing"/>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Gambia Information Site. (nd). </w:t>
      </w:r>
      <w:hyperlink r:id="rId6" w:history="1">
        <w:r w:rsidRPr="007F03F7">
          <w:rPr>
            <w:rStyle w:val="Hyperlink"/>
            <w:rFonts w:cstheme="minorHAnsi"/>
            <w:i/>
            <w:sz w:val="20"/>
            <w:szCs w:val="20"/>
            <w:lang w:val="en-GB"/>
          </w:rPr>
          <w:t>Tourist Statistics For Gambia</w:t>
        </w:r>
      </w:hyperlink>
      <w:r w:rsidRPr="007F03F7">
        <w:rPr>
          <w:rFonts w:cstheme="minorHAnsi"/>
          <w:sz w:val="20"/>
          <w:szCs w:val="20"/>
          <w:lang w:val="en-GB"/>
        </w:rPr>
        <w:t>.</w:t>
      </w:r>
    </w:p>
  </w:endnote>
  <w:endnote w:id="10">
    <w:p w14:paraId="3839BE6D" w14:textId="77777777" w:rsidR="00611433" w:rsidRPr="007F03F7" w:rsidRDefault="00611433">
      <w:pPr>
        <w:pStyle w:val="NoSpacing"/>
        <w:rPr>
          <w:rStyle w:val="Hyperlink"/>
          <w:rFonts w:cstheme="minorHAnsi"/>
          <w:i/>
          <w:sz w:val="20"/>
          <w:szCs w:val="20"/>
          <w:lang w:val="en-GB"/>
        </w:rPr>
      </w:pPr>
      <w:r w:rsidRPr="007F03F7">
        <w:rPr>
          <w:rStyle w:val="EndnoteReference"/>
          <w:rFonts w:cstheme="minorHAnsi"/>
          <w:sz w:val="20"/>
          <w:szCs w:val="20"/>
          <w:lang w:val="en-GB"/>
        </w:rPr>
        <w:endnoteRef/>
      </w:r>
      <w:r w:rsidRPr="00987549">
        <w:rPr>
          <w:rFonts w:cstheme="minorHAnsi"/>
          <w:sz w:val="20"/>
          <w:szCs w:val="20"/>
          <w:lang w:val="en-GB"/>
        </w:rPr>
        <w:t xml:space="preserve"> </w:t>
      </w:r>
      <w:r w:rsidRPr="007F03F7">
        <w:rPr>
          <w:rFonts w:cstheme="minorHAnsi"/>
          <w:sz w:val="20"/>
          <w:szCs w:val="20"/>
          <w:lang w:val="en-GB"/>
        </w:rPr>
        <w:t xml:space="preserve">The World Bank. </w:t>
      </w:r>
      <w:hyperlink r:id="rId7" w:history="1">
        <w:r w:rsidRPr="007F03F7">
          <w:rPr>
            <w:rStyle w:val="Hyperlink"/>
            <w:rFonts w:cstheme="minorHAnsi"/>
            <w:i/>
            <w:sz w:val="20"/>
            <w:szCs w:val="20"/>
            <w:lang w:val="en-GB"/>
          </w:rPr>
          <w:t>International tourism, number of arrivals</w:t>
        </w:r>
      </w:hyperlink>
      <w:r w:rsidRPr="007F03F7">
        <w:rPr>
          <w:rStyle w:val="Hyperlink"/>
          <w:rFonts w:cstheme="minorHAnsi"/>
          <w:i/>
          <w:sz w:val="20"/>
          <w:szCs w:val="20"/>
          <w:lang w:val="en-GB"/>
        </w:rPr>
        <w:t>.</w:t>
      </w:r>
    </w:p>
  </w:endnote>
  <w:endnote w:id="11">
    <w:p w14:paraId="1A4B3165" w14:textId="77777777" w:rsidR="00611433" w:rsidRPr="007F03F7" w:rsidRDefault="00611433">
      <w:pPr>
        <w:pStyle w:val="NoSpacing"/>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Gambia Information Site. (nd). </w:t>
      </w:r>
      <w:hyperlink r:id="rId8" w:history="1">
        <w:r w:rsidRPr="007F03F7">
          <w:rPr>
            <w:rStyle w:val="Hyperlink"/>
            <w:rFonts w:cstheme="minorHAnsi"/>
            <w:i/>
            <w:sz w:val="20"/>
            <w:szCs w:val="20"/>
            <w:lang w:val="en-GB"/>
          </w:rPr>
          <w:t>Tourist Statistics For Gambia</w:t>
        </w:r>
      </w:hyperlink>
      <w:r w:rsidRPr="007F03F7">
        <w:rPr>
          <w:rFonts w:cstheme="minorHAnsi"/>
          <w:sz w:val="20"/>
          <w:szCs w:val="20"/>
          <w:lang w:val="en-GB"/>
        </w:rPr>
        <w:t>.</w:t>
      </w:r>
    </w:p>
  </w:endnote>
  <w:endnote w:id="12">
    <w:p w14:paraId="51B2A258" w14:textId="77777777" w:rsidR="00611433" w:rsidRPr="007F03F7" w:rsidRDefault="00611433">
      <w:pPr>
        <w:pStyle w:val="EndnoteText"/>
        <w:spacing w:after="0" w:line="240" w:lineRule="auto"/>
        <w:jc w:val="both"/>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ECPAT (2016). </w:t>
      </w:r>
      <w:hyperlink r:id="rId9" w:history="1">
        <w:r w:rsidRPr="007F03F7">
          <w:rPr>
            <w:rStyle w:val="Hyperlink"/>
            <w:rFonts w:asciiTheme="minorHAnsi" w:hAnsiTheme="minorHAnsi" w:cstheme="minorHAnsi"/>
            <w:i/>
            <w:szCs w:val="20"/>
            <w:lang w:val="en-GB"/>
          </w:rPr>
          <w:t>Global Study on Sexual Exploitation of Children in Travel and Tourism</w:t>
        </w:r>
      </w:hyperlink>
      <w:r w:rsidRPr="007F03F7">
        <w:rPr>
          <w:rFonts w:asciiTheme="minorHAnsi" w:hAnsiTheme="minorHAnsi" w:cstheme="minorHAnsi"/>
          <w:i/>
          <w:szCs w:val="20"/>
          <w:lang w:val="en-GB"/>
        </w:rPr>
        <w:t xml:space="preserve">. </w:t>
      </w:r>
      <w:r w:rsidRPr="007F03F7">
        <w:rPr>
          <w:rFonts w:asciiTheme="minorHAnsi" w:hAnsiTheme="minorHAnsi" w:cstheme="minorHAnsi"/>
          <w:szCs w:val="20"/>
          <w:lang w:val="en-GB"/>
        </w:rPr>
        <w:t xml:space="preserve">44. Bangkok: ECPAT International. </w:t>
      </w:r>
    </w:p>
  </w:endnote>
  <w:endnote w:id="13">
    <w:p w14:paraId="4D0ADBB7" w14:textId="77777777" w:rsidR="00611433" w:rsidRPr="007F03F7" w:rsidRDefault="00611433">
      <w:pPr>
        <w:pStyle w:val="EndnoteText"/>
        <w:spacing w:after="0" w:line="240" w:lineRule="auto"/>
        <w:jc w:val="both"/>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w:t>
      </w:r>
      <w:r w:rsidRPr="007F03F7">
        <w:rPr>
          <w:rFonts w:asciiTheme="minorHAnsi" w:hAnsiTheme="minorHAnsi" w:cstheme="minorHAnsi"/>
          <w:i/>
          <w:szCs w:val="20"/>
          <w:lang w:val="en-GB"/>
        </w:rPr>
        <w:t>Ibid.</w:t>
      </w:r>
      <w:r w:rsidRPr="007F03F7">
        <w:rPr>
          <w:rFonts w:asciiTheme="minorHAnsi" w:hAnsiTheme="minorHAnsi" w:cstheme="minorHAnsi"/>
          <w:szCs w:val="20"/>
          <w:lang w:val="en-GB"/>
        </w:rPr>
        <w:t xml:space="preserve"> 44.</w:t>
      </w:r>
    </w:p>
  </w:endnote>
  <w:endnote w:id="14">
    <w:p w14:paraId="349BDBD7" w14:textId="77777777" w:rsidR="00611433" w:rsidRPr="007F03F7" w:rsidRDefault="00611433">
      <w:pPr>
        <w:pStyle w:val="EndnoteText"/>
        <w:spacing w:after="0" w:line="240" w:lineRule="auto"/>
        <w:jc w:val="both"/>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ECPAT (2016).</w:t>
      </w:r>
      <w:hyperlink r:id="rId10" w:history="1">
        <w:r w:rsidRPr="007F03F7">
          <w:rPr>
            <w:rStyle w:val="Hyperlink"/>
            <w:rFonts w:asciiTheme="minorHAnsi" w:hAnsiTheme="minorHAnsi" w:cstheme="minorHAnsi"/>
            <w:i/>
            <w:szCs w:val="20"/>
            <w:lang w:val="en-GB"/>
          </w:rPr>
          <w:t xml:space="preserve"> Global Study on Sexual Exploitation of Children in Travel and Tourism. Regional Report: Sub-Saharan Africa.</w:t>
        </w:r>
      </w:hyperlink>
      <w:r w:rsidRPr="007F03F7">
        <w:rPr>
          <w:rFonts w:asciiTheme="minorHAnsi" w:hAnsiTheme="minorHAnsi" w:cstheme="minorHAnsi"/>
          <w:szCs w:val="20"/>
          <w:lang w:val="en-GB"/>
        </w:rPr>
        <w:t xml:space="preserve"> 32. Bangkok: ECPAT International. </w:t>
      </w:r>
    </w:p>
  </w:endnote>
  <w:endnote w:id="15">
    <w:p w14:paraId="5A4D9135" w14:textId="77777777" w:rsidR="00611433" w:rsidRPr="007F03F7" w:rsidRDefault="00611433">
      <w:pPr>
        <w:pStyle w:val="NoSpacing"/>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ECPAT. (2014) </w:t>
      </w:r>
      <w:hyperlink r:id="rId11" w:history="1">
        <w:r w:rsidRPr="007F03F7">
          <w:rPr>
            <w:rStyle w:val="Hyperlink"/>
            <w:rFonts w:cstheme="minorHAnsi"/>
            <w:i/>
            <w:sz w:val="20"/>
            <w:szCs w:val="20"/>
            <w:lang w:val="en-GB"/>
          </w:rPr>
          <w:t>Assessment on sexual exploitation of children related to tourism and reporting mechanisms in Gambia</w:t>
        </w:r>
      </w:hyperlink>
      <w:r w:rsidRPr="007F03F7">
        <w:rPr>
          <w:rFonts w:cstheme="minorHAnsi"/>
          <w:sz w:val="20"/>
          <w:szCs w:val="20"/>
          <w:lang w:val="en-GB"/>
        </w:rPr>
        <w:t xml:space="preserve">. i and ii. </w:t>
      </w:r>
    </w:p>
  </w:endnote>
  <w:endnote w:id="16">
    <w:p w14:paraId="6CC890BE" w14:textId="77777777" w:rsidR="00611433" w:rsidRPr="007F03F7" w:rsidRDefault="00611433">
      <w:pPr>
        <w:pStyle w:val="NoSpacing"/>
        <w:rPr>
          <w:rFonts w:cstheme="minorHAnsi"/>
          <w:sz w:val="20"/>
          <w:szCs w:val="20"/>
          <w:lang w:val="en-GB"/>
        </w:rPr>
      </w:pPr>
      <w:r w:rsidRPr="007F03F7">
        <w:rPr>
          <w:rFonts w:cstheme="minorHAnsi"/>
          <w:sz w:val="20"/>
          <w:szCs w:val="20"/>
          <w:vertAlign w:val="superscript"/>
          <w:lang w:val="en-GB"/>
        </w:rPr>
        <w:endnoteRef/>
      </w:r>
      <w:r w:rsidRPr="007F03F7">
        <w:rPr>
          <w:rFonts w:cstheme="minorHAnsi"/>
          <w:sz w:val="20"/>
          <w:szCs w:val="20"/>
          <w:lang w:val="en-GB"/>
        </w:rPr>
        <w:t xml:space="preserve"> International Telecommunication</w:t>
      </w:r>
      <w:r w:rsidRPr="00987549">
        <w:rPr>
          <w:rStyle w:val="Standaardalinea-lettertype1"/>
          <w:rFonts w:cstheme="minorHAnsi"/>
          <w:sz w:val="20"/>
          <w:szCs w:val="20"/>
          <w:lang w:val="en-GB"/>
        </w:rPr>
        <w:t xml:space="preserve"> Union. (2018)</w:t>
      </w:r>
      <w:r w:rsidRPr="00987549">
        <w:rPr>
          <w:rStyle w:val="Standaardalinea-lettertype1"/>
          <w:rFonts w:cstheme="minorHAnsi"/>
          <w:i/>
          <w:sz w:val="20"/>
          <w:szCs w:val="20"/>
          <w:lang w:val="en-GB"/>
        </w:rPr>
        <w:t xml:space="preserve">. </w:t>
      </w:r>
      <w:hyperlink r:id="rId12" w:history="1">
        <w:r w:rsidRPr="00987549">
          <w:rPr>
            <w:rStyle w:val="Hyperlink"/>
            <w:rFonts w:cstheme="minorHAnsi"/>
            <w:i/>
            <w:sz w:val="20"/>
            <w:szCs w:val="20"/>
            <w:lang w:val="en-GB"/>
          </w:rPr>
          <w:t>Gambia Profile</w:t>
        </w:r>
      </w:hyperlink>
      <w:r w:rsidRPr="00987549">
        <w:rPr>
          <w:rStyle w:val="Standaardalinea-lettertype1"/>
          <w:rFonts w:cstheme="minorHAnsi"/>
          <w:sz w:val="20"/>
          <w:szCs w:val="20"/>
          <w:lang w:val="en-GB"/>
        </w:rPr>
        <w:t>.</w:t>
      </w:r>
    </w:p>
  </w:endnote>
  <w:endnote w:id="17">
    <w:p w14:paraId="6565B7D7" w14:textId="77777777" w:rsidR="00611433" w:rsidRPr="007F03F7" w:rsidRDefault="00611433">
      <w:pPr>
        <w:pStyle w:val="NoSpacing"/>
        <w:rPr>
          <w:rFonts w:cstheme="minorHAnsi"/>
          <w:sz w:val="20"/>
          <w:szCs w:val="20"/>
          <w:lang w:val="en-GB"/>
        </w:rPr>
      </w:pPr>
      <w:r w:rsidRPr="007F03F7">
        <w:rPr>
          <w:rFonts w:cstheme="minorHAnsi"/>
          <w:sz w:val="20"/>
          <w:szCs w:val="20"/>
          <w:vertAlign w:val="superscript"/>
          <w:lang w:val="en-GB"/>
        </w:rPr>
        <w:endnoteRef/>
      </w:r>
      <w:r w:rsidRPr="007F03F7">
        <w:rPr>
          <w:rFonts w:cstheme="minorHAnsi"/>
          <w:sz w:val="20"/>
          <w:szCs w:val="20"/>
          <w:vertAlign w:val="superscript"/>
          <w:lang w:val="en-GB"/>
        </w:rPr>
        <w:t xml:space="preserve"> </w:t>
      </w:r>
      <w:r w:rsidRPr="007F03F7">
        <w:rPr>
          <w:rFonts w:cstheme="minorHAnsi"/>
          <w:i/>
          <w:sz w:val="20"/>
          <w:szCs w:val="20"/>
          <w:lang w:val="en-GB"/>
        </w:rPr>
        <w:t>Ibid.</w:t>
      </w:r>
    </w:p>
  </w:endnote>
  <w:endnote w:id="18">
    <w:p w14:paraId="0A4AA5D3" w14:textId="77777777" w:rsidR="00611433" w:rsidRPr="007F03F7" w:rsidRDefault="00611433">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w:t>
      </w:r>
      <w:r w:rsidRPr="007F03F7">
        <w:rPr>
          <w:rFonts w:asciiTheme="minorHAnsi" w:hAnsiTheme="minorHAnsi" w:cstheme="minorHAnsi"/>
          <w:i/>
          <w:szCs w:val="20"/>
          <w:lang w:val="en-GB"/>
        </w:rPr>
        <w:t>Ibid</w:t>
      </w:r>
      <w:r w:rsidRPr="007F03F7">
        <w:rPr>
          <w:rFonts w:asciiTheme="minorHAnsi" w:hAnsiTheme="minorHAnsi" w:cstheme="minorHAnsi"/>
          <w:szCs w:val="20"/>
          <w:lang w:val="en-GB"/>
        </w:rPr>
        <w:t xml:space="preserve">. According to the International Telecommunication Union’s data, there are 139.529 mobile-cellular subscriptions per 100 inhabitants in The Gambia. </w:t>
      </w:r>
    </w:p>
  </w:endnote>
  <w:endnote w:id="19">
    <w:p w14:paraId="6CC846A6" w14:textId="35F1EA6A" w:rsidR="00B337BB" w:rsidRPr="007F03F7" w:rsidRDefault="00B337BB">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ECPAT the</w:t>
      </w:r>
      <w:r w:rsidR="00C25169" w:rsidRPr="007F03F7">
        <w:rPr>
          <w:rFonts w:asciiTheme="minorHAnsi" w:hAnsiTheme="minorHAnsi" w:cstheme="minorHAnsi"/>
          <w:szCs w:val="20"/>
          <w:lang w:val="en-GB"/>
        </w:rPr>
        <w:t xml:space="preserve"> </w:t>
      </w:r>
      <w:r w:rsidRPr="007F03F7">
        <w:rPr>
          <w:rFonts w:asciiTheme="minorHAnsi" w:hAnsiTheme="minorHAnsi" w:cstheme="minorHAnsi"/>
          <w:szCs w:val="20"/>
          <w:lang w:val="en-GB"/>
        </w:rPr>
        <w:t xml:space="preserve">Netherlands. (2013). </w:t>
      </w:r>
      <w:hyperlink r:id="rId13" w:history="1">
        <w:r w:rsidRPr="007F03F7">
          <w:rPr>
            <w:rStyle w:val="Hyperlink"/>
            <w:rFonts w:asciiTheme="minorHAnsi" w:hAnsiTheme="minorHAnsi" w:cstheme="minorHAnsi"/>
            <w:i/>
            <w:szCs w:val="20"/>
            <w:lang w:val="en-GB"/>
          </w:rPr>
          <w:t>Assessment on</w:t>
        </w:r>
        <w:r w:rsidRPr="007F03F7">
          <w:rPr>
            <w:rStyle w:val="Hyperlink"/>
            <w:rFonts w:asciiTheme="minorHAnsi" w:hAnsiTheme="minorHAnsi" w:cstheme="minorHAnsi"/>
            <w:szCs w:val="20"/>
            <w:lang w:val="en-GB"/>
          </w:rPr>
          <w:t xml:space="preserve"> Commercial Sexual Exploitation of Children related to Tourism &amp; Reporting mechanisms in Gambia</w:t>
        </w:r>
      </w:hyperlink>
      <w:r w:rsidRPr="007F03F7">
        <w:rPr>
          <w:rStyle w:val="A18"/>
          <w:rFonts w:asciiTheme="minorHAnsi" w:hAnsiTheme="minorHAnsi" w:cstheme="minorHAnsi"/>
          <w:szCs w:val="20"/>
          <w:lang w:val="en-GB"/>
        </w:rPr>
        <w:t>, 30-31.</w:t>
      </w:r>
    </w:p>
  </w:endnote>
  <w:endnote w:id="20">
    <w:p w14:paraId="5A4B3495" w14:textId="77777777" w:rsidR="00611433" w:rsidRPr="007F03F7" w:rsidRDefault="00611433">
      <w:pPr>
        <w:pStyle w:val="NoSpacing"/>
        <w:rPr>
          <w:rFonts w:cstheme="minorHAnsi"/>
          <w:sz w:val="20"/>
          <w:szCs w:val="20"/>
          <w:lang w:val="en-GB"/>
        </w:rPr>
      </w:pPr>
      <w:r w:rsidRPr="007F03F7">
        <w:rPr>
          <w:rFonts w:cstheme="minorHAnsi"/>
          <w:sz w:val="20"/>
          <w:szCs w:val="20"/>
          <w:lang w:val="en-GB"/>
        </w:rPr>
        <w:endnoteRef/>
      </w:r>
      <w:r w:rsidRPr="007F03F7">
        <w:rPr>
          <w:rFonts w:cstheme="minorHAnsi"/>
          <w:sz w:val="20"/>
          <w:szCs w:val="20"/>
          <w:lang w:val="en-GB"/>
        </w:rPr>
        <w:t xml:space="preserve"> UNICEF. (2018, March). </w:t>
      </w:r>
      <w:hyperlink r:id="rId14" w:history="1">
        <w:r w:rsidRPr="007F03F7">
          <w:rPr>
            <w:rStyle w:val="Hyperlink"/>
            <w:rFonts w:cstheme="minorHAnsi"/>
            <w:i/>
            <w:sz w:val="20"/>
            <w:szCs w:val="20"/>
            <w:lang w:val="en-GB"/>
          </w:rPr>
          <w:t>Global databases: Child Marriage</w:t>
        </w:r>
        <w:r w:rsidRPr="007F03F7">
          <w:rPr>
            <w:rStyle w:val="Hyperlink"/>
            <w:rFonts w:cstheme="minorHAnsi"/>
            <w:sz w:val="20"/>
            <w:szCs w:val="20"/>
            <w:lang w:val="en-GB"/>
          </w:rPr>
          <w:t>.</w:t>
        </w:r>
      </w:hyperlink>
      <w:r w:rsidRPr="007F03F7">
        <w:rPr>
          <w:rFonts w:cstheme="minorHAnsi"/>
          <w:sz w:val="20"/>
          <w:szCs w:val="20"/>
          <w:lang w:val="en-GB"/>
        </w:rPr>
        <w:t xml:space="preserve"> New York: UNICEF.</w:t>
      </w:r>
    </w:p>
  </w:endnote>
  <w:endnote w:id="21">
    <w:p w14:paraId="122D0FB9" w14:textId="77777777" w:rsidR="00611433" w:rsidRPr="007F03F7" w:rsidRDefault="00611433">
      <w:pPr>
        <w:pStyle w:val="NoSpacing"/>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Information provided by Child Protection Alliance - The Gambia.</w:t>
      </w:r>
    </w:p>
  </w:endnote>
  <w:endnote w:id="22">
    <w:p w14:paraId="65C0ECA5" w14:textId="77777777" w:rsidR="00611433" w:rsidRPr="007F03F7" w:rsidRDefault="00611433">
      <w:pPr>
        <w:pStyle w:val="NoSpacing"/>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ECPAT. (2015). </w:t>
      </w:r>
      <w:hyperlink r:id="rId15" w:history="1">
        <w:r w:rsidRPr="007F03F7">
          <w:rPr>
            <w:rStyle w:val="Hyperlink"/>
            <w:rFonts w:cstheme="minorHAnsi"/>
            <w:i/>
            <w:sz w:val="20"/>
            <w:szCs w:val="20"/>
            <w:lang w:val="en-GB"/>
          </w:rPr>
          <w:t>Global Monitoring status of action against commercial sexual exploitation of children – The Gambia, 2</w:t>
        </w:r>
        <w:r w:rsidRPr="007F03F7">
          <w:rPr>
            <w:rStyle w:val="Hyperlink"/>
            <w:rFonts w:cstheme="minorHAnsi"/>
            <w:i/>
            <w:sz w:val="20"/>
            <w:szCs w:val="20"/>
            <w:vertAlign w:val="superscript"/>
            <w:lang w:val="en-GB"/>
          </w:rPr>
          <w:t>nd</w:t>
        </w:r>
        <w:r w:rsidRPr="007F03F7">
          <w:rPr>
            <w:rStyle w:val="Hyperlink"/>
            <w:rFonts w:cstheme="minorHAnsi"/>
            <w:i/>
            <w:sz w:val="20"/>
            <w:szCs w:val="20"/>
            <w:lang w:val="en-GB"/>
          </w:rPr>
          <w:t xml:space="preserve"> edition</w:t>
        </w:r>
      </w:hyperlink>
      <w:r w:rsidRPr="007F03F7">
        <w:rPr>
          <w:rFonts w:cstheme="minorHAnsi"/>
          <w:sz w:val="20"/>
          <w:szCs w:val="20"/>
          <w:lang w:val="en-GB"/>
        </w:rPr>
        <w:t>. 13.</w:t>
      </w:r>
    </w:p>
  </w:endnote>
  <w:endnote w:id="23">
    <w:p w14:paraId="354357E0" w14:textId="77777777" w:rsidR="00611433" w:rsidRPr="007F03F7" w:rsidRDefault="00611433">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U.S. Department of Labour (2019). </w:t>
      </w:r>
      <w:hyperlink r:id="rId16" w:history="1">
        <w:r w:rsidRPr="007F03F7">
          <w:rPr>
            <w:rStyle w:val="Hyperlink"/>
            <w:rFonts w:asciiTheme="minorHAnsi" w:hAnsiTheme="minorHAnsi" w:cstheme="minorHAnsi"/>
            <w:szCs w:val="20"/>
            <w:lang w:val="en-GB"/>
          </w:rPr>
          <w:t>Trafficking in Persons Report</w:t>
        </w:r>
      </w:hyperlink>
      <w:r w:rsidRPr="007F03F7">
        <w:rPr>
          <w:rFonts w:asciiTheme="minorHAnsi" w:hAnsiTheme="minorHAnsi" w:cstheme="minorHAnsi"/>
          <w:i/>
          <w:iCs/>
          <w:szCs w:val="20"/>
          <w:lang w:val="en-GB"/>
        </w:rPr>
        <w:t xml:space="preserve">. </w:t>
      </w:r>
      <w:r w:rsidRPr="007F03F7">
        <w:rPr>
          <w:rFonts w:asciiTheme="minorHAnsi" w:hAnsiTheme="minorHAnsi" w:cstheme="minorHAnsi"/>
          <w:szCs w:val="20"/>
          <w:lang w:val="en-GB"/>
        </w:rPr>
        <w:t xml:space="preserve">202. </w:t>
      </w:r>
    </w:p>
  </w:endnote>
  <w:endnote w:id="24">
    <w:p w14:paraId="738EEF5C" w14:textId="77777777" w:rsidR="00611433" w:rsidRPr="007F03F7" w:rsidRDefault="00611433">
      <w:pPr>
        <w:pStyle w:val="NoSpacing"/>
        <w:rPr>
          <w:rFonts w:cstheme="minorHAnsi"/>
          <w:sz w:val="20"/>
          <w:szCs w:val="20"/>
          <w:lang w:val="en-GB"/>
        </w:rPr>
      </w:pPr>
      <w:r w:rsidRPr="007F03F7">
        <w:rPr>
          <w:rFonts w:cstheme="minorHAnsi"/>
          <w:sz w:val="20"/>
          <w:szCs w:val="20"/>
          <w:vertAlign w:val="superscript"/>
          <w:lang w:val="en-GB"/>
        </w:rPr>
        <w:endnoteRef/>
      </w:r>
      <w:r w:rsidRPr="007F03F7">
        <w:rPr>
          <w:rFonts w:cstheme="minorHAnsi"/>
          <w:sz w:val="20"/>
          <w:szCs w:val="20"/>
          <w:lang w:val="en-GB"/>
        </w:rPr>
        <w:t xml:space="preserve"> ACDHRS. (July 2015). CEDAW. </w:t>
      </w:r>
      <w:hyperlink r:id="rId17" w:history="1">
        <w:r w:rsidRPr="007F03F7">
          <w:rPr>
            <w:rStyle w:val="Hyperlink"/>
            <w:rFonts w:cstheme="minorHAnsi"/>
            <w:i/>
            <w:sz w:val="20"/>
            <w:szCs w:val="20"/>
            <w:lang w:val="en-GB"/>
          </w:rPr>
          <w:t>Concluding observations on the combined fourth and fifth periodic reports of The Gambia</w:t>
        </w:r>
      </w:hyperlink>
      <w:r w:rsidRPr="007F03F7">
        <w:rPr>
          <w:rFonts w:cstheme="minorHAnsi"/>
          <w:sz w:val="20"/>
          <w:szCs w:val="20"/>
          <w:lang w:val="en-GB"/>
        </w:rPr>
        <w:t xml:space="preserve">. 5. </w:t>
      </w:r>
    </w:p>
  </w:endnote>
  <w:endnote w:id="25">
    <w:p w14:paraId="4D818519" w14:textId="77777777" w:rsidR="00611433" w:rsidRPr="00987549" w:rsidRDefault="00611433">
      <w:pPr>
        <w:pStyle w:val="NoSpacing"/>
        <w:rPr>
          <w:rFonts w:cstheme="minorHAnsi"/>
          <w:sz w:val="20"/>
          <w:szCs w:val="20"/>
          <w:lang w:val="en-GB"/>
        </w:rPr>
      </w:pPr>
      <w:r w:rsidRPr="007F03F7">
        <w:rPr>
          <w:rFonts w:cstheme="minorHAnsi"/>
          <w:sz w:val="20"/>
          <w:szCs w:val="20"/>
          <w:vertAlign w:val="superscript"/>
          <w:lang w:val="en-GB"/>
        </w:rPr>
        <w:endnoteRef/>
      </w:r>
      <w:r w:rsidRPr="007F03F7">
        <w:rPr>
          <w:rFonts w:cstheme="minorHAnsi"/>
          <w:sz w:val="20"/>
          <w:szCs w:val="20"/>
          <w:vertAlign w:val="superscript"/>
          <w:lang w:val="en-GB"/>
        </w:rPr>
        <w:t xml:space="preserve"> </w:t>
      </w:r>
      <w:r w:rsidRPr="007F03F7">
        <w:rPr>
          <w:rFonts w:cstheme="minorHAnsi"/>
          <w:sz w:val="20"/>
          <w:szCs w:val="20"/>
          <w:lang w:val="en-GB"/>
        </w:rPr>
        <w:t xml:space="preserve">ACHPR. (August 2018). </w:t>
      </w:r>
      <w:hyperlink r:id="rId18" w:history="1">
        <w:r w:rsidRPr="007F03F7">
          <w:rPr>
            <w:rStyle w:val="Hyperlink"/>
            <w:rFonts w:cstheme="minorHAnsi"/>
            <w:i/>
            <w:sz w:val="20"/>
            <w:szCs w:val="20"/>
            <w:lang w:val="en-GB"/>
          </w:rPr>
          <w:t>The Republic of The Gambia’s combined report on the African Charter on Human &amp; Peoples’ Rights &amp; initial report on the Protocol to the African Charter on the Rights of Women in Africa</w:t>
        </w:r>
      </w:hyperlink>
      <w:r w:rsidRPr="007F03F7">
        <w:rPr>
          <w:rFonts w:cstheme="minorHAnsi"/>
          <w:sz w:val="20"/>
          <w:szCs w:val="20"/>
          <w:lang w:val="en-GB"/>
        </w:rPr>
        <w:t>. 137.</w:t>
      </w:r>
    </w:p>
  </w:endnote>
  <w:endnote w:id="26">
    <w:p w14:paraId="7CDBE07A" w14:textId="77777777" w:rsidR="0065419D" w:rsidRPr="007F03F7" w:rsidRDefault="0065419D">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U.S. Department of State (2019). Trafficking in Persons Report. 202.</w:t>
      </w:r>
    </w:p>
  </w:endnote>
  <w:endnote w:id="27">
    <w:p w14:paraId="1A3FA4B4" w14:textId="77777777" w:rsidR="0065419D" w:rsidRPr="007F03F7" w:rsidRDefault="0065419D">
      <w:pPr>
        <w:pStyle w:val="NoSpacing"/>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UNICEF. (December 2003</w:t>
      </w:r>
      <w:hyperlink r:id="rId19" w:history="1">
        <w:r w:rsidRPr="007F03F7">
          <w:rPr>
            <w:rStyle w:val="Hyperlink"/>
            <w:rFonts w:cstheme="minorHAnsi"/>
            <w:sz w:val="20"/>
            <w:szCs w:val="20"/>
            <w:lang w:val="en-GB"/>
          </w:rPr>
          <w:t>).</w:t>
        </w:r>
        <w:r w:rsidRPr="007F03F7">
          <w:rPr>
            <w:rStyle w:val="Hyperlink"/>
            <w:rFonts w:cstheme="minorHAnsi"/>
            <w:i/>
            <w:sz w:val="20"/>
            <w:szCs w:val="20"/>
            <w:lang w:val="en-GB"/>
          </w:rPr>
          <w:t xml:space="preserve"> Study on the Sexual Abuse and Exploitation of Children in The Gambia</w:t>
        </w:r>
      </w:hyperlink>
      <w:r w:rsidRPr="007F03F7">
        <w:rPr>
          <w:rFonts w:cstheme="minorHAnsi"/>
          <w:sz w:val="20"/>
          <w:szCs w:val="20"/>
          <w:lang w:val="en-GB"/>
        </w:rPr>
        <w:t xml:space="preserve"> and Child Protection Alliance. (January 2003). </w:t>
      </w:r>
      <w:hyperlink r:id="rId20" w:history="1">
        <w:r w:rsidRPr="007F03F7">
          <w:rPr>
            <w:rStyle w:val="Hyperlink"/>
            <w:rFonts w:cstheme="minorHAnsi"/>
            <w:i/>
            <w:sz w:val="20"/>
            <w:szCs w:val="20"/>
            <w:lang w:val="en-GB"/>
          </w:rPr>
          <w:t>Study of Child Sex Tourism in The Gambia</w:t>
        </w:r>
      </w:hyperlink>
      <w:r w:rsidRPr="007F03F7">
        <w:rPr>
          <w:rStyle w:val="Hyperlink"/>
          <w:rFonts w:cstheme="minorHAnsi"/>
          <w:i/>
          <w:sz w:val="20"/>
          <w:szCs w:val="20"/>
          <w:lang w:val="en-GB"/>
        </w:rPr>
        <w:t>.</w:t>
      </w:r>
    </w:p>
  </w:endnote>
  <w:endnote w:id="28">
    <w:p w14:paraId="169E54F3" w14:textId="77777777" w:rsidR="0065419D" w:rsidRPr="007F03F7" w:rsidRDefault="0065419D">
      <w:pPr>
        <w:spacing w:after="0" w:line="240" w:lineRule="auto"/>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w:t>
      </w:r>
      <w:hyperlink r:id="rId21" w:history="1">
        <w:r w:rsidRPr="007F03F7">
          <w:rPr>
            <w:rStyle w:val="Hyperlink"/>
            <w:rFonts w:cstheme="minorHAnsi"/>
            <w:sz w:val="20"/>
            <w:szCs w:val="20"/>
            <w:lang w:val="en-GB"/>
          </w:rPr>
          <w:t>http://povertydata.worldbank.org/poverty/country/GMB</w:t>
        </w:r>
      </w:hyperlink>
    </w:p>
  </w:endnote>
  <w:endnote w:id="29">
    <w:p w14:paraId="532DB3A9" w14:textId="71E38499" w:rsidR="0065419D" w:rsidRPr="007F03F7" w:rsidRDefault="0065419D">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C</w:t>
      </w:r>
      <w:r w:rsidR="00C25169" w:rsidRPr="007F03F7">
        <w:rPr>
          <w:rFonts w:asciiTheme="minorHAnsi" w:hAnsiTheme="minorHAnsi" w:cstheme="minorHAnsi"/>
          <w:szCs w:val="20"/>
          <w:lang w:val="en-GB"/>
        </w:rPr>
        <w:t xml:space="preserve">hild </w:t>
      </w:r>
      <w:r w:rsidRPr="007F03F7">
        <w:rPr>
          <w:rFonts w:asciiTheme="minorHAnsi" w:hAnsiTheme="minorHAnsi" w:cstheme="minorHAnsi"/>
          <w:szCs w:val="20"/>
          <w:lang w:val="en-GB"/>
        </w:rPr>
        <w:t>P</w:t>
      </w:r>
      <w:r w:rsidR="00C25169" w:rsidRPr="007F03F7">
        <w:rPr>
          <w:rFonts w:asciiTheme="minorHAnsi" w:hAnsiTheme="minorHAnsi" w:cstheme="minorHAnsi"/>
          <w:szCs w:val="20"/>
          <w:lang w:val="en-GB"/>
        </w:rPr>
        <w:t xml:space="preserve">rotection </w:t>
      </w:r>
      <w:r w:rsidRPr="007F03F7">
        <w:rPr>
          <w:rFonts w:asciiTheme="minorHAnsi" w:hAnsiTheme="minorHAnsi" w:cstheme="minorHAnsi"/>
          <w:szCs w:val="20"/>
          <w:lang w:val="en-GB"/>
        </w:rPr>
        <w:t>A</w:t>
      </w:r>
      <w:r w:rsidR="00C25169" w:rsidRPr="007F03F7">
        <w:rPr>
          <w:rFonts w:asciiTheme="minorHAnsi" w:hAnsiTheme="minorHAnsi" w:cstheme="minorHAnsi"/>
          <w:szCs w:val="20"/>
          <w:lang w:val="en-GB"/>
        </w:rPr>
        <w:t>lliance</w:t>
      </w:r>
      <w:r w:rsidRPr="007F03F7">
        <w:rPr>
          <w:rFonts w:asciiTheme="minorHAnsi" w:hAnsiTheme="minorHAnsi" w:cstheme="minorHAnsi"/>
          <w:szCs w:val="20"/>
          <w:lang w:val="en-GB"/>
        </w:rPr>
        <w:t xml:space="preserve"> the Gambia. (</w:t>
      </w:r>
      <w:r w:rsidR="00670AAF" w:rsidRPr="00987549">
        <w:rPr>
          <w:rFonts w:asciiTheme="minorHAnsi" w:hAnsiTheme="minorHAnsi" w:cstheme="minorHAnsi"/>
          <w:szCs w:val="20"/>
          <w:lang w:val="en-GB"/>
        </w:rPr>
        <w:t>October 2019</w:t>
      </w:r>
      <w:r w:rsidRPr="007F03F7">
        <w:rPr>
          <w:rFonts w:asciiTheme="minorHAnsi" w:hAnsiTheme="minorHAnsi" w:cstheme="minorHAnsi"/>
          <w:szCs w:val="20"/>
          <w:lang w:val="en-GB"/>
        </w:rPr>
        <w:t xml:space="preserve">). Personal Communication. </w:t>
      </w:r>
    </w:p>
  </w:endnote>
  <w:endnote w:id="30">
    <w:p w14:paraId="1B523BE1" w14:textId="77777777" w:rsidR="0065419D" w:rsidRPr="007F03F7" w:rsidRDefault="0065419D">
      <w:pPr>
        <w:pStyle w:val="NoSpacing"/>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w:t>
      </w:r>
      <w:hyperlink r:id="rId22" w:history="1">
        <w:r w:rsidRPr="007F03F7">
          <w:rPr>
            <w:rStyle w:val="Hyperlink"/>
            <w:rFonts w:cstheme="minorHAnsi"/>
            <w:i/>
            <w:iCs/>
            <w:sz w:val="20"/>
            <w:szCs w:val="20"/>
            <w:lang w:val="en-GB"/>
          </w:rPr>
          <w:t>Children’s Act 2005</w:t>
        </w:r>
      </w:hyperlink>
      <w:r w:rsidRPr="007F03F7">
        <w:rPr>
          <w:rStyle w:val="A18"/>
          <w:rFonts w:cstheme="minorHAnsi"/>
          <w:sz w:val="20"/>
          <w:szCs w:val="20"/>
          <w:lang w:val="en-GB"/>
        </w:rPr>
        <w:t>, section 206 ‘</w:t>
      </w:r>
      <w:r w:rsidRPr="007F03F7">
        <w:rPr>
          <w:rFonts w:cstheme="minorHAnsi"/>
          <w:sz w:val="20"/>
          <w:szCs w:val="20"/>
          <w:lang w:val="en-GB"/>
        </w:rPr>
        <w:t xml:space="preserve">(1) There is hereby established, in The Gambia Police Force, a Child Welfare Unit which shall consist of police officers who are trained to perform the functions of the Unit. (2) The functions of the Unit are to- (a) prevent and control child offences; (b) apprehend children accused of committing offences; (c) investigate child offences; and (d) perform such other duties as may be referred to the Unit under this Act or under regulations made under this Act or by any other enactment. (3) The officers of the Unit shall be specially trained and instructed regularly for the functions conferred on the Unit under subsection (2)’. </w:t>
      </w:r>
    </w:p>
  </w:endnote>
  <w:endnote w:id="31">
    <w:p w14:paraId="3CCFE647" w14:textId="4062D832" w:rsidR="0065419D" w:rsidRPr="007F03F7" w:rsidRDefault="0065419D">
      <w:pPr>
        <w:pStyle w:val="NoSpacing"/>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Child Protection Alliance - The Gambia. (</w:t>
      </w:r>
      <w:r w:rsidR="00670AAF" w:rsidRPr="00987549">
        <w:rPr>
          <w:rFonts w:cstheme="minorHAnsi"/>
          <w:sz w:val="20"/>
          <w:szCs w:val="20"/>
          <w:lang w:val="en-GB"/>
        </w:rPr>
        <w:t>October 2019</w:t>
      </w:r>
      <w:r w:rsidRPr="007F03F7">
        <w:rPr>
          <w:rFonts w:cstheme="minorHAnsi"/>
          <w:sz w:val="20"/>
          <w:szCs w:val="20"/>
          <w:lang w:val="en-GB"/>
        </w:rPr>
        <w:t>) Personal Communication.</w:t>
      </w:r>
    </w:p>
  </w:endnote>
  <w:endnote w:id="32">
    <w:p w14:paraId="0EC20CD6" w14:textId="2C7F86CE" w:rsidR="0065419D" w:rsidRPr="007F03F7" w:rsidRDefault="0065419D">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Chant, S. and Jones, G., ‘Youth Gender and Livelihoods in West Africa: Perspectives from Ghana and The Gambia’, Children’s</w:t>
      </w:r>
      <w:r w:rsidRPr="007F03F7">
        <w:rPr>
          <w:rStyle w:val="A18"/>
          <w:rFonts w:asciiTheme="minorHAnsi" w:hAnsiTheme="minorHAnsi" w:cstheme="minorHAnsi"/>
          <w:i/>
          <w:iCs/>
          <w:szCs w:val="20"/>
          <w:lang w:val="en-GB"/>
        </w:rPr>
        <w:t xml:space="preserve"> Geographies, </w:t>
      </w:r>
      <w:r w:rsidRPr="007F03F7">
        <w:rPr>
          <w:rStyle w:val="A18"/>
          <w:rFonts w:asciiTheme="minorHAnsi" w:hAnsiTheme="minorHAnsi" w:cstheme="minorHAnsi"/>
          <w:szCs w:val="20"/>
          <w:lang w:val="en-GB"/>
        </w:rPr>
        <w:t xml:space="preserve">2005, Vol. 3, No. 2, pp185-199, found in </w:t>
      </w:r>
      <w:r w:rsidRPr="007F03F7">
        <w:rPr>
          <w:rFonts w:asciiTheme="minorHAnsi" w:hAnsiTheme="minorHAnsi" w:cstheme="minorHAnsi"/>
          <w:szCs w:val="20"/>
          <w:lang w:val="en-GB"/>
        </w:rPr>
        <w:t xml:space="preserve">Family for every child and Maestral International. (February 2014). The Gambia child protection system – Mapping and Assessment Report. 20. Information </w:t>
      </w:r>
      <w:r w:rsidRPr="007F03F7">
        <w:rPr>
          <w:rStyle w:val="A18"/>
          <w:rFonts w:asciiTheme="minorHAnsi" w:hAnsiTheme="minorHAnsi" w:cstheme="minorHAnsi"/>
          <w:szCs w:val="20"/>
          <w:lang w:val="en-GB"/>
        </w:rPr>
        <w:t>provided by Child Protection Alliance – The Gambia.</w:t>
      </w:r>
      <w:r w:rsidR="00670AAF" w:rsidRPr="00987549">
        <w:rPr>
          <w:rStyle w:val="A18"/>
          <w:rFonts w:asciiTheme="minorHAnsi" w:hAnsiTheme="minorHAnsi" w:cstheme="minorHAnsi"/>
          <w:szCs w:val="20"/>
          <w:lang w:val="en-GB"/>
        </w:rPr>
        <w:t xml:space="preserve"> (October 2019)</w:t>
      </w:r>
    </w:p>
  </w:endnote>
  <w:endnote w:id="33">
    <w:p w14:paraId="3849393D" w14:textId="7C781759" w:rsidR="00002D55" w:rsidRPr="007F03F7" w:rsidRDefault="00002D55" w:rsidP="007F03F7">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C</w:t>
      </w:r>
      <w:r w:rsidR="00C25169" w:rsidRPr="007F03F7">
        <w:rPr>
          <w:rFonts w:asciiTheme="minorHAnsi" w:hAnsiTheme="minorHAnsi" w:cstheme="minorHAnsi"/>
          <w:szCs w:val="20"/>
          <w:lang w:val="en-GB"/>
        </w:rPr>
        <w:t xml:space="preserve">hild </w:t>
      </w:r>
      <w:r w:rsidRPr="007F03F7">
        <w:rPr>
          <w:rFonts w:asciiTheme="minorHAnsi" w:hAnsiTheme="minorHAnsi" w:cstheme="minorHAnsi"/>
          <w:szCs w:val="20"/>
          <w:lang w:val="en-GB"/>
        </w:rPr>
        <w:t>P</w:t>
      </w:r>
      <w:r w:rsidR="00C25169" w:rsidRPr="007F03F7">
        <w:rPr>
          <w:rFonts w:asciiTheme="minorHAnsi" w:hAnsiTheme="minorHAnsi" w:cstheme="minorHAnsi"/>
          <w:szCs w:val="20"/>
          <w:lang w:val="en-GB"/>
        </w:rPr>
        <w:t xml:space="preserve">rotection </w:t>
      </w:r>
      <w:r w:rsidRPr="007F03F7">
        <w:rPr>
          <w:rFonts w:asciiTheme="minorHAnsi" w:hAnsiTheme="minorHAnsi" w:cstheme="minorHAnsi"/>
          <w:szCs w:val="20"/>
          <w:lang w:val="en-GB"/>
        </w:rPr>
        <w:t>A</w:t>
      </w:r>
      <w:r w:rsidR="00C25169" w:rsidRPr="007F03F7">
        <w:rPr>
          <w:rFonts w:asciiTheme="minorHAnsi" w:hAnsiTheme="minorHAnsi" w:cstheme="minorHAnsi"/>
          <w:szCs w:val="20"/>
          <w:lang w:val="en-GB"/>
        </w:rPr>
        <w:t>lliance</w:t>
      </w:r>
      <w:r w:rsidRPr="007F03F7">
        <w:rPr>
          <w:rFonts w:asciiTheme="minorHAnsi" w:hAnsiTheme="minorHAnsi" w:cstheme="minorHAnsi"/>
          <w:szCs w:val="20"/>
          <w:lang w:val="en-GB"/>
        </w:rPr>
        <w:t>-</w:t>
      </w:r>
      <w:r w:rsidR="00C25169" w:rsidRPr="007F03F7">
        <w:rPr>
          <w:rFonts w:asciiTheme="minorHAnsi" w:hAnsiTheme="minorHAnsi" w:cstheme="minorHAnsi"/>
          <w:szCs w:val="20"/>
          <w:lang w:val="en-GB"/>
        </w:rPr>
        <w:t xml:space="preserve"> The Gambia (October 2019)</w:t>
      </w:r>
      <w:r w:rsidRPr="007F03F7">
        <w:rPr>
          <w:rFonts w:asciiTheme="minorHAnsi" w:hAnsiTheme="minorHAnsi" w:cstheme="minorHAnsi"/>
          <w:szCs w:val="20"/>
          <w:lang w:val="en-GB"/>
        </w:rPr>
        <w:t xml:space="preserve"> Personal Communication</w:t>
      </w:r>
      <w:r w:rsidR="00C25169" w:rsidRPr="007F03F7">
        <w:rPr>
          <w:rFonts w:asciiTheme="minorHAnsi" w:hAnsiTheme="minorHAnsi" w:cstheme="minorHAnsi"/>
          <w:szCs w:val="20"/>
          <w:lang w:val="en-GB"/>
        </w:rPr>
        <w:t>.</w:t>
      </w:r>
    </w:p>
  </w:endnote>
  <w:endnote w:id="34">
    <w:p w14:paraId="45731574" w14:textId="77777777" w:rsidR="0065419D" w:rsidRPr="007F03F7" w:rsidRDefault="0065419D">
      <w:pPr>
        <w:pStyle w:val="EndnoteText"/>
        <w:spacing w:after="0" w:line="240" w:lineRule="auto"/>
        <w:contextualSpacing/>
        <w:jc w:val="both"/>
        <w:rPr>
          <w:rStyle w:val="A18"/>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ACHPR (August 2018). </w:t>
      </w:r>
      <w:hyperlink r:id="rId23" w:history="1">
        <w:r w:rsidRPr="007F03F7">
          <w:rPr>
            <w:rStyle w:val="Hyperlink"/>
            <w:rFonts w:asciiTheme="minorHAnsi" w:hAnsiTheme="minorHAnsi" w:cstheme="minorHAnsi"/>
            <w:i/>
            <w:szCs w:val="20"/>
            <w:lang w:val="en-GB"/>
          </w:rPr>
          <w:t>The Republic of The Gambia’s combined report on the African Charter on Human &amp; Peoples’ Rights &amp; initial report on the Protocol to the African Charter on the Rights of Women in Africa</w:t>
        </w:r>
      </w:hyperlink>
      <w:r w:rsidRPr="007F03F7">
        <w:rPr>
          <w:rFonts w:asciiTheme="minorHAnsi" w:hAnsiTheme="minorHAnsi" w:cstheme="minorHAnsi"/>
          <w:szCs w:val="20"/>
          <w:lang w:val="en-GB"/>
        </w:rPr>
        <w:t>.</w:t>
      </w:r>
    </w:p>
  </w:endnote>
  <w:endnote w:id="35">
    <w:p w14:paraId="0141CF4A" w14:textId="4DC171E5" w:rsidR="00002D55" w:rsidRPr="007F03F7" w:rsidRDefault="00002D55" w:rsidP="007F03F7">
      <w:pPr>
        <w:pStyle w:val="EndnoteText"/>
        <w:spacing w:after="0" w:line="240" w:lineRule="auto"/>
        <w:rPr>
          <w:rFonts w:asciiTheme="minorHAnsi" w:hAnsiTheme="minorHAnsi" w:cstheme="minorHAnsi"/>
          <w:szCs w:val="20"/>
        </w:rPr>
      </w:pPr>
      <w:r w:rsidRPr="007F03F7">
        <w:rPr>
          <w:rStyle w:val="EndnoteReference"/>
          <w:rFonts w:asciiTheme="minorHAnsi" w:hAnsiTheme="minorHAnsi" w:cstheme="minorHAnsi"/>
          <w:szCs w:val="20"/>
        </w:rPr>
        <w:endnoteRef/>
      </w:r>
      <w:r w:rsidR="00C25169" w:rsidRPr="007F03F7">
        <w:rPr>
          <w:rFonts w:asciiTheme="minorHAnsi" w:hAnsiTheme="minorHAnsi" w:cstheme="minorHAnsi"/>
          <w:szCs w:val="20"/>
        </w:rPr>
        <w:t xml:space="preserve"> Child Protection Alliance- The Gambia </w:t>
      </w:r>
      <w:r w:rsidR="0034755B" w:rsidRPr="007F03F7">
        <w:rPr>
          <w:rFonts w:asciiTheme="minorHAnsi" w:hAnsiTheme="minorHAnsi" w:cstheme="minorHAnsi"/>
          <w:szCs w:val="20"/>
        </w:rPr>
        <w:t>(October 2019)</w:t>
      </w:r>
      <w:r w:rsidR="00C25169" w:rsidRPr="007F03F7">
        <w:rPr>
          <w:rFonts w:asciiTheme="minorHAnsi" w:hAnsiTheme="minorHAnsi" w:cstheme="minorHAnsi"/>
          <w:szCs w:val="20"/>
        </w:rPr>
        <w:t xml:space="preserve"> Personal Communication.</w:t>
      </w:r>
    </w:p>
  </w:endnote>
  <w:endnote w:id="36">
    <w:p w14:paraId="3F1D2697" w14:textId="66933AF2" w:rsidR="00FB0338" w:rsidRPr="007F03F7" w:rsidRDefault="00FB0338" w:rsidP="007F03F7">
      <w:pPr>
        <w:pStyle w:val="EndnoteText"/>
        <w:spacing w:after="0" w:line="240" w:lineRule="auto"/>
        <w:rPr>
          <w:rFonts w:asciiTheme="minorHAnsi" w:hAnsiTheme="minorHAnsi" w:cstheme="minorHAnsi"/>
          <w:szCs w:val="20"/>
        </w:rPr>
      </w:pPr>
      <w:r w:rsidRPr="007F03F7">
        <w:rPr>
          <w:rStyle w:val="EndnoteReference"/>
          <w:rFonts w:asciiTheme="minorHAnsi" w:hAnsiTheme="minorHAnsi" w:cstheme="minorHAnsi"/>
          <w:szCs w:val="20"/>
        </w:rPr>
        <w:endnoteRef/>
      </w:r>
      <w:r w:rsidRPr="007F03F7">
        <w:rPr>
          <w:rFonts w:asciiTheme="minorHAnsi" w:hAnsiTheme="minorHAnsi" w:cstheme="minorHAnsi"/>
          <w:szCs w:val="20"/>
        </w:rPr>
        <w:t xml:space="preserve"> </w:t>
      </w:r>
      <w:r w:rsidR="00C25169" w:rsidRPr="007F03F7">
        <w:rPr>
          <w:rFonts w:asciiTheme="minorHAnsi" w:hAnsiTheme="minorHAnsi" w:cstheme="minorHAnsi"/>
          <w:szCs w:val="20"/>
        </w:rPr>
        <w:t xml:space="preserve">Child Protection Alliance- The Gambia (October 2019) </w:t>
      </w:r>
      <w:r w:rsidRPr="007F03F7">
        <w:rPr>
          <w:rFonts w:asciiTheme="minorHAnsi" w:hAnsiTheme="minorHAnsi" w:cstheme="minorHAnsi"/>
          <w:szCs w:val="20"/>
        </w:rPr>
        <w:t>Personal Communication</w:t>
      </w:r>
      <w:r w:rsidR="00C25169" w:rsidRPr="007F03F7">
        <w:rPr>
          <w:rFonts w:asciiTheme="minorHAnsi" w:hAnsiTheme="minorHAnsi" w:cstheme="minorHAnsi"/>
          <w:szCs w:val="20"/>
        </w:rPr>
        <w:t>.</w:t>
      </w:r>
    </w:p>
  </w:endnote>
  <w:endnote w:id="37">
    <w:p w14:paraId="6B0AE751" w14:textId="51A403E6" w:rsidR="0065419D" w:rsidRPr="007F03F7" w:rsidRDefault="0065419D">
      <w:pPr>
        <w:pStyle w:val="NoSpacing"/>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Information provided by Child Protection Alliance - The Gambia.</w:t>
      </w:r>
      <w:r w:rsidR="00375F15" w:rsidRPr="00987549">
        <w:rPr>
          <w:rFonts w:cstheme="minorHAnsi"/>
          <w:sz w:val="20"/>
          <w:szCs w:val="20"/>
          <w:lang w:val="en-GB"/>
        </w:rPr>
        <w:t xml:space="preserve"> (October 2019)</w:t>
      </w:r>
    </w:p>
  </w:endnote>
  <w:endnote w:id="38">
    <w:p w14:paraId="1C590903" w14:textId="77777777" w:rsidR="0065419D" w:rsidRPr="007F03F7" w:rsidRDefault="0065419D">
      <w:pPr>
        <w:pStyle w:val="NoSpacing"/>
        <w:rPr>
          <w:rStyle w:val="A18"/>
          <w:rFonts w:cstheme="minorHAnsi"/>
          <w:sz w:val="20"/>
          <w:szCs w:val="20"/>
          <w:lang w:val="en-GB"/>
        </w:rPr>
      </w:pPr>
      <w:r w:rsidRPr="007F03F7">
        <w:rPr>
          <w:rStyle w:val="EndnoteReference"/>
          <w:rFonts w:cstheme="minorHAnsi"/>
          <w:i/>
          <w:sz w:val="20"/>
          <w:szCs w:val="20"/>
          <w:lang w:val="en-GB"/>
        </w:rPr>
        <w:endnoteRef/>
      </w:r>
      <w:r w:rsidRPr="007F03F7">
        <w:rPr>
          <w:rFonts w:cstheme="minorHAnsi"/>
          <w:i/>
          <w:sz w:val="20"/>
          <w:szCs w:val="20"/>
          <w:lang w:val="en-GB"/>
        </w:rPr>
        <w:t xml:space="preserve"> </w:t>
      </w:r>
      <w:hyperlink r:id="rId24" w:history="1">
        <w:r w:rsidRPr="007F03F7">
          <w:rPr>
            <w:rStyle w:val="Hyperlink"/>
            <w:rFonts w:cstheme="minorHAnsi"/>
            <w:sz w:val="20"/>
            <w:szCs w:val="20"/>
            <w:lang w:val="en-GB"/>
          </w:rPr>
          <w:t>Criminal Code</w:t>
        </w:r>
      </w:hyperlink>
      <w:r w:rsidRPr="007F03F7">
        <w:rPr>
          <w:rStyle w:val="A18"/>
          <w:rFonts w:cstheme="minorHAnsi"/>
          <w:sz w:val="20"/>
          <w:szCs w:val="20"/>
          <w:lang w:val="en-GB"/>
        </w:rPr>
        <w:t xml:space="preserve"> Cap. 10 Vol. III Laws of The Gambia 1990, sections 129 and 130. ’Section 129: Any person who- a) procures or attempts to procure any girl or woman under the age of twenty-one years to have unlawful carnal connection, either in The Gambia or elsewhere, with any other person or persons; b) procures or attempts to procure any woman or girl to become, either in The Gambia or elsewhere, a common prostitute; c) procures or attempts to procure any woman or girl to leave The Gambia, with intent that she may become an inmate of or frequent a brothel elsewhere; or d) procures or attempts to procure any woman or girl to leave her usual place of abode in The Gambia, with intent that she may for the purpose of prostitution become an inmate of or frequent a brothel either in The Gambia or elsewhere, is guilty of a misdemeanour. […] Section 130: Any person who- (a) by threats or intimidation procures or attempts to procure any woman or girl to have unlawful carnal connection, either in The Gambia or anywhere; (b) by false pretences or false representations procures any woman or girl to have any unlawful carnal connection, either in The Gambia or anywhere; or (c) applies or administers to, or causes to be taken by any woman or girl any drug, matter or thing, with intent to stupefy or overpower so as thereby to enable any person to have unlawful carnal connection with such woman or girl, is guilty of a misdemeanour.’</w:t>
      </w:r>
    </w:p>
  </w:endnote>
  <w:endnote w:id="39">
    <w:p w14:paraId="1EBB71DD" w14:textId="77777777" w:rsidR="0065419D" w:rsidRPr="007F03F7" w:rsidRDefault="0065419D">
      <w:pPr>
        <w:pStyle w:val="NoSpacing"/>
        <w:rPr>
          <w:rStyle w:val="A18"/>
          <w:rFonts w:cstheme="minorHAnsi"/>
          <w:sz w:val="20"/>
          <w:szCs w:val="20"/>
          <w:lang w:val="en-GB"/>
        </w:rPr>
      </w:pPr>
      <w:r w:rsidRPr="007F03F7">
        <w:rPr>
          <w:rStyle w:val="A18"/>
          <w:rFonts w:cstheme="minorHAnsi"/>
          <w:sz w:val="20"/>
          <w:szCs w:val="20"/>
          <w:vertAlign w:val="superscript"/>
          <w:lang w:val="en-GB"/>
        </w:rPr>
        <w:endnoteRef/>
      </w:r>
      <w:r w:rsidRPr="007F03F7">
        <w:rPr>
          <w:rStyle w:val="A18"/>
          <w:rFonts w:cstheme="minorHAnsi"/>
          <w:sz w:val="20"/>
          <w:szCs w:val="20"/>
          <w:vertAlign w:val="superscript"/>
          <w:lang w:val="en-GB"/>
        </w:rPr>
        <w:t xml:space="preserve"> </w:t>
      </w:r>
      <w:r w:rsidRPr="007F03F7">
        <w:rPr>
          <w:rStyle w:val="A18"/>
          <w:rFonts w:cstheme="minorHAnsi"/>
          <w:i/>
          <w:sz w:val="20"/>
          <w:szCs w:val="20"/>
          <w:lang w:val="en-GB"/>
        </w:rPr>
        <w:t>Criminal Code</w:t>
      </w:r>
      <w:r w:rsidRPr="007F03F7">
        <w:rPr>
          <w:rStyle w:val="A18"/>
          <w:rFonts w:cstheme="minorHAnsi"/>
          <w:sz w:val="20"/>
          <w:szCs w:val="20"/>
          <w:lang w:val="en-GB"/>
        </w:rPr>
        <w:t>, Articles 29(1) &amp; (2), 31, 32, ‘Article 29. (1) No person who has the custody, charge or care of a child shall cause or encourage the seduction of, sexual assault on or prostitution of, or the commission of an indecent assault on the child. (2) A person who contravenes subsection (1) commits an offence and is liable on conviction to imprisonment for ten years. [...] Article 31. (1) No person shall—(a) procure, use or offer a child for prostitution [...] (2) A person who contravenes subsection (1) commits an offence and is liable on conviction to imprisonment for fourteen years without an option of fine. Article 32. (1) No person shall organise, promote or encourage foreign travel which promotes child prostitution. (2) A person who contravenes subsection (1) commits and offence and is liable on conviction to a fine of not less than two hundred thousand dalasi or imprisonment for a term not exceeding ten years, or to both the fine and imprisonment.’, Children’s Act 2005.</w:t>
      </w:r>
    </w:p>
  </w:endnote>
  <w:endnote w:id="40">
    <w:p w14:paraId="180BE07D" w14:textId="77777777" w:rsidR="0065419D" w:rsidRPr="007F03F7" w:rsidRDefault="0065419D">
      <w:pPr>
        <w:pStyle w:val="NoSpacing"/>
        <w:rPr>
          <w:rFonts w:cstheme="minorHAnsi"/>
          <w:sz w:val="20"/>
          <w:szCs w:val="20"/>
          <w:lang w:val="en-GB"/>
        </w:rPr>
      </w:pPr>
      <w:r w:rsidRPr="007F03F7">
        <w:rPr>
          <w:rStyle w:val="A18"/>
          <w:rFonts w:cstheme="minorHAnsi"/>
          <w:sz w:val="20"/>
          <w:szCs w:val="20"/>
          <w:vertAlign w:val="superscript"/>
          <w:lang w:val="en-GB"/>
        </w:rPr>
        <w:endnoteRef/>
      </w:r>
      <w:r w:rsidRPr="007F03F7">
        <w:rPr>
          <w:rStyle w:val="A18"/>
          <w:rFonts w:cstheme="minorHAnsi"/>
          <w:sz w:val="20"/>
          <w:szCs w:val="20"/>
          <w:lang w:val="en-GB"/>
        </w:rPr>
        <w:t xml:space="preserve"> </w:t>
      </w:r>
      <w:hyperlink r:id="rId25" w:history="1">
        <w:r w:rsidRPr="007F03F7">
          <w:rPr>
            <w:rStyle w:val="Hyperlink"/>
            <w:rFonts w:cstheme="minorHAnsi"/>
            <w:i/>
            <w:sz w:val="20"/>
            <w:szCs w:val="20"/>
            <w:lang w:val="en-GB"/>
          </w:rPr>
          <w:t>Children’s Act 2005</w:t>
        </w:r>
      </w:hyperlink>
      <w:r w:rsidRPr="007F03F7">
        <w:rPr>
          <w:rStyle w:val="A18"/>
          <w:rFonts w:cstheme="minorHAnsi"/>
          <w:sz w:val="20"/>
          <w:szCs w:val="20"/>
          <w:lang w:val="en-GB"/>
        </w:rPr>
        <w:t>, section 31 ‘(1) No person shall—(a) procure, use or offer a child for prostitution [...] (2) A person who contravenes subsection (1) commits an offence and is liable on conviction to imprisonment for fourteen years without an option of fine.’</w:t>
      </w:r>
    </w:p>
  </w:endnote>
  <w:endnote w:id="41">
    <w:p w14:paraId="1AAFCD8A" w14:textId="77777777" w:rsidR="0065419D" w:rsidRPr="007F03F7" w:rsidRDefault="0065419D">
      <w:pPr>
        <w:pStyle w:val="NoSpacing"/>
        <w:rPr>
          <w:rStyle w:val="A18"/>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w:t>
      </w:r>
      <w:r w:rsidRPr="007F03F7">
        <w:rPr>
          <w:rStyle w:val="A18"/>
          <w:rFonts w:cstheme="minorHAnsi"/>
          <w:i/>
          <w:iCs/>
          <w:sz w:val="20"/>
          <w:szCs w:val="20"/>
          <w:lang w:val="en-GB"/>
        </w:rPr>
        <w:t>Ibid.,</w:t>
      </w:r>
      <w:r w:rsidRPr="007F03F7">
        <w:rPr>
          <w:rStyle w:val="A18"/>
          <w:rFonts w:cstheme="minorHAnsi"/>
          <w:sz w:val="20"/>
          <w:szCs w:val="20"/>
          <w:lang w:val="en-GB"/>
        </w:rPr>
        <w:t xml:space="preserve"> section 29(3) ‘A person is deemed to have caused or encouraged the seduction of, sexual assault on or prostitution of, or the commission of an indecent assault on, a child if the person knowingly allows the child to consort with, or to enter or continue in the employment of, any prostitute or other person of known immoral character.’</w:t>
      </w:r>
    </w:p>
  </w:endnote>
  <w:endnote w:id="42">
    <w:p w14:paraId="656CEE76" w14:textId="77777777" w:rsidR="0065419D" w:rsidRPr="007F03F7" w:rsidRDefault="0065419D">
      <w:pPr>
        <w:pStyle w:val="NoSpacing"/>
        <w:rPr>
          <w:rFonts w:cstheme="minorHAnsi"/>
          <w:sz w:val="20"/>
          <w:szCs w:val="20"/>
          <w:lang w:val="en-GB"/>
        </w:rPr>
      </w:pPr>
      <w:r w:rsidRPr="007F03F7">
        <w:rPr>
          <w:rStyle w:val="A18"/>
          <w:rFonts w:cstheme="minorHAnsi"/>
          <w:sz w:val="20"/>
          <w:szCs w:val="20"/>
          <w:vertAlign w:val="superscript"/>
          <w:lang w:val="en-GB"/>
        </w:rPr>
        <w:endnoteRef/>
      </w:r>
      <w:r w:rsidRPr="007F03F7">
        <w:rPr>
          <w:rStyle w:val="A18"/>
          <w:rFonts w:cstheme="minorHAnsi"/>
          <w:sz w:val="20"/>
          <w:szCs w:val="20"/>
          <w:lang w:val="en-GB"/>
        </w:rPr>
        <w:t xml:space="preserve"> </w:t>
      </w:r>
      <w:r w:rsidRPr="007F03F7">
        <w:rPr>
          <w:rStyle w:val="A18"/>
          <w:rFonts w:cstheme="minorHAnsi"/>
          <w:i/>
          <w:sz w:val="20"/>
          <w:szCs w:val="20"/>
          <w:lang w:val="en-GB"/>
        </w:rPr>
        <w:t>Ibid.,</w:t>
      </w:r>
      <w:r w:rsidRPr="007F03F7">
        <w:rPr>
          <w:rStyle w:val="A18"/>
          <w:rFonts w:cstheme="minorHAnsi"/>
          <w:sz w:val="20"/>
          <w:szCs w:val="20"/>
          <w:lang w:val="en-GB"/>
        </w:rPr>
        <w:t xml:space="preserve"> section 26(1) ‘No person shall- export from The Gambia any place outside The Gambia any child with intent that he or she may be, or knowing that it Is likely that he or she will be forced or seduced into prostitution in that place; or import into The Gambia from any place outside The Gambia, any child with intent that he or she may be, or knowing that it Is likely that he or she will be forced into prostitution anywhere in The Gambia.’</w:t>
      </w:r>
    </w:p>
  </w:endnote>
  <w:endnote w:id="43">
    <w:p w14:paraId="1F052213" w14:textId="77777777" w:rsidR="0065419D" w:rsidRPr="007F03F7" w:rsidRDefault="0065419D">
      <w:pPr>
        <w:pStyle w:val="NoSpacing"/>
        <w:rPr>
          <w:rStyle w:val="A18"/>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w:t>
      </w:r>
      <w:r w:rsidRPr="007F03F7">
        <w:rPr>
          <w:rStyle w:val="A18"/>
          <w:rFonts w:cstheme="minorHAnsi"/>
          <w:i/>
          <w:iCs/>
          <w:sz w:val="20"/>
          <w:szCs w:val="20"/>
          <w:lang w:val="en-GB"/>
        </w:rPr>
        <w:t>Ibid.,</w:t>
      </w:r>
      <w:r w:rsidRPr="007F03F7">
        <w:rPr>
          <w:rStyle w:val="A18"/>
          <w:rFonts w:cstheme="minorHAnsi"/>
          <w:sz w:val="20"/>
          <w:szCs w:val="20"/>
          <w:lang w:val="en-GB"/>
        </w:rPr>
        <w:t xml:space="preserve"> section 37, ‘(1) A person shall no sell, hire, let or otherwise obtain possession or dispose of a child with intent that the child shall be empowered or used for the immoral purposes or knowing it is likely that the child will be employed or used for that purpose. (2) A person who contravenes subsection (1) commits an offence and is liable on conviction to imprisonment for fourteen years.’</w:t>
      </w:r>
    </w:p>
  </w:endnote>
  <w:endnote w:id="44">
    <w:p w14:paraId="22F8FA63" w14:textId="77777777" w:rsidR="0065419D" w:rsidRPr="007F03F7" w:rsidRDefault="0065419D">
      <w:pPr>
        <w:pStyle w:val="NoSpacing"/>
        <w:rPr>
          <w:rStyle w:val="A18"/>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w:t>
      </w:r>
      <w:hyperlink r:id="rId26" w:history="1">
        <w:r w:rsidRPr="007F03F7">
          <w:rPr>
            <w:rStyle w:val="Hyperlink"/>
            <w:rFonts w:cstheme="minorHAnsi"/>
            <w:i/>
            <w:iCs/>
            <w:sz w:val="20"/>
            <w:szCs w:val="20"/>
            <w:lang w:val="en-GB"/>
          </w:rPr>
          <w:t>Children’s Act 2005</w:t>
        </w:r>
      </w:hyperlink>
      <w:r w:rsidRPr="007F03F7">
        <w:rPr>
          <w:rStyle w:val="A18"/>
          <w:rFonts w:cstheme="minorHAnsi"/>
          <w:sz w:val="20"/>
          <w:szCs w:val="20"/>
          <w:lang w:val="en-GB"/>
        </w:rPr>
        <w:t>, sections 27(1) and 34. ‘Section 27(1) No person shall by the use of deception, coercion, debt bondage or any means whatsoever induce a child to go from one place to another to do any act with intent that the child may be, or knowing that it is likely that he or she will be, forced or seduced to have sexual intercourse with another person; or in order to gratify the passions of another person, procures, entices or leads away, even with his or her consent, a child for immoral purpose. […] Section 34 (1) A person who by false pretence, threat or intimidation of any kind procures a child to have sexual intercourse with any person or an animal, or for any person to use a sex gadget or device on the child, either in The Gambia or an place outside The Gambia; or administers to a child or causes a child to take any drug or other thing with intent to stupefy or overpower him or her in order to enable the person or any other person to have sexual intercourse with or to use a sex device or gadget on the child, commits an offence and is liable on conviction to a fine of five hundred thousand dalasi or imprisonment for ten year or to both the fine and imprisonment. (2) A personal shall not be convicted of an offence under subsection (1) on the uncorroborated testimony of one witness.’</w:t>
      </w:r>
    </w:p>
  </w:endnote>
  <w:endnote w:id="45">
    <w:p w14:paraId="44AA6661" w14:textId="77777777" w:rsidR="0065419D" w:rsidRPr="007F03F7" w:rsidRDefault="0065419D">
      <w:pPr>
        <w:pStyle w:val="NoSpacing"/>
        <w:rPr>
          <w:rFonts w:cstheme="minorHAnsi"/>
          <w:sz w:val="20"/>
          <w:szCs w:val="20"/>
          <w:lang w:val="en-GB"/>
        </w:rPr>
      </w:pPr>
      <w:r w:rsidRPr="007F03F7">
        <w:rPr>
          <w:rStyle w:val="A18"/>
          <w:rFonts w:cstheme="minorHAnsi"/>
          <w:sz w:val="20"/>
          <w:szCs w:val="20"/>
          <w:vertAlign w:val="superscript"/>
          <w:lang w:val="en-GB"/>
        </w:rPr>
        <w:endnoteRef/>
      </w:r>
      <w:r w:rsidRPr="007F03F7">
        <w:rPr>
          <w:rStyle w:val="A18"/>
          <w:rFonts w:cstheme="minorHAnsi"/>
          <w:sz w:val="20"/>
          <w:szCs w:val="20"/>
          <w:lang w:val="en-GB"/>
        </w:rPr>
        <w:t xml:space="preserve"> </w:t>
      </w:r>
      <w:r w:rsidRPr="007F03F7">
        <w:rPr>
          <w:rStyle w:val="A18"/>
          <w:rFonts w:cstheme="minorHAnsi"/>
          <w:i/>
          <w:sz w:val="20"/>
          <w:szCs w:val="20"/>
          <w:lang w:val="en-GB"/>
        </w:rPr>
        <w:t>Ibid.,</w:t>
      </w:r>
      <w:r w:rsidRPr="007F03F7">
        <w:rPr>
          <w:rStyle w:val="A18"/>
          <w:rFonts w:cstheme="minorHAnsi"/>
          <w:sz w:val="20"/>
          <w:szCs w:val="20"/>
          <w:lang w:val="en-GB"/>
        </w:rPr>
        <w:t xml:space="preserve"> section 38(1) ‘A person shall not—(a) cause or encourage the seduction or prostitution of a child; (b) keep a brothel; (c) permit the defilement of a child in his or her premises; (d) allow a child to be in a brothel; (e) trade in prostitution; (f) procure, use or offer a child for the production of pornography or for pornographic performance; or (g) procure a child into prostitution.’</w:t>
      </w:r>
    </w:p>
  </w:endnote>
  <w:endnote w:id="46">
    <w:p w14:paraId="58267CD7" w14:textId="77777777" w:rsidR="0065419D" w:rsidRPr="007F03F7" w:rsidRDefault="0065419D">
      <w:pPr>
        <w:pStyle w:val="NoSpacing"/>
        <w:rPr>
          <w:rStyle w:val="A18"/>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w:t>
      </w:r>
      <w:r w:rsidRPr="007F03F7">
        <w:rPr>
          <w:rStyle w:val="A18"/>
          <w:rFonts w:cstheme="minorHAnsi"/>
          <w:i/>
          <w:iCs/>
          <w:sz w:val="20"/>
          <w:szCs w:val="20"/>
          <w:lang w:val="en-GB"/>
        </w:rPr>
        <w:t>Ibid.,</w:t>
      </w:r>
      <w:r w:rsidRPr="007F03F7">
        <w:rPr>
          <w:rStyle w:val="A18"/>
          <w:rFonts w:cstheme="minorHAnsi"/>
          <w:sz w:val="20"/>
          <w:szCs w:val="20"/>
          <w:lang w:val="en-GB"/>
        </w:rPr>
        <w:t xml:space="preserve"> section 29 ‘(1) No person who has the custody, charge or care of a child shall cause or encourage the seduction of, sexual assault on or prostitution of, or the commission of an indecent assault on the child. (2) A person who contravenes subsection (1) commits an offence and is liable on conviction to imprisonment for ten years.’</w:t>
      </w:r>
    </w:p>
  </w:endnote>
  <w:endnote w:id="47">
    <w:p w14:paraId="579029A2" w14:textId="77777777" w:rsidR="0065419D" w:rsidRPr="007F03F7" w:rsidRDefault="0065419D">
      <w:pPr>
        <w:pStyle w:val="NoSpacing"/>
        <w:rPr>
          <w:rStyle w:val="A18"/>
          <w:rFonts w:cstheme="minorHAnsi"/>
          <w:sz w:val="20"/>
          <w:szCs w:val="20"/>
          <w:lang w:val="en-GB"/>
        </w:rPr>
      </w:pPr>
      <w:r w:rsidRPr="007F03F7">
        <w:rPr>
          <w:rStyle w:val="A18"/>
          <w:rFonts w:cstheme="minorHAnsi"/>
          <w:sz w:val="20"/>
          <w:szCs w:val="20"/>
          <w:vertAlign w:val="superscript"/>
          <w:lang w:val="en-GB"/>
        </w:rPr>
        <w:endnoteRef/>
      </w:r>
      <w:r w:rsidRPr="007F03F7">
        <w:rPr>
          <w:rStyle w:val="A18"/>
          <w:rFonts w:cstheme="minorHAnsi"/>
          <w:sz w:val="20"/>
          <w:szCs w:val="20"/>
          <w:lang w:val="en-GB"/>
        </w:rPr>
        <w:t xml:space="preserve"> </w:t>
      </w:r>
      <w:r w:rsidRPr="007F03F7">
        <w:rPr>
          <w:rStyle w:val="A18"/>
          <w:rFonts w:cstheme="minorHAnsi"/>
          <w:i/>
          <w:sz w:val="20"/>
          <w:szCs w:val="20"/>
          <w:lang w:val="en-GB"/>
        </w:rPr>
        <w:t>Ibid.,</w:t>
      </w:r>
      <w:r w:rsidRPr="007F03F7">
        <w:rPr>
          <w:rStyle w:val="A18"/>
          <w:rFonts w:cstheme="minorHAnsi"/>
          <w:sz w:val="20"/>
          <w:szCs w:val="20"/>
          <w:lang w:val="en-GB"/>
        </w:rPr>
        <w:t xml:space="preserve"> section 33(1) ‘No person shall detain a child in or on any premises in order to sexually assault him or her or to have him or her sexually assaulted by any other person.’</w:t>
      </w:r>
    </w:p>
  </w:endnote>
  <w:endnote w:id="48">
    <w:p w14:paraId="509A0A69" w14:textId="77777777" w:rsidR="0065419D" w:rsidRPr="007F03F7" w:rsidRDefault="0065419D">
      <w:pPr>
        <w:pStyle w:val="NoSpacing"/>
        <w:rPr>
          <w:rFonts w:cstheme="minorHAnsi"/>
          <w:sz w:val="20"/>
          <w:szCs w:val="20"/>
          <w:lang w:val="en-GB"/>
        </w:rPr>
      </w:pPr>
      <w:r w:rsidRPr="007F03F7">
        <w:rPr>
          <w:rStyle w:val="A18"/>
          <w:rFonts w:cstheme="minorHAnsi"/>
          <w:sz w:val="20"/>
          <w:szCs w:val="20"/>
          <w:vertAlign w:val="superscript"/>
          <w:lang w:val="en-GB"/>
        </w:rPr>
        <w:endnoteRef/>
      </w:r>
      <w:r w:rsidRPr="007F03F7">
        <w:rPr>
          <w:rStyle w:val="A18"/>
          <w:rFonts w:cstheme="minorHAnsi"/>
          <w:sz w:val="20"/>
          <w:szCs w:val="20"/>
          <w:lang w:val="en-GB"/>
        </w:rPr>
        <w:t xml:space="preserve"> </w:t>
      </w:r>
      <w:hyperlink r:id="rId27" w:history="1">
        <w:r w:rsidRPr="007F03F7">
          <w:rPr>
            <w:rStyle w:val="Hyperlink"/>
            <w:rFonts w:cstheme="minorHAnsi"/>
            <w:i/>
            <w:sz w:val="20"/>
            <w:szCs w:val="20"/>
            <w:lang w:val="en-GB"/>
          </w:rPr>
          <w:t>Children’s</w:t>
        </w:r>
        <w:r w:rsidRPr="007F03F7">
          <w:rPr>
            <w:rStyle w:val="Hyperlink"/>
            <w:rFonts w:cstheme="minorHAnsi"/>
            <w:i/>
            <w:iCs/>
            <w:sz w:val="20"/>
            <w:szCs w:val="20"/>
            <w:lang w:val="en-GB"/>
          </w:rPr>
          <w:t xml:space="preserve"> Act 2005</w:t>
        </w:r>
      </w:hyperlink>
      <w:r w:rsidRPr="007F03F7">
        <w:rPr>
          <w:rStyle w:val="A18"/>
          <w:rFonts w:cstheme="minorHAnsi"/>
          <w:sz w:val="20"/>
          <w:szCs w:val="20"/>
          <w:lang w:val="en-GB"/>
        </w:rPr>
        <w:t>, section 30(1) ‘No person shall procure a child to – (a) have sexual intercourse with any other person or persons either in The Gambia or any place outside The Gambia; (b) become a common prostitute, either in The Gambia or any place outside The Gambia; (c) leave The Gambia with intent that he or she should become a prostitute in any place outside The Gambia; or (d) leave his or her usual place or abode in The Gambia, with intent that he or she may engage in prostitution either in The Gambia or any place outside The Gambia.’</w:t>
      </w:r>
    </w:p>
  </w:endnote>
  <w:endnote w:id="49">
    <w:p w14:paraId="408E40D3" w14:textId="77777777" w:rsidR="0065419D" w:rsidRPr="007F03F7" w:rsidRDefault="0065419D">
      <w:pPr>
        <w:pStyle w:val="NoSpacing"/>
        <w:rPr>
          <w:rStyle w:val="A18"/>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w:t>
      </w:r>
      <w:r w:rsidRPr="007F03F7">
        <w:rPr>
          <w:rStyle w:val="A18"/>
          <w:rFonts w:cstheme="minorHAnsi"/>
          <w:i/>
          <w:iCs/>
          <w:sz w:val="20"/>
          <w:szCs w:val="20"/>
          <w:lang w:val="en-GB"/>
        </w:rPr>
        <w:t>Ibid.,</w:t>
      </w:r>
      <w:r w:rsidRPr="007F03F7">
        <w:rPr>
          <w:rStyle w:val="A18"/>
          <w:rFonts w:cstheme="minorHAnsi"/>
          <w:sz w:val="20"/>
          <w:szCs w:val="20"/>
          <w:lang w:val="en-GB"/>
        </w:rPr>
        <w:t xml:space="preserve"> section 28(1) ‘No person shall, with intent to marry or to sexually assault a child or cause a child to be married or sexually assaulted by any other person, take the child away, or detain him or her.’</w:t>
      </w:r>
    </w:p>
  </w:endnote>
  <w:endnote w:id="50">
    <w:p w14:paraId="2C59C0F6" w14:textId="77777777" w:rsidR="0065419D" w:rsidRPr="007F03F7" w:rsidRDefault="0065419D">
      <w:pPr>
        <w:pStyle w:val="NoSpacing"/>
        <w:rPr>
          <w:rFonts w:cstheme="minorHAnsi"/>
          <w:sz w:val="20"/>
          <w:szCs w:val="20"/>
          <w:lang w:val="en-GB"/>
        </w:rPr>
      </w:pPr>
      <w:r w:rsidRPr="007F03F7">
        <w:rPr>
          <w:rStyle w:val="A18"/>
          <w:rFonts w:cstheme="minorHAnsi"/>
          <w:sz w:val="20"/>
          <w:szCs w:val="20"/>
          <w:vertAlign w:val="superscript"/>
          <w:lang w:val="en-GB"/>
        </w:rPr>
        <w:endnoteRef/>
      </w:r>
      <w:r w:rsidRPr="007F03F7">
        <w:rPr>
          <w:rStyle w:val="A18"/>
          <w:rFonts w:cstheme="minorHAnsi"/>
          <w:sz w:val="20"/>
          <w:szCs w:val="20"/>
          <w:vertAlign w:val="superscript"/>
          <w:lang w:val="en-GB"/>
        </w:rPr>
        <w:t xml:space="preserve"> </w:t>
      </w:r>
      <w:r w:rsidRPr="007F03F7">
        <w:rPr>
          <w:rStyle w:val="A18"/>
          <w:rFonts w:cstheme="minorHAnsi"/>
          <w:sz w:val="20"/>
          <w:szCs w:val="20"/>
          <w:lang w:val="en-GB"/>
        </w:rPr>
        <w:t xml:space="preserve">According to CPA’s Tourism Offences Act (2003), “At a Glance”, section 7 states: “Any person who gets or finds a child so that he or she can be sexually abused by another person or so that the child can be used as a prostitute can be imprisoned for 10 years.” </w:t>
      </w:r>
    </w:p>
  </w:endnote>
  <w:endnote w:id="51">
    <w:p w14:paraId="0A4C5CD6" w14:textId="77777777" w:rsidR="0065419D" w:rsidRPr="007F03F7" w:rsidRDefault="0065419D">
      <w:pPr>
        <w:pStyle w:val="NoSpacing"/>
        <w:rPr>
          <w:rStyle w:val="A18"/>
          <w:rFonts w:cstheme="minorHAnsi"/>
          <w:sz w:val="20"/>
          <w:szCs w:val="20"/>
          <w:lang w:val="en-GB"/>
        </w:rPr>
      </w:pPr>
      <w:r w:rsidRPr="007F03F7">
        <w:rPr>
          <w:rStyle w:val="A18"/>
          <w:rFonts w:cstheme="minorHAnsi"/>
          <w:sz w:val="20"/>
          <w:szCs w:val="20"/>
          <w:vertAlign w:val="superscript"/>
          <w:lang w:val="en-GB"/>
        </w:rPr>
        <w:endnoteRef/>
      </w:r>
      <w:r w:rsidRPr="007F03F7">
        <w:rPr>
          <w:rStyle w:val="A18"/>
          <w:rFonts w:cstheme="minorHAnsi"/>
          <w:sz w:val="20"/>
          <w:szCs w:val="20"/>
          <w:vertAlign w:val="superscript"/>
          <w:lang w:val="en-GB"/>
        </w:rPr>
        <w:t xml:space="preserve"> </w:t>
      </w:r>
      <w:r w:rsidRPr="007F03F7">
        <w:rPr>
          <w:rStyle w:val="A18"/>
          <w:rFonts w:cstheme="minorHAnsi"/>
          <w:sz w:val="20"/>
          <w:szCs w:val="20"/>
          <w:lang w:val="en-GB"/>
        </w:rPr>
        <w:t>According to CPA’s Tourism Offences Act (2003), “At a Glance”, section 11.</w:t>
      </w:r>
    </w:p>
  </w:endnote>
  <w:endnote w:id="52">
    <w:p w14:paraId="2E922B73" w14:textId="77777777" w:rsidR="0065419D" w:rsidRPr="007F03F7" w:rsidRDefault="0065419D">
      <w:pPr>
        <w:pStyle w:val="NoSpacing"/>
        <w:rPr>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w:t>
      </w:r>
      <w:hyperlink r:id="rId28" w:history="1">
        <w:r w:rsidRPr="007F03F7">
          <w:rPr>
            <w:rStyle w:val="Hyperlink"/>
            <w:rFonts w:cstheme="minorHAnsi"/>
            <w:i/>
            <w:sz w:val="20"/>
            <w:szCs w:val="20"/>
            <w:lang w:val="en-GB"/>
          </w:rPr>
          <w:t>Criminal Code Amendment Act 2014</w:t>
        </w:r>
      </w:hyperlink>
      <w:r w:rsidRPr="007F03F7">
        <w:rPr>
          <w:rFonts w:cstheme="minorHAnsi"/>
          <w:sz w:val="20"/>
          <w:szCs w:val="20"/>
          <w:lang w:val="en-GB"/>
        </w:rPr>
        <w:t xml:space="preserve">, Article 144B.      </w:t>
      </w:r>
    </w:p>
  </w:endnote>
  <w:endnote w:id="53">
    <w:p w14:paraId="3899ACF9" w14:textId="77777777" w:rsidR="0065419D" w:rsidRPr="00987549" w:rsidRDefault="0065419D">
      <w:pPr>
        <w:pStyle w:val="NoSpacing"/>
        <w:rPr>
          <w:rFonts w:cstheme="minorHAnsi"/>
          <w:b/>
          <w:sz w:val="20"/>
          <w:szCs w:val="20"/>
          <w:lang w:val="en-GB"/>
        </w:rPr>
      </w:pPr>
      <w:r w:rsidRPr="007F03F7">
        <w:rPr>
          <w:rStyle w:val="A18"/>
          <w:rFonts w:cstheme="minorHAnsi"/>
          <w:sz w:val="20"/>
          <w:szCs w:val="20"/>
          <w:vertAlign w:val="superscript"/>
          <w:lang w:val="en-GB"/>
        </w:rPr>
        <w:endnoteRef/>
      </w:r>
      <w:r w:rsidRPr="007F03F7">
        <w:rPr>
          <w:rStyle w:val="A18"/>
          <w:rFonts w:cstheme="minorHAnsi"/>
          <w:sz w:val="20"/>
          <w:szCs w:val="20"/>
          <w:lang w:val="en-GB"/>
        </w:rPr>
        <w:t xml:space="preserve"> Council </w:t>
      </w:r>
      <w:r w:rsidRPr="00987549">
        <w:rPr>
          <w:rFonts w:cstheme="minorHAnsi"/>
          <w:sz w:val="20"/>
          <w:szCs w:val="20"/>
          <w:lang w:val="en-GB"/>
        </w:rPr>
        <w:t xml:space="preserve">of Europe. (May 2018). </w:t>
      </w:r>
      <w:hyperlink r:id="rId29" w:history="1">
        <w:r w:rsidRPr="00987549">
          <w:rPr>
            <w:rStyle w:val="Hyperlink"/>
            <w:rFonts w:cstheme="minorHAnsi"/>
            <w:i/>
            <w:sz w:val="20"/>
            <w:szCs w:val="20"/>
            <w:lang w:val="en-GB"/>
          </w:rPr>
          <w:t>Glacy +: Gambia starts work on its cybercrime legislation</w:t>
        </w:r>
      </w:hyperlink>
      <w:r w:rsidRPr="00987549">
        <w:rPr>
          <w:rStyle w:val="Hyperlink"/>
          <w:rFonts w:cstheme="minorHAnsi"/>
          <w:i/>
          <w:sz w:val="20"/>
          <w:szCs w:val="20"/>
          <w:lang w:val="en-GB"/>
        </w:rPr>
        <w:t>.</w:t>
      </w:r>
    </w:p>
  </w:endnote>
  <w:endnote w:id="54">
    <w:p w14:paraId="7A8DB042" w14:textId="77777777" w:rsidR="0065419D" w:rsidRPr="007F03F7" w:rsidRDefault="0065419D">
      <w:pPr>
        <w:pStyle w:val="EndnoteText"/>
        <w:spacing w:after="0" w:line="240" w:lineRule="auto"/>
        <w:contextualSpacing/>
        <w:jc w:val="both"/>
        <w:rPr>
          <w:rStyle w:val="A18"/>
          <w:rFonts w:asciiTheme="minorHAnsi" w:eastAsiaTheme="minorHAnsi" w:hAnsiTheme="minorHAnsi" w:cstheme="minorHAnsi"/>
          <w:szCs w:val="20"/>
          <w:lang w:val="en-GB" w:bidi="ar-SA"/>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w:t>
      </w:r>
      <w:hyperlink r:id="rId30" w:history="1">
        <w:r w:rsidRPr="007F03F7">
          <w:rPr>
            <w:rStyle w:val="Hyperlink"/>
            <w:rFonts w:asciiTheme="minorHAnsi" w:hAnsiTheme="minorHAnsi" w:cstheme="minorHAnsi"/>
            <w:i/>
            <w:iCs/>
            <w:szCs w:val="20"/>
            <w:lang w:val="en-GB"/>
          </w:rPr>
          <w:t>Trafficking in Persons Act 2007</w:t>
        </w:r>
      </w:hyperlink>
      <w:r w:rsidRPr="007F03F7">
        <w:rPr>
          <w:rStyle w:val="A18"/>
          <w:rFonts w:asciiTheme="minorHAnsi" w:hAnsiTheme="minorHAnsi" w:cstheme="minorHAnsi"/>
          <w:szCs w:val="20"/>
          <w:lang w:val="en-GB"/>
        </w:rPr>
        <w:t>, section 2. Exploitation includes – (e) the prostitution of a person or engaging in any other form of commercial sexual exploitation, including, but not limited to, pimping, pandering, procuring, profiting from prostitution, maintaining a brothel, child prostitution and child pornography.</w:t>
      </w:r>
    </w:p>
  </w:endnote>
  <w:endnote w:id="55">
    <w:p w14:paraId="28AFD215" w14:textId="77777777" w:rsidR="0065419D" w:rsidRPr="007F03F7" w:rsidRDefault="0065419D">
      <w:pPr>
        <w:pStyle w:val="EndnoteText"/>
        <w:spacing w:after="0" w:line="240" w:lineRule="auto"/>
        <w:contextualSpacing/>
        <w:jc w:val="both"/>
        <w:rPr>
          <w:rStyle w:val="A18"/>
          <w:rFonts w:asciiTheme="minorHAnsi" w:eastAsiaTheme="minorHAnsi" w:hAnsiTheme="minorHAnsi" w:cstheme="minorHAnsi"/>
          <w:szCs w:val="20"/>
          <w:lang w:val="en-GB" w:bidi="ar-SA"/>
        </w:rPr>
      </w:pPr>
      <w:r w:rsidRPr="007F03F7">
        <w:rPr>
          <w:rStyle w:val="A18"/>
          <w:rFonts w:asciiTheme="minorHAnsi" w:hAnsiTheme="minorHAnsi" w:cstheme="minorHAnsi"/>
          <w:szCs w:val="20"/>
          <w:lang w:val="en-GB"/>
        </w:rPr>
        <w:endnoteRef/>
      </w:r>
      <w:r w:rsidRPr="007F03F7">
        <w:rPr>
          <w:rStyle w:val="A18"/>
          <w:rFonts w:asciiTheme="minorHAnsi" w:hAnsiTheme="minorHAnsi" w:cstheme="minorHAnsi"/>
          <w:szCs w:val="20"/>
          <w:lang w:val="en-GB"/>
        </w:rPr>
        <w:t xml:space="preserve"> </w:t>
      </w:r>
      <w:hyperlink r:id="rId31" w:history="1">
        <w:r w:rsidRPr="007F03F7">
          <w:rPr>
            <w:rStyle w:val="Hyperlink"/>
            <w:rFonts w:asciiTheme="minorHAnsi" w:hAnsiTheme="minorHAnsi" w:cstheme="minorHAnsi"/>
            <w:szCs w:val="20"/>
            <w:lang w:val="en-GB"/>
          </w:rPr>
          <w:t>Trafficking in Persons (Amendment) Act</w:t>
        </w:r>
      </w:hyperlink>
      <w:r w:rsidRPr="007F03F7">
        <w:rPr>
          <w:rStyle w:val="A18"/>
          <w:rFonts w:asciiTheme="minorHAnsi" w:hAnsiTheme="minorHAnsi" w:cstheme="minorHAnsi"/>
          <w:i/>
          <w:szCs w:val="20"/>
          <w:lang w:val="en-GB"/>
        </w:rPr>
        <w:t>, 2010</w:t>
      </w:r>
      <w:r w:rsidRPr="007F03F7">
        <w:rPr>
          <w:rStyle w:val="A18"/>
          <w:rFonts w:asciiTheme="minorHAnsi" w:hAnsiTheme="minorHAnsi" w:cstheme="minorHAnsi"/>
          <w:szCs w:val="20"/>
          <w:lang w:val="en-GB"/>
        </w:rPr>
        <w:t>, amendment of Section 28.</w:t>
      </w:r>
    </w:p>
  </w:endnote>
  <w:endnote w:id="56">
    <w:p w14:paraId="7C1B3E13" w14:textId="77777777" w:rsidR="0065419D" w:rsidRPr="007F03F7" w:rsidRDefault="0065419D">
      <w:pPr>
        <w:pStyle w:val="EndnoteText"/>
        <w:spacing w:after="0" w:line="240" w:lineRule="auto"/>
        <w:contextualSpacing/>
        <w:rPr>
          <w:rStyle w:val="A18"/>
          <w:rFonts w:asciiTheme="minorHAnsi" w:eastAsiaTheme="minorHAnsi" w:hAnsiTheme="minorHAnsi" w:cstheme="minorHAnsi"/>
          <w:szCs w:val="20"/>
          <w:lang w:val="en-GB" w:bidi="ar-SA"/>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w:t>
      </w:r>
      <w:hyperlink r:id="rId32" w:history="1">
        <w:r w:rsidRPr="007F03F7">
          <w:rPr>
            <w:rStyle w:val="Hyperlink"/>
            <w:rFonts w:asciiTheme="minorHAnsi" w:hAnsiTheme="minorHAnsi" w:cstheme="minorHAnsi"/>
            <w:i/>
            <w:iCs/>
            <w:szCs w:val="20"/>
            <w:lang w:val="en-GB"/>
          </w:rPr>
          <w:t>Trafficking in Persons Act 2007</w:t>
        </w:r>
      </w:hyperlink>
      <w:r w:rsidRPr="007F03F7">
        <w:rPr>
          <w:rStyle w:val="A18"/>
          <w:rFonts w:asciiTheme="minorHAnsi" w:hAnsiTheme="minorHAnsi" w:cstheme="minorHAnsi"/>
          <w:szCs w:val="20"/>
          <w:lang w:val="en-GB"/>
        </w:rPr>
        <w:t>, section 2. Exploitation includes – (e) the prostitution of a person or engaging in any other form of commercial sexual exploitation, including, but not limited to, pimping, pandering, procuring, profiting from prostitution, maintaining a brothel, child prostitution and child pornography.</w:t>
      </w:r>
    </w:p>
  </w:endnote>
  <w:endnote w:id="57">
    <w:p w14:paraId="3C2965EC" w14:textId="77777777" w:rsidR="0065419D" w:rsidRPr="007F03F7" w:rsidRDefault="0065419D">
      <w:pPr>
        <w:pStyle w:val="EndnoteText"/>
        <w:spacing w:after="0" w:line="240" w:lineRule="auto"/>
        <w:contextualSpacing/>
        <w:rPr>
          <w:rStyle w:val="A18"/>
          <w:rFonts w:asciiTheme="minorHAnsi" w:eastAsiaTheme="minorHAnsi" w:hAnsiTheme="minorHAnsi" w:cstheme="minorHAnsi"/>
          <w:szCs w:val="20"/>
          <w:lang w:val="en-GB" w:bidi="ar-SA"/>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vertAlign w:val="superscript"/>
          <w:lang w:val="en-GB"/>
        </w:rPr>
        <w:t xml:space="preserve"> </w:t>
      </w:r>
      <w:hyperlink r:id="rId33" w:history="1">
        <w:r w:rsidRPr="007F03F7">
          <w:rPr>
            <w:rStyle w:val="Hyperlink"/>
            <w:rFonts w:asciiTheme="minorHAnsi" w:hAnsiTheme="minorHAnsi" w:cstheme="minorHAnsi"/>
            <w:i/>
            <w:szCs w:val="20"/>
            <w:lang w:val="en-GB"/>
          </w:rPr>
          <w:t>Trafficking in Persons Act 2007</w:t>
        </w:r>
      </w:hyperlink>
      <w:r w:rsidRPr="007F03F7">
        <w:rPr>
          <w:rStyle w:val="A18"/>
          <w:rFonts w:asciiTheme="minorHAnsi" w:hAnsiTheme="minorHAnsi" w:cstheme="minorHAnsi"/>
          <w:szCs w:val="20"/>
          <w:lang w:val="en-GB"/>
        </w:rPr>
        <w:t>, section 38(c).</w:t>
      </w:r>
    </w:p>
  </w:endnote>
  <w:endnote w:id="58">
    <w:p w14:paraId="1B37F4DD" w14:textId="77777777" w:rsidR="0065419D" w:rsidRPr="007F03F7" w:rsidRDefault="0065419D">
      <w:pPr>
        <w:pStyle w:val="EndnoteText"/>
        <w:spacing w:after="0" w:line="240" w:lineRule="auto"/>
        <w:contextualSpacing/>
        <w:rPr>
          <w:rStyle w:val="A18"/>
          <w:rFonts w:asciiTheme="minorHAnsi" w:eastAsiaTheme="minorHAnsi" w:hAnsiTheme="minorHAnsi" w:cstheme="minorHAnsi"/>
          <w:szCs w:val="20"/>
          <w:lang w:val="en-GB" w:bidi="ar-SA"/>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vertAlign w:val="superscript"/>
          <w:lang w:val="en-GB"/>
        </w:rPr>
        <w:t xml:space="preserve"> </w:t>
      </w:r>
      <w:r w:rsidRPr="007F03F7">
        <w:rPr>
          <w:rStyle w:val="A18"/>
          <w:rFonts w:asciiTheme="minorHAnsi" w:hAnsiTheme="minorHAnsi" w:cstheme="minorHAnsi"/>
          <w:i/>
          <w:szCs w:val="20"/>
          <w:lang w:val="en-GB"/>
        </w:rPr>
        <w:t>Ibid.,</w:t>
      </w:r>
      <w:r w:rsidRPr="007F03F7">
        <w:rPr>
          <w:rStyle w:val="A18"/>
          <w:rFonts w:asciiTheme="minorHAnsi" w:hAnsiTheme="minorHAnsi" w:cstheme="minorHAnsi"/>
          <w:szCs w:val="20"/>
          <w:lang w:val="en-GB"/>
        </w:rPr>
        <w:t xml:space="preserve"> section 32.</w:t>
      </w:r>
    </w:p>
  </w:endnote>
  <w:endnote w:id="59">
    <w:p w14:paraId="4CB98BDD" w14:textId="77777777" w:rsidR="0065419D" w:rsidRPr="007F03F7" w:rsidRDefault="0065419D">
      <w:pPr>
        <w:pStyle w:val="EndnoteText"/>
        <w:spacing w:after="0" w:line="240" w:lineRule="auto"/>
        <w:contextualSpacing/>
        <w:rPr>
          <w:rStyle w:val="A18"/>
          <w:rFonts w:asciiTheme="minorHAnsi" w:eastAsiaTheme="minorHAnsi" w:hAnsiTheme="minorHAnsi" w:cstheme="minorHAnsi"/>
          <w:szCs w:val="20"/>
          <w:lang w:val="en-GB" w:bidi="ar-SA"/>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vertAlign w:val="superscript"/>
          <w:lang w:val="en-GB"/>
        </w:rPr>
        <w:t xml:space="preserve"> </w:t>
      </w:r>
      <w:r w:rsidRPr="007F03F7">
        <w:rPr>
          <w:rStyle w:val="A18"/>
          <w:rFonts w:asciiTheme="minorHAnsi" w:hAnsiTheme="minorHAnsi" w:cstheme="minorHAnsi"/>
          <w:i/>
          <w:szCs w:val="20"/>
          <w:lang w:val="en-GB"/>
        </w:rPr>
        <w:t>Ibid.,</w:t>
      </w:r>
      <w:r w:rsidRPr="007F03F7">
        <w:rPr>
          <w:rStyle w:val="A18"/>
          <w:rFonts w:asciiTheme="minorHAnsi" w:hAnsiTheme="minorHAnsi" w:cstheme="minorHAnsi"/>
          <w:szCs w:val="20"/>
          <w:lang w:val="en-GB"/>
        </w:rPr>
        <w:t xml:space="preserve"> sections 29. </w:t>
      </w:r>
    </w:p>
  </w:endnote>
  <w:endnote w:id="60">
    <w:p w14:paraId="0537855D" w14:textId="77777777" w:rsidR="0065419D" w:rsidRPr="007F03F7" w:rsidRDefault="0065419D">
      <w:pPr>
        <w:pStyle w:val="EndnoteText"/>
        <w:spacing w:after="0" w:line="240" w:lineRule="auto"/>
        <w:contextualSpacing/>
        <w:rPr>
          <w:rStyle w:val="A18"/>
          <w:rFonts w:asciiTheme="minorHAnsi" w:eastAsiaTheme="minorHAnsi" w:hAnsiTheme="minorHAnsi" w:cstheme="minorHAnsi"/>
          <w:szCs w:val="20"/>
          <w:lang w:val="en-GB" w:bidi="ar-SA"/>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vertAlign w:val="superscript"/>
          <w:lang w:val="en-GB"/>
        </w:rPr>
        <w:t xml:space="preserve"> </w:t>
      </w:r>
      <w:r w:rsidRPr="007F03F7">
        <w:rPr>
          <w:rStyle w:val="A18"/>
          <w:rFonts w:asciiTheme="minorHAnsi" w:hAnsiTheme="minorHAnsi" w:cstheme="minorHAnsi"/>
          <w:i/>
          <w:szCs w:val="20"/>
          <w:lang w:val="en-GB"/>
        </w:rPr>
        <w:t>Ibid.,</w:t>
      </w:r>
      <w:r w:rsidRPr="007F03F7">
        <w:rPr>
          <w:rStyle w:val="A18"/>
          <w:rFonts w:asciiTheme="minorHAnsi" w:hAnsiTheme="minorHAnsi" w:cstheme="minorHAnsi"/>
          <w:szCs w:val="20"/>
          <w:lang w:val="en-GB"/>
        </w:rPr>
        <w:t xml:space="preserve"> section 31.</w:t>
      </w:r>
    </w:p>
  </w:endnote>
  <w:endnote w:id="61">
    <w:p w14:paraId="3E03FFBA" w14:textId="77777777" w:rsidR="0065419D" w:rsidRPr="007F03F7" w:rsidRDefault="0065419D">
      <w:pPr>
        <w:pStyle w:val="EndnoteText"/>
        <w:spacing w:after="0" w:line="240" w:lineRule="auto"/>
        <w:contextualSpacing/>
        <w:rPr>
          <w:rFonts w:asciiTheme="minorHAnsi" w:hAnsiTheme="minorHAnsi" w:cstheme="minorHAnsi"/>
          <w:szCs w:val="20"/>
          <w:lang w:val="en-GB"/>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lang w:val="en-GB"/>
        </w:rPr>
        <w:t xml:space="preserve"> Tourism</w:t>
      </w:r>
      <w:r w:rsidRPr="007F03F7">
        <w:rPr>
          <w:rStyle w:val="A18"/>
          <w:rFonts w:asciiTheme="minorHAnsi" w:hAnsiTheme="minorHAnsi" w:cstheme="minorHAnsi"/>
          <w:i/>
          <w:iCs/>
          <w:szCs w:val="20"/>
          <w:lang w:val="en-GB"/>
        </w:rPr>
        <w:t xml:space="preserve"> Offences Act 2003, </w:t>
      </w:r>
      <w:r w:rsidRPr="007F03F7">
        <w:rPr>
          <w:rStyle w:val="A18"/>
          <w:rFonts w:asciiTheme="minorHAnsi" w:hAnsiTheme="minorHAnsi" w:cstheme="minorHAnsi"/>
          <w:szCs w:val="20"/>
          <w:lang w:val="en-GB"/>
        </w:rPr>
        <w:t>section 6.</w:t>
      </w:r>
    </w:p>
  </w:endnote>
  <w:endnote w:id="62">
    <w:p w14:paraId="3A764C3A" w14:textId="77777777" w:rsidR="0065419D" w:rsidRPr="007F03F7" w:rsidRDefault="0065419D">
      <w:pPr>
        <w:pStyle w:val="EndnoteText"/>
        <w:spacing w:after="0" w:line="240" w:lineRule="auto"/>
        <w:contextualSpacing/>
        <w:rPr>
          <w:rStyle w:val="A18"/>
          <w:rFonts w:asciiTheme="minorHAnsi" w:eastAsiaTheme="minorHAnsi" w:hAnsiTheme="minorHAnsi" w:cstheme="minorHAnsi"/>
          <w:szCs w:val="20"/>
          <w:lang w:val="en-GB" w:bidi="ar-SA"/>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w:t>
      </w:r>
      <w:r w:rsidRPr="007F03F7">
        <w:rPr>
          <w:rStyle w:val="A18"/>
          <w:rFonts w:asciiTheme="minorHAnsi" w:hAnsiTheme="minorHAnsi" w:cstheme="minorHAnsi"/>
          <w:i/>
          <w:iCs/>
          <w:szCs w:val="20"/>
          <w:lang w:val="en-GB"/>
        </w:rPr>
        <w:t>Ibid.,</w:t>
      </w:r>
      <w:r w:rsidRPr="007F03F7">
        <w:rPr>
          <w:rStyle w:val="A18"/>
          <w:rFonts w:asciiTheme="minorHAnsi" w:hAnsiTheme="minorHAnsi" w:cstheme="minorHAnsi"/>
          <w:szCs w:val="20"/>
          <w:lang w:val="en-GB"/>
        </w:rPr>
        <w:t xml:space="preserve"> section 5. A tourist or any other person who makes an unlawful sexual advance towards a child can be imprisoned for up to two years or be fined D20,000. See CPA’s Tourism Offences Act (2003), “At a Glance.” </w:t>
      </w:r>
    </w:p>
  </w:endnote>
  <w:endnote w:id="63">
    <w:p w14:paraId="675715C0" w14:textId="77777777" w:rsidR="0065419D" w:rsidRPr="007F03F7" w:rsidRDefault="0065419D">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w:t>
      </w:r>
      <w:r w:rsidRPr="007F03F7">
        <w:rPr>
          <w:rFonts w:asciiTheme="minorHAnsi" w:hAnsiTheme="minorHAnsi" w:cstheme="minorHAnsi"/>
          <w:i/>
          <w:iCs/>
          <w:szCs w:val="20"/>
          <w:lang w:val="en-GB"/>
        </w:rPr>
        <w:t xml:space="preserve">Tourism Offences Act 2003, </w:t>
      </w:r>
      <w:r w:rsidRPr="007F03F7">
        <w:rPr>
          <w:rFonts w:asciiTheme="minorHAnsi" w:hAnsiTheme="minorHAnsi" w:cstheme="minorHAnsi"/>
          <w:szCs w:val="20"/>
          <w:lang w:val="en-GB"/>
        </w:rPr>
        <w:t xml:space="preserve">section 4. </w:t>
      </w:r>
    </w:p>
  </w:endnote>
  <w:endnote w:id="64">
    <w:p w14:paraId="12EA47EF" w14:textId="77777777" w:rsidR="005260DD" w:rsidRPr="007F03F7" w:rsidRDefault="005260DD">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w:t>
      </w:r>
      <w:r w:rsidRPr="007F03F7">
        <w:rPr>
          <w:rFonts w:asciiTheme="minorHAnsi" w:hAnsiTheme="minorHAnsi" w:cstheme="minorHAnsi"/>
          <w:i/>
          <w:iCs/>
          <w:szCs w:val="20"/>
          <w:lang w:val="en-GB"/>
        </w:rPr>
        <w:t xml:space="preserve">Children’s Act Amendment 2016, </w:t>
      </w:r>
      <w:r w:rsidRPr="007F03F7">
        <w:rPr>
          <w:rFonts w:asciiTheme="minorHAnsi" w:hAnsiTheme="minorHAnsi" w:cstheme="minorHAnsi"/>
          <w:szCs w:val="20"/>
          <w:lang w:val="en-GB"/>
        </w:rPr>
        <w:t>provided by Child Protection Alliance- The Gambia</w:t>
      </w:r>
    </w:p>
  </w:endnote>
  <w:endnote w:id="65">
    <w:p w14:paraId="40D665DB" w14:textId="77777777" w:rsidR="007360D3" w:rsidRPr="007F03F7" w:rsidRDefault="007360D3">
      <w:pPr>
        <w:pStyle w:val="EndnoteText"/>
        <w:spacing w:after="0" w:line="240" w:lineRule="auto"/>
        <w:contextualSpacing/>
        <w:rPr>
          <w:rStyle w:val="A18"/>
          <w:rFonts w:asciiTheme="minorHAnsi" w:eastAsiaTheme="minorHAnsi" w:hAnsiTheme="minorHAnsi" w:cstheme="minorHAnsi"/>
          <w:szCs w:val="20"/>
          <w:lang w:val="en-GB" w:bidi="ar-SA"/>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lang w:val="en-GB"/>
        </w:rPr>
        <w:t xml:space="preserve"> Human Rights Council, </w:t>
      </w:r>
      <w:hyperlink r:id="rId34" w:history="1">
        <w:r w:rsidRPr="007F03F7">
          <w:rPr>
            <w:rStyle w:val="Hyperlink"/>
            <w:rFonts w:asciiTheme="minorHAnsi" w:hAnsiTheme="minorHAnsi" w:cstheme="minorHAnsi"/>
            <w:i/>
            <w:szCs w:val="20"/>
            <w:lang w:val="en-GB"/>
          </w:rPr>
          <w:t>Concluding observations on The Gambia in the absence of its second periodic report</w:t>
        </w:r>
      </w:hyperlink>
      <w:r w:rsidRPr="007F03F7">
        <w:rPr>
          <w:rStyle w:val="A18"/>
          <w:rFonts w:asciiTheme="minorHAnsi" w:hAnsiTheme="minorHAnsi" w:cstheme="minorHAnsi"/>
          <w:szCs w:val="20"/>
          <w:lang w:val="en-GB"/>
        </w:rPr>
        <w:t>, 30 August 2018, CCPR/C/GMB/CO/2. 3.</w:t>
      </w:r>
    </w:p>
  </w:endnote>
  <w:endnote w:id="66">
    <w:p w14:paraId="7C0E47B7" w14:textId="77777777" w:rsidR="001F0F5A" w:rsidRPr="007F03F7" w:rsidRDefault="001F0F5A">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w:t>
      </w:r>
      <w:r w:rsidR="00297ADF" w:rsidRPr="007F03F7">
        <w:rPr>
          <w:rFonts w:asciiTheme="minorHAnsi" w:hAnsiTheme="minorHAnsi" w:cstheme="minorHAnsi"/>
          <w:i/>
          <w:iCs/>
          <w:szCs w:val="20"/>
          <w:lang w:val="en-GB"/>
        </w:rPr>
        <w:t>The Trafficking In Persons Act</w:t>
      </w:r>
      <w:r w:rsidRPr="007F03F7">
        <w:rPr>
          <w:rFonts w:asciiTheme="minorHAnsi" w:hAnsiTheme="minorHAnsi" w:cstheme="minorHAnsi"/>
          <w:i/>
          <w:iCs/>
          <w:szCs w:val="20"/>
          <w:lang w:val="en-GB"/>
        </w:rPr>
        <w:t xml:space="preserve"> 2007</w:t>
      </w:r>
      <w:r w:rsidRPr="007F03F7">
        <w:rPr>
          <w:rFonts w:asciiTheme="minorHAnsi" w:hAnsiTheme="minorHAnsi" w:cstheme="minorHAnsi"/>
          <w:szCs w:val="20"/>
          <w:lang w:val="en-GB"/>
        </w:rPr>
        <w:t>, Section 36</w:t>
      </w:r>
      <w:r w:rsidR="00297ADF" w:rsidRPr="007F03F7">
        <w:rPr>
          <w:rFonts w:asciiTheme="minorHAnsi" w:hAnsiTheme="minorHAnsi" w:cstheme="minorHAnsi"/>
          <w:szCs w:val="20"/>
          <w:lang w:val="en-GB"/>
        </w:rPr>
        <w:t>.</w:t>
      </w:r>
    </w:p>
  </w:endnote>
  <w:endnote w:id="67">
    <w:p w14:paraId="4AE22A6C" w14:textId="77777777" w:rsidR="00A77A94" w:rsidRPr="007F03F7" w:rsidRDefault="00A77A94">
      <w:pPr>
        <w:pStyle w:val="NoSpacing"/>
        <w:rPr>
          <w:rFonts w:cstheme="minorHAnsi"/>
          <w:sz w:val="20"/>
          <w:szCs w:val="20"/>
          <w:lang w:val="en-GB"/>
        </w:rPr>
      </w:pPr>
      <w:r w:rsidRPr="007F03F7">
        <w:rPr>
          <w:rStyle w:val="A18"/>
          <w:rFonts w:cstheme="minorHAnsi"/>
          <w:sz w:val="20"/>
          <w:szCs w:val="20"/>
          <w:vertAlign w:val="superscript"/>
          <w:lang w:val="en-GB"/>
        </w:rPr>
        <w:endnoteRef/>
      </w:r>
      <w:r w:rsidRPr="007F03F7">
        <w:rPr>
          <w:rStyle w:val="A18"/>
          <w:rFonts w:cstheme="minorHAnsi"/>
          <w:sz w:val="20"/>
          <w:szCs w:val="20"/>
          <w:lang w:val="en-GB"/>
        </w:rPr>
        <w:t xml:space="preserve"> </w:t>
      </w:r>
      <w:r w:rsidRPr="007F03F7">
        <w:rPr>
          <w:rFonts w:cstheme="minorHAnsi"/>
          <w:sz w:val="20"/>
          <w:szCs w:val="20"/>
          <w:lang w:val="en-GB"/>
        </w:rPr>
        <w:t xml:space="preserve">ACHPR. (August 2018). </w:t>
      </w:r>
      <w:hyperlink r:id="rId35" w:history="1">
        <w:r w:rsidRPr="007F03F7">
          <w:rPr>
            <w:rStyle w:val="Hyperlink"/>
            <w:rFonts w:cstheme="minorHAnsi"/>
            <w:i/>
            <w:sz w:val="20"/>
            <w:szCs w:val="20"/>
            <w:lang w:val="en-GB"/>
          </w:rPr>
          <w:t>The Republic of The Gambia’s combined report on the African Charter on Human &amp; Peoples’ Rights &amp; initial report on the Protocol to the African Charter on the Rights of Women in Africa</w:t>
        </w:r>
      </w:hyperlink>
      <w:r w:rsidRPr="007F03F7">
        <w:rPr>
          <w:rFonts w:cstheme="minorHAnsi"/>
          <w:sz w:val="20"/>
          <w:szCs w:val="20"/>
          <w:lang w:val="en-GB"/>
        </w:rPr>
        <w:t>. 93.</w:t>
      </w:r>
    </w:p>
  </w:endnote>
  <w:endnote w:id="68">
    <w:p w14:paraId="61823D49" w14:textId="77777777" w:rsidR="00A77A94" w:rsidRPr="007F03F7" w:rsidRDefault="00A77A94">
      <w:pPr>
        <w:pStyle w:val="NoSpacing"/>
        <w:rPr>
          <w:rStyle w:val="A18"/>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w:t>
      </w:r>
      <w:r w:rsidRPr="007F03F7">
        <w:rPr>
          <w:rStyle w:val="A18"/>
          <w:rFonts w:cstheme="minorHAnsi"/>
          <w:i/>
          <w:sz w:val="20"/>
          <w:szCs w:val="20"/>
          <w:lang w:val="en-GB"/>
        </w:rPr>
        <w:t xml:space="preserve">Ibid. </w:t>
      </w:r>
      <w:r w:rsidRPr="007F03F7">
        <w:rPr>
          <w:rStyle w:val="A18"/>
          <w:rFonts w:cstheme="minorHAnsi"/>
          <w:sz w:val="20"/>
          <w:szCs w:val="20"/>
          <w:lang w:val="en-GB"/>
        </w:rPr>
        <w:t>94.</w:t>
      </w:r>
    </w:p>
  </w:endnote>
  <w:endnote w:id="69">
    <w:p w14:paraId="5C76015E" w14:textId="77777777" w:rsidR="00A77A94" w:rsidRPr="007F03F7" w:rsidRDefault="00A77A94">
      <w:pPr>
        <w:pStyle w:val="NoSpacing"/>
        <w:rPr>
          <w:rFonts w:eastAsia="Calibri" w:cstheme="minorHAnsi"/>
          <w:sz w:val="20"/>
          <w:szCs w:val="20"/>
          <w:lang w:val="en-GB" w:bidi="th-TH"/>
        </w:rPr>
      </w:pPr>
      <w:r w:rsidRPr="007F03F7">
        <w:rPr>
          <w:rStyle w:val="EndnoteReference"/>
          <w:rFonts w:cstheme="minorHAnsi"/>
          <w:sz w:val="20"/>
          <w:szCs w:val="20"/>
          <w:lang w:val="en-GB"/>
        </w:rPr>
        <w:endnoteRef/>
      </w:r>
      <w:r w:rsidRPr="007F03F7">
        <w:rPr>
          <w:rFonts w:eastAsia="Calibri" w:cstheme="minorHAnsi"/>
          <w:sz w:val="20"/>
          <w:szCs w:val="20"/>
          <w:lang w:val="en-GB" w:bidi="th-TH"/>
        </w:rPr>
        <w:t xml:space="preserve"> Family for every child and Maestral International. (February 2014). The Gambia child protection system – Mapping and Assessment Report. 35</w:t>
      </w:r>
      <w:r w:rsidRPr="007F03F7">
        <w:rPr>
          <w:rFonts w:cstheme="minorHAnsi"/>
          <w:sz w:val="20"/>
          <w:szCs w:val="20"/>
          <w:lang w:val="en-GB"/>
        </w:rPr>
        <w:t xml:space="preserve">, </w:t>
      </w:r>
      <w:r w:rsidRPr="007F03F7">
        <w:rPr>
          <w:rStyle w:val="A18"/>
          <w:rFonts w:cstheme="minorHAnsi"/>
          <w:sz w:val="20"/>
          <w:szCs w:val="20"/>
          <w:lang w:val="en-GB"/>
        </w:rPr>
        <w:t>provided by Child Protection Alliance -  The Gambia.</w:t>
      </w:r>
    </w:p>
  </w:endnote>
  <w:endnote w:id="70">
    <w:p w14:paraId="361F69E9" w14:textId="77777777" w:rsidR="00A77A94" w:rsidRPr="007F03F7" w:rsidRDefault="00A77A94">
      <w:pPr>
        <w:pStyle w:val="NoSpacing"/>
        <w:rPr>
          <w:rStyle w:val="A18"/>
          <w:rFonts w:cstheme="minorHAnsi"/>
          <w:sz w:val="20"/>
          <w:szCs w:val="20"/>
          <w:lang w:val="en-GB"/>
        </w:rPr>
      </w:pPr>
      <w:r w:rsidRPr="007F03F7">
        <w:rPr>
          <w:rStyle w:val="EndnoteReference"/>
          <w:rFonts w:cstheme="minorHAnsi"/>
          <w:sz w:val="20"/>
          <w:szCs w:val="20"/>
          <w:lang w:val="en-GB"/>
        </w:rPr>
        <w:endnoteRef/>
      </w:r>
      <w:r w:rsidRPr="007F03F7">
        <w:rPr>
          <w:rFonts w:cstheme="minorHAnsi"/>
          <w:sz w:val="20"/>
          <w:szCs w:val="20"/>
          <w:lang w:val="en-GB"/>
        </w:rPr>
        <w:t xml:space="preserve"> ACHPR. (August 2018). </w:t>
      </w:r>
      <w:hyperlink r:id="rId36" w:history="1">
        <w:r w:rsidRPr="007F03F7">
          <w:rPr>
            <w:rStyle w:val="Hyperlink"/>
            <w:rFonts w:cstheme="minorHAnsi"/>
            <w:i/>
            <w:sz w:val="20"/>
            <w:szCs w:val="20"/>
            <w:lang w:val="en-GB"/>
          </w:rPr>
          <w:t>The Republic of The Gambia’s combined report on the African Charter on Human &amp; Peoples’ Rights &amp; initial report on the Protocol to the African Charter on the Rights of Women in Africa</w:t>
        </w:r>
      </w:hyperlink>
      <w:r w:rsidRPr="007F03F7">
        <w:rPr>
          <w:rFonts w:cstheme="minorHAnsi"/>
          <w:sz w:val="20"/>
          <w:szCs w:val="20"/>
          <w:lang w:val="en-GB"/>
        </w:rPr>
        <w:t xml:space="preserve">. </w:t>
      </w:r>
      <w:r w:rsidRPr="007F03F7">
        <w:rPr>
          <w:rStyle w:val="A18"/>
          <w:rFonts w:cstheme="minorHAnsi"/>
          <w:sz w:val="20"/>
          <w:szCs w:val="20"/>
          <w:lang w:val="en-GB"/>
        </w:rPr>
        <w:t>137.</w:t>
      </w:r>
    </w:p>
  </w:endnote>
  <w:endnote w:id="71">
    <w:p w14:paraId="6E2EE5A9" w14:textId="77777777" w:rsidR="00A77A94" w:rsidRPr="007F03F7" w:rsidRDefault="00A77A94">
      <w:pPr>
        <w:pStyle w:val="EndnoteText"/>
        <w:spacing w:after="0" w:line="240" w:lineRule="auto"/>
        <w:contextualSpacing/>
        <w:rPr>
          <w:rStyle w:val="A18"/>
          <w:rFonts w:asciiTheme="minorHAnsi" w:eastAsiaTheme="minorHAnsi" w:hAnsiTheme="minorHAnsi" w:cstheme="minorHAnsi"/>
          <w:szCs w:val="20"/>
          <w:lang w:val="en-GB" w:bidi="ar-SA"/>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lang w:val="en-GB"/>
        </w:rPr>
        <w:t xml:space="preserve"> </w:t>
      </w:r>
      <w:r w:rsidRPr="007F03F7">
        <w:rPr>
          <w:rStyle w:val="A18"/>
          <w:rFonts w:asciiTheme="minorHAnsi" w:hAnsiTheme="minorHAnsi" w:cstheme="minorHAnsi"/>
          <w:i/>
          <w:szCs w:val="20"/>
          <w:lang w:val="en-GB"/>
        </w:rPr>
        <w:t>Ibid.</w:t>
      </w:r>
      <w:r w:rsidRPr="007F03F7">
        <w:rPr>
          <w:rStyle w:val="A18"/>
          <w:rFonts w:asciiTheme="minorHAnsi" w:hAnsiTheme="minorHAnsi" w:cstheme="minorHAnsi"/>
          <w:szCs w:val="20"/>
          <w:lang w:val="en-GB"/>
        </w:rPr>
        <w:t xml:space="preserve"> </w:t>
      </w:r>
    </w:p>
  </w:endnote>
  <w:endnote w:id="72">
    <w:p w14:paraId="182D7251" w14:textId="77777777" w:rsidR="001E103B" w:rsidRPr="007F03F7" w:rsidRDefault="001E103B">
      <w:pPr>
        <w:pStyle w:val="EndnoteText"/>
        <w:spacing w:after="0" w:line="240" w:lineRule="auto"/>
        <w:contextualSpacing/>
        <w:rPr>
          <w:rFonts w:asciiTheme="minorHAnsi" w:hAnsiTheme="minorHAnsi" w:cstheme="minorHAnsi"/>
          <w:szCs w:val="20"/>
          <w:lang w:val="en-GB"/>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lang w:val="en-GB"/>
        </w:rPr>
        <w:t xml:space="preserve"> The Gambia National Youth Council. (</w:t>
      </w:r>
      <w:r w:rsidRPr="00987549">
        <w:rPr>
          <w:rFonts w:asciiTheme="minorHAnsi" w:hAnsiTheme="minorHAnsi" w:cstheme="minorHAnsi"/>
          <w:szCs w:val="20"/>
          <w:lang w:val="en-GB"/>
        </w:rPr>
        <w:t xml:space="preserve">November 2015). </w:t>
      </w:r>
      <w:hyperlink r:id="rId37" w:history="1">
        <w:r w:rsidRPr="00987549">
          <w:rPr>
            <w:rStyle w:val="Hyperlink"/>
            <w:rFonts w:asciiTheme="minorHAnsi" w:hAnsiTheme="minorHAnsi" w:cstheme="minorHAnsi"/>
            <w:i/>
            <w:szCs w:val="20"/>
            <w:lang w:val="en-GB"/>
          </w:rPr>
          <w:t>Revised National Youth Policy</w:t>
        </w:r>
      </w:hyperlink>
      <w:r w:rsidRPr="00987549">
        <w:rPr>
          <w:rFonts w:asciiTheme="minorHAnsi" w:hAnsiTheme="minorHAnsi" w:cstheme="minorHAnsi"/>
          <w:szCs w:val="20"/>
          <w:lang w:val="en-GB"/>
        </w:rPr>
        <w:t>.</w:t>
      </w:r>
    </w:p>
  </w:endnote>
  <w:endnote w:id="73">
    <w:p w14:paraId="34E76EC5" w14:textId="700099AA" w:rsidR="00BF2EA6" w:rsidRPr="007F03F7" w:rsidRDefault="00BF2EA6" w:rsidP="007F03F7">
      <w:pPr>
        <w:pStyle w:val="EndnoteText"/>
        <w:spacing w:after="0" w:line="240" w:lineRule="auto"/>
        <w:rPr>
          <w:rFonts w:asciiTheme="minorHAnsi" w:hAnsiTheme="minorHAnsi" w:cstheme="minorHAnsi"/>
          <w:szCs w:val="20"/>
        </w:rPr>
      </w:pPr>
      <w:r w:rsidRPr="007F03F7">
        <w:rPr>
          <w:rStyle w:val="EndnoteReference"/>
          <w:rFonts w:asciiTheme="minorHAnsi" w:hAnsiTheme="minorHAnsi" w:cstheme="minorHAnsi"/>
          <w:szCs w:val="20"/>
        </w:rPr>
        <w:endnoteRef/>
      </w:r>
      <w:r w:rsidRPr="007F03F7">
        <w:rPr>
          <w:rFonts w:asciiTheme="minorHAnsi" w:hAnsiTheme="minorHAnsi" w:cstheme="minorHAnsi"/>
          <w:szCs w:val="20"/>
        </w:rPr>
        <w:t xml:space="preserve"> </w:t>
      </w:r>
      <w:r w:rsidR="00C25169" w:rsidRPr="007F03F7">
        <w:rPr>
          <w:rFonts w:asciiTheme="minorHAnsi" w:hAnsiTheme="minorHAnsi" w:cstheme="minorHAnsi"/>
          <w:szCs w:val="20"/>
        </w:rPr>
        <w:t>Child Protection Alliance- The Gambia (October 2019) Personal Communication.</w:t>
      </w:r>
    </w:p>
  </w:endnote>
  <w:endnote w:id="74">
    <w:p w14:paraId="714F39D5" w14:textId="277411C9" w:rsidR="00375F15" w:rsidRPr="007F03F7" w:rsidRDefault="00375F15" w:rsidP="007F03F7">
      <w:pPr>
        <w:pStyle w:val="EndnoteText"/>
        <w:spacing w:after="0" w:line="240" w:lineRule="auto"/>
        <w:rPr>
          <w:rFonts w:asciiTheme="minorHAnsi" w:hAnsiTheme="minorHAnsi" w:cstheme="minorHAnsi"/>
          <w:szCs w:val="20"/>
        </w:rPr>
      </w:pPr>
      <w:r w:rsidRPr="007F03F7">
        <w:rPr>
          <w:rStyle w:val="EndnoteReference"/>
          <w:rFonts w:asciiTheme="minorHAnsi" w:hAnsiTheme="minorHAnsi" w:cstheme="minorHAnsi"/>
          <w:szCs w:val="20"/>
        </w:rPr>
        <w:endnoteRef/>
      </w:r>
      <w:r w:rsidRPr="007F03F7">
        <w:rPr>
          <w:rFonts w:asciiTheme="minorHAnsi" w:hAnsiTheme="minorHAnsi" w:cstheme="minorHAnsi"/>
          <w:szCs w:val="20"/>
        </w:rPr>
        <w:t xml:space="preserve"> </w:t>
      </w:r>
      <w:r w:rsidR="00C25169" w:rsidRPr="007F03F7">
        <w:rPr>
          <w:rFonts w:asciiTheme="minorHAnsi" w:hAnsiTheme="minorHAnsi" w:cstheme="minorHAnsi"/>
          <w:szCs w:val="20"/>
        </w:rPr>
        <w:t>Child Protection Alliance- The Gambia (October 2019) Personal Communication.</w:t>
      </w:r>
    </w:p>
  </w:endnote>
  <w:endnote w:id="75">
    <w:p w14:paraId="228752E3" w14:textId="77777777" w:rsidR="00A77A94" w:rsidRPr="007F03F7" w:rsidRDefault="00A77A94">
      <w:pPr>
        <w:pStyle w:val="EndnoteText"/>
        <w:spacing w:after="0" w:line="240" w:lineRule="auto"/>
        <w:contextualSpacing/>
        <w:rPr>
          <w:rFonts w:asciiTheme="minorHAnsi" w:eastAsia="SimSun"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Human Rights Council (2014), “</w:t>
      </w:r>
      <w:hyperlink r:id="rId38" w:history="1">
        <w:r w:rsidRPr="007F03F7">
          <w:rPr>
            <w:rStyle w:val="Hyperlink"/>
            <w:rFonts w:asciiTheme="minorHAnsi" w:hAnsiTheme="minorHAnsi" w:cstheme="minorHAnsi"/>
            <w:szCs w:val="20"/>
            <w:lang w:val="en-GB"/>
          </w:rPr>
          <w:t>Report of the Working Group on the Universal Periodic Review - Gambia</w:t>
        </w:r>
      </w:hyperlink>
      <w:r w:rsidRPr="007F03F7">
        <w:rPr>
          <w:rFonts w:asciiTheme="minorHAnsi" w:hAnsiTheme="minorHAnsi" w:cstheme="minorHAnsi"/>
          <w:szCs w:val="20"/>
          <w:lang w:val="en-GB"/>
        </w:rPr>
        <w:t>”</w:t>
      </w:r>
      <w:r w:rsidRPr="007F03F7">
        <w:rPr>
          <w:rFonts w:asciiTheme="minorHAnsi" w:eastAsia="SimSun" w:hAnsiTheme="minorHAnsi" w:cstheme="minorHAnsi"/>
          <w:szCs w:val="20"/>
          <w:lang w:val="en-GB"/>
        </w:rPr>
        <w:t>. Recommendation 109.28.</w:t>
      </w:r>
    </w:p>
  </w:endnote>
  <w:endnote w:id="76">
    <w:p w14:paraId="3C83908D" w14:textId="77777777" w:rsidR="00A77A94" w:rsidRPr="007F03F7" w:rsidRDefault="00A77A94">
      <w:pPr>
        <w:pStyle w:val="EndnoteText"/>
        <w:spacing w:after="0" w:line="240" w:lineRule="auto"/>
        <w:contextualSpacing/>
        <w:rPr>
          <w:rStyle w:val="A18"/>
          <w:rFonts w:asciiTheme="minorHAnsi" w:eastAsiaTheme="minorHAnsi" w:hAnsiTheme="minorHAnsi" w:cstheme="minorHAnsi"/>
          <w:szCs w:val="20"/>
          <w:lang w:val="en-GB" w:bidi="ar-SA"/>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lang w:val="en-GB"/>
        </w:rPr>
        <w:t xml:space="preserve">  </w:t>
      </w:r>
      <w:r w:rsidRPr="007F03F7">
        <w:rPr>
          <w:rFonts w:asciiTheme="minorHAnsi" w:hAnsiTheme="minorHAnsi" w:cstheme="minorHAnsi"/>
          <w:szCs w:val="20"/>
          <w:lang w:val="en-GB"/>
        </w:rPr>
        <w:t xml:space="preserve">Family for every child and Maestral International. (February 2014). The Gambia child protection system – Mapping and Assessment Report. 40, </w:t>
      </w:r>
      <w:r w:rsidRPr="007F03F7">
        <w:rPr>
          <w:rStyle w:val="A18"/>
          <w:rFonts w:asciiTheme="minorHAnsi" w:hAnsiTheme="minorHAnsi" w:cstheme="minorHAnsi"/>
          <w:szCs w:val="20"/>
          <w:lang w:val="en-GB"/>
        </w:rPr>
        <w:t>provided by Child Protection Alliance - The Gambia.</w:t>
      </w:r>
    </w:p>
  </w:endnote>
  <w:endnote w:id="77">
    <w:p w14:paraId="1E4D5302" w14:textId="77777777" w:rsidR="00A77A94" w:rsidRPr="007F03F7" w:rsidRDefault="00A77A94">
      <w:pPr>
        <w:pStyle w:val="EndnoteText"/>
        <w:spacing w:after="0" w:line="240" w:lineRule="auto"/>
        <w:contextualSpacing/>
        <w:rPr>
          <w:rStyle w:val="A18"/>
          <w:rFonts w:asciiTheme="minorHAnsi" w:hAnsiTheme="minorHAnsi" w:cstheme="minorHAnsi"/>
          <w:szCs w:val="20"/>
          <w:lang w:val="en-GB"/>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lang w:val="en-GB"/>
        </w:rPr>
        <w:t xml:space="preserve"> </w:t>
      </w:r>
      <w:hyperlink r:id="rId39" w:history="1">
        <w:r w:rsidRPr="007F03F7">
          <w:rPr>
            <w:rStyle w:val="Hyperlink"/>
            <w:rFonts w:asciiTheme="minorHAnsi" w:hAnsiTheme="minorHAnsi" w:cstheme="minorHAnsi"/>
            <w:i/>
            <w:szCs w:val="20"/>
            <w:lang w:val="en-GB"/>
          </w:rPr>
          <w:t>Trafficking in Persons Act 2007</w:t>
        </w:r>
      </w:hyperlink>
      <w:r w:rsidRPr="007F03F7">
        <w:rPr>
          <w:rStyle w:val="A18"/>
          <w:rFonts w:asciiTheme="minorHAnsi" w:hAnsiTheme="minorHAnsi" w:cstheme="minorHAnsi"/>
          <w:szCs w:val="20"/>
          <w:lang w:val="en-GB"/>
        </w:rPr>
        <w:t xml:space="preserve">, section 51. </w:t>
      </w:r>
    </w:p>
  </w:endnote>
  <w:endnote w:id="78">
    <w:p w14:paraId="177628C7" w14:textId="77777777" w:rsidR="001F0F5A" w:rsidRPr="007F03F7" w:rsidRDefault="001F0F5A">
      <w:pPr>
        <w:pStyle w:val="EndnoteText"/>
        <w:spacing w:after="0" w:line="240" w:lineRule="auto"/>
        <w:rPr>
          <w:rFonts w:asciiTheme="minorHAnsi" w:hAnsiTheme="minorHAnsi" w:cstheme="minorHAnsi"/>
          <w:szCs w:val="20"/>
          <w:lang w:val="en-GB"/>
        </w:rPr>
      </w:pPr>
      <w:r w:rsidRPr="007F03F7">
        <w:rPr>
          <w:rStyle w:val="EndnoteReference"/>
          <w:rFonts w:asciiTheme="minorHAnsi" w:hAnsiTheme="minorHAnsi" w:cstheme="minorHAnsi"/>
          <w:szCs w:val="20"/>
          <w:lang w:val="en-GB"/>
        </w:rPr>
        <w:endnoteRef/>
      </w:r>
      <w:r w:rsidRPr="007F03F7">
        <w:rPr>
          <w:rFonts w:asciiTheme="minorHAnsi" w:hAnsiTheme="minorHAnsi" w:cstheme="minorHAnsi"/>
          <w:szCs w:val="20"/>
          <w:lang w:val="en-GB"/>
        </w:rPr>
        <w:t xml:space="preserve"> </w:t>
      </w:r>
      <w:r w:rsidRPr="007F03F7">
        <w:rPr>
          <w:rFonts w:asciiTheme="minorHAnsi" w:hAnsiTheme="minorHAnsi" w:cstheme="minorHAnsi"/>
          <w:i/>
          <w:szCs w:val="20"/>
          <w:lang w:val="en-GB"/>
        </w:rPr>
        <w:t>The Trafficking in Persons Act 2007</w:t>
      </w:r>
      <w:r w:rsidRPr="007F03F7">
        <w:rPr>
          <w:rFonts w:asciiTheme="minorHAnsi" w:hAnsiTheme="minorHAnsi" w:cstheme="minorHAnsi"/>
          <w:szCs w:val="20"/>
          <w:lang w:val="en-GB"/>
        </w:rPr>
        <w:t>, Section 45.</w:t>
      </w:r>
    </w:p>
  </w:endnote>
  <w:endnote w:id="79">
    <w:p w14:paraId="2B0724D9" w14:textId="77777777" w:rsidR="00A77A94" w:rsidRPr="007F03F7" w:rsidRDefault="00A77A94">
      <w:pPr>
        <w:pStyle w:val="EndnoteText"/>
        <w:spacing w:after="0" w:line="240" w:lineRule="auto"/>
        <w:contextualSpacing/>
        <w:rPr>
          <w:rStyle w:val="A18"/>
          <w:rFonts w:asciiTheme="minorHAnsi" w:hAnsiTheme="minorHAnsi" w:cstheme="minorHAnsi"/>
          <w:szCs w:val="20"/>
          <w:lang w:val="en-GB"/>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vertAlign w:val="superscript"/>
          <w:lang w:val="en-GB"/>
        </w:rPr>
        <w:t xml:space="preserve"> </w:t>
      </w:r>
      <w:r w:rsidRPr="007F03F7">
        <w:rPr>
          <w:rFonts w:asciiTheme="minorHAnsi" w:hAnsiTheme="minorHAnsi" w:cstheme="minorHAnsi"/>
          <w:szCs w:val="20"/>
          <w:lang w:val="en-GB"/>
        </w:rPr>
        <w:t xml:space="preserve">ACDHRS. (July 2015). CEDAW. </w:t>
      </w:r>
      <w:hyperlink r:id="rId40" w:history="1">
        <w:r w:rsidRPr="007F03F7">
          <w:rPr>
            <w:rStyle w:val="Hyperlink"/>
            <w:rFonts w:asciiTheme="minorHAnsi" w:hAnsiTheme="minorHAnsi" w:cstheme="minorHAnsi"/>
            <w:i/>
            <w:szCs w:val="20"/>
            <w:lang w:val="en-GB"/>
          </w:rPr>
          <w:t>Concluding observations on the combined fourth and fifth periodic reports of The Gambia</w:t>
        </w:r>
      </w:hyperlink>
      <w:r w:rsidRPr="007F03F7">
        <w:rPr>
          <w:rFonts w:asciiTheme="minorHAnsi" w:hAnsiTheme="minorHAnsi" w:cstheme="minorHAnsi"/>
          <w:szCs w:val="20"/>
          <w:lang w:val="en-GB"/>
        </w:rPr>
        <w:t xml:space="preserve">. </w:t>
      </w:r>
      <w:r w:rsidRPr="007F03F7">
        <w:rPr>
          <w:rStyle w:val="A18"/>
          <w:rFonts w:asciiTheme="minorHAnsi" w:hAnsiTheme="minorHAnsi" w:cstheme="minorHAnsi"/>
          <w:szCs w:val="20"/>
          <w:lang w:val="en-GB"/>
        </w:rPr>
        <w:t>5.</w:t>
      </w:r>
    </w:p>
  </w:endnote>
  <w:endnote w:id="80">
    <w:p w14:paraId="4C1D6868" w14:textId="77777777" w:rsidR="00A77A94" w:rsidRPr="007F03F7" w:rsidRDefault="00A77A94">
      <w:pPr>
        <w:pStyle w:val="EndnoteText"/>
        <w:spacing w:after="0" w:line="240" w:lineRule="auto"/>
        <w:contextualSpacing/>
        <w:rPr>
          <w:rStyle w:val="A18"/>
          <w:rFonts w:asciiTheme="minorHAnsi" w:hAnsiTheme="minorHAnsi" w:cstheme="minorHAnsi"/>
          <w:szCs w:val="20"/>
          <w:lang w:val="en-GB"/>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lang w:val="en-GB"/>
        </w:rPr>
        <w:t xml:space="preserve"> UN Committee on Economic, Social and Cultural Rights (CESCR), </w:t>
      </w:r>
      <w:hyperlink r:id="rId41" w:history="1">
        <w:r w:rsidRPr="007F03F7">
          <w:rPr>
            <w:rStyle w:val="Hyperlink"/>
            <w:rFonts w:asciiTheme="minorHAnsi" w:hAnsiTheme="minorHAnsi" w:cstheme="minorHAnsi"/>
            <w:i/>
            <w:szCs w:val="20"/>
            <w:lang w:val="en-GB"/>
          </w:rPr>
          <w:t>Concluding observations on the initial report of The Gambia</w:t>
        </w:r>
        <w:r w:rsidRPr="007F03F7">
          <w:rPr>
            <w:rStyle w:val="Hyperlink"/>
            <w:rFonts w:asciiTheme="minorHAnsi" w:hAnsiTheme="minorHAnsi" w:cstheme="minorHAnsi"/>
            <w:szCs w:val="20"/>
            <w:lang w:val="en-GB"/>
          </w:rPr>
          <w:t>,</w:t>
        </w:r>
      </w:hyperlink>
      <w:r w:rsidRPr="007F03F7">
        <w:rPr>
          <w:rStyle w:val="A18"/>
          <w:rFonts w:asciiTheme="minorHAnsi" w:hAnsiTheme="minorHAnsi" w:cstheme="minorHAnsi"/>
          <w:szCs w:val="20"/>
          <w:lang w:val="en-GB"/>
        </w:rPr>
        <w:t xml:space="preserve"> 20 March 2015, E/C.12/GMB/CO/1. 6.</w:t>
      </w:r>
    </w:p>
  </w:endnote>
  <w:endnote w:id="81">
    <w:p w14:paraId="1F3B33E0" w14:textId="77777777" w:rsidR="00A77A94" w:rsidRPr="007F03F7" w:rsidRDefault="00A77A94">
      <w:pPr>
        <w:pStyle w:val="EndnoteText"/>
        <w:spacing w:after="0" w:line="240" w:lineRule="auto"/>
        <w:contextualSpacing/>
        <w:rPr>
          <w:rStyle w:val="A18"/>
          <w:rFonts w:asciiTheme="minorHAnsi" w:hAnsiTheme="minorHAnsi" w:cstheme="minorHAnsi"/>
          <w:szCs w:val="20"/>
          <w:lang w:val="en-GB"/>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lang w:val="en-GB"/>
        </w:rPr>
        <w:t xml:space="preserve"> </w:t>
      </w:r>
      <w:r w:rsidRPr="007F03F7">
        <w:rPr>
          <w:rStyle w:val="A18"/>
          <w:rFonts w:asciiTheme="minorHAnsi" w:hAnsiTheme="minorHAnsi" w:cstheme="minorHAnsi"/>
          <w:i/>
          <w:szCs w:val="20"/>
          <w:lang w:val="en-GB"/>
        </w:rPr>
        <w:t>Ibid.</w:t>
      </w:r>
      <w:r w:rsidRPr="007F03F7">
        <w:rPr>
          <w:rStyle w:val="A18"/>
          <w:rFonts w:asciiTheme="minorHAnsi" w:hAnsiTheme="minorHAnsi" w:cstheme="minorHAnsi"/>
          <w:szCs w:val="20"/>
          <w:lang w:val="en-GB"/>
        </w:rPr>
        <w:t xml:space="preserve"> sections 58, 60 and 61.</w:t>
      </w:r>
    </w:p>
  </w:endnote>
  <w:endnote w:id="82">
    <w:p w14:paraId="3D41E6E6" w14:textId="77777777" w:rsidR="00A77A94" w:rsidRPr="007F03F7" w:rsidRDefault="00A77A94">
      <w:pPr>
        <w:pStyle w:val="EndnoteText"/>
        <w:spacing w:after="0" w:line="240" w:lineRule="auto"/>
        <w:contextualSpacing/>
        <w:rPr>
          <w:rFonts w:asciiTheme="minorHAnsi" w:eastAsiaTheme="minorEastAsia" w:hAnsiTheme="minorHAnsi" w:cstheme="minorHAnsi"/>
          <w:color w:val="000000"/>
          <w:szCs w:val="20"/>
          <w:lang w:val="en-GB" w:eastAsia="fr-FR"/>
        </w:rPr>
      </w:pPr>
      <w:r w:rsidRPr="007F03F7">
        <w:rPr>
          <w:rStyle w:val="A18"/>
          <w:rFonts w:asciiTheme="minorHAnsi" w:hAnsiTheme="minorHAnsi" w:cstheme="minorHAnsi"/>
          <w:szCs w:val="20"/>
          <w:vertAlign w:val="superscript"/>
          <w:lang w:val="en-GB"/>
        </w:rPr>
        <w:endnoteRef/>
      </w:r>
      <w:r w:rsidRPr="007F03F7">
        <w:rPr>
          <w:rStyle w:val="A18"/>
          <w:rFonts w:asciiTheme="minorHAnsi" w:hAnsiTheme="minorHAnsi" w:cstheme="minorHAnsi"/>
          <w:szCs w:val="20"/>
          <w:lang w:val="en-GB"/>
        </w:rPr>
        <w:t xml:space="preserve"> </w:t>
      </w:r>
      <w:r w:rsidRPr="007F03F7">
        <w:rPr>
          <w:rStyle w:val="A18"/>
          <w:rFonts w:asciiTheme="minorHAnsi" w:hAnsiTheme="minorHAnsi" w:cstheme="minorHAnsi"/>
          <w:i/>
          <w:szCs w:val="20"/>
          <w:lang w:val="en-GB"/>
        </w:rPr>
        <w:t>Ibid.</w:t>
      </w:r>
      <w:r w:rsidRPr="007F03F7">
        <w:rPr>
          <w:rFonts w:asciiTheme="minorHAnsi" w:eastAsiaTheme="minorEastAsia" w:hAnsiTheme="minorHAnsi" w:cstheme="minorHAnsi"/>
          <w:color w:val="000000"/>
          <w:szCs w:val="20"/>
          <w:lang w:val="en-GB" w:eastAsia="fr-FR"/>
        </w:rPr>
        <w:t xml:space="preserve"> section 54.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018252"/>
      <w:docPartObj>
        <w:docPartGallery w:val="Page Numbers (Bottom of Page)"/>
        <w:docPartUnique/>
      </w:docPartObj>
    </w:sdtPr>
    <w:sdtEndPr>
      <w:rPr>
        <w:noProof/>
      </w:rPr>
    </w:sdtEndPr>
    <w:sdtContent>
      <w:p w14:paraId="034C2C30" w14:textId="67886FEC" w:rsidR="001401C9" w:rsidRDefault="001401C9">
        <w:pPr>
          <w:pStyle w:val="Footer"/>
          <w:jc w:val="center"/>
        </w:pPr>
        <w:r>
          <w:fldChar w:fldCharType="begin"/>
        </w:r>
        <w:r>
          <w:instrText xml:space="preserve"> PAGE   \* MERGEFORMAT </w:instrText>
        </w:r>
        <w:r>
          <w:fldChar w:fldCharType="separate"/>
        </w:r>
        <w:r w:rsidR="00192CC5">
          <w:rPr>
            <w:noProof/>
          </w:rPr>
          <w:t>1</w:t>
        </w:r>
        <w:r>
          <w:rPr>
            <w:noProof/>
          </w:rPr>
          <w:fldChar w:fldCharType="end"/>
        </w:r>
      </w:p>
    </w:sdtContent>
  </w:sdt>
  <w:p w14:paraId="7B669AB4" w14:textId="77777777" w:rsidR="001401C9" w:rsidRDefault="001401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3D0AFF" w14:textId="77777777" w:rsidR="00853AA3" w:rsidRDefault="00853AA3" w:rsidP="009A0045">
      <w:pPr>
        <w:spacing w:after="0" w:line="240" w:lineRule="auto"/>
      </w:pPr>
      <w:r>
        <w:separator/>
      </w:r>
    </w:p>
  </w:footnote>
  <w:footnote w:type="continuationSeparator" w:id="0">
    <w:p w14:paraId="3F600134" w14:textId="77777777" w:rsidR="00853AA3" w:rsidRDefault="00853AA3" w:rsidP="009A0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0305"/>
    <w:multiLevelType w:val="hybridMultilevel"/>
    <w:tmpl w:val="9476EE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AE7D08"/>
    <w:multiLevelType w:val="hybridMultilevel"/>
    <w:tmpl w:val="F1A046F6"/>
    <w:lvl w:ilvl="0" w:tplc="0409000F">
      <w:start w:val="1"/>
      <w:numFmt w:val="decimal"/>
      <w:lvlText w:val="%1."/>
      <w:lvlJc w:val="left"/>
      <w:pPr>
        <w:ind w:left="363" w:hanging="360"/>
      </w:pPr>
    </w:lvl>
    <w:lvl w:ilvl="1" w:tplc="04090019" w:tentative="1">
      <w:start w:val="1"/>
      <w:numFmt w:val="lowerLetter"/>
      <w:lvlText w:val="%2."/>
      <w:lvlJc w:val="left"/>
      <w:pPr>
        <w:ind w:left="1083" w:hanging="360"/>
      </w:pPr>
    </w:lvl>
    <w:lvl w:ilvl="2" w:tplc="0409001B" w:tentative="1">
      <w:start w:val="1"/>
      <w:numFmt w:val="lowerRoman"/>
      <w:lvlText w:val="%3."/>
      <w:lvlJc w:val="right"/>
      <w:pPr>
        <w:ind w:left="1803" w:hanging="180"/>
      </w:pPr>
    </w:lvl>
    <w:lvl w:ilvl="3" w:tplc="0409000F" w:tentative="1">
      <w:start w:val="1"/>
      <w:numFmt w:val="decimal"/>
      <w:lvlText w:val="%4."/>
      <w:lvlJc w:val="left"/>
      <w:pPr>
        <w:ind w:left="2523" w:hanging="360"/>
      </w:pPr>
    </w:lvl>
    <w:lvl w:ilvl="4" w:tplc="04090019" w:tentative="1">
      <w:start w:val="1"/>
      <w:numFmt w:val="lowerLetter"/>
      <w:lvlText w:val="%5."/>
      <w:lvlJc w:val="left"/>
      <w:pPr>
        <w:ind w:left="3243" w:hanging="360"/>
      </w:pPr>
    </w:lvl>
    <w:lvl w:ilvl="5" w:tplc="0409001B" w:tentative="1">
      <w:start w:val="1"/>
      <w:numFmt w:val="lowerRoman"/>
      <w:lvlText w:val="%6."/>
      <w:lvlJc w:val="right"/>
      <w:pPr>
        <w:ind w:left="3963" w:hanging="180"/>
      </w:pPr>
    </w:lvl>
    <w:lvl w:ilvl="6" w:tplc="0409000F" w:tentative="1">
      <w:start w:val="1"/>
      <w:numFmt w:val="decimal"/>
      <w:lvlText w:val="%7."/>
      <w:lvlJc w:val="left"/>
      <w:pPr>
        <w:ind w:left="4683" w:hanging="360"/>
      </w:pPr>
    </w:lvl>
    <w:lvl w:ilvl="7" w:tplc="04090019" w:tentative="1">
      <w:start w:val="1"/>
      <w:numFmt w:val="lowerLetter"/>
      <w:lvlText w:val="%8."/>
      <w:lvlJc w:val="left"/>
      <w:pPr>
        <w:ind w:left="5403" w:hanging="360"/>
      </w:pPr>
    </w:lvl>
    <w:lvl w:ilvl="8" w:tplc="0409001B" w:tentative="1">
      <w:start w:val="1"/>
      <w:numFmt w:val="lowerRoman"/>
      <w:lvlText w:val="%9."/>
      <w:lvlJc w:val="right"/>
      <w:pPr>
        <w:ind w:left="6123" w:hanging="180"/>
      </w:pPr>
    </w:lvl>
  </w:abstractNum>
  <w:abstractNum w:abstractNumId="2" w15:restartNumberingAfterBreak="0">
    <w:nsid w:val="1ADE5B01"/>
    <w:multiLevelType w:val="hybridMultilevel"/>
    <w:tmpl w:val="A856951E"/>
    <w:lvl w:ilvl="0" w:tplc="42540BC4">
      <w:start w:val="1"/>
      <w:numFmt w:val="decimal"/>
      <w:lvlText w:val="%1."/>
      <w:lvlJc w:val="left"/>
      <w:pPr>
        <w:ind w:left="720" w:hanging="360"/>
      </w:pPr>
      <w:rPr>
        <w:rFonts w:asciiTheme="minorHAnsi" w:hAnsiTheme="minorHAnsi" w:hint="default"/>
        <w:b w:val="0"/>
        <w:color w:val="auto"/>
        <w:sz w:val="22"/>
        <w:szCs w:val="22"/>
      </w:r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E438CE"/>
    <w:multiLevelType w:val="hybridMultilevel"/>
    <w:tmpl w:val="88F6B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132A9D"/>
    <w:multiLevelType w:val="hybridMultilevel"/>
    <w:tmpl w:val="D4124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F130B9"/>
    <w:multiLevelType w:val="hybridMultilevel"/>
    <w:tmpl w:val="8FAC5E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4A44F2"/>
    <w:multiLevelType w:val="hybridMultilevel"/>
    <w:tmpl w:val="965EF9D0"/>
    <w:lvl w:ilvl="0" w:tplc="42540BC4">
      <w:start w:val="1"/>
      <w:numFmt w:val="decimal"/>
      <w:lvlText w:val="%1."/>
      <w:lvlJc w:val="left"/>
      <w:pPr>
        <w:ind w:left="1080" w:hanging="360"/>
      </w:pPr>
      <w:rPr>
        <w:rFonts w:asciiTheme="minorHAnsi" w:hAnsiTheme="minorHAnsi" w:hint="default"/>
        <w:b w:val="0"/>
        <w:color w:val="auto"/>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574924"/>
    <w:multiLevelType w:val="hybridMultilevel"/>
    <w:tmpl w:val="4452644E"/>
    <w:lvl w:ilvl="0" w:tplc="C6C037A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DF548B"/>
    <w:multiLevelType w:val="hybridMultilevel"/>
    <w:tmpl w:val="F5401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667E6B"/>
    <w:multiLevelType w:val="hybridMultilevel"/>
    <w:tmpl w:val="901C038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5B396F"/>
    <w:multiLevelType w:val="hybridMultilevel"/>
    <w:tmpl w:val="1D8839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FB3A8C"/>
    <w:multiLevelType w:val="hybridMultilevel"/>
    <w:tmpl w:val="B582D28E"/>
    <w:lvl w:ilvl="0" w:tplc="08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6A0CBB"/>
    <w:multiLevelType w:val="hybridMultilevel"/>
    <w:tmpl w:val="A15E0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D07C45"/>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hint="default"/>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4" w15:restartNumberingAfterBreak="0">
    <w:nsid w:val="513A6106"/>
    <w:multiLevelType w:val="hybridMultilevel"/>
    <w:tmpl w:val="F4FAD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8A66AA"/>
    <w:multiLevelType w:val="hybridMultilevel"/>
    <w:tmpl w:val="6066BF44"/>
    <w:lvl w:ilvl="0" w:tplc="42540BC4">
      <w:start w:val="1"/>
      <w:numFmt w:val="decimal"/>
      <w:lvlText w:val="%1."/>
      <w:lvlJc w:val="left"/>
      <w:pPr>
        <w:ind w:left="720" w:hanging="360"/>
      </w:pPr>
      <w:rPr>
        <w:rFonts w:asciiTheme="minorHAnsi" w:hAnsiTheme="minorHAnsi" w:hint="default"/>
        <w:b w:val="0"/>
        <w:color w:val="auto"/>
        <w:sz w:val="22"/>
        <w:szCs w:val="22"/>
      </w:r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9A0A0C"/>
    <w:multiLevelType w:val="hybridMultilevel"/>
    <w:tmpl w:val="5296D6BE"/>
    <w:lvl w:ilvl="0" w:tplc="42540BC4">
      <w:start w:val="1"/>
      <w:numFmt w:val="decimal"/>
      <w:lvlText w:val="%1."/>
      <w:lvlJc w:val="left"/>
      <w:pPr>
        <w:ind w:left="1080" w:hanging="360"/>
      </w:pPr>
      <w:rPr>
        <w:rFonts w:asciiTheme="minorHAnsi" w:hAnsiTheme="minorHAnsi" w:hint="default"/>
        <w:b w:val="0"/>
        <w:color w:val="auto"/>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BEC1722"/>
    <w:multiLevelType w:val="hybridMultilevel"/>
    <w:tmpl w:val="A856951E"/>
    <w:lvl w:ilvl="0" w:tplc="42540BC4">
      <w:start w:val="1"/>
      <w:numFmt w:val="decimal"/>
      <w:lvlText w:val="%1."/>
      <w:lvlJc w:val="left"/>
      <w:pPr>
        <w:ind w:left="720" w:hanging="360"/>
      </w:pPr>
      <w:rPr>
        <w:rFonts w:asciiTheme="minorHAnsi" w:hAnsiTheme="minorHAnsi" w:hint="default"/>
        <w:b w:val="0"/>
        <w:color w:val="auto"/>
        <w:sz w:val="22"/>
        <w:szCs w:val="22"/>
      </w:r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AD2168"/>
    <w:multiLevelType w:val="hybridMultilevel"/>
    <w:tmpl w:val="6066BF44"/>
    <w:lvl w:ilvl="0" w:tplc="42540BC4">
      <w:start w:val="1"/>
      <w:numFmt w:val="decimal"/>
      <w:lvlText w:val="%1."/>
      <w:lvlJc w:val="left"/>
      <w:pPr>
        <w:ind w:left="720" w:hanging="360"/>
      </w:pPr>
      <w:rPr>
        <w:rFonts w:asciiTheme="minorHAnsi" w:hAnsiTheme="minorHAnsi" w:hint="default"/>
        <w:b w:val="0"/>
        <w:color w:val="auto"/>
        <w:sz w:val="22"/>
        <w:szCs w:val="22"/>
      </w:r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474391"/>
    <w:multiLevelType w:val="hybridMultilevel"/>
    <w:tmpl w:val="7FE62244"/>
    <w:lvl w:ilvl="0" w:tplc="9264816E">
      <w:start w:val="1"/>
      <w:numFmt w:val="decimal"/>
      <w:lvlText w:val="%1."/>
      <w:lvlJc w:val="left"/>
      <w:pPr>
        <w:ind w:left="720" w:hanging="360"/>
      </w:pPr>
      <w:rPr>
        <w:b w:val="0"/>
        <w:color w:val="auto"/>
      </w:rPr>
    </w:lvl>
    <w:lvl w:ilvl="1" w:tplc="08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4"/>
  </w:num>
  <w:num w:numId="3">
    <w:abstractNumId w:val="15"/>
  </w:num>
  <w:num w:numId="4">
    <w:abstractNumId w:val="13"/>
  </w:num>
  <w:num w:numId="5">
    <w:abstractNumId w:val="8"/>
  </w:num>
  <w:num w:numId="6">
    <w:abstractNumId w:val="3"/>
  </w:num>
  <w:num w:numId="7">
    <w:abstractNumId w:val="5"/>
  </w:num>
  <w:num w:numId="8">
    <w:abstractNumId w:val="1"/>
  </w:num>
  <w:num w:numId="9">
    <w:abstractNumId w:val="14"/>
  </w:num>
  <w:num w:numId="10">
    <w:abstractNumId w:val="9"/>
  </w:num>
  <w:num w:numId="11">
    <w:abstractNumId w:val="11"/>
  </w:num>
  <w:num w:numId="12">
    <w:abstractNumId w:val="19"/>
  </w:num>
  <w:num w:numId="13">
    <w:abstractNumId w:val="2"/>
  </w:num>
  <w:num w:numId="14">
    <w:abstractNumId w:val="17"/>
  </w:num>
  <w:num w:numId="15">
    <w:abstractNumId w:val="16"/>
  </w:num>
  <w:num w:numId="16">
    <w:abstractNumId w:val="6"/>
  </w:num>
  <w:num w:numId="17">
    <w:abstractNumId w:val="10"/>
  </w:num>
  <w:num w:numId="18">
    <w:abstractNumId w:val="18"/>
  </w:num>
  <w:num w:numId="19">
    <w:abstractNumId w:val="0"/>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045"/>
    <w:rsid w:val="00002D55"/>
    <w:rsid w:val="00007AB7"/>
    <w:rsid w:val="000B4DAB"/>
    <w:rsid w:val="000C65FA"/>
    <w:rsid w:val="001401C9"/>
    <w:rsid w:val="001564AF"/>
    <w:rsid w:val="001907BF"/>
    <w:rsid w:val="00192CC5"/>
    <w:rsid w:val="001B4EC0"/>
    <w:rsid w:val="001B713A"/>
    <w:rsid w:val="001C6FAE"/>
    <w:rsid w:val="001E103B"/>
    <w:rsid w:val="001F0F5A"/>
    <w:rsid w:val="00203A78"/>
    <w:rsid w:val="00220E9D"/>
    <w:rsid w:val="002524AD"/>
    <w:rsid w:val="00271D24"/>
    <w:rsid w:val="00291B65"/>
    <w:rsid w:val="00297ADF"/>
    <w:rsid w:val="002C6364"/>
    <w:rsid w:val="002C6724"/>
    <w:rsid w:val="00301DB5"/>
    <w:rsid w:val="003047C7"/>
    <w:rsid w:val="00324158"/>
    <w:rsid w:val="003376BB"/>
    <w:rsid w:val="0034755B"/>
    <w:rsid w:val="00371D98"/>
    <w:rsid w:val="00375F15"/>
    <w:rsid w:val="00397630"/>
    <w:rsid w:val="003A1E85"/>
    <w:rsid w:val="003A4750"/>
    <w:rsid w:val="003B24CB"/>
    <w:rsid w:val="003B45B6"/>
    <w:rsid w:val="003B5BE0"/>
    <w:rsid w:val="003C23A2"/>
    <w:rsid w:val="003C335D"/>
    <w:rsid w:val="003F424B"/>
    <w:rsid w:val="003F484F"/>
    <w:rsid w:val="00411B2D"/>
    <w:rsid w:val="004210E8"/>
    <w:rsid w:val="00447A05"/>
    <w:rsid w:val="00474EA9"/>
    <w:rsid w:val="00482D09"/>
    <w:rsid w:val="00496B62"/>
    <w:rsid w:val="004B0809"/>
    <w:rsid w:val="004D12E3"/>
    <w:rsid w:val="004F55A4"/>
    <w:rsid w:val="00500146"/>
    <w:rsid w:val="00515E72"/>
    <w:rsid w:val="005260DD"/>
    <w:rsid w:val="00550EBC"/>
    <w:rsid w:val="00555F47"/>
    <w:rsid w:val="0058155E"/>
    <w:rsid w:val="00586CD5"/>
    <w:rsid w:val="005A24D9"/>
    <w:rsid w:val="005C40EC"/>
    <w:rsid w:val="00601712"/>
    <w:rsid w:val="00611433"/>
    <w:rsid w:val="00625E31"/>
    <w:rsid w:val="006461BB"/>
    <w:rsid w:val="0065419D"/>
    <w:rsid w:val="00657145"/>
    <w:rsid w:val="00664F34"/>
    <w:rsid w:val="00665A62"/>
    <w:rsid w:val="00670AAF"/>
    <w:rsid w:val="007128D4"/>
    <w:rsid w:val="00714D98"/>
    <w:rsid w:val="00717DF4"/>
    <w:rsid w:val="007360D3"/>
    <w:rsid w:val="00784A46"/>
    <w:rsid w:val="007865EB"/>
    <w:rsid w:val="007F03F7"/>
    <w:rsid w:val="007F718E"/>
    <w:rsid w:val="00812B2D"/>
    <w:rsid w:val="00853AA3"/>
    <w:rsid w:val="008601AD"/>
    <w:rsid w:val="00886E7F"/>
    <w:rsid w:val="008A6902"/>
    <w:rsid w:val="008B0CE6"/>
    <w:rsid w:val="008F181E"/>
    <w:rsid w:val="00917CE8"/>
    <w:rsid w:val="00927A13"/>
    <w:rsid w:val="009527F5"/>
    <w:rsid w:val="009740E1"/>
    <w:rsid w:val="00987549"/>
    <w:rsid w:val="009A0045"/>
    <w:rsid w:val="009C2072"/>
    <w:rsid w:val="009E6402"/>
    <w:rsid w:val="009F177F"/>
    <w:rsid w:val="009F27DA"/>
    <w:rsid w:val="00A22ADB"/>
    <w:rsid w:val="00A77A94"/>
    <w:rsid w:val="00AB5DDB"/>
    <w:rsid w:val="00AC629D"/>
    <w:rsid w:val="00AE42A3"/>
    <w:rsid w:val="00AF55C0"/>
    <w:rsid w:val="00AF7BA2"/>
    <w:rsid w:val="00B04891"/>
    <w:rsid w:val="00B337BB"/>
    <w:rsid w:val="00B5610E"/>
    <w:rsid w:val="00B83923"/>
    <w:rsid w:val="00BB4B96"/>
    <w:rsid w:val="00BF2EA6"/>
    <w:rsid w:val="00C2292E"/>
    <w:rsid w:val="00C25169"/>
    <w:rsid w:val="00C301F0"/>
    <w:rsid w:val="00C83450"/>
    <w:rsid w:val="00C83472"/>
    <w:rsid w:val="00CC5333"/>
    <w:rsid w:val="00D363EB"/>
    <w:rsid w:val="00D5326C"/>
    <w:rsid w:val="00D55609"/>
    <w:rsid w:val="00DA41B7"/>
    <w:rsid w:val="00DC14BE"/>
    <w:rsid w:val="00DC5598"/>
    <w:rsid w:val="00E21D7F"/>
    <w:rsid w:val="00E3763F"/>
    <w:rsid w:val="00E80AE1"/>
    <w:rsid w:val="00E90C0C"/>
    <w:rsid w:val="00EA06CB"/>
    <w:rsid w:val="00EA798B"/>
    <w:rsid w:val="00EB579E"/>
    <w:rsid w:val="00EC4689"/>
    <w:rsid w:val="00F058AB"/>
    <w:rsid w:val="00F207F9"/>
    <w:rsid w:val="00F23821"/>
    <w:rsid w:val="00F27A0A"/>
    <w:rsid w:val="00F44ADC"/>
    <w:rsid w:val="00F828C1"/>
    <w:rsid w:val="00FB0338"/>
    <w:rsid w:val="00FB29D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A1F0C"/>
  <w15:docId w15:val="{CB17043D-6C58-4AF2-A0D2-764357C56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689"/>
  </w:style>
  <w:style w:type="paragraph" w:styleId="Heading1">
    <w:name w:val="heading 1"/>
    <w:basedOn w:val="ListParagraph"/>
    <w:next w:val="Normal"/>
    <w:link w:val="Heading1Char"/>
    <w:autoRedefine/>
    <w:uiPriority w:val="9"/>
    <w:qFormat/>
    <w:rsid w:val="000C65FA"/>
    <w:pPr>
      <w:spacing w:after="200" w:line="276" w:lineRule="auto"/>
      <w:ind w:left="0"/>
      <w:contextualSpacing w:val="0"/>
      <w:outlineLvl w:val="0"/>
    </w:pPr>
    <w:rPr>
      <w:rFonts w:eastAsia="Times New Roman" w:cs="Times New Roman"/>
      <w:b/>
      <w:sz w:val="24"/>
      <w:u w:val="single"/>
      <w:lang w:val="en-GB" w:eastAsia="ja-JP"/>
    </w:rPr>
  </w:style>
  <w:style w:type="paragraph" w:styleId="Heading2">
    <w:name w:val="heading 2"/>
    <w:basedOn w:val="Normal"/>
    <w:next w:val="Normal"/>
    <w:link w:val="Heading2Char"/>
    <w:uiPriority w:val="9"/>
    <w:semiHidden/>
    <w:unhideWhenUsed/>
    <w:qFormat/>
    <w:rsid w:val="00A77A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7A94"/>
    <w:pPr>
      <w:keepNext/>
      <w:keepLines/>
      <w:spacing w:before="40" w:after="0"/>
      <w:outlineLvl w:val="2"/>
    </w:pPr>
    <w:rPr>
      <w:rFonts w:asciiTheme="majorHAnsi" w:eastAsiaTheme="majorEastAsia" w:hAnsiTheme="majorHAnsi" w:cstheme="majorBidi"/>
      <w:color w:val="1F4D78" w:themeColor="accent1" w:themeShade="7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A0045"/>
    <w:pPr>
      <w:ind w:left="720"/>
      <w:contextualSpacing/>
    </w:pPr>
  </w:style>
  <w:style w:type="character" w:styleId="Hyperlink">
    <w:name w:val="Hyperlink"/>
    <w:uiPriority w:val="99"/>
    <w:rsid w:val="009A0045"/>
    <w:rPr>
      <w:rFonts w:cs="Times New Roman"/>
      <w:color w:val="0000FF"/>
      <w:u w:val="single"/>
    </w:rPr>
  </w:style>
  <w:style w:type="paragraph" w:styleId="NoSpacing">
    <w:name w:val="No Spacing"/>
    <w:uiPriority w:val="1"/>
    <w:qFormat/>
    <w:rsid w:val="009A0045"/>
    <w:pPr>
      <w:spacing w:after="0" w:line="240" w:lineRule="auto"/>
    </w:pPr>
    <w:rPr>
      <w:lang w:val="fr-FR"/>
    </w:rPr>
  </w:style>
  <w:style w:type="character" w:styleId="EndnoteReference">
    <w:name w:val="endnote reference"/>
    <w:uiPriority w:val="99"/>
    <w:unhideWhenUsed/>
    <w:rsid w:val="009A0045"/>
    <w:rPr>
      <w:vertAlign w:val="superscript"/>
    </w:rPr>
  </w:style>
  <w:style w:type="paragraph" w:styleId="FootnoteText">
    <w:name w:val="footnote text"/>
    <w:basedOn w:val="Normal"/>
    <w:link w:val="FootnoteTextChar"/>
    <w:uiPriority w:val="99"/>
    <w:unhideWhenUsed/>
    <w:rsid w:val="009A0045"/>
    <w:pPr>
      <w:spacing w:after="0" w:line="240" w:lineRule="auto"/>
    </w:pPr>
    <w:rPr>
      <w:sz w:val="20"/>
      <w:szCs w:val="20"/>
    </w:rPr>
  </w:style>
  <w:style w:type="character" w:customStyle="1" w:styleId="FootnoteTextChar">
    <w:name w:val="Footnote Text Char"/>
    <w:basedOn w:val="DefaultParagraphFont"/>
    <w:link w:val="FootnoteText"/>
    <w:uiPriority w:val="99"/>
    <w:rsid w:val="009A0045"/>
    <w:rPr>
      <w:sz w:val="20"/>
      <w:szCs w:val="20"/>
    </w:rPr>
  </w:style>
  <w:style w:type="character" w:styleId="FootnoteReference">
    <w:name w:val="footnote reference"/>
    <w:basedOn w:val="DefaultParagraphFont"/>
    <w:uiPriority w:val="99"/>
    <w:unhideWhenUsed/>
    <w:rsid w:val="009A0045"/>
    <w:rPr>
      <w:vertAlign w:val="superscript"/>
    </w:rPr>
  </w:style>
  <w:style w:type="character" w:customStyle="1" w:styleId="Heading1Char">
    <w:name w:val="Heading 1 Char"/>
    <w:basedOn w:val="DefaultParagraphFont"/>
    <w:link w:val="Heading1"/>
    <w:uiPriority w:val="9"/>
    <w:rsid w:val="000C65FA"/>
    <w:rPr>
      <w:rFonts w:eastAsia="Times New Roman" w:cs="Times New Roman"/>
      <w:b/>
      <w:sz w:val="24"/>
      <w:u w:val="single"/>
      <w:lang w:val="en-GB" w:eastAsia="ja-JP"/>
    </w:rPr>
  </w:style>
  <w:style w:type="paragraph" w:styleId="EndnoteText">
    <w:name w:val="endnote text"/>
    <w:basedOn w:val="Normal"/>
    <w:link w:val="EndnoteTextChar"/>
    <w:uiPriority w:val="99"/>
    <w:unhideWhenUsed/>
    <w:rsid w:val="008601AD"/>
    <w:pPr>
      <w:spacing w:after="200" w:line="276" w:lineRule="auto"/>
    </w:pPr>
    <w:rPr>
      <w:rFonts w:ascii="Calibri" w:eastAsia="Calibri" w:hAnsi="Calibri" w:cs="Cordia New"/>
      <w:sz w:val="20"/>
      <w:szCs w:val="25"/>
      <w:lang w:bidi="th-TH"/>
    </w:rPr>
  </w:style>
  <w:style w:type="character" w:customStyle="1" w:styleId="EndnoteTextChar">
    <w:name w:val="Endnote Text Char"/>
    <w:basedOn w:val="DefaultParagraphFont"/>
    <w:link w:val="EndnoteText"/>
    <w:uiPriority w:val="99"/>
    <w:rsid w:val="008601AD"/>
    <w:rPr>
      <w:rFonts w:ascii="Calibri" w:eastAsia="Calibri" w:hAnsi="Calibri" w:cs="Cordia New"/>
      <w:sz w:val="20"/>
      <w:szCs w:val="25"/>
      <w:lang w:bidi="th-TH"/>
    </w:rPr>
  </w:style>
  <w:style w:type="character" w:customStyle="1" w:styleId="Standaardalinea-lettertype1">
    <w:name w:val="Standaardalinea-lettertype1"/>
    <w:rsid w:val="00657145"/>
  </w:style>
  <w:style w:type="character" w:customStyle="1" w:styleId="A18">
    <w:name w:val="A18"/>
    <w:uiPriority w:val="99"/>
    <w:rsid w:val="00657145"/>
    <w:rPr>
      <w:rFonts w:cs="Calibri"/>
      <w:color w:val="000000"/>
    </w:rPr>
  </w:style>
  <w:style w:type="character" w:customStyle="1" w:styleId="Heading2Char">
    <w:name w:val="Heading 2 Char"/>
    <w:basedOn w:val="DefaultParagraphFont"/>
    <w:link w:val="Heading2"/>
    <w:uiPriority w:val="9"/>
    <w:semiHidden/>
    <w:rsid w:val="00A77A9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77A94"/>
    <w:rPr>
      <w:rFonts w:asciiTheme="majorHAnsi" w:eastAsiaTheme="majorEastAsia" w:hAnsiTheme="majorHAnsi" w:cstheme="majorBidi"/>
      <w:color w:val="1F4D78" w:themeColor="accent1" w:themeShade="7F"/>
      <w:sz w:val="24"/>
      <w:szCs w:val="24"/>
      <w:lang w:val="en-GB"/>
    </w:rPr>
  </w:style>
  <w:style w:type="character" w:customStyle="1" w:styleId="A8">
    <w:name w:val="A8"/>
    <w:uiPriority w:val="99"/>
    <w:rsid w:val="00A77A94"/>
    <w:rPr>
      <w:color w:val="000000"/>
      <w:sz w:val="21"/>
      <w:szCs w:val="21"/>
    </w:rPr>
  </w:style>
  <w:style w:type="character" w:styleId="CommentReference">
    <w:name w:val="annotation reference"/>
    <w:basedOn w:val="DefaultParagraphFont"/>
    <w:uiPriority w:val="99"/>
    <w:semiHidden/>
    <w:unhideWhenUsed/>
    <w:rsid w:val="006461BB"/>
    <w:rPr>
      <w:sz w:val="16"/>
      <w:szCs w:val="16"/>
    </w:rPr>
  </w:style>
  <w:style w:type="paragraph" w:styleId="CommentText">
    <w:name w:val="annotation text"/>
    <w:basedOn w:val="Normal"/>
    <w:link w:val="CommentTextChar"/>
    <w:uiPriority w:val="99"/>
    <w:semiHidden/>
    <w:unhideWhenUsed/>
    <w:rsid w:val="006461BB"/>
    <w:pPr>
      <w:spacing w:line="240" w:lineRule="auto"/>
    </w:pPr>
    <w:rPr>
      <w:sz w:val="20"/>
      <w:szCs w:val="20"/>
    </w:rPr>
  </w:style>
  <w:style w:type="character" w:customStyle="1" w:styleId="CommentTextChar">
    <w:name w:val="Comment Text Char"/>
    <w:basedOn w:val="DefaultParagraphFont"/>
    <w:link w:val="CommentText"/>
    <w:uiPriority w:val="99"/>
    <w:semiHidden/>
    <w:rsid w:val="006461BB"/>
    <w:rPr>
      <w:sz w:val="20"/>
      <w:szCs w:val="20"/>
    </w:rPr>
  </w:style>
  <w:style w:type="paragraph" w:styleId="CommentSubject">
    <w:name w:val="annotation subject"/>
    <w:basedOn w:val="CommentText"/>
    <w:next w:val="CommentText"/>
    <w:link w:val="CommentSubjectChar"/>
    <w:uiPriority w:val="99"/>
    <w:semiHidden/>
    <w:unhideWhenUsed/>
    <w:rsid w:val="006461BB"/>
    <w:rPr>
      <w:b/>
      <w:bCs/>
    </w:rPr>
  </w:style>
  <w:style w:type="character" w:customStyle="1" w:styleId="CommentSubjectChar">
    <w:name w:val="Comment Subject Char"/>
    <w:basedOn w:val="CommentTextChar"/>
    <w:link w:val="CommentSubject"/>
    <w:uiPriority w:val="99"/>
    <w:semiHidden/>
    <w:rsid w:val="006461BB"/>
    <w:rPr>
      <w:b/>
      <w:bCs/>
      <w:sz w:val="20"/>
      <w:szCs w:val="20"/>
    </w:rPr>
  </w:style>
  <w:style w:type="paragraph" w:styleId="BalloonText">
    <w:name w:val="Balloon Text"/>
    <w:basedOn w:val="Normal"/>
    <w:link w:val="BalloonTextChar"/>
    <w:uiPriority w:val="99"/>
    <w:semiHidden/>
    <w:unhideWhenUsed/>
    <w:rsid w:val="006461B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461BB"/>
    <w:rPr>
      <w:rFonts w:ascii="Times New Roman" w:hAnsi="Times New Roman" w:cs="Times New Roman"/>
      <w:sz w:val="18"/>
      <w:szCs w:val="18"/>
    </w:rPr>
  </w:style>
  <w:style w:type="character" w:customStyle="1" w:styleId="UnresolvedMention1">
    <w:name w:val="Unresolved Mention1"/>
    <w:basedOn w:val="DefaultParagraphFont"/>
    <w:uiPriority w:val="99"/>
    <w:semiHidden/>
    <w:unhideWhenUsed/>
    <w:rsid w:val="00550EBC"/>
    <w:rPr>
      <w:color w:val="605E5C"/>
      <w:shd w:val="clear" w:color="auto" w:fill="E1DFDD"/>
    </w:rPr>
  </w:style>
  <w:style w:type="character" w:styleId="FollowedHyperlink">
    <w:name w:val="FollowedHyperlink"/>
    <w:basedOn w:val="DefaultParagraphFont"/>
    <w:uiPriority w:val="99"/>
    <w:semiHidden/>
    <w:unhideWhenUsed/>
    <w:rsid w:val="00F058AB"/>
    <w:rPr>
      <w:color w:val="954F72" w:themeColor="followedHyperlink"/>
      <w:u w:val="single"/>
    </w:rPr>
  </w:style>
  <w:style w:type="character" w:customStyle="1" w:styleId="Standaardalinea-lettertype">
    <w:name w:val="Standaardalinea-lettertype"/>
    <w:rsid w:val="00515E72"/>
  </w:style>
  <w:style w:type="table" w:styleId="TableGrid">
    <w:name w:val="Table Grid"/>
    <w:basedOn w:val="TableNormal"/>
    <w:rsid w:val="00515E72"/>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6b">
    <w:name w:val="_l6b"/>
    <w:basedOn w:val="DefaultParagraphFont"/>
    <w:rsid w:val="00515E72"/>
  </w:style>
  <w:style w:type="paragraph" w:styleId="Revision">
    <w:name w:val="Revision"/>
    <w:hidden/>
    <w:uiPriority w:val="99"/>
    <w:semiHidden/>
    <w:rsid w:val="00555F47"/>
    <w:pPr>
      <w:spacing w:after="0" w:line="240" w:lineRule="auto"/>
    </w:pPr>
  </w:style>
  <w:style w:type="paragraph" w:styleId="TOCHeading">
    <w:name w:val="TOC Heading"/>
    <w:basedOn w:val="Heading1"/>
    <w:next w:val="Normal"/>
    <w:uiPriority w:val="39"/>
    <w:unhideWhenUsed/>
    <w:qFormat/>
    <w:rsid w:val="00B337BB"/>
    <w:pPr>
      <w:keepNext/>
      <w:keepLines/>
      <w:spacing w:before="480" w:after="0"/>
      <w:outlineLvl w:val="9"/>
    </w:pPr>
    <w:rPr>
      <w:rFonts w:asciiTheme="majorHAnsi" w:eastAsiaTheme="majorEastAsia" w:hAnsiTheme="majorHAnsi" w:cstheme="majorBidi"/>
      <w:bCs/>
      <w:color w:val="2E74B5" w:themeColor="accent1" w:themeShade="BF"/>
      <w:sz w:val="28"/>
      <w:szCs w:val="28"/>
      <w:u w:val="none"/>
      <w:lang w:val="en-US" w:eastAsia="en-US"/>
    </w:rPr>
  </w:style>
  <w:style w:type="paragraph" w:styleId="TOC1">
    <w:name w:val="toc 1"/>
    <w:basedOn w:val="Normal"/>
    <w:next w:val="Normal"/>
    <w:autoRedefine/>
    <w:uiPriority w:val="39"/>
    <w:unhideWhenUsed/>
    <w:rsid w:val="00B337BB"/>
    <w:pPr>
      <w:spacing w:before="120" w:after="0"/>
    </w:pPr>
    <w:rPr>
      <w:rFonts w:cstheme="minorHAnsi"/>
      <w:b/>
      <w:bCs/>
      <w:i/>
      <w:iCs/>
      <w:sz w:val="24"/>
      <w:szCs w:val="24"/>
    </w:rPr>
  </w:style>
  <w:style w:type="paragraph" w:styleId="TOC3">
    <w:name w:val="toc 3"/>
    <w:basedOn w:val="Normal"/>
    <w:next w:val="Normal"/>
    <w:autoRedefine/>
    <w:uiPriority w:val="39"/>
    <w:unhideWhenUsed/>
    <w:rsid w:val="00B337BB"/>
    <w:pPr>
      <w:spacing w:after="0"/>
      <w:ind w:left="440"/>
    </w:pPr>
    <w:rPr>
      <w:rFonts w:cstheme="minorHAnsi"/>
      <w:sz w:val="20"/>
      <w:szCs w:val="20"/>
    </w:rPr>
  </w:style>
  <w:style w:type="paragraph" w:styleId="TOC2">
    <w:name w:val="toc 2"/>
    <w:basedOn w:val="Normal"/>
    <w:next w:val="Normal"/>
    <w:autoRedefine/>
    <w:uiPriority w:val="39"/>
    <w:semiHidden/>
    <w:unhideWhenUsed/>
    <w:rsid w:val="00B337BB"/>
    <w:pPr>
      <w:spacing w:before="120" w:after="0"/>
      <w:ind w:left="220"/>
    </w:pPr>
    <w:rPr>
      <w:rFonts w:cstheme="minorHAnsi"/>
      <w:b/>
      <w:bCs/>
    </w:rPr>
  </w:style>
  <w:style w:type="paragraph" w:styleId="TOC4">
    <w:name w:val="toc 4"/>
    <w:basedOn w:val="Normal"/>
    <w:next w:val="Normal"/>
    <w:autoRedefine/>
    <w:uiPriority w:val="39"/>
    <w:semiHidden/>
    <w:unhideWhenUsed/>
    <w:rsid w:val="00B337BB"/>
    <w:pPr>
      <w:spacing w:after="0"/>
      <w:ind w:left="660"/>
    </w:pPr>
    <w:rPr>
      <w:rFonts w:cstheme="minorHAnsi"/>
      <w:sz w:val="20"/>
      <w:szCs w:val="20"/>
    </w:rPr>
  </w:style>
  <w:style w:type="paragraph" w:styleId="TOC5">
    <w:name w:val="toc 5"/>
    <w:basedOn w:val="Normal"/>
    <w:next w:val="Normal"/>
    <w:autoRedefine/>
    <w:uiPriority w:val="39"/>
    <w:semiHidden/>
    <w:unhideWhenUsed/>
    <w:rsid w:val="00B337BB"/>
    <w:pPr>
      <w:spacing w:after="0"/>
      <w:ind w:left="880"/>
    </w:pPr>
    <w:rPr>
      <w:rFonts w:cstheme="minorHAnsi"/>
      <w:sz w:val="20"/>
      <w:szCs w:val="20"/>
    </w:rPr>
  </w:style>
  <w:style w:type="paragraph" w:styleId="TOC6">
    <w:name w:val="toc 6"/>
    <w:basedOn w:val="Normal"/>
    <w:next w:val="Normal"/>
    <w:autoRedefine/>
    <w:uiPriority w:val="39"/>
    <w:semiHidden/>
    <w:unhideWhenUsed/>
    <w:rsid w:val="00B337BB"/>
    <w:pPr>
      <w:spacing w:after="0"/>
      <w:ind w:left="1100"/>
    </w:pPr>
    <w:rPr>
      <w:rFonts w:cstheme="minorHAnsi"/>
      <w:sz w:val="20"/>
      <w:szCs w:val="20"/>
    </w:rPr>
  </w:style>
  <w:style w:type="paragraph" w:styleId="TOC7">
    <w:name w:val="toc 7"/>
    <w:basedOn w:val="Normal"/>
    <w:next w:val="Normal"/>
    <w:autoRedefine/>
    <w:uiPriority w:val="39"/>
    <w:semiHidden/>
    <w:unhideWhenUsed/>
    <w:rsid w:val="00B337BB"/>
    <w:pPr>
      <w:spacing w:after="0"/>
      <w:ind w:left="1320"/>
    </w:pPr>
    <w:rPr>
      <w:rFonts w:cstheme="minorHAnsi"/>
      <w:sz w:val="20"/>
      <w:szCs w:val="20"/>
    </w:rPr>
  </w:style>
  <w:style w:type="paragraph" w:styleId="TOC8">
    <w:name w:val="toc 8"/>
    <w:basedOn w:val="Normal"/>
    <w:next w:val="Normal"/>
    <w:autoRedefine/>
    <w:uiPriority w:val="39"/>
    <w:semiHidden/>
    <w:unhideWhenUsed/>
    <w:rsid w:val="00B337BB"/>
    <w:pPr>
      <w:spacing w:after="0"/>
      <w:ind w:left="1540"/>
    </w:pPr>
    <w:rPr>
      <w:rFonts w:cstheme="minorHAnsi"/>
      <w:sz w:val="20"/>
      <w:szCs w:val="20"/>
    </w:rPr>
  </w:style>
  <w:style w:type="paragraph" w:styleId="TOC9">
    <w:name w:val="toc 9"/>
    <w:basedOn w:val="Normal"/>
    <w:next w:val="Normal"/>
    <w:autoRedefine/>
    <w:uiPriority w:val="39"/>
    <w:semiHidden/>
    <w:unhideWhenUsed/>
    <w:rsid w:val="00B337BB"/>
    <w:pPr>
      <w:spacing w:after="0"/>
      <w:ind w:left="1760"/>
    </w:pPr>
    <w:rPr>
      <w:rFonts w:cstheme="minorHAnsi"/>
      <w:sz w:val="20"/>
      <w:szCs w:val="20"/>
    </w:rPr>
  </w:style>
  <w:style w:type="paragraph" w:styleId="Header">
    <w:name w:val="header"/>
    <w:basedOn w:val="Normal"/>
    <w:link w:val="HeaderChar"/>
    <w:uiPriority w:val="99"/>
    <w:unhideWhenUsed/>
    <w:rsid w:val="001401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01C9"/>
  </w:style>
  <w:style w:type="paragraph" w:styleId="Footer">
    <w:name w:val="footer"/>
    <w:basedOn w:val="Normal"/>
    <w:link w:val="FooterChar"/>
    <w:uiPriority w:val="99"/>
    <w:unhideWhenUsed/>
    <w:rsid w:val="001401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1C9"/>
  </w:style>
  <w:style w:type="paragraph" w:customStyle="1" w:styleId="Endnote">
    <w:name w:val="Endnote"/>
    <w:basedOn w:val="Normal"/>
    <w:rsid w:val="00F27A0A"/>
    <w:pPr>
      <w:widowControl w:val="0"/>
      <w:suppressLineNumbers/>
      <w:suppressAutoHyphens/>
      <w:autoSpaceDN w:val="0"/>
      <w:spacing w:after="0" w:line="240" w:lineRule="auto"/>
      <w:ind w:left="283" w:hanging="283"/>
      <w:textAlignment w:val="baseline"/>
    </w:pPr>
    <w:rPr>
      <w:rFonts w:ascii="Times New Roman" w:eastAsia="Arial Unicode MS" w:hAnsi="Times New Roman" w:cs="Arial Unicode MS"/>
      <w:kern w:val="3"/>
      <w:sz w:val="20"/>
      <w:szCs w:val="20"/>
      <w:lang w:val="fr-FR" w:eastAsia="zh-CN" w:bidi="hi-IN"/>
    </w:rPr>
  </w:style>
  <w:style w:type="character" w:customStyle="1" w:styleId="Eindnootmarkering1">
    <w:name w:val="Eindnootmarkering1"/>
    <w:rsid w:val="00F27A0A"/>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85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cpat.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66%202%20215%203388"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agambia.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pagambia@yahoo.com"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www.accessgambia.com/information/tourism-statistics.html" TargetMode="External"/><Relationship Id="rId13" Type="http://schemas.openxmlformats.org/officeDocument/2006/relationships/hyperlink" Target="https://www.mensenhandelweb.nl/system/files/documents/11%20sep%202014/3549.pdf" TargetMode="External"/><Relationship Id="rId18" Type="http://schemas.openxmlformats.org/officeDocument/2006/relationships/hyperlink" Target="http://www.achpr.org/files/sessions/63rd_os/state-reports/1st-1994-2018/gambia_state_report_1st_eng.pdf" TargetMode="External"/><Relationship Id="rId26" Type="http://schemas.openxmlformats.org/officeDocument/2006/relationships/hyperlink" Target="http://www.africanchildforum.org/clr/Legislation%20Per%20Country/Gambia/gambia_children_2005_en.pdf" TargetMode="External"/><Relationship Id="rId39" Type="http://schemas.openxmlformats.org/officeDocument/2006/relationships/hyperlink" Target="https://www.ilo.org/dyn/natlex/docs/ELECTRONIC/90622/114255/F-347615750/GMB90622.pdf" TargetMode="External"/><Relationship Id="rId3" Type="http://schemas.openxmlformats.org/officeDocument/2006/relationships/hyperlink" Target="https://www.unicef.org/publications/files/SOWC_2017_ENG_WEB.pdf" TargetMode="External"/><Relationship Id="rId21" Type="http://schemas.openxmlformats.org/officeDocument/2006/relationships/hyperlink" Target="http://povertydata.worldbank.org/poverty/country/GMB" TargetMode="External"/><Relationship Id="rId34" Type="http://schemas.openxmlformats.org/officeDocument/2006/relationships/hyperlink" Target="https://tbinternet.ohchr.org/_layouts/treatybodyexternal/Download.aspx?symbolno=CCPR%2fC%2fGMB%2fCO%2f2&amp;Lang=en" TargetMode="External"/><Relationship Id="rId7" Type="http://schemas.openxmlformats.org/officeDocument/2006/relationships/hyperlink" Target="https://data.worldbank.org/indicator/ST.INT.ARVL?locations=GM" TargetMode="External"/><Relationship Id="rId12" Type="http://schemas.openxmlformats.org/officeDocument/2006/relationships/hyperlink" Target="https://www.itu.int/net4/itu-d/icteye/CountryProfileReport.aspx?countryID=92" TargetMode="External"/><Relationship Id="rId17" Type="http://schemas.openxmlformats.org/officeDocument/2006/relationships/hyperlink" Target="https://www.acdhrs.org/wp-content/uploads/2015/07/CEDAW-Concluding-Observations-July-2015-1.pdf" TargetMode="External"/><Relationship Id="rId25" Type="http://schemas.openxmlformats.org/officeDocument/2006/relationships/hyperlink" Target="http://www.africanchildforum.org/clr/Legislation%20Per%20Country/Gambia/gambia_children_2005_en.pdf" TargetMode="External"/><Relationship Id="rId33" Type="http://schemas.openxmlformats.org/officeDocument/2006/relationships/hyperlink" Target="https://www.ilo.org/dyn/natlex/docs/ELECTRONIC/90622/114255/F-347615750/GMB90622.pdf" TargetMode="External"/><Relationship Id="rId38" Type="http://schemas.openxmlformats.org/officeDocument/2006/relationships/hyperlink" Target="https://documents-dds-ny.un.org/doc/UNDOC/GEN/G14/250/81/PDF/G1425081.pdf?OpenElement" TargetMode="External"/><Relationship Id="rId2" Type="http://schemas.openxmlformats.org/officeDocument/2006/relationships/hyperlink" Target="https://www.unfpa.org/data/world-population/GM" TargetMode="External"/><Relationship Id="rId16" Type="http://schemas.openxmlformats.org/officeDocument/2006/relationships/hyperlink" Target="https://www.state.gov/wp-content/uploads/2019/06/2019-Trafficking-in-Persons-Report.pdf" TargetMode="External"/><Relationship Id="rId20" Type="http://schemas.openxmlformats.org/officeDocument/2006/relationships/hyperlink" Target="http://www.gbos.gov.gm/uploads/survey/GAMBIA%20THE%20SMILING%20COAST%20(CHILD%20SEX%20TOURISM%20STUDY%20-%20GAMBIA).pdf" TargetMode="External"/><Relationship Id="rId29" Type="http://schemas.openxmlformats.org/officeDocument/2006/relationships/hyperlink" Target="https://www.coe.int/en/web/human-rights-rule-of-law/-/glacy-gambia-starts-work-on-its-cybercrime-legislation" TargetMode="External"/><Relationship Id="rId41" Type="http://schemas.openxmlformats.org/officeDocument/2006/relationships/hyperlink" Target="https://documents-dds-ny.un.org/doc/UNDOC/GEN/G15/059/98/PDF/G1505998.pdf?OpenElement" TargetMode="External"/><Relationship Id="rId1" Type="http://schemas.openxmlformats.org/officeDocument/2006/relationships/hyperlink" Target="http://luxembourgguidelines.org/" TargetMode="External"/><Relationship Id="rId6" Type="http://schemas.openxmlformats.org/officeDocument/2006/relationships/hyperlink" Target="http://www.accessgambia.com/information/tourism-statistics.html" TargetMode="External"/><Relationship Id="rId11" Type="http://schemas.openxmlformats.org/officeDocument/2006/relationships/hyperlink" Target="https://www.ecpat.org/wp-content/uploads/2016/10/Dont-Look-AWAY-Ecpat_Gambia_2015-04-22.pdf" TargetMode="External"/><Relationship Id="rId24" Type="http://schemas.openxmlformats.org/officeDocument/2006/relationships/hyperlink" Target="http://sexualrightsdatabase.org/static/country-447.html" TargetMode="External"/><Relationship Id="rId32" Type="http://schemas.openxmlformats.org/officeDocument/2006/relationships/hyperlink" Target="https://www.ilo.org/dyn/natlex/docs/ELECTRONIC/90622/114255/F-347615750/GMB90622.pdf" TargetMode="External"/><Relationship Id="rId37" Type="http://schemas.openxmlformats.org/officeDocument/2006/relationships/hyperlink" Target="http://nyc.gm/wp-content/uploads/2018/01/Revised-National-Youth-Policy-Final-.pdf" TargetMode="External"/><Relationship Id="rId40" Type="http://schemas.openxmlformats.org/officeDocument/2006/relationships/hyperlink" Target="https://www.acdhrs.org/wp-content/uploads/2015/07/CEDAW-Concluding-Observations-July-2015-1.pdf" TargetMode="External"/><Relationship Id="rId5" Type="http://schemas.openxmlformats.org/officeDocument/2006/relationships/hyperlink" Target="https://www.unicef.org/gambia/activities_8342.html" TargetMode="External"/><Relationship Id="rId15" Type="http://schemas.openxmlformats.org/officeDocument/2006/relationships/hyperlink" Target="https://www.ecpat.org/wp-content/uploads/2016/04/A4A_V2__AF_GAMBIA_FINAL2.pdf" TargetMode="External"/><Relationship Id="rId23" Type="http://schemas.openxmlformats.org/officeDocument/2006/relationships/hyperlink" Target="http://www.achpr.org/files/sessions/63rd_os/state-reports/1st-1994-2018/gambia_state_report_1st_eng.pdf" TargetMode="External"/><Relationship Id="rId28" Type="http://schemas.openxmlformats.org/officeDocument/2006/relationships/hyperlink" Target="https://www.hrw.org/sites/default/files/related_material/Gambia%20Criminal%20Code%20Act%202014.pdf" TargetMode="External"/><Relationship Id="rId36" Type="http://schemas.openxmlformats.org/officeDocument/2006/relationships/hyperlink" Target="http://www.achpr.org/files/sessions/63rd_os/state-reports/1st-1994-2018/gambia_state_report_1st_eng.pdf" TargetMode="External"/><Relationship Id="rId10" Type="http://schemas.openxmlformats.org/officeDocument/2006/relationships/hyperlink" Target="https://ssa.riselearningnetwork.org/wp-content/uploads/sites/5/2017/01/Region-SUB-SAHARAN-AFRICA.pdf" TargetMode="External"/><Relationship Id="rId19" Type="http://schemas.openxmlformats.org/officeDocument/2006/relationships/hyperlink" Target="https://childhub.org/en/system/tdf/library/attachments/childreninthegambia_1007.pdf?file=1&amp;type=node&amp;id=18019" TargetMode="External"/><Relationship Id="rId31" Type="http://schemas.openxmlformats.org/officeDocument/2006/relationships/hyperlink" Target="https://sherloc.unodc.org/cld/legislation/gmb/trafficking_in_persons_amendment_act_2010/trafficking_in_persons_amendment_act_2010/trafficking_in_persons_amendment_act_2010.html?lng=en" TargetMode="External"/><Relationship Id="rId4" Type="http://schemas.openxmlformats.org/officeDocument/2006/relationships/hyperlink" Target="http://www.hdr.undp.org/en/2018-update" TargetMode="External"/><Relationship Id="rId9" Type="http://schemas.openxmlformats.org/officeDocument/2006/relationships/hyperlink" Target="https://protectingchildrenintourism.org/wp-content/uploads/2018/10/Global-Report-Offenders-on-the-Move.pdf" TargetMode="External"/><Relationship Id="rId14" Type="http://schemas.openxmlformats.org/officeDocument/2006/relationships/hyperlink" Target="https://data.unicef.org/topic/child-protection/child-marriage/" TargetMode="External"/><Relationship Id="rId22" Type="http://schemas.openxmlformats.org/officeDocument/2006/relationships/hyperlink" Target="http://www.africanchildforum.org/clr/Legislation%20Per%20Country/Gambia/gambia_children_2005_en.pdf" TargetMode="External"/><Relationship Id="rId27" Type="http://schemas.openxmlformats.org/officeDocument/2006/relationships/hyperlink" Target="http://www.africanchildforum.org/clr/Legislation%20Per%20Country/Gambia/gambia_children_2005_en.pdf" TargetMode="External"/><Relationship Id="rId30" Type="http://schemas.openxmlformats.org/officeDocument/2006/relationships/hyperlink" Target="https://www.ilo.org/dyn/natlex/docs/ELECTRONIC/90622/114255/F-347615750/GMB90622.pdf" TargetMode="External"/><Relationship Id="rId35" Type="http://schemas.openxmlformats.org/officeDocument/2006/relationships/hyperlink" Target="http://www.achpr.org/files/sessions/63rd_os/state-reports/1st-1994-2018/gambia_state_report_1st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0AA0B2-DF29-4E73-8786-2A89761F87D1}">
  <ds:schemaRefs>
    <ds:schemaRef ds:uri="http://schemas.openxmlformats.org/officeDocument/2006/bibliography"/>
  </ds:schemaRefs>
</ds:datastoreItem>
</file>

<file path=customXml/itemProps2.xml><?xml version="1.0" encoding="utf-8"?>
<ds:datastoreItem xmlns:ds="http://schemas.openxmlformats.org/officeDocument/2006/customXml" ds:itemID="{2C207A92-C88E-4FBF-B63D-1156434AB647}"/>
</file>

<file path=customXml/itemProps3.xml><?xml version="1.0" encoding="utf-8"?>
<ds:datastoreItem xmlns:ds="http://schemas.openxmlformats.org/officeDocument/2006/customXml" ds:itemID="{FB447663-B5F3-4F59-B2CD-9A95B20EDBF9}"/>
</file>

<file path=customXml/itemProps4.xml><?xml version="1.0" encoding="utf-8"?>
<ds:datastoreItem xmlns:ds="http://schemas.openxmlformats.org/officeDocument/2006/customXml" ds:itemID="{DB6CA81A-9AF2-480E-B021-5F9DC56E5143}"/>
</file>

<file path=docProps/app.xml><?xml version="1.0" encoding="utf-8"?>
<Properties xmlns="http://schemas.openxmlformats.org/officeDocument/2006/extended-properties" xmlns:vt="http://schemas.openxmlformats.org/officeDocument/2006/docPropsVTypes">
  <Template>Normal.dotm</Template>
  <TotalTime>1</TotalTime>
  <Pages>14</Pages>
  <Words>3439</Words>
  <Characters>19001</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 Nivedha</dc:creator>
  <cp:keywords/>
  <dc:description/>
  <cp:lastModifiedBy>BROWN Helen</cp:lastModifiedBy>
  <cp:revision>2</cp:revision>
  <cp:lastPrinted>2019-10-31T06:51:00Z</cp:lastPrinted>
  <dcterms:created xsi:type="dcterms:W3CDTF">2019-12-18T14:44:00Z</dcterms:created>
  <dcterms:modified xsi:type="dcterms:W3CDTF">2019-12-18T14:44:00Z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